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zh-CN"/>
        </w:rPr>
      </w:pPr>
    </w:p>
    <w:p>
      <w:pPr>
        <w:pStyle w:val="4"/>
        <w:numPr>
          <w:ilvl w:val="0"/>
          <w:numId w:val="0"/>
        </w:numPr>
        <w:jc w:val="center"/>
        <w:rPr>
          <w:rFonts w:hint="eastAsia" w:ascii="黑体" w:hAnsi="黑体" w:eastAsia="黑体" w:cs="黑体"/>
          <w:b/>
          <w:bCs w:val="0"/>
          <w:color w:val="000000" w:themeColor="text1"/>
          <w:sz w:val="36"/>
          <w:szCs w:val="36"/>
          <w14:textFill>
            <w14:solidFill>
              <w14:schemeClr w14:val="tx1"/>
            </w14:solidFill>
          </w14:textFill>
        </w:rPr>
      </w:pPr>
      <w:bookmarkStart w:id="0" w:name="_Toc1469"/>
      <w:bookmarkStart w:id="1" w:name="_Toc25654"/>
      <w:bookmarkStart w:id="2" w:name="_Toc17777"/>
      <w:bookmarkStart w:id="3" w:name="_Toc19783"/>
      <w:r>
        <w:rPr>
          <w:rFonts w:hint="eastAsia" w:ascii="黑体" w:hAnsi="黑体" w:eastAsia="黑体" w:cs="黑体"/>
          <w:b/>
          <w:bCs w:val="0"/>
          <w:color w:val="000000" w:themeColor="text1"/>
          <w:sz w:val="36"/>
          <w:szCs w:val="36"/>
          <w:lang w:val="zh-CN"/>
          <w14:textFill>
            <w14:solidFill>
              <w14:schemeClr w14:val="tx1"/>
            </w14:solidFill>
          </w14:textFill>
        </w:rPr>
        <w:t>施 工 招 标 文 件</w:t>
      </w:r>
      <w:bookmarkEnd w:id="0"/>
      <w:bookmarkEnd w:id="1"/>
      <w:bookmarkEnd w:id="2"/>
      <w:bookmarkEnd w:id="3"/>
    </w:p>
    <w:p>
      <w:pPr>
        <w:autoSpaceDE w:val="0"/>
        <w:autoSpaceDN w:val="0"/>
        <w:adjustRightInd w:val="0"/>
        <w:spacing w:line="360" w:lineRule="auto"/>
        <w:jc w:val="center"/>
        <w:rPr>
          <w:sz w:val="36"/>
          <w:szCs w:val="36"/>
        </w:rPr>
      </w:pPr>
      <w:r>
        <w:rPr>
          <w:rFonts w:hint="eastAsia" w:ascii="黑体" w:hAnsi="黑体" w:eastAsia="黑体" w:cs="黑体"/>
          <w:b/>
          <w:bCs w:val="0"/>
          <w:color w:val="000000" w:themeColor="text1"/>
          <w:sz w:val="36"/>
          <w:szCs w:val="36"/>
          <w:lang w:val="zh-CN"/>
          <w14:textFill>
            <w14:solidFill>
              <w14:schemeClr w14:val="tx1"/>
            </w14:solidFill>
          </w14:textFill>
        </w:rPr>
        <w:t>（工程量清单计价）</w:t>
      </w:r>
    </w:p>
    <w:p>
      <w:pPr>
        <w:autoSpaceDE w:val="0"/>
        <w:autoSpaceDN w:val="0"/>
        <w:adjustRightInd w:val="0"/>
        <w:spacing w:line="360" w:lineRule="auto"/>
        <w:rPr>
          <w:color w:val="000000" w:themeColor="text1"/>
          <w:sz w:val="28"/>
          <w:szCs w:val="28"/>
          <w14:textFill>
            <w14:solidFill>
              <w14:schemeClr w14:val="tx1"/>
            </w14:solidFill>
          </w14:textFill>
        </w:rPr>
      </w:pPr>
    </w:p>
    <w:tbl>
      <w:tblPr>
        <w:tblStyle w:val="50"/>
        <w:tblW w:w="0" w:type="auto"/>
        <w:jc w:val="center"/>
        <w:tblLayout w:type="fixed"/>
        <w:tblCellMar>
          <w:top w:w="0" w:type="dxa"/>
          <w:left w:w="108" w:type="dxa"/>
          <w:bottom w:w="0" w:type="dxa"/>
          <w:right w:w="108" w:type="dxa"/>
        </w:tblCellMar>
      </w:tblPr>
      <w:tblGrid>
        <w:gridCol w:w="2757"/>
        <w:gridCol w:w="5765"/>
      </w:tblGrid>
      <w:tr>
        <w:tblPrEx>
          <w:tblCellMar>
            <w:top w:w="0" w:type="dxa"/>
            <w:left w:w="108" w:type="dxa"/>
            <w:bottom w:w="0" w:type="dxa"/>
            <w:right w:w="108" w:type="dxa"/>
          </w:tblCellMar>
        </w:tblPrEx>
        <w:trPr>
          <w:trHeight w:val="436"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sz w:val="28"/>
                <w:szCs w:val="28"/>
              </w:rPr>
            </w:pPr>
            <w:r>
              <w:rPr>
                <w:rFonts w:hint="eastAsia" w:ascii="宋体" w:hAnsi="宋体" w:eastAsia="宋体" w:cs="宋体"/>
                <w:sz w:val="28"/>
                <w:szCs w:val="28"/>
                <w:lang w:val="zh-CN"/>
              </w:rPr>
              <w:t xml:space="preserve">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rPr>
              <w:t>程</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rPr>
              <w:t xml:space="preserve"> 名   称：</w:t>
            </w:r>
          </w:p>
        </w:tc>
        <w:tc>
          <w:tcPr>
            <w:tcW w:w="57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lang w:eastAsia="zh-CN"/>
              </w:rPr>
            </w:pPr>
            <w:r>
              <w:rPr>
                <w:rFonts w:hint="eastAsia" w:ascii="宋体" w:hAnsi="宋体" w:cs="宋体"/>
                <w:sz w:val="28"/>
                <w:szCs w:val="28"/>
                <w:lang w:eastAsia="zh-CN"/>
              </w:rPr>
              <w:t>新疆克孜尔石窟研究所克孜尔千佛洞71#-91#窟赋存崖体危岩抢险加固工程</w:t>
            </w:r>
            <w:r>
              <w:rPr>
                <w:rFonts w:hint="eastAsia" w:ascii="宋体" w:hAnsi="宋体" w:eastAsia="宋体" w:cs="宋体"/>
                <w:sz w:val="28"/>
                <w:szCs w:val="28"/>
                <w:lang w:eastAsia="zh-CN"/>
              </w:rPr>
              <w:t>施工及监理</w:t>
            </w:r>
          </w:p>
        </w:tc>
      </w:tr>
      <w:tr>
        <w:tblPrEx>
          <w:tblCellMar>
            <w:top w:w="0" w:type="dxa"/>
            <w:left w:w="108" w:type="dxa"/>
            <w:bottom w:w="0" w:type="dxa"/>
            <w:right w:w="108" w:type="dxa"/>
          </w:tblCellMar>
        </w:tblPrEx>
        <w:trPr>
          <w:trHeight w:val="471"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sz w:val="28"/>
                <w:szCs w:val="28"/>
              </w:rPr>
            </w:pPr>
            <w:r>
              <w:rPr>
                <w:rFonts w:hint="eastAsia" w:ascii="宋体" w:hAnsi="宋体" w:eastAsia="宋体" w:cs="宋体"/>
                <w:sz w:val="28"/>
                <w:szCs w:val="28"/>
                <w:lang w:val="zh-CN"/>
              </w:rPr>
              <w:t>招  标  人 （盖章）：</w:t>
            </w:r>
          </w:p>
        </w:tc>
        <w:tc>
          <w:tcPr>
            <w:tcW w:w="5765" w:type="dxa"/>
            <w:vAlign w:val="center"/>
          </w:tcPr>
          <w:p>
            <w:pPr>
              <w:spacing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新疆克孜尔石窟研究所</w:t>
            </w:r>
          </w:p>
        </w:tc>
      </w:tr>
      <w:tr>
        <w:tblPrEx>
          <w:tblCellMar>
            <w:top w:w="0" w:type="dxa"/>
            <w:left w:w="108" w:type="dxa"/>
            <w:bottom w:w="0" w:type="dxa"/>
            <w:right w:w="108" w:type="dxa"/>
          </w:tblCellMar>
        </w:tblPrEx>
        <w:trPr>
          <w:trHeight w:val="469"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sz w:val="28"/>
                <w:szCs w:val="28"/>
              </w:rPr>
            </w:pPr>
            <w:r>
              <w:rPr>
                <w:rFonts w:hint="eastAsia" w:ascii="宋体" w:hAnsi="宋体" w:eastAsia="宋体" w:cs="宋体"/>
                <w:sz w:val="28"/>
                <w:szCs w:val="28"/>
                <w:lang w:val="zh-CN"/>
              </w:rPr>
              <w:t>联    系     人：</w:t>
            </w:r>
          </w:p>
        </w:tc>
        <w:tc>
          <w:tcPr>
            <w:tcW w:w="5765" w:type="dxa"/>
            <w:vAlign w:val="center"/>
          </w:tcPr>
          <w:p>
            <w:pPr>
              <w:spacing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焦俊峰、贾伟佳</w:t>
            </w:r>
          </w:p>
        </w:tc>
      </w:tr>
      <w:tr>
        <w:tblPrEx>
          <w:tblCellMar>
            <w:top w:w="0" w:type="dxa"/>
            <w:left w:w="108" w:type="dxa"/>
            <w:bottom w:w="0" w:type="dxa"/>
            <w:right w:w="108" w:type="dxa"/>
          </w:tblCellMar>
        </w:tblPrEx>
        <w:trPr>
          <w:trHeight w:val="461"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sz w:val="28"/>
                <w:szCs w:val="28"/>
                <w:lang w:val="zh-CN"/>
              </w:rPr>
            </w:pPr>
            <w:r>
              <w:rPr>
                <w:rFonts w:hint="eastAsia" w:ascii="宋体" w:hAnsi="宋体" w:eastAsia="宋体" w:cs="宋体"/>
                <w:sz w:val="28"/>
                <w:szCs w:val="28"/>
                <w:lang w:val="zh-CN"/>
              </w:rPr>
              <w:t>电           话：</w:t>
            </w:r>
          </w:p>
        </w:tc>
        <w:tc>
          <w:tcPr>
            <w:tcW w:w="5765" w:type="dxa"/>
            <w:vAlign w:val="center"/>
          </w:tcPr>
          <w:p>
            <w:pPr>
              <w:spacing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0991-4537114、18935848857</w:t>
            </w:r>
          </w:p>
        </w:tc>
      </w:tr>
      <w:tr>
        <w:tblPrEx>
          <w:tblCellMar>
            <w:top w:w="0" w:type="dxa"/>
            <w:left w:w="108" w:type="dxa"/>
            <w:bottom w:w="0" w:type="dxa"/>
            <w:right w:w="108" w:type="dxa"/>
          </w:tblCellMar>
        </w:tblPrEx>
        <w:trPr>
          <w:trHeight w:val="459"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sz w:val="28"/>
                <w:szCs w:val="28"/>
              </w:rPr>
            </w:pPr>
            <w:r>
              <w:rPr>
                <w:rFonts w:hint="eastAsia" w:ascii="宋体" w:hAnsi="宋体" w:eastAsia="宋体" w:cs="宋体"/>
                <w:sz w:val="28"/>
                <w:szCs w:val="28"/>
                <w:lang w:val="zh-CN"/>
              </w:rPr>
              <w:t>详  细   地   址：</w:t>
            </w:r>
          </w:p>
        </w:tc>
        <w:tc>
          <w:tcPr>
            <w:tcW w:w="5765" w:type="dxa"/>
            <w:vAlign w:val="center"/>
          </w:tcPr>
          <w:p>
            <w:pPr>
              <w:spacing w:line="560" w:lineRule="exact"/>
              <w:jc w:val="center"/>
              <w:rPr>
                <w:rFonts w:hint="eastAsia" w:ascii="宋体" w:hAnsi="宋体" w:eastAsia="宋体" w:cs="宋体"/>
                <w:sz w:val="28"/>
                <w:szCs w:val="28"/>
                <w:highlight w:val="yellow"/>
              </w:rPr>
            </w:pPr>
            <w:r>
              <w:rPr>
                <w:rFonts w:hint="eastAsia" w:ascii="宋体" w:hAnsi="宋体" w:eastAsia="宋体" w:cs="宋体"/>
                <w:i w:val="0"/>
                <w:iCs w:val="0"/>
                <w:sz w:val="28"/>
                <w:szCs w:val="28"/>
                <w:highlight w:val="none"/>
              </w:rPr>
              <w:t>乌鲁木齐市博物馆南巷83号</w:t>
            </w:r>
          </w:p>
        </w:tc>
      </w:tr>
      <w:tr>
        <w:tblPrEx>
          <w:tblCellMar>
            <w:top w:w="0" w:type="dxa"/>
            <w:left w:w="108" w:type="dxa"/>
            <w:bottom w:w="0" w:type="dxa"/>
            <w:right w:w="108" w:type="dxa"/>
          </w:tblCellMar>
        </w:tblPrEx>
        <w:trPr>
          <w:trHeight w:val="317"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lang w:val="zh-CN"/>
                <w14:textFill>
                  <w14:solidFill>
                    <w14:schemeClr w14:val="tx1"/>
                  </w14:solidFill>
                </w14:textFill>
              </w:rPr>
            </w:pPr>
          </w:p>
        </w:tc>
        <w:tc>
          <w:tcPr>
            <w:tcW w:w="5765"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17"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lang w:val="zh-CN"/>
                <w14:textFill>
                  <w14:solidFill>
                    <w14:schemeClr w14:val="tx1"/>
                  </w14:solidFill>
                </w14:textFill>
              </w:rPr>
            </w:pPr>
          </w:p>
        </w:tc>
        <w:tc>
          <w:tcPr>
            <w:tcW w:w="5765"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17"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lang w:val="zh-CN"/>
                <w14:textFill>
                  <w14:solidFill>
                    <w14:schemeClr w14:val="tx1"/>
                  </w14:solidFill>
                </w14:textFill>
              </w:rPr>
            </w:pPr>
          </w:p>
        </w:tc>
        <w:tc>
          <w:tcPr>
            <w:tcW w:w="5765"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17"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lang w:val="zh-CN"/>
                <w14:textFill>
                  <w14:solidFill>
                    <w14:schemeClr w14:val="tx1"/>
                  </w14:solidFill>
                </w14:textFill>
              </w:rPr>
            </w:pPr>
          </w:p>
        </w:tc>
        <w:tc>
          <w:tcPr>
            <w:tcW w:w="5765"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17"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lang w:val="zh-CN"/>
                <w14:textFill>
                  <w14:solidFill>
                    <w14:schemeClr w14:val="tx1"/>
                  </w14:solidFill>
                </w14:textFill>
              </w:rPr>
            </w:pPr>
          </w:p>
        </w:tc>
        <w:tc>
          <w:tcPr>
            <w:tcW w:w="5765"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17"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lang w:val="zh-CN"/>
                <w14:textFill>
                  <w14:solidFill>
                    <w14:schemeClr w14:val="tx1"/>
                  </w14:solidFill>
                </w14:textFill>
              </w:rPr>
            </w:pPr>
          </w:p>
        </w:tc>
        <w:tc>
          <w:tcPr>
            <w:tcW w:w="5765"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17"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lang w:val="zh-CN"/>
                <w14:textFill>
                  <w14:solidFill>
                    <w14:schemeClr w14:val="tx1"/>
                  </w14:solidFill>
                </w14:textFill>
              </w:rPr>
            </w:pPr>
          </w:p>
        </w:tc>
        <w:tc>
          <w:tcPr>
            <w:tcW w:w="5765"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457"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lang w:val="zh-CN"/>
                <w14:textFill>
                  <w14:solidFill>
                    <w14:schemeClr w14:val="tx1"/>
                  </w14:solidFill>
                </w14:textFill>
              </w:rPr>
              <w:t>招标代理机构</w:t>
            </w:r>
          </w:p>
          <w:p>
            <w:pPr>
              <w:autoSpaceDE w:val="0"/>
              <w:autoSpaceDN w:val="0"/>
              <w:adjustRightInd w:val="0"/>
              <w:spacing w:line="560" w:lineRule="exact"/>
              <w:jc w:val="center"/>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lang w:val="zh-CN"/>
                <w14:textFill>
                  <w14:solidFill>
                    <w14:schemeClr w14:val="tx1"/>
                  </w14:solidFill>
                </w14:textFill>
              </w:rPr>
              <w:t>（盖章）：</w:t>
            </w:r>
          </w:p>
        </w:tc>
        <w:tc>
          <w:tcPr>
            <w:tcW w:w="5765" w:type="dxa"/>
            <w:vAlign w:val="center"/>
          </w:tcPr>
          <w:p>
            <w:pPr>
              <w:spacing w:line="560" w:lineRule="exact"/>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i w:val="0"/>
                <w:iCs w:val="0"/>
                <w:sz w:val="28"/>
                <w:szCs w:val="28"/>
              </w:rPr>
              <w:t>新疆中奕工程管理咨询有限公司</w:t>
            </w:r>
          </w:p>
        </w:tc>
      </w:tr>
      <w:tr>
        <w:tblPrEx>
          <w:tblCellMar>
            <w:top w:w="0" w:type="dxa"/>
            <w:left w:w="108" w:type="dxa"/>
            <w:bottom w:w="0" w:type="dxa"/>
            <w:right w:w="108" w:type="dxa"/>
          </w:tblCellMar>
        </w:tblPrEx>
        <w:trPr>
          <w:trHeight w:val="454"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lang w:val="zh-CN"/>
                <w14:textFill>
                  <w14:solidFill>
                    <w14:schemeClr w14:val="tx1"/>
                  </w14:solidFill>
                </w14:textFill>
              </w:rPr>
              <w:t>联   系    人：</w:t>
            </w:r>
          </w:p>
        </w:tc>
        <w:tc>
          <w:tcPr>
            <w:tcW w:w="5765" w:type="dxa"/>
            <w:vAlign w:val="center"/>
          </w:tcPr>
          <w:p>
            <w:pPr>
              <w:spacing w:line="560" w:lineRule="exact"/>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王浩</w:t>
            </w:r>
          </w:p>
        </w:tc>
      </w:tr>
      <w:tr>
        <w:tblPrEx>
          <w:tblCellMar>
            <w:top w:w="0" w:type="dxa"/>
            <w:left w:w="108" w:type="dxa"/>
            <w:bottom w:w="0" w:type="dxa"/>
            <w:right w:w="108" w:type="dxa"/>
          </w:tblCellMar>
        </w:tblPrEx>
        <w:trPr>
          <w:trHeight w:val="474"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lang w:val="zh-CN"/>
                <w14:textFill>
                  <w14:solidFill>
                    <w14:schemeClr w14:val="tx1"/>
                  </w14:solidFill>
                </w14:textFill>
              </w:rPr>
              <w:t>电         话：</w:t>
            </w:r>
          </w:p>
        </w:tc>
        <w:tc>
          <w:tcPr>
            <w:tcW w:w="5765" w:type="dxa"/>
            <w:vAlign w:val="center"/>
          </w:tcPr>
          <w:p>
            <w:pPr>
              <w:spacing w:line="560" w:lineRule="exact"/>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lang w:val="en-US" w:eastAsia="zh-CN"/>
              </w:rPr>
              <w:t>15699133769</w:t>
            </w:r>
            <w:r>
              <w:rPr>
                <w:rFonts w:hint="eastAsia" w:ascii="宋体" w:hAnsi="宋体" w:eastAsia="宋体" w:cs="宋体"/>
                <w:color w:val="000000"/>
                <w:kern w:val="0"/>
                <w:sz w:val="28"/>
                <w:szCs w:val="28"/>
                <w:lang w:val="en-US" w:eastAsia="zh-CN"/>
              </w:rPr>
              <w:t>、</w:t>
            </w:r>
            <w:r>
              <w:rPr>
                <w:rFonts w:hint="eastAsia" w:ascii="宋体" w:hAnsi="宋体" w:eastAsia="宋体" w:cs="宋体"/>
                <w:i w:val="0"/>
                <w:iCs w:val="0"/>
                <w:sz w:val="28"/>
                <w:szCs w:val="28"/>
                <w:u w:val="none"/>
                <w:lang w:val="en-US" w:eastAsia="zh-CN"/>
              </w:rPr>
              <w:t>0991-4625377</w:t>
            </w:r>
          </w:p>
        </w:tc>
      </w:tr>
      <w:tr>
        <w:tblPrEx>
          <w:tblCellMar>
            <w:top w:w="0" w:type="dxa"/>
            <w:left w:w="108" w:type="dxa"/>
            <w:bottom w:w="0" w:type="dxa"/>
            <w:right w:w="108" w:type="dxa"/>
          </w:tblCellMar>
        </w:tblPrEx>
        <w:trPr>
          <w:trHeight w:val="473" w:hRule="atLeast"/>
          <w:jc w:val="center"/>
        </w:trPr>
        <w:tc>
          <w:tcPr>
            <w:tcW w:w="2757" w:type="dxa"/>
            <w:vAlign w:val="center"/>
          </w:tcPr>
          <w:p>
            <w:pPr>
              <w:autoSpaceDE w:val="0"/>
              <w:autoSpaceDN w:val="0"/>
              <w:adjustRightInd w:val="0"/>
              <w:spacing w:line="5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zh-CN"/>
                <w14:textFill>
                  <w14:solidFill>
                    <w14:schemeClr w14:val="tx1"/>
                  </w14:solidFill>
                </w14:textFill>
              </w:rPr>
              <w:t xml:space="preserve">详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val="zh-CN"/>
                <w14:textFill>
                  <w14:solidFill>
                    <w14:schemeClr w14:val="tx1"/>
                  </w14:solidFill>
                </w14:textFill>
              </w:rPr>
              <w:t>细   地   址：</w:t>
            </w:r>
          </w:p>
        </w:tc>
        <w:tc>
          <w:tcPr>
            <w:tcW w:w="5765" w:type="dxa"/>
            <w:vAlign w:val="center"/>
          </w:tcPr>
          <w:p>
            <w:pPr>
              <w:spacing w:line="560" w:lineRule="exact"/>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i w:val="0"/>
                <w:iCs w:val="0"/>
                <w:sz w:val="28"/>
                <w:szCs w:val="28"/>
              </w:rPr>
              <w:t>乌鲁木齐市</w:t>
            </w:r>
            <w:r>
              <w:rPr>
                <w:rFonts w:hint="eastAsia" w:ascii="宋体" w:hAnsi="宋体" w:eastAsia="宋体" w:cs="宋体"/>
                <w:i w:val="0"/>
                <w:iCs w:val="0"/>
                <w:sz w:val="28"/>
                <w:szCs w:val="28"/>
                <w:lang w:eastAsia="zh-CN"/>
              </w:rPr>
              <w:t>水磨沟区绿城广场</w:t>
            </w:r>
            <w:r>
              <w:rPr>
                <w:rFonts w:hint="eastAsia" w:ascii="宋体" w:hAnsi="宋体" w:eastAsia="宋体" w:cs="宋体"/>
                <w:i w:val="0"/>
                <w:iCs w:val="0"/>
                <w:sz w:val="28"/>
                <w:szCs w:val="28"/>
                <w:lang w:val="en-US" w:eastAsia="zh-CN"/>
              </w:rPr>
              <w:t>1A座602室</w:t>
            </w:r>
          </w:p>
        </w:tc>
      </w:tr>
    </w:tbl>
    <w:p>
      <w:pPr>
        <w:autoSpaceDE w:val="0"/>
        <w:autoSpaceDN w:val="0"/>
        <w:adjustRightInd w:val="0"/>
        <w:spacing w:line="360" w:lineRule="auto"/>
        <w:jc w:val="center"/>
        <w:rPr>
          <w:rFonts w:hint="eastAsia" w:ascii="宋体" w:hAnsi="宋体" w:eastAsia="宋体" w:cs="宋体"/>
          <w:b/>
          <w:bCs/>
          <w:color w:val="000000" w:themeColor="text1"/>
          <w:kern w:val="0"/>
          <w:sz w:val="28"/>
          <w:szCs w:val="28"/>
          <w14:textFill>
            <w14:solidFill>
              <w14:schemeClr w14:val="tx1"/>
            </w14:solidFill>
          </w14:textFill>
        </w:rPr>
      </w:pPr>
    </w:p>
    <w:p>
      <w:pPr>
        <w:pStyle w:val="16"/>
        <w:jc w:val="center"/>
        <w:rPr>
          <w:rFonts w:hint="eastAsia" w:ascii="宋体" w:hAnsi="宋体" w:eastAsia="宋体" w:cs="宋体"/>
          <w:color w:val="000000" w:themeColor="text1"/>
          <w:sz w:val="24"/>
          <w:szCs w:val="24"/>
          <w14:textFill>
            <w14:solidFill>
              <w14:schemeClr w14:val="tx1"/>
            </w14:solidFill>
          </w14:textFill>
        </w:rPr>
      </w:pPr>
    </w:p>
    <w:p>
      <w:pPr>
        <w:pStyle w:val="16"/>
        <w:rPr>
          <w:rFonts w:hint="eastAsia" w:ascii="宋体" w:hAnsi="宋体" w:eastAsia="宋体" w:cs="宋体"/>
          <w:color w:val="000000" w:themeColor="text1"/>
          <w:sz w:val="24"/>
          <w:szCs w:val="24"/>
          <w14:textFill>
            <w14:solidFill>
              <w14:schemeClr w14:val="tx1"/>
            </w14:solidFill>
          </w14:textFill>
        </w:rPr>
        <w:sectPr>
          <w:pgSz w:w="11907" w:h="16839"/>
          <w:pgMar w:top="1440" w:right="1080" w:bottom="1440" w:left="1080" w:header="720" w:footer="720" w:gutter="0"/>
          <w:cols w:space="720" w:num="1"/>
          <w:docGrid w:linePitch="286" w:charSpace="0"/>
        </w:sectPr>
      </w:pPr>
    </w:p>
    <w:p>
      <w:pPr>
        <w:pStyle w:val="16"/>
        <w:rPr>
          <w:rFonts w:hint="eastAsia" w:ascii="宋体" w:hAnsi="宋体" w:eastAsia="宋体" w:cs="宋体"/>
          <w:color w:val="000000" w:themeColor="text1"/>
          <w:sz w:val="24"/>
          <w:szCs w:val="24"/>
          <w14:textFill>
            <w14:solidFill>
              <w14:schemeClr w14:val="tx1"/>
            </w14:solidFill>
          </w14:textFill>
        </w:rPr>
      </w:pPr>
    </w:p>
    <w:sdt>
      <w:sdtPr>
        <w:rPr>
          <w:rFonts w:hint="eastAsia" w:ascii="宋体" w:hAnsi="宋体" w:eastAsia="宋体" w:cs="宋体"/>
          <w:kern w:val="2"/>
          <w:sz w:val="24"/>
          <w:szCs w:val="24"/>
          <w:lang w:val="en-US" w:eastAsia="zh-CN" w:bidi="ar-SA"/>
        </w:rPr>
        <w:id w:val="147463492"/>
        <w15:color w:val="DBDBDB"/>
        <w:docPartObj>
          <w:docPartGallery w:val="Table of Contents"/>
          <w:docPartUnique/>
        </w:docPartObj>
      </w:sdtPr>
      <w:sdtEndPr>
        <w:rPr>
          <w:rFonts w:hint="eastAsia" w:ascii="宋体" w:hAnsi="宋体" w:eastAsia="宋体" w:cs="宋体"/>
          <w:color w:val="000000" w:themeColor="text1"/>
          <w:kern w:val="2"/>
          <w:sz w:val="24"/>
          <w:szCs w:val="2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bCs/>
              <w:sz w:val="28"/>
              <w:szCs w:val="28"/>
            </w:rPr>
          </w:pPr>
          <w:r>
            <w:rPr>
              <w:rFonts w:hint="eastAsia" w:ascii="黑体" w:hAnsi="黑体" w:eastAsia="黑体" w:cs="黑体"/>
              <w:b/>
              <w:bCs/>
              <w:sz w:val="28"/>
              <w:szCs w:val="28"/>
            </w:rPr>
            <w:t>目</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录</w:t>
          </w:r>
        </w:p>
        <w:p>
          <w:pPr>
            <w:pStyle w:val="459"/>
            <w:tabs>
              <w:tab w:val="right" w:leader="dot" w:pos="9747"/>
            </w:tabs>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TOC \o "1-1" \h \u </w:instrText>
          </w:r>
          <w:r>
            <w:rPr>
              <w:rFonts w:hint="eastAsia" w:ascii="宋体" w:hAnsi="宋体" w:eastAsia="宋体" w:cs="宋体"/>
              <w:color w:val="000000" w:themeColor="text1"/>
              <w:sz w:val="24"/>
              <w:szCs w:val="24"/>
              <w14:textFill>
                <w14:solidFill>
                  <w14:schemeClr w14:val="tx1"/>
                </w14:solidFill>
              </w14:textFill>
            </w:rPr>
            <w:fldChar w:fldCharType="separate"/>
          </w:r>
        </w:p>
        <w:p>
          <w:pPr>
            <w:pStyle w:val="459"/>
            <w:tabs>
              <w:tab w:val="right" w:leader="dot" w:pos="9747"/>
            </w:tabs>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招</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标</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公</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告</w:t>
          </w:r>
          <w:r>
            <w:rPr>
              <w:rFonts w:hint="eastAsia" w:ascii="宋体" w:hAnsi="宋体" w:eastAsia="宋体" w:cs="宋体"/>
              <w:sz w:val="24"/>
              <w:szCs w:val="24"/>
            </w:rPr>
            <w:tab/>
          </w:r>
          <w:r>
            <w:rPr>
              <w:rFonts w:hint="eastAsia" w:ascii="宋体" w:hAnsi="宋体" w:eastAsia="宋体" w:cs="宋体"/>
              <w:sz w:val="24"/>
              <w:szCs w:val="24"/>
              <w:lang w:val="en-US" w:eastAsia="zh-CN"/>
            </w:rPr>
            <w:t>1</w:t>
          </w:r>
        </w:p>
        <w:p>
          <w:pPr>
            <w:pStyle w:val="459"/>
            <w:tabs>
              <w:tab w:val="right" w:leader="dot" w:pos="9747"/>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_Toc18866 </w:instrText>
          </w:r>
          <w:r>
            <w:rPr>
              <w:rFonts w:hint="eastAsia" w:ascii="宋体" w:hAnsi="宋体" w:eastAsia="宋体" w:cs="宋体"/>
              <w:sz w:val="24"/>
              <w:szCs w:val="24"/>
            </w:rPr>
            <w:fldChar w:fldCharType="separate"/>
          </w:r>
          <w:r>
            <w:rPr>
              <w:rFonts w:hint="eastAsia" w:ascii="宋体" w:hAnsi="宋体" w:eastAsia="宋体" w:cs="宋体"/>
              <w:kern w:val="2"/>
              <w:sz w:val="24"/>
              <w:szCs w:val="24"/>
              <w:highlight w:val="none"/>
            </w:rPr>
            <w:t>投  标  须  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_Toc18866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459"/>
            <w:tabs>
              <w:tab w:val="right" w:leader="dot" w:pos="9747"/>
            </w:tabs>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_Toc25651 </w:instrText>
          </w:r>
          <w:r>
            <w:rPr>
              <w:rFonts w:hint="eastAsia" w:ascii="宋体" w:hAnsi="宋体" w:eastAsia="宋体" w:cs="宋体"/>
              <w:sz w:val="24"/>
              <w:szCs w:val="24"/>
            </w:rPr>
            <w:fldChar w:fldCharType="separate"/>
          </w:r>
          <w:r>
            <w:rPr>
              <w:rFonts w:hint="eastAsia" w:ascii="宋体" w:hAnsi="宋体" w:eastAsia="宋体" w:cs="宋体"/>
              <w:kern w:val="2"/>
              <w:sz w:val="24"/>
              <w:szCs w:val="24"/>
              <w:highlight w:val="none"/>
            </w:rPr>
            <w:t>第一章  综合说明</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color w:val="000000" w:themeColor="text1"/>
              <w:sz w:val="24"/>
              <w:szCs w:val="24"/>
              <w14:textFill>
                <w14:solidFill>
                  <w14:schemeClr w14:val="tx1"/>
                </w14:solidFill>
              </w14:textFill>
            </w:rPr>
            <w:fldChar w:fldCharType="end"/>
          </w:r>
        </w:p>
        <w:p>
          <w:pPr>
            <w:pStyle w:val="459"/>
            <w:tabs>
              <w:tab w:val="right" w:leader="dot" w:pos="9747"/>
            </w:tabs>
            <w:spacing w:line="360" w:lineRule="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_Toc2001 </w:instrText>
          </w:r>
          <w:r>
            <w:rPr>
              <w:rFonts w:hint="eastAsia" w:ascii="宋体" w:hAnsi="宋体" w:eastAsia="宋体" w:cs="宋体"/>
              <w:sz w:val="24"/>
              <w:szCs w:val="24"/>
            </w:rPr>
            <w:fldChar w:fldCharType="separate"/>
          </w:r>
          <w:r>
            <w:rPr>
              <w:rFonts w:hint="eastAsia" w:ascii="宋体" w:hAnsi="宋体" w:eastAsia="宋体" w:cs="宋体"/>
              <w:kern w:val="2"/>
              <w:sz w:val="24"/>
              <w:szCs w:val="24"/>
              <w:highlight w:val="none"/>
            </w:rPr>
            <w:t>第二章  合同</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0</w:t>
          </w:r>
        </w:p>
        <w:p>
          <w:pPr>
            <w:pStyle w:val="459"/>
            <w:tabs>
              <w:tab w:val="right" w:leader="dot" w:pos="9747"/>
            </w:tabs>
            <w:spacing w:line="360" w:lineRule="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_Toc267 </w:instrText>
          </w:r>
          <w:r>
            <w:rPr>
              <w:rFonts w:hint="eastAsia" w:ascii="宋体" w:hAnsi="宋体" w:eastAsia="宋体" w:cs="宋体"/>
              <w:sz w:val="24"/>
              <w:szCs w:val="24"/>
            </w:rPr>
            <w:fldChar w:fldCharType="separate"/>
          </w:r>
          <w:r>
            <w:rPr>
              <w:rFonts w:hint="eastAsia" w:ascii="宋体" w:hAnsi="宋体" w:eastAsia="宋体" w:cs="宋体"/>
              <w:kern w:val="2"/>
              <w:sz w:val="24"/>
              <w:szCs w:val="24"/>
              <w:highlight w:val="none"/>
            </w:rPr>
            <w:t>第三章  技 术 要 求</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3</w:t>
          </w:r>
        </w:p>
        <w:p>
          <w:pPr>
            <w:pStyle w:val="459"/>
            <w:tabs>
              <w:tab w:val="right" w:leader="dot" w:pos="9747"/>
            </w:tabs>
            <w:spacing w:line="360" w:lineRule="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_Toc28431 </w:instrText>
          </w:r>
          <w:r>
            <w:rPr>
              <w:rFonts w:hint="eastAsia" w:ascii="宋体" w:hAnsi="宋体" w:eastAsia="宋体" w:cs="宋体"/>
              <w:sz w:val="24"/>
              <w:szCs w:val="24"/>
            </w:rPr>
            <w:fldChar w:fldCharType="separate"/>
          </w:r>
          <w:r>
            <w:rPr>
              <w:rFonts w:hint="eastAsia" w:ascii="宋体" w:hAnsi="宋体" w:eastAsia="宋体" w:cs="宋体"/>
              <w:kern w:val="2"/>
              <w:sz w:val="24"/>
              <w:szCs w:val="24"/>
              <w:highlight w:val="none"/>
            </w:rPr>
            <w:t>第四章  投标文件格式</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lang w:val="en-US" w:eastAsia="zh-CN"/>
              <w14:textFill>
                <w14:solidFill>
                  <w14:schemeClr w14:val="tx1"/>
                </w14:solidFill>
              </w14:textFill>
            </w:rPr>
            <w:t>4</w:t>
          </w:r>
        </w:p>
        <w:p>
          <w:pPr>
            <w:pStyle w:val="459"/>
            <w:tabs>
              <w:tab w:val="right" w:leader="dot" w:pos="9747"/>
            </w:tabs>
            <w:rPr>
              <w:rFonts w:hint="eastAsia" w:ascii="宋体" w:hAnsi="宋体" w:eastAsia="宋体" w:cs="宋体"/>
              <w:sz w:val="24"/>
              <w:szCs w:val="24"/>
            </w:rPr>
          </w:pPr>
        </w:p>
        <w:p>
          <w:pPr>
            <w:pStyle w:val="1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end"/>
          </w:r>
        </w:p>
      </w:sdtContent>
    </w:sdt>
    <w:p>
      <w:pPr>
        <w:pStyle w:val="16"/>
        <w:rPr>
          <w:rFonts w:hint="eastAsia" w:ascii="宋体" w:hAnsi="宋体" w:eastAsia="宋体" w:cs="宋体"/>
          <w:color w:val="000000" w:themeColor="text1"/>
          <w:sz w:val="24"/>
          <w:szCs w:val="24"/>
          <w14:textFill>
            <w14:solidFill>
              <w14:schemeClr w14:val="tx1"/>
            </w14:solidFill>
          </w14:textFill>
        </w:rPr>
      </w:pPr>
    </w:p>
    <w:p>
      <w:pPr>
        <w:pStyle w:val="16"/>
        <w:rPr>
          <w:rFonts w:hint="eastAsia" w:ascii="宋体" w:hAnsi="宋体" w:eastAsia="宋体" w:cs="宋体"/>
          <w:color w:val="000000" w:themeColor="text1"/>
          <w:sz w:val="24"/>
          <w:szCs w:val="24"/>
          <w14:textFill>
            <w14:solidFill>
              <w14:schemeClr w14:val="tx1"/>
            </w14:solidFill>
          </w14:textFill>
        </w:rPr>
        <w:sectPr>
          <w:footerReference r:id="rId5" w:type="default"/>
          <w:pgSz w:w="11907" w:h="16839"/>
          <w:pgMar w:top="1440" w:right="1080" w:bottom="1440" w:left="1080" w:header="720" w:footer="720" w:gutter="0"/>
          <w:pgNumType w:start="1"/>
          <w:cols w:space="720" w:num="1"/>
          <w:docGrid w:linePitch="286" w:charSpace="0"/>
        </w:sectPr>
      </w:pPr>
    </w:p>
    <w:p>
      <w:pPr>
        <w:widowControl/>
        <w:spacing w:line="400" w:lineRule="exact"/>
        <w:jc w:val="center"/>
        <w:rPr>
          <w:rFonts w:hint="eastAsia" w:ascii="黑体" w:hAnsi="黑体" w:eastAsia="黑体" w:cs="黑体"/>
          <w:b/>
          <w:color w:val="auto"/>
          <w:kern w:val="2"/>
          <w:sz w:val="28"/>
          <w:szCs w:val="28"/>
          <w:highlight w:val="none"/>
          <w:lang w:val="en-US" w:eastAsia="zh-CN" w:bidi="ar-SA"/>
        </w:rPr>
      </w:pPr>
      <w:bookmarkStart w:id="4" w:name="_Toc14587"/>
      <w:bookmarkStart w:id="5" w:name="_Toc5866"/>
      <w:r>
        <w:rPr>
          <w:rFonts w:hint="eastAsia" w:ascii="黑体" w:hAnsi="黑体" w:eastAsia="黑体" w:cs="黑体"/>
          <w:b/>
          <w:color w:val="auto"/>
          <w:kern w:val="2"/>
          <w:sz w:val="28"/>
          <w:szCs w:val="28"/>
          <w:highlight w:val="none"/>
          <w:lang w:val="en-US" w:eastAsia="zh-CN" w:bidi="ar-SA"/>
        </w:rPr>
        <w:t>招  标  公  告</w:t>
      </w:r>
    </w:p>
    <w:p>
      <w:pPr>
        <w:pStyle w:val="2"/>
        <w:rPr>
          <w:rFonts w:hint="eastAsia"/>
          <w:lang w:val="en-US" w:eastAsia="zh-CN"/>
        </w:rPr>
      </w:pPr>
    </w:p>
    <w:p>
      <w:pPr>
        <w:widowControl/>
        <w:spacing w:line="400" w:lineRule="exac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 xml:space="preserve">    </w:t>
      </w:r>
      <w:r>
        <w:rPr>
          <w:rFonts w:hint="eastAsia" w:ascii="宋体" w:hAnsi="宋体" w:cs="宋体"/>
          <w:b/>
          <w:color w:val="000000"/>
          <w:kern w:val="0"/>
          <w:sz w:val="24"/>
          <w:szCs w:val="24"/>
          <w:lang w:eastAsia="zh-CN"/>
        </w:rPr>
        <w:t>新疆克孜尔石窟研究所克孜尔千佛洞71#-91#窟赋存崖体危岩抢险加固工程</w:t>
      </w:r>
      <w:r>
        <w:rPr>
          <w:rFonts w:hint="eastAsia" w:ascii="宋体" w:hAnsi="宋体" w:eastAsia="宋体" w:cs="宋体"/>
          <w:b/>
          <w:color w:val="000000"/>
          <w:kern w:val="0"/>
          <w:sz w:val="24"/>
          <w:szCs w:val="24"/>
          <w:lang w:eastAsia="zh-CN"/>
        </w:rPr>
        <w:t>施工及监理公开招标</w:t>
      </w:r>
      <w:r>
        <w:rPr>
          <w:rFonts w:hint="eastAsia" w:ascii="宋体" w:hAnsi="宋体" w:eastAsia="宋体" w:cs="宋体"/>
          <w:b/>
          <w:color w:val="000000"/>
          <w:kern w:val="0"/>
          <w:sz w:val="24"/>
          <w:szCs w:val="24"/>
        </w:rPr>
        <w:t>公告</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新疆克孜尔石窟研究所克孜尔千佛洞71#-91#窟赋存崖体危岩抢险加固工程</w:t>
      </w:r>
      <w:r>
        <w:rPr>
          <w:rFonts w:hint="eastAsia" w:ascii="宋体" w:hAnsi="宋体" w:eastAsia="宋体" w:cs="宋体"/>
          <w:color w:val="auto"/>
          <w:sz w:val="24"/>
          <w:szCs w:val="24"/>
          <w:lang w:eastAsia="zh-CN"/>
        </w:rPr>
        <w:t>施工及监理</w:t>
      </w:r>
      <w:r>
        <w:rPr>
          <w:rFonts w:hint="eastAsia" w:ascii="宋体" w:hAnsi="宋体" w:eastAsia="宋体" w:cs="宋体"/>
          <w:color w:val="auto"/>
          <w:sz w:val="24"/>
          <w:szCs w:val="24"/>
        </w:rPr>
        <w:t>招标项目的潜在投标人应在乌鲁木齐市</w:t>
      </w:r>
      <w:r>
        <w:rPr>
          <w:rFonts w:hint="eastAsia" w:ascii="宋体" w:hAnsi="宋体" w:eastAsia="宋体" w:cs="宋体"/>
          <w:color w:val="auto"/>
          <w:sz w:val="24"/>
          <w:szCs w:val="24"/>
          <w:lang w:eastAsia="zh-CN"/>
        </w:rPr>
        <w:t>水磨沟区绿城广场</w:t>
      </w:r>
      <w:r>
        <w:rPr>
          <w:rFonts w:hint="eastAsia" w:ascii="宋体" w:hAnsi="宋体" w:eastAsia="宋体" w:cs="宋体"/>
          <w:color w:val="auto"/>
          <w:sz w:val="24"/>
          <w:szCs w:val="24"/>
          <w:lang w:val="en-US" w:eastAsia="zh-CN"/>
        </w:rPr>
        <w:t>1A座602室</w:t>
      </w:r>
      <w:r>
        <w:rPr>
          <w:rFonts w:hint="eastAsia" w:ascii="宋体" w:hAnsi="宋体" w:eastAsia="宋体" w:cs="宋体"/>
          <w:color w:val="auto"/>
          <w:sz w:val="24"/>
          <w:szCs w:val="24"/>
        </w:rPr>
        <w:t>获取招标文件，并于</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27</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分（北京时间）前递交投标文件。</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auto"/>
          <w:sz w:val="24"/>
          <w:szCs w:val="24"/>
        </w:rPr>
      </w:pPr>
      <w:bookmarkStart w:id="6" w:name="_Toc28359002"/>
      <w:bookmarkStart w:id="7" w:name="_Toc35393621"/>
      <w:bookmarkStart w:id="8" w:name="_Toc28359079"/>
      <w:bookmarkStart w:id="9" w:name="_Toc35393790"/>
      <w:bookmarkStart w:id="10" w:name="_Hlk24379207"/>
      <w:r>
        <w:rPr>
          <w:rFonts w:hint="eastAsia" w:ascii="宋体" w:hAnsi="宋体" w:eastAsia="宋体" w:cs="宋体"/>
          <w:b/>
          <w:bCs/>
          <w:color w:val="auto"/>
          <w:sz w:val="24"/>
          <w:szCs w:val="24"/>
        </w:rPr>
        <w:t>一、项目基本情况</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项目编号：XJZYZB</w:t>
      </w:r>
      <w:r>
        <w:rPr>
          <w:rFonts w:hint="eastAsia" w:ascii="宋体" w:hAnsi="宋体" w:eastAsia="宋体" w:cs="宋体"/>
          <w:color w:val="auto"/>
          <w:sz w:val="24"/>
          <w:szCs w:val="24"/>
          <w:lang w:val="en-US" w:eastAsia="zh-CN"/>
        </w:rPr>
        <w:t>2021100</w:t>
      </w:r>
      <w:r>
        <w:rPr>
          <w:rFonts w:hint="eastAsia" w:ascii="宋体" w:hAnsi="宋体" w:cs="宋体"/>
          <w:color w:val="auto"/>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新疆克孜尔石窟研究所克孜尔千佛洞71#-91#窟赋存崖体危岩抢险加固工程</w:t>
      </w:r>
      <w:r>
        <w:rPr>
          <w:rFonts w:hint="eastAsia" w:ascii="宋体" w:hAnsi="宋体" w:eastAsia="宋体" w:cs="宋体"/>
          <w:color w:val="auto"/>
          <w:sz w:val="24"/>
          <w:szCs w:val="24"/>
          <w:lang w:eastAsia="zh-CN"/>
        </w:rPr>
        <w:t>施工及监理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建设地点：</w:t>
      </w:r>
      <w:r>
        <w:rPr>
          <w:rFonts w:hint="eastAsia" w:ascii="宋体" w:hAnsi="宋体" w:eastAsia="宋体" w:cs="宋体"/>
          <w:color w:val="auto"/>
          <w:sz w:val="24"/>
          <w:szCs w:val="24"/>
          <w:lang w:eastAsia="zh-CN"/>
        </w:rPr>
        <w:t>新疆克孜尔石窟研究所</w:t>
      </w:r>
      <w:r>
        <w:rPr>
          <w:rFonts w:hint="eastAsia" w:ascii="宋体" w:hAnsi="宋体" w:cs="宋体"/>
          <w:color w:val="auto"/>
          <w:sz w:val="24"/>
          <w:szCs w:val="24"/>
          <w:lang w:eastAsia="zh-CN"/>
        </w:rPr>
        <w:t>克孜尔千佛洞</w:t>
      </w:r>
      <w:r>
        <w:rPr>
          <w:rFonts w:hint="eastAsia" w:ascii="宋体" w:hAnsi="宋体" w:eastAsia="宋体" w:cs="宋体"/>
          <w:color w:val="auto"/>
          <w:sz w:val="24"/>
          <w:szCs w:val="24"/>
          <w:lang w:eastAsia="zh-CN"/>
        </w:rPr>
        <w:t>71#-91#窟</w:t>
      </w:r>
    </w:p>
    <w:bookmarkEnd w:id="10"/>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预算金额：</w:t>
      </w:r>
      <w:r>
        <w:rPr>
          <w:rFonts w:hint="eastAsia" w:ascii="宋体" w:hAnsi="宋体" w:cs="宋体"/>
          <w:color w:val="auto"/>
          <w:sz w:val="24"/>
          <w:szCs w:val="24"/>
          <w:lang w:val="en-US" w:eastAsia="zh-CN"/>
        </w:rPr>
        <w:t>834</w:t>
      </w:r>
      <w:r>
        <w:rPr>
          <w:rFonts w:hint="eastAsia" w:ascii="宋体" w:hAnsi="宋体" w:eastAsia="宋体" w:cs="宋体"/>
          <w:color w:val="auto"/>
          <w:sz w:val="24"/>
          <w:szCs w:val="24"/>
          <w:lang w:val="en-US" w:eastAsia="zh-CN"/>
        </w:rPr>
        <w:t>万元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招标范围：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施工：全套施工图纸范围内的全部工作内容（包括招标文件、工程量清单、答疑补充文件）。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监理：本工程施工图纸、招标文件及招标补充文件的全过程监理咨询。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val="en-US" w:eastAsia="zh-CN"/>
        </w:rPr>
        <w:t>2021年04月2</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日至2021年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19</w:t>
      </w:r>
      <w:r>
        <w:rPr>
          <w:rFonts w:hint="eastAsia" w:ascii="宋体" w:hAnsi="宋体" w:eastAsia="宋体" w:cs="宋体"/>
          <w:color w:val="auto"/>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eastAsia="zh-CN"/>
        </w:rPr>
        <w:t>（否）</w:t>
      </w:r>
      <w:r>
        <w:rPr>
          <w:rFonts w:hint="eastAsia" w:ascii="宋体" w:hAnsi="宋体" w:eastAsia="宋体" w:cs="宋体"/>
          <w:color w:val="auto"/>
          <w:sz w:val="24"/>
          <w:szCs w:val="24"/>
        </w:rPr>
        <w:t>接受联合体投标。</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rPr>
      </w:pPr>
      <w:bookmarkStart w:id="11" w:name="_Toc28359003"/>
      <w:bookmarkStart w:id="12" w:name="_Toc28359080"/>
      <w:bookmarkStart w:id="13" w:name="_Toc35393791"/>
      <w:bookmarkStart w:id="14" w:name="_Toc35393622"/>
      <w:r>
        <w:rPr>
          <w:rFonts w:hint="eastAsia" w:ascii="宋体" w:hAnsi="宋体" w:eastAsia="宋体" w:cs="宋体"/>
          <w:b/>
          <w:bCs/>
          <w:color w:val="auto"/>
          <w:sz w:val="24"/>
          <w:szCs w:val="24"/>
        </w:rPr>
        <w:t>二、申请人的资格要求：</w:t>
      </w:r>
      <w:bookmarkEnd w:id="11"/>
      <w:bookmarkEnd w:id="12"/>
      <w:bookmarkEnd w:id="13"/>
      <w:bookmarkEnd w:id="14"/>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bookmarkStart w:id="15" w:name="_Toc35393623"/>
      <w:bookmarkStart w:id="16" w:name="_Toc28359081"/>
      <w:bookmarkStart w:id="17" w:name="_Toc28359004"/>
      <w:bookmarkStart w:id="18" w:name="_Toc35393792"/>
      <w:r>
        <w:rPr>
          <w:rFonts w:hint="eastAsia" w:ascii="宋体" w:hAnsi="宋体" w:eastAsia="宋体" w:cs="宋体"/>
          <w:i w:val="0"/>
          <w:iCs w:val="0"/>
          <w:color w:val="auto"/>
          <w:sz w:val="24"/>
          <w:szCs w:val="24"/>
        </w:rPr>
        <w:t>1.满足《中华人民共和国政府采购法》第二十二条规定</w:t>
      </w:r>
      <w:r>
        <w:rPr>
          <w:rFonts w:hint="eastAsia" w:ascii="宋体" w:hAnsi="宋体" w:eastAsia="宋体" w:cs="宋体"/>
          <w:i w:val="0"/>
          <w:iCs w:val="0"/>
          <w:color w:val="auto"/>
          <w:sz w:val="24"/>
          <w:szCs w:val="24"/>
          <w:lang w:val="en-US" w:eastAsia="zh-CN"/>
        </w:rPr>
        <w:t>,</w:t>
      </w:r>
      <w:r>
        <w:rPr>
          <w:rFonts w:hint="eastAsia" w:ascii="宋体" w:hAnsi="宋体" w:eastAsia="宋体" w:cs="宋体"/>
          <w:color w:val="auto"/>
          <w:sz w:val="24"/>
          <w:szCs w:val="24"/>
        </w:rPr>
        <w:t>必须是在中华人民共和国境内注册的独立法人企业</w:t>
      </w:r>
      <w:r>
        <w:rPr>
          <w:rFonts w:hint="eastAsia" w:ascii="宋体" w:hAnsi="宋体" w:eastAsia="宋体" w:cs="宋体"/>
          <w:color w:val="auto"/>
          <w:sz w:val="24"/>
          <w:szCs w:val="24"/>
          <w:lang w:eastAsia="zh-CN"/>
        </w:rPr>
        <w:t>。</w:t>
      </w:r>
    </w:p>
    <w:p>
      <w:pPr>
        <w:spacing w:line="460" w:lineRule="exact"/>
        <w:ind w:firstLine="56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.本项目的特定资格要求：</w:t>
      </w:r>
    </w:p>
    <w:p>
      <w:pPr>
        <w:spacing w:line="460" w:lineRule="exact"/>
        <w:ind w:firstLine="56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 xml:space="preserve">2.1 </w:t>
      </w:r>
      <w:r>
        <w:rPr>
          <w:rFonts w:hint="eastAsia" w:ascii="宋体" w:hAnsi="宋体" w:eastAsia="宋体" w:cs="宋体"/>
          <w:b/>
          <w:color w:val="auto"/>
          <w:sz w:val="24"/>
          <w:szCs w:val="24"/>
        </w:rPr>
        <w:t>施工</w:t>
      </w:r>
      <w:r>
        <w:rPr>
          <w:rFonts w:hint="eastAsia" w:ascii="宋体" w:hAnsi="宋体" w:eastAsia="宋体" w:cs="宋体"/>
          <w:b/>
          <w:color w:val="auto"/>
          <w:sz w:val="24"/>
          <w:szCs w:val="24"/>
          <w:lang w:val="en-US" w:eastAsia="zh-CN"/>
        </w:rPr>
        <w:t>资质要求</w:t>
      </w:r>
      <w:r>
        <w:rPr>
          <w:rFonts w:hint="eastAsia" w:ascii="宋体" w:hAnsi="宋体" w:eastAsia="宋体" w:cs="宋体"/>
          <w:b/>
          <w:color w:val="auto"/>
          <w:sz w:val="24"/>
          <w:szCs w:val="24"/>
          <w:lang w:eastAsia="zh-CN"/>
        </w:rPr>
        <w:t>：</w:t>
      </w:r>
    </w:p>
    <w:p>
      <w:pPr>
        <w:spacing w:line="460" w:lineRule="exact"/>
        <w:ind w:firstLine="56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(1)需具备文物保护工程施工二级及以上资质（业务范围须含石窟寺和石刻）、安全生产许可证，并应在人员、设备、资金等方面具有相应的施工能力；</w:t>
      </w:r>
    </w:p>
    <w:p>
      <w:pPr>
        <w:spacing w:line="46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项目负责人需具备文物保护工程责任工程师证书或二级建造师证书。</w:t>
      </w:r>
    </w:p>
    <w:p>
      <w:pPr>
        <w:spacing w:line="460" w:lineRule="exact"/>
        <w:ind w:firstLine="56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2.2 </w:t>
      </w:r>
      <w:r>
        <w:rPr>
          <w:rFonts w:hint="eastAsia" w:ascii="宋体" w:hAnsi="宋体" w:eastAsia="宋体" w:cs="宋体"/>
          <w:b/>
          <w:color w:val="auto"/>
          <w:sz w:val="24"/>
          <w:szCs w:val="24"/>
        </w:rPr>
        <w:t>监理</w:t>
      </w:r>
      <w:r>
        <w:rPr>
          <w:rFonts w:hint="eastAsia" w:ascii="宋体" w:hAnsi="宋体" w:eastAsia="宋体" w:cs="宋体"/>
          <w:b/>
          <w:color w:val="auto"/>
          <w:sz w:val="24"/>
          <w:szCs w:val="24"/>
          <w:lang w:val="en-US" w:eastAsia="zh-CN"/>
        </w:rPr>
        <w:t>资质要求</w:t>
      </w:r>
      <w:r>
        <w:rPr>
          <w:rFonts w:hint="eastAsia" w:ascii="宋体" w:hAnsi="宋体" w:eastAsia="宋体" w:cs="宋体"/>
          <w:b/>
          <w:color w:val="auto"/>
          <w:sz w:val="24"/>
          <w:szCs w:val="24"/>
        </w:rPr>
        <w:t>：</w:t>
      </w:r>
    </w:p>
    <w:p>
      <w:pPr>
        <w:spacing w:line="460" w:lineRule="exact"/>
        <w:ind w:firstLine="560"/>
        <w:rPr>
          <w:rFonts w:hint="eastAsia" w:ascii="宋体" w:hAnsi="宋体" w:eastAsia="宋体" w:cs="宋体"/>
          <w:color w:val="auto"/>
          <w:sz w:val="24"/>
          <w:szCs w:val="24"/>
        </w:rPr>
      </w:pPr>
      <w:r>
        <w:rPr>
          <w:rFonts w:hint="eastAsia" w:ascii="宋体" w:hAnsi="宋体" w:eastAsia="宋体" w:cs="宋体"/>
          <w:i w:val="0"/>
          <w:iCs w:val="0"/>
          <w:color w:val="auto"/>
          <w:sz w:val="24"/>
          <w:szCs w:val="24"/>
          <w:lang w:val="en-US" w:eastAsia="zh-CN"/>
        </w:rPr>
        <w:t>(1)需具文物文物保护工程监理专业乙级及以上资质，并应在人员、设备、资金等方面具有相应的施工能力；</w:t>
      </w:r>
    </w:p>
    <w:p>
      <w:pPr>
        <w:spacing w:line="46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项目总监需具有文物保护工程责任工程师证书或监理工程师证；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464"/>
          <w:rFonts w:hint="eastAsia" w:ascii="宋体" w:hAnsi="宋体" w:eastAsia="宋体" w:cs="宋体"/>
          <w:color w:val="auto"/>
          <w:sz w:val="24"/>
          <w:szCs w:val="24"/>
        </w:rPr>
      </w:pPr>
      <w:r>
        <w:rPr>
          <w:rStyle w:val="464"/>
          <w:rFonts w:hint="eastAsia" w:ascii="宋体" w:hAnsi="宋体" w:eastAsia="宋体" w:cs="宋体"/>
          <w:color w:val="auto"/>
          <w:sz w:val="24"/>
          <w:szCs w:val="24"/>
          <w:lang w:val="en-US" w:eastAsia="zh-CN"/>
        </w:rPr>
        <w:t>3.</w:t>
      </w:r>
      <w:r>
        <w:rPr>
          <w:rStyle w:val="464"/>
          <w:rFonts w:hint="eastAsia" w:ascii="宋体" w:hAnsi="宋体" w:eastAsia="宋体" w:cs="宋体"/>
          <w:color w:val="auto"/>
          <w:sz w:val="24"/>
          <w:szCs w:val="24"/>
        </w:rPr>
        <w:t>凡拟参加本次招标项目的投标人，如在“信用中国”网（www.creditchina.gov.cn）、中国政府采购网（www.ccgp.gov.cn）被列入失信被执行人、重大税收违法案件当事人名单、政府采购严重违法失信行为记录名单的（尚在处罚期内的），将拒绝其参加本次政府采购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464"/>
          <w:rFonts w:hint="eastAsia" w:ascii="宋体" w:hAnsi="宋体" w:eastAsia="宋体" w:cs="宋体"/>
          <w:color w:val="auto"/>
          <w:sz w:val="24"/>
          <w:szCs w:val="24"/>
        </w:rPr>
      </w:pPr>
      <w:r>
        <w:rPr>
          <w:rStyle w:val="464"/>
          <w:rFonts w:hint="eastAsia" w:ascii="宋体" w:hAnsi="宋体" w:eastAsia="宋体" w:cs="宋体"/>
          <w:color w:val="auto"/>
          <w:sz w:val="24"/>
          <w:szCs w:val="24"/>
          <w:lang w:val="en-US" w:eastAsia="zh-CN"/>
        </w:rPr>
        <w:t>4.</w:t>
      </w:r>
      <w:r>
        <w:rPr>
          <w:rStyle w:val="464"/>
          <w:rFonts w:hint="eastAsia" w:ascii="宋体" w:hAnsi="宋体" w:eastAsia="宋体" w:cs="宋体"/>
          <w:color w:val="auto"/>
          <w:sz w:val="24"/>
          <w:szCs w:val="24"/>
        </w:rPr>
        <w:t>自治区外企业应具有有效的外省队伍进疆单位备案手续或应按新疆维吾尔自治区住建厅2018年4月24日发布的《关于进一步推动自治区建筑市场统一开放的通知》的规定，登录新疆建筑市场监管和诚信信息一体化平台（简称新疆工程建设云，网址：（http://jsy.xjjs.gov.cn），注册报送企业基本信息和人员信息。</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1.报名</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日至</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日，每天上午</w:t>
      </w:r>
      <w:r>
        <w:rPr>
          <w:rFonts w:hint="eastAsia" w:ascii="宋体" w:hAnsi="宋体" w:eastAsia="宋体" w:cs="宋体"/>
          <w:color w:val="auto"/>
          <w:sz w:val="24"/>
          <w:szCs w:val="24"/>
          <w:lang w:val="en-US" w:eastAsia="zh-CN"/>
        </w:rPr>
        <w:t>10：30</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13:30</w:t>
      </w:r>
      <w:r>
        <w:rPr>
          <w:rFonts w:hint="eastAsia" w:ascii="宋体" w:hAnsi="宋体" w:eastAsia="宋体" w:cs="宋体"/>
          <w:color w:val="auto"/>
          <w:sz w:val="24"/>
          <w:szCs w:val="24"/>
        </w:rPr>
        <w:t>，下午</w:t>
      </w:r>
      <w:r>
        <w:rPr>
          <w:rFonts w:hint="eastAsia" w:ascii="宋体" w:hAnsi="宋体" w:eastAsia="宋体" w:cs="宋体"/>
          <w:color w:val="auto"/>
          <w:sz w:val="24"/>
          <w:szCs w:val="24"/>
          <w:lang w:val="en-US" w:eastAsia="zh-CN"/>
        </w:rPr>
        <w:t>16:00</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19:30</w:t>
      </w:r>
      <w:r>
        <w:rPr>
          <w:rFonts w:hint="eastAsia" w:ascii="宋体" w:hAnsi="宋体" w:eastAsia="宋体" w:cs="宋体"/>
          <w:color w:val="auto"/>
          <w:sz w:val="24"/>
          <w:szCs w:val="24"/>
        </w:rPr>
        <w:t>（北京时间，法定节假日除外）</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地点：乌鲁木齐市</w:t>
      </w:r>
      <w:r>
        <w:rPr>
          <w:rFonts w:hint="eastAsia" w:ascii="宋体" w:hAnsi="宋体" w:eastAsia="宋体" w:cs="宋体"/>
          <w:color w:val="auto"/>
          <w:sz w:val="24"/>
          <w:szCs w:val="24"/>
          <w:lang w:eastAsia="zh-CN"/>
        </w:rPr>
        <w:t>水磨沟区绿城广场</w:t>
      </w:r>
      <w:r>
        <w:rPr>
          <w:rFonts w:hint="eastAsia" w:ascii="宋体" w:hAnsi="宋体" w:eastAsia="宋体" w:cs="宋体"/>
          <w:color w:val="auto"/>
          <w:sz w:val="24"/>
          <w:szCs w:val="24"/>
          <w:lang w:val="en-US" w:eastAsia="zh-CN"/>
        </w:rPr>
        <w:t>1A座602室；</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方式：</w:t>
      </w:r>
      <w:r>
        <w:rPr>
          <w:rFonts w:hint="eastAsia" w:ascii="宋体" w:hAnsi="宋体" w:eastAsia="宋体" w:cs="宋体"/>
          <w:color w:val="auto"/>
          <w:sz w:val="24"/>
          <w:szCs w:val="24"/>
          <w:lang w:eastAsia="zh-CN"/>
        </w:rPr>
        <w:t>线下获取；</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售价：</w:t>
      </w:r>
      <w:r>
        <w:rPr>
          <w:rFonts w:hint="eastAsia" w:ascii="宋体" w:hAnsi="宋体" w:eastAsia="宋体" w:cs="宋体"/>
          <w:color w:val="auto"/>
          <w:sz w:val="24"/>
          <w:szCs w:val="24"/>
          <w:lang w:val="en-US" w:eastAsia="zh-CN"/>
        </w:rPr>
        <w:t>200元/</w:t>
      </w:r>
      <w:r>
        <w:rPr>
          <w:rFonts w:hint="eastAsia" w:ascii="宋体" w:hAnsi="宋体" w:eastAsia="宋体" w:cs="宋体"/>
          <w:i w:val="0"/>
          <w:iCs w:val="0"/>
          <w:color w:val="auto"/>
          <w:sz w:val="24"/>
          <w:szCs w:val="24"/>
          <w:lang w:val="en-US" w:eastAsia="zh-CN"/>
        </w:rPr>
        <w:t>份，招标文件费一经收取不予退还；</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5.投标人购买标书时应提交的资料：</w:t>
      </w:r>
    </w:p>
    <w:p>
      <w:pPr>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i w:val="0"/>
          <w:iCs w:val="0"/>
          <w:color w:val="auto"/>
          <w:sz w:val="24"/>
          <w:szCs w:val="24"/>
          <w:lang w:val="en-US" w:eastAsia="zh-CN"/>
        </w:rPr>
      </w:pPr>
      <w:bookmarkStart w:id="19" w:name="_Toc28359005"/>
      <w:bookmarkStart w:id="20" w:name="_Toc28359082"/>
      <w:bookmarkStart w:id="21" w:name="_Toc35393624"/>
      <w:bookmarkStart w:id="22" w:name="_Toc35393793"/>
      <w:r>
        <w:rPr>
          <w:rFonts w:hint="eastAsia" w:ascii="宋体" w:hAnsi="宋体" w:eastAsia="宋体" w:cs="宋体"/>
          <w:b/>
          <w:bCs/>
          <w:i w:val="0"/>
          <w:iCs w:val="0"/>
          <w:color w:val="auto"/>
          <w:sz w:val="24"/>
          <w:szCs w:val="24"/>
          <w:lang w:val="en-US" w:eastAsia="zh-CN"/>
        </w:rPr>
        <w:t>5.1施工</w:t>
      </w:r>
      <w:r>
        <w:rPr>
          <w:rFonts w:hint="eastAsia" w:ascii="宋体" w:hAnsi="宋体" w:eastAsia="宋体" w:cs="宋体"/>
          <w:i w:val="0"/>
          <w:iCs w:val="0"/>
          <w:color w:val="auto"/>
          <w:sz w:val="24"/>
          <w:szCs w:val="24"/>
          <w:lang w:val="en-US" w:eastAsia="zh-CN"/>
        </w:rPr>
        <w:t>：购买招标文件时请携带法人授权委托书、被授权人身份证、营业执照副本、资质证书副本、安全生产许可证、项目负责人证件。</w:t>
      </w:r>
    </w:p>
    <w:p>
      <w:pPr>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5.2监理</w:t>
      </w:r>
      <w:r>
        <w:rPr>
          <w:rFonts w:hint="eastAsia" w:ascii="宋体" w:hAnsi="宋体" w:eastAsia="宋体" w:cs="宋体"/>
          <w:i w:val="0"/>
          <w:iCs w:val="0"/>
          <w:color w:val="auto"/>
          <w:sz w:val="24"/>
          <w:szCs w:val="24"/>
          <w:lang w:val="en-US" w:eastAsia="zh-CN"/>
        </w:rPr>
        <w:t>：购买招标文件时请携带法人授权委托书、被授权人身份证、营业执照副本、资质证书副本、</w:t>
      </w:r>
      <w:r>
        <w:rPr>
          <w:rFonts w:hint="eastAsia" w:ascii="宋体" w:hAnsi="宋体" w:eastAsia="宋体" w:cs="宋体"/>
          <w:color w:val="auto"/>
          <w:sz w:val="24"/>
          <w:szCs w:val="24"/>
        </w:rPr>
        <w:t>项目总监证件</w:t>
      </w:r>
      <w:r>
        <w:rPr>
          <w:rFonts w:hint="eastAsia" w:ascii="宋体" w:hAnsi="宋体" w:eastAsia="宋体" w:cs="宋体"/>
          <w:i w:val="0"/>
          <w:iCs w:val="0"/>
          <w:color w:val="auto"/>
          <w:sz w:val="24"/>
          <w:szCs w:val="24"/>
          <w:lang w:val="en-US" w:eastAsia="zh-CN"/>
        </w:rPr>
        <w:t>。</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5.3未被“信用中国”网站（www.creditchina.gov.cn）、中国政府采购网（www.ccgp.gov.cn）被列入失信被执行人、重大税收违法案件当事人名单、政府采购严重违法失信行为记录名单的（尚在处罚期内的）的相关证明材料（网络截图并加盖公章）等。</w:t>
      </w:r>
    </w:p>
    <w:p>
      <w:pPr>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注：以上资料原件及复印件加盖公章一式一份。</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四、提交投标文件</w:t>
      </w:r>
      <w:bookmarkEnd w:id="19"/>
      <w:bookmarkEnd w:id="20"/>
      <w:r>
        <w:rPr>
          <w:rFonts w:hint="eastAsia" w:ascii="宋体" w:hAnsi="宋体" w:eastAsia="宋体" w:cs="宋体"/>
          <w:b/>
          <w:bCs/>
          <w:color w:val="auto"/>
          <w:sz w:val="24"/>
          <w:szCs w:val="24"/>
        </w:rPr>
        <w:t>截止时间、开标时间和地点</w:t>
      </w:r>
      <w:bookmarkEnd w:id="21"/>
      <w:bookmarkEnd w:id="22"/>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开标时间：2021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分（北京时间）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地点：乌鲁木齐市</w:t>
      </w:r>
      <w:r>
        <w:rPr>
          <w:rFonts w:hint="eastAsia" w:ascii="宋体" w:hAnsi="宋体" w:eastAsia="宋体" w:cs="宋体"/>
          <w:color w:val="auto"/>
          <w:sz w:val="24"/>
          <w:szCs w:val="24"/>
          <w:lang w:eastAsia="zh-CN"/>
        </w:rPr>
        <w:t>水磨沟区绿城</w:t>
      </w:r>
      <w:r>
        <w:rPr>
          <w:rFonts w:hint="eastAsia" w:ascii="宋体" w:hAnsi="宋体" w:eastAsia="宋体" w:cs="宋体"/>
          <w:sz w:val="24"/>
          <w:szCs w:val="24"/>
          <w:lang w:eastAsia="zh-CN"/>
        </w:rPr>
        <w:t>广场</w:t>
      </w:r>
      <w:r>
        <w:rPr>
          <w:rFonts w:hint="eastAsia" w:ascii="宋体" w:hAnsi="宋体" w:eastAsia="宋体" w:cs="宋体"/>
          <w:sz w:val="24"/>
          <w:szCs w:val="24"/>
          <w:lang w:val="en-US" w:eastAsia="zh-CN"/>
        </w:rPr>
        <w:t>1A座602室会议室</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sz w:val="24"/>
          <w:szCs w:val="24"/>
        </w:rPr>
      </w:pPr>
      <w:bookmarkStart w:id="23" w:name="_Toc28359084"/>
      <w:bookmarkStart w:id="24" w:name="_Toc35393625"/>
      <w:bookmarkStart w:id="25" w:name="_Toc28359007"/>
      <w:bookmarkStart w:id="26" w:name="_Toc35393794"/>
      <w:r>
        <w:rPr>
          <w:rFonts w:hint="eastAsia" w:ascii="宋体" w:hAnsi="宋体" w:eastAsia="宋体" w:cs="宋体"/>
          <w:b/>
          <w:bCs/>
          <w:sz w:val="24"/>
          <w:szCs w:val="24"/>
        </w:rPr>
        <w:t>五、公告期限</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bookmarkStart w:id="27" w:name="_Toc35393795"/>
      <w:bookmarkStart w:id="28" w:name="_Toc35393626"/>
      <w:r>
        <w:rPr>
          <w:rFonts w:hint="eastAsia" w:ascii="宋体" w:hAnsi="宋体" w:eastAsia="宋体" w:cs="宋体"/>
          <w:sz w:val="24"/>
          <w:szCs w:val="24"/>
        </w:rPr>
        <w:t>其他补充事宜</w:t>
      </w:r>
      <w:bookmarkEnd w:id="27"/>
      <w:bookmarkEnd w:id="28"/>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根据《政府采购促进中小企业发展暂行办法》的通知财库〔2011〕181号、财政部、民政部、中国残疾人联合会《关于促进残疾人就业政府采购政策的通知》（财库[2017]141号）和财政部、司法部《关于政府采购支持监狱企业发展有关问题的通知》（财库[2014]68号）文的规定，对小型和微型企业（监狱企业、残疾人福利性单位视同小微企业）的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bookmarkStart w:id="29" w:name="_Toc35393627"/>
      <w:bookmarkStart w:id="30" w:name="_Toc35393796"/>
      <w:bookmarkStart w:id="31" w:name="_Toc28359085"/>
      <w:bookmarkStart w:id="32" w:name="_Toc28359008"/>
      <w:r>
        <w:rPr>
          <w:rFonts w:hint="eastAsia" w:ascii="宋体" w:hAnsi="宋体" w:eastAsia="宋体" w:cs="宋体"/>
          <w:sz w:val="24"/>
          <w:szCs w:val="24"/>
        </w:rPr>
        <w:t>七、对本次招标提出询问，请按以下方式联系。</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新疆克孜尔石窟研究所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地址：乌鲁木齐市博物馆南巷83号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bookmarkStart w:id="33" w:name="_Toc28359086"/>
      <w:bookmarkStart w:id="34" w:name="_Toc28359009"/>
      <w:r>
        <w:rPr>
          <w:rFonts w:hint="eastAsia" w:ascii="宋体" w:hAnsi="宋体" w:eastAsia="宋体" w:cs="宋体"/>
          <w:sz w:val="24"/>
          <w:szCs w:val="24"/>
          <w:lang w:eastAsia="zh-CN"/>
        </w:rPr>
        <w:t>联系人：</w:t>
      </w:r>
      <w:r>
        <w:rPr>
          <w:rFonts w:hint="eastAsia" w:ascii="宋体" w:hAnsi="宋体" w:eastAsia="宋体" w:cs="宋体"/>
          <w:sz w:val="24"/>
          <w:szCs w:val="24"/>
        </w:rPr>
        <w:t>焦俊峰</w:t>
      </w:r>
      <w:r>
        <w:rPr>
          <w:rFonts w:hint="eastAsia" w:ascii="宋体" w:hAnsi="宋体" w:eastAsia="宋体" w:cs="宋体"/>
          <w:sz w:val="24"/>
          <w:szCs w:val="24"/>
          <w:lang w:val="en-US" w:eastAsia="zh-CN"/>
        </w:rPr>
        <w:t>、贾伟佳</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0991-4537114,18935848857</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33"/>
      <w:bookmarkEnd w:id="34"/>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名称：新疆中奕工程管理咨询有限公司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　址：乌鲁木齐市</w:t>
      </w:r>
      <w:r>
        <w:rPr>
          <w:rFonts w:hint="eastAsia" w:ascii="宋体" w:hAnsi="宋体" w:eastAsia="宋体" w:cs="宋体"/>
          <w:sz w:val="24"/>
          <w:szCs w:val="24"/>
          <w:lang w:eastAsia="zh-CN"/>
        </w:rPr>
        <w:t>水磨沟区绿城广场</w:t>
      </w:r>
      <w:r>
        <w:rPr>
          <w:rFonts w:hint="eastAsia" w:ascii="宋体" w:hAnsi="宋体" w:eastAsia="宋体" w:cs="宋体"/>
          <w:sz w:val="24"/>
          <w:szCs w:val="24"/>
          <w:lang w:val="en-US" w:eastAsia="zh-CN"/>
        </w:rPr>
        <w:t>1A座602室</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bookmarkStart w:id="35" w:name="_Toc28359010"/>
      <w:bookmarkStart w:id="36" w:name="_Toc28359087"/>
      <w:r>
        <w:rPr>
          <w:rFonts w:hint="eastAsia" w:ascii="宋体" w:hAnsi="宋体" w:eastAsia="宋体" w:cs="宋体"/>
          <w:sz w:val="24"/>
          <w:szCs w:val="24"/>
          <w:lang w:val="en-US" w:eastAsia="zh-CN"/>
        </w:rPr>
        <w:t xml:space="preserve">0991-4625377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bookmarkEnd w:id="35"/>
      <w:bookmarkEnd w:id="36"/>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eastAsia="zh-CN"/>
        </w:rPr>
        <w:t>王浩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0991-4625377、15699133769</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16"/>
        <w:rPr>
          <w:rFonts w:hint="eastAsia" w:ascii="宋体" w:hAnsi="宋体" w:eastAsia="宋体" w:cs="宋体"/>
          <w:sz w:val="24"/>
          <w:szCs w:val="24"/>
        </w:rPr>
      </w:pPr>
    </w:p>
    <w:p>
      <w:pPr>
        <w:pStyle w:val="4"/>
        <w:numPr>
          <w:ilvl w:val="0"/>
          <w:numId w:val="0"/>
        </w:numPr>
        <w:ind w:firstLine="3855" w:firstLineChars="1600"/>
        <w:jc w:val="both"/>
        <w:rPr>
          <w:rFonts w:hint="eastAsia" w:ascii="宋体" w:hAnsi="宋体" w:eastAsia="宋体" w:cs="宋体"/>
          <w:b/>
          <w:color w:val="000000" w:themeColor="text1"/>
          <w:sz w:val="24"/>
          <w:szCs w:val="24"/>
          <w:lang w:val="en-US" w:eastAsia="zh-CN"/>
          <w14:textFill>
            <w14:solidFill>
              <w14:schemeClr w14:val="tx1"/>
            </w14:solidFill>
          </w14:textFill>
        </w:rPr>
      </w:pPr>
      <w:bookmarkStart w:id="37" w:name="_Toc9363"/>
      <w:bookmarkStart w:id="38" w:name="_Toc18866"/>
      <w:r>
        <w:rPr>
          <w:rFonts w:hint="eastAsia" w:ascii="宋体" w:hAnsi="宋体" w:eastAsia="宋体" w:cs="宋体"/>
          <w:b/>
          <w:color w:val="000000" w:themeColor="text1"/>
          <w:sz w:val="24"/>
          <w:szCs w:val="24"/>
          <w:lang w:val="zh-CN"/>
          <w14:textFill>
            <w14:solidFill>
              <w14:schemeClr w14:val="tx1"/>
            </w14:solidFill>
          </w14:textFill>
        </w:rPr>
        <w:t>投 标</w:t>
      </w:r>
      <w:r>
        <w:rPr>
          <w:rFonts w:hint="eastAsia" w:ascii="宋体" w:hAnsi="宋体" w:eastAsia="宋体" w:cs="宋体"/>
          <w:b/>
          <w:color w:val="000000" w:themeColor="text1"/>
          <w:sz w:val="24"/>
          <w:szCs w:val="24"/>
          <w:lang w:val="en-US" w:eastAsia="zh-CN"/>
          <w14:textFill>
            <w14:solidFill>
              <w14:schemeClr w14:val="tx1"/>
            </w14:solidFill>
          </w14:textFill>
        </w:rPr>
        <w:t xml:space="preserve"> 人</w:t>
      </w:r>
      <w:r>
        <w:rPr>
          <w:rFonts w:hint="eastAsia" w:ascii="宋体" w:hAnsi="宋体" w:eastAsia="宋体" w:cs="宋体"/>
          <w:b/>
          <w:color w:val="000000" w:themeColor="text1"/>
          <w:sz w:val="24"/>
          <w:szCs w:val="24"/>
          <w:lang w:val="zh-CN"/>
          <w14:textFill>
            <w14:solidFill>
              <w14:schemeClr w14:val="tx1"/>
            </w14:solidFill>
          </w14:textFill>
        </w:rPr>
        <w:t xml:space="preserve"> 须  知</w:t>
      </w:r>
      <w:bookmarkEnd w:id="4"/>
      <w:bookmarkEnd w:id="5"/>
      <w:bookmarkEnd w:id="37"/>
      <w:bookmarkEnd w:id="38"/>
      <w:r>
        <w:rPr>
          <w:rFonts w:hint="eastAsia" w:ascii="宋体" w:hAnsi="宋体" w:eastAsia="宋体" w:cs="宋体"/>
          <w:b/>
          <w:color w:val="000000" w:themeColor="text1"/>
          <w:sz w:val="24"/>
          <w:szCs w:val="24"/>
          <w:lang w:val="en-US" w:eastAsia="zh-CN"/>
          <w14:textFill>
            <w14:solidFill>
              <w14:schemeClr w14:val="tx1"/>
            </w14:solidFill>
          </w14:textFill>
        </w:rPr>
        <w:t xml:space="preserve"> 前 附 表</w:t>
      </w:r>
    </w:p>
    <w:tbl>
      <w:tblPr>
        <w:tblStyle w:val="50"/>
        <w:tblW w:w="98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6"/>
        <w:gridCol w:w="89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项号</w:t>
            </w:r>
          </w:p>
        </w:tc>
        <w:tc>
          <w:tcPr>
            <w:tcW w:w="8978"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27"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１</w:t>
            </w:r>
          </w:p>
        </w:tc>
        <w:tc>
          <w:tcPr>
            <w:tcW w:w="8978" w:type="dxa"/>
          </w:tcPr>
          <w:p>
            <w:pPr>
              <w:keepNext w:val="0"/>
              <w:keepLines w:val="0"/>
              <w:pageBreakBefore w:val="0"/>
              <w:widowControl w:val="0"/>
              <w:kinsoku/>
              <w:wordWrap/>
              <w:overflowPunct/>
              <w:topLinePunct w:val="0"/>
              <w:autoSpaceDE w:val="0"/>
              <w:autoSpaceDN w:val="0"/>
              <w:bidi w:val="0"/>
              <w:snapToGrid w:val="0"/>
              <w:spacing w:line="360" w:lineRule="exact"/>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项目名称：</w:t>
            </w:r>
            <w:r>
              <w:rPr>
                <w:rFonts w:hint="eastAsia" w:ascii="宋体" w:hAnsi="宋体" w:cs="宋体"/>
                <w:bCs/>
                <w:color w:val="auto"/>
                <w:kern w:val="0"/>
                <w:sz w:val="24"/>
                <w:szCs w:val="24"/>
                <w:highlight w:val="none"/>
                <w:lang w:eastAsia="zh-CN"/>
              </w:rPr>
              <w:t>新疆克孜尔石窟研究所克孜尔千佛洞71#-91#窟赋存崖体危岩抢险加固工程</w:t>
            </w:r>
            <w:r>
              <w:rPr>
                <w:rFonts w:hint="eastAsia" w:ascii="宋体" w:hAnsi="宋体" w:eastAsia="宋体" w:cs="宋体"/>
                <w:bCs/>
                <w:color w:val="auto"/>
                <w:kern w:val="0"/>
                <w:sz w:val="24"/>
                <w:szCs w:val="24"/>
                <w:highlight w:val="none"/>
                <w:lang w:val="en-US" w:eastAsia="zh-CN"/>
              </w:rPr>
              <w:t>项目</w:t>
            </w:r>
            <w:r>
              <w:rPr>
                <w:rFonts w:hint="eastAsia" w:ascii="宋体" w:hAnsi="宋体" w:eastAsia="宋体" w:cs="宋体"/>
                <w:bCs/>
                <w:color w:val="auto"/>
                <w:kern w:val="0"/>
                <w:sz w:val="24"/>
                <w:szCs w:val="24"/>
                <w:highlight w:val="none"/>
                <w:lang w:eastAsia="zh-CN"/>
              </w:rPr>
              <w:t>施工</w:t>
            </w:r>
          </w:p>
          <w:p>
            <w:pPr>
              <w:keepNext w:val="0"/>
              <w:keepLines w:val="0"/>
              <w:pageBreakBefore w:val="0"/>
              <w:widowControl w:val="0"/>
              <w:kinsoku/>
              <w:wordWrap/>
              <w:overflowPunct/>
              <w:topLinePunct w:val="0"/>
              <w:autoSpaceDE w:val="0"/>
              <w:autoSpaceDN w:val="0"/>
              <w:bidi w:val="0"/>
              <w:snapToGrid w:val="0"/>
              <w:spacing w:line="360" w:lineRule="exact"/>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建设地点：</w:t>
            </w:r>
            <w:r>
              <w:rPr>
                <w:rFonts w:hint="eastAsia" w:ascii="宋体" w:hAnsi="宋体" w:cs="宋体"/>
                <w:bCs/>
                <w:color w:val="auto"/>
                <w:kern w:val="0"/>
                <w:sz w:val="24"/>
                <w:szCs w:val="24"/>
                <w:highlight w:val="none"/>
                <w:lang w:eastAsia="zh-CN"/>
              </w:rPr>
              <w:t>克孜尔千佛洞71#-91#窟</w:t>
            </w:r>
          </w:p>
          <w:p>
            <w:pPr>
              <w:keepNext w:val="0"/>
              <w:keepLines w:val="0"/>
              <w:pageBreakBefore w:val="0"/>
              <w:widowControl w:val="0"/>
              <w:kinsoku/>
              <w:wordWrap/>
              <w:overflowPunct/>
              <w:topLinePunct w:val="0"/>
              <w:autoSpaceDE w:val="0"/>
              <w:autoSpaceDN w:val="0"/>
              <w:bidi w:val="0"/>
              <w:snapToGrid w:val="0"/>
              <w:spacing w:line="360" w:lineRule="exact"/>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招标方式：公开招标 </w:t>
            </w:r>
          </w:p>
          <w:p>
            <w:pPr>
              <w:keepNext w:val="0"/>
              <w:keepLines w:val="0"/>
              <w:pageBreakBefore w:val="0"/>
              <w:widowControl w:val="0"/>
              <w:kinsoku/>
              <w:wordWrap/>
              <w:overflowPunct/>
              <w:topLinePunct w:val="0"/>
              <w:autoSpaceDE w:val="0"/>
              <w:autoSpaceDN w:val="0"/>
              <w:bidi w:val="0"/>
              <w:snapToGrid w:val="0"/>
              <w:spacing w:line="360" w:lineRule="exact"/>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承包方式：包工包料</w:t>
            </w:r>
          </w:p>
          <w:p>
            <w:pPr>
              <w:pStyle w:val="62"/>
              <w:keepNext w:val="0"/>
              <w:keepLines w:val="0"/>
              <w:pageBreakBefore w:val="0"/>
              <w:widowControl w:val="0"/>
              <w:kinsoku/>
              <w:wordWrap/>
              <w:topLinePunct w:val="0"/>
              <w:bidi w:val="0"/>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lang w:eastAsia="zh-CN"/>
              </w:rPr>
              <w:t>招标控制价（</w:t>
            </w:r>
            <w:r>
              <w:rPr>
                <w:rFonts w:hint="eastAsia" w:ascii="宋体" w:hAnsi="宋体" w:eastAsia="宋体" w:cs="宋体"/>
                <w:bCs/>
                <w:color w:val="auto"/>
                <w:kern w:val="0"/>
                <w:sz w:val="24"/>
                <w:szCs w:val="24"/>
                <w:highlight w:val="none"/>
                <w:lang w:val="en-US" w:eastAsia="zh-CN"/>
              </w:rPr>
              <w:t>人民币</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：小写：8</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t>011</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t>091.04</w:t>
            </w:r>
            <w:r>
              <w:rPr>
                <w:rFonts w:hint="eastAsia" w:ascii="宋体" w:hAnsi="宋体" w:eastAsia="宋体" w:cs="宋体"/>
                <w:color w:val="auto"/>
                <w:sz w:val="24"/>
                <w:szCs w:val="24"/>
                <w:highlight w:val="none"/>
                <w:lang w:val="en-US" w:eastAsia="zh-CN"/>
              </w:rPr>
              <w:t>元；大写：</w:t>
            </w:r>
            <w:r>
              <w:rPr>
                <w:rFonts w:hint="eastAsia" w:ascii="宋体" w:hAnsi="宋体" w:cs="宋体"/>
                <w:color w:val="auto"/>
                <w:sz w:val="24"/>
                <w:szCs w:val="24"/>
                <w:highlight w:val="none"/>
                <w:lang w:val="en-US" w:eastAsia="zh-CN"/>
              </w:rPr>
              <w:t>捌佰零壹万壹仟零玖拾壹元零肆分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kern w:val="0"/>
                <w:sz w:val="24"/>
                <w:szCs w:val="24"/>
                <w:highlight w:val="none"/>
                <w:lang w:val="zh-CN" w:eastAsia="zh-CN"/>
              </w:rPr>
              <w:t>投标人所报的投标报价均不得高于</w:t>
            </w:r>
            <w:r>
              <w:rPr>
                <w:rFonts w:hint="eastAsia" w:ascii="宋体" w:hAnsi="宋体" w:eastAsia="宋体" w:cs="宋体"/>
                <w:bCs/>
                <w:color w:val="auto"/>
                <w:kern w:val="0"/>
                <w:sz w:val="24"/>
                <w:szCs w:val="24"/>
                <w:highlight w:val="none"/>
                <w:lang w:val="en-US" w:eastAsia="zh-CN"/>
              </w:rPr>
              <w:t>招标控制价，</w:t>
            </w:r>
            <w:r>
              <w:rPr>
                <w:rFonts w:hint="eastAsia" w:ascii="宋体" w:hAnsi="宋体" w:eastAsia="宋体" w:cs="宋体"/>
                <w:color w:val="auto"/>
                <w:sz w:val="24"/>
                <w:szCs w:val="24"/>
                <w:highlight w:val="none"/>
                <w:lang w:val="en-US" w:eastAsia="zh-CN"/>
              </w:rPr>
              <w:t>投标计价方式：工程量清单计价；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bCs/>
                <w:color w:val="auto"/>
                <w:kern w:val="0"/>
                <w:sz w:val="24"/>
                <w:szCs w:val="24"/>
                <w:highlight w:val="none"/>
              </w:rPr>
              <w:t>招标范围：</w:t>
            </w:r>
            <w:r>
              <w:rPr>
                <w:rFonts w:hint="eastAsia" w:ascii="宋体" w:hAnsi="宋体" w:eastAsia="宋体" w:cs="宋体"/>
                <w:sz w:val="24"/>
                <w:szCs w:val="24"/>
              </w:rPr>
              <w:t>全套施工图纸范围内的全部工作内容（包括招标文件、工程量清单、答疑补充文件）。</w:t>
            </w:r>
          </w:p>
          <w:p>
            <w:pPr>
              <w:keepNext w:val="0"/>
              <w:keepLines w:val="0"/>
              <w:pageBreakBefore w:val="0"/>
              <w:widowControl w:val="0"/>
              <w:kinsoku/>
              <w:wordWrap/>
              <w:overflowPunct/>
              <w:topLinePunct w:val="0"/>
              <w:autoSpaceDE w:val="0"/>
              <w:autoSpaceDN w:val="0"/>
              <w:bidi w:val="0"/>
              <w:snapToGrid w:val="0"/>
              <w:spacing w:line="360" w:lineRule="exact"/>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要求质量标准：合格</w:t>
            </w:r>
          </w:p>
          <w:p>
            <w:pPr>
              <w:keepNext w:val="0"/>
              <w:keepLines w:val="0"/>
              <w:pageBreakBefore w:val="0"/>
              <w:widowControl w:val="0"/>
              <w:kinsoku/>
              <w:wordWrap/>
              <w:overflowPunct/>
              <w:topLinePunct w:val="0"/>
              <w:autoSpaceDE w:val="0"/>
              <w:autoSpaceDN w:val="0"/>
              <w:bidi w:val="0"/>
              <w:snapToGrid w:val="0"/>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rPr>
              <w:t>工期：</w:t>
            </w:r>
            <w:r>
              <w:rPr>
                <w:rFonts w:hint="eastAsia" w:ascii="宋体" w:hAnsi="宋体" w:eastAsia="宋体" w:cs="宋体"/>
                <w:bCs/>
                <w:color w:val="auto"/>
                <w:kern w:val="0"/>
                <w:sz w:val="24"/>
                <w:szCs w:val="24"/>
                <w:highlight w:val="none"/>
                <w:lang w:val="en-US" w:eastAsia="zh-CN"/>
              </w:rPr>
              <w:t>2021年04月2</w:t>
            </w:r>
            <w:r>
              <w:rPr>
                <w:rFonts w:hint="eastAsia" w:ascii="宋体" w:hAnsi="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lang w:val="en-US" w:eastAsia="zh-CN"/>
              </w:rPr>
              <w:t>日至2021年</w:t>
            </w:r>
            <w:r>
              <w:rPr>
                <w:rFonts w:hint="eastAsia" w:ascii="宋体" w:hAnsi="宋体" w:cs="宋体"/>
                <w:bCs/>
                <w:color w:val="auto"/>
                <w:kern w:val="0"/>
                <w:sz w:val="24"/>
                <w:szCs w:val="24"/>
                <w:highlight w:val="none"/>
                <w:lang w:val="en-US" w:eastAsia="zh-CN"/>
              </w:rPr>
              <w:t>11</w:t>
            </w:r>
            <w:r>
              <w:rPr>
                <w:rFonts w:hint="eastAsia" w:ascii="宋体" w:hAnsi="宋体" w:eastAsia="宋体" w:cs="宋体"/>
                <w:bCs/>
                <w:color w:val="auto"/>
                <w:kern w:val="0"/>
                <w:sz w:val="24"/>
                <w:szCs w:val="24"/>
                <w:highlight w:val="none"/>
                <w:lang w:val="en-US" w:eastAsia="zh-CN"/>
              </w:rPr>
              <w:t>月</w:t>
            </w:r>
            <w:r>
              <w:rPr>
                <w:rFonts w:hint="eastAsia" w:ascii="宋体" w:hAnsi="宋体" w:cs="宋体"/>
                <w:bCs/>
                <w:color w:val="auto"/>
                <w:kern w:val="0"/>
                <w:sz w:val="24"/>
                <w:szCs w:val="24"/>
                <w:highlight w:val="none"/>
                <w:lang w:val="en-US" w:eastAsia="zh-CN"/>
              </w:rPr>
              <w:t>19</w:t>
            </w:r>
            <w:r>
              <w:rPr>
                <w:rFonts w:hint="eastAsia" w:ascii="宋体" w:hAnsi="宋体" w:eastAsia="宋体" w:cs="宋体"/>
                <w:bCs/>
                <w:color w:val="auto"/>
                <w:kern w:val="0"/>
                <w:sz w:val="24"/>
                <w:szCs w:val="24"/>
                <w:highlight w:val="none"/>
                <w:lang w:val="en-US" w:eastAsia="zh-CN"/>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２</w:t>
            </w:r>
          </w:p>
        </w:tc>
        <w:tc>
          <w:tcPr>
            <w:tcW w:w="8978"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资金</w:t>
            </w:r>
            <w:r>
              <w:rPr>
                <w:rFonts w:hint="eastAsia" w:ascii="宋体" w:hAnsi="宋体" w:eastAsia="宋体" w:cs="宋体"/>
                <w:bCs/>
                <w:color w:val="auto"/>
                <w:kern w:val="0"/>
                <w:sz w:val="24"/>
                <w:szCs w:val="24"/>
                <w:highlight w:val="none"/>
                <w:lang w:eastAsia="zh-CN"/>
              </w:rPr>
              <w:t>落实情况：已到位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３</w:t>
            </w:r>
          </w:p>
        </w:tc>
        <w:tc>
          <w:tcPr>
            <w:tcW w:w="8978"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hanging="17" w:hangingChars="7"/>
              <w:jc w:val="left"/>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投标人资格要求：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满足《中华人民共和国政府采购法》第二十二条规定</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rPr>
              <w:t>必须是在中华人民共和国境内注册的独立法人企业</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本项目不接受联合体。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施工</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(1)需具备文物保护工程施工二级及以上资质（业务范围须含石窟寺和石刻）、安全生产许可证，并应在人员、设备、资金等方面具有相应的施工能力；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项目负责人需具备文物保护工程责任工程师证书或二级建造师证书。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凡拟参加本次招标项目的投标人，如在“信用中国”网（www.creditchina.gov.cn）、中国政府采购网（www.ccgp.gov.cn）被列入失信被执行人、重大税收违法案件当事人名单、政府采购严重违法失信行为记录名单的（尚在处罚期内的），将拒绝其参加本次政府采购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自治区外企业应具有有效的外省队伍进疆单位备案手续或应按新疆维吾尔自治区住建厅2018年4月24日发布的《关于进一步推动自治区建筑市场统一开放的通知》的规定，登录新疆建筑市场监管和诚信信息一体化平台（简称新疆工程建设云，网址：（http://jsy.xjjs.gov.cn），注册报送企业基本信息和人员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5"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４</w:t>
            </w:r>
          </w:p>
        </w:tc>
        <w:tc>
          <w:tcPr>
            <w:tcW w:w="8978"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spacing w:val="20"/>
                <w:kern w:val="0"/>
                <w:sz w:val="24"/>
                <w:szCs w:val="24"/>
                <w:highlight w:val="none"/>
              </w:rPr>
              <w:t>投标有效期为</w:t>
            </w:r>
            <w:r>
              <w:rPr>
                <w:rFonts w:hint="eastAsia" w:ascii="宋体" w:hAnsi="宋体" w:eastAsia="宋体" w:cs="宋体"/>
                <w:bCs/>
                <w:color w:val="auto"/>
                <w:kern w:val="0"/>
                <w:sz w:val="24"/>
                <w:szCs w:val="24"/>
                <w:highlight w:val="none"/>
              </w:rPr>
              <w:t>：90天（日历日）</w:t>
            </w:r>
            <w:r>
              <w:rPr>
                <w:rFonts w:hint="eastAsia" w:ascii="宋体" w:hAnsi="宋体" w:eastAsia="宋体" w:cs="宋体"/>
                <w:bCs/>
                <w:color w:val="auto"/>
                <w:kern w:val="0"/>
                <w:sz w:val="24"/>
                <w:szCs w:val="24"/>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52"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５</w:t>
            </w:r>
          </w:p>
        </w:tc>
        <w:tc>
          <w:tcPr>
            <w:tcW w:w="8978"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eastAsia="zh-CN"/>
              </w:rPr>
              <w:t>投标保证金金额：</w:t>
            </w:r>
            <w:r>
              <w:rPr>
                <w:rFonts w:hint="eastAsia" w:ascii="宋体" w:hAnsi="宋体" w:cs="宋体"/>
                <w:b/>
                <w:bCs w:val="0"/>
                <w:color w:val="auto"/>
                <w:kern w:val="0"/>
                <w:sz w:val="24"/>
                <w:szCs w:val="24"/>
                <w:highlight w:val="none"/>
                <w:lang w:val="en-US" w:eastAsia="zh-CN"/>
              </w:rPr>
              <w:t>16</w:t>
            </w:r>
            <w:r>
              <w:rPr>
                <w:rFonts w:hint="eastAsia" w:ascii="宋体" w:hAnsi="宋体" w:eastAsia="宋体" w:cs="宋体"/>
                <w:b/>
                <w:bCs w:val="0"/>
                <w:color w:val="auto"/>
                <w:kern w:val="0"/>
                <w:sz w:val="24"/>
                <w:szCs w:val="24"/>
                <w:highlight w:val="none"/>
                <w:lang w:val="en-US" w:eastAsia="zh-CN"/>
              </w:rPr>
              <w:t>0,000</w:t>
            </w:r>
            <w:r>
              <w:rPr>
                <w:rFonts w:hint="eastAsia" w:ascii="宋体" w:hAnsi="宋体" w:eastAsia="宋体" w:cs="宋体"/>
                <w:b/>
                <w:bCs w:val="0"/>
                <w:color w:val="auto"/>
                <w:kern w:val="0"/>
                <w:sz w:val="24"/>
                <w:szCs w:val="24"/>
                <w:highlight w:val="none"/>
              </w:rPr>
              <w:t>.00元（</w:t>
            </w:r>
            <w:r>
              <w:rPr>
                <w:rFonts w:hint="eastAsia" w:ascii="宋体" w:hAnsi="宋体" w:cs="宋体"/>
                <w:b/>
                <w:bCs w:val="0"/>
                <w:color w:val="auto"/>
                <w:kern w:val="0"/>
                <w:sz w:val="24"/>
                <w:szCs w:val="24"/>
                <w:highlight w:val="none"/>
                <w:lang w:eastAsia="zh-CN"/>
              </w:rPr>
              <w:t>壹拾陆万元</w:t>
            </w:r>
            <w:r>
              <w:rPr>
                <w:rFonts w:hint="eastAsia" w:ascii="宋体" w:hAnsi="宋体" w:eastAsia="宋体" w:cs="宋体"/>
                <w:b/>
                <w:bCs w:val="0"/>
                <w:color w:val="auto"/>
                <w:kern w:val="0"/>
                <w:sz w:val="24"/>
                <w:szCs w:val="24"/>
                <w:highlight w:val="none"/>
                <w:lang w:eastAsia="zh-CN"/>
              </w:rPr>
              <w:t>整</w:t>
            </w:r>
            <w:r>
              <w:rPr>
                <w:rFonts w:hint="eastAsia" w:ascii="宋体" w:hAnsi="宋体" w:eastAsia="宋体" w:cs="宋体"/>
                <w:b/>
                <w:bCs w:val="0"/>
                <w:color w:val="auto"/>
                <w:kern w:val="0"/>
                <w:sz w:val="24"/>
                <w:szCs w:val="24"/>
                <w:highlight w:val="none"/>
              </w:rPr>
              <w:t>）</w:t>
            </w:r>
          </w:p>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 xml:space="preserve">投标保证金形式：电汇（必须从其基本账户转出） </w:t>
            </w:r>
          </w:p>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 xml:space="preserve">账户名称：新疆中奕工程管理咨询有限公司 </w:t>
            </w:r>
          </w:p>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 xml:space="preserve">开户银行：中国农业银行股份有限公司乌鲁木齐红光山兵团支行 </w:t>
            </w:r>
          </w:p>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eastAsia="zh-CN"/>
              </w:rPr>
              <w:t>账号：</w:t>
            </w:r>
            <w:r>
              <w:rPr>
                <w:rFonts w:hint="eastAsia" w:ascii="宋体" w:hAnsi="宋体" w:eastAsia="宋体" w:cs="宋体"/>
                <w:bCs/>
                <w:color w:val="auto"/>
                <w:kern w:val="0"/>
                <w:sz w:val="24"/>
                <w:szCs w:val="24"/>
                <w:highlight w:val="none"/>
                <w:lang w:val="en-US" w:eastAsia="zh-CN"/>
              </w:rPr>
              <w:t>30706901040000883</w:t>
            </w:r>
          </w:p>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eastAsia="zh-CN"/>
              </w:rPr>
              <w:t>行号：</w:t>
            </w:r>
            <w:r>
              <w:rPr>
                <w:rFonts w:hint="eastAsia" w:ascii="宋体" w:hAnsi="宋体" w:eastAsia="宋体" w:cs="宋体"/>
                <w:bCs/>
                <w:color w:val="auto"/>
                <w:kern w:val="0"/>
                <w:sz w:val="24"/>
                <w:szCs w:val="24"/>
                <w:highlight w:val="none"/>
                <w:lang w:val="en-US" w:eastAsia="zh-CN"/>
              </w:rPr>
              <w:t>103881070699</w:t>
            </w:r>
          </w:p>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lang w:val="en-US"/>
              </w:rPr>
            </w:pPr>
            <w:r>
              <w:rPr>
                <w:rFonts w:hint="eastAsia" w:ascii="宋体" w:hAnsi="宋体" w:eastAsia="宋体" w:cs="宋体"/>
                <w:bCs/>
                <w:color w:val="auto"/>
                <w:kern w:val="0"/>
                <w:sz w:val="24"/>
                <w:szCs w:val="24"/>
                <w:highlight w:val="none"/>
                <w:lang w:eastAsia="zh-CN"/>
              </w:rPr>
              <w:t>投标保证金于投标截止时间之前缴纳并</w:t>
            </w:r>
            <w:r>
              <w:rPr>
                <w:rFonts w:hint="eastAsia" w:ascii="宋体" w:hAnsi="宋体" w:eastAsia="宋体" w:cs="宋体"/>
                <w:bCs/>
                <w:color w:val="auto"/>
                <w:kern w:val="0"/>
                <w:sz w:val="24"/>
                <w:szCs w:val="24"/>
                <w:highlight w:val="none"/>
                <w:lang w:val="en-US" w:eastAsia="zh-CN"/>
              </w:rPr>
              <w:t>以</w:t>
            </w:r>
            <w:r>
              <w:rPr>
                <w:rFonts w:hint="eastAsia" w:ascii="宋体" w:hAnsi="宋体" w:eastAsia="宋体" w:cs="宋体"/>
                <w:bCs/>
                <w:color w:val="auto"/>
                <w:kern w:val="0"/>
                <w:sz w:val="24"/>
                <w:szCs w:val="24"/>
                <w:highlight w:val="none"/>
                <w:lang w:eastAsia="zh-CN"/>
              </w:rPr>
              <w:t>到账</w:t>
            </w:r>
            <w:r>
              <w:rPr>
                <w:rFonts w:hint="eastAsia" w:ascii="宋体" w:hAnsi="宋体" w:eastAsia="宋体" w:cs="宋体"/>
                <w:bCs/>
                <w:color w:val="auto"/>
                <w:kern w:val="0"/>
                <w:sz w:val="24"/>
                <w:szCs w:val="24"/>
                <w:highlight w:val="none"/>
                <w:lang w:val="en-US" w:eastAsia="zh-CN"/>
              </w:rPr>
              <w:t>为准</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请充分考虑资金在途时间，</w:t>
            </w:r>
            <w:r>
              <w:rPr>
                <w:rFonts w:hint="eastAsia" w:ascii="宋体" w:hAnsi="宋体" w:eastAsia="宋体" w:cs="宋体"/>
                <w:bCs/>
                <w:color w:val="auto"/>
                <w:kern w:val="0"/>
                <w:sz w:val="24"/>
                <w:szCs w:val="24"/>
                <w:highlight w:val="none"/>
                <w:lang w:eastAsia="zh-CN"/>
              </w:rPr>
              <w:t>若投标人未按上述规定交纳投标保证金的，投标文件将被拒绝评审。</w:t>
            </w:r>
            <w:r>
              <w:rPr>
                <w:rFonts w:hint="eastAsia" w:ascii="宋体" w:hAnsi="宋体" w:eastAsia="宋体" w:cs="宋体"/>
                <w:b/>
                <w:bCs w:val="0"/>
                <w:color w:val="auto"/>
                <w:kern w:val="0"/>
                <w:sz w:val="24"/>
                <w:szCs w:val="24"/>
                <w:highlight w:val="none"/>
                <w:lang w:eastAsia="zh-CN"/>
              </w:rPr>
              <w:t>投标单位交纳投标保证金，打款时需备注“项目名称”，投标保证金以到账时间为准。</w:t>
            </w:r>
            <w:r>
              <w:rPr>
                <w:rFonts w:hint="eastAsia" w:ascii="宋体" w:hAnsi="宋体" w:eastAsia="宋体" w:cs="宋体"/>
                <w:b/>
                <w:bCs w:val="0"/>
                <w:color w:val="auto"/>
                <w:kern w:val="0"/>
                <w:sz w:val="24"/>
                <w:szCs w:val="24"/>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75"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6</w:t>
            </w:r>
          </w:p>
        </w:tc>
        <w:tc>
          <w:tcPr>
            <w:tcW w:w="8978"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w:t>
            </w:r>
            <w:r>
              <w:rPr>
                <w:rFonts w:hint="eastAsia" w:ascii="宋体" w:hAnsi="宋体" w:eastAsia="宋体" w:cs="宋体"/>
                <w:bCs/>
                <w:color w:val="auto"/>
                <w:kern w:val="0"/>
                <w:sz w:val="24"/>
                <w:szCs w:val="24"/>
                <w:highlight w:val="none"/>
                <w:lang w:eastAsia="zh-CN"/>
              </w:rPr>
              <w:t>份数</w:t>
            </w:r>
            <w:r>
              <w:rPr>
                <w:rFonts w:hint="eastAsia" w:ascii="宋体" w:hAnsi="宋体" w:eastAsia="宋体" w:cs="宋体"/>
                <w:bCs/>
                <w:color w:val="auto"/>
                <w:kern w:val="0"/>
                <w:sz w:val="24"/>
                <w:szCs w:val="24"/>
                <w:highlight w:val="none"/>
              </w:rPr>
              <w:t>：</w:t>
            </w:r>
          </w:p>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商务标：正本</w:t>
            </w:r>
            <w:r>
              <w:rPr>
                <w:rFonts w:hint="eastAsia" w:ascii="宋体" w:hAnsi="宋体" w:eastAsia="宋体" w:cs="宋体"/>
                <w:bCs/>
                <w:color w:val="auto"/>
                <w:kern w:val="0"/>
                <w:sz w:val="24"/>
                <w:szCs w:val="24"/>
                <w:highlight w:val="none"/>
                <w:lang w:val="en-US" w:eastAsia="zh-CN"/>
              </w:rPr>
              <w:t>1份</w:t>
            </w:r>
            <w:r>
              <w:rPr>
                <w:rFonts w:hint="eastAsia" w:ascii="宋体" w:hAnsi="宋体" w:eastAsia="宋体" w:cs="宋体"/>
                <w:bCs/>
                <w:color w:val="auto"/>
                <w:kern w:val="0"/>
                <w:sz w:val="24"/>
                <w:szCs w:val="24"/>
                <w:highlight w:val="none"/>
              </w:rPr>
              <w:t>，副本</w:t>
            </w:r>
            <w:r>
              <w:rPr>
                <w:rFonts w:hint="eastAsia" w:ascii="宋体" w:hAnsi="宋体" w:eastAsia="宋体" w:cs="宋体"/>
                <w:bCs/>
                <w:color w:val="auto"/>
                <w:kern w:val="0"/>
                <w:sz w:val="24"/>
                <w:szCs w:val="24"/>
                <w:highlight w:val="none"/>
                <w:lang w:val="en-US" w:eastAsia="zh-CN"/>
              </w:rPr>
              <w:t>4份</w:t>
            </w:r>
            <w:r>
              <w:rPr>
                <w:rFonts w:hint="eastAsia" w:ascii="宋体" w:hAnsi="宋体" w:eastAsia="宋体" w:cs="宋体"/>
                <w:bCs/>
                <w:color w:val="auto"/>
                <w:kern w:val="0"/>
                <w:sz w:val="24"/>
                <w:szCs w:val="24"/>
                <w:highlight w:val="none"/>
              </w:rPr>
              <w:t>。</w:t>
            </w:r>
          </w:p>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技术标：</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份</w:t>
            </w:r>
            <w:r>
              <w:rPr>
                <w:rFonts w:hint="eastAsia" w:ascii="宋体" w:hAnsi="宋体" w:eastAsia="宋体" w:cs="宋体"/>
                <w:bCs/>
                <w:color w:val="auto"/>
                <w:kern w:val="0"/>
                <w:sz w:val="24"/>
                <w:szCs w:val="24"/>
                <w:highlight w:val="none"/>
                <w:lang w:eastAsia="zh-CN"/>
              </w:rPr>
              <w:t>（白皮书）</w:t>
            </w:r>
          </w:p>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经济标：正本</w:t>
            </w:r>
            <w:r>
              <w:rPr>
                <w:rFonts w:hint="eastAsia" w:ascii="宋体" w:hAnsi="宋体" w:eastAsia="宋体" w:cs="宋体"/>
                <w:bCs/>
                <w:color w:val="auto"/>
                <w:kern w:val="0"/>
                <w:sz w:val="24"/>
                <w:szCs w:val="24"/>
                <w:highlight w:val="none"/>
                <w:lang w:val="en-US" w:eastAsia="zh-CN"/>
              </w:rPr>
              <w:t>1份</w:t>
            </w:r>
            <w:r>
              <w:rPr>
                <w:rFonts w:hint="eastAsia" w:ascii="宋体" w:hAnsi="宋体" w:eastAsia="宋体" w:cs="宋体"/>
                <w:bCs/>
                <w:color w:val="auto"/>
                <w:kern w:val="0"/>
                <w:sz w:val="24"/>
                <w:szCs w:val="24"/>
                <w:highlight w:val="none"/>
              </w:rPr>
              <w:t>，副本</w:t>
            </w:r>
            <w:r>
              <w:rPr>
                <w:rFonts w:hint="eastAsia" w:ascii="宋体" w:hAnsi="宋体" w:eastAsia="宋体" w:cs="宋体"/>
                <w:bCs/>
                <w:color w:val="auto"/>
                <w:kern w:val="0"/>
                <w:sz w:val="24"/>
                <w:szCs w:val="24"/>
                <w:highlight w:val="none"/>
                <w:lang w:val="en-US" w:eastAsia="zh-CN"/>
              </w:rPr>
              <w:t>4份</w:t>
            </w:r>
            <w:r>
              <w:rPr>
                <w:rFonts w:hint="eastAsia" w:ascii="宋体" w:hAnsi="宋体" w:eastAsia="宋体" w:cs="宋体"/>
                <w:bCs/>
                <w:color w:val="auto"/>
                <w:kern w:val="0"/>
                <w:sz w:val="24"/>
                <w:szCs w:val="24"/>
                <w:highlight w:val="none"/>
              </w:rPr>
              <w:t>。</w:t>
            </w:r>
          </w:p>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电子版：</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份（U盘，</w:t>
            </w:r>
            <w:r>
              <w:rPr>
                <w:rFonts w:hint="eastAsia" w:ascii="宋体" w:hAnsi="宋体" w:eastAsia="宋体" w:cs="宋体"/>
                <w:bCs/>
                <w:color w:val="auto"/>
                <w:kern w:val="0"/>
                <w:sz w:val="24"/>
                <w:szCs w:val="24"/>
                <w:highlight w:val="none"/>
                <w:lang w:eastAsia="zh-CN"/>
              </w:rPr>
              <w:t>包含商务标、技术标、</w:t>
            </w:r>
            <w:r>
              <w:rPr>
                <w:rFonts w:hint="eastAsia" w:ascii="宋体" w:hAnsi="宋体" w:eastAsia="宋体" w:cs="宋体"/>
                <w:color w:val="auto"/>
                <w:sz w:val="24"/>
                <w:szCs w:val="24"/>
                <w:highlight w:val="none"/>
              </w:rPr>
              <w:t>EXCEL及GBQ格式的工程量清单</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rPr>
              <w:t>单独密封与投标文件一同递交）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1"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leftChars="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7</w:t>
            </w:r>
          </w:p>
        </w:tc>
        <w:tc>
          <w:tcPr>
            <w:tcW w:w="8978"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sz w:val="24"/>
                <w:szCs w:val="24"/>
                <w:highlight w:val="none"/>
                <w:lang w:eastAsia="zh-CN"/>
              </w:rPr>
              <w:t>装订要求：</w:t>
            </w:r>
            <w:r>
              <w:rPr>
                <w:rFonts w:hint="eastAsia" w:ascii="宋体" w:hAnsi="宋体" w:eastAsia="宋体" w:cs="宋体"/>
                <w:color w:val="auto"/>
                <w:sz w:val="24"/>
                <w:szCs w:val="24"/>
                <w:highlight w:val="none"/>
              </w:rPr>
              <w:t>必须胶装成册，不得使用散页或活页夹,否则视为对</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的不响应</w:t>
            </w:r>
            <w:r>
              <w:rPr>
                <w:rFonts w:hint="eastAsia" w:ascii="宋体" w:hAnsi="宋体" w:eastAsia="宋体" w:cs="宋体"/>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3"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leftChars="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8</w:t>
            </w:r>
          </w:p>
        </w:tc>
        <w:tc>
          <w:tcPr>
            <w:tcW w:w="8978"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投标文件递交</w:t>
            </w:r>
            <w:r>
              <w:rPr>
                <w:rFonts w:hint="eastAsia" w:ascii="宋体" w:hAnsi="宋体" w:eastAsia="宋体" w:cs="宋体"/>
                <w:bCs/>
                <w:color w:val="auto"/>
                <w:kern w:val="0"/>
                <w:sz w:val="24"/>
                <w:szCs w:val="24"/>
                <w:highlight w:val="none"/>
                <w:lang w:eastAsia="zh-CN"/>
              </w:rPr>
              <w:t>地点</w:t>
            </w:r>
            <w:r>
              <w:rPr>
                <w:rFonts w:hint="eastAsia" w:ascii="宋体" w:hAnsi="宋体" w:eastAsia="宋体" w:cs="宋体"/>
                <w:bCs/>
                <w:color w:val="auto"/>
                <w:kern w:val="0"/>
                <w:sz w:val="24"/>
                <w:szCs w:val="24"/>
                <w:highlight w:val="none"/>
              </w:rPr>
              <w:t>：乌鲁木齐市</w:t>
            </w:r>
            <w:r>
              <w:rPr>
                <w:rFonts w:hint="eastAsia" w:ascii="宋体" w:hAnsi="宋体" w:eastAsia="宋体" w:cs="宋体"/>
                <w:bCs/>
                <w:color w:val="auto"/>
                <w:kern w:val="0"/>
                <w:sz w:val="24"/>
                <w:szCs w:val="24"/>
                <w:highlight w:val="none"/>
                <w:lang w:eastAsia="zh-CN"/>
              </w:rPr>
              <w:t>水磨沟区绿城广场</w:t>
            </w:r>
            <w:r>
              <w:rPr>
                <w:rFonts w:hint="eastAsia" w:ascii="宋体" w:hAnsi="宋体" w:eastAsia="宋体" w:cs="宋体"/>
                <w:bCs/>
                <w:color w:val="auto"/>
                <w:kern w:val="0"/>
                <w:sz w:val="24"/>
                <w:szCs w:val="24"/>
                <w:highlight w:val="none"/>
                <w:lang w:val="en-US" w:eastAsia="zh-CN"/>
              </w:rPr>
              <w:t>1A座602室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6"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leftChars="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9</w:t>
            </w:r>
          </w:p>
        </w:tc>
        <w:tc>
          <w:tcPr>
            <w:tcW w:w="8978"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投标截止</w:t>
            </w:r>
            <w:r>
              <w:rPr>
                <w:rFonts w:hint="eastAsia" w:ascii="宋体" w:hAnsi="宋体" w:eastAsia="宋体" w:cs="宋体"/>
                <w:bCs/>
                <w:color w:val="auto"/>
                <w:kern w:val="0"/>
                <w:sz w:val="24"/>
                <w:szCs w:val="24"/>
                <w:highlight w:val="none"/>
                <w:lang w:eastAsia="zh-CN"/>
              </w:rPr>
              <w:t>时间</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2021</w:t>
            </w:r>
            <w:r>
              <w:rPr>
                <w:rFonts w:hint="eastAsia" w:ascii="宋体" w:hAnsi="宋体" w:eastAsia="宋体" w:cs="宋体"/>
                <w:bCs/>
                <w:color w:val="auto"/>
                <w:kern w:val="0"/>
                <w:sz w:val="24"/>
                <w:szCs w:val="24"/>
                <w:highlight w:val="none"/>
              </w:rPr>
              <w:t>年</w:t>
            </w:r>
            <w:r>
              <w:rPr>
                <w:rFonts w:hint="eastAsia" w:ascii="宋体" w:hAnsi="宋体" w:eastAsia="宋体" w:cs="宋体"/>
                <w:bCs/>
                <w:color w:val="auto"/>
                <w:kern w:val="0"/>
                <w:sz w:val="24"/>
                <w:szCs w:val="24"/>
                <w:highlight w:val="none"/>
                <w:lang w:val="en-US" w:eastAsia="zh-CN"/>
              </w:rPr>
              <w:t>04</w:t>
            </w:r>
            <w:r>
              <w:rPr>
                <w:rFonts w:hint="eastAsia" w:ascii="宋体" w:hAnsi="宋体" w:eastAsia="宋体" w:cs="宋体"/>
                <w:bCs/>
                <w:color w:val="auto"/>
                <w:kern w:val="0"/>
                <w:sz w:val="24"/>
                <w:szCs w:val="24"/>
                <w:highlight w:val="none"/>
              </w:rPr>
              <w:t>月</w:t>
            </w:r>
            <w:r>
              <w:rPr>
                <w:rFonts w:hint="eastAsia" w:ascii="宋体" w:hAnsi="宋体" w:eastAsia="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rPr>
              <w:t>日</w:t>
            </w:r>
            <w:r>
              <w:rPr>
                <w:rFonts w:hint="eastAsia" w:ascii="宋体" w:hAnsi="宋体" w:eastAsia="宋体" w:cs="宋体"/>
                <w:bCs/>
                <w:color w:val="auto"/>
                <w:kern w:val="0"/>
                <w:sz w:val="24"/>
                <w:szCs w:val="24"/>
                <w:highlight w:val="none"/>
                <w:lang w:val="en-US" w:eastAsia="zh-CN"/>
              </w:rPr>
              <w:t>11</w:t>
            </w:r>
            <w:r>
              <w:rPr>
                <w:rFonts w:hint="eastAsia" w:ascii="宋体" w:hAnsi="宋体" w:eastAsia="宋体" w:cs="宋体"/>
                <w:bCs/>
                <w:color w:val="auto"/>
                <w:kern w:val="0"/>
                <w:sz w:val="24"/>
                <w:szCs w:val="24"/>
                <w:highlight w:val="none"/>
              </w:rPr>
              <w:t>点</w:t>
            </w:r>
            <w:r>
              <w:rPr>
                <w:rFonts w:hint="eastAsia" w:ascii="宋体" w:hAnsi="宋体" w:eastAsia="宋体" w:cs="宋体"/>
                <w:bCs/>
                <w:color w:val="auto"/>
                <w:kern w:val="0"/>
                <w:sz w:val="24"/>
                <w:szCs w:val="24"/>
                <w:highlight w:val="none"/>
                <w:lang w:val="en-US" w:eastAsia="zh-CN"/>
              </w:rPr>
              <w:t>00</w:t>
            </w:r>
            <w:r>
              <w:rPr>
                <w:rFonts w:hint="eastAsia" w:ascii="宋体" w:hAnsi="宋体" w:eastAsia="宋体" w:cs="宋体"/>
                <w:bCs/>
                <w:color w:val="auto"/>
                <w:kern w:val="0"/>
                <w:sz w:val="24"/>
                <w:szCs w:val="24"/>
                <w:highlight w:val="none"/>
              </w:rPr>
              <w:t>分（北京时间）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2"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leftChars="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0</w:t>
            </w:r>
          </w:p>
        </w:tc>
        <w:tc>
          <w:tcPr>
            <w:tcW w:w="8978"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开标时间：</w:t>
            </w:r>
            <w:r>
              <w:rPr>
                <w:rFonts w:hint="eastAsia" w:ascii="宋体" w:hAnsi="宋体" w:eastAsia="宋体" w:cs="宋体"/>
                <w:bCs/>
                <w:color w:val="auto"/>
                <w:kern w:val="0"/>
                <w:sz w:val="24"/>
                <w:szCs w:val="24"/>
                <w:highlight w:val="none"/>
                <w:lang w:val="en-US" w:eastAsia="zh-CN"/>
              </w:rPr>
              <w:t>2021</w:t>
            </w:r>
            <w:r>
              <w:rPr>
                <w:rFonts w:hint="eastAsia" w:ascii="宋体" w:hAnsi="宋体" w:eastAsia="宋体" w:cs="宋体"/>
                <w:bCs/>
                <w:color w:val="auto"/>
                <w:kern w:val="0"/>
                <w:sz w:val="24"/>
                <w:szCs w:val="24"/>
                <w:highlight w:val="none"/>
              </w:rPr>
              <w:t>年</w:t>
            </w:r>
            <w:r>
              <w:rPr>
                <w:rFonts w:hint="eastAsia" w:ascii="宋体" w:hAnsi="宋体" w:eastAsia="宋体" w:cs="宋体"/>
                <w:bCs/>
                <w:color w:val="auto"/>
                <w:kern w:val="0"/>
                <w:sz w:val="24"/>
                <w:szCs w:val="24"/>
                <w:highlight w:val="none"/>
                <w:lang w:val="en-US" w:eastAsia="zh-CN"/>
              </w:rPr>
              <w:t>04</w:t>
            </w:r>
            <w:r>
              <w:rPr>
                <w:rFonts w:hint="eastAsia" w:ascii="宋体" w:hAnsi="宋体" w:eastAsia="宋体" w:cs="宋体"/>
                <w:bCs/>
                <w:color w:val="auto"/>
                <w:kern w:val="0"/>
                <w:sz w:val="24"/>
                <w:szCs w:val="24"/>
                <w:highlight w:val="none"/>
              </w:rPr>
              <w:t>月</w:t>
            </w:r>
            <w:r>
              <w:rPr>
                <w:rFonts w:hint="eastAsia" w:ascii="宋体" w:hAnsi="宋体" w:eastAsia="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rPr>
              <w:t>日</w:t>
            </w:r>
            <w:r>
              <w:rPr>
                <w:rFonts w:hint="eastAsia" w:ascii="宋体" w:hAnsi="宋体" w:eastAsia="宋体" w:cs="宋体"/>
                <w:bCs/>
                <w:color w:val="auto"/>
                <w:kern w:val="0"/>
                <w:sz w:val="24"/>
                <w:szCs w:val="24"/>
                <w:highlight w:val="none"/>
                <w:lang w:val="en-US" w:eastAsia="zh-CN"/>
              </w:rPr>
              <w:t>11</w:t>
            </w:r>
            <w:r>
              <w:rPr>
                <w:rFonts w:hint="eastAsia" w:ascii="宋体" w:hAnsi="宋体" w:eastAsia="宋体" w:cs="宋体"/>
                <w:bCs/>
                <w:color w:val="auto"/>
                <w:kern w:val="0"/>
                <w:sz w:val="24"/>
                <w:szCs w:val="24"/>
                <w:highlight w:val="none"/>
              </w:rPr>
              <w:t>点</w:t>
            </w:r>
            <w:r>
              <w:rPr>
                <w:rFonts w:hint="eastAsia" w:ascii="宋体" w:hAnsi="宋体" w:eastAsia="宋体" w:cs="宋体"/>
                <w:bCs/>
                <w:color w:val="auto"/>
                <w:kern w:val="0"/>
                <w:sz w:val="24"/>
                <w:szCs w:val="24"/>
                <w:highlight w:val="none"/>
                <w:lang w:val="en-US" w:eastAsia="zh-CN"/>
              </w:rPr>
              <w:t>00</w:t>
            </w:r>
            <w:r>
              <w:rPr>
                <w:rFonts w:hint="eastAsia" w:ascii="宋体" w:hAnsi="宋体" w:eastAsia="宋体" w:cs="宋体"/>
                <w:bCs/>
                <w:color w:val="auto"/>
                <w:kern w:val="0"/>
                <w:sz w:val="24"/>
                <w:szCs w:val="24"/>
                <w:highlight w:val="none"/>
              </w:rPr>
              <w:t>分（北京时间）</w:t>
            </w:r>
          </w:p>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开标</w:t>
            </w:r>
            <w:r>
              <w:rPr>
                <w:rFonts w:hint="eastAsia" w:ascii="宋体" w:hAnsi="宋体" w:eastAsia="宋体" w:cs="宋体"/>
                <w:bCs/>
                <w:color w:val="auto"/>
                <w:kern w:val="0"/>
                <w:sz w:val="24"/>
                <w:szCs w:val="24"/>
                <w:highlight w:val="none"/>
              </w:rPr>
              <w:t>地点：乌鲁木齐市</w:t>
            </w:r>
            <w:r>
              <w:rPr>
                <w:rFonts w:hint="eastAsia" w:ascii="宋体" w:hAnsi="宋体" w:eastAsia="宋体" w:cs="宋体"/>
                <w:bCs/>
                <w:color w:val="auto"/>
                <w:kern w:val="0"/>
                <w:sz w:val="24"/>
                <w:szCs w:val="24"/>
                <w:highlight w:val="none"/>
                <w:lang w:eastAsia="zh-CN"/>
              </w:rPr>
              <w:t>水磨沟区绿城广场</w:t>
            </w:r>
            <w:r>
              <w:rPr>
                <w:rFonts w:hint="eastAsia" w:ascii="宋体" w:hAnsi="宋体" w:eastAsia="宋体" w:cs="宋体"/>
                <w:bCs/>
                <w:color w:val="auto"/>
                <w:kern w:val="0"/>
                <w:sz w:val="24"/>
                <w:szCs w:val="24"/>
                <w:highlight w:val="none"/>
                <w:lang w:val="en-US" w:eastAsia="zh-CN"/>
              </w:rPr>
              <w:t>1A座602室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5"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leftChars="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1</w:t>
            </w:r>
          </w:p>
        </w:tc>
        <w:tc>
          <w:tcPr>
            <w:tcW w:w="8978"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招标工程量清单和招标控制价：执行《建设工程工程量清单计价规范》（GB-50500-2013）和国家、自治区的现行相关规定。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leftChars="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2</w:t>
            </w:r>
          </w:p>
        </w:tc>
        <w:tc>
          <w:tcPr>
            <w:tcW w:w="8978"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投标报价方式：工程量清单计价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leftChars="0"/>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13</w:t>
            </w:r>
          </w:p>
        </w:tc>
        <w:tc>
          <w:tcPr>
            <w:tcW w:w="8978" w:type="dxa"/>
            <w:vAlign w:val="center"/>
          </w:tcPr>
          <w:p>
            <w:pPr>
              <w:pStyle w:val="62"/>
              <w:keepNext w:val="0"/>
              <w:keepLines w:val="0"/>
              <w:pageBreakBefore w:val="0"/>
              <w:widowControl w:val="0"/>
              <w:kinsoku/>
              <w:wordWrap/>
              <w:topLinePunct w:val="0"/>
              <w:bidi w:val="0"/>
              <w:spacing w:line="360" w:lineRule="exact"/>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lang w:val="en-US" w:eastAsia="zh-CN" w:bidi="ar-SA"/>
              </w:rPr>
              <w:t>付款方式：按合同约定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leftChars="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4</w:t>
            </w:r>
          </w:p>
        </w:tc>
        <w:tc>
          <w:tcPr>
            <w:tcW w:w="8978"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开标时须携带以下资料：</w:t>
            </w:r>
          </w:p>
          <w:p>
            <w:pPr>
              <w:pStyle w:val="16"/>
              <w:keepNext w:val="0"/>
              <w:keepLines w:val="0"/>
              <w:pageBreakBefore w:val="0"/>
              <w:widowControl w:val="0"/>
              <w:numPr>
                <w:ilvl w:val="0"/>
                <w:numId w:val="0"/>
              </w:numPr>
              <w:kinsoku/>
              <w:wordWrap/>
              <w:overflowPunct/>
              <w:topLinePunct w:val="0"/>
              <w:bidi w:val="0"/>
              <w:snapToGrid w:val="0"/>
              <w:spacing w:line="360" w:lineRule="exact"/>
              <w:ind w:firstLine="482" w:firstLineChars="20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lang w:val="zh-CN"/>
              </w:rPr>
              <w:t>法人代表</w:t>
            </w:r>
            <w:r>
              <w:rPr>
                <w:rFonts w:hint="eastAsia" w:ascii="宋体" w:hAnsi="宋体" w:eastAsia="宋体" w:cs="宋体"/>
                <w:b/>
                <w:bCs/>
                <w:color w:val="auto"/>
                <w:kern w:val="0"/>
                <w:sz w:val="24"/>
                <w:szCs w:val="24"/>
                <w:highlight w:val="none"/>
                <w:lang w:val="en-US" w:eastAsia="zh-CN"/>
              </w:rPr>
              <w:t>人</w:t>
            </w:r>
            <w:r>
              <w:rPr>
                <w:rFonts w:hint="eastAsia" w:ascii="宋体" w:hAnsi="宋体" w:eastAsia="宋体" w:cs="宋体"/>
                <w:b/>
                <w:bCs/>
                <w:color w:val="auto"/>
                <w:kern w:val="0"/>
                <w:sz w:val="24"/>
                <w:szCs w:val="24"/>
                <w:highlight w:val="none"/>
                <w:lang w:val="zh-CN"/>
              </w:rPr>
              <w:t>或法人授权书原件、法人代表</w:t>
            </w:r>
            <w:r>
              <w:rPr>
                <w:rFonts w:hint="eastAsia" w:ascii="宋体" w:hAnsi="宋体" w:eastAsia="宋体" w:cs="宋体"/>
                <w:b/>
                <w:bCs/>
                <w:color w:val="auto"/>
                <w:kern w:val="0"/>
                <w:sz w:val="24"/>
                <w:szCs w:val="24"/>
                <w:highlight w:val="none"/>
                <w:lang w:val="en-US" w:eastAsia="zh-CN"/>
              </w:rPr>
              <w:t>人</w:t>
            </w:r>
            <w:r>
              <w:rPr>
                <w:rFonts w:hint="eastAsia" w:ascii="宋体" w:hAnsi="宋体" w:eastAsia="宋体" w:cs="宋体"/>
                <w:b/>
                <w:bCs/>
                <w:color w:val="auto"/>
                <w:kern w:val="0"/>
                <w:sz w:val="24"/>
                <w:szCs w:val="24"/>
                <w:highlight w:val="none"/>
                <w:lang w:val="zh-CN"/>
              </w:rPr>
              <w:t>或法人授权委托书（需与招标文件格式提供）及身份证原件随身携带、保证金</w:t>
            </w:r>
            <w:r>
              <w:rPr>
                <w:rFonts w:hint="eastAsia" w:ascii="宋体" w:hAnsi="宋体" w:eastAsia="宋体" w:cs="宋体"/>
                <w:b/>
                <w:bCs/>
                <w:color w:val="auto"/>
                <w:kern w:val="0"/>
                <w:sz w:val="24"/>
                <w:szCs w:val="24"/>
                <w:highlight w:val="none"/>
                <w:lang w:val="en-US" w:eastAsia="zh-CN"/>
              </w:rPr>
              <w:t>缴费凭证</w:t>
            </w:r>
            <w:r>
              <w:rPr>
                <w:rFonts w:hint="eastAsia" w:ascii="宋体" w:hAnsi="宋体" w:eastAsia="宋体" w:cs="宋体"/>
                <w:b/>
                <w:bCs/>
                <w:color w:val="auto"/>
                <w:kern w:val="0"/>
                <w:sz w:val="24"/>
                <w:szCs w:val="24"/>
                <w:highlight w:val="none"/>
                <w:lang w:val="zh-CN"/>
              </w:rPr>
              <w:t>，以上原件供监督人或招标人查验；若以上原件不齐全或不满足招标文件要求，其投标文件将被拒绝评审。</w:t>
            </w:r>
          </w:p>
          <w:p>
            <w:pPr>
              <w:pStyle w:val="16"/>
              <w:keepNext w:val="0"/>
              <w:keepLines w:val="0"/>
              <w:pageBreakBefore w:val="0"/>
              <w:widowControl w:val="0"/>
              <w:numPr>
                <w:ilvl w:val="0"/>
                <w:numId w:val="0"/>
              </w:numPr>
              <w:kinsoku/>
              <w:wordWrap/>
              <w:overflowPunct/>
              <w:topLinePunct w:val="0"/>
              <w:bidi w:val="0"/>
              <w:snapToGrid w:val="0"/>
              <w:spacing w:line="360" w:lineRule="exact"/>
              <w:ind w:firstLine="482" w:firstLineChars="20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val="zh-CN"/>
              </w:rPr>
              <w:t>本项目招标代理费由中标单位支付，以中标价为基准值依据计价格[2002]1980号文计取，投标人在投标报价时应充分考虑此笔费用。</w:t>
            </w:r>
          </w:p>
          <w:p>
            <w:pPr>
              <w:pStyle w:val="16"/>
              <w:keepNext w:val="0"/>
              <w:keepLines w:val="0"/>
              <w:pageBreakBefore w:val="0"/>
              <w:widowControl w:val="0"/>
              <w:numPr>
                <w:ilvl w:val="0"/>
                <w:numId w:val="0"/>
              </w:numPr>
              <w:kinsoku/>
              <w:wordWrap/>
              <w:overflowPunct/>
              <w:topLinePunct w:val="0"/>
              <w:bidi w:val="0"/>
              <w:snapToGrid w:val="0"/>
              <w:spacing w:line="360" w:lineRule="exact"/>
              <w:ind w:firstLine="482" w:firstLineChars="20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lang w:val="zh-CN"/>
              </w:rPr>
              <w:t>对符合财政扶持政策的小微企业（或监狱企业或残疾人福利性单位）给予评标价格优惠。供应商企业属于以上多种性质的，不重复享受扶持政策。</w:t>
            </w:r>
          </w:p>
          <w:p>
            <w:pPr>
              <w:pStyle w:val="16"/>
              <w:keepNext w:val="0"/>
              <w:keepLines w:val="0"/>
              <w:pageBreakBefore w:val="0"/>
              <w:widowControl w:val="0"/>
              <w:numPr>
                <w:ilvl w:val="0"/>
                <w:numId w:val="0"/>
              </w:numPr>
              <w:kinsoku/>
              <w:wordWrap/>
              <w:overflowPunct/>
              <w:topLinePunct w:val="0"/>
              <w:bidi w:val="0"/>
              <w:snapToGrid w:val="0"/>
              <w:spacing w:line="360" w:lineRule="exact"/>
              <w:ind w:left="420" w:left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zh-CN"/>
              </w:rPr>
              <w:t>对节能、环保产品优先采购。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856" w:type="dxa"/>
            <w:vAlign w:val="center"/>
          </w:tcPr>
          <w:p>
            <w:pPr>
              <w:keepNext w:val="0"/>
              <w:keepLines w:val="0"/>
              <w:pageBreakBefore w:val="0"/>
              <w:widowControl w:val="0"/>
              <w:kinsoku/>
              <w:wordWrap/>
              <w:overflowPunct w:val="0"/>
              <w:topLinePunct w:val="0"/>
              <w:bidi w:val="0"/>
              <w:snapToGrid w:val="0"/>
              <w:spacing w:line="360" w:lineRule="exact"/>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15</w:t>
            </w:r>
          </w:p>
        </w:tc>
        <w:tc>
          <w:tcPr>
            <w:tcW w:w="8978" w:type="dxa"/>
            <w:vAlign w:val="center"/>
          </w:tcPr>
          <w:p>
            <w:pPr>
              <w:keepNext w:val="0"/>
              <w:keepLines w:val="0"/>
              <w:pageBreakBefore w:val="0"/>
              <w:widowControl w:val="0"/>
              <w:kinsoku/>
              <w:wordWrap/>
              <w:overflowPunct w:val="0"/>
              <w:topLinePunct w:val="0"/>
              <w:bidi w:val="0"/>
              <w:snapToGrid w:val="0"/>
              <w:spacing w:line="360" w:lineRule="exact"/>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低于成本价不正当竞争预防措施</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topLinePunct w:val="0"/>
              <w:bidi w:val="0"/>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keepNext w:val="0"/>
              <w:keepLines w:val="0"/>
              <w:pageBreakBefore w:val="0"/>
              <w:widowControl w:val="0"/>
              <w:kinsoku/>
              <w:wordWrap/>
              <w:topLinePunct w:val="0"/>
              <w:bidi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keepNext w:val="0"/>
              <w:keepLines w:val="0"/>
              <w:pageBreakBefore w:val="0"/>
              <w:widowControl w:val="0"/>
              <w:kinsoku/>
              <w:wordWrap/>
              <w:topLinePunct w:val="0"/>
              <w:bidi w:val="0"/>
              <w:snapToGrid w:val="0"/>
              <w:spacing w:line="36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856" w:type="dxa"/>
            <w:vAlign w:val="center"/>
          </w:tcPr>
          <w:p>
            <w:pPr>
              <w:keepNext w:val="0"/>
              <w:keepLines w:val="0"/>
              <w:pageBreakBefore w:val="0"/>
              <w:widowControl w:val="0"/>
              <w:kinsoku/>
              <w:wordWrap/>
              <w:overflowPunct w:val="0"/>
              <w:topLinePunct w:val="0"/>
              <w:bidi w:val="0"/>
              <w:snapToGrid w:val="0"/>
              <w:spacing w:line="360" w:lineRule="exact"/>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16</w:t>
            </w:r>
          </w:p>
        </w:tc>
        <w:tc>
          <w:tcPr>
            <w:tcW w:w="8978" w:type="dxa"/>
            <w:vAlign w:val="center"/>
          </w:tcPr>
          <w:p>
            <w:pPr>
              <w:keepNext w:val="0"/>
              <w:keepLines w:val="0"/>
              <w:pageBreakBefore w:val="0"/>
              <w:kinsoku/>
              <w:wordWrap/>
              <w:topLinePunct w:val="0"/>
              <w:bidi w:val="0"/>
              <w:spacing w:line="36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投标人总分=商务标详细评审+技术标详细评审+经济标详细评审。</w:t>
            </w:r>
          </w:p>
          <w:p>
            <w:pPr>
              <w:keepNext w:val="0"/>
              <w:keepLines w:val="0"/>
              <w:pageBreakBefore w:val="0"/>
              <w:widowControl w:val="0"/>
              <w:kinsoku/>
              <w:wordWrap/>
              <w:overflowPunct w:val="0"/>
              <w:topLinePunct w:val="0"/>
              <w:bidi w:val="0"/>
              <w:snapToGrid w:val="0"/>
              <w:spacing w:line="360" w:lineRule="exact"/>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rPr>
              <w:t>政府采购政策支持</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val="0"/>
              <w:topLinePunct w:val="0"/>
              <w:bidi w:val="0"/>
              <w:snapToGrid w:val="0"/>
              <w:spacing w:line="360" w:lineRule="exact"/>
              <w:ind w:firstLine="480" w:firstLineChars="2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本项目为非专门面向中小企业（含中型、小型、微型企业）采购项目，根据《政府采购促进中小企业发展暂行办法》（财库[2011]181号）的规定，评标时将给予此类企业进行价格6%的优惠，监狱企业、残疾人福利性单位视同为小微企业，用优惠后的价格参与评审；</w:t>
            </w:r>
          </w:p>
          <w:p>
            <w:pPr>
              <w:keepNext w:val="0"/>
              <w:keepLines w:val="0"/>
              <w:pageBreakBefore w:val="0"/>
              <w:widowControl w:val="0"/>
              <w:kinsoku/>
              <w:wordWrap/>
              <w:overflowPunct w:val="0"/>
              <w:topLinePunct w:val="0"/>
              <w:bidi w:val="0"/>
              <w:snapToGrid w:val="0"/>
              <w:spacing w:line="360" w:lineRule="exact"/>
              <w:ind w:firstLine="480" w:firstLineChars="2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政府采购强制采购：标记★符号的节能产品：符合《节能产品政府采购清单》(最新一期)目录内的强制采购节能产品。</w:t>
            </w:r>
          </w:p>
          <w:p>
            <w:pPr>
              <w:keepNext w:val="0"/>
              <w:keepLines w:val="0"/>
              <w:pageBreakBefore w:val="0"/>
              <w:widowControl w:val="0"/>
              <w:kinsoku/>
              <w:wordWrap/>
              <w:overflowPunct w:val="0"/>
              <w:topLinePunct w:val="0"/>
              <w:bidi w:val="0"/>
              <w:snapToGrid w:val="0"/>
              <w:spacing w:line="360" w:lineRule="exact"/>
              <w:ind w:firstLine="480" w:firstLineChars="2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政府采购优先采购：(1)非标记★符号的节能产品；(2)环境标志产品；</w:t>
            </w:r>
          </w:p>
          <w:p>
            <w:pPr>
              <w:keepNext w:val="0"/>
              <w:keepLines w:val="0"/>
              <w:pageBreakBefore w:val="0"/>
              <w:widowControl w:val="0"/>
              <w:kinsoku/>
              <w:wordWrap/>
              <w:overflowPunct w:val="0"/>
              <w:topLinePunct w:val="0"/>
              <w:bidi w:val="0"/>
              <w:snapToGrid w:val="0"/>
              <w:spacing w:line="360" w:lineRule="exact"/>
              <w:ind w:firstLine="480" w:firstLineChars="2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采购产品为《节能产品政府采购清单》(最新一期) 内非标记★符号的节能产品及《环境标志产品政府采购清单》(最新一期)内的产品；</w:t>
            </w:r>
          </w:p>
          <w:p>
            <w:pPr>
              <w:keepNext w:val="0"/>
              <w:keepLines w:val="0"/>
              <w:pageBreakBefore w:val="0"/>
              <w:widowControl w:val="0"/>
              <w:kinsoku/>
              <w:wordWrap/>
              <w:overflowPunct w:val="0"/>
              <w:topLinePunct w:val="0"/>
              <w:bidi w:val="0"/>
              <w:snapToGrid w:val="0"/>
              <w:spacing w:line="360" w:lineRule="exact"/>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投标文件中对所供产品为节能、环境标志产品清单中的产品，在报价时必须对此类</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折扣优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17</w:t>
            </w:r>
          </w:p>
        </w:tc>
        <w:tc>
          <w:tcPr>
            <w:tcW w:w="8978" w:type="dxa"/>
            <w:vAlign w:val="center"/>
          </w:tcPr>
          <w:p>
            <w:pPr>
              <w:pStyle w:val="62"/>
              <w:keepNext w:val="0"/>
              <w:keepLines w:val="0"/>
              <w:pageBreakBefore w:val="0"/>
              <w:widowControl w:val="0"/>
              <w:numPr>
                <w:ilvl w:val="0"/>
                <w:numId w:val="0"/>
              </w:numPr>
              <w:kinsoku/>
              <w:wordWrap/>
              <w:topLinePunct w:val="0"/>
              <w:bidi w:val="0"/>
              <w:spacing w:line="36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现场踏勘</w:t>
            </w:r>
            <w:r>
              <w:rPr>
                <w:rFonts w:hint="eastAsia" w:ascii="宋体" w:hAnsi="宋体" w:eastAsia="宋体" w:cs="宋体"/>
                <w:b w:val="0"/>
                <w:bCs w:val="0"/>
                <w:color w:val="auto"/>
                <w:kern w:val="2"/>
                <w:sz w:val="24"/>
                <w:szCs w:val="24"/>
                <w:highlight w:val="none"/>
                <w:lang w:val="en-US" w:eastAsia="zh-CN" w:bidi="ar-SA"/>
              </w:rPr>
              <w:t>：招标人不组织现场踏勘，投标人可自行踏勘。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1"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snapToGrid w:val="0"/>
              <w:spacing w:line="360" w:lineRule="exact"/>
              <w:ind w:left="0"/>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18</w:t>
            </w:r>
          </w:p>
        </w:tc>
        <w:tc>
          <w:tcPr>
            <w:tcW w:w="8978" w:type="dxa"/>
            <w:vAlign w:val="center"/>
          </w:tcPr>
          <w:p>
            <w:pPr>
              <w:pStyle w:val="62"/>
              <w:keepNext w:val="0"/>
              <w:keepLines w:val="0"/>
              <w:pageBreakBefore w:val="0"/>
              <w:widowControl w:val="0"/>
              <w:numPr>
                <w:ilvl w:val="0"/>
                <w:numId w:val="0"/>
              </w:numPr>
              <w:kinsoku/>
              <w:wordWrap/>
              <w:topLinePunct w:val="0"/>
              <w:bidi w:val="0"/>
              <w:spacing w:line="360" w:lineRule="exact"/>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开标场地服务费：300元/家</w:t>
            </w:r>
          </w:p>
        </w:tc>
      </w:tr>
    </w:tbl>
    <w:p>
      <w:pPr>
        <w:pStyle w:val="34"/>
        <w:tabs>
          <w:tab w:val="right" w:leader="dot" w:pos="9747"/>
          <w:tab w:val="clear" w:pos="1260"/>
          <w:tab w:val="clear" w:pos="9407"/>
        </w:tabs>
        <w:rPr>
          <w:rFonts w:hint="eastAsia" w:ascii="宋体" w:hAnsi="宋体" w:eastAsia="宋体" w:cs="宋体"/>
          <w:color w:val="000000" w:themeColor="text1"/>
          <w:sz w:val="24"/>
          <w:szCs w:val="24"/>
          <w14:textFill>
            <w14:solidFill>
              <w14:schemeClr w14:val="tx1"/>
            </w14:solidFill>
          </w14:textFill>
        </w:rPr>
      </w:pPr>
      <w:bookmarkStart w:id="39" w:name="_Toc16939"/>
      <w:bookmarkStart w:id="40" w:name="_Toc27744"/>
      <w:bookmarkStart w:id="41" w:name="_Toc15865"/>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14"/>
        <w:rPr>
          <w:rFonts w:hint="eastAsia" w:ascii="宋体" w:hAnsi="宋体" w:eastAsia="宋体" w:cs="宋体"/>
          <w:sz w:val="24"/>
          <w:szCs w:val="24"/>
        </w:rPr>
      </w:pPr>
    </w:p>
    <w:bookmarkEnd w:id="39"/>
    <w:bookmarkEnd w:id="40"/>
    <w:bookmarkEnd w:id="41"/>
    <w:p>
      <w:pPr>
        <w:pStyle w:val="4"/>
        <w:numPr>
          <w:ilvl w:val="0"/>
          <w:numId w:val="0"/>
        </w:numPr>
        <w:jc w:val="center"/>
        <w:rPr>
          <w:rFonts w:hint="eastAsia" w:ascii="宋体" w:hAnsi="宋体" w:eastAsia="宋体" w:cs="宋体"/>
          <w:b/>
          <w:color w:val="000000" w:themeColor="text1"/>
          <w:sz w:val="24"/>
          <w:szCs w:val="24"/>
          <w:lang w:val="zh-CN"/>
          <w14:textFill>
            <w14:solidFill>
              <w14:schemeClr w14:val="tx1"/>
            </w14:solidFill>
          </w14:textFill>
        </w:rPr>
      </w:pPr>
      <w:bookmarkStart w:id="42" w:name="_Toc25651"/>
      <w:bookmarkStart w:id="43" w:name="_Toc13979"/>
      <w:bookmarkStart w:id="44" w:name="_Toc705"/>
      <w:bookmarkStart w:id="45" w:name="_Toc3390"/>
      <w:bookmarkStart w:id="46" w:name="_Toc2001"/>
      <w:r>
        <w:rPr>
          <w:rFonts w:hint="eastAsia" w:ascii="宋体" w:hAnsi="宋体" w:eastAsia="宋体" w:cs="宋体"/>
          <w:b/>
          <w:color w:val="000000" w:themeColor="text1"/>
          <w:sz w:val="24"/>
          <w:szCs w:val="24"/>
          <w:lang w:val="zh-CN"/>
          <w14:textFill>
            <w14:solidFill>
              <w14:schemeClr w14:val="tx1"/>
            </w14:solidFill>
          </w14:textFill>
        </w:rPr>
        <w:t>第一章   综合说明</w:t>
      </w:r>
      <w:bookmarkEnd w:id="42"/>
    </w:p>
    <w:p>
      <w:pPr>
        <w:keepNext w:val="0"/>
        <w:keepLines w:val="0"/>
        <w:pageBreakBefore w:val="0"/>
        <w:kinsoku/>
        <w:wordWrap/>
        <w:topLinePunct w:val="0"/>
        <w:bidi w:val="0"/>
        <w:spacing w:line="3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kern w:val="0"/>
          <w:sz w:val="24"/>
          <w:szCs w:val="24"/>
          <w14:textFill>
            <w14:solidFill>
              <w14:schemeClr w14:val="tx1"/>
            </w14:solidFill>
          </w14:textFill>
        </w:rPr>
        <w:t>总 则</w:t>
      </w:r>
    </w:p>
    <w:p>
      <w:pPr>
        <w:keepNext w:val="0"/>
        <w:keepLines w:val="0"/>
        <w:pageBreakBefore w:val="0"/>
        <w:kinsoku/>
        <w:wordWrap/>
        <w:topLinePunct w:val="0"/>
        <w:bidi w:val="0"/>
        <w:spacing w:line="3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1.1、工程概况</w:t>
      </w:r>
    </w:p>
    <w:p>
      <w:pPr>
        <w:keepNext w:val="0"/>
        <w:keepLines w:val="0"/>
        <w:pageBreakBefore w:val="0"/>
        <w:kinsoku/>
        <w:wordWrap/>
        <w:topLinePunct w:val="0"/>
        <w:bidi w:val="0"/>
        <w:spacing w:line="3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1.1.1、本工程的工程概况已在投标人须知前附表第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"_Hlk39210728#_Hlk39210728" </w:instrText>
      </w:r>
      <w:r>
        <w:rPr>
          <w:rFonts w:hint="eastAsia" w:ascii="宋体" w:hAnsi="宋体" w:eastAsia="宋体" w:cs="宋体"/>
          <w:sz w:val="24"/>
          <w:szCs w:val="24"/>
        </w:rPr>
        <w:fldChar w:fldCharType="separate"/>
      </w:r>
      <w:r>
        <w:rPr>
          <w:rStyle w:val="57"/>
          <w:rFonts w:hint="eastAsia" w:ascii="宋体" w:hAnsi="宋体" w:eastAsia="宋体" w:cs="宋体"/>
          <w:color w:val="000000" w:themeColor="text1"/>
          <w:sz w:val="24"/>
          <w:szCs w:val="24"/>
          <w:u w:val="none"/>
          <w14:textFill>
            <w14:solidFill>
              <w14:schemeClr w14:val="tx1"/>
            </w14:solidFill>
          </w14:textFill>
        </w:rPr>
        <w:t>1</w:t>
      </w:r>
      <w:r>
        <w:rPr>
          <w:rStyle w:val="57"/>
          <w:rFonts w:hint="eastAsia" w:ascii="宋体" w:hAnsi="宋体" w:eastAsia="宋体" w:cs="宋体"/>
          <w:color w:val="000000" w:themeColor="text1"/>
          <w:sz w:val="24"/>
          <w:szCs w:val="24"/>
          <w:u w:val="none"/>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项中列清。</w:t>
      </w:r>
    </w:p>
    <w:p>
      <w:pPr>
        <w:keepNext w:val="0"/>
        <w:keepLines w:val="0"/>
        <w:pageBreakBefore w:val="0"/>
        <w:kinsoku/>
        <w:wordWrap/>
        <w:topLinePunct w:val="0"/>
        <w:bidi w:val="0"/>
        <w:spacing w:line="3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1.2、招标范围</w:t>
      </w:r>
    </w:p>
    <w:p>
      <w:pPr>
        <w:keepNext w:val="0"/>
        <w:keepLines w:val="0"/>
        <w:pageBreakBefore w:val="0"/>
        <w:kinsoku/>
        <w:wordWrap/>
        <w:topLinePunct w:val="0"/>
        <w:bidi w:val="0"/>
        <w:spacing w:line="3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1.2.1、本工程招标范围</w:t>
      </w:r>
      <w:r>
        <w:rPr>
          <w:rFonts w:hint="eastAsia" w:ascii="宋体" w:hAnsi="宋体" w:eastAsia="宋体" w:cs="宋体"/>
          <w:bCs/>
          <w:color w:val="000000" w:themeColor="text1"/>
          <w:sz w:val="24"/>
          <w:szCs w:val="24"/>
          <w14:textFill>
            <w14:solidFill>
              <w14:schemeClr w14:val="tx1"/>
            </w14:solidFill>
          </w14:textFill>
        </w:rPr>
        <w:t>已在投标人须知前附表第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"_Hlk39210756#_Hlk39210756" </w:instrText>
      </w:r>
      <w:r>
        <w:rPr>
          <w:rFonts w:hint="eastAsia" w:ascii="宋体" w:hAnsi="宋体" w:eastAsia="宋体" w:cs="宋体"/>
          <w:sz w:val="24"/>
          <w:szCs w:val="24"/>
        </w:rPr>
        <w:fldChar w:fldCharType="separate"/>
      </w:r>
      <w:r>
        <w:rPr>
          <w:rStyle w:val="57"/>
          <w:rFonts w:hint="eastAsia" w:ascii="宋体" w:hAnsi="宋体" w:eastAsia="宋体" w:cs="宋体"/>
          <w:color w:val="000000" w:themeColor="text1"/>
          <w:sz w:val="24"/>
          <w:szCs w:val="24"/>
          <w:u w:val="none"/>
          <w14:textFill>
            <w14:solidFill>
              <w14:schemeClr w14:val="tx1"/>
            </w14:solidFill>
          </w14:textFill>
        </w:rPr>
        <w:t>1</w:t>
      </w:r>
      <w:r>
        <w:rPr>
          <w:rStyle w:val="57"/>
          <w:rFonts w:hint="eastAsia" w:ascii="宋体" w:hAnsi="宋体" w:eastAsia="宋体" w:cs="宋体"/>
          <w:color w:val="000000" w:themeColor="text1"/>
          <w:sz w:val="24"/>
          <w:szCs w:val="24"/>
          <w:u w:val="none"/>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项中列清，投标人除非接到招标人发布的《招标文件补充》，否则不得擅自增加或减少工程招标范围。</w:t>
      </w:r>
    </w:p>
    <w:p>
      <w:pPr>
        <w:keepNext w:val="0"/>
        <w:keepLines w:val="0"/>
        <w:pageBreakBefore w:val="0"/>
        <w:kinsoku/>
        <w:wordWrap/>
        <w:topLinePunct w:val="0"/>
        <w:bidi w:val="0"/>
        <w:spacing w:line="3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1.2.2、本工程工期要求、质量标准已在投标人须知前附表第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"_Hlk39211118#_Hlk39211118" </w:instrText>
      </w:r>
      <w:r>
        <w:rPr>
          <w:rFonts w:hint="eastAsia" w:ascii="宋体" w:hAnsi="宋体" w:eastAsia="宋体" w:cs="宋体"/>
          <w:sz w:val="24"/>
          <w:szCs w:val="24"/>
        </w:rPr>
        <w:fldChar w:fldCharType="separate"/>
      </w:r>
      <w:r>
        <w:rPr>
          <w:rStyle w:val="57"/>
          <w:rFonts w:hint="eastAsia" w:ascii="宋体" w:hAnsi="宋体" w:eastAsia="宋体" w:cs="宋体"/>
          <w:color w:val="000000" w:themeColor="text1"/>
          <w:sz w:val="24"/>
          <w:szCs w:val="24"/>
          <w:u w:val="none"/>
          <w14:textFill>
            <w14:solidFill>
              <w14:schemeClr w14:val="tx1"/>
            </w14:solidFill>
          </w14:textFill>
        </w:rPr>
        <w:t>1</w:t>
      </w:r>
      <w:r>
        <w:rPr>
          <w:rStyle w:val="57"/>
          <w:rFonts w:hint="eastAsia" w:ascii="宋体" w:hAnsi="宋体" w:eastAsia="宋体" w:cs="宋体"/>
          <w:color w:val="000000" w:themeColor="text1"/>
          <w:sz w:val="24"/>
          <w:szCs w:val="24"/>
          <w:u w:val="none"/>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项中列清。</w:t>
      </w:r>
    </w:p>
    <w:p>
      <w:pPr>
        <w:keepNext w:val="0"/>
        <w:keepLines w:val="0"/>
        <w:pageBreakBefore w:val="0"/>
        <w:kinsoku/>
        <w:wordWrap/>
        <w:topLinePunct w:val="0"/>
        <w:bidi w:val="0"/>
        <w:spacing w:line="3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1.3、工程资金</w:t>
      </w:r>
    </w:p>
    <w:p>
      <w:pPr>
        <w:keepNext w:val="0"/>
        <w:keepLines w:val="0"/>
        <w:pageBreakBefore w:val="0"/>
        <w:kinsoku/>
        <w:wordWrap/>
        <w:topLinePunct w:val="0"/>
        <w:bidi w:val="0"/>
        <w:spacing w:line="3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1.3.1、本工程的资金来源已在投标人须知前附表第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"_Hlk39211204#_Hlk39211204" </w:instrText>
      </w:r>
      <w:r>
        <w:rPr>
          <w:rFonts w:hint="eastAsia" w:ascii="宋体" w:hAnsi="宋体" w:eastAsia="宋体" w:cs="宋体"/>
          <w:sz w:val="24"/>
          <w:szCs w:val="24"/>
        </w:rPr>
        <w:fldChar w:fldCharType="separate"/>
      </w:r>
      <w:r>
        <w:rPr>
          <w:rStyle w:val="57"/>
          <w:rFonts w:hint="eastAsia" w:ascii="宋体" w:hAnsi="宋体" w:eastAsia="宋体" w:cs="宋体"/>
          <w:color w:val="000000" w:themeColor="text1"/>
          <w:sz w:val="24"/>
          <w:szCs w:val="24"/>
          <w:u w:val="none"/>
          <w14:textFill>
            <w14:solidFill>
              <w14:schemeClr w14:val="tx1"/>
            </w14:solidFill>
          </w14:textFill>
        </w:rPr>
        <w:t>2</w:t>
      </w:r>
      <w:r>
        <w:rPr>
          <w:rStyle w:val="57"/>
          <w:rFonts w:hint="eastAsia" w:ascii="宋体" w:hAnsi="宋体" w:eastAsia="宋体" w:cs="宋体"/>
          <w:color w:val="000000" w:themeColor="text1"/>
          <w:sz w:val="24"/>
          <w:szCs w:val="24"/>
          <w:u w:val="none"/>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项列清。</w:t>
      </w:r>
    </w:p>
    <w:p>
      <w:pPr>
        <w:keepNext w:val="0"/>
        <w:keepLines w:val="0"/>
        <w:pageBreakBefore w:val="0"/>
        <w:kinsoku/>
        <w:wordWrap/>
        <w:topLinePunct w:val="0"/>
        <w:bidi w:val="0"/>
        <w:spacing w:line="3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1.3.2、本工程资金到位情况已在投标人须知前附表第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"_Hlk39211257#_Hlk39211257" </w:instrText>
      </w:r>
      <w:r>
        <w:rPr>
          <w:rFonts w:hint="eastAsia" w:ascii="宋体" w:hAnsi="宋体" w:eastAsia="宋体" w:cs="宋体"/>
          <w:sz w:val="24"/>
          <w:szCs w:val="24"/>
        </w:rPr>
        <w:fldChar w:fldCharType="separate"/>
      </w:r>
      <w:r>
        <w:rPr>
          <w:rStyle w:val="57"/>
          <w:rFonts w:hint="eastAsia" w:ascii="宋体" w:hAnsi="宋体" w:eastAsia="宋体" w:cs="宋体"/>
          <w:color w:val="000000" w:themeColor="text1"/>
          <w:sz w:val="24"/>
          <w:szCs w:val="24"/>
          <w:u w:val="none"/>
          <w14:textFill>
            <w14:solidFill>
              <w14:schemeClr w14:val="tx1"/>
            </w14:solidFill>
          </w14:textFill>
        </w:rPr>
        <w:t>2</w:t>
      </w:r>
      <w:r>
        <w:rPr>
          <w:rStyle w:val="57"/>
          <w:rFonts w:hint="eastAsia" w:ascii="宋体" w:hAnsi="宋体" w:eastAsia="宋体" w:cs="宋体"/>
          <w:color w:val="000000" w:themeColor="text1"/>
          <w:sz w:val="24"/>
          <w:szCs w:val="24"/>
          <w:u w:val="none"/>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项列清。</w:t>
      </w:r>
    </w:p>
    <w:p>
      <w:pPr>
        <w:keepNext w:val="0"/>
        <w:keepLines w:val="0"/>
        <w:pageBreakBefore w:val="0"/>
        <w:kinsoku/>
        <w:wordWrap/>
        <w:topLinePunct w:val="0"/>
        <w:bidi w:val="0"/>
        <w:spacing w:line="3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1.3.3、本工程的部分资金用于合同范围内合格下的支付。</w:t>
      </w:r>
    </w:p>
    <w:p>
      <w:pPr>
        <w:keepNext w:val="0"/>
        <w:keepLines w:val="0"/>
        <w:pageBreakBefore w:val="0"/>
        <w:kinsoku/>
        <w:wordWrap/>
        <w:topLinePunct w:val="0"/>
        <w:bidi w:val="0"/>
        <w:spacing w:line="3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1.4、招标方式</w:t>
      </w:r>
    </w:p>
    <w:p>
      <w:pPr>
        <w:keepNext w:val="0"/>
        <w:keepLines w:val="0"/>
        <w:pageBreakBefore w:val="0"/>
        <w:kinsoku/>
        <w:wordWrap/>
        <w:topLinePunct w:val="0"/>
        <w:bidi w:val="0"/>
        <w:spacing w:line="3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1.4.1、本工程招标方式</w:t>
      </w:r>
      <w:r>
        <w:rPr>
          <w:rFonts w:hint="eastAsia" w:ascii="宋体" w:hAnsi="宋体" w:eastAsia="宋体" w:cs="宋体"/>
          <w:bCs/>
          <w:color w:val="000000" w:themeColor="text1"/>
          <w:sz w:val="24"/>
          <w:szCs w:val="24"/>
          <w14:textFill>
            <w14:solidFill>
              <w14:schemeClr w14:val="tx1"/>
            </w14:solidFill>
          </w14:textFill>
        </w:rPr>
        <w:t>已在投标人须知前附表第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"_Hlk39211314#_Hlk39211314" </w:instrText>
      </w:r>
      <w:r>
        <w:rPr>
          <w:rFonts w:hint="eastAsia" w:ascii="宋体" w:hAnsi="宋体" w:eastAsia="宋体" w:cs="宋体"/>
          <w:sz w:val="24"/>
          <w:szCs w:val="24"/>
        </w:rPr>
        <w:fldChar w:fldCharType="separate"/>
      </w:r>
      <w:r>
        <w:rPr>
          <w:rStyle w:val="57"/>
          <w:rFonts w:hint="eastAsia" w:ascii="宋体" w:hAnsi="宋体" w:eastAsia="宋体" w:cs="宋体"/>
          <w:color w:val="000000" w:themeColor="text1"/>
          <w:sz w:val="24"/>
          <w:szCs w:val="24"/>
          <w:u w:val="none"/>
          <w14:textFill>
            <w14:solidFill>
              <w14:schemeClr w14:val="tx1"/>
            </w14:solidFill>
          </w14:textFill>
        </w:rPr>
        <w:t>1</w:t>
      </w:r>
      <w:r>
        <w:rPr>
          <w:rStyle w:val="57"/>
          <w:rFonts w:hint="eastAsia" w:ascii="宋体" w:hAnsi="宋体" w:eastAsia="宋体" w:cs="宋体"/>
          <w:color w:val="000000" w:themeColor="text1"/>
          <w:sz w:val="24"/>
          <w:szCs w:val="24"/>
          <w:u w:val="none"/>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项列清。</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1.5、合格投标人</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1.5.1、投标人最低资质要求</w:t>
      </w:r>
      <w:r>
        <w:rPr>
          <w:rFonts w:hint="eastAsia" w:ascii="宋体" w:hAnsi="宋体" w:eastAsia="宋体" w:cs="宋体"/>
          <w:bCs/>
          <w:color w:val="000000" w:themeColor="text1"/>
          <w:sz w:val="24"/>
          <w:szCs w:val="24"/>
          <w14:textFill>
            <w14:solidFill>
              <w14:schemeClr w14:val="tx1"/>
            </w14:solidFill>
          </w14:textFill>
        </w:rPr>
        <w:t>已在投标人须知前附表第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"_Hlk39211347#_Hlk39211347" </w:instrText>
      </w:r>
      <w:r>
        <w:rPr>
          <w:rFonts w:hint="eastAsia" w:ascii="宋体" w:hAnsi="宋体" w:eastAsia="宋体" w:cs="宋体"/>
          <w:sz w:val="24"/>
          <w:szCs w:val="24"/>
        </w:rPr>
        <w:fldChar w:fldCharType="separate"/>
      </w:r>
      <w:r>
        <w:rPr>
          <w:rStyle w:val="57"/>
          <w:rFonts w:hint="eastAsia" w:ascii="宋体" w:hAnsi="宋体" w:eastAsia="宋体" w:cs="宋体"/>
          <w:color w:val="000000" w:themeColor="text1"/>
          <w:sz w:val="24"/>
          <w:szCs w:val="24"/>
          <w:u w:val="none"/>
          <w14:textFill>
            <w14:solidFill>
              <w14:schemeClr w14:val="tx1"/>
            </w14:solidFill>
          </w14:textFill>
        </w:rPr>
        <w:t>3</w:t>
      </w:r>
      <w:r>
        <w:rPr>
          <w:rStyle w:val="57"/>
          <w:rFonts w:hint="eastAsia" w:ascii="宋体" w:hAnsi="宋体" w:eastAsia="宋体" w:cs="宋体"/>
          <w:color w:val="000000" w:themeColor="text1"/>
          <w:sz w:val="24"/>
          <w:szCs w:val="24"/>
          <w:u w:val="none"/>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项列清</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1.5.2、本工程采用资格后审方式确定合格投标人。</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1.5.3、本工程不接受联合体投标。</w:t>
      </w:r>
    </w:p>
    <w:p>
      <w:pPr>
        <w:keepNext w:val="0"/>
        <w:keepLines w:val="0"/>
        <w:pageBreakBefore w:val="0"/>
        <w:kinsoku/>
        <w:wordWrap/>
        <w:topLinePunct w:val="0"/>
        <w:bidi w:val="0"/>
        <w:spacing w:line="360" w:lineRule="exact"/>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1.5.4、招标人有权要求各投标人提供更为完整、更详细的投标人资料，以便资格</w:t>
      </w:r>
      <w:r>
        <w:rPr>
          <w:rFonts w:hint="eastAsia" w:ascii="宋体" w:hAnsi="宋体" w:eastAsia="宋体" w:cs="宋体"/>
          <w:color w:val="000000" w:themeColor="text1"/>
          <w:sz w:val="24"/>
          <w:szCs w:val="24"/>
          <w:lang w:eastAsia="zh-CN"/>
          <w14:textFill>
            <w14:solidFill>
              <w14:schemeClr w14:val="tx1"/>
            </w14:solidFill>
          </w14:textFill>
        </w:rPr>
        <w:t>审查</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wordWrap/>
        <w:topLinePunct w:val="0"/>
        <w:bidi w:val="0"/>
        <w:spacing w:line="360" w:lineRule="exact"/>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1.6、投标费用</w:t>
      </w:r>
    </w:p>
    <w:p>
      <w:pPr>
        <w:pStyle w:val="39"/>
        <w:keepNext w:val="0"/>
        <w:keepLines w:val="0"/>
        <w:pageBreakBefore w:val="0"/>
        <w:kinsoku/>
        <w:wordWrap/>
        <w:topLinePunct w:val="0"/>
        <w:bidi w:val="0"/>
        <w:spacing w:line="360" w:lineRule="exact"/>
        <w:ind w:left="0" w:leftChars="0" w:firstLine="484" w:firstLineChars="202"/>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14:textFill>
            <w14:solidFill>
              <w14:schemeClr w14:val="tx1"/>
            </w14:solidFill>
          </w14:textFill>
        </w:rPr>
        <w:t>1.6.1、</w:t>
      </w:r>
      <w:r>
        <w:rPr>
          <w:rFonts w:hint="eastAsia" w:ascii="宋体" w:hAnsi="宋体" w:eastAsia="宋体" w:cs="宋体"/>
          <w:b/>
          <w:bCs/>
          <w:color w:val="000000" w:themeColor="text1"/>
          <w:kern w:val="2"/>
          <w:sz w:val="24"/>
          <w:szCs w:val="24"/>
          <w14:textFill>
            <w14:solidFill>
              <w14:schemeClr w14:val="tx1"/>
            </w14:solidFill>
          </w14:textFill>
        </w:rPr>
        <w:t>投标人应承担其编制投标文件与递交投标文件所涉及的一切费用，不论投标结果如何，招标人对上述费用不做任何补偿。</w:t>
      </w:r>
    </w:p>
    <w:p>
      <w:pPr>
        <w:pStyle w:val="39"/>
        <w:keepNext w:val="0"/>
        <w:keepLines w:val="0"/>
        <w:pageBreakBefore w:val="0"/>
        <w:kinsoku/>
        <w:wordWrap/>
        <w:topLinePunct w:val="0"/>
        <w:bidi w:val="0"/>
        <w:spacing w:line="360" w:lineRule="exact"/>
        <w:ind w:left="0" w:leftChars="0" w:firstLine="487" w:firstLineChars="202"/>
        <w:jc w:val="both"/>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2、招标文件</w:t>
      </w:r>
    </w:p>
    <w:p>
      <w:pPr>
        <w:keepNext w:val="0"/>
        <w:keepLines w:val="0"/>
        <w:pageBreakBefore w:val="0"/>
        <w:kinsoku/>
        <w:wordWrap/>
        <w:topLinePunct w:val="0"/>
        <w:bidi w:val="0"/>
        <w:spacing w:line="360" w:lineRule="exact"/>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2.1、招标文件组成</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2.1.1、招标文件由本文件及由招标人按招标文件有关规定发出的招标文件补充构成。</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2.1.2、招标文件的澄清、修改、招标答疑会纪要等书面材料在本招标工程中均称招标文件补充。</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pPr>
        <w:pStyle w:val="39"/>
        <w:keepNext w:val="0"/>
        <w:keepLines w:val="0"/>
        <w:pageBreakBefore w:val="0"/>
        <w:kinsoku/>
        <w:wordWrap/>
        <w:topLinePunct w:val="0"/>
        <w:bidi w:val="0"/>
        <w:spacing w:line="360" w:lineRule="exact"/>
        <w:ind w:left="0" w:leftChars="0" w:firstLine="566" w:firstLineChars="23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2.1.4、投标人应认真审阅和理解招标文件所有内容，尤其应注意有“</w:t>
      </w:r>
      <w:r>
        <w:rPr>
          <w:rFonts w:hint="eastAsia" w:ascii="宋体" w:hAnsi="宋体" w:eastAsia="宋体" w:cs="宋体"/>
          <w:b/>
          <w:bCs w:val="0"/>
          <w:color w:val="000000" w:themeColor="text1"/>
          <w:sz w:val="24"/>
          <w:szCs w:val="24"/>
          <w14:textFill>
            <w14:solidFill>
              <w14:schemeClr w14:val="tx1"/>
            </w14:solidFill>
          </w14:textFill>
        </w:rPr>
        <w:t>废标”、“拒绝评审”</w:t>
      </w:r>
      <w:r>
        <w:rPr>
          <w:rFonts w:hint="eastAsia" w:ascii="宋体" w:hAnsi="宋体" w:eastAsia="宋体" w:cs="宋体"/>
          <w:color w:val="000000" w:themeColor="text1"/>
          <w:sz w:val="24"/>
          <w:szCs w:val="24"/>
          <w14:textFill>
            <w14:solidFill>
              <w14:schemeClr w14:val="tx1"/>
            </w14:solidFill>
          </w14:textFill>
        </w:rPr>
        <w:t>字样的条款，否则引起的后果由投标人自负。</w:t>
      </w:r>
    </w:p>
    <w:p>
      <w:pPr>
        <w:pStyle w:val="39"/>
        <w:keepNext w:val="0"/>
        <w:keepLines w:val="0"/>
        <w:pageBreakBefore w:val="0"/>
        <w:kinsoku/>
        <w:wordWrap/>
        <w:topLinePunct w:val="0"/>
        <w:bidi w:val="0"/>
        <w:spacing w:line="360" w:lineRule="exact"/>
        <w:ind w:left="0" w:leftChars="0" w:firstLine="566" w:firstLineChars="23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2.2、招标文件澄清</w:t>
      </w:r>
    </w:p>
    <w:p>
      <w:pPr>
        <w:pStyle w:val="39"/>
        <w:keepNext w:val="0"/>
        <w:keepLines w:val="0"/>
        <w:pageBreakBefore w:val="0"/>
        <w:kinsoku/>
        <w:wordWrap/>
        <w:topLinePunct w:val="0"/>
        <w:bidi w:val="0"/>
        <w:spacing w:line="360" w:lineRule="exact"/>
        <w:ind w:left="0" w:leftChars="0" w:firstLine="566" w:firstLineChars="23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投标人收到招标文件后，若有疑问需要澄清的，应于收到招标文件之日起至投标截止日期十日前以书面形式向招标人提出，招标人将以招标文件补充形式予以解答并及时送至所有投标人，否则招标人不作任何解释。</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2.3、招标文件修改</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2.3.1、投标截止十五日前，招标人都可能会以招标文件补充形式修改招标文件。</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2.3.3、为使投标人在编制投标文件时把招标文件补充内容考虑进去，招标人应延长递交投标文件的截止时间，具体时间将在招标文件补充中写明。</w:t>
      </w:r>
    </w:p>
    <w:p>
      <w:pPr>
        <w:keepNext w:val="0"/>
        <w:keepLines w:val="0"/>
        <w:pageBreakBefore w:val="0"/>
        <w:kinsoku/>
        <w:wordWrap/>
        <w:topLinePunct w:val="0"/>
        <w:autoSpaceDE w:val="0"/>
        <w:autoSpaceDN w:val="0"/>
        <w:bidi w:val="0"/>
        <w:adjustRightInd w:val="0"/>
        <w:spacing w:line="360" w:lineRule="exact"/>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、招标控制价</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2.4.1、招标控制价：招标人根据国家或省级、行业建设主管部门颁发的有关计价依据和办法，以及拟定的招标文件和招标工程量清单，结合工程具体情况编制的招标工程的最高投标限价。</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2.4.2、国有资金投资的工程建设项目应实行工程量清单招标，并应编制招标控制价。招标控制价超过批准的概算时，招标人应将其报原概算部门审核。投标人的投标报价高于招标控制价的，其投标应予以拒绝。</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2.4.3、招标控制价应由具有编制能力的招标人，或受其委托具有相应资质的工程造价咨询人编制。</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2.4.4、招标控制价应依据《建设工程工程量清单计价规范》GB50500-2013 和国家或省级、行业建设主管部门颁发的计价定额和计价办法编制。</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2.4.5、招标控制价应在招标时公布，不应上调或下浮。 </w:t>
      </w:r>
    </w:p>
    <w:p>
      <w:pPr>
        <w:keepNext w:val="0"/>
        <w:keepLines w:val="0"/>
        <w:pageBreakBefore w:val="0"/>
        <w:kinsoku/>
        <w:wordWrap/>
        <w:topLinePunct w:val="0"/>
        <w:bidi w:val="0"/>
        <w:spacing w:line="360" w:lineRule="exact"/>
        <w:ind w:firstLine="489" w:firstLineChars="203"/>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kern w:val="0"/>
          <w:sz w:val="24"/>
          <w:szCs w:val="24"/>
          <w14:textFill>
            <w14:solidFill>
              <w14:schemeClr w14:val="tx1"/>
            </w14:solidFill>
          </w14:textFill>
        </w:rPr>
        <w:t>投标报价</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3.1、本工程投标计价方式已在</w:t>
      </w:r>
      <w:r>
        <w:rPr>
          <w:rFonts w:hint="eastAsia" w:ascii="宋体" w:hAnsi="宋体" w:eastAsia="宋体" w:cs="宋体"/>
          <w:bCs/>
          <w:color w:val="000000" w:themeColor="text1"/>
          <w:sz w:val="24"/>
          <w:szCs w:val="24"/>
          <w14:textFill>
            <w14:solidFill>
              <w14:schemeClr w14:val="tx1"/>
            </w14:solidFill>
          </w14:textFill>
        </w:rPr>
        <w:t>投标人须知前附表第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"_Hlk38642163#_Hlk38642163" </w:instrText>
      </w:r>
      <w:r>
        <w:rPr>
          <w:rFonts w:hint="eastAsia" w:ascii="宋体" w:hAnsi="宋体" w:eastAsia="宋体" w:cs="宋体"/>
          <w:sz w:val="24"/>
          <w:szCs w:val="24"/>
        </w:rPr>
        <w:fldChar w:fldCharType="separate"/>
      </w:r>
      <w:r>
        <w:rPr>
          <w:rStyle w:val="57"/>
          <w:rFonts w:hint="eastAsia" w:ascii="宋体" w:hAnsi="宋体" w:eastAsia="宋体" w:cs="宋体"/>
          <w:color w:val="000000" w:themeColor="text1"/>
          <w:sz w:val="24"/>
          <w:szCs w:val="24"/>
          <w:u w:val="none"/>
          <w14:textFill>
            <w14:solidFill>
              <w14:schemeClr w14:val="tx1"/>
            </w14:solidFill>
          </w14:textFill>
        </w:rPr>
        <w:t>1</w:t>
      </w:r>
      <w:r>
        <w:rPr>
          <w:rStyle w:val="57"/>
          <w:rFonts w:hint="eastAsia" w:ascii="宋体" w:hAnsi="宋体" w:eastAsia="宋体" w:cs="宋体"/>
          <w:color w:val="000000" w:themeColor="text1"/>
          <w:sz w:val="24"/>
          <w:szCs w:val="24"/>
          <w:u w:val="none"/>
          <w:lang w:val="en-US" w:eastAsia="zh-CN"/>
          <w14:textFill>
            <w14:solidFill>
              <w14:schemeClr w14:val="tx1"/>
            </w14:solidFill>
          </w14:textFill>
        </w:rPr>
        <w:t>2</w:t>
      </w:r>
      <w:r>
        <w:rPr>
          <w:rStyle w:val="57"/>
          <w:rFonts w:hint="eastAsia" w:ascii="宋体" w:hAnsi="宋体" w:eastAsia="宋体" w:cs="宋体"/>
          <w:color w:val="000000" w:themeColor="text1"/>
          <w:sz w:val="24"/>
          <w:szCs w:val="24"/>
          <w:u w:val="none"/>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项列清。</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3.2、</w:t>
      </w:r>
      <w:r>
        <w:rPr>
          <w:rFonts w:hint="eastAsia" w:ascii="宋体" w:hAnsi="宋体" w:eastAsia="宋体" w:cs="宋体"/>
          <w:bCs/>
          <w:color w:val="000000" w:themeColor="text1"/>
          <w:sz w:val="24"/>
          <w:szCs w:val="24"/>
          <w14:textFill>
            <w14:solidFill>
              <w14:schemeClr w14:val="tx1"/>
            </w14:solidFill>
          </w14:textFill>
        </w:rPr>
        <w:t>工程量清单计价中的综合单价是指完成一个规定清单项目所需的人工费、材料和工程设备费、施工机具使用费和企业管理费、利润以及一定范围内的风险费用。</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3.3、投标人应当根据《建设工程工程量清单计价规范》GB50500-2013、企业定额及当地市场因素及工程特点等报出综合单价。</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3.4、除非招标人对招标文件予以修改，投标人应按招标人提供的工程量清单中列出的工程项目和工程量填报单价和合价。</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3.5、每一项目只允许有一个报价，任何有选择的报价将不予接受，视为废标。</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3.6、投标人没有填入单价或价格的细目在实施时业主将不予支付，并认为此子目的费用已包括在工程量清单的其它单价和价格之中。</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3.7、投标价由投标人自主确定，但不得低于成本；投标价应由投标人或受其委托具有相应资质的工程造价咨询人编制。</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3.7.1</w:t>
      </w:r>
      <w:r>
        <w:rPr>
          <w:rFonts w:hint="eastAsia" w:ascii="宋体" w:hAnsi="宋体" w:eastAsia="宋体" w:cs="宋体"/>
          <w:color w:val="000000" w:themeColor="text1"/>
          <w:sz w:val="24"/>
          <w:szCs w:val="24"/>
          <w:lang w:val="zh-CN"/>
          <w14:textFill>
            <w14:solidFill>
              <w14:schemeClr w14:val="tx1"/>
            </w14:solidFill>
          </w14:textFill>
        </w:rPr>
        <w:t>根据招标人提供的全套施工图，投标人如果认为招标文件清单所提供的工程量有误差或漏项，在答疑前必须</w:t>
      </w:r>
      <w:r>
        <w:rPr>
          <w:rFonts w:hint="eastAsia" w:ascii="宋体" w:hAnsi="宋体" w:cs="宋体"/>
          <w:color w:val="000000" w:themeColor="text1"/>
          <w:sz w:val="24"/>
          <w:szCs w:val="24"/>
          <w:lang w:val="en-US" w:eastAsia="zh-CN"/>
          <w14:textFill>
            <w14:solidFill>
              <w14:schemeClr w14:val="tx1"/>
            </w14:solidFill>
          </w14:textFill>
        </w:rPr>
        <w:t>以</w:t>
      </w:r>
      <w:r>
        <w:rPr>
          <w:rFonts w:hint="eastAsia" w:ascii="宋体" w:hAnsi="宋体" w:eastAsia="宋体" w:cs="宋体"/>
          <w:color w:val="000000" w:themeColor="text1"/>
          <w:sz w:val="24"/>
          <w:szCs w:val="24"/>
          <w:lang w:val="zh-CN"/>
          <w14:textFill>
            <w14:solidFill>
              <w14:schemeClr w14:val="tx1"/>
            </w14:solidFill>
          </w14:textFill>
        </w:rPr>
        <w:t>书面</w:t>
      </w:r>
      <w:r>
        <w:rPr>
          <w:rFonts w:hint="eastAsia" w:ascii="宋体" w:hAnsi="宋体" w:cs="宋体"/>
          <w:color w:val="000000" w:themeColor="text1"/>
          <w:sz w:val="24"/>
          <w:szCs w:val="24"/>
          <w:lang w:val="en-US" w:eastAsia="zh-CN"/>
          <w14:textFill>
            <w14:solidFill>
              <w14:schemeClr w14:val="tx1"/>
            </w14:solidFill>
          </w14:textFill>
        </w:rPr>
        <w:t>方式</w:t>
      </w:r>
      <w:r>
        <w:rPr>
          <w:rFonts w:hint="eastAsia" w:ascii="宋体" w:hAnsi="宋体" w:eastAsia="宋体" w:cs="宋体"/>
          <w:color w:val="000000" w:themeColor="text1"/>
          <w:sz w:val="24"/>
          <w:szCs w:val="24"/>
          <w:lang w:val="zh-CN"/>
          <w14:textFill>
            <w14:solidFill>
              <w14:schemeClr w14:val="tx1"/>
            </w14:solidFill>
          </w14:textFill>
        </w:rPr>
        <w:t>提出，否则视为清单无误或无漏项，在项目实施过程中将不予调整（由于设计变更发生的工程量的增减按实际调整），合同专用条款中可调整的情况除外</w:t>
      </w:r>
      <w:r>
        <w:rPr>
          <w:rFonts w:hint="eastAsia" w:ascii="宋体" w:hAnsi="宋体" w:cs="宋体"/>
          <w:color w:val="000000" w:themeColor="text1"/>
          <w:sz w:val="24"/>
          <w:szCs w:val="24"/>
          <w:lang w:val="zh-CN"/>
          <w14:textFill>
            <w14:solidFill>
              <w14:schemeClr w14:val="tx1"/>
            </w14:solidFill>
          </w14:textFill>
        </w:rPr>
        <w:t>；</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3.7.2</w:t>
      </w:r>
      <w:r>
        <w:rPr>
          <w:rFonts w:hint="eastAsia" w:ascii="宋体" w:hAnsi="宋体" w:eastAsia="宋体" w:cs="宋体"/>
          <w:color w:val="000000" w:themeColor="text1"/>
          <w:sz w:val="24"/>
          <w:szCs w:val="24"/>
          <w:lang w:val="zh-CN"/>
          <w14:textFill>
            <w14:solidFill>
              <w14:schemeClr w14:val="tx1"/>
            </w14:solidFill>
          </w14:textFill>
        </w:rPr>
        <w:t>暂列金额需明确，含在投标人的投标总报价中，如若未进入投标总报价中或未按招标人要求的金额进入总报价均按废标处理（暂列金额是发包人为工程变更而预留的金额归发包人所有，未发生支出发包人应从工程</w:t>
      </w:r>
      <w:r>
        <w:rPr>
          <w:rFonts w:hint="eastAsia" w:ascii="宋体" w:hAnsi="宋体" w:cs="宋体"/>
          <w:color w:val="000000" w:themeColor="text1"/>
          <w:sz w:val="24"/>
          <w:szCs w:val="24"/>
          <w:lang w:val="en-US" w:eastAsia="zh-CN"/>
          <w14:textFill>
            <w14:solidFill>
              <w14:schemeClr w14:val="tx1"/>
            </w14:solidFill>
          </w14:textFill>
        </w:rPr>
        <w:t>结</w:t>
      </w:r>
      <w:r>
        <w:rPr>
          <w:rFonts w:hint="eastAsia" w:ascii="宋体" w:hAnsi="宋体" w:eastAsia="宋体" w:cs="宋体"/>
          <w:color w:val="000000" w:themeColor="text1"/>
          <w:sz w:val="24"/>
          <w:szCs w:val="24"/>
          <w:lang w:val="zh-CN"/>
          <w14:textFill>
            <w14:solidFill>
              <w14:schemeClr w14:val="tx1"/>
            </w14:solidFill>
          </w14:textFill>
        </w:rPr>
        <w:t>算中扣回）</w:t>
      </w:r>
      <w:r>
        <w:rPr>
          <w:rFonts w:hint="eastAsia" w:ascii="宋体" w:hAnsi="宋体" w:cs="宋体"/>
          <w:color w:val="000000" w:themeColor="text1"/>
          <w:sz w:val="24"/>
          <w:szCs w:val="24"/>
          <w:lang w:val="zh-CN"/>
          <w14:textFill>
            <w14:solidFill>
              <w14:schemeClr w14:val="tx1"/>
            </w14:solidFill>
          </w14:textFill>
        </w:rPr>
        <w:t>；</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3.7.3 </w:t>
      </w:r>
      <w:r>
        <w:rPr>
          <w:rFonts w:hint="eastAsia" w:ascii="宋体" w:hAnsi="宋体" w:eastAsia="宋体" w:cs="宋体"/>
          <w:color w:val="000000" w:themeColor="text1"/>
          <w:sz w:val="24"/>
          <w:szCs w:val="24"/>
          <w:lang w:val="zh-CN"/>
          <w14:textFill>
            <w14:solidFill>
              <w14:schemeClr w14:val="tx1"/>
            </w14:solidFill>
          </w14:textFill>
        </w:rPr>
        <w:t>投标人应先到工地踏勘以充分了解工地位置、情况、道路、储存空间、装卸限制及任何其它足以影响承包价的情况，在投标报价中考虑，任何因忽视或误解工地情况而导致的索赔或工期延长申请将不获批准</w:t>
      </w:r>
      <w:r>
        <w:rPr>
          <w:rFonts w:hint="eastAsia" w:ascii="宋体" w:hAnsi="宋体" w:cs="宋体"/>
          <w:color w:val="000000" w:themeColor="text1"/>
          <w:sz w:val="24"/>
          <w:szCs w:val="24"/>
          <w:lang w:val="zh-CN"/>
          <w14:textFill>
            <w14:solidFill>
              <w14:schemeClr w14:val="tx1"/>
            </w14:solidFill>
          </w14:textFill>
        </w:rPr>
        <w:t>；</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7.4</w:t>
      </w:r>
      <w:r>
        <w:rPr>
          <w:rFonts w:hint="eastAsia" w:ascii="宋体" w:hAnsi="宋体" w:eastAsia="宋体" w:cs="宋体"/>
          <w:color w:val="000000" w:themeColor="text1"/>
          <w:sz w:val="24"/>
          <w:szCs w:val="24"/>
          <w:lang w:val="zh-CN"/>
          <w14:textFill>
            <w14:solidFill>
              <w14:schemeClr w14:val="tx1"/>
            </w14:solidFill>
          </w14:textFill>
        </w:rPr>
        <w:t>除非招标人通过修改招标文件予以更正或招标文件另有规定，否则，投标人应按工程量清单的项目和数量进行报价。</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3.8</w:t>
      </w:r>
      <w:r>
        <w:rPr>
          <w:rFonts w:hint="eastAsia" w:ascii="宋体" w:hAnsi="宋体" w:eastAsia="宋体" w:cs="宋体"/>
          <w:b/>
          <w:bCs/>
          <w:color w:val="000000" w:themeColor="text1"/>
          <w:sz w:val="24"/>
          <w:szCs w:val="24"/>
          <w:lang w:val="zh-CN"/>
          <w14:textFill>
            <w14:solidFill>
              <w14:schemeClr w14:val="tx1"/>
            </w14:solidFill>
          </w14:textFill>
        </w:rPr>
        <w:t>、投标人应按招标人提供的工程量清单填报价格。填写的项目编码、项目名称、项目特征描述、计量单位、工程量必须与招标人提供的一致。</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3.9</w:t>
      </w:r>
      <w:r>
        <w:rPr>
          <w:rFonts w:hint="eastAsia" w:ascii="宋体" w:hAnsi="宋体" w:eastAsia="宋体" w:cs="宋体"/>
          <w:color w:val="000000" w:themeColor="text1"/>
          <w:sz w:val="24"/>
          <w:szCs w:val="24"/>
          <w:lang w:val="zh-CN"/>
          <w14:textFill>
            <w14:solidFill>
              <w14:schemeClr w14:val="tx1"/>
            </w14:solidFill>
          </w14:textFill>
        </w:rPr>
        <w:t>、分部分项工程费应依据综合单价的组成内容，按招标文件中分部分项工程量清单项目的特征描述确定综合单价计算；综合单价中应考虑招标文件中要求投标人承担的风险费用；招标文件中提供了暂估单价的材料、工程设备，按暂估的单价计入综合单价。</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3.10</w:t>
      </w:r>
      <w:r>
        <w:rPr>
          <w:rFonts w:hint="eastAsia" w:ascii="宋体" w:hAnsi="宋体" w:eastAsia="宋体" w:cs="宋体"/>
          <w:color w:val="000000" w:themeColor="text1"/>
          <w:sz w:val="24"/>
          <w:szCs w:val="24"/>
          <w:lang w:val="zh-CN"/>
          <w14:textFill>
            <w14:solidFill>
              <w14:schemeClr w14:val="tx1"/>
            </w14:solidFill>
          </w14:textFill>
        </w:rPr>
        <w:t>、措施项目费的内容应依据招标文件中的措施项目清单及投标时拟定的施工组织设计或施工方案；其计价方式应根据招标文件的规定，可以计算工程量的措施项目，应按分部分项工程量清单的方式采用综合单价计价；其余的措施项目采用以“项”为单位的方式报价；措施项目费由投标人自主报价，但其中</w:t>
      </w:r>
      <w:r>
        <w:rPr>
          <w:rFonts w:hint="eastAsia" w:ascii="宋体" w:hAnsi="宋体" w:eastAsia="宋体" w:cs="宋体"/>
          <w:b/>
          <w:bCs/>
          <w:color w:val="000000" w:themeColor="text1"/>
          <w:sz w:val="24"/>
          <w:szCs w:val="24"/>
          <w:lang w:val="zh-CN"/>
          <w14:textFill>
            <w14:solidFill>
              <w14:schemeClr w14:val="tx1"/>
            </w14:solidFill>
          </w14:textFill>
        </w:rPr>
        <w:t>安全文明施工费、扬尘污染防治措施增加费等应按照国家或省级、行业建设主管部门的规定计价，不得作为竞争性费用。</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w:t>
      </w:r>
      <w:r>
        <w:rPr>
          <w:rFonts w:hint="eastAsia" w:ascii="宋体" w:hAnsi="宋体" w:eastAsia="宋体" w:cs="宋体"/>
          <w:color w:val="000000" w:themeColor="text1"/>
          <w:sz w:val="24"/>
          <w:szCs w:val="24"/>
          <w:lang w:val="zh-CN"/>
          <w14:textFill>
            <w14:solidFill>
              <w14:schemeClr w14:val="tx1"/>
            </w14:solidFill>
          </w14:textFill>
        </w:rPr>
        <w:t>、其它项目费应按下列规定报价：</w:t>
      </w:r>
    </w:p>
    <w:p>
      <w:pPr>
        <w:keepNext w:val="0"/>
        <w:keepLines w:val="0"/>
        <w:pageBreakBefore w:val="0"/>
        <w:kinsoku/>
        <w:wordWrap/>
        <w:topLinePunct w:val="0"/>
        <w:autoSpaceDE w:val="0"/>
        <w:autoSpaceDN w:val="0"/>
        <w:bidi w:val="0"/>
        <w:adjustRightIn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3.11.1</w:t>
      </w:r>
      <w:r>
        <w:rPr>
          <w:rFonts w:hint="eastAsia" w:ascii="宋体" w:hAnsi="宋体" w:eastAsia="宋体" w:cs="宋体"/>
          <w:color w:val="000000" w:themeColor="text1"/>
          <w:sz w:val="24"/>
          <w:szCs w:val="24"/>
          <w:lang w:val="zh-CN"/>
          <w14:textFill>
            <w14:solidFill>
              <w14:schemeClr w14:val="tx1"/>
            </w14:solidFill>
          </w14:textFill>
        </w:rPr>
        <w:t>、暂列金额应按招标人在其他项目清单中列出的金额填写，不得变动；</w:t>
      </w:r>
    </w:p>
    <w:p>
      <w:pPr>
        <w:keepNext w:val="0"/>
        <w:keepLines w:val="0"/>
        <w:pageBreakBefore w:val="0"/>
        <w:kinsoku/>
        <w:wordWrap/>
        <w:topLinePunct w:val="0"/>
        <w:autoSpaceDE w:val="0"/>
        <w:autoSpaceDN w:val="0"/>
        <w:bidi w:val="0"/>
        <w:adjustRightInd w:val="0"/>
        <w:spacing w:line="360" w:lineRule="exact"/>
        <w:ind w:firstLine="49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3.11.2</w:t>
      </w:r>
      <w:r>
        <w:rPr>
          <w:rFonts w:hint="eastAsia" w:ascii="宋体" w:hAnsi="宋体" w:eastAsia="宋体" w:cs="宋体"/>
          <w:color w:val="000000" w:themeColor="text1"/>
          <w:sz w:val="24"/>
          <w:szCs w:val="24"/>
          <w:lang w:val="zh-CN"/>
          <w14:textFill>
            <w14:solidFill>
              <w14:schemeClr w14:val="tx1"/>
            </w14:solidFill>
          </w14:textFill>
        </w:rPr>
        <w:t>、材料、工程设备暂估价应按招标人在其他项目清单中列出的单价计入综合单价；专业工程暂估价应按招标人在其他项目清单中列出的金额填写，不得变动和更改。</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topLinePunct w:val="0"/>
        <w:autoSpaceDE w:val="0"/>
        <w:autoSpaceDN w:val="0"/>
        <w:bidi w:val="0"/>
        <w:adjustRightInd w:val="0"/>
        <w:spacing w:line="360" w:lineRule="exact"/>
        <w:ind w:firstLine="495"/>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3.11.3</w:t>
      </w:r>
      <w:r>
        <w:rPr>
          <w:rFonts w:hint="eastAsia" w:ascii="宋体" w:hAnsi="宋体" w:eastAsia="宋体" w:cs="宋体"/>
          <w:color w:val="000000" w:themeColor="text1"/>
          <w:sz w:val="24"/>
          <w:szCs w:val="24"/>
          <w:lang w:val="zh-CN"/>
          <w14:textFill>
            <w14:solidFill>
              <w14:schemeClr w14:val="tx1"/>
            </w14:solidFill>
          </w14:textFill>
        </w:rPr>
        <w:t>、计日工按招标人在其他项目清单中列出的项目和数量，自主确定综合单价并计算计日工费用；</w:t>
      </w:r>
    </w:p>
    <w:p>
      <w:pPr>
        <w:keepNext w:val="0"/>
        <w:keepLines w:val="0"/>
        <w:pageBreakBefore w:val="0"/>
        <w:kinsoku/>
        <w:wordWrap/>
        <w:topLinePunct w:val="0"/>
        <w:autoSpaceDE w:val="0"/>
        <w:autoSpaceDN w:val="0"/>
        <w:bidi w:val="0"/>
        <w:adjustRightIn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3.11.4</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总承包服务费应根据招标工程量清单中列出的内容和提出的要求自主决定。</w:t>
      </w:r>
    </w:p>
    <w:p>
      <w:pPr>
        <w:keepNext w:val="0"/>
        <w:keepLines w:val="0"/>
        <w:pageBreakBefore w:val="0"/>
        <w:kinsoku/>
        <w:wordWrap/>
        <w:topLinePunct w:val="0"/>
        <w:autoSpaceDE w:val="0"/>
        <w:autoSpaceDN w:val="0"/>
        <w:bidi w:val="0"/>
        <w:adjustRightIn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3.12</w:t>
      </w:r>
      <w:r>
        <w:rPr>
          <w:rFonts w:hint="eastAsia" w:ascii="宋体" w:hAnsi="宋体" w:eastAsia="宋体" w:cs="宋体"/>
          <w:b/>
          <w:bCs/>
          <w:color w:val="000000" w:themeColor="text1"/>
          <w:sz w:val="24"/>
          <w:szCs w:val="24"/>
          <w:lang w:val="zh-CN"/>
          <w14:textFill>
            <w14:solidFill>
              <w14:schemeClr w14:val="tx1"/>
            </w14:solidFill>
          </w14:textFill>
        </w:rPr>
        <w:t>、规费和税金应按国家或省级、行业建设主管部门的规定计算，不得作为竞争性费用。</w:t>
      </w:r>
    </w:p>
    <w:p>
      <w:pPr>
        <w:keepNext w:val="0"/>
        <w:keepLines w:val="0"/>
        <w:pageBreakBefore w:val="0"/>
        <w:kinsoku/>
        <w:wordWrap/>
        <w:topLinePunct w:val="0"/>
        <w:autoSpaceDE w:val="0"/>
        <w:autoSpaceDN w:val="0"/>
        <w:bidi w:val="0"/>
        <w:adjustRightIn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3.13</w:t>
      </w:r>
      <w:r>
        <w:rPr>
          <w:rFonts w:hint="eastAsia" w:ascii="宋体" w:hAnsi="宋体" w:eastAsia="宋体" w:cs="宋体"/>
          <w:color w:val="000000" w:themeColor="text1"/>
          <w:sz w:val="24"/>
          <w:szCs w:val="24"/>
          <w:lang w:val="zh-CN"/>
          <w14:textFill>
            <w14:solidFill>
              <w14:schemeClr w14:val="tx1"/>
            </w14:solidFill>
          </w14:textFill>
        </w:rPr>
        <w:t>、投标总价应当与分部分项工程费、措施项目费、其他项目费和规费、税金的合计金额一致。</w:t>
      </w:r>
    </w:p>
    <w:p>
      <w:pPr>
        <w:keepNext w:val="0"/>
        <w:keepLines w:val="0"/>
        <w:pageBreakBefore w:val="0"/>
        <w:kinsoku/>
        <w:wordWrap/>
        <w:topLinePunct w:val="0"/>
        <w:bidi w:val="0"/>
        <w:spacing w:line="360" w:lineRule="exact"/>
        <w:ind w:firstLine="489" w:firstLineChars="203"/>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kern w:val="0"/>
          <w:sz w:val="24"/>
          <w:szCs w:val="24"/>
          <w14:textFill>
            <w14:solidFill>
              <w14:schemeClr w14:val="tx1"/>
            </w14:solidFill>
          </w14:textFill>
        </w:rPr>
        <w:t>投标保证金</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4.1、投标人在领取招标文件时，应提供不少于</w:t>
      </w:r>
      <w:r>
        <w:rPr>
          <w:rFonts w:hint="eastAsia" w:ascii="宋体" w:hAnsi="宋体" w:eastAsia="宋体" w:cs="宋体"/>
          <w:bCs/>
          <w:color w:val="000000" w:themeColor="text1"/>
          <w:sz w:val="24"/>
          <w:szCs w:val="24"/>
          <w14:textFill>
            <w14:solidFill>
              <w14:schemeClr w14:val="tx1"/>
            </w14:solidFill>
          </w14:textFill>
        </w:rPr>
        <w:t>投标人须知前附表第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"_Hlk64397194#_Hlk64397194" </w:instrText>
      </w:r>
      <w:r>
        <w:rPr>
          <w:rFonts w:hint="eastAsia" w:ascii="宋体" w:hAnsi="宋体" w:eastAsia="宋体" w:cs="宋体"/>
          <w:sz w:val="24"/>
          <w:szCs w:val="24"/>
        </w:rPr>
        <w:fldChar w:fldCharType="separate"/>
      </w:r>
      <w:r>
        <w:rPr>
          <w:rStyle w:val="57"/>
          <w:rFonts w:hint="eastAsia" w:ascii="宋体" w:hAnsi="宋体" w:eastAsia="宋体" w:cs="宋体"/>
          <w:color w:val="000000" w:themeColor="text1"/>
          <w:sz w:val="24"/>
          <w:szCs w:val="24"/>
          <w:u w:val="none"/>
          <w14:textFill>
            <w14:solidFill>
              <w14:schemeClr w14:val="tx1"/>
            </w14:solidFill>
          </w14:textFill>
        </w:rPr>
        <w:t>5</w:t>
      </w:r>
      <w:r>
        <w:rPr>
          <w:rStyle w:val="57"/>
          <w:rFonts w:hint="eastAsia" w:ascii="宋体" w:hAnsi="宋体" w:eastAsia="宋体" w:cs="宋体"/>
          <w:color w:val="000000" w:themeColor="text1"/>
          <w:sz w:val="24"/>
          <w:szCs w:val="24"/>
          <w:u w:val="none"/>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14:textFill>
            <w14:solidFill>
              <w14:schemeClr w14:val="tx1"/>
            </w14:solidFill>
          </w14:textFill>
        </w:rPr>
        <w:t>规定数额的投标保证金。</w:t>
      </w:r>
    </w:p>
    <w:p>
      <w:pPr>
        <w:keepNext w:val="0"/>
        <w:keepLines w:val="0"/>
        <w:pageBreakBefore w:val="0"/>
        <w:kinsoku/>
        <w:wordWrap/>
        <w:topLinePunct w:val="0"/>
        <w:bidi w:val="0"/>
        <w:spacing w:line="360" w:lineRule="exact"/>
        <w:ind w:firstLine="487" w:firstLineChars="203"/>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投标保证金的形式：投标保证金必须从投标人基本账户以银行转账或汇款的方式缴纳。</w:t>
      </w:r>
    </w:p>
    <w:p>
      <w:pPr>
        <w:keepNext w:val="0"/>
        <w:keepLines w:val="0"/>
        <w:pageBreakBefore w:val="0"/>
        <w:kinsoku/>
        <w:wordWrap/>
        <w:topLinePunct w:val="0"/>
        <w:bidi w:val="0"/>
        <w:spacing w:line="360" w:lineRule="exact"/>
        <w:ind w:firstLine="487" w:firstLineChars="203"/>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投标保证金缴纳时间：投标保证金应在开标日期前一天11：00时（北京时间）前到达新疆中奕工程管理咨询有限公司指定账户（以到账时间为准）：（汇款时需注明项目名称）</w:t>
      </w:r>
    </w:p>
    <w:p>
      <w:pPr>
        <w:keepNext w:val="0"/>
        <w:keepLines w:val="0"/>
        <w:pageBreakBefore w:val="0"/>
        <w:kinsoku/>
        <w:wordWrap/>
        <w:topLinePunct w:val="0"/>
        <w:bidi w:val="0"/>
        <w:spacing w:line="360" w:lineRule="exact"/>
        <w:ind w:firstLine="487" w:firstLineChars="203"/>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 xml:space="preserve">账户名称：新疆中奕工程管理咨询有限公司 </w:t>
      </w:r>
    </w:p>
    <w:p>
      <w:pPr>
        <w:keepNext w:val="0"/>
        <w:keepLines w:val="0"/>
        <w:pageBreakBefore w:val="0"/>
        <w:kinsoku/>
        <w:wordWrap/>
        <w:topLinePunct w:val="0"/>
        <w:bidi w:val="0"/>
        <w:spacing w:line="360" w:lineRule="exact"/>
        <w:ind w:firstLine="487" w:firstLineChars="203"/>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 xml:space="preserve">开户银行：中国农业银行股份有限公司乌鲁木齐红光山兵团支行 </w:t>
      </w:r>
    </w:p>
    <w:p>
      <w:pPr>
        <w:keepNext w:val="0"/>
        <w:keepLines w:val="0"/>
        <w:pageBreakBefore w:val="0"/>
        <w:kinsoku/>
        <w:wordWrap/>
        <w:topLinePunct w:val="0"/>
        <w:bidi w:val="0"/>
        <w:spacing w:line="360" w:lineRule="exact"/>
        <w:ind w:firstLine="487" w:firstLineChars="203"/>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账号：</w:t>
      </w:r>
      <w:r>
        <w:rPr>
          <w:rFonts w:hint="eastAsia" w:ascii="宋体" w:hAnsi="宋体" w:eastAsia="宋体" w:cs="宋体"/>
          <w:b w:val="0"/>
          <w:bCs w:val="0"/>
          <w:color w:val="000000" w:themeColor="text1"/>
          <w:sz w:val="24"/>
          <w:szCs w:val="24"/>
          <w:lang w:val="en-US" w:eastAsia="zh-CN"/>
          <w14:textFill>
            <w14:solidFill>
              <w14:schemeClr w14:val="tx1"/>
            </w14:solidFill>
          </w14:textFill>
        </w:rPr>
        <w:t>30706901040000883</w:t>
      </w:r>
    </w:p>
    <w:p>
      <w:pPr>
        <w:keepNext w:val="0"/>
        <w:keepLines w:val="0"/>
        <w:pageBreakBefore w:val="0"/>
        <w:kinsoku/>
        <w:wordWrap/>
        <w:topLinePunct w:val="0"/>
        <w:bidi w:val="0"/>
        <w:spacing w:line="360" w:lineRule="exact"/>
        <w:ind w:firstLine="487" w:firstLineChars="203"/>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行号：</w:t>
      </w:r>
      <w:r>
        <w:rPr>
          <w:rFonts w:hint="eastAsia" w:ascii="宋体" w:hAnsi="宋体" w:eastAsia="宋体" w:cs="宋体"/>
          <w:b w:val="0"/>
          <w:bCs w:val="0"/>
          <w:color w:val="000000" w:themeColor="text1"/>
          <w:sz w:val="24"/>
          <w:szCs w:val="24"/>
          <w:lang w:val="en-US" w:eastAsia="zh-CN"/>
          <w14:textFill>
            <w14:solidFill>
              <w14:schemeClr w14:val="tx1"/>
            </w14:solidFill>
          </w14:textFill>
        </w:rPr>
        <w:t>103881070699</w:t>
      </w:r>
    </w:p>
    <w:p>
      <w:pPr>
        <w:keepNext w:val="0"/>
        <w:keepLines w:val="0"/>
        <w:pageBreakBefore w:val="0"/>
        <w:kinsoku/>
        <w:wordWrap/>
        <w:topLinePunct w:val="0"/>
        <w:bidi w:val="0"/>
        <w:spacing w:line="360" w:lineRule="exact"/>
        <w:ind w:firstLine="487" w:firstLineChars="203"/>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投标保证金于投标截止时间之前缴纳并到账，若投标人未按上述规定交纳投标保证金的，投标文件将被拒绝评审。</w:t>
      </w:r>
    </w:p>
    <w:p>
      <w:pPr>
        <w:keepNext w:val="0"/>
        <w:keepLines w:val="0"/>
        <w:pageBreakBefore w:val="0"/>
        <w:kinsoku/>
        <w:wordWrap/>
        <w:topLinePunct w:val="0"/>
        <w:bidi w:val="0"/>
        <w:spacing w:line="360" w:lineRule="exact"/>
        <w:ind w:firstLine="487" w:firstLineChars="203"/>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备注：投标单位交纳投标保证金，打款时需备注“项目名称”，投标保证金以到账时间为准</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汇款凭证</w:t>
      </w:r>
      <w:r>
        <w:rPr>
          <w:rFonts w:hint="eastAsia" w:ascii="宋体" w:hAnsi="宋体" w:eastAsia="宋体" w:cs="宋体"/>
          <w:b w:val="0"/>
          <w:bCs w:val="0"/>
          <w:color w:val="000000" w:themeColor="text1"/>
          <w:sz w:val="24"/>
          <w:szCs w:val="24"/>
          <w14:textFill>
            <w14:solidFill>
              <w14:schemeClr w14:val="tx1"/>
            </w14:solidFill>
          </w14:textFill>
        </w:rPr>
        <w:t>应按要求装订在投标文件里与投标文件同时递交。</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4.2、投标人有下列情形之一者，投标保证金将被没收：</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4.2.1、投标人在投标有效期内撤回其投标文件；</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4.2.2、投标人不接受按招标文件规定对其投标报价进行修正的；</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4.2.3、中标人未能在规定期限内签署合同协议书；</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4.2.4、投标人超过投标截止时间送达投标文件的。</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4.3、未中标人在中标公示期后 5 个工作日内，退回投标保证金。因违反规定被没收的投标保证金不予退回。</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4.4、中标人的投标保证金将在合同签订之日起 5 日内返还。</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4.5、若投标人未按照上述规定缴纳投标保证金的，投标文件将被拒绝评审。</w:t>
      </w:r>
    </w:p>
    <w:p>
      <w:pPr>
        <w:keepNext w:val="0"/>
        <w:keepLines w:val="0"/>
        <w:pageBreakBefore w:val="0"/>
        <w:kinsoku/>
        <w:wordWrap/>
        <w:topLinePunct w:val="0"/>
        <w:bidi w:val="0"/>
        <w:spacing w:line="360" w:lineRule="exact"/>
        <w:ind w:firstLine="482"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5、招标答疑会及现场踏勘</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5.1、招标人将按</w:t>
      </w:r>
      <w:r>
        <w:rPr>
          <w:rFonts w:hint="eastAsia" w:ascii="宋体" w:hAnsi="宋体" w:eastAsia="宋体" w:cs="宋体"/>
          <w:bCs/>
          <w:color w:val="000000" w:themeColor="text1"/>
          <w:sz w:val="24"/>
          <w:szCs w:val="24"/>
          <w14:textFill>
            <w14:solidFill>
              <w14:schemeClr w14:val="tx1"/>
            </w14:solidFill>
          </w14:textFill>
        </w:rPr>
        <w:t>投标人须知前附表第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"_Hlk64398553#_Hlk64398553" </w:instrText>
      </w:r>
      <w:r>
        <w:rPr>
          <w:rFonts w:hint="eastAsia" w:ascii="宋体" w:hAnsi="宋体" w:eastAsia="宋体" w:cs="宋体"/>
          <w:sz w:val="24"/>
          <w:szCs w:val="24"/>
        </w:rPr>
        <w:fldChar w:fldCharType="separate"/>
      </w:r>
      <w:r>
        <w:rPr>
          <w:rStyle w:val="57"/>
          <w:rFonts w:hint="eastAsia" w:ascii="宋体" w:hAnsi="宋体" w:eastAsia="宋体" w:cs="宋体"/>
          <w:color w:val="000000" w:themeColor="text1"/>
          <w:sz w:val="24"/>
          <w:szCs w:val="24"/>
          <w:u w:val="none"/>
          <w14:textFill>
            <w14:solidFill>
              <w14:schemeClr w14:val="tx1"/>
            </w14:solidFill>
          </w14:textFill>
        </w:rPr>
        <w:t>1</w:t>
      </w:r>
      <w:r>
        <w:rPr>
          <w:rStyle w:val="57"/>
          <w:rFonts w:hint="eastAsia" w:ascii="宋体" w:hAnsi="宋体" w:eastAsia="宋体" w:cs="宋体"/>
          <w:color w:val="000000" w:themeColor="text1"/>
          <w:sz w:val="24"/>
          <w:szCs w:val="24"/>
          <w:u w:val="none"/>
          <w:lang w:val="en-US" w:eastAsia="zh-CN"/>
          <w14:textFill>
            <w14:solidFill>
              <w14:schemeClr w14:val="tx1"/>
            </w14:solidFill>
          </w14:textFill>
        </w:rPr>
        <w:t>7</w:t>
      </w:r>
      <w:r>
        <w:rPr>
          <w:rStyle w:val="57"/>
          <w:rFonts w:hint="eastAsia" w:ascii="宋体" w:hAnsi="宋体" w:eastAsia="宋体" w:cs="宋体"/>
          <w:color w:val="000000" w:themeColor="text1"/>
          <w:sz w:val="24"/>
          <w:szCs w:val="24"/>
          <w:u w:val="none"/>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14:textFill>
            <w14:solidFill>
              <w14:schemeClr w14:val="tx1"/>
            </w14:solidFill>
          </w14:textFill>
        </w:rPr>
        <w:t>规定的时间、地点组织招标答疑会，目的是澄清、解答投标人提出的问题。</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5.2、投标人将被邀请对施工现场和周围环境进行勘察，以获取须投标人自己负责的有关编制投标文件和签署合同所需的所有资料。勘察现场所发生的费用由投标人自己承担。</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558ED5" w:themeColor="text2" w:themeTint="99"/>
          <w:sz w:val="24"/>
          <w:szCs w:val="24"/>
          <w:lang w:eastAsia="zh-CN"/>
          <w14:textFill>
            <w14:solidFill>
              <w14:schemeClr w14:val="tx2">
                <w14:lumMod w14:val="60000"/>
                <w14:lumOff w14:val="40000"/>
              </w14:schemeClr>
            </w14:solidFill>
          </w14:textFill>
        </w:rPr>
      </w:pPr>
      <w:r>
        <w:rPr>
          <w:rFonts w:hint="eastAsia" w:ascii="宋体" w:hAnsi="宋体" w:eastAsia="宋体" w:cs="宋体"/>
          <w:color w:val="000000" w:themeColor="text1"/>
          <w:sz w:val="24"/>
          <w:szCs w:val="24"/>
          <w14:textFill>
            <w14:solidFill>
              <w14:schemeClr w14:val="tx1"/>
            </w14:solidFill>
          </w14:textFill>
        </w:rPr>
        <w:t>5.3、</w:t>
      </w:r>
      <w:r>
        <w:rPr>
          <w:rFonts w:hint="eastAsia" w:ascii="宋体" w:hAnsi="宋体" w:eastAsia="宋体" w:cs="宋体"/>
          <w:color w:val="auto"/>
          <w:sz w:val="24"/>
          <w:szCs w:val="24"/>
          <w:lang w:eastAsia="zh-CN"/>
        </w:rPr>
        <w:t>本项目不组织招标答疑会。</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w:t>
      </w:r>
      <w:r>
        <w:rPr>
          <w:rFonts w:hint="eastAsia" w:ascii="宋体" w:hAnsi="宋体" w:eastAsia="宋体" w:cs="宋体"/>
          <w:color w:val="000000" w:themeColor="text1"/>
          <w:sz w:val="24"/>
          <w:szCs w:val="24"/>
          <w14:textFill>
            <w14:solidFill>
              <w14:schemeClr w14:val="tx1"/>
            </w14:solidFill>
          </w14:textFill>
        </w:rPr>
        <w:t>、投标人应对招标人提供的所有设计文件及工程量清单认真核对，如有异议，应在招标答疑中书面提出。否则，造成风险因素由中标单位自行承担。</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招标答疑所产生的问题和答复，招标人将在投标截止时间七日前以招标文件补充形式送至所有投标人。</w:t>
      </w:r>
    </w:p>
    <w:p>
      <w:pPr>
        <w:pStyle w:val="3"/>
        <w:keepNext w:val="0"/>
        <w:keepLines w:val="0"/>
        <w:pageBreakBefore w:val="0"/>
        <w:kinsoku/>
        <w:wordWrap/>
        <w:topLinePunct w:val="0"/>
        <w:bidi w:val="0"/>
        <w:spacing w:line="360" w:lineRule="exact"/>
        <w:ind w:left="0" w:left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6、投标文件</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6.1、投标文件由商务标、技术标和经济标构成。</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6.2、商务标内容</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6.2.1、投标承诺书（一）、（二）</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6.2.2、法定代表人身份证明书</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6.2.3、法定代表人授权委托书</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6.2.4、投标人概况</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6.2.5、投标人近三年类似工程业绩证明材料</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6.2.6、项目负责人简历</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6.2.7</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项目管理人员</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6.2.8</w:t>
      </w:r>
      <w:r>
        <w:rPr>
          <w:rFonts w:hint="eastAsia" w:ascii="宋体" w:hAnsi="宋体" w:eastAsia="宋体" w:cs="宋体"/>
          <w:color w:val="000000" w:themeColor="text1"/>
          <w:sz w:val="24"/>
          <w:szCs w:val="24"/>
          <w14:textFill>
            <w14:solidFill>
              <w14:schemeClr w14:val="tx1"/>
            </w14:solidFill>
          </w14:textFill>
        </w:rPr>
        <w:t>、招标文件要求的其他证明材料</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6.3、技术标内容</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6.3.1、施工组织设计</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6.3.2、</w:t>
      </w:r>
      <w:r>
        <w:rPr>
          <w:rFonts w:hint="eastAsia" w:ascii="宋体" w:hAnsi="宋体" w:eastAsia="宋体" w:cs="宋体"/>
          <w:b/>
          <w:bCs/>
          <w:color w:val="000000" w:themeColor="text1"/>
          <w:sz w:val="24"/>
          <w:szCs w:val="24"/>
          <w:highlight w:val="none"/>
          <w14:textFill>
            <w14:solidFill>
              <w14:schemeClr w14:val="tx1"/>
            </w14:solidFill>
          </w14:textFill>
        </w:rPr>
        <w:t>技术标要求投标人必须采用白皮书格式编制，本部分不得以任何形式反映出投标人的有关情况。</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6.4、经济标内容</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7" w:name="_Hlk55196589"/>
      <w:bookmarkStart w:id="48" w:name="_Hlk55196588"/>
      <w:bookmarkStart w:id="49" w:name="_Hlk64546201"/>
      <w:bookmarkStart w:id="50" w:name="_Hlk55196587"/>
      <w:bookmarkStart w:id="51" w:name="_Hlk64546202"/>
      <w:bookmarkStart w:id="52" w:name="_Hlk64546200"/>
      <w:r>
        <w:rPr>
          <w:rFonts w:hint="eastAsia" w:ascii="宋体" w:hAnsi="宋体" w:eastAsia="宋体" w:cs="宋体"/>
          <w:color w:val="000000" w:themeColor="text1"/>
          <w:sz w:val="24"/>
          <w:szCs w:val="24"/>
          <w:highlight w:val="none"/>
          <w14:textFill>
            <w14:solidFill>
              <w14:schemeClr w14:val="tx1"/>
            </w14:solidFill>
          </w14:textFill>
        </w:rPr>
        <w:t>6.4.1</w:t>
      </w:r>
      <w:bookmarkEnd w:id="47"/>
      <w:bookmarkEnd w:id="48"/>
      <w:bookmarkEnd w:id="49"/>
      <w:bookmarkEnd w:id="50"/>
      <w:bookmarkEnd w:id="51"/>
      <w:bookmarkEnd w:id="52"/>
      <w:r>
        <w:rPr>
          <w:rFonts w:hint="eastAsia" w:ascii="宋体" w:hAnsi="宋体" w:eastAsia="宋体" w:cs="宋体"/>
          <w:color w:val="000000" w:themeColor="text1"/>
          <w:sz w:val="24"/>
          <w:szCs w:val="24"/>
          <w:highlight w:val="none"/>
          <w14:textFill>
            <w14:solidFill>
              <w14:schemeClr w14:val="tx1"/>
            </w14:solidFill>
          </w14:textFill>
        </w:rPr>
        <w:t>、投标总价</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53" w:name="_Hlt131417893"/>
      <w:bookmarkEnd w:id="53"/>
      <w:bookmarkStart w:id="54" w:name="_Hlk131416863"/>
      <w:bookmarkStart w:id="55" w:name="_Hlk131416864"/>
      <w:bookmarkStart w:id="56" w:name="_Hlk131416862"/>
      <w:r>
        <w:rPr>
          <w:rFonts w:hint="eastAsia" w:ascii="宋体" w:hAnsi="宋体" w:eastAsia="宋体" w:cs="宋体"/>
          <w:color w:val="000000" w:themeColor="text1"/>
          <w:sz w:val="24"/>
          <w:szCs w:val="24"/>
          <w:highlight w:val="none"/>
          <w14:textFill>
            <w14:solidFill>
              <w14:schemeClr w14:val="tx1"/>
            </w14:solidFill>
          </w14:textFill>
        </w:rPr>
        <w:t>6.4.2</w:t>
      </w:r>
      <w:bookmarkEnd w:id="54"/>
      <w:bookmarkEnd w:id="55"/>
      <w:bookmarkEnd w:id="56"/>
      <w:r>
        <w:rPr>
          <w:rFonts w:hint="eastAsia" w:ascii="宋体" w:hAnsi="宋体" w:eastAsia="宋体" w:cs="宋体"/>
          <w:color w:val="000000" w:themeColor="text1"/>
          <w:sz w:val="24"/>
          <w:szCs w:val="24"/>
          <w:highlight w:val="none"/>
          <w14:textFill>
            <w14:solidFill>
              <w14:schemeClr w14:val="tx1"/>
            </w14:solidFill>
          </w14:textFill>
        </w:rPr>
        <w:t>、经济标要求投标人必须采用招标文件要求的“经济标”格式编制。</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6.4.2.1、总说明。</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7" w:name="_Hlk55196614"/>
      <w:bookmarkStart w:id="58" w:name="_Hlk55196613"/>
      <w:bookmarkStart w:id="59" w:name="_Hlk55196615"/>
      <w:r>
        <w:rPr>
          <w:rFonts w:hint="eastAsia" w:ascii="宋体" w:hAnsi="宋体" w:eastAsia="宋体" w:cs="宋体"/>
          <w:color w:val="000000" w:themeColor="text1"/>
          <w:sz w:val="24"/>
          <w:szCs w:val="24"/>
          <w:highlight w:val="none"/>
          <w14:textFill>
            <w14:solidFill>
              <w14:schemeClr w14:val="tx1"/>
            </w14:solidFill>
          </w14:textFill>
        </w:rPr>
        <w:t>6.4.</w:t>
      </w:r>
      <w:bookmarkEnd w:id="57"/>
      <w:bookmarkEnd w:id="58"/>
      <w:bookmarkEnd w:id="59"/>
      <w:r>
        <w:rPr>
          <w:rFonts w:hint="eastAsia" w:ascii="宋体" w:hAnsi="宋体" w:eastAsia="宋体" w:cs="宋体"/>
          <w:color w:val="000000" w:themeColor="text1"/>
          <w:sz w:val="24"/>
          <w:szCs w:val="24"/>
          <w:highlight w:val="none"/>
          <w14:textFill>
            <w14:solidFill>
              <w14:schemeClr w14:val="tx1"/>
            </w14:solidFill>
          </w14:textFill>
        </w:rPr>
        <w:t>2.2、</w:t>
      </w:r>
      <w:r>
        <w:rPr>
          <w:rFonts w:hint="eastAsia" w:ascii="宋体" w:hAnsi="宋体" w:eastAsia="宋体" w:cs="宋体"/>
          <w:color w:val="000000" w:themeColor="text1"/>
          <w:sz w:val="24"/>
          <w:szCs w:val="24"/>
          <w:highlight w:val="none"/>
          <w:lang w:eastAsia="zh-CN"/>
          <w14:textFill>
            <w14:solidFill>
              <w14:schemeClr w14:val="tx1"/>
            </w14:solidFill>
          </w14:textFill>
        </w:rPr>
        <w:t>建设项目投标报价汇总表</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60" w:name="_Hlk55196669"/>
      <w:bookmarkStart w:id="61" w:name="_Hlk55196668"/>
      <w:bookmarkStart w:id="62" w:name="_Hlk55196670"/>
      <w:r>
        <w:rPr>
          <w:rFonts w:hint="eastAsia" w:ascii="宋体" w:hAnsi="宋体" w:eastAsia="宋体" w:cs="宋体"/>
          <w:color w:val="000000" w:themeColor="text1"/>
          <w:sz w:val="24"/>
          <w:szCs w:val="24"/>
          <w:highlight w:val="none"/>
          <w14:textFill>
            <w14:solidFill>
              <w14:schemeClr w14:val="tx1"/>
            </w14:solidFill>
          </w14:textFill>
        </w:rPr>
        <w:t>6.4</w:t>
      </w:r>
      <w:bookmarkEnd w:id="60"/>
      <w:bookmarkEnd w:id="61"/>
      <w:bookmarkEnd w:id="62"/>
      <w:r>
        <w:rPr>
          <w:rFonts w:hint="eastAsia" w:ascii="宋体" w:hAnsi="宋体" w:eastAsia="宋体" w:cs="宋体"/>
          <w:color w:val="000000" w:themeColor="text1"/>
          <w:sz w:val="24"/>
          <w:szCs w:val="24"/>
          <w:highlight w:val="none"/>
          <w14:textFill>
            <w14:solidFill>
              <w14:schemeClr w14:val="tx1"/>
            </w14:solidFill>
          </w14:textFill>
        </w:rPr>
        <w:t>.2.3、单项工程投标报价汇总表</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63" w:name="_Hlk55196685"/>
      <w:bookmarkStart w:id="64" w:name="_Hlk55196684"/>
      <w:bookmarkStart w:id="65" w:name="_Hlk55196686"/>
      <w:r>
        <w:rPr>
          <w:rFonts w:hint="eastAsia" w:ascii="宋体" w:hAnsi="宋体" w:eastAsia="宋体" w:cs="宋体"/>
          <w:color w:val="000000" w:themeColor="text1"/>
          <w:sz w:val="24"/>
          <w:szCs w:val="24"/>
          <w:highlight w:val="none"/>
          <w14:textFill>
            <w14:solidFill>
              <w14:schemeClr w14:val="tx1"/>
            </w14:solidFill>
          </w14:textFill>
        </w:rPr>
        <w:t>6.4.</w:t>
      </w:r>
      <w:bookmarkEnd w:id="63"/>
      <w:bookmarkEnd w:id="64"/>
      <w:bookmarkEnd w:id="65"/>
      <w:r>
        <w:rPr>
          <w:rFonts w:hint="eastAsia" w:ascii="宋体" w:hAnsi="宋体" w:eastAsia="宋体" w:cs="宋体"/>
          <w:color w:val="000000" w:themeColor="text1"/>
          <w:sz w:val="24"/>
          <w:szCs w:val="24"/>
          <w:highlight w:val="none"/>
          <w14:textFill>
            <w14:solidFill>
              <w14:schemeClr w14:val="tx1"/>
            </w14:solidFill>
          </w14:textFill>
        </w:rPr>
        <w:t>2.4、单位工程投标报价汇总表</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66" w:name="_Hlk55904235"/>
      <w:bookmarkStart w:id="67" w:name="_Hlk55904234"/>
      <w:bookmarkStart w:id="68" w:name="_Hlk55904233"/>
      <w:r>
        <w:rPr>
          <w:rFonts w:hint="eastAsia" w:ascii="宋体" w:hAnsi="宋体" w:eastAsia="宋体" w:cs="宋体"/>
          <w:color w:val="000000" w:themeColor="text1"/>
          <w:sz w:val="24"/>
          <w:szCs w:val="24"/>
          <w:highlight w:val="none"/>
          <w14:textFill>
            <w14:solidFill>
              <w14:schemeClr w14:val="tx1"/>
            </w14:solidFill>
          </w14:textFill>
        </w:rPr>
        <w:t>6.4.</w:t>
      </w:r>
      <w:bookmarkEnd w:id="66"/>
      <w:bookmarkEnd w:id="67"/>
      <w:bookmarkEnd w:id="68"/>
      <w:r>
        <w:rPr>
          <w:rFonts w:hint="eastAsia" w:ascii="宋体" w:hAnsi="宋体" w:eastAsia="宋体" w:cs="宋体"/>
          <w:color w:val="000000" w:themeColor="text1"/>
          <w:sz w:val="24"/>
          <w:szCs w:val="24"/>
          <w:highlight w:val="none"/>
          <w14:textFill>
            <w14:solidFill>
              <w14:schemeClr w14:val="tx1"/>
            </w14:solidFill>
          </w14:textFill>
        </w:rPr>
        <w:t>2.5、分部分项工程和单价措施项目清单与计价表</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6.4.2.</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总价措施项目清单与计价表</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6.4.2.</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其他项目清单与计价汇总表</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6.4.2.</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、暂列金额明细表</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6.4.2.</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、材料（工程设备）暂估价及调整表</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6.4.2.1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、专业工程暂估价及结算价表</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6.4.2.1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、计日工表</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6.4.2.1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、总承包服务费计价表</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6.4.2.1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、规费、税金项目清单与计价表</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6.5、投标文件纸张要求</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6.5.1、商务标、技术标、经济标应采用A4打印纸。但技术标中施工平面布置图以及施工横道图或网络图必须采用A3打印纸。</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6.6、投标文件书写要求</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6.6.1、商务标可采用碳素墨水或打印方式书写，但建议投标人最好采用打印方式书写。</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6.6.2、投标文件技术标、经济标必须采用打印方式书写。</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6.7、投标文件装订要求</w:t>
      </w:r>
    </w:p>
    <w:p>
      <w:pPr>
        <w:keepNext w:val="0"/>
        <w:keepLines w:val="0"/>
        <w:pageBreakBefore w:val="0"/>
        <w:kinsoku/>
        <w:wordWrap/>
        <w:topLinePunct w:val="0"/>
        <w:bidi w:val="0"/>
        <w:spacing w:line="3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6.7.1、</w:t>
      </w:r>
      <w:r>
        <w:rPr>
          <w:rFonts w:hint="eastAsia" w:ascii="宋体" w:hAnsi="宋体" w:eastAsia="宋体" w:cs="宋体"/>
          <w:b/>
          <w:bCs/>
          <w:sz w:val="24"/>
          <w:szCs w:val="24"/>
        </w:rPr>
        <w:t>商务标、技术标、经济标必须分别装订成册。技术标、经济标必须采用招标文件要求的统一装订方式装订。否则整个投标文件将被视为不响应招标文件，而予以拒绝评审。</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6.7.2、商务标、经济标应按封面、目录、正文顺序装订。</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6.8、</w:t>
      </w:r>
      <w:r>
        <w:rPr>
          <w:rFonts w:hint="eastAsia" w:ascii="宋体" w:hAnsi="宋体"/>
        </w:rPr>
        <w:t>投标文件字体要求</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商务标、经济标所采用的字体，以能够供评委识别看清为准。</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6.8.</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b/>
          <w:bCs/>
          <w:sz w:val="24"/>
          <w:szCs w:val="24"/>
        </w:rPr>
        <w:t>技术标正文应采用Word文档编写，所有字体均采用四号宋体字，所有字体为黑色，且不得有任何修饰。施工平面布置图以及施工横道图或网络图中的字体采用宋体字，字迹以清晰为准。</w:t>
      </w:r>
    </w:p>
    <w:p>
      <w:pPr>
        <w:keepNext w:val="0"/>
        <w:keepLines w:val="0"/>
        <w:pageBreakBefore w:val="0"/>
        <w:kinsoku/>
        <w:wordWrap/>
        <w:topLinePunct w:val="0"/>
        <w:bidi w:val="0"/>
        <w:spacing w:line="3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6.9、</w:t>
      </w:r>
      <w:r>
        <w:rPr>
          <w:rFonts w:hint="eastAsia" w:ascii="宋体" w:hAnsi="宋体" w:eastAsia="宋体" w:cs="宋体"/>
          <w:b/>
          <w:bCs/>
          <w:sz w:val="24"/>
          <w:szCs w:val="24"/>
        </w:rPr>
        <w:t>投标文件封面要求</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6.9.1、商务标、经济标封面宜按招标文件规定格式编制。商务标和经济标所采用的字体，以能够供评委识别看清为准。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6.9.2、</w:t>
      </w:r>
      <w:r>
        <w:rPr>
          <w:rFonts w:hint="eastAsia" w:ascii="宋体" w:hAnsi="宋体" w:eastAsia="宋体" w:cs="宋体"/>
          <w:b/>
          <w:bCs/>
          <w:sz w:val="24"/>
          <w:szCs w:val="24"/>
        </w:rPr>
        <w:t>技术标封面为空白A4复印纸，表面不得做任何标记，不得再加其他封皮。</w:t>
      </w:r>
      <w:r>
        <w:rPr>
          <w:rFonts w:hint="eastAsia" w:ascii="宋体" w:hAnsi="宋体" w:eastAsia="宋体" w:cs="宋体"/>
          <w:sz w:val="24"/>
          <w:szCs w:val="24"/>
        </w:rPr>
        <w:t>施工平面布置图以及施工横道图或网络图中的字迹以清晰为准。</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6.10、投标文件目录要求</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6.10.1、为便于评审，商务标、经济标目录宜按本招标文件相关内容先后顺序编排。</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6.10.2、技术标中不得出现目录、扉页、彩页、页眉、页脚及页码标示。</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6.11、投标文件的份数和签署</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6.11.1、投标人应按投标人须知前附表第</w:t>
      </w:r>
      <w:r>
        <w:rPr>
          <w:rFonts w:hint="eastAsia" w:ascii="宋体" w:hAnsi="宋体" w:eastAsia="宋体" w:cs="宋体"/>
          <w:sz w:val="24"/>
          <w:szCs w:val="24"/>
          <w:lang w:val="en-US" w:eastAsia="zh-CN"/>
        </w:rPr>
        <w:t>6</w:t>
      </w:r>
      <w:r>
        <w:rPr>
          <w:rFonts w:hint="eastAsia" w:ascii="宋体" w:hAnsi="宋体" w:eastAsia="宋体" w:cs="宋体"/>
          <w:sz w:val="24"/>
          <w:szCs w:val="24"/>
        </w:rPr>
        <w:t>项规定，编制投标文件“正本”和“副本” 份数。</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6.11.2、商务标、经济标封面右上角必须注明“正本”或“副本”字样。但技术标不能出现“正本”或“副本”字样。</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6.11.3、商务标和经济标凡是要求盖投标人章、法定代表人或授权代理人章处，造价人员章处投标人必须加盖。</w:t>
      </w:r>
    </w:p>
    <w:p>
      <w:pPr>
        <w:keepNext w:val="0"/>
        <w:keepLines w:val="0"/>
        <w:pageBreakBefore w:val="0"/>
        <w:kinsoku/>
        <w:wordWrap/>
        <w:topLinePunct w:val="0"/>
        <w:bidi w:val="0"/>
        <w:spacing w:line="3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6.11.4、</w:t>
      </w:r>
      <w:r>
        <w:rPr>
          <w:rFonts w:hint="eastAsia" w:ascii="宋体" w:hAnsi="宋体" w:eastAsia="宋体" w:cs="宋体"/>
          <w:b/>
          <w:bCs/>
          <w:sz w:val="24"/>
          <w:szCs w:val="24"/>
        </w:rPr>
        <w:t>技术标封面、正文不得加盖任何反映投标人身份的章。</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6.11.5、投标总价表凡是要求盖投标人章、法定代表人或委托代理人章、造价人员章处，投标人必须加盖。</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6.12、投标文件正本和副本如有不一致之处，以正本为准。</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6.13、全套投标文件应无涂改和行间插字，除非这些删改是根据招标人的指示进行的，或者是投标人造成的必须修改的错误。修改处应加盖法定代表人或授权代理人章。但技术标严禁涂改和行间插字。</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6.14、投标文件的密封与标志</w:t>
      </w:r>
    </w:p>
    <w:p>
      <w:pPr>
        <w:keepNext w:val="0"/>
        <w:keepLines w:val="0"/>
        <w:pageBreakBefore w:val="0"/>
        <w:kinsoku/>
        <w:wordWrap/>
        <w:topLinePunct w:val="0"/>
        <w:bidi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6.14.1、投标人必须将商务标、技术标、经济标分别密封装袋并在封袋上正确表明“商务标”、“技术标”、“经济标”字样，即“商务标”封袋、“技术标”封袋、“经济标”封袋</w:t>
      </w:r>
      <w:r>
        <w:rPr>
          <w:rFonts w:hint="eastAsia" w:ascii="宋体" w:hAnsi="宋体" w:eastAsia="宋体" w:cs="宋体"/>
          <w:sz w:val="24"/>
          <w:szCs w:val="24"/>
          <w:lang w:eastAsia="zh-CN"/>
        </w:rPr>
        <w:t>，</w:t>
      </w:r>
      <w:r>
        <w:rPr>
          <w:rFonts w:hint="eastAsia" w:ascii="宋体" w:hAnsi="宋体" w:eastAsia="宋体" w:cs="宋体"/>
          <w:sz w:val="24"/>
          <w:szCs w:val="24"/>
        </w:rPr>
        <w:t>否则整个投标文件将被视为不响应招标文件，而予以拒绝评审。</w:t>
      </w:r>
    </w:p>
    <w:p>
      <w:pPr>
        <w:keepNext w:val="0"/>
        <w:keepLines w:val="0"/>
        <w:pageBreakBefore w:val="0"/>
        <w:kinsoku/>
        <w:wordWrap/>
        <w:topLinePunct w:val="0"/>
        <w:bidi w:val="0"/>
        <w:spacing w:line="3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6.14.2、</w:t>
      </w:r>
      <w:r>
        <w:rPr>
          <w:rFonts w:hint="eastAsia" w:ascii="宋体" w:hAnsi="宋体" w:eastAsia="宋体" w:cs="宋体"/>
          <w:b/>
          <w:bCs/>
          <w:sz w:val="24"/>
          <w:szCs w:val="24"/>
        </w:rPr>
        <w:t>商务标、技术标、经济标封袋必须在开启处密封，并加盖投标人章，否则整个投标文件将被视为不响应招标文件，而予以拒绝评审。</w:t>
      </w:r>
    </w:p>
    <w:p>
      <w:pPr>
        <w:keepNext w:val="0"/>
        <w:keepLines w:val="0"/>
        <w:pageBreakBefore w:val="0"/>
        <w:kinsoku/>
        <w:wordWrap/>
        <w:topLinePunct w:val="0"/>
        <w:bidi w:val="0"/>
        <w:spacing w:line="3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6.14.3、</w:t>
      </w:r>
      <w:r>
        <w:rPr>
          <w:rFonts w:hint="eastAsia" w:ascii="宋体" w:hAnsi="宋体" w:eastAsia="宋体" w:cs="宋体"/>
          <w:b/>
          <w:bCs/>
          <w:sz w:val="24"/>
          <w:szCs w:val="24"/>
        </w:rPr>
        <w:t>“商务标”、“技术标”、“经济标”、封袋上应写明招标人名称、投标人名称和工程名称。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6.15、投标文件递交</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6.15.1、投标人必须按</w:t>
      </w:r>
      <w:r>
        <w:rPr>
          <w:rFonts w:hint="eastAsia" w:ascii="宋体" w:hAnsi="宋体" w:eastAsia="宋体" w:cs="宋体"/>
          <w:bCs/>
          <w:color w:val="000000" w:themeColor="text1"/>
          <w:sz w:val="24"/>
          <w:szCs w:val="24"/>
          <w14:textFill>
            <w14:solidFill>
              <w14:schemeClr w14:val="tx1"/>
            </w14:solidFill>
          </w14:textFill>
        </w:rPr>
        <w:t>投标人须知前附表第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"_Hlk64398631#_Hlk64398631" </w:instrText>
      </w:r>
      <w:r>
        <w:rPr>
          <w:rFonts w:hint="eastAsia" w:ascii="宋体" w:hAnsi="宋体" w:eastAsia="宋体" w:cs="宋体"/>
          <w:sz w:val="24"/>
          <w:szCs w:val="24"/>
        </w:rPr>
        <w:fldChar w:fldCharType="separate"/>
      </w:r>
      <w:r>
        <w:rPr>
          <w:rStyle w:val="57"/>
          <w:rFonts w:hint="eastAsia" w:ascii="宋体" w:hAnsi="宋体" w:eastAsia="宋体" w:cs="宋体"/>
          <w:color w:val="000000" w:themeColor="text1"/>
          <w:sz w:val="24"/>
          <w:szCs w:val="24"/>
          <w:u w:val="none"/>
          <w14:textFill>
            <w14:solidFill>
              <w14:schemeClr w14:val="tx1"/>
            </w14:solidFill>
          </w14:textFill>
        </w:rPr>
        <w:t>8</w:t>
      </w:r>
      <w:r>
        <w:rPr>
          <w:rStyle w:val="57"/>
          <w:rFonts w:hint="eastAsia" w:ascii="宋体" w:hAnsi="宋体" w:eastAsia="宋体" w:cs="宋体"/>
          <w:color w:val="000000" w:themeColor="text1"/>
          <w:sz w:val="24"/>
          <w:szCs w:val="24"/>
          <w:u w:val="none"/>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14:textFill>
            <w14:solidFill>
              <w14:schemeClr w14:val="tx1"/>
            </w14:solidFill>
          </w14:textFill>
        </w:rPr>
        <w:t>规定，将投标文件</w:t>
      </w:r>
      <w:r>
        <w:rPr>
          <w:rFonts w:hint="eastAsia" w:ascii="宋体" w:hAnsi="宋体" w:eastAsia="宋体" w:cs="宋体"/>
          <w:color w:val="auto"/>
          <w:sz w:val="24"/>
          <w:szCs w:val="24"/>
        </w:rPr>
        <w:t>送至新疆中奕工程管理咨询有限公司。超过规定时间送达的投标文件，整个投标文件将被视为不响应招标文件，予以拒绝评审。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6.15.2、招标人事先约定延长投标截止时间的，招标人与投标人以前的投标截止期方面的全部权利、责任和义务，将适用延长至新的投标截止期。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6.16、投标文件修改与撤回</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6.16.1、投标人可以在递交投标文件以后，在规定投标截止时间前，以书面形式向招标人递交修改或撤回其投标文件的通知。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6.16.2、投标文件的修改或撤回，同样应按本招标文件有关规定进行编制、密封、标志、盖章和递交，并且密封袋上应表明“修改”或“撤回”字样。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6.16.3、投标截止时间后，投标人不得撤回或修改投标文件。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6.17、投标文件澄清</w:t>
      </w:r>
    </w:p>
    <w:p>
      <w:pPr>
        <w:pStyle w:val="39"/>
        <w:keepNext w:val="0"/>
        <w:keepLines w:val="0"/>
        <w:pageBreakBefore w:val="0"/>
        <w:kinsoku/>
        <w:wordWrap/>
        <w:topLinePunct w:val="0"/>
        <w:bidi w:val="0"/>
        <w:spacing w:line="360" w:lineRule="exact"/>
        <w:ind w:left="0" w:leftChars="0" w:firstLine="484" w:firstLineChars="202"/>
        <w:rPr>
          <w:rFonts w:hint="eastAsia" w:ascii="宋体" w:hAnsi="宋体" w:eastAsia="宋体" w:cs="宋体"/>
          <w:bCs w:val="0"/>
          <w:color w:val="000000" w:themeColor="text1"/>
          <w:kern w:val="2"/>
          <w:sz w:val="24"/>
          <w:szCs w:val="24"/>
          <w14:textFill>
            <w14:solidFill>
              <w14:schemeClr w14:val="tx1"/>
            </w14:solidFill>
          </w14:textFill>
        </w:rPr>
      </w:pPr>
      <w:r>
        <w:rPr>
          <w:rFonts w:hint="eastAsia" w:ascii="宋体" w:hAnsi="宋体" w:eastAsia="宋体" w:cs="宋体"/>
          <w:bCs w:val="0"/>
          <w:color w:val="000000" w:themeColor="text1"/>
          <w:kern w:val="2"/>
          <w:sz w:val="24"/>
          <w:szCs w:val="24"/>
          <w14:textFill>
            <w14:solidFill>
              <w14:schemeClr w14:val="tx1"/>
            </w14:solidFill>
          </w14:textFill>
        </w:rPr>
        <w:t>6.17.1、评标过程中，评标委员会为了有助于投标文件的评审，可以要求投标人就投标文件中非改变实质性内容的部分，做出书面说明并提供相关材料进行澄清，但改变投标文件实质性内容的澄清评标委员会将不予接受。</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6.18、投标文件格式</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6.18.1、投标文件格式见第四章。</w:t>
      </w:r>
    </w:p>
    <w:p>
      <w:pPr>
        <w:keepNext w:val="0"/>
        <w:keepLines w:val="0"/>
        <w:pageBreakBefore w:val="0"/>
        <w:kinsoku/>
        <w:wordWrap/>
        <w:topLinePunct w:val="0"/>
        <w:bidi w:val="0"/>
        <w:spacing w:line="360" w:lineRule="exact"/>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6.18.2、投标人应使用本招标文件后面提供的投标文件格式填写，如不够用时，投标人可按同样格式自行编制和填补，如果本招标文件未提供格式的，投标人可自行编制。</w:t>
      </w:r>
    </w:p>
    <w:p>
      <w:pPr>
        <w:keepNext w:val="0"/>
        <w:keepLines w:val="0"/>
        <w:pageBreakBefore w:val="0"/>
        <w:kinsoku/>
        <w:wordWrap/>
        <w:topLinePunct w:val="0"/>
        <w:bidi w:val="0"/>
        <w:spacing w:line="360" w:lineRule="exact"/>
        <w:ind w:firstLine="489" w:firstLineChars="20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w:t>
      </w:r>
      <w:r>
        <w:rPr>
          <w:rFonts w:hint="eastAsia" w:ascii="宋体" w:hAnsi="宋体" w:eastAsia="宋体" w:cs="宋体"/>
          <w:b/>
          <w:bCs/>
          <w:color w:val="000000" w:themeColor="text1"/>
          <w:kern w:val="0"/>
          <w:sz w:val="24"/>
          <w:szCs w:val="24"/>
          <w14:textFill>
            <w14:solidFill>
              <w14:schemeClr w14:val="tx1"/>
            </w14:solidFill>
          </w14:textFill>
        </w:rPr>
        <w:t>开标时间及地点</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7.1、招标工程开标的时间、地点已在</w:t>
      </w:r>
      <w:r>
        <w:rPr>
          <w:rFonts w:hint="eastAsia" w:ascii="宋体" w:hAnsi="宋体" w:eastAsia="宋体" w:cs="宋体"/>
          <w:bCs/>
          <w:color w:val="000000" w:themeColor="text1"/>
          <w:sz w:val="24"/>
          <w:szCs w:val="24"/>
          <w14:textFill>
            <w14:solidFill>
              <w14:schemeClr w14:val="tx1"/>
            </w14:solidFill>
          </w14:textFill>
        </w:rPr>
        <w:t>投标人须知前附表第</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"file:///F:\\严敏\\2015年\\工作\\范本\\清单招标文件\\2009年施工招标文件和资格预审文件（新）\\2008012清单招标文件范本（经评审的最低价）.doc" \l "_Hlk64398642#_Hlk64398642" </w:instrText>
      </w:r>
      <w:r>
        <w:rPr>
          <w:rFonts w:hint="eastAsia" w:ascii="宋体" w:hAnsi="宋体" w:eastAsia="宋体" w:cs="宋体"/>
          <w:sz w:val="24"/>
          <w:szCs w:val="24"/>
          <w:u w:val="single"/>
        </w:rPr>
        <w:fldChar w:fldCharType="separate"/>
      </w:r>
      <w:r>
        <w:rPr>
          <w:rStyle w:val="57"/>
          <w:rFonts w:hint="eastAsia" w:ascii="宋体" w:hAnsi="宋体" w:eastAsia="宋体" w:cs="宋体"/>
          <w:color w:val="000000" w:themeColor="text1"/>
          <w:sz w:val="24"/>
          <w:szCs w:val="24"/>
          <w:u w:val="single"/>
          <w14:textFill>
            <w14:solidFill>
              <w14:schemeClr w14:val="tx1"/>
            </w14:solidFill>
          </w14:textFill>
        </w:rPr>
        <w:t>10</w:t>
      </w:r>
      <w:r>
        <w:rPr>
          <w:rStyle w:val="57"/>
          <w:rFonts w:hint="eastAsia" w:ascii="宋体" w:hAnsi="宋体" w:eastAsia="宋体" w:cs="宋体"/>
          <w:color w:val="000000" w:themeColor="text1"/>
          <w:sz w:val="24"/>
          <w:szCs w:val="24"/>
          <w:u w:val="single"/>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14:textFill>
            <w14:solidFill>
              <w14:schemeClr w14:val="tx1"/>
            </w14:solidFill>
          </w14:textFill>
        </w:rPr>
        <w:t>列清。</w:t>
      </w:r>
    </w:p>
    <w:p>
      <w:pPr>
        <w:ind w:left="360"/>
        <w:rPr>
          <w:rFonts w:hint="eastAsia" w:ascii="宋体" w:cs="宋体"/>
          <w:b/>
          <w:color w:val="FF0000"/>
          <w:sz w:val="24"/>
          <w:szCs w:val="24"/>
          <w:lang w:val="zh-CN"/>
        </w:rPr>
      </w:pPr>
      <w:r>
        <w:rPr>
          <w:rFonts w:hint="eastAsia" w:ascii="宋体" w:hAnsi="宋体" w:eastAsia="宋体" w:cs="宋体"/>
          <w:color w:val="000000" w:themeColor="text1"/>
          <w:sz w:val="24"/>
          <w:szCs w:val="24"/>
          <w14:textFill>
            <w14:solidFill>
              <w14:schemeClr w14:val="tx1"/>
            </w14:solidFill>
          </w14:textFill>
        </w:rPr>
        <w:t>7.2、招标人将邀请所有投标人派代表参加开标会。</w:t>
      </w:r>
      <w:r>
        <w:rPr>
          <w:rFonts w:hint="eastAsia" w:ascii="宋体" w:hAnsi="宋体" w:eastAsia="宋体" w:cs="宋体"/>
          <w:b/>
          <w:color w:val="000000" w:themeColor="text1"/>
          <w:sz w:val="24"/>
          <w:szCs w:val="24"/>
          <w14:textFill>
            <w14:solidFill>
              <w14:schemeClr w14:val="tx1"/>
            </w14:solidFill>
          </w14:textFill>
        </w:rPr>
        <w:t>但请投标人代表随身携带</w:t>
      </w:r>
      <w:r>
        <w:rPr>
          <w:rFonts w:hint="eastAsia" w:ascii="宋体" w:hAnsi="宋体" w:eastAsia="宋体" w:cs="宋体"/>
          <w:b/>
          <w:bCs/>
          <w:kern w:val="0"/>
          <w:sz w:val="24"/>
          <w:szCs w:val="24"/>
        </w:rPr>
        <w:t>法定代表人授权委托书及被授权人身份证原件（法人投标的须携带法定代表人身份证明书及身份证原件）</w:t>
      </w:r>
      <w:r>
        <w:rPr>
          <w:rFonts w:hint="eastAsia" w:ascii="宋体" w:hAnsi="宋体" w:eastAsia="宋体" w:cs="宋体"/>
          <w:b/>
          <w:bCs/>
          <w:kern w:val="0"/>
          <w:sz w:val="24"/>
          <w:szCs w:val="24"/>
          <w:lang w:val="en-US" w:eastAsia="zh-CN"/>
        </w:rPr>
        <w:t>以证明其身份。</w:t>
      </w:r>
      <w:r>
        <w:rPr>
          <w:rFonts w:hint="eastAsia" w:ascii="宋体" w:cs="宋体"/>
          <w:b/>
          <w:color w:val="auto"/>
          <w:sz w:val="24"/>
          <w:szCs w:val="24"/>
          <w:lang w:val="zh-CN"/>
        </w:rPr>
        <w:t>保证金缴纳凭证，以上原件供监督人或招标人查验；若以上原件不齐全或不满足招标文件要求，其投标文件将被拒绝评审。</w:t>
      </w:r>
    </w:p>
    <w:p>
      <w:pPr>
        <w:keepNext w:val="0"/>
        <w:keepLines w:val="0"/>
        <w:pageBreakBefore w:val="0"/>
        <w:numPr>
          <w:ilvl w:val="0"/>
          <w:numId w:val="6"/>
        </w:numPr>
        <w:kinsoku/>
        <w:wordWrap/>
        <w:topLinePunct w:val="0"/>
        <w:bidi w:val="0"/>
        <w:spacing w:line="360" w:lineRule="exact"/>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评标方法</w:t>
      </w:r>
    </w:p>
    <w:p>
      <w:pPr>
        <w:spacing w:line="360" w:lineRule="auto"/>
        <w:ind w:firstLine="489" w:firstLineChars="203"/>
        <w:rPr>
          <w:rFonts w:hint="eastAsia" w:ascii="宋体" w:hAnsi="宋体"/>
          <w:b/>
          <w:bCs/>
          <w:kern w:val="0"/>
        </w:rPr>
      </w:pPr>
      <w:r>
        <w:rPr>
          <w:rFonts w:hint="eastAsia" w:ascii="宋体" w:hAnsi="宋体"/>
          <w:b/>
          <w:bCs/>
          <w:kern w:val="0"/>
          <w:sz w:val="24"/>
          <w:szCs w:val="24"/>
        </w:rPr>
        <w:t>评标前</w:t>
      </w:r>
      <w:r>
        <w:rPr>
          <w:rFonts w:hint="eastAsia" w:ascii="宋体" w:hAnsi="宋体"/>
          <w:b/>
          <w:bCs/>
          <w:kern w:val="0"/>
          <w:sz w:val="24"/>
          <w:szCs w:val="24"/>
          <w:lang w:val="en-US" w:eastAsia="zh-CN"/>
        </w:rPr>
        <w:t>按照招标文件</w:t>
      </w:r>
      <w:r>
        <w:rPr>
          <w:rFonts w:hint="eastAsia" w:ascii="宋体" w:hAnsi="宋体"/>
          <w:b/>
          <w:bCs/>
          <w:kern w:val="0"/>
          <w:sz w:val="24"/>
          <w:szCs w:val="24"/>
        </w:rPr>
        <w:t>进行资格审查，资格审查合格单位</w:t>
      </w:r>
      <w:r>
        <w:rPr>
          <w:rFonts w:hint="eastAsia" w:ascii="宋体" w:hAnsi="宋体"/>
          <w:b/>
          <w:bCs/>
          <w:kern w:val="0"/>
          <w:sz w:val="24"/>
          <w:szCs w:val="24"/>
          <w:lang w:val="en-US" w:eastAsia="zh-CN"/>
        </w:rPr>
        <w:t>再</w:t>
      </w:r>
      <w:r>
        <w:rPr>
          <w:rFonts w:hint="eastAsia" w:ascii="宋体" w:hAnsi="宋体"/>
          <w:b/>
          <w:bCs/>
          <w:kern w:val="0"/>
          <w:sz w:val="24"/>
          <w:szCs w:val="24"/>
        </w:rPr>
        <w:t>进行下阶段评审。</w:t>
      </w:r>
    </w:p>
    <w:p>
      <w:pPr>
        <w:pStyle w:val="2"/>
        <w:numPr>
          <w:ilvl w:val="0"/>
          <w:numId w:val="0"/>
        </w:numPr>
        <w:rPr>
          <w:rFonts w:hint="eastAsia"/>
        </w:rPr>
      </w:pPr>
    </w:p>
    <w:p>
      <w:pPr>
        <w:keepNext w:val="0"/>
        <w:keepLines w:val="0"/>
        <w:pageBreakBefore w:val="0"/>
        <w:widowControl/>
        <w:shd w:val="clear" w:color="auto" w:fill="FFFFFF"/>
        <w:kinsoku/>
        <w:wordWrap/>
        <w:topLinePunct w:val="0"/>
        <w:bidi w:val="0"/>
        <w:snapToGrid w:val="0"/>
        <w:spacing w:line="360" w:lineRule="exact"/>
        <w:ind w:firstLine="482"/>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投标人最低资格要求审查标准</w:t>
      </w:r>
    </w:p>
    <w:tbl>
      <w:tblPr>
        <w:tblStyle w:val="50"/>
        <w:tblW w:w="9743" w:type="dxa"/>
        <w:jc w:val="center"/>
        <w:tblLayout w:type="fixed"/>
        <w:tblCellMar>
          <w:top w:w="0" w:type="dxa"/>
          <w:left w:w="0" w:type="dxa"/>
          <w:bottom w:w="0" w:type="dxa"/>
          <w:right w:w="0" w:type="dxa"/>
        </w:tblCellMar>
      </w:tblPr>
      <w:tblGrid>
        <w:gridCol w:w="967"/>
        <w:gridCol w:w="8776"/>
      </w:tblGrid>
      <w:tr>
        <w:tblPrEx>
          <w:tblCellMar>
            <w:top w:w="0" w:type="dxa"/>
            <w:left w:w="0" w:type="dxa"/>
            <w:bottom w:w="0" w:type="dxa"/>
            <w:right w:w="0" w:type="dxa"/>
          </w:tblCellMar>
        </w:tblPrEx>
        <w:trPr>
          <w:trHeight w:val="622" w:hRule="atLeast"/>
          <w:jc w:val="center"/>
        </w:trPr>
        <w:tc>
          <w:tcPr>
            <w:tcW w:w="96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87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 准</w:t>
            </w:r>
          </w:p>
        </w:tc>
      </w:tr>
      <w:tr>
        <w:tblPrEx>
          <w:tblCellMar>
            <w:top w:w="0" w:type="dxa"/>
            <w:left w:w="0" w:type="dxa"/>
            <w:bottom w:w="0" w:type="dxa"/>
            <w:right w:w="0" w:type="dxa"/>
          </w:tblCellMar>
        </w:tblPrEx>
        <w:trPr>
          <w:trHeight w:val="441" w:hRule="atLeast"/>
          <w:jc w:val="center"/>
        </w:trPr>
        <w:tc>
          <w:tcPr>
            <w:tcW w:w="96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8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满足《中华人民共和国政府采购法》第二十二条规定</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必须是在中华人民共和国境内注册的独立法人企业；</w:t>
            </w:r>
          </w:p>
        </w:tc>
      </w:tr>
      <w:tr>
        <w:tblPrEx>
          <w:tblCellMar>
            <w:top w:w="0" w:type="dxa"/>
            <w:left w:w="0" w:type="dxa"/>
            <w:bottom w:w="0" w:type="dxa"/>
            <w:right w:w="0" w:type="dxa"/>
          </w:tblCellMar>
        </w:tblPrEx>
        <w:trPr>
          <w:trHeight w:val="360" w:hRule="atLeast"/>
          <w:jc w:val="center"/>
        </w:trPr>
        <w:tc>
          <w:tcPr>
            <w:tcW w:w="96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8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需具备文物保护工程施工二级</w:t>
            </w:r>
            <w:r>
              <w:rPr>
                <w:rFonts w:hint="eastAsia" w:ascii="宋体" w:hAnsi="宋体" w:eastAsia="宋体" w:cs="宋体"/>
                <w:color w:val="000000" w:themeColor="text1"/>
                <w:sz w:val="24"/>
                <w:szCs w:val="24"/>
                <w:highlight w:val="none"/>
                <w:lang w:eastAsia="zh-CN"/>
                <w14:textFill>
                  <w14:solidFill>
                    <w14:schemeClr w14:val="tx1"/>
                  </w14:solidFill>
                </w14:textFill>
              </w:rPr>
              <w:t>及以上资质</w:t>
            </w:r>
            <w:r>
              <w:rPr>
                <w:rFonts w:hint="eastAsia" w:ascii="宋体" w:hAnsi="宋体" w:eastAsia="宋体" w:cs="宋体"/>
                <w:color w:val="000000" w:themeColor="text1"/>
                <w:sz w:val="24"/>
                <w:szCs w:val="24"/>
                <w:highlight w:val="none"/>
                <w14:textFill>
                  <w14:solidFill>
                    <w14:schemeClr w14:val="tx1"/>
                  </w14:solidFill>
                </w14:textFill>
              </w:rPr>
              <w:t>（业务范围须</w:t>
            </w:r>
            <w:r>
              <w:rPr>
                <w:rFonts w:hint="eastAsia" w:ascii="宋体" w:hAnsi="宋体" w:eastAsia="宋体" w:cs="宋体"/>
                <w:color w:val="000000" w:themeColor="text1"/>
                <w:sz w:val="24"/>
                <w:szCs w:val="24"/>
                <w:highlight w:val="none"/>
                <w:lang w:eastAsia="zh-CN"/>
                <w14:textFill>
                  <w14:solidFill>
                    <w14:schemeClr w14:val="tx1"/>
                  </w14:solidFill>
                </w14:textFill>
              </w:rPr>
              <w:t>含</w:t>
            </w:r>
            <w:r>
              <w:rPr>
                <w:rFonts w:hint="eastAsia" w:ascii="宋体" w:hAnsi="宋体" w:eastAsia="宋体" w:cs="宋体"/>
                <w:color w:val="000000" w:themeColor="text1"/>
                <w:sz w:val="24"/>
                <w:szCs w:val="24"/>
                <w:highlight w:val="none"/>
                <w14:textFill>
                  <w14:solidFill>
                    <w14:schemeClr w14:val="tx1"/>
                  </w14:solidFill>
                </w14:textFill>
              </w:rPr>
              <w:t>石窟寺和石刻）、安全生产许可证，并应在人员、设备、资金等方面具有相应的施工能力；</w:t>
            </w:r>
          </w:p>
        </w:tc>
      </w:tr>
      <w:tr>
        <w:tblPrEx>
          <w:tblCellMar>
            <w:top w:w="0" w:type="dxa"/>
            <w:left w:w="0" w:type="dxa"/>
            <w:bottom w:w="0" w:type="dxa"/>
            <w:right w:w="0" w:type="dxa"/>
          </w:tblCellMar>
        </w:tblPrEx>
        <w:trPr>
          <w:trHeight w:val="441" w:hRule="atLeast"/>
          <w:jc w:val="center"/>
        </w:trPr>
        <w:tc>
          <w:tcPr>
            <w:tcW w:w="96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8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投标人必须具备有效的安全生产许</w:t>
            </w:r>
            <w:bookmarkStart w:id="745" w:name="_GoBack"/>
            <w:bookmarkEnd w:id="745"/>
            <w:r>
              <w:rPr>
                <w:rFonts w:hint="eastAsia" w:ascii="宋体" w:hAnsi="宋体" w:eastAsia="宋体" w:cs="宋体"/>
                <w:color w:val="000000" w:themeColor="text1"/>
                <w:sz w:val="24"/>
                <w:szCs w:val="24"/>
                <w14:textFill>
                  <w14:solidFill>
                    <w14:schemeClr w14:val="tx1"/>
                  </w14:solidFill>
                </w14:textFill>
              </w:rPr>
              <w:t>可证</w:t>
            </w:r>
          </w:p>
        </w:tc>
      </w:tr>
      <w:tr>
        <w:tblPrEx>
          <w:tblCellMar>
            <w:top w:w="0" w:type="dxa"/>
            <w:left w:w="0" w:type="dxa"/>
            <w:bottom w:w="0" w:type="dxa"/>
            <w:right w:w="0" w:type="dxa"/>
          </w:tblCellMar>
        </w:tblPrEx>
        <w:trPr>
          <w:trHeight w:val="441" w:hRule="atLeast"/>
          <w:jc w:val="center"/>
        </w:trPr>
        <w:tc>
          <w:tcPr>
            <w:tcW w:w="96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8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投标人名称必须与营业执照、资质证书、安全生产许可证的企业名称保持一致；</w:t>
            </w:r>
          </w:p>
        </w:tc>
      </w:tr>
      <w:tr>
        <w:tblPrEx>
          <w:tblCellMar>
            <w:top w:w="0" w:type="dxa"/>
            <w:left w:w="0" w:type="dxa"/>
            <w:bottom w:w="0" w:type="dxa"/>
            <w:right w:w="0" w:type="dxa"/>
          </w:tblCellMar>
        </w:tblPrEx>
        <w:trPr>
          <w:trHeight w:val="441" w:hRule="atLeast"/>
          <w:jc w:val="center"/>
        </w:trPr>
        <w:tc>
          <w:tcPr>
            <w:tcW w:w="96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8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项目负责人需具备文物保护工程责任工程师证书或者二级建造师证书</w:t>
            </w:r>
            <w:r>
              <w:rPr>
                <w:rFonts w:hint="eastAsia" w:ascii="宋体" w:hAnsi="宋体" w:eastAsia="宋体" w:cs="宋体"/>
                <w:color w:val="000000" w:themeColor="text1"/>
                <w:sz w:val="24"/>
                <w:szCs w:val="24"/>
                <w:lang w:eastAsia="zh-CN"/>
                <w14:textFill>
                  <w14:solidFill>
                    <w14:schemeClr w14:val="tx1"/>
                  </w14:solidFill>
                </w14:textFill>
              </w:rPr>
              <w:t>；</w:t>
            </w:r>
          </w:p>
        </w:tc>
      </w:tr>
      <w:tr>
        <w:tblPrEx>
          <w:tblCellMar>
            <w:top w:w="0" w:type="dxa"/>
            <w:left w:w="0" w:type="dxa"/>
            <w:bottom w:w="0" w:type="dxa"/>
            <w:right w:w="0" w:type="dxa"/>
          </w:tblCellMar>
        </w:tblPrEx>
        <w:trPr>
          <w:trHeight w:val="441" w:hRule="atLeast"/>
          <w:jc w:val="center"/>
        </w:trPr>
        <w:tc>
          <w:tcPr>
            <w:tcW w:w="96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8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投标人截至到开标前未被列入“信用中国”网站（www.creditchina.gov.cn）或中国政府采购网（www.ccgp.gov.cn）失信被执行人、重大税收违法当事人名单、政府采购违法失信行为记录名单。</w:t>
            </w:r>
          </w:p>
        </w:tc>
      </w:tr>
      <w:tr>
        <w:tblPrEx>
          <w:tblCellMar>
            <w:top w:w="0" w:type="dxa"/>
            <w:left w:w="0" w:type="dxa"/>
            <w:bottom w:w="0" w:type="dxa"/>
            <w:right w:w="0" w:type="dxa"/>
          </w:tblCellMar>
        </w:tblPrEx>
        <w:trPr>
          <w:trHeight w:val="441" w:hRule="atLeast"/>
          <w:jc w:val="center"/>
        </w:trPr>
        <w:tc>
          <w:tcPr>
            <w:tcW w:w="96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87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投标人必须按招标文件中投标人须知前附表规定，缴纳投标保证金。</w:t>
            </w:r>
          </w:p>
        </w:tc>
      </w:tr>
      <w:tr>
        <w:tblPrEx>
          <w:tblCellMar>
            <w:top w:w="0" w:type="dxa"/>
            <w:left w:w="0" w:type="dxa"/>
            <w:bottom w:w="0" w:type="dxa"/>
            <w:right w:w="0" w:type="dxa"/>
          </w:tblCellMar>
        </w:tblPrEx>
        <w:trPr>
          <w:trHeight w:val="831" w:hRule="atLeast"/>
          <w:jc w:val="center"/>
        </w:trPr>
        <w:tc>
          <w:tcPr>
            <w:tcW w:w="97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如果资格评审中有一项不满足审查标准的，评标委员会将认定该投标人不通过资格审查，不得进入下一阶段评审。并且不允许投标人通过修改或撤销其不符合要求的差异或保留，使之成为具有响应性的投标。</w:t>
            </w:r>
          </w:p>
        </w:tc>
      </w:tr>
    </w:tbl>
    <w:p>
      <w:pPr>
        <w:keepNext w:val="0"/>
        <w:keepLines w:val="0"/>
        <w:pageBreakBefore w:val="0"/>
        <w:shd w:val="clear" w:color="auto" w:fill="FFFFFF"/>
        <w:kinsoku/>
        <w:wordWrap/>
        <w:topLinePunct w:val="0"/>
        <w:bidi w:val="0"/>
        <w:snapToGri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8.3、商务标初步评审</w:t>
      </w:r>
    </w:p>
    <w:p>
      <w:pPr>
        <w:keepNext w:val="0"/>
        <w:keepLines w:val="0"/>
        <w:pageBreakBefore w:val="0"/>
        <w:shd w:val="clear" w:color="auto" w:fill="FFFFFF"/>
        <w:kinsoku/>
        <w:wordWrap/>
        <w:topLinePunct w:val="0"/>
        <w:bidi w:val="0"/>
        <w:snapToGrid w:val="0"/>
        <w:spacing w:line="360" w:lineRule="exact"/>
        <w:ind w:firstLine="42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评标委员会只对通过上述评审的商务标按照《商务标完备性及符合性审查标准》进行初步评审。</w:t>
      </w:r>
    </w:p>
    <w:p>
      <w:pPr>
        <w:keepNext w:val="0"/>
        <w:keepLines w:val="0"/>
        <w:pageBreakBefore w:val="0"/>
        <w:widowControl/>
        <w:shd w:val="clear" w:color="auto" w:fill="FFFFFF"/>
        <w:kinsoku/>
        <w:wordWrap/>
        <w:topLinePunct w:val="0"/>
        <w:bidi w:val="0"/>
        <w:snapToGrid w:val="0"/>
        <w:spacing w:line="360" w:lineRule="exact"/>
        <w:ind w:firstLine="482"/>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商务标完备性及符合性审查标准</w:t>
      </w:r>
    </w:p>
    <w:tbl>
      <w:tblPr>
        <w:tblStyle w:val="50"/>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109"/>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条款号</w:t>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"file:///F:\\严敏\\2015年\\工作\\范本\\清单招标文件\\2009年施工招标文件和资格预审文件（新）\\2008012清单招标文件范本（经评审的最低价）.doc" \l "_Hlk54327557#_Hlk54327557"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1.2.2</w:t>
            </w:r>
            <w:r>
              <w:rPr>
                <w:rFonts w:hint="eastAsia" w:ascii="宋体" w:hAnsi="宋体" w:eastAsia="宋体" w:cs="宋体"/>
                <w:color w:val="000000" w:themeColor="text1"/>
                <w:sz w:val="24"/>
                <w:szCs w:val="24"/>
                <w14:textFill>
                  <w14:solidFill>
                    <w14:schemeClr w14:val="tx1"/>
                  </w14:solidFill>
                </w14:textFill>
              </w:rPr>
              <w:fldChar w:fldCharType="end"/>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投标承诺书中所报工期、质量标准必须要满足招标文件规定。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"file:///F:\\严敏\\2015年\\工作\\范本\\清单招标文件\\2009年施工招标文件和资格预审文件（新）\\2008012清单招标文件范本（经评审的最低价）.doc" \l "_Hlk64545073#_Hlk64545073"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6.2.1</w:t>
            </w:r>
            <w:r>
              <w:rPr>
                <w:rFonts w:hint="eastAsia" w:ascii="宋体" w:hAnsi="宋体" w:eastAsia="宋体" w:cs="宋体"/>
                <w:color w:val="000000" w:themeColor="text1"/>
                <w:sz w:val="24"/>
                <w:szCs w:val="24"/>
                <w14:textFill>
                  <w14:solidFill>
                    <w14:schemeClr w14:val="tx1"/>
                  </w14:solidFill>
                </w14:textFill>
              </w:rPr>
              <w:fldChar w:fldCharType="end"/>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投标承诺书（一）、（二）必须按招标文件规定格式完整提供，并要盖投标人章、法定代表人或委托代理人</w:t>
            </w:r>
            <w:r>
              <w:rPr>
                <w:rFonts w:hint="eastAsia" w:ascii="宋体" w:hAnsi="宋体" w:eastAsia="宋体" w:cs="宋体"/>
                <w:color w:val="000000" w:themeColor="text1"/>
                <w:sz w:val="24"/>
                <w:szCs w:val="24"/>
                <w:lang w:eastAsia="zh-CN"/>
                <w14:textFill>
                  <w14:solidFill>
                    <w14:schemeClr w14:val="tx1"/>
                  </w14:solidFill>
                </w14:textFill>
              </w:rPr>
              <w:t>章</w:t>
            </w:r>
            <w:r>
              <w:rPr>
                <w:rFonts w:hint="eastAsia" w:ascii="宋体" w:hAnsi="宋体" w:eastAsia="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"file:///F:\\严敏\\2015年\\工作\\范本\\清单招标文件\\2009年施工招标文件和资格预审文件（新）\\2008012清单招标文件范本（经评审的最低价）.doc" \l "_Hlk64545119#_Hlk64545119"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6.2.2</w:t>
            </w:r>
            <w:r>
              <w:rPr>
                <w:rFonts w:hint="eastAsia" w:ascii="宋体" w:hAnsi="宋体" w:eastAsia="宋体" w:cs="宋体"/>
                <w:color w:val="000000" w:themeColor="text1"/>
                <w:sz w:val="24"/>
                <w:szCs w:val="24"/>
                <w14:textFill>
                  <w14:solidFill>
                    <w14:schemeClr w14:val="tx1"/>
                  </w14:solidFill>
                </w14:textFill>
              </w:rPr>
              <w:fldChar w:fldCharType="end"/>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法定代表人身份证明书必须按招标文件规定格式完整提供，并要盖投标人章。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"file:///F:\\严敏\\2015年\\工作\\范本\\清单招标文件\\2009年施工招标文件和资格预审文件（新）\\2008012清单招标文件范本（经评审的最低价）.doc" \l "_Hlk64545352#_Hlk64545352"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6.2.3</w:t>
            </w:r>
            <w:r>
              <w:rPr>
                <w:rFonts w:hint="eastAsia" w:ascii="宋体" w:hAnsi="宋体" w:eastAsia="宋体" w:cs="宋体"/>
                <w:color w:val="000000" w:themeColor="text1"/>
                <w:sz w:val="24"/>
                <w:szCs w:val="24"/>
                <w14:textFill>
                  <w14:solidFill>
                    <w14:schemeClr w14:val="tx1"/>
                  </w14:solidFill>
                </w14:textFill>
              </w:rPr>
              <w:fldChar w:fldCharType="end"/>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法定代表人授权委托书必须按招标文件规定格式完整提供，并要盖投标人章、法定代表人章。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"file:///F:\\严敏\\2015年\\工作\\范本\\清单招标文件\\2009年施工招标文件和资格预审文件（新）\\2008012清单招标文件范本（经评审的最低价）.doc" \l "_Hlk64545736#_Hlk64545736"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6.2.7</w:t>
            </w:r>
            <w:r>
              <w:rPr>
                <w:rFonts w:hint="eastAsia" w:ascii="宋体" w:hAnsi="宋体" w:eastAsia="宋体" w:cs="宋体"/>
                <w:color w:val="000000" w:themeColor="text1"/>
                <w:sz w:val="24"/>
                <w:szCs w:val="24"/>
                <w14:textFill>
                  <w14:solidFill>
                    <w14:schemeClr w14:val="tx1"/>
                  </w14:solidFill>
                </w14:textFill>
              </w:rPr>
              <w:fldChar w:fldCharType="end"/>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项目负责人简历必须提供。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"file:///F:\\严敏\\2015年\\工作\\范本\\清单招标文件\\2009年施工招标文件和资格预审文件（新）\\2008012清单招标文件范本（经评审的最低价）.doc" \l "_Hlk64545761#_Hlk64545761"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6.2.8</w:t>
            </w:r>
            <w:r>
              <w:rPr>
                <w:rFonts w:hint="eastAsia" w:ascii="宋体" w:hAnsi="宋体" w:eastAsia="宋体" w:cs="宋体"/>
                <w:color w:val="000000" w:themeColor="text1"/>
                <w:sz w:val="24"/>
                <w:szCs w:val="24"/>
                <w14:textFill>
                  <w14:solidFill>
                    <w14:schemeClr w14:val="tx1"/>
                  </w14:solidFill>
                </w14:textFill>
              </w:rPr>
              <w:fldChar w:fldCharType="end"/>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项目管理人员必须提供。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"file:///F:\\严敏\\2015年\\工作\\范本\\清单招标文件\\2009年施工招标文件和资格预审文件（新）\\2008012清单招标文件范本（经评审的最低价）.doc" \l "_Hlk72641070#_Hlk72641070"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6.11.2</w:t>
            </w:r>
            <w:r>
              <w:rPr>
                <w:rFonts w:hint="eastAsia" w:ascii="宋体" w:hAnsi="宋体" w:eastAsia="宋体" w:cs="宋体"/>
                <w:color w:val="000000" w:themeColor="text1"/>
                <w:sz w:val="24"/>
                <w:szCs w:val="24"/>
                <w14:textFill>
                  <w14:solidFill>
                    <w14:schemeClr w14:val="tx1"/>
                  </w14:solidFill>
                </w14:textFill>
              </w:rPr>
              <w:fldChar w:fldCharType="end"/>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商务标封面右上角必须注明“正本”或“副本”字样。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9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备注：如果商务标中有一项未通过上述审查标准，评标委员会将认定整个投标文件不响应招标文件而予以废标，并且不允许投标人通过修改或撤销其不符合要求的差异或保留，使之成为具有响应性的投标。</w:t>
            </w:r>
          </w:p>
        </w:tc>
      </w:tr>
    </w:tbl>
    <w:p>
      <w:pPr>
        <w:keepNext w:val="0"/>
        <w:keepLines w:val="0"/>
        <w:pageBreakBefore w:val="0"/>
        <w:shd w:val="clear" w:color="auto" w:fill="FFFFFF"/>
        <w:kinsoku/>
        <w:wordWrap/>
        <w:topLinePunct w:val="0"/>
        <w:bidi w:val="0"/>
        <w:snapToGri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8.4、商务标详细评审</w:t>
      </w:r>
    </w:p>
    <w:p>
      <w:pPr>
        <w:keepNext w:val="0"/>
        <w:keepLines w:val="0"/>
        <w:pageBreakBefore w:val="0"/>
        <w:shd w:val="clear" w:color="auto" w:fill="FFFFFF"/>
        <w:kinsoku/>
        <w:wordWrap/>
        <w:topLinePunct w:val="0"/>
        <w:bidi w:val="0"/>
        <w:snapToGri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评标委员会只对通过上述评审的商务标按照《商务标评审标准》进行详细评审。</w:t>
      </w:r>
    </w:p>
    <w:tbl>
      <w:tblPr>
        <w:tblStyle w:val="5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82"/>
        <w:gridCol w:w="1083"/>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评审项目</w:t>
            </w:r>
          </w:p>
        </w:tc>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标准分</w:t>
            </w:r>
          </w:p>
        </w:tc>
        <w:tc>
          <w:tcPr>
            <w:tcW w:w="6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企业业绩情况</w:t>
            </w:r>
          </w:p>
        </w:tc>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6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具有文物维修类似业绩至少一项（需提供中标通知书或合同），得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分；每增加一个加</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分，满分</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项目负责人类似业绩</w:t>
            </w:r>
          </w:p>
        </w:tc>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项目负责人需具有文物维修类似业绩至少一项（需提供中标通知书或合同），得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分；每增加一个加</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分，满分</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分。业绩需反映出是项目负责人的业绩。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项目管理人员组成</w:t>
            </w:r>
          </w:p>
        </w:tc>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6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项目工程师、质量管理员、安全管理员、材料管理员、机械管理员、施工资料管理员等要配备齐全，其中项目工程师须附职称证书，其他人员如果有上岗证复印件也应附带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4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73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97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注：1、评委应认真了解本招标文件和工程有关情况后，做出须自己负责的评审。2、商务标得分等于</w:t>
            </w:r>
            <w:r>
              <w:rPr>
                <w:rFonts w:hint="eastAsia" w:ascii="宋体" w:hAnsi="宋体" w:eastAsia="宋体" w:cs="宋体"/>
                <w:color w:val="000000" w:themeColor="text1"/>
                <w:sz w:val="24"/>
                <w:szCs w:val="24"/>
                <w:lang w:eastAsia="zh-CN"/>
                <w14:textFill>
                  <w14:solidFill>
                    <w14:schemeClr w14:val="tx1"/>
                  </w14:solidFill>
                </w14:textFill>
              </w:rPr>
              <w:t>所有</w:t>
            </w:r>
            <w:r>
              <w:rPr>
                <w:rFonts w:hint="eastAsia" w:ascii="宋体" w:hAnsi="宋体" w:eastAsia="宋体" w:cs="宋体"/>
                <w:color w:val="000000" w:themeColor="text1"/>
                <w:sz w:val="24"/>
                <w:szCs w:val="24"/>
                <w14:textFill>
                  <w14:solidFill>
                    <w14:schemeClr w14:val="tx1"/>
                  </w14:solidFill>
                </w14:textFill>
              </w:rPr>
              <w:t>评委评分的算术平均值，计算结果值在小数点后保留两位小数，后余位数四舍五入。</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、每项内容扣分比例超过20%，请评委依据投标文件在评委评审意见书中写明原因。</w:t>
            </w:r>
          </w:p>
        </w:tc>
      </w:tr>
    </w:tbl>
    <w:p>
      <w:pPr>
        <w:keepNext w:val="0"/>
        <w:keepLines w:val="0"/>
        <w:pageBreakBefore w:val="0"/>
        <w:shd w:val="clear" w:color="auto" w:fill="FFFFFF"/>
        <w:kinsoku/>
        <w:wordWrap/>
        <w:topLinePunct w:val="0"/>
        <w:bidi w:val="0"/>
        <w:snapToGri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8.5、技术标初步评审</w:t>
      </w:r>
    </w:p>
    <w:p>
      <w:pPr>
        <w:keepNext w:val="0"/>
        <w:keepLines w:val="0"/>
        <w:pageBreakBefore w:val="0"/>
        <w:shd w:val="clear" w:color="auto" w:fill="FFFFFF"/>
        <w:kinsoku/>
        <w:wordWrap/>
        <w:topLinePunct w:val="0"/>
        <w:bidi w:val="0"/>
        <w:snapToGri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评标委员会只对通过上述评审的投标人的技术标按照《技术标完备性及符合性审查标准》进行初步评审。</w:t>
      </w:r>
    </w:p>
    <w:p>
      <w:pPr>
        <w:keepNext w:val="0"/>
        <w:keepLines w:val="0"/>
        <w:pageBreakBefore w:val="0"/>
        <w:shd w:val="clear" w:color="auto" w:fill="FFFFFF"/>
        <w:kinsoku/>
        <w:wordWrap/>
        <w:topLinePunct w:val="0"/>
        <w:bidi w:val="0"/>
        <w:snapToGrid w:val="0"/>
        <w:spacing w:line="360" w:lineRule="exact"/>
        <w:ind w:firstLine="48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技术标完备性及符合性审查标准</w:t>
      </w:r>
    </w:p>
    <w:tbl>
      <w:tblPr>
        <w:tblStyle w:val="50"/>
        <w:tblW w:w="9683" w:type="dxa"/>
        <w:jc w:val="center"/>
        <w:tblLayout w:type="fixed"/>
        <w:tblCellMar>
          <w:top w:w="0" w:type="dxa"/>
          <w:left w:w="10" w:type="dxa"/>
          <w:bottom w:w="0" w:type="dxa"/>
          <w:right w:w="10" w:type="dxa"/>
        </w:tblCellMar>
      </w:tblPr>
      <w:tblGrid>
        <w:gridCol w:w="656"/>
        <w:gridCol w:w="1082"/>
        <w:gridCol w:w="7945"/>
      </w:tblGrid>
      <w:tr>
        <w:tblPrEx>
          <w:tblCellMar>
            <w:top w:w="0" w:type="dxa"/>
            <w:left w:w="10" w:type="dxa"/>
            <w:bottom w:w="0" w:type="dxa"/>
            <w:right w:w="10" w:type="dxa"/>
          </w:tblCellMar>
        </w:tblPrEx>
        <w:trPr>
          <w:trHeight w:val="533" w:hRule="atLeast"/>
          <w:jc w:val="center"/>
        </w:trPr>
        <w:tc>
          <w:tcPr>
            <w:tcW w:w="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jc w:val="center"/>
              <w:textAlignment w:val="auto"/>
              <w:rPr>
                <w:rFonts w:hint="eastAsia" w:ascii="宋体" w:hAnsi="宋体" w:eastAsia="宋体" w:cs="宋体"/>
                <w:sz w:val="24"/>
                <w:szCs w:val="24"/>
              </w:rPr>
            </w:pPr>
            <w:r>
              <w:rPr>
                <w:rFonts w:hint="eastAsia" w:ascii="宋体" w:hAnsi="宋体" w:eastAsia="宋体" w:cs="宋体"/>
                <w:sz w:val="24"/>
                <w:szCs w:val="24"/>
              </w:rPr>
              <w:t>条款号</w:t>
            </w:r>
          </w:p>
        </w:tc>
        <w:tc>
          <w:tcPr>
            <w:tcW w:w="7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jc w:val="center"/>
              <w:textAlignment w:val="auto"/>
              <w:rPr>
                <w:rFonts w:hint="eastAsia" w:ascii="宋体" w:hAnsi="宋体" w:eastAsia="宋体" w:cs="宋体"/>
                <w:sz w:val="24"/>
                <w:szCs w:val="24"/>
              </w:rPr>
            </w:pPr>
            <w:r>
              <w:rPr>
                <w:rFonts w:hint="eastAsia" w:ascii="宋体" w:hAnsi="宋体" w:eastAsia="宋体" w:cs="宋体"/>
                <w:sz w:val="24"/>
                <w:szCs w:val="24"/>
              </w:rPr>
              <w:t>标准</w:t>
            </w:r>
          </w:p>
        </w:tc>
      </w:tr>
      <w:tr>
        <w:tblPrEx>
          <w:tblCellMar>
            <w:top w:w="0" w:type="dxa"/>
            <w:left w:w="10" w:type="dxa"/>
            <w:bottom w:w="0" w:type="dxa"/>
            <w:right w:w="10" w:type="dxa"/>
          </w:tblCellMar>
        </w:tblPrEx>
        <w:trPr>
          <w:trHeight w:val="442" w:hRule="atLeast"/>
          <w:jc w:val="center"/>
        </w:trPr>
        <w:tc>
          <w:tcPr>
            <w:tcW w:w="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6.3</w:t>
            </w:r>
          </w:p>
        </w:tc>
        <w:tc>
          <w:tcPr>
            <w:tcW w:w="7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技术标必须提供。</w:t>
            </w:r>
          </w:p>
        </w:tc>
      </w:tr>
      <w:tr>
        <w:tblPrEx>
          <w:tblCellMar>
            <w:top w:w="0" w:type="dxa"/>
            <w:left w:w="10" w:type="dxa"/>
            <w:bottom w:w="0" w:type="dxa"/>
            <w:right w:w="10" w:type="dxa"/>
          </w:tblCellMar>
        </w:tblPrEx>
        <w:trPr>
          <w:trHeight w:val="488" w:hRule="atLeast"/>
          <w:jc w:val="center"/>
        </w:trPr>
        <w:tc>
          <w:tcPr>
            <w:tcW w:w="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6.5.2</w:t>
            </w:r>
          </w:p>
        </w:tc>
        <w:tc>
          <w:tcPr>
            <w:tcW w:w="7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技术标必须采用A4打印纸，但技术标中的施工平面布置图、施工横道图或网络图、施工进度计划表或施工进度网络图</w:t>
            </w:r>
            <w:r>
              <w:rPr>
                <w:rFonts w:hint="eastAsia" w:ascii="宋体" w:hAnsi="宋体" w:eastAsia="宋体" w:cs="宋体"/>
                <w:sz w:val="24"/>
                <w:szCs w:val="24"/>
                <w:lang w:eastAsia="zh-CN"/>
              </w:rPr>
              <w:t>必须</w:t>
            </w:r>
            <w:r>
              <w:rPr>
                <w:rFonts w:hint="eastAsia" w:ascii="宋体" w:hAnsi="宋体" w:eastAsia="宋体" w:cs="宋体"/>
                <w:sz w:val="24"/>
                <w:szCs w:val="24"/>
              </w:rPr>
              <w:t>采用A3打印纸。</w:t>
            </w:r>
          </w:p>
        </w:tc>
      </w:tr>
      <w:tr>
        <w:tblPrEx>
          <w:tblCellMar>
            <w:top w:w="0" w:type="dxa"/>
            <w:left w:w="10" w:type="dxa"/>
            <w:bottom w:w="0" w:type="dxa"/>
            <w:right w:w="10" w:type="dxa"/>
          </w:tblCellMar>
        </w:tblPrEx>
        <w:trPr>
          <w:trHeight w:val="442" w:hRule="atLeast"/>
          <w:jc w:val="center"/>
        </w:trPr>
        <w:tc>
          <w:tcPr>
            <w:tcW w:w="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6.6.2</w:t>
            </w:r>
          </w:p>
        </w:tc>
        <w:tc>
          <w:tcPr>
            <w:tcW w:w="7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投标文件技术标必须采用打印方式书写。</w:t>
            </w:r>
          </w:p>
        </w:tc>
      </w:tr>
      <w:tr>
        <w:tblPrEx>
          <w:tblCellMar>
            <w:top w:w="0" w:type="dxa"/>
            <w:left w:w="10" w:type="dxa"/>
            <w:bottom w:w="0" w:type="dxa"/>
            <w:right w:w="10" w:type="dxa"/>
          </w:tblCellMar>
        </w:tblPrEx>
        <w:trPr>
          <w:trHeight w:val="442" w:hRule="atLeast"/>
          <w:jc w:val="center"/>
        </w:trPr>
        <w:tc>
          <w:tcPr>
            <w:tcW w:w="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6.7.1</w:t>
            </w:r>
          </w:p>
        </w:tc>
        <w:tc>
          <w:tcPr>
            <w:tcW w:w="7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技术标必须装订成册。</w:t>
            </w:r>
          </w:p>
        </w:tc>
      </w:tr>
      <w:tr>
        <w:tblPrEx>
          <w:tblCellMar>
            <w:top w:w="0" w:type="dxa"/>
            <w:left w:w="10" w:type="dxa"/>
            <w:bottom w:w="0" w:type="dxa"/>
            <w:right w:w="10" w:type="dxa"/>
          </w:tblCellMar>
        </w:tblPrEx>
        <w:trPr>
          <w:trHeight w:val="1011" w:hRule="atLeast"/>
          <w:jc w:val="center"/>
        </w:trPr>
        <w:tc>
          <w:tcPr>
            <w:tcW w:w="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6.8.2</w:t>
            </w:r>
          </w:p>
        </w:tc>
        <w:tc>
          <w:tcPr>
            <w:tcW w:w="7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技术标正文应采用Word文档编写，所有字体均采用四号宋体字，所有字体为黑色，且不得有任何修饰。施工平面布置图以及施工横道图或网络图中的字体采用宋体字，字迹以清晰为准。</w:t>
            </w:r>
          </w:p>
        </w:tc>
      </w:tr>
      <w:tr>
        <w:tblPrEx>
          <w:tblCellMar>
            <w:top w:w="0" w:type="dxa"/>
            <w:left w:w="10" w:type="dxa"/>
            <w:bottom w:w="0" w:type="dxa"/>
            <w:right w:w="10" w:type="dxa"/>
          </w:tblCellMar>
        </w:tblPrEx>
        <w:trPr>
          <w:trHeight w:val="457" w:hRule="atLeast"/>
          <w:jc w:val="center"/>
        </w:trPr>
        <w:tc>
          <w:tcPr>
            <w:tcW w:w="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6.9.2</w:t>
            </w:r>
          </w:p>
        </w:tc>
        <w:tc>
          <w:tcPr>
            <w:tcW w:w="7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技术标封面为空白A4复印纸，表面不得做任何标记，不得再加其他封皮。</w:t>
            </w:r>
          </w:p>
        </w:tc>
      </w:tr>
      <w:tr>
        <w:tblPrEx>
          <w:tblCellMar>
            <w:top w:w="0" w:type="dxa"/>
            <w:left w:w="10" w:type="dxa"/>
            <w:bottom w:w="0" w:type="dxa"/>
            <w:right w:w="10" w:type="dxa"/>
          </w:tblCellMar>
        </w:tblPrEx>
        <w:trPr>
          <w:trHeight w:val="442" w:hRule="atLeast"/>
          <w:jc w:val="center"/>
        </w:trPr>
        <w:tc>
          <w:tcPr>
            <w:tcW w:w="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6.10.2</w:t>
            </w:r>
          </w:p>
        </w:tc>
        <w:tc>
          <w:tcPr>
            <w:tcW w:w="7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技术标中不得出现扉页、彩页、页眉、页脚及页码标示。</w:t>
            </w:r>
          </w:p>
        </w:tc>
      </w:tr>
      <w:tr>
        <w:tblPrEx>
          <w:tblCellMar>
            <w:top w:w="0" w:type="dxa"/>
            <w:left w:w="10" w:type="dxa"/>
            <w:bottom w:w="0" w:type="dxa"/>
            <w:right w:w="10" w:type="dxa"/>
          </w:tblCellMar>
        </w:tblPrEx>
        <w:trPr>
          <w:trHeight w:val="442" w:hRule="atLeast"/>
          <w:jc w:val="center"/>
        </w:trPr>
        <w:tc>
          <w:tcPr>
            <w:tcW w:w="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6.11.2</w:t>
            </w:r>
          </w:p>
        </w:tc>
        <w:tc>
          <w:tcPr>
            <w:tcW w:w="7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技术标不能出现“正本”或“副本”字样。</w:t>
            </w:r>
          </w:p>
        </w:tc>
      </w:tr>
      <w:tr>
        <w:tblPrEx>
          <w:tblCellMar>
            <w:top w:w="0" w:type="dxa"/>
            <w:left w:w="10" w:type="dxa"/>
            <w:bottom w:w="0" w:type="dxa"/>
            <w:right w:w="10" w:type="dxa"/>
          </w:tblCellMar>
        </w:tblPrEx>
        <w:trPr>
          <w:trHeight w:val="457" w:hRule="atLeast"/>
          <w:jc w:val="center"/>
        </w:trPr>
        <w:tc>
          <w:tcPr>
            <w:tcW w:w="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6.13</w:t>
            </w:r>
          </w:p>
        </w:tc>
        <w:tc>
          <w:tcPr>
            <w:tcW w:w="7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技术标严禁涂改和行间插字。</w:t>
            </w:r>
          </w:p>
        </w:tc>
      </w:tr>
      <w:tr>
        <w:tblPrEx>
          <w:tblCellMar>
            <w:top w:w="0" w:type="dxa"/>
            <w:left w:w="10" w:type="dxa"/>
            <w:bottom w:w="0" w:type="dxa"/>
            <w:right w:w="10" w:type="dxa"/>
          </w:tblCellMar>
        </w:tblPrEx>
        <w:trPr>
          <w:trHeight w:val="884" w:hRule="atLeast"/>
          <w:jc w:val="center"/>
        </w:trPr>
        <w:tc>
          <w:tcPr>
            <w:tcW w:w="9683"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200"/>
              <w:textAlignment w:val="auto"/>
              <w:rPr>
                <w:rFonts w:hint="eastAsia" w:ascii="宋体" w:hAnsi="宋体" w:eastAsia="宋体" w:cs="宋体"/>
                <w:sz w:val="24"/>
                <w:szCs w:val="24"/>
              </w:rPr>
            </w:pPr>
            <w:r>
              <w:rPr>
                <w:rFonts w:hint="eastAsia" w:ascii="宋体" w:hAnsi="宋体" w:eastAsia="宋体" w:cs="宋体"/>
                <w:sz w:val="24"/>
                <w:szCs w:val="24"/>
              </w:rPr>
              <w:t>备注：如果技术标中有一项未通过上述审查标准，评标委员会将认定整个投标文件不响应招标文件而予以否决，并且不允许投标人通过修改或撤销其不符合要求的差异或保留，使之成为具有响应性的投标。</w:t>
            </w:r>
          </w:p>
        </w:tc>
      </w:tr>
    </w:tbl>
    <w:p>
      <w:pPr>
        <w:keepNext w:val="0"/>
        <w:keepLines w:val="0"/>
        <w:pageBreakBefore w:val="0"/>
        <w:shd w:val="clear" w:color="auto" w:fill="FFFFFF"/>
        <w:kinsoku/>
        <w:wordWrap/>
        <w:topLinePunct w:val="0"/>
        <w:bidi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8.6、技术标详细评审</w:t>
      </w:r>
    </w:p>
    <w:p>
      <w:pPr>
        <w:keepNext w:val="0"/>
        <w:keepLines w:val="0"/>
        <w:pageBreakBefore w:val="0"/>
        <w:shd w:val="clear" w:color="auto" w:fill="FFFFFF"/>
        <w:kinsoku/>
        <w:wordWrap/>
        <w:topLinePunct w:val="0"/>
        <w:bidi w:val="0"/>
        <w:snapToGri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评标委员会只对通过上述评审的技术标按照《技术标评审标准》进行详细评审。</w:t>
      </w:r>
    </w:p>
    <w:p>
      <w:pPr>
        <w:pStyle w:val="2"/>
        <w:rPr>
          <w:rFonts w:hint="eastAsia"/>
        </w:rPr>
      </w:pPr>
    </w:p>
    <w:p>
      <w:pPr>
        <w:keepNext w:val="0"/>
        <w:keepLines w:val="0"/>
        <w:pageBreakBefore w:val="0"/>
        <w:widowControl/>
        <w:shd w:val="clear" w:color="auto" w:fill="FFFFFF"/>
        <w:kinsoku/>
        <w:wordWrap/>
        <w:topLinePunct w:val="0"/>
        <w:bidi w:val="0"/>
        <w:snapToGrid w:val="0"/>
        <w:spacing w:line="360" w:lineRule="exact"/>
        <w:ind w:firstLine="482"/>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技术标评审标准</w:t>
      </w:r>
    </w:p>
    <w:tbl>
      <w:tblPr>
        <w:tblStyle w:val="50"/>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550"/>
        <w:gridCol w:w="1133"/>
        <w:gridCol w:w="4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blHeader/>
          <w:jc w:val="center"/>
        </w:trPr>
        <w:tc>
          <w:tcPr>
            <w:tcW w:w="792" w:type="dxa"/>
            <w:vAlign w:val="center"/>
          </w:tcPr>
          <w:p>
            <w:pPr>
              <w:keepNext w:val="0"/>
              <w:keepLines w:val="0"/>
              <w:pageBreakBefore w:val="0"/>
              <w:widowControl w:val="0"/>
              <w:tabs>
                <w:tab w:val="left" w:pos="749"/>
                <w:tab w:val="left" w:pos="3346"/>
                <w:tab w:val="left" w:pos="3873"/>
                <w:tab w:val="left" w:pos="9611"/>
              </w:tabs>
              <w:kinsoku/>
              <w:wordWrap/>
              <w:topLinePunct w:val="0"/>
              <w:bidi w:val="0"/>
              <w:snapToGrid/>
              <w:spacing w:line="360" w:lineRule="exact"/>
              <w:ind w:firstLine="24" w:firstLineChars="1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550" w:type="dxa"/>
            <w:vAlign w:val="center"/>
          </w:tcPr>
          <w:p>
            <w:pPr>
              <w:keepNext w:val="0"/>
              <w:keepLines w:val="0"/>
              <w:pageBreakBefore w:val="0"/>
              <w:widowControl w:val="0"/>
              <w:tabs>
                <w:tab w:val="left" w:pos="749"/>
                <w:tab w:val="left" w:pos="3346"/>
                <w:tab w:val="left" w:pos="3873"/>
                <w:tab w:val="left" w:pos="9611"/>
              </w:tabs>
              <w:kinsoku/>
              <w:wordWrap/>
              <w:topLinePunct w:val="0"/>
              <w:bidi w:val="0"/>
              <w:snapToGrid/>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评审项目</w:t>
            </w:r>
          </w:p>
        </w:tc>
        <w:tc>
          <w:tcPr>
            <w:tcW w:w="1133" w:type="dxa"/>
            <w:vAlign w:val="center"/>
          </w:tcPr>
          <w:p>
            <w:pPr>
              <w:keepNext w:val="0"/>
              <w:keepLines w:val="0"/>
              <w:pageBreakBefore w:val="0"/>
              <w:widowControl w:val="0"/>
              <w:tabs>
                <w:tab w:val="left" w:pos="749"/>
                <w:tab w:val="left" w:pos="3346"/>
                <w:tab w:val="left" w:pos="3873"/>
                <w:tab w:val="left" w:pos="9611"/>
              </w:tabs>
              <w:kinsoku/>
              <w:wordWrap/>
              <w:topLinePunct w:val="0"/>
              <w:bidi w:val="0"/>
              <w:snapToGrid/>
              <w:spacing w:line="360" w:lineRule="exact"/>
              <w:ind w:firstLine="24" w:firstLineChars="1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标准分</w:t>
            </w:r>
          </w:p>
        </w:tc>
        <w:tc>
          <w:tcPr>
            <w:tcW w:w="4883" w:type="dxa"/>
            <w:vAlign w:val="center"/>
          </w:tcPr>
          <w:p>
            <w:pPr>
              <w:keepNext w:val="0"/>
              <w:keepLines w:val="0"/>
              <w:pageBreakBefore w:val="0"/>
              <w:widowControl w:val="0"/>
              <w:tabs>
                <w:tab w:val="left" w:pos="749"/>
                <w:tab w:val="left" w:pos="3346"/>
                <w:tab w:val="left" w:pos="3873"/>
                <w:tab w:val="left" w:pos="9611"/>
              </w:tabs>
              <w:kinsoku/>
              <w:wordWrap/>
              <w:topLinePunct w:val="0"/>
              <w:bidi w:val="0"/>
              <w:snapToGrid/>
              <w:spacing w:line="360" w:lineRule="exact"/>
              <w:ind w:firstLine="24" w:firstLineChars="1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blHeader/>
          <w:jc w:val="center"/>
        </w:trPr>
        <w:tc>
          <w:tcPr>
            <w:tcW w:w="792" w:type="dxa"/>
            <w:tcBorders>
              <w:bottom w:val="single" w:color="auto" w:sz="4" w:space="0"/>
            </w:tcBorders>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p>
        </w:tc>
        <w:tc>
          <w:tcPr>
            <w:tcW w:w="2550" w:type="dxa"/>
            <w:tcBorders>
              <w:bottom w:val="single" w:color="auto" w:sz="4" w:space="0"/>
            </w:tcBorders>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工程概况及特点</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施工准备计划</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施工平面图</w:t>
            </w:r>
          </w:p>
        </w:tc>
        <w:tc>
          <w:tcPr>
            <w:tcW w:w="1133" w:type="dxa"/>
            <w:tcBorders>
              <w:bottom w:val="single" w:color="auto" w:sz="4" w:space="0"/>
            </w:tcBorders>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4883" w:type="dxa"/>
            <w:tcBorders>
              <w:bottom w:val="single" w:color="auto" w:sz="4" w:space="0"/>
            </w:tcBorders>
            <w:vAlign w:val="center"/>
          </w:tcPr>
          <w:p>
            <w:pPr>
              <w:keepNext w:val="0"/>
              <w:keepLines w:val="0"/>
              <w:pageBreakBefore w:val="0"/>
              <w:widowControl w:val="0"/>
              <w:kinsoku/>
              <w:wordWrap/>
              <w:topLinePunct w:val="0"/>
              <w:bidi w:val="0"/>
              <w:snapToGrid/>
              <w:spacing w:line="360" w:lineRule="exact"/>
              <w:ind w:firstLine="24" w:firstLineChars="10"/>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工程概况及特点叙述正确，符合实际；</w:t>
            </w:r>
          </w:p>
          <w:p>
            <w:pPr>
              <w:keepNext w:val="0"/>
              <w:keepLines w:val="0"/>
              <w:pageBreakBefore w:val="0"/>
              <w:widowControl w:val="0"/>
              <w:kinsoku/>
              <w:wordWrap/>
              <w:topLinePunct w:val="0"/>
              <w:bidi w:val="0"/>
              <w:snapToGrid/>
              <w:spacing w:line="360" w:lineRule="exact"/>
              <w:ind w:firstLine="24" w:firstLineChars="10"/>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施工技术、现场、物资与机械、队伍准备计划应能充分保证工程需要</w:t>
            </w:r>
          </w:p>
          <w:p>
            <w:pPr>
              <w:pStyle w:val="62"/>
              <w:keepNext w:val="0"/>
              <w:keepLines w:val="0"/>
              <w:pageBreakBefore w:val="0"/>
              <w:widowControl w:val="0"/>
              <w:kinsoku/>
              <w:wordWrap/>
              <w:topLinePunct w:val="0"/>
              <w:bidi w:val="0"/>
              <w:snapToGrid/>
              <w:spacing w:line="360" w:lineRule="exact"/>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施工平面图应符合工程实际，布置紧凑，便于施工和管理并符合劳保、安全要求。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blHeader/>
          <w:jc w:val="center"/>
        </w:trPr>
        <w:tc>
          <w:tcPr>
            <w:tcW w:w="792" w:type="dxa"/>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2550" w:type="dxa"/>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施工方案</w:t>
            </w:r>
            <w:r>
              <w:rPr>
                <w:rFonts w:hint="eastAsia" w:ascii="宋体" w:hAnsi="宋体" w:eastAsia="宋体" w:cs="宋体"/>
                <w:bCs/>
                <w:color w:val="000000" w:themeColor="text1"/>
                <w:sz w:val="24"/>
                <w:szCs w:val="24"/>
                <w:lang w:eastAsia="zh-CN"/>
                <w14:textFill>
                  <w14:solidFill>
                    <w14:schemeClr w14:val="tx1"/>
                  </w14:solidFill>
                </w14:textFill>
              </w:rPr>
              <w:t>及施工进度计划</w:t>
            </w:r>
          </w:p>
        </w:tc>
        <w:tc>
          <w:tcPr>
            <w:tcW w:w="1133" w:type="dxa"/>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4883" w:type="dxa"/>
            <w:vAlign w:val="center"/>
          </w:tcPr>
          <w:p>
            <w:pPr>
              <w:keepNext w:val="0"/>
              <w:keepLines w:val="0"/>
              <w:pageBreakBefore w:val="0"/>
              <w:widowControl w:val="0"/>
              <w:kinsoku/>
              <w:wordWrap/>
              <w:topLinePunct w:val="0"/>
              <w:bidi w:val="0"/>
              <w:snapToGrid/>
              <w:spacing w:line="360" w:lineRule="exact"/>
              <w:ind w:firstLine="24" w:firstLineChars="1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施工方案应能符合工程实际情况，提高生产率、缩短工期、提高质量、降低消耗</w:t>
            </w:r>
          </w:p>
          <w:p>
            <w:pPr>
              <w:keepNext w:val="0"/>
              <w:keepLines w:val="0"/>
              <w:pageBreakBefore w:val="0"/>
              <w:widowControl w:val="0"/>
              <w:kinsoku/>
              <w:wordWrap/>
              <w:topLinePunct w:val="0"/>
              <w:bidi w:val="0"/>
              <w:snapToGrid/>
              <w:spacing w:line="360" w:lineRule="exact"/>
              <w:ind w:firstLine="24" w:firstLineChars="10"/>
              <w:jc w:val="left"/>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进度计划应在空间和时间上做合理的统筹安排且符合施工的科学规律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blHeader/>
          <w:jc w:val="center"/>
        </w:trPr>
        <w:tc>
          <w:tcPr>
            <w:tcW w:w="792" w:type="dxa"/>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2550" w:type="dxa"/>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劳动力</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材料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机械设备需用量计划</w:t>
            </w:r>
          </w:p>
        </w:tc>
        <w:tc>
          <w:tcPr>
            <w:tcW w:w="1133" w:type="dxa"/>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4883" w:type="dxa"/>
            <w:vAlign w:val="center"/>
          </w:tcPr>
          <w:p>
            <w:pPr>
              <w:keepNext w:val="0"/>
              <w:keepLines w:val="0"/>
              <w:pageBreakBefore w:val="0"/>
              <w:widowControl w:val="0"/>
              <w:kinsoku/>
              <w:wordWrap/>
              <w:topLinePunct w:val="0"/>
              <w:bidi w:val="0"/>
              <w:snapToGrid/>
              <w:spacing w:line="360" w:lineRule="exact"/>
              <w:ind w:firstLine="24" w:firstLineChars="1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需用量计划应是根据工程进度计划的安排计算出的，并与工程进度计划相一致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blHeader/>
          <w:jc w:val="center"/>
        </w:trPr>
        <w:tc>
          <w:tcPr>
            <w:tcW w:w="792" w:type="dxa"/>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p>
        </w:tc>
        <w:tc>
          <w:tcPr>
            <w:tcW w:w="2550" w:type="dxa"/>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bCs/>
                <w:color w:val="auto"/>
                <w:sz w:val="24"/>
                <w:szCs w:val="24"/>
                <w:lang w:eastAsia="zh-CN"/>
              </w:rPr>
            </w:pPr>
            <w:r>
              <w:rPr>
                <w:rFonts w:hint="eastAsia" w:ascii="宋体" w:hAnsi="宋体" w:eastAsia="宋体" w:cs="宋体"/>
                <w:bCs/>
                <w:color w:val="000000" w:themeColor="text1"/>
                <w:sz w:val="24"/>
                <w:szCs w:val="24"/>
                <w14:textFill>
                  <w14:solidFill>
                    <w14:schemeClr w14:val="tx1"/>
                  </w14:solidFill>
                </w14:textFill>
              </w:rPr>
              <w:t>质量保证措施和体系</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工期保证措施和体系</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安全保证措施和体系</w:t>
            </w:r>
          </w:p>
        </w:tc>
        <w:tc>
          <w:tcPr>
            <w:tcW w:w="1133" w:type="dxa"/>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15</w:t>
            </w:r>
          </w:p>
        </w:tc>
        <w:tc>
          <w:tcPr>
            <w:tcW w:w="4883" w:type="dxa"/>
            <w:vAlign w:val="center"/>
          </w:tcPr>
          <w:p>
            <w:pPr>
              <w:keepNext w:val="0"/>
              <w:keepLines w:val="0"/>
              <w:pageBreakBefore w:val="0"/>
              <w:widowControl w:val="0"/>
              <w:kinsoku/>
              <w:wordWrap/>
              <w:topLinePunct w:val="0"/>
              <w:bidi w:val="0"/>
              <w:snapToGrid/>
              <w:spacing w:line="360" w:lineRule="exact"/>
              <w:ind w:firstLine="24" w:firstLineChars="10"/>
              <w:jc w:val="left"/>
              <w:rPr>
                <w:rFonts w:hint="eastAsia" w:ascii="宋体" w:hAnsi="宋体" w:eastAsia="宋体" w:cs="宋体"/>
                <w:bCs/>
                <w:color w:val="auto"/>
                <w:sz w:val="24"/>
                <w:szCs w:val="24"/>
              </w:rPr>
            </w:pPr>
            <w:r>
              <w:rPr>
                <w:rFonts w:hint="eastAsia" w:ascii="宋体" w:hAnsi="宋体" w:eastAsia="宋体" w:cs="宋体"/>
                <w:color w:val="000000" w:themeColor="text1"/>
                <w:sz w:val="24"/>
                <w:szCs w:val="24"/>
                <w14:textFill>
                  <w14:solidFill>
                    <w14:schemeClr w14:val="tx1"/>
                  </w14:solidFill>
                </w14:textFill>
              </w:rPr>
              <w:t>保证措施应符合科学的施工规律、国家规定的强制性标准并有针对性，同时要符合实际情况，切实可行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blHeader/>
          <w:jc w:val="center"/>
        </w:trPr>
        <w:tc>
          <w:tcPr>
            <w:tcW w:w="792" w:type="dxa"/>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p>
        </w:tc>
        <w:tc>
          <w:tcPr>
            <w:tcW w:w="2550" w:type="dxa"/>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现场文明施工措施</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扬尘防治措施</w:t>
            </w:r>
          </w:p>
        </w:tc>
        <w:tc>
          <w:tcPr>
            <w:tcW w:w="1133" w:type="dxa"/>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4883" w:type="dxa"/>
            <w:vAlign w:val="center"/>
          </w:tcPr>
          <w:p>
            <w:pPr>
              <w:keepNext w:val="0"/>
              <w:keepLines w:val="0"/>
              <w:pageBreakBefore w:val="0"/>
              <w:widowControl w:val="0"/>
              <w:kinsoku/>
              <w:wordWrap/>
              <w:topLinePunct w:val="0"/>
              <w:bidi w:val="0"/>
              <w:snapToGrid/>
              <w:spacing w:line="360" w:lineRule="exact"/>
              <w:ind w:firstLine="24" w:firstLineChars="1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措施应符合工程实际情况</w:t>
            </w:r>
            <w:r>
              <w:rPr>
                <w:rFonts w:hint="eastAsia" w:ascii="宋体" w:hAnsi="宋体" w:eastAsia="宋体" w:cs="宋体"/>
                <w:color w:val="000000" w:themeColor="text1"/>
                <w:sz w:val="24"/>
                <w:szCs w:val="24"/>
                <w:lang w:eastAsia="zh-CN"/>
                <w14:textFill>
                  <w14:solidFill>
                    <w14:schemeClr w14:val="tx1"/>
                  </w14:solidFill>
                </w14:textFill>
              </w:rPr>
              <w:t>及具有相应的防治措施</w:t>
            </w:r>
            <w:r>
              <w:rPr>
                <w:rFonts w:hint="eastAsia" w:ascii="宋体" w:hAnsi="宋体" w:eastAsia="宋体" w:cs="宋体"/>
                <w:color w:val="000000" w:themeColor="text1"/>
                <w:sz w:val="24"/>
                <w:szCs w:val="24"/>
                <w14:textFill>
                  <w14:solidFill>
                    <w14:schemeClr w14:val="tx1"/>
                  </w14:solidFill>
                </w14:textFill>
              </w:rPr>
              <w:t>，切实可行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blHeader/>
          <w:jc w:val="center"/>
        </w:trPr>
        <w:tc>
          <w:tcPr>
            <w:tcW w:w="3342" w:type="dxa"/>
            <w:gridSpan w:val="2"/>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合计</w:t>
            </w:r>
          </w:p>
        </w:tc>
        <w:tc>
          <w:tcPr>
            <w:tcW w:w="6016" w:type="dxa"/>
            <w:gridSpan w:val="2"/>
            <w:vAlign w:val="center"/>
          </w:tcPr>
          <w:p>
            <w:pPr>
              <w:keepNext w:val="0"/>
              <w:keepLines w:val="0"/>
              <w:pageBreakBefore w:val="0"/>
              <w:widowControl w:val="0"/>
              <w:kinsoku/>
              <w:wordWrap/>
              <w:topLinePunct w:val="0"/>
              <w:bidi w:val="0"/>
              <w:snapToGrid/>
              <w:spacing w:line="360" w:lineRule="exact"/>
              <w:ind w:firstLine="24" w:firstLineChars="1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blHeader/>
          <w:jc w:val="center"/>
        </w:trPr>
        <w:tc>
          <w:tcPr>
            <w:tcW w:w="9358" w:type="dxa"/>
            <w:gridSpan w:val="4"/>
            <w:vAlign w:val="center"/>
          </w:tcPr>
          <w:p>
            <w:pPr>
              <w:keepNext w:val="0"/>
              <w:keepLines w:val="0"/>
              <w:pageBreakBefore w:val="0"/>
              <w:widowControl w:val="0"/>
              <w:kinsoku/>
              <w:wordWrap/>
              <w:topLinePunct w:val="0"/>
              <w:bidi w:val="0"/>
              <w:snapToGrid/>
              <w:spacing w:line="360" w:lineRule="exact"/>
              <w:ind w:firstLine="24" w:firstLineChars="1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注：1、评委应认真了解本招标文件和工程有关情况后，做出须自己负责的评审。2、商务标得分等于</w:t>
            </w:r>
            <w:r>
              <w:rPr>
                <w:rFonts w:hint="eastAsia" w:ascii="宋体" w:hAnsi="宋体" w:eastAsia="宋体" w:cs="宋体"/>
                <w:color w:val="000000" w:themeColor="text1"/>
                <w:sz w:val="24"/>
                <w:szCs w:val="24"/>
                <w:lang w:eastAsia="zh-CN"/>
                <w14:textFill>
                  <w14:solidFill>
                    <w14:schemeClr w14:val="tx1"/>
                  </w14:solidFill>
                </w14:textFill>
              </w:rPr>
              <w:t>所有</w:t>
            </w:r>
            <w:r>
              <w:rPr>
                <w:rFonts w:hint="eastAsia" w:ascii="宋体" w:hAnsi="宋体" w:eastAsia="宋体" w:cs="宋体"/>
                <w:color w:val="000000" w:themeColor="text1"/>
                <w:sz w:val="24"/>
                <w:szCs w:val="24"/>
                <w14:textFill>
                  <w14:solidFill>
                    <w14:schemeClr w14:val="tx1"/>
                  </w14:solidFill>
                </w14:textFill>
              </w:rPr>
              <w:t>评委评分的算术平均值，计算结果值在小数点后保留两位小数，后余位数四舍五入。</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、每项内容扣分比例超过20%，请评委依据投标文件在评委评审意见书中写明原因</w:t>
            </w:r>
          </w:p>
        </w:tc>
      </w:tr>
    </w:tbl>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8.7、经济标初步评审</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评标委员会只对通过上述评审的经济标按照《经济标完备性及符合性审查标准》进行初步评审。</w:t>
      </w:r>
    </w:p>
    <w:p>
      <w:pPr>
        <w:pStyle w:val="2"/>
        <w:rPr>
          <w:rFonts w:hint="eastAsia"/>
        </w:rPr>
      </w:pPr>
    </w:p>
    <w:p>
      <w:pPr>
        <w:keepNext w:val="0"/>
        <w:keepLines w:val="0"/>
        <w:pageBreakBefore w:val="0"/>
        <w:kinsoku/>
        <w:wordWrap/>
        <w:topLinePunct w:val="0"/>
        <w:bidi w:val="0"/>
        <w:spacing w:line="36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经济标完备性及符合性审查标准</w:t>
      </w:r>
    </w:p>
    <w:tbl>
      <w:tblPr>
        <w:tblStyle w:val="5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936"/>
        <w:gridCol w:w="7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条款号</w:t>
            </w:r>
          </w:p>
        </w:tc>
        <w:tc>
          <w:tcPr>
            <w:tcW w:w="7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93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"_Hlk55196555#_Hlk55196555" </w:instrText>
            </w:r>
            <w:r>
              <w:rPr>
                <w:rFonts w:hint="eastAsia" w:ascii="宋体" w:hAnsi="宋体" w:eastAsia="宋体" w:cs="宋体"/>
                <w:sz w:val="24"/>
                <w:szCs w:val="24"/>
              </w:rPr>
              <w:fldChar w:fldCharType="separate"/>
            </w:r>
            <w:r>
              <w:rPr>
                <w:rStyle w:val="57"/>
                <w:rFonts w:hint="eastAsia" w:ascii="宋体" w:hAnsi="宋体" w:eastAsia="宋体" w:cs="宋体"/>
                <w:color w:val="auto"/>
                <w:sz w:val="24"/>
                <w:szCs w:val="24"/>
              </w:rPr>
              <w:t>3.5</w:t>
            </w:r>
            <w:r>
              <w:rPr>
                <w:rStyle w:val="57"/>
                <w:rFonts w:hint="eastAsia" w:ascii="宋体" w:hAnsi="宋体" w:eastAsia="宋体" w:cs="宋体"/>
                <w:color w:val="auto"/>
                <w:sz w:val="24"/>
                <w:szCs w:val="24"/>
              </w:rPr>
              <w:fldChar w:fldCharType="end"/>
            </w:r>
          </w:p>
        </w:tc>
        <w:tc>
          <w:tcPr>
            <w:tcW w:w="788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Cs/>
                <w:sz w:val="24"/>
                <w:szCs w:val="24"/>
              </w:rPr>
            </w:pPr>
            <w:r>
              <w:rPr>
                <w:rFonts w:hint="eastAsia" w:ascii="宋体" w:hAnsi="宋体" w:eastAsia="宋体" w:cs="宋体"/>
                <w:sz w:val="24"/>
                <w:szCs w:val="24"/>
              </w:rPr>
              <w:t>每一项目只允许有一个报价，任何有选择的报价将不予接受。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1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2</w:t>
            </w:r>
          </w:p>
        </w:tc>
        <w:tc>
          <w:tcPr>
            <w:tcW w:w="93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"_Hlk64546202#_Hlk64546202" </w:instrText>
            </w:r>
            <w:r>
              <w:rPr>
                <w:rFonts w:hint="eastAsia" w:ascii="宋体" w:hAnsi="宋体" w:eastAsia="宋体" w:cs="宋体"/>
                <w:sz w:val="24"/>
                <w:szCs w:val="24"/>
              </w:rPr>
              <w:fldChar w:fldCharType="separate"/>
            </w:r>
            <w:r>
              <w:rPr>
                <w:rStyle w:val="57"/>
                <w:rFonts w:hint="eastAsia" w:ascii="宋体" w:hAnsi="宋体" w:eastAsia="宋体" w:cs="宋体"/>
                <w:color w:val="auto"/>
                <w:sz w:val="24"/>
                <w:szCs w:val="24"/>
              </w:rPr>
              <w:t>6.4.1</w:t>
            </w:r>
            <w:r>
              <w:rPr>
                <w:rStyle w:val="57"/>
                <w:rFonts w:hint="eastAsia" w:ascii="宋体" w:hAnsi="宋体" w:eastAsia="宋体" w:cs="宋体"/>
                <w:color w:val="auto"/>
                <w:sz w:val="24"/>
                <w:szCs w:val="24"/>
              </w:rPr>
              <w:fldChar w:fldCharType="end"/>
            </w:r>
          </w:p>
        </w:tc>
        <w:tc>
          <w:tcPr>
            <w:tcW w:w="788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Cs/>
                <w:sz w:val="24"/>
                <w:szCs w:val="24"/>
              </w:rPr>
            </w:pPr>
            <w:r>
              <w:rPr>
                <w:rFonts w:hint="eastAsia" w:ascii="宋体" w:hAnsi="宋体" w:eastAsia="宋体" w:cs="宋体"/>
                <w:sz w:val="24"/>
                <w:szCs w:val="24"/>
                <w:lang w:val="zh-CN"/>
              </w:rPr>
              <w:t>投标总价必须按招标文件规定格式完整提供，并要盖投标人章，法定代表人或委托代理人签字或盖章，编制人要求造价人员签字并盖专用章。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3</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"_Hlk131416864#_Hlk131416864" </w:instrText>
            </w:r>
            <w:r>
              <w:rPr>
                <w:rFonts w:hint="eastAsia" w:ascii="宋体" w:hAnsi="宋体" w:eastAsia="宋体" w:cs="宋体"/>
                <w:sz w:val="24"/>
                <w:szCs w:val="24"/>
              </w:rPr>
              <w:fldChar w:fldCharType="separate"/>
            </w:r>
            <w:r>
              <w:rPr>
                <w:rStyle w:val="57"/>
                <w:rFonts w:hint="eastAsia" w:ascii="宋体" w:hAnsi="宋体" w:eastAsia="宋体" w:cs="宋体"/>
                <w:color w:val="auto"/>
                <w:sz w:val="24"/>
                <w:szCs w:val="24"/>
              </w:rPr>
              <w:t>6.4.2</w:t>
            </w:r>
            <w:r>
              <w:rPr>
                <w:rStyle w:val="57"/>
                <w:rFonts w:hint="eastAsia" w:ascii="宋体" w:hAnsi="宋体" w:eastAsia="宋体" w:cs="宋体"/>
                <w:color w:val="auto"/>
                <w:sz w:val="24"/>
                <w:szCs w:val="24"/>
              </w:rPr>
              <w:fldChar w:fldCharType="end"/>
            </w:r>
          </w:p>
        </w:tc>
        <w:tc>
          <w:tcPr>
            <w:tcW w:w="7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sz w:val="24"/>
                <w:szCs w:val="24"/>
              </w:rPr>
              <w:t>投标人必须采用招标文件提供的“经济标”格式编制。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4</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"_Hlk131417572#_Hlk131417572" </w:instrText>
            </w:r>
            <w:r>
              <w:rPr>
                <w:rFonts w:hint="eastAsia" w:ascii="宋体" w:hAnsi="宋体" w:eastAsia="宋体" w:cs="宋体"/>
                <w:sz w:val="24"/>
                <w:szCs w:val="24"/>
              </w:rPr>
              <w:fldChar w:fldCharType="separate"/>
            </w:r>
            <w:r>
              <w:rPr>
                <w:rStyle w:val="57"/>
                <w:rFonts w:hint="eastAsia" w:ascii="宋体" w:hAnsi="宋体" w:eastAsia="宋体" w:cs="宋体"/>
                <w:color w:val="auto"/>
                <w:sz w:val="24"/>
                <w:szCs w:val="24"/>
              </w:rPr>
              <w:t>6.5.2</w:t>
            </w:r>
            <w:r>
              <w:rPr>
                <w:rStyle w:val="57"/>
                <w:rFonts w:hint="eastAsia" w:ascii="宋体" w:hAnsi="宋体" w:eastAsia="宋体" w:cs="宋体"/>
                <w:color w:val="auto"/>
                <w:sz w:val="24"/>
                <w:szCs w:val="24"/>
              </w:rPr>
              <w:fldChar w:fldCharType="end"/>
            </w:r>
          </w:p>
        </w:tc>
        <w:tc>
          <w:tcPr>
            <w:tcW w:w="7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经济标必须采用A4打印纸。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5</w:t>
            </w:r>
          </w:p>
        </w:tc>
        <w:tc>
          <w:tcPr>
            <w:tcW w:w="93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"file:///F:\\严敏\\2015年\\工作\\范本\\清单招标文件\\2009年施工招标文件和资格预审文件（新）\\2008012清单招标文件范本（经评审的最低价）.doc" \l "_Hlk131476391#_Hlk131476391" </w:instrText>
            </w:r>
            <w:r>
              <w:rPr>
                <w:rFonts w:hint="eastAsia" w:ascii="宋体" w:hAnsi="宋体" w:eastAsia="宋体" w:cs="宋体"/>
                <w:sz w:val="24"/>
                <w:szCs w:val="24"/>
              </w:rPr>
              <w:fldChar w:fldCharType="separate"/>
            </w:r>
            <w:r>
              <w:rPr>
                <w:rStyle w:val="57"/>
                <w:rFonts w:hint="eastAsia" w:ascii="宋体" w:hAnsi="宋体" w:eastAsia="宋体" w:cs="宋体"/>
                <w:color w:val="auto"/>
                <w:sz w:val="24"/>
                <w:szCs w:val="24"/>
              </w:rPr>
              <w:t>6.7.1</w:t>
            </w:r>
            <w:r>
              <w:rPr>
                <w:rStyle w:val="57"/>
                <w:rFonts w:hint="eastAsia" w:ascii="宋体" w:hAnsi="宋体" w:eastAsia="宋体" w:cs="宋体"/>
                <w:color w:val="auto"/>
                <w:sz w:val="24"/>
                <w:szCs w:val="24"/>
              </w:rPr>
              <w:fldChar w:fldCharType="end"/>
            </w:r>
          </w:p>
        </w:tc>
        <w:tc>
          <w:tcPr>
            <w:tcW w:w="788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
                <w:bCs/>
                <w:sz w:val="24"/>
                <w:szCs w:val="24"/>
              </w:rPr>
            </w:pPr>
            <w:r>
              <w:rPr>
                <w:rFonts w:hint="eastAsia" w:ascii="宋体" w:hAnsi="宋体" w:eastAsia="宋体" w:cs="宋体"/>
                <w:sz w:val="24"/>
                <w:szCs w:val="24"/>
              </w:rPr>
              <w:t>经济标必须采用招标文件要求的统一装订方式装订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1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93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u w:val="single"/>
                <w:lang w:val="zh-CN"/>
              </w:rPr>
            </w:pPr>
            <w:r>
              <w:rPr>
                <w:rFonts w:hint="eastAsia" w:ascii="宋体" w:hAnsi="宋体" w:eastAsia="宋体" w:cs="宋体"/>
                <w:sz w:val="24"/>
                <w:szCs w:val="24"/>
                <w:u w:val="single"/>
                <w:lang w:val="zh-CN"/>
              </w:rPr>
              <w:t>3.8</w:t>
            </w:r>
          </w:p>
        </w:tc>
        <w:tc>
          <w:tcPr>
            <w:tcW w:w="788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分部分项工程量清单与计价表中项目编码、项目名称、项目特征、计量单位</w:t>
            </w:r>
            <w:r>
              <w:rPr>
                <w:rFonts w:hint="eastAsia" w:ascii="宋体" w:hAnsi="宋体" w:eastAsia="宋体" w:cs="宋体"/>
                <w:b/>
                <w:bCs/>
                <w:sz w:val="24"/>
                <w:szCs w:val="24"/>
                <w:lang w:val="zh-CN"/>
              </w:rPr>
              <w:t>、</w:t>
            </w:r>
            <w:r>
              <w:rPr>
                <w:rFonts w:hint="eastAsia" w:ascii="宋体" w:hAnsi="宋体" w:eastAsia="宋体" w:cs="宋体"/>
                <w:sz w:val="24"/>
                <w:szCs w:val="24"/>
                <w:lang w:val="zh-CN"/>
              </w:rPr>
              <w:t>工程量必须按分部分项工程量清单中的相应内容填写。（漏项及评委会认为有特别明显的笔误除外）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1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7</w:t>
            </w:r>
          </w:p>
        </w:tc>
        <w:tc>
          <w:tcPr>
            <w:tcW w:w="93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u w:val="single"/>
                <w:lang w:val="zh-CN"/>
              </w:rPr>
            </w:pPr>
          </w:p>
        </w:tc>
        <w:tc>
          <w:tcPr>
            <w:tcW w:w="788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投标人投标报价未超过招标文件给定的招标控制价。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9640"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备注：如果经济标中有一项未通过上述审查标准，评标委员会将认定整个投标文件不响应招标文件而予以废标，并且不允许投标人通过修改或撤销其不符合要求的差异或保留，使之成为具有响应性的投标。</w:t>
            </w:r>
          </w:p>
        </w:tc>
      </w:tr>
    </w:tbl>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8.8</w:t>
      </w:r>
      <w:r>
        <w:rPr>
          <w:rFonts w:hint="eastAsia" w:ascii="宋体" w:hAnsi="宋体" w:eastAsia="宋体" w:cs="宋体"/>
          <w:color w:val="000000" w:themeColor="text1"/>
          <w:sz w:val="24"/>
          <w:szCs w:val="24"/>
          <w:lang w:val="zh-CN"/>
          <w14:textFill>
            <w14:solidFill>
              <w14:schemeClr w14:val="tx1"/>
            </w14:solidFill>
          </w14:textFill>
        </w:rPr>
        <w:t>、经济标详细评审</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8.8.1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评标委员会只对通过上述评审的经济标进行详细评审，看其是否有计算或表达上的错误，修改错误的原则如下：</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（1）投标总价应按建设项目投标报价汇总表合计金额填写。如不一致，以建设项目投标报价汇总表合计金额为准。</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（2）建设项目投标报价汇总表中单项工程名称、金额应按单项工程投标报价汇总表的工程名称、合计金额填写。如不一致，以单项工程投标报价汇总表的工程名称、合计金额为准。</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）单项工程投标报价汇总表中单位工程名称、金额应按单位工程投标报价汇总表的工程名称、合计金额填写。如不一致，以单位工程投标报价汇总表的工程名称、合计金额为准。</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单位工程投标报价汇总表中的金额应分别按照分部分项工程和单价措施项目清单与计价表、总价措施项目清单与计价表和其他项目清单与计价汇总表的合计金额填写，如不一致，以分部分项工程和单价措施项目清单与计价表、总价措施项目清单与计价表和其他项目清单与计价汇总表的合计金额为准。并按有关规定计算的规费、税金填写（规费和税金应按国家或省级、行业建设主管部门的规定计算，不得作为竞争性费用）。</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总价措施项目清单与计价表中投标人可根据工程实际情况结合施工组织设计，对招标人所列的措施项目进行增补，其中安全文明施工费、扬尘污染防治措施增加费应按照国家或省级、行业建设主管部门的规定计价，不得作为竞争性费用。</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）其他项目清单与计价汇总表应按下列规定填报：</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、暂列金额应按招标人在其他项目清单中列出的金额填写，不得变动；</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、材料暂估价应按招标人在其他项目清单中列出的单价计入综合单价；专业工程暂估价应按招标人在其他项目清单中列出的金额填写，不得变动和更改。</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、计日工按招标人在其他项目清单中列出的项目和数量，自主确定综合单价并计算计日工费用；</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、总承包服务费根据招标文件中列出的内容和提出的要求自主确定。</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）投标报价当用数字表示的数额与用文字表示的数额不一致时，以文字为准。</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）当单价与工程量的乘积与细目总价不一致时，通常以该行填报的单价为准。除非评标委员会认为单价有明显的小数点错位，此时应以填报的细目总价为准，并修改单价。</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8.8.</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评标委员会通过上述评审和修正后的价格作为投标人的最终投标报价。投标人应当澄清和签字确认，否则招标人对投标人的投标文件将予以拒绝并且其投标保证金也将被没收，并不影响评标工作。</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经济标分值共</w:t>
      </w:r>
      <w:r>
        <w:rPr>
          <w:rFonts w:hint="eastAsia" w:ascii="宋体" w:hAnsi="宋体" w:eastAsia="宋体" w:cs="宋体"/>
          <w:b/>
          <w:bCs/>
          <w:color w:val="auto"/>
          <w:sz w:val="24"/>
          <w:szCs w:val="24"/>
          <w:lang w:val="en-US" w:eastAsia="zh-CN"/>
        </w:rPr>
        <w:t>30</w:t>
      </w:r>
      <w:r>
        <w:rPr>
          <w:rFonts w:hint="eastAsia" w:ascii="宋体" w:hAnsi="宋体" w:eastAsia="宋体" w:cs="宋体"/>
          <w:b/>
          <w:bCs/>
          <w:color w:val="auto"/>
          <w:sz w:val="24"/>
          <w:szCs w:val="24"/>
        </w:rPr>
        <w:t>分。</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8.9.1投标报价得分的计算： </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8.9.1.1投标报价的确定：</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投标报价＝经评审后的投标报价</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8.9.2投标报价平均值的计算</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投标报价平均值=经过上述评审的所有有效投标报价去掉一个最高值和一个最低值后的算术平均值。 (如果参与投标报价平均值计算的有效投标人少于5家时，则计算投标报价平均值时不去掉最高值和最低值)；</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8.9.3评标基准价的确定：</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评标基准价=投标报价平均值×(1-K)</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K为下浮率。下浮率为1.0%、2.0%、3.0%、4.0%、5.0%五个百分点，由投标人代表在开标现场随机抽取确定。投标人代表由招标人现场随机抽取确定。</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8.9.4投标报价偏差率的计算：</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偏差率= (投标人投标报价－评标基准价)/评标基准价×100%</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8.9.5投标报价得分计算</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(1)如果投标人的投标报价＞评标基准价，则投标报价得分＝40-︱偏差率︱×100×1；</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(2)如果投标人的投标报价≤评标基准价，则投标报价得分＝40-︱偏差率︱×100×0.5。</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8.9</w:t>
      </w:r>
      <w:r>
        <w:rPr>
          <w:rFonts w:hint="eastAsia" w:ascii="宋体" w:hAnsi="宋体" w:eastAsia="宋体" w:cs="宋体"/>
          <w:bCs/>
          <w:color w:val="000000" w:themeColor="text1"/>
          <w:sz w:val="24"/>
          <w:szCs w:val="24"/>
          <w:lang w:val="en-US" w:eastAsia="zh-CN"/>
          <w14:textFill>
            <w14:solidFill>
              <w14:schemeClr w14:val="tx1"/>
            </w14:solidFill>
          </w14:textFill>
        </w:rPr>
        <w:t>.6评分分值计算保留小数点后两位，小数点后三位“四舍五入”。</w:t>
      </w:r>
      <w:r>
        <w:rPr>
          <w:rFonts w:hint="eastAsia" w:ascii="宋体" w:hAnsi="宋体" w:eastAsia="宋体" w:cs="宋体"/>
          <w:bCs/>
          <w:color w:val="000000" w:themeColor="text1"/>
          <w:sz w:val="24"/>
          <w:szCs w:val="24"/>
          <w14:textFill>
            <w14:solidFill>
              <w14:schemeClr w14:val="tx1"/>
            </w14:solidFill>
          </w14:textFill>
        </w:rPr>
        <w:t>投标人最终得分等于商务标、技术标、经济标三者得分之和。</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8.10、评标委员会按照投标人最终得分由高到底顺序确定出各投标人排名顺序。</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8.11</w:t>
      </w:r>
      <w:r>
        <w:rPr>
          <w:rFonts w:hint="eastAsia" w:ascii="宋体" w:hAnsi="宋体" w:eastAsia="宋体" w:cs="宋体"/>
          <w:bCs/>
          <w:color w:val="000000" w:themeColor="text1"/>
          <w:sz w:val="24"/>
          <w:szCs w:val="24"/>
          <w14:textFill>
            <w14:solidFill>
              <w14:schemeClr w14:val="tx1"/>
            </w14:solidFill>
          </w14:textFill>
        </w:rPr>
        <w:t>、评标委员会将根据政府采购政策支持中小企业政策对最后报价进行价格折扣，折扣的价格将作为评审价格。</w:t>
      </w:r>
      <w:r>
        <w:rPr>
          <w:rFonts w:hint="eastAsia" w:ascii="宋体" w:hAnsi="宋体" w:eastAsia="宋体" w:cs="宋体"/>
          <w:bCs/>
          <w:color w:val="000000" w:themeColor="text1"/>
          <w:sz w:val="24"/>
          <w:szCs w:val="24"/>
          <w:lang w:val="zh-CN"/>
          <w14:textFill>
            <w14:solidFill>
              <w14:schemeClr w14:val="tx1"/>
            </w14:solidFill>
          </w14:textFill>
        </w:rPr>
        <w:t>供应商的评审</w:t>
      </w:r>
      <w:r>
        <w:rPr>
          <w:rFonts w:hint="eastAsia" w:ascii="宋体" w:hAnsi="宋体" w:eastAsia="宋体" w:cs="宋体"/>
          <w:bCs/>
          <w:color w:val="000000" w:themeColor="text1"/>
          <w:sz w:val="24"/>
          <w:szCs w:val="24"/>
          <w14:textFill>
            <w14:solidFill>
              <w14:schemeClr w14:val="tx1"/>
            </w14:solidFill>
          </w14:textFill>
        </w:rPr>
        <w:t>价格由供应商代表签字确认。</w:t>
      </w:r>
    </w:p>
    <w:p>
      <w:pPr>
        <w:keepNext w:val="0"/>
        <w:keepLines w:val="0"/>
        <w:pageBreakBefore w:val="0"/>
        <w:tabs>
          <w:tab w:val="left" w:pos="0"/>
        </w:tabs>
        <w:kinsoku/>
        <w:wordWrap/>
        <w:topLinePunct w:val="0"/>
        <w:bidi w:val="0"/>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（1）节能产品及环保产品</w:t>
      </w:r>
      <w:r>
        <w:rPr>
          <w:rFonts w:hint="eastAsia" w:ascii="宋体" w:hAnsi="宋体" w:eastAsia="宋体" w:cs="宋体"/>
          <w:color w:val="auto"/>
          <w:sz w:val="24"/>
          <w:szCs w:val="24"/>
          <w:highlight w:val="none"/>
        </w:rPr>
        <w:t>价格折扣比例及方法</w:t>
      </w:r>
    </w:p>
    <w:tbl>
      <w:tblPr>
        <w:tblStyle w:val="50"/>
        <w:tblW w:w="98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807"/>
        <w:gridCol w:w="72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PrEx>
        <w:trPr>
          <w:trHeight w:val="420" w:hRule="atLeast"/>
        </w:trPr>
        <w:tc>
          <w:tcPr>
            <w:tcW w:w="844" w:type="dxa"/>
            <w:tcBorders>
              <w:top w:val="single" w:color="auto" w:sz="4" w:space="0"/>
            </w:tcBorders>
            <w:noWrap w:val="0"/>
            <w:vAlign w:val="center"/>
          </w:tcPr>
          <w:p>
            <w:pPr>
              <w:keepNext w:val="0"/>
              <w:keepLines w:val="0"/>
              <w:pageBreakBefore w:val="0"/>
              <w:kinsoku/>
              <w:wordWrap/>
              <w:topLinePunct w:val="0"/>
              <w:bidi w:val="0"/>
              <w:adjustRightInd w:val="0"/>
              <w:snapToGrid w:val="0"/>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07" w:type="dxa"/>
            <w:tcBorders>
              <w:top w:val="single" w:color="auto" w:sz="4" w:space="0"/>
            </w:tcBorders>
            <w:noWrap w:val="0"/>
            <w:vAlign w:val="center"/>
          </w:tcPr>
          <w:p>
            <w:pPr>
              <w:keepNext w:val="0"/>
              <w:keepLines w:val="0"/>
              <w:pageBreakBefore w:val="0"/>
              <w:kinsoku/>
              <w:wordWrap/>
              <w:topLinePunct w:val="0"/>
              <w:bidi w:val="0"/>
              <w:adjustRightInd w:val="0"/>
              <w:snapToGrid w:val="0"/>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203" w:type="dxa"/>
            <w:tcBorders>
              <w:top w:val="single" w:color="auto" w:sz="4" w:space="0"/>
            </w:tcBorders>
            <w:noWrap w:val="0"/>
            <w:vAlign w:val="center"/>
          </w:tcPr>
          <w:p>
            <w:pPr>
              <w:keepNext w:val="0"/>
              <w:keepLines w:val="0"/>
              <w:pageBreakBefore w:val="0"/>
              <w:kinsoku/>
              <w:wordWrap/>
              <w:topLinePunct w:val="0"/>
              <w:bidi w:val="0"/>
              <w:adjustRightInd w:val="0"/>
              <w:snapToGrid w:val="0"/>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折扣比例及方法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93" w:hRule="atLeast"/>
        </w:trPr>
        <w:tc>
          <w:tcPr>
            <w:tcW w:w="844" w:type="dxa"/>
            <w:noWrap w:val="0"/>
            <w:vAlign w:val="center"/>
          </w:tcPr>
          <w:p>
            <w:pPr>
              <w:keepNext w:val="0"/>
              <w:keepLines w:val="0"/>
              <w:pageBreakBefore w:val="0"/>
              <w:kinsoku/>
              <w:wordWrap/>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7" w:type="dxa"/>
            <w:noWrap w:val="0"/>
            <w:vAlign w:val="center"/>
          </w:tcPr>
          <w:p>
            <w:pPr>
              <w:keepNext w:val="0"/>
              <w:keepLines w:val="0"/>
              <w:pageBreakBefore w:val="0"/>
              <w:kinsoku/>
              <w:wordWrap/>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w:t>
            </w:r>
          </w:p>
        </w:tc>
        <w:tc>
          <w:tcPr>
            <w:tcW w:w="7203" w:type="dxa"/>
            <w:noWrap w:val="0"/>
            <w:vAlign w:val="center"/>
          </w:tcPr>
          <w:p>
            <w:pPr>
              <w:keepNext w:val="0"/>
              <w:keepLines w:val="0"/>
              <w:pageBreakBefore w:val="0"/>
              <w:kinsoku/>
              <w:wordWrap/>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折扣金额=（节能清单部分产品的价格/首次报价）×3%×最后报价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13" w:hRule="atLeast"/>
        </w:trPr>
        <w:tc>
          <w:tcPr>
            <w:tcW w:w="844" w:type="dxa"/>
            <w:noWrap w:val="0"/>
            <w:vAlign w:val="center"/>
          </w:tcPr>
          <w:p>
            <w:pPr>
              <w:keepNext w:val="0"/>
              <w:keepLines w:val="0"/>
              <w:pageBreakBefore w:val="0"/>
              <w:kinsoku/>
              <w:wordWrap/>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7" w:type="dxa"/>
            <w:noWrap w:val="0"/>
            <w:vAlign w:val="center"/>
          </w:tcPr>
          <w:p>
            <w:pPr>
              <w:keepNext w:val="0"/>
              <w:keepLines w:val="0"/>
              <w:pageBreakBefore w:val="0"/>
              <w:kinsoku/>
              <w:wordWrap/>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环保产品</w:t>
            </w:r>
          </w:p>
        </w:tc>
        <w:tc>
          <w:tcPr>
            <w:tcW w:w="7203" w:type="dxa"/>
            <w:noWrap w:val="0"/>
            <w:vAlign w:val="center"/>
          </w:tcPr>
          <w:p>
            <w:pPr>
              <w:keepNext w:val="0"/>
              <w:keepLines w:val="0"/>
              <w:pageBreakBefore w:val="0"/>
              <w:kinsoku/>
              <w:wordWrap/>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折扣金额=（环境清单部分产品的价格/首次报价）×3%×最后报价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trPr>
        <w:tc>
          <w:tcPr>
            <w:tcW w:w="844"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07" w:type="dxa"/>
            <w:tcBorders>
              <w:bottom w:val="single" w:color="auto" w:sz="4" w:space="0"/>
            </w:tcBorders>
            <w:noWrap w:val="0"/>
            <w:vAlign w:val="center"/>
          </w:tcPr>
          <w:p>
            <w:pPr>
              <w:keepNext w:val="0"/>
              <w:keepLines w:val="0"/>
              <w:pageBreakBefore w:val="0"/>
              <w:kinsoku/>
              <w:wordWrap/>
              <w:topLinePunct w:val="0"/>
              <w:bidi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证明材料说明</w:t>
            </w:r>
          </w:p>
        </w:tc>
        <w:tc>
          <w:tcPr>
            <w:tcW w:w="7203" w:type="dxa"/>
            <w:tcBorders>
              <w:bottom w:val="single" w:color="auto" w:sz="4" w:space="0"/>
            </w:tcBorders>
            <w:noWrap w:val="0"/>
            <w:vAlign w:val="center"/>
          </w:tcPr>
          <w:p>
            <w:pPr>
              <w:keepNext w:val="0"/>
              <w:keepLines w:val="0"/>
              <w:pageBreakBefore w:val="0"/>
              <w:kinsoku/>
              <w:wordWrap/>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1、须提供</w:t>
            </w:r>
            <w:r>
              <w:rPr>
                <w:rFonts w:hint="eastAsia" w:ascii="宋体" w:hAnsi="宋体" w:eastAsia="宋体" w:cs="宋体"/>
                <w:color w:val="auto"/>
                <w:sz w:val="24"/>
                <w:szCs w:val="24"/>
                <w:highlight w:val="none"/>
                <w:u w:val="single"/>
              </w:rPr>
              <w:t>最新一期</w:t>
            </w:r>
            <w:r>
              <w:rPr>
                <w:rFonts w:hint="eastAsia" w:ascii="宋体" w:hAnsi="宋体" w:eastAsia="宋体" w:cs="宋体"/>
                <w:color w:val="auto"/>
                <w:sz w:val="24"/>
                <w:szCs w:val="24"/>
                <w:highlight w:val="none"/>
              </w:rPr>
              <w:t>《节能产品政府采购清单》关于产品当前页的打印件；</w:t>
            </w:r>
          </w:p>
          <w:p>
            <w:pPr>
              <w:keepNext w:val="0"/>
              <w:keepLines w:val="0"/>
              <w:pageBreakBefore w:val="0"/>
              <w:kinsoku/>
              <w:wordWrap/>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2、须提供</w:t>
            </w:r>
            <w:r>
              <w:rPr>
                <w:rFonts w:hint="eastAsia" w:ascii="宋体" w:hAnsi="宋体" w:eastAsia="宋体" w:cs="宋体"/>
                <w:color w:val="auto"/>
                <w:sz w:val="24"/>
                <w:szCs w:val="24"/>
                <w:highlight w:val="none"/>
                <w:u w:val="single"/>
              </w:rPr>
              <w:t>最新一期</w:t>
            </w:r>
            <w:r>
              <w:rPr>
                <w:rFonts w:hint="eastAsia" w:ascii="宋体" w:hAnsi="宋体" w:eastAsia="宋体" w:cs="宋体"/>
                <w:color w:val="auto"/>
                <w:sz w:val="24"/>
                <w:szCs w:val="24"/>
                <w:highlight w:val="none"/>
              </w:rPr>
              <w:t>《环境标志产品政府采购清单》关于产品当前页的打印件；</w:t>
            </w:r>
          </w:p>
        </w:tc>
      </w:tr>
    </w:tbl>
    <w:p>
      <w:pPr>
        <w:keepNext w:val="0"/>
        <w:keepLines w:val="0"/>
        <w:pageBreakBefore w:val="0"/>
        <w:tabs>
          <w:tab w:val="left" w:pos="0"/>
        </w:tabs>
        <w:kinsoku/>
        <w:wordWrap/>
        <w:topLinePunct w:val="0"/>
        <w:bidi w:val="0"/>
        <w:adjustRightInd w:val="0"/>
        <w:snapToGrid w:val="0"/>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说明：如有多种产品符合此项政策时，折扣价格为每种产品的折扣金额汇总。</w:t>
      </w:r>
    </w:p>
    <w:p>
      <w:pPr>
        <w:keepNext w:val="0"/>
        <w:keepLines w:val="0"/>
        <w:pageBreakBefore w:val="0"/>
        <w:tabs>
          <w:tab w:val="left" w:pos="0"/>
        </w:tabs>
        <w:kinsoku/>
        <w:wordWrap/>
        <w:topLinePunct w:val="0"/>
        <w:bidi w:val="0"/>
        <w:adjustRightInd w:val="0"/>
        <w:snapToGrid w:val="0"/>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（2）中小企业价格折扣比例及方法</w:t>
      </w:r>
    </w:p>
    <w:tbl>
      <w:tblPr>
        <w:tblStyle w:val="50"/>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9854" w:type="dxa"/>
            <w:tcBorders>
              <w:top w:val="single" w:color="auto" w:sz="4" w:space="0"/>
              <w:bottom w:val="single" w:color="auto" w:sz="4" w:space="0"/>
            </w:tcBorders>
            <w:noWrap w:val="0"/>
            <w:vAlign w:val="center"/>
          </w:tcPr>
          <w:p>
            <w:pPr>
              <w:keepNext w:val="0"/>
              <w:keepLines w:val="0"/>
              <w:pageBreakBefore w:val="0"/>
              <w:kinsoku/>
              <w:wordWrap/>
              <w:topLinePunct w:val="0"/>
              <w:bidi w:val="0"/>
              <w:snapToGrid w:val="0"/>
              <w:spacing w:line="360" w:lineRule="exact"/>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符合《政府采购促进中小企业发展管理办法》（财库﹝2020﹞46 号）的相关规定</w:t>
            </w:r>
          </w:p>
        </w:tc>
      </w:tr>
    </w:tbl>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w:t>
      </w:r>
      <w:r>
        <w:rPr>
          <w:rFonts w:hint="eastAsia" w:ascii="宋体" w:hAnsi="宋体" w:eastAsia="宋体" w:cs="宋体"/>
          <w:bCs/>
          <w:color w:val="000000" w:themeColor="text1"/>
          <w:sz w:val="24"/>
          <w:szCs w:val="24"/>
          <w:lang w:val="en-US" w:eastAsia="zh-CN"/>
          <w14:textFill>
            <w14:solidFill>
              <w14:schemeClr w14:val="tx1"/>
            </w14:solidFill>
          </w14:textFill>
        </w:rPr>
        <w:t>12</w:t>
      </w:r>
      <w:r>
        <w:rPr>
          <w:rFonts w:hint="eastAsia" w:ascii="宋体" w:hAnsi="宋体" w:eastAsia="宋体" w:cs="宋体"/>
          <w:bCs/>
          <w:color w:val="000000" w:themeColor="text1"/>
          <w:sz w:val="24"/>
          <w:szCs w:val="24"/>
          <w14:textFill>
            <w14:solidFill>
              <w14:schemeClr w14:val="tx1"/>
            </w14:solidFill>
          </w14:textFill>
        </w:rPr>
        <w:t>、技术标、商务标、经济标通过上述评审后，造成合格的投标文件不足三个的，评标委员会应认定本次招标工程的投标人数量没有竞争力，宣布本次招标失败，业主将重新组织招标活动。</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8.1</w:t>
      </w: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、中标候选人前三名最终得分的组成：由技术标加商务标加经济标得分合计确定排序前三名。如果出现投标人最终得分相同的情况，投标报价低者排名顺序优先在前。</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8.1</w:t>
      </w:r>
      <w:r>
        <w:rPr>
          <w:rFonts w:hint="eastAsia" w:ascii="宋体" w:hAnsi="宋体" w:eastAsia="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、投标人总分计算方法已在投标人须知前附表第16项列清:</w:t>
      </w:r>
    </w:p>
    <w:p>
      <w:pPr>
        <w:keepNext w:val="0"/>
        <w:keepLines w:val="0"/>
        <w:pageBreakBefore w:val="0"/>
        <w:kinsoku/>
        <w:wordWrap/>
        <w:topLinePunct w:val="0"/>
        <w:bidi w:val="0"/>
        <w:spacing w:line="360" w:lineRule="exact"/>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投标人总分=商务标详细评审+技术标详细评审+经济标详细评审。</w:t>
      </w:r>
    </w:p>
    <w:p>
      <w:pPr>
        <w:keepNext w:val="0"/>
        <w:keepLines w:val="0"/>
        <w:pageBreakBefore w:val="0"/>
        <w:numPr>
          <w:ilvl w:val="0"/>
          <w:numId w:val="7"/>
        </w:numPr>
        <w:kinsoku/>
        <w:wordWrap/>
        <w:topLinePunct w:val="0"/>
        <w:bidi w:val="0"/>
        <w:spacing w:line="36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定标原则</w:t>
      </w:r>
    </w:p>
    <w:p>
      <w:pPr>
        <w:keepNext w:val="0"/>
        <w:keepLines w:val="0"/>
        <w:pageBreakBefore w:val="0"/>
        <w:kinsoku/>
        <w:wordWrap/>
        <w:topLinePunct w:val="0"/>
        <w:bidi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9.1、评标委员会对通过技术标、商务标、经济标评审的合格投标单位，以技术标、商务标、经济标三者得分之和由高到低排序，得分最高为第一中标候选人，以此类推，确定出前三名作为中标候选人推荐给招标人，招标人从三名中标候选人中确定出最终的中标人。</w:t>
      </w:r>
    </w:p>
    <w:p>
      <w:pPr>
        <w:keepNext w:val="0"/>
        <w:keepLines w:val="0"/>
        <w:pageBreakBefore w:val="0"/>
        <w:widowControl/>
        <w:kinsoku/>
        <w:wordWrap/>
        <w:topLinePunct w:val="0"/>
        <w:bidi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招标人确定中标人时的原则：排名第一的中标候选人为中标人。排名第一的中标候选人放弃中标、因不可抗力提出不能履行合同，确定排名第二的中标候选人为中标人。排名第二的中标候选人因前款规定的同样原因不能签订合同的，确定排名第三的中标候选人为中标人。</w:t>
      </w:r>
    </w:p>
    <w:p>
      <w:pPr>
        <w:keepNext w:val="0"/>
        <w:keepLines w:val="0"/>
        <w:pageBreakBefore w:val="0"/>
        <w:kinsoku/>
        <w:wordWrap/>
        <w:topLinePunct w:val="0"/>
        <w:bidi w:val="0"/>
        <w:spacing w:line="360" w:lineRule="exact"/>
        <w:ind w:firstLine="489" w:firstLineChars="203"/>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10、开标会程序</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10.1、标前会</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10.1.1、标前会由招标代理机构主持，招标人、招标代理机构、监督人参加。</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10.1.2、招标人在标前会上确定开标会主持人、唱标人、记录人。</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开标会主持人负责按本招标文件规定的开标会程序主持招标会。</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招标会记录人负责对整个招标会情况进行记录。</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唱标人负责宣读投标文件的工期、质量以及投标报价等内容。</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10.2.、开标</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10.2.1、</w:t>
      </w:r>
      <w:r>
        <w:rPr>
          <w:rFonts w:hint="eastAsia" w:ascii="宋体" w:hAnsi="宋体" w:eastAsia="宋体" w:cs="宋体"/>
          <w:bCs/>
          <w:color w:val="000000" w:themeColor="text1"/>
          <w:sz w:val="24"/>
          <w:szCs w:val="24"/>
          <w14:textFill>
            <w14:solidFill>
              <w14:schemeClr w14:val="tx1"/>
            </w14:solidFill>
          </w14:textFill>
        </w:rPr>
        <w:t>请参加开标的投标人代表签名报到，招标人代表查验投标人</w:t>
      </w:r>
      <w:r>
        <w:rPr>
          <w:rFonts w:hint="eastAsia" w:ascii="宋体" w:hAnsi="宋体" w:eastAsia="宋体" w:cs="宋体"/>
          <w:bCs/>
          <w:color w:val="000000" w:themeColor="text1"/>
          <w:sz w:val="24"/>
          <w:szCs w:val="24"/>
          <w:lang w:eastAsia="zh-CN"/>
          <w14:textFill>
            <w14:solidFill>
              <w14:schemeClr w14:val="tx1"/>
            </w14:solidFill>
          </w14:textFill>
        </w:rPr>
        <w:t>资质</w:t>
      </w:r>
      <w:r>
        <w:rPr>
          <w:rFonts w:hint="eastAsia" w:ascii="宋体" w:hAnsi="宋体" w:eastAsia="宋体" w:cs="宋体"/>
          <w:bCs/>
          <w:color w:val="000000" w:themeColor="text1"/>
          <w:sz w:val="24"/>
          <w:szCs w:val="24"/>
          <w14:textFill>
            <w14:solidFill>
              <w14:schemeClr w14:val="tx1"/>
            </w14:solidFill>
          </w14:textFill>
        </w:rPr>
        <w:t>。</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10.2.2、开标会主持人介绍参加会议的人员。</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10.2.3、</w:t>
      </w:r>
      <w:r>
        <w:rPr>
          <w:rFonts w:hint="eastAsia" w:ascii="宋体" w:hAnsi="宋体" w:eastAsia="宋体" w:cs="宋体"/>
          <w:bCs/>
          <w:color w:val="000000" w:themeColor="text1"/>
          <w:sz w:val="24"/>
          <w:szCs w:val="24"/>
          <w14:textFill>
            <w14:solidFill>
              <w14:schemeClr w14:val="tx1"/>
            </w14:solidFill>
          </w14:textFill>
        </w:rPr>
        <w:t>投标人代表宣读投标书送达时间和密封情况是否完好。</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10.2.4、开标会主持人宣布投标文件送达时间是否符合招标文件要求。招标人代表对投标文件是否按招标文件规定密封与标志进行核查。</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10.2.5、开标会主持人征求投标人有无书面补充材料，但是对报价、工期、质量等实质性内容更改的无效。</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10.2.6、</w:t>
      </w:r>
      <w:r>
        <w:rPr>
          <w:rFonts w:hint="eastAsia" w:ascii="宋体" w:hAnsi="宋体" w:eastAsia="宋体" w:cs="宋体"/>
          <w:bCs/>
          <w:color w:val="000000" w:themeColor="text1"/>
          <w:sz w:val="24"/>
          <w:szCs w:val="24"/>
          <w14:textFill>
            <w14:solidFill>
              <w14:schemeClr w14:val="tx1"/>
            </w14:solidFill>
          </w14:textFill>
        </w:rPr>
        <w:t>唱标人按送达时间逆顺序启封商务标</w:t>
      </w:r>
      <w:r>
        <w:rPr>
          <w:rFonts w:hint="eastAsia" w:ascii="宋体" w:hAnsi="宋体" w:eastAsia="宋体" w:cs="宋体"/>
          <w:bCs/>
          <w:color w:val="000000" w:themeColor="text1"/>
          <w:sz w:val="24"/>
          <w:szCs w:val="24"/>
          <w:lang w:eastAsia="zh-CN"/>
          <w14:textFill>
            <w14:solidFill>
              <w14:schemeClr w14:val="tx1"/>
            </w14:solidFill>
          </w14:textFill>
        </w:rPr>
        <w:t>及经济标</w:t>
      </w:r>
      <w:r>
        <w:rPr>
          <w:rFonts w:hint="eastAsia" w:ascii="宋体" w:hAnsi="宋体" w:eastAsia="宋体" w:cs="宋体"/>
          <w:bCs/>
          <w:color w:val="000000" w:themeColor="text1"/>
          <w:sz w:val="24"/>
          <w:szCs w:val="24"/>
          <w14:textFill>
            <w14:solidFill>
              <w14:schemeClr w14:val="tx1"/>
            </w14:solidFill>
          </w14:textFill>
        </w:rPr>
        <w:t>，宣布投标承诺书中的</w:t>
      </w:r>
      <w:r>
        <w:rPr>
          <w:rFonts w:hint="eastAsia" w:ascii="宋体" w:hAnsi="宋体" w:eastAsia="宋体" w:cs="宋体"/>
          <w:color w:val="000000" w:themeColor="text1"/>
          <w:sz w:val="24"/>
          <w:szCs w:val="24"/>
          <w14:textFill>
            <w14:solidFill>
              <w14:schemeClr w14:val="tx1"/>
            </w14:solidFill>
          </w14:textFill>
        </w:rPr>
        <w:t>工期、质量</w:t>
      </w:r>
      <w:r>
        <w:rPr>
          <w:rFonts w:hint="eastAsia" w:ascii="宋体" w:hAnsi="宋体" w:eastAsia="宋体" w:cs="宋体"/>
          <w:color w:val="000000" w:themeColor="text1"/>
          <w:sz w:val="24"/>
          <w:szCs w:val="24"/>
          <w:lang w:eastAsia="zh-CN"/>
          <w14:textFill>
            <w14:solidFill>
              <w14:schemeClr w14:val="tx1"/>
            </w14:solidFill>
          </w14:textFill>
        </w:rPr>
        <w:t>及投标报价</w:t>
      </w:r>
      <w:r>
        <w:rPr>
          <w:rFonts w:hint="eastAsia" w:ascii="宋体" w:hAnsi="宋体" w:eastAsia="宋体" w:cs="宋体"/>
          <w:bCs/>
          <w:color w:val="000000" w:themeColor="text1"/>
          <w:sz w:val="24"/>
          <w:szCs w:val="24"/>
          <w14:textFill>
            <w14:solidFill>
              <w14:schemeClr w14:val="tx1"/>
            </w14:solidFill>
          </w14:textFill>
        </w:rPr>
        <w:t>。</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w:t>
      </w:r>
      <w:r>
        <w:rPr>
          <w:rFonts w:hint="eastAsia" w:ascii="宋体" w:hAnsi="宋体" w:eastAsia="宋体" w:cs="宋体"/>
          <w:bCs/>
          <w:color w:val="000000" w:themeColor="text1"/>
          <w:sz w:val="24"/>
          <w:szCs w:val="24"/>
          <w14:textFill>
            <w14:solidFill>
              <w14:schemeClr w14:val="tx1"/>
            </w14:solidFill>
          </w14:textFill>
        </w:rPr>
        <w:t>.7、商务标、</w:t>
      </w:r>
      <w:r>
        <w:rPr>
          <w:rFonts w:hint="eastAsia" w:ascii="宋体" w:hAnsi="宋体" w:eastAsia="宋体" w:cs="宋体"/>
          <w:bCs/>
          <w:color w:val="000000" w:themeColor="text1"/>
          <w:sz w:val="24"/>
          <w:szCs w:val="24"/>
          <w:lang w:eastAsia="zh-CN"/>
          <w14:textFill>
            <w14:solidFill>
              <w14:schemeClr w14:val="tx1"/>
            </w14:solidFill>
          </w14:textFill>
        </w:rPr>
        <w:t>经济标</w:t>
      </w:r>
      <w:r>
        <w:rPr>
          <w:rFonts w:hint="eastAsia" w:ascii="宋体" w:hAnsi="宋体" w:eastAsia="宋体" w:cs="宋体"/>
          <w:bCs/>
          <w:color w:val="000000" w:themeColor="text1"/>
          <w:sz w:val="24"/>
          <w:szCs w:val="24"/>
          <w14:textFill>
            <w14:solidFill>
              <w14:schemeClr w14:val="tx1"/>
            </w14:solidFill>
          </w14:textFill>
        </w:rPr>
        <w:t>开标完毕，投标人退场。</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10.3、评标准备会</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10.3.1、评标准备会由招标代理机构主持，招标人、招标代理机构、评标委员会成员、监督人参加并且招标人将向评标委员会提供一份招标文件。</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10.3.2、招标人确定评标委员会负责人，评标委员会负责人负责宣布中标人等内容。如果评标委员会负责人参与评标工作则与其他评标专家的权利相同。</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10.3.3、招标代理机构介绍评标时的重要信息和数据。包括：招标的目标、招标项目的范围和性质、招标文件中规定的主要技术要求、标准和商务条款、招标文件规定的评标标准、评标方法和在评标过程中考虑的相关因素。</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10.4、技术标、商务标</w:t>
      </w:r>
      <w:r>
        <w:rPr>
          <w:rFonts w:hint="eastAsia" w:ascii="宋体" w:hAnsi="宋体" w:eastAsia="宋体" w:cs="宋体"/>
          <w:color w:val="000000" w:themeColor="text1"/>
          <w:sz w:val="24"/>
          <w:szCs w:val="24"/>
          <w:lang w:eastAsia="zh-CN"/>
          <w14:textFill>
            <w14:solidFill>
              <w14:schemeClr w14:val="tx1"/>
            </w14:solidFill>
          </w14:textFill>
        </w:rPr>
        <w:t>、经济标</w:t>
      </w:r>
      <w:r>
        <w:rPr>
          <w:rFonts w:hint="eastAsia" w:ascii="宋体" w:hAnsi="宋体" w:eastAsia="宋体" w:cs="宋体"/>
          <w:color w:val="000000" w:themeColor="text1"/>
          <w:sz w:val="24"/>
          <w:szCs w:val="24"/>
          <w14:textFill>
            <w14:solidFill>
              <w14:schemeClr w14:val="tx1"/>
            </w14:solidFill>
          </w14:textFill>
        </w:rPr>
        <w:t>评标</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评标委员会按照招标文件规定的评标方法对技术标、商务标</w:t>
      </w:r>
      <w:r>
        <w:rPr>
          <w:rFonts w:hint="eastAsia" w:ascii="宋体" w:hAnsi="宋体" w:eastAsia="宋体" w:cs="宋体"/>
          <w:color w:val="000000" w:themeColor="text1"/>
          <w:sz w:val="24"/>
          <w:szCs w:val="24"/>
          <w:lang w:eastAsia="zh-CN"/>
          <w14:textFill>
            <w14:solidFill>
              <w14:schemeClr w14:val="tx1"/>
            </w14:solidFill>
          </w14:textFill>
        </w:rPr>
        <w:t>、经济标</w:t>
      </w:r>
      <w:r>
        <w:rPr>
          <w:rFonts w:hint="eastAsia" w:ascii="宋体" w:hAnsi="宋体" w:eastAsia="宋体" w:cs="宋体"/>
          <w:color w:val="000000" w:themeColor="text1"/>
          <w:sz w:val="24"/>
          <w:szCs w:val="24"/>
          <w14:textFill>
            <w14:solidFill>
              <w14:schemeClr w14:val="tx1"/>
            </w14:solidFill>
          </w14:textFill>
        </w:rPr>
        <w:t>进行评标。</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、宣布中标候选人</w:t>
      </w:r>
    </w:p>
    <w:p>
      <w:pPr>
        <w:keepNext w:val="0"/>
        <w:keepLines w:val="0"/>
        <w:pageBreakBefore w:val="0"/>
        <w:kinsoku/>
        <w:wordWrap/>
        <w:topLinePunct w:val="0"/>
        <w:bidi w:val="0"/>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评标委员会负责人根据评标结果按照招标文件规定宣布中标候选人，并</w:t>
      </w:r>
      <w:r>
        <w:rPr>
          <w:rFonts w:hint="eastAsia" w:ascii="宋体" w:hAnsi="宋体" w:eastAsia="宋体" w:cs="宋体"/>
          <w:bCs/>
          <w:color w:val="000000" w:themeColor="text1"/>
          <w:sz w:val="24"/>
          <w:szCs w:val="24"/>
          <w14:textFill>
            <w14:solidFill>
              <w14:schemeClr w14:val="tx1"/>
            </w14:solidFill>
          </w14:textFill>
        </w:rPr>
        <w:t>请投标人签字确认最终结果。</w:t>
      </w:r>
    </w:p>
    <w:p>
      <w:pPr>
        <w:keepNext w:val="0"/>
        <w:keepLines w:val="0"/>
        <w:pageBreakBefore w:val="0"/>
        <w:kinsoku/>
        <w:wordWrap/>
        <w:topLinePunct w:val="0"/>
        <w:bidi w:val="0"/>
        <w:spacing w:line="360" w:lineRule="exact"/>
        <w:ind w:firstLine="489" w:firstLineChars="203"/>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11、投标有效期</w:t>
      </w:r>
    </w:p>
    <w:p>
      <w:pPr>
        <w:keepNext w:val="0"/>
        <w:keepLines w:val="0"/>
        <w:pageBreakBefore w:val="0"/>
        <w:kinsoku/>
        <w:wordWrap/>
        <w:topLinePunct w:val="0"/>
        <w:bidi w:val="0"/>
        <w:spacing w:line="360" w:lineRule="exact"/>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11.1、评标和定标将在投标人须知前附表第</w:t>
      </w:r>
      <w:r>
        <w:rPr>
          <w:rFonts w:hint="eastAsia" w:ascii="宋体" w:hAnsi="宋体" w:eastAsia="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项规定内完成，如果不能完成，招标人将通知投标人延长投标有效期。</w:t>
      </w:r>
      <w:r>
        <w:rPr>
          <w:rFonts w:hint="eastAsia" w:ascii="宋体" w:hAnsi="宋体" w:eastAsia="宋体" w:cs="宋体"/>
          <w:b/>
          <w:bCs/>
          <w:color w:val="000000" w:themeColor="text1"/>
          <w:sz w:val="24"/>
          <w:szCs w:val="24"/>
          <w14:textFill>
            <w14:solidFill>
              <w14:schemeClr w14:val="tx1"/>
            </w14:solidFill>
          </w14:textFill>
        </w:rPr>
        <w:t xml:space="preserve"> </w:t>
      </w:r>
    </w:p>
    <w:p>
      <w:pPr>
        <w:keepNext w:val="0"/>
        <w:keepLines w:val="0"/>
        <w:pageBreakBefore w:val="0"/>
        <w:kinsoku/>
        <w:wordWrap/>
        <w:topLinePunct w:val="0"/>
        <w:bidi w:val="0"/>
        <w:spacing w:line="36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12.1、授予合同</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12.1.1、招标办自收到工程招标投标情况书面报告之日起5日内未通知招标人在招标投标活动中有违法行为的。招标人将向中标人发出中标通知书，并及时通知其它投标人其投标未被接受。</w:t>
      </w:r>
    </w:p>
    <w:p>
      <w:pPr>
        <w:spacing w:line="37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12.2</w:t>
      </w:r>
      <w:r>
        <w:rPr>
          <w:rFonts w:hint="eastAsia" w:ascii="宋体" w:hAnsi="宋体"/>
          <w:b/>
          <w:color w:val="auto"/>
          <w:sz w:val="24"/>
          <w:szCs w:val="24"/>
        </w:rPr>
        <w:t>、合同签订及进场要求</w:t>
      </w:r>
    </w:p>
    <w:p>
      <w:pPr>
        <w:spacing w:line="370" w:lineRule="exact"/>
        <w:ind w:firstLine="480" w:firstLineChars="200"/>
        <w:rPr>
          <w:rFonts w:hint="eastAsia" w:ascii="宋体" w:hAnsi="宋体"/>
          <w:b/>
          <w:color w:val="auto"/>
        </w:rPr>
      </w:pPr>
      <w:r>
        <w:rPr>
          <w:rFonts w:hint="eastAsia" w:ascii="宋体" w:hAnsi="宋体" w:eastAsia="宋体" w:cs="宋体"/>
          <w:color w:val="000000" w:themeColor="text1"/>
          <w:sz w:val="24"/>
          <w:szCs w:val="24"/>
          <w14:textFill>
            <w14:solidFill>
              <w14:schemeClr w14:val="tx1"/>
            </w14:solidFill>
          </w14:textFill>
        </w:rPr>
        <w:t>12.2.1、招标人与中标人在自中标通知书发出之日起30日内，依据国家、地方有关规定及招标文件和投标文件签订施工合同。</w:t>
      </w:r>
      <w:r>
        <w:rPr>
          <w:rFonts w:hint="eastAsia" w:ascii="宋体" w:hAnsi="宋体"/>
          <w:b/>
          <w:color w:val="auto"/>
        </w:rPr>
        <w:t>中标人无正当理由拒签合同的，招标人取消其中标资格，其投标保证金不予退还；给招标人造成的损失超过投标保证金数额的，中标人还应当对超过部分予以赔偿。</w:t>
      </w:r>
    </w:p>
    <w:p>
      <w:pPr>
        <w:pStyle w:val="2"/>
        <w:ind w:left="0" w:leftChars="0" w:firstLine="480" w:firstLineChars="200"/>
        <w:rPr>
          <w:rFonts w:hint="eastAsia" w:ascii="宋体" w:hAnsi="宋体" w:eastAsia="宋体"/>
          <w:sz w:val="24"/>
          <w:szCs w:val="24"/>
        </w:rPr>
      </w:pPr>
      <w:r>
        <w:rPr>
          <w:rFonts w:hint="eastAsia" w:ascii="宋体" w:hAnsi="宋体" w:eastAsia="宋体"/>
          <w:sz w:val="24"/>
          <w:szCs w:val="24"/>
        </w:rPr>
        <w:t>12.2.2、招标人与中标人签订合同后7日内应将合同报有关部门备案。</w:t>
      </w:r>
    </w:p>
    <w:p>
      <w:pPr>
        <w:pStyle w:val="3"/>
        <w:spacing w:line="370" w:lineRule="exact"/>
        <w:ind w:left="0" w:leftChars="0" w:firstLine="422" w:firstLineChars="200"/>
        <w:rPr>
          <w:rFonts w:hint="default" w:ascii="宋体" w:hAnsi="宋体" w:eastAsia="宋体"/>
          <w:sz w:val="24"/>
          <w:szCs w:val="24"/>
          <w:lang w:val="en-US" w:eastAsia="zh-CN"/>
        </w:rPr>
      </w:pPr>
      <w:r>
        <w:rPr>
          <w:rFonts w:hint="eastAsia" w:hAnsi="宋体"/>
          <w:b/>
          <w:sz w:val="21"/>
          <w:lang w:val="en-US" w:eastAsia="zh-CN"/>
        </w:rPr>
        <w:t xml:space="preserve">12.2.3 </w:t>
      </w:r>
      <w:r>
        <w:rPr>
          <w:rFonts w:hint="eastAsia" w:ascii="宋体" w:hAnsi="宋体" w:eastAsia="宋体"/>
          <w:b/>
          <w:sz w:val="21"/>
        </w:rPr>
        <w:t>中标人在收到招标人发出的开工通知后3日内必须安排施工机械、人员、材料等进场，否则招标人取消其中标资格。</w:t>
      </w:r>
      <w:r>
        <w:rPr>
          <w:rFonts w:hint="eastAsia" w:hAnsi="宋体"/>
          <w:b/>
          <w:sz w:val="21"/>
          <w:lang w:val="en-US" w:eastAsia="zh-CN"/>
        </w:rPr>
        <w:t xml:space="preserve">  </w:t>
      </w:r>
    </w:p>
    <w:p>
      <w:pPr>
        <w:pStyle w:val="3"/>
        <w:keepNext w:val="0"/>
        <w:keepLines w:val="0"/>
        <w:pageBreakBefore w:val="0"/>
        <w:kinsoku/>
        <w:wordWrap/>
        <w:topLinePunct w:val="0"/>
        <w:bidi w:val="0"/>
        <w:spacing w:line="360" w:lineRule="exact"/>
        <w:ind w:left="0" w:leftChars="0" w:firstLine="426" w:firstLineChars="177"/>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12.3、履约担保</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12.3.1、</w:t>
      </w:r>
      <w:r>
        <w:rPr>
          <w:rFonts w:hint="eastAsia" w:ascii="宋体" w:hAnsi="宋体" w:eastAsia="宋体" w:cs="宋体"/>
          <w:b/>
          <w:sz w:val="24"/>
          <w:szCs w:val="24"/>
        </w:rPr>
        <w:t>中标人接到中标通知书后3个工作日内，须按投标人须知前附表第</w:t>
      </w:r>
      <w:bookmarkStart w:id="69" w:name="_Hlt55196057"/>
      <w:bookmarkStart w:id="70" w:name="_Hlt66964590"/>
      <w:bookmarkStart w:id="71" w:name="_Hlt59524946"/>
      <w:bookmarkStart w:id="72" w:name="_Hlt39212177"/>
      <w:bookmarkStart w:id="73" w:name="_Hlt64398691"/>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"_Hlk38643053" \s "1,3034,3036,0,,22" </w:instrText>
      </w:r>
      <w:r>
        <w:rPr>
          <w:rFonts w:hint="eastAsia" w:ascii="宋体" w:hAnsi="宋体" w:eastAsia="宋体" w:cs="宋体"/>
          <w:b/>
          <w:sz w:val="24"/>
          <w:szCs w:val="24"/>
        </w:rPr>
        <w:fldChar w:fldCharType="separate"/>
      </w:r>
      <w:r>
        <w:rPr>
          <w:rStyle w:val="57"/>
          <w:rFonts w:hint="eastAsia" w:ascii="宋体" w:hAnsi="宋体" w:eastAsia="宋体" w:cs="宋体"/>
          <w:b/>
          <w:color w:val="auto"/>
          <w:sz w:val="24"/>
          <w:szCs w:val="24"/>
          <w:u w:val="none"/>
        </w:rPr>
        <w:t>1</w:t>
      </w:r>
      <w:bookmarkStart w:id="74" w:name="_Hlt69790002"/>
      <w:bookmarkStart w:id="75" w:name="_Hlt69790003"/>
      <w:r>
        <w:rPr>
          <w:rStyle w:val="57"/>
          <w:rFonts w:hint="eastAsia" w:ascii="宋体" w:hAnsi="宋体" w:eastAsia="宋体" w:cs="宋体"/>
          <w:b/>
          <w:color w:val="auto"/>
          <w:sz w:val="24"/>
          <w:szCs w:val="24"/>
          <w:u w:val="none"/>
        </w:rPr>
        <w:t>6</w:t>
      </w:r>
      <w:bookmarkEnd w:id="74"/>
      <w:bookmarkEnd w:id="75"/>
      <w:r>
        <w:rPr>
          <w:rFonts w:hint="eastAsia" w:ascii="宋体" w:hAnsi="宋体" w:eastAsia="宋体" w:cs="宋体"/>
          <w:b/>
          <w:sz w:val="24"/>
          <w:szCs w:val="24"/>
        </w:rPr>
        <w:fldChar w:fldCharType="end"/>
      </w:r>
      <w:bookmarkEnd w:id="69"/>
      <w:bookmarkEnd w:id="70"/>
      <w:bookmarkEnd w:id="71"/>
      <w:bookmarkEnd w:id="72"/>
      <w:bookmarkEnd w:id="73"/>
      <w:r>
        <w:rPr>
          <w:rFonts w:hint="eastAsia" w:ascii="宋体" w:hAnsi="宋体" w:eastAsia="宋体" w:cs="宋体"/>
          <w:b/>
          <w:sz w:val="24"/>
          <w:szCs w:val="24"/>
        </w:rPr>
        <w:t>项规定的金额向招标人提交履约保证金。履约保证金形式必须是现金或转帐支票。如不按时到位，视为放弃中标，其投标保证金不予退还，由后续中标候选人依次递进补上。</w:t>
      </w:r>
    </w:p>
    <w:p>
      <w:pPr>
        <w:pStyle w:val="3"/>
        <w:spacing w:line="370" w:lineRule="exact"/>
        <w:ind w:left="0" w:leftChars="0"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w:t>
      </w:r>
      <w:r>
        <w:rPr>
          <w:rFonts w:hint="eastAsia" w:ascii="宋体" w:hAnsi="宋体" w:eastAsia="宋体" w:cs="宋体"/>
          <w:color w:val="000000" w:themeColor="text1"/>
          <w:kern w:val="2"/>
          <w:sz w:val="24"/>
          <w:szCs w:val="24"/>
          <w:lang w:val="en-US" w:eastAsia="zh-CN" w:bidi="ar-SA"/>
          <w14:textFill>
            <w14:solidFill>
              <w14:schemeClr w14:val="tx1"/>
            </w14:solidFill>
          </w14:textFill>
        </w:rPr>
        <w:t>2、若中标人未按12.3.1条款执行，招标人将有充分的理由解除合同，并没收其投标保证金，给招标人造成的损失超过投标担保数额的，应当对超出部分予以赔偿。</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12.3.3、招</w:t>
      </w:r>
      <w:r>
        <w:rPr>
          <w:rFonts w:hint="eastAsia" w:ascii="宋体" w:hAnsi="宋体" w:eastAsia="宋体" w:cs="宋体"/>
          <w:color w:val="000000" w:themeColor="text1"/>
          <w:sz w:val="24"/>
          <w:szCs w:val="24"/>
          <w14:textFill>
            <w14:solidFill>
              <w14:schemeClr w14:val="tx1"/>
            </w14:solidFill>
          </w14:textFill>
        </w:rPr>
        <w:t>标人不履行与中标人订立合同的，将双倍返还中标人的履约保证金，损失超过返还金额的，还应对超出部分给予赔偿。</w:t>
      </w:r>
    </w:p>
    <w:p>
      <w:pPr>
        <w:keepNext w:val="0"/>
        <w:keepLines w:val="0"/>
        <w:pageBreakBefore w:val="0"/>
        <w:kinsoku/>
        <w:wordWrap/>
        <w:topLinePunct w:val="0"/>
        <w:bidi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12.3.4、本工程招标人要求中标人提交履约担保的同时也将向中标人提供相应的工程款支付担保，工程款支付担保应当是全额担保。</w:t>
      </w:r>
    </w:p>
    <w:p>
      <w:pPr>
        <w:pStyle w:val="3"/>
        <w:spacing w:line="370" w:lineRule="exact"/>
        <w:ind w:left="0" w:leftChars="0" w:firstLine="480" w:firstLineChars="200"/>
        <w:rPr>
          <w:rFonts w:hint="default" w:eastAsia="宋体"/>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 xml:space="preserve">12.3.5 </w:t>
      </w:r>
      <w:r>
        <w:rPr>
          <w:rFonts w:hint="eastAsia" w:ascii="宋体" w:hAnsi="宋体" w:eastAsia="宋体"/>
          <w:b/>
          <w:sz w:val="24"/>
          <w:szCs w:val="24"/>
        </w:rPr>
        <w:t>经评审认为报价不合理的，经解释和澄清,评标委员会认为可进入计分评审的,如该投标单位中标,业主将提高履约保证金至15%，以确保工程保质、保量、如期的顺利完成。</w:t>
      </w:r>
    </w:p>
    <w:p>
      <w:pPr>
        <w:keepNext w:val="0"/>
        <w:keepLines w:val="0"/>
        <w:pageBreakBefore w:val="0"/>
        <w:kinsoku/>
        <w:wordWrap/>
        <w:topLinePunct w:val="0"/>
        <w:bidi w:val="0"/>
        <w:spacing w:line="3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13、投标保证金的交纳方式</w:t>
      </w:r>
    </w:p>
    <w:p>
      <w:pPr>
        <w:keepNext w:val="0"/>
        <w:keepLines w:val="0"/>
        <w:pageBreakBefore w:val="0"/>
        <w:kinsoku/>
        <w:wordWrap/>
        <w:topLinePunct w:val="0"/>
        <w:autoSpaceDE w:val="0"/>
        <w:autoSpaceDN w:val="0"/>
        <w:bidi w:val="0"/>
        <w:adjustRightInd w:val="0"/>
        <w:spacing w:line="36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投标人在招标文件规定时间内交纳投标保证金。</w:t>
      </w:r>
    </w:p>
    <w:p>
      <w:pPr>
        <w:pStyle w:val="16"/>
        <w:rPr>
          <w:rFonts w:hint="eastAsia" w:ascii="宋体" w:hAnsi="宋体" w:eastAsia="宋体" w:cs="宋体"/>
          <w:color w:val="000000" w:themeColor="text1"/>
          <w:sz w:val="24"/>
          <w:szCs w:val="24"/>
          <w14:textFill>
            <w14:solidFill>
              <w14:schemeClr w14:val="tx1"/>
            </w14:solidFill>
          </w14:textFill>
        </w:rPr>
      </w:pPr>
    </w:p>
    <w:p>
      <w:pPr>
        <w:pStyle w:val="16"/>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4"/>
        <w:numPr>
          <w:ilvl w:val="0"/>
          <w:numId w:val="0"/>
        </w:numPr>
        <w:jc w:val="center"/>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第二章  合  同</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1、合同协议书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1.1、本工程合同协议书采用建设工程施工合同示范文本（GF—2013—0201）中的合同协议书。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u w:val="single"/>
        </w:rPr>
      </w:pPr>
      <w:r>
        <w:rPr>
          <w:rFonts w:hint="eastAsia" w:ascii="宋体" w:hAnsi="宋体" w:eastAsia="宋体" w:cs="宋体"/>
          <w:bCs/>
          <w:sz w:val="24"/>
          <w:szCs w:val="24"/>
        </w:rPr>
        <w:t>发包人（全称）：</w:t>
      </w:r>
      <w:r>
        <w:rPr>
          <w:rFonts w:hint="eastAsia" w:ascii="宋体" w:hAnsi="宋体" w:eastAsia="宋体" w:cs="宋体"/>
          <w:bCs/>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u w:val="single"/>
        </w:rPr>
      </w:pPr>
      <w:r>
        <w:rPr>
          <w:rFonts w:hint="eastAsia" w:ascii="宋体" w:hAnsi="宋体" w:eastAsia="宋体" w:cs="宋体"/>
          <w:bCs/>
          <w:sz w:val="24"/>
          <w:szCs w:val="24"/>
        </w:rPr>
        <w:t>承包人（全称）：</w:t>
      </w:r>
      <w:r>
        <w:rPr>
          <w:rFonts w:hint="eastAsia" w:ascii="宋体" w:hAnsi="宋体" w:eastAsia="宋体" w:cs="宋体"/>
          <w:bCs/>
          <w:sz w:val="24"/>
          <w:szCs w:val="24"/>
          <w:u w:val="single"/>
        </w:rPr>
        <w:t xml:space="preserve">              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根据《中华人民共和国合同法》、《中华人民共和国建筑法》及有关法律规定，遵循平等、自愿、公平和诚实信用的原则，双方就</w:t>
      </w:r>
      <w:r>
        <w:rPr>
          <w:rFonts w:hint="eastAsia" w:ascii="宋体" w:hAnsi="宋体" w:eastAsia="宋体" w:cs="宋体"/>
          <w:sz w:val="24"/>
          <w:szCs w:val="24"/>
          <w:u w:val="single"/>
        </w:rPr>
        <w:t xml:space="preserve">                           </w:t>
      </w:r>
      <w:r>
        <w:rPr>
          <w:rFonts w:hint="eastAsia" w:ascii="宋体" w:hAnsi="宋体" w:eastAsia="宋体" w:cs="宋体"/>
          <w:bCs/>
          <w:sz w:val="24"/>
          <w:szCs w:val="24"/>
        </w:rPr>
        <w:t>施工及有关事项协商一致，共同达成如下协议：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一、工程概况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u w:val="single"/>
        </w:rPr>
      </w:pPr>
      <w:r>
        <w:rPr>
          <w:rFonts w:hint="eastAsia" w:ascii="宋体" w:hAnsi="宋体" w:eastAsia="宋体" w:cs="宋体"/>
          <w:bCs/>
          <w:sz w:val="24"/>
          <w:szCs w:val="24"/>
        </w:rPr>
        <w:t>1.工程名称：</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u w:val="single"/>
        </w:rPr>
      </w:pPr>
      <w:r>
        <w:rPr>
          <w:rFonts w:hint="eastAsia" w:ascii="宋体" w:hAnsi="宋体" w:eastAsia="宋体" w:cs="宋体"/>
          <w:bCs/>
          <w:sz w:val="24"/>
          <w:szCs w:val="24"/>
        </w:rPr>
        <w:t>2.工程地点：</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3.工程立项批准文号：</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4.资金来源：</w:t>
      </w:r>
      <w:r>
        <w:rPr>
          <w:rFonts w:hint="eastAsia" w:ascii="宋体" w:hAnsi="宋体" w:eastAsia="宋体" w:cs="宋体"/>
          <w:bCs/>
          <w:sz w:val="24"/>
          <w:szCs w:val="24"/>
          <w:u w:val="single"/>
        </w:rPr>
        <w:t></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w:t>
      </w:r>
      <w:r>
        <w:rPr>
          <w:rFonts w:hint="eastAsia" w:ascii="宋体" w:hAnsi="宋体" w:eastAsia="宋体" w:cs="宋体"/>
          <w:bCs/>
          <w: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u w:val="single"/>
        </w:rPr>
      </w:pPr>
      <w:r>
        <w:rPr>
          <w:rFonts w:hint="eastAsia" w:ascii="宋体" w:hAnsi="宋体" w:eastAsia="宋体" w:cs="宋体"/>
          <w:bCs/>
          <w:sz w:val="24"/>
          <w:szCs w:val="24"/>
        </w:rPr>
        <w:t>5.工程内容：</w:t>
      </w:r>
      <w:r>
        <w:rPr>
          <w:rFonts w:hint="eastAsia" w:ascii="宋体" w:hAnsi="宋体" w:eastAsia="宋体" w:cs="宋体"/>
          <w:bCs/>
          <w:sz w:val="24"/>
          <w:szCs w:val="24"/>
          <w:u w:val="single"/>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群体工程应附《承包人承揽工程项目一览表》（附件1）。</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u w:val="single"/>
        </w:rPr>
      </w:pPr>
      <w:r>
        <w:rPr>
          <w:rFonts w:hint="eastAsia" w:ascii="宋体" w:hAnsi="宋体" w:eastAsia="宋体" w:cs="宋体"/>
          <w:bCs/>
          <w:sz w:val="24"/>
          <w:szCs w:val="24"/>
        </w:rPr>
        <w:t>6.工程承包范围：</w:t>
      </w:r>
      <w:r>
        <w:rPr>
          <w:rFonts w:hint="eastAsia" w:ascii="宋体" w:hAnsi="宋体" w:eastAsia="宋体" w:cs="宋体"/>
          <w:bCs/>
          <w:sz w:val="24"/>
          <w:szCs w:val="24"/>
          <w:u w:val="single"/>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二、合同工期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计划开工日期：</w:t>
      </w:r>
      <w:r>
        <w:rPr>
          <w:rFonts w:hint="eastAsia" w:ascii="宋体" w:hAnsi="宋体" w:eastAsia="宋体" w:cs="宋体"/>
          <w:bCs/>
          <w:sz w:val="24"/>
          <w:szCs w:val="24"/>
          <w:u w:val="single"/>
        </w:rPr>
        <w:t>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计划竣工日期：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工期总日历天数：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天。工期总日历天数与根据前述计划开竣工日期计算的工期天数不一致的，以工期总日历天数为准。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三、质量标准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工程质量符合</w:t>
      </w:r>
      <w:r>
        <w:rPr>
          <w:rFonts w:hint="eastAsia" w:ascii="宋体" w:hAnsi="宋体" w:eastAsia="宋体" w:cs="宋体"/>
          <w:bCs/>
          <w:sz w:val="24"/>
          <w:szCs w:val="24"/>
          <w:u w:val="single"/>
        </w:rPr>
        <w:t>合格</w:t>
      </w:r>
      <w:r>
        <w:rPr>
          <w:rFonts w:hint="eastAsia" w:ascii="宋体" w:hAnsi="宋体" w:eastAsia="宋体" w:cs="宋体"/>
          <w:bCs/>
          <w:sz w:val="24"/>
          <w:szCs w:val="24"/>
        </w:rPr>
        <w:t>标准。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四、签约合同价与合同价格形式</w:t>
      </w:r>
      <w:r>
        <w:rPr>
          <w:rFonts w:hint="eastAsia" w:ascii="宋体" w:hAnsi="宋体" w:eastAsia="宋体" w:cs="宋体"/>
          <w:bCs/>
          <w:sz w:val="24"/>
          <w:szCs w:val="24"/>
        </w:rPr>
        <w:tab/>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1.签约合同价为：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            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其中：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（1）安全文明施工费：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          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（2）材料和工程设备暂估价金额：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          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（3）专业工程暂估价金额：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          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（4）暂列金额：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          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2.合同价格形式：本工程采用固定总价合同。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五、项目经理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承包人项目经理：</w:t>
      </w:r>
      <w:r>
        <w:rPr>
          <w:rFonts w:hint="eastAsia" w:ascii="宋体" w:hAnsi="宋体" w:eastAsia="宋体" w:cs="宋体"/>
          <w:bCs/>
          <w:sz w:val="24"/>
          <w:szCs w:val="24"/>
          <w:u w:val="single"/>
        </w:rPr>
        <w:t>                 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六、合同文件构成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本协议书与下列文件一起构成合同文件：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（1）中标通知书（如果有）；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（2）投标函及其附录（如果有）；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（3）专用合同条款及其附件；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（4）通用合同条款；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（5）技术标准和要求；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（6）图纸；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（7）已标价工程量清单或预算书；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（8）其他合同文件。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在合同订立及履行过程中形成的与合同有关的文件均构成合同文件组成部分。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七、承诺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3.发包人和承包人通过招投标形式签订合同的，双方理解并承诺不再就同一工程另行签订与合同实质性内容相背离的协议。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八、词语含义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本协议书中词语含义与第二部分通用合同条款中赋予的含义相同。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九、签订时间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本合同于</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日签订。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十、签订地点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本合同在</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十一、补充协议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合同未尽事宜，合同当事人另行签订补充协议，补充协议是合同的组成部分。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十二、合同生效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本合同自</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生效。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十三、合同份数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本合同一式</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份，均具有同等法律效力，发包人执</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份，承包人执</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发包人：  (公章)             承包人：  (公章)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法定代表人或其委托代理人：   法定代表人或其委托代理人：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（签字）                    （签字）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组织机构代码：         组织机构代码：  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地  址：       地  址：  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邮政编码：       邮政编码：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法定代表人：             法定代表人：      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委托代理人：             委托代理人：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电  话：     电  话：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传  真：     传  真：  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电子信箱：                   电子信箱：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开户银行：     开户银行：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bCs/>
          <w:sz w:val="24"/>
          <w:szCs w:val="24"/>
        </w:rPr>
        <w:t xml:space="preserve">账  号：         账  号：     </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1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rPr>
        <w:t>合同专业条款</w:t>
      </w:r>
    </w:p>
    <w:bookmarkEnd w:id="43"/>
    <w:bookmarkEnd w:id="44"/>
    <w:bookmarkEnd w:id="45"/>
    <w:bookmarkEnd w:id="46"/>
    <w:p>
      <w:pPr>
        <w:pStyle w:val="7"/>
        <w:pageBreakBefore w:val="0"/>
        <w:widowControl w:val="0"/>
        <w:numPr>
          <w:ilvl w:val="0"/>
          <w:numId w:val="0"/>
        </w:numPr>
        <w:kinsoku/>
        <w:wordWrap/>
        <w:overflowPunct/>
        <w:topLinePunct w:val="0"/>
        <w:bidi w:val="0"/>
        <w:snapToGrid/>
        <w:spacing w:before="120" w:after="120" w:line="360" w:lineRule="exact"/>
        <w:ind w:left="105" w:leftChars="50" w:firstLine="480" w:firstLineChars="200"/>
        <w:textAlignment w:val="auto"/>
        <w:rPr>
          <w:rFonts w:hint="eastAsia" w:ascii="宋体" w:hAnsi="宋体" w:eastAsia="宋体" w:cs="宋体"/>
          <w:b w:val="0"/>
          <w:bCs w:val="0"/>
          <w:color w:val="000000"/>
          <w:sz w:val="24"/>
          <w:szCs w:val="24"/>
        </w:rPr>
      </w:pPr>
      <w:bookmarkStart w:id="76" w:name="_Toc351203633"/>
      <w:r>
        <w:rPr>
          <w:rFonts w:hint="eastAsia" w:ascii="宋体" w:hAnsi="宋体" w:eastAsia="宋体" w:cs="宋体"/>
          <w:b w:val="0"/>
          <w:bCs w:val="0"/>
          <w:color w:val="000000"/>
          <w:sz w:val="24"/>
          <w:szCs w:val="24"/>
        </w:rPr>
        <w:t>1</w:t>
      </w:r>
      <w:bookmarkStart w:id="77" w:name="_Toc292559361"/>
      <w:bookmarkStart w:id="78" w:name="_Toc296347155"/>
      <w:bookmarkStart w:id="79" w:name="_Toc296346657"/>
      <w:bookmarkStart w:id="80" w:name="_Toc292559866"/>
      <w:bookmarkStart w:id="81" w:name="_Toc297120456"/>
      <w:bookmarkStart w:id="82" w:name="_Toc296503156"/>
      <w:bookmarkStart w:id="83" w:name="_Toc296944495"/>
      <w:bookmarkStart w:id="84" w:name="_Toc297048342"/>
      <w:bookmarkStart w:id="85" w:name="_Toc296890984"/>
      <w:bookmarkStart w:id="86" w:name="_Toc296891196"/>
      <w:r>
        <w:rPr>
          <w:rFonts w:hint="eastAsia" w:ascii="宋体" w:hAnsi="宋体" w:eastAsia="宋体" w:cs="宋体"/>
          <w:b w:val="0"/>
          <w:bCs w:val="0"/>
          <w:color w:val="000000"/>
          <w:sz w:val="24"/>
          <w:szCs w:val="24"/>
        </w:rPr>
        <w:t>. 一般约定</w:t>
      </w:r>
      <w:bookmarkEnd w:id="76"/>
    </w:p>
    <w:bookmarkEnd w:id="77"/>
    <w:bookmarkEnd w:id="78"/>
    <w:bookmarkEnd w:id="79"/>
    <w:bookmarkEnd w:id="80"/>
    <w:bookmarkEnd w:id="81"/>
    <w:bookmarkEnd w:id="82"/>
    <w:bookmarkEnd w:id="83"/>
    <w:bookmarkEnd w:id="84"/>
    <w:bookmarkEnd w:id="85"/>
    <w:bookmarkEnd w:id="86"/>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 词语定义</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1.1.1合同</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1.1.1.10其他合同文件包括：</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履行合同过程中双方书面确认的对合同内容有实质性影响的会议纪要、签证、设计变更等资料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1.1.2.4监理人：</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1.1.2.5 设计人：</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 工程和设备</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1.1.3.7 作为施工现场组成部分的其他场所包括：</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永久占地包括：</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1.1.3.10 临时占地包括：</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360" w:lineRule="exact"/>
        <w:ind w:left="596" w:leftChars="284"/>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适用于合同的其他规范性文件：</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执行通用条款</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 标准和规范</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1.4.1适用于工程的标准规范包括：</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执行通用条款</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 发包人提供国外标准、规范的名称：</w:t>
      </w:r>
      <w:r>
        <w:rPr>
          <w:rFonts w:hint="eastAsia" w:ascii="宋体" w:hAnsi="宋体" w:eastAsia="宋体" w:cs="宋体"/>
          <w:color w:val="000000"/>
          <w:kern w:val="0"/>
          <w:sz w:val="24"/>
          <w:szCs w:val="24"/>
          <w:u w:val="single"/>
        </w:rPr>
        <w:t xml:space="preserve">     </w:t>
      </w:r>
      <w:r>
        <w:rPr>
          <w:rFonts w:hint="eastAsia" w:ascii="宋体" w:hAnsi="宋体" w:eastAsia="宋体" w:cs="宋体"/>
          <w:b/>
          <w:color w:val="000000"/>
          <w:kern w:val="0"/>
          <w:sz w:val="24"/>
          <w:szCs w:val="24"/>
          <w:u w:val="single"/>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发包人提供国外标准、规范的份数：</w:t>
      </w:r>
      <w:r>
        <w:rPr>
          <w:rFonts w:hint="eastAsia" w:ascii="宋体" w:hAnsi="宋体" w:eastAsia="宋体" w:cs="宋体"/>
          <w:color w:val="000000"/>
          <w:kern w:val="0"/>
          <w:sz w:val="24"/>
          <w:szCs w:val="24"/>
          <w:u w:val="single"/>
        </w:rPr>
        <w:t xml:space="preserve">         </w:t>
      </w:r>
      <w:r>
        <w:rPr>
          <w:rFonts w:hint="eastAsia" w:ascii="宋体" w:hAnsi="宋体" w:eastAsia="宋体" w:cs="宋体"/>
          <w:b/>
          <w:color w:val="000000"/>
          <w:kern w:val="0"/>
          <w:sz w:val="24"/>
          <w:szCs w:val="24"/>
          <w:u w:val="single"/>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发包人提供国外标准、规范的名称：</w:t>
      </w:r>
      <w:r>
        <w:rPr>
          <w:rFonts w:hint="eastAsia" w:ascii="宋体" w:hAnsi="宋体" w:eastAsia="宋体" w:cs="宋体"/>
          <w:color w:val="000000"/>
          <w:kern w:val="0"/>
          <w:sz w:val="24"/>
          <w:szCs w:val="24"/>
          <w:u w:val="single"/>
        </w:rPr>
        <w:t xml:space="preserve">         </w:t>
      </w:r>
      <w:r>
        <w:rPr>
          <w:rFonts w:hint="eastAsia" w:ascii="宋体" w:hAnsi="宋体" w:eastAsia="宋体" w:cs="宋体"/>
          <w:b/>
          <w:color w:val="000000"/>
          <w:kern w:val="0"/>
          <w:sz w:val="24"/>
          <w:szCs w:val="24"/>
          <w:u w:val="single"/>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left="596" w:leftChars="284"/>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1.4.3发包人对工程的技术标准和功能要求的特殊要求：</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 合同文件的优先顺序</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合同文件组成及优先顺序为：</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按通用条款1.5规定的解释顺序</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 图纸和承包人文件</w:t>
      </w:r>
      <w:r>
        <w:rPr>
          <w:rFonts w:hint="eastAsia" w:ascii="宋体" w:hAnsi="宋体" w:eastAsia="宋体" w:cs="宋体"/>
          <w:color w:val="000000"/>
          <w:sz w:val="24"/>
          <w:szCs w:val="24"/>
        </w:rPr>
        <w:tab/>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发包人向承包人提供图纸的期限：</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合同签订后七日内提供审查合格的施工图</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color w:val="000000"/>
          <w:sz w:val="24"/>
          <w:szCs w:val="24"/>
          <w:u w:val="single"/>
        </w:rPr>
        <w:t>   </w:t>
      </w:r>
      <w:r>
        <w:rPr>
          <w:rFonts w:hint="eastAsia" w:ascii="宋体" w:hAnsi="宋体" w:eastAsia="宋体" w:cs="宋体"/>
          <w:b/>
          <w:sz w:val="24"/>
          <w:szCs w:val="24"/>
          <w:u w:val="single"/>
        </w:rPr>
        <w:t>柒套</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发包人向承包人提供图纸的内容：</w:t>
      </w:r>
      <w:r>
        <w:rPr>
          <w:rFonts w:hint="eastAsia" w:ascii="宋体" w:hAnsi="宋体" w:eastAsia="宋体" w:cs="宋体"/>
          <w:b/>
          <w:color w:val="000000"/>
          <w:sz w:val="24"/>
          <w:szCs w:val="24"/>
          <w:u w:val="single"/>
        </w:rPr>
        <w:t>本合同发包内容中的全部图纸</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1.6.4 承包人文件</w:t>
      </w:r>
    </w:p>
    <w:p>
      <w:pPr>
        <w:pageBreakBefore w:val="0"/>
        <w:widowControl w:val="0"/>
        <w:kinsoku/>
        <w:wordWrap/>
        <w:overflowPunct/>
        <w:topLinePunct w:val="0"/>
        <w:bidi w:val="0"/>
        <w:snapToGrid/>
        <w:spacing w:line="360" w:lineRule="exact"/>
        <w:ind w:left="596" w:leftChars="284"/>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需要由承包人提供的文件，包括：</w:t>
      </w:r>
      <w:r>
        <w:rPr>
          <w:rFonts w:hint="eastAsia" w:ascii="宋体" w:hAnsi="宋体" w:eastAsia="宋体" w:cs="宋体"/>
          <w:b/>
          <w:color w:val="000000"/>
          <w:sz w:val="24"/>
          <w:szCs w:val="24"/>
          <w:u w:val="single"/>
        </w:rPr>
        <w:t>开工前7日应提供完善的施工组织设计和安全专项方案，每月25日前提供下月完成工程量报表、月进度报表等</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承包人提供的文件的期限为：</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每月25日前</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 xml:space="preserve">7份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收到文件后10天内</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1.6.5 现场图纸准备</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b/>
          <w:color w:val="000000"/>
          <w:sz w:val="24"/>
          <w:szCs w:val="24"/>
          <w:u w:val="single"/>
        </w:rPr>
        <w:t>施工现场保留一套完整图纸供发包人、监理人及有关人员使用</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 联络</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1.7.1发包人和承包人应当在</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7</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天内将与合同有关的通知、批准、证明、证书、指示、指令、要求、请求、同意、意见、确定和决定等书面函件送达对方当事人。</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发包人接收文件的地点：</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 xml:space="preserve">发包人办公场所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发包人指定的接收人为：</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发包人代表</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承包人接收文件的地点：</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 xml:space="preserve">项目所在地承包人项目部   </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承包人指定的接收人为：</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项目经理</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监理人接收文件的地点：</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 xml:space="preserve">项目所在地监理人办公室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监理人指定的接收人为：</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总监理工程师</w:t>
      </w:r>
      <w:r>
        <w:rPr>
          <w:rFonts w:hint="eastAsia" w:ascii="宋体" w:hAnsi="宋体" w:eastAsia="宋体" w:cs="宋体"/>
          <w:color w:val="000000"/>
          <w:sz w:val="24"/>
          <w:szCs w:val="24"/>
          <w:u w:val="single"/>
        </w:rPr>
        <w:t>    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 交通运输</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bookmarkStart w:id="87" w:name="_Toc304295521"/>
      <w:bookmarkStart w:id="88" w:name="_Toc312677986"/>
      <w:bookmarkStart w:id="89" w:name="_Toc300934943"/>
      <w:bookmarkStart w:id="90" w:name="_Toc303539100"/>
      <w:bookmarkStart w:id="91" w:name="_Toc318581155"/>
      <w:r>
        <w:rPr>
          <w:rFonts w:hint="eastAsia" w:ascii="宋体" w:hAnsi="宋体" w:eastAsia="宋体" w:cs="宋体"/>
          <w:sz w:val="24"/>
          <w:szCs w:val="24"/>
        </w:rPr>
        <w:t>.10.1 出入现场的权利</w:t>
      </w:r>
    </w:p>
    <w:p>
      <w:pPr>
        <w:pageBreakBefore w:val="0"/>
        <w:widowControl w:val="0"/>
        <w:kinsoku/>
        <w:wordWrap/>
        <w:overflowPunct/>
        <w:topLinePunct w:val="0"/>
        <w:bidi w:val="0"/>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关于出入现场的权利的约定：</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 xml:space="preserve">根据施工需要，由承包方负责办理出入施工现场的相关手续、负责建设并承担相关费用  </w:t>
      </w:r>
      <w:r>
        <w:rPr>
          <w:rFonts w:hint="eastAsia" w:ascii="宋体" w:hAnsi="宋体" w:eastAsia="宋体" w:cs="宋体"/>
          <w:sz w:val="24"/>
          <w:szCs w:val="24"/>
        </w:rPr>
        <w:t>。</w:t>
      </w:r>
    </w:p>
    <w:bookmarkEnd w:id="87"/>
    <w:bookmarkEnd w:id="88"/>
    <w:bookmarkEnd w:id="89"/>
    <w:bookmarkEnd w:id="90"/>
    <w:bookmarkEnd w:id="91"/>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bookmarkStart w:id="92" w:name="_Toc312677987"/>
      <w:bookmarkStart w:id="93" w:name="_Toc303539101"/>
      <w:bookmarkStart w:id="94" w:name="_Toc304295522"/>
      <w:bookmarkStart w:id="95" w:name="_Toc318581156"/>
      <w:bookmarkStart w:id="96" w:name="_Toc300934944"/>
      <w:r>
        <w:rPr>
          <w:rFonts w:hint="eastAsia" w:ascii="宋体" w:hAnsi="宋体" w:eastAsia="宋体" w:cs="宋体"/>
          <w:sz w:val="24"/>
          <w:szCs w:val="24"/>
        </w:rPr>
        <w:t>.10.3 场内交通</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关于场外交通和场内交通的边界的约定：</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w:t>
      </w:r>
      <w:r>
        <w:rPr>
          <w:rFonts w:hint="eastAsia" w:ascii="宋体" w:hAnsi="宋体" w:eastAsia="宋体" w:cs="宋体"/>
          <w:color w:val="000000"/>
          <w:sz w:val="24"/>
          <w:szCs w:val="24"/>
          <w:u w:val="single"/>
        </w:rPr>
        <w:t></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发包方协助并承担相应费用，承包方办理</w:t>
      </w:r>
      <w:r>
        <w:rPr>
          <w:rFonts w:hint="eastAsia" w:ascii="宋体" w:hAnsi="宋体" w:eastAsia="宋体" w:cs="宋体"/>
          <w:color w:val="000000"/>
          <w:sz w:val="24"/>
          <w:szCs w:val="24"/>
          <w:u w:val="single"/>
        </w:rPr>
        <w:t></w:t>
      </w:r>
      <w:r>
        <w:rPr>
          <w:rFonts w:hint="eastAsia" w:ascii="宋体" w:hAnsi="宋体" w:eastAsia="宋体" w:cs="宋体"/>
          <w:sz w:val="24"/>
          <w:szCs w:val="24"/>
        </w:rPr>
        <w:t>。</w:t>
      </w:r>
      <w:bookmarkEnd w:id="92"/>
      <w:bookmarkEnd w:id="93"/>
      <w:bookmarkEnd w:id="94"/>
      <w:bookmarkEnd w:id="95"/>
      <w:bookmarkEnd w:id="96"/>
      <w:r>
        <w:rPr>
          <w:rFonts w:hint="eastAsia" w:ascii="宋体" w:hAnsi="宋体" w:eastAsia="宋体" w:cs="宋体"/>
          <w:sz w:val="24"/>
          <w:szCs w:val="24"/>
        </w:rPr>
        <w:t xml:space="preserve">  </w:t>
      </w:r>
      <w:bookmarkStart w:id="97" w:name="_Toc318581157"/>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1.10.4超大件和超重件的运输</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rPr>
        <w:t>承担。</w:t>
      </w:r>
    </w:p>
    <w:bookmarkEnd w:id="97"/>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 知识产权</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按通用条款执行</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关于发包人提供的上述文件的使用限制的要求：</w:t>
      </w:r>
      <w:r>
        <w:rPr>
          <w:rFonts w:hint="eastAsia" w:ascii="宋体" w:hAnsi="宋体" w:eastAsia="宋体" w:cs="宋体"/>
          <w:b/>
          <w:color w:val="auto"/>
          <w:sz w:val="24"/>
          <w:szCs w:val="24"/>
          <w:u w:val="single"/>
        </w:rPr>
        <w:t>按通用条款执行</w:t>
      </w:r>
      <w:r>
        <w:rPr>
          <w:rFonts w:hint="eastAsia" w:ascii="宋体" w:hAnsi="宋体" w:eastAsia="宋体" w:cs="宋体"/>
          <w:color w:val="auto"/>
          <w:sz w:val="24"/>
          <w:szCs w:val="24"/>
        </w:rPr>
        <w:t>。</w:t>
      </w:r>
    </w:p>
    <w:p>
      <w:pPr>
        <w:pageBreakBefore w:val="0"/>
        <w:widowControl w:val="0"/>
        <w:kinsoku/>
        <w:wordWrap/>
        <w:overflowPunct/>
        <w:topLinePunct w:val="0"/>
        <w:bidi w:val="0"/>
        <w:snapToGrid/>
        <w:spacing w:line="360" w:lineRule="exact"/>
        <w:ind w:left="596" w:leftChars="28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关于承包人为实施工程所编制文件的著作权的归属：</w:t>
      </w:r>
      <w:r>
        <w:rPr>
          <w:rFonts w:hint="eastAsia" w:ascii="宋体" w:hAnsi="宋体" w:eastAsia="宋体" w:cs="宋体"/>
          <w:color w:val="auto"/>
          <w:sz w:val="24"/>
          <w:szCs w:val="24"/>
          <w:u w:val="single"/>
        </w:rPr>
        <w:t xml:space="preserve">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按通用条款执行</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关于承包人提供的上述文件的使用限制的要求：</w:t>
      </w:r>
      <w:r>
        <w:rPr>
          <w:rFonts w:hint="eastAsia" w:ascii="宋体" w:hAnsi="宋体" w:eastAsia="宋体" w:cs="宋体"/>
          <w:color w:val="auto"/>
          <w:sz w:val="24"/>
          <w:szCs w:val="24"/>
          <w:u w:val="single"/>
        </w:rPr>
        <w:t>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按通用条款执行</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1.11.4 承包人在施工过程中所采用的专利、专有技术、技术秘密的使用费的承担方式：</w:t>
      </w:r>
      <w:r>
        <w:rPr>
          <w:rFonts w:hint="eastAsia" w:ascii="宋体" w:hAnsi="宋体" w:eastAsia="宋体" w:cs="宋体"/>
          <w:b/>
          <w:color w:val="auto"/>
          <w:sz w:val="24"/>
          <w:szCs w:val="24"/>
          <w:u w:val="single"/>
        </w:rPr>
        <w:t>包含在合同价中</w:t>
      </w:r>
      <w:r>
        <w:rPr>
          <w:rFonts w:hint="eastAsia" w:ascii="宋体" w:hAnsi="宋体" w:eastAsia="宋体" w:cs="宋体"/>
          <w:color w:val="auto"/>
          <w:sz w:val="24"/>
          <w:szCs w:val="24"/>
          <w:u w:val="single"/>
        </w:rPr>
        <w:t xml:space="preserve">               </w:t>
      </w:r>
      <w:r>
        <w:rPr>
          <w:rFonts w:hint="eastAsia" w:ascii="宋体" w:hAnsi="宋体" w:eastAsia="宋体" w:cs="宋体"/>
          <w:color w:val="auto"/>
          <w:kern w:val="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1.13工程量清单错误的修正</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出现工程量清单错误时，是否调整合同价格：</w:t>
      </w:r>
      <w:r>
        <w:rPr>
          <w:rFonts w:hint="eastAsia" w:ascii="宋体" w:hAnsi="宋体" w:eastAsia="宋体" w:cs="宋体"/>
          <w:color w:val="auto"/>
          <w:sz w:val="24"/>
          <w:szCs w:val="24"/>
          <w:u w:val="single"/>
        </w:rPr>
        <w:t xml:space="preserve">  因发包人原因可以调整合同价格  </w:t>
      </w:r>
      <w:r>
        <w:rPr>
          <w:rFonts w:hint="eastAsia" w:ascii="宋体" w:hAnsi="宋体" w:eastAsia="宋体" w:cs="宋体"/>
          <w:color w:val="auto"/>
          <w:kern w:val="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允许调整合同价格的工程量偏差范围：</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无</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auto"/>
          <w:sz w:val="24"/>
          <w:szCs w:val="24"/>
        </w:rPr>
      </w:pPr>
      <w:bookmarkStart w:id="98" w:name="_Toc351203634"/>
      <w:r>
        <w:rPr>
          <w:rFonts w:hint="eastAsia" w:ascii="宋体" w:hAnsi="宋体" w:eastAsia="宋体" w:cs="宋体"/>
          <w:b w:val="0"/>
          <w:bCs w:val="0"/>
          <w:color w:val="auto"/>
          <w:sz w:val="24"/>
          <w:szCs w:val="24"/>
        </w:rPr>
        <w:t>2</w:t>
      </w:r>
      <w:bookmarkStart w:id="99" w:name="_Toc296891197"/>
      <w:bookmarkStart w:id="100" w:name="_Toc297048343"/>
      <w:bookmarkStart w:id="101" w:name="_Toc292559867"/>
      <w:bookmarkStart w:id="102" w:name="_Toc292559362"/>
      <w:bookmarkStart w:id="103" w:name="_Toc296944496"/>
      <w:bookmarkStart w:id="104" w:name="_Toc296346658"/>
      <w:bookmarkStart w:id="105" w:name="_Toc296347156"/>
      <w:bookmarkStart w:id="106" w:name="_Toc297120457"/>
      <w:bookmarkStart w:id="107" w:name="_Toc296503157"/>
      <w:bookmarkStart w:id="108" w:name="_Toc296890985"/>
      <w:r>
        <w:rPr>
          <w:rFonts w:hint="eastAsia" w:ascii="宋体" w:hAnsi="宋体" w:eastAsia="宋体" w:cs="宋体"/>
          <w:b w:val="0"/>
          <w:bCs w:val="0"/>
          <w:color w:val="auto"/>
          <w:sz w:val="24"/>
          <w:szCs w:val="24"/>
        </w:rPr>
        <w:t>. 发包人</w:t>
      </w:r>
      <w:bookmarkEnd w:id="98"/>
    </w:p>
    <w:bookmarkEnd w:id="99"/>
    <w:bookmarkEnd w:id="100"/>
    <w:bookmarkEnd w:id="101"/>
    <w:bookmarkEnd w:id="102"/>
    <w:bookmarkEnd w:id="103"/>
    <w:bookmarkEnd w:id="104"/>
    <w:bookmarkEnd w:id="105"/>
    <w:bookmarkEnd w:id="106"/>
    <w:bookmarkEnd w:id="107"/>
    <w:bookmarkEnd w:id="108"/>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 发包人代表</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发包人代表：</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施工现场全过程的质量、进度、安全、变更签证、支付款及结算等全面协调管理</w:t>
      </w:r>
      <w:r>
        <w:rPr>
          <w:rFonts w:hint="eastAsia" w:ascii="宋体" w:hAnsi="宋体" w:eastAsia="宋体" w:cs="宋体"/>
          <w:color w:val="000000"/>
          <w:sz w:val="24"/>
          <w:szCs w:val="24"/>
          <w:u w:val="single"/>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 施工现场、施工条件和基础资料的提供</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2.4.1 提供施工现场</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关于发包人移交施工现场的期限要求：</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开工前七天</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2.4.2 提供施工条件</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FF0000"/>
          <w:sz w:val="24"/>
          <w:szCs w:val="24"/>
          <w:u w:val="single"/>
        </w:rPr>
      </w:pPr>
      <w:r>
        <w:rPr>
          <w:rFonts w:hint="eastAsia" w:ascii="宋体" w:hAnsi="宋体" w:eastAsia="宋体" w:cs="宋体"/>
          <w:color w:val="000000"/>
          <w:sz w:val="24"/>
          <w:szCs w:val="24"/>
        </w:rPr>
        <w:t>关于发包人应负责提供施工所需要的条件，包括：</w:t>
      </w:r>
      <w:r>
        <w:rPr>
          <w:rFonts w:hint="eastAsia" w:ascii="宋体" w:hAnsi="宋体" w:eastAsia="宋体" w:cs="宋体"/>
          <w:b/>
          <w:color w:val="000000"/>
          <w:sz w:val="24"/>
          <w:szCs w:val="24"/>
          <w:u w:val="single"/>
        </w:rPr>
        <w:t xml:space="preserve">发包人协调，承包人完成 </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 资金来源证明及支付担保</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发包人提供资金来源证明的期限要求：</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发包人是否提供支付担保：</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发包人提供支付担保的形式：</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109" w:name="_Toc351203635"/>
      <w:r>
        <w:rPr>
          <w:rFonts w:hint="eastAsia" w:ascii="宋体" w:hAnsi="宋体" w:eastAsia="宋体" w:cs="宋体"/>
          <w:b w:val="0"/>
          <w:bCs w:val="0"/>
          <w:color w:val="000000"/>
          <w:sz w:val="24"/>
          <w:szCs w:val="24"/>
        </w:rPr>
        <w:t>3</w:t>
      </w:r>
      <w:bookmarkStart w:id="110" w:name="_Toc296890986"/>
      <w:bookmarkStart w:id="111" w:name="_Toc296346659"/>
      <w:bookmarkStart w:id="112" w:name="_Toc296503158"/>
      <w:bookmarkStart w:id="113" w:name="_Toc297048344"/>
      <w:bookmarkStart w:id="114" w:name="_Toc297120458"/>
      <w:bookmarkStart w:id="115" w:name="_Toc296347157"/>
      <w:bookmarkStart w:id="116" w:name="_Toc292559363"/>
      <w:bookmarkStart w:id="117" w:name="_Toc296944497"/>
      <w:bookmarkStart w:id="118" w:name="_Toc292559868"/>
      <w:bookmarkStart w:id="119" w:name="_Toc296891198"/>
      <w:r>
        <w:rPr>
          <w:rFonts w:hint="eastAsia" w:ascii="宋体" w:hAnsi="宋体" w:eastAsia="宋体" w:cs="宋体"/>
          <w:b w:val="0"/>
          <w:bCs w:val="0"/>
          <w:color w:val="000000"/>
          <w:sz w:val="24"/>
          <w:szCs w:val="24"/>
        </w:rPr>
        <w:t>. 承包人</w:t>
      </w:r>
      <w:bookmarkEnd w:id="109"/>
    </w:p>
    <w:bookmarkEnd w:id="110"/>
    <w:bookmarkEnd w:id="111"/>
    <w:bookmarkEnd w:id="112"/>
    <w:bookmarkEnd w:id="113"/>
    <w:bookmarkEnd w:id="114"/>
    <w:bookmarkEnd w:id="115"/>
    <w:bookmarkEnd w:id="116"/>
    <w:bookmarkEnd w:id="117"/>
    <w:bookmarkEnd w:id="118"/>
    <w:bookmarkEnd w:id="119"/>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承包人的一般义务</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r>
        <w:rPr>
          <w:rFonts w:hint="eastAsia" w:ascii="宋体" w:hAnsi="宋体" w:eastAsia="宋体" w:cs="宋体"/>
          <w:color w:val="000000"/>
          <w:sz w:val="24"/>
          <w:szCs w:val="24"/>
        </w:rPr>
        <w:t>承包人提交的竣工资料的内容：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承包人需要提交的竣工资料套数：</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叁套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left="638" w:leftChars="304"/>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承包人提交的竣工资料的费用承担：</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由承包人承担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left="638" w:leftChars="304"/>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承包人提交的竣工资料移交时间：</w:t>
      </w:r>
      <w:r>
        <w:rPr>
          <w:rFonts w:hint="eastAsia" w:ascii="宋体" w:hAnsi="宋体" w:eastAsia="宋体" w:cs="宋体"/>
          <w:b/>
          <w:color w:val="000000"/>
          <w:sz w:val="24"/>
          <w:szCs w:val="24"/>
          <w:u w:val="single"/>
        </w:rPr>
        <w:t>工程竣工验收合格后1个月内</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600" w:firstLineChars="250"/>
        <w:jc w:val="left"/>
        <w:textAlignment w:val="auto"/>
        <w:rPr>
          <w:rFonts w:hint="eastAsia" w:ascii="宋体" w:hAnsi="宋体" w:eastAsia="宋体" w:cs="宋体"/>
          <w:color w:val="00B0F0"/>
          <w:sz w:val="24"/>
          <w:szCs w:val="24"/>
        </w:rPr>
      </w:pPr>
      <w:r>
        <w:rPr>
          <w:rFonts w:hint="eastAsia" w:ascii="宋体" w:hAnsi="宋体" w:eastAsia="宋体" w:cs="宋体"/>
          <w:color w:val="000000"/>
          <w:sz w:val="24"/>
          <w:szCs w:val="24"/>
        </w:rPr>
        <w:t>承包人提交的竣工资料形式要</w:t>
      </w:r>
      <w:r>
        <w:rPr>
          <w:rFonts w:hint="eastAsia" w:ascii="宋体" w:hAnsi="宋体" w:eastAsia="宋体" w:cs="宋体"/>
          <w:sz w:val="24"/>
          <w:szCs w:val="24"/>
        </w:rPr>
        <w:t>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（6）承包人应履行的其他义务：</w:t>
      </w:r>
      <w:r>
        <w:rPr>
          <w:rFonts w:hint="eastAsia" w:ascii="宋体" w:hAnsi="宋体" w:eastAsia="宋体" w:cs="宋体"/>
          <w:b/>
          <w:color w:val="000000"/>
          <w:sz w:val="24"/>
          <w:szCs w:val="24"/>
          <w:u w:val="single"/>
        </w:rPr>
        <w:t>1、配合发包人办理项目前期手续；2、配合发包人办理施工过程所需手续；3、配合发包人办理竣工验收手续；4、配合发包人办理其他相关手续。</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项目经理</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3.2.1 </w:t>
      </w:r>
      <w:r>
        <w:rPr>
          <w:rFonts w:hint="eastAsia" w:ascii="宋体" w:hAnsi="宋体" w:eastAsia="宋体" w:cs="宋体"/>
          <w:color w:val="000000"/>
          <w:sz w:val="24"/>
          <w:szCs w:val="24"/>
        </w:rPr>
        <w:t>项目经理：</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承包人对项目经理的授权范围如下：</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执行通用条款</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关于项目经理每月在施工现场的时间要求：</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不少于30日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承包人未提交劳动合同，以及没有为项目经理缴纳社会保险证明的违约责任：</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处以1万元罚款，责令限期提交劳动合同并补缴社会保险</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项目经理未经批准，擅自离开施工现场的违约责任：</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处以1万元罚款，离开时间超过5日后，发包人有权更换项目经理，承包人承担上述违约给发包人造成的一切损失</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3.2.3 承包人擅自更换项目经理的违约责任：</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处以5万元罚款，承包人承担上述违约给发包人造成的一切损失</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3.2.4 承包人无正当理由拒绝更换项目经理的违约责任：</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处以5万元罚款，承包人承担上述违约给发包人造成的一切损失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 承包人人员</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 承包人提交项目管理机构及施工现场管理人员安排报告的期限：</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 xml:space="preserve">开工前三天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3.3.3 承包人无正当理由拒绝撤换主要施工管理人员的违约责任：</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处以5万元罚款，承包人承担上述违约给发包人造成的一切损失</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3.3.4 承包人主要施工管理人员离开施工现场的批准要求：   </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由总监理工程师批准，发包人认可后方可离开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3.3.5承包人擅自更换主要施工管理人员的违约责任：</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处以1万元罚款，承包人承担上述违约给发包人造成的一切损失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承包人主要施工管理人员擅自离开施工现场的违约责任：</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处以0.5万元罚款，承包人承担上述违约给发包人造成的一切损失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120" w:name="_Toc303539102"/>
      <w:bookmarkStart w:id="121" w:name="_Toc296347158"/>
      <w:bookmarkStart w:id="122" w:name="_Toc297123492"/>
      <w:bookmarkStart w:id="123" w:name="_Toc297120459"/>
      <w:bookmarkStart w:id="124" w:name="_Toc297048345"/>
      <w:bookmarkStart w:id="125" w:name="_Toc312677988"/>
      <w:bookmarkStart w:id="126" w:name="_Toc292559364"/>
      <w:bookmarkStart w:id="127" w:name="_Toc296944498"/>
      <w:bookmarkStart w:id="128" w:name="_Toc296891199"/>
      <w:bookmarkStart w:id="129" w:name="_Toc297216151"/>
      <w:bookmarkStart w:id="130" w:name="_Toc300934945"/>
      <w:bookmarkStart w:id="131" w:name="_Toc296503159"/>
      <w:bookmarkStart w:id="132" w:name="_Toc296346660"/>
      <w:bookmarkStart w:id="133" w:name="_Toc292559869"/>
      <w:bookmarkStart w:id="134" w:name="_Toc296890987"/>
      <w:bookmarkStart w:id="135" w:name="_Toc304295523"/>
      <w:r>
        <w:rPr>
          <w:rFonts w:hint="eastAsia" w:ascii="宋体" w:hAnsi="宋体" w:eastAsia="宋体" w:cs="宋体"/>
          <w:color w:val="000000"/>
          <w:sz w:val="24"/>
          <w:szCs w:val="24"/>
        </w:rPr>
        <w:t>.5 分包</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bookmarkStart w:id="136" w:name="_Toc296944499"/>
      <w:bookmarkStart w:id="137" w:name="_Toc297048346"/>
      <w:bookmarkStart w:id="138" w:name="_Toc297120460"/>
      <w:bookmarkStart w:id="139" w:name="_Toc296890988"/>
      <w:bookmarkStart w:id="140" w:name="_Toc300934946"/>
      <w:bookmarkStart w:id="141" w:name="_Toc292559365"/>
      <w:bookmarkStart w:id="142" w:name="_Toc296347159"/>
      <w:bookmarkStart w:id="143" w:name="_Toc304295524"/>
      <w:bookmarkStart w:id="144" w:name="_Toc297123493"/>
      <w:bookmarkStart w:id="145" w:name="_Toc292559870"/>
      <w:bookmarkStart w:id="146" w:name="_Toc296503160"/>
      <w:bookmarkStart w:id="147" w:name="_Toc296346661"/>
      <w:bookmarkStart w:id="148" w:name="_Toc296891200"/>
      <w:bookmarkStart w:id="149" w:name="_Toc297216152"/>
      <w:bookmarkStart w:id="150" w:name="_Toc303539103"/>
      <w:bookmarkStart w:id="151" w:name="_Toc312677989"/>
      <w:bookmarkStart w:id="152" w:name="_Toc318581158"/>
      <w:r>
        <w:rPr>
          <w:rFonts w:hint="eastAsia" w:ascii="宋体" w:hAnsi="宋体" w:eastAsia="宋体" w:cs="宋体"/>
          <w:sz w:val="24"/>
          <w:szCs w:val="24"/>
        </w:rPr>
        <w:t>.5.1 分包的一般约定</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 xml:space="preserve">执行通用条款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主体结构、关键性工作的范围：</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Start w:id="153" w:name="_Toc297123494"/>
      <w:bookmarkStart w:id="154" w:name="_Toc300934947"/>
      <w:bookmarkStart w:id="155" w:name="_Toc304295525"/>
      <w:bookmarkStart w:id="156" w:name="_Toc303539104"/>
      <w:bookmarkStart w:id="157" w:name="_Toc296346662"/>
      <w:bookmarkStart w:id="158" w:name="_Toc296944500"/>
      <w:bookmarkStart w:id="159" w:name="_Toc297120461"/>
      <w:bookmarkStart w:id="160" w:name="_Toc296890989"/>
      <w:bookmarkStart w:id="161" w:name="_Toc296503161"/>
      <w:bookmarkStart w:id="162" w:name="_Toc297048347"/>
      <w:bookmarkStart w:id="163" w:name="_Toc297216153"/>
      <w:bookmarkStart w:id="164" w:name="_Toc296891201"/>
      <w:bookmarkStart w:id="165" w:name="_Toc296347160"/>
    </w:p>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Pr>
        <w:pageBreakBefore w:val="0"/>
        <w:widowControl w:val="0"/>
        <w:kinsoku/>
        <w:wordWrap/>
        <w:overflowPunct/>
        <w:topLinePunct w:val="0"/>
        <w:bidi w:val="0"/>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w:t>
      </w:r>
      <w:bookmarkStart w:id="166" w:name="_Toc312677990"/>
      <w:bookmarkStart w:id="167" w:name="_Toc318581159"/>
      <w:r>
        <w:rPr>
          <w:rFonts w:hint="eastAsia" w:ascii="宋体" w:hAnsi="宋体" w:eastAsia="宋体" w:cs="宋体"/>
          <w:sz w:val="24"/>
          <w:szCs w:val="24"/>
        </w:rPr>
        <w:t>.5.2分包的确定</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交通工程（根据实际情况确定）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textAlignment w:val="auto"/>
        <w:rPr>
          <w:rFonts w:hint="eastAsia" w:ascii="宋体" w:hAnsi="宋体" w:eastAsia="宋体" w:cs="宋体"/>
          <w:sz w:val="24"/>
          <w:szCs w:val="24"/>
        </w:rPr>
      </w:pPr>
      <w:r>
        <w:rPr>
          <w:rFonts w:hint="eastAsia" w:ascii="宋体" w:hAnsi="宋体" w:eastAsia="宋体" w:cs="宋体"/>
          <w:color w:val="000000"/>
          <w:sz w:val="24"/>
          <w:szCs w:val="24"/>
        </w:rPr>
        <w:t>其他关于分包的约定：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无（根据实际情况确定）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3.5.4 分包合同价款</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166"/>
    <w:bookmarkEnd w:id="167"/>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 工程照管与成品、半成品保护</w:t>
      </w:r>
    </w:p>
    <w:p>
      <w:pPr>
        <w:pageBreakBefore w:val="0"/>
        <w:widowControl w:val="0"/>
        <w:kinsoku/>
        <w:wordWrap/>
        <w:overflowPunct/>
        <w:topLinePunct w:val="0"/>
        <w:bidi w:val="0"/>
        <w:snapToGrid/>
        <w:spacing w:before="120" w:after="120" w:line="360" w:lineRule="exact"/>
        <w:ind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承包人负责照管工程及工程相关的材料、工程设备的起始时间：</w:t>
      </w:r>
      <w:r>
        <w:rPr>
          <w:rFonts w:hint="eastAsia" w:ascii="宋体" w:hAnsi="宋体" w:eastAsia="宋体" w:cs="宋体"/>
          <w:b/>
          <w:color w:val="000000"/>
          <w:sz w:val="24"/>
          <w:szCs w:val="24"/>
          <w:u w:val="single"/>
        </w:rPr>
        <w:t xml:space="preserve">设备、人员进场至竣工验收并交付使用前由承包人负责保修，无其它特殊要求的，费用由承包人承担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3.7 履约担保</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承包人是否提供履约担保：</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提供</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承包人提供履约担保的形式、金额及期限的：</w:t>
      </w:r>
      <w:r>
        <w:rPr>
          <w:rFonts w:hint="eastAsia" w:ascii="宋体" w:hAnsi="宋体" w:eastAsia="宋体" w:cs="宋体"/>
          <w:b/>
          <w:color w:val="000000"/>
          <w:sz w:val="24"/>
          <w:szCs w:val="24"/>
          <w:u w:val="single"/>
        </w:rPr>
        <w:t>以现金或支票形式提供合同价款5%作为履约保证金，工程完工验收合格后一月内退还。</w:t>
      </w:r>
    </w:p>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168" w:name="_Toc351203636"/>
      <w:r>
        <w:rPr>
          <w:rFonts w:hint="eastAsia" w:ascii="宋体" w:hAnsi="宋体" w:eastAsia="宋体" w:cs="宋体"/>
          <w:b w:val="0"/>
          <w:bCs w:val="0"/>
          <w:color w:val="000000"/>
          <w:sz w:val="24"/>
          <w:szCs w:val="24"/>
        </w:rPr>
        <w:t>4</w:t>
      </w:r>
      <w:bookmarkStart w:id="169" w:name="_Toc292559366"/>
      <w:bookmarkStart w:id="170" w:name="_Toc267251413"/>
      <w:bookmarkStart w:id="171" w:name="_Toc296944501"/>
      <w:bookmarkStart w:id="172" w:name="_Toc297120462"/>
      <w:bookmarkStart w:id="173" w:name="_Toc292559871"/>
      <w:bookmarkStart w:id="174" w:name="_Toc296346663"/>
      <w:bookmarkStart w:id="175" w:name="_Toc297048348"/>
      <w:bookmarkStart w:id="176" w:name="_Toc296890990"/>
      <w:bookmarkStart w:id="177" w:name="_Toc296891202"/>
      <w:bookmarkStart w:id="178" w:name="_Toc296503162"/>
      <w:bookmarkStart w:id="179" w:name="_Toc296347161"/>
      <w:r>
        <w:rPr>
          <w:rFonts w:hint="eastAsia" w:ascii="宋体" w:hAnsi="宋体" w:eastAsia="宋体" w:cs="宋体"/>
          <w:b w:val="0"/>
          <w:bCs w:val="0"/>
          <w:color w:val="000000"/>
          <w:sz w:val="24"/>
          <w:szCs w:val="24"/>
        </w:rPr>
        <w:t>. 监</w:t>
      </w:r>
      <w:bookmarkEnd w:id="169"/>
      <w:bookmarkEnd w:id="170"/>
      <w:bookmarkEnd w:id="171"/>
      <w:bookmarkEnd w:id="172"/>
      <w:bookmarkEnd w:id="173"/>
      <w:bookmarkEnd w:id="174"/>
      <w:bookmarkEnd w:id="175"/>
      <w:bookmarkEnd w:id="176"/>
      <w:bookmarkEnd w:id="177"/>
      <w:bookmarkEnd w:id="178"/>
      <w:bookmarkEnd w:id="179"/>
      <w:r>
        <w:rPr>
          <w:rFonts w:hint="eastAsia" w:ascii="宋体" w:hAnsi="宋体" w:eastAsia="宋体" w:cs="宋体"/>
          <w:b w:val="0"/>
          <w:bCs w:val="0"/>
          <w:color w:val="000000"/>
          <w:sz w:val="24"/>
          <w:szCs w:val="24"/>
        </w:rPr>
        <w:t>理人</w:t>
      </w:r>
      <w:bookmarkEnd w:id="168"/>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4.1监理人的一般规定</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见监理合同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关于监理人的监理权限：</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见监理合同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关于监理人在施工现场的办公场所、生活场所的提供和费用承担的约定：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由承包人提供，费用包含在合同价中</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 监理人员</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监理工程师执业资格证书号：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关于监理人的其他约定：</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4.4 商定或确定</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bookmarkStart w:id="180" w:name="_Toc267251418"/>
      <w:r>
        <w:rPr>
          <w:rFonts w:hint="eastAsia" w:ascii="宋体" w:hAnsi="宋体" w:eastAsia="宋体" w:cs="宋体"/>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181" w:name="_Toc351203637"/>
      <w:r>
        <w:rPr>
          <w:rFonts w:hint="eastAsia" w:ascii="宋体" w:hAnsi="宋体" w:eastAsia="宋体" w:cs="宋体"/>
          <w:b w:val="0"/>
          <w:bCs w:val="0"/>
          <w:color w:val="000000"/>
          <w:sz w:val="24"/>
          <w:szCs w:val="24"/>
        </w:rPr>
        <w:t>5</w:t>
      </w:r>
      <w:bookmarkEnd w:id="180"/>
      <w:bookmarkStart w:id="182" w:name="_Toc296347162"/>
      <w:bookmarkStart w:id="183" w:name="_Toc296503163"/>
      <w:bookmarkStart w:id="184" w:name="_Toc296944502"/>
      <w:bookmarkStart w:id="185" w:name="_Toc296346664"/>
      <w:bookmarkStart w:id="186" w:name="_Toc292559872"/>
      <w:bookmarkStart w:id="187" w:name="_Toc296890991"/>
      <w:bookmarkStart w:id="188" w:name="_Toc297048349"/>
      <w:bookmarkStart w:id="189" w:name="_Toc296891203"/>
      <w:bookmarkStart w:id="190" w:name="_Toc297120463"/>
      <w:bookmarkStart w:id="191" w:name="_Toc292559367"/>
      <w:r>
        <w:rPr>
          <w:rFonts w:hint="eastAsia" w:ascii="宋体" w:hAnsi="宋体" w:eastAsia="宋体" w:cs="宋体"/>
          <w:b w:val="0"/>
          <w:bCs w:val="0"/>
          <w:color w:val="000000"/>
          <w:sz w:val="24"/>
          <w:szCs w:val="24"/>
        </w:rPr>
        <w:t>. 工程质量</w:t>
      </w:r>
      <w:bookmarkEnd w:id="181"/>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5.1 质量要求</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w:t>
      </w:r>
      <w:bookmarkStart w:id="192" w:name="_Toc312677997"/>
      <w:bookmarkStart w:id="193" w:name="_Toc304295527"/>
      <w:bookmarkStart w:id="194" w:name="_Toc297123496"/>
      <w:bookmarkStart w:id="195" w:name="_Toc297216155"/>
      <w:bookmarkStart w:id="196" w:name="_Toc303539106"/>
      <w:bookmarkStart w:id="197" w:name="_Toc300934949"/>
      <w:bookmarkStart w:id="198" w:name="_Toc318581164"/>
      <w:r>
        <w:rPr>
          <w:rFonts w:hint="eastAsia" w:ascii="宋体" w:hAnsi="宋体" w:eastAsia="宋体" w:cs="宋体"/>
          <w:sz w:val="24"/>
          <w:szCs w:val="24"/>
        </w:rPr>
        <w:t>.1.1 特殊质量标准和要求：</w:t>
      </w:r>
      <w:r>
        <w:rPr>
          <w:rFonts w:hint="eastAsia" w:ascii="宋体" w:hAnsi="宋体" w:eastAsia="宋体" w:cs="宋体"/>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w:t>
      </w:r>
      <w:r>
        <w:rPr>
          <w:rFonts w:hint="eastAsia" w:ascii="宋体" w:hAnsi="宋体" w:eastAsia="宋体" w:cs="宋体"/>
          <w:b/>
          <w:color w:val="000000"/>
          <w:sz w:val="24"/>
          <w:szCs w:val="24"/>
          <w:u w:val="single"/>
        </w:rPr>
        <w:t>无（按发包人要求）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 隐蔽工程检查</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sz w:val="24"/>
          <w:szCs w:val="24"/>
          <w:u w:val="single"/>
        </w:rPr>
        <w:t xml:space="preserve">  </w:t>
      </w:r>
      <w:r>
        <w:rPr>
          <w:rFonts w:hint="eastAsia" w:ascii="宋体" w:hAnsi="宋体" w:eastAsia="宋体" w:cs="宋体"/>
          <w:b/>
          <w:color w:val="000000"/>
          <w:sz w:val="24"/>
          <w:szCs w:val="24"/>
          <w:u w:val="single"/>
        </w:rPr>
        <w:t>共同检查前48小时书面通知监理人</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sz w:val="24"/>
          <w:szCs w:val="24"/>
          <w:u w:val="single"/>
        </w:rPr>
        <w:t xml:space="preserve"> </w:t>
      </w:r>
      <w:r>
        <w:rPr>
          <w:rFonts w:hint="eastAsia" w:ascii="宋体" w:hAnsi="宋体" w:eastAsia="宋体" w:cs="宋体"/>
          <w:b/>
          <w:color w:val="000000"/>
          <w:sz w:val="24"/>
          <w:szCs w:val="24"/>
          <w:u w:val="single"/>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b/>
          <w:color w:val="000000"/>
          <w:sz w:val="24"/>
          <w:szCs w:val="24"/>
          <w:u w:val="single"/>
        </w:rPr>
        <w:t>48</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199" w:name="_Toc351203638"/>
      <w:r>
        <w:rPr>
          <w:rFonts w:hint="eastAsia" w:ascii="宋体" w:hAnsi="宋体" w:eastAsia="宋体" w:cs="宋体"/>
          <w:b w:val="0"/>
          <w:bCs w:val="0"/>
          <w:color w:val="000000"/>
          <w:sz w:val="24"/>
          <w:szCs w:val="24"/>
        </w:rPr>
        <w:t>6. 安全文明施工与环境保护</w:t>
      </w:r>
      <w:bookmarkEnd w:id="199"/>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6.1安全文明施工</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6.1.1</w:t>
      </w:r>
      <w:r>
        <w:rPr>
          <w:rFonts w:hint="eastAsia" w:ascii="宋体" w:hAnsi="宋体" w:eastAsia="宋体" w:cs="宋体"/>
          <w:color w:val="000000"/>
          <w:sz w:val="24"/>
          <w:szCs w:val="24"/>
        </w:rPr>
        <w:t xml:space="preserve"> 项目安全生产的达标目标及相应事项的约定：</w:t>
      </w:r>
      <w:r>
        <w:rPr>
          <w:rFonts w:hint="eastAsia" w:ascii="宋体" w:hAnsi="宋体" w:eastAsia="宋体" w:cs="宋体"/>
          <w:sz w:val="24"/>
          <w:szCs w:val="24"/>
          <w:u w:val="single"/>
        </w:rPr>
        <w:t xml:space="preserve"> </w:t>
      </w:r>
      <w:r>
        <w:rPr>
          <w:rFonts w:hint="eastAsia" w:ascii="宋体" w:hAnsi="宋体" w:eastAsia="宋体" w:cs="宋体"/>
          <w:b/>
          <w:color w:val="000000"/>
          <w:sz w:val="24"/>
          <w:szCs w:val="24"/>
          <w:u w:val="single"/>
        </w:rPr>
        <w:t xml:space="preserve"> 要求达到《建筑施工安全检查标准》（JGJ59-2011）标准</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6.1.4 关于治安保卫的特别约定：</w:t>
      </w:r>
      <w:r>
        <w:rPr>
          <w:rFonts w:hint="eastAsia" w:ascii="宋体" w:hAnsi="宋体" w:eastAsia="宋体" w:cs="宋体"/>
          <w:sz w:val="24"/>
          <w:szCs w:val="24"/>
          <w:u w:val="single"/>
        </w:rPr>
        <w:t xml:space="preserve">   </w:t>
      </w:r>
      <w:r>
        <w:rPr>
          <w:rFonts w:hint="eastAsia" w:ascii="宋体" w:hAnsi="宋体" w:eastAsia="宋体" w:cs="宋体"/>
          <w:b/>
          <w:color w:val="000000"/>
          <w:sz w:val="24"/>
          <w:szCs w:val="24"/>
          <w:u w:val="single"/>
        </w:rPr>
        <w:t>由承包人负责协调并履行治安保卫职责</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承包人</w:t>
      </w:r>
      <w:r>
        <w:rPr>
          <w:rFonts w:hint="eastAsia" w:ascii="宋体" w:hAnsi="宋体" w:eastAsia="宋体" w:cs="宋体"/>
          <w:b/>
          <w:color w:val="000000"/>
          <w:sz w:val="24"/>
          <w:szCs w:val="24"/>
          <w:u w:val="single"/>
        </w:rPr>
        <w:t>开工前三天提供施工场地治安管理计划</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6.1.5 文明施工</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合同当事人对文明施工的要求：</w:t>
      </w:r>
      <w:r>
        <w:rPr>
          <w:rFonts w:hint="eastAsia" w:ascii="宋体" w:hAnsi="宋体" w:eastAsia="宋体" w:cs="宋体"/>
          <w:sz w:val="24"/>
          <w:szCs w:val="24"/>
          <w:u w:val="single"/>
        </w:rPr>
        <w:t xml:space="preserve">  </w:t>
      </w:r>
      <w:r>
        <w:rPr>
          <w:rFonts w:hint="eastAsia" w:ascii="宋体" w:hAnsi="宋体" w:eastAsia="宋体" w:cs="宋体"/>
          <w:b/>
          <w:color w:val="000000"/>
          <w:sz w:val="24"/>
          <w:szCs w:val="24"/>
          <w:u w:val="single"/>
        </w:rPr>
        <w:t xml:space="preserve">达到《建筑施工现场环境与卫生标准》（JGJ146-2004、J375-2004），并执行通用条款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r>
        <w:rPr>
          <w:rFonts w:hint="eastAsia" w:ascii="宋体" w:hAnsi="宋体" w:eastAsia="宋体" w:cs="宋体"/>
          <w:sz w:val="24"/>
          <w:szCs w:val="24"/>
          <w:u w:val="single"/>
        </w:rPr>
        <w:t xml:space="preserve">  </w:t>
      </w:r>
      <w:r>
        <w:rPr>
          <w:rFonts w:hint="eastAsia" w:ascii="宋体" w:hAnsi="宋体" w:eastAsia="宋体" w:cs="宋体"/>
          <w:b/>
          <w:color w:val="000000"/>
          <w:sz w:val="24"/>
          <w:szCs w:val="24"/>
          <w:u w:val="single"/>
        </w:rPr>
        <w:t xml:space="preserve">按进度款支付比例进行支付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192"/>
    <w:bookmarkEnd w:id="193"/>
    <w:bookmarkEnd w:id="194"/>
    <w:bookmarkEnd w:id="195"/>
    <w:bookmarkEnd w:id="196"/>
    <w:bookmarkEnd w:id="197"/>
    <w:bookmarkEnd w:id="198"/>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200" w:name="_Toc351203639"/>
      <w:r>
        <w:rPr>
          <w:rFonts w:hint="eastAsia" w:ascii="宋体" w:hAnsi="宋体" w:eastAsia="宋体" w:cs="宋体"/>
          <w:b w:val="0"/>
          <w:bCs w:val="0"/>
          <w:color w:val="000000"/>
          <w:sz w:val="24"/>
          <w:szCs w:val="24"/>
        </w:rPr>
        <w:t>7. 工期和进度</w:t>
      </w:r>
      <w:bookmarkEnd w:id="200"/>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 xml:space="preserve">7.1.1 </w:t>
      </w:r>
      <w:r>
        <w:rPr>
          <w:rFonts w:hint="eastAsia" w:ascii="宋体" w:hAnsi="宋体" w:eastAsia="宋体" w:cs="宋体"/>
          <w:color w:val="000000"/>
          <w:sz w:val="24"/>
          <w:szCs w:val="24"/>
        </w:rPr>
        <w:t>合</w:t>
      </w:r>
      <w:r>
        <w:rPr>
          <w:rFonts w:hint="eastAsia" w:ascii="宋体" w:hAnsi="宋体" w:eastAsia="宋体" w:cs="宋体"/>
          <w:color w:val="000000"/>
          <w:kern w:val="0"/>
          <w:sz w:val="24"/>
          <w:szCs w:val="24"/>
        </w:rPr>
        <w:t>同当事人约定的施工组织设计应包括的其他内容：</w:t>
      </w:r>
      <w:r>
        <w:rPr>
          <w:rFonts w:hint="eastAsia" w:ascii="宋体" w:hAnsi="宋体" w:eastAsia="宋体" w:cs="宋体"/>
          <w:b/>
          <w:color w:val="000000"/>
          <w:sz w:val="24"/>
          <w:szCs w:val="24"/>
          <w:u w:val="single"/>
        </w:rPr>
        <w:t xml:space="preserve">按招标文件约定，招标文件无约定的按通用条款 </w:t>
      </w:r>
      <w:r>
        <w:rPr>
          <w:rFonts w:hint="eastAsia" w:ascii="宋体" w:hAnsi="宋体" w:eastAsia="宋体" w:cs="宋体"/>
          <w:b/>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7.1.2</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承包人提交详细施工组织设计的期限的约定：</w:t>
      </w:r>
      <w:r>
        <w:rPr>
          <w:rFonts w:hint="eastAsia" w:ascii="宋体" w:hAnsi="宋体" w:eastAsia="宋体" w:cs="宋体"/>
          <w:b/>
          <w:color w:val="000000"/>
          <w:sz w:val="24"/>
          <w:szCs w:val="24"/>
          <w:u w:val="single"/>
        </w:rPr>
        <w:t xml:space="preserve">开工前三天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发包人和监理人在收到详细的施工组织设计后确认或提出修改意见的期限：</w:t>
      </w:r>
      <w:r>
        <w:rPr>
          <w:rFonts w:hint="eastAsia" w:ascii="宋体" w:hAnsi="宋体" w:eastAsia="宋体" w:cs="宋体"/>
          <w:b/>
          <w:color w:val="000000"/>
          <w:sz w:val="24"/>
          <w:szCs w:val="24"/>
          <w:u w:val="single"/>
        </w:rPr>
        <w:t xml:space="preserve">收到后7天内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01" w:name="_Toc297123514"/>
      <w:bookmarkStart w:id="202" w:name="_Toc312678005"/>
      <w:bookmarkStart w:id="203" w:name="_Toc300934966"/>
      <w:bookmarkStart w:id="204" w:name="_Toc304295541"/>
      <w:bookmarkStart w:id="205" w:name="_Toc303539123"/>
      <w:bookmarkStart w:id="206" w:name="_Toc297216173"/>
      <w:bookmarkStart w:id="207" w:name="_Toc312677479"/>
      <w:r>
        <w:rPr>
          <w:rFonts w:hint="eastAsia" w:ascii="宋体" w:hAnsi="宋体" w:eastAsia="宋体" w:cs="宋体"/>
          <w:color w:val="000000"/>
          <w:sz w:val="24"/>
          <w:szCs w:val="24"/>
        </w:rPr>
        <w:t>.2 施工进度计划</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发包人和监理人在收到修订的施工进度计划后确认或提出修改意见的期限：</w:t>
      </w:r>
      <w:r>
        <w:rPr>
          <w:rFonts w:hint="eastAsia" w:ascii="宋体" w:hAnsi="宋体" w:eastAsia="宋体" w:cs="宋体"/>
          <w:b/>
          <w:color w:val="000000"/>
          <w:sz w:val="24"/>
          <w:szCs w:val="24"/>
          <w:u w:val="single"/>
        </w:rPr>
        <w:t>收到后7天内</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 开工</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pPr>
        <w:pageBreakBefore w:val="0"/>
        <w:widowControl w:val="0"/>
        <w:kinsoku/>
        <w:wordWrap/>
        <w:overflowPunct/>
        <w:topLinePunct w:val="0"/>
        <w:bidi w:val="0"/>
        <w:snapToGrid/>
        <w:spacing w:line="360" w:lineRule="exact"/>
        <w:ind w:firstLine="645"/>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关于承包人提交</w:t>
      </w:r>
      <w:r>
        <w:rPr>
          <w:rFonts w:hint="eastAsia" w:ascii="宋体" w:hAnsi="宋体" w:eastAsia="宋体" w:cs="宋体"/>
          <w:color w:val="000000"/>
          <w:kern w:val="0"/>
          <w:sz w:val="24"/>
          <w:szCs w:val="24"/>
        </w:rPr>
        <w:t>工程开工报审表的期限：</w:t>
      </w:r>
      <w:r>
        <w:rPr>
          <w:rFonts w:hint="eastAsia" w:ascii="宋体" w:hAnsi="宋体" w:eastAsia="宋体" w:cs="宋体"/>
          <w:sz w:val="24"/>
          <w:szCs w:val="24"/>
          <w:u w:val="single"/>
        </w:rPr>
        <w:t xml:space="preserve">  </w:t>
      </w:r>
      <w:r>
        <w:rPr>
          <w:rFonts w:hint="eastAsia" w:ascii="宋体" w:hAnsi="宋体" w:eastAsia="宋体" w:cs="宋体"/>
          <w:b/>
          <w:color w:val="000000"/>
          <w:sz w:val="24"/>
          <w:szCs w:val="24"/>
          <w:u w:val="single"/>
        </w:rPr>
        <w:t>合同签订后、开工之前7日</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关于发包人应完成的其他开工准备工作及期限：</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7.3.2开工通知</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因发包人原因造成监理人未能在计划开工日期之日起</w:t>
      </w:r>
      <w:r>
        <w:rPr>
          <w:rFonts w:hint="eastAsia" w:ascii="宋体" w:hAnsi="宋体" w:eastAsia="宋体" w:cs="宋体"/>
          <w:sz w:val="24"/>
          <w:szCs w:val="24"/>
          <w:u w:val="single"/>
        </w:rPr>
        <w:t xml:space="preserve"> </w:t>
      </w:r>
      <w:r>
        <w:rPr>
          <w:rFonts w:hint="eastAsia" w:ascii="宋体" w:hAnsi="宋体" w:eastAsia="宋体" w:cs="宋体"/>
          <w:b/>
          <w:color w:val="000000"/>
          <w:sz w:val="24"/>
          <w:szCs w:val="24"/>
          <w:u w:val="single"/>
        </w:rPr>
        <w:t>/</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天内发出开工通知的，承包人有权提出价格调整要求，或者解除合同。</w:t>
      </w:r>
    </w:p>
    <w:bookmarkEnd w:id="201"/>
    <w:bookmarkEnd w:id="202"/>
    <w:bookmarkEnd w:id="203"/>
    <w:bookmarkEnd w:id="204"/>
    <w:bookmarkEnd w:id="205"/>
    <w:bookmarkEnd w:id="206"/>
    <w:bookmarkEnd w:id="207"/>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7.4 测量放线</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sz w:val="24"/>
          <w:szCs w:val="24"/>
          <w:u w:val="single"/>
        </w:rPr>
        <w:t xml:space="preserve"> </w:t>
      </w:r>
      <w:r>
        <w:rPr>
          <w:rFonts w:hint="eastAsia" w:ascii="宋体" w:hAnsi="宋体" w:eastAsia="宋体" w:cs="宋体"/>
          <w:b/>
          <w:color w:val="000000"/>
          <w:sz w:val="24"/>
          <w:szCs w:val="24"/>
          <w:u w:val="single"/>
        </w:rPr>
        <w:t xml:space="preserve">开工三日内在施工现场进行交验，由承包方做好校验和保护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08" w:name="_Toc312678010"/>
      <w:bookmarkStart w:id="209" w:name="_Toc297123516"/>
      <w:bookmarkStart w:id="210" w:name="_Toc303539125"/>
      <w:bookmarkStart w:id="211" w:name="_Toc300934968"/>
      <w:bookmarkStart w:id="212" w:name="_Toc312677484"/>
      <w:bookmarkStart w:id="213" w:name="_Toc297216175"/>
      <w:bookmarkStart w:id="214" w:name="_Toc304295546"/>
      <w:r>
        <w:rPr>
          <w:rFonts w:hint="eastAsia" w:ascii="宋体" w:hAnsi="宋体" w:eastAsia="宋体" w:cs="宋体"/>
          <w:color w:val="000000"/>
          <w:sz w:val="24"/>
          <w:szCs w:val="24"/>
        </w:rPr>
        <w:t>.5 工期延误</w:t>
      </w:r>
    </w:p>
    <w:bookmarkEnd w:id="208"/>
    <w:bookmarkEnd w:id="209"/>
    <w:bookmarkEnd w:id="210"/>
    <w:bookmarkEnd w:id="211"/>
    <w:bookmarkEnd w:id="212"/>
    <w:bookmarkEnd w:id="213"/>
    <w:bookmarkEnd w:id="214"/>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b/>
          <w:color w:val="000000"/>
          <w:sz w:val="24"/>
          <w:szCs w:val="24"/>
        </w:rPr>
      </w:pPr>
      <w:r>
        <w:rPr>
          <w:rFonts w:hint="eastAsia" w:ascii="宋体" w:hAnsi="宋体" w:eastAsia="宋体" w:cs="宋体"/>
          <w:sz w:val="24"/>
          <w:szCs w:val="24"/>
        </w:rPr>
        <w:t>（7）因发包人原因导致工期延误的其他情形：</w:t>
      </w:r>
      <w:r>
        <w:rPr>
          <w:rFonts w:hint="eastAsia" w:ascii="宋体" w:hAnsi="宋体" w:eastAsia="宋体" w:cs="宋体"/>
          <w:b/>
          <w:color w:val="FF0000"/>
          <w:sz w:val="24"/>
          <w:szCs w:val="24"/>
          <w:u w:val="single"/>
        </w:rPr>
        <w:t xml:space="preserve"> </w:t>
      </w:r>
      <w:r>
        <w:rPr>
          <w:rFonts w:hint="eastAsia" w:ascii="宋体" w:hAnsi="宋体" w:eastAsia="宋体" w:cs="宋体"/>
          <w:b/>
          <w:color w:val="000000"/>
          <w:sz w:val="24"/>
          <w:szCs w:val="24"/>
          <w:u w:val="single"/>
        </w:rPr>
        <w:t>因发包方办理外网开挖手续、跨越高速路等手续致使工期延误，工期应顺延， 其他非发包方原因，工期不顺延</w:t>
      </w:r>
      <w:r>
        <w:rPr>
          <w:rFonts w:hint="eastAsia" w:ascii="宋体" w:hAnsi="宋体" w:eastAsia="宋体" w:cs="宋体"/>
          <w:b/>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15" w:name="_Toc312677486"/>
      <w:bookmarkStart w:id="216" w:name="_Toc318581169"/>
      <w:bookmarkStart w:id="217" w:name="_Toc312678012"/>
      <w:bookmarkStart w:id="218" w:name="_Toc297123518"/>
      <w:bookmarkStart w:id="219" w:name="_Toc303539127"/>
      <w:bookmarkStart w:id="220" w:name="_Toc297216177"/>
      <w:bookmarkStart w:id="221" w:name="_Toc304295548"/>
      <w:bookmarkStart w:id="222" w:name="_Toc300934970"/>
      <w:r>
        <w:rPr>
          <w:rFonts w:hint="eastAsia" w:ascii="宋体" w:hAnsi="宋体" w:eastAsia="宋体" w:cs="宋体"/>
          <w:color w:val="000000"/>
          <w:sz w:val="24"/>
          <w:szCs w:val="24"/>
        </w:rPr>
        <w:t>.5.2 因承包人原因导致工期延误</w:t>
      </w:r>
    </w:p>
    <w:bookmarkEnd w:id="215"/>
    <w:bookmarkEnd w:id="216"/>
    <w:bookmarkEnd w:id="217"/>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因</w:t>
      </w:r>
      <w:bookmarkStart w:id="223" w:name="_Toc312677487"/>
      <w:bookmarkStart w:id="224" w:name="_Toc312678013"/>
      <w:bookmarkStart w:id="225" w:name="_Toc318581170"/>
      <w:r>
        <w:rPr>
          <w:rFonts w:hint="eastAsia" w:ascii="宋体" w:hAnsi="宋体" w:eastAsia="宋体" w:cs="宋体"/>
          <w:sz w:val="24"/>
          <w:szCs w:val="24"/>
        </w:rPr>
        <w:t>承包人原因造成工期延误，逾期竣工违约金的计算方法为：</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b/>
          <w:sz w:val="24"/>
          <w:szCs w:val="24"/>
          <w:u w:val="single"/>
        </w:rPr>
        <w:t>按照合同工期，每推延一天，赔偿壹仟元整</w:t>
      </w:r>
      <w:bookmarkEnd w:id="218"/>
      <w:bookmarkEnd w:id="219"/>
      <w:bookmarkEnd w:id="220"/>
      <w:bookmarkEnd w:id="221"/>
      <w:bookmarkEnd w:id="222"/>
      <w:bookmarkEnd w:id="223"/>
      <w:bookmarkEnd w:id="224"/>
      <w:r>
        <w:rPr>
          <w:rFonts w:hint="eastAsia" w:ascii="宋体" w:hAnsi="宋体" w:eastAsia="宋体" w:cs="宋体"/>
          <w:b/>
          <w:sz w:val="24"/>
          <w:szCs w:val="24"/>
          <w:u w:val="single"/>
        </w:rPr>
        <w:t>。</w:t>
      </w:r>
    </w:p>
    <w:bookmarkEnd w:id="225"/>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因承包人原因造成工期延误，逾</w:t>
      </w:r>
      <w:bookmarkStart w:id="226" w:name="_Toc312678014"/>
      <w:bookmarkStart w:id="227" w:name="_Toc318581171"/>
      <w:r>
        <w:rPr>
          <w:rFonts w:hint="eastAsia" w:ascii="宋体" w:hAnsi="宋体" w:eastAsia="宋体" w:cs="宋体"/>
          <w:sz w:val="24"/>
          <w:szCs w:val="24"/>
        </w:rPr>
        <w:t>期竣工违约金的上限：</w:t>
      </w:r>
      <w:r>
        <w:rPr>
          <w:rFonts w:hint="eastAsia" w:ascii="宋体" w:hAnsi="宋体" w:eastAsia="宋体" w:cs="宋体"/>
          <w:b/>
          <w:color w:val="000000"/>
          <w:sz w:val="24"/>
          <w:szCs w:val="24"/>
          <w:u w:val="single"/>
        </w:rPr>
        <w:t>总额不超过合同价款</w:t>
      </w:r>
      <w:r>
        <w:rPr>
          <w:rFonts w:hint="eastAsia" w:ascii="宋体" w:hAnsi="宋体" w:eastAsia="宋体" w:cs="宋体"/>
          <w:b/>
          <w:sz w:val="24"/>
          <w:szCs w:val="24"/>
          <w:u w:val="single"/>
        </w:rPr>
        <w:t>的3 %</w:t>
      </w:r>
      <w:r>
        <w:rPr>
          <w:rFonts w:hint="eastAsia" w:ascii="宋体" w:hAnsi="宋体" w:eastAsia="宋体" w:cs="宋体"/>
          <w:sz w:val="24"/>
          <w:szCs w:val="24"/>
        </w:rPr>
        <w:t>。</w:t>
      </w:r>
    </w:p>
    <w:bookmarkEnd w:id="226"/>
    <w:bookmarkEnd w:id="227"/>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28" w:name="_Toc297216178"/>
      <w:bookmarkStart w:id="229" w:name="_Toc300934971"/>
      <w:bookmarkStart w:id="230" w:name="_Toc312678015"/>
      <w:bookmarkStart w:id="231" w:name="_Toc303539128"/>
      <w:bookmarkStart w:id="232" w:name="_Toc297123519"/>
      <w:bookmarkStart w:id="233" w:name="_Toc304295549"/>
      <w:r>
        <w:rPr>
          <w:rFonts w:hint="eastAsia" w:ascii="宋体" w:hAnsi="宋体" w:eastAsia="宋体" w:cs="宋体"/>
          <w:color w:val="000000"/>
          <w:sz w:val="24"/>
          <w:szCs w:val="24"/>
        </w:rPr>
        <w:t>.6 不</w:t>
      </w:r>
      <w:bookmarkEnd w:id="228"/>
      <w:bookmarkEnd w:id="229"/>
      <w:bookmarkEnd w:id="230"/>
      <w:bookmarkEnd w:id="231"/>
      <w:bookmarkEnd w:id="232"/>
      <w:bookmarkEnd w:id="233"/>
      <w:r>
        <w:rPr>
          <w:rFonts w:hint="eastAsia" w:ascii="宋体" w:hAnsi="宋体" w:eastAsia="宋体" w:cs="宋体"/>
          <w:color w:val="000000"/>
          <w:sz w:val="24"/>
          <w:szCs w:val="24"/>
        </w:rPr>
        <w:t>利物质条件</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sz w:val="24"/>
          <w:szCs w:val="24"/>
        </w:rPr>
      </w:pPr>
      <w:bookmarkStart w:id="234" w:name="_Toc297123520"/>
      <w:bookmarkStart w:id="235" w:name="_Toc312678016"/>
      <w:bookmarkStart w:id="236" w:name="_Toc300934972"/>
      <w:bookmarkStart w:id="237" w:name="_Toc297216179"/>
      <w:bookmarkStart w:id="238" w:name="_Toc318581172"/>
      <w:bookmarkStart w:id="239" w:name="_Toc303539129"/>
      <w:bookmarkStart w:id="240" w:name="_Toc304295550"/>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234"/>
    <w:bookmarkEnd w:id="235"/>
    <w:bookmarkEnd w:id="236"/>
    <w:bookmarkEnd w:id="237"/>
    <w:bookmarkEnd w:id="238"/>
    <w:bookmarkEnd w:id="239"/>
    <w:bookmarkEnd w:id="240"/>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41" w:name="_Toc312678017"/>
      <w:bookmarkStart w:id="242" w:name="_Toc303539130"/>
      <w:bookmarkStart w:id="243" w:name="_Toc300934973"/>
      <w:bookmarkStart w:id="244" w:name="_Toc297123521"/>
      <w:bookmarkStart w:id="245" w:name="_Toc297216180"/>
      <w:bookmarkStart w:id="246" w:name="_Toc304295551"/>
      <w:r>
        <w:rPr>
          <w:rFonts w:hint="eastAsia" w:ascii="宋体" w:hAnsi="宋体" w:eastAsia="宋体" w:cs="宋体"/>
          <w:color w:val="000000"/>
          <w:sz w:val="24"/>
          <w:szCs w:val="24"/>
        </w:rPr>
        <w:t>.7异常恶劣的气候条件</w:t>
      </w:r>
    </w:p>
    <w:bookmarkEnd w:id="241"/>
    <w:bookmarkEnd w:id="242"/>
    <w:bookmarkEnd w:id="243"/>
    <w:bookmarkEnd w:id="244"/>
    <w:bookmarkEnd w:id="245"/>
    <w:bookmarkEnd w:id="246"/>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7.9 提前竣工的奖励</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247" w:name="_Toc351203640"/>
      <w:r>
        <w:rPr>
          <w:rFonts w:hint="eastAsia" w:ascii="宋体" w:hAnsi="宋体" w:eastAsia="宋体" w:cs="宋体"/>
          <w:b w:val="0"/>
          <w:bCs w:val="0"/>
          <w:color w:val="000000"/>
          <w:sz w:val="24"/>
          <w:szCs w:val="24"/>
        </w:rPr>
        <w:t>8. 材料与设备</w:t>
      </w:r>
      <w:bookmarkEnd w:id="247"/>
    </w:p>
    <w:bookmarkEnd w:id="182"/>
    <w:bookmarkEnd w:id="183"/>
    <w:bookmarkEnd w:id="184"/>
    <w:bookmarkEnd w:id="185"/>
    <w:bookmarkEnd w:id="186"/>
    <w:bookmarkEnd w:id="187"/>
    <w:bookmarkEnd w:id="188"/>
    <w:bookmarkEnd w:id="189"/>
    <w:bookmarkEnd w:id="190"/>
    <w:bookmarkEnd w:id="191"/>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bookmarkStart w:id="248" w:name="_Toc297123527"/>
      <w:bookmarkStart w:id="249" w:name="_Toc304295556"/>
      <w:bookmarkStart w:id="250" w:name="_Toc296944506"/>
      <w:bookmarkStart w:id="251" w:name="_Toc296503167"/>
      <w:bookmarkStart w:id="252" w:name="_Toc292559877"/>
      <w:bookmarkStart w:id="253" w:name="_Toc297216186"/>
      <w:bookmarkStart w:id="254" w:name="_Toc312678019"/>
      <w:bookmarkStart w:id="255" w:name="_Toc297120467"/>
      <w:bookmarkStart w:id="256" w:name="_Toc292559372"/>
      <w:bookmarkStart w:id="257" w:name="_Toc296891207"/>
      <w:bookmarkStart w:id="258" w:name="_Toc303539136"/>
      <w:bookmarkStart w:id="259" w:name="_Toc300934979"/>
      <w:bookmarkStart w:id="260" w:name="_Toc296347166"/>
      <w:bookmarkStart w:id="261" w:name="_Toc280868654"/>
      <w:bookmarkStart w:id="262" w:name="_Toc296346668"/>
      <w:bookmarkStart w:id="263" w:name="_Toc296890995"/>
      <w:bookmarkStart w:id="264" w:name="_Toc297048353"/>
      <w:bookmarkStart w:id="265" w:name="_Toc312677493"/>
      <w:bookmarkStart w:id="266" w:name="_Toc267251424"/>
      <w:bookmarkStart w:id="267" w:name="_Toc280868656"/>
      <w:bookmarkStart w:id="268" w:name="_Toc280868655"/>
      <w:r>
        <w:rPr>
          <w:rFonts w:hint="eastAsia" w:ascii="宋体" w:hAnsi="宋体" w:eastAsia="宋体" w:cs="宋体"/>
          <w:color w:val="000000"/>
          <w:sz w:val="24"/>
          <w:szCs w:val="24"/>
        </w:rPr>
        <w:t>.4材料与工程设备的保管与使用</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w:t>
      </w:r>
      <w:bookmarkStart w:id="269" w:name="_Toc292559373"/>
      <w:bookmarkStart w:id="270" w:name="_Toc292559878"/>
      <w:bookmarkStart w:id="271" w:name="_Toc297120468"/>
      <w:bookmarkStart w:id="272" w:name="_Toc297048354"/>
      <w:bookmarkStart w:id="273" w:name="_Toc303539137"/>
      <w:bookmarkStart w:id="274" w:name="_Toc300934980"/>
      <w:bookmarkStart w:id="275" w:name="_Toc296346669"/>
      <w:bookmarkStart w:id="276" w:name="_Toc318581173"/>
      <w:bookmarkStart w:id="277" w:name="_Toc297216187"/>
      <w:bookmarkStart w:id="278" w:name="_Toc304295557"/>
      <w:bookmarkStart w:id="279" w:name="_Toc296347167"/>
      <w:bookmarkStart w:id="280" w:name="_Toc296890996"/>
      <w:bookmarkStart w:id="281" w:name="_Toc312678020"/>
      <w:bookmarkStart w:id="282" w:name="_Toc296891208"/>
      <w:bookmarkStart w:id="283" w:name="_Toc296503168"/>
      <w:bookmarkStart w:id="284" w:name="_Toc312677494"/>
      <w:bookmarkStart w:id="285" w:name="_Toc297123528"/>
      <w:bookmarkStart w:id="286" w:name="_Toc296944507"/>
      <w:r>
        <w:rPr>
          <w:rFonts w:hint="eastAsia" w:ascii="宋体" w:hAnsi="宋体" w:eastAsia="宋体" w:cs="宋体"/>
          <w:sz w:val="24"/>
          <w:szCs w:val="24"/>
        </w:rPr>
        <w:t>.4.1发包人供应的材料设备的保管费用的承担：</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由承包人负责保管，费用由发包人承担</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269"/>
      <w:bookmarkEnd w:id="270"/>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8.6 样品</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8.6.1</w:t>
      </w:r>
      <w:r>
        <w:rPr>
          <w:rFonts w:hint="eastAsia" w:ascii="宋体" w:hAnsi="宋体" w:eastAsia="宋体" w:cs="宋体"/>
          <w:kern w:val="0"/>
          <w:sz w:val="24"/>
          <w:szCs w:val="24"/>
        </w:rPr>
        <w:tab/>
      </w:r>
      <w:r>
        <w:rPr>
          <w:rFonts w:hint="eastAsia" w:ascii="宋体" w:hAnsi="宋体" w:eastAsia="宋体" w:cs="宋体"/>
          <w:kern w:val="0"/>
          <w:sz w:val="24"/>
          <w:szCs w:val="24"/>
        </w:rPr>
        <w:t>样品的报送与封存</w:t>
      </w:r>
    </w:p>
    <w:p>
      <w:pPr>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sz w:val="24"/>
          <w:szCs w:val="24"/>
          <w:u w:val="single"/>
        </w:rPr>
      </w:pPr>
      <w:r>
        <w:rPr>
          <w:rFonts w:hint="eastAsia" w:ascii="宋体" w:hAnsi="宋体" w:eastAsia="宋体" w:cs="宋体"/>
          <w:kern w:val="0"/>
          <w:sz w:val="24"/>
          <w:szCs w:val="24"/>
        </w:rPr>
        <w:t>需要承包人报送样品的材料或工程设备，样品的种类、名称、规格、数量要求：</w:t>
      </w:r>
      <w:r>
        <w:rPr>
          <w:rFonts w:hint="eastAsia" w:ascii="宋体" w:hAnsi="宋体" w:eastAsia="宋体" w:cs="宋体"/>
          <w:b/>
          <w:sz w:val="24"/>
          <w:szCs w:val="24"/>
          <w:u w:val="single"/>
        </w:rPr>
        <w:t>按管理部门要求和发包人需求确定</w:t>
      </w:r>
      <w:r>
        <w:rPr>
          <w:rFonts w:hint="eastAsia" w:ascii="宋体" w:hAnsi="宋体" w:eastAsia="宋体" w:cs="宋体"/>
          <w:sz w:val="24"/>
          <w:szCs w:val="24"/>
          <w:u w:val="single"/>
        </w:rPr>
        <w:t>。</w:t>
      </w:r>
      <w:r>
        <w:rPr>
          <w:rFonts w:hint="eastAsia" w:ascii="宋体" w:hAnsi="宋体" w:eastAsia="宋体" w:cs="宋体"/>
          <w:b/>
          <w:sz w:val="24"/>
          <w:szCs w:val="24"/>
          <w:u w:val="single"/>
        </w:rPr>
        <w:t>由发包人供应的材料送检费由发包人承担。</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8.8 施工设备和临时设施</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关于修建临时设施费用承担的约定：</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由承包人承担，费用包含在合同价中</w:t>
      </w:r>
      <w:r>
        <w:rPr>
          <w:rFonts w:hint="eastAsia" w:ascii="宋体" w:hAnsi="宋体" w:eastAsia="宋体" w:cs="宋体"/>
          <w:sz w:val="24"/>
          <w:szCs w:val="24"/>
        </w:rPr>
        <w:t>。</w:t>
      </w:r>
    </w:p>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287" w:name="_Toc351203641"/>
      <w:r>
        <w:rPr>
          <w:rFonts w:hint="eastAsia" w:ascii="宋体" w:hAnsi="宋体" w:eastAsia="宋体" w:cs="宋体"/>
          <w:b w:val="0"/>
          <w:bCs w:val="0"/>
          <w:color w:val="000000"/>
          <w:sz w:val="24"/>
          <w:szCs w:val="24"/>
        </w:rPr>
        <w:t>9</w:t>
      </w:r>
      <w:bookmarkEnd w:id="266"/>
      <w:bookmarkEnd w:id="267"/>
      <w:bookmarkEnd w:id="268"/>
      <w:bookmarkStart w:id="288" w:name="_Toc297123533"/>
      <w:bookmarkStart w:id="289" w:name="_Toc304295559"/>
      <w:bookmarkStart w:id="290" w:name="_Toc297216192"/>
      <w:bookmarkStart w:id="291" w:name="_Toc312677495"/>
      <w:bookmarkStart w:id="292" w:name="_Toc312678021"/>
      <w:bookmarkStart w:id="293" w:name="_Toc303539139"/>
      <w:bookmarkStart w:id="294" w:name="_Toc300934982"/>
      <w:bookmarkStart w:id="295" w:name="_Toc267251427"/>
      <w:bookmarkStart w:id="296" w:name="_Toc296346674"/>
      <w:bookmarkStart w:id="297" w:name="_Toc296503173"/>
      <w:bookmarkStart w:id="298" w:name="_Toc292559378"/>
      <w:bookmarkStart w:id="299" w:name="_Toc292559883"/>
      <w:bookmarkStart w:id="300" w:name="_Toc296891001"/>
      <w:bookmarkStart w:id="301" w:name="_Toc297048359"/>
      <w:bookmarkStart w:id="302" w:name="_Toc296891213"/>
      <w:bookmarkStart w:id="303" w:name="_Toc267251428"/>
      <w:bookmarkStart w:id="304" w:name="_Toc296944512"/>
      <w:bookmarkStart w:id="305" w:name="_Toc297120473"/>
      <w:bookmarkStart w:id="306" w:name="_Toc296347172"/>
      <w:r>
        <w:rPr>
          <w:rFonts w:hint="eastAsia" w:ascii="宋体" w:hAnsi="宋体" w:eastAsia="宋体" w:cs="宋体"/>
          <w:b w:val="0"/>
          <w:bCs w:val="0"/>
          <w:color w:val="000000"/>
          <w:sz w:val="24"/>
          <w:szCs w:val="24"/>
        </w:rPr>
        <w:t>. 试验与检验</w:t>
      </w:r>
      <w:bookmarkEnd w:id="287"/>
    </w:p>
    <w:bookmarkEnd w:id="288"/>
    <w:bookmarkEnd w:id="289"/>
    <w:bookmarkEnd w:id="290"/>
    <w:bookmarkEnd w:id="291"/>
    <w:bookmarkEnd w:id="292"/>
    <w:bookmarkEnd w:id="293"/>
    <w:bookmarkEnd w:id="294"/>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307" w:name="_Toc297216193"/>
      <w:bookmarkStart w:id="308" w:name="_Toc312677496"/>
      <w:bookmarkStart w:id="309" w:name="_Toc304295560"/>
      <w:bookmarkStart w:id="310" w:name="_Toc303539140"/>
      <w:bookmarkStart w:id="311" w:name="_Toc297123534"/>
      <w:bookmarkStart w:id="312" w:name="_Toc300934983"/>
      <w:bookmarkStart w:id="313" w:name="_Toc312678022"/>
      <w:r>
        <w:rPr>
          <w:rFonts w:hint="eastAsia" w:ascii="宋体" w:hAnsi="宋体" w:eastAsia="宋体" w:cs="宋体"/>
          <w:color w:val="000000"/>
          <w:sz w:val="24"/>
          <w:szCs w:val="24"/>
        </w:rPr>
        <w:t>.1试验设备与试验人员</w:t>
      </w:r>
    </w:p>
    <w:bookmarkEnd w:id="307"/>
    <w:bookmarkEnd w:id="308"/>
    <w:bookmarkEnd w:id="309"/>
    <w:bookmarkEnd w:id="310"/>
    <w:bookmarkEnd w:id="311"/>
    <w:bookmarkEnd w:id="312"/>
    <w:bookmarkEnd w:id="313"/>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w:t>
      </w:r>
      <w:bookmarkStart w:id="314" w:name="_Toc297123535"/>
      <w:bookmarkStart w:id="315" w:name="_Toc304295561"/>
      <w:bookmarkStart w:id="316" w:name="_Toc303539141"/>
      <w:bookmarkStart w:id="317" w:name="_Toc300934984"/>
      <w:bookmarkStart w:id="318" w:name="_Toc312677497"/>
      <w:bookmarkStart w:id="319" w:name="_Toc297216194"/>
      <w:bookmarkStart w:id="320" w:name="_Toc312678023"/>
      <w:bookmarkStart w:id="321" w:name="_Toc318581174"/>
      <w:r>
        <w:rPr>
          <w:rFonts w:hint="eastAsia" w:ascii="宋体" w:hAnsi="宋体" w:eastAsia="宋体" w:cs="宋体"/>
          <w:sz w:val="24"/>
          <w:szCs w:val="24"/>
        </w:rPr>
        <w:t>.1.2 试验设备</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施工现场需要配置的试验场所：</w:t>
      </w:r>
      <w:bookmarkEnd w:id="314"/>
      <w:bookmarkEnd w:id="315"/>
      <w:bookmarkEnd w:id="316"/>
      <w:bookmarkEnd w:id="317"/>
      <w:bookmarkEnd w:id="318"/>
      <w:bookmarkEnd w:id="319"/>
      <w:bookmarkEnd w:id="320"/>
      <w:bookmarkStart w:id="322" w:name="_Toc303539142"/>
      <w:bookmarkStart w:id="323" w:name="_Toc297216195"/>
      <w:bookmarkStart w:id="324" w:name="_Toc312678024"/>
      <w:bookmarkStart w:id="325" w:name="_Toc297123536"/>
      <w:bookmarkStart w:id="326" w:name="_Toc304295562"/>
      <w:bookmarkStart w:id="327" w:name="_Toc312677498"/>
      <w:bookmarkStart w:id="328" w:name="_Toc300934985"/>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按通用条款执行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按通用条款执行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9.4 现场工艺试验 </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现场工艺试验的有关约定：</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按通用条款执行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321"/>
    <w:bookmarkEnd w:id="322"/>
    <w:bookmarkEnd w:id="323"/>
    <w:bookmarkEnd w:id="324"/>
    <w:bookmarkEnd w:id="325"/>
    <w:bookmarkEnd w:id="326"/>
    <w:bookmarkEnd w:id="327"/>
    <w:bookmarkEnd w:id="328"/>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329" w:name="_Toc351203642"/>
      <w:r>
        <w:rPr>
          <w:rFonts w:hint="eastAsia" w:ascii="宋体" w:hAnsi="宋体" w:eastAsia="宋体" w:cs="宋体"/>
          <w:b w:val="0"/>
          <w:bCs w:val="0"/>
          <w:color w:val="000000"/>
          <w:sz w:val="24"/>
          <w:szCs w:val="24"/>
        </w:rPr>
        <w:t>1</w:t>
      </w:r>
      <w:bookmarkEnd w:id="295"/>
      <w:bookmarkEnd w:id="296"/>
      <w:bookmarkEnd w:id="297"/>
      <w:bookmarkEnd w:id="298"/>
      <w:bookmarkEnd w:id="299"/>
      <w:bookmarkEnd w:id="300"/>
      <w:bookmarkEnd w:id="301"/>
      <w:bookmarkEnd w:id="302"/>
      <w:bookmarkEnd w:id="303"/>
      <w:bookmarkEnd w:id="304"/>
      <w:bookmarkEnd w:id="305"/>
      <w:bookmarkEnd w:id="306"/>
      <w:bookmarkStart w:id="330" w:name="_Toc296891021"/>
      <w:bookmarkStart w:id="331" w:name="_Toc296503193"/>
      <w:bookmarkStart w:id="332" w:name="_Toc296347192"/>
      <w:bookmarkStart w:id="333" w:name="_Toc292559398"/>
      <w:bookmarkStart w:id="334" w:name="_Toc296346694"/>
      <w:bookmarkStart w:id="335" w:name="_Toc292559903"/>
      <w:bookmarkStart w:id="336" w:name="_Toc296891233"/>
      <w:bookmarkStart w:id="337" w:name="_Toc303539146"/>
      <w:bookmarkStart w:id="338" w:name="_Toc296944532"/>
      <w:bookmarkStart w:id="339" w:name="_Toc297048379"/>
      <w:bookmarkStart w:id="340" w:name="_Toc297120493"/>
      <w:bookmarkStart w:id="341" w:name="_Toc300934989"/>
      <w:bookmarkStart w:id="342" w:name="_Toc297216199"/>
      <w:bookmarkStart w:id="343" w:name="_Toc304295566"/>
      <w:bookmarkStart w:id="344" w:name="_Toc297123540"/>
      <w:bookmarkStart w:id="345" w:name="_Toc312678025"/>
      <w:bookmarkStart w:id="346" w:name="_Toc312677499"/>
      <w:bookmarkStart w:id="347" w:name="_Toc267251440"/>
      <w:bookmarkStart w:id="348" w:name="_Toc267251437"/>
      <w:bookmarkStart w:id="349" w:name="_Toc267251439"/>
      <w:bookmarkStart w:id="350" w:name="_Toc267251435"/>
      <w:bookmarkStart w:id="351" w:name="_Toc267251433"/>
      <w:bookmarkStart w:id="352" w:name="_Toc267251441"/>
      <w:bookmarkStart w:id="353" w:name="_Toc267251442"/>
      <w:r>
        <w:rPr>
          <w:rFonts w:hint="eastAsia" w:ascii="宋体" w:hAnsi="宋体" w:eastAsia="宋体" w:cs="宋体"/>
          <w:b w:val="0"/>
          <w:bCs w:val="0"/>
          <w:color w:val="000000"/>
          <w:sz w:val="24"/>
          <w:szCs w:val="24"/>
        </w:rPr>
        <w:t>0. 变更</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bookmarkEnd w:id="345"/>
    <w:bookmarkEnd w:id="346"/>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354" w:name="_Toc296347193"/>
      <w:bookmarkStart w:id="355" w:name="_Toc297216200"/>
      <w:bookmarkStart w:id="356" w:name="_Toc296944533"/>
      <w:bookmarkStart w:id="357" w:name="_Toc292559904"/>
      <w:bookmarkStart w:id="358" w:name="_Toc296503194"/>
      <w:bookmarkStart w:id="359" w:name="_Toc296891022"/>
      <w:bookmarkStart w:id="360" w:name="_Toc297123541"/>
      <w:bookmarkStart w:id="361" w:name="_Toc297048380"/>
      <w:bookmarkStart w:id="362" w:name="_Toc312678026"/>
      <w:bookmarkStart w:id="363" w:name="_Toc300934990"/>
      <w:bookmarkStart w:id="364" w:name="_Toc303539147"/>
      <w:bookmarkStart w:id="365" w:name="_Toc297120494"/>
      <w:bookmarkStart w:id="366" w:name="_Toc304295567"/>
      <w:bookmarkStart w:id="367" w:name="_Toc296891234"/>
      <w:bookmarkStart w:id="368" w:name="_Toc296346695"/>
      <w:bookmarkStart w:id="369" w:name="_Toc312677500"/>
      <w:bookmarkStart w:id="370" w:name="_Toc292559399"/>
      <w:r>
        <w:rPr>
          <w:rFonts w:hint="eastAsia" w:ascii="宋体" w:hAnsi="宋体" w:eastAsia="宋体" w:cs="宋体"/>
          <w:color w:val="000000"/>
          <w:sz w:val="24"/>
          <w:szCs w:val="24"/>
        </w:rPr>
        <w:t>0.1变更的范围</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关于变更的范围的约定：</w:t>
      </w:r>
      <w:r>
        <w:rPr>
          <w:rFonts w:hint="eastAsia" w:ascii="宋体" w:hAnsi="宋体" w:eastAsia="宋体" w:cs="宋体"/>
          <w:b/>
          <w:sz w:val="24"/>
          <w:szCs w:val="24"/>
          <w:u w:val="single"/>
        </w:rPr>
        <w:t>工程设计变更或发包人增加的工程量确认需有监理、造价（审计）、发包人、承包人同时确定并加盖公章方可有效，否则无效。工程量大于原清单所示工程量的10%时，超出部分按原投标报价的综合单价计；原清单不包含的工程按当地预算定额下浮5%结算</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10.4 变更估价</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10.4.1 变更估价原则</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 xml:space="preserve">关于变更估价的约定: </w:t>
      </w:r>
      <w:r>
        <w:rPr>
          <w:rFonts w:hint="eastAsia" w:ascii="宋体" w:hAnsi="宋体" w:eastAsia="宋体" w:cs="宋体"/>
          <w:b/>
          <w:sz w:val="24"/>
          <w:szCs w:val="24"/>
          <w:u w:val="single"/>
        </w:rPr>
        <w:t xml:space="preserve"> ①合同中有相同或类似工程项目单价的，可以参照合同中相同或类似项目的综合单价计算确定。</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b/>
          <w:sz w:val="24"/>
          <w:szCs w:val="24"/>
          <w:u w:val="single"/>
        </w:rPr>
      </w:pPr>
      <w:r>
        <w:rPr>
          <w:rFonts w:hint="eastAsia" w:ascii="宋体" w:hAnsi="宋体" w:eastAsia="宋体" w:cs="宋体"/>
          <w:sz w:val="24"/>
          <w:szCs w:val="24"/>
          <w:u w:val="single"/>
        </w:rPr>
        <w:t>②原合同中不包含的工程项目，按照当地定额下</w:t>
      </w:r>
      <w:r>
        <w:rPr>
          <w:rFonts w:hint="eastAsia" w:ascii="宋体" w:hAnsi="宋体" w:eastAsia="宋体" w:cs="宋体"/>
          <w:b/>
          <w:sz w:val="24"/>
          <w:szCs w:val="24"/>
          <w:u w:val="single"/>
        </w:rPr>
        <w:t>浮5%结算。</w:t>
      </w:r>
    </w:p>
    <w:p>
      <w:pPr>
        <w:pageBreakBefore w:val="0"/>
        <w:widowControl w:val="0"/>
        <w:kinsoku/>
        <w:wordWrap/>
        <w:overflowPunct/>
        <w:topLinePunct w:val="0"/>
        <w:bidi w:val="0"/>
        <w:snapToGrid/>
        <w:spacing w:line="360" w:lineRule="exact"/>
        <w:ind w:firstLine="482" w:firstLineChars="200"/>
        <w:textAlignment w:val="auto"/>
        <w:rPr>
          <w:rFonts w:hint="eastAsia" w:ascii="宋体" w:hAnsi="宋体" w:eastAsia="宋体" w:cs="宋体"/>
          <w:b/>
          <w:sz w:val="24"/>
          <w:szCs w:val="24"/>
          <w:u w:val="single"/>
        </w:rPr>
      </w:pPr>
      <w:r>
        <w:rPr>
          <w:rFonts w:hint="eastAsia" w:ascii="宋体" w:hAnsi="宋体" w:eastAsia="宋体" w:cs="宋体"/>
          <w:b/>
          <w:sz w:val="24"/>
          <w:szCs w:val="24"/>
          <w:u w:val="single"/>
        </w:rPr>
        <w:t>③由于清单项目中项目特征或工程内容发生部分变更的，应以原综合单价为基础，仅就变更部分相应定额子目调整综合单价。</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Start w:id="371" w:name="_Toc297216203"/>
      <w:bookmarkStart w:id="372" w:name="_Toc297123544"/>
      <w:bookmarkStart w:id="373" w:name="_Toc297120497"/>
      <w:bookmarkStart w:id="374" w:name="_Toc296346698"/>
      <w:bookmarkStart w:id="375" w:name="_Toc296347196"/>
      <w:bookmarkStart w:id="376" w:name="_Toc292559907"/>
      <w:bookmarkStart w:id="377" w:name="_Toc303539150"/>
      <w:bookmarkStart w:id="378" w:name="_Toc297048383"/>
      <w:bookmarkStart w:id="379" w:name="_Toc292559402"/>
      <w:bookmarkStart w:id="380" w:name="_Toc296944536"/>
      <w:bookmarkStart w:id="381" w:name="_Toc296891237"/>
      <w:bookmarkStart w:id="382" w:name="_Toc300934993"/>
      <w:bookmarkStart w:id="383" w:name="_Toc296503197"/>
      <w:bookmarkStart w:id="384" w:name="_Toc296891025"/>
      <w:bookmarkStart w:id="385" w:name="_Toc304295570"/>
      <w:bookmarkStart w:id="386" w:name="_Toc312677503"/>
      <w:bookmarkStart w:id="387" w:name="_Toc312678029"/>
      <w:r>
        <w:rPr>
          <w:rFonts w:hint="eastAsia" w:ascii="宋体" w:hAnsi="宋体" w:eastAsia="宋体" w:cs="宋体"/>
          <w:color w:val="000000"/>
          <w:sz w:val="24"/>
          <w:szCs w:val="24"/>
        </w:rPr>
        <w:t>0.5承</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Start w:id="388" w:name="_Toc297216204"/>
      <w:bookmarkStart w:id="389" w:name="_Toc296503203"/>
      <w:bookmarkStart w:id="390" w:name="_Toc300934994"/>
      <w:bookmarkStart w:id="391" w:name="_Toc296944542"/>
      <w:bookmarkStart w:id="392" w:name="_Toc292559913"/>
      <w:bookmarkStart w:id="393" w:name="_Toc297123545"/>
      <w:bookmarkStart w:id="394" w:name="_Toc296891243"/>
      <w:bookmarkStart w:id="395" w:name="_Toc296891031"/>
      <w:bookmarkStart w:id="396" w:name="_Toc296346704"/>
      <w:bookmarkStart w:id="397" w:name="_Toc297120503"/>
      <w:bookmarkStart w:id="398" w:name="_Toc296347202"/>
      <w:bookmarkStart w:id="399" w:name="_Toc303539151"/>
      <w:bookmarkStart w:id="400" w:name="_Toc297048389"/>
      <w:bookmarkStart w:id="401" w:name="_Toc292559408"/>
      <w:r>
        <w:rPr>
          <w:rFonts w:hint="eastAsia" w:ascii="宋体" w:hAnsi="宋体" w:eastAsia="宋体" w:cs="宋体"/>
          <w:color w:val="000000"/>
          <w:sz w:val="24"/>
          <w:szCs w:val="24"/>
        </w:rPr>
        <w:t>包人的合理化建议</w:t>
      </w:r>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sz w:val="24"/>
          <w:szCs w:val="24"/>
          <w:u w:val="single"/>
        </w:rPr>
      </w:pPr>
      <w:r>
        <w:rPr>
          <w:rFonts w:hint="eastAsia" w:ascii="宋体" w:hAnsi="宋体" w:eastAsia="宋体" w:cs="宋体"/>
          <w:sz w:val="24"/>
          <w:szCs w:val="24"/>
        </w:rPr>
        <w:t>承</w:t>
      </w:r>
      <w:bookmarkStart w:id="402" w:name="_Toc297048390"/>
      <w:bookmarkStart w:id="403" w:name="_Toc297216205"/>
      <w:bookmarkStart w:id="404" w:name="_Toc296346705"/>
      <w:bookmarkStart w:id="405" w:name="_Toc312678030"/>
      <w:bookmarkStart w:id="406" w:name="_Toc300934995"/>
      <w:bookmarkStart w:id="407" w:name="_Toc296891032"/>
      <w:bookmarkStart w:id="408" w:name="_Toc303539152"/>
      <w:bookmarkStart w:id="409" w:name="_Toc297123546"/>
      <w:bookmarkStart w:id="410" w:name="_Toc292559914"/>
      <w:bookmarkStart w:id="411" w:name="_Toc312677504"/>
      <w:bookmarkStart w:id="412" w:name="_Toc296503204"/>
      <w:bookmarkStart w:id="413" w:name="_Toc296891244"/>
      <w:bookmarkStart w:id="414" w:name="_Toc318581175"/>
      <w:bookmarkStart w:id="415" w:name="_Toc292559409"/>
      <w:bookmarkStart w:id="416" w:name="_Toc296944543"/>
      <w:bookmarkStart w:id="417" w:name="_Toc304295571"/>
      <w:bookmarkStart w:id="418" w:name="_Toc297120504"/>
      <w:bookmarkStart w:id="419" w:name="_Toc296347203"/>
      <w:r>
        <w:rPr>
          <w:rFonts w:hint="eastAsia" w:ascii="宋体" w:hAnsi="宋体" w:eastAsia="宋体" w:cs="宋体"/>
          <w:sz w:val="24"/>
          <w:szCs w:val="24"/>
        </w:rPr>
        <w:t>包人提出的合理化建议降低了合同价格或者提高了工程经济效益的奖励的方法和金额为：</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420" w:name="_Toc296346700"/>
      <w:bookmarkStart w:id="421" w:name="_Toc297216207"/>
      <w:bookmarkStart w:id="422" w:name="_Toc296503199"/>
      <w:bookmarkStart w:id="423" w:name="_Toc312677507"/>
      <w:bookmarkStart w:id="424" w:name="_Toc296891027"/>
      <w:bookmarkStart w:id="425" w:name="_Toc304295574"/>
      <w:bookmarkStart w:id="426" w:name="_Toc297048385"/>
      <w:bookmarkStart w:id="427" w:name="_Toc296944538"/>
      <w:bookmarkStart w:id="428" w:name="_Toc296891239"/>
      <w:bookmarkStart w:id="429" w:name="_Toc297123548"/>
      <w:bookmarkStart w:id="430" w:name="_Toc292559404"/>
      <w:bookmarkStart w:id="431" w:name="_Toc292559909"/>
      <w:bookmarkStart w:id="432" w:name="_Toc303539154"/>
      <w:bookmarkStart w:id="433" w:name="_Toc297120499"/>
      <w:bookmarkStart w:id="434" w:name="_Toc300934997"/>
      <w:bookmarkStart w:id="435" w:name="_Toc296347198"/>
      <w:bookmarkStart w:id="436" w:name="_Toc312678033"/>
      <w:r>
        <w:rPr>
          <w:rFonts w:hint="eastAsia" w:ascii="宋体" w:hAnsi="宋体" w:eastAsia="宋体" w:cs="宋体"/>
          <w:color w:val="000000"/>
          <w:sz w:val="24"/>
          <w:szCs w:val="24"/>
        </w:rPr>
        <w:t>0.7 暂估价</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t>暂</w:t>
      </w:r>
      <w:bookmarkStart w:id="437" w:name="_Toc318581176"/>
      <w:bookmarkStart w:id="438" w:name="_Toc312678034"/>
      <w:bookmarkStart w:id="439" w:name="_Toc312677508"/>
      <w:r>
        <w:rPr>
          <w:rFonts w:hint="eastAsia" w:ascii="宋体" w:hAnsi="宋体" w:eastAsia="宋体" w:cs="宋体"/>
          <w:kern w:val="0"/>
          <w:sz w:val="24"/>
          <w:szCs w:val="24"/>
        </w:rPr>
        <w:t>估价材料和工程设备的明细详见附件11：《</w:t>
      </w:r>
      <w:r>
        <w:rPr>
          <w:rFonts w:hint="eastAsia" w:ascii="宋体" w:hAnsi="宋体" w:eastAsia="宋体" w:cs="宋体"/>
          <w:color w:val="000000"/>
          <w:sz w:val="24"/>
          <w:szCs w:val="24"/>
        </w:rPr>
        <w:t>暂估价一览表》</w:t>
      </w:r>
      <w:r>
        <w:rPr>
          <w:rFonts w:hint="eastAsia" w:ascii="宋体" w:hAnsi="宋体" w:eastAsia="宋体" w:cs="宋体"/>
          <w:kern w:val="0"/>
          <w:sz w:val="24"/>
          <w:szCs w:val="24"/>
        </w:rPr>
        <w:t>。</w:t>
      </w:r>
    </w:p>
    <w:bookmarkEnd w:id="437"/>
    <w:bookmarkEnd w:id="438"/>
    <w:bookmarkEnd w:id="439"/>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bookmarkStart w:id="440" w:name="_Toc318581177"/>
      <w:bookmarkStart w:id="441" w:name="_Toc312677509"/>
      <w:bookmarkStart w:id="442" w:name="_Toc312678035"/>
      <w:r>
        <w:rPr>
          <w:rFonts w:hint="eastAsia" w:ascii="宋体" w:hAnsi="宋体" w:eastAsia="宋体" w:cs="宋体"/>
          <w:sz w:val="24"/>
          <w:szCs w:val="24"/>
        </w:rPr>
        <w:t>0.7.1 依法必须招标的暂估价项目</w:t>
      </w:r>
    </w:p>
    <w:bookmarkEnd w:id="440"/>
    <w:bookmarkEnd w:id="441"/>
    <w:bookmarkEnd w:id="442"/>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1（2）按实际情况确定</w:t>
      </w:r>
      <w:r>
        <w:rPr>
          <w:rFonts w:hint="eastAsia" w:ascii="宋体" w:hAnsi="宋体" w:eastAsia="宋体" w:cs="宋体"/>
          <w:sz w:val="24"/>
          <w:szCs w:val="24"/>
          <w:u w:val="single"/>
        </w:rPr>
        <w:t xml:space="preserve">   </w:t>
      </w:r>
      <w:r>
        <w:rPr>
          <w:rFonts w:hint="eastAsia" w:ascii="宋体" w:hAnsi="宋体" w:eastAsia="宋体" w:cs="宋体"/>
          <w:sz w:val="24"/>
          <w:szCs w:val="24"/>
        </w:rPr>
        <w:t>种方式确定。</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1（2）（3）按实际情况确定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种方式确定。</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第3种方式：</w:t>
      </w:r>
      <w:r>
        <w:rPr>
          <w:rFonts w:hint="eastAsia" w:ascii="宋体" w:hAnsi="宋体" w:eastAsia="宋体" w:cs="宋体"/>
          <w:color w:val="000000"/>
          <w:kern w:val="0"/>
          <w:sz w:val="24"/>
          <w:szCs w:val="24"/>
        </w:rPr>
        <w:t>承包人直接实施的暂估价项目</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合同当事人关于暂列金额使用的约定：1、</w:t>
      </w:r>
      <w:r>
        <w:rPr>
          <w:rFonts w:hint="eastAsia" w:ascii="宋体" w:hAnsi="宋体" w:eastAsia="宋体" w:cs="宋体"/>
          <w:b/>
          <w:sz w:val="24"/>
          <w:szCs w:val="24"/>
          <w:u w:val="single"/>
        </w:rPr>
        <w:t>暂列金由发包人确定设立并支配使用；2、暂列金使用按12.1条款执行；3、暂列金的支付时间为工程竣工验收结算后进行支付。                           。</w:t>
      </w:r>
    </w:p>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443" w:name="_Toc351203643"/>
      <w:r>
        <w:rPr>
          <w:rFonts w:hint="eastAsia" w:ascii="宋体" w:hAnsi="宋体" w:eastAsia="宋体" w:cs="宋体"/>
          <w:b w:val="0"/>
          <w:bCs w:val="0"/>
          <w:color w:val="000000"/>
          <w:sz w:val="24"/>
          <w:szCs w:val="24"/>
        </w:rPr>
        <w:t>11. 价格调整</w:t>
      </w:r>
      <w:bookmarkEnd w:id="443"/>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bookmarkStart w:id="444" w:name="_Toc296503201"/>
      <w:bookmarkStart w:id="445" w:name="_Toc292559406"/>
      <w:bookmarkStart w:id="446" w:name="_Toc297048387"/>
      <w:bookmarkStart w:id="447" w:name="_Toc292559911"/>
      <w:bookmarkStart w:id="448" w:name="_Toc296347200"/>
      <w:bookmarkStart w:id="449" w:name="_Toc297120501"/>
      <w:bookmarkStart w:id="450" w:name="_Toc312678039"/>
      <w:bookmarkStart w:id="451" w:name="_Toc300935000"/>
      <w:bookmarkStart w:id="452" w:name="_Toc296944540"/>
      <w:bookmarkStart w:id="453" w:name="_Toc296891029"/>
      <w:bookmarkStart w:id="454" w:name="_Toc304295577"/>
      <w:bookmarkStart w:id="455" w:name="_Toc296891241"/>
      <w:bookmarkStart w:id="456" w:name="_Toc297123550"/>
      <w:bookmarkStart w:id="457" w:name="_Toc297216209"/>
      <w:bookmarkStart w:id="458" w:name="_Toc296346702"/>
      <w:bookmarkStart w:id="459" w:name="_Toc303539157"/>
      <w:r>
        <w:rPr>
          <w:rFonts w:hint="eastAsia" w:ascii="宋体" w:hAnsi="宋体" w:eastAsia="宋体" w:cs="宋体"/>
          <w:color w:val="000000"/>
          <w:sz w:val="24"/>
          <w:szCs w:val="24"/>
        </w:rPr>
        <w:t>11.1 市场价格波动引起的调整</w:t>
      </w:r>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市场价格波动是否调整合同价格的约定：</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不调整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因市场价格波动调整合同价格，采用以下</w:t>
      </w:r>
      <w:r>
        <w:rPr>
          <w:rFonts w:hint="eastAsia" w:ascii="宋体" w:hAnsi="宋体" w:eastAsia="宋体" w:cs="宋体"/>
          <w:sz w:val="24"/>
          <w:szCs w:val="24"/>
        </w:rPr>
        <w:t>第</w:t>
      </w:r>
      <w:r>
        <w:rPr>
          <w:rFonts w:hint="eastAsia" w:ascii="宋体" w:hAnsi="宋体" w:eastAsia="宋体" w:cs="宋体"/>
          <w:sz w:val="24"/>
          <w:szCs w:val="24"/>
          <w:u w:val="single"/>
        </w:rPr>
        <w:t xml:space="preserve"> / </w:t>
      </w:r>
      <w:r>
        <w:rPr>
          <w:rFonts w:hint="eastAsia" w:ascii="宋体" w:hAnsi="宋体" w:eastAsia="宋体" w:cs="宋体"/>
          <w:color w:val="000000"/>
          <w:sz w:val="24"/>
          <w:szCs w:val="24"/>
        </w:rPr>
        <w:t>种方式对合同价格进行调整：</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关于各可调因子、定值和变值权重，以及基本价格指数及其来源的约定：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（2）关于基准价格的约定：</w:t>
      </w:r>
      <w:r>
        <w:rPr>
          <w:rFonts w:hint="eastAsia" w:ascii="宋体" w:hAnsi="宋体" w:eastAsia="宋体" w:cs="宋体"/>
          <w:sz w:val="24"/>
          <w:szCs w:val="24"/>
          <w:u w:val="single"/>
        </w:rPr>
        <w:t xml:space="preserve">         </w:t>
      </w:r>
      <w:r>
        <w:rPr>
          <w:rFonts w:hint="eastAsia" w:ascii="宋体" w:hAnsi="宋体" w:eastAsia="宋体" w:cs="宋体"/>
          <w:b/>
          <w:color w:val="000000"/>
          <w:sz w:val="24"/>
          <w:szCs w:val="24"/>
          <w:u w:val="single"/>
        </w:rPr>
        <w:t xml:space="preserve">无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%时，或材料单价跌幅以已标价工程量清单或预算书中载明材料单价为基础超过</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%时，其超过部分据实调整。</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%时，材料单价涨幅以已标价工程量清单或预算书中载明材料单价为基础超过</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%时，其超过部分据实调整。</w:t>
      </w:r>
    </w:p>
    <w:p>
      <w:pPr>
        <w:pageBreakBefore w:val="0"/>
        <w:widowControl w:val="0"/>
        <w:kinsoku/>
        <w:wordWrap/>
        <w:overflowPunct/>
        <w:topLinePunct w:val="0"/>
        <w:bidi w:val="0"/>
        <w:snapToGrid/>
        <w:spacing w:line="360" w:lineRule="exact"/>
        <w:ind w:firstLine="64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%时，其超过部分据实调整。</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第3种方式：其他价格调整方式：</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 xml:space="preserve">无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347"/>
    <w:bookmarkEnd w:id="348"/>
    <w:bookmarkEnd w:id="349"/>
    <w:bookmarkEnd w:id="350"/>
    <w:bookmarkEnd w:id="351"/>
    <w:bookmarkEnd w:id="352"/>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460" w:name="_Toc292559410"/>
      <w:bookmarkStart w:id="461" w:name="_Toc296891245"/>
      <w:bookmarkStart w:id="462" w:name="_Toc297120505"/>
      <w:bookmarkStart w:id="463" w:name="_Toc296347204"/>
      <w:bookmarkStart w:id="464" w:name="_Toc296944544"/>
      <w:bookmarkStart w:id="465" w:name="_Toc296503205"/>
      <w:bookmarkStart w:id="466" w:name="_Toc296346706"/>
      <w:bookmarkStart w:id="467" w:name="_Toc296891033"/>
      <w:bookmarkStart w:id="468" w:name="_Toc297048391"/>
      <w:bookmarkStart w:id="469" w:name="_Toc292559915"/>
      <w:bookmarkStart w:id="470" w:name="_Toc351203644"/>
      <w:bookmarkStart w:id="471" w:name="_Toc300935002"/>
      <w:bookmarkStart w:id="472" w:name="_Toc297216211"/>
      <w:bookmarkStart w:id="473" w:name="_Toc312678040"/>
      <w:bookmarkStart w:id="474" w:name="_Toc304295579"/>
      <w:bookmarkStart w:id="475" w:name="_Toc303539159"/>
      <w:bookmarkStart w:id="476" w:name="_Toc297123552"/>
      <w:r>
        <w:rPr>
          <w:rFonts w:hint="eastAsia" w:ascii="宋体" w:hAnsi="宋体" w:eastAsia="宋体" w:cs="宋体"/>
          <w:b w:val="0"/>
          <w:bCs w:val="0"/>
          <w:color w:val="000000"/>
          <w:sz w:val="24"/>
          <w:szCs w:val="24"/>
        </w:rPr>
        <w:t xml:space="preserve">12. </w:t>
      </w:r>
      <w:bookmarkEnd w:id="460"/>
      <w:bookmarkEnd w:id="461"/>
      <w:bookmarkEnd w:id="462"/>
      <w:bookmarkEnd w:id="463"/>
      <w:bookmarkEnd w:id="464"/>
      <w:bookmarkEnd w:id="465"/>
      <w:bookmarkEnd w:id="466"/>
      <w:bookmarkEnd w:id="467"/>
      <w:bookmarkEnd w:id="468"/>
      <w:bookmarkEnd w:id="469"/>
      <w:r>
        <w:rPr>
          <w:rFonts w:hint="eastAsia" w:ascii="宋体" w:hAnsi="宋体" w:eastAsia="宋体" w:cs="宋体"/>
          <w:b w:val="0"/>
          <w:bCs w:val="0"/>
          <w:color w:val="000000"/>
          <w:sz w:val="24"/>
          <w:szCs w:val="24"/>
        </w:rPr>
        <w:t>合同价格、计量与支付</w:t>
      </w:r>
      <w:bookmarkEnd w:id="470"/>
    </w:p>
    <w:bookmarkEnd w:id="471"/>
    <w:bookmarkEnd w:id="472"/>
    <w:bookmarkEnd w:id="473"/>
    <w:bookmarkEnd w:id="474"/>
    <w:bookmarkEnd w:id="475"/>
    <w:bookmarkEnd w:id="476"/>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bookmarkStart w:id="477" w:name="_Toc267251461"/>
      <w:bookmarkStart w:id="478" w:name="_Toc292559916"/>
      <w:bookmarkStart w:id="479" w:name="_Toc292559411"/>
      <w:bookmarkStart w:id="480" w:name="_Toc297120506"/>
      <w:bookmarkStart w:id="481" w:name="_Toc296503206"/>
      <w:bookmarkStart w:id="482" w:name="_Toc296346707"/>
      <w:bookmarkStart w:id="483" w:name="_Toc296347205"/>
      <w:bookmarkStart w:id="484" w:name="_Toc296944545"/>
      <w:bookmarkStart w:id="485" w:name="_Toc296891246"/>
      <w:bookmarkStart w:id="486" w:name="_Toc297048392"/>
      <w:bookmarkStart w:id="487" w:name="_Toc296891034"/>
      <w:bookmarkStart w:id="488" w:name="_Toc303539160"/>
      <w:bookmarkStart w:id="489" w:name="_Toc297216212"/>
      <w:bookmarkStart w:id="490" w:name="_Toc297123553"/>
      <w:bookmarkStart w:id="491" w:name="_Toc300935003"/>
      <w:bookmarkStart w:id="492" w:name="_Toc304295580"/>
      <w:bookmarkStart w:id="493" w:name="_Toc312678041"/>
      <w:r>
        <w:rPr>
          <w:rFonts w:hint="eastAsia" w:ascii="宋体" w:hAnsi="宋体" w:eastAsia="宋体" w:cs="宋体"/>
          <w:color w:val="000000"/>
          <w:sz w:val="24"/>
          <w:szCs w:val="24"/>
        </w:rPr>
        <w:t>12.1 合</w:t>
      </w:r>
      <w:bookmarkEnd w:id="477"/>
      <w:bookmarkEnd w:id="478"/>
      <w:bookmarkEnd w:id="479"/>
      <w:r>
        <w:rPr>
          <w:rFonts w:hint="eastAsia" w:ascii="宋体" w:hAnsi="宋体" w:eastAsia="宋体" w:cs="宋体"/>
          <w:color w:val="000000"/>
          <w:sz w:val="24"/>
          <w:szCs w:val="24"/>
        </w:rPr>
        <w:t>同价</w:t>
      </w:r>
      <w:bookmarkEnd w:id="480"/>
      <w:bookmarkEnd w:id="481"/>
      <w:bookmarkEnd w:id="482"/>
      <w:bookmarkEnd w:id="483"/>
      <w:bookmarkEnd w:id="484"/>
      <w:bookmarkEnd w:id="485"/>
      <w:bookmarkEnd w:id="486"/>
      <w:bookmarkEnd w:id="487"/>
      <w:r>
        <w:rPr>
          <w:rFonts w:hint="eastAsia" w:ascii="宋体" w:hAnsi="宋体" w:eastAsia="宋体" w:cs="宋体"/>
          <w:color w:val="000000"/>
          <w:sz w:val="24"/>
          <w:szCs w:val="24"/>
        </w:rPr>
        <w:t>格形式</w:t>
      </w:r>
    </w:p>
    <w:bookmarkEnd w:id="488"/>
    <w:bookmarkEnd w:id="489"/>
    <w:bookmarkEnd w:id="490"/>
    <w:bookmarkEnd w:id="491"/>
    <w:bookmarkEnd w:id="492"/>
    <w:bookmarkEnd w:id="493"/>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1、单价合同。</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综合单价包含的风险范围：</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2、总价合同。</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color w:val="000000"/>
          <w:sz w:val="24"/>
          <w:szCs w:val="24"/>
        </w:rPr>
        <w:t>总价包含的风险范围：</w:t>
      </w:r>
      <w:r>
        <w:rPr>
          <w:rFonts w:hint="eastAsia" w:ascii="宋体" w:hAnsi="宋体" w:eastAsia="宋体" w:cs="宋体"/>
          <w:b/>
          <w:sz w:val="24"/>
          <w:szCs w:val="24"/>
          <w:u w:val="single"/>
        </w:rPr>
        <w:t>合同价款在协议书内约定后，任何一方不得擅自改变。本工程采用固定总价合同，其中（1）：构成合同价款的项目总价及清单内工程数量一经发包人和承包人签定合同确定后不作调整，除工程变更外，工程量清单中的综合单价不因劳动力、机械设备等市场因素价格变化而变化。（2）当工程量清单项目工程量的变化幅度在±10%（含10%）以内时（清单错项的问题），其工程量不做调整，执行原有工程量。当工程量清单项目工程量的变化幅度在10%以外时，其工程量调整，调整方法为：超出10%的变化工程量×原综合单价；当清单出现漏项目，漏项造价超出投标报总价的2%时，2%以内（含2%）不予调整，超出2%部分按当地预算定额下浮5%结算。</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b/>
          <w:sz w:val="24"/>
          <w:szCs w:val="24"/>
          <w:u w:val="single"/>
        </w:rPr>
      </w:pPr>
      <w:r>
        <w:rPr>
          <w:rFonts w:hint="eastAsia" w:ascii="宋体" w:hAnsi="宋体" w:eastAsia="宋体" w:cs="宋体"/>
          <w:color w:val="000000"/>
          <w:sz w:val="24"/>
          <w:szCs w:val="24"/>
        </w:rPr>
        <w:t>风险范围以外合同价格的调整方法：</w:t>
      </w:r>
      <w:r>
        <w:rPr>
          <w:rFonts w:hint="eastAsia" w:ascii="宋体" w:hAnsi="宋体" w:eastAsia="宋体" w:cs="宋体"/>
          <w:b/>
          <w:sz w:val="24"/>
          <w:szCs w:val="24"/>
          <w:u w:val="single"/>
        </w:rPr>
        <w:t>除工程变更外，工程量清单中的综合单价不因劳动力、机械设备等市场因素价格变化而变化。由于设计变更发生工程数量的增减可相应增减措施项目费，调整方法为：变更项目造价占中标价的百分比乘以中标价中措施项目费用后的价值为变更增减项目措施费、规费、税金根据相关规定按实计取。</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b/>
          <w:sz w:val="24"/>
          <w:szCs w:val="24"/>
          <w:u w:val="single"/>
        </w:rPr>
      </w:pPr>
      <w:r>
        <w:rPr>
          <w:rFonts w:hint="eastAsia" w:ascii="宋体" w:hAnsi="宋体" w:eastAsia="宋体" w:cs="宋体"/>
          <w:color w:val="000000"/>
          <w:sz w:val="24"/>
          <w:szCs w:val="24"/>
        </w:rPr>
        <w:t>3、其他价格方式：</w:t>
      </w:r>
      <w:r>
        <w:rPr>
          <w:rFonts w:hint="eastAsia" w:ascii="宋体" w:hAnsi="宋体" w:eastAsia="宋体" w:cs="宋体"/>
          <w:b/>
          <w:sz w:val="24"/>
          <w:szCs w:val="24"/>
          <w:u w:val="single"/>
        </w:rPr>
        <w:t>承包人按《建设工程工程量清单计价规范》规定的工程量计算规则及本地区工程量清单计价， 以设计图纸、技术规范为依据进行计算，提交计量报告，经工程师计量确认后按工程量清单中的单价计算支付金额。措施项目清单的报价为包干费用，该费用结算不作调整（设计变更除外）。合同价中暂列金办法额是发包人为可能发生的工程量变更而预留的金额，并非支付给承包人的实际费用，应按实际完成的情况进行结算，剩余部分仍归发包人所有。措施项目费一经发包人和承包人签订合同确定后不作调整，除非由于设计变更发生工程数量的增减（不含材质的变化）可相应增减措施项目费。调整方法为 变更项目造价占中标价的百分比乘以中标价中的措施项目费后的价值为变更增减项目措施费、 规费、税金根据相关规定按实计取 。</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bookmarkStart w:id="494" w:name="_Toc312678042"/>
      <w:bookmarkStart w:id="495" w:name="_Toc303539161"/>
      <w:bookmarkStart w:id="496" w:name="_Toc304295581"/>
      <w:bookmarkStart w:id="497" w:name="_Toc297216213"/>
      <w:bookmarkStart w:id="498" w:name="_Toc300935004"/>
      <w:bookmarkStart w:id="499" w:name="_Toc297123554"/>
      <w:bookmarkStart w:id="500" w:name="_Toc296347206"/>
      <w:bookmarkStart w:id="501" w:name="_Toc297048393"/>
      <w:bookmarkStart w:id="502" w:name="_Toc296944546"/>
      <w:bookmarkStart w:id="503" w:name="_Toc297120507"/>
      <w:bookmarkStart w:id="504" w:name="_Toc296346708"/>
      <w:bookmarkStart w:id="505" w:name="_Toc296891247"/>
      <w:bookmarkStart w:id="506" w:name="_Toc296891035"/>
      <w:bookmarkStart w:id="507" w:name="_Toc292559412"/>
      <w:bookmarkStart w:id="508" w:name="_Toc292559917"/>
      <w:bookmarkStart w:id="509" w:name="_Toc296503207"/>
      <w:r>
        <w:rPr>
          <w:rFonts w:hint="eastAsia" w:ascii="宋体" w:hAnsi="宋体" w:eastAsia="宋体" w:cs="宋体"/>
          <w:color w:val="000000"/>
          <w:sz w:val="24"/>
          <w:szCs w:val="24"/>
        </w:rPr>
        <w:t>12.2 预付款</w:t>
      </w:r>
    </w:p>
    <w:bookmarkEnd w:id="494"/>
    <w:bookmarkEnd w:id="495"/>
    <w:bookmarkEnd w:id="496"/>
    <w:bookmarkEnd w:id="497"/>
    <w:bookmarkEnd w:id="498"/>
    <w:bookmarkEnd w:id="499"/>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12.2.1 预付款的支付</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b/>
          <w:color w:val="FF0000"/>
          <w:sz w:val="24"/>
          <w:szCs w:val="24"/>
          <w:u w:val="single"/>
        </w:rPr>
      </w:pPr>
      <w:r>
        <w:rPr>
          <w:rFonts w:hint="eastAsia" w:ascii="宋体" w:hAnsi="宋体" w:eastAsia="宋体" w:cs="宋体"/>
          <w:color w:val="000000"/>
          <w:sz w:val="24"/>
          <w:szCs w:val="24"/>
        </w:rPr>
        <w:t>预付款支付比例或金额：</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支付工程预付款额度为合同价（扣除暂列金后）的30%工程完成到一定程度再支付剩余的40%，直至工程竣工支付至合同价的95%，留    %的质保金</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预付款支付期限：</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开工报告批准后20天内</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预付款扣回的方式：</w:t>
      </w:r>
      <w:r>
        <w:rPr>
          <w:rFonts w:hint="eastAsia" w:ascii="宋体" w:hAnsi="宋体" w:eastAsia="宋体" w:cs="宋体"/>
          <w:b/>
          <w:sz w:val="24"/>
          <w:szCs w:val="24"/>
          <w:u w:val="single"/>
        </w:rPr>
        <w:t>工程预付款一次扣回</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12.2.2 预付款担保</w:t>
      </w:r>
    </w:p>
    <w:p>
      <w:pPr>
        <w:pageBreakBefore w:val="0"/>
        <w:widowControl w:val="0"/>
        <w:kinsoku/>
        <w:wordWrap/>
        <w:overflowPunct/>
        <w:topLinePunct w:val="0"/>
        <w:bidi w:val="0"/>
        <w:snapToGrid/>
        <w:spacing w:line="36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承包人提交预付款担保的期限：</w:t>
      </w:r>
      <w:r>
        <w:rPr>
          <w:rFonts w:hint="eastAsia" w:ascii="宋体" w:hAnsi="宋体" w:eastAsia="宋体" w:cs="宋体"/>
          <w:b/>
          <w:color w:val="000000"/>
          <w:sz w:val="24"/>
          <w:szCs w:val="24"/>
          <w:u w:val="single"/>
        </w:rPr>
        <w:t xml:space="preserve">      无              </w:t>
      </w:r>
      <w:r>
        <w:rPr>
          <w:rFonts w:hint="eastAsia" w:ascii="宋体" w:hAnsi="宋体" w:eastAsia="宋体" w:cs="宋体"/>
          <w:b/>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预付款担保的形式为：</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500"/>
    <w:bookmarkEnd w:id="501"/>
    <w:bookmarkEnd w:id="502"/>
    <w:bookmarkEnd w:id="503"/>
    <w:bookmarkEnd w:id="504"/>
    <w:bookmarkEnd w:id="505"/>
    <w:bookmarkEnd w:id="506"/>
    <w:bookmarkEnd w:id="507"/>
    <w:bookmarkEnd w:id="508"/>
    <w:bookmarkEnd w:id="509"/>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 计量</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工程量计算规则：</w:t>
      </w:r>
      <w:r>
        <w:rPr>
          <w:rFonts w:hint="eastAsia" w:ascii="宋体" w:hAnsi="宋体" w:eastAsia="宋体" w:cs="宋体"/>
          <w:b/>
          <w:sz w:val="24"/>
          <w:szCs w:val="24"/>
          <w:u w:val="single"/>
        </w:rPr>
        <w:t xml:space="preserve">按每月经监理公司、承包人、发包人委托的造价咨询单位等三方审核确认的工程进度报表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关于计量周期的约定：</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每月20日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12.3.3 单价合同的计量</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关于单价合同计量的约定：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12.3.4 总价合同的计量</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关于总价合同计量的约定：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由承包方人、监理人、造价审计单位、发包人四方工程认可的为准</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12.3.5总价合同采用支付分解表计量支付的，是否适用第</w:t>
      </w:r>
      <w:r>
        <w:rPr>
          <w:rFonts w:hint="eastAsia" w:ascii="宋体" w:hAnsi="宋体" w:eastAsia="宋体" w:cs="宋体"/>
          <w:color w:val="000000"/>
          <w:kern w:val="0"/>
          <w:sz w:val="24"/>
          <w:szCs w:val="24"/>
        </w:rPr>
        <w:t xml:space="preserve">12.3.4 </w:t>
      </w:r>
      <w:r>
        <w:rPr>
          <w:rFonts w:hint="eastAsia" w:ascii="宋体" w:hAnsi="宋体" w:eastAsia="宋体" w:cs="宋体"/>
          <w:color w:val="000000"/>
          <w:sz w:val="24"/>
          <w:szCs w:val="24"/>
        </w:rPr>
        <w:t>项</w:t>
      </w:r>
      <w:r>
        <w:rPr>
          <w:rFonts w:hint="eastAsia" w:ascii="宋体" w:hAnsi="宋体" w:eastAsia="宋体" w:cs="宋体"/>
          <w:color w:val="000000"/>
          <w:kern w:val="0"/>
          <w:sz w:val="24"/>
          <w:szCs w:val="24"/>
        </w:rPr>
        <w:t>〔总价合同的计量〕</w:t>
      </w:r>
      <w:r>
        <w:rPr>
          <w:rFonts w:hint="eastAsia" w:ascii="宋体" w:hAnsi="宋体" w:eastAsia="宋体" w:cs="宋体"/>
          <w:color w:val="000000"/>
          <w:sz w:val="24"/>
          <w:szCs w:val="24"/>
        </w:rPr>
        <w:t>约定进行计量：</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12.3.6 其他价格形式合同的计量</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其他价格形式的计量方式和程序：</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 工程进度款支付</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bookmarkStart w:id="510" w:name="_Toc292559921"/>
      <w:bookmarkStart w:id="511" w:name="_Toc296891251"/>
      <w:bookmarkStart w:id="512" w:name="_Toc303539163"/>
      <w:bookmarkStart w:id="513" w:name="_Toc300935006"/>
      <w:bookmarkStart w:id="514" w:name="_Toc296891039"/>
      <w:bookmarkStart w:id="515" w:name="_Toc296346712"/>
      <w:bookmarkStart w:id="516" w:name="_Toc297120511"/>
      <w:bookmarkStart w:id="517" w:name="_Toc297123556"/>
      <w:bookmarkStart w:id="518" w:name="_Toc297216215"/>
      <w:bookmarkStart w:id="519" w:name="_Toc296347210"/>
      <w:bookmarkStart w:id="520" w:name="_Toc296503211"/>
      <w:bookmarkStart w:id="521" w:name="_Toc292559416"/>
      <w:bookmarkStart w:id="522" w:name="_Toc296944550"/>
      <w:bookmarkStart w:id="523" w:name="_Toc297048397"/>
      <w:r>
        <w:rPr>
          <w:rFonts w:hint="eastAsia" w:ascii="宋体" w:hAnsi="宋体" w:eastAsia="宋体" w:cs="宋体"/>
          <w:color w:val="000000"/>
          <w:sz w:val="24"/>
          <w:szCs w:val="24"/>
        </w:rPr>
        <w:t>12.4.1 付款周期</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关于付款周期的约定：</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按月支付进度款</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12.4.2 进度付款申请单的编制</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关于进度付款申请单编制的约定：</w:t>
      </w:r>
      <w:r>
        <w:rPr>
          <w:rFonts w:hint="eastAsia" w:ascii="宋体" w:hAnsi="宋体" w:eastAsia="宋体" w:cs="宋体"/>
          <w:b/>
          <w:color w:val="000000"/>
          <w:sz w:val="24"/>
          <w:szCs w:val="24"/>
          <w:u w:val="single"/>
        </w:rPr>
        <w:t>按每月经监理公司、发包人委托的造价咨询单位等两方审核确认的工程进度报表支付，预付款一次扣回。以审计机关的审计价为工程结算依据。工程结算后付至结算价款的95%，留     %的结算价款作为工程质保金，质保期满经确认无遗留问题一周内返还。工程款必须专用不得挪用。</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Pr>
          <w:rFonts w:hint="eastAsia" w:ascii="宋体" w:hAnsi="宋体" w:eastAsia="宋体" w:cs="宋体"/>
          <w:color w:val="000000"/>
          <w:sz w:val="24"/>
          <w:szCs w:val="24"/>
        </w:rPr>
        <w:t>2.4.3 进度付款申请单的提交</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（1）单价合同进度付款申请单提交的约定：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每月20日前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（3）其他价格形式合同进度付款申请单提交的约定：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12.4.4 进度款审核和支付</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（1）监理人审查并报送发包人的期限：</w:t>
      </w:r>
      <w:r>
        <w:rPr>
          <w:rFonts w:hint="eastAsia" w:ascii="宋体" w:hAnsi="宋体" w:eastAsia="宋体" w:cs="宋体"/>
          <w:b/>
          <w:sz w:val="24"/>
          <w:szCs w:val="24"/>
          <w:u w:val="single"/>
        </w:rPr>
        <w:t xml:space="preserve">收到申请7天内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发包人完成审批并签发进度款支付证书的期限：</w:t>
      </w:r>
      <w:r>
        <w:rPr>
          <w:rFonts w:hint="eastAsia" w:ascii="宋体" w:hAnsi="宋体" w:eastAsia="宋体" w:cs="宋体"/>
          <w:b/>
          <w:sz w:val="24"/>
          <w:szCs w:val="24"/>
          <w:u w:val="single"/>
        </w:rPr>
        <w:t xml:space="preserve">收到申请7天内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（2）发包人支付进度款的期限：</w:t>
      </w:r>
      <w:r>
        <w:rPr>
          <w:rFonts w:hint="eastAsia" w:ascii="宋体" w:hAnsi="宋体" w:eastAsia="宋体" w:cs="宋体"/>
          <w:b/>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b/>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发包人逾期支付进度款的违约金的计算方式：</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 xml:space="preserve">无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600" w:firstLineChars="2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12.4.6 支付分解表的编制</w:t>
      </w:r>
    </w:p>
    <w:p>
      <w:pPr>
        <w:pageBreakBefore w:val="0"/>
        <w:widowControl w:val="0"/>
        <w:kinsoku/>
        <w:wordWrap/>
        <w:overflowPunct/>
        <w:topLinePunct w:val="0"/>
        <w:bidi w:val="0"/>
        <w:snapToGrid/>
        <w:spacing w:line="360" w:lineRule="exact"/>
        <w:ind w:left="4200" w:hanging="4800" w:hangingChars="20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2、总价合同支付分解表的编制与审批：</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3、单价合同的总价项目支付分解表的编制与审批：</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353"/>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524" w:name="_Toc351203645"/>
      <w:bookmarkStart w:id="525" w:name="_Toc297216223"/>
      <w:bookmarkStart w:id="526" w:name="_Toc296503219"/>
      <w:bookmarkStart w:id="527" w:name="_Toc300935015"/>
      <w:bookmarkStart w:id="528" w:name="_Toc296944558"/>
      <w:bookmarkStart w:id="529" w:name="_Toc296891259"/>
      <w:bookmarkStart w:id="530" w:name="_Toc312678053"/>
      <w:bookmarkStart w:id="531" w:name="_Toc303539172"/>
      <w:bookmarkStart w:id="532" w:name="_Toc296891047"/>
      <w:bookmarkStart w:id="533" w:name="_Toc292559424"/>
      <w:bookmarkStart w:id="534" w:name="_Toc292559929"/>
      <w:bookmarkStart w:id="535" w:name="_Toc296346720"/>
      <w:bookmarkStart w:id="536" w:name="_Toc304295593"/>
      <w:bookmarkStart w:id="537" w:name="_Toc296347218"/>
      <w:bookmarkStart w:id="538" w:name="_Toc297048405"/>
      <w:bookmarkStart w:id="539" w:name="_Toc297120519"/>
      <w:bookmarkStart w:id="540" w:name="_Toc297123564"/>
      <w:r>
        <w:rPr>
          <w:rFonts w:hint="eastAsia" w:ascii="宋体" w:hAnsi="宋体" w:eastAsia="宋体" w:cs="宋体"/>
          <w:b w:val="0"/>
          <w:bCs w:val="0"/>
          <w:color w:val="000000"/>
          <w:sz w:val="24"/>
          <w:szCs w:val="24"/>
        </w:rPr>
        <w:t>13. 验收和工程试车</w:t>
      </w:r>
      <w:bookmarkEnd w:id="524"/>
    </w:p>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 分部分项工程验收</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b/>
          <w:bCs/>
          <w:color w:val="000000"/>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48</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bookmarkStart w:id="541" w:name="_Toc304295596"/>
      <w:bookmarkStart w:id="542" w:name="_Toc296346724"/>
      <w:bookmarkStart w:id="543" w:name="_Toc297216224"/>
      <w:bookmarkStart w:id="544" w:name="_Toc312678056"/>
      <w:bookmarkStart w:id="545" w:name="_Toc296347222"/>
      <w:bookmarkStart w:id="546" w:name="_Toc296503223"/>
      <w:bookmarkStart w:id="547" w:name="_Toc300935016"/>
      <w:bookmarkStart w:id="548" w:name="_Toc296944562"/>
      <w:bookmarkStart w:id="549" w:name="_Toc303539173"/>
      <w:bookmarkStart w:id="550" w:name="_Toc297123565"/>
      <w:bookmarkStart w:id="551" w:name="_Toc296891263"/>
      <w:bookmarkStart w:id="552" w:name="_Toc296891051"/>
      <w:bookmarkStart w:id="553" w:name="_Toc297120523"/>
      <w:bookmarkStart w:id="554" w:name="_Toc292559428"/>
      <w:bookmarkStart w:id="555" w:name="_Toc297048409"/>
      <w:bookmarkStart w:id="556" w:name="_Toc292559933"/>
      <w:bookmarkStart w:id="557" w:name="_Toc267251474"/>
      <w:bookmarkStart w:id="558" w:name="_Toc267251473"/>
      <w:bookmarkStart w:id="559" w:name="_Toc267251470"/>
      <w:bookmarkStart w:id="560" w:name="_Toc267251475"/>
      <w:bookmarkStart w:id="561" w:name="_Toc267251472"/>
      <w:bookmarkStart w:id="562" w:name="_Toc267251471"/>
      <w:bookmarkStart w:id="563" w:name="_Toc267251476"/>
      <w:r>
        <w:rPr>
          <w:rFonts w:hint="eastAsia" w:ascii="宋体" w:hAnsi="宋体" w:eastAsia="宋体" w:cs="宋体"/>
          <w:color w:val="000000"/>
          <w:sz w:val="24"/>
          <w:szCs w:val="24"/>
        </w:rPr>
        <w:t>13.2 竣工验收</w:t>
      </w:r>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bookmarkStart w:id="564" w:name="_Toc280868704"/>
      <w:bookmarkStart w:id="565" w:name="_Toc280868705"/>
      <w:bookmarkStart w:id="566" w:name="_Toc280868706"/>
      <w:bookmarkStart w:id="567" w:name="_Toc280868707"/>
      <w:bookmarkStart w:id="568" w:name="_Toc280868708"/>
      <w:bookmarkStart w:id="569" w:name="_Toc280868709"/>
      <w:r>
        <w:rPr>
          <w:rFonts w:hint="eastAsia" w:ascii="宋体" w:hAnsi="宋体" w:eastAsia="宋体" w:cs="宋体"/>
          <w:color w:val="000000"/>
          <w:sz w:val="24"/>
          <w:szCs w:val="24"/>
        </w:rPr>
        <w:t>13.2.2竣工验收程序</w:t>
      </w:r>
    </w:p>
    <w:bookmarkEnd w:id="564"/>
    <w:p>
      <w:pPr>
        <w:pageBreakBefore w:val="0"/>
        <w:widowControl w:val="0"/>
        <w:kinsoku/>
        <w:wordWrap/>
        <w:overflowPunct/>
        <w:topLinePunct w:val="0"/>
        <w:bidi w:val="0"/>
        <w:snapToGrid/>
        <w:spacing w:line="360" w:lineRule="exact"/>
        <w:ind w:left="4200" w:hanging="4800" w:hangingChars="2000"/>
        <w:textAlignment w:val="auto"/>
        <w:rPr>
          <w:rFonts w:hint="eastAsia" w:ascii="宋体" w:hAnsi="宋体" w:eastAsia="宋体" w:cs="宋体"/>
          <w:b/>
          <w:sz w:val="24"/>
          <w:szCs w:val="24"/>
          <w:u w:val="single"/>
        </w:rPr>
      </w:pPr>
      <w:r>
        <w:rPr>
          <w:rFonts w:hint="eastAsia" w:ascii="宋体" w:hAnsi="宋体" w:eastAsia="宋体" w:cs="宋体"/>
          <w:color w:val="000000"/>
          <w:kern w:val="0"/>
          <w:sz w:val="24"/>
          <w:szCs w:val="24"/>
        </w:rPr>
        <w:t>关于竣工验收程序的约定</w:t>
      </w:r>
      <w:r>
        <w:rPr>
          <w:rFonts w:hint="eastAsia" w:ascii="宋体" w:hAnsi="宋体" w:eastAsia="宋体" w:cs="宋体"/>
          <w:kern w:val="0"/>
          <w:sz w:val="24"/>
          <w:szCs w:val="24"/>
        </w:rPr>
        <w:t>：</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发包人不按照本项约定组织竣工验收、颁发工程接收证书的违约金的计算方法：</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 无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565"/>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13.2.5移交、接收全部与部分工程</w:t>
      </w:r>
    </w:p>
    <w:bookmarkEnd w:id="566"/>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承包人向发包人移交工程的期限：</w:t>
      </w:r>
      <w:r>
        <w:rPr>
          <w:rFonts w:hint="eastAsia" w:ascii="宋体" w:hAnsi="宋体" w:eastAsia="宋体" w:cs="宋体"/>
          <w:b/>
          <w:sz w:val="24"/>
          <w:szCs w:val="24"/>
          <w:u w:val="single"/>
        </w:rPr>
        <w:t xml:space="preserve">按照发包人约定执行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发包人未按本合同约定接收全部或部分工程的，违约金的计算方法为：</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567"/>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承包人未按时移交工程的，违约金的计算方法为：</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13.3 工程试车</w:t>
      </w:r>
    </w:p>
    <w:bookmarkEnd w:id="568"/>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 试车程序</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工程试车内容：</w:t>
      </w:r>
      <w:r>
        <w:rPr>
          <w:rFonts w:hint="eastAsia" w:ascii="宋体" w:hAnsi="宋体" w:eastAsia="宋体" w:cs="宋体"/>
          <w:color w:val="000000"/>
          <w:sz w:val="24"/>
          <w:szCs w:val="24"/>
          <w:u w:val="single"/>
        </w:rPr>
        <w:t xml:space="preserve"> /     （按实际情况确定）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（1）单机无负荷试车费用由</w:t>
      </w:r>
      <w:r>
        <w:rPr>
          <w:rFonts w:hint="eastAsia" w:ascii="宋体" w:hAnsi="宋体" w:eastAsia="宋体" w:cs="宋体"/>
          <w:color w:val="000000"/>
          <w:sz w:val="24"/>
          <w:szCs w:val="24"/>
          <w:u w:val="single"/>
        </w:rPr>
        <w:t xml:space="preserve"> （由承包人承担、费用含在合同价中）</w:t>
      </w:r>
      <w:r>
        <w:rPr>
          <w:rFonts w:hint="eastAsia" w:ascii="宋体" w:hAnsi="宋体" w:eastAsia="宋体" w:cs="宋体"/>
          <w:color w:val="000000"/>
          <w:kern w:val="0"/>
          <w:sz w:val="24"/>
          <w:szCs w:val="24"/>
        </w:rPr>
        <w:t>承担；</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（2）无负荷联动试车费用由</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承担。</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13.3.3 投料试车</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关于投料试车相关事项的约定：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13.6 竣工退场</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 竣工退场</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承包人完成竣工退场的期限：</w:t>
      </w:r>
      <w:r>
        <w:rPr>
          <w:rFonts w:hint="eastAsia" w:ascii="宋体" w:hAnsi="宋体" w:eastAsia="宋体" w:cs="宋体"/>
          <w:b/>
          <w:sz w:val="24"/>
          <w:szCs w:val="24"/>
          <w:u w:val="single"/>
        </w:rPr>
        <w:t xml:space="preserve">按照发包人要求执行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570" w:name="_Toc351203646"/>
      <w:r>
        <w:rPr>
          <w:rFonts w:hint="eastAsia" w:ascii="宋体" w:hAnsi="宋体" w:eastAsia="宋体" w:cs="宋体"/>
          <w:b w:val="0"/>
          <w:bCs w:val="0"/>
          <w:color w:val="000000"/>
          <w:sz w:val="24"/>
          <w:szCs w:val="24"/>
        </w:rPr>
        <w:t>14. 竣工结算</w:t>
      </w:r>
      <w:bookmarkEnd w:id="570"/>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14.1 竣工付款申请</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承包人提交竣工付款申请单的期限：</w:t>
      </w:r>
      <w:r>
        <w:rPr>
          <w:rFonts w:hint="eastAsia" w:ascii="宋体" w:hAnsi="宋体" w:eastAsia="宋体" w:cs="宋体"/>
          <w:b/>
          <w:sz w:val="24"/>
          <w:szCs w:val="24"/>
          <w:u w:val="single"/>
        </w:rPr>
        <w:t>工程竣工验收合格后28天内</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竣工付款申请单应包括的内容：</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按通用条款执行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14.2 竣工结算审核</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发包人审批竣工付款申请单的期限：</w:t>
      </w:r>
      <w:r>
        <w:rPr>
          <w:rFonts w:hint="eastAsia" w:ascii="宋体" w:hAnsi="宋体" w:eastAsia="宋体" w:cs="宋体"/>
          <w:b/>
          <w:sz w:val="24"/>
          <w:szCs w:val="24"/>
          <w:u w:val="single"/>
        </w:rPr>
        <w:t xml:space="preserve">无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发包人完成竣工付款的期限：</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无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关于竣工付款证书异议部分复核的方式和程序：</w:t>
      </w:r>
      <w:r>
        <w:rPr>
          <w:rFonts w:hint="eastAsia" w:ascii="宋体" w:hAnsi="宋体" w:eastAsia="宋体" w:cs="宋体"/>
          <w:b/>
          <w:sz w:val="24"/>
          <w:szCs w:val="24"/>
          <w:u w:val="single"/>
        </w:rPr>
        <w:t xml:space="preserve">无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14.4 最终结清</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承包人提交最终结清申请单的份数：</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八份</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承包人提交最终结算申请单的期限：</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 缺陷责任期满后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sz w:val="24"/>
          <w:szCs w:val="24"/>
        </w:rPr>
        <w:t xml:space="preserve"> </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14.4.2 最终结清证书和支付</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无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 xml:space="preserve">无                        </w:t>
      </w:r>
      <w:r>
        <w:rPr>
          <w:rFonts w:hint="eastAsia" w:ascii="宋体" w:hAnsi="宋体" w:eastAsia="宋体" w:cs="宋体"/>
          <w:color w:val="000000"/>
          <w:sz w:val="24"/>
          <w:szCs w:val="24"/>
        </w:rPr>
        <w:t>。</w:t>
      </w:r>
    </w:p>
    <w:bookmarkEnd w:id="557"/>
    <w:bookmarkEnd w:id="558"/>
    <w:bookmarkEnd w:id="559"/>
    <w:bookmarkEnd w:id="560"/>
    <w:bookmarkEnd w:id="561"/>
    <w:bookmarkEnd w:id="562"/>
    <w:bookmarkEnd w:id="563"/>
    <w:bookmarkEnd w:id="569"/>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571" w:name="_Toc351203647"/>
      <w:bookmarkStart w:id="572" w:name="_Toc267251483"/>
      <w:bookmarkStart w:id="573" w:name="_Toc267251484"/>
      <w:bookmarkStart w:id="574" w:name="_Toc267251482"/>
      <w:bookmarkStart w:id="575" w:name="_Toc267251485"/>
      <w:bookmarkStart w:id="576" w:name="_Toc267251489"/>
      <w:bookmarkStart w:id="577" w:name="_Toc267251490"/>
      <w:bookmarkStart w:id="578" w:name="_Toc267251486"/>
      <w:bookmarkStart w:id="579" w:name="_Toc267251488"/>
      <w:bookmarkStart w:id="580" w:name="_Toc267251502"/>
      <w:bookmarkStart w:id="581" w:name="_Toc267251494"/>
      <w:bookmarkStart w:id="582" w:name="_Toc267251503"/>
      <w:bookmarkStart w:id="583" w:name="_Toc267251492"/>
      <w:bookmarkStart w:id="584" w:name="_Toc267251497"/>
      <w:bookmarkStart w:id="585" w:name="_Toc267251501"/>
      <w:bookmarkStart w:id="586" w:name="_Toc267251495"/>
      <w:bookmarkStart w:id="587" w:name="_Toc267251499"/>
      <w:bookmarkStart w:id="588" w:name="_Toc267251496"/>
      <w:bookmarkStart w:id="589" w:name="_Toc267251498"/>
      <w:bookmarkStart w:id="590" w:name="_Toc267251493"/>
      <w:bookmarkStart w:id="591" w:name="_Toc267251491"/>
      <w:bookmarkStart w:id="592" w:name="_Toc267251504"/>
      <w:bookmarkStart w:id="593" w:name="_Toc267251506"/>
      <w:bookmarkStart w:id="594" w:name="_Toc267251507"/>
      <w:bookmarkStart w:id="595" w:name="_Toc267251508"/>
      <w:bookmarkStart w:id="596" w:name="_Toc267251509"/>
      <w:bookmarkStart w:id="597" w:name="_Toc267251514"/>
      <w:bookmarkStart w:id="598" w:name="_Toc267251510"/>
      <w:bookmarkStart w:id="599" w:name="_Toc267251511"/>
      <w:bookmarkStart w:id="600" w:name="_Toc267251513"/>
      <w:bookmarkStart w:id="601" w:name="_Toc267251515"/>
      <w:r>
        <w:rPr>
          <w:rFonts w:hint="eastAsia" w:ascii="宋体" w:hAnsi="宋体" w:eastAsia="宋体" w:cs="宋体"/>
          <w:b w:val="0"/>
          <w:bCs w:val="0"/>
          <w:color w:val="000000"/>
          <w:sz w:val="24"/>
          <w:szCs w:val="24"/>
        </w:rPr>
        <w:t>15. 缺陷责任期与保修</w:t>
      </w:r>
      <w:bookmarkEnd w:id="571"/>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000000"/>
          <w:sz w:val="24"/>
          <w:szCs w:val="24"/>
        </w:rPr>
        <w:t>15.2缺陷责任期</w:t>
      </w:r>
      <w:bookmarkEnd w:id="572"/>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缺陷责任期的具体期限：</w:t>
      </w:r>
      <w:r>
        <w:rPr>
          <w:rFonts w:hint="eastAsia" w:ascii="宋体" w:hAnsi="宋体" w:eastAsia="宋体" w:cs="宋体"/>
          <w:sz w:val="24"/>
          <w:szCs w:val="24"/>
          <w:u w:val="single"/>
        </w:rPr>
        <w:t xml:space="preserve"> 竣工验收后</w:t>
      </w:r>
      <w:r>
        <w:rPr>
          <w:rFonts w:hint="eastAsia" w:ascii="宋体" w:hAnsi="宋体" w:eastAsia="宋体" w:cs="宋体"/>
          <w:b/>
          <w:sz w:val="24"/>
          <w:szCs w:val="24"/>
          <w:u w:val="single"/>
        </w:rPr>
        <w:t>12个月</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15.3 质量保证金</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关于是否扣留质量保证金的约定：</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扣留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15.3.1 承包人提供质量保证金的方式</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质量保证金采用以下第</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（1）质量保证金保函，保证金额为：</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u w:val="single"/>
        </w:rPr>
        <w:t xml:space="preserve"> </w:t>
      </w:r>
      <w:r>
        <w:rPr>
          <w:rFonts w:hint="eastAsia" w:ascii="宋体" w:hAnsi="宋体" w:eastAsia="宋体" w:cs="宋体"/>
          <w:b/>
          <w:sz w:val="24"/>
          <w:szCs w:val="24"/>
          <w:u w:val="single"/>
        </w:rPr>
        <w:t>3</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（3）其他方式:</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15.3.2 质量保证金的扣留 </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质量保证金的扣留采取以下第</w:t>
      </w:r>
      <w:r>
        <w:rPr>
          <w:rFonts w:hint="eastAsia" w:ascii="宋体" w:hAnsi="宋体" w:eastAsia="宋体" w:cs="宋体"/>
          <w:color w:val="000000"/>
          <w:sz w:val="24"/>
          <w:szCs w:val="24"/>
          <w:u w:val="single"/>
        </w:rPr>
        <w:t xml:space="preserve"> </w:t>
      </w:r>
      <w:r>
        <w:rPr>
          <w:rFonts w:hint="eastAsia" w:ascii="宋体" w:hAnsi="宋体" w:eastAsia="宋体" w:cs="宋体"/>
          <w:b/>
          <w:sz w:val="24"/>
          <w:szCs w:val="24"/>
          <w:u w:val="single"/>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（2）工程竣工结算时一次性扣留质量保证金；</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（3）其他扣留方式:</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关于质量保证金的补充约定：</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bookmarkEnd w:id="573"/>
    <w:bookmarkEnd w:id="574"/>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15.4保修</w:t>
      </w:r>
    </w:p>
    <w:bookmarkEnd w:id="575"/>
    <w:p>
      <w:pPr>
        <w:pageBreakBefore w:val="0"/>
        <w:widowControl w:val="0"/>
        <w:kinsoku/>
        <w:wordWrap/>
        <w:overflowPunct/>
        <w:topLinePunct w:val="0"/>
        <w:bidi w:val="0"/>
        <w:snapToGrid/>
        <w:spacing w:line="360" w:lineRule="exact"/>
        <w:ind w:firstLine="468" w:firstLineChars="19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15.4.1 保修责任</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工程保修期为：</w:t>
      </w:r>
      <w:r>
        <w:rPr>
          <w:rFonts w:hint="eastAsia" w:ascii="宋体" w:hAnsi="宋体" w:eastAsia="宋体" w:cs="宋体"/>
          <w:color w:val="000000"/>
          <w:kern w:val="0"/>
          <w:sz w:val="24"/>
          <w:szCs w:val="24"/>
          <w:u w:val="single"/>
        </w:rPr>
        <w:t xml:space="preserve">      </w:t>
      </w:r>
      <w:r>
        <w:rPr>
          <w:rFonts w:hint="eastAsia" w:ascii="宋体" w:hAnsi="宋体" w:eastAsia="宋体" w:cs="宋体"/>
          <w:b/>
          <w:sz w:val="24"/>
          <w:szCs w:val="24"/>
          <w:u w:val="single"/>
        </w:rPr>
        <w:t>见工程质量保修书</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68" w:firstLineChars="19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15.4.3 修复通知</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承包人收到保修通知并到达工程现场的合理时间：</w:t>
      </w:r>
      <w:r>
        <w:rPr>
          <w:rFonts w:hint="eastAsia" w:ascii="宋体" w:hAnsi="宋体" w:eastAsia="宋体" w:cs="宋体"/>
          <w:color w:val="000000"/>
          <w:kern w:val="0"/>
          <w:sz w:val="24"/>
          <w:szCs w:val="24"/>
          <w:u w:val="single"/>
        </w:rPr>
        <w:t xml:space="preserve">  </w:t>
      </w:r>
      <w:r>
        <w:rPr>
          <w:rFonts w:hint="eastAsia" w:ascii="宋体" w:hAnsi="宋体" w:eastAsia="宋体" w:cs="宋体"/>
          <w:b/>
          <w:sz w:val="24"/>
          <w:szCs w:val="24"/>
          <w:u w:val="single"/>
        </w:rPr>
        <w:t>收到通知后24小时内</w:t>
      </w:r>
      <w:r>
        <w:rPr>
          <w:rFonts w:hint="eastAsia" w:ascii="宋体" w:hAnsi="宋体" w:eastAsia="宋体" w:cs="宋体"/>
          <w:color w:val="000000"/>
          <w:kern w:val="0"/>
          <w:sz w:val="24"/>
          <w:szCs w:val="24"/>
        </w:rPr>
        <w:t>。</w:t>
      </w:r>
    </w:p>
    <w:bookmarkEnd w:id="576"/>
    <w:bookmarkEnd w:id="577"/>
    <w:bookmarkEnd w:id="578"/>
    <w:bookmarkEnd w:id="579"/>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602" w:name="_Toc351203648"/>
      <w:bookmarkStart w:id="603" w:name="_Toc280868717"/>
      <w:bookmarkStart w:id="604" w:name="_Toc280868718"/>
      <w:r>
        <w:rPr>
          <w:rFonts w:hint="eastAsia" w:ascii="宋体" w:hAnsi="宋体" w:eastAsia="宋体" w:cs="宋体"/>
          <w:b w:val="0"/>
          <w:bCs w:val="0"/>
          <w:color w:val="000000"/>
          <w:sz w:val="24"/>
          <w:szCs w:val="24"/>
        </w:rPr>
        <w:t>16. 违约</w:t>
      </w:r>
      <w:bookmarkEnd w:id="602"/>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 发包人违约</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16.1.1发包人违约的情形</w:t>
      </w:r>
    </w:p>
    <w:p>
      <w:pPr>
        <w:pageBreakBefore w:val="0"/>
        <w:widowControl w:val="0"/>
        <w:kinsoku/>
        <w:wordWrap/>
        <w:overflowPunct/>
        <w:topLinePunct w:val="0"/>
        <w:bidi w:val="0"/>
        <w:snapToGrid/>
        <w:spacing w:line="360" w:lineRule="exact"/>
        <w:ind w:left="1050" w:hanging="1200" w:hangingChars="5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发包人违约的其他情形：</w:t>
      </w:r>
      <w:r>
        <w:rPr>
          <w:rFonts w:hint="eastAsia" w:ascii="宋体" w:hAnsi="宋体" w:eastAsia="宋体" w:cs="宋体"/>
          <w:color w:val="000000"/>
          <w:kern w:val="0"/>
          <w:sz w:val="24"/>
          <w:szCs w:val="24"/>
          <w:u w:val="single"/>
        </w:rPr>
        <w:t xml:space="preserve">              </w:t>
      </w:r>
      <w:r>
        <w:rPr>
          <w:rFonts w:hint="eastAsia" w:ascii="宋体" w:hAnsi="宋体" w:eastAsia="宋体" w:cs="宋体"/>
          <w:b/>
          <w:color w:val="000000"/>
          <w:kern w:val="0"/>
          <w:sz w:val="24"/>
          <w:szCs w:val="24"/>
          <w:u w:val="single"/>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left="1050" w:hanging="1200" w:hangingChars="5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16.1.2 发包人违约的责任</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发包人违约责任的承担方式和计算方法：</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（1）因发包人原因未能在计划开工日期前7天内下达开工通知的违约责任：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b/>
          <w:color w:val="000000"/>
          <w:kern w:val="0"/>
          <w:sz w:val="24"/>
          <w:szCs w:val="24"/>
          <w:u w:val="single"/>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（2）因发包人原因未能按合同约定支付合同价款的违约责任：</w:t>
      </w:r>
      <w:r>
        <w:rPr>
          <w:rFonts w:hint="eastAsia" w:ascii="宋体" w:hAnsi="宋体" w:eastAsia="宋体" w:cs="宋体"/>
          <w:b/>
          <w:color w:val="000000"/>
          <w:kern w:val="0"/>
          <w:sz w:val="24"/>
          <w:szCs w:val="24"/>
          <w:u w:val="single"/>
        </w:rPr>
        <w:t xml:space="preserve">无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（3）发包人违反第10.1款〔变更的范围〕第（2）项约定，自行实施被取消的工作或转由他人实施的违约责任：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b/>
          <w:color w:val="000000"/>
          <w:kern w:val="0"/>
          <w:sz w:val="24"/>
          <w:szCs w:val="24"/>
          <w:u w:val="single"/>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b/>
          <w:color w:val="000000"/>
          <w:kern w:val="0"/>
          <w:sz w:val="24"/>
          <w:szCs w:val="24"/>
          <w:u w:val="single"/>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（5）因发包人违反合同约定造成暂停施工的违约责任：</w:t>
      </w:r>
      <w:r>
        <w:rPr>
          <w:rFonts w:hint="eastAsia" w:ascii="宋体" w:hAnsi="宋体" w:eastAsia="宋体" w:cs="宋体"/>
          <w:color w:val="000000"/>
          <w:kern w:val="0"/>
          <w:sz w:val="24"/>
          <w:szCs w:val="24"/>
          <w:u w:val="single"/>
        </w:rPr>
        <w:t xml:space="preserve">     </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b/>
          <w:color w:val="000000"/>
          <w:kern w:val="0"/>
          <w:sz w:val="24"/>
          <w:szCs w:val="24"/>
          <w:u w:val="single"/>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（6）发包人无正当理由没有在约定期限内发出复工指示，导致承包人无法复工的违约责任：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b/>
          <w:color w:val="000000"/>
          <w:kern w:val="0"/>
          <w:sz w:val="24"/>
          <w:szCs w:val="24"/>
          <w:u w:val="single"/>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（7）其他：</w:t>
      </w:r>
      <w:r>
        <w:rPr>
          <w:rFonts w:hint="eastAsia" w:ascii="宋体" w:hAnsi="宋体" w:eastAsia="宋体" w:cs="宋体"/>
          <w:color w:val="000000"/>
          <w:kern w:val="0"/>
          <w:sz w:val="24"/>
          <w:szCs w:val="24"/>
          <w:u w:val="single"/>
        </w:rPr>
        <w:t xml:space="preserve">              </w:t>
      </w:r>
      <w:r>
        <w:rPr>
          <w:rFonts w:hint="eastAsia" w:ascii="宋体" w:hAnsi="宋体" w:eastAsia="宋体" w:cs="宋体"/>
          <w:b/>
          <w:color w:val="000000"/>
          <w:kern w:val="0"/>
          <w:sz w:val="24"/>
          <w:szCs w:val="24"/>
          <w:u w:val="single"/>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承包人按16.1.1项〔发包人违约的情形〕约定暂停施工满</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天后发包人仍不纠正其违约行为并致使合同目的不能实现的，承包人有权解除合同。</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16.2 承包人违约</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16.2.1 承包人违约的情形</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b/>
          <w:sz w:val="24"/>
          <w:szCs w:val="24"/>
          <w:u w:val="single"/>
        </w:rPr>
      </w:pPr>
      <w:r>
        <w:rPr>
          <w:rFonts w:hint="eastAsia" w:ascii="宋体" w:hAnsi="宋体" w:eastAsia="宋体" w:cs="宋体"/>
          <w:kern w:val="0"/>
          <w:sz w:val="24"/>
          <w:szCs w:val="24"/>
        </w:rPr>
        <w:t>承包人违约的其他情形：</w:t>
      </w:r>
      <w:r>
        <w:rPr>
          <w:rFonts w:hint="eastAsia" w:ascii="宋体" w:hAnsi="宋体" w:eastAsia="宋体" w:cs="宋体"/>
          <w:b/>
          <w:sz w:val="24"/>
          <w:szCs w:val="24"/>
          <w:u w:val="single"/>
        </w:rPr>
        <w:t>因承包人原因造成工程质量不合格的，承包人应承担全部经济责任，并按结算造价</w:t>
      </w:r>
      <w:r>
        <w:rPr>
          <w:rFonts w:hint="eastAsia" w:ascii="宋体" w:hAnsi="宋体" w:eastAsia="宋体" w:cs="宋体"/>
          <w:b/>
          <w:color w:val="000000"/>
          <w:sz w:val="24"/>
          <w:szCs w:val="24"/>
          <w:u w:val="single"/>
        </w:rPr>
        <w:t>15%向发</w:t>
      </w:r>
      <w:r>
        <w:rPr>
          <w:rFonts w:hint="eastAsia" w:ascii="宋体" w:hAnsi="宋体" w:eastAsia="宋体" w:cs="宋体"/>
          <w:b/>
          <w:sz w:val="24"/>
          <w:szCs w:val="24"/>
          <w:u w:val="single"/>
        </w:rPr>
        <w:t>包人支付违约金。并将不合格的工程返工至合格，返工费用承包人承担。如果承包人原因造成工期延误而遇不可抗力时，责任由承包人全部承担，并承担工程不能按期竣工的违约责任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16.2.2承包人违约的责任</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承包人违约责任的承担方式和计算方法：</w:t>
      </w:r>
      <w:r>
        <w:rPr>
          <w:rFonts w:hint="eastAsia" w:ascii="宋体" w:hAnsi="宋体" w:eastAsia="宋体" w:cs="宋体"/>
          <w:b/>
          <w:sz w:val="24"/>
          <w:szCs w:val="24"/>
          <w:u w:val="single"/>
        </w:rPr>
        <w:t xml:space="preserve">按照合同工期，每推延一天，赔偿壹仟元整  </w:t>
      </w:r>
      <w:r>
        <w:rPr>
          <w:rFonts w:hint="eastAsia" w:ascii="宋体" w:hAnsi="宋体" w:eastAsia="宋体" w:cs="宋体"/>
          <w:color w:val="000000"/>
          <w:kern w:val="0"/>
          <w:sz w:val="24"/>
          <w:szCs w:val="24"/>
        </w:rPr>
        <w:t xml:space="preserve"> 。</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16.2.3 因承包人违约解除合同</w:t>
      </w:r>
    </w:p>
    <w:p>
      <w:pPr>
        <w:pageBreakBefore w:val="0"/>
        <w:widowControl w:val="0"/>
        <w:kinsoku/>
        <w:wordWrap/>
        <w:overflowPunct/>
        <w:topLinePunct w:val="0"/>
        <w:bidi w:val="0"/>
        <w:snapToGrid/>
        <w:spacing w:before="120" w:after="120" w:line="36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关于承包人违约解除合同的特别约定：</w:t>
      </w:r>
      <w:r>
        <w:rPr>
          <w:rFonts w:hint="eastAsia" w:ascii="宋体" w:hAnsi="宋体" w:eastAsia="宋体" w:cs="宋体"/>
          <w:color w:val="000000"/>
          <w:kern w:val="0"/>
          <w:sz w:val="24"/>
          <w:szCs w:val="24"/>
          <w:u w:val="single"/>
        </w:rPr>
        <w:t xml:space="preserve"> </w:t>
      </w:r>
      <w:r>
        <w:rPr>
          <w:rFonts w:hint="eastAsia" w:ascii="宋体" w:hAnsi="宋体" w:eastAsia="宋体" w:cs="宋体"/>
          <w:b/>
          <w:sz w:val="24"/>
          <w:szCs w:val="24"/>
          <w:u w:val="single"/>
        </w:rPr>
        <w:t xml:space="preserve"> 按通用条款执行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before="120" w:after="120" w:line="3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szCs w:val="24"/>
          <w:u w:val="single"/>
        </w:rPr>
        <w:t xml:space="preserve">    </w:t>
      </w:r>
      <w:r>
        <w:rPr>
          <w:rFonts w:hint="eastAsia" w:ascii="宋体" w:hAnsi="宋体" w:eastAsia="宋体" w:cs="宋体"/>
          <w:b/>
          <w:color w:val="000000"/>
          <w:kern w:val="0"/>
          <w:sz w:val="24"/>
          <w:szCs w:val="24"/>
          <w:u w:val="single"/>
        </w:rPr>
        <w:t>经双方协商后确认</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605" w:name="_Toc351203649"/>
      <w:r>
        <w:rPr>
          <w:rFonts w:hint="eastAsia" w:ascii="宋体" w:hAnsi="宋体" w:eastAsia="宋体" w:cs="宋体"/>
          <w:b w:val="0"/>
          <w:bCs w:val="0"/>
          <w:color w:val="000000"/>
          <w:sz w:val="24"/>
          <w:szCs w:val="24"/>
        </w:rPr>
        <w:t>17. 不可抗力</w:t>
      </w:r>
      <w:bookmarkEnd w:id="605"/>
      <w:r>
        <w:rPr>
          <w:rFonts w:hint="eastAsia" w:ascii="宋体" w:hAnsi="宋体" w:eastAsia="宋体" w:cs="宋体"/>
          <w:b w:val="0"/>
          <w:bCs w:val="0"/>
          <w:color w:val="000000"/>
          <w:sz w:val="24"/>
          <w:szCs w:val="24"/>
        </w:rPr>
        <w:t xml:space="preserve"> </w:t>
      </w:r>
      <w:bookmarkEnd w:id="603"/>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17.1 不可抗力的确认</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除通用合同条款约定的不可抗力事件之外，视为不可抗力的其他情形：</w:t>
      </w:r>
      <w:r>
        <w:rPr>
          <w:rFonts w:hint="eastAsia" w:ascii="宋体" w:hAnsi="宋体" w:eastAsia="宋体" w:cs="宋体"/>
          <w:b/>
          <w:sz w:val="24"/>
          <w:szCs w:val="24"/>
          <w:u w:val="single"/>
        </w:rPr>
        <w:t xml:space="preserve">不可抗力不包括（1）因一方或其雇员的疏忽或有意行为而造成的事件；（2）勤勉的一方可以合理的在合同签署时考虑到和在以后履行义务时避免或克服的事件；（3）不可抗力不包括资金短缺或无力支付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17.4 因不可抗力解除合同</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合同解除后，发包人应在商定或确定发包人应支付款项后</w:t>
      </w:r>
      <w:r>
        <w:rPr>
          <w:rFonts w:hint="eastAsia" w:ascii="宋体" w:hAnsi="宋体" w:eastAsia="宋体" w:cs="宋体"/>
          <w:color w:val="000000"/>
          <w:sz w:val="24"/>
          <w:szCs w:val="24"/>
          <w:u w:val="single"/>
        </w:rPr>
        <w:t xml:space="preserve"> 60 </w:t>
      </w:r>
      <w:r>
        <w:rPr>
          <w:rFonts w:hint="eastAsia" w:ascii="宋体" w:hAnsi="宋体" w:eastAsia="宋体" w:cs="宋体"/>
          <w:color w:val="000000"/>
          <w:sz w:val="24"/>
          <w:szCs w:val="24"/>
        </w:rPr>
        <w:t>天内完成款项的支付。</w:t>
      </w:r>
    </w:p>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606" w:name="_Toc351203650"/>
      <w:r>
        <w:rPr>
          <w:rFonts w:hint="eastAsia" w:ascii="宋体" w:hAnsi="宋体" w:eastAsia="宋体" w:cs="宋体"/>
          <w:b w:val="0"/>
          <w:bCs w:val="0"/>
          <w:color w:val="000000"/>
          <w:sz w:val="24"/>
          <w:szCs w:val="24"/>
        </w:rPr>
        <w:t>18. 保险</w:t>
      </w:r>
      <w:bookmarkEnd w:id="606"/>
    </w:p>
    <w:bookmarkEnd w:id="604"/>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18.1 工程保险</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关于工程保险的特别约定：</w:t>
      </w:r>
      <w:r>
        <w:rPr>
          <w:rFonts w:hint="eastAsia" w:ascii="宋体" w:hAnsi="宋体" w:eastAsia="宋体" w:cs="宋体"/>
          <w:b/>
          <w:sz w:val="24"/>
          <w:szCs w:val="24"/>
          <w:u w:val="single"/>
        </w:rPr>
        <w:t xml:space="preserve">由承包人投保，费用含在合同价中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18.3 其他保险</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关于其他保险的约定：</w:t>
      </w:r>
      <w:r>
        <w:rPr>
          <w:rFonts w:hint="eastAsia" w:ascii="宋体" w:hAnsi="宋体" w:eastAsia="宋体" w:cs="宋体"/>
          <w:b/>
          <w:sz w:val="24"/>
          <w:szCs w:val="24"/>
          <w:u w:val="single"/>
        </w:rPr>
        <w:t>承包人为施工现场的全部人员办理意外保险并支付保险费用</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承包人是否应为其施工设备等办理财产保险：</w:t>
      </w:r>
      <w:r>
        <w:rPr>
          <w:rFonts w:hint="eastAsia" w:ascii="宋体" w:hAnsi="宋体" w:eastAsia="宋体" w:cs="宋体"/>
          <w:b/>
          <w:sz w:val="24"/>
          <w:szCs w:val="24"/>
          <w:u w:val="single"/>
        </w:rPr>
        <w:t>按通用条款执行</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18.7 通知义务</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关于变更保险合同时的通知义务的约定：</w:t>
      </w:r>
      <w:r>
        <w:rPr>
          <w:rFonts w:hint="eastAsia" w:ascii="宋体" w:hAnsi="宋体" w:eastAsia="宋体" w:cs="宋体"/>
          <w:b/>
          <w:sz w:val="24"/>
          <w:szCs w:val="24"/>
          <w:u w:val="single"/>
        </w:rPr>
        <w:t>按通用条款执行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580"/>
    <w:bookmarkEnd w:id="581"/>
    <w:bookmarkEnd w:id="582"/>
    <w:bookmarkEnd w:id="583"/>
    <w:bookmarkEnd w:id="584"/>
    <w:bookmarkEnd w:id="585"/>
    <w:bookmarkEnd w:id="586"/>
    <w:bookmarkEnd w:id="587"/>
    <w:bookmarkEnd w:id="588"/>
    <w:bookmarkEnd w:id="589"/>
    <w:bookmarkEnd w:id="590"/>
    <w:bookmarkEnd w:id="591"/>
    <w:p>
      <w:pPr>
        <w:pStyle w:val="7"/>
        <w:pageBreakBefore w:val="0"/>
        <w:widowControl w:val="0"/>
        <w:numPr>
          <w:ilvl w:val="3"/>
          <w:numId w:val="0"/>
        </w:numPr>
        <w:kinsoku/>
        <w:wordWrap/>
        <w:overflowPunct/>
        <w:topLinePunct w:val="0"/>
        <w:bidi w:val="0"/>
        <w:snapToGrid/>
        <w:spacing w:before="120" w:after="120" w:line="360" w:lineRule="exact"/>
        <w:ind w:leftChars="0"/>
        <w:textAlignment w:val="auto"/>
        <w:rPr>
          <w:rFonts w:hint="eastAsia" w:ascii="宋体" w:hAnsi="宋体" w:eastAsia="宋体" w:cs="宋体"/>
          <w:b w:val="0"/>
          <w:bCs w:val="0"/>
          <w:color w:val="000000"/>
          <w:sz w:val="24"/>
          <w:szCs w:val="24"/>
        </w:rPr>
      </w:pPr>
      <w:bookmarkStart w:id="607" w:name="_Toc351203651"/>
      <w:r>
        <w:rPr>
          <w:rFonts w:hint="eastAsia" w:ascii="宋体" w:hAnsi="宋体" w:eastAsia="宋体" w:cs="宋体"/>
          <w:b w:val="0"/>
          <w:bCs w:val="0"/>
          <w:color w:val="000000"/>
          <w:sz w:val="24"/>
          <w:szCs w:val="24"/>
        </w:rPr>
        <w:t>20. 争议解决</w:t>
      </w:r>
      <w:bookmarkEnd w:id="607"/>
    </w:p>
    <w:bookmarkEnd w:id="592"/>
    <w:bookmarkEnd w:id="593"/>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20.3 争</w:t>
      </w:r>
      <w:bookmarkEnd w:id="594"/>
      <w:r>
        <w:rPr>
          <w:rFonts w:hint="eastAsia" w:ascii="宋体" w:hAnsi="宋体" w:eastAsia="宋体" w:cs="宋体"/>
          <w:color w:val="000000"/>
          <w:sz w:val="24"/>
          <w:szCs w:val="24"/>
        </w:rPr>
        <w:t>议评审</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合同当事人是否同意将工程争议提交争议评审小组决定：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否</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20.3.1 争议评审小组的确定</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选定争议评审员的期限：</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争议评审小组成员的报酬承担方式：</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其他事项的约定：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20.3.2 争议评审小组的决定</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合同当事人关于本项的约定：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20.4仲裁或诉讼</w:t>
      </w:r>
      <w:bookmarkEnd w:id="595"/>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因合同及合同有关事项发生的争议，按下列第</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种方式解决：</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 xml:space="preserve">   合同签定地   </w:t>
      </w:r>
      <w:r>
        <w:rPr>
          <w:rFonts w:hint="eastAsia" w:ascii="宋体" w:hAnsi="宋体" w:eastAsia="宋体" w:cs="宋体"/>
          <w:color w:val="000000"/>
          <w:sz w:val="24"/>
          <w:szCs w:val="24"/>
        </w:rPr>
        <w:t>仲裁委员会申请仲裁；</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 xml:space="preserve">   合同签定地         </w:t>
      </w:r>
      <w:r>
        <w:rPr>
          <w:rFonts w:hint="eastAsia" w:ascii="宋体" w:hAnsi="宋体" w:eastAsia="宋体" w:cs="宋体"/>
          <w:color w:val="000000"/>
          <w:sz w:val="24"/>
          <w:szCs w:val="24"/>
        </w:rPr>
        <w:t>人民法院起诉。</w:t>
      </w:r>
      <w:bookmarkEnd w:id="596"/>
      <w:bookmarkEnd w:id="597"/>
      <w:bookmarkEnd w:id="598"/>
      <w:bookmarkEnd w:id="599"/>
      <w:bookmarkEnd w:id="600"/>
      <w:bookmarkEnd w:id="601"/>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highlight w:val="yellow"/>
        </w:rPr>
      </w:pPr>
    </w:p>
    <w:p>
      <w:pPr>
        <w:pageBreakBefore w:val="0"/>
        <w:widowControl w:val="0"/>
        <w:kinsoku/>
        <w:wordWrap/>
        <w:overflowPunct/>
        <w:topLinePunct w:val="0"/>
        <w:bidi w:val="0"/>
        <w:snapToGrid/>
        <w:spacing w:line="360" w:lineRule="exact"/>
        <w:ind w:firstLine="480" w:firstLineChars="200"/>
        <w:jc w:val="center"/>
        <w:textAlignment w:val="auto"/>
        <w:rPr>
          <w:rFonts w:hint="eastAsia" w:ascii="宋体" w:hAnsi="宋体" w:eastAsia="宋体" w:cs="宋体"/>
          <w:bCs/>
          <w:sz w:val="24"/>
          <w:szCs w:val="24"/>
        </w:rPr>
      </w:pPr>
      <w:r>
        <w:rPr>
          <w:rFonts w:hint="eastAsia" w:ascii="宋体" w:hAnsi="宋体" w:eastAsia="宋体" w:cs="宋体"/>
          <w:sz w:val="24"/>
          <w:szCs w:val="24"/>
        </w:rPr>
        <w:t xml:space="preserve">补充条款： </w:t>
      </w:r>
      <w:r>
        <w:rPr>
          <w:rFonts w:hint="eastAsia" w:ascii="宋体" w:hAnsi="宋体" w:eastAsia="宋体" w:cs="宋体"/>
          <w:bCs/>
          <w:sz w:val="24"/>
          <w:szCs w:val="24"/>
        </w:rPr>
        <w:t>合同双方确认，本协议书及本协议约定的其它合同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w:t>
      </w:r>
    </w:p>
    <w:p>
      <w:pPr>
        <w:pageBreakBefore w:val="0"/>
        <w:widowControl w:val="0"/>
        <w:kinsoku/>
        <w:wordWrap/>
        <w:overflowPunct/>
        <w:topLinePunct w:val="0"/>
        <w:bidi w:val="0"/>
        <w:snapToGrid/>
        <w:spacing w:line="360" w:lineRule="exact"/>
        <w:textAlignment w:val="auto"/>
        <w:rPr>
          <w:rFonts w:hint="eastAsia" w:ascii="宋体" w:hAnsi="宋体" w:eastAsia="宋体" w:cs="宋体"/>
          <w:bCs/>
          <w:sz w:val="24"/>
          <w:szCs w:val="24"/>
        </w:rPr>
      </w:pPr>
      <w:r>
        <w:rPr>
          <w:rFonts w:hint="eastAsia" w:ascii="宋体" w:hAnsi="宋体" w:eastAsia="宋体" w:cs="宋体"/>
          <w:bCs/>
          <w:sz w:val="24"/>
          <w:szCs w:val="24"/>
        </w:rPr>
        <w:t>力。</w:t>
      </w:r>
    </w:p>
    <w:p>
      <w:pPr>
        <w:pageBreakBefore w:val="0"/>
        <w:widowControl w:val="0"/>
        <w:kinsoku/>
        <w:wordWrap/>
        <w:overflowPunct/>
        <w:topLinePunct w:val="0"/>
        <w:bidi w:val="0"/>
        <w:snapToGrid/>
        <w:spacing w:line="360" w:lineRule="exact"/>
        <w:ind w:firstLine="482" w:firstLineChars="200"/>
        <w:jc w:val="center"/>
        <w:textAlignment w:val="auto"/>
        <w:rPr>
          <w:rFonts w:hint="eastAsia" w:ascii="宋体" w:hAnsi="宋体" w:eastAsia="宋体" w:cs="宋体"/>
          <w:b/>
          <w:color w:val="000000"/>
          <w:sz w:val="24"/>
          <w:szCs w:val="24"/>
        </w:rPr>
      </w:pPr>
    </w:p>
    <w:p>
      <w:pPr>
        <w:pageBreakBefore w:val="0"/>
        <w:widowControl w:val="0"/>
        <w:kinsoku/>
        <w:wordWrap/>
        <w:overflowPunct/>
        <w:topLinePunct w:val="0"/>
        <w:bidi w:val="0"/>
        <w:snapToGrid/>
        <w:spacing w:line="360" w:lineRule="exact"/>
        <w:ind w:firstLine="482" w:firstLineChars="200"/>
        <w:jc w:val="center"/>
        <w:textAlignment w:val="auto"/>
        <w:rPr>
          <w:rFonts w:hint="eastAsia" w:ascii="宋体" w:hAnsi="宋体" w:eastAsia="宋体" w:cs="宋体"/>
          <w:b/>
          <w:color w:val="000000"/>
          <w:sz w:val="24"/>
          <w:szCs w:val="24"/>
        </w:rPr>
      </w:pPr>
    </w:p>
    <w:p>
      <w:pPr>
        <w:pageBreakBefore w:val="0"/>
        <w:widowControl w:val="0"/>
        <w:kinsoku/>
        <w:wordWrap/>
        <w:overflowPunct/>
        <w:topLinePunct w:val="0"/>
        <w:bidi w:val="0"/>
        <w:snapToGrid/>
        <w:spacing w:line="360" w:lineRule="exact"/>
        <w:ind w:firstLine="482" w:firstLineChars="200"/>
        <w:jc w:val="center"/>
        <w:textAlignment w:val="auto"/>
        <w:rPr>
          <w:rFonts w:hint="eastAsia" w:ascii="宋体" w:hAnsi="宋体" w:eastAsia="宋体" w:cs="宋体"/>
          <w:b/>
          <w:color w:val="000000"/>
          <w:sz w:val="24"/>
          <w:szCs w:val="24"/>
        </w:rPr>
      </w:pPr>
    </w:p>
    <w:p>
      <w:pPr>
        <w:pageBreakBefore w:val="0"/>
        <w:widowControl w:val="0"/>
        <w:kinsoku/>
        <w:wordWrap/>
        <w:overflowPunct/>
        <w:topLinePunct w:val="0"/>
        <w:bidi w:val="0"/>
        <w:snapToGrid/>
        <w:spacing w:line="360" w:lineRule="exact"/>
        <w:ind w:firstLine="482" w:firstLineChars="200"/>
        <w:jc w:val="center"/>
        <w:textAlignment w:val="auto"/>
        <w:rPr>
          <w:rFonts w:hint="eastAsia" w:ascii="宋体" w:hAnsi="宋体" w:eastAsia="宋体" w:cs="宋体"/>
          <w:b/>
          <w:color w:val="000000"/>
          <w:sz w:val="24"/>
          <w:szCs w:val="24"/>
        </w:rPr>
      </w:pPr>
    </w:p>
    <w:p>
      <w:pPr>
        <w:pageBreakBefore w:val="0"/>
        <w:widowControl w:val="0"/>
        <w:kinsoku/>
        <w:wordWrap/>
        <w:overflowPunct/>
        <w:topLinePunct w:val="0"/>
        <w:bidi w:val="0"/>
        <w:snapToGrid/>
        <w:spacing w:line="360" w:lineRule="exact"/>
        <w:ind w:firstLine="482" w:firstLineChars="200"/>
        <w:jc w:val="center"/>
        <w:textAlignment w:val="auto"/>
        <w:rPr>
          <w:rFonts w:hint="eastAsia" w:ascii="宋体" w:hAnsi="宋体" w:eastAsia="宋体" w:cs="宋体"/>
          <w:b/>
          <w:color w:val="000000"/>
          <w:sz w:val="24"/>
          <w:szCs w:val="24"/>
        </w:rPr>
      </w:pPr>
    </w:p>
    <w:p>
      <w:pPr>
        <w:pageBreakBefore w:val="0"/>
        <w:widowControl w:val="0"/>
        <w:kinsoku/>
        <w:wordWrap/>
        <w:overflowPunct/>
        <w:topLinePunct w:val="0"/>
        <w:bidi w:val="0"/>
        <w:snapToGrid/>
        <w:spacing w:line="360" w:lineRule="exact"/>
        <w:ind w:firstLine="482" w:firstLineChars="200"/>
        <w:jc w:val="center"/>
        <w:textAlignment w:val="auto"/>
        <w:rPr>
          <w:rFonts w:hint="eastAsia" w:ascii="宋体" w:hAnsi="宋体" w:eastAsia="宋体" w:cs="宋体"/>
          <w:b/>
          <w:color w:val="000000"/>
          <w:sz w:val="24"/>
          <w:szCs w:val="24"/>
        </w:rPr>
      </w:pPr>
    </w:p>
    <w:p>
      <w:pPr>
        <w:pageBreakBefore w:val="0"/>
        <w:widowControl w:val="0"/>
        <w:kinsoku/>
        <w:wordWrap/>
        <w:overflowPunct/>
        <w:topLinePunct w:val="0"/>
        <w:bidi w:val="0"/>
        <w:snapToGrid/>
        <w:spacing w:line="360" w:lineRule="exact"/>
        <w:jc w:val="both"/>
        <w:textAlignment w:val="auto"/>
        <w:rPr>
          <w:rFonts w:hint="eastAsia" w:ascii="宋体" w:hAnsi="宋体" w:eastAsia="宋体" w:cs="宋体"/>
          <w:b/>
          <w:color w:val="000000"/>
          <w:sz w:val="24"/>
          <w:szCs w:val="24"/>
        </w:rPr>
      </w:pPr>
    </w:p>
    <w:p>
      <w:pPr>
        <w:pageBreakBefore w:val="0"/>
        <w:widowControl w:val="0"/>
        <w:kinsoku/>
        <w:wordWrap/>
        <w:overflowPunct/>
        <w:topLinePunct w:val="0"/>
        <w:bidi w:val="0"/>
        <w:snapToGrid/>
        <w:spacing w:line="360" w:lineRule="exact"/>
        <w:ind w:firstLine="482" w:firstLineChars="200"/>
        <w:jc w:val="center"/>
        <w:textAlignment w:val="auto"/>
        <w:rPr>
          <w:rFonts w:hint="eastAsia" w:ascii="宋体" w:hAnsi="宋体" w:eastAsia="宋体" w:cs="宋体"/>
          <w:b/>
          <w:color w:val="000000"/>
          <w:sz w:val="24"/>
          <w:szCs w:val="24"/>
        </w:rPr>
      </w:pPr>
    </w:p>
    <w:p>
      <w:pPr>
        <w:pageBreakBefore w:val="0"/>
        <w:widowControl w:val="0"/>
        <w:kinsoku/>
        <w:wordWrap/>
        <w:overflowPunct/>
        <w:topLinePunct w:val="0"/>
        <w:bidi w:val="0"/>
        <w:snapToGrid/>
        <w:spacing w:line="360" w:lineRule="exact"/>
        <w:ind w:firstLine="482" w:firstLineChars="20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附 </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 xml:space="preserve"> 件</w:t>
      </w:r>
    </w:p>
    <w:p>
      <w:pPr>
        <w:pStyle w:val="2"/>
        <w:rPr>
          <w:rFonts w:hint="eastAsia"/>
        </w:rPr>
      </w:pP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协议书附件：</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附件1：承包人承揽工程项目一览表</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专用合同条款附件：</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附件2：发包人供应材料设备一览表</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附件3：工程质量保修书</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附件4：主要建设工程文件目录</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附件5：承包人用于本工程施工的机械设备表</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附件6：承包人主要施工管理人员表</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附件7：分包人主要施工管理人员表</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附件8：履约担保格式</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附件9：预付款担保格式</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附件10：支付担保格式</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sectPr>
          <w:footerReference r:id="rId7" w:type="first"/>
          <w:footerReference r:id="rId6" w:type="default"/>
          <w:pgSz w:w="11906" w:h="16838"/>
          <w:pgMar w:top="1021" w:right="1134" w:bottom="1021" w:left="1134" w:header="851" w:footer="992" w:gutter="0"/>
          <w:pgNumType w:fmt="decimal" w:start="1"/>
          <w:cols w:space="720" w:num="1"/>
          <w:titlePg/>
          <w:docGrid w:type="lines" w:linePitch="312" w:charSpace="0"/>
        </w:sectPr>
      </w:pPr>
      <w:r>
        <w:rPr>
          <w:rFonts w:hint="eastAsia" w:ascii="宋体" w:hAnsi="宋体" w:eastAsia="宋体" w:cs="宋体"/>
          <w:color w:val="000000"/>
          <w:sz w:val="24"/>
          <w:szCs w:val="24"/>
        </w:rPr>
        <w:t>附件11：暂估价一览表</w:t>
      </w:r>
    </w:p>
    <w:p>
      <w:pPr>
        <w:pageBreakBefore w:val="0"/>
        <w:widowControl w:val="0"/>
        <w:kinsoku/>
        <w:wordWrap/>
        <w:overflowPunct/>
        <w:topLinePunct w:val="0"/>
        <w:bidi w:val="0"/>
        <w:snapToGrid/>
        <w:spacing w:before="156" w:beforeLines="50" w:after="156" w:afterLines="50"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附件1：</w:t>
      </w:r>
    </w:p>
    <w:p>
      <w:pPr>
        <w:pageBreakBefore w:val="0"/>
        <w:widowControl w:val="0"/>
        <w:kinsoku/>
        <w:wordWrap/>
        <w:overflowPunct/>
        <w:topLinePunct w:val="0"/>
        <w:bidi w:val="0"/>
        <w:snapToGrid/>
        <w:spacing w:before="156" w:beforeLines="50" w:after="156" w:afterLines="5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承包人承揽工程项目一览表</w:t>
      </w:r>
    </w:p>
    <w:tbl>
      <w:tblPr>
        <w:tblStyle w:val="5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单位工程名称</w:t>
            </w:r>
          </w:p>
        </w:tc>
        <w:tc>
          <w:tcPr>
            <w:tcW w:w="1843"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建设规模</w:t>
            </w:r>
          </w:p>
        </w:tc>
        <w:tc>
          <w:tcPr>
            <w:tcW w:w="1417"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建筑面积(平方米)</w:t>
            </w:r>
          </w:p>
        </w:tc>
        <w:tc>
          <w:tcPr>
            <w:tcW w:w="2410"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结构形式</w:t>
            </w:r>
          </w:p>
        </w:tc>
        <w:tc>
          <w:tcPr>
            <w:tcW w:w="850"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层数</w:t>
            </w:r>
          </w:p>
        </w:tc>
        <w:tc>
          <w:tcPr>
            <w:tcW w:w="1560"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生产能力</w:t>
            </w:r>
          </w:p>
        </w:tc>
        <w:tc>
          <w:tcPr>
            <w:tcW w:w="2126"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设备安装内容</w:t>
            </w:r>
          </w:p>
        </w:tc>
        <w:tc>
          <w:tcPr>
            <w:tcW w:w="1417"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合同价格（元）</w:t>
            </w:r>
          </w:p>
        </w:tc>
        <w:tc>
          <w:tcPr>
            <w:tcW w:w="851"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开工日期</w:t>
            </w:r>
          </w:p>
        </w:tc>
        <w:tc>
          <w:tcPr>
            <w:tcW w:w="850"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843"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410"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560"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126"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843"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41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56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126"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843"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41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56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126"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84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41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56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12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843"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41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56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126"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84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41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56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12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843"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41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56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126"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843"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41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56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126"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84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41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56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12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843"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41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56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126"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843"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410"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560"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2126"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7"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bl>
    <w:p>
      <w:pPr>
        <w:pageBreakBefore w:val="0"/>
        <w:widowControl w:val="0"/>
        <w:kinsoku/>
        <w:wordWrap/>
        <w:overflowPunct/>
        <w:topLinePunct w:val="0"/>
        <w:bidi w:val="0"/>
        <w:snapToGrid/>
        <w:spacing w:line="360" w:lineRule="exact"/>
        <w:textAlignment w:val="auto"/>
        <w:rPr>
          <w:rFonts w:hint="eastAsia" w:ascii="宋体" w:hAnsi="宋体" w:eastAsia="宋体" w:cs="宋体"/>
          <w:b/>
          <w:bCs/>
          <w:color w:val="000000"/>
          <w:sz w:val="24"/>
          <w:szCs w:val="24"/>
        </w:rPr>
        <w:sectPr>
          <w:pgSz w:w="16838" w:h="11906" w:orient="landscape"/>
          <w:pgMar w:top="1554" w:right="1418" w:bottom="1531" w:left="1418" w:header="851" w:footer="992" w:gutter="0"/>
          <w:pgNumType w:fmt="decimal"/>
          <w:cols w:space="720" w:num="1"/>
          <w:titlePg/>
          <w:docGrid w:type="linesAndChars" w:linePitch="312" w:charSpace="0"/>
        </w:sect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w:t>
      </w:r>
      <w:bookmarkStart w:id="608" w:name="_Toc296891265"/>
      <w:bookmarkStart w:id="609" w:name="_Toc296944564"/>
      <w:bookmarkStart w:id="610" w:name="_Toc267261692"/>
      <w:bookmarkStart w:id="611" w:name="_Toc296503225"/>
      <w:bookmarkStart w:id="612" w:name="_Toc296891053"/>
      <w:bookmarkStart w:id="613" w:name="_Toc296347224"/>
      <w:bookmarkStart w:id="614" w:name="_Toc296346726"/>
      <w:r>
        <w:rPr>
          <w:rFonts w:hint="eastAsia" w:ascii="宋体" w:hAnsi="宋体" w:eastAsia="宋体" w:cs="宋体"/>
          <w:color w:val="000000"/>
          <w:sz w:val="24"/>
          <w:szCs w:val="24"/>
        </w:rPr>
        <w:t>件2：</w:t>
      </w:r>
    </w:p>
    <w:bookmarkEnd w:id="608"/>
    <w:bookmarkEnd w:id="609"/>
    <w:bookmarkEnd w:id="610"/>
    <w:bookmarkEnd w:id="611"/>
    <w:bookmarkEnd w:id="612"/>
    <w:bookmarkEnd w:id="613"/>
    <w:bookmarkEnd w:id="614"/>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发包人供应材料设备一览表</w:t>
      </w:r>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276"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材料、</w:t>
            </w:r>
          </w:p>
          <w:p>
            <w:pPr>
              <w:pStyle w:val="22"/>
              <w:keepNext/>
              <w:pageBreakBefore w:val="0"/>
              <w:widowControl w:val="0"/>
              <w:kinsoku/>
              <w:wordWrap/>
              <w:overflowPunct/>
              <w:topLinePunct w:val="0"/>
              <w:bidi w:val="0"/>
              <w:snapToGrid/>
              <w:spacing w:line="360" w:lineRule="exact"/>
              <w:ind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设备品种</w:t>
            </w:r>
          </w:p>
        </w:tc>
        <w:tc>
          <w:tcPr>
            <w:tcW w:w="1418"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940"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851"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044"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992"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质量等级</w:t>
            </w:r>
          </w:p>
        </w:tc>
        <w:tc>
          <w:tcPr>
            <w:tcW w:w="851"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供应时间</w:t>
            </w:r>
          </w:p>
        </w:tc>
        <w:tc>
          <w:tcPr>
            <w:tcW w:w="1487"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送达地点</w:t>
            </w:r>
          </w:p>
        </w:tc>
        <w:tc>
          <w:tcPr>
            <w:tcW w:w="992"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40"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44"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7"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4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44"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4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4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4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4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4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4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4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4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4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4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4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4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276"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18"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40"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044"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87"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4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4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9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276"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18"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40"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044"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87"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276"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18"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40"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044"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87"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276"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18"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40"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044"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87"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276"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18"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40"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044"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87"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276"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18"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40"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044"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87"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276"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18"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40"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044"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87"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276"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18"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40"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044"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87"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bottom w:val="single" w:color="auto" w:sz="12" w:space="0"/>
            </w:tcBorders>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276" w:type="dxa"/>
            <w:tcBorders>
              <w:bottom w:val="single" w:color="auto" w:sz="12" w:space="0"/>
            </w:tcBorders>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18" w:type="dxa"/>
            <w:tcBorders>
              <w:bottom w:val="single" w:color="auto" w:sz="12" w:space="0"/>
            </w:tcBorders>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40" w:type="dxa"/>
            <w:tcBorders>
              <w:bottom w:val="single" w:color="auto" w:sz="12" w:space="0"/>
            </w:tcBorders>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tcBorders>
              <w:bottom w:val="single" w:color="auto" w:sz="12" w:space="0"/>
            </w:tcBorders>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044" w:type="dxa"/>
            <w:tcBorders>
              <w:bottom w:val="single" w:color="auto" w:sz="12" w:space="0"/>
            </w:tcBorders>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tcBorders>
              <w:bottom w:val="single" w:color="auto" w:sz="12" w:space="0"/>
            </w:tcBorders>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851" w:type="dxa"/>
            <w:tcBorders>
              <w:bottom w:val="single" w:color="auto" w:sz="12" w:space="0"/>
            </w:tcBorders>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1487" w:type="dxa"/>
            <w:tcBorders>
              <w:bottom w:val="single" w:color="auto" w:sz="12" w:space="0"/>
            </w:tcBorders>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c>
          <w:tcPr>
            <w:tcW w:w="992" w:type="dxa"/>
            <w:tcBorders>
              <w:bottom w:val="single" w:color="auto" w:sz="12" w:space="0"/>
            </w:tcBorders>
            <w:noWrap w:val="0"/>
            <w:vAlign w:val="center"/>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p>
        </w:tc>
      </w:tr>
    </w:tbl>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w:t>
      </w:r>
      <w:bookmarkStart w:id="615" w:name="_Toc296347225"/>
      <w:bookmarkStart w:id="616" w:name="_Toc296503226"/>
      <w:bookmarkStart w:id="617" w:name="_Toc296891266"/>
      <w:bookmarkStart w:id="618" w:name="_Toc267261693"/>
      <w:bookmarkStart w:id="619" w:name="_Toc296891054"/>
      <w:bookmarkStart w:id="620" w:name="_Toc296346727"/>
      <w:bookmarkStart w:id="621" w:name="_Toc296944565"/>
      <w:r>
        <w:rPr>
          <w:rFonts w:hint="eastAsia" w:ascii="宋体" w:hAnsi="宋体" w:eastAsia="宋体" w:cs="宋体"/>
          <w:color w:val="000000"/>
          <w:sz w:val="24"/>
          <w:szCs w:val="24"/>
        </w:rPr>
        <w:t>件3：</w:t>
      </w:r>
      <w:bookmarkEnd w:id="615"/>
      <w:bookmarkEnd w:id="616"/>
      <w:bookmarkEnd w:id="617"/>
      <w:bookmarkEnd w:id="618"/>
      <w:bookmarkEnd w:id="619"/>
      <w:bookmarkEnd w:id="620"/>
      <w:bookmarkEnd w:id="621"/>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承包人（全称）：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发包人和承包人根据《中华人民共和国建筑法》和《建设工程质量管理条例》，经协商一致就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（工程全称）签订工程质量保修书。</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一、工程质量保修范围和内容</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承包人在质量保修期内，按照有关法律规定和合同约定，承担工程质量保修责任。</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　　</w:t>
      </w:r>
      <w:r>
        <w:rPr>
          <w:rFonts w:hint="eastAsia" w:ascii="宋体" w:hAnsi="宋体" w:eastAsia="宋体" w:cs="宋体"/>
          <w:color w:val="000000"/>
          <w:sz w:val="24"/>
          <w:szCs w:val="24"/>
        </w:rPr>
        <w:t>二、质量保修期</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根据《建设工程质量管理条例》及有关规定，工程的质量保修期如下：</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w:t>
      </w:r>
      <w:r>
        <w:rPr>
          <w:rFonts w:hint="eastAsia" w:ascii="宋体" w:hAnsi="宋体" w:eastAsia="宋体" w:cs="宋体"/>
          <w:sz w:val="24"/>
          <w:szCs w:val="24"/>
        </w:rPr>
        <w:t>地基基础工程和主体结构工程为设计文件规定的工程合理使用年限；</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屋面防水工程、有防水要求的卫生间、房间和外墙面的防渗     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pageBreakBefore w:val="0"/>
        <w:widowControl w:val="0"/>
        <w:kinsoku/>
        <w:wordWrap/>
        <w:overflowPunct/>
        <w:topLinePunct w:val="0"/>
        <w:bidi w:val="0"/>
        <w:snapToGrid/>
        <w:spacing w:line="360" w:lineRule="exact"/>
        <w:ind w:left="420" w:leftChars="200" w:firstLine="120" w:firstLineChars="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装修工程为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pageBreakBefore w:val="0"/>
        <w:widowControl w:val="0"/>
        <w:kinsoku/>
        <w:wordWrap/>
        <w:overflowPunct/>
        <w:topLinePunct w:val="0"/>
        <w:bidi w:val="0"/>
        <w:snapToGrid/>
        <w:spacing w:line="360" w:lineRule="exact"/>
        <w:ind w:left="420" w:leftChars="200" w:firstLine="120" w:firstLineChars="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电气管线、给排水管道、设备安装工程为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pageBreakBefore w:val="0"/>
        <w:widowControl w:val="0"/>
        <w:kinsoku/>
        <w:wordWrap/>
        <w:overflowPunct/>
        <w:topLinePunct w:val="0"/>
        <w:bidi w:val="0"/>
        <w:snapToGrid/>
        <w:spacing w:line="360" w:lineRule="exact"/>
        <w:ind w:left="420" w:leftChars="200" w:firstLine="120" w:firstLineChars="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w:t>
      </w:r>
      <w:r>
        <w:rPr>
          <w:rFonts w:hint="eastAsia" w:ascii="宋体" w:hAnsi="宋体" w:eastAsia="宋体" w:cs="宋体"/>
          <w:color w:val="000000"/>
          <w:sz w:val="24"/>
          <w:szCs w:val="24"/>
        </w:rPr>
        <w:t>供热与供冷系统为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个采暖期、供冷期；</w:t>
      </w:r>
    </w:p>
    <w:p>
      <w:pPr>
        <w:pageBreakBefore w:val="0"/>
        <w:widowControl w:val="0"/>
        <w:kinsoku/>
        <w:wordWrap/>
        <w:overflowPunct/>
        <w:topLinePunct w:val="0"/>
        <w:bidi w:val="0"/>
        <w:snapToGrid/>
        <w:spacing w:line="360" w:lineRule="exact"/>
        <w:ind w:left="420" w:leftChars="200" w:firstLine="120" w:firstLineChars="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w:t>
      </w:r>
      <w:r>
        <w:rPr>
          <w:rFonts w:hint="eastAsia" w:ascii="宋体" w:hAnsi="宋体" w:eastAsia="宋体" w:cs="宋体"/>
          <w:color w:val="000000"/>
          <w:sz w:val="24"/>
          <w:szCs w:val="24"/>
        </w:rPr>
        <w:t>住宅小区内的给排水设施、道路等配套工程为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pageBreakBefore w:val="0"/>
        <w:widowControl w:val="0"/>
        <w:kinsoku/>
        <w:wordWrap/>
        <w:overflowPunct/>
        <w:topLinePunct w:val="0"/>
        <w:bidi w:val="0"/>
        <w:snapToGrid/>
        <w:spacing w:line="360" w:lineRule="exact"/>
        <w:ind w:left="420" w:leftChars="200" w:firstLine="120" w:firstLineChars="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sz w:val="24"/>
          <w:szCs w:val="24"/>
        </w:rPr>
        <w:t>．</w:t>
      </w:r>
      <w:r>
        <w:rPr>
          <w:rFonts w:hint="eastAsia" w:ascii="宋体" w:hAnsi="宋体" w:eastAsia="宋体" w:cs="宋体"/>
          <w:color w:val="000000"/>
          <w:sz w:val="24"/>
          <w:szCs w:val="24"/>
        </w:rPr>
        <w:t>其他项目保修期限约定如下：</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质量保修期自工程竣工验收合格之日起计算。</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个月，缺陷责任期自工程竣工验收合格之日起计算。单位工程先于全部工程进行验收，单位工程缺陷责任期自单位工程验收合格之日起算。</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缺陷责任期终止后，发包人应退还剩余的质量保证金。</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四、质量保修责任</w:t>
      </w:r>
    </w:p>
    <w:p>
      <w:pPr>
        <w:pageBreakBefore w:val="0"/>
        <w:widowControl w:val="0"/>
        <w:kinsoku/>
        <w:wordWrap/>
        <w:overflowPunct/>
        <w:topLinePunct w:val="0"/>
        <w:bidi w:val="0"/>
        <w:snapToGrid/>
        <w:spacing w:line="360" w:lineRule="exact"/>
        <w:ind w:left="105" w:leftChars="50" w:firstLine="491" w:firstLineChars="20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w:t>
      </w:r>
      <w:r>
        <w:rPr>
          <w:rFonts w:hint="eastAsia" w:ascii="宋体" w:hAnsi="宋体" w:eastAsia="宋体" w:cs="宋体"/>
          <w:color w:val="000000"/>
          <w:sz w:val="24"/>
          <w:szCs w:val="24"/>
        </w:rPr>
        <w:t>属于保修范围、内容的项目，承包人应当在接到保修通知之日起7天内派人保修。承包人不在约定期限内派人保修的，发包人可以委托他人修理。</w:t>
      </w:r>
    </w:p>
    <w:p>
      <w:pPr>
        <w:pageBreakBefore w:val="0"/>
        <w:widowControl w:val="0"/>
        <w:kinsoku/>
        <w:wordWrap/>
        <w:overflowPunct/>
        <w:topLinePunct w:val="0"/>
        <w:bidi w:val="0"/>
        <w:snapToGrid/>
        <w:spacing w:line="360" w:lineRule="exact"/>
        <w:ind w:left="105" w:leftChars="50" w:firstLine="491" w:firstLineChars="20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发生紧急事故需抢修的，承包人在接到事故通知后，应当立即到达事故现场抢修。</w:t>
      </w:r>
    </w:p>
    <w:p>
      <w:pPr>
        <w:pageBreakBefore w:val="0"/>
        <w:widowControl w:val="0"/>
        <w:kinsoku/>
        <w:wordWrap/>
        <w:overflowPunct/>
        <w:topLinePunct w:val="0"/>
        <w:bidi w:val="0"/>
        <w:snapToGrid/>
        <w:spacing w:line="360" w:lineRule="exact"/>
        <w:ind w:left="105" w:leftChars="50" w:firstLine="491" w:firstLineChars="20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ageBreakBefore w:val="0"/>
        <w:widowControl w:val="0"/>
        <w:kinsoku/>
        <w:wordWrap/>
        <w:overflowPunct/>
        <w:topLinePunct w:val="0"/>
        <w:bidi w:val="0"/>
        <w:snapToGrid/>
        <w:spacing w:line="360" w:lineRule="exact"/>
        <w:ind w:left="420" w:leftChars="200" w:firstLine="120" w:firstLineChars="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质量保修完成后，由发包人组织验收。</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五、保修费用</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保修费用由造成质量缺陷的责任方承担。</w:t>
      </w:r>
    </w:p>
    <w:p>
      <w:pPr>
        <w:pageBreakBefore w:val="0"/>
        <w:widowControl w:val="0"/>
        <w:kinsoku/>
        <w:wordWrap/>
        <w:overflowPunct/>
        <w:topLinePunct w:val="0"/>
        <w:bidi w:val="0"/>
        <w:snapToGrid/>
        <w:spacing w:line="360" w:lineRule="exact"/>
        <w:ind w:firstLine="600"/>
        <w:jc w:val="left"/>
        <w:textAlignment w:val="auto"/>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六</w:t>
      </w:r>
      <w:r>
        <w:rPr>
          <w:rFonts w:hint="eastAsia" w:ascii="宋体" w:hAnsi="宋体" w:eastAsia="宋体" w:cs="宋体"/>
          <w:color w:val="000000"/>
          <w:sz w:val="24"/>
          <w:szCs w:val="24"/>
        </w:rPr>
        <w:t>、双方约定的其他工程质量保修事项：</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56" w:firstLineChars="19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工程质量保修书由发包人、承包人在工程竣工验收前共同签署，作为施工合同附件，其有效期限至保修期满。</w:t>
      </w:r>
    </w:p>
    <w:p>
      <w:pPr>
        <w:pageBreakBefore w:val="0"/>
        <w:widowControl w:val="0"/>
        <w:kinsoku/>
        <w:wordWrap/>
        <w:overflowPunct/>
        <w:topLinePunct w:val="0"/>
        <w:bidi w:val="0"/>
        <w:snapToGrid/>
        <w:spacing w:line="360" w:lineRule="exact"/>
        <w:ind w:firstLine="420"/>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发包人(公章)：</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承包人(公章)：</w:t>
      </w:r>
      <w:r>
        <w:rPr>
          <w:rFonts w:hint="eastAsia" w:ascii="宋体" w:hAnsi="宋体" w:eastAsia="宋体" w:cs="宋体"/>
          <w:color w:val="000000"/>
          <w:sz w:val="24"/>
          <w:szCs w:val="24"/>
          <w:u w:val="single"/>
        </w:rPr>
        <w:t xml:space="preserve">          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法定代表人(签字)：</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委托代理人(签字)：</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color w:val="000000"/>
          <w:sz w:val="24"/>
          <w:szCs w:val="24"/>
        </w:rPr>
        <w:t>附件4：</w:t>
      </w:r>
    </w:p>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主要建设工程文件目录</w:t>
      </w:r>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文件名称</w:t>
            </w:r>
          </w:p>
        </w:tc>
        <w:tc>
          <w:tcPr>
            <w:tcW w:w="1276"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套数</w:t>
            </w:r>
          </w:p>
        </w:tc>
        <w:tc>
          <w:tcPr>
            <w:tcW w:w="1450"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费用（元）</w:t>
            </w:r>
          </w:p>
        </w:tc>
        <w:tc>
          <w:tcPr>
            <w:tcW w:w="1243"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w:t>
            </w:r>
          </w:p>
        </w:tc>
        <w:tc>
          <w:tcPr>
            <w:tcW w:w="1450" w:type="dxa"/>
            <w:tcBorders>
              <w:top w:val="single" w:color="auto" w:sz="12" w:space="0"/>
              <w:bottom w:val="double" w:color="auto" w:sz="6" w:space="0"/>
            </w:tcBorders>
            <w:noWrap w:val="0"/>
            <w:vAlign w:val="top"/>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移交时间</w:t>
            </w:r>
          </w:p>
        </w:tc>
        <w:tc>
          <w:tcPr>
            <w:tcW w:w="1667" w:type="dxa"/>
            <w:tcBorders>
              <w:top w:val="single" w:color="auto" w:sz="12" w:space="0"/>
              <w:bottom w:val="double" w:color="auto" w:sz="6" w:space="0"/>
            </w:tcBorders>
            <w:noWrap w:val="0"/>
            <w:vAlign w:val="top"/>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43"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667"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43"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667"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4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66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4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66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4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66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4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66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4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66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4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66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76"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4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667"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76"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243"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667"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76"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4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667"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76"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4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667"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76"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4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667"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76"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4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667"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76"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4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667"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76"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4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667"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76"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4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667"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76"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43"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667"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bottom w:val="single" w:color="auto" w:sz="12" w:space="0"/>
            </w:tcBorders>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76" w:type="dxa"/>
            <w:tcBorders>
              <w:bottom w:val="single" w:color="auto" w:sz="12" w:space="0"/>
            </w:tcBorders>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tcBorders>
              <w:bottom w:val="single" w:color="auto" w:sz="12" w:space="0"/>
            </w:tcBorders>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243" w:type="dxa"/>
            <w:tcBorders>
              <w:bottom w:val="single" w:color="auto" w:sz="12" w:space="0"/>
            </w:tcBorders>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50" w:type="dxa"/>
            <w:tcBorders>
              <w:bottom w:val="single" w:color="auto" w:sz="12" w:space="0"/>
            </w:tcBorders>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667" w:type="dxa"/>
            <w:tcBorders>
              <w:bottom w:val="single" w:color="auto" w:sz="12" w:space="0"/>
            </w:tcBorders>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bl>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附</w:t>
      </w:r>
      <w:bookmarkStart w:id="622" w:name="_Toc296503227"/>
      <w:bookmarkStart w:id="623" w:name="_Toc296891055"/>
      <w:bookmarkStart w:id="624" w:name="_Toc296346728"/>
      <w:bookmarkStart w:id="625" w:name="_Toc267261698"/>
      <w:bookmarkStart w:id="626" w:name="_Toc296891267"/>
      <w:bookmarkStart w:id="627" w:name="_Toc296944566"/>
      <w:bookmarkStart w:id="628" w:name="_Toc296347226"/>
      <w:r>
        <w:rPr>
          <w:rFonts w:hint="eastAsia" w:ascii="宋体" w:hAnsi="宋体" w:eastAsia="宋体" w:cs="宋体"/>
          <w:color w:val="000000"/>
          <w:sz w:val="24"/>
          <w:szCs w:val="24"/>
        </w:rPr>
        <w:t>件5：</w:t>
      </w:r>
    </w:p>
    <w:bookmarkEnd w:id="622"/>
    <w:bookmarkEnd w:id="623"/>
    <w:bookmarkEnd w:id="624"/>
    <w:bookmarkEnd w:id="625"/>
    <w:bookmarkEnd w:id="626"/>
    <w:bookmarkEnd w:id="627"/>
    <w:bookmarkEnd w:id="628"/>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承包人用于本工程施工的机械设备表</w:t>
      </w:r>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418"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机械或设备名称</w:t>
            </w:r>
          </w:p>
        </w:tc>
        <w:tc>
          <w:tcPr>
            <w:tcW w:w="850"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1058"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880"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产地</w:t>
            </w:r>
          </w:p>
        </w:tc>
        <w:tc>
          <w:tcPr>
            <w:tcW w:w="1020"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制造年份</w:t>
            </w:r>
          </w:p>
        </w:tc>
        <w:tc>
          <w:tcPr>
            <w:tcW w:w="1480"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额定功率(kW)</w:t>
            </w:r>
          </w:p>
        </w:tc>
        <w:tc>
          <w:tcPr>
            <w:tcW w:w="1020"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生产能力</w:t>
            </w:r>
          </w:p>
        </w:tc>
        <w:tc>
          <w:tcPr>
            <w:tcW w:w="921"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58"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80"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0"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21" w:type="dxa"/>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58"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8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21"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5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8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2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5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8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2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5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8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2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5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8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2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5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8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2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5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8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2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1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5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921"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5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8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8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020"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92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1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5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921"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1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5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921"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1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5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921"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1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5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921"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1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5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921"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1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5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921"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1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5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921"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1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5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58"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8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921" w:type="dxa"/>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18" w:type="dxa"/>
            <w:tcBorders>
              <w:bottom w:val="single" w:color="auto" w:sz="12" w:space="0"/>
            </w:tcBorders>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50" w:type="dxa"/>
            <w:tcBorders>
              <w:bottom w:val="single" w:color="auto" w:sz="12" w:space="0"/>
            </w:tcBorders>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58" w:type="dxa"/>
            <w:tcBorders>
              <w:bottom w:val="single" w:color="auto" w:sz="12" w:space="0"/>
            </w:tcBorders>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880" w:type="dxa"/>
            <w:tcBorders>
              <w:bottom w:val="single" w:color="auto" w:sz="12" w:space="0"/>
            </w:tcBorders>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tcBorders>
              <w:bottom w:val="single" w:color="auto" w:sz="12" w:space="0"/>
            </w:tcBorders>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480" w:type="dxa"/>
            <w:tcBorders>
              <w:bottom w:val="single" w:color="auto" w:sz="12" w:space="0"/>
            </w:tcBorders>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1020" w:type="dxa"/>
            <w:tcBorders>
              <w:bottom w:val="single" w:color="auto" w:sz="12" w:space="0"/>
            </w:tcBorders>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c>
          <w:tcPr>
            <w:tcW w:w="921" w:type="dxa"/>
            <w:tcBorders>
              <w:bottom w:val="single" w:color="auto" w:sz="12" w:space="0"/>
            </w:tcBorders>
            <w:noWrap w:val="0"/>
            <w:vAlign w:val="top"/>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tc>
      </w:tr>
    </w:tbl>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w:t>
      </w:r>
      <w:bookmarkStart w:id="629" w:name="_Toc296347227"/>
      <w:bookmarkStart w:id="630" w:name="_Toc296503228"/>
      <w:bookmarkStart w:id="631" w:name="_Toc267261699"/>
      <w:bookmarkStart w:id="632" w:name="_Toc296891056"/>
      <w:bookmarkStart w:id="633" w:name="_Toc296891268"/>
      <w:bookmarkStart w:id="634" w:name="_Toc296944567"/>
      <w:bookmarkStart w:id="635" w:name="_Toc296346729"/>
      <w:r>
        <w:rPr>
          <w:rFonts w:hint="eastAsia" w:ascii="宋体" w:hAnsi="宋体" w:eastAsia="宋体" w:cs="宋体"/>
          <w:color w:val="000000"/>
          <w:sz w:val="24"/>
          <w:szCs w:val="24"/>
        </w:rPr>
        <w:t>件6：</w:t>
      </w:r>
    </w:p>
    <w:bookmarkEnd w:id="629"/>
    <w:bookmarkEnd w:id="630"/>
    <w:bookmarkEnd w:id="631"/>
    <w:bookmarkEnd w:id="632"/>
    <w:bookmarkEnd w:id="633"/>
    <w:bookmarkEnd w:id="634"/>
    <w:bookmarkEnd w:id="635"/>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承包人主要施工管理人员表</w:t>
      </w:r>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    称</w:t>
            </w:r>
          </w:p>
        </w:tc>
        <w:tc>
          <w:tcPr>
            <w:tcW w:w="1418"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134"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1134"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职称</w:t>
            </w:r>
          </w:p>
        </w:tc>
        <w:tc>
          <w:tcPr>
            <w:tcW w:w="4252"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项目主管</w:t>
            </w:r>
          </w:p>
        </w:tc>
        <w:tc>
          <w:tcPr>
            <w:tcW w:w="1418"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其他人员</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项目经理</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项目副经理</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技术负责人</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造价管理</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质量管理</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材料管理</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计划管理</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安全管理</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其他人员</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tcBorders>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tcBorders>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tcBorders>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bl>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附</w:t>
      </w:r>
      <w:bookmarkStart w:id="636" w:name="_Toc296944568"/>
      <w:bookmarkStart w:id="637" w:name="_Toc296503229"/>
      <w:bookmarkStart w:id="638" w:name="_Toc296347228"/>
      <w:bookmarkStart w:id="639" w:name="_Toc296891057"/>
      <w:bookmarkStart w:id="640" w:name="_Toc296346730"/>
      <w:bookmarkStart w:id="641" w:name="_Toc296891269"/>
      <w:r>
        <w:rPr>
          <w:rFonts w:hint="eastAsia" w:ascii="宋体" w:hAnsi="宋体" w:eastAsia="宋体" w:cs="宋体"/>
          <w:color w:val="000000"/>
          <w:sz w:val="24"/>
          <w:szCs w:val="24"/>
        </w:rPr>
        <w:t>件7：</w:t>
      </w:r>
    </w:p>
    <w:bookmarkEnd w:id="636"/>
    <w:bookmarkEnd w:id="637"/>
    <w:bookmarkEnd w:id="638"/>
    <w:bookmarkEnd w:id="639"/>
    <w:bookmarkEnd w:id="640"/>
    <w:bookmarkEnd w:id="641"/>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分包人主要施工管理人员表</w:t>
      </w:r>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    称</w:t>
            </w:r>
          </w:p>
        </w:tc>
        <w:tc>
          <w:tcPr>
            <w:tcW w:w="1418"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134"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1134"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职称</w:t>
            </w:r>
          </w:p>
        </w:tc>
        <w:tc>
          <w:tcPr>
            <w:tcW w:w="4252" w:type="dxa"/>
            <w:tcBorders>
              <w:top w:val="single" w:color="auto" w:sz="12" w:space="0"/>
              <w:bottom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项目主管</w:t>
            </w:r>
          </w:p>
        </w:tc>
        <w:tc>
          <w:tcPr>
            <w:tcW w:w="1418"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tcBorders>
              <w:top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其他人员</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项目经理</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项目副经理</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技术负责人</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造价管理</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质量管理</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材料管理</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计划管理</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安全管理</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其他人员</w:t>
            </w: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tcBorders>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tcBorders>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tcBorders>
              <w:bottom w:val="nil"/>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134"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4252" w:type="dxa"/>
            <w:tcBorders>
              <w:bottom w:val="single" w:color="auto" w:sz="12" w:space="0"/>
            </w:tcBorders>
            <w:noWrap w:val="0"/>
            <w:vAlign w:val="center"/>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bl>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642" w:name="_Toc267261701"/>
      <w:r>
        <w:rPr>
          <w:rFonts w:hint="eastAsia" w:ascii="宋体" w:hAnsi="宋体" w:eastAsia="宋体" w:cs="宋体"/>
          <w:color w:val="000000"/>
          <w:sz w:val="24"/>
          <w:szCs w:val="24"/>
        </w:rPr>
        <w:t>附</w:t>
      </w:r>
      <w:bookmarkStart w:id="643" w:name="_Toc296891059"/>
      <w:bookmarkStart w:id="644" w:name="_Toc296891271"/>
      <w:bookmarkStart w:id="645" w:name="_Toc296503231"/>
      <w:bookmarkStart w:id="646" w:name="_Toc296347230"/>
      <w:bookmarkStart w:id="647" w:name="_Toc296346732"/>
      <w:bookmarkStart w:id="648" w:name="_Toc296944570"/>
      <w:r>
        <w:rPr>
          <w:rFonts w:hint="eastAsia" w:ascii="宋体" w:hAnsi="宋体" w:eastAsia="宋体" w:cs="宋体"/>
          <w:color w:val="000000"/>
          <w:sz w:val="24"/>
          <w:szCs w:val="24"/>
        </w:rPr>
        <w:t>件8：</w:t>
      </w:r>
    </w:p>
    <w:bookmarkEnd w:id="642"/>
    <w:bookmarkEnd w:id="643"/>
    <w:bookmarkEnd w:id="644"/>
    <w:bookmarkEnd w:id="645"/>
    <w:bookmarkEnd w:id="646"/>
    <w:bookmarkEnd w:id="647"/>
    <w:bookmarkEnd w:id="648"/>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履约担保</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（发包人名称）：</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鉴于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（发包人名称，以下简称“发包人”）与</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（承包人名称）（以下称“承包人”）于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（工程名称）施工及有关事项协商一致共同签订《建设工程施工合同》。我方愿意无条件地、不可撤销地就承包人履行与你方签订的合同，向你方提供连带责任担保。 </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担保金额人民币（大写）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担保有效期自你方与承包人签订的合同生效之日起至你方签发或应签发工程接收证书之日止。</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在本担保有效期内，因承包人违反合同约定的义务给你方造成经济损失时，我方在收到你方以书面形式提出的在担保金额内的赔偿要求后，在7天内无条件支付。</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 你方和承包人按合同约定变更合同时，我方承担本担保规定的义务不变。</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 因本保函发生的纠纷，可由双方协商解决，协商不成的，任何一方均可提请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仲裁委员会仲裁。</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 本保函自我方法定代表人（或其授权代理人）签字并加盖公章之日起生效。</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担 保 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u w:val="single"/>
        </w:rPr>
      </w:pPr>
    </w:p>
    <w:p>
      <w:pPr>
        <w:pageBreakBefore w:val="0"/>
        <w:widowControl w:val="0"/>
        <w:kinsoku/>
        <w:wordWrap/>
        <w:overflowPunct/>
        <w:topLinePunct w:val="0"/>
        <w:bidi w:val="0"/>
        <w:snapToGrid/>
        <w:spacing w:line="360" w:lineRule="exact"/>
        <w:ind w:left="1329" w:hanging="1519" w:hangingChars="63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ageBreakBefore w:val="0"/>
        <w:widowControl w:val="0"/>
        <w:kinsoku/>
        <w:wordWrap/>
        <w:overflowPunct/>
        <w:topLinePunct w:val="0"/>
        <w:bidi w:val="0"/>
        <w:snapToGrid/>
        <w:spacing w:line="360" w:lineRule="exact"/>
        <w:ind w:left="1329" w:hanging="1519" w:hangingChars="633"/>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ind w:left="1329" w:hanging="1519" w:hangingChars="633"/>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ind w:left="1329" w:hanging="1519" w:hangingChars="633"/>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ind w:left="1329" w:hanging="1519" w:hangingChars="633"/>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ind w:left="1329" w:hanging="1519" w:hangingChars="633"/>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ind w:left="1329" w:hanging="1519" w:hangingChars="633"/>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ind w:left="1329" w:hanging="1519" w:hangingChars="633"/>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ind w:left="1329" w:hanging="1519" w:hangingChars="633"/>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ind w:left="1329" w:hanging="1519" w:hangingChars="633"/>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ind w:left="1329" w:hanging="1519" w:hangingChars="633"/>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w:t>
      </w:r>
      <w:bookmarkStart w:id="649" w:name="_Toc296891060"/>
      <w:bookmarkStart w:id="650" w:name="_Toc267261702"/>
      <w:bookmarkStart w:id="651" w:name="_Toc296347231"/>
      <w:bookmarkStart w:id="652" w:name="_Toc296503232"/>
      <w:bookmarkStart w:id="653" w:name="_Toc296346733"/>
      <w:bookmarkStart w:id="654" w:name="_Toc296944571"/>
      <w:bookmarkStart w:id="655" w:name="_Toc296891272"/>
      <w:r>
        <w:rPr>
          <w:rFonts w:hint="eastAsia" w:ascii="宋体" w:hAnsi="宋体" w:eastAsia="宋体" w:cs="宋体"/>
          <w:color w:val="000000"/>
          <w:sz w:val="24"/>
          <w:szCs w:val="24"/>
        </w:rPr>
        <w:t>件9 ：</w:t>
      </w:r>
    </w:p>
    <w:bookmarkEnd w:id="649"/>
    <w:bookmarkEnd w:id="650"/>
    <w:bookmarkEnd w:id="651"/>
    <w:bookmarkEnd w:id="652"/>
    <w:bookmarkEnd w:id="653"/>
    <w:bookmarkEnd w:id="654"/>
    <w:bookmarkEnd w:id="655"/>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预付款担保</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（发包人名称）：</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（承包人名称）（以下称“承包人”）与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（发包人名称）（以下简称“发包人”）于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日签订的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担保金额人民币（大写）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担保有效期自预付款支付给承包人起生效，至你方签发的进度款支付证书说明已完全扣清止。</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 你方和承包人按合同约定变更合同时，我方承担本保函规定的义务不变。</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 因本保函发生的纠纷，可由双方协商解决，协商不成的，任何一方均可提请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仲裁委员会仲裁。</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 本保函自我方法定代表人（或其授权代理人）签字并加盖公章之日起生效。</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担保人：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u w:val="single"/>
        </w:rPr>
      </w:pP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color w:val="000000"/>
          <w:sz w:val="24"/>
          <w:szCs w:val="24"/>
        </w:rPr>
        <w:t>附</w:t>
      </w:r>
      <w:bookmarkStart w:id="656" w:name="_Toc296891273"/>
      <w:bookmarkStart w:id="657" w:name="_Toc296891061"/>
      <w:bookmarkStart w:id="658" w:name="_Toc296503233"/>
      <w:bookmarkStart w:id="659" w:name="_Toc296346734"/>
      <w:bookmarkStart w:id="660" w:name="_Toc296347232"/>
      <w:bookmarkStart w:id="661" w:name="_Toc296944572"/>
      <w:r>
        <w:rPr>
          <w:rFonts w:hint="eastAsia" w:ascii="宋体" w:hAnsi="宋体" w:eastAsia="宋体" w:cs="宋体"/>
          <w:color w:val="000000"/>
          <w:sz w:val="24"/>
          <w:szCs w:val="24"/>
        </w:rPr>
        <w:t xml:space="preserve">件10:  </w:t>
      </w:r>
    </w:p>
    <w:bookmarkEnd w:id="656"/>
    <w:bookmarkEnd w:id="657"/>
    <w:bookmarkEnd w:id="658"/>
    <w:bookmarkEnd w:id="659"/>
    <w:bookmarkEnd w:id="660"/>
    <w:bookmarkEnd w:id="661"/>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支付担保</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（承包人）：</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鉴于你方作为承包人已经与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（发包人名称）（以下称“发包人”）于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日签订了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（工程名称）《建设工程施工合同》（以下称“主合同”），应发包人的申请，我方愿就发包人履行主合同约定的工程款支付义务以保证的方式向你方提供如下担保：</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一、保证的范围及保证金额</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我方的保证范围是主合同约定的工程款。</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本保函所称主合同约定的工程款是指主合同约定的除工程质量保证金以外的合同价款。</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我方保证的金额是主合同约定的工程款的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%，数额最高不超过人民币元（大写：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二、保证的方式及保证期间</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我方保证的方式为：连带责任保证。</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我方保证的期间为：自本合同生效之日起至主合同约定的工程款支付完毕之日后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日内。</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你方与发包人协议变更工程款支付日期的，经我方书面同意后，保证期间按照变更后的支付日期做相应调整。</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三、承担保证责任的形式</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我方承担保证责任的形式是代为支付。发包人未按主合同约定向你方支付工程款的，由我方在保证金额内代为支付。</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四、代偿的安排</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你方要求我方承担保证责任的，应向我方发出书面索赔通知及发包人未支付主合同约定工程款的证明材料。索赔通知应写明要求索赔的金额，支付款项应到达的账号。</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我方收到你方的书面索赔通知及相应的证明材料后７天内无条件支付。</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五、保证责任的解除</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在本保函承诺的保证期间内，你方未书面向我方主张保证责任的，自保证期间届满次日起，我方保证责任解除。</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发包人按主合同约定履行了工程款的全部支付义务的，自本保函承诺的保证期间届满次日起，我方保证责任解除。</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我方按照本保函向你方履行保证责任所支付金额达到本保函保证金额时，自我方向你方支付（支付款项从我方账户划出）之日起，保证责任即解除。</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 按照法律法规的规定或出现应解除我方保证责任的其他情形的，我方在本保函项下的保证责任亦解除。</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 我方解除保证责任后，你方应自我方保证责任解除之日起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个工作日内，将本保函原件返还我方。</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六、免责条款</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因你方违约致使发包人不能履行义务的，我方不承担保证责任。</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依照法律法规的规定或你方与发包人的另行约定，免除发包人部分或全部义务的，我方亦免除其相应的保证责任。</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 因不可抗力造成发包人不能履行义务的，我方不承担保证责任。</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七、争议解决</w:t>
      </w:r>
    </w:p>
    <w:p>
      <w:pPr>
        <w:pageBreakBefore w:val="0"/>
        <w:widowControl w:val="0"/>
        <w:kinsoku/>
        <w:wordWrap/>
        <w:overflowPunct/>
        <w:topLinePunct w:val="0"/>
        <w:bidi w:val="0"/>
        <w:snapToGrid/>
        <w:spacing w:after="12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因本保函或本保函相关事项发生的纠纷，可由双方协商解决，协商不成的，按下列第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种方式解决：</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仲裁委员会申请仲裁；</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人民法院起诉。</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八、保函的生效</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本保函自我方法定代表人（或其授权代理人）签字并加盖公章之日起生效。</w:t>
      </w:r>
    </w:p>
    <w:p>
      <w:pPr>
        <w:pageBreakBefore w:val="0"/>
        <w:widowControl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ind w:right="600"/>
        <w:jc w:val="lef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line="360" w:lineRule="exact"/>
        <w:ind w:right="6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担保人：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（盖章）</w:t>
      </w:r>
    </w:p>
    <w:p>
      <w:pPr>
        <w:pageBreakBefore w:val="0"/>
        <w:widowControl w:val="0"/>
        <w:kinsoku/>
        <w:wordWrap/>
        <w:overflowPunct/>
        <w:topLinePunct w:val="0"/>
        <w:bidi w:val="0"/>
        <w:snapToGrid/>
        <w:spacing w:line="360" w:lineRule="exact"/>
        <w:ind w:right="1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exact"/>
        <w:ind w:right="150" w:firstLine="480" w:firstLineChars="200"/>
        <w:jc w:val="left"/>
        <w:textAlignment w:val="auto"/>
        <w:rPr>
          <w:rFonts w:hint="eastAsia" w:ascii="宋体" w:hAnsi="宋体" w:eastAsia="宋体" w:cs="宋体"/>
          <w:color w:val="000000"/>
          <w:sz w:val="24"/>
          <w:szCs w:val="24"/>
          <w:u w:val="single"/>
        </w:rPr>
      </w:pPr>
    </w:p>
    <w:p>
      <w:pPr>
        <w:pageBreakBefore w:val="0"/>
        <w:widowControl w:val="0"/>
        <w:kinsoku/>
        <w:wordWrap/>
        <w:overflowPunct/>
        <w:topLinePunct w:val="0"/>
        <w:bidi w:val="0"/>
        <w:snapToGrid/>
        <w:spacing w:line="360" w:lineRule="exact"/>
        <w:ind w:right="15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附件11：</w:t>
      </w:r>
    </w:p>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11-1：材料暂估价表</w:t>
      </w:r>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984"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851"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774"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352"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1418"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合价（元）</w:t>
            </w:r>
          </w:p>
        </w:tc>
        <w:tc>
          <w:tcPr>
            <w:tcW w:w="1701"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bl>
    <w:p>
      <w:pPr>
        <w:pageBreakBefore w:val="0"/>
        <w:widowControl w:val="0"/>
        <w:kinsoku/>
        <w:wordWrap/>
        <w:overflowPunct/>
        <w:topLinePunct w:val="0"/>
        <w:bidi w:val="0"/>
        <w:snapToGrid/>
        <w:spacing w:before="120" w:beforeLines="50" w:after="120" w:afterLines="50"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11-2：工程设备暂估价表</w:t>
      </w:r>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984"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851"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774"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352"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1418"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合价（元）</w:t>
            </w:r>
          </w:p>
        </w:tc>
        <w:tc>
          <w:tcPr>
            <w:tcW w:w="1701"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bl>
    <w:p>
      <w:pPr>
        <w:pageBreakBefore w:val="0"/>
        <w:widowControl w:val="0"/>
        <w:kinsoku/>
        <w:wordWrap/>
        <w:overflowPunct/>
        <w:topLinePunct w:val="0"/>
        <w:bidi w:val="0"/>
        <w:snapToGrid/>
        <w:spacing w:line="360" w:lineRule="exact"/>
        <w:textAlignment w:val="auto"/>
        <w:rPr>
          <w:rFonts w:hint="eastAsia" w:ascii="宋体" w:hAnsi="宋体" w:eastAsia="宋体" w:cs="宋体"/>
          <w:color w:val="000000"/>
          <w:sz w:val="24"/>
          <w:szCs w:val="24"/>
        </w:rPr>
      </w:pPr>
    </w:p>
    <w:p>
      <w:pPr>
        <w:pageBreakBefore w:val="0"/>
        <w:widowControl w:val="0"/>
        <w:kinsoku/>
        <w:wordWrap/>
        <w:overflowPunct/>
        <w:topLinePunct w:val="0"/>
        <w:bidi w:val="0"/>
        <w:snapToGrid/>
        <w:spacing w:before="120" w:beforeLines="50" w:after="120" w:afterLines="5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11-3：专业工程暂估价表</w:t>
      </w:r>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984"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851"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774"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352"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1418"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合价（元）</w:t>
            </w:r>
          </w:p>
        </w:tc>
        <w:tc>
          <w:tcPr>
            <w:tcW w:w="1701" w:type="dxa"/>
            <w:tcBorders>
              <w:top w:val="single" w:color="auto" w:sz="12" w:space="0"/>
              <w:bottom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tcBorders>
              <w:top w:val="double" w:color="auto" w:sz="6"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tcBorders>
              <w:top w:val="nil"/>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 w:hRule="atLeast"/>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984"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851"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774"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352"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418"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c>
          <w:tcPr>
            <w:tcW w:w="1701" w:type="dxa"/>
            <w:tcBorders>
              <w:bottom w:val="single" w:color="auto" w:sz="12" w:space="0"/>
            </w:tcBorders>
            <w:noWrap w:val="0"/>
            <w:vAlign w:val="top"/>
          </w:tcPr>
          <w:p>
            <w:pPr>
              <w:pStyle w:val="22"/>
              <w:keepNext/>
              <w:pageBreakBefore w:val="0"/>
              <w:widowControl w:val="0"/>
              <w:kinsoku/>
              <w:wordWrap/>
              <w:overflowPunct/>
              <w:topLinePunct w:val="0"/>
              <w:bidi w:val="0"/>
              <w:snapToGrid/>
              <w:spacing w:line="360" w:lineRule="exact"/>
              <w:ind w:left="63" w:right="63"/>
              <w:textAlignment w:val="auto"/>
              <w:rPr>
                <w:rFonts w:hint="eastAsia" w:ascii="宋体" w:hAnsi="宋体" w:eastAsia="宋体" w:cs="宋体"/>
                <w:color w:val="000000"/>
                <w:sz w:val="24"/>
                <w:szCs w:val="24"/>
              </w:rPr>
            </w:pPr>
          </w:p>
        </w:tc>
      </w:tr>
    </w:tbl>
    <w:p>
      <w:pPr>
        <w:pageBreakBefore w:val="0"/>
        <w:widowControl w:val="0"/>
        <w:kinsoku/>
        <w:wordWrap/>
        <w:overflowPunct/>
        <w:topLinePunct w:val="0"/>
        <w:bidi w:val="0"/>
        <w:snapToGrid/>
        <w:spacing w:line="360" w:lineRule="exact"/>
        <w:ind w:firstLine="420"/>
        <w:textAlignment w:val="auto"/>
        <w:rPr>
          <w:rFonts w:hint="eastAsia" w:ascii="宋体" w:hAnsi="宋体" w:eastAsia="宋体" w:cs="宋体"/>
          <w:color w:val="000000" w:themeColor="text1"/>
          <w:sz w:val="24"/>
          <w:szCs w:val="24"/>
          <w14:textFill>
            <w14:solidFill>
              <w14:schemeClr w14:val="tx1"/>
            </w14:solidFill>
          </w14:textFill>
        </w:rPr>
        <w:sectPr>
          <w:footerReference r:id="rId8" w:type="default"/>
          <w:pgSz w:w="11907" w:h="16839"/>
          <w:pgMar w:top="1440" w:right="1080" w:bottom="1440" w:left="1080" w:header="720" w:footer="720" w:gutter="0"/>
          <w:pgNumType w:fmt="decimal"/>
          <w:cols w:space="720" w:num="1"/>
          <w:docGrid w:linePitch="286" w:charSpace="0"/>
        </w:sectPr>
      </w:pPr>
      <w:r>
        <w:rPr>
          <w:rFonts w:hint="eastAsia" w:ascii="宋体" w:hAnsi="宋体" w:eastAsia="宋体" w:cs="宋体"/>
          <w:sz w:val="24"/>
          <w:szCs w:val="24"/>
        </w:rPr>
        <w:t xml:space="preserve">                                                                 </w:t>
      </w:r>
    </w:p>
    <w:p>
      <w:pPr>
        <w:pStyle w:val="16"/>
        <w:ind w:left="0" w:leftChars="0" w:firstLine="0" w:firstLineChars="0"/>
        <w:rPr>
          <w:rFonts w:hint="eastAsia" w:ascii="宋体" w:hAnsi="宋体" w:eastAsia="宋体" w:cs="宋体"/>
          <w:color w:val="000000" w:themeColor="text1"/>
          <w:kern w:val="0"/>
          <w:sz w:val="24"/>
          <w:szCs w:val="24"/>
          <w14:textFill>
            <w14:solidFill>
              <w14:schemeClr w14:val="tx1"/>
            </w14:solidFill>
          </w14:textFill>
        </w:rPr>
      </w:pPr>
    </w:p>
    <w:p>
      <w:pPr>
        <w:pStyle w:val="4"/>
        <w:numPr>
          <w:ilvl w:val="0"/>
          <w:numId w:val="0"/>
        </w:numPr>
        <w:jc w:val="center"/>
        <w:rPr>
          <w:rFonts w:hint="eastAsia" w:ascii="宋体" w:hAnsi="宋体" w:eastAsia="宋体" w:cs="宋体"/>
          <w:b/>
          <w:color w:val="000000" w:themeColor="text1"/>
          <w:sz w:val="24"/>
          <w:szCs w:val="24"/>
          <w:lang w:val="zh-CN"/>
          <w14:textFill>
            <w14:solidFill>
              <w14:schemeClr w14:val="tx1"/>
            </w14:solidFill>
          </w14:textFill>
        </w:rPr>
      </w:pPr>
      <w:bookmarkStart w:id="662" w:name="_Toc8920"/>
      <w:bookmarkStart w:id="663" w:name="_Toc10423"/>
      <w:bookmarkStart w:id="664" w:name="_Toc267"/>
      <w:bookmarkStart w:id="665" w:name="_Toc29495"/>
      <w:r>
        <w:rPr>
          <w:rFonts w:hint="eastAsia" w:ascii="宋体" w:hAnsi="宋体" w:eastAsia="宋体" w:cs="宋体"/>
          <w:b/>
          <w:color w:val="000000" w:themeColor="text1"/>
          <w:sz w:val="24"/>
          <w:szCs w:val="24"/>
          <w:lang w:val="zh-CN"/>
          <w14:textFill>
            <w14:solidFill>
              <w14:schemeClr w14:val="tx1"/>
            </w14:solidFill>
          </w14:textFill>
        </w:rPr>
        <w:t>第 三 章    技 术 要 求</w:t>
      </w:r>
      <w:bookmarkEnd w:id="662"/>
      <w:bookmarkEnd w:id="663"/>
      <w:bookmarkEnd w:id="664"/>
      <w:bookmarkEnd w:id="665"/>
    </w:p>
    <w:p>
      <w:pPr>
        <w:autoSpaceDE w:val="0"/>
        <w:autoSpaceDN w:val="0"/>
        <w:adjustRightInd w:val="0"/>
        <w:spacing w:line="360" w:lineRule="auto"/>
        <w:jc w:val="left"/>
        <w:rPr>
          <w:rFonts w:hint="eastAsia" w:ascii="宋体" w:hAnsi="宋体" w:eastAsia="宋体" w:cs="宋体"/>
          <w:color w:val="000000" w:themeColor="text1"/>
          <w:sz w:val="24"/>
          <w:szCs w:val="24"/>
          <w:lang w:val="zh-CN"/>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lang w:val="zh-CN"/>
          <w14:textFill>
            <w14:solidFill>
              <w14:schemeClr w14:val="tx1"/>
            </w14:solidFill>
          </w14:textFill>
        </w:rPr>
        <w:t>、本工程完成必须符合国家和地方现行相关质量评定标准和施工技术规范、施工图设计要求。</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、本工程的材料检验和质量、工艺试验按国家、地方现行相关规定执行。</w:t>
      </w:r>
    </w:p>
    <w:p>
      <w:pPr>
        <w:pStyle w:val="21"/>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1.3、工程施工符合国家相关施工规范</w:t>
      </w:r>
    </w:p>
    <w:p>
      <w:pPr>
        <w:pStyle w:val="21"/>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1.4、施工材料符合国家相关规范和规定，达到环保相关要求。</w:t>
      </w:r>
    </w:p>
    <w:p>
      <w:pPr>
        <w:pStyle w:val="21"/>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1.5、施工完成，必须清理现场，垃圾杂物及时外运，打扫卫生，保洁达到进场时卫生标准。</w:t>
      </w:r>
    </w:p>
    <w:p>
      <w:pPr>
        <w:pStyle w:val="21"/>
        <w:spacing w:line="360" w:lineRule="auto"/>
        <w:jc w:val="left"/>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p>
    <w:p>
      <w:pPr>
        <w:pStyle w:val="21"/>
        <w:spacing w:line="360" w:lineRule="auto"/>
        <w:jc w:val="left"/>
        <w:rPr>
          <w:rFonts w:hint="eastAsia" w:ascii="宋体" w:hAnsi="宋体" w:eastAsia="宋体" w:cs="宋体"/>
          <w:color w:val="000000" w:themeColor="text1"/>
          <w:sz w:val="24"/>
          <w:szCs w:val="24"/>
          <w14:textFill>
            <w14:solidFill>
              <w14:schemeClr w14:val="tx1"/>
            </w14:solidFill>
          </w14:textFill>
        </w:rPr>
      </w:pPr>
    </w:p>
    <w:p>
      <w:pPr>
        <w:pStyle w:val="21"/>
        <w:spacing w:line="360" w:lineRule="auto"/>
        <w:jc w:val="left"/>
        <w:rPr>
          <w:rFonts w:hint="eastAsia" w:ascii="宋体" w:hAnsi="宋体" w:eastAsia="宋体" w:cs="宋体"/>
          <w:color w:val="000000" w:themeColor="text1"/>
          <w:sz w:val="24"/>
          <w:szCs w:val="24"/>
          <w14:textFill>
            <w14:solidFill>
              <w14:schemeClr w14:val="tx1"/>
            </w14:solidFill>
          </w14:textFill>
        </w:rPr>
      </w:pPr>
    </w:p>
    <w:p>
      <w:pPr>
        <w:pStyle w:val="21"/>
        <w:spacing w:line="360" w:lineRule="auto"/>
        <w:jc w:val="left"/>
        <w:rPr>
          <w:rFonts w:hint="eastAsia" w:ascii="宋体" w:hAnsi="宋体" w:eastAsia="宋体" w:cs="宋体"/>
          <w:color w:val="000000" w:themeColor="text1"/>
          <w:sz w:val="24"/>
          <w:szCs w:val="24"/>
          <w14:textFill>
            <w14:solidFill>
              <w14:schemeClr w14:val="tx1"/>
            </w14:solidFill>
          </w14:textFill>
        </w:rPr>
      </w:pPr>
    </w:p>
    <w:p>
      <w:pPr>
        <w:pStyle w:val="21"/>
        <w:spacing w:line="360" w:lineRule="auto"/>
        <w:jc w:val="left"/>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4"/>
        <w:numPr>
          <w:ilvl w:val="0"/>
          <w:numId w:val="0"/>
        </w:numPr>
        <w:jc w:val="center"/>
        <w:rPr>
          <w:rFonts w:hint="eastAsia" w:ascii="宋体" w:hAnsi="宋体" w:eastAsia="宋体" w:cs="宋体"/>
          <w:b/>
          <w:color w:val="000000" w:themeColor="text1"/>
          <w:sz w:val="24"/>
          <w:szCs w:val="24"/>
          <w:lang w:val="zh-CN"/>
          <w14:textFill>
            <w14:solidFill>
              <w14:schemeClr w14:val="tx1"/>
            </w14:solidFill>
          </w14:textFill>
        </w:rPr>
      </w:pPr>
      <w:bookmarkStart w:id="666" w:name="_Toc14127"/>
      <w:bookmarkStart w:id="667" w:name="_Toc26110"/>
      <w:bookmarkStart w:id="668" w:name="_Toc2869"/>
      <w:bookmarkStart w:id="669" w:name="_Toc28431"/>
      <w:r>
        <w:rPr>
          <w:rFonts w:hint="eastAsia" w:ascii="宋体" w:hAnsi="宋体" w:eastAsia="宋体" w:cs="宋体"/>
          <w:b/>
          <w:color w:val="000000" w:themeColor="text1"/>
          <w:sz w:val="24"/>
          <w:szCs w:val="24"/>
          <w:lang w:val="zh-CN"/>
          <w14:textFill>
            <w14:solidFill>
              <w14:schemeClr w14:val="tx1"/>
            </w14:solidFill>
          </w14:textFill>
        </w:rPr>
        <w:t>第四章   投标文件格式</w:t>
      </w:r>
      <w:bookmarkEnd w:id="666"/>
      <w:bookmarkEnd w:id="667"/>
      <w:bookmarkEnd w:id="668"/>
      <w:bookmarkEnd w:id="669"/>
    </w:p>
    <w:p>
      <w:pPr>
        <w:spacing w:line="360" w:lineRule="auto"/>
        <w:rPr>
          <w:rFonts w:hint="eastAsia" w:ascii="宋体" w:hAnsi="宋体" w:eastAsia="宋体" w:cs="宋体"/>
          <w:b/>
          <w:bCs/>
          <w:color w:val="000000" w:themeColor="text1"/>
          <w:sz w:val="24"/>
          <w:szCs w:val="24"/>
          <w14:textFill>
            <w14:solidFill>
              <w14:schemeClr w14:val="tx1"/>
            </w14:solidFill>
          </w14:textFill>
        </w:rPr>
      </w:pPr>
    </w:p>
    <w:p>
      <w:pPr>
        <w:pStyle w:val="5"/>
        <w:numPr>
          <w:ilvl w:val="0"/>
          <w:numId w:val="0"/>
        </w:numPr>
        <w:spacing w:line="360" w:lineRule="auto"/>
        <w:ind w:left="-420" w:leftChars="0"/>
        <w:jc w:val="center"/>
        <w:rPr>
          <w:rFonts w:hint="eastAsia" w:ascii="宋体" w:hAnsi="宋体" w:eastAsia="宋体" w:cs="宋体"/>
          <w:color w:val="000000" w:themeColor="text1"/>
          <w:sz w:val="24"/>
          <w:szCs w:val="24"/>
          <w14:textFill>
            <w14:solidFill>
              <w14:schemeClr w14:val="tx1"/>
            </w14:solidFill>
          </w14:textFill>
        </w:rPr>
      </w:pPr>
      <w:bookmarkStart w:id="670" w:name="_Toc28441"/>
      <w:bookmarkStart w:id="671" w:name="_Toc20509"/>
      <w:bookmarkStart w:id="672" w:name="_Toc420348767"/>
      <w:r>
        <w:rPr>
          <w:rFonts w:hint="eastAsia" w:ascii="宋体" w:hAnsi="宋体" w:eastAsia="宋体" w:cs="宋体"/>
          <w:color w:val="000000" w:themeColor="text1"/>
          <w:sz w:val="24"/>
          <w:szCs w:val="24"/>
          <w:lang w:val="zh-CN"/>
          <w14:textFill>
            <w14:solidFill>
              <w14:schemeClr w14:val="tx1"/>
            </w14:solidFill>
          </w14:textFill>
        </w:rPr>
        <w:t>商</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务</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标</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式</w:t>
      </w:r>
      <w:bookmarkEnd w:id="670"/>
      <w:bookmarkEnd w:id="671"/>
      <w:bookmarkEnd w:id="672"/>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商务标封面示例</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lang w:val="zh-CN"/>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lang w:val="zh-CN"/>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lang w:val="zh-CN"/>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投标文件商务标</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招标工程名称：××××××</w:t>
      </w:r>
    </w:p>
    <w:p>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招标工程编号：：××××××</w:t>
      </w:r>
    </w:p>
    <w:p>
      <w:pPr>
        <w:autoSpaceDE w:val="0"/>
        <w:autoSpaceDN w:val="0"/>
        <w:adjustRightInd w:val="0"/>
        <w:spacing w:line="360" w:lineRule="auto"/>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投标人名称（盖章）：××××××</w:t>
      </w:r>
    </w:p>
    <w:p>
      <w:pPr>
        <w:pStyle w:val="2"/>
        <w:ind w:left="0" w:leftChars="0" w:firstLine="0" w:firstLineChars="0"/>
        <w:jc w:val="left"/>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法定代表人或委托代理人（签字或盖章）</w:t>
      </w:r>
      <w:r>
        <w:rPr>
          <w:rFonts w:hint="eastAsia" w:ascii="宋体" w:hAnsi="宋体" w:eastAsia="宋体" w:cs="宋体"/>
          <w:color w:val="000000" w:themeColor="text1"/>
          <w:kern w:val="2"/>
          <w:sz w:val="24"/>
          <w:szCs w:val="24"/>
          <w:lang w:val="zh-CN" w:eastAsia="zh-CN" w:bidi="ar-SA"/>
          <w14:textFill>
            <w14:solidFill>
              <w14:schemeClr w14:val="tx1"/>
            </w14:solidFill>
          </w14:textFill>
        </w:rPr>
        <w:t>：××××××</w:t>
      </w:r>
    </w:p>
    <w:p>
      <w:pPr>
        <w:pStyle w:val="2"/>
        <w:ind w:left="0" w:leftChars="0" w:firstLine="0" w:firstLineChars="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联系方式：××××××</w:t>
      </w:r>
    </w:p>
    <w:p>
      <w:pPr>
        <w:autoSpaceDE w:val="0"/>
        <w:autoSpaceDN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编制时间：×年×月×日</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autoSpaceDE w:val="0"/>
        <w:autoSpaceDN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商务标目录</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1、投标承诺书（一）</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2、投标承诺书（二）</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、法定代表人身份证明书</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、法定代表人授权委托书</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、投标人概况</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、投标人近三年类似工程业绩证明材料</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、项目负责人简历</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、项目管理人员</w:t>
      </w:r>
    </w:p>
    <w:p>
      <w:pPr>
        <w:autoSpaceDE w:val="0"/>
        <w:autoSpaceDN w:val="0"/>
        <w:adjustRightInd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、招标文件要求的其他证明材料</w:t>
      </w:r>
    </w:p>
    <w:p>
      <w:pPr>
        <w:autoSpaceDE w:val="0"/>
        <w:autoSpaceDN w:val="0"/>
        <w:adjustRightInd w:val="0"/>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注：为了便于查找，请按上述顺序编排商务标内容，并在目录中标明每项内容的起始页码。</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62"/>
        <w:rPr>
          <w:rFonts w:hint="eastAsia" w:ascii="宋体" w:hAnsi="宋体" w:eastAsia="宋体" w:cs="宋体"/>
          <w:sz w:val="24"/>
          <w:szCs w:val="24"/>
        </w:rPr>
      </w:pPr>
    </w:p>
    <w:p>
      <w:pPr>
        <w:pStyle w:val="6"/>
        <w:spacing w:before="0" w:after="0" w:line="360" w:lineRule="auto"/>
        <w:jc w:val="center"/>
        <w:rPr>
          <w:rFonts w:hint="eastAsia" w:ascii="宋体" w:hAnsi="宋体" w:eastAsia="宋体" w:cs="宋体"/>
          <w:color w:val="000000" w:themeColor="text1"/>
          <w:sz w:val="24"/>
          <w:szCs w:val="24"/>
          <w14:textFill>
            <w14:solidFill>
              <w14:schemeClr w14:val="tx1"/>
            </w14:solidFill>
          </w14:textFill>
        </w:rPr>
      </w:pPr>
      <w:bookmarkStart w:id="673" w:name="_Toc420348768"/>
      <w:bookmarkStart w:id="674" w:name="_Toc1152"/>
      <w:bookmarkStart w:id="675" w:name="_Toc7299"/>
      <w:r>
        <w:rPr>
          <w:rFonts w:hint="eastAsia" w:ascii="宋体" w:hAnsi="宋体" w:eastAsia="宋体" w:cs="宋体"/>
          <w:color w:val="000000" w:themeColor="text1"/>
          <w:sz w:val="24"/>
          <w:szCs w:val="24"/>
          <w:lang w:val="zh-CN"/>
          <w14:textFill>
            <w14:solidFill>
              <w14:schemeClr w14:val="tx1"/>
            </w14:solidFill>
          </w14:textFill>
        </w:rPr>
        <w:t>投标承诺书（一）</w:t>
      </w:r>
      <w:bookmarkEnd w:id="673"/>
      <w:bookmarkEnd w:id="674"/>
      <w:bookmarkEnd w:id="675"/>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招标人：</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、根据已收到的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工程的招标文件，我单位经考察现场和研究贵方的招标文件后，将接受该工程招标文件中各条款内容并且以经济标中所报投标价格承包本招标范围内的工程。</w:t>
      </w:r>
    </w:p>
    <w:p>
      <w:pPr>
        <w:autoSpaceDE w:val="0"/>
        <w:autoSpaceDN w:val="0"/>
        <w:adjustRightInd w:val="0"/>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、如果我方中标，非业主原因，我方保证将在下列日期内组织施工。</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adjustRightInd w:val="0"/>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、如果我方中标，非业主原因，我方保证将按下列质量等级完成本工程。</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质量等级：</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adjustRightInd w:val="0"/>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、如果我方中标，我方将按招标文件规定的时间内签订承包合同。如果我方违约，除投标保证金外，我方还将以中标价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作为赔偿金，同时贵方有权终止我方中标并选择其它中标人。</w:t>
      </w:r>
    </w:p>
    <w:p>
      <w:pPr>
        <w:autoSpaceDE w:val="0"/>
        <w:autoSpaceDN w:val="0"/>
        <w:adjustRightInd w:val="0"/>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、贵方的招标文件、中标通知书、我方的投标文件将构成约束双方的合同一部分。</w:t>
      </w:r>
    </w:p>
    <w:p>
      <w:pPr>
        <w:autoSpaceDE w:val="0"/>
        <w:autoSpaceDN w:val="0"/>
        <w:adjustRightInd w:val="0"/>
        <w:spacing w:line="360" w:lineRule="auto"/>
        <w:ind w:firstLine="42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、如果我方未中标，贵方没有必要对我方做出任何解释和说明，我方将充分尊重和理解贵方的选择。</w:t>
      </w:r>
    </w:p>
    <w:p>
      <w:pPr>
        <w:autoSpaceDE w:val="0"/>
        <w:autoSpaceDN w:val="0"/>
        <w:adjustRightInd w:val="0"/>
        <w:spacing w:line="360" w:lineRule="auto"/>
        <w:ind w:firstLine="420"/>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7、如果我方中标，我方愿意向招标代理机构支付招标代理服务费。</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投标人：           （盖章）</w:t>
      </w:r>
    </w:p>
    <w:p>
      <w:pPr>
        <w:autoSpaceDE w:val="0"/>
        <w:autoSpaceDN w:val="0"/>
        <w:adjustRightInd w:val="0"/>
        <w:spacing w:line="360" w:lineRule="auto"/>
        <w:rPr>
          <w:rFonts w:hint="eastAsia" w:ascii="宋体" w:hAnsi="宋体" w:eastAsia="宋体" w:cs="宋体"/>
          <w:color w:val="000000" w:themeColor="text1"/>
          <w:sz w:val="24"/>
          <w:szCs w:val="24"/>
          <w:lang w:val="zh-CN"/>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法定代表人或委托代理人：            （签字或盖章）</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日期：</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pPr>
        <w:autoSpaceDE w:val="0"/>
        <w:autoSpaceDN w:val="0"/>
        <w:adjustRightInd w:val="0"/>
        <w:spacing w:line="360" w:lineRule="auto"/>
        <w:jc w:val="center"/>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Start w:id="676" w:name="_Toc420348769"/>
      <w:bookmarkStart w:id="677" w:name="_Toc24756"/>
      <w:r>
        <w:rPr>
          <w:rFonts w:hint="eastAsia" w:ascii="宋体" w:hAnsi="宋体" w:eastAsia="宋体" w:cs="宋体"/>
          <w:b/>
          <w:bCs/>
          <w:color w:val="000000" w:themeColor="text1"/>
          <w:sz w:val="24"/>
          <w:szCs w:val="24"/>
          <w:lang w:val="zh-CN"/>
          <w14:textFill>
            <w14:solidFill>
              <w14:schemeClr w14:val="tx1"/>
            </w14:solidFill>
          </w14:textFill>
        </w:rPr>
        <w:t>投标承诺书（二）</w:t>
      </w:r>
      <w:bookmarkEnd w:id="676"/>
      <w:bookmarkEnd w:id="677"/>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招标人：</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如果我方中标，施工项目负责人为：</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395"/>
        <w:gridCol w:w="2390"/>
        <w:gridCol w:w="2396"/>
        <w:gridCol w:w="2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6" w:hRule="atLeast"/>
        </w:trPr>
        <w:tc>
          <w:tcPr>
            <w:tcW w:w="2395" w:type="dxa"/>
            <w:tcBorders>
              <w:top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姓名</w:t>
            </w:r>
          </w:p>
        </w:tc>
        <w:tc>
          <w:tcPr>
            <w:tcW w:w="23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23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职称</w:t>
            </w:r>
          </w:p>
        </w:tc>
        <w:tc>
          <w:tcPr>
            <w:tcW w:w="2390" w:type="dxa"/>
            <w:tcBorders>
              <w:top w:val="single" w:color="auto" w:sz="4" w:space="0"/>
              <w:left w:val="single" w:color="auto" w:sz="4" w:space="0"/>
              <w:bottom w:val="single" w:color="auto" w:sz="4" w:space="0"/>
            </w:tcBorders>
          </w:tcPr>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7" w:hRule="atLeast"/>
        </w:trPr>
        <w:tc>
          <w:tcPr>
            <w:tcW w:w="2395" w:type="dxa"/>
            <w:tcBorders>
              <w:top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注册建造师等级</w:t>
            </w:r>
          </w:p>
        </w:tc>
        <w:tc>
          <w:tcPr>
            <w:tcW w:w="23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23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注册建造师证书编号</w:t>
            </w:r>
          </w:p>
        </w:tc>
        <w:tc>
          <w:tcPr>
            <w:tcW w:w="2390" w:type="dxa"/>
            <w:tcBorders>
              <w:top w:val="single" w:color="auto" w:sz="4" w:space="0"/>
              <w:left w:val="single" w:color="auto" w:sz="4" w:space="0"/>
              <w:bottom w:val="single" w:color="auto" w:sz="4" w:space="0"/>
            </w:tcBorders>
          </w:tcPr>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60" w:hRule="atLeast"/>
        </w:trPr>
        <w:tc>
          <w:tcPr>
            <w:tcW w:w="2395" w:type="dxa"/>
            <w:tcBorders>
              <w:top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身份证号码</w:t>
            </w:r>
          </w:p>
        </w:tc>
        <w:tc>
          <w:tcPr>
            <w:tcW w:w="7176" w:type="dxa"/>
            <w:gridSpan w:val="3"/>
            <w:tcBorders>
              <w:top w:val="single" w:color="auto" w:sz="4" w:space="0"/>
              <w:left w:val="single" w:color="auto" w:sz="4" w:space="0"/>
              <w:bottom w:val="single" w:color="auto" w:sz="4" w:space="0"/>
            </w:tcBorders>
          </w:tcPr>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r>
    </w:tbl>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中标后，若由于特殊原因须更换施工项目负责人时，我方将以资质、业绩以及信誉不低于此注册建造师的人员替换，并报业主审查。经审查通过后，方可更换。若未经业主批准，我方擅自更换施工项目负责人，我方愿以合同价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作为赔偿金。</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投标人：         （盖章）</w:t>
      </w:r>
    </w:p>
    <w:p>
      <w:pPr>
        <w:autoSpaceDE w:val="0"/>
        <w:autoSpaceDN w:val="0"/>
        <w:adjustRightInd w:val="0"/>
        <w:spacing w:line="360" w:lineRule="auto"/>
        <w:rPr>
          <w:rFonts w:hint="eastAsia" w:ascii="宋体" w:hAnsi="宋体" w:eastAsia="宋体" w:cs="宋体"/>
          <w:color w:val="000000" w:themeColor="text1"/>
          <w:sz w:val="24"/>
          <w:szCs w:val="24"/>
          <w:lang w:val="zh-CN"/>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法定代表人或委托代理人：            （签字或盖章）</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日期：</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pPr>
        <w:rPr>
          <w:rFonts w:hint="eastAsia" w:ascii="宋体" w:hAnsi="宋体" w:eastAsia="宋体" w:cs="宋体"/>
          <w:color w:val="000000" w:themeColor="text1"/>
          <w:sz w:val="24"/>
          <w:szCs w:val="24"/>
          <w:lang w:val="zh-CN" w:eastAsia="zh-CN"/>
          <w14:textFill>
            <w14:solidFill>
              <w14:schemeClr w14:val="tx1"/>
            </w14:solidFill>
          </w14:textFill>
        </w:rPr>
      </w:pPr>
    </w:p>
    <w:p>
      <w:pPr>
        <w:rPr>
          <w:rFonts w:hint="eastAsia" w:ascii="宋体" w:hAnsi="宋体" w:eastAsia="宋体" w:cs="宋体"/>
          <w:b/>
          <w:bCs/>
          <w:color w:val="000000" w:themeColor="text1"/>
          <w:sz w:val="24"/>
          <w:szCs w:val="24"/>
          <w:lang w:val="zh-CN"/>
          <w14:textFill>
            <w14:solidFill>
              <w14:schemeClr w14:val="tx1"/>
            </w14:solidFill>
          </w14:textFill>
        </w:rPr>
      </w:pPr>
    </w:p>
    <w:p>
      <w:pPr>
        <w:autoSpaceDE w:val="0"/>
        <w:autoSpaceDN w:val="0"/>
        <w:adjustRightInd w:val="0"/>
        <w:spacing w:line="360" w:lineRule="auto"/>
        <w:jc w:val="center"/>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Start w:id="678" w:name="_Toc420348770"/>
      <w:bookmarkStart w:id="679" w:name="_Toc2856"/>
      <w:r>
        <w:rPr>
          <w:rFonts w:hint="eastAsia" w:ascii="宋体" w:hAnsi="宋体" w:eastAsia="宋体" w:cs="宋体"/>
          <w:b/>
          <w:bCs/>
          <w:color w:val="000000" w:themeColor="text1"/>
          <w:sz w:val="24"/>
          <w:szCs w:val="24"/>
          <w:lang w:val="zh-CN"/>
          <w14:textFill>
            <w14:solidFill>
              <w14:schemeClr w14:val="tx1"/>
            </w14:solidFill>
          </w14:textFill>
        </w:rPr>
        <w:t>法定代表人身份证明书</w:t>
      </w:r>
      <w:bookmarkEnd w:id="678"/>
      <w:bookmarkEnd w:id="679"/>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企业名称：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企业类型：</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地</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址：</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营业期限：</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成立时间：</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姓名：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职务：</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（投标人名称）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的法定代表人。</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附身份证正反面</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特此证明。</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（盖章）</w:t>
      </w:r>
    </w:p>
    <w:p>
      <w:pPr>
        <w:autoSpaceDE w:val="0"/>
        <w:autoSpaceDN w:val="0"/>
        <w:adjustRightInd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期：</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pPr>
        <w:autoSpaceDE w:val="0"/>
        <w:autoSpaceDN w:val="0"/>
        <w:adjustRightInd w:val="0"/>
        <w:spacing w:line="360" w:lineRule="auto"/>
        <w:jc w:val="center"/>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bookmarkStart w:id="680" w:name="_Toc420348771"/>
      <w:bookmarkStart w:id="681" w:name="_Toc3367"/>
      <w:r>
        <w:rPr>
          <w:rFonts w:hint="eastAsia" w:ascii="宋体" w:hAnsi="宋体" w:eastAsia="宋体" w:cs="宋体"/>
          <w:b/>
          <w:bCs/>
          <w:color w:val="000000" w:themeColor="text1"/>
          <w:sz w:val="24"/>
          <w:szCs w:val="24"/>
          <w:lang w:val="zh-CN"/>
          <w14:textFill>
            <w14:solidFill>
              <w14:schemeClr w14:val="tx1"/>
            </w14:solidFill>
          </w14:textFill>
        </w:rPr>
        <w:t>法定代表人授权委托书</w:t>
      </w:r>
      <w:bookmarkEnd w:id="680"/>
      <w:bookmarkEnd w:id="681"/>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本授权委托书声明：我</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（姓名）系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（投标人名称）的法定代表人，现授权委托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（投标人名称）的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（姓名）为我公司代理人，以本公司的名义参加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（招标人）的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招标工程的投标活动。代理人签署的投标文件和参加整个工程招标投标活动中所签署的一切文件和处理与之有关的一切事物，我均予以承认。</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性别：</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单</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部门：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职务：</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代理人无转委权。特此委托。</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附身份证正反面</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投标人：          （盖章）</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法定代表人：          （签字或盖章）</w:t>
      </w:r>
    </w:p>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日期：</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pPr>
        <w:autoSpaceDE w:val="0"/>
        <w:autoSpaceDN w:val="0"/>
        <w:adjustRightIn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Start w:id="682" w:name="_Toc420348772"/>
      <w:bookmarkStart w:id="683" w:name="_Toc4038"/>
      <w:r>
        <w:rPr>
          <w:rFonts w:hint="eastAsia" w:ascii="宋体" w:hAnsi="宋体" w:eastAsia="宋体" w:cs="宋体"/>
          <w:b/>
          <w:color w:val="000000" w:themeColor="text1"/>
          <w:sz w:val="24"/>
          <w:szCs w:val="24"/>
          <w:lang w:val="zh-CN"/>
          <w14:textFill>
            <w14:solidFill>
              <w14:schemeClr w14:val="tx1"/>
            </w14:solidFill>
          </w14:textFill>
        </w:rPr>
        <w:t>投标人概况</w:t>
      </w:r>
      <w:bookmarkEnd w:id="682"/>
      <w:bookmarkEnd w:id="683"/>
    </w:p>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投标人概况表</w:t>
      </w:r>
    </w:p>
    <w:tbl>
      <w:tblPr>
        <w:tblStyle w:val="50"/>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080"/>
        <w:gridCol w:w="691"/>
        <w:gridCol w:w="992"/>
        <w:gridCol w:w="477"/>
        <w:gridCol w:w="1505"/>
        <w:gridCol w:w="55"/>
        <w:gridCol w:w="89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w:t>
            </w:r>
          </w:p>
        </w:tc>
        <w:tc>
          <w:tcPr>
            <w:tcW w:w="6752" w:type="dxa"/>
            <w:gridSpan w:val="8"/>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注册地址</w:t>
            </w:r>
          </w:p>
        </w:tc>
        <w:tc>
          <w:tcPr>
            <w:tcW w:w="3240" w:type="dxa"/>
            <w:gridSpan w:val="4"/>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560"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tc>
        <w:tc>
          <w:tcPr>
            <w:tcW w:w="1952"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Merge w:val="restart"/>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p>
        </w:tc>
        <w:tc>
          <w:tcPr>
            <w:tcW w:w="1080"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tc>
        <w:tc>
          <w:tcPr>
            <w:tcW w:w="2160" w:type="dxa"/>
            <w:gridSpan w:val="3"/>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560"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p>
        </w:tc>
        <w:tc>
          <w:tcPr>
            <w:tcW w:w="1952"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Merge w:val="continue"/>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080"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p>
        </w:tc>
        <w:tc>
          <w:tcPr>
            <w:tcW w:w="2160" w:type="dxa"/>
            <w:gridSpan w:val="3"/>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560"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网  址</w:t>
            </w:r>
          </w:p>
        </w:tc>
        <w:tc>
          <w:tcPr>
            <w:tcW w:w="1952"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组织结构</w:t>
            </w:r>
          </w:p>
        </w:tc>
        <w:tc>
          <w:tcPr>
            <w:tcW w:w="6752" w:type="dxa"/>
            <w:gridSpan w:val="8"/>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1080"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691"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469"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技术职称</w:t>
            </w:r>
          </w:p>
        </w:tc>
        <w:tc>
          <w:tcPr>
            <w:tcW w:w="1505"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946"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p>
        </w:tc>
        <w:tc>
          <w:tcPr>
            <w:tcW w:w="1061"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技术负责人</w:t>
            </w:r>
          </w:p>
        </w:tc>
        <w:tc>
          <w:tcPr>
            <w:tcW w:w="1080"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691"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469"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技术职称</w:t>
            </w:r>
          </w:p>
        </w:tc>
        <w:tc>
          <w:tcPr>
            <w:tcW w:w="1505"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946"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p>
        </w:tc>
        <w:tc>
          <w:tcPr>
            <w:tcW w:w="1061"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成立时间</w:t>
            </w:r>
          </w:p>
        </w:tc>
        <w:tc>
          <w:tcPr>
            <w:tcW w:w="1771"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4981" w:type="dxa"/>
            <w:gridSpan w:val="6"/>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企业资质等级</w:t>
            </w:r>
          </w:p>
        </w:tc>
        <w:tc>
          <w:tcPr>
            <w:tcW w:w="1771"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992" w:type="dxa"/>
            <w:vMerge w:val="restart"/>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其中</w:t>
            </w:r>
          </w:p>
        </w:tc>
        <w:tc>
          <w:tcPr>
            <w:tcW w:w="1982"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w:t>
            </w:r>
          </w:p>
        </w:tc>
        <w:tc>
          <w:tcPr>
            <w:tcW w:w="2007" w:type="dxa"/>
            <w:gridSpan w:val="3"/>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营业执照号</w:t>
            </w:r>
          </w:p>
        </w:tc>
        <w:tc>
          <w:tcPr>
            <w:tcW w:w="1771"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992" w:type="dxa"/>
            <w:vMerge w:val="continue"/>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982"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高级职称人员</w:t>
            </w:r>
          </w:p>
        </w:tc>
        <w:tc>
          <w:tcPr>
            <w:tcW w:w="2007" w:type="dxa"/>
            <w:gridSpan w:val="3"/>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注册资金</w:t>
            </w:r>
          </w:p>
        </w:tc>
        <w:tc>
          <w:tcPr>
            <w:tcW w:w="1771"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992" w:type="dxa"/>
            <w:vMerge w:val="continue"/>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982"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中级职称人员</w:t>
            </w:r>
          </w:p>
        </w:tc>
        <w:tc>
          <w:tcPr>
            <w:tcW w:w="2007" w:type="dxa"/>
            <w:gridSpan w:val="3"/>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tc>
        <w:tc>
          <w:tcPr>
            <w:tcW w:w="1771"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992" w:type="dxa"/>
            <w:vMerge w:val="continue"/>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982"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初级职称人员</w:t>
            </w:r>
          </w:p>
        </w:tc>
        <w:tc>
          <w:tcPr>
            <w:tcW w:w="2007" w:type="dxa"/>
            <w:gridSpan w:val="3"/>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账号</w:t>
            </w:r>
          </w:p>
        </w:tc>
        <w:tc>
          <w:tcPr>
            <w:tcW w:w="1771"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992" w:type="dxa"/>
            <w:vMerge w:val="continue"/>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982" w:type="dxa"/>
            <w:gridSpan w:val="2"/>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  工</w:t>
            </w:r>
          </w:p>
        </w:tc>
        <w:tc>
          <w:tcPr>
            <w:tcW w:w="2007" w:type="dxa"/>
            <w:gridSpan w:val="3"/>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经营范围</w:t>
            </w:r>
          </w:p>
        </w:tc>
        <w:tc>
          <w:tcPr>
            <w:tcW w:w="6752" w:type="dxa"/>
            <w:gridSpan w:val="8"/>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2" w:type="dxa"/>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c>
          <w:tcPr>
            <w:tcW w:w="6752" w:type="dxa"/>
            <w:gridSpan w:val="8"/>
            <w:vAlign w:val="center"/>
          </w:tcPr>
          <w:p>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r>
    </w:tbl>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备注：本表后应附企业法人营业执照及其年检合格的证明材料、企业资质证书副本、安全生产许可证等材料的复印件。</w:t>
      </w:r>
    </w:p>
    <w:p>
      <w:pP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br w:type="page"/>
      </w:r>
    </w:p>
    <w:p>
      <w:pPr>
        <w:pStyle w:val="6"/>
        <w:spacing w:before="0" w:after="0" w:line="360" w:lineRule="auto"/>
        <w:jc w:val="center"/>
        <w:rPr>
          <w:rFonts w:hint="eastAsia" w:ascii="宋体" w:hAnsi="宋体" w:eastAsia="宋体" w:cs="宋体"/>
          <w:color w:val="000000" w:themeColor="text1"/>
          <w:sz w:val="24"/>
          <w:szCs w:val="24"/>
          <w14:textFill>
            <w14:solidFill>
              <w14:schemeClr w14:val="tx1"/>
            </w14:solidFill>
          </w14:textFill>
        </w:rPr>
      </w:pPr>
      <w:bookmarkStart w:id="684" w:name="_Toc420348773"/>
      <w:bookmarkStart w:id="685" w:name="_Toc2049"/>
      <w:bookmarkStart w:id="686" w:name="_Toc6019"/>
      <w:r>
        <w:rPr>
          <w:rFonts w:hint="eastAsia" w:ascii="宋体" w:hAnsi="宋体" w:eastAsia="宋体" w:cs="宋体"/>
          <w:color w:val="000000" w:themeColor="text1"/>
          <w:sz w:val="24"/>
          <w:szCs w:val="24"/>
          <w:lang w:val="zh-CN"/>
          <w14:textFill>
            <w14:solidFill>
              <w14:schemeClr w14:val="tx1"/>
            </w14:solidFill>
          </w14:textFill>
        </w:rPr>
        <w:t>投标人近三年类似工程业绩证明材料</w:t>
      </w:r>
      <w:bookmarkEnd w:id="684"/>
      <w:bookmarkEnd w:id="685"/>
      <w:bookmarkEnd w:id="686"/>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7"/>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67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项目所在地</w:t>
            </w:r>
          </w:p>
        </w:tc>
        <w:tc>
          <w:tcPr>
            <w:tcW w:w="67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发包人名称</w:t>
            </w:r>
          </w:p>
        </w:tc>
        <w:tc>
          <w:tcPr>
            <w:tcW w:w="67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发包人地址</w:t>
            </w:r>
          </w:p>
        </w:tc>
        <w:tc>
          <w:tcPr>
            <w:tcW w:w="67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发包人联系人及电话</w:t>
            </w:r>
          </w:p>
        </w:tc>
        <w:tc>
          <w:tcPr>
            <w:tcW w:w="67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合同价格</w:t>
            </w:r>
          </w:p>
        </w:tc>
        <w:tc>
          <w:tcPr>
            <w:tcW w:w="67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开工日期</w:t>
            </w:r>
          </w:p>
        </w:tc>
        <w:tc>
          <w:tcPr>
            <w:tcW w:w="67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竣工日期</w:t>
            </w:r>
          </w:p>
        </w:tc>
        <w:tc>
          <w:tcPr>
            <w:tcW w:w="67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承担的工作</w:t>
            </w:r>
          </w:p>
        </w:tc>
        <w:tc>
          <w:tcPr>
            <w:tcW w:w="67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工程质量</w:t>
            </w:r>
          </w:p>
        </w:tc>
        <w:tc>
          <w:tcPr>
            <w:tcW w:w="67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w:t>
            </w:r>
          </w:p>
        </w:tc>
        <w:tc>
          <w:tcPr>
            <w:tcW w:w="67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技术负责人</w:t>
            </w:r>
          </w:p>
        </w:tc>
        <w:tc>
          <w:tcPr>
            <w:tcW w:w="67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总监理工程师及电话</w:t>
            </w:r>
          </w:p>
        </w:tc>
        <w:tc>
          <w:tcPr>
            <w:tcW w:w="67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项目描述</w:t>
            </w:r>
          </w:p>
        </w:tc>
        <w:tc>
          <w:tcPr>
            <w:tcW w:w="67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c>
          <w:tcPr>
            <w:tcW w:w="676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 w:firstLineChars="10"/>
              <w:rPr>
                <w:rFonts w:hint="eastAsia" w:ascii="宋体" w:hAnsi="宋体" w:eastAsia="宋体" w:cs="宋体"/>
                <w:color w:val="000000" w:themeColor="text1"/>
                <w:sz w:val="24"/>
                <w:szCs w:val="24"/>
                <w14:textFill>
                  <w14:solidFill>
                    <w14:schemeClr w14:val="tx1"/>
                  </w14:solidFill>
                </w14:textFill>
              </w:rPr>
            </w:pPr>
          </w:p>
        </w:tc>
      </w:tr>
    </w:tbl>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1、本表后须提供中标通知书及施工合同及竣工验收报告（或竣工验收表）。符合近三年的类似工程业绩，每张表格只填写一个项目，并标明序号。</w:t>
      </w:r>
    </w:p>
    <w:p>
      <w:pPr>
        <w:autoSpaceDE w:val="0"/>
        <w:autoSpaceDN w:val="0"/>
        <w:adjustRightInd w:val="0"/>
        <w:spacing w:line="360" w:lineRule="auto"/>
        <w:jc w:val="center"/>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Start w:id="687" w:name="_Toc420348774"/>
      <w:r>
        <w:rPr>
          <w:rFonts w:hint="eastAsia" w:ascii="宋体" w:hAnsi="宋体" w:eastAsia="宋体" w:cs="宋体"/>
          <w:b/>
          <w:bCs/>
          <w:color w:val="000000" w:themeColor="text1"/>
          <w:sz w:val="24"/>
          <w:szCs w:val="24"/>
          <w:lang w:val="zh-CN"/>
          <w14:textFill>
            <w14:solidFill>
              <w14:schemeClr w14:val="tx1"/>
            </w14:solidFill>
          </w14:textFill>
        </w:rPr>
        <w:t>项目负责人简历</w:t>
      </w:r>
      <w:bookmarkEnd w:id="687"/>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项目负责人介绍应包括：姓名、性别、年龄、职称、学历、参加工作时间、从事项目管理年限、注册建造师（项目经理）证书编号以及其他内容。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2、项目负责人简历相关证明材料（文物保护工程责任工程师证书或</w:t>
      </w:r>
      <w:r>
        <w:rPr>
          <w:rFonts w:hint="eastAsia" w:ascii="宋体" w:hAnsi="宋体" w:eastAsia="宋体" w:cs="宋体"/>
          <w:color w:val="000000" w:themeColor="text1"/>
          <w:sz w:val="24"/>
          <w:szCs w:val="24"/>
          <w:lang w:eastAsia="zh-CN"/>
          <w14:textFill>
            <w14:solidFill>
              <w14:schemeClr w14:val="tx1"/>
            </w14:solidFill>
          </w14:textFill>
        </w:rPr>
        <w:t>注册</w:t>
      </w:r>
      <w:r>
        <w:rPr>
          <w:rFonts w:hint="eastAsia" w:ascii="宋体" w:hAnsi="宋体" w:eastAsia="宋体" w:cs="宋体"/>
          <w:color w:val="000000" w:themeColor="text1"/>
          <w:sz w:val="24"/>
          <w:szCs w:val="24"/>
          <w14:textFill>
            <w14:solidFill>
              <w14:schemeClr w14:val="tx1"/>
            </w14:solidFill>
          </w14:textFill>
        </w:rPr>
        <w:t>建造师证书）</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3、项目负责人的类似工程经历应按下表提供。</w:t>
      </w:r>
    </w:p>
    <w:p>
      <w:pPr>
        <w:autoSpaceDE w:val="0"/>
        <w:autoSpaceDN w:val="0"/>
        <w:adjustRightInd w:val="0"/>
        <w:spacing w:line="360" w:lineRule="auto"/>
        <w:jc w:val="center"/>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项目负责人类似工程业绩一览表</w:t>
      </w:r>
    </w:p>
    <w:tbl>
      <w:tblPr>
        <w:tblStyle w:val="50"/>
        <w:tblW w:w="0" w:type="auto"/>
        <w:jc w:val="center"/>
        <w:tblLayout w:type="fixed"/>
        <w:tblCellMar>
          <w:top w:w="0" w:type="dxa"/>
          <w:left w:w="10" w:type="dxa"/>
          <w:bottom w:w="0" w:type="dxa"/>
          <w:right w:w="10" w:type="dxa"/>
        </w:tblCellMar>
      </w:tblPr>
      <w:tblGrid>
        <w:gridCol w:w="1186"/>
        <w:gridCol w:w="1605"/>
        <w:gridCol w:w="1427"/>
        <w:gridCol w:w="1427"/>
        <w:gridCol w:w="1249"/>
        <w:gridCol w:w="1427"/>
      </w:tblGrid>
      <w:tr>
        <w:tblPrEx>
          <w:tblCellMar>
            <w:top w:w="0" w:type="dxa"/>
            <w:left w:w="10" w:type="dxa"/>
            <w:bottom w:w="0" w:type="dxa"/>
            <w:right w:w="10" w:type="dxa"/>
          </w:tblCellMar>
        </w:tblPrEx>
        <w:trPr>
          <w:trHeight w:val="921" w:hRule="atLeast"/>
          <w:jc w:val="center"/>
        </w:trPr>
        <w:tc>
          <w:tcPr>
            <w:tcW w:w="1186"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建设单位</w:t>
            </w:r>
          </w:p>
        </w:tc>
        <w:tc>
          <w:tcPr>
            <w:tcW w:w="1605"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项目名称</w:t>
            </w:r>
          </w:p>
        </w:tc>
        <w:tc>
          <w:tcPr>
            <w:tcW w:w="1427"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建设规模</w:t>
            </w:r>
          </w:p>
        </w:tc>
        <w:tc>
          <w:tcPr>
            <w:tcW w:w="1427"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开竣工日期</w:t>
            </w:r>
          </w:p>
        </w:tc>
        <w:tc>
          <w:tcPr>
            <w:tcW w:w="1249"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质量</w:t>
            </w:r>
          </w:p>
        </w:tc>
        <w:tc>
          <w:tcPr>
            <w:tcW w:w="1427"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备注</w:t>
            </w:r>
          </w:p>
        </w:tc>
      </w:tr>
      <w:tr>
        <w:tblPrEx>
          <w:tblCellMar>
            <w:top w:w="0" w:type="dxa"/>
            <w:left w:w="10" w:type="dxa"/>
            <w:bottom w:w="0" w:type="dxa"/>
            <w:right w:w="10" w:type="dxa"/>
          </w:tblCellMar>
        </w:tblPrEx>
        <w:trPr>
          <w:trHeight w:val="756" w:hRule="atLeast"/>
          <w:jc w:val="center"/>
        </w:trPr>
        <w:tc>
          <w:tcPr>
            <w:tcW w:w="1186"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440" w:lineRule="exact"/>
              <w:rPr>
                <w:rFonts w:hint="eastAsia" w:ascii="宋体" w:hAnsi="宋体" w:eastAsia="宋体" w:cs="宋体"/>
                <w:color w:val="000000" w:themeColor="text1"/>
                <w:sz w:val="24"/>
                <w:szCs w:val="24"/>
                <w14:textFill>
                  <w14:solidFill>
                    <w14:schemeClr w14:val="tx1"/>
                  </w14:solidFill>
                </w14:textFill>
              </w:rPr>
            </w:pPr>
          </w:p>
        </w:tc>
        <w:tc>
          <w:tcPr>
            <w:tcW w:w="1605"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440" w:lineRule="exact"/>
              <w:rPr>
                <w:rFonts w:hint="eastAsia" w:ascii="宋体" w:hAnsi="宋体" w:eastAsia="宋体" w:cs="宋体"/>
                <w:color w:val="000000" w:themeColor="text1"/>
                <w:sz w:val="24"/>
                <w:szCs w:val="24"/>
                <w14:textFill>
                  <w14:solidFill>
                    <w14:schemeClr w14:val="tx1"/>
                  </w14:solidFill>
                </w14:textFill>
              </w:rPr>
            </w:pPr>
          </w:p>
        </w:tc>
        <w:tc>
          <w:tcPr>
            <w:tcW w:w="1427"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440" w:lineRule="exact"/>
              <w:rPr>
                <w:rFonts w:hint="eastAsia" w:ascii="宋体" w:hAnsi="宋体" w:eastAsia="宋体" w:cs="宋体"/>
                <w:color w:val="000000" w:themeColor="text1"/>
                <w:sz w:val="24"/>
                <w:szCs w:val="24"/>
                <w14:textFill>
                  <w14:solidFill>
                    <w14:schemeClr w14:val="tx1"/>
                  </w14:solidFill>
                </w14:textFill>
              </w:rPr>
            </w:pPr>
          </w:p>
        </w:tc>
        <w:tc>
          <w:tcPr>
            <w:tcW w:w="1427"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440" w:lineRule="exact"/>
              <w:rPr>
                <w:rFonts w:hint="eastAsia" w:ascii="宋体" w:hAnsi="宋体" w:eastAsia="宋体" w:cs="宋体"/>
                <w:color w:val="000000" w:themeColor="text1"/>
                <w:sz w:val="24"/>
                <w:szCs w:val="24"/>
                <w14:textFill>
                  <w14:solidFill>
                    <w14:schemeClr w14:val="tx1"/>
                  </w14:solidFill>
                </w14:textFill>
              </w:rPr>
            </w:pPr>
          </w:p>
        </w:tc>
        <w:tc>
          <w:tcPr>
            <w:tcW w:w="124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440" w:lineRule="exact"/>
              <w:rPr>
                <w:rFonts w:hint="eastAsia" w:ascii="宋体" w:hAnsi="宋体" w:eastAsia="宋体" w:cs="宋体"/>
                <w:color w:val="000000" w:themeColor="text1"/>
                <w:sz w:val="24"/>
                <w:szCs w:val="24"/>
                <w14:textFill>
                  <w14:solidFill>
                    <w14:schemeClr w14:val="tx1"/>
                  </w14:solidFill>
                </w14:textFill>
              </w:rPr>
            </w:pPr>
          </w:p>
        </w:tc>
        <w:tc>
          <w:tcPr>
            <w:tcW w:w="1427"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440" w:lineRule="exact"/>
              <w:rPr>
                <w:rFonts w:hint="eastAsia" w:ascii="宋体" w:hAnsi="宋体" w:eastAsia="宋体" w:cs="宋体"/>
                <w:color w:val="000000" w:themeColor="text1"/>
                <w:sz w:val="24"/>
                <w:szCs w:val="24"/>
                <w14:textFill>
                  <w14:solidFill>
                    <w14:schemeClr w14:val="tx1"/>
                  </w14:solidFill>
                </w14:textFill>
              </w:rPr>
            </w:pPr>
          </w:p>
        </w:tc>
      </w:tr>
    </w:tbl>
    <w:p>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备注：本表后须提供中标通知书及施工合同及竣工验收报告（或竣工验收表）。符合近三年的类似工程业绩，每张表格只填写一个项目，并标明序号。</w:t>
      </w:r>
    </w:p>
    <w:p>
      <w:pPr>
        <w:pStyle w:val="6"/>
        <w:spacing w:before="0" w:after="0" w:line="360" w:lineRule="auto"/>
        <w:jc w:val="center"/>
        <w:rPr>
          <w:rFonts w:hint="eastAsia" w:ascii="宋体" w:hAnsi="宋体" w:eastAsia="宋体" w:cs="宋体"/>
          <w:color w:val="000000" w:themeColor="text1"/>
          <w:sz w:val="24"/>
          <w:szCs w:val="24"/>
          <w14:textFill>
            <w14:solidFill>
              <w14:schemeClr w14:val="tx1"/>
            </w14:solidFill>
          </w14:textFill>
        </w:rPr>
      </w:pPr>
      <w:bookmarkStart w:id="688" w:name="_Toc24963"/>
      <w:bookmarkStart w:id="689" w:name="_Toc4412"/>
      <w:bookmarkStart w:id="690" w:name="_Toc420348775"/>
      <w:r>
        <w:rPr>
          <w:rFonts w:hint="eastAsia" w:ascii="宋体" w:hAnsi="宋体" w:eastAsia="宋体" w:cs="宋体"/>
          <w:color w:val="000000" w:themeColor="text1"/>
          <w:sz w:val="24"/>
          <w:szCs w:val="24"/>
          <w:lang w:val="zh-CN"/>
          <w14:textFill>
            <w14:solidFill>
              <w14:schemeClr w14:val="tx1"/>
            </w14:solidFill>
          </w14:textFill>
        </w:rPr>
        <w:t>项目管理人员</w:t>
      </w:r>
      <w:bookmarkEnd w:id="688"/>
      <w:bookmarkEnd w:id="689"/>
      <w:bookmarkEnd w:id="690"/>
    </w:p>
    <w:p>
      <w:pPr>
        <w:autoSpaceDE w:val="0"/>
        <w:autoSpaceDN w:val="0"/>
        <w:adjustRightInd w:val="0"/>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、项目管理人员应包括：项目工程师、质量管理员、材料管理员、安全管理员、计划管理员、资料员及需要配备的其他关键人员。</w:t>
      </w:r>
    </w:p>
    <w:p>
      <w:pPr>
        <w:autoSpaceDE w:val="0"/>
        <w:autoSpaceDN w:val="0"/>
        <w:adjustRightInd w:val="0"/>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、上述人员简历介绍应包括姓名、身份证、职称等基本信息。</w:t>
      </w:r>
    </w:p>
    <w:p>
      <w:pPr>
        <w:autoSpaceDE w:val="0"/>
        <w:autoSpaceDN w:val="0"/>
        <w:adjustRightInd w:val="0"/>
        <w:spacing w:line="360" w:lineRule="auto"/>
        <w:ind w:firstLine="42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、项目管理人员简历中应附职称证书或</w:t>
      </w:r>
      <w:r>
        <w:rPr>
          <w:rFonts w:hint="eastAsia" w:ascii="宋体" w:hAnsi="宋体" w:eastAsia="宋体" w:cs="宋体"/>
          <w:color w:val="000000" w:themeColor="text1"/>
          <w:sz w:val="24"/>
          <w:szCs w:val="24"/>
          <w14:textFill>
            <w14:solidFill>
              <w14:schemeClr w14:val="tx1"/>
            </w14:solidFill>
          </w14:textFill>
        </w:rPr>
        <w:t>文物保护工程</w:t>
      </w:r>
      <w:r>
        <w:rPr>
          <w:rFonts w:hint="eastAsia" w:ascii="宋体" w:hAnsi="宋体" w:eastAsia="宋体" w:cs="宋体"/>
          <w:color w:val="000000" w:themeColor="text1"/>
          <w:sz w:val="24"/>
          <w:szCs w:val="24"/>
          <w:lang w:eastAsia="zh-CN"/>
          <w14:textFill>
            <w14:solidFill>
              <w14:schemeClr w14:val="tx1"/>
            </w14:solidFill>
          </w14:textFill>
        </w:rPr>
        <w:t>相关</w:t>
      </w:r>
      <w:r>
        <w:rPr>
          <w:rFonts w:hint="eastAsia" w:ascii="宋体" w:hAnsi="宋体" w:eastAsia="宋体" w:cs="宋体"/>
          <w:color w:val="000000" w:themeColor="text1"/>
          <w:sz w:val="24"/>
          <w:szCs w:val="24"/>
          <w:lang w:val="zh-CN"/>
          <w14:textFill>
            <w14:solidFill>
              <w14:schemeClr w14:val="tx1"/>
            </w14:solidFill>
          </w14:textFill>
        </w:rPr>
        <w:t>证书复印件。</w:t>
      </w:r>
    </w:p>
    <w:p>
      <w:pPr>
        <w:autoSpaceDE w:val="0"/>
        <w:autoSpaceDN w:val="0"/>
        <w:adjustRightInd w:val="0"/>
        <w:spacing w:line="360" w:lineRule="auto"/>
        <w:jc w:val="both"/>
        <w:rPr>
          <w:rFonts w:hint="eastAsia" w:ascii="宋体" w:hAnsi="宋体" w:eastAsia="宋体" w:cs="宋体"/>
          <w:b/>
          <w:bCs/>
          <w:color w:val="000000" w:themeColor="text1"/>
          <w:sz w:val="24"/>
          <w:szCs w:val="24"/>
          <w:lang w:val="zh-CN"/>
          <w14:textFill>
            <w14:solidFill>
              <w14:schemeClr w14:val="tx1"/>
            </w14:solidFill>
          </w14:textFill>
        </w:rPr>
      </w:pPr>
      <w:bookmarkStart w:id="691" w:name="_Toc420348776"/>
      <w:bookmarkStart w:id="692" w:name="_Toc2360"/>
    </w:p>
    <w:p>
      <w:pPr>
        <w:pStyle w:val="62"/>
        <w:rPr>
          <w:rFonts w:hint="eastAsia" w:ascii="宋体" w:hAnsi="宋体" w:eastAsia="宋体" w:cs="宋体"/>
          <w:b/>
          <w:bCs/>
          <w:color w:val="000000" w:themeColor="text1"/>
          <w:sz w:val="24"/>
          <w:szCs w:val="24"/>
          <w:lang w:val="zh-CN"/>
          <w14:textFill>
            <w14:solidFill>
              <w14:schemeClr w14:val="tx1"/>
            </w14:solidFill>
          </w14:textFill>
        </w:rPr>
      </w:pPr>
    </w:p>
    <w:p>
      <w:pPr>
        <w:pStyle w:val="62"/>
        <w:rPr>
          <w:rFonts w:hint="eastAsia" w:ascii="宋体" w:hAnsi="宋体" w:eastAsia="宋体" w:cs="宋体"/>
          <w:b/>
          <w:bCs/>
          <w:color w:val="000000" w:themeColor="text1"/>
          <w:sz w:val="24"/>
          <w:szCs w:val="24"/>
          <w:lang w:val="zh-CN"/>
          <w14:textFill>
            <w14:solidFill>
              <w14:schemeClr w14:val="tx1"/>
            </w14:solidFill>
          </w14:textFill>
        </w:rPr>
      </w:pPr>
    </w:p>
    <w:p>
      <w:pPr>
        <w:pStyle w:val="62"/>
        <w:rPr>
          <w:rFonts w:hint="eastAsia" w:ascii="宋体" w:hAnsi="宋体" w:eastAsia="宋体" w:cs="宋体"/>
          <w:b/>
          <w:bCs/>
          <w:color w:val="000000" w:themeColor="text1"/>
          <w:sz w:val="24"/>
          <w:szCs w:val="24"/>
          <w:lang w:val="zh-CN"/>
          <w14:textFill>
            <w14:solidFill>
              <w14:schemeClr w14:val="tx1"/>
            </w14:solidFill>
          </w14:textFill>
        </w:rPr>
      </w:pPr>
    </w:p>
    <w:p>
      <w:pPr>
        <w:pStyle w:val="62"/>
        <w:rPr>
          <w:rFonts w:hint="eastAsia" w:ascii="宋体" w:hAnsi="宋体" w:eastAsia="宋体" w:cs="宋体"/>
          <w:b/>
          <w:bCs/>
          <w:color w:val="000000" w:themeColor="text1"/>
          <w:sz w:val="24"/>
          <w:szCs w:val="24"/>
          <w:lang w:val="zh-CN"/>
          <w14:textFill>
            <w14:solidFill>
              <w14:schemeClr w14:val="tx1"/>
            </w14:solidFill>
          </w14:textFill>
        </w:rPr>
      </w:pPr>
    </w:p>
    <w:p>
      <w:pPr>
        <w:pStyle w:val="62"/>
        <w:rPr>
          <w:rFonts w:hint="eastAsia" w:ascii="宋体" w:hAnsi="宋体" w:eastAsia="宋体" w:cs="宋体"/>
          <w:b/>
          <w:bCs/>
          <w:color w:val="000000" w:themeColor="text1"/>
          <w:sz w:val="24"/>
          <w:szCs w:val="24"/>
          <w:lang w:val="zh-CN"/>
          <w14:textFill>
            <w14:solidFill>
              <w14:schemeClr w14:val="tx1"/>
            </w14:solidFill>
          </w14:textFill>
        </w:rPr>
      </w:pPr>
    </w:p>
    <w:p>
      <w:pPr>
        <w:pStyle w:val="62"/>
        <w:rPr>
          <w:rFonts w:hint="eastAsia" w:ascii="宋体" w:hAnsi="宋体" w:eastAsia="宋体" w:cs="宋体"/>
          <w:b/>
          <w:bCs/>
          <w:color w:val="000000" w:themeColor="text1"/>
          <w:sz w:val="24"/>
          <w:szCs w:val="24"/>
          <w:lang w:val="zh-CN"/>
          <w14:textFill>
            <w14:solidFill>
              <w14:schemeClr w14:val="tx1"/>
            </w14:solidFill>
          </w14:textFill>
        </w:rPr>
      </w:pPr>
    </w:p>
    <w:p>
      <w:pPr>
        <w:pStyle w:val="62"/>
        <w:rPr>
          <w:rFonts w:hint="eastAsia" w:ascii="宋体" w:hAnsi="宋体" w:eastAsia="宋体" w:cs="宋体"/>
          <w:b/>
          <w:bCs/>
          <w:color w:val="000000" w:themeColor="text1"/>
          <w:sz w:val="24"/>
          <w:szCs w:val="24"/>
          <w:lang w:val="zh-CN"/>
          <w14:textFill>
            <w14:solidFill>
              <w14:schemeClr w14:val="tx1"/>
            </w14:solidFill>
          </w14:textFill>
        </w:rPr>
      </w:pPr>
    </w:p>
    <w:p>
      <w:pPr>
        <w:pStyle w:val="62"/>
        <w:rPr>
          <w:rFonts w:hint="eastAsia" w:ascii="宋体" w:hAnsi="宋体" w:eastAsia="宋体" w:cs="宋体"/>
          <w:b/>
          <w:bCs/>
          <w:color w:val="000000" w:themeColor="text1"/>
          <w:sz w:val="24"/>
          <w:szCs w:val="24"/>
          <w:lang w:val="zh-CN"/>
          <w14:textFill>
            <w14:solidFill>
              <w14:schemeClr w14:val="tx1"/>
            </w14:solidFill>
          </w14:textFill>
        </w:rPr>
      </w:pPr>
    </w:p>
    <w:p>
      <w:pPr>
        <w:pStyle w:val="62"/>
        <w:rPr>
          <w:rFonts w:hint="eastAsia" w:ascii="宋体" w:hAnsi="宋体" w:eastAsia="宋体" w:cs="宋体"/>
          <w:b/>
          <w:bCs/>
          <w:color w:val="000000" w:themeColor="text1"/>
          <w:sz w:val="24"/>
          <w:szCs w:val="24"/>
          <w:lang w:val="zh-CN"/>
          <w14:textFill>
            <w14:solidFill>
              <w14:schemeClr w14:val="tx1"/>
            </w14:solidFill>
          </w14:textFill>
        </w:rPr>
      </w:pPr>
    </w:p>
    <w:p>
      <w:pPr>
        <w:pStyle w:val="62"/>
        <w:rPr>
          <w:rFonts w:hint="eastAsia" w:ascii="宋体" w:hAnsi="宋体" w:eastAsia="宋体" w:cs="宋体"/>
          <w:b/>
          <w:bCs/>
          <w:color w:val="000000" w:themeColor="text1"/>
          <w:sz w:val="24"/>
          <w:szCs w:val="24"/>
          <w:lang w:val="zh-CN"/>
          <w14:textFill>
            <w14:solidFill>
              <w14:schemeClr w14:val="tx1"/>
            </w14:solidFill>
          </w14:textFill>
        </w:rPr>
      </w:pPr>
    </w:p>
    <w:p>
      <w:pPr>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br w:type="page"/>
      </w:r>
    </w:p>
    <w:p>
      <w:pPr>
        <w:autoSpaceDE w:val="0"/>
        <w:autoSpaceDN w:val="0"/>
        <w:adjustRightInd w:val="0"/>
        <w:spacing w:line="360" w:lineRule="auto"/>
        <w:ind w:firstLine="420"/>
        <w:jc w:val="center"/>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招标文件要求的其他证明材料</w:t>
      </w:r>
      <w:bookmarkEnd w:id="691"/>
    </w:p>
    <w:p>
      <w:pPr>
        <w:pStyle w:val="62"/>
        <w:rPr>
          <w:rFonts w:hint="eastAsia" w:ascii="宋体" w:hAnsi="宋体" w:eastAsia="宋体" w:cs="宋体"/>
          <w:b/>
          <w:bCs/>
          <w:color w:val="000000" w:themeColor="text1"/>
          <w:sz w:val="24"/>
          <w:szCs w:val="24"/>
          <w:lang w:val="zh-CN"/>
          <w14:textFill>
            <w14:solidFill>
              <w14:schemeClr w14:val="tx1"/>
            </w14:solidFill>
          </w14:textFill>
        </w:rPr>
      </w:pPr>
    </w:p>
    <w:p>
      <w:pPr>
        <w:pStyle w:val="62"/>
        <w:jc w:val="center"/>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包括但不限于投标人资格要求中的其他证明资料。</w:t>
      </w:r>
    </w:p>
    <w:p>
      <w:pPr>
        <w:autoSpaceDE w:val="0"/>
        <w:autoSpaceDN w:val="0"/>
        <w:adjustRightInd w:val="0"/>
        <w:spacing w:line="360" w:lineRule="auto"/>
        <w:ind w:firstLine="420"/>
        <w:jc w:val="center"/>
        <w:rPr>
          <w:rFonts w:hint="eastAsia" w:ascii="宋体" w:hAnsi="宋体" w:eastAsia="宋体" w:cs="宋体"/>
          <w:sz w:val="24"/>
          <w:szCs w:val="24"/>
          <w:lang w:val="zh-CN"/>
        </w:rPr>
      </w:pPr>
      <w:r>
        <w:rPr>
          <w:rFonts w:hint="eastAsia" w:ascii="宋体" w:hAnsi="宋体" w:eastAsia="宋体" w:cs="宋体"/>
          <w:b/>
          <w:bCs/>
          <w:color w:val="000000" w:themeColor="text1"/>
          <w:sz w:val="24"/>
          <w:szCs w:val="24"/>
          <w:lang w:val="zh-CN"/>
          <w14:textFill>
            <w14:solidFill>
              <w14:schemeClr w14:val="tx1"/>
            </w14:solidFill>
          </w14:textFill>
        </w:rPr>
        <w:br w:type="page"/>
      </w:r>
      <w:bookmarkEnd w:id="692"/>
    </w:p>
    <w:p>
      <w:pPr>
        <w:pStyle w:val="5"/>
        <w:numPr>
          <w:ilvl w:val="0"/>
          <w:numId w:val="0"/>
        </w:numPr>
        <w:ind w:left="560" w:leftChars="0" w:firstLine="3120" w:firstLineChars="1300"/>
        <w:jc w:val="both"/>
        <w:rPr>
          <w:rFonts w:hint="eastAsia" w:ascii="宋体" w:hAnsi="宋体" w:eastAsia="宋体" w:cs="宋体"/>
          <w:sz w:val="24"/>
          <w:szCs w:val="24"/>
          <w:lang w:val="zh-CN"/>
        </w:rPr>
      </w:pPr>
      <w:bookmarkStart w:id="693" w:name="_Toc17495"/>
      <w:bookmarkStart w:id="694" w:name="_Toc420348777"/>
      <w:r>
        <w:rPr>
          <w:rFonts w:hint="eastAsia" w:ascii="宋体" w:hAnsi="宋体" w:eastAsia="宋体" w:cs="宋体"/>
          <w:sz w:val="24"/>
          <w:szCs w:val="24"/>
          <w:lang w:val="zh-CN"/>
        </w:rPr>
        <w:t>技</w:t>
      </w:r>
      <w:r>
        <w:rPr>
          <w:rFonts w:hint="eastAsia" w:ascii="宋体" w:hAnsi="宋体" w:eastAsia="宋体" w:cs="宋体"/>
          <w:sz w:val="24"/>
          <w:szCs w:val="24"/>
        </w:rPr>
        <w:t xml:space="preserve"> </w:t>
      </w:r>
      <w:r>
        <w:rPr>
          <w:rFonts w:hint="eastAsia" w:ascii="宋体" w:hAnsi="宋体" w:eastAsia="宋体" w:cs="宋体"/>
          <w:sz w:val="24"/>
          <w:szCs w:val="24"/>
          <w:lang w:val="zh-CN"/>
        </w:rPr>
        <w:t>术</w:t>
      </w:r>
      <w:r>
        <w:rPr>
          <w:rFonts w:hint="eastAsia" w:ascii="宋体" w:hAnsi="宋体" w:eastAsia="宋体" w:cs="宋体"/>
          <w:sz w:val="24"/>
          <w:szCs w:val="24"/>
        </w:rPr>
        <w:t xml:space="preserve"> </w:t>
      </w:r>
      <w:r>
        <w:rPr>
          <w:rFonts w:hint="eastAsia" w:ascii="宋体" w:hAnsi="宋体" w:eastAsia="宋体" w:cs="宋体"/>
          <w:sz w:val="24"/>
          <w:szCs w:val="24"/>
          <w:lang w:val="zh-CN"/>
        </w:rPr>
        <w:t>标</w:t>
      </w:r>
      <w:r>
        <w:rPr>
          <w:rFonts w:hint="eastAsia" w:ascii="宋体" w:hAnsi="宋体" w:eastAsia="宋体" w:cs="宋体"/>
          <w:sz w:val="24"/>
          <w:szCs w:val="24"/>
        </w:rPr>
        <w:t xml:space="preserve"> </w:t>
      </w:r>
      <w:r>
        <w:rPr>
          <w:rFonts w:hint="eastAsia" w:ascii="宋体" w:hAnsi="宋体" w:eastAsia="宋体" w:cs="宋体"/>
          <w:sz w:val="24"/>
          <w:szCs w:val="24"/>
          <w:lang w:val="zh-CN"/>
        </w:rPr>
        <w:t>内</w:t>
      </w:r>
      <w:r>
        <w:rPr>
          <w:rFonts w:hint="eastAsia" w:ascii="宋体" w:hAnsi="宋体" w:eastAsia="宋体" w:cs="宋体"/>
          <w:sz w:val="24"/>
          <w:szCs w:val="24"/>
        </w:rPr>
        <w:t xml:space="preserve"> </w:t>
      </w:r>
      <w:r>
        <w:rPr>
          <w:rFonts w:hint="eastAsia" w:ascii="宋体" w:hAnsi="宋体" w:eastAsia="宋体" w:cs="宋体"/>
          <w:sz w:val="24"/>
          <w:szCs w:val="24"/>
          <w:lang w:val="zh-CN"/>
        </w:rPr>
        <w:t>容</w:t>
      </w:r>
      <w:bookmarkEnd w:id="693"/>
      <w:bookmarkEnd w:id="694"/>
      <w:bookmarkStart w:id="695" w:name="_Toc420348778"/>
    </w:p>
    <w:p>
      <w:pPr>
        <w:rPr>
          <w:rFonts w:hint="eastAsia"/>
          <w:lang w:val="zh-CN"/>
        </w:rPr>
      </w:pPr>
    </w:p>
    <w:p>
      <w:pPr>
        <w:autoSpaceDE w:val="0"/>
        <w:autoSpaceDN w:val="0"/>
        <w:adjustRightInd w:val="0"/>
        <w:ind w:firstLine="3840" w:firstLineChars="1600"/>
        <w:jc w:val="both"/>
        <w:rPr>
          <w:rFonts w:hint="eastAsia" w:ascii="宋体" w:hAnsi="宋体" w:eastAsia="宋体" w:cs="宋体"/>
          <w:sz w:val="24"/>
          <w:szCs w:val="24"/>
          <w:lang w:val="zh-CN"/>
        </w:rPr>
      </w:pPr>
      <w:r>
        <w:rPr>
          <w:rFonts w:hint="eastAsia" w:ascii="宋体" w:hAnsi="宋体" w:eastAsia="宋体" w:cs="宋体"/>
          <w:sz w:val="24"/>
          <w:szCs w:val="24"/>
          <w:lang w:val="zh-CN"/>
        </w:rPr>
        <w:t>施工组织设计</w:t>
      </w:r>
      <w:bookmarkEnd w:id="695"/>
    </w:p>
    <w:p>
      <w:pPr>
        <w:pStyle w:val="2"/>
        <w:rPr>
          <w:rFonts w:hint="eastAsia"/>
        </w:rPr>
      </w:pPr>
    </w:p>
    <w:p>
      <w:pPr>
        <w:autoSpaceDE w:val="0"/>
        <w:autoSpaceDN w:val="0"/>
        <w:adjustRightInd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一、投标人应根据招标工程的具体情况，编织相应的施工组织设计。</w:t>
      </w:r>
    </w:p>
    <w:p>
      <w:pPr>
        <w:autoSpaceDE w:val="0"/>
        <w:autoSpaceDN w:val="0"/>
        <w:adjustRightInd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二、施工组织设计包括下列内容：</w:t>
      </w:r>
    </w:p>
    <w:p>
      <w:pPr>
        <w:autoSpaceDE w:val="0"/>
        <w:autoSpaceDN w:val="0"/>
        <w:adjustRightInd w:val="0"/>
        <w:spacing w:line="360" w:lineRule="auto"/>
        <w:ind w:firstLine="576" w:firstLineChars="240"/>
        <w:rPr>
          <w:rFonts w:hint="eastAsia" w:ascii="宋体" w:hAnsi="宋体" w:eastAsia="宋体" w:cs="宋体"/>
          <w:sz w:val="24"/>
          <w:szCs w:val="24"/>
          <w:lang w:val="zh-CN"/>
        </w:rPr>
      </w:pPr>
      <w:r>
        <w:rPr>
          <w:rFonts w:hint="eastAsia" w:ascii="宋体" w:hAnsi="宋体" w:eastAsia="宋体" w:cs="宋体"/>
          <w:sz w:val="24"/>
          <w:szCs w:val="24"/>
          <w:lang w:val="zh-CN"/>
        </w:rPr>
        <w:t>1、工程概况及特点</w:t>
      </w:r>
    </w:p>
    <w:p>
      <w:pPr>
        <w:autoSpaceDE w:val="0"/>
        <w:autoSpaceDN w:val="0"/>
        <w:adjustRightInd w:val="0"/>
        <w:spacing w:line="360" w:lineRule="auto"/>
        <w:ind w:left="630" w:firstLine="420"/>
        <w:rPr>
          <w:rFonts w:hint="eastAsia" w:ascii="宋体" w:hAnsi="宋体" w:eastAsia="宋体" w:cs="宋体"/>
          <w:sz w:val="24"/>
          <w:szCs w:val="24"/>
          <w:lang w:val="zh-CN"/>
        </w:rPr>
      </w:pPr>
      <w:r>
        <w:rPr>
          <w:rFonts w:hint="eastAsia" w:ascii="宋体" w:hAnsi="宋体" w:eastAsia="宋体" w:cs="宋体"/>
          <w:sz w:val="24"/>
          <w:szCs w:val="24"/>
          <w:lang w:val="zh-CN"/>
        </w:rPr>
        <w:t>（1）工程建设概况</w:t>
      </w:r>
    </w:p>
    <w:p>
      <w:pPr>
        <w:autoSpaceDE w:val="0"/>
        <w:autoSpaceDN w:val="0"/>
        <w:adjustRightInd w:val="0"/>
        <w:spacing w:line="360" w:lineRule="auto"/>
        <w:ind w:left="630" w:firstLine="420"/>
        <w:rPr>
          <w:rFonts w:hint="eastAsia" w:ascii="宋体" w:hAnsi="宋体" w:eastAsia="宋体" w:cs="宋体"/>
          <w:sz w:val="24"/>
          <w:szCs w:val="24"/>
          <w:lang w:val="zh-CN"/>
        </w:rPr>
      </w:pPr>
      <w:r>
        <w:rPr>
          <w:rFonts w:hint="eastAsia" w:ascii="宋体" w:hAnsi="宋体" w:eastAsia="宋体" w:cs="宋体"/>
          <w:sz w:val="24"/>
          <w:szCs w:val="24"/>
          <w:lang w:val="zh-CN"/>
        </w:rPr>
        <w:t>（2）工程施工特点</w:t>
      </w:r>
    </w:p>
    <w:p>
      <w:pPr>
        <w:autoSpaceDE w:val="0"/>
        <w:autoSpaceDN w:val="0"/>
        <w:adjustRightInd w:val="0"/>
        <w:spacing w:line="360" w:lineRule="auto"/>
        <w:ind w:left="630" w:firstLine="420"/>
        <w:rPr>
          <w:rFonts w:hint="eastAsia" w:ascii="宋体" w:hAnsi="宋体" w:eastAsia="宋体" w:cs="宋体"/>
          <w:sz w:val="24"/>
          <w:szCs w:val="24"/>
          <w:lang w:val="zh-CN"/>
        </w:rPr>
      </w:pPr>
      <w:r>
        <w:rPr>
          <w:rFonts w:hint="eastAsia" w:ascii="宋体" w:hAnsi="宋体" w:eastAsia="宋体" w:cs="宋体"/>
          <w:sz w:val="24"/>
          <w:szCs w:val="24"/>
          <w:lang w:val="zh-CN"/>
        </w:rPr>
        <w:t>（3）建设地点特征</w:t>
      </w:r>
    </w:p>
    <w:p>
      <w:pPr>
        <w:autoSpaceDE w:val="0"/>
        <w:autoSpaceDN w:val="0"/>
        <w:adjustRightInd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2、施工准备工作计划</w:t>
      </w:r>
    </w:p>
    <w:p>
      <w:pPr>
        <w:autoSpaceDE w:val="0"/>
        <w:autoSpaceDN w:val="0"/>
        <w:adjustRightInd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3、施工方案</w:t>
      </w:r>
    </w:p>
    <w:p>
      <w:pPr>
        <w:autoSpaceDE w:val="0"/>
        <w:autoSpaceDN w:val="0"/>
        <w:adjustRightInd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4、工程施工进度计划</w:t>
      </w:r>
    </w:p>
    <w:p>
      <w:pPr>
        <w:autoSpaceDE w:val="0"/>
        <w:autoSpaceDN w:val="0"/>
        <w:adjustRightInd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5、劳动力、材料、施工机械设备等需要量计划</w:t>
      </w:r>
    </w:p>
    <w:p>
      <w:pPr>
        <w:autoSpaceDE w:val="0"/>
        <w:autoSpaceDN w:val="0"/>
        <w:adjustRightInd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6、施工平面图</w:t>
      </w:r>
    </w:p>
    <w:p>
      <w:pPr>
        <w:autoSpaceDE w:val="0"/>
        <w:autoSpaceDN w:val="0"/>
        <w:adjustRightInd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7、质量保证技术组织措施和保证体系</w:t>
      </w:r>
    </w:p>
    <w:p>
      <w:pPr>
        <w:autoSpaceDE w:val="0"/>
        <w:autoSpaceDN w:val="0"/>
        <w:adjustRightInd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8、安全保证技术组织措施和保证体系、</w:t>
      </w:r>
    </w:p>
    <w:p>
      <w:pPr>
        <w:autoSpaceDE w:val="0"/>
        <w:autoSpaceDN w:val="0"/>
        <w:adjustRightInd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9、进度保证技术组织措施和保证体系</w:t>
      </w:r>
    </w:p>
    <w:p>
      <w:pPr>
        <w:autoSpaceDE w:val="0"/>
        <w:autoSpaceDN w:val="0"/>
        <w:adjustRightInd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10、现场文明施工措施</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lang w:val="zh-CN"/>
        </w:rPr>
        <w:t>注：以上内容中若需要表格请投标人自行编制。</w:t>
      </w:r>
    </w:p>
    <w:p>
      <w:pPr>
        <w:pStyle w:val="347"/>
        <w:rPr>
          <w:rFonts w:hint="eastAsia" w:ascii="宋体" w:hAnsi="宋体" w:eastAsia="宋体" w:cs="宋体"/>
          <w:sz w:val="24"/>
          <w:szCs w:val="24"/>
        </w:rPr>
      </w:pPr>
    </w:p>
    <w:p>
      <w:pPr>
        <w:autoSpaceDE w:val="0"/>
        <w:autoSpaceDN w:val="0"/>
        <w:adjustRightInd w:val="0"/>
        <w:ind w:firstLine="480" w:firstLineChars="200"/>
        <w:rPr>
          <w:rFonts w:hint="eastAsia" w:ascii="宋体" w:hAnsi="宋体" w:eastAsia="宋体" w:cs="宋体"/>
          <w:sz w:val="24"/>
          <w:szCs w:val="24"/>
          <w:lang w:val="zh-CN"/>
        </w:rPr>
      </w:pPr>
    </w:p>
    <w:p>
      <w:pPr>
        <w:pStyle w:val="5"/>
        <w:numPr>
          <w:ilvl w:val="0"/>
          <w:numId w:val="0"/>
        </w:numPr>
        <w:jc w:val="center"/>
        <w:rPr>
          <w:rFonts w:hint="eastAsia" w:ascii="宋体" w:hAnsi="宋体" w:eastAsia="宋体" w:cs="宋体"/>
          <w:sz w:val="24"/>
          <w:szCs w:val="24"/>
        </w:rPr>
      </w:pPr>
      <w:r>
        <w:rPr>
          <w:rFonts w:hint="eastAsia" w:ascii="宋体" w:hAnsi="宋体" w:eastAsia="宋体" w:cs="宋体"/>
          <w:sz w:val="24"/>
          <w:szCs w:val="24"/>
        </w:rPr>
        <w:br w:type="page"/>
      </w:r>
      <w:bookmarkStart w:id="696" w:name="_Toc4137"/>
      <w:r>
        <w:rPr>
          <w:rFonts w:hint="eastAsia" w:ascii="宋体" w:hAnsi="宋体" w:eastAsia="宋体" w:cs="宋体"/>
          <w:sz w:val="24"/>
          <w:szCs w:val="24"/>
        </w:rPr>
        <w:t xml:space="preserve">经 济 标 </w:t>
      </w:r>
      <w:r>
        <w:rPr>
          <w:rFonts w:hint="eastAsia" w:ascii="宋体" w:hAnsi="宋体" w:eastAsia="宋体" w:cs="宋体"/>
          <w:sz w:val="24"/>
          <w:szCs w:val="24"/>
          <w:lang w:val="zh-CN"/>
        </w:rPr>
        <w:t>格</w:t>
      </w:r>
      <w:r>
        <w:rPr>
          <w:rFonts w:hint="eastAsia" w:ascii="宋体" w:hAnsi="宋体" w:eastAsia="宋体" w:cs="宋体"/>
          <w:sz w:val="24"/>
          <w:szCs w:val="24"/>
        </w:rPr>
        <w:t xml:space="preserve"> </w:t>
      </w:r>
      <w:r>
        <w:rPr>
          <w:rFonts w:hint="eastAsia" w:ascii="宋体" w:hAnsi="宋体" w:eastAsia="宋体" w:cs="宋体"/>
          <w:sz w:val="24"/>
          <w:szCs w:val="24"/>
          <w:lang w:val="zh-CN"/>
        </w:rPr>
        <w:t>式</w:t>
      </w:r>
      <w:bookmarkEnd w:id="696"/>
    </w:p>
    <w:p>
      <w:pPr>
        <w:autoSpaceDE w:val="0"/>
        <w:autoSpaceDN w:val="0"/>
        <w:adjustRightInd w:val="0"/>
        <w:rPr>
          <w:rFonts w:hint="eastAsia" w:ascii="宋体" w:hAnsi="宋体" w:eastAsia="宋体" w:cs="宋体"/>
          <w:sz w:val="24"/>
          <w:szCs w:val="24"/>
        </w:rPr>
      </w:pPr>
    </w:p>
    <w:p>
      <w:pPr>
        <w:autoSpaceDE w:val="0"/>
        <w:autoSpaceDN w:val="0"/>
        <w:adjustRightInd w:val="0"/>
        <w:rPr>
          <w:rFonts w:hint="eastAsia" w:ascii="宋体" w:hAnsi="宋体" w:eastAsia="宋体" w:cs="宋体"/>
          <w:sz w:val="24"/>
          <w:szCs w:val="24"/>
        </w:rPr>
      </w:pP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经济标封面示例</w:t>
      </w:r>
    </w:p>
    <w:p>
      <w:pPr>
        <w:autoSpaceDE w:val="0"/>
        <w:autoSpaceDN w:val="0"/>
        <w:adjustRightInd w:val="0"/>
        <w:spacing w:line="360" w:lineRule="auto"/>
        <w:rPr>
          <w:rFonts w:hint="eastAsia" w:ascii="宋体" w:hAnsi="宋体" w:eastAsia="宋体" w:cs="宋体"/>
          <w:sz w:val="24"/>
          <w:szCs w:val="24"/>
        </w:rPr>
      </w:pPr>
    </w:p>
    <w:p>
      <w:pPr>
        <w:autoSpaceDE w:val="0"/>
        <w:autoSpaceDN w:val="0"/>
        <w:adjustRightInd w:val="0"/>
        <w:spacing w:line="360" w:lineRule="auto"/>
        <w:rPr>
          <w:rFonts w:hint="eastAsia" w:ascii="宋体" w:hAnsi="宋体" w:eastAsia="宋体" w:cs="宋体"/>
          <w:sz w:val="24"/>
          <w:szCs w:val="24"/>
        </w:rPr>
      </w:pPr>
    </w:p>
    <w:p>
      <w:pPr>
        <w:spacing w:line="360" w:lineRule="auto"/>
        <w:jc w:val="center"/>
        <w:rPr>
          <w:rFonts w:hint="eastAsia" w:ascii="宋体" w:hAnsi="宋体" w:eastAsia="宋体" w:cs="宋体"/>
          <w:b/>
          <w:bCs/>
          <w:sz w:val="24"/>
          <w:szCs w:val="24"/>
          <w:lang w:val="zh-CN"/>
        </w:rPr>
      </w:pPr>
    </w:p>
    <w:p>
      <w:pPr>
        <w:spacing w:line="360" w:lineRule="auto"/>
        <w:jc w:val="center"/>
        <w:rPr>
          <w:rFonts w:hint="eastAsia" w:ascii="宋体" w:hAnsi="宋体" w:eastAsia="宋体" w:cs="宋体"/>
          <w:b/>
          <w:bCs/>
          <w:sz w:val="24"/>
          <w:szCs w:val="24"/>
          <w:lang w:val="zh-CN"/>
        </w:rPr>
      </w:pPr>
    </w:p>
    <w:p>
      <w:pPr>
        <w:spacing w:line="360" w:lineRule="auto"/>
        <w:jc w:val="center"/>
        <w:rPr>
          <w:rFonts w:hint="eastAsia" w:ascii="宋体" w:hAnsi="宋体" w:eastAsia="宋体" w:cs="宋体"/>
          <w:b/>
          <w:bCs/>
          <w:sz w:val="24"/>
          <w:szCs w:val="24"/>
          <w:lang w:val="zh-CN"/>
        </w:rPr>
      </w:pPr>
    </w:p>
    <w:p>
      <w:pPr>
        <w:spacing w:line="360" w:lineRule="auto"/>
        <w:jc w:val="center"/>
        <w:outlineLvl w:val="0"/>
        <w:rPr>
          <w:rFonts w:hint="eastAsia" w:ascii="宋体" w:hAnsi="宋体" w:eastAsia="宋体" w:cs="宋体"/>
          <w:b/>
          <w:bCs/>
          <w:sz w:val="24"/>
          <w:szCs w:val="24"/>
        </w:rPr>
      </w:pPr>
      <w:bookmarkStart w:id="697" w:name="_Toc5354"/>
      <w:bookmarkStart w:id="698" w:name="_Toc22332"/>
      <w:bookmarkStart w:id="699" w:name="_Toc3839"/>
      <w:r>
        <w:rPr>
          <w:rFonts w:hint="eastAsia" w:ascii="宋体" w:hAnsi="宋体" w:eastAsia="宋体" w:cs="宋体"/>
          <w:b/>
          <w:bCs/>
          <w:sz w:val="24"/>
          <w:szCs w:val="24"/>
          <w:lang w:val="zh-CN"/>
        </w:rPr>
        <w:t>投标文件经济标</w:t>
      </w:r>
      <w:bookmarkEnd w:id="697"/>
      <w:bookmarkEnd w:id="698"/>
      <w:bookmarkEnd w:id="699"/>
    </w:p>
    <w:p>
      <w:pPr>
        <w:autoSpaceDE w:val="0"/>
        <w:autoSpaceDN w:val="0"/>
        <w:adjustRightInd w:val="0"/>
        <w:spacing w:line="360" w:lineRule="auto"/>
        <w:rPr>
          <w:rFonts w:hint="eastAsia" w:ascii="宋体" w:hAnsi="宋体" w:eastAsia="宋体" w:cs="宋体"/>
          <w:sz w:val="24"/>
          <w:szCs w:val="24"/>
        </w:rPr>
      </w:pPr>
    </w:p>
    <w:p>
      <w:pPr>
        <w:autoSpaceDE w:val="0"/>
        <w:autoSpaceDN w:val="0"/>
        <w:adjustRightInd w:val="0"/>
        <w:spacing w:line="360" w:lineRule="auto"/>
        <w:rPr>
          <w:rFonts w:hint="eastAsia" w:ascii="宋体" w:hAnsi="宋体" w:eastAsia="宋体" w:cs="宋体"/>
          <w:sz w:val="24"/>
          <w:szCs w:val="24"/>
        </w:rPr>
      </w:pPr>
    </w:p>
    <w:p>
      <w:pPr>
        <w:autoSpaceDE w:val="0"/>
        <w:autoSpaceDN w:val="0"/>
        <w:adjustRightInd w:val="0"/>
        <w:spacing w:line="360" w:lineRule="auto"/>
        <w:rPr>
          <w:rFonts w:hint="eastAsia" w:ascii="宋体" w:hAnsi="宋体" w:eastAsia="宋体" w:cs="宋体"/>
          <w:sz w:val="24"/>
          <w:szCs w:val="24"/>
        </w:rPr>
      </w:pPr>
    </w:p>
    <w:p>
      <w:pPr>
        <w:autoSpaceDE w:val="0"/>
        <w:autoSpaceDN w:val="0"/>
        <w:adjustRightInd w:val="0"/>
        <w:spacing w:line="360" w:lineRule="auto"/>
        <w:rPr>
          <w:rFonts w:hint="eastAsia" w:ascii="宋体" w:hAnsi="宋体" w:eastAsia="宋体" w:cs="宋体"/>
          <w:sz w:val="24"/>
          <w:szCs w:val="24"/>
        </w:rPr>
      </w:pPr>
    </w:p>
    <w:p>
      <w:pPr>
        <w:autoSpaceDE w:val="0"/>
        <w:autoSpaceDN w:val="0"/>
        <w:adjustRightInd w:val="0"/>
        <w:spacing w:line="360" w:lineRule="auto"/>
        <w:rPr>
          <w:rFonts w:hint="eastAsia" w:ascii="宋体" w:hAnsi="宋体" w:eastAsia="宋体" w:cs="宋体"/>
          <w:sz w:val="24"/>
          <w:szCs w:val="24"/>
        </w:rPr>
      </w:pPr>
    </w:p>
    <w:p>
      <w:pPr>
        <w:autoSpaceDE w:val="0"/>
        <w:autoSpaceDN w:val="0"/>
        <w:adjustRightInd w:val="0"/>
        <w:spacing w:line="360" w:lineRule="auto"/>
        <w:rPr>
          <w:rFonts w:hint="eastAsia" w:ascii="宋体" w:hAnsi="宋体" w:eastAsia="宋体" w:cs="宋体"/>
          <w:sz w:val="24"/>
          <w:szCs w:val="24"/>
        </w:rPr>
      </w:pPr>
    </w:p>
    <w:p>
      <w:pPr>
        <w:autoSpaceDE w:val="0"/>
        <w:autoSpaceDN w:val="0"/>
        <w:adjustRightInd w:val="0"/>
        <w:spacing w:line="360" w:lineRule="auto"/>
        <w:rPr>
          <w:rFonts w:hint="eastAsia" w:ascii="宋体" w:hAnsi="宋体" w:eastAsia="宋体" w:cs="宋体"/>
          <w:sz w:val="24"/>
          <w:szCs w:val="24"/>
        </w:rPr>
      </w:pPr>
    </w:p>
    <w:p>
      <w:pPr>
        <w:autoSpaceDE w:val="0"/>
        <w:autoSpaceDN w:val="0"/>
        <w:adjustRightInd w:val="0"/>
        <w:spacing w:line="360" w:lineRule="auto"/>
        <w:rPr>
          <w:rFonts w:hint="eastAsia" w:ascii="宋体" w:hAnsi="宋体" w:eastAsia="宋体" w:cs="宋体"/>
          <w:sz w:val="24"/>
          <w:szCs w:val="24"/>
        </w:rPr>
      </w:pPr>
    </w:p>
    <w:p>
      <w:pPr>
        <w:autoSpaceDE w:val="0"/>
        <w:autoSpaceDN w:val="0"/>
        <w:adjustRightInd w:val="0"/>
        <w:spacing w:line="360" w:lineRule="auto"/>
        <w:rPr>
          <w:rFonts w:hint="eastAsia" w:ascii="宋体" w:hAnsi="宋体" w:eastAsia="宋体" w:cs="宋体"/>
          <w:sz w:val="24"/>
          <w:szCs w:val="24"/>
        </w:rPr>
      </w:pPr>
    </w:p>
    <w:p>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招标工程名称：××××××</w:t>
      </w:r>
    </w:p>
    <w:p>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招标工程编号：：××××××</w:t>
      </w:r>
    </w:p>
    <w:p>
      <w:pPr>
        <w:autoSpaceDE w:val="0"/>
        <w:autoSpaceDN w:val="0"/>
        <w:adjustRightInd w:val="0"/>
        <w:spacing w:line="360" w:lineRule="auto"/>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投标人名称（盖章）：××××××</w:t>
      </w:r>
    </w:p>
    <w:p>
      <w:pPr>
        <w:pStyle w:val="2"/>
        <w:ind w:left="0" w:leftChars="0" w:firstLine="0" w:firstLineChars="0"/>
        <w:jc w:val="left"/>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法定代表人或委托代理人（签字或盖章）</w:t>
      </w:r>
      <w:r>
        <w:rPr>
          <w:rFonts w:hint="eastAsia" w:ascii="宋体" w:hAnsi="宋体" w:eastAsia="宋体" w:cs="宋体"/>
          <w:color w:val="000000" w:themeColor="text1"/>
          <w:kern w:val="2"/>
          <w:sz w:val="24"/>
          <w:szCs w:val="24"/>
          <w:lang w:val="zh-CN" w:eastAsia="zh-CN" w:bidi="ar-SA"/>
          <w14:textFill>
            <w14:solidFill>
              <w14:schemeClr w14:val="tx1"/>
            </w14:solidFill>
          </w14:textFill>
        </w:rPr>
        <w:t>：××××××</w:t>
      </w:r>
    </w:p>
    <w:p>
      <w:pPr>
        <w:pStyle w:val="2"/>
        <w:ind w:left="0" w:leftChars="0" w:firstLine="0" w:firstLineChars="0"/>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联系方式：××××××</w:t>
      </w:r>
    </w:p>
    <w:p>
      <w:pPr>
        <w:autoSpaceDE w:val="0"/>
        <w:autoSpaceDN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编制时间：×年×月×日</w:t>
      </w:r>
    </w:p>
    <w:p>
      <w:pPr>
        <w:rPr>
          <w:rFonts w:hint="eastAsia" w:ascii="宋体" w:hAnsi="宋体" w:eastAsia="宋体" w:cs="宋体"/>
          <w:b/>
          <w:sz w:val="24"/>
          <w:szCs w:val="24"/>
        </w:rPr>
      </w:pPr>
      <w:r>
        <w:rPr>
          <w:rFonts w:hint="eastAsia" w:ascii="宋体" w:hAnsi="宋体" w:eastAsia="宋体" w:cs="宋体"/>
          <w:b/>
          <w:sz w:val="24"/>
          <w:szCs w:val="24"/>
        </w:rPr>
        <w:br w:type="page"/>
      </w:r>
    </w:p>
    <w:p>
      <w:pPr>
        <w:pStyle w:val="396"/>
        <w:ind w:firstLine="0" w:firstLineChars="0"/>
        <w:jc w:val="center"/>
        <w:outlineLvl w:val="0"/>
        <w:rPr>
          <w:rFonts w:hint="eastAsia" w:ascii="宋体" w:hAnsi="宋体" w:eastAsia="宋体" w:cs="宋体"/>
          <w:b/>
          <w:sz w:val="24"/>
          <w:szCs w:val="24"/>
        </w:rPr>
      </w:pPr>
      <w:bookmarkStart w:id="700" w:name="_Toc23278"/>
      <w:bookmarkStart w:id="701" w:name="_Toc6261"/>
      <w:bookmarkStart w:id="702" w:name="_Toc32708"/>
      <w:r>
        <w:rPr>
          <w:rFonts w:hint="eastAsia" w:ascii="宋体" w:hAnsi="宋体" w:eastAsia="宋体" w:cs="宋体"/>
          <w:b/>
          <w:sz w:val="24"/>
          <w:szCs w:val="24"/>
        </w:rPr>
        <w:t>经济标目录</w:t>
      </w:r>
      <w:bookmarkEnd w:id="700"/>
      <w:bookmarkEnd w:id="701"/>
      <w:bookmarkEnd w:id="702"/>
    </w:p>
    <w:p>
      <w:pPr>
        <w:spacing w:line="360" w:lineRule="auto"/>
        <w:ind w:firstLine="480" w:firstLineChars="200"/>
        <w:outlineLvl w:val="0"/>
        <w:rPr>
          <w:rFonts w:hint="eastAsia" w:ascii="宋体" w:hAnsi="宋体" w:eastAsia="宋体" w:cs="宋体"/>
          <w:sz w:val="24"/>
          <w:szCs w:val="24"/>
          <w:highlight w:val="none"/>
        </w:rPr>
      </w:pPr>
      <w:bookmarkStart w:id="703" w:name="_Toc2867"/>
      <w:bookmarkStart w:id="704" w:name="_Toc4393"/>
      <w:bookmarkStart w:id="705" w:name="_Toc8865"/>
      <w:r>
        <w:rPr>
          <w:rFonts w:hint="eastAsia" w:ascii="宋体" w:hAnsi="宋体" w:eastAsia="宋体" w:cs="宋体"/>
          <w:sz w:val="24"/>
          <w:szCs w:val="24"/>
          <w:highlight w:val="none"/>
        </w:rPr>
        <w:t>1、投标总价单</w:t>
      </w:r>
      <w:bookmarkEnd w:id="703"/>
      <w:bookmarkEnd w:id="704"/>
      <w:bookmarkEnd w:id="705"/>
    </w:p>
    <w:p>
      <w:pPr>
        <w:spacing w:line="360" w:lineRule="auto"/>
        <w:ind w:firstLine="480" w:firstLineChars="200"/>
        <w:outlineLvl w:val="0"/>
        <w:rPr>
          <w:rFonts w:hint="eastAsia" w:ascii="宋体" w:hAnsi="宋体" w:eastAsia="宋体" w:cs="宋体"/>
          <w:sz w:val="24"/>
          <w:szCs w:val="24"/>
          <w:highlight w:val="none"/>
        </w:rPr>
      </w:pPr>
      <w:bookmarkStart w:id="706" w:name="_Toc9988"/>
      <w:bookmarkStart w:id="707" w:name="_Toc24525"/>
      <w:bookmarkStart w:id="708" w:name="_Toc21278"/>
      <w:r>
        <w:rPr>
          <w:rFonts w:hint="eastAsia" w:ascii="宋体" w:hAnsi="宋体" w:eastAsia="宋体" w:cs="宋体"/>
          <w:sz w:val="24"/>
          <w:szCs w:val="24"/>
          <w:highlight w:val="none"/>
        </w:rPr>
        <w:t>2、总说明</w:t>
      </w:r>
      <w:bookmarkEnd w:id="706"/>
      <w:bookmarkEnd w:id="707"/>
      <w:bookmarkEnd w:id="708"/>
    </w:p>
    <w:p>
      <w:pPr>
        <w:spacing w:line="360" w:lineRule="auto"/>
        <w:ind w:firstLine="480" w:firstLineChars="200"/>
        <w:outlineLvl w:val="0"/>
        <w:rPr>
          <w:rFonts w:hint="eastAsia" w:ascii="宋体" w:hAnsi="宋体" w:eastAsia="宋体" w:cs="宋体"/>
          <w:sz w:val="24"/>
          <w:szCs w:val="24"/>
          <w:highlight w:val="none"/>
        </w:rPr>
      </w:pPr>
      <w:bookmarkStart w:id="709" w:name="_Toc4649"/>
      <w:bookmarkStart w:id="710" w:name="_Toc8597"/>
      <w:bookmarkStart w:id="711" w:name="_Toc19413"/>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建设</w:t>
      </w:r>
      <w:r>
        <w:rPr>
          <w:rFonts w:hint="eastAsia" w:ascii="宋体" w:hAnsi="宋体" w:eastAsia="宋体" w:cs="宋体"/>
          <w:sz w:val="24"/>
          <w:szCs w:val="24"/>
          <w:highlight w:val="none"/>
        </w:rPr>
        <w:t>工程项目投标报价汇总表</w:t>
      </w:r>
      <w:bookmarkEnd w:id="709"/>
      <w:bookmarkEnd w:id="710"/>
      <w:bookmarkEnd w:id="711"/>
    </w:p>
    <w:p>
      <w:pPr>
        <w:spacing w:line="360" w:lineRule="auto"/>
        <w:ind w:firstLine="480" w:firstLineChars="200"/>
        <w:outlineLvl w:val="0"/>
        <w:rPr>
          <w:rFonts w:hint="eastAsia" w:ascii="宋体" w:hAnsi="宋体" w:eastAsia="宋体" w:cs="宋体"/>
          <w:sz w:val="24"/>
          <w:szCs w:val="24"/>
          <w:highlight w:val="none"/>
        </w:rPr>
      </w:pPr>
      <w:bookmarkStart w:id="712" w:name="_Toc20563"/>
      <w:bookmarkStart w:id="713" w:name="_Toc14177"/>
      <w:bookmarkStart w:id="714" w:name="_Toc3608"/>
      <w:r>
        <w:rPr>
          <w:rFonts w:hint="eastAsia" w:ascii="宋体" w:hAnsi="宋体" w:eastAsia="宋体" w:cs="宋体"/>
          <w:sz w:val="24"/>
          <w:szCs w:val="24"/>
          <w:highlight w:val="none"/>
        </w:rPr>
        <w:t>4、单项工程投标报价汇总表</w:t>
      </w:r>
      <w:bookmarkEnd w:id="712"/>
      <w:bookmarkEnd w:id="713"/>
      <w:bookmarkEnd w:id="714"/>
    </w:p>
    <w:p>
      <w:pPr>
        <w:spacing w:line="360" w:lineRule="auto"/>
        <w:ind w:firstLine="480" w:firstLineChars="200"/>
        <w:outlineLvl w:val="0"/>
        <w:rPr>
          <w:rFonts w:hint="eastAsia" w:ascii="宋体" w:hAnsi="宋体" w:eastAsia="宋体" w:cs="宋体"/>
          <w:sz w:val="24"/>
          <w:szCs w:val="24"/>
          <w:highlight w:val="none"/>
        </w:rPr>
      </w:pPr>
      <w:bookmarkStart w:id="715" w:name="_Toc9442"/>
      <w:bookmarkStart w:id="716" w:name="_Toc16945"/>
      <w:bookmarkStart w:id="717" w:name="_Toc22259"/>
      <w:r>
        <w:rPr>
          <w:rFonts w:hint="eastAsia" w:ascii="宋体" w:hAnsi="宋体" w:eastAsia="宋体" w:cs="宋体"/>
          <w:sz w:val="24"/>
          <w:szCs w:val="24"/>
          <w:highlight w:val="none"/>
        </w:rPr>
        <w:t>5、单位工程投标报价汇总表</w:t>
      </w:r>
      <w:bookmarkEnd w:id="715"/>
      <w:bookmarkEnd w:id="716"/>
      <w:bookmarkEnd w:id="717"/>
    </w:p>
    <w:p>
      <w:pPr>
        <w:spacing w:line="360" w:lineRule="auto"/>
        <w:ind w:firstLine="480" w:firstLineChars="200"/>
        <w:outlineLvl w:val="0"/>
        <w:rPr>
          <w:rFonts w:hint="eastAsia" w:ascii="宋体" w:hAnsi="宋体" w:eastAsia="宋体" w:cs="宋体"/>
          <w:sz w:val="24"/>
          <w:szCs w:val="24"/>
          <w:highlight w:val="none"/>
        </w:rPr>
      </w:pPr>
      <w:bookmarkStart w:id="718" w:name="_Toc19312"/>
      <w:bookmarkStart w:id="719" w:name="_Toc16652"/>
      <w:bookmarkStart w:id="720" w:name="_Toc14142"/>
      <w:r>
        <w:rPr>
          <w:rFonts w:hint="eastAsia" w:ascii="宋体" w:hAnsi="宋体" w:eastAsia="宋体" w:cs="宋体"/>
          <w:sz w:val="24"/>
          <w:szCs w:val="24"/>
          <w:highlight w:val="none"/>
        </w:rPr>
        <w:t>6、分部分项工程和单价措施项目清单与计价表</w:t>
      </w:r>
      <w:bookmarkEnd w:id="718"/>
      <w:bookmarkEnd w:id="719"/>
      <w:bookmarkEnd w:id="720"/>
    </w:p>
    <w:p>
      <w:pPr>
        <w:spacing w:line="360" w:lineRule="auto"/>
        <w:ind w:firstLine="480" w:firstLineChars="200"/>
        <w:outlineLvl w:val="0"/>
        <w:rPr>
          <w:rFonts w:hint="eastAsia" w:ascii="宋体" w:hAnsi="宋体" w:eastAsia="宋体" w:cs="宋体"/>
          <w:sz w:val="24"/>
          <w:szCs w:val="24"/>
          <w:highlight w:val="none"/>
        </w:rPr>
      </w:pPr>
      <w:bookmarkStart w:id="721" w:name="_Toc4696"/>
      <w:bookmarkStart w:id="722" w:name="_Toc12422"/>
      <w:bookmarkStart w:id="723" w:name="_Toc13400"/>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、总价措施项目清单与计价表</w:t>
      </w:r>
      <w:bookmarkEnd w:id="721"/>
      <w:bookmarkEnd w:id="722"/>
      <w:bookmarkEnd w:id="723"/>
    </w:p>
    <w:p>
      <w:pPr>
        <w:spacing w:line="360" w:lineRule="auto"/>
        <w:ind w:firstLine="480" w:firstLineChars="200"/>
        <w:outlineLvl w:val="0"/>
        <w:rPr>
          <w:rFonts w:hint="eastAsia" w:ascii="宋体" w:hAnsi="宋体" w:eastAsia="宋体" w:cs="宋体"/>
          <w:sz w:val="24"/>
          <w:szCs w:val="24"/>
          <w:highlight w:val="none"/>
        </w:rPr>
      </w:pPr>
      <w:bookmarkStart w:id="724" w:name="_Toc11062"/>
      <w:bookmarkStart w:id="725" w:name="_Toc22496"/>
      <w:bookmarkStart w:id="726" w:name="_Toc29920"/>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、其他项目清单与计价汇总表</w:t>
      </w:r>
      <w:bookmarkEnd w:id="724"/>
      <w:bookmarkEnd w:id="725"/>
      <w:bookmarkEnd w:id="726"/>
    </w:p>
    <w:p>
      <w:pPr>
        <w:spacing w:line="360" w:lineRule="auto"/>
        <w:ind w:firstLine="480" w:firstLineChars="200"/>
        <w:outlineLvl w:val="0"/>
        <w:rPr>
          <w:rFonts w:hint="eastAsia" w:ascii="宋体" w:hAnsi="宋体" w:eastAsia="宋体" w:cs="宋体"/>
          <w:sz w:val="24"/>
          <w:szCs w:val="24"/>
          <w:highlight w:val="none"/>
        </w:rPr>
      </w:pPr>
      <w:bookmarkStart w:id="727" w:name="_Toc29106"/>
      <w:bookmarkStart w:id="728" w:name="_Toc2652"/>
      <w:bookmarkStart w:id="729" w:name="_Toc18192"/>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、暂列金额明细表</w:t>
      </w:r>
      <w:bookmarkEnd w:id="727"/>
      <w:bookmarkEnd w:id="728"/>
      <w:bookmarkEnd w:id="729"/>
    </w:p>
    <w:p>
      <w:pPr>
        <w:spacing w:line="360" w:lineRule="auto"/>
        <w:ind w:firstLine="480" w:firstLineChars="200"/>
        <w:outlineLvl w:val="0"/>
        <w:rPr>
          <w:rFonts w:hint="eastAsia" w:ascii="宋体" w:hAnsi="宋体" w:eastAsia="宋体" w:cs="宋体"/>
          <w:sz w:val="24"/>
          <w:szCs w:val="24"/>
          <w:highlight w:val="none"/>
        </w:rPr>
      </w:pPr>
      <w:bookmarkStart w:id="730" w:name="_Toc3549"/>
      <w:bookmarkStart w:id="731" w:name="_Toc5404"/>
      <w:bookmarkStart w:id="732" w:name="_Toc14921"/>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、材料（工程设备）暂估价及调整表</w:t>
      </w:r>
      <w:bookmarkEnd w:id="730"/>
      <w:bookmarkEnd w:id="731"/>
      <w:bookmarkEnd w:id="732"/>
    </w:p>
    <w:p>
      <w:pPr>
        <w:spacing w:line="360" w:lineRule="auto"/>
        <w:ind w:firstLine="480" w:firstLineChars="200"/>
        <w:outlineLvl w:val="0"/>
        <w:rPr>
          <w:rFonts w:hint="eastAsia" w:ascii="宋体" w:hAnsi="宋体" w:eastAsia="宋体" w:cs="宋体"/>
          <w:sz w:val="24"/>
          <w:szCs w:val="24"/>
          <w:highlight w:val="none"/>
        </w:rPr>
      </w:pPr>
      <w:bookmarkStart w:id="733" w:name="_Toc19440"/>
      <w:bookmarkStart w:id="734" w:name="_Toc22351"/>
      <w:bookmarkStart w:id="735" w:name="_Toc34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、专业工程暂估价及结算价表</w:t>
      </w:r>
      <w:bookmarkEnd w:id="733"/>
      <w:bookmarkEnd w:id="734"/>
      <w:bookmarkEnd w:id="735"/>
    </w:p>
    <w:p>
      <w:pPr>
        <w:spacing w:line="360" w:lineRule="auto"/>
        <w:ind w:firstLine="480" w:firstLineChars="200"/>
        <w:outlineLvl w:val="0"/>
        <w:rPr>
          <w:rFonts w:hint="eastAsia" w:ascii="宋体" w:hAnsi="宋体" w:eastAsia="宋体" w:cs="宋体"/>
          <w:sz w:val="24"/>
          <w:szCs w:val="24"/>
          <w:highlight w:val="none"/>
        </w:rPr>
      </w:pPr>
      <w:bookmarkStart w:id="736" w:name="_Toc19198"/>
      <w:bookmarkStart w:id="737" w:name="_Toc10534"/>
      <w:bookmarkStart w:id="738" w:name="_Toc24475"/>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、计日工表</w:t>
      </w:r>
      <w:bookmarkEnd w:id="736"/>
      <w:bookmarkEnd w:id="737"/>
      <w:bookmarkEnd w:id="738"/>
    </w:p>
    <w:p>
      <w:pPr>
        <w:spacing w:line="360" w:lineRule="auto"/>
        <w:ind w:firstLine="480" w:firstLineChars="200"/>
        <w:outlineLvl w:val="0"/>
        <w:rPr>
          <w:rFonts w:hint="eastAsia" w:ascii="宋体" w:hAnsi="宋体" w:eastAsia="宋体" w:cs="宋体"/>
          <w:sz w:val="24"/>
          <w:szCs w:val="24"/>
          <w:highlight w:val="none"/>
        </w:rPr>
      </w:pPr>
      <w:bookmarkStart w:id="739" w:name="_Toc14241"/>
      <w:bookmarkStart w:id="740" w:name="_Toc7743"/>
      <w:bookmarkStart w:id="741" w:name="_Toc30227"/>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、总承包服务费计价表</w:t>
      </w:r>
      <w:bookmarkEnd w:id="739"/>
      <w:bookmarkEnd w:id="740"/>
      <w:bookmarkEnd w:id="741"/>
    </w:p>
    <w:p>
      <w:pPr>
        <w:spacing w:line="360" w:lineRule="auto"/>
        <w:ind w:firstLine="480" w:firstLineChars="200"/>
        <w:outlineLvl w:val="0"/>
        <w:rPr>
          <w:rFonts w:hint="eastAsia" w:ascii="宋体" w:hAnsi="宋体" w:eastAsia="宋体" w:cs="宋体"/>
          <w:sz w:val="24"/>
          <w:szCs w:val="24"/>
          <w:highlight w:val="red"/>
        </w:rPr>
      </w:pPr>
      <w:bookmarkStart w:id="742" w:name="_Toc22600"/>
      <w:bookmarkStart w:id="743" w:name="_Toc2922"/>
      <w:bookmarkStart w:id="744" w:name="_Toc28472"/>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、规费、税金项目清单与计价表</w:t>
      </w:r>
      <w:bookmarkEnd w:id="742"/>
      <w:bookmarkEnd w:id="743"/>
      <w:bookmarkEnd w:id="744"/>
    </w:p>
    <w:p>
      <w:pPr>
        <w:pStyle w:val="16"/>
        <w:rPr>
          <w:rFonts w:hint="eastAsia" w:ascii="宋体" w:hAnsi="宋体" w:eastAsia="宋体" w:cs="宋体"/>
          <w:sz w:val="21"/>
          <w:szCs w:val="21"/>
        </w:rPr>
      </w:pPr>
    </w:p>
    <w:p>
      <w:pPr>
        <w:rPr>
          <w:rFonts w:hint="eastAsia" w:ascii="宋体" w:hAnsi="宋体" w:eastAsia="宋体" w:cs="宋体"/>
          <w:b/>
          <w:bCs/>
          <w:color w:val="FF0000"/>
          <w:sz w:val="21"/>
          <w:szCs w:val="21"/>
          <w:highlight w:val="yellow"/>
          <w:u w:val="none"/>
          <w:lang w:val="en-US" w:eastAsia="zh-CN"/>
        </w:rPr>
      </w:pPr>
    </w:p>
    <w:sectPr>
      <w:headerReference r:id="rId9" w:type="default"/>
      <w:footerReference r:id="rId10" w:type="default"/>
      <w:footerReference r:id="rId11" w:type="even"/>
      <w:pgSz w:w="11907" w:h="16839"/>
      <w:pgMar w:top="1474" w:right="1134" w:bottom="1021" w:left="1418" w:header="907" w:footer="68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Courier">
    <w:altName w:val="Courier New"/>
    <w:panose1 w:val="02070409020205020404"/>
    <w:charset w:val="00"/>
    <w:family w:val="modern"/>
    <w:pitch w:val="default"/>
    <w:sig w:usb0="00000000" w:usb1="00000000" w:usb2="00000000" w:usb3="00000000" w:csb0="00000001" w:csb1="00000000"/>
  </w:font>
  <w:font w:name="System">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right="-142"/>
      <w:rPr>
        <w:rFonts w:ascii="宋体"/>
        <w:color w:val="003366"/>
        <w:kern w:val="0"/>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end"/>
    </w:r>
  </w:p>
  <w:p>
    <w:pPr>
      <w:pStyle w:val="3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1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2"/>
    <w:multiLevelType w:val="multilevel"/>
    <w:tmpl w:val="00000012"/>
    <w:lvl w:ilvl="0" w:tentative="0">
      <w:start w:val="1"/>
      <w:numFmt w:val="upperLetter"/>
      <w:pStyle w:val="5"/>
      <w:lvlText w:val="%1."/>
      <w:lvlJc w:val="left"/>
      <w:pPr>
        <w:tabs>
          <w:tab w:val="left" w:pos="980"/>
        </w:tabs>
        <w:ind w:left="980" w:hanging="420"/>
      </w:pPr>
    </w:lvl>
    <w:lvl w:ilvl="1" w:tentative="0">
      <w:start w:val="1"/>
      <w:numFmt w:val="lowerLetter"/>
      <w:lvlRestart w:val="0"/>
      <w:lvlText w:val="%2)"/>
      <w:lvlJc w:val="left"/>
      <w:pPr>
        <w:tabs>
          <w:tab w:val="left" w:pos="1400"/>
        </w:tabs>
        <w:ind w:left="1400" w:hanging="420"/>
      </w:pPr>
    </w:lvl>
    <w:lvl w:ilvl="2" w:tentative="0">
      <w:start w:val="1"/>
      <w:numFmt w:val="lowerRoman"/>
      <w:lvlRestart w:val="0"/>
      <w:lvlText w:val="%3."/>
      <w:lvlJc w:val="right"/>
      <w:pPr>
        <w:tabs>
          <w:tab w:val="left" w:pos="1820"/>
        </w:tabs>
        <w:ind w:left="1820" w:hanging="420"/>
      </w:pPr>
    </w:lvl>
    <w:lvl w:ilvl="3" w:tentative="0">
      <w:start w:val="1"/>
      <w:numFmt w:val="decimal"/>
      <w:lvlRestart w:val="0"/>
      <w:lvlText w:val="%4."/>
      <w:lvlJc w:val="left"/>
      <w:pPr>
        <w:tabs>
          <w:tab w:val="left" w:pos="2240"/>
        </w:tabs>
        <w:ind w:left="2240" w:hanging="420"/>
      </w:pPr>
    </w:lvl>
    <w:lvl w:ilvl="4" w:tentative="0">
      <w:start w:val="1"/>
      <w:numFmt w:val="lowerLetter"/>
      <w:lvlRestart w:val="0"/>
      <w:lvlText w:val="%5)"/>
      <w:lvlJc w:val="left"/>
      <w:pPr>
        <w:tabs>
          <w:tab w:val="left" w:pos="2660"/>
        </w:tabs>
        <w:ind w:left="2660" w:hanging="420"/>
      </w:pPr>
    </w:lvl>
    <w:lvl w:ilvl="5" w:tentative="0">
      <w:start w:val="1"/>
      <w:numFmt w:val="lowerRoman"/>
      <w:lvlRestart w:val="0"/>
      <w:lvlText w:val="%6."/>
      <w:lvlJc w:val="right"/>
      <w:pPr>
        <w:tabs>
          <w:tab w:val="left" w:pos="3080"/>
        </w:tabs>
        <w:ind w:left="3080" w:hanging="420"/>
      </w:pPr>
    </w:lvl>
    <w:lvl w:ilvl="6" w:tentative="0">
      <w:start w:val="1"/>
      <w:numFmt w:val="decimal"/>
      <w:lvlRestart w:val="0"/>
      <w:lvlText w:val="%7."/>
      <w:lvlJc w:val="left"/>
      <w:pPr>
        <w:tabs>
          <w:tab w:val="left" w:pos="3500"/>
        </w:tabs>
        <w:ind w:left="3500" w:hanging="420"/>
      </w:pPr>
    </w:lvl>
    <w:lvl w:ilvl="7" w:tentative="0">
      <w:start w:val="1"/>
      <w:numFmt w:val="lowerLetter"/>
      <w:lvlRestart w:val="0"/>
      <w:lvlText w:val="%8)"/>
      <w:lvlJc w:val="left"/>
      <w:pPr>
        <w:tabs>
          <w:tab w:val="left" w:pos="3920"/>
        </w:tabs>
        <w:ind w:left="3920" w:hanging="420"/>
      </w:pPr>
    </w:lvl>
    <w:lvl w:ilvl="8" w:tentative="0">
      <w:start w:val="1"/>
      <w:numFmt w:val="lowerRoman"/>
      <w:lvlRestart w:val="0"/>
      <w:lvlText w:val="%9."/>
      <w:lvlJc w:val="right"/>
      <w:pPr>
        <w:tabs>
          <w:tab w:val="left" w:pos="4340"/>
        </w:tabs>
        <w:ind w:left="4340" w:hanging="420"/>
      </w:pPr>
    </w:lvl>
  </w:abstractNum>
  <w:abstractNum w:abstractNumId="2">
    <w:nsid w:val="00000013"/>
    <w:multiLevelType w:val="multilevel"/>
    <w:tmpl w:val="00000013"/>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1C"/>
    <w:multiLevelType w:val="singleLevel"/>
    <w:tmpl w:val="0000001C"/>
    <w:lvl w:ilvl="0" w:tentative="0">
      <w:start w:val="9"/>
      <w:numFmt w:val="decimal"/>
      <w:suff w:val="nothing"/>
      <w:lvlText w:val="%1、"/>
      <w:lvlJc w:val="left"/>
    </w:lvl>
  </w:abstractNum>
  <w:abstractNum w:abstractNumId="4">
    <w:nsid w:val="00000021"/>
    <w:multiLevelType w:val="multilevel"/>
    <w:tmpl w:val="00000021"/>
    <w:lvl w:ilvl="0" w:tentative="0">
      <w:start w:val="1"/>
      <w:numFmt w:val="upperLetter"/>
      <w:pStyle w:val="4"/>
      <w:lvlText w:val="%1."/>
      <w:lvlJc w:val="left"/>
      <w:pPr>
        <w:tabs>
          <w:tab w:val="left" w:pos="2100"/>
        </w:tabs>
        <w:ind w:left="2100" w:hanging="420"/>
      </w:pPr>
    </w:lvl>
    <w:lvl w:ilvl="1" w:tentative="0">
      <w:start w:val="1"/>
      <w:numFmt w:val="lowerLetter"/>
      <w:lvlRestart w:val="0"/>
      <w:lvlText w:val="%2)"/>
      <w:lvlJc w:val="left"/>
      <w:pPr>
        <w:tabs>
          <w:tab w:val="left" w:pos="2520"/>
        </w:tabs>
        <w:ind w:left="2520" w:hanging="420"/>
      </w:pPr>
    </w:lvl>
    <w:lvl w:ilvl="2" w:tentative="0">
      <w:start w:val="1"/>
      <w:numFmt w:val="lowerRoman"/>
      <w:lvlRestart w:val="0"/>
      <w:lvlText w:val="%3."/>
      <w:lvlJc w:val="right"/>
      <w:pPr>
        <w:tabs>
          <w:tab w:val="left" w:pos="2940"/>
        </w:tabs>
        <w:ind w:left="2940" w:hanging="420"/>
      </w:pPr>
    </w:lvl>
    <w:lvl w:ilvl="3" w:tentative="0">
      <w:start w:val="1"/>
      <w:numFmt w:val="decimal"/>
      <w:lvlRestart w:val="0"/>
      <w:lvlText w:val="%4."/>
      <w:lvlJc w:val="left"/>
      <w:pPr>
        <w:tabs>
          <w:tab w:val="left" w:pos="3360"/>
        </w:tabs>
        <w:ind w:left="3360" w:hanging="420"/>
      </w:pPr>
    </w:lvl>
    <w:lvl w:ilvl="4" w:tentative="0">
      <w:start w:val="1"/>
      <w:numFmt w:val="lowerLetter"/>
      <w:lvlRestart w:val="0"/>
      <w:lvlText w:val="%5)"/>
      <w:lvlJc w:val="left"/>
      <w:pPr>
        <w:tabs>
          <w:tab w:val="left" w:pos="3780"/>
        </w:tabs>
        <w:ind w:left="3780" w:hanging="420"/>
      </w:pPr>
    </w:lvl>
    <w:lvl w:ilvl="5" w:tentative="0">
      <w:start w:val="1"/>
      <w:numFmt w:val="lowerRoman"/>
      <w:lvlRestart w:val="0"/>
      <w:lvlText w:val="%6."/>
      <w:lvlJc w:val="right"/>
      <w:pPr>
        <w:tabs>
          <w:tab w:val="left" w:pos="4200"/>
        </w:tabs>
        <w:ind w:left="4200" w:hanging="420"/>
      </w:pPr>
    </w:lvl>
    <w:lvl w:ilvl="6" w:tentative="0">
      <w:start w:val="1"/>
      <w:numFmt w:val="decimal"/>
      <w:lvlRestart w:val="0"/>
      <w:lvlText w:val="%7."/>
      <w:lvlJc w:val="left"/>
      <w:pPr>
        <w:tabs>
          <w:tab w:val="left" w:pos="4620"/>
        </w:tabs>
        <w:ind w:left="4620" w:hanging="420"/>
      </w:pPr>
    </w:lvl>
    <w:lvl w:ilvl="7" w:tentative="0">
      <w:start w:val="1"/>
      <w:numFmt w:val="lowerLetter"/>
      <w:lvlRestart w:val="0"/>
      <w:lvlText w:val="%8)"/>
      <w:lvlJc w:val="left"/>
      <w:pPr>
        <w:tabs>
          <w:tab w:val="left" w:pos="5040"/>
        </w:tabs>
        <w:ind w:left="5040" w:hanging="420"/>
      </w:pPr>
    </w:lvl>
    <w:lvl w:ilvl="8" w:tentative="0">
      <w:start w:val="1"/>
      <w:numFmt w:val="lowerRoman"/>
      <w:lvlRestart w:val="0"/>
      <w:lvlText w:val="%9."/>
      <w:lvlJc w:val="right"/>
      <w:pPr>
        <w:tabs>
          <w:tab w:val="left" w:pos="5460"/>
        </w:tabs>
        <w:ind w:left="5460" w:hanging="420"/>
      </w:pPr>
    </w:lvl>
  </w:abstractNum>
  <w:abstractNum w:abstractNumId="5">
    <w:nsid w:val="5C140DBD"/>
    <w:multiLevelType w:val="singleLevel"/>
    <w:tmpl w:val="5C140DBD"/>
    <w:lvl w:ilvl="0" w:tentative="0">
      <w:start w:val="1"/>
      <w:numFmt w:val="decimal"/>
      <w:lvlText w:val="%1."/>
      <w:lvlJc w:val="left"/>
      <w:pPr>
        <w:tabs>
          <w:tab w:val="left" w:pos="312"/>
        </w:tabs>
      </w:pPr>
    </w:lvl>
  </w:abstractNum>
  <w:abstractNum w:abstractNumId="6">
    <w:nsid w:val="602B3DC2"/>
    <w:multiLevelType w:val="singleLevel"/>
    <w:tmpl w:val="602B3DC2"/>
    <w:lvl w:ilvl="0" w:tentative="0">
      <w:start w:val="8"/>
      <w:numFmt w:val="decimal"/>
      <w:suff w:val="nothing"/>
      <w:lvlText w:val="%1、"/>
      <w:lvlJc w:val="left"/>
    </w:lvl>
  </w:abstractNum>
  <w:num w:numId="1">
    <w:abstractNumId w:val="4"/>
  </w:num>
  <w:num w:numId="2">
    <w:abstractNumId w:val="1"/>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720"/>
  <w:drawingGridHorizontalSpacing w:val="105"/>
  <w:drawingGridVerticalSpacing w:val="120"/>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21"/>
    <w:rsid w:val="00005EF5"/>
    <w:rsid w:val="000075F3"/>
    <w:rsid w:val="000207C7"/>
    <w:rsid w:val="00020C60"/>
    <w:rsid w:val="000236AF"/>
    <w:rsid w:val="00030B6A"/>
    <w:rsid w:val="00047D43"/>
    <w:rsid w:val="000523A6"/>
    <w:rsid w:val="000524A1"/>
    <w:rsid w:val="000628D1"/>
    <w:rsid w:val="000739D1"/>
    <w:rsid w:val="0007615A"/>
    <w:rsid w:val="00076B35"/>
    <w:rsid w:val="00092352"/>
    <w:rsid w:val="000A5E3B"/>
    <w:rsid w:val="000C1D21"/>
    <w:rsid w:val="000E6E11"/>
    <w:rsid w:val="000F4549"/>
    <w:rsid w:val="00104742"/>
    <w:rsid w:val="001257ED"/>
    <w:rsid w:val="00147E4C"/>
    <w:rsid w:val="00155211"/>
    <w:rsid w:val="001645ED"/>
    <w:rsid w:val="00164BAD"/>
    <w:rsid w:val="00170553"/>
    <w:rsid w:val="00172162"/>
    <w:rsid w:val="00172A27"/>
    <w:rsid w:val="001777D8"/>
    <w:rsid w:val="00184932"/>
    <w:rsid w:val="001917BE"/>
    <w:rsid w:val="00191E22"/>
    <w:rsid w:val="0019251C"/>
    <w:rsid w:val="00193751"/>
    <w:rsid w:val="00193A76"/>
    <w:rsid w:val="001A3447"/>
    <w:rsid w:val="001B0144"/>
    <w:rsid w:val="001B2B3C"/>
    <w:rsid w:val="001B6793"/>
    <w:rsid w:val="001B7C5C"/>
    <w:rsid w:val="001C2125"/>
    <w:rsid w:val="001C2E55"/>
    <w:rsid w:val="001C3B5B"/>
    <w:rsid w:val="001D0A1E"/>
    <w:rsid w:val="001F0B5B"/>
    <w:rsid w:val="002001B2"/>
    <w:rsid w:val="002117AF"/>
    <w:rsid w:val="00222E07"/>
    <w:rsid w:val="002231AC"/>
    <w:rsid w:val="002300FC"/>
    <w:rsid w:val="002429CB"/>
    <w:rsid w:val="00252057"/>
    <w:rsid w:val="0026047D"/>
    <w:rsid w:val="002617EE"/>
    <w:rsid w:val="0026378B"/>
    <w:rsid w:val="00265640"/>
    <w:rsid w:val="00272723"/>
    <w:rsid w:val="002748E1"/>
    <w:rsid w:val="0027554C"/>
    <w:rsid w:val="002766C7"/>
    <w:rsid w:val="00291C62"/>
    <w:rsid w:val="00296F55"/>
    <w:rsid w:val="002B3038"/>
    <w:rsid w:val="002C0C35"/>
    <w:rsid w:val="002C2368"/>
    <w:rsid w:val="002C61F4"/>
    <w:rsid w:val="002D226D"/>
    <w:rsid w:val="002D5724"/>
    <w:rsid w:val="002E55DF"/>
    <w:rsid w:val="002E7C95"/>
    <w:rsid w:val="002F4A2A"/>
    <w:rsid w:val="00300A14"/>
    <w:rsid w:val="00315C56"/>
    <w:rsid w:val="003224A8"/>
    <w:rsid w:val="0032517A"/>
    <w:rsid w:val="00335E1E"/>
    <w:rsid w:val="003559BD"/>
    <w:rsid w:val="00360DA0"/>
    <w:rsid w:val="003612E3"/>
    <w:rsid w:val="003804FE"/>
    <w:rsid w:val="00384229"/>
    <w:rsid w:val="00393026"/>
    <w:rsid w:val="003936A5"/>
    <w:rsid w:val="003958FC"/>
    <w:rsid w:val="003B09F4"/>
    <w:rsid w:val="003B1A0E"/>
    <w:rsid w:val="003B3653"/>
    <w:rsid w:val="003C1A74"/>
    <w:rsid w:val="003C697C"/>
    <w:rsid w:val="003E0A46"/>
    <w:rsid w:val="0040010F"/>
    <w:rsid w:val="004031E0"/>
    <w:rsid w:val="004053B6"/>
    <w:rsid w:val="004139CA"/>
    <w:rsid w:val="0041698B"/>
    <w:rsid w:val="00417E49"/>
    <w:rsid w:val="004266A9"/>
    <w:rsid w:val="00431FB4"/>
    <w:rsid w:val="004600E9"/>
    <w:rsid w:val="00460AEB"/>
    <w:rsid w:val="0046239C"/>
    <w:rsid w:val="004673D4"/>
    <w:rsid w:val="00474040"/>
    <w:rsid w:val="004827EE"/>
    <w:rsid w:val="004832CE"/>
    <w:rsid w:val="00490289"/>
    <w:rsid w:val="0049058A"/>
    <w:rsid w:val="004A1133"/>
    <w:rsid w:val="004A3194"/>
    <w:rsid w:val="004A3A0A"/>
    <w:rsid w:val="004A717E"/>
    <w:rsid w:val="004B2565"/>
    <w:rsid w:val="004C3453"/>
    <w:rsid w:val="004D06A9"/>
    <w:rsid w:val="004D3958"/>
    <w:rsid w:val="004D663B"/>
    <w:rsid w:val="004E3668"/>
    <w:rsid w:val="004E7598"/>
    <w:rsid w:val="004F059F"/>
    <w:rsid w:val="004F5D0D"/>
    <w:rsid w:val="005002EF"/>
    <w:rsid w:val="0050637A"/>
    <w:rsid w:val="00506ED3"/>
    <w:rsid w:val="00514D4C"/>
    <w:rsid w:val="0052258B"/>
    <w:rsid w:val="005241CF"/>
    <w:rsid w:val="00524460"/>
    <w:rsid w:val="00524758"/>
    <w:rsid w:val="00527B2D"/>
    <w:rsid w:val="00551169"/>
    <w:rsid w:val="00552A52"/>
    <w:rsid w:val="0055608A"/>
    <w:rsid w:val="00575D61"/>
    <w:rsid w:val="005A10EF"/>
    <w:rsid w:val="005A24BC"/>
    <w:rsid w:val="005A54E2"/>
    <w:rsid w:val="005B1349"/>
    <w:rsid w:val="005B2B6C"/>
    <w:rsid w:val="005B64DE"/>
    <w:rsid w:val="005B7077"/>
    <w:rsid w:val="005C5C36"/>
    <w:rsid w:val="005D0E05"/>
    <w:rsid w:val="005D57C0"/>
    <w:rsid w:val="005D7F66"/>
    <w:rsid w:val="005E6316"/>
    <w:rsid w:val="005F2F94"/>
    <w:rsid w:val="005F5F09"/>
    <w:rsid w:val="005F7962"/>
    <w:rsid w:val="00613D49"/>
    <w:rsid w:val="00615047"/>
    <w:rsid w:val="00630A2E"/>
    <w:rsid w:val="00635442"/>
    <w:rsid w:val="00635700"/>
    <w:rsid w:val="00646208"/>
    <w:rsid w:val="00650CE0"/>
    <w:rsid w:val="0065212E"/>
    <w:rsid w:val="00653648"/>
    <w:rsid w:val="00657EC7"/>
    <w:rsid w:val="00667CC5"/>
    <w:rsid w:val="0067390D"/>
    <w:rsid w:val="00673C0B"/>
    <w:rsid w:val="00682244"/>
    <w:rsid w:val="00685DEB"/>
    <w:rsid w:val="006873EB"/>
    <w:rsid w:val="00690391"/>
    <w:rsid w:val="00696064"/>
    <w:rsid w:val="00696A89"/>
    <w:rsid w:val="00697CF5"/>
    <w:rsid w:val="006A63BA"/>
    <w:rsid w:val="006A6408"/>
    <w:rsid w:val="006A7CF9"/>
    <w:rsid w:val="006C495F"/>
    <w:rsid w:val="006D5F82"/>
    <w:rsid w:val="006D691B"/>
    <w:rsid w:val="006D7826"/>
    <w:rsid w:val="006E1574"/>
    <w:rsid w:val="006F30B5"/>
    <w:rsid w:val="006F732F"/>
    <w:rsid w:val="007030CE"/>
    <w:rsid w:val="0070646C"/>
    <w:rsid w:val="00712726"/>
    <w:rsid w:val="00714F70"/>
    <w:rsid w:val="007301B3"/>
    <w:rsid w:val="00732C63"/>
    <w:rsid w:val="00734DC9"/>
    <w:rsid w:val="00740955"/>
    <w:rsid w:val="007527C4"/>
    <w:rsid w:val="00756F62"/>
    <w:rsid w:val="00762AFD"/>
    <w:rsid w:val="00764125"/>
    <w:rsid w:val="00767BA6"/>
    <w:rsid w:val="00772614"/>
    <w:rsid w:val="00773982"/>
    <w:rsid w:val="00781BF3"/>
    <w:rsid w:val="00782A65"/>
    <w:rsid w:val="00782E43"/>
    <w:rsid w:val="00783EEA"/>
    <w:rsid w:val="00787062"/>
    <w:rsid w:val="00793A18"/>
    <w:rsid w:val="007A2A16"/>
    <w:rsid w:val="007C614B"/>
    <w:rsid w:val="007D0C33"/>
    <w:rsid w:val="007E21CC"/>
    <w:rsid w:val="007F3D56"/>
    <w:rsid w:val="00807341"/>
    <w:rsid w:val="00831EAD"/>
    <w:rsid w:val="00835C1B"/>
    <w:rsid w:val="00836117"/>
    <w:rsid w:val="00842FD1"/>
    <w:rsid w:val="008434F8"/>
    <w:rsid w:val="0084419C"/>
    <w:rsid w:val="008476C8"/>
    <w:rsid w:val="00851B89"/>
    <w:rsid w:val="0085223A"/>
    <w:rsid w:val="008525B0"/>
    <w:rsid w:val="00886C34"/>
    <w:rsid w:val="00886D1C"/>
    <w:rsid w:val="0088734A"/>
    <w:rsid w:val="008A6277"/>
    <w:rsid w:val="008A7B74"/>
    <w:rsid w:val="008B3303"/>
    <w:rsid w:val="008C11B4"/>
    <w:rsid w:val="008D2F57"/>
    <w:rsid w:val="008D71C7"/>
    <w:rsid w:val="008E11C2"/>
    <w:rsid w:val="008E7027"/>
    <w:rsid w:val="008F08CF"/>
    <w:rsid w:val="0090732C"/>
    <w:rsid w:val="00923666"/>
    <w:rsid w:val="00932913"/>
    <w:rsid w:val="009343EC"/>
    <w:rsid w:val="009346B5"/>
    <w:rsid w:val="0093555B"/>
    <w:rsid w:val="00941F1D"/>
    <w:rsid w:val="009430CE"/>
    <w:rsid w:val="00952189"/>
    <w:rsid w:val="00954D5F"/>
    <w:rsid w:val="00961E49"/>
    <w:rsid w:val="009642C0"/>
    <w:rsid w:val="009773C8"/>
    <w:rsid w:val="009806FC"/>
    <w:rsid w:val="00987E54"/>
    <w:rsid w:val="00991736"/>
    <w:rsid w:val="00994E19"/>
    <w:rsid w:val="00997813"/>
    <w:rsid w:val="009D0517"/>
    <w:rsid w:val="009D0C43"/>
    <w:rsid w:val="009D1736"/>
    <w:rsid w:val="009E5CA7"/>
    <w:rsid w:val="009E5D4A"/>
    <w:rsid w:val="00A019B2"/>
    <w:rsid w:val="00A10AE7"/>
    <w:rsid w:val="00A16C7A"/>
    <w:rsid w:val="00A328F0"/>
    <w:rsid w:val="00A520BF"/>
    <w:rsid w:val="00A614DB"/>
    <w:rsid w:val="00A63A36"/>
    <w:rsid w:val="00A63F68"/>
    <w:rsid w:val="00A65B7A"/>
    <w:rsid w:val="00A72BA5"/>
    <w:rsid w:val="00A81C3D"/>
    <w:rsid w:val="00A829C3"/>
    <w:rsid w:val="00A82A29"/>
    <w:rsid w:val="00A928D3"/>
    <w:rsid w:val="00AA312C"/>
    <w:rsid w:val="00AB4AC1"/>
    <w:rsid w:val="00AD173E"/>
    <w:rsid w:val="00AE1976"/>
    <w:rsid w:val="00AE4812"/>
    <w:rsid w:val="00B0242E"/>
    <w:rsid w:val="00B04FA2"/>
    <w:rsid w:val="00B0689F"/>
    <w:rsid w:val="00B1067C"/>
    <w:rsid w:val="00B129A3"/>
    <w:rsid w:val="00B16CEB"/>
    <w:rsid w:val="00B17FC4"/>
    <w:rsid w:val="00B269A0"/>
    <w:rsid w:val="00B27248"/>
    <w:rsid w:val="00B31C9E"/>
    <w:rsid w:val="00B35507"/>
    <w:rsid w:val="00B37597"/>
    <w:rsid w:val="00B46B18"/>
    <w:rsid w:val="00B476D9"/>
    <w:rsid w:val="00B54040"/>
    <w:rsid w:val="00B63CEF"/>
    <w:rsid w:val="00B64229"/>
    <w:rsid w:val="00B722BB"/>
    <w:rsid w:val="00B83DB7"/>
    <w:rsid w:val="00B90DE8"/>
    <w:rsid w:val="00B9341A"/>
    <w:rsid w:val="00B94EE4"/>
    <w:rsid w:val="00BA51F9"/>
    <w:rsid w:val="00BB6831"/>
    <w:rsid w:val="00BC1B59"/>
    <w:rsid w:val="00BC46E2"/>
    <w:rsid w:val="00BC7F64"/>
    <w:rsid w:val="00BE31D7"/>
    <w:rsid w:val="00C06A51"/>
    <w:rsid w:val="00C155A8"/>
    <w:rsid w:val="00C226CE"/>
    <w:rsid w:val="00C2752B"/>
    <w:rsid w:val="00C309E6"/>
    <w:rsid w:val="00C31350"/>
    <w:rsid w:val="00C35817"/>
    <w:rsid w:val="00C400FA"/>
    <w:rsid w:val="00C413FB"/>
    <w:rsid w:val="00C516DF"/>
    <w:rsid w:val="00C60112"/>
    <w:rsid w:val="00C65AA4"/>
    <w:rsid w:val="00C66B9A"/>
    <w:rsid w:val="00C774A0"/>
    <w:rsid w:val="00C91F6C"/>
    <w:rsid w:val="00C934E1"/>
    <w:rsid w:val="00C9374B"/>
    <w:rsid w:val="00C96391"/>
    <w:rsid w:val="00CD314D"/>
    <w:rsid w:val="00CE01BB"/>
    <w:rsid w:val="00CF786E"/>
    <w:rsid w:val="00D15993"/>
    <w:rsid w:val="00D31C77"/>
    <w:rsid w:val="00D57300"/>
    <w:rsid w:val="00D57CB7"/>
    <w:rsid w:val="00D64789"/>
    <w:rsid w:val="00D65259"/>
    <w:rsid w:val="00D652CE"/>
    <w:rsid w:val="00D70264"/>
    <w:rsid w:val="00D76607"/>
    <w:rsid w:val="00D81081"/>
    <w:rsid w:val="00D81661"/>
    <w:rsid w:val="00D82BCE"/>
    <w:rsid w:val="00D851CD"/>
    <w:rsid w:val="00D907A6"/>
    <w:rsid w:val="00D917F8"/>
    <w:rsid w:val="00D9314C"/>
    <w:rsid w:val="00DB4200"/>
    <w:rsid w:val="00DB54F0"/>
    <w:rsid w:val="00DC58CD"/>
    <w:rsid w:val="00DC7CB7"/>
    <w:rsid w:val="00DD6754"/>
    <w:rsid w:val="00E0357B"/>
    <w:rsid w:val="00E135E7"/>
    <w:rsid w:val="00E14E80"/>
    <w:rsid w:val="00E25AF5"/>
    <w:rsid w:val="00E43CA2"/>
    <w:rsid w:val="00E538FE"/>
    <w:rsid w:val="00E62441"/>
    <w:rsid w:val="00E74482"/>
    <w:rsid w:val="00E91EF1"/>
    <w:rsid w:val="00E930FC"/>
    <w:rsid w:val="00E95008"/>
    <w:rsid w:val="00EC0D64"/>
    <w:rsid w:val="00EC331B"/>
    <w:rsid w:val="00ED0121"/>
    <w:rsid w:val="00ED4B95"/>
    <w:rsid w:val="00ED4E26"/>
    <w:rsid w:val="00EF1826"/>
    <w:rsid w:val="00EF3C0C"/>
    <w:rsid w:val="00F00860"/>
    <w:rsid w:val="00F00E7C"/>
    <w:rsid w:val="00F033F4"/>
    <w:rsid w:val="00F057F7"/>
    <w:rsid w:val="00F25571"/>
    <w:rsid w:val="00F3204A"/>
    <w:rsid w:val="00F333CE"/>
    <w:rsid w:val="00F338F8"/>
    <w:rsid w:val="00F35557"/>
    <w:rsid w:val="00F364DF"/>
    <w:rsid w:val="00F41EFE"/>
    <w:rsid w:val="00F5173D"/>
    <w:rsid w:val="00F61208"/>
    <w:rsid w:val="00F61B12"/>
    <w:rsid w:val="00F66A8D"/>
    <w:rsid w:val="00F67E69"/>
    <w:rsid w:val="00FA3D7F"/>
    <w:rsid w:val="00FB46DA"/>
    <w:rsid w:val="00FB4D3A"/>
    <w:rsid w:val="00FB58ED"/>
    <w:rsid w:val="00FC2608"/>
    <w:rsid w:val="00FD2A14"/>
    <w:rsid w:val="00FD3A00"/>
    <w:rsid w:val="00FD3C0F"/>
    <w:rsid w:val="00FE1D56"/>
    <w:rsid w:val="00FE26C1"/>
    <w:rsid w:val="00FF2B2F"/>
    <w:rsid w:val="027B0719"/>
    <w:rsid w:val="02D85608"/>
    <w:rsid w:val="030D4BDD"/>
    <w:rsid w:val="06BF2B8B"/>
    <w:rsid w:val="07437065"/>
    <w:rsid w:val="07B45CA0"/>
    <w:rsid w:val="093E154E"/>
    <w:rsid w:val="097E08BD"/>
    <w:rsid w:val="09E16A18"/>
    <w:rsid w:val="0ACD5AD2"/>
    <w:rsid w:val="0B3B1FA4"/>
    <w:rsid w:val="0CEC745F"/>
    <w:rsid w:val="0D430E1B"/>
    <w:rsid w:val="0D5879A2"/>
    <w:rsid w:val="10DC709B"/>
    <w:rsid w:val="11732765"/>
    <w:rsid w:val="12F6355D"/>
    <w:rsid w:val="147D57DF"/>
    <w:rsid w:val="14E51062"/>
    <w:rsid w:val="14FA2F77"/>
    <w:rsid w:val="15992DE5"/>
    <w:rsid w:val="16236530"/>
    <w:rsid w:val="18386F39"/>
    <w:rsid w:val="18672A1F"/>
    <w:rsid w:val="1A2A22E7"/>
    <w:rsid w:val="1A3A7EA2"/>
    <w:rsid w:val="1AE31B49"/>
    <w:rsid w:val="1AE90FFE"/>
    <w:rsid w:val="1B485A59"/>
    <w:rsid w:val="1BF57BB0"/>
    <w:rsid w:val="1E361188"/>
    <w:rsid w:val="1E951678"/>
    <w:rsid w:val="1E9F698D"/>
    <w:rsid w:val="1F9C2223"/>
    <w:rsid w:val="1FBB2F9D"/>
    <w:rsid w:val="225D484A"/>
    <w:rsid w:val="227A46A9"/>
    <w:rsid w:val="22D510A6"/>
    <w:rsid w:val="240A543F"/>
    <w:rsid w:val="2482167B"/>
    <w:rsid w:val="24F30526"/>
    <w:rsid w:val="25B60B12"/>
    <w:rsid w:val="25E60034"/>
    <w:rsid w:val="26404E7A"/>
    <w:rsid w:val="27771935"/>
    <w:rsid w:val="278058E4"/>
    <w:rsid w:val="27C71738"/>
    <w:rsid w:val="28B10839"/>
    <w:rsid w:val="2C5B2DE3"/>
    <w:rsid w:val="2C7943E4"/>
    <w:rsid w:val="2D4A1074"/>
    <w:rsid w:val="2D6A3DC0"/>
    <w:rsid w:val="2DEA1E2F"/>
    <w:rsid w:val="2F5C5F6F"/>
    <w:rsid w:val="2FD436CA"/>
    <w:rsid w:val="30357AFA"/>
    <w:rsid w:val="30360BB5"/>
    <w:rsid w:val="30DC2587"/>
    <w:rsid w:val="317A1371"/>
    <w:rsid w:val="318E7F6B"/>
    <w:rsid w:val="32175964"/>
    <w:rsid w:val="323B0D70"/>
    <w:rsid w:val="33B059E2"/>
    <w:rsid w:val="348D71F0"/>
    <w:rsid w:val="34F14155"/>
    <w:rsid w:val="35245BB5"/>
    <w:rsid w:val="355505A7"/>
    <w:rsid w:val="38564BD4"/>
    <w:rsid w:val="39BC74A9"/>
    <w:rsid w:val="3A854EB6"/>
    <w:rsid w:val="3B7F298E"/>
    <w:rsid w:val="3CC71A8E"/>
    <w:rsid w:val="3D074B16"/>
    <w:rsid w:val="3D4A5451"/>
    <w:rsid w:val="3E393497"/>
    <w:rsid w:val="3E8F1E88"/>
    <w:rsid w:val="3F8D79A9"/>
    <w:rsid w:val="400031FF"/>
    <w:rsid w:val="419B523B"/>
    <w:rsid w:val="41C01EFA"/>
    <w:rsid w:val="423D6428"/>
    <w:rsid w:val="434E1602"/>
    <w:rsid w:val="43684F6F"/>
    <w:rsid w:val="43A26DA4"/>
    <w:rsid w:val="440938D7"/>
    <w:rsid w:val="44C36B77"/>
    <w:rsid w:val="459961E1"/>
    <w:rsid w:val="461B17F4"/>
    <w:rsid w:val="49095511"/>
    <w:rsid w:val="497819F2"/>
    <w:rsid w:val="4A492D30"/>
    <w:rsid w:val="4A51285D"/>
    <w:rsid w:val="4A5569DB"/>
    <w:rsid w:val="4B213FEE"/>
    <w:rsid w:val="4BC5484F"/>
    <w:rsid w:val="4BD35811"/>
    <w:rsid w:val="4BD9027A"/>
    <w:rsid w:val="4C595B04"/>
    <w:rsid w:val="4C8D621E"/>
    <w:rsid w:val="4D01187D"/>
    <w:rsid w:val="4D4F236D"/>
    <w:rsid w:val="4E577D94"/>
    <w:rsid w:val="4E63123E"/>
    <w:rsid w:val="4EEC6DB9"/>
    <w:rsid w:val="4FA90FBB"/>
    <w:rsid w:val="4FF62CB6"/>
    <w:rsid w:val="502B5077"/>
    <w:rsid w:val="50C231B2"/>
    <w:rsid w:val="511618AE"/>
    <w:rsid w:val="515526E4"/>
    <w:rsid w:val="51AF59ED"/>
    <w:rsid w:val="51D8322C"/>
    <w:rsid w:val="5281118B"/>
    <w:rsid w:val="54040282"/>
    <w:rsid w:val="54212EDF"/>
    <w:rsid w:val="55277757"/>
    <w:rsid w:val="559A5AB2"/>
    <w:rsid w:val="566F4360"/>
    <w:rsid w:val="570D63C9"/>
    <w:rsid w:val="583914E3"/>
    <w:rsid w:val="5AF10F6A"/>
    <w:rsid w:val="5C584F7C"/>
    <w:rsid w:val="5CBE23E1"/>
    <w:rsid w:val="5DD94DBB"/>
    <w:rsid w:val="5E3B580D"/>
    <w:rsid w:val="5E6F56DE"/>
    <w:rsid w:val="5EC7285A"/>
    <w:rsid w:val="5F0A1A5F"/>
    <w:rsid w:val="600510FB"/>
    <w:rsid w:val="60514757"/>
    <w:rsid w:val="60832053"/>
    <w:rsid w:val="61DA3E06"/>
    <w:rsid w:val="62761889"/>
    <w:rsid w:val="627A051F"/>
    <w:rsid w:val="658D717D"/>
    <w:rsid w:val="675D6034"/>
    <w:rsid w:val="68A44CBE"/>
    <w:rsid w:val="6919674D"/>
    <w:rsid w:val="692A28AF"/>
    <w:rsid w:val="69DE7EF1"/>
    <w:rsid w:val="6A2D1DC1"/>
    <w:rsid w:val="6AEB091E"/>
    <w:rsid w:val="6B9D48DD"/>
    <w:rsid w:val="6BB213FC"/>
    <w:rsid w:val="6D8C598C"/>
    <w:rsid w:val="6DFE08A4"/>
    <w:rsid w:val="6DFF5B80"/>
    <w:rsid w:val="6EAE6F72"/>
    <w:rsid w:val="70246702"/>
    <w:rsid w:val="711B487D"/>
    <w:rsid w:val="71937475"/>
    <w:rsid w:val="72BA29CC"/>
    <w:rsid w:val="735757DB"/>
    <w:rsid w:val="7580686E"/>
    <w:rsid w:val="758E282E"/>
    <w:rsid w:val="759A77F2"/>
    <w:rsid w:val="7A0C39ED"/>
    <w:rsid w:val="7A147663"/>
    <w:rsid w:val="7C520B52"/>
    <w:rsid w:val="7DFC05BE"/>
    <w:rsid w:val="7E244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63"/>
    <w:qFormat/>
    <w:uiPriority w:val="0"/>
    <w:pPr>
      <w:widowControl w:val="0"/>
      <w:spacing w:line="360" w:lineRule="exact"/>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9"/>
    <w:qFormat/>
    <w:uiPriority w:val="0"/>
    <w:pPr>
      <w:keepNext/>
      <w:numPr>
        <w:ilvl w:val="0"/>
        <w:numId w:val="1"/>
      </w:numPr>
      <w:autoSpaceDE w:val="0"/>
      <w:autoSpaceDN w:val="0"/>
      <w:adjustRightInd w:val="0"/>
      <w:spacing w:line="360" w:lineRule="auto"/>
      <w:jc w:val="left"/>
      <w:outlineLvl w:val="0"/>
    </w:pPr>
    <w:rPr>
      <w:rFonts w:ascii="幼圆" w:eastAsia="幼圆"/>
      <w:color w:val="000000"/>
      <w:kern w:val="0"/>
      <w:sz w:val="28"/>
    </w:rPr>
  </w:style>
  <w:style w:type="paragraph" w:styleId="5">
    <w:name w:val="heading 2"/>
    <w:basedOn w:val="1"/>
    <w:next w:val="1"/>
    <w:link w:val="60"/>
    <w:qFormat/>
    <w:uiPriority w:val="0"/>
    <w:pPr>
      <w:keepNext/>
      <w:numPr>
        <w:ilvl w:val="0"/>
        <w:numId w:val="2"/>
      </w:numPr>
      <w:outlineLvl w:val="1"/>
    </w:pPr>
    <w:rPr>
      <w:rFonts w:ascii="幼圆" w:eastAsia="幼圆"/>
      <w:sz w:val="28"/>
    </w:rPr>
  </w:style>
  <w:style w:type="paragraph" w:styleId="6">
    <w:name w:val="heading 3"/>
    <w:basedOn w:val="1"/>
    <w:next w:val="1"/>
    <w:link w:val="61"/>
    <w:qFormat/>
    <w:uiPriority w:val="0"/>
    <w:pPr>
      <w:keepNext/>
      <w:keepLines/>
      <w:spacing w:before="260" w:after="260" w:line="416" w:lineRule="auto"/>
      <w:outlineLvl w:val="2"/>
    </w:pPr>
    <w:rPr>
      <w:b/>
      <w:bCs/>
      <w:sz w:val="32"/>
      <w:szCs w:val="32"/>
    </w:rPr>
  </w:style>
  <w:style w:type="paragraph" w:styleId="7">
    <w:name w:val="heading 4"/>
    <w:basedOn w:val="1"/>
    <w:next w:val="1"/>
    <w:link w:val="135"/>
    <w:qFormat/>
    <w:uiPriority w:val="0"/>
    <w:pPr>
      <w:keepNext/>
      <w:keepLines/>
      <w:numPr>
        <w:ilvl w:val="3"/>
        <w:numId w:val="3"/>
      </w:numPr>
      <w:spacing w:before="280" w:after="290" w:line="377" w:lineRule="auto"/>
      <w:outlineLvl w:val="3"/>
    </w:pPr>
    <w:rPr>
      <w:rFonts w:ascii="Arial" w:hAnsi="Arial"/>
      <w:b/>
      <w:bCs/>
      <w:sz w:val="30"/>
      <w:szCs w:val="28"/>
    </w:rPr>
  </w:style>
  <w:style w:type="paragraph" w:styleId="8">
    <w:name w:val="heading 5"/>
    <w:basedOn w:val="1"/>
    <w:next w:val="1"/>
    <w:link w:val="181"/>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14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95"/>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9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29"/>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73"/>
    <w:qFormat/>
    <w:uiPriority w:val="0"/>
    <w:pPr>
      <w:autoSpaceDE/>
      <w:autoSpaceDN/>
      <w:adjustRightInd/>
      <w:spacing w:after="120" w:line="400" w:lineRule="exact"/>
      <w:ind w:left="420" w:leftChars="200" w:firstLine="420" w:firstLineChars="200"/>
    </w:pPr>
    <w:rPr>
      <w:rFonts w:ascii="Cambria" w:hAnsi="Cambria" w:eastAsia="Cambria"/>
      <w:kern w:val="2"/>
      <w:sz w:val="21"/>
      <w:szCs w:val="24"/>
      <w:lang w:eastAsia="en-US"/>
    </w:rPr>
  </w:style>
  <w:style w:type="paragraph" w:styleId="3">
    <w:name w:val="Body Text Indent"/>
    <w:basedOn w:val="1"/>
    <w:link w:val="154"/>
    <w:qFormat/>
    <w:uiPriority w:val="0"/>
    <w:pPr>
      <w:autoSpaceDE w:val="0"/>
      <w:autoSpaceDN w:val="0"/>
      <w:adjustRightInd w:val="0"/>
      <w:spacing w:line="360" w:lineRule="auto"/>
      <w:ind w:left="567" w:leftChars="270"/>
    </w:pPr>
    <w:rPr>
      <w:rFonts w:ascii="宋体"/>
      <w:color w:val="000000"/>
      <w:kern w:val="0"/>
      <w:sz w:val="32"/>
      <w:szCs w:val="32"/>
    </w:rPr>
  </w:style>
  <w:style w:type="paragraph" w:styleId="13">
    <w:name w:val="toc 7"/>
    <w:basedOn w:val="1"/>
    <w:next w:val="1"/>
    <w:qFormat/>
    <w:uiPriority w:val="0"/>
    <w:pPr>
      <w:ind w:left="2520" w:leftChars="1200"/>
    </w:pPr>
  </w:style>
  <w:style w:type="paragraph" w:styleId="14">
    <w:name w:val="table of authorities"/>
    <w:basedOn w:val="1"/>
    <w:next w:val="1"/>
    <w:qFormat/>
    <w:uiPriority w:val="0"/>
    <w:pPr>
      <w:ind w:left="420" w:leftChars="200"/>
    </w:pPr>
    <w:rPr>
      <w:sz w:val="28"/>
      <w:szCs w:val="20"/>
    </w:rPr>
  </w:style>
  <w:style w:type="paragraph" w:styleId="15">
    <w:name w:val="List Number"/>
    <w:basedOn w:val="1"/>
    <w:qFormat/>
    <w:uiPriority w:val="0"/>
    <w:pPr>
      <w:numPr>
        <w:ilvl w:val="0"/>
        <w:numId w:val="4"/>
      </w:numPr>
      <w:tabs>
        <w:tab w:val="left" w:pos="360"/>
      </w:tabs>
      <w:spacing w:line="400" w:lineRule="exact"/>
    </w:pPr>
    <w:rPr>
      <w:rFonts w:cs="宋体"/>
      <w:color w:val="000000"/>
      <w:kern w:val="0"/>
      <w:szCs w:val="21"/>
    </w:rPr>
  </w:style>
  <w:style w:type="paragraph" w:styleId="16">
    <w:name w:val="Normal Indent"/>
    <w:basedOn w:val="1"/>
    <w:link w:val="65"/>
    <w:qFormat/>
    <w:uiPriority w:val="0"/>
    <w:pPr>
      <w:adjustRightInd w:val="0"/>
      <w:spacing w:line="360" w:lineRule="atLeast"/>
      <w:ind w:firstLine="420"/>
      <w:textAlignment w:val="baseline"/>
    </w:pPr>
    <w:rPr>
      <w:szCs w:val="20"/>
    </w:rPr>
  </w:style>
  <w:style w:type="paragraph" w:styleId="17">
    <w:name w:val="caption"/>
    <w:basedOn w:val="1"/>
    <w:next w:val="1"/>
    <w:qFormat/>
    <w:uiPriority w:val="0"/>
    <w:rPr>
      <w:rFonts w:ascii="Cambria" w:hAnsi="Cambria" w:eastAsia="黑体"/>
      <w:sz w:val="20"/>
      <w:szCs w:val="20"/>
    </w:rPr>
  </w:style>
  <w:style w:type="paragraph" w:styleId="18">
    <w:name w:val="Document Map"/>
    <w:basedOn w:val="1"/>
    <w:link w:val="162"/>
    <w:qFormat/>
    <w:uiPriority w:val="0"/>
    <w:pPr>
      <w:shd w:val="clear" w:color="auto" w:fill="000080"/>
    </w:pPr>
  </w:style>
  <w:style w:type="paragraph" w:styleId="19">
    <w:name w:val="annotation text"/>
    <w:basedOn w:val="1"/>
    <w:link w:val="145"/>
    <w:qFormat/>
    <w:uiPriority w:val="0"/>
    <w:pPr>
      <w:jc w:val="left"/>
    </w:pPr>
  </w:style>
  <w:style w:type="paragraph" w:styleId="20">
    <w:name w:val="Salutation"/>
    <w:basedOn w:val="1"/>
    <w:next w:val="1"/>
    <w:link w:val="111"/>
    <w:qFormat/>
    <w:uiPriority w:val="0"/>
    <w:pPr>
      <w:spacing w:line="400" w:lineRule="exact"/>
    </w:pPr>
    <w:rPr>
      <w:color w:val="000000"/>
      <w:kern w:val="0"/>
      <w:sz w:val="20"/>
      <w:szCs w:val="20"/>
    </w:rPr>
  </w:style>
  <w:style w:type="paragraph" w:styleId="21">
    <w:name w:val="Body Text 3"/>
    <w:basedOn w:val="1"/>
    <w:link w:val="197"/>
    <w:qFormat/>
    <w:uiPriority w:val="0"/>
    <w:pPr>
      <w:autoSpaceDE w:val="0"/>
      <w:autoSpaceDN w:val="0"/>
      <w:adjustRightInd w:val="0"/>
      <w:jc w:val="center"/>
    </w:pPr>
    <w:rPr>
      <w:rFonts w:ascii="宋体" w:hAnsi="宋体"/>
      <w:b/>
      <w:bCs/>
      <w:color w:val="000000"/>
      <w:kern w:val="0"/>
      <w:sz w:val="48"/>
      <w:szCs w:val="44"/>
    </w:rPr>
  </w:style>
  <w:style w:type="paragraph" w:styleId="22">
    <w:name w:val="Body Text"/>
    <w:basedOn w:val="1"/>
    <w:link w:val="84"/>
    <w:qFormat/>
    <w:uiPriority w:val="0"/>
    <w:pPr>
      <w:autoSpaceDE w:val="0"/>
      <w:autoSpaceDN w:val="0"/>
      <w:adjustRightInd w:val="0"/>
      <w:spacing w:line="360" w:lineRule="auto"/>
      <w:jc w:val="left"/>
    </w:pPr>
    <w:rPr>
      <w:rFonts w:ascii="宋体"/>
      <w:color w:val="000000"/>
      <w:kern w:val="0"/>
      <w:sz w:val="28"/>
      <w:szCs w:val="32"/>
    </w:rPr>
  </w:style>
  <w:style w:type="paragraph" w:styleId="23">
    <w:name w:val="Block Text"/>
    <w:basedOn w:val="1"/>
    <w:qFormat/>
    <w:uiPriority w:val="0"/>
    <w:pPr>
      <w:spacing w:after="120"/>
      <w:ind w:left="1440" w:leftChars="700" w:right="1440" w:rightChars="700"/>
    </w:pPr>
  </w:style>
  <w:style w:type="paragraph" w:styleId="24">
    <w:name w:val="index 4"/>
    <w:basedOn w:val="1"/>
    <w:next w:val="1"/>
    <w:qFormat/>
    <w:uiPriority w:val="0"/>
    <w:pPr>
      <w:ind w:left="600" w:leftChars="600"/>
    </w:pPr>
  </w:style>
  <w:style w:type="paragraph" w:styleId="25">
    <w:name w:val="toc 5"/>
    <w:basedOn w:val="1"/>
    <w:next w:val="1"/>
    <w:qFormat/>
    <w:uiPriority w:val="0"/>
    <w:pPr>
      <w:ind w:left="1680" w:leftChars="800"/>
    </w:pPr>
  </w:style>
  <w:style w:type="paragraph" w:styleId="26">
    <w:name w:val="toc 3"/>
    <w:basedOn w:val="1"/>
    <w:next w:val="1"/>
    <w:qFormat/>
    <w:uiPriority w:val="0"/>
    <w:pPr>
      <w:ind w:left="840" w:leftChars="400"/>
    </w:pPr>
  </w:style>
  <w:style w:type="paragraph" w:styleId="27">
    <w:name w:val="Plain Text"/>
    <w:basedOn w:val="1"/>
    <w:link w:val="156"/>
    <w:qFormat/>
    <w:uiPriority w:val="0"/>
    <w:rPr>
      <w:rFonts w:ascii="宋体" w:hAnsi="Courier New"/>
      <w:sz w:val="11"/>
      <w:szCs w:val="20"/>
    </w:rPr>
  </w:style>
  <w:style w:type="paragraph" w:styleId="28">
    <w:name w:val="toc 8"/>
    <w:basedOn w:val="1"/>
    <w:next w:val="1"/>
    <w:qFormat/>
    <w:uiPriority w:val="0"/>
    <w:pPr>
      <w:ind w:left="2940" w:leftChars="1400"/>
    </w:pPr>
  </w:style>
  <w:style w:type="paragraph" w:styleId="29">
    <w:name w:val="Date"/>
    <w:basedOn w:val="1"/>
    <w:next w:val="1"/>
    <w:link w:val="101"/>
    <w:qFormat/>
    <w:uiPriority w:val="0"/>
    <w:pPr>
      <w:adjustRightInd w:val="0"/>
      <w:spacing w:line="360" w:lineRule="atLeast"/>
    </w:pPr>
    <w:rPr>
      <w:rFonts w:ascii="宋体"/>
      <w:kern w:val="0"/>
      <w:sz w:val="24"/>
      <w:szCs w:val="20"/>
    </w:rPr>
  </w:style>
  <w:style w:type="paragraph" w:styleId="30">
    <w:name w:val="Body Text Indent 2"/>
    <w:basedOn w:val="1"/>
    <w:link w:val="148"/>
    <w:qFormat/>
    <w:uiPriority w:val="0"/>
    <w:pPr>
      <w:spacing w:line="480" w:lineRule="auto"/>
      <w:ind w:firstLine="560" w:firstLineChars="200"/>
    </w:pPr>
    <w:rPr>
      <w:rFonts w:ascii="幼圆" w:eastAsia="幼圆"/>
      <w:sz w:val="28"/>
      <w:szCs w:val="32"/>
    </w:rPr>
  </w:style>
  <w:style w:type="paragraph" w:styleId="31">
    <w:name w:val="Balloon Text"/>
    <w:basedOn w:val="1"/>
    <w:link w:val="114"/>
    <w:qFormat/>
    <w:uiPriority w:val="0"/>
    <w:rPr>
      <w:sz w:val="18"/>
      <w:szCs w:val="18"/>
    </w:rPr>
  </w:style>
  <w:style w:type="paragraph" w:styleId="32">
    <w:name w:val="footer"/>
    <w:basedOn w:val="1"/>
    <w:link w:val="142"/>
    <w:qFormat/>
    <w:uiPriority w:val="0"/>
    <w:pPr>
      <w:tabs>
        <w:tab w:val="center" w:pos="4153"/>
        <w:tab w:val="right" w:pos="8306"/>
      </w:tabs>
      <w:snapToGrid w:val="0"/>
      <w:jc w:val="left"/>
    </w:pPr>
    <w:rPr>
      <w:sz w:val="18"/>
      <w:szCs w:val="18"/>
    </w:rPr>
  </w:style>
  <w:style w:type="paragraph" w:styleId="33">
    <w:name w:val="header"/>
    <w:basedOn w:val="1"/>
    <w:link w:val="178"/>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4"/>
    <w:next w:val="14"/>
    <w:qFormat/>
    <w:uiPriority w:val="0"/>
    <w:pPr>
      <w:tabs>
        <w:tab w:val="left" w:pos="1260"/>
        <w:tab w:val="right" w:leader="dot" w:pos="9407"/>
      </w:tabs>
      <w:ind w:left="0" w:leftChars="0"/>
    </w:pPr>
    <w:rPr>
      <w:b/>
    </w:rPr>
  </w:style>
  <w:style w:type="paragraph" w:styleId="35">
    <w:name w:val="toc 4"/>
    <w:basedOn w:val="1"/>
    <w:next w:val="1"/>
    <w:qFormat/>
    <w:uiPriority w:val="0"/>
    <w:pPr>
      <w:ind w:left="1260" w:leftChars="600"/>
    </w:pPr>
  </w:style>
  <w:style w:type="paragraph" w:styleId="36">
    <w:name w:val="Subtitle"/>
    <w:basedOn w:val="1"/>
    <w:next w:val="1"/>
    <w:link w:val="170"/>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38">
    <w:name w:val="toc 6"/>
    <w:basedOn w:val="1"/>
    <w:next w:val="1"/>
    <w:qFormat/>
    <w:uiPriority w:val="0"/>
    <w:pPr>
      <w:ind w:left="2100" w:leftChars="1000"/>
    </w:pPr>
  </w:style>
  <w:style w:type="paragraph" w:styleId="39">
    <w:name w:val="Body Text Indent 3"/>
    <w:basedOn w:val="1"/>
    <w:link w:val="125"/>
    <w:qFormat/>
    <w:uiPriority w:val="0"/>
    <w:pPr>
      <w:autoSpaceDE w:val="0"/>
      <w:autoSpaceDN w:val="0"/>
      <w:adjustRightInd w:val="0"/>
      <w:spacing w:line="360" w:lineRule="auto"/>
      <w:ind w:left="2119" w:leftChars="1009" w:firstLine="6" w:firstLineChars="2"/>
      <w:jc w:val="left"/>
    </w:pPr>
    <w:rPr>
      <w:rFonts w:ascii="幼圆" w:eastAsia="幼圆"/>
      <w:bCs/>
      <w:color w:val="000000"/>
      <w:kern w:val="0"/>
      <w:sz w:val="28"/>
    </w:rPr>
  </w:style>
  <w:style w:type="paragraph" w:styleId="40">
    <w:name w:val="toc 2"/>
    <w:basedOn w:val="1"/>
    <w:next w:val="1"/>
    <w:qFormat/>
    <w:uiPriority w:val="0"/>
    <w:pPr>
      <w:tabs>
        <w:tab w:val="right" w:leader="dot" w:pos="9407"/>
      </w:tabs>
      <w:ind w:left="420" w:leftChars="200"/>
    </w:pPr>
  </w:style>
  <w:style w:type="paragraph" w:styleId="41">
    <w:name w:val="toc 9"/>
    <w:basedOn w:val="1"/>
    <w:next w:val="1"/>
    <w:qFormat/>
    <w:uiPriority w:val="0"/>
    <w:pPr>
      <w:ind w:left="3360" w:leftChars="1600"/>
    </w:pPr>
  </w:style>
  <w:style w:type="paragraph" w:styleId="42">
    <w:name w:val="Body Text 2"/>
    <w:basedOn w:val="1"/>
    <w:link w:val="131"/>
    <w:qFormat/>
    <w:uiPriority w:val="0"/>
    <w:pPr>
      <w:autoSpaceDE w:val="0"/>
      <w:autoSpaceDN w:val="0"/>
      <w:adjustRightInd w:val="0"/>
      <w:spacing w:line="360" w:lineRule="auto"/>
      <w:jc w:val="left"/>
    </w:pPr>
    <w:rPr>
      <w:rFonts w:ascii="宋体" w:hAnsi="宋体"/>
      <w:sz w:val="28"/>
    </w:rPr>
  </w:style>
  <w:style w:type="paragraph" w:styleId="43">
    <w:name w:val="List Continue 2"/>
    <w:basedOn w:val="1"/>
    <w:qFormat/>
    <w:uiPriority w:val="0"/>
    <w:pPr>
      <w:spacing w:after="120"/>
      <w:ind w:left="840" w:leftChars="400"/>
    </w:pPr>
    <w:rPr>
      <w:szCs w:val="20"/>
    </w:rPr>
  </w:style>
  <w:style w:type="paragraph" w:styleId="44">
    <w:name w:val="HTML Preformatted"/>
    <w:basedOn w:val="1"/>
    <w:link w:val="1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5">
    <w:name w:val="Normal (Web)"/>
    <w:basedOn w:val="1"/>
    <w:qFormat/>
    <w:uiPriority w:val="0"/>
    <w:rPr>
      <w:sz w:val="24"/>
    </w:rPr>
  </w:style>
  <w:style w:type="paragraph" w:styleId="46">
    <w:name w:val="index 1"/>
    <w:basedOn w:val="1"/>
    <w:next w:val="1"/>
    <w:qFormat/>
    <w:uiPriority w:val="0"/>
    <w:rPr>
      <w:sz w:val="28"/>
      <w:szCs w:val="20"/>
    </w:rPr>
  </w:style>
  <w:style w:type="paragraph" w:styleId="47">
    <w:name w:val="Title"/>
    <w:basedOn w:val="1"/>
    <w:next w:val="1"/>
    <w:link w:val="77"/>
    <w:qFormat/>
    <w:uiPriority w:val="0"/>
    <w:pPr>
      <w:spacing w:before="240" w:after="60"/>
      <w:jc w:val="center"/>
      <w:outlineLvl w:val="0"/>
    </w:pPr>
    <w:rPr>
      <w:rFonts w:ascii="Cambria" w:hAnsi="Cambria"/>
      <w:b/>
      <w:bCs/>
      <w:sz w:val="32"/>
      <w:szCs w:val="32"/>
    </w:rPr>
  </w:style>
  <w:style w:type="paragraph" w:styleId="48">
    <w:name w:val="annotation subject"/>
    <w:basedOn w:val="19"/>
    <w:next w:val="19"/>
    <w:link w:val="167"/>
    <w:qFormat/>
    <w:uiPriority w:val="0"/>
    <w:rPr>
      <w:rFonts w:ascii="宋体"/>
      <w:b/>
      <w:bCs/>
      <w:sz w:val="28"/>
    </w:rPr>
  </w:style>
  <w:style w:type="paragraph" w:styleId="49">
    <w:name w:val="Body Text First Indent"/>
    <w:basedOn w:val="22"/>
    <w:link w:val="160"/>
    <w:qFormat/>
    <w:uiPriority w:val="0"/>
    <w:pPr>
      <w:widowControl/>
      <w:autoSpaceDE/>
      <w:autoSpaceDN/>
      <w:adjustRightInd/>
      <w:spacing w:after="120"/>
      <w:ind w:firstLine="420" w:firstLineChars="100"/>
      <w:jc w:val="both"/>
    </w:pPr>
    <w:rPr>
      <w:rFonts w:ascii="MingLiU_HKSCS" w:hAnsi="MingLiU_HKSCS" w:eastAsia="MingLiU_HKSCS"/>
      <w:kern w:val="2"/>
      <w:sz w:val="36"/>
      <w:szCs w:val="24"/>
      <w:lang w:eastAsia="en-US"/>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rFonts w:ascii="Times New Roman" w:hAnsi="Times New Roman" w:eastAsia="宋体" w:cs="Times New Roman"/>
      <w:b/>
      <w:bCs/>
    </w:rPr>
  </w:style>
  <w:style w:type="character" w:styleId="54">
    <w:name w:val="page number"/>
    <w:basedOn w:val="52"/>
    <w:qFormat/>
    <w:uiPriority w:val="0"/>
    <w:rPr>
      <w:rFonts w:ascii="Times New Roman" w:hAnsi="Times New Roman" w:eastAsia="宋体" w:cs="Times New Roman"/>
    </w:rPr>
  </w:style>
  <w:style w:type="character" w:styleId="55">
    <w:name w:val="FollowedHyperlink"/>
    <w:qFormat/>
    <w:uiPriority w:val="0"/>
    <w:rPr>
      <w:rFonts w:ascii="Times New Roman" w:hAnsi="Times New Roman" w:eastAsia="宋体" w:cs="Times New Roman"/>
      <w:color w:val="800080"/>
      <w:u w:val="single"/>
    </w:rPr>
  </w:style>
  <w:style w:type="character" w:styleId="56">
    <w:name w:val="Emphasis"/>
    <w:qFormat/>
    <w:uiPriority w:val="0"/>
    <w:rPr>
      <w:rFonts w:ascii="Times New Roman" w:hAnsi="Times New Roman" w:eastAsia="宋体" w:cs="Times New Roman"/>
      <w:i/>
      <w:iCs/>
    </w:rPr>
  </w:style>
  <w:style w:type="character" w:styleId="57">
    <w:name w:val="Hyperlink"/>
    <w:qFormat/>
    <w:uiPriority w:val="0"/>
    <w:rPr>
      <w:rFonts w:ascii="Times New Roman" w:hAnsi="Times New Roman" w:eastAsia="宋体" w:cs="Times New Roman"/>
      <w:color w:val="0000FF"/>
      <w:u w:val="single"/>
    </w:rPr>
  </w:style>
  <w:style w:type="character" w:styleId="58">
    <w:name w:val="annotation reference"/>
    <w:qFormat/>
    <w:uiPriority w:val="0"/>
    <w:rPr>
      <w:rFonts w:ascii="Times New Roman" w:hAnsi="Times New Roman" w:eastAsia="宋体" w:cs="Times New Roman"/>
      <w:sz w:val="21"/>
      <w:szCs w:val="21"/>
    </w:rPr>
  </w:style>
  <w:style w:type="character" w:customStyle="1" w:styleId="59">
    <w:name w:val="标题 1 Char"/>
    <w:link w:val="4"/>
    <w:qFormat/>
    <w:uiPriority w:val="0"/>
    <w:rPr>
      <w:rFonts w:ascii="幼圆" w:hAnsi="Times New Roman" w:eastAsia="幼圆" w:cs="Times New Roman"/>
      <w:color w:val="000000"/>
      <w:sz w:val="28"/>
      <w:szCs w:val="24"/>
    </w:rPr>
  </w:style>
  <w:style w:type="character" w:customStyle="1" w:styleId="60">
    <w:name w:val="标题 2 Char"/>
    <w:link w:val="5"/>
    <w:qFormat/>
    <w:uiPriority w:val="0"/>
    <w:rPr>
      <w:rFonts w:ascii="幼圆" w:hAnsi="Times New Roman" w:eastAsia="幼圆" w:cs="Times New Roman"/>
      <w:kern w:val="2"/>
      <w:sz w:val="28"/>
      <w:szCs w:val="24"/>
    </w:rPr>
  </w:style>
  <w:style w:type="character" w:customStyle="1" w:styleId="61">
    <w:name w:val="标题 3 Char"/>
    <w:link w:val="6"/>
    <w:qFormat/>
    <w:uiPriority w:val="0"/>
    <w:rPr>
      <w:rFonts w:ascii="Times New Roman" w:hAnsi="Times New Roman" w:eastAsia="宋体" w:cs="Times New Roman"/>
      <w:b/>
      <w:bCs/>
      <w:kern w:val="2"/>
      <w:sz w:val="32"/>
      <w:szCs w:val="32"/>
    </w:rPr>
  </w:style>
  <w:style w:type="paragraph" w:customStyle="1" w:styleId="62">
    <w:name w:val="Style1"/>
    <w:basedOn w:val="1"/>
    <w:qFormat/>
    <w:uiPriority w:val="0"/>
    <w:pPr>
      <w:overflowPunct w:val="0"/>
      <w:autoSpaceDE w:val="0"/>
      <w:autoSpaceDN w:val="0"/>
      <w:adjustRightInd w:val="0"/>
      <w:jc w:val="left"/>
      <w:textAlignment w:val="baseline"/>
    </w:pPr>
    <w:rPr>
      <w:rFonts w:ascii="Courier" w:hAnsi="Courier"/>
      <w:kern w:val="0"/>
      <w:sz w:val="20"/>
      <w:szCs w:val="20"/>
    </w:rPr>
  </w:style>
  <w:style w:type="character" w:customStyle="1" w:styleId="63">
    <w:name w:val="z-窗体顶端 Char Char"/>
    <w:qFormat/>
    <w:uiPriority w:val="0"/>
    <w:rPr>
      <w:rFonts w:hint="eastAsia" w:ascii="黑体" w:hAnsi="宋体" w:eastAsia="黑体" w:cs="黑体"/>
      <w:vanish/>
      <w:color w:val="000000"/>
      <w:sz w:val="16"/>
    </w:rPr>
  </w:style>
  <w:style w:type="character" w:customStyle="1" w:styleId="64">
    <w:name w:val="页脚 Char1"/>
    <w:qFormat/>
    <w:uiPriority w:val="0"/>
    <w:rPr>
      <w:rFonts w:ascii="Times New Roman" w:hAnsi="Times New Roman" w:eastAsia="宋体" w:cs="Times New Roman"/>
      <w:kern w:val="2"/>
      <w:sz w:val="18"/>
      <w:szCs w:val="18"/>
    </w:rPr>
  </w:style>
  <w:style w:type="character" w:customStyle="1" w:styleId="65">
    <w:name w:val="正文缩进 Char"/>
    <w:link w:val="16"/>
    <w:qFormat/>
    <w:uiPriority w:val="0"/>
    <w:rPr>
      <w:rFonts w:ascii="Times New Roman" w:hAnsi="Times New Roman" w:eastAsia="宋体" w:cs="Times New Roman"/>
      <w:kern w:val="2"/>
      <w:sz w:val="21"/>
    </w:rPr>
  </w:style>
  <w:style w:type="character" w:customStyle="1" w:styleId="66">
    <w:name w:val="Intense Quote Char"/>
    <w:link w:val="67"/>
    <w:qFormat/>
    <w:uiPriority w:val="0"/>
    <w:rPr>
      <w:rFonts w:ascii="Times New Roman" w:hAnsi="Times New Roman" w:eastAsia="宋体" w:cs="Times New Roman"/>
      <w:b/>
      <w:bCs/>
      <w:i/>
      <w:iCs/>
      <w:color w:val="4F81BD"/>
      <w:kern w:val="2"/>
      <w:sz w:val="22"/>
      <w:szCs w:val="22"/>
    </w:rPr>
  </w:style>
  <w:style w:type="paragraph" w:customStyle="1" w:styleId="67">
    <w:name w:val="明显引用1"/>
    <w:basedOn w:val="1"/>
    <w:next w:val="1"/>
    <w:link w:val="66"/>
    <w:qFormat/>
    <w:uiPriority w:val="0"/>
    <w:pPr>
      <w:pBdr>
        <w:bottom w:val="single" w:color="4F81BD" w:sz="4" w:space="4"/>
      </w:pBdr>
      <w:spacing w:before="200" w:after="280"/>
      <w:ind w:left="936" w:right="936"/>
    </w:pPr>
    <w:rPr>
      <w:b/>
      <w:bCs/>
      <w:i/>
      <w:iCs/>
      <w:color w:val="4F81BD"/>
      <w:sz w:val="22"/>
      <w:szCs w:val="22"/>
    </w:rPr>
  </w:style>
  <w:style w:type="character" w:customStyle="1" w:styleId="68">
    <w:name w:val="批注主题 Char Char"/>
    <w:qFormat/>
    <w:uiPriority w:val="0"/>
    <w:rPr>
      <w:rFonts w:ascii="宋体" w:hAnsi="Times New Roman" w:eastAsia="宋体" w:cs="Times New Roman"/>
      <w:b/>
      <w:bCs/>
      <w:sz w:val="28"/>
      <w:lang w:bidi="ar-SA"/>
    </w:rPr>
  </w:style>
  <w:style w:type="character" w:customStyle="1" w:styleId="69">
    <w:name w:val="正文文本 3 Char1"/>
    <w:qFormat/>
    <w:uiPriority w:val="0"/>
    <w:rPr>
      <w:rFonts w:ascii="Times New Roman" w:hAnsi="Times New Roman" w:eastAsia="宋体" w:cs="Times New Roman"/>
      <w:kern w:val="2"/>
      <w:sz w:val="16"/>
      <w:szCs w:val="16"/>
    </w:rPr>
  </w:style>
  <w:style w:type="character" w:customStyle="1" w:styleId="70">
    <w:name w:val="批注主题 Char1"/>
    <w:qFormat/>
    <w:uiPriority w:val="0"/>
    <w:rPr>
      <w:rFonts w:ascii="Times New Roman" w:hAnsi="Times New Roman" w:eastAsia="宋体" w:cs="Times New Roman"/>
      <w:b/>
      <w:bCs/>
      <w:kern w:val="2"/>
      <w:sz w:val="21"/>
      <w:szCs w:val="22"/>
    </w:rPr>
  </w:style>
  <w:style w:type="character" w:customStyle="1" w:styleId="71">
    <w:name w:val="apple-style-span"/>
    <w:basedOn w:val="52"/>
    <w:qFormat/>
    <w:uiPriority w:val="0"/>
    <w:rPr>
      <w:rFonts w:ascii="Times New Roman" w:hAnsi="Times New Roman" w:eastAsia="宋体" w:cs="Times New Roman"/>
    </w:rPr>
  </w:style>
  <w:style w:type="character" w:customStyle="1" w:styleId="72">
    <w:name w:val="标题 2 Char Char"/>
    <w:qFormat/>
    <w:uiPriority w:val="0"/>
    <w:rPr>
      <w:rFonts w:ascii="Arial" w:hAnsi="Arial" w:eastAsia="黑体" w:cs="Times New Roman"/>
      <w:b/>
      <w:bCs/>
      <w:kern w:val="2"/>
      <w:sz w:val="32"/>
      <w:szCs w:val="32"/>
      <w:lang w:val="en-US" w:eastAsia="zh-CN" w:bidi="ar-SA"/>
    </w:rPr>
  </w:style>
  <w:style w:type="character" w:customStyle="1" w:styleId="73">
    <w:name w:val="明显强调1"/>
    <w:qFormat/>
    <w:uiPriority w:val="0"/>
    <w:rPr>
      <w:rFonts w:ascii="Times New Roman" w:hAnsi="Times New Roman" w:eastAsia="宋体" w:cs="Times New Roman"/>
      <w:b/>
      <w:bCs/>
      <w:i/>
      <w:iCs/>
      <w:color w:val="4F81BD"/>
    </w:rPr>
  </w:style>
  <w:style w:type="character" w:customStyle="1" w:styleId="74">
    <w:name w:val="批注文字 Char3"/>
    <w:qFormat/>
    <w:uiPriority w:val="0"/>
    <w:rPr>
      <w:rFonts w:ascii="宋体" w:hAnsi="宋体" w:eastAsia="宋体" w:cs="Times New Roman"/>
      <w:szCs w:val="24"/>
    </w:rPr>
  </w:style>
  <w:style w:type="character" w:customStyle="1" w:styleId="75">
    <w:name w:val="称呼 Char Char"/>
    <w:qFormat/>
    <w:uiPriority w:val="0"/>
    <w:rPr>
      <w:rFonts w:ascii="Times New Roman" w:hAnsi="Times New Roman" w:eastAsia="宋体" w:cs="Times New Roman"/>
      <w:kern w:val="2"/>
      <w:sz w:val="28"/>
    </w:rPr>
  </w:style>
  <w:style w:type="character" w:customStyle="1" w:styleId="76">
    <w:name w:val="称呼 Char1"/>
    <w:basedOn w:val="52"/>
    <w:qFormat/>
    <w:uiPriority w:val="0"/>
    <w:rPr>
      <w:rFonts w:ascii="Times New Roman" w:hAnsi="Times New Roman" w:eastAsia="宋体" w:cs="Times New Roman"/>
      <w:kern w:val="2"/>
      <w:sz w:val="21"/>
      <w:szCs w:val="24"/>
    </w:rPr>
  </w:style>
  <w:style w:type="character" w:customStyle="1" w:styleId="77">
    <w:name w:val="标题 Char"/>
    <w:link w:val="47"/>
    <w:qFormat/>
    <w:uiPriority w:val="0"/>
    <w:rPr>
      <w:rFonts w:ascii="Cambria" w:hAnsi="Cambria" w:eastAsia="宋体" w:cs="Times New Roman"/>
      <w:b/>
      <w:bCs/>
      <w:kern w:val="2"/>
      <w:sz w:val="32"/>
      <w:szCs w:val="32"/>
    </w:rPr>
  </w:style>
  <w:style w:type="character" w:customStyle="1" w:styleId="78">
    <w:name w:val="样式 粉红"/>
    <w:qFormat/>
    <w:uiPriority w:val="0"/>
    <w:rPr>
      <w:rFonts w:ascii="Times New Roman" w:hAnsi="Times New Roman" w:eastAsia="宋体" w:cs="Times New Roman"/>
      <w:color w:val="auto"/>
      <w:u w:val="none"/>
    </w:rPr>
  </w:style>
  <w:style w:type="character" w:customStyle="1" w:styleId="79">
    <w:name w:val="正文文本缩进 Char2"/>
    <w:qFormat/>
    <w:uiPriority w:val="0"/>
    <w:rPr>
      <w:rFonts w:ascii="宋体" w:hAnsi="宋体" w:eastAsia="宋体" w:cs="Times New Roman"/>
      <w:kern w:val="2"/>
      <w:sz w:val="21"/>
      <w:szCs w:val="24"/>
    </w:rPr>
  </w:style>
  <w:style w:type="character" w:customStyle="1" w:styleId="80">
    <w:name w:val="Char Char23"/>
    <w:qFormat/>
    <w:uiPriority w:val="0"/>
    <w:rPr>
      <w:rFonts w:ascii="Times New Roman" w:hAnsi="Times New Roman" w:eastAsia="新宋体" w:cs="Times New Roman"/>
      <w:b/>
      <w:bCs/>
      <w:kern w:val="2"/>
      <w:sz w:val="36"/>
      <w:szCs w:val="32"/>
      <w:lang w:val="en-US" w:eastAsia="zh-CN" w:bidi="ar-SA"/>
    </w:rPr>
  </w:style>
  <w:style w:type="character" w:customStyle="1" w:styleId="81">
    <w:name w:val="正文文本缩进 Char1"/>
    <w:qFormat/>
    <w:uiPriority w:val="0"/>
    <w:rPr>
      <w:rFonts w:ascii="Times New Roman" w:hAnsi="Times New Roman" w:eastAsia="宋体" w:cs="Times New Roman"/>
      <w:kern w:val="2"/>
      <w:sz w:val="21"/>
      <w:szCs w:val="24"/>
    </w:rPr>
  </w:style>
  <w:style w:type="character" w:customStyle="1" w:styleId="82">
    <w:name w:val="批注主题 Char3"/>
    <w:qFormat/>
    <w:uiPriority w:val="0"/>
    <w:rPr>
      <w:rFonts w:ascii="宋体" w:hAnsi="宋体" w:eastAsia="宋体" w:cs="Times New Roman"/>
      <w:b/>
      <w:bCs/>
      <w:szCs w:val="24"/>
    </w:rPr>
  </w:style>
  <w:style w:type="character" w:customStyle="1" w:styleId="83">
    <w:name w:val="标题 9 Char Char"/>
    <w:qFormat/>
    <w:uiPriority w:val="0"/>
    <w:rPr>
      <w:rFonts w:ascii="Cambria" w:hAnsi="Cambria" w:eastAsia="宋体" w:cs="Times New Roman"/>
      <w:kern w:val="2"/>
      <w:sz w:val="21"/>
      <w:szCs w:val="21"/>
      <w:lang w:val="en-US" w:eastAsia="zh-CN" w:bidi="ar-SA"/>
    </w:rPr>
  </w:style>
  <w:style w:type="character" w:customStyle="1" w:styleId="84">
    <w:name w:val="正文文本 Char"/>
    <w:link w:val="22"/>
    <w:qFormat/>
    <w:uiPriority w:val="0"/>
    <w:rPr>
      <w:rFonts w:ascii="宋体" w:hAnsi="Times New Roman" w:eastAsia="宋体" w:cs="Times New Roman"/>
      <w:color w:val="000000"/>
      <w:sz w:val="28"/>
      <w:szCs w:val="32"/>
    </w:rPr>
  </w:style>
  <w:style w:type="character" w:customStyle="1" w:styleId="85">
    <w:name w:val="font21"/>
    <w:qFormat/>
    <w:uiPriority w:val="0"/>
    <w:rPr>
      <w:rFonts w:hint="eastAsia" w:ascii="宋体" w:hAnsi="宋体" w:eastAsia="宋体" w:cs="Times New Roman"/>
      <w:color w:val="000000"/>
      <w:sz w:val="20"/>
      <w:szCs w:val="20"/>
      <w:u w:val="none"/>
    </w:rPr>
  </w:style>
  <w:style w:type="character" w:customStyle="1" w:styleId="86">
    <w:name w:val="Title Char"/>
    <w:qFormat/>
    <w:uiPriority w:val="0"/>
    <w:rPr>
      <w:rFonts w:hint="eastAsia" w:ascii="System" w:hAnsi="System" w:eastAsia="System" w:cs="黑体"/>
      <w:b/>
      <w:color w:val="000000"/>
      <w:sz w:val="52"/>
      <w:szCs w:val="32"/>
      <w:lang w:val="en-US" w:eastAsia="zh-CN" w:bidi="ar-SA"/>
    </w:rPr>
  </w:style>
  <w:style w:type="character" w:customStyle="1" w:styleId="87">
    <w:name w:val="标题 3 Char Char"/>
    <w:qFormat/>
    <w:uiPriority w:val="0"/>
    <w:rPr>
      <w:rFonts w:ascii="Times New Roman" w:hAnsi="Times New Roman" w:eastAsia="宋体" w:cs="Times New Roman"/>
      <w:b/>
      <w:bCs/>
      <w:kern w:val="2"/>
      <w:sz w:val="32"/>
      <w:szCs w:val="32"/>
      <w:lang w:val="en-US" w:eastAsia="zh-CN" w:bidi="ar-SA"/>
    </w:rPr>
  </w:style>
  <w:style w:type="character" w:customStyle="1" w:styleId="88">
    <w:name w:val="明显强调11"/>
    <w:qFormat/>
    <w:uiPriority w:val="0"/>
    <w:rPr>
      <w:rFonts w:ascii="Times New Roman" w:hAnsi="Times New Roman" w:eastAsia="宋体" w:cs="Times New Roman"/>
      <w:b/>
      <w:i/>
      <w:color w:val="4F81BD"/>
    </w:rPr>
  </w:style>
  <w:style w:type="character" w:customStyle="1" w:styleId="89">
    <w:name w:val="Char Char18"/>
    <w:qFormat/>
    <w:uiPriority w:val="0"/>
    <w:rPr>
      <w:rFonts w:ascii="Arial" w:hAnsi="Arial" w:eastAsia="黑体" w:cs="Times New Roman"/>
      <w:b/>
      <w:bCs/>
      <w:kern w:val="2"/>
      <w:sz w:val="32"/>
      <w:szCs w:val="32"/>
      <w:lang w:val="en-US" w:eastAsia="zh-CN" w:bidi="ar-SA"/>
    </w:rPr>
  </w:style>
  <w:style w:type="character" w:customStyle="1" w:styleId="90">
    <w:name w:val="正文文本缩进 3 Char3"/>
    <w:qFormat/>
    <w:uiPriority w:val="0"/>
    <w:rPr>
      <w:rFonts w:ascii="宋体" w:hAnsi="宋体" w:eastAsia="宋体" w:cs="Times New Roman"/>
      <w:sz w:val="16"/>
      <w:szCs w:val="16"/>
    </w:rPr>
  </w:style>
  <w:style w:type="character" w:customStyle="1" w:styleId="91">
    <w:name w:val="font161"/>
    <w:qFormat/>
    <w:uiPriority w:val="0"/>
    <w:rPr>
      <w:rFonts w:ascii="Times New Roman" w:hAnsi="Times New Roman" w:eastAsia="宋体" w:cs="Times New Roman"/>
      <w:b/>
      <w:bCs/>
      <w:sz w:val="32"/>
      <w:szCs w:val="32"/>
    </w:rPr>
  </w:style>
  <w:style w:type="character" w:customStyle="1" w:styleId="92">
    <w:name w:val="标题 8 Char"/>
    <w:link w:val="11"/>
    <w:qFormat/>
    <w:uiPriority w:val="0"/>
    <w:rPr>
      <w:rFonts w:ascii="Arial" w:hAnsi="Arial" w:eastAsia="黑体" w:cs="Times New Roman"/>
      <w:sz w:val="24"/>
    </w:rPr>
  </w:style>
  <w:style w:type="character" w:customStyle="1" w:styleId="93">
    <w:name w:val="textcontents"/>
    <w:qFormat/>
    <w:uiPriority w:val="0"/>
    <w:rPr>
      <w:rFonts w:ascii="Times New Roman" w:hAnsi="Times New Roman" w:eastAsia="宋体" w:cs="Times New Roman"/>
    </w:rPr>
  </w:style>
  <w:style w:type="character" w:customStyle="1" w:styleId="94">
    <w:name w:val="apple-converted-space"/>
    <w:basedOn w:val="52"/>
    <w:qFormat/>
    <w:uiPriority w:val="0"/>
    <w:rPr>
      <w:rFonts w:ascii="Times New Roman" w:hAnsi="Times New Roman" w:eastAsia="宋体" w:cs="Times New Roman"/>
    </w:rPr>
  </w:style>
  <w:style w:type="character" w:customStyle="1" w:styleId="95">
    <w:name w:val="标题 7 Char"/>
    <w:link w:val="10"/>
    <w:qFormat/>
    <w:uiPriority w:val="0"/>
    <w:rPr>
      <w:rFonts w:ascii="Times New Roman" w:hAnsi="Times New Roman" w:eastAsia="宋体" w:cs="Times New Roman"/>
      <w:b/>
      <w:sz w:val="24"/>
    </w:rPr>
  </w:style>
  <w:style w:type="character" w:customStyle="1" w:styleId="96">
    <w:name w:val="z-窗体底端 Char Char"/>
    <w:qFormat/>
    <w:uiPriority w:val="0"/>
    <w:rPr>
      <w:rFonts w:hint="eastAsia" w:ascii="黑体" w:hAnsi="宋体" w:eastAsia="黑体" w:cs="黑体"/>
      <w:vanish/>
      <w:color w:val="000000"/>
      <w:sz w:val="16"/>
    </w:rPr>
  </w:style>
  <w:style w:type="character" w:customStyle="1" w:styleId="97">
    <w:name w:val="文档结构图 Char1"/>
    <w:qFormat/>
    <w:uiPriority w:val="0"/>
    <w:rPr>
      <w:rFonts w:ascii="宋体" w:hAnsi="Times New Roman" w:eastAsia="宋体" w:cs="Times New Roman"/>
      <w:kern w:val="2"/>
      <w:sz w:val="18"/>
      <w:szCs w:val="18"/>
    </w:rPr>
  </w:style>
  <w:style w:type="character" w:customStyle="1" w:styleId="98">
    <w:name w:val="charchar8"/>
    <w:qFormat/>
    <w:uiPriority w:val="0"/>
    <w:rPr>
      <w:rFonts w:hint="default" w:ascii="Calibri" w:hAnsi="Calibri" w:eastAsia="宋体" w:cs="Calibri"/>
    </w:rPr>
  </w:style>
  <w:style w:type="character" w:customStyle="1" w:styleId="99">
    <w:name w:val="正文文本 Char Char"/>
    <w:qFormat/>
    <w:uiPriority w:val="0"/>
    <w:rPr>
      <w:rFonts w:ascii="Times New Roman" w:hAnsi="Times New Roman" w:eastAsia="宋体" w:cs="Times New Roman"/>
      <w:lang w:bidi="ar-SA"/>
    </w:rPr>
  </w:style>
  <w:style w:type="character" w:customStyle="1" w:styleId="100">
    <w:name w:val="正文文本缩进 Char"/>
    <w:basedOn w:val="52"/>
    <w:qFormat/>
    <w:uiPriority w:val="0"/>
    <w:rPr>
      <w:rFonts w:ascii="Calibri" w:hAnsi="Calibri" w:eastAsia="楷体_GB2312" w:cs="Times New Roman"/>
      <w:kern w:val="0"/>
      <w:sz w:val="30"/>
      <w:lang w:eastAsia="en-US" w:bidi="en-US"/>
    </w:rPr>
  </w:style>
  <w:style w:type="character" w:customStyle="1" w:styleId="101">
    <w:name w:val="日期 Char"/>
    <w:link w:val="29"/>
    <w:qFormat/>
    <w:uiPriority w:val="0"/>
    <w:rPr>
      <w:rFonts w:ascii="宋体" w:hAnsi="Times New Roman" w:eastAsia="宋体" w:cs="Times New Roman"/>
      <w:sz w:val="24"/>
    </w:rPr>
  </w:style>
  <w:style w:type="character" w:customStyle="1" w:styleId="102">
    <w:name w:val="标题 Char3"/>
    <w:qFormat/>
    <w:uiPriority w:val="0"/>
    <w:rPr>
      <w:rFonts w:ascii="Cambria" w:hAnsi="Cambria" w:eastAsia="宋体" w:cs="Times New Roman"/>
      <w:b/>
      <w:bCs/>
      <w:sz w:val="32"/>
      <w:szCs w:val="32"/>
    </w:rPr>
  </w:style>
  <w:style w:type="character" w:customStyle="1" w:styleId="103">
    <w:name w:val="不明显强调1"/>
    <w:qFormat/>
    <w:uiPriority w:val="0"/>
    <w:rPr>
      <w:rFonts w:ascii="Times New Roman" w:hAnsi="Times New Roman" w:eastAsia="宋体" w:cs="Times New Roman"/>
      <w:i/>
      <w:iCs/>
      <w:color w:val="808080"/>
    </w:rPr>
  </w:style>
  <w:style w:type="character" w:customStyle="1" w:styleId="104">
    <w:name w:val="批注主题 Char4"/>
    <w:qFormat/>
    <w:uiPriority w:val="0"/>
    <w:rPr>
      <w:rFonts w:ascii="宋体" w:hAnsi="宋体" w:eastAsia="宋体" w:cs="Times New Roman"/>
      <w:b/>
      <w:bCs/>
      <w:szCs w:val="24"/>
    </w:rPr>
  </w:style>
  <w:style w:type="character" w:customStyle="1" w:styleId="105">
    <w:name w:val="引用 Char2"/>
    <w:qFormat/>
    <w:uiPriority w:val="0"/>
    <w:rPr>
      <w:rFonts w:ascii="宋体" w:hAnsi="宋体" w:eastAsia="宋体" w:cs="Times New Roman"/>
      <w:i/>
      <w:iCs/>
      <w:color w:val="000000"/>
      <w:kern w:val="2"/>
      <w:sz w:val="21"/>
      <w:szCs w:val="24"/>
    </w:rPr>
  </w:style>
  <w:style w:type="character" w:customStyle="1" w:styleId="106">
    <w:name w:val="正文文本缩进 3 Char1"/>
    <w:qFormat/>
    <w:uiPriority w:val="0"/>
    <w:rPr>
      <w:rFonts w:ascii="Times New Roman" w:hAnsi="Times New Roman" w:eastAsia="宋体" w:cs="Times New Roman"/>
      <w:kern w:val="2"/>
      <w:sz w:val="16"/>
      <w:szCs w:val="16"/>
    </w:rPr>
  </w:style>
  <w:style w:type="character" w:customStyle="1" w:styleId="107">
    <w:name w:val="引用 Char"/>
    <w:link w:val="108"/>
    <w:qFormat/>
    <w:uiPriority w:val="0"/>
    <w:rPr>
      <w:rFonts w:ascii="Times New Roman" w:hAnsi="Times New Roman" w:eastAsia="宋体" w:cs="Times New Roman"/>
      <w:i/>
      <w:iCs/>
      <w:color w:val="000000"/>
      <w:kern w:val="2"/>
      <w:sz w:val="21"/>
      <w:szCs w:val="22"/>
    </w:rPr>
  </w:style>
  <w:style w:type="paragraph" w:styleId="108">
    <w:name w:val="Quote"/>
    <w:basedOn w:val="1"/>
    <w:next w:val="1"/>
    <w:link w:val="107"/>
    <w:qFormat/>
    <w:uiPriority w:val="0"/>
    <w:rPr>
      <w:i/>
      <w:iCs/>
      <w:color w:val="000000"/>
      <w:szCs w:val="22"/>
    </w:rPr>
  </w:style>
  <w:style w:type="character" w:customStyle="1" w:styleId="109">
    <w:name w:val="正文首行缩进 2 Char1"/>
    <w:qFormat/>
    <w:uiPriority w:val="0"/>
    <w:rPr>
      <w:rFonts w:ascii="宋体" w:hAnsi="宋体" w:eastAsia="楷体_GB2312" w:cs="Times New Roman"/>
      <w:kern w:val="2"/>
      <w:sz w:val="21"/>
      <w:szCs w:val="24"/>
      <w:lang w:val="en-US" w:eastAsia="en-US" w:bidi="en-US"/>
    </w:rPr>
  </w:style>
  <w:style w:type="character" w:customStyle="1" w:styleId="110">
    <w:name w:val="Char Char Char"/>
    <w:qFormat/>
    <w:uiPriority w:val="0"/>
    <w:rPr>
      <w:rFonts w:ascii="Arial" w:hAnsi="Arial" w:eastAsia="黑体" w:cs="Times New Roman"/>
      <w:b/>
      <w:bCs/>
      <w:kern w:val="2"/>
      <w:sz w:val="32"/>
      <w:szCs w:val="32"/>
      <w:lang w:val="en-US" w:eastAsia="zh-CN" w:bidi="ar-SA"/>
    </w:rPr>
  </w:style>
  <w:style w:type="character" w:customStyle="1" w:styleId="111">
    <w:name w:val="称呼 Char"/>
    <w:link w:val="20"/>
    <w:qFormat/>
    <w:uiPriority w:val="0"/>
    <w:rPr>
      <w:rFonts w:ascii="Times New Roman" w:hAnsi="Times New Roman" w:eastAsia="宋体" w:cs="Times New Roman"/>
      <w:color w:val="000000"/>
    </w:rPr>
  </w:style>
  <w:style w:type="character" w:customStyle="1" w:styleId="112">
    <w:name w:val="z-窗体底端 Char1"/>
    <w:qFormat/>
    <w:uiPriority w:val="0"/>
    <w:rPr>
      <w:rFonts w:ascii="Arial" w:hAnsi="Arial" w:eastAsia="宋体" w:cs="Arial"/>
      <w:vanish/>
      <w:color w:val="000000"/>
      <w:sz w:val="16"/>
      <w:szCs w:val="16"/>
    </w:rPr>
  </w:style>
  <w:style w:type="character" w:customStyle="1" w:styleId="113">
    <w:name w:val="标题 Char2"/>
    <w:qFormat/>
    <w:uiPriority w:val="0"/>
    <w:rPr>
      <w:rFonts w:ascii="Cambria" w:hAnsi="Cambria" w:eastAsia="宋体" w:cs="Times New Roman"/>
      <w:b/>
      <w:bCs/>
      <w:kern w:val="2"/>
      <w:sz w:val="32"/>
      <w:szCs w:val="32"/>
    </w:rPr>
  </w:style>
  <w:style w:type="character" w:customStyle="1" w:styleId="114">
    <w:name w:val="批注框文本 Char"/>
    <w:link w:val="31"/>
    <w:qFormat/>
    <w:uiPriority w:val="0"/>
    <w:rPr>
      <w:rFonts w:ascii="Times New Roman" w:hAnsi="Times New Roman" w:eastAsia="宋体" w:cs="Times New Roman"/>
      <w:kern w:val="2"/>
      <w:sz w:val="18"/>
      <w:szCs w:val="18"/>
    </w:rPr>
  </w:style>
  <w:style w:type="character" w:customStyle="1" w:styleId="115">
    <w:name w:val="批注文字 Char Char"/>
    <w:qFormat/>
    <w:uiPriority w:val="0"/>
    <w:rPr>
      <w:rFonts w:ascii="宋体" w:hAnsi="Times New Roman" w:eastAsia="宋体" w:cs="Times New Roman"/>
      <w:sz w:val="28"/>
      <w:szCs w:val="20"/>
    </w:rPr>
  </w:style>
  <w:style w:type="character" w:customStyle="1" w:styleId="116">
    <w:name w:val="Default Char Char Char Char"/>
    <w:link w:val="117"/>
    <w:qFormat/>
    <w:uiPriority w:val="0"/>
    <w:rPr>
      <w:rFonts w:ascii="宋体" w:hAnsi="Times New Roman" w:eastAsia="宋体" w:cs="Times New Roman"/>
      <w:color w:val="000000"/>
      <w:sz w:val="24"/>
      <w:szCs w:val="24"/>
      <w:lang w:bidi="ar-SA"/>
    </w:rPr>
  </w:style>
  <w:style w:type="paragraph" w:customStyle="1" w:styleId="117">
    <w:name w:val="Default"/>
    <w:link w:val="116"/>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18">
    <w:name w:val="明显引用 Char1"/>
    <w:qFormat/>
    <w:uiPriority w:val="0"/>
    <w:rPr>
      <w:rFonts w:ascii="Times New Roman" w:hAnsi="Times New Roman" w:eastAsia="宋体" w:cs="Times New Roman"/>
      <w:b/>
      <w:bCs/>
      <w:i/>
      <w:iCs/>
      <w:color w:val="4F81BD"/>
      <w:kern w:val="2"/>
      <w:sz w:val="21"/>
      <w:szCs w:val="24"/>
    </w:rPr>
  </w:style>
  <w:style w:type="character" w:customStyle="1" w:styleId="119">
    <w:name w:val="hu正文 Char"/>
    <w:link w:val="120"/>
    <w:qFormat/>
    <w:uiPriority w:val="0"/>
    <w:rPr>
      <w:rFonts w:ascii="Times New Roman" w:hAnsi="Times New Roman" w:eastAsia="宋体" w:cs="Times New Roman"/>
      <w:sz w:val="24"/>
    </w:rPr>
  </w:style>
  <w:style w:type="paragraph" w:customStyle="1" w:styleId="120">
    <w:name w:val="hu正文"/>
    <w:basedOn w:val="1"/>
    <w:link w:val="119"/>
    <w:qFormat/>
    <w:uiPriority w:val="0"/>
    <w:pPr>
      <w:spacing w:before="156" w:after="156" w:line="300" w:lineRule="auto"/>
      <w:ind w:firstLine="480" w:firstLineChars="200"/>
    </w:pPr>
    <w:rPr>
      <w:kern w:val="0"/>
      <w:sz w:val="24"/>
      <w:szCs w:val="20"/>
    </w:rPr>
  </w:style>
  <w:style w:type="character" w:customStyle="1" w:styleId="121">
    <w:name w:val="正文文本 2 Char3"/>
    <w:qFormat/>
    <w:uiPriority w:val="0"/>
    <w:rPr>
      <w:rFonts w:ascii="宋体" w:hAnsi="宋体" w:eastAsia="宋体" w:cs="Times New Roman"/>
      <w:szCs w:val="24"/>
    </w:rPr>
  </w:style>
  <w:style w:type="character" w:customStyle="1" w:styleId="122">
    <w:name w:val="书籍标题1"/>
    <w:qFormat/>
    <w:uiPriority w:val="0"/>
    <w:rPr>
      <w:rFonts w:ascii="Times New Roman" w:hAnsi="Times New Roman" w:eastAsia="宋体" w:cs="Times New Roman"/>
      <w:b/>
      <w:bCs/>
      <w:smallCaps/>
      <w:spacing w:val="5"/>
    </w:rPr>
  </w:style>
  <w:style w:type="character" w:customStyle="1" w:styleId="123">
    <w:name w:val="标题 Char1"/>
    <w:qFormat/>
    <w:uiPriority w:val="0"/>
    <w:rPr>
      <w:rFonts w:ascii="Cambria" w:hAnsi="Cambria" w:eastAsia="宋体" w:cs="Times New Roman"/>
      <w:b/>
      <w:bCs/>
      <w:kern w:val="2"/>
      <w:sz w:val="32"/>
      <w:szCs w:val="32"/>
    </w:rPr>
  </w:style>
  <w:style w:type="character" w:customStyle="1" w:styleId="124">
    <w:name w:val="不明显强调2"/>
    <w:qFormat/>
    <w:uiPriority w:val="0"/>
    <w:rPr>
      <w:rFonts w:ascii="Times New Roman" w:hAnsi="Times New Roman" w:eastAsia="宋体" w:cs="Times New Roman"/>
      <w:i/>
      <w:color w:val="808080"/>
    </w:rPr>
  </w:style>
  <w:style w:type="character" w:customStyle="1" w:styleId="125">
    <w:name w:val="正文文本缩进 3 Char"/>
    <w:basedOn w:val="52"/>
    <w:link w:val="39"/>
    <w:qFormat/>
    <w:uiPriority w:val="0"/>
    <w:rPr>
      <w:rFonts w:ascii="幼圆" w:hAnsi="Times New Roman" w:eastAsia="幼圆" w:cs="Times New Roman"/>
      <w:bCs/>
      <w:color w:val="000000"/>
      <w:sz w:val="28"/>
      <w:szCs w:val="24"/>
    </w:rPr>
  </w:style>
  <w:style w:type="character" w:customStyle="1" w:styleId="126">
    <w:name w:val="纯文本 Char4"/>
    <w:qFormat/>
    <w:uiPriority w:val="0"/>
    <w:rPr>
      <w:rFonts w:ascii="宋体" w:hAnsi="Courier New" w:eastAsia="宋体" w:cs="Courier New"/>
      <w:szCs w:val="21"/>
    </w:rPr>
  </w:style>
  <w:style w:type="character" w:customStyle="1" w:styleId="127">
    <w:name w:val="Intense Quote Char Char"/>
    <w:qFormat/>
    <w:uiPriority w:val="0"/>
    <w:rPr>
      <w:rFonts w:ascii="Times New Roman" w:hAnsi="Times New Roman" w:eastAsia="宋体" w:cs="Times New Roman"/>
      <w:b/>
      <w:bCs/>
      <w:i/>
      <w:iCs/>
      <w:color w:val="4F81BD"/>
      <w:sz w:val="22"/>
    </w:rPr>
  </w:style>
  <w:style w:type="character" w:customStyle="1" w:styleId="128">
    <w:name w:val="批注主题 Char2"/>
    <w:qFormat/>
    <w:uiPriority w:val="0"/>
    <w:rPr>
      <w:rFonts w:ascii="宋体" w:hAnsi="宋体" w:eastAsia="宋体" w:cs="Times New Roman"/>
      <w:b/>
      <w:bCs/>
      <w:kern w:val="2"/>
      <w:sz w:val="21"/>
      <w:szCs w:val="24"/>
    </w:rPr>
  </w:style>
  <w:style w:type="character" w:customStyle="1" w:styleId="129">
    <w:name w:val="标题 9 Char"/>
    <w:link w:val="12"/>
    <w:qFormat/>
    <w:uiPriority w:val="0"/>
    <w:rPr>
      <w:rFonts w:ascii="Arial" w:hAnsi="Arial" w:eastAsia="黑体" w:cs="Times New Roman"/>
      <w:sz w:val="21"/>
    </w:rPr>
  </w:style>
  <w:style w:type="character" w:customStyle="1" w:styleId="130">
    <w:name w:val="明显引用 Char4"/>
    <w:qFormat/>
    <w:uiPriority w:val="0"/>
    <w:rPr>
      <w:rFonts w:ascii="宋体" w:hAnsi="宋体" w:eastAsia="宋体" w:cs="Times New Roman"/>
      <w:b/>
      <w:bCs/>
      <w:i/>
      <w:iCs/>
      <w:color w:val="4F81BD"/>
      <w:szCs w:val="24"/>
    </w:rPr>
  </w:style>
  <w:style w:type="character" w:customStyle="1" w:styleId="131">
    <w:name w:val="正文文本 2 Char"/>
    <w:basedOn w:val="52"/>
    <w:link w:val="42"/>
    <w:qFormat/>
    <w:uiPriority w:val="0"/>
    <w:rPr>
      <w:rFonts w:ascii="宋体" w:hAnsi="宋体" w:eastAsia="宋体" w:cs="Times New Roman"/>
      <w:kern w:val="2"/>
      <w:sz w:val="28"/>
      <w:szCs w:val="24"/>
    </w:rPr>
  </w:style>
  <w:style w:type="character" w:customStyle="1" w:styleId="132">
    <w:name w:val="日期 Char3"/>
    <w:qFormat/>
    <w:uiPriority w:val="0"/>
    <w:rPr>
      <w:rFonts w:ascii="宋体" w:hAnsi="宋体" w:eastAsia="宋体" w:cs="Times New Roman"/>
      <w:szCs w:val="24"/>
    </w:rPr>
  </w:style>
  <w:style w:type="character" w:customStyle="1" w:styleId="133">
    <w:name w:val="Char Char1"/>
    <w:qFormat/>
    <w:uiPriority w:val="0"/>
    <w:rPr>
      <w:rFonts w:hint="eastAsia" w:ascii="System" w:hAnsi="System" w:eastAsia="Times New Roman" w:cs="System"/>
      <w:b/>
      <w:kern w:val="2"/>
      <w:sz w:val="32"/>
      <w:szCs w:val="32"/>
      <w:lang w:val="en-US" w:eastAsia="zh-CN" w:bidi="ar-SA"/>
    </w:rPr>
  </w:style>
  <w:style w:type="character" w:customStyle="1" w:styleId="134">
    <w:name w:val="引用 Char1"/>
    <w:qFormat/>
    <w:uiPriority w:val="0"/>
    <w:rPr>
      <w:rFonts w:ascii="Times New Roman" w:hAnsi="Times New Roman" w:eastAsia="宋体" w:cs="Times New Roman"/>
      <w:i/>
      <w:iCs/>
      <w:color w:val="000000"/>
      <w:kern w:val="2"/>
      <w:sz w:val="21"/>
      <w:szCs w:val="24"/>
    </w:rPr>
  </w:style>
  <w:style w:type="character" w:customStyle="1" w:styleId="135">
    <w:name w:val="标题 4 Char"/>
    <w:link w:val="7"/>
    <w:qFormat/>
    <w:uiPriority w:val="0"/>
    <w:rPr>
      <w:rFonts w:ascii="Arial" w:hAnsi="Arial" w:eastAsia="宋体" w:cs="Times New Roman"/>
      <w:b/>
      <w:bCs/>
      <w:kern w:val="2"/>
      <w:sz w:val="30"/>
      <w:szCs w:val="28"/>
    </w:rPr>
  </w:style>
  <w:style w:type="character" w:customStyle="1" w:styleId="136">
    <w:name w:val="Default Char Char Char"/>
    <w:qFormat/>
    <w:uiPriority w:val="0"/>
    <w:rPr>
      <w:rFonts w:hint="default" w:ascii="Times New Roman" w:hAnsi="Times New Roman" w:eastAsia="宋体" w:cs="Times New Roman"/>
      <w:color w:val="000000"/>
      <w:sz w:val="24"/>
      <w:lang w:val="en-US" w:eastAsia="zh-CN" w:bidi="ar-SA"/>
    </w:rPr>
  </w:style>
  <w:style w:type="character" w:customStyle="1" w:styleId="137">
    <w:name w:val="不明显参考1"/>
    <w:qFormat/>
    <w:uiPriority w:val="0"/>
    <w:rPr>
      <w:rFonts w:ascii="Times New Roman" w:hAnsi="Times New Roman" w:eastAsia="宋体" w:cs="Times New Roman"/>
      <w:smallCaps/>
      <w:color w:val="C0504D"/>
      <w:u w:val="single"/>
    </w:rPr>
  </w:style>
  <w:style w:type="character" w:customStyle="1" w:styleId="138">
    <w:name w:val="Plain Text Char"/>
    <w:qFormat/>
    <w:uiPriority w:val="0"/>
    <w:rPr>
      <w:rFonts w:ascii="宋体" w:hAnsi="Courier New" w:eastAsia="宋体" w:cs="Times New Roman"/>
    </w:rPr>
  </w:style>
  <w:style w:type="character" w:customStyle="1" w:styleId="139">
    <w:name w:val="Char Char10"/>
    <w:qFormat/>
    <w:uiPriority w:val="0"/>
    <w:rPr>
      <w:rFonts w:ascii="宋体" w:hAnsi="Courier New" w:eastAsia="宋体" w:cs="Times New Roman"/>
      <w:kern w:val="2"/>
      <w:sz w:val="21"/>
      <w:lang w:val="en-US" w:eastAsia="zh-CN" w:bidi="ar-SA"/>
    </w:rPr>
  </w:style>
  <w:style w:type="character" w:customStyle="1" w:styleId="140">
    <w:name w:val="Char Char111"/>
    <w:qFormat/>
    <w:uiPriority w:val="0"/>
    <w:rPr>
      <w:rFonts w:ascii="Times New Roman" w:hAnsi="Times New Roman" w:eastAsia="宋体" w:cs="Times New Roman"/>
      <w:kern w:val="2"/>
      <w:sz w:val="24"/>
      <w:lang w:val="en-US" w:eastAsia="zh-CN" w:bidi="ar-SA"/>
    </w:rPr>
  </w:style>
  <w:style w:type="character" w:customStyle="1" w:styleId="141">
    <w:name w:val="HTML 预设格式 Char"/>
    <w:link w:val="44"/>
    <w:qFormat/>
    <w:uiPriority w:val="0"/>
    <w:rPr>
      <w:rFonts w:ascii="Arial" w:hAnsi="Arial" w:eastAsia="宋体" w:cs="Arial"/>
      <w:sz w:val="24"/>
      <w:szCs w:val="24"/>
    </w:rPr>
  </w:style>
  <w:style w:type="character" w:customStyle="1" w:styleId="142">
    <w:name w:val="页脚 Char"/>
    <w:link w:val="32"/>
    <w:qFormat/>
    <w:uiPriority w:val="0"/>
    <w:rPr>
      <w:rFonts w:ascii="Times New Roman" w:hAnsi="Times New Roman" w:eastAsia="宋体" w:cs="Times New Roman"/>
      <w:kern w:val="2"/>
      <w:sz w:val="18"/>
      <w:szCs w:val="18"/>
    </w:rPr>
  </w:style>
  <w:style w:type="character" w:customStyle="1" w:styleId="143">
    <w:name w:val="font31"/>
    <w:qFormat/>
    <w:uiPriority w:val="0"/>
    <w:rPr>
      <w:rFonts w:hint="default" w:ascii="Arial" w:hAnsi="Arial" w:eastAsia="宋体" w:cs="Arial"/>
      <w:color w:val="C0C0C0"/>
      <w:sz w:val="18"/>
      <w:szCs w:val="18"/>
      <w:u w:val="none"/>
    </w:rPr>
  </w:style>
  <w:style w:type="character" w:customStyle="1" w:styleId="144">
    <w:name w:val="标题 6 Char"/>
    <w:link w:val="9"/>
    <w:qFormat/>
    <w:uiPriority w:val="0"/>
    <w:rPr>
      <w:rFonts w:ascii="Arial" w:hAnsi="Arial" w:eastAsia="黑体" w:cs="Times New Roman"/>
      <w:b/>
      <w:sz w:val="24"/>
    </w:rPr>
  </w:style>
  <w:style w:type="character" w:customStyle="1" w:styleId="145">
    <w:name w:val="批注文字 Char"/>
    <w:link w:val="19"/>
    <w:qFormat/>
    <w:uiPriority w:val="0"/>
    <w:rPr>
      <w:rFonts w:ascii="Times New Roman" w:hAnsi="Times New Roman" w:eastAsia="宋体" w:cs="Times New Roman"/>
      <w:kern w:val="2"/>
      <w:sz w:val="21"/>
      <w:szCs w:val="24"/>
    </w:rPr>
  </w:style>
  <w:style w:type="character" w:customStyle="1" w:styleId="146">
    <w:name w:val="tcnt2"/>
    <w:basedOn w:val="52"/>
    <w:qFormat/>
    <w:uiPriority w:val="0"/>
    <w:rPr>
      <w:rFonts w:ascii="Times New Roman" w:hAnsi="Times New Roman" w:eastAsia="宋体" w:cs="Times New Roman"/>
    </w:rPr>
  </w:style>
  <w:style w:type="character" w:customStyle="1" w:styleId="147">
    <w:name w:val="font11"/>
    <w:qFormat/>
    <w:uiPriority w:val="0"/>
    <w:rPr>
      <w:rFonts w:hint="eastAsia" w:ascii="宋体" w:hAnsi="宋体" w:eastAsia="宋体" w:cs="Times New Roman"/>
      <w:color w:val="000000"/>
      <w:sz w:val="20"/>
      <w:szCs w:val="20"/>
      <w:u w:val="single"/>
    </w:rPr>
  </w:style>
  <w:style w:type="character" w:customStyle="1" w:styleId="148">
    <w:name w:val="正文文本缩进 2 Char"/>
    <w:basedOn w:val="52"/>
    <w:link w:val="30"/>
    <w:qFormat/>
    <w:uiPriority w:val="0"/>
    <w:rPr>
      <w:rFonts w:ascii="幼圆" w:hAnsi="Times New Roman" w:eastAsia="幼圆" w:cs="Times New Roman"/>
      <w:kern w:val="2"/>
      <w:sz w:val="28"/>
      <w:szCs w:val="32"/>
    </w:rPr>
  </w:style>
  <w:style w:type="character" w:customStyle="1" w:styleId="149">
    <w:name w:val="页眉 Char Char"/>
    <w:qFormat/>
    <w:uiPriority w:val="0"/>
    <w:rPr>
      <w:rFonts w:ascii="Times New Roman" w:hAnsi="Times New Roman" w:eastAsia="宋体" w:cs="Times New Roman"/>
      <w:sz w:val="18"/>
      <w:szCs w:val="18"/>
      <w:lang w:bidi="ar-SA"/>
    </w:rPr>
  </w:style>
  <w:style w:type="character" w:customStyle="1" w:styleId="150">
    <w:name w:val="明显引用 Char"/>
    <w:link w:val="151"/>
    <w:qFormat/>
    <w:uiPriority w:val="0"/>
    <w:rPr>
      <w:rFonts w:ascii="Times New Roman" w:hAnsi="Times New Roman" w:eastAsia="宋体" w:cs="Times New Roman"/>
      <w:b/>
      <w:bCs/>
      <w:i/>
      <w:iCs/>
      <w:color w:val="4F81BD"/>
      <w:kern w:val="2"/>
      <w:sz w:val="21"/>
      <w:szCs w:val="22"/>
    </w:rPr>
  </w:style>
  <w:style w:type="paragraph" w:styleId="151">
    <w:name w:val="Intense Quote"/>
    <w:basedOn w:val="1"/>
    <w:next w:val="1"/>
    <w:link w:val="150"/>
    <w:qFormat/>
    <w:uiPriority w:val="0"/>
    <w:pPr>
      <w:pBdr>
        <w:bottom w:val="single" w:color="4F81BD" w:sz="4" w:space="4"/>
      </w:pBdr>
      <w:spacing w:before="200" w:after="280"/>
      <w:ind w:left="936" w:right="936"/>
    </w:pPr>
    <w:rPr>
      <w:b/>
      <w:bCs/>
      <w:i/>
      <w:iCs/>
      <w:color w:val="4F81BD"/>
      <w:szCs w:val="22"/>
    </w:rPr>
  </w:style>
  <w:style w:type="character" w:customStyle="1" w:styleId="152">
    <w:name w:val="HTML 预设格式 Char1"/>
    <w:qFormat/>
    <w:uiPriority w:val="0"/>
    <w:rPr>
      <w:rFonts w:ascii="Courier New" w:hAnsi="Courier New" w:eastAsia="宋体" w:cs="Courier New"/>
      <w:color w:val="000000"/>
    </w:rPr>
  </w:style>
  <w:style w:type="character" w:customStyle="1" w:styleId="153">
    <w:name w:val="引用 Char3"/>
    <w:qFormat/>
    <w:uiPriority w:val="0"/>
    <w:rPr>
      <w:rFonts w:ascii="宋体" w:hAnsi="宋体" w:eastAsia="宋体" w:cs="Times New Roman"/>
      <w:i/>
      <w:iCs/>
      <w:color w:val="000000"/>
      <w:szCs w:val="24"/>
    </w:rPr>
  </w:style>
  <w:style w:type="character" w:customStyle="1" w:styleId="154">
    <w:name w:val="正文文本缩进 Char4"/>
    <w:basedOn w:val="52"/>
    <w:link w:val="3"/>
    <w:qFormat/>
    <w:uiPriority w:val="0"/>
    <w:rPr>
      <w:rFonts w:ascii="宋体" w:hAnsi="Times New Roman" w:eastAsia="宋体" w:cs="Times New Roman"/>
      <w:color w:val="000000"/>
      <w:sz w:val="32"/>
      <w:szCs w:val="32"/>
    </w:rPr>
  </w:style>
  <w:style w:type="character" w:customStyle="1" w:styleId="155">
    <w:name w:val="标题 7 Char Char"/>
    <w:qFormat/>
    <w:uiPriority w:val="0"/>
    <w:rPr>
      <w:rFonts w:ascii="Calibri" w:hAnsi="Calibri" w:eastAsia="宋体" w:cs="Times New Roman"/>
      <w:b/>
      <w:bCs/>
      <w:kern w:val="2"/>
      <w:sz w:val="24"/>
      <w:szCs w:val="24"/>
      <w:lang w:val="en-US" w:eastAsia="zh-CN" w:bidi="ar-SA"/>
    </w:rPr>
  </w:style>
  <w:style w:type="character" w:customStyle="1" w:styleId="156">
    <w:name w:val="纯文本 Char"/>
    <w:link w:val="27"/>
    <w:qFormat/>
    <w:uiPriority w:val="0"/>
    <w:rPr>
      <w:rFonts w:ascii="宋体" w:hAnsi="Courier New" w:eastAsia="宋体" w:cs="Times New Roman"/>
      <w:kern w:val="2"/>
      <w:sz w:val="11"/>
    </w:rPr>
  </w:style>
  <w:style w:type="character" w:customStyle="1" w:styleId="157">
    <w:name w:val="标题-4 Char Char"/>
    <w:qFormat/>
    <w:uiPriority w:val="0"/>
    <w:rPr>
      <w:rFonts w:ascii="Times New Roman" w:hAnsi="Times New Roman" w:eastAsia="宋体" w:cs="Times New Roman"/>
      <w:b/>
      <w:color w:val="000000"/>
      <w:kern w:val="2"/>
      <w:sz w:val="21"/>
      <w:szCs w:val="21"/>
    </w:rPr>
  </w:style>
  <w:style w:type="character" w:customStyle="1" w:styleId="158">
    <w:name w:val="标题5 Char Char"/>
    <w:link w:val="159"/>
    <w:qFormat/>
    <w:uiPriority w:val="0"/>
    <w:rPr>
      <w:rFonts w:ascii="Arial" w:hAnsi="Arial" w:eastAsia="宋体" w:cs="Times New Roman"/>
      <w:b/>
      <w:bCs/>
      <w:sz w:val="24"/>
      <w:szCs w:val="32"/>
    </w:rPr>
  </w:style>
  <w:style w:type="paragraph" w:customStyle="1" w:styleId="159">
    <w:name w:val="标题5"/>
    <w:basedOn w:val="6"/>
    <w:link w:val="158"/>
    <w:qFormat/>
    <w:uiPriority w:val="0"/>
    <w:pPr>
      <w:spacing w:line="413" w:lineRule="auto"/>
    </w:pPr>
    <w:rPr>
      <w:rFonts w:ascii="Arial" w:hAnsi="Arial"/>
      <w:kern w:val="0"/>
      <w:sz w:val="24"/>
    </w:rPr>
  </w:style>
  <w:style w:type="character" w:customStyle="1" w:styleId="160">
    <w:name w:val="正文首行缩进 Char"/>
    <w:basedOn w:val="84"/>
    <w:link w:val="49"/>
    <w:qFormat/>
    <w:uiPriority w:val="0"/>
    <w:rPr>
      <w:rFonts w:ascii="MingLiU_HKSCS" w:hAnsi="MingLiU_HKSCS" w:eastAsia="MingLiU_HKSCS" w:cs="Times New Roman"/>
      <w:color w:val="000000"/>
      <w:kern w:val="2"/>
      <w:sz w:val="36"/>
      <w:szCs w:val="24"/>
      <w:lang w:eastAsia="en-US"/>
    </w:rPr>
  </w:style>
  <w:style w:type="character" w:customStyle="1" w:styleId="161">
    <w:name w:val="副标题 Char1"/>
    <w:qFormat/>
    <w:uiPriority w:val="0"/>
    <w:rPr>
      <w:rFonts w:ascii="Cambria" w:hAnsi="Cambria" w:eastAsia="宋体" w:cs="Times New Roman"/>
      <w:b/>
      <w:bCs/>
      <w:kern w:val="28"/>
      <w:sz w:val="32"/>
      <w:szCs w:val="32"/>
    </w:rPr>
  </w:style>
  <w:style w:type="character" w:customStyle="1" w:styleId="162">
    <w:name w:val="文档结构图 Char"/>
    <w:link w:val="18"/>
    <w:qFormat/>
    <w:uiPriority w:val="0"/>
    <w:rPr>
      <w:rFonts w:ascii="Times New Roman" w:hAnsi="Times New Roman" w:eastAsia="宋体" w:cs="Times New Roman"/>
      <w:kern w:val="2"/>
      <w:sz w:val="21"/>
      <w:szCs w:val="24"/>
      <w:shd w:val="clear" w:color="auto" w:fill="000080"/>
    </w:rPr>
  </w:style>
  <w:style w:type="character" w:customStyle="1" w:styleId="163">
    <w:name w:val="日期 Char1"/>
    <w:qFormat/>
    <w:uiPriority w:val="0"/>
    <w:rPr>
      <w:rFonts w:ascii="Times New Roman" w:hAnsi="Times New Roman" w:eastAsia="宋体" w:cs="Times New Roman"/>
      <w:kern w:val="2"/>
      <w:sz w:val="21"/>
      <w:szCs w:val="22"/>
    </w:rPr>
  </w:style>
  <w:style w:type="character" w:customStyle="1" w:styleId="164">
    <w:name w:val="标题 Char Char"/>
    <w:qFormat/>
    <w:uiPriority w:val="0"/>
    <w:rPr>
      <w:rFonts w:ascii="Cambria" w:hAnsi="Cambria" w:eastAsia="宋体" w:cs="Times New Roman"/>
      <w:b/>
      <w:bCs/>
      <w:sz w:val="32"/>
      <w:szCs w:val="32"/>
      <w:lang w:bidi="ar-SA"/>
    </w:rPr>
  </w:style>
  <w:style w:type="character" w:customStyle="1" w:styleId="165">
    <w:name w:val="明显参考1"/>
    <w:qFormat/>
    <w:uiPriority w:val="0"/>
    <w:rPr>
      <w:rFonts w:ascii="Times New Roman" w:hAnsi="Times New Roman" w:eastAsia="宋体" w:cs="Times New Roman"/>
      <w:b/>
      <w:bCs/>
      <w:smallCaps/>
      <w:color w:val="C0504D"/>
      <w:spacing w:val="5"/>
      <w:u w:val="single"/>
    </w:rPr>
  </w:style>
  <w:style w:type="character" w:customStyle="1" w:styleId="166">
    <w:name w:val="日期 Char2"/>
    <w:qFormat/>
    <w:uiPriority w:val="0"/>
    <w:rPr>
      <w:rFonts w:ascii="宋体" w:hAnsi="宋体" w:eastAsia="宋体" w:cs="Times New Roman"/>
      <w:kern w:val="2"/>
      <w:sz w:val="21"/>
      <w:szCs w:val="24"/>
    </w:rPr>
  </w:style>
  <w:style w:type="character" w:customStyle="1" w:styleId="167">
    <w:name w:val="批注主题 Char"/>
    <w:link w:val="48"/>
    <w:qFormat/>
    <w:uiPriority w:val="0"/>
    <w:rPr>
      <w:rFonts w:ascii="宋体" w:hAnsi="Times New Roman" w:eastAsia="宋体" w:cs="Times New Roman"/>
      <w:b/>
      <w:bCs/>
      <w:kern w:val="2"/>
      <w:sz w:val="28"/>
      <w:szCs w:val="24"/>
    </w:rPr>
  </w:style>
  <w:style w:type="character" w:customStyle="1" w:styleId="168">
    <w:name w:val="文档结构图 Char2"/>
    <w:qFormat/>
    <w:uiPriority w:val="0"/>
    <w:rPr>
      <w:rFonts w:ascii="宋体" w:hAnsi="Calibri" w:eastAsia="宋体" w:cs="Times New Roman"/>
      <w:sz w:val="18"/>
      <w:szCs w:val="18"/>
    </w:rPr>
  </w:style>
  <w:style w:type="character" w:customStyle="1" w:styleId="169">
    <w:name w:val="页眉 Char1"/>
    <w:qFormat/>
    <w:uiPriority w:val="0"/>
    <w:rPr>
      <w:rFonts w:ascii="Times New Roman" w:hAnsi="Times New Roman" w:eastAsia="宋体" w:cs="Times New Roman"/>
      <w:kern w:val="2"/>
      <w:sz w:val="18"/>
      <w:szCs w:val="18"/>
    </w:rPr>
  </w:style>
  <w:style w:type="character" w:customStyle="1" w:styleId="170">
    <w:name w:val="副标题 Char"/>
    <w:link w:val="36"/>
    <w:qFormat/>
    <w:uiPriority w:val="0"/>
    <w:rPr>
      <w:rFonts w:ascii="Cambria" w:hAnsi="Cambria" w:eastAsia="宋体" w:cs="Times New Roman"/>
      <w:b/>
      <w:bCs/>
      <w:kern w:val="28"/>
      <w:sz w:val="32"/>
      <w:szCs w:val="32"/>
    </w:rPr>
  </w:style>
  <w:style w:type="character" w:customStyle="1" w:styleId="171">
    <w:name w:val="正文文本缩进 2 Char3"/>
    <w:qFormat/>
    <w:uiPriority w:val="0"/>
    <w:rPr>
      <w:rFonts w:ascii="宋体" w:hAnsi="宋体" w:eastAsia="宋体" w:cs="Times New Roman"/>
      <w:szCs w:val="24"/>
    </w:rPr>
  </w:style>
  <w:style w:type="character" w:customStyle="1" w:styleId="172">
    <w:name w:val="font41"/>
    <w:qFormat/>
    <w:uiPriority w:val="0"/>
    <w:rPr>
      <w:rFonts w:hint="eastAsia" w:ascii="宋体" w:hAnsi="宋体" w:eastAsia="宋体" w:cs="Times New Roman"/>
      <w:color w:val="C0C0C0"/>
      <w:sz w:val="18"/>
      <w:szCs w:val="18"/>
      <w:u w:val="none"/>
    </w:rPr>
  </w:style>
  <w:style w:type="character" w:customStyle="1" w:styleId="173">
    <w:name w:val="批注框文本 Char1"/>
    <w:qFormat/>
    <w:uiPriority w:val="0"/>
    <w:rPr>
      <w:rFonts w:ascii="Times New Roman" w:hAnsi="Times New Roman" w:eastAsia="宋体" w:cs="Times New Roman"/>
      <w:kern w:val="2"/>
      <w:sz w:val="18"/>
      <w:szCs w:val="18"/>
    </w:rPr>
  </w:style>
  <w:style w:type="character" w:customStyle="1" w:styleId="174">
    <w:name w:val="Quote Char Char"/>
    <w:qFormat/>
    <w:uiPriority w:val="0"/>
    <w:rPr>
      <w:rFonts w:ascii="Times New Roman" w:hAnsi="Times New Roman" w:eastAsia="宋体" w:cs="Times New Roman"/>
      <w:i/>
      <w:iCs/>
      <w:color w:val="000000"/>
      <w:sz w:val="22"/>
    </w:rPr>
  </w:style>
  <w:style w:type="character" w:customStyle="1" w:styleId="175">
    <w:name w:val="style9"/>
    <w:qFormat/>
    <w:uiPriority w:val="0"/>
    <w:rPr>
      <w:rFonts w:ascii="Times New Roman" w:hAnsi="Times New Roman" w:eastAsia="宋体" w:cs="Times New Roman"/>
    </w:rPr>
  </w:style>
  <w:style w:type="character" w:customStyle="1" w:styleId="176">
    <w:name w:val="Char Char24"/>
    <w:qFormat/>
    <w:uiPriority w:val="0"/>
    <w:rPr>
      <w:rFonts w:ascii="Times New Roman" w:hAnsi="Times New Roman" w:eastAsia="新宋体" w:cs="Times New Roman"/>
      <w:b/>
      <w:bCs/>
      <w:kern w:val="44"/>
      <w:sz w:val="44"/>
      <w:szCs w:val="44"/>
      <w:lang w:val="en-US" w:eastAsia="zh-CN" w:bidi="ar-SA"/>
    </w:rPr>
  </w:style>
  <w:style w:type="character" w:customStyle="1" w:styleId="177">
    <w:name w:val="标题 8 Char Char"/>
    <w:qFormat/>
    <w:uiPriority w:val="0"/>
    <w:rPr>
      <w:rFonts w:ascii="Cambria" w:hAnsi="Cambria" w:eastAsia="宋体" w:cs="Times New Roman"/>
      <w:kern w:val="2"/>
      <w:sz w:val="24"/>
      <w:szCs w:val="24"/>
      <w:lang w:val="en-US" w:eastAsia="zh-CN" w:bidi="ar-SA"/>
    </w:rPr>
  </w:style>
  <w:style w:type="character" w:customStyle="1" w:styleId="178">
    <w:name w:val="页眉 Char"/>
    <w:link w:val="33"/>
    <w:qFormat/>
    <w:uiPriority w:val="0"/>
    <w:rPr>
      <w:rFonts w:ascii="Times New Roman" w:hAnsi="Times New Roman" w:eastAsia="宋体" w:cs="Times New Roman"/>
      <w:kern w:val="2"/>
      <w:sz w:val="18"/>
      <w:szCs w:val="18"/>
    </w:rPr>
  </w:style>
  <w:style w:type="character" w:customStyle="1" w:styleId="179">
    <w:name w:val="纯文本 Char1"/>
    <w:qFormat/>
    <w:uiPriority w:val="0"/>
    <w:rPr>
      <w:rFonts w:ascii="宋体" w:hAnsi="Courier New" w:eastAsia="宋体" w:cs="Courier New"/>
      <w:szCs w:val="21"/>
    </w:rPr>
  </w:style>
  <w:style w:type="character" w:customStyle="1" w:styleId="180">
    <w:name w:val="明显引用 Char2"/>
    <w:qFormat/>
    <w:uiPriority w:val="0"/>
    <w:rPr>
      <w:rFonts w:ascii="宋体" w:hAnsi="宋体" w:eastAsia="宋体" w:cs="Times New Roman"/>
      <w:b/>
      <w:bCs/>
      <w:i/>
      <w:iCs/>
      <w:color w:val="4F81BD"/>
      <w:kern w:val="2"/>
      <w:sz w:val="21"/>
      <w:szCs w:val="24"/>
    </w:rPr>
  </w:style>
  <w:style w:type="character" w:customStyle="1" w:styleId="181">
    <w:name w:val="标题 5 Char"/>
    <w:link w:val="8"/>
    <w:qFormat/>
    <w:uiPriority w:val="0"/>
    <w:rPr>
      <w:rFonts w:ascii="Times New Roman" w:hAnsi="Times New Roman" w:eastAsia="宋体" w:cs="Times New Roman"/>
      <w:b/>
      <w:sz w:val="28"/>
    </w:rPr>
  </w:style>
  <w:style w:type="character" w:customStyle="1" w:styleId="182">
    <w:name w:val="正文文本缩进 Char3"/>
    <w:qFormat/>
    <w:uiPriority w:val="0"/>
    <w:rPr>
      <w:rFonts w:ascii="宋体" w:hAnsi="宋体" w:eastAsia="宋体" w:cs="Times New Roman"/>
      <w:szCs w:val="24"/>
    </w:rPr>
  </w:style>
  <w:style w:type="character" w:customStyle="1" w:styleId="183">
    <w:name w:val="正文文本 Char1"/>
    <w:qFormat/>
    <w:uiPriority w:val="0"/>
    <w:rPr>
      <w:rFonts w:ascii="Times New Roman" w:hAnsi="Times New Roman" w:eastAsia="宋体" w:cs="Times New Roman"/>
      <w:kern w:val="2"/>
      <w:sz w:val="21"/>
      <w:szCs w:val="22"/>
    </w:rPr>
  </w:style>
  <w:style w:type="character" w:customStyle="1" w:styleId="184">
    <w:name w:val="明显引用 Char3"/>
    <w:qFormat/>
    <w:uiPriority w:val="0"/>
    <w:rPr>
      <w:rFonts w:ascii="宋体" w:hAnsi="宋体" w:eastAsia="宋体" w:cs="Times New Roman"/>
      <w:b/>
      <w:bCs/>
      <w:i/>
      <w:iCs/>
      <w:color w:val="4F81BD"/>
      <w:szCs w:val="24"/>
    </w:rPr>
  </w:style>
  <w:style w:type="character" w:customStyle="1" w:styleId="185">
    <w:name w:val="正文文本 Char2"/>
    <w:qFormat/>
    <w:uiPriority w:val="0"/>
    <w:rPr>
      <w:rFonts w:ascii="宋体" w:hAnsi="宋体" w:eastAsia="宋体" w:cs="Times New Roman"/>
      <w:kern w:val="2"/>
      <w:sz w:val="21"/>
      <w:szCs w:val="24"/>
    </w:rPr>
  </w:style>
  <w:style w:type="character" w:customStyle="1" w:styleId="186">
    <w:name w:val="标题 3 Char1"/>
    <w:qFormat/>
    <w:uiPriority w:val="0"/>
    <w:rPr>
      <w:rFonts w:hint="default" w:ascii="Times New Roman" w:hAnsi="Times New Roman" w:eastAsia="宋体" w:cs="Times New Roman"/>
      <w:b/>
      <w:color w:val="000000"/>
      <w:sz w:val="21"/>
    </w:rPr>
  </w:style>
  <w:style w:type="character" w:customStyle="1" w:styleId="187">
    <w:name w:val="正文文本 3 Char2"/>
    <w:qFormat/>
    <w:uiPriority w:val="0"/>
    <w:rPr>
      <w:rFonts w:ascii="宋体" w:hAnsi="宋体" w:eastAsia="宋体" w:cs="Times New Roman"/>
      <w:kern w:val="2"/>
      <w:sz w:val="16"/>
      <w:szCs w:val="16"/>
    </w:rPr>
  </w:style>
  <w:style w:type="character" w:customStyle="1" w:styleId="188">
    <w:name w:val="标题 1 Char Char"/>
    <w:qFormat/>
    <w:uiPriority w:val="0"/>
    <w:rPr>
      <w:rFonts w:ascii="Times New Roman" w:hAnsi="Times New Roman" w:eastAsia="新宋体" w:cs="Times New Roman"/>
      <w:b/>
      <w:bCs/>
      <w:kern w:val="44"/>
      <w:sz w:val="44"/>
      <w:szCs w:val="44"/>
      <w:lang w:val="en-US" w:eastAsia="zh-CN" w:bidi="ar-SA"/>
    </w:rPr>
  </w:style>
  <w:style w:type="character" w:customStyle="1" w:styleId="189">
    <w:name w:val="标题4 Char Char"/>
    <w:link w:val="190"/>
    <w:qFormat/>
    <w:uiPriority w:val="0"/>
    <w:rPr>
      <w:rFonts w:ascii="Arial" w:hAnsi="Arial" w:eastAsia="宋体" w:cs="Times New Roman"/>
      <w:b/>
      <w:bCs/>
      <w:sz w:val="24"/>
      <w:szCs w:val="32"/>
    </w:rPr>
  </w:style>
  <w:style w:type="paragraph" w:customStyle="1" w:styleId="190">
    <w:name w:val="标题4"/>
    <w:basedOn w:val="5"/>
    <w:next w:val="24"/>
    <w:link w:val="189"/>
    <w:qFormat/>
    <w:uiPriority w:val="0"/>
    <w:pPr>
      <w:keepLines/>
      <w:numPr>
        <w:numId w:val="0"/>
      </w:numPr>
      <w:spacing w:before="260" w:after="260" w:line="413" w:lineRule="auto"/>
    </w:pPr>
    <w:rPr>
      <w:rFonts w:ascii="Arial" w:hAnsi="Arial" w:eastAsia="宋体"/>
      <w:b/>
      <w:bCs/>
      <w:kern w:val="0"/>
      <w:sz w:val="24"/>
      <w:szCs w:val="32"/>
    </w:rPr>
  </w:style>
  <w:style w:type="character" w:customStyle="1" w:styleId="191">
    <w:name w:val="标题 6 Char Char"/>
    <w:qFormat/>
    <w:uiPriority w:val="0"/>
    <w:rPr>
      <w:rFonts w:ascii="Arial" w:hAnsi="Arial" w:eastAsia="黑体" w:cs="Times New Roman"/>
      <w:b/>
      <w:bCs/>
      <w:kern w:val="2"/>
      <w:sz w:val="24"/>
      <w:szCs w:val="24"/>
      <w:lang w:val="en-US" w:eastAsia="zh-CN" w:bidi="ar-SA"/>
    </w:rPr>
  </w:style>
  <w:style w:type="character" w:customStyle="1" w:styleId="192">
    <w:name w:val="批注框文本 Char Char"/>
    <w:qFormat/>
    <w:uiPriority w:val="0"/>
    <w:rPr>
      <w:rFonts w:ascii="宋体" w:hAnsi="Times New Roman" w:eastAsia="宋体" w:cs="Times New Roman"/>
      <w:sz w:val="18"/>
      <w:szCs w:val="18"/>
      <w:lang w:bidi="ar-SA"/>
    </w:rPr>
  </w:style>
  <w:style w:type="character" w:customStyle="1" w:styleId="193">
    <w:name w:val="标题 Char4"/>
    <w:qFormat/>
    <w:uiPriority w:val="0"/>
    <w:rPr>
      <w:rFonts w:ascii="Cambria" w:hAnsi="Cambria" w:eastAsia="宋体" w:cs="Times New Roman"/>
      <w:b/>
      <w:bCs/>
      <w:sz w:val="32"/>
      <w:szCs w:val="32"/>
    </w:rPr>
  </w:style>
  <w:style w:type="character" w:customStyle="1" w:styleId="194">
    <w:name w:val="charchar19"/>
    <w:qFormat/>
    <w:uiPriority w:val="0"/>
    <w:rPr>
      <w:rFonts w:hint="default" w:ascii="Cambria" w:hAnsi="Cambria" w:eastAsia="Cambria" w:cs="Cambria"/>
      <w:b/>
      <w:i/>
      <w:color w:val="4F81BD"/>
    </w:rPr>
  </w:style>
  <w:style w:type="character" w:customStyle="1" w:styleId="195">
    <w:name w:val="页脚 Char Char"/>
    <w:qFormat/>
    <w:uiPriority w:val="0"/>
    <w:rPr>
      <w:rFonts w:ascii="Times New Roman" w:hAnsi="Times New Roman" w:eastAsia="宋体" w:cs="Times New Roman"/>
      <w:sz w:val="18"/>
      <w:szCs w:val="18"/>
      <w:lang w:bidi="ar-SA"/>
    </w:rPr>
  </w:style>
  <w:style w:type="character" w:customStyle="1" w:styleId="196">
    <w:name w:val="标题 5 Char Char"/>
    <w:qFormat/>
    <w:uiPriority w:val="0"/>
    <w:rPr>
      <w:rFonts w:ascii="Times New Roman" w:hAnsi="Times New Roman" w:eastAsia="宋体" w:cs="Times New Roman"/>
      <w:b/>
      <w:bCs/>
      <w:kern w:val="2"/>
      <w:sz w:val="28"/>
      <w:szCs w:val="28"/>
      <w:lang w:val="en-US" w:eastAsia="zh-CN" w:bidi="ar-SA"/>
    </w:rPr>
  </w:style>
  <w:style w:type="character" w:customStyle="1" w:styleId="197">
    <w:name w:val="正文文本 3 Char"/>
    <w:basedOn w:val="52"/>
    <w:link w:val="21"/>
    <w:qFormat/>
    <w:uiPriority w:val="0"/>
    <w:rPr>
      <w:rFonts w:ascii="宋体" w:hAnsi="宋体" w:eastAsia="宋体" w:cs="Times New Roman"/>
      <w:b/>
      <w:bCs/>
      <w:color w:val="000000"/>
      <w:sz w:val="48"/>
      <w:szCs w:val="44"/>
    </w:rPr>
  </w:style>
  <w:style w:type="character" w:customStyle="1" w:styleId="198">
    <w:name w:val="正文文本 3 Char3"/>
    <w:qFormat/>
    <w:uiPriority w:val="0"/>
    <w:rPr>
      <w:rFonts w:ascii="宋体" w:hAnsi="宋体" w:eastAsia="宋体" w:cs="Times New Roman"/>
      <w:sz w:val="16"/>
      <w:szCs w:val="16"/>
    </w:rPr>
  </w:style>
  <w:style w:type="character" w:customStyle="1" w:styleId="199">
    <w:name w:val="charchar20"/>
    <w:qFormat/>
    <w:uiPriority w:val="0"/>
    <w:rPr>
      <w:rFonts w:hint="eastAsia" w:ascii="新宋体" w:hAnsi="新宋体" w:eastAsia="新宋体" w:cs="新宋体"/>
      <w:b/>
      <w:snapToGrid w:val="0"/>
    </w:rPr>
  </w:style>
  <w:style w:type="character" w:customStyle="1" w:styleId="200">
    <w:name w:val="标题 1 Char1"/>
    <w:qFormat/>
    <w:uiPriority w:val="0"/>
    <w:rPr>
      <w:rFonts w:hint="default" w:ascii="Times New Roman" w:hAnsi="Times New Roman" w:eastAsia="宋体" w:cs="Times New Roman"/>
      <w:b/>
      <w:color w:val="000000"/>
      <w:kern w:val="44"/>
      <w:sz w:val="32"/>
    </w:rPr>
  </w:style>
  <w:style w:type="character" w:customStyle="1" w:styleId="201">
    <w:name w:val="Char Char"/>
    <w:qFormat/>
    <w:uiPriority w:val="0"/>
    <w:rPr>
      <w:rFonts w:hint="default" w:ascii="Times New Roman" w:hAnsi="Times New Roman" w:eastAsia="Times New Roman" w:cs="Times New Roman"/>
      <w:kern w:val="2"/>
      <w:sz w:val="28"/>
      <w:szCs w:val="24"/>
      <w:lang w:val="en-US" w:eastAsia="zh-CN" w:bidi="ar-SA"/>
    </w:rPr>
  </w:style>
  <w:style w:type="character" w:customStyle="1" w:styleId="202">
    <w:name w:val="charchar3"/>
    <w:qFormat/>
    <w:uiPriority w:val="0"/>
    <w:rPr>
      <w:rFonts w:hint="default" w:ascii="Calibri" w:hAnsi="Calibri" w:eastAsia="宋体" w:cs="Calibri"/>
      <w:color w:val="000000"/>
    </w:rPr>
  </w:style>
  <w:style w:type="character" w:customStyle="1" w:styleId="203">
    <w:name w:val="A4 Char"/>
    <w:link w:val="204"/>
    <w:qFormat/>
    <w:uiPriority w:val="0"/>
    <w:rPr>
      <w:rFonts w:ascii="宋体" w:hAnsi="宋体" w:eastAsia="宋体" w:cs="Times New Roman"/>
      <w:color w:val="FF0000"/>
      <w:sz w:val="24"/>
      <w:szCs w:val="24"/>
    </w:rPr>
  </w:style>
  <w:style w:type="paragraph" w:customStyle="1" w:styleId="204">
    <w:name w:val="A4"/>
    <w:basedOn w:val="205"/>
    <w:link w:val="203"/>
    <w:qFormat/>
    <w:uiPriority w:val="0"/>
    <w:pPr>
      <w:spacing w:line="360" w:lineRule="auto"/>
      <w:ind w:left="719" w:leftChars="171" w:right="210" w:hanging="360" w:hangingChars="150"/>
    </w:pPr>
    <w:rPr>
      <w:rFonts w:ascii="宋体" w:hAnsi="宋体"/>
      <w:color w:val="FF0000"/>
      <w:kern w:val="0"/>
      <w:sz w:val="24"/>
      <w:szCs w:val="24"/>
    </w:rPr>
  </w:style>
  <w:style w:type="paragraph" w:customStyle="1" w:styleId="205">
    <w:name w:val="列出段落2"/>
    <w:basedOn w:val="1"/>
    <w:qFormat/>
    <w:uiPriority w:val="0"/>
    <w:pPr>
      <w:ind w:firstLine="420" w:firstLineChars="200"/>
    </w:pPr>
    <w:rPr>
      <w:rFonts w:ascii="Calibri" w:hAnsi="Calibri"/>
      <w:szCs w:val="22"/>
    </w:rPr>
  </w:style>
  <w:style w:type="character" w:customStyle="1" w:styleId="206">
    <w:name w:val="Char Char7"/>
    <w:qFormat/>
    <w:uiPriority w:val="0"/>
    <w:rPr>
      <w:rFonts w:ascii="Times New Roman" w:hAnsi="Times New Roman" w:eastAsia="宋体" w:cs="Times New Roman"/>
      <w:sz w:val="24"/>
      <w:lang w:bidi="ar-SA"/>
    </w:rPr>
  </w:style>
  <w:style w:type="character" w:customStyle="1" w:styleId="207">
    <w:name w:val="正文文本 2 Char2"/>
    <w:qFormat/>
    <w:uiPriority w:val="0"/>
    <w:rPr>
      <w:rFonts w:ascii="宋体" w:hAnsi="宋体" w:eastAsia="宋体" w:cs="Times New Roman"/>
      <w:kern w:val="2"/>
      <w:sz w:val="21"/>
      <w:szCs w:val="24"/>
    </w:rPr>
  </w:style>
  <w:style w:type="character" w:customStyle="1" w:styleId="208">
    <w:name w:val="Default Char Char"/>
    <w:qFormat/>
    <w:uiPriority w:val="0"/>
    <w:rPr>
      <w:rFonts w:hint="default" w:ascii="Times New Roman" w:hAnsi="Times New Roman" w:eastAsia="宋体" w:cs="Times New Roman"/>
      <w:color w:val="000000"/>
      <w:sz w:val="24"/>
      <w:szCs w:val="24"/>
      <w:lang w:val="en-US" w:eastAsia="zh-CN" w:bidi="ar-SA"/>
    </w:rPr>
  </w:style>
  <w:style w:type="character" w:customStyle="1" w:styleId="209">
    <w:name w:val="正文文本缩进 2 Char4"/>
    <w:qFormat/>
    <w:uiPriority w:val="0"/>
    <w:rPr>
      <w:rFonts w:ascii="宋体" w:hAnsi="宋体" w:eastAsia="宋体" w:cs="Times New Roman"/>
      <w:szCs w:val="24"/>
    </w:rPr>
  </w:style>
  <w:style w:type="character" w:customStyle="1" w:styleId="210">
    <w:name w:val="3zw1"/>
    <w:qFormat/>
    <w:uiPriority w:val="0"/>
    <w:rPr>
      <w:rFonts w:ascii="Times New Roman" w:hAnsi="Times New Roman" w:eastAsia="宋体" w:cs="Times New Roman"/>
      <w:color w:val="000000"/>
      <w:sz w:val="21"/>
      <w:szCs w:val="21"/>
    </w:rPr>
  </w:style>
  <w:style w:type="character" w:customStyle="1" w:styleId="211">
    <w:name w:val="明显引用 Char Char"/>
    <w:qFormat/>
    <w:uiPriority w:val="0"/>
    <w:rPr>
      <w:rFonts w:ascii="Times New Roman" w:hAnsi="Times New Roman" w:eastAsia="宋体" w:cs="Times New Roman"/>
      <w:b/>
      <w:bCs/>
      <w:i/>
      <w:iCs/>
      <w:color w:val="4F81BD"/>
      <w:lang w:bidi="ar-SA"/>
    </w:rPr>
  </w:style>
  <w:style w:type="character" w:customStyle="1" w:styleId="212">
    <w:name w:val="标题 2 Char1"/>
    <w:qFormat/>
    <w:uiPriority w:val="0"/>
    <w:rPr>
      <w:rFonts w:hint="eastAsia" w:ascii="黑体" w:hAnsi="宋体" w:eastAsia="MingLiU_HKSCS" w:cs="黑体"/>
      <w:b/>
      <w:kern w:val="2"/>
      <w:sz w:val="32"/>
      <w:szCs w:val="32"/>
      <w:lang w:val="en-US" w:eastAsia="zh-CN" w:bidi="ar-SA"/>
    </w:rPr>
  </w:style>
  <w:style w:type="character" w:customStyle="1" w:styleId="213">
    <w:name w:val="charchar17"/>
    <w:qFormat/>
    <w:uiPriority w:val="0"/>
    <w:rPr>
      <w:rFonts w:hint="default" w:ascii="Cambria" w:hAnsi="Cambria" w:eastAsia="Cambria" w:cs="Cambria"/>
      <w:i/>
      <w:color w:val="243F60"/>
    </w:rPr>
  </w:style>
  <w:style w:type="character" w:customStyle="1" w:styleId="214">
    <w:name w:val="页脚 Char2"/>
    <w:qFormat/>
    <w:uiPriority w:val="0"/>
    <w:rPr>
      <w:rFonts w:ascii="Times New Roman" w:hAnsi="Times New Roman" w:eastAsia="宋体" w:cs="Times New Roman"/>
      <w:kern w:val="2"/>
      <w:sz w:val="18"/>
      <w:szCs w:val="18"/>
    </w:rPr>
  </w:style>
  <w:style w:type="character" w:customStyle="1" w:styleId="215">
    <w:name w:val="HTML 预设格式 Char2"/>
    <w:qFormat/>
    <w:uiPriority w:val="0"/>
    <w:rPr>
      <w:rFonts w:ascii="Courier New" w:hAnsi="Courier New" w:eastAsia="宋体" w:cs="Courier New"/>
      <w:kern w:val="2"/>
    </w:rPr>
  </w:style>
  <w:style w:type="character" w:customStyle="1" w:styleId="216">
    <w:name w:val="px141"/>
    <w:qFormat/>
    <w:uiPriority w:val="0"/>
    <w:rPr>
      <w:rFonts w:hint="default" w:ascii="Century Gothic" w:hAnsi="Century Gothic" w:eastAsia="Century Gothic" w:cs="Century Gothic"/>
      <w:sz w:val="21"/>
    </w:rPr>
  </w:style>
  <w:style w:type="character" w:customStyle="1" w:styleId="217">
    <w:name w:val="Char Char3"/>
    <w:qFormat/>
    <w:uiPriority w:val="0"/>
    <w:rPr>
      <w:rFonts w:hint="default" w:ascii="Times New Roman" w:hAnsi="Times New Roman" w:eastAsia="Times New Roman" w:cs="Times New Roman"/>
      <w:b/>
      <w:kern w:val="44"/>
      <w:sz w:val="44"/>
      <w:szCs w:val="44"/>
      <w:lang w:val="en-US" w:eastAsia="zh-CN" w:bidi="ar-SA"/>
    </w:rPr>
  </w:style>
  <w:style w:type="character" w:customStyle="1" w:styleId="218">
    <w:name w:val="charchar15"/>
    <w:qFormat/>
    <w:uiPriority w:val="0"/>
    <w:rPr>
      <w:rFonts w:hint="default" w:ascii="Cambria" w:hAnsi="Cambria" w:eastAsia="Cambria" w:cs="Cambria"/>
      <w:color w:val="4F81BD"/>
    </w:rPr>
  </w:style>
  <w:style w:type="character" w:customStyle="1" w:styleId="219">
    <w:name w:val="不明显参考2"/>
    <w:qFormat/>
    <w:uiPriority w:val="0"/>
    <w:rPr>
      <w:rFonts w:ascii="Times New Roman" w:hAnsi="Times New Roman" w:eastAsia="宋体" w:cs="Times New Roman"/>
      <w:smallCaps/>
      <w:color w:val="C0504D"/>
      <w:u w:val="single"/>
    </w:rPr>
  </w:style>
  <w:style w:type="character" w:customStyle="1" w:styleId="220">
    <w:name w:val="Char Char6"/>
    <w:qFormat/>
    <w:uiPriority w:val="0"/>
    <w:rPr>
      <w:rFonts w:hint="default" w:ascii="Times New Roman" w:hAnsi="Arial Unicode MS" w:eastAsia="Times New Roman" w:cs="Times New Roman"/>
      <w:kern w:val="2"/>
      <w:sz w:val="21"/>
      <w:lang w:val="en-US" w:eastAsia="zh-CN" w:bidi="ar-SA"/>
    </w:rPr>
  </w:style>
  <w:style w:type="character" w:customStyle="1" w:styleId="221">
    <w:name w:val="副标题 Char Char"/>
    <w:qFormat/>
    <w:uiPriority w:val="0"/>
    <w:rPr>
      <w:rFonts w:ascii="Cambria" w:hAnsi="Cambria" w:eastAsia="宋体" w:cs="Times New Roman"/>
      <w:b/>
      <w:bCs/>
      <w:kern w:val="28"/>
      <w:sz w:val="32"/>
      <w:szCs w:val="32"/>
      <w:lang w:bidi="ar-SA"/>
    </w:rPr>
  </w:style>
  <w:style w:type="character" w:customStyle="1" w:styleId="222">
    <w:name w:val="文档结构图 Char3"/>
    <w:qFormat/>
    <w:uiPriority w:val="0"/>
    <w:rPr>
      <w:rFonts w:ascii="宋体" w:hAnsi="Times New Roman" w:eastAsia="宋体" w:cs="Times New Roman"/>
      <w:kern w:val="2"/>
      <w:sz w:val="18"/>
      <w:szCs w:val="18"/>
    </w:rPr>
  </w:style>
  <w:style w:type="character" w:customStyle="1" w:styleId="223">
    <w:name w:val="纯文本 Char3"/>
    <w:qFormat/>
    <w:uiPriority w:val="0"/>
    <w:rPr>
      <w:rFonts w:ascii="宋体" w:hAnsi="Courier New" w:eastAsia="宋体" w:cs="Courier New"/>
      <w:szCs w:val="21"/>
    </w:rPr>
  </w:style>
  <w:style w:type="character" w:customStyle="1" w:styleId="224">
    <w:name w:val="标题-5 Char Char"/>
    <w:qFormat/>
    <w:uiPriority w:val="0"/>
    <w:rPr>
      <w:rFonts w:ascii="Times New Roman" w:hAnsi="Times New Roman" w:eastAsia="宋体" w:cs="Times New Roman"/>
      <w:b/>
      <w:kern w:val="2"/>
      <w:sz w:val="21"/>
      <w:szCs w:val="24"/>
    </w:rPr>
  </w:style>
  <w:style w:type="character" w:customStyle="1" w:styleId="225">
    <w:name w:val="正文文本 Char3"/>
    <w:qFormat/>
    <w:uiPriority w:val="0"/>
    <w:rPr>
      <w:rFonts w:ascii="宋体" w:hAnsi="宋体" w:eastAsia="宋体" w:cs="Times New Roman"/>
      <w:szCs w:val="24"/>
    </w:rPr>
  </w:style>
  <w:style w:type="character" w:customStyle="1" w:styleId="226">
    <w:name w:val="Char Char241"/>
    <w:qFormat/>
    <w:uiPriority w:val="0"/>
    <w:rPr>
      <w:rFonts w:ascii="Times New Roman" w:hAnsi="Times New Roman" w:eastAsia="新宋体" w:cs="Times New Roman"/>
      <w:b/>
      <w:bCs/>
      <w:kern w:val="44"/>
      <w:sz w:val="44"/>
      <w:szCs w:val="44"/>
      <w:lang w:val="en-US" w:eastAsia="zh-CN" w:bidi="ar-SA"/>
    </w:rPr>
  </w:style>
  <w:style w:type="character" w:customStyle="1" w:styleId="227">
    <w:name w:val="char0"/>
    <w:qFormat/>
    <w:uiPriority w:val="0"/>
    <w:rPr>
      <w:rFonts w:hint="default" w:ascii="Calibri" w:hAnsi="Calibri" w:eastAsia="宋体" w:cs="Calibri"/>
      <w:b/>
      <w:i/>
      <w:color w:val="4F81BD"/>
    </w:rPr>
  </w:style>
  <w:style w:type="character" w:customStyle="1" w:styleId="228">
    <w:name w:val="char"/>
    <w:qFormat/>
    <w:uiPriority w:val="0"/>
    <w:rPr>
      <w:rFonts w:hint="default" w:ascii="Calibri" w:hAnsi="Calibri" w:eastAsia="宋体" w:cs="Calibri"/>
      <w:i/>
      <w:color w:val="000000"/>
    </w:rPr>
  </w:style>
  <w:style w:type="character" w:customStyle="1" w:styleId="229">
    <w:name w:val="Quote Char"/>
    <w:link w:val="230"/>
    <w:qFormat/>
    <w:uiPriority w:val="0"/>
    <w:rPr>
      <w:rFonts w:ascii="Times New Roman" w:hAnsi="Times New Roman" w:eastAsia="宋体" w:cs="Times New Roman"/>
      <w:i/>
      <w:iCs/>
      <w:color w:val="000000"/>
      <w:kern w:val="2"/>
      <w:sz w:val="22"/>
      <w:szCs w:val="22"/>
    </w:rPr>
  </w:style>
  <w:style w:type="paragraph" w:customStyle="1" w:styleId="230">
    <w:name w:val="引用1"/>
    <w:basedOn w:val="1"/>
    <w:next w:val="1"/>
    <w:link w:val="229"/>
    <w:qFormat/>
    <w:uiPriority w:val="0"/>
    <w:rPr>
      <w:i/>
      <w:iCs/>
      <w:color w:val="000000"/>
      <w:sz w:val="22"/>
      <w:szCs w:val="22"/>
    </w:rPr>
  </w:style>
  <w:style w:type="character" w:customStyle="1" w:styleId="231">
    <w:name w:val="b2 Char1"/>
    <w:qFormat/>
    <w:uiPriority w:val="0"/>
    <w:rPr>
      <w:rFonts w:hint="eastAsia" w:ascii="黑体" w:hAnsi="宋体" w:eastAsia="MingLiU_HKSCS" w:cs="黑体"/>
      <w:b/>
      <w:kern w:val="2"/>
      <w:sz w:val="32"/>
      <w:szCs w:val="32"/>
      <w:lang w:val="en-US" w:eastAsia="zh-CN" w:bidi="ar-SA"/>
    </w:rPr>
  </w:style>
  <w:style w:type="character" w:customStyle="1" w:styleId="232">
    <w:name w:val="charchar"/>
    <w:qFormat/>
    <w:uiPriority w:val="0"/>
    <w:rPr>
      <w:rFonts w:hint="default" w:ascii="Cambria" w:hAnsi="Cambria" w:eastAsia="Cambria" w:cs="Cambria"/>
      <w:i/>
      <w:color w:val="4F81BD"/>
      <w:spacing w:val="15"/>
    </w:rPr>
  </w:style>
  <w:style w:type="character" w:customStyle="1" w:styleId="233">
    <w:name w:val="charchar1"/>
    <w:qFormat/>
    <w:uiPriority w:val="0"/>
    <w:rPr>
      <w:rFonts w:hint="default" w:ascii="Cambria" w:hAnsi="Cambria" w:eastAsia="Cambria" w:cs="Cambria"/>
      <w:color w:val="17365D"/>
      <w:spacing w:val="5"/>
    </w:rPr>
  </w:style>
  <w:style w:type="character" w:customStyle="1" w:styleId="234">
    <w:name w:val="正文首行缩进 Char1"/>
    <w:qFormat/>
    <w:uiPriority w:val="0"/>
    <w:rPr>
      <w:rFonts w:ascii="宋体" w:hAnsi="宋体" w:eastAsia="楷体_GB2312" w:cs="Times New Roman"/>
      <w:kern w:val="2"/>
      <w:sz w:val="21"/>
      <w:szCs w:val="24"/>
      <w:lang w:val="en-US" w:eastAsia="en-US" w:bidi="en-US"/>
    </w:rPr>
  </w:style>
  <w:style w:type="character" w:customStyle="1" w:styleId="235">
    <w:name w:val="批注框文本 Char3"/>
    <w:qFormat/>
    <w:uiPriority w:val="0"/>
    <w:rPr>
      <w:rFonts w:ascii="宋体" w:hAnsi="宋体" w:eastAsia="宋体" w:cs="Times New Roman"/>
      <w:sz w:val="18"/>
      <w:szCs w:val="18"/>
    </w:rPr>
  </w:style>
  <w:style w:type="character" w:customStyle="1" w:styleId="236">
    <w:name w:val="书籍标题11"/>
    <w:qFormat/>
    <w:uiPriority w:val="0"/>
    <w:rPr>
      <w:rFonts w:ascii="Times New Roman" w:hAnsi="Times New Roman" w:eastAsia="宋体" w:cs="Times New Roman"/>
      <w:b/>
      <w:smallCaps/>
      <w:spacing w:val="5"/>
    </w:rPr>
  </w:style>
  <w:style w:type="character" w:customStyle="1" w:styleId="237">
    <w:name w:val="Char Char11"/>
    <w:qFormat/>
    <w:uiPriority w:val="0"/>
    <w:rPr>
      <w:rFonts w:hint="default" w:ascii="Times New Roman" w:hAnsi="Arial Unicode MS" w:eastAsia="宋体" w:cs="Arial Unicode MS"/>
      <w:color w:val="000000"/>
      <w:sz w:val="21"/>
      <w:szCs w:val="21"/>
    </w:rPr>
  </w:style>
  <w:style w:type="character" w:customStyle="1" w:styleId="238">
    <w:name w:val="charchar14"/>
    <w:qFormat/>
    <w:uiPriority w:val="0"/>
    <w:rPr>
      <w:rFonts w:hint="default" w:ascii="Cambria" w:hAnsi="Cambria" w:eastAsia="Cambria" w:cs="Cambria"/>
      <w:i/>
      <w:color w:val="404040"/>
    </w:rPr>
  </w:style>
  <w:style w:type="character" w:customStyle="1" w:styleId="239">
    <w:name w:val="Char Char231"/>
    <w:qFormat/>
    <w:uiPriority w:val="0"/>
    <w:rPr>
      <w:rFonts w:ascii="Times New Roman" w:hAnsi="Times New Roman" w:eastAsia="新宋体" w:cs="Times New Roman"/>
      <w:b/>
      <w:bCs/>
      <w:kern w:val="2"/>
      <w:sz w:val="36"/>
      <w:szCs w:val="32"/>
      <w:lang w:val="en-US" w:eastAsia="zh-CN" w:bidi="ar-SA"/>
    </w:rPr>
  </w:style>
  <w:style w:type="character" w:customStyle="1" w:styleId="240">
    <w:name w:val="副标题 Char2"/>
    <w:qFormat/>
    <w:uiPriority w:val="0"/>
    <w:rPr>
      <w:rFonts w:ascii="Cambria" w:hAnsi="Cambria" w:eastAsia="宋体" w:cs="Times New Roman"/>
      <w:b/>
      <w:bCs/>
      <w:kern w:val="28"/>
      <w:sz w:val="32"/>
      <w:szCs w:val="32"/>
    </w:rPr>
  </w:style>
  <w:style w:type="character" w:customStyle="1" w:styleId="241">
    <w:name w:val="z-窗体底端 Char"/>
    <w:basedOn w:val="52"/>
    <w:link w:val="242"/>
    <w:qFormat/>
    <w:uiPriority w:val="0"/>
    <w:rPr>
      <w:rFonts w:ascii="Arial" w:hAnsi="Arial" w:eastAsia="宋体" w:cs="Times New Roman"/>
      <w:vanish/>
      <w:color w:val="000000"/>
      <w:sz w:val="16"/>
      <w:szCs w:val="16"/>
    </w:rPr>
  </w:style>
  <w:style w:type="paragraph" w:customStyle="1" w:styleId="242">
    <w:name w:val="z-窗体底端1"/>
    <w:basedOn w:val="1"/>
    <w:next w:val="1"/>
    <w:link w:val="241"/>
    <w:qFormat/>
    <w:uiPriority w:val="0"/>
    <w:pPr>
      <w:pBdr>
        <w:top w:val="single" w:color="auto" w:sz="6" w:space="1"/>
      </w:pBdr>
      <w:spacing w:line="400" w:lineRule="exact"/>
      <w:jc w:val="center"/>
    </w:pPr>
    <w:rPr>
      <w:rFonts w:ascii="Arial" w:hAnsi="Arial"/>
      <w:vanish/>
      <w:color w:val="000000"/>
      <w:kern w:val="0"/>
      <w:sz w:val="16"/>
      <w:szCs w:val="16"/>
    </w:rPr>
  </w:style>
  <w:style w:type="character" w:customStyle="1" w:styleId="243">
    <w:name w:val="15"/>
    <w:qFormat/>
    <w:uiPriority w:val="0"/>
    <w:rPr>
      <w:rFonts w:ascii="Times New Roman" w:hAnsi="Times New Roman" w:eastAsia="宋体" w:cs="Times New Roman"/>
      <w:color w:val="0000FF"/>
      <w:u w:val="single"/>
    </w:rPr>
  </w:style>
  <w:style w:type="character" w:customStyle="1" w:styleId="244">
    <w:name w:val="charchar10"/>
    <w:qFormat/>
    <w:uiPriority w:val="0"/>
    <w:rPr>
      <w:rFonts w:hint="default" w:ascii="Calibri" w:hAnsi="Calibri" w:eastAsia="宋体" w:cs="Calibri"/>
    </w:rPr>
  </w:style>
  <w:style w:type="character" w:customStyle="1" w:styleId="245">
    <w:name w:val="副标题 Char3"/>
    <w:qFormat/>
    <w:uiPriority w:val="0"/>
    <w:rPr>
      <w:rFonts w:ascii="Cambria" w:hAnsi="Cambria" w:eastAsia="宋体" w:cs="Times New Roman"/>
      <w:b/>
      <w:bCs/>
      <w:kern w:val="28"/>
      <w:sz w:val="32"/>
      <w:szCs w:val="32"/>
    </w:rPr>
  </w:style>
  <w:style w:type="character" w:customStyle="1" w:styleId="246">
    <w:name w:val="日期 Char4"/>
    <w:qFormat/>
    <w:uiPriority w:val="0"/>
    <w:rPr>
      <w:rFonts w:ascii="宋体" w:hAnsi="宋体" w:eastAsia="宋体" w:cs="Times New Roman"/>
      <w:szCs w:val="24"/>
    </w:rPr>
  </w:style>
  <w:style w:type="character" w:customStyle="1" w:styleId="247">
    <w:name w:val="charchar18"/>
    <w:qFormat/>
    <w:uiPriority w:val="0"/>
    <w:rPr>
      <w:rFonts w:hint="default" w:ascii="Cambria" w:hAnsi="Cambria" w:eastAsia="Cambria" w:cs="Cambria"/>
      <w:color w:val="243F60"/>
    </w:rPr>
  </w:style>
  <w:style w:type="character" w:customStyle="1" w:styleId="248">
    <w:name w:val="HTML Preformatted Char"/>
    <w:qFormat/>
    <w:uiPriority w:val="0"/>
    <w:rPr>
      <w:rFonts w:ascii="Arial" w:hAnsi="Arial" w:eastAsia="宋体" w:cs="Times New Roman"/>
      <w:sz w:val="24"/>
    </w:rPr>
  </w:style>
  <w:style w:type="character" w:customStyle="1" w:styleId="249">
    <w:name w:val="纯文本 Char2"/>
    <w:qFormat/>
    <w:uiPriority w:val="0"/>
    <w:rPr>
      <w:rFonts w:ascii="宋体" w:hAnsi="Courier New" w:eastAsia="宋体" w:cs="Courier New"/>
      <w:kern w:val="2"/>
      <w:sz w:val="21"/>
      <w:szCs w:val="21"/>
    </w:rPr>
  </w:style>
  <w:style w:type="character" w:customStyle="1" w:styleId="250">
    <w:name w:val="书籍标题2"/>
    <w:qFormat/>
    <w:uiPriority w:val="0"/>
    <w:rPr>
      <w:rFonts w:ascii="Times New Roman" w:hAnsi="Times New Roman" w:eastAsia="宋体" w:cs="Times New Roman"/>
      <w:b/>
      <w:smallCaps/>
      <w:spacing w:val="5"/>
    </w:rPr>
  </w:style>
  <w:style w:type="character" w:customStyle="1" w:styleId="251">
    <w:name w:val="不明显参考11"/>
    <w:qFormat/>
    <w:uiPriority w:val="0"/>
    <w:rPr>
      <w:rFonts w:ascii="Times New Roman" w:hAnsi="Times New Roman" w:eastAsia="宋体" w:cs="Times New Roman"/>
      <w:smallCaps/>
      <w:color w:val="C0504D"/>
      <w:u w:val="single"/>
    </w:rPr>
  </w:style>
  <w:style w:type="character" w:customStyle="1" w:styleId="252">
    <w:name w:val="正文文本缩进 3 Char2"/>
    <w:qFormat/>
    <w:uiPriority w:val="0"/>
    <w:rPr>
      <w:rFonts w:ascii="宋体" w:hAnsi="宋体" w:eastAsia="宋体" w:cs="Times New Roman"/>
      <w:kern w:val="2"/>
      <w:sz w:val="16"/>
      <w:szCs w:val="16"/>
    </w:rPr>
  </w:style>
  <w:style w:type="character" w:customStyle="1" w:styleId="253">
    <w:name w:val="charchar11"/>
    <w:qFormat/>
    <w:uiPriority w:val="0"/>
    <w:rPr>
      <w:rFonts w:hint="default" w:ascii="Calibri" w:hAnsi="Calibri" w:eastAsia="宋体" w:cs="Calibri"/>
    </w:rPr>
  </w:style>
  <w:style w:type="character" w:customStyle="1" w:styleId="254">
    <w:name w:val="批注文字 Char1"/>
    <w:qFormat/>
    <w:uiPriority w:val="0"/>
    <w:rPr>
      <w:rFonts w:ascii="Times New Roman" w:hAnsi="Times New Roman" w:eastAsia="宋体" w:cs="Times New Roman"/>
      <w:kern w:val="2"/>
      <w:sz w:val="21"/>
      <w:szCs w:val="24"/>
    </w:rPr>
  </w:style>
  <w:style w:type="character" w:customStyle="1" w:styleId="255">
    <w:name w:val="charchar5"/>
    <w:qFormat/>
    <w:uiPriority w:val="0"/>
    <w:rPr>
      <w:rFonts w:hint="eastAsia" w:ascii="宋体" w:hAnsi="宋体" w:eastAsia="宋体" w:cs="宋体"/>
    </w:rPr>
  </w:style>
  <w:style w:type="character" w:customStyle="1" w:styleId="256">
    <w:name w:val="charchar21"/>
    <w:qFormat/>
    <w:uiPriority w:val="0"/>
    <w:rPr>
      <w:rFonts w:hint="eastAsia" w:ascii="新宋体" w:hAnsi="新宋体" w:eastAsia="新宋体" w:cs="新宋体"/>
      <w:b/>
    </w:rPr>
  </w:style>
  <w:style w:type="character" w:customStyle="1" w:styleId="257">
    <w:name w:val="页眉 Char2"/>
    <w:qFormat/>
    <w:uiPriority w:val="0"/>
    <w:rPr>
      <w:rFonts w:ascii="Times New Roman" w:hAnsi="Times New Roman" w:eastAsia="宋体" w:cs="Times New Roman"/>
      <w:kern w:val="2"/>
      <w:sz w:val="18"/>
      <w:szCs w:val="18"/>
    </w:rPr>
  </w:style>
  <w:style w:type="character" w:customStyle="1" w:styleId="258">
    <w:name w:val="正文文本缩进 2 Char1"/>
    <w:qFormat/>
    <w:uiPriority w:val="0"/>
    <w:rPr>
      <w:rFonts w:ascii="Times New Roman" w:hAnsi="Times New Roman" w:eastAsia="宋体" w:cs="Times New Roman"/>
      <w:kern w:val="2"/>
      <w:sz w:val="21"/>
      <w:szCs w:val="24"/>
    </w:rPr>
  </w:style>
  <w:style w:type="character" w:customStyle="1" w:styleId="259">
    <w:name w:val="charchar2"/>
    <w:qFormat/>
    <w:uiPriority w:val="0"/>
    <w:rPr>
      <w:rFonts w:hint="default" w:ascii="Calibri" w:hAnsi="Calibri" w:eastAsia="宋体" w:cs="Calibri"/>
      <w:b/>
    </w:rPr>
  </w:style>
  <w:style w:type="character" w:customStyle="1" w:styleId="260">
    <w:name w:val="Comment Text Char1"/>
    <w:qFormat/>
    <w:uiPriority w:val="0"/>
    <w:rPr>
      <w:rFonts w:ascii="Times New Roman" w:hAnsi="Times New Roman" w:eastAsia="宋体" w:cs="Times New Roman"/>
      <w:kern w:val="2"/>
      <w:sz w:val="21"/>
    </w:rPr>
  </w:style>
  <w:style w:type="character" w:customStyle="1" w:styleId="261">
    <w:name w:val="批注文字 Char2"/>
    <w:qFormat/>
    <w:uiPriority w:val="0"/>
    <w:rPr>
      <w:rFonts w:ascii="宋体" w:hAnsi="宋体" w:eastAsia="宋体" w:cs="Times New Roman"/>
      <w:kern w:val="2"/>
      <w:sz w:val="21"/>
      <w:szCs w:val="24"/>
    </w:rPr>
  </w:style>
  <w:style w:type="character" w:customStyle="1" w:styleId="262">
    <w:name w:val="charchar12"/>
    <w:qFormat/>
    <w:uiPriority w:val="0"/>
    <w:rPr>
      <w:rFonts w:hint="default" w:ascii="Calibri" w:hAnsi="Calibri" w:eastAsia="宋体" w:cs="Calibri"/>
    </w:rPr>
  </w:style>
  <w:style w:type="character" w:customStyle="1" w:styleId="263">
    <w:name w:val="批注框文本 Char2"/>
    <w:qFormat/>
    <w:uiPriority w:val="0"/>
    <w:rPr>
      <w:rFonts w:ascii="宋体" w:hAnsi="宋体" w:eastAsia="宋体" w:cs="Times New Roman"/>
      <w:kern w:val="2"/>
      <w:sz w:val="18"/>
      <w:szCs w:val="18"/>
    </w:rPr>
  </w:style>
  <w:style w:type="character" w:customStyle="1" w:styleId="264">
    <w:name w:val="charchar9"/>
    <w:qFormat/>
    <w:uiPriority w:val="0"/>
    <w:rPr>
      <w:rFonts w:hint="default" w:ascii="Calibri" w:hAnsi="Calibri" w:eastAsia="宋体" w:cs="Calibri"/>
    </w:rPr>
  </w:style>
  <w:style w:type="character" w:customStyle="1" w:styleId="265">
    <w:name w:val="正文文本 2 Char1"/>
    <w:qFormat/>
    <w:uiPriority w:val="0"/>
    <w:rPr>
      <w:rFonts w:ascii="Times New Roman" w:hAnsi="Times New Roman" w:eastAsia="宋体" w:cs="Times New Roman"/>
      <w:kern w:val="2"/>
      <w:sz w:val="21"/>
      <w:szCs w:val="24"/>
    </w:rPr>
  </w:style>
  <w:style w:type="character" w:customStyle="1" w:styleId="266">
    <w:name w:val="Plain Text Char1"/>
    <w:qFormat/>
    <w:uiPriority w:val="0"/>
    <w:rPr>
      <w:rFonts w:ascii="宋体" w:hAnsi="Courier New" w:eastAsia="宋体" w:cs="黑体"/>
    </w:rPr>
  </w:style>
  <w:style w:type="character" w:customStyle="1" w:styleId="267">
    <w:name w:val="引用 Char Char"/>
    <w:qFormat/>
    <w:uiPriority w:val="0"/>
    <w:rPr>
      <w:rFonts w:ascii="Times New Roman" w:hAnsi="Times New Roman" w:eastAsia="宋体" w:cs="Times New Roman"/>
      <w:i/>
      <w:iCs/>
      <w:color w:val="000000"/>
      <w:lang w:bidi="ar-SA"/>
    </w:rPr>
  </w:style>
  <w:style w:type="character" w:customStyle="1" w:styleId="268">
    <w:name w:val="charchar13"/>
    <w:qFormat/>
    <w:uiPriority w:val="0"/>
    <w:rPr>
      <w:rFonts w:hint="eastAsia" w:ascii="宋体" w:hAnsi="宋体" w:eastAsia="宋体" w:cs="宋体"/>
    </w:rPr>
  </w:style>
  <w:style w:type="character" w:customStyle="1" w:styleId="269">
    <w:name w:val="正文编号 Char"/>
    <w:qFormat/>
    <w:uiPriority w:val="0"/>
    <w:rPr>
      <w:rFonts w:hint="default" w:ascii="Times New Roman" w:hAnsi="Times New Roman" w:eastAsia="Times New Roman" w:cs="Times New Roman"/>
      <w:kern w:val="2"/>
      <w:sz w:val="21"/>
      <w:szCs w:val="24"/>
      <w:lang w:val="en-US" w:eastAsia="zh-CN" w:bidi="ar-SA"/>
    </w:rPr>
  </w:style>
  <w:style w:type="character" w:customStyle="1" w:styleId="270">
    <w:name w:val="10"/>
    <w:qFormat/>
    <w:uiPriority w:val="0"/>
    <w:rPr>
      <w:rFonts w:ascii="Times New Roman" w:hAnsi="Times New Roman" w:eastAsia="宋体" w:cs="Times New Roman"/>
    </w:rPr>
  </w:style>
  <w:style w:type="character" w:customStyle="1" w:styleId="271">
    <w:name w:val="标题 4 Char Char"/>
    <w:qFormat/>
    <w:uiPriority w:val="0"/>
    <w:rPr>
      <w:rFonts w:ascii="Cambria" w:hAnsi="Cambria" w:eastAsia="宋体" w:cs="Times New Roman"/>
      <w:b/>
      <w:bCs/>
      <w:kern w:val="2"/>
      <w:sz w:val="28"/>
      <w:szCs w:val="28"/>
      <w:lang w:val="en-US" w:eastAsia="zh-CN" w:bidi="ar-SA"/>
    </w:rPr>
  </w:style>
  <w:style w:type="character" w:customStyle="1" w:styleId="272">
    <w:name w:val="Date Char1"/>
    <w:qFormat/>
    <w:uiPriority w:val="0"/>
    <w:rPr>
      <w:rFonts w:ascii="Times New Roman" w:hAnsi="Times New Roman" w:eastAsia="宋体" w:cs="Times New Roman"/>
      <w:sz w:val="24"/>
      <w:szCs w:val="24"/>
    </w:rPr>
  </w:style>
  <w:style w:type="character" w:customStyle="1" w:styleId="273">
    <w:name w:val="正文首行缩进 2 Char"/>
    <w:basedOn w:val="154"/>
    <w:link w:val="2"/>
    <w:qFormat/>
    <w:uiPriority w:val="0"/>
    <w:rPr>
      <w:rFonts w:ascii="Cambria" w:hAnsi="Cambria" w:eastAsia="Cambria" w:cs="Times New Roman"/>
      <w:color w:val="000000"/>
      <w:kern w:val="2"/>
      <w:sz w:val="21"/>
      <w:szCs w:val="24"/>
      <w:lang w:eastAsia="en-US"/>
    </w:rPr>
  </w:style>
  <w:style w:type="character" w:customStyle="1" w:styleId="274">
    <w:name w:val="明显强调2"/>
    <w:qFormat/>
    <w:uiPriority w:val="0"/>
    <w:rPr>
      <w:rFonts w:ascii="Times New Roman" w:hAnsi="Times New Roman" w:eastAsia="宋体" w:cs="Times New Roman"/>
      <w:b/>
      <w:i/>
      <w:color w:val="4F81BD"/>
    </w:rPr>
  </w:style>
  <w:style w:type="character" w:customStyle="1" w:styleId="275">
    <w:name w:val="正文文本缩进 2 Char2"/>
    <w:qFormat/>
    <w:uiPriority w:val="0"/>
    <w:rPr>
      <w:rFonts w:ascii="宋体" w:hAnsi="宋体" w:eastAsia="宋体" w:cs="Times New Roman"/>
      <w:kern w:val="2"/>
      <w:sz w:val="21"/>
      <w:szCs w:val="24"/>
    </w:rPr>
  </w:style>
  <w:style w:type="character" w:customStyle="1" w:styleId="276">
    <w:name w:val="明显参考11"/>
    <w:qFormat/>
    <w:uiPriority w:val="0"/>
    <w:rPr>
      <w:rFonts w:ascii="Times New Roman" w:hAnsi="Times New Roman" w:eastAsia="宋体" w:cs="Times New Roman"/>
      <w:b/>
      <w:smallCaps/>
      <w:color w:val="C0504D"/>
      <w:spacing w:val="5"/>
      <w:u w:val="single"/>
    </w:rPr>
  </w:style>
  <w:style w:type="character" w:customStyle="1" w:styleId="277">
    <w:name w:val="样式6 Char"/>
    <w:qFormat/>
    <w:uiPriority w:val="0"/>
    <w:rPr>
      <w:rFonts w:hint="default" w:ascii="Cambria" w:hAnsi="Cambria" w:eastAsia="Cambria" w:cs="Cambria"/>
      <w:color w:val="000000"/>
      <w:kern w:val="2"/>
      <w:sz w:val="24"/>
      <w:szCs w:val="24"/>
      <w:lang w:val="en-US" w:eastAsia="zh-CN" w:bidi="ar-SA"/>
    </w:rPr>
  </w:style>
  <w:style w:type="character" w:customStyle="1" w:styleId="278">
    <w:name w:val="charchar22"/>
    <w:qFormat/>
    <w:uiPriority w:val="0"/>
    <w:rPr>
      <w:rFonts w:hint="eastAsia" w:ascii="新宋体" w:hAnsi="新宋体" w:eastAsia="新宋体" w:cs="新宋体"/>
      <w:b/>
    </w:rPr>
  </w:style>
  <w:style w:type="character" w:customStyle="1" w:styleId="279">
    <w:name w:val="z-窗体顶端 Char1"/>
    <w:qFormat/>
    <w:uiPriority w:val="0"/>
    <w:rPr>
      <w:rFonts w:ascii="Arial" w:hAnsi="Arial" w:eastAsia="宋体" w:cs="Arial"/>
      <w:vanish/>
      <w:color w:val="000000"/>
      <w:sz w:val="16"/>
      <w:szCs w:val="16"/>
    </w:rPr>
  </w:style>
  <w:style w:type="character" w:customStyle="1" w:styleId="280">
    <w:name w:val="明显参考2"/>
    <w:qFormat/>
    <w:uiPriority w:val="0"/>
    <w:rPr>
      <w:rFonts w:ascii="Times New Roman" w:hAnsi="Times New Roman" w:eastAsia="宋体" w:cs="Times New Roman"/>
      <w:b/>
      <w:smallCaps/>
      <w:color w:val="C0504D"/>
      <w:spacing w:val="5"/>
      <w:u w:val="single"/>
    </w:rPr>
  </w:style>
  <w:style w:type="character" w:customStyle="1" w:styleId="281">
    <w:name w:val="Char Char2"/>
    <w:qFormat/>
    <w:uiPriority w:val="0"/>
    <w:rPr>
      <w:rFonts w:ascii="Times New Roman" w:hAnsi="Times New Roman" w:eastAsia="宋体" w:cs="Times New Roman"/>
      <w:kern w:val="2"/>
      <w:sz w:val="18"/>
      <w:szCs w:val="18"/>
    </w:rPr>
  </w:style>
  <w:style w:type="character" w:customStyle="1" w:styleId="282">
    <w:name w:val="不明显强调11"/>
    <w:qFormat/>
    <w:uiPriority w:val="0"/>
    <w:rPr>
      <w:rFonts w:ascii="Times New Roman" w:hAnsi="Times New Roman" w:eastAsia="宋体" w:cs="Times New Roman"/>
      <w:i/>
      <w:color w:val="808080"/>
    </w:rPr>
  </w:style>
  <w:style w:type="character" w:customStyle="1" w:styleId="283">
    <w:name w:val="文档结构图 Char Char"/>
    <w:qFormat/>
    <w:uiPriority w:val="0"/>
    <w:rPr>
      <w:rFonts w:ascii="Times New Roman" w:hAnsi="Times New Roman" w:eastAsia="宋体" w:cs="Times New Roman"/>
      <w:kern w:val="2"/>
      <w:sz w:val="21"/>
      <w:szCs w:val="24"/>
      <w:lang w:val="en-US" w:eastAsia="zh-CN" w:bidi="ar-SA"/>
    </w:rPr>
  </w:style>
  <w:style w:type="character" w:customStyle="1" w:styleId="284">
    <w:name w:val="charchar6"/>
    <w:qFormat/>
    <w:uiPriority w:val="0"/>
    <w:rPr>
      <w:rFonts w:hint="eastAsia" w:ascii="宋体" w:hAnsi="宋体" w:eastAsia="宋体" w:cs="宋体"/>
      <w:b/>
    </w:rPr>
  </w:style>
  <w:style w:type="character" w:customStyle="1" w:styleId="285">
    <w:name w:val="引用 Char4"/>
    <w:qFormat/>
    <w:uiPriority w:val="0"/>
    <w:rPr>
      <w:rFonts w:ascii="宋体" w:hAnsi="宋体" w:eastAsia="宋体" w:cs="Times New Roman"/>
      <w:i/>
      <w:iCs/>
      <w:color w:val="000000"/>
      <w:szCs w:val="24"/>
    </w:rPr>
  </w:style>
  <w:style w:type="character" w:customStyle="1" w:styleId="286">
    <w:name w:val="HTML Preformatted Char1"/>
    <w:qFormat/>
    <w:uiPriority w:val="0"/>
    <w:rPr>
      <w:rFonts w:ascii="Arial" w:hAnsi="Arial" w:eastAsia="宋体" w:cs="Arial"/>
      <w:sz w:val="24"/>
      <w:szCs w:val="24"/>
    </w:rPr>
  </w:style>
  <w:style w:type="character" w:customStyle="1" w:styleId="287">
    <w:name w:val="称呼 Char2"/>
    <w:qFormat/>
    <w:uiPriority w:val="0"/>
    <w:rPr>
      <w:rFonts w:hint="default" w:ascii="Times New Roman" w:hAnsi="Times New Roman" w:eastAsia="宋体" w:cs="Times New Roman"/>
      <w:color w:val="000000"/>
      <w:sz w:val="21"/>
    </w:rPr>
  </w:style>
  <w:style w:type="character" w:customStyle="1" w:styleId="288">
    <w:name w:val="charchar4"/>
    <w:qFormat/>
    <w:uiPriority w:val="0"/>
    <w:rPr>
      <w:rFonts w:hint="eastAsia" w:ascii="宋体" w:hAnsi="宋体" w:eastAsia="宋体" w:cs="宋体"/>
    </w:rPr>
  </w:style>
  <w:style w:type="character" w:customStyle="1" w:styleId="289">
    <w:name w:val="副标题 Char4"/>
    <w:qFormat/>
    <w:uiPriority w:val="0"/>
    <w:rPr>
      <w:rFonts w:ascii="Cambria" w:hAnsi="Cambria" w:eastAsia="宋体" w:cs="Times New Roman"/>
      <w:b/>
      <w:bCs/>
      <w:kern w:val="28"/>
      <w:sz w:val="32"/>
      <w:szCs w:val="32"/>
    </w:rPr>
  </w:style>
  <w:style w:type="character" w:customStyle="1" w:styleId="290">
    <w:name w:val="charchar16"/>
    <w:qFormat/>
    <w:uiPriority w:val="0"/>
    <w:rPr>
      <w:rFonts w:hint="default" w:ascii="Cambria" w:hAnsi="Cambria" w:eastAsia="Cambria" w:cs="Cambria"/>
      <w:i/>
      <w:color w:val="404040"/>
    </w:rPr>
  </w:style>
  <w:style w:type="character" w:customStyle="1" w:styleId="291">
    <w:name w:val="z-窗体顶端 Char"/>
    <w:basedOn w:val="52"/>
    <w:link w:val="292"/>
    <w:qFormat/>
    <w:uiPriority w:val="0"/>
    <w:rPr>
      <w:rFonts w:ascii="Arial" w:hAnsi="Arial" w:eastAsia="宋体" w:cs="Times New Roman"/>
      <w:vanish/>
      <w:color w:val="000000"/>
      <w:sz w:val="16"/>
      <w:szCs w:val="16"/>
    </w:rPr>
  </w:style>
  <w:style w:type="paragraph" w:customStyle="1" w:styleId="292">
    <w:name w:val="z-窗体顶端1"/>
    <w:basedOn w:val="1"/>
    <w:next w:val="1"/>
    <w:link w:val="291"/>
    <w:qFormat/>
    <w:uiPriority w:val="0"/>
    <w:pPr>
      <w:pBdr>
        <w:bottom w:val="single" w:color="auto" w:sz="6" w:space="1"/>
      </w:pBdr>
      <w:spacing w:line="400" w:lineRule="exact"/>
      <w:jc w:val="center"/>
    </w:pPr>
    <w:rPr>
      <w:rFonts w:ascii="Arial" w:hAnsi="Arial"/>
      <w:vanish/>
      <w:color w:val="000000"/>
      <w:kern w:val="0"/>
      <w:sz w:val="16"/>
      <w:szCs w:val="16"/>
    </w:rPr>
  </w:style>
  <w:style w:type="character" w:customStyle="1" w:styleId="293">
    <w:name w:val="charchar7"/>
    <w:qFormat/>
    <w:uiPriority w:val="0"/>
    <w:rPr>
      <w:rFonts w:hint="default" w:ascii="Calibri" w:hAnsi="Calibri" w:eastAsia="宋体" w:cs="Calibri"/>
    </w:rPr>
  </w:style>
  <w:style w:type="character" w:customStyle="1" w:styleId="294">
    <w:name w:val="Date Char"/>
    <w:qFormat/>
    <w:uiPriority w:val="0"/>
    <w:rPr>
      <w:rFonts w:ascii="宋体" w:hAnsi="Times New Roman" w:eastAsia="宋体" w:cs="Times New Roman"/>
      <w:sz w:val="28"/>
    </w:rPr>
  </w:style>
  <w:style w:type="character" w:customStyle="1" w:styleId="295">
    <w:name w:val="f121"/>
    <w:qFormat/>
    <w:uiPriority w:val="0"/>
    <w:rPr>
      <w:rFonts w:ascii="Times New Roman" w:hAnsi="Times New Roman" w:eastAsia="宋体" w:cs="Times New Roman"/>
      <w:sz w:val="18"/>
    </w:rPr>
  </w:style>
  <w:style w:type="paragraph" w:customStyle="1" w:styleId="296">
    <w:name w:val="TOC 标题1"/>
    <w:basedOn w:val="4"/>
    <w:next w:val="1"/>
    <w:qFormat/>
    <w:uiPriority w:val="0"/>
    <w:pPr>
      <w:keepLines/>
      <w:numPr>
        <w:numId w:val="0"/>
      </w:numPr>
      <w:tabs>
        <w:tab w:val="left" w:pos="432"/>
      </w:tabs>
      <w:autoSpaceDE/>
      <w:autoSpaceDN/>
      <w:adjustRightInd/>
      <w:spacing w:before="340" w:after="330" w:line="576" w:lineRule="auto"/>
      <w:jc w:val="both"/>
      <w:outlineLvl w:val="9"/>
    </w:pPr>
    <w:rPr>
      <w:rFonts w:ascii="Calibri" w:hAnsi="Calibri" w:eastAsia="宋体"/>
      <w:b/>
      <w:bCs/>
      <w:color w:val="auto"/>
      <w:kern w:val="44"/>
      <w:sz w:val="44"/>
      <w:szCs w:val="44"/>
    </w:rPr>
  </w:style>
  <w:style w:type="paragraph" w:customStyle="1" w:styleId="29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29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8"/>
      <w:szCs w:val="28"/>
    </w:rPr>
  </w:style>
  <w:style w:type="paragraph" w:customStyle="1" w:styleId="300">
    <w:name w:val="xl4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301">
    <w:name w:val="Intense Quote1"/>
    <w:basedOn w:val="1"/>
    <w:next w:val="1"/>
    <w:qFormat/>
    <w:uiPriority w:val="0"/>
    <w:pPr>
      <w:pBdr>
        <w:bottom w:val="single" w:color="4F81BD" w:sz="4" w:space="4"/>
      </w:pBdr>
      <w:spacing w:before="200" w:after="280"/>
      <w:ind w:left="936" w:right="936"/>
    </w:pPr>
    <w:rPr>
      <w:b/>
      <w:bCs/>
      <w:i/>
      <w:iCs/>
      <w:color w:val="4F81BD"/>
      <w:sz w:val="22"/>
      <w:szCs w:val="22"/>
    </w:rPr>
  </w:style>
  <w:style w:type="paragraph" w:customStyle="1" w:styleId="302">
    <w:name w:val="Char1"/>
    <w:basedOn w:val="1"/>
    <w:qFormat/>
    <w:uiPriority w:val="0"/>
    <w:rPr>
      <w:szCs w:val="21"/>
    </w:rPr>
  </w:style>
  <w:style w:type="paragraph" w:customStyle="1" w:styleId="303">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left"/>
      <w:textAlignment w:val="center"/>
    </w:pPr>
    <w:rPr>
      <w:rFonts w:ascii="仿宋_GB2312" w:hAnsi="宋体" w:eastAsia="仿宋_GB2312" w:cs="宋体"/>
      <w:kern w:val="0"/>
      <w:sz w:val="24"/>
    </w:rPr>
  </w:style>
  <w:style w:type="paragraph" w:customStyle="1" w:styleId="304">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center"/>
    </w:pPr>
    <w:rPr>
      <w:rFonts w:ascii="仿宋_GB2312" w:hAnsi="宋体" w:eastAsia="仿宋_GB2312" w:cs="宋体"/>
      <w:kern w:val="0"/>
      <w:sz w:val="24"/>
    </w:rPr>
  </w:style>
  <w:style w:type="paragraph" w:customStyle="1" w:styleId="305">
    <w:name w:val="CM69"/>
    <w:basedOn w:val="117"/>
    <w:next w:val="117"/>
    <w:qFormat/>
    <w:uiPriority w:val="0"/>
    <w:pPr>
      <w:spacing w:line="400" w:lineRule="atLeast"/>
    </w:pPr>
    <w:rPr>
      <w:rFonts w:ascii="Times New Roman" w:hAnsi="Calibri"/>
      <w:color w:val="auto"/>
      <w:kern w:val="2"/>
    </w:rPr>
  </w:style>
  <w:style w:type="paragraph" w:customStyle="1" w:styleId="306">
    <w:name w:val="Char Char Char Char Char Char Char Char Char Char Char Char Char"/>
    <w:basedOn w:val="1"/>
    <w:qFormat/>
    <w:uiPriority w:val="0"/>
    <w:pPr>
      <w:spacing w:line="400" w:lineRule="exact"/>
    </w:pPr>
  </w:style>
  <w:style w:type="paragraph" w:customStyle="1" w:styleId="30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309">
    <w:name w:val="xl2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310">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rPr>
  </w:style>
  <w:style w:type="paragraph" w:customStyle="1" w:styleId="311">
    <w:name w:val="xl36"/>
    <w:basedOn w:val="1"/>
    <w:qFormat/>
    <w:uiPriority w:val="0"/>
    <w:pPr>
      <w:widowControl/>
      <w:pBdr>
        <w:top w:val="single" w:color="auto" w:sz="4" w:space="0"/>
        <w:left w:val="single" w:color="auto" w:sz="4" w:space="0"/>
        <w:bottom w:val="single" w:color="auto" w:sz="4" w:space="0"/>
        <w:right w:val="single" w:color="auto" w:sz="4" w:space="0"/>
      </w:pBdr>
      <w:shd w:val="clear" w:color="FFFFFF" w:fill="33CCCC"/>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12">
    <w:name w:val="CM83"/>
    <w:basedOn w:val="117"/>
    <w:next w:val="117"/>
    <w:qFormat/>
    <w:uiPriority w:val="0"/>
    <w:pPr>
      <w:spacing w:line="440" w:lineRule="atLeast"/>
    </w:pPr>
    <w:rPr>
      <w:rFonts w:ascii="Times New Roman" w:hAnsi="Calibri"/>
      <w:color w:val="auto"/>
      <w:kern w:val="2"/>
    </w:rPr>
  </w:style>
  <w:style w:type="paragraph" w:customStyle="1" w:styleId="31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8"/>
      <w:szCs w:val="28"/>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hd w:val="clear" w:color="FFFFFF" w:fill="00FF00"/>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31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8"/>
      <w:szCs w:val="28"/>
    </w:rPr>
  </w:style>
  <w:style w:type="paragraph" w:customStyle="1" w:styleId="316">
    <w:name w:val="普通(网站)1"/>
    <w:qFormat/>
    <w:uiPriority w:val="0"/>
    <w:pPr>
      <w:spacing w:before="100" w:beforeAutospacing="1" w:after="100" w:afterAutospacing="1"/>
    </w:pPr>
    <w:rPr>
      <w:rFonts w:ascii="Calibri" w:hAnsi="Calibri" w:eastAsia="宋体" w:cs="黑体"/>
      <w:sz w:val="24"/>
      <w:szCs w:val="24"/>
      <w:lang w:val="en-US" w:eastAsia="zh-CN" w:bidi="ar-SA"/>
    </w:rPr>
  </w:style>
  <w:style w:type="paragraph" w:customStyle="1" w:styleId="317">
    <w:name w:val="金安桥正文"/>
    <w:basedOn w:val="3"/>
    <w:qFormat/>
    <w:uiPriority w:val="0"/>
    <w:pPr>
      <w:autoSpaceDE/>
      <w:autoSpaceDN/>
      <w:spacing w:line="300" w:lineRule="auto"/>
      <w:ind w:left="0" w:leftChars="0" w:firstLine="200" w:firstLineChars="200"/>
      <w:jc w:val="left"/>
    </w:pPr>
    <w:rPr>
      <w:rFonts w:ascii="Times New Roman"/>
      <w:color w:val="auto"/>
      <w:sz w:val="24"/>
      <w:szCs w:val="20"/>
    </w:rPr>
  </w:style>
  <w:style w:type="paragraph" w:customStyle="1" w:styleId="318">
    <w:name w:val="xl24"/>
    <w:basedOn w:val="1"/>
    <w:qFormat/>
    <w:uiPriority w:val="0"/>
    <w:pPr>
      <w:widowControl/>
      <w:spacing w:before="100" w:after="100"/>
      <w:jc w:val="center"/>
      <w:textAlignment w:val="center"/>
    </w:pPr>
    <w:rPr>
      <w:rFonts w:ascii="宋体" w:hAnsi="宋体"/>
      <w:kern w:val="0"/>
      <w:sz w:val="24"/>
      <w:szCs w:val="20"/>
    </w:rPr>
  </w:style>
  <w:style w:type="paragraph" w:customStyle="1" w:styleId="319">
    <w:name w:val="CM104"/>
    <w:basedOn w:val="117"/>
    <w:next w:val="117"/>
    <w:qFormat/>
    <w:uiPriority w:val="0"/>
    <w:pPr>
      <w:spacing w:after="1318"/>
    </w:pPr>
    <w:rPr>
      <w:rFonts w:ascii="Times New Roman" w:hAnsi="Calibri"/>
      <w:color w:val="auto"/>
      <w:kern w:val="2"/>
    </w:rPr>
  </w:style>
  <w:style w:type="paragraph" w:customStyle="1" w:styleId="320">
    <w:name w:val="CM76"/>
    <w:basedOn w:val="117"/>
    <w:next w:val="117"/>
    <w:qFormat/>
    <w:uiPriority w:val="0"/>
    <w:pPr>
      <w:spacing w:line="400" w:lineRule="atLeast"/>
    </w:pPr>
    <w:rPr>
      <w:rFonts w:ascii="Times New Roman" w:hAnsi="Calibri"/>
      <w:color w:val="auto"/>
      <w:kern w:val="2"/>
    </w:rPr>
  </w:style>
  <w:style w:type="paragraph" w:customStyle="1" w:styleId="321">
    <w:name w:val="CM31"/>
    <w:basedOn w:val="117"/>
    <w:next w:val="117"/>
    <w:qFormat/>
    <w:uiPriority w:val="0"/>
    <w:pPr>
      <w:spacing w:line="400" w:lineRule="atLeast"/>
    </w:pPr>
    <w:rPr>
      <w:rFonts w:ascii="Times New Roman" w:hAnsi="Calibri"/>
      <w:color w:val="auto"/>
      <w:kern w:val="2"/>
    </w:rPr>
  </w:style>
  <w:style w:type="paragraph" w:customStyle="1" w:styleId="322">
    <w:name w:val="CM15"/>
    <w:basedOn w:val="117"/>
    <w:next w:val="117"/>
    <w:qFormat/>
    <w:uiPriority w:val="0"/>
    <w:pPr>
      <w:spacing w:line="313" w:lineRule="atLeast"/>
    </w:pPr>
    <w:rPr>
      <w:rFonts w:ascii="Times New Roman" w:hAnsi="Calibri"/>
      <w:color w:val="auto"/>
      <w:kern w:val="2"/>
    </w:rPr>
  </w:style>
  <w:style w:type="paragraph" w:customStyle="1" w:styleId="32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rPr>
  </w:style>
  <w:style w:type="paragraph" w:customStyle="1" w:styleId="324">
    <w:name w:val="样式2"/>
    <w:basedOn w:val="4"/>
    <w:qFormat/>
    <w:uiPriority w:val="0"/>
    <w:pPr>
      <w:keepLines/>
      <w:numPr>
        <w:numId w:val="0"/>
      </w:numPr>
      <w:autoSpaceDE/>
      <w:autoSpaceDN/>
      <w:adjustRightInd/>
      <w:spacing w:line="800" w:lineRule="exact"/>
      <w:jc w:val="both"/>
    </w:pPr>
    <w:rPr>
      <w:rFonts w:ascii="Times New Roman" w:eastAsia="黑体"/>
      <w:b/>
      <w:kern w:val="44"/>
      <w:sz w:val="32"/>
      <w:szCs w:val="20"/>
    </w:rPr>
  </w:style>
  <w:style w:type="paragraph" w:customStyle="1" w:styleId="325">
    <w:name w:val="Char"/>
    <w:basedOn w:val="1"/>
    <w:qFormat/>
    <w:uiPriority w:val="0"/>
    <w:pPr>
      <w:adjustRightInd w:val="0"/>
      <w:spacing w:line="312" w:lineRule="auto"/>
      <w:textAlignment w:val="baseline"/>
    </w:pPr>
    <w:rPr>
      <w:szCs w:val="20"/>
    </w:rPr>
  </w:style>
  <w:style w:type="paragraph" w:customStyle="1" w:styleId="326">
    <w:name w:val="列出段落1"/>
    <w:basedOn w:val="1"/>
    <w:qFormat/>
    <w:uiPriority w:val="0"/>
    <w:pPr>
      <w:ind w:firstLine="420" w:firstLineChars="200"/>
    </w:pPr>
    <w:rPr>
      <w:rFonts w:ascii="Calibri" w:hAnsi="Calibri"/>
      <w:szCs w:val="22"/>
    </w:rPr>
  </w:style>
  <w:style w:type="paragraph" w:customStyle="1" w:styleId="327">
    <w:name w:val="CM102"/>
    <w:basedOn w:val="117"/>
    <w:next w:val="117"/>
    <w:qFormat/>
    <w:uiPriority w:val="0"/>
    <w:pPr>
      <w:spacing w:after="878"/>
    </w:pPr>
    <w:rPr>
      <w:rFonts w:ascii="Times New Roman" w:hAnsi="Calibri"/>
      <w:color w:val="auto"/>
      <w:kern w:val="2"/>
    </w:rPr>
  </w:style>
  <w:style w:type="paragraph" w:customStyle="1" w:styleId="328">
    <w:name w:val="样式1"/>
    <w:basedOn w:val="1"/>
    <w:next w:val="7"/>
    <w:qFormat/>
    <w:uiPriority w:val="0"/>
    <w:pPr>
      <w:spacing w:line="360" w:lineRule="auto"/>
      <w:ind w:firstLine="420" w:firstLineChars="200"/>
    </w:pPr>
    <w:rPr>
      <w:rFonts w:ascii="宋体" w:hAnsi="宋体"/>
      <w:szCs w:val="21"/>
    </w:rPr>
  </w:style>
  <w:style w:type="paragraph" w:customStyle="1" w:styleId="329">
    <w:name w:val="CM2"/>
    <w:basedOn w:val="117"/>
    <w:next w:val="117"/>
    <w:qFormat/>
    <w:uiPriority w:val="0"/>
    <w:pPr>
      <w:spacing w:line="500" w:lineRule="atLeast"/>
    </w:pPr>
    <w:rPr>
      <w:rFonts w:ascii="Times New Roman" w:hAnsi="Calibri"/>
      <w:color w:val="auto"/>
      <w:kern w:val="2"/>
    </w:rPr>
  </w:style>
  <w:style w:type="paragraph" w:customStyle="1" w:styleId="330">
    <w:name w:val="CM91"/>
    <w:basedOn w:val="117"/>
    <w:next w:val="117"/>
    <w:qFormat/>
    <w:uiPriority w:val="0"/>
    <w:pPr>
      <w:spacing w:after="160"/>
    </w:pPr>
    <w:rPr>
      <w:rFonts w:ascii="Times New Roman" w:hAnsi="Calibri"/>
      <w:color w:val="auto"/>
      <w:kern w:val="2"/>
    </w:rPr>
  </w:style>
  <w:style w:type="paragraph" w:customStyle="1" w:styleId="331">
    <w:name w:val="正文1"/>
    <w:qFormat/>
    <w:uiPriority w:val="0"/>
    <w:pPr>
      <w:spacing w:line="360" w:lineRule="auto"/>
    </w:pPr>
    <w:rPr>
      <w:rFonts w:ascii="宋体" w:hAnsi="华文宋体" w:eastAsia="宋体" w:cs="Times New Roman"/>
      <w:kern w:val="20"/>
      <w:sz w:val="24"/>
      <w:lang w:val="en-US" w:eastAsia="zh-CN" w:bidi="ar-SA"/>
    </w:rPr>
  </w:style>
  <w:style w:type="paragraph" w:customStyle="1" w:styleId="332">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8"/>
      <w:szCs w:val="28"/>
    </w:rPr>
  </w:style>
  <w:style w:type="paragraph" w:customStyle="1" w:styleId="33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334">
    <w:name w:val="CM65"/>
    <w:basedOn w:val="117"/>
    <w:next w:val="117"/>
    <w:qFormat/>
    <w:uiPriority w:val="0"/>
    <w:rPr>
      <w:rFonts w:ascii="Times New Roman" w:hAnsi="Calibri"/>
      <w:color w:val="auto"/>
      <w:kern w:val="2"/>
    </w:rPr>
  </w:style>
  <w:style w:type="paragraph" w:customStyle="1" w:styleId="335">
    <w:name w:val="xl41"/>
    <w:basedOn w:val="1"/>
    <w:qFormat/>
    <w:uiPriority w:val="0"/>
    <w:pPr>
      <w:widowControl/>
      <w:pBdr>
        <w:top w:val="single" w:color="auto" w:sz="4" w:space="0"/>
        <w:left w:val="single" w:color="auto" w:sz="4" w:space="0"/>
        <w:bottom w:val="single" w:color="auto" w:sz="4" w:space="0"/>
        <w:right w:val="single" w:color="auto" w:sz="4" w:space="0"/>
      </w:pBdr>
      <w:shd w:val="clear" w:color="FFFFFF" w:fill="00FF00"/>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336">
    <w:name w:val="xl31"/>
    <w:basedOn w:val="1"/>
    <w:qFormat/>
    <w:uiPriority w:val="0"/>
    <w:pPr>
      <w:widowControl/>
      <w:pBdr>
        <w:top w:val="single" w:color="auto" w:sz="4" w:space="0"/>
        <w:left w:val="single" w:color="auto" w:sz="4" w:space="0"/>
        <w:bottom w:val="single" w:color="auto" w:sz="4" w:space="0"/>
        <w:right w:val="single" w:color="auto" w:sz="4" w:space="0"/>
      </w:pBdr>
      <w:shd w:val="clear" w:color="FFFFFF" w:fill="00FF00"/>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37">
    <w:name w:val="CM92"/>
    <w:basedOn w:val="117"/>
    <w:next w:val="117"/>
    <w:qFormat/>
    <w:uiPriority w:val="0"/>
    <w:pPr>
      <w:spacing w:after="530"/>
    </w:pPr>
    <w:rPr>
      <w:rFonts w:ascii="Times New Roman" w:hAnsi="Calibri"/>
      <w:color w:val="auto"/>
      <w:kern w:val="2"/>
    </w:rPr>
  </w:style>
  <w:style w:type="paragraph" w:customStyle="1" w:styleId="338">
    <w:name w:val="样式"/>
    <w:qFormat/>
    <w:uiPriority w:val="0"/>
    <w:pPr>
      <w:widowControl w:val="0"/>
      <w:jc w:val="both"/>
    </w:pPr>
    <w:rPr>
      <w:rFonts w:ascii="宋体" w:hAnsi="宋体" w:eastAsia="宋体" w:cs="Times New Roman"/>
      <w:kern w:val="2"/>
      <w:sz w:val="21"/>
      <w:szCs w:val="22"/>
      <w:lang w:val="en-US" w:eastAsia="zh-CN" w:bidi="ar-SA"/>
    </w:rPr>
  </w:style>
  <w:style w:type="paragraph" w:customStyle="1" w:styleId="339">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CM20"/>
    <w:basedOn w:val="117"/>
    <w:next w:val="117"/>
    <w:qFormat/>
    <w:uiPriority w:val="0"/>
    <w:pPr>
      <w:spacing w:line="400" w:lineRule="atLeast"/>
    </w:pPr>
    <w:rPr>
      <w:rFonts w:ascii="Times New Roman" w:hAnsi="Calibri"/>
      <w:color w:val="auto"/>
      <w:kern w:val="2"/>
    </w:rPr>
  </w:style>
  <w:style w:type="paragraph" w:customStyle="1" w:styleId="341">
    <w:name w:val="CM103"/>
    <w:basedOn w:val="117"/>
    <w:next w:val="117"/>
    <w:qFormat/>
    <w:uiPriority w:val="0"/>
    <w:pPr>
      <w:spacing w:after="1508"/>
    </w:pPr>
    <w:rPr>
      <w:rFonts w:ascii="Times New Roman" w:hAnsi="Calibri"/>
      <w:color w:val="auto"/>
      <w:kern w:val="2"/>
    </w:rPr>
  </w:style>
  <w:style w:type="paragraph" w:customStyle="1" w:styleId="342">
    <w:name w:val="表格"/>
    <w:basedOn w:val="1"/>
    <w:qFormat/>
    <w:uiPriority w:val="0"/>
    <w:pPr>
      <w:jc w:val="center"/>
      <w:textAlignment w:val="center"/>
    </w:pPr>
    <w:rPr>
      <w:rFonts w:ascii="华文细黑" w:hAnsi="华文细黑"/>
      <w:kern w:val="0"/>
      <w:szCs w:val="20"/>
    </w:rPr>
  </w:style>
  <w:style w:type="paragraph" w:customStyle="1" w:styleId="343">
    <w:name w:val="CM36"/>
    <w:basedOn w:val="117"/>
    <w:next w:val="117"/>
    <w:qFormat/>
    <w:uiPriority w:val="0"/>
    <w:pPr>
      <w:spacing w:line="400" w:lineRule="atLeast"/>
    </w:pPr>
    <w:rPr>
      <w:rFonts w:ascii="Times New Roman" w:hAnsi="Calibri"/>
      <w:color w:val="auto"/>
      <w:kern w:val="2"/>
    </w:rPr>
  </w:style>
  <w:style w:type="paragraph" w:customStyle="1" w:styleId="344">
    <w:name w:val="CM23"/>
    <w:basedOn w:val="117"/>
    <w:next w:val="117"/>
    <w:qFormat/>
    <w:uiPriority w:val="0"/>
    <w:pPr>
      <w:spacing w:line="398" w:lineRule="atLeast"/>
    </w:pPr>
    <w:rPr>
      <w:rFonts w:ascii="Times New Roman" w:hAnsi="Calibri"/>
      <w:color w:val="auto"/>
      <w:kern w:val="2"/>
    </w:rPr>
  </w:style>
  <w:style w:type="paragraph" w:customStyle="1" w:styleId="345">
    <w:name w:val="CM48"/>
    <w:basedOn w:val="117"/>
    <w:next w:val="117"/>
    <w:qFormat/>
    <w:uiPriority w:val="0"/>
    <w:pPr>
      <w:spacing w:line="540" w:lineRule="atLeast"/>
    </w:pPr>
    <w:rPr>
      <w:rFonts w:ascii="Times New Roman" w:hAnsi="Calibri"/>
      <w:color w:val="auto"/>
      <w:kern w:val="2"/>
    </w:rPr>
  </w:style>
  <w:style w:type="paragraph" w:customStyle="1" w:styleId="346">
    <w:name w:val="CM6"/>
    <w:basedOn w:val="117"/>
    <w:next w:val="117"/>
    <w:qFormat/>
    <w:uiPriority w:val="0"/>
    <w:pPr>
      <w:spacing w:line="318" w:lineRule="atLeast"/>
    </w:pPr>
    <w:rPr>
      <w:rFonts w:ascii="Times New Roman" w:hAnsi="Calibri"/>
      <w:color w:val="auto"/>
      <w:kern w:val="2"/>
    </w:rPr>
  </w:style>
  <w:style w:type="paragraph" w:customStyle="1" w:styleId="347">
    <w:name w:val="GZTB表格样式"/>
    <w:basedOn w:val="1"/>
    <w:qFormat/>
    <w:uiPriority w:val="0"/>
    <w:pPr>
      <w:spacing w:after="200" w:line="440" w:lineRule="exact"/>
    </w:pPr>
    <w:rPr>
      <w:rFonts w:ascii="新宋体" w:hAnsi="新宋体" w:eastAsia="新宋体"/>
      <w:szCs w:val="22"/>
    </w:rPr>
  </w:style>
  <w:style w:type="paragraph" w:customStyle="1" w:styleId="348">
    <w:name w:val="样式 标题 3 + (中文) 黑体 小四 非加粗 段前: 7.8 磅 段后: 0 磅 行距: 固定值 20 磅"/>
    <w:basedOn w:val="6"/>
    <w:next w:val="16"/>
    <w:qFormat/>
    <w:uiPriority w:val="0"/>
    <w:pPr>
      <w:spacing w:before="0" w:after="0" w:line="400" w:lineRule="exact"/>
    </w:pPr>
    <w:rPr>
      <w:rFonts w:eastAsia="黑体"/>
      <w:b w:val="0"/>
      <w:bCs w:val="0"/>
      <w:sz w:val="24"/>
      <w:szCs w:val="20"/>
    </w:rPr>
  </w:style>
  <w:style w:type="paragraph" w:customStyle="1" w:styleId="349">
    <w:name w:val="Char2"/>
    <w:basedOn w:val="1"/>
    <w:qFormat/>
    <w:uiPriority w:val="0"/>
    <w:pPr>
      <w:adjustRightInd w:val="0"/>
      <w:spacing w:line="360" w:lineRule="auto"/>
    </w:pPr>
    <w:rPr>
      <w:kern w:val="0"/>
      <w:sz w:val="24"/>
      <w:szCs w:val="20"/>
    </w:rPr>
  </w:style>
  <w:style w:type="paragraph" w:customStyle="1" w:styleId="350">
    <w:name w:val="CM57"/>
    <w:basedOn w:val="117"/>
    <w:next w:val="117"/>
    <w:qFormat/>
    <w:uiPriority w:val="0"/>
    <w:pPr>
      <w:spacing w:line="400" w:lineRule="atLeast"/>
    </w:pPr>
    <w:rPr>
      <w:rFonts w:ascii="Times New Roman" w:hAnsi="Calibri"/>
      <w:color w:val="auto"/>
      <w:kern w:val="2"/>
    </w:rPr>
  </w:style>
  <w:style w:type="paragraph" w:customStyle="1" w:styleId="351">
    <w:name w:val="CM35"/>
    <w:basedOn w:val="117"/>
    <w:next w:val="117"/>
    <w:qFormat/>
    <w:uiPriority w:val="0"/>
    <w:pPr>
      <w:spacing w:line="400" w:lineRule="atLeast"/>
    </w:pPr>
    <w:rPr>
      <w:rFonts w:ascii="Times New Roman" w:hAnsi="Calibri"/>
      <w:color w:val="auto"/>
      <w:kern w:val="2"/>
    </w:rPr>
  </w:style>
  <w:style w:type="paragraph" w:customStyle="1" w:styleId="352">
    <w:name w:val="引用2"/>
    <w:basedOn w:val="1"/>
    <w:next w:val="1"/>
    <w:qFormat/>
    <w:uiPriority w:val="0"/>
    <w:rPr>
      <w:i/>
      <w:iCs/>
      <w:color w:val="000000"/>
      <w:sz w:val="22"/>
      <w:szCs w:val="22"/>
    </w:rPr>
  </w:style>
  <w:style w:type="paragraph" w:customStyle="1" w:styleId="353">
    <w:name w:val="XW正文"/>
    <w:basedOn w:val="3"/>
    <w:qFormat/>
    <w:uiPriority w:val="0"/>
    <w:pPr>
      <w:autoSpaceDE/>
      <w:autoSpaceDN/>
      <w:snapToGrid w:val="0"/>
      <w:spacing w:line="300" w:lineRule="auto"/>
      <w:ind w:left="0" w:leftChars="0" w:firstLine="520" w:firstLineChars="200"/>
      <w:jc w:val="left"/>
    </w:pPr>
    <w:rPr>
      <w:rFonts w:ascii="Times New Roman"/>
      <w:color w:val="auto"/>
      <w:sz w:val="21"/>
      <w:szCs w:val="24"/>
    </w:rPr>
  </w:style>
  <w:style w:type="paragraph" w:customStyle="1" w:styleId="35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rPr>
  </w:style>
  <w:style w:type="paragraph" w:customStyle="1" w:styleId="355">
    <w:name w:val="3"/>
    <w:basedOn w:val="1"/>
    <w:qFormat/>
    <w:uiPriority w:val="0"/>
    <w:pPr>
      <w:widowControl/>
      <w:spacing w:after="160" w:line="240" w:lineRule="exact"/>
      <w:jc w:val="left"/>
    </w:pPr>
    <w:rPr>
      <w:rFonts w:ascii="Verdana" w:hAnsi="Verdana"/>
      <w:kern w:val="0"/>
      <w:szCs w:val="20"/>
    </w:rPr>
  </w:style>
  <w:style w:type="paragraph" w:customStyle="1" w:styleId="356">
    <w:name w:val="修订1"/>
    <w:qFormat/>
    <w:uiPriority w:val="0"/>
    <w:rPr>
      <w:rFonts w:ascii="Times New Roman" w:hAnsi="Times New Roman" w:eastAsia="宋体" w:cs="Times New Roman"/>
      <w:kern w:val="2"/>
      <w:sz w:val="21"/>
      <w:szCs w:val="24"/>
      <w:lang w:val="en-US" w:eastAsia="zh-CN" w:bidi="ar-SA"/>
    </w:rPr>
  </w:style>
  <w:style w:type="paragraph" w:customStyle="1" w:styleId="357">
    <w:name w:val="xl25"/>
    <w:basedOn w:val="1"/>
    <w:qFormat/>
    <w:uiPriority w:val="0"/>
    <w:pPr>
      <w:widowControl/>
      <w:spacing w:before="100" w:beforeAutospacing="1" w:after="100" w:afterAutospacing="1"/>
      <w:textAlignment w:val="center"/>
    </w:pPr>
    <w:rPr>
      <w:kern w:val="0"/>
      <w:sz w:val="18"/>
      <w:szCs w:val="20"/>
    </w:rPr>
  </w:style>
  <w:style w:type="paragraph" w:customStyle="1" w:styleId="358">
    <w:name w:val="CM99"/>
    <w:basedOn w:val="117"/>
    <w:next w:val="117"/>
    <w:qFormat/>
    <w:uiPriority w:val="0"/>
    <w:pPr>
      <w:spacing w:after="443"/>
    </w:pPr>
    <w:rPr>
      <w:rFonts w:ascii="Times New Roman" w:hAnsi="Calibri"/>
      <w:color w:val="auto"/>
      <w:kern w:val="2"/>
    </w:rPr>
  </w:style>
  <w:style w:type="paragraph" w:customStyle="1" w:styleId="359">
    <w:name w:val="CM85"/>
    <w:basedOn w:val="117"/>
    <w:next w:val="117"/>
    <w:qFormat/>
    <w:uiPriority w:val="0"/>
    <w:pPr>
      <w:spacing w:line="443" w:lineRule="atLeast"/>
    </w:pPr>
    <w:rPr>
      <w:rFonts w:ascii="Times New Roman" w:hAnsi="Calibri"/>
      <w:color w:val="auto"/>
      <w:kern w:val="2"/>
    </w:rPr>
  </w:style>
  <w:style w:type="paragraph" w:customStyle="1" w:styleId="360">
    <w:name w:val="????????????¡§??????????????????¡§???????????????????¨¬????????????????¡§???????????????¡§?????????????????¡§??????o????????????????¨¬????????????????¡§???????????????¡§??????"/>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6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2">
    <w:name w:val="CM1"/>
    <w:basedOn w:val="117"/>
    <w:next w:val="117"/>
    <w:qFormat/>
    <w:uiPriority w:val="0"/>
    <w:rPr>
      <w:rFonts w:ascii="Times New Roman" w:hAnsi="Calibri"/>
      <w:color w:val="auto"/>
      <w:kern w:val="2"/>
    </w:rPr>
  </w:style>
  <w:style w:type="paragraph" w:customStyle="1" w:styleId="363">
    <w:name w:val="xl3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36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6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6">
    <w:name w:val="本文正文格式"/>
    <w:basedOn w:val="1"/>
    <w:qFormat/>
    <w:uiPriority w:val="0"/>
    <w:pPr>
      <w:spacing w:line="520" w:lineRule="exact"/>
      <w:ind w:firstLine="280" w:firstLineChars="100"/>
    </w:pPr>
    <w:rPr>
      <w:kern w:val="52"/>
      <w:sz w:val="28"/>
    </w:rPr>
  </w:style>
  <w:style w:type="paragraph" w:customStyle="1" w:styleId="367">
    <w:name w:val="CM47"/>
    <w:basedOn w:val="117"/>
    <w:next w:val="117"/>
    <w:qFormat/>
    <w:uiPriority w:val="0"/>
    <w:pPr>
      <w:spacing w:line="440" w:lineRule="atLeast"/>
    </w:pPr>
    <w:rPr>
      <w:rFonts w:ascii="Times New Roman" w:hAnsi="Calibri"/>
      <w:color w:val="auto"/>
      <w:kern w:val="2"/>
    </w:rPr>
  </w:style>
  <w:style w:type="paragraph" w:customStyle="1" w:styleId="368">
    <w:name w:val="CM89"/>
    <w:basedOn w:val="117"/>
    <w:next w:val="117"/>
    <w:qFormat/>
    <w:uiPriority w:val="0"/>
    <w:pPr>
      <w:spacing w:line="440" w:lineRule="atLeast"/>
    </w:pPr>
    <w:rPr>
      <w:rFonts w:ascii="Times New Roman" w:hAnsi="Calibri"/>
      <w:color w:val="auto"/>
      <w:kern w:val="2"/>
    </w:rPr>
  </w:style>
  <w:style w:type="paragraph" w:customStyle="1" w:styleId="369">
    <w:name w:val="CM25"/>
    <w:basedOn w:val="117"/>
    <w:next w:val="117"/>
    <w:qFormat/>
    <w:uiPriority w:val="0"/>
    <w:pPr>
      <w:spacing w:line="440" w:lineRule="atLeast"/>
    </w:pPr>
    <w:rPr>
      <w:rFonts w:ascii="Times New Roman" w:hAnsi="Calibri"/>
      <w:color w:val="auto"/>
      <w:kern w:val="2"/>
    </w:rPr>
  </w:style>
  <w:style w:type="paragraph" w:customStyle="1" w:styleId="370">
    <w:name w:val="CM44"/>
    <w:basedOn w:val="117"/>
    <w:next w:val="117"/>
    <w:qFormat/>
    <w:uiPriority w:val="0"/>
    <w:pPr>
      <w:spacing w:line="440" w:lineRule="atLeast"/>
    </w:pPr>
    <w:rPr>
      <w:rFonts w:ascii="Times New Roman" w:hAnsi="Calibri"/>
      <w:color w:val="auto"/>
      <w:kern w:val="2"/>
    </w:rPr>
  </w:style>
  <w:style w:type="paragraph" w:customStyle="1" w:styleId="371">
    <w:name w:val="Char Char Char Char"/>
    <w:basedOn w:val="1"/>
    <w:qFormat/>
    <w:uiPriority w:val="0"/>
    <w:pPr>
      <w:widowControl/>
      <w:spacing w:after="160" w:line="240" w:lineRule="exact"/>
      <w:jc w:val="left"/>
    </w:pPr>
    <w:rPr>
      <w:rFonts w:cs="宋体"/>
      <w:color w:val="000000"/>
      <w:kern w:val="0"/>
      <w:szCs w:val="21"/>
    </w:rPr>
  </w:style>
  <w:style w:type="paragraph" w:customStyle="1" w:styleId="372">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373">
    <w:name w:val="CM28"/>
    <w:basedOn w:val="117"/>
    <w:next w:val="117"/>
    <w:qFormat/>
    <w:uiPriority w:val="0"/>
    <w:rPr>
      <w:rFonts w:ascii="Times New Roman" w:hAnsi="Calibri"/>
      <w:color w:val="auto"/>
      <w:kern w:val="2"/>
    </w:rPr>
  </w:style>
  <w:style w:type="paragraph" w:customStyle="1" w:styleId="37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7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76">
    <w:name w:val="xl6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77">
    <w:name w:val="Quote1"/>
    <w:basedOn w:val="1"/>
    <w:next w:val="1"/>
    <w:qFormat/>
    <w:uiPriority w:val="0"/>
    <w:rPr>
      <w:i/>
      <w:iCs/>
      <w:color w:val="000000"/>
      <w:sz w:val="22"/>
      <w:szCs w:val="22"/>
    </w:rPr>
  </w:style>
  <w:style w:type="paragraph" w:customStyle="1" w:styleId="378">
    <w:name w:val="Char Char Char1"/>
    <w:basedOn w:val="1"/>
    <w:qFormat/>
    <w:uiPriority w:val="0"/>
  </w:style>
  <w:style w:type="paragraph" w:customStyle="1" w:styleId="379">
    <w:name w:val="Blockquote"/>
    <w:basedOn w:val="1"/>
    <w:qFormat/>
    <w:uiPriority w:val="0"/>
    <w:pPr>
      <w:autoSpaceDE w:val="0"/>
      <w:autoSpaceDN w:val="0"/>
      <w:adjustRightInd w:val="0"/>
      <w:spacing w:before="100" w:after="100" w:line="400" w:lineRule="exact"/>
      <w:ind w:left="250" w:right="720" w:firstLine="315"/>
      <w:jc w:val="left"/>
    </w:pPr>
    <w:rPr>
      <w:rFonts w:cs="宋体"/>
      <w:color w:val="000000"/>
      <w:kern w:val="0"/>
      <w:szCs w:val="21"/>
    </w:rPr>
  </w:style>
  <w:style w:type="paragraph" w:customStyle="1" w:styleId="380">
    <w:name w:val="Char Char Char Char Char Char Char Char Char Char Char Char Char Char Char Char Char Char"/>
    <w:basedOn w:val="1"/>
    <w:qFormat/>
    <w:uiPriority w:val="0"/>
    <w:pPr>
      <w:widowControl/>
      <w:spacing w:after="160" w:line="240" w:lineRule="exact"/>
      <w:jc w:val="left"/>
    </w:pPr>
    <w:rPr>
      <w:szCs w:val="20"/>
    </w:rPr>
  </w:style>
  <w:style w:type="paragraph" w:customStyle="1" w:styleId="381">
    <w:name w:val="_Style 11"/>
    <w:basedOn w:val="1"/>
    <w:qFormat/>
    <w:uiPriority w:val="0"/>
  </w:style>
  <w:style w:type="paragraph" w:customStyle="1" w:styleId="382">
    <w:name w:val="1"/>
    <w:basedOn w:val="1"/>
    <w:next w:val="1"/>
    <w:qFormat/>
    <w:uiPriority w:val="0"/>
  </w:style>
  <w:style w:type="paragraph" w:customStyle="1" w:styleId="383">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385">
    <w:name w:val="CM72"/>
    <w:basedOn w:val="117"/>
    <w:next w:val="117"/>
    <w:qFormat/>
    <w:uiPriority w:val="0"/>
    <w:rPr>
      <w:rFonts w:ascii="Times New Roman" w:hAnsi="Calibri"/>
      <w:color w:val="auto"/>
      <w:kern w:val="2"/>
    </w:rPr>
  </w:style>
  <w:style w:type="paragraph" w:customStyle="1" w:styleId="386">
    <w:name w:val="表格文字"/>
    <w:basedOn w:val="1"/>
    <w:qFormat/>
    <w:uiPriority w:val="0"/>
    <w:pPr>
      <w:adjustRightInd w:val="0"/>
      <w:spacing w:line="420" w:lineRule="atLeast"/>
      <w:jc w:val="left"/>
      <w:textAlignment w:val="baseline"/>
    </w:pPr>
    <w:rPr>
      <w:kern w:val="0"/>
      <w:szCs w:val="20"/>
    </w:rPr>
  </w:style>
  <w:style w:type="paragraph" w:customStyle="1" w:styleId="38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rPr>
  </w:style>
  <w:style w:type="paragraph" w:customStyle="1" w:styleId="388">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textAlignment w:val="center"/>
    </w:pPr>
    <w:rPr>
      <w:rFonts w:ascii="仿宋_GB2312" w:hAnsi="宋体" w:eastAsia="仿宋_GB2312" w:cs="宋体"/>
      <w:kern w:val="0"/>
      <w:sz w:val="24"/>
    </w:rPr>
  </w:style>
  <w:style w:type="paragraph" w:customStyle="1" w:styleId="389">
    <w:name w:val="CM4"/>
    <w:basedOn w:val="117"/>
    <w:next w:val="117"/>
    <w:qFormat/>
    <w:uiPriority w:val="0"/>
    <w:rPr>
      <w:rFonts w:ascii="Times New Roman" w:hAnsi="Calibri"/>
      <w:color w:val="auto"/>
      <w:kern w:val="2"/>
    </w:rPr>
  </w:style>
  <w:style w:type="paragraph" w:customStyle="1" w:styleId="390">
    <w:name w:val="Char11"/>
    <w:basedOn w:val="1"/>
    <w:qFormat/>
    <w:uiPriority w:val="0"/>
    <w:rPr>
      <w:rFonts w:ascii="Tahoma" w:hAnsi="Tahoma"/>
      <w:sz w:val="24"/>
      <w:szCs w:val="20"/>
    </w:rPr>
  </w:style>
  <w:style w:type="paragraph" w:customStyle="1" w:styleId="391">
    <w:name w:val="修订11"/>
    <w:qFormat/>
    <w:uiPriority w:val="0"/>
    <w:rPr>
      <w:rFonts w:ascii="Times New Roman" w:hAnsi="Times New Roman" w:eastAsia="宋体" w:cs="Times New Roman"/>
      <w:szCs w:val="24"/>
      <w:lang w:val="en-US" w:eastAsia="zh-CN" w:bidi="ar-SA"/>
    </w:rPr>
  </w:style>
  <w:style w:type="paragraph" w:customStyle="1" w:styleId="392">
    <w:name w:val="CM33"/>
    <w:basedOn w:val="117"/>
    <w:next w:val="117"/>
    <w:qFormat/>
    <w:uiPriority w:val="0"/>
    <w:rPr>
      <w:rFonts w:ascii="Times New Roman" w:hAnsi="Calibri"/>
      <w:color w:val="auto"/>
      <w:kern w:val="2"/>
    </w:rPr>
  </w:style>
  <w:style w:type="paragraph" w:customStyle="1" w:styleId="393">
    <w:name w:val="明显引用2"/>
    <w:basedOn w:val="1"/>
    <w:next w:val="1"/>
    <w:qFormat/>
    <w:uiPriority w:val="0"/>
    <w:pPr>
      <w:pBdr>
        <w:bottom w:val="single" w:color="4F81BD" w:sz="4" w:space="4"/>
      </w:pBdr>
      <w:spacing w:before="200" w:after="280"/>
      <w:ind w:left="936" w:right="936"/>
    </w:pPr>
    <w:rPr>
      <w:b/>
      <w:bCs/>
      <w:i/>
      <w:iCs/>
      <w:color w:val="4F81BD"/>
      <w:sz w:val="22"/>
      <w:szCs w:val="22"/>
    </w:rPr>
  </w:style>
  <w:style w:type="paragraph" w:customStyle="1" w:styleId="394">
    <w:name w:val="样式 标题 1 + 黑体 三号 非加粗 居中 段前: 6 磅 段后: 6 磅 行距: 固定值 20 磅"/>
    <w:basedOn w:val="4"/>
    <w:qFormat/>
    <w:uiPriority w:val="0"/>
    <w:pPr>
      <w:keepLines/>
      <w:numPr>
        <w:numId w:val="0"/>
      </w:numPr>
      <w:autoSpaceDE/>
      <w:autoSpaceDN/>
      <w:adjustRightInd/>
      <w:spacing w:before="120" w:after="120" w:line="400" w:lineRule="exact"/>
      <w:jc w:val="center"/>
    </w:pPr>
    <w:rPr>
      <w:rFonts w:ascii="黑体" w:hAnsi="黑体" w:eastAsia="黑体" w:cs="宋体"/>
      <w:color w:val="auto"/>
      <w:kern w:val="44"/>
      <w:sz w:val="32"/>
      <w:szCs w:val="20"/>
    </w:rPr>
  </w:style>
  <w:style w:type="paragraph" w:customStyle="1" w:styleId="395">
    <w:name w:val="_Style 24"/>
    <w:qFormat/>
    <w:uiPriority w:val="0"/>
    <w:pPr>
      <w:widowControl w:val="0"/>
      <w:jc w:val="both"/>
    </w:pPr>
    <w:rPr>
      <w:rFonts w:ascii="Times New Roman" w:hAnsi="Times New Roman" w:eastAsia="宋体" w:cs="Times New Roman"/>
      <w:szCs w:val="24"/>
      <w:lang w:val="en-US" w:eastAsia="zh-CN" w:bidi="ar-SA"/>
    </w:rPr>
  </w:style>
  <w:style w:type="paragraph" w:customStyle="1" w:styleId="396">
    <w:name w:val="GZTB段落样式"/>
    <w:basedOn w:val="1"/>
    <w:qFormat/>
    <w:uiPriority w:val="0"/>
    <w:pPr>
      <w:spacing w:after="200" w:line="440" w:lineRule="exact"/>
      <w:ind w:firstLine="420" w:firstLineChars="200"/>
    </w:pPr>
    <w:rPr>
      <w:rFonts w:ascii="新宋体" w:hAnsi="新宋体" w:eastAsia="新宋体"/>
      <w:szCs w:val="22"/>
    </w:rPr>
  </w:style>
  <w:style w:type="paragraph" w:customStyle="1" w:styleId="39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8">
    <w:name w:val="CM62"/>
    <w:basedOn w:val="117"/>
    <w:next w:val="117"/>
    <w:qFormat/>
    <w:uiPriority w:val="0"/>
    <w:pPr>
      <w:spacing w:line="400" w:lineRule="atLeast"/>
    </w:pPr>
    <w:rPr>
      <w:rFonts w:ascii="Times New Roman" w:hAnsi="Calibri"/>
      <w:color w:val="auto"/>
      <w:kern w:val="2"/>
    </w:rPr>
  </w:style>
  <w:style w:type="paragraph" w:customStyle="1" w:styleId="399">
    <w:name w:val="CM94"/>
    <w:basedOn w:val="117"/>
    <w:next w:val="117"/>
    <w:qFormat/>
    <w:uiPriority w:val="0"/>
    <w:pPr>
      <w:spacing w:after="63"/>
    </w:pPr>
    <w:rPr>
      <w:rFonts w:ascii="Times New Roman" w:hAnsi="Calibri"/>
      <w:color w:val="auto"/>
      <w:kern w:val="2"/>
    </w:rPr>
  </w:style>
  <w:style w:type="paragraph" w:customStyle="1" w:styleId="400">
    <w:name w:val="CM80"/>
    <w:basedOn w:val="117"/>
    <w:next w:val="117"/>
    <w:qFormat/>
    <w:uiPriority w:val="0"/>
    <w:pPr>
      <w:spacing w:line="440" w:lineRule="atLeast"/>
    </w:pPr>
    <w:rPr>
      <w:rFonts w:ascii="Times New Roman" w:hAnsi="Calibri"/>
      <w:color w:val="auto"/>
      <w:kern w:val="2"/>
    </w:rPr>
  </w:style>
  <w:style w:type="paragraph" w:customStyle="1" w:styleId="401">
    <w:name w:val="CM34"/>
    <w:basedOn w:val="117"/>
    <w:next w:val="117"/>
    <w:qFormat/>
    <w:uiPriority w:val="0"/>
    <w:pPr>
      <w:spacing w:line="398" w:lineRule="atLeast"/>
    </w:pPr>
    <w:rPr>
      <w:rFonts w:ascii="Times New Roman" w:hAnsi="Calibri"/>
      <w:color w:val="auto"/>
      <w:kern w:val="2"/>
    </w:rPr>
  </w:style>
  <w:style w:type="paragraph" w:customStyle="1" w:styleId="402">
    <w:name w:val="CM56"/>
    <w:basedOn w:val="117"/>
    <w:next w:val="117"/>
    <w:qFormat/>
    <w:uiPriority w:val="0"/>
    <w:rPr>
      <w:rFonts w:ascii="Times New Roman" w:hAnsi="Calibri"/>
      <w:color w:val="auto"/>
      <w:kern w:val="2"/>
    </w:rPr>
  </w:style>
  <w:style w:type="paragraph" w:customStyle="1" w:styleId="40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404">
    <w:name w:val="TOC 标题2"/>
    <w:basedOn w:val="4"/>
    <w:next w:val="1"/>
    <w:qFormat/>
    <w:uiPriority w:val="0"/>
    <w:pPr>
      <w:keepLines/>
      <w:numPr>
        <w:numId w:val="0"/>
      </w:numPr>
      <w:autoSpaceDE/>
      <w:autoSpaceDN/>
      <w:adjustRightInd/>
      <w:spacing w:before="340" w:after="330" w:line="576" w:lineRule="auto"/>
      <w:jc w:val="both"/>
      <w:outlineLvl w:val="9"/>
    </w:pPr>
    <w:rPr>
      <w:rFonts w:ascii="Calibri" w:hAnsi="Calibri" w:eastAsia="宋体"/>
      <w:b/>
      <w:bCs/>
      <w:color w:val="auto"/>
      <w:kern w:val="44"/>
      <w:sz w:val="44"/>
      <w:szCs w:val="44"/>
    </w:rPr>
  </w:style>
  <w:style w:type="paragraph" w:styleId="405">
    <w:name w:val="List Paragraph"/>
    <w:basedOn w:val="1"/>
    <w:qFormat/>
    <w:uiPriority w:val="0"/>
    <w:pPr>
      <w:ind w:firstLine="420" w:firstLineChars="200"/>
    </w:pPr>
    <w:rPr>
      <w:rFonts w:ascii="Calibri" w:hAnsi="Calibri"/>
      <w:szCs w:val="22"/>
    </w:rPr>
  </w:style>
  <w:style w:type="paragraph" w:customStyle="1" w:styleId="406">
    <w:name w:val="p0"/>
    <w:basedOn w:val="1"/>
    <w:qFormat/>
    <w:uiPriority w:val="0"/>
    <w:pPr>
      <w:widowControl/>
    </w:pPr>
    <w:rPr>
      <w:kern w:val="0"/>
      <w:szCs w:val="21"/>
    </w:rPr>
  </w:style>
  <w:style w:type="paragraph" w:customStyle="1" w:styleId="407">
    <w:name w:val="CM95"/>
    <w:basedOn w:val="117"/>
    <w:next w:val="117"/>
    <w:qFormat/>
    <w:uiPriority w:val="0"/>
    <w:pPr>
      <w:spacing w:after="115"/>
    </w:pPr>
    <w:rPr>
      <w:rFonts w:ascii="Times New Roman" w:hAnsi="Calibri"/>
      <w:color w:val="auto"/>
      <w:kern w:val="2"/>
    </w:rPr>
  </w:style>
  <w:style w:type="paragraph" w:customStyle="1" w:styleId="408">
    <w:name w:val="CM81"/>
    <w:basedOn w:val="117"/>
    <w:next w:val="117"/>
    <w:qFormat/>
    <w:uiPriority w:val="0"/>
    <w:pPr>
      <w:spacing w:line="440" w:lineRule="atLeast"/>
    </w:pPr>
    <w:rPr>
      <w:rFonts w:ascii="Times New Roman" w:hAnsi="Calibri"/>
      <w:color w:val="auto"/>
      <w:kern w:val="2"/>
    </w:rPr>
  </w:style>
  <w:style w:type="paragraph" w:customStyle="1" w:styleId="40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41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11">
    <w:name w:val="CM3"/>
    <w:basedOn w:val="117"/>
    <w:next w:val="117"/>
    <w:qFormat/>
    <w:uiPriority w:val="0"/>
    <w:pPr>
      <w:spacing w:line="500" w:lineRule="atLeast"/>
    </w:pPr>
    <w:rPr>
      <w:rFonts w:ascii="Times New Roman" w:hAnsi="Calibri"/>
      <w:color w:val="auto"/>
      <w:kern w:val="2"/>
    </w:rPr>
  </w:style>
  <w:style w:type="paragraph" w:customStyle="1" w:styleId="412">
    <w:name w:val="xl47"/>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仿宋_GB2312" w:hAnsi="宋体" w:eastAsia="仿宋_GB2312" w:cs="宋体"/>
      <w:kern w:val="0"/>
      <w:sz w:val="24"/>
    </w:rPr>
  </w:style>
  <w:style w:type="paragraph" w:customStyle="1" w:styleId="413">
    <w:name w:val="CM29"/>
    <w:basedOn w:val="117"/>
    <w:next w:val="117"/>
    <w:qFormat/>
    <w:uiPriority w:val="0"/>
    <w:pPr>
      <w:spacing w:line="400" w:lineRule="atLeast"/>
    </w:pPr>
    <w:rPr>
      <w:rFonts w:ascii="Times New Roman" w:hAnsi="Calibri"/>
      <w:color w:val="auto"/>
      <w:kern w:val="2"/>
    </w:rPr>
  </w:style>
  <w:style w:type="paragraph" w:customStyle="1" w:styleId="414">
    <w:name w:val="CM19"/>
    <w:basedOn w:val="117"/>
    <w:next w:val="117"/>
    <w:qFormat/>
    <w:uiPriority w:val="0"/>
    <w:pPr>
      <w:spacing w:line="398" w:lineRule="atLeast"/>
    </w:pPr>
    <w:rPr>
      <w:rFonts w:ascii="Times New Roman" w:hAnsi="Calibri"/>
      <w:color w:val="auto"/>
      <w:kern w:val="2"/>
    </w:rPr>
  </w:style>
  <w:style w:type="paragraph" w:customStyle="1" w:styleId="415">
    <w:name w:val="CM18"/>
    <w:basedOn w:val="117"/>
    <w:next w:val="117"/>
    <w:qFormat/>
    <w:uiPriority w:val="0"/>
    <w:pPr>
      <w:spacing w:line="313" w:lineRule="atLeast"/>
    </w:pPr>
    <w:rPr>
      <w:rFonts w:ascii="Times New Roman" w:hAnsi="Calibri"/>
      <w:color w:val="auto"/>
      <w:kern w:val="2"/>
    </w:rPr>
  </w:style>
  <w:style w:type="paragraph" w:customStyle="1" w:styleId="416">
    <w:name w:val="样式 标题 2 + Times New Roman 四号 非加粗 段前: 5 磅 段后: 0 磅 行距: 固定值 20..."/>
    <w:basedOn w:val="5"/>
    <w:qFormat/>
    <w:uiPriority w:val="0"/>
    <w:pPr>
      <w:keepLines/>
      <w:numPr>
        <w:numId w:val="0"/>
      </w:numPr>
      <w:spacing w:before="100" w:line="400" w:lineRule="exact"/>
    </w:pPr>
    <w:rPr>
      <w:rFonts w:ascii="Times New Roman" w:eastAsia="黑体" w:cs="宋体"/>
      <w:szCs w:val="20"/>
    </w:rPr>
  </w:style>
  <w:style w:type="paragraph" w:customStyle="1" w:styleId="417">
    <w:name w:val="CM101"/>
    <w:basedOn w:val="117"/>
    <w:next w:val="117"/>
    <w:qFormat/>
    <w:uiPriority w:val="0"/>
    <w:pPr>
      <w:spacing w:after="800"/>
    </w:pPr>
    <w:rPr>
      <w:rFonts w:ascii="Times New Roman" w:hAnsi="Calibri"/>
      <w:color w:val="auto"/>
      <w:kern w:val="2"/>
    </w:rPr>
  </w:style>
  <w:style w:type="paragraph" w:customStyle="1" w:styleId="418">
    <w:name w:val="样式3"/>
    <w:basedOn w:val="5"/>
    <w:qFormat/>
    <w:uiPriority w:val="0"/>
    <w:pPr>
      <w:keepLines/>
      <w:numPr>
        <w:numId w:val="0"/>
      </w:numPr>
      <w:spacing w:line="800" w:lineRule="exact"/>
    </w:pPr>
    <w:rPr>
      <w:rFonts w:ascii="Arial" w:eastAsia="黑体" w:cs="Arial"/>
      <w:b/>
      <w:bCs/>
      <w:szCs w:val="32"/>
    </w:rPr>
  </w:style>
  <w:style w:type="paragraph" w:customStyle="1" w:styleId="419">
    <w:name w:val="xl42"/>
    <w:basedOn w:val="1"/>
    <w:qFormat/>
    <w:uiPriority w:val="0"/>
    <w:pPr>
      <w:widowControl/>
      <w:pBdr>
        <w:top w:val="single" w:color="auto" w:sz="4" w:space="0"/>
        <w:left w:val="single" w:color="auto" w:sz="4" w:space="0"/>
        <w:bottom w:val="single" w:color="auto" w:sz="4" w:space="0"/>
        <w:right w:val="single" w:color="auto" w:sz="4" w:space="0"/>
      </w:pBdr>
      <w:shd w:val="clear" w:color="FFFFFF" w:fill="00FFFF"/>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420">
    <w:name w:val="xl29"/>
    <w:basedOn w:val="1"/>
    <w:qFormat/>
    <w:uiPriority w:val="0"/>
    <w:pPr>
      <w:widowControl/>
      <w:pBdr>
        <w:top w:val="single" w:color="auto" w:sz="4" w:space="0"/>
        <w:left w:val="single" w:color="auto" w:sz="4" w:space="0"/>
        <w:bottom w:val="single" w:color="auto" w:sz="4" w:space="0"/>
        <w:right w:val="single" w:color="auto" w:sz="4" w:space="0"/>
      </w:pBdr>
      <w:shd w:val="clear" w:color="FFFFFF" w:fill="00FFFF"/>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42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422">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23">
    <w:name w:val="WPS Plain"/>
    <w:qFormat/>
    <w:uiPriority w:val="0"/>
    <w:rPr>
      <w:rFonts w:ascii="Times New Roman" w:hAnsi="Times New Roman" w:eastAsia="宋体" w:cs="Times New Roman"/>
      <w:lang w:val="en-US" w:eastAsia="zh-CN" w:bidi="ar-SA"/>
    </w:rPr>
  </w:style>
  <w:style w:type="paragraph" w:customStyle="1" w:styleId="424">
    <w:name w:val="xl32"/>
    <w:basedOn w:val="1"/>
    <w:qFormat/>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425">
    <w:name w:val="CM46"/>
    <w:basedOn w:val="117"/>
    <w:next w:val="117"/>
    <w:qFormat/>
    <w:uiPriority w:val="0"/>
    <w:rPr>
      <w:rFonts w:ascii="Times New Roman" w:hAnsi="Calibri"/>
      <w:color w:val="auto"/>
      <w:kern w:val="2"/>
    </w:rPr>
  </w:style>
  <w:style w:type="paragraph" w:customStyle="1" w:styleId="426">
    <w:name w:val="Char3"/>
    <w:basedOn w:val="1"/>
    <w:qFormat/>
    <w:uiPriority w:val="0"/>
    <w:rPr>
      <w:szCs w:val="21"/>
    </w:rPr>
  </w:style>
  <w:style w:type="paragraph" w:customStyle="1" w:styleId="42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28">
    <w:name w:val="CM98"/>
    <w:basedOn w:val="117"/>
    <w:next w:val="117"/>
    <w:qFormat/>
    <w:uiPriority w:val="0"/>
    <w:pPr>
      <w:spacing w:after="570"/>
    </w:pPr>
    <w:rPr>
      <w:rFonts w:ascii="Times New Roman" w:hAnsi="Calibri"/>
      <w:color w:val="auto"/>
      <w:kern w:val="2"/>
    </w:rPr>
  </w:style>
  <w:style w:type="paragraph" w:styleId="42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0">
    <w:name w:val="样式4"/>
    <w:basedOn w:val="6"/>
    <w:qFormat/>
    <w:uiPriority w:val="0"/>
    <w:pPr>
      <w:spacing w:before="0" w:after="0" w:line="400" w:lineRule="exact"/>
    </w:pPr>
    <w:rPr>
      <w:rFonts w:eastAsia="黑体"/>
      <w:bCs w:val="0"/>
      <w:color w:val="000000"/>
      <w:kern w:val="0"/>
      <w:sz w:val="24"/>
      <w:szCs w:val="20"/>
    </w:rPr>
  </w:style>
  <w:style w:type="paragraph" w:customStyle="1" w:styleId="431">
    <w:name w:val="CM50"/>
    <w:basedOn w:val="117"/>
    <w:next w:val="117"/>
    <w:qFormat/>
    <w:uiPriority w:val="0"/>
    <w:pPr>
      <w:spacing w:line="1020" w:lineRule="atLeast"/>
    </w:pPr>
    <w:rPr>
      <w:rFonts w:ascii="Times New Roman" w:hAnsi="Calibri"/>
      <w:color w:val="auto"/>
      <w:kern w:val="2"/>
    </w:rPr>
  </w:style>
  <w:style w:type="paragraph" w:customStyle="1" w:styleId="432">
    <w:name w:val="CM96"/>
    <w:basedOn w:val="117"/>
    <w:next w:val="117"/>
    <w:qFormat/>
    <w:uiPriority w:val="0"/>
    <w:pPr>
      <w:spacing w:after="298"/>
    </w:pPr>
    <w:rPr>
      <w:rFonts w:ascii="Times New Roman" w:hAnsi="Calibri"/>
      <w:color w:val="auto"/>
      <w:kern w:val="2"/>
    </w:rPr>
  </w:style>
  <w:style w:type="paragraph" w:customStyle="1" w:styleId="433">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kern w:val="0"/>
      <w:sz w:val="18"/>
      <w:szCs w:val="20"/>
    </w:rPr>
  </w:style>
  <w:style w:type="paragraph" w:customStyle="1" w:styleId="434">
    <w:name w:val="CM49"/>
    <w:basedOn w:val="117"/>
    <w:next w:val="117"/>
    <w:qFormat/>
    <w:uiPriority w:val="0"/>
    <w:pPr>
      <w:spacing w:line="440" w:lineRule="atLeast"/>
    </w:pPr>
    <w:rPr>
      <w:rFonts w:ascii="Times New Roman" w:hAnsi="Calibri"/>
      <w:color w:val="auto"/>
      <w:kern w:val="2"/>
    </w:rPr>
  </w:style>
  <w:style w:type="paragraph" w:customStyle="1" w:styleId="435">
    <w:name w:val="CM97"/>
    <w:basedOn w:val="117"/>
    <w:next w:val="117"/>
    <w:qFormat/>
    <w:uiPriority w:val="0"/>
    <w:pPr>
      <w:spacing w:after="373"/>
    </w:pPr>
    <w:rPr>
      <w:rFonts w:ascii="Times New Roman" w:hAnsi="Calibri"/>
      <w:color w:val="auto"/>
      <w:kern w:val="2"/>
    </w:rPr>
  </w:style>
  <w:style w:type="paragraph" w:customStyle="1" w:styleId="43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4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38">
    <w:name w:val="CM77"/>
    <w:basedOn w:val="117"/>
    <w:next w:val="117"/>
    <w:qFormat/>
    <w:uiPriority w:val="0"/>
    <w:pPr>
      <w:spacing w:line="400" w:lineRule="atLeast"/>
    </w:pPr>
    <w:rPr>
      <w:rFonts w:ascii="Times New Roman" w:hAnsi="Calibri"/>
      <w:color w:val="auto"/>
      <w:kern w:val="2"/>
    </w:rPr>
  </w:style>
  <w:style w:type="paragraph" w:customStyle="1" w:styleId="439">
    <w:name w:val="CM90"/>
    <w:basedOn w:val="117"/>
    <w:next w:val="117"/>
    <w:qFormat/>
    <w:uiPriority w:val="0"/>
    <w:rPr>
      <w:rFonts w:ascii="Times New Roman" w:hAnsi="Calibri"/>
      <w:color w:val="auto"/>
      <w:kern w:val="2"/>
    </w:rPr>
  </w:style>
  <w:style w:type="paragraph" w:customStyle="1" w:styleId="440">
    <w:name w:val="xl27"/>
    <w:basedOn w:val="1"/>
    <w:qFormat/>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441">
    <w:name w:val="high15"/>
    <w:basedOn w:val="1"/>
    <w:qFormat/>
    <w:uiPriority w:val="0"/>
    <w:pPr>
      <w:widowControl/>
      <w:spacing w:before="100" w:beforeAutospacing="1" w:after="100" w:afterAutospacing="1" w:line="300" w:lineRule="atLeast"/>
      <w:jc w:val="left"/>
    </w:pPr>
    <w:rPr>
      <w:rFonts w:ascii="宋体" w:cs="宋体"/>
      <w:kern w:val="0"/>
      <w:sz w:val="18"/>
      <w:szCs w:val="18"/>
    </w:rPr>
  </w:style>
  <w:style w:type="paragraph" w:customStyle="1" w:styleId="442">
    <w:name w:val="修订2"/>
    <w:qFormat/>
    <w:uiPriority w:val="0"/>
    <w:rPr>
      <w:rFonts w:ascii="Times New Roman" w:hAnsi="Times New Roman" w:eastAsia="宋体" w:cs="Times New Roman"/>
      <w:kern w:val="2"/>
      <w:sz w:val="21"/>
      <w:szCs w:val="24"/>
      <w:lang w:val="en-US" w:eastAsia="zh-CN" w:bidi="ar-SA"/>
    </w:rPr>
  </w:style>
  <w:style w:type="paragraph" w:customStyle="1" w:styleId="443">
    <w:name w:val="xl43"/>
    <w:basedOn w:val="1"/>
    <w:qFormat/>
    <w:uiPriority w:val="0"/>
    <w:pPr>
      <w:widowControl/>
      <w:pBdr>
        <w:top w:val="single" w:color="auto" w:sz="4" w:space="0"/>
        <w:left w:val="single" w:color="auto" w:sz="4" w:space="0"/>
        <w:bottom w:val="single" w:color="auto" w:sz="4" w:space="0"/>
        <w:right w:val="single" w:color="auto" w:sz="4" w:space="0"/>
      </w:pBdr>
      <w:shd w:val="clear" w:color="FFFFFF" w:fill="33CCCC"/>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444">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445">
    <w:name w:val="CM26"/>
    <w:basedOn w:val="117"/>
    <w:next w:val="117"/>
    <w:qFormat/>
    <w:uiPriority w:val="0"/>
    <w:pPr>
      <w:spacing w:line="400" w:lineRule="atLeast"/>
    </w:pPr>
    <w:rPr>
      <w:rFonts w:ascii="Times New Roman" w:hAnsi="Calibri"/>
      <w:color w:val="auto"/>
      <w:kern w:val="2"/>
    </w:rPr>
  </w:style>
  <w:style w:type="paragraph" w:customStyle="1" w:styleId="446">
    <w:name w:val="CM39"/>
    <w:basedOn w:val="117"/>
    <w:next w:val="117"/>
    <w:qFormat/>
    <w:uiPriority w:val="0"/>
    <w:pPr>
      <w:spacing w:line="400" w:lineRule="atLeast"/>
    </w:pPr>
    <w:rPr>
      <w:rFonts w:ascii="Times New Roman" w:hAnsi="Calibri"/>
      <w:color w:val="auto"/>
      <w:kern w:val="2"/>
    </w:rPr>
  </w:style>
  <w:style w:type="paragraph" w:customStyle="1" w:styleId="44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448">
    <w:name w:val="CM105"/>
    <w:basedOn w:val="117"/>
    <w:next w:val="117"/>
    <w:qFormat/>
    <w:uiPriority w:val="0"/>
    <w:pPr>
      <w:spacing w:after="1040"/>
    </w:pPr>
    <w:rPr>
      <w:rFonts w:ascii="Times New Roman" w:hAnsi="Calibri"/>
      <w:color w:val="auto"/>
      <w:kern w:val="2"/>
    </w:rPr>
  </w:style>
  <w:style w:type="paragraph" w:customStyle="1" w:styleId="449">
    <w:name w:val="TOC 标题21"/>
    <w:basedOn w:val="4"/>
    <w:next w:val="1"/>
    <w:qFormat/>
    <w:uiPriority w:val="0"/>
    <w:pPr>
      <w:keepLines/>
      <w:numPr>
        <w:numId w:val="0"/>
      </w:numPr>
      <w:tabs>
        <w:tab w:val="left" w:pos="432"/>
      </w:tabs>
      <w:autoSpaceDE/>
      <w:autoSpaceDN/>
      <w:adjustRightInd/>
      <w:spacing w:before="340" w:after="330" w:line="576" w:lineRule="auto"/>
      <w:jc w:val="both"/>
      <w:outlineLvl w:val="9"/>
    </w:pPr>
    <w:rPr>
      <w:rFonts w:ascii="Calibri" w:hAnsi="Calibri" w:eastAsia="宋体"/>
      <w:b/>
      <w:bCs/>
      <w:color w:val="auto"/>
      <w:kern w:val="44"/>
      <w:sz w:val="44"/>
      <w:szCs w:val="44"/>
    </w:rPr>
  </w:style>
  <w:style w:type="paragraph" w:customStyle="1" w:styleId="450">
    <w:name w:val="xl6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451">
    <w:name w:val="CM24"/>
    <w:basedOn w:val="117"/>
    <w:next w:val="117"/>
    <w:qFormat/>
    <w:uiPriority w:val="0"/>
    <w:pPr>
      <w:spacing w:line="440" w:lineRule="atLeast"/>
    </w:pPr>
    <w:rPr>
      <w:rFonts w:ascii="Times New Roman" w:hAnsi="Calibri"/>
      <w:color w:val="auto"/>
      <w:kern w:val="2"/>
    </w:rPr>
  </w:style>
  <w:style w:type="paragraph" w:customStyle="1" w:styleId="452">
    <w:name w:val="CM53"/>
    <w:basedOn w:val="117"/>
    <w:next w:val="117"/>
    <w:qFormat/>
    <w:uiPriority w:val="0"/>
    <w:pPr>
      <w:spacing w:line="400" w:lineRule="atLeast"/>
    </w:pPr>
    <w:rPr>
      <w:rFonts w:ascii="Times New Roman" w:hAnsi="Calibri"/>
      <w:color w:val="auto"/>
      <w:kern w:val="2"/>
    </w:rPr>
  </w:style>
  <w:style w:type="paragraph" w:customStyle="1" w:styleId="453">
    <w:name w:val="xl35"/>
    <w:basedOn w:val="1"/>
    <w:qFormat/>
    <w:uiPriority w:val="0"/>
    <w:pPr>
      <w:widowControl/>
      <w:pBdr>
        <w:top w:val="single" w:color="auto" w:sz="4" w:space="0"/>
        <w:left w:val="single" w:color="auto" w:sz="4" w:space="0"/>
        <w:bottom w:val="single" w:color="auto" w:sz="4" w:space="0"/>
        <w:right w:val="single" w:color="auto" w:sz="4" w:space="0"/>
      </w:pBdr>
      <w:shd w:val="clear" w:color="FFFFFF" w:fill="00FFFF"/>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4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455">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6">
    <w:name w:val="CM93"/>
    <w:basedOn w:val="117"/>
    <w:next w:val="117"/>
    <w:qFormat/>
    <w:uiPriority w:val="0"/>
    <w:pPr>
      <w:spacing w:after="628"/>
    </w:pPr>
    <w:rPr>
      <w:rFonts w:ascii="Times New Roman" w:hAnsi="Calibri"/>
      <w:color w:val="auto"/>
      <w:kern w:val="2"/>
    </w:rPr>
  </w:style>
  <w:style w:type="paragraph" w:customStyle="1" w:styleId="457">
    <w:name w:val="CM54"/>
    <w:basedOn w:val="117"/>
    <w:next w:val="117"/>
    <w:qFormat/>
    <w:uiPriority w:val="0"/>
    <w:pPr>
      <w:spacing w:line="398" w:lineRule="atLeast"/>
    </w:pPr>
    <w:rPr>
      <w:rFonts w:ascii="Times New Roman" w:hAnsi="Calibri"/>
      <w:color w:val="auto"/>
      <w:kern w:val="2"/>
    </w:rPr>
  </w:style>
  <w:style w:type="paragraph" w:customStyle="1" w:styleId="458">
    <w:name w:val="xl40"/>
    <w:basedOn w:val="1"/>
    <w:qFormat/>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459">
    <w:name w:val="WPSOffice手动目录 1"/>
    <w:qFormat/>
    <w:uiPriority w:val="0"/>
    <w:pPr>
      <w:ind w:leftChars="0"/>
    </w:pPr>
    <w:rPr>
      <w:rFonts w:ascii="Times New Roman" w:hAnsi="Times New Roman" w:eastAsia="宋体" w:cs="Times New Roman"/>
      <w:sz w:val="20"/>
      <w:szCs w:val="20"/>
    </w:rPr>
  </w:style>
  <w:style w:type="character" w:customStyle="1" w:styleId="460">
    <w:name w:val="bookmark-item uuid-1536114797846 code-23002"/>
    <w:basedOn w:val="52"/>
    <w:qFormat/>
    <w:uiPriority w:val="0"/>
  </w:style>
  <w:style w:type="paragraph" w:customStyle="1" w:styleId="461">
    <w:name w:val="正文_29_3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462">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463">
    <w:name w:val="UserStyle_0"/>
    <w:basedOn w:val="462"/>
    <w:link w:val="1"/>
    <w:qFormat/>
    <w:uiPriority w:val="0"/>
    <w:rPr>
      <w:rFonts w:ascii="Times New Roman" w:hAnsi="Times New Roman" w:eastAsia="宋体"/>
    </w:rPr>
  </w:style>
  <w:style w:type="character" w:customStyle="1" w:styleId="464">
    <w:name w:val="bookmark-item"/>
    <w:basedOn w:val="5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Company>
  <Pages>4</Pages>
  <Words>6396</Words>
  <Characters>36462</Characters>
  <Lines>303</Lines>
  <Paragraphs>85</Paragraphs>
  <TotalTime>0</TotalTime>
  <ScaleCrop>false</ScaleCrop>
  <LinksUpToDate>false</LinksUpToDate>
  <CharactersWithSpaces>42773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2020-01-22T07:09:00Z</dcterms:created>
  <dc:creator>zhuqi</dc:creator>
  <cp:lastModifiedBy>过往</cp:lastModifiedBy>
  <cp:lastPrinted>2020-12-25T09:00:00Z</cp:lastPrinted>
  <dcterms:modified xsi:type="dcterms:W3CDTF">2021-04-06T01:53:29Z</dcterms:modified>
  <dc:title>建 筑 工 程 施 工 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5B9423B98D7842419AD5F19EB1B8BCC3</vt:lpwstr>
  </property>
</Properties>
</file>