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both"/>
        <w:rPr>
          <w:rFonts w:hint="eastAsia" w:ascii="仿宋" w:hAnsi="仿宋" w:eastAsia="仿宋" w:cs="仿宋"/>
          <w:b/>
          <w:bCs/>
          <w:color w:val="000000" w:themeColor="text1"/>
          <w:kern w:val="0"/>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tLeast"/>
        <w:ind w:left="0" w:firstLine="0" w:firstLineChars="0"/>
        <w:jc w:val="center"/>
        <w:textAlignment w:val="auto"/>
        <w:rPr>
          <w:rFonts w:hint="eastAsia" w:ascii="仿宋" w:hAnsi="仿宋" w:eastAsia="仿宋" w:cs="仿宋"/>
          <w:b/>
          <w:bCs/>
          <w:color w:val="000000" w:themeColor="text1"/>
          <w:kern w:val="0"/>
          <w:sz w:val="36"/>
          <w:szCs w:val="36"/>
          <w:lang w:eastAsia="zh-CN"/>
          <w14:textFill>
            <w14:solidFill>
              <w14:schemeClr w14:val="tx1"/>
            </w14:solidFill>
          </w14:textFill>
        </w:rPr>
      </w:pPr>
      <w:r>
        <w:rPr>
          <w:rFonts w:hint="eastAsia" w:ascii="仿宋" w:hAnsi="仿宋" w:eastAsia="仿宋" w:cs="仿宋"/>
          <w:b/>
          <w:bCs/>
          <w:color w:val="000000" w:themeColor="text1"/>
          <w:kern w:val="0"/>
          <w:sz w:val="36"/>
          <w:szCs w:val="36"/>
          <w:lang w:eastAsia="zh-CN"/>
          <w14:textFill>
            <w14:solidFill>
              <w14:schemeClr w14:val="tx1"/>
            </w14:solidFill>
          </w14:textFill>
        </w:rPr>
        <w:t xml:space="preserve">新疆昌吉国家高新区园区应急管理、生态环保、城市管理综合管理系统建设项目 </w:t>
      </w:r>
    </w:p>
    <w:p>
      <w:pPr>
        <w:spacing w:line="360" w:lineRule="atLeast"/>
        <w:ind w:left="2168" w:hanging="1446" w:hangingChars="450"/>
        <w:jc w:val="center"/>
        <w:rPr>
          <w:rFonts w:hint="eastAsia" w:ascii="仿宋" w:hAnsi="仿宋" w:eastAsia="仿宋" w:cs="仿宋"/>
          <w:b/>
          <w:bCs/>
          <w:color w:val="auto"/>
          <w:kern w:val="0"/>
          <w:sz w:val="32"/>
          <w:szCs w:val="32"/>
          <w:lang w:eastAsia="zh-CN"/>
        </w:rPr>
      </w:pPr>
    </w:p>
    <w:p>
      <w:pPr>
        <w:spacing w:line="360" w:lineRule="atLeast"/>
        <w:ind w:left="2168" w:hanging="1446" w:hangingChars="450"/>
        <w:jc w:val="center"/>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eastAsia="zh-CN"/>
        </w:rPr>
        <w:t>项目编号：W-XJXSZB2023-46-CG</w:t>
      </w:r>
    </w:p>
    <w:p>
      <w:pPr>
        <w:bidi w:val="0"/>
        <w:rPr>
          <w:rFonts w:hint="eastAsia" w:ascii="仿宋" w:hAnsi="仿宋" w:eastAsia="仿宋" w:cs="仿宋"/>
          <w:color w:val="000000" w:themeColor="text1"/>
          <w:sz w:val="30"/>
          <w:szCs w:val="30"/>
          <w14:textFill>
            <w14:solidFill>
              <w14:schemeClr w14:val="tx1"/>
            </w14:solidFill>
          </w14:textFill>
        </w:rPr>
      </w:pPr>
    </w:p>
    <w:p>
      <w:pPr>
        <w:bidi w:val="0"/>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pacing w:val="0"/>
          <w:sz w:val="44"/>
          <w:szCs w:val="44"/>
          <w14:textFill>
            <w14:solidFill>
              <w14:schemeClr w14:val="tx1"/>
            </w14:solidFill>
          </w14:textFill>
        </w:rPr>
      </w:pPr>
      <w:r>
        <w:rPr>
          <w:rFonts w:hint="eastAsia" w:ascii="仿宋" w:hAnsi="仿宋" w:eastAsia="仿宋" w:cs="仿宋"/>
          <w:b/>
          <w:bCs/>
          <w:color w:val="000000" w:themeColor="text1"/>
          <w:spacing w:val="0"/>
          <w:sz w:val="44"/>
          <w:szCs w:val="44"/>
          <w14:textFill>
            <w14:solidFill>
              <w14:schemeClr w14:val="tx1"/>
            </w14:solidFill>
          </w14:textFill>
        </w:rPr>
        <w:t>招  标  文  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pacing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pacing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pacing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rPr>
      </w:pPr>
      <w:r>
        <w:rPr>
          <w:rFonts w:hint="eastAsia" w:ascii="仿宋" w:hAnsi="仿宋" w:eastAsia="仿宋" w:cs="仿宋"/>
          <w:b/>
          <w:bCs/>
          <w:color w:val="auto"/>
          <w:spacing w:val="0"/>
          <w:sz w:val="30"/>
          <w:szCs w:val="30"/>
          <w:lang w:eastAsia="zh-CN"/>
        </w:rPr>
        <w:t>采购</w:t>
      </w:r>
      <w:r>
        <w:rPr>
          <w:rFonts w:hint="eastAsia" w:ascii="仿宋" w:hAnsi="仿宋" w:eastAsia="仿宋" w:cs="仿宋"/>
          <w:b/>
          <w:bCs/>
          <w:color w:val="auto"/>
          <w:spacing w:val="0"/>
          <w:sz w:val="30"/>
          <w:szCs w:val="30"/>
        </w:rPr>
        <w:t>人（盖章）：昌吉高新区安全生产监督管理局</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rPr>
      </w:pPr>
      <w:r>
        <w:rPr>
          <w:rFonts w:hint="eastAsia" w:ascii="仿宋" w:hAnsi="仿宋" w:eastAsia="仿宋" w:cs="仿宋"/>
          <w:b/>
          <w:bCs/>
          <w:color w:val="auto"/>
          <w:spacing w:val="0"/>
          <w:sz w:val="30"/>
          <w:szCs w:val="30"/>
          <w:lang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eastAsia="zh-CN"/>
        </w:rPr>
      </w:pPr>
      <w:r>
        <w:rPr>
          <w:rFonts w:hint="eastAsia" w:ascii="仿宋" w:hAnsi="仿宋" w:eastAsia="仿宋" w:cs="仿宋"/>
          <w:b/>
          <w:bCs/>
          <w:color w:val="auto"/>
          <w:spacing w:val="0"/>
          <w:sz w:val="30"/>
          <w:szCs w:val="30"/>
        </w:rPr>
        <w:t>联系人：刘先生</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val="en-US"/>
        </w:rPr>
      </w:pPr>
      <w:r>
        <w:rPr>
          <w:rFonts w:hint="eastAsia" w:ascii="仿宋" w:hAnsi="仿宋" w:eastAsia="仿宋" w:cs="仿宋"/>
          <w:b/>
          <w:bCs/>
          <w:color w:val="auto"/>
          <w:spacing w:val="0"/>
          <w:sz w:val="30"/>
          <w:szCs w:val="30"/>
          <w:lang w:eastAsia="zh-CN"/>
        </w:rPr>
        <w:t>联系</w:t>
      </w:r>
      <w:r>
        <w:rPr>
          <w:rFonts w:hint="eastAsia" w:ascii="仿宋" w:hAnsi="仿宋" w:eastAsia="仿宋" w:cs="仿宋"/>
          <w:b/>
          <w:bCs/>
          <w:color w:val="auto"/>
          <w:spacing w:val="0"/>
          <w:sz w:val="30"/>
          <w:szCs w:val="30"/>
        </w:rPr>
        <w:t>电话：13999334282</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val="en-US" w:eastAsia="zh-CN"/>
        </w:rPr>
      </w:pPr>
      <w:r>
        <w:rPr>
          <w:rFonts w:hint="eastAsia" w:ascii="仿宋" w:hAnsi="仿宋" w:eastAsia="仿宋" w:cs="仿宋"/>
          <w:b/>
          <w:bCs/>
          <w:color w:val="auto"/>
          <w:spacing w:val="0"/>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019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74pt;z-index:251660288;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xY7g9MAAAAFAQAADwAAAAAAAAABACAAAAAiAAAAZHJzL2Rvd25yZXYueG1sUEsB&#10;AhQAFAAAAAgAh07iQD6WfJT6AQAA9AMAAA4AAAAAAAAAAQAgAAAAIgEAAGRycy9lMm9Eb2MueG1s&#10;UEsFBgAAAAAGAAYAWQEAAI4FAAAAAA==&#10;">
                <v:fill on="f" focussize="0,0"/>
                <v:stroke weight="1pt" color="#000000" joinstyle="round" dashstyle="1 1"/>
                <v:imagedata o:title=""/>
                <o:lock v:ext="edit" aspectratio="f"/>
              </v:line>
            </w:pict>
          </mc:Fallback>
        </mc:AlternateContent>
      </w:r>
      <w:r>
        <w:rPr>
          <w:rFonts w:hint="eastAsia" w:ascii="仿宋" w:hAnsi="仿宋" w:eastAsia="仿宋" w:cs="仿宋"/>
          <w:b/>
          <w:bCs/>
          <w:color w:val="auto"/>
          <w:spacing w:val="0"/>
          <w:sz w:val="30"/>
          <w:szCs w:val="30"/>
          <w:lang w:eastAsia="zh-CN"/>
        </w:rPr>
        <w:t>采购</w:t>
      </w:r>
      <w:r>
        <w:rPr>
          <w:rFonts w:hint="eastAsia" w:ascii="仿宋" w:hAnsi="仿宋" w:eastAsia="仿宋" w:cs="仿宋"/>
          <w:b/>
          <w:bCs/>
          <w:color w:val="auto"/>
          <w:spacing w:val="0"/>
          <w:sz w:val="30"/>
          <w:szCs w:val="30"/>
        </w:rPr>
        <w:t>代理机构（盖章）：</w:t>
      </w:r>
      <w:r>
        <w:rPr>
          <w:rFonts w:hint="eastAsia" w:ascii="仿宋" w:hAnsi="仿宋" w:eastAsia="仿宋" w:cs="仿宋"/>
          <w:b/>
          <w:bCs/>
          <w:color w:val="auto"/>
          <w:spacing w:val="0"/>
          <w:sz w:val="30"/>
          <w:szCs w:val="30"/>
          <w:lang w:eastAsia="zh-CN"/>
        </w:rPr>
        <w:t>新疆信实工程招标咨询服务有限公司</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eastAsia="zh-CN"/>
        </w:rPr>
      </w:pPr>
      <w:r>
        <w:rPr>
          <w:rFonts w:hint="eastAsia" w:ascii="仿宋" w:hAnsi="仿宋" w:eastAsia="仿宋" w:cs="仿宋"/>
          <w:b/>
          <w:bCs/>
          <w:color w:val="auto"/>
          <w:spacing w:val="0"/>
          <w:sz w:val="30"/>
          <w:szCs w:val="30"/>
          <w:lang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eastAsia="zh-CN"/>
        </w:rPr>
      </w:pPr>
      <w:r>
        <w:rPr>
          <w:rFonts w:hint="eastAsia" w:ascii="仿宋" w:hAnsi="仿宋" w:eastAsia="仿宋" w:cs="仿宋"/>
          <w:b/>
          <w:bCs/>
          <w:color w:val="auto"/>
          <w:spacing w:val="0"/>
          <w:sz w:val="30"/>
          <w:szCs w:val="30"/>
          <w:lang w:eastAsia="zh-CN"/>
        </w:rPr>
        <w:t>联系人：许培培、</w:t>
      </w:r>
      <w:r>
        <w:rPr>
          <w:rFonts w:hint="eastAsia" w:ascii="仿宋" w:hAnsi="仿宋" w:eastAsia="仿宋" w:cs="仿宋"/>
          <w:b/>
          <w:bCs/>
          <w:color w:val="auto"/>
          <w:spacing w:val="0"/>
          <w:sz w:val="30"/>
          <w:szCs w:val="30"/>
          <w:lang w:val="en-US" w:eastAsia="zh-CN"/>
        </w:rPr>
        <w:t>李会</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b/>
          <w:bCs/>
          <w:color w:val="auto"/>
          <w:spacing w:val="0"/>
          <w:sz w:val="30"/>
          <w:szCs w:val="30"/>
          <w:lang w:val="en-US" w:eastAsia="zh-CN"/>
        </w:rPr>
      </w:pPr>
      <w:r>
        <w:rPr>
          <w:rFonts w:hint="eastAsia" w:ascii="仿宋" w:hAnsi="仿宋" w:eastAsia="仿宋" w:cs="仿宋"/>
          <w:b/>
          <w:bCs/>
          <w:color w:val="auto"/>
          <w:spacing w:val="0"/>
          <w:sz w:val="30"/>
          <w:szCs w:val="30"/>
          <w:lang w:eastAsia="zh-CN"/>
        </w:rPr>
        <w:t>联系电话：</w:t>
      </w:r>
      <w:r>
        <w:rPr>
          <w:rFonts w:hint="eastAsia" w:ascii="仿宋" w:hAnsi="仿宋" w:eastAsia="仿宋" w:cs="仿宋"/>
          <w:b/>
          <w:bCs/>
          <w:color w:val="auto"/>
          <w:spacing w:val="0"/>
          <w:sz w:val="30"/>
          <w:szCs w:val="30"/>
          <w:lang w:val="en-US" w:eastAsia="zh-CN"/>
        </w:rPr>
        <w:t>15299609390、15292649399</w:t>
      </w:r>
    </w:p>
    <w:p>
      <w:pPr>
        <w:bidi w:val="0"/>
        <w:rPr>
          <w:rFonts w:hint="eastAsia" w:ascii="仿宋" w:hAnsi="仿宋" w:eastAsia="仿宋" w:cs="仿宋"/>
          <w:color w:val="000000" w:themeColor="text1"/>
          <w14:textFill>
            <w14:solidFill>
              <w14:schemeClr w14:val="tx1"/>
            </w14:solidFill>
          </w14:textFill>
        </w:rPr>
      </w:pPr>
    </w:p>
    <w:p>
      <w:pPr>
        <w:pStyle w:val="132"/>
        <w:jc w:val="center"/>
        <w:rPr>
          <w:rFonts w:hint="eastAsia" w:ascii="仿宋" w:hAnsi="仿宋" w:eastAsia="仿宋" w:cs="仿宋"/>
          <w:color w:val="000000" w:themeColor="text1"/>
          <w:sz w:val="44"/>
          <w:szCs w:val="44"/>
          <w:lang w:val="zh-CN"/>
          <w14:textFill>
            <w14:solidFill>
              <w14:schemeClr w14:val="tx1"/>
            </w14:solidFill>
          </w14:textFill>
        </w:rPr>
        <w:sectPr>
          <w:footerReference r:id="rId3" w:type="default"/>
          <w:pgSz w:w="11906" w:h="16838"/>
          <w:pgMar w:top="1418" w:right="1417" w:bottom="1418" w:left="1417" w:header="851" w:footer="907" w:gutter="0"/>
          <w:pgBorders>
            <w:top w:val="none" w:sz="0" w:space="0"/>
            <w:left w:val="none" w:sz="0" w:space="0"/>
            <w:bottom w:val="none" w:sz="0" w:space="0"/>
            <w:right w:val="none" w:sz="0" w:space="0"/>
          </w:pgBorders>
          <w:pgNumType w:start="1"/>
          <w:cols w:space="720" w:num="1"/>
          <w:titlePg/>
          <w:docGrid w:type="lines" w:linePitch="290" w:charSpace="0"/>
        </w:sectPr>
      </w:pPr>
      <w:bookmarkStart w:id="0" w:name="_Toc513029200"/>
      <w:bookmarkStart w:id="1" w:name="_Toc16938516"/>
      <w:bookmarkStart w:id="2" w:name="_Toc494375077"/>
      <w:bookmarkStart w:id="3" w:name="_Toc120614210"/>
      <w:bookmarkStart w:id="4" w:name="_Toc20823272"/>
      <w:bookmarkStart w:id="5" w:name="_Toc523127445"/>
      <w:bookmarkStart w:id="6" w:name="_Toc479757206"/>
    </w:p>
    <w:p>
      <w:pPr>
        <w:pStyle w:val="132"/>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目录</w:t>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TOC \o "1-2" \h \u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_Toc31739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第一章 </w:t>
      </w:r>
      <w:r>
        <w:rPr>
          <w:rFonts w:hint="eastAsia" w:ascii="仿宋" w:hAnsi="仿宋" w:eastAsia="仿宋" w:cs="仿宋"/>
          <w:sz w:val="24"/>
          <w:szCs w:val="24"/>
          <w:lang w:eastAsia="zh-CN"/>
        </w:rPr>
        <w:t>招标邀请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_Toc31739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_Toc3344 </w:instrText>
      </w:r>
      <w:r>
        <w:rPr>
          <w:rFonts w:hint="eastAsia" w:ascii="仿宋" w:hAnsi="仿宋" w:eastAsia="仿宋" w:cs="仿宋"/>
          <w:sz w:val="24"/>
          <w:szCs w:val="24"/>
        </w:rPr>
        <w:fldChar w:fldCharType="separate"/>
      </w:r>
      <w:r>
        <w:rPr>
          <w:rFonts w:hint="eastAsia" w:ascii="仿宋" w:hAnsi="仿宋" w:eastAsia="仿宋" w:cs="仿宋"/>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_Toc3344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_Toc27801 </w:instrText>
      </w:r>
      <w:r>
        <w:rPr>
          <w:rFonts w:hint="eastAsia" w:ascii="仿宋" w:hAnsi="仿宋" w:eastAsia="仿宋" w:cs="仿宋"/>
          <w:sz w:val="24"/>
          <w:szCs w:val="24"/>
        </w:rPr>
        <w:fldChar w:fldCharType="separate"/>
      </w:r>
      <w:r>
        <w:rPr>
          <w:rFonts w:hint="eastAsia" w:ascii="仿宋" w:hAnsi="仿宋" w:eastAsia="仿宋" w:cs="仿宋"/>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_Toc27801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_Toc8401 </w:instrText>
      </w:r>
      <w:r>
        <w:rPr>
          <w:rFonts w:hint="eastAsia" w:ascii="仿宋" w:hAnsi="仿宋" w:eastAsia="仿宋" w:cs="仿宋"/>
          <w:sz w:val="24"/>
          <w:szCs w:val="24"/>
        </w:rPr>
        <w:fldChar w:fldCharType="separate"/>
      </w:r>
      <w:r>
        <w:rPr>
          <w:rFonts w:hint="eastAsia" w:ascii="仿宋" w:hAnsi="仿宋" w:eastAsia="仿宋" w:cs="仿宋"/>
          <w:sz w:val="24"/>
          <w:szCs w:val="24"/>
        </w:rPr>
        <w:t>三、获取</w:t>
      </w:r>
      <w:r>
        <w:rPr>
          <w:rFonts w:hint="eastAsia" w:ascii="仿宋" w:hAnsi="仿宋" w:eastAsia="仿宋" w:cs="仿宋"/>
          <w:sz w:val="24"/>
          <w:szCs w:val="24"/>
          <w:lang w:eastAsia="zh-CN"/>
        </w:rPr>
        <w:t>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_Toc8401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_Toc10779 </w:instrText>
      </w:r>
      <w:r>
        <w:rPr>
          <w:rFonts w:hint="eastAsia" w:ascii="仿宋" w:hAnsi="仿宋" w:eastAsia="仿宋" w:cs="仿宋"/>
          <w:sz w:val="24"/>
          <w:szCs w:val="24"/>
        </w:rPr>
        <w:fldChar w:fldCharType="separate"/>
      </w:r>
      <w:r>
        <w:rPr>
          <w:rFonts w:hint="eastAsia" w:ascii="仿宋" w:hAnsi="仿宋" w:eastAsia="仿宋" w:cs="仿宋"/>
          <w:sz w:val="24"/>
          <w:szCs w:val="24"/>
        </w:rPr>
        <w:t>四、</w:t>
      </w:r>
      <w:r>
        <w:rPr>
          <w:rFonts w:hint="eastAsia" w:ascii="仿宋" w:hAnsi="仿宋" w:eastAsia="仿宋" w:cs="仿宋"/>
          <w:sz w:val="24"/>
          <w:szCs w:val="24"/>
          <w:lang w:eastAsia="zh-CN"/>
        </w:rPr>
        <w:t>投标</w:t>
      </w:r>
      <w:r>
        <w:rPr>
          <w:rFonts w:hint="eastAsia" w:ascii="仿宋" w:hAnsi="仿宋" w:eastAsia="仿宋" w:cs="仿宋"/>
          <w:sz w:val="24"/>
          <w:szCs w:val="24"/>
        </w:rPr>
        <w:t>文件提交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_Toc10779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_Toc283 </w:instrText>
      </w:r>
      <w:r>
        <w:rPr>
          <w:rFonts w:hint="eastAsia" w:ascii="仿宋" w:hAnsi="仿宋" w:eastAsia="仿宋" w:cs="仿宋"/>
          <w:sz w:val="24"/>
          <w:szCs w:val="24"/>
        </w:rPr>
        <w:fldChar w:fldCharType="separate"/>
      </w:r>
      <w:r>
        <w:rPr>
          <w:rFonts w:hint="eastAsia" w:ascii="仿宋" w:hAnsi="仿宋" w:eastAsia="仿宋" w:cs="仿宋"/>
          <w:sz w:val="24"/>
          <w:szCs w:val="24"/>
        </w:rPr>
        <w:t>五、开启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_Toc13687 </w:instrText>
      </w:r>
      <w:r>
        <w:rPr>
          <w:rFonts w:hint="eastAsia" w:ascii="仿宋" w:hAnsi="仿宋" w:eastAsia="仿宋" w:cs="仿宋"/>
          <w:sz w:val="24"/>
          <w:szCs w:val="24"/>
        </w:rPr>
        <w:fldChar w:fldCharType="separate"/>
      </w:r>
      <w:r>
        <w:rPr>
          <w:rFonts w:hint="eastAsia" w:ascii="仿宋" w:hAnsi="仿宋" w:eastAsia="仿宋" w:cs="仿宋"/>
          <w:sz w:val="24"/>
          <w:szCs w:val="24"/>
        </w:rPr>
        <w:t>六、公告期限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_Toc13687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_Toc30332 </w:instrText>
      </w:r>
      <w:r>
        <w:rPr>
          <w:rFonts w:hint="eastAsia" w:ascii="仿宋" w:hAnsi="仿宋" w:eastAsia="仿宋" w:cs="仿宋"/>
          <w:sz w:val="24"/>
          <w:szCs w:val="24"/>
        </w:rPr>
        <w:fldChar w:fldCharType="separate"/>
      </w:r>
      <w:r>
        <w:rPr>
          <w:rFonts w:hint="eastAsia" w:ascii="仿宋" w:hAnsi="仿宋" w:eastAsia="仿宋" w:cs="仿宋"/>
          <w:sz w:val="24"/>
          <w:szCs w:val="24"/>
        </w:rPr>
        <w:t>七、 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_Toc30332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_Toc14992 </w:instrText>
      </w:r>
      <w:r>
        <w:rPr>
          <w:rFonts w:hint="eastAsia" w:ascii="仿宋" w:hAnsi="仿宋" w:eastAsia="仿宋" w:cs="仿宋"/>
          <w:sz w:val="24"/>
          <w:szCs w:val="24"/>
        </w:rPr>
        <w:fldChar w:fldCharType="separate"/>
      </w:r>
      <w:r>
        <w:rPr>
          <w:rFonts w:hint="eastAsia" w:ascii="仿宋" w:hAnsi="仿宋" w:eastAsia="仿宋" w:cs="仿宋"/>
          <w:sz w:val="24"/>
          <w:szCs w:val="24"/>
        </w:rPr>
        <w:t>八、凡对本次采购提出询问，请按以下方式联系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_Toc14992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_Toc13468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第二章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_Toc13468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_Toc8340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须知</w:t>
      </w:r>
      <w:r>
        <w:rPr>
          <w:rFonts w:hint="eastAsia" w:ascii="仿宋" w:hAnsi="仿宋" w:eastAsia="仿宋" w:cs="仿宋"/>
          <w:sz w:val="24"/>
          <w:szCs w:val="24"/>
        </w:rPr>
        <w:t>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_Toc8340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_Toc1924 </w:instrText>
      </w:r>
      <w:r>
        <w:rPr>
          <w:rFonts w:hint="eastAsia" w:ascii="仿宋" w:hAnsi="仿宋" w:eastAsia="仿宋" w:cs="仿宋"/>
          <w:sz w:val="24"/>
          <w:szCs w:val="24"/>
        </w:rPr>
        <w:fldChar w:fldCharType="separate"/>
      </w:r>
      <w:r>
        <w:rPr>
          <w:rFonts w:hint="eastAsia" w:ascii="仿宋" w:hAnsi="仿宋" w:eastAsia="仿宋" w:cs="仿宋"/>
          <w:sz w:val="24"/>
          <w:szCs w:val="24"/>
        </w:rPr>
        <w:t>一、总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_Toc1924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_Toc26262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eastAsia="zh-CN"/>
        </w:rPr>
        <w:t>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_Toc26262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_Toc4206 </w:instrText>
      </w:r>
      <w:r>
        <w:rPr>
          <w:rFonts w:hint="eastAsia" w:ascii="仿宋" w:hAnsi="仿宋" w:eastAsia="仿宋" w:cs="仿宋"/>
          <w:sz w:val="24"/>
          <w:szCs w:val="24"/>
        </w:rPr>
        <w:fldChar w:fldCharType="separate"/>
      </w:r>
      <w:r>
        <w:rPr>
          <w:rFonts w:hint="eastAsia" w:ascii="仿宋" w:hAnsi="仿宋" w:eastAsia="仿宋" w:cs="仿宋"/>
          <w:sz w:val="24"/>
          <w:szCs w:val="24"/>
        </w:rPr>
        <w:t>三、投标文件的编制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_Toc4206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_Toc30125 </w:instrText>
      </w:r>
      <w:r>
        <w:rPr>
          <w:rFonts w:hint="eastAsia" w:ascii="仿宋" w:hAnsi="仿宋" w:eastAsia="仿宋" w:cs="仿宋"/>
          <w:sz w:val="24"/>
          <w:szCs w:val="24"/>
        </w:rPr>
        <w:fldChar w:fldCharType="separate"/>
      </w:r>
      <w:r>
        <w:rPr>
          <w:rFonts w:hint="eastAsia" w:ascii="仿宋" w:hAnsi="仿宋" w:eastAsia="仿宋" w:cs="仿宋"/>
          <w:sz w:val="24"/>
          <w:szCs w:val="24"/>
        </w:rPr>
        <w:t>四、开标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_Toc30125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_Toc13769 </w:instrText>
      </w:r>
      <w:r>
        <w:rPr>
          <w:rFonts w:hint="eastAsia" w:ascii="仿宋" w:hAnsi="仿宋" w:eastAsia="仿宋" w:cs="仿宋"/>
          <w:sz w:val="24"/>
          <w:szCs w:val="24"/>
        </w:rPr>
        <w:fldChar w:fldCharType="separate"/>
      </w:r>
      <w:r>
        <w:rPr>
          <w:rFonts w:hint="eastAsia" w:ascii="仿宋" w:hAnsi="仿宋" w:eastAsia="仿宋" w:cs="仿宋"/>
          <w:sz w:val="24"/>
          <w:szCs w:val="24"/>
        </w:rPr>
        <w:t>五、评标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_Toc13769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_Toc7520 </w:instrText>
      </w:r>
      <w:r>
        <w:rPr>
          <w:rFonts w:hint="eastAsia" w:ascii="仿宋" w:hAnsi="仿宋" w:eastAsia="仿宋" w:cs="仿宋"/>
          <w:sz w:val="24"/>
          <w:szCs w:val="24"/>
        </w:rPr>
        <w:fldChar w:fldCharType="separate"/>
      </w:r>
      <w:r>
        <w:rPr>
          <w:rFonts w:hint="eastAsia" w:ascii="仿宋" w:hAnsi="仿宋" w:eastAsia="仿宋" w:cs="仿宋"/>
          <w:sz w:val="24"/>
          <w:szCs w:val="24"/>
        </w:rPr>
        <w:t>六、定标及合同授予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_Toc7520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_Toc18570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评分办法及评分标准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_Toc18570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_Toc21548 </w:instrText>
      </w:r>
      <w:r>
        <w:rPr>
          <w:rFonts w:hint="eastAsia" w:ascii="仿宋" w:hAnsi="仿宋" w:eastAsia="仿宋" w:cs="仿宋"/>
          <w:sz w:val="24"/>
          <w:szCs w:val="24"/>
        </w:rPr>
        <w:fldChar w:fldCharType="separate"/>
      </w:r>
      <w:r>
        <w:rPr>
          <w:rFonts w:hint="eastAsia" w:ascii="仿宋" w:hAnsi="仿宋" w:eastAsia="仿宋" w:cs="仿宋"/>
          <w:sz w:val="24"/>
          <w:szCs w:val="24"/>
        </w:rPr>
        <w:t>一、评标组织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_Toc21548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_Toc12564 </w:instrText>
      </w:r>
      <w:r>
        <w:rPr>
          <w:rFonts w:hint="eastAsia" w:ascii="仿宋" w:hAnsi="仿宋" w:eastAsia="仿宋" w:cs="仿宋"/>
          <w:sz w:val="24"/>
          <w:szCs w:val="24"/>
        </w:rPr>
        <w:fldChar w:fldCharType="separate"/>
      </w:r>
      <w:r>
        <w:rPr>
          <w:rFonts w:hint="eastAsia" w:ascii="仿宋" w:hAnsi="仿宋" w:eastAsia="仿宋" w:cs="仿宋"/>
          <w:sz w:val="24"/>
          <w:szCs w:val="24"/>
        </w:rPr>
        <w:t>二、评标纪律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_Toc12564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_Toc25949 </w:instrText>
      </w:r>
      <w:r>
        <w:rPr>
          <w:rFonts w:hint="eastAsia" w:ascii="仿宋" w:hAnsi="仿宋" w:eastAsia="仿宋" w:cs="仿宋"/>
          <w:sz w:val="24"/>
          <w:szCs w:val="24"/>
        </w:rPr>
        <w:fldChar w:fldCharType="separate"/>
      </w:r>
      <w:r>
        <w:rPr>
          <w:rFonts w:hint="eastAsia" w:ascii="仿宋" w:hAnsi="仿宋" w:eastAsia="仿宋" w:cs="仿宋"/>
          <w:sz w:val="24"/>
          <w:szCs w:val="24"/>
        </w:rPr>
        <w:t>三、评分标准和细则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_Toc25949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_Toc18483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en-US"/>
        </w:rPr>
        <w:t>第四章 拟订立的合同样本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_Toc18483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_Toc16021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lang w:val="en-US" w:eastAsia="zh-CN"/>
        </w:rPr>
        <w:t>章</w:t>
      </w:r>
      <w:r>
        <w:rPr>
          <w:rFonts w:hint="eastAsia" w:ascii="仿宋" w:hAnsi="仿宋" w:eastAsia="仿宋" w:cs="仿宋"/>
          <w:sz w:val="24"/>
          <w:szCs w:val="24"/>
        </w:rPr>
        <w:t xml:space="preserve">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_Toc16021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21"/>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_Toc25843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第六章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技术规范书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_Toc25843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_Toc25274 </w:instrText>
      </w:r>
      <w:r>
        <w:rPr>
          <w:rFonts w:hint="eastAsia" w:ascii="仿宋" w:hAnsi="仿宋" w:eastAsia="仿宋" w:cs="仿宋"/>
          <w:sz w:val="24"/>
          <w:szCs w:val="24"/>
        </w:rPr>
        <w:fldChar w:fldCharType="separate"/>
      </w:r>
      <w:r>
        <w:rPr>
          <w:rFonts w:hint="eastAsia" w:ascii="仿宋" w:hAnsi="仿宋" w:eastAsia="仿宋" w:cs="仿宋"/>
          <w:sz w:val="24"/>
          <w:szCs w:val="24"/>
        </w:rPr>
        <w:t>1.总则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_Toc25274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_Toc11888 </w:instrText>
      </w:r>
      <w:r>
        <w:rPr>
          <w:rFonts w:hint="eastAsia" w:ascii="仿宋" w:hAnsi="仿宋" w:eastAsia="仿宋" w:cs="仿宋"/>
          <w:sz w:val="24"/>
          <w:szCs w:val="24"/>
        </w:rPr>
        <w:fldChar w:fldCharType="separate"/>
      </w:r>
      <w:r>
        <w:rPr>
          <w:rFonts w:hint="eastAsia" w:ascii="仿宋" w:hAnsi="仿宋" w:eastAsia="仿宋" w:cs="仿宋"/>
          <w:sz w:val="24"/>
          <w:szCs w:val="24"/>
        </w:rPr>
        <w:t>2.货物需求一览表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_Toc11888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_Toc29984 </w:instrText>
      </w:r>
      <w:r>
        <w:rPr>
          <w:rFonts w:hint="eastAsia" w:ascii="仿宋" w:hAnsi="仿宋" w:eastAsia="仿宋" w:cs="仿宋"/>
          <w:sz w:val="24"/>
          <w:szCs w:val="24"/>
        </w:rPr>
        <w:fldChar w:fldCharType="separate"/>
      </w:r>
      <w:r>
        <w:rPr>
          <w:rFonts w:hint="eastAsia" w:ascii="仿宋" w:hAnsi="仿宋" w:eastAsia="仿宋" w:cs="仿宋"/>
          <w:sz w:val="24"/>
          <w:szCs w:val="24"/>
        </w:rPr>
        <w:t>3.货物清单表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_Toc29984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_Toc30917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供方应提供的资格文件说明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_Toc30917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_Toc10024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5.</w:t>
      </w:r>
      <w:r>
        <w:rPr>
          <w:rFonts w:hint="eastAsia" w:ascii="仿宋" w:hAnsi="仿宋" w:eastAsia="仿宋" w:cs="仿宋"/>
          <w:sz w:val="24"/>
          <w:szCs w:val="24"/>
        </w:rPr>
        <w:t>技术规范及参数指标要求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_Toc10024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_Toc28351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6.技术培训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_Toc28351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_Toc25512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7.包装运输要求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_Toc25512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2"/>
        <w:keepNext w:val="0"/>
        <w:keepLines w:val="0"/>
        <w:pageBreakBefore w:val="0"/>
        <w:tabs>
          <w:tab w:val="right" w:leader="dot" w:pos="8868"/>
        </w:tabs>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_Toc5649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8.交货要求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_Toc5649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end"/>
      </w:r>
    </w:p>
    <w:p>
      <w:pPr>
        <w:pStyle w:val="2"/>
        <w:bidi w:val="0"/>
        <w:rPr>
          <w:rFonts w:hint="eastAsia" w:ascii="仿宋" w:hAnsi="仿宋" w:eastAsia="仿宋" w:cs="仿宋"/>
          <w:color w:val="000000" w:themeColor="text1"/>
          <w14:textFill>
            <w14:solidFill>
              <w14:schemeClr w14:val="tx1"/>
            </w14:solidFill>
          </w14:textFill>
        </w:rPr>
        <w:sectPr>
          <w:headerReference r:id="rId4" w:type="default"/>
          <w:footerReference r:id="rId5" w:type="default"/>
          <w:pgSz w:w="11906" w:h="16838"/>
          <w:pgMar w:top="1440" w:right="1519" w:bottom="1440" w:left="1519" w:header="851" w:footer="992" w:gutter="0"/>
          <w:pgBorders>
            <w:top w:val="none" w:sz="0" w:space="0"/>
            <w:left w:val="none" w:sz="0" w:space="0"/>
            <w:bottom w:val="none" w:sz="0" w:space="0"/>
            <w:right w:val="none" w:sz="0" w:space="0"/>
          </w:pgBorders>
          <w:cols w:space="720" w:num="1"/>
          <w:docGrid w:type="lines" w:linePitch="312" w:charSpace="0"/>
        </w:sectPr>
      </w:pPr>
      <w:bookmarkStart w:id="7" w:name="_Toc28577"/>
      <w:bookmarkStart w:id="8" w:name="_Toc20753"/>
      <w:bookmarkStart w:id="9" w:name="_Toc21554"/>
      <w:bookmarkStart w:id="10" w:name="_Toc534725596"/>
      <w:bookmarkStart w:id="11" w:name="_Toc22122"/>
      <w:bookmarkStart w:id="12" w:name="_Toc13808"/>
    </w:p>
    <w:p>
      <w:pPr>
        <w:pStyle w:val="2"/>
        <w:bidi w:val="0"/>
        <w:rPr>
          <w:rFonts w:hint="eastAsia" w:ascii="仿宋" w:hAnsi="仿宋" w:eastAsia="仿宋" w:cs="仿宋"/>
          <w:color w:val="000000" w:themeColor="text1"/>
          <w:lang w:eastAsia="zh-CN"/>
          <w14:textFill>
            <w14:solidFill>
              <w14:schemeClr w14:val="tx1"/>
            </w14:solidFill>
          </w14:textFill>
        </w:rPr>
      </w:pPr>
      <w:bookmarkStart w:id="13" w:name="_Toc31739"/>
      <w:r>
        <w:rPr>
          <w:rFonts w:hint="eastAsia" w:ascii="仿宋" w:hAnsi="仿宋" w:eastAsia="仿宋" w:cs="仿宋"/>
          <w:color w:val="000000" w:themeColor="text1"/>
          <w14:textFill>
            <w14:solidFill>
              <w14:schemeClr w14:val="tx1"/>
            </w14:solidFill>
          </w14:textFill>
        </w:rPr>
        <w:t xml:space="preserve">第一章 </w:t>
      </w:r>
      <w:r>
        <w:rPr>
          <w:rFonts w:hint="eastAsia" w:ascii="仿宋" w:hAnsi="仿宋" w:eastAsia="仿宋" w:cs="仿宋"/>
          <w:color w:val="000000" w:themeColor="text1"/>
          <w:lang w:eastAsia="zh-CN"/>
          <w14:textFill>
            <w14:solidFill>
              <w14:schemeClr w14:val="tx1"/>
            </w14:solidFill>
          </w14:textFill>
        </w:rPr>
        <w:t>招标邀请</w:t>
      </w:r>
      <w:bookmarkEnd w:id="7"/>
      <w:bookmarkEnd w:id="13"/>
    </w:p>
    <w:p>
      <w:pPr>
        <w:bidi w:val="0"/>
        <w:spacing w:line="48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新疆信实工程招标咨询服务有限公司关于新疆昌吉国家高新区园区应急管理、生态环保、城市管理综合管理系统建设项目公开招标</w:t>
      </w:r>
      <w:r>
        <w:rPr>
          <w:rFonts w:hint="eastAsia" w:ascii="仿宋" w:hAnsi="仿宋" w:eastAsia="仿宋" w:cs="仿宋"/>
          <w:b/>
          <w:bCs/>
          <w:color w:val="000000" w:themeColor="text1"/>
          <w:sz w:val="24"/>
          <w:szCs w:val="24"/>
          <w14:textFill>
            <w14:solidFill>
              <w14:schemeClr w14:val="tx1"/>
            </w14:solidFill>
          </w14:textFill>
        </w:rPr>
        <w:t>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项目概况</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u w:val="single"/>
          <w:lang w:eastAsia="zh-CN"/>
          <w14:textFill>
            <w14:solidFill>
              <w14:schemeClr w14:val="tx1"/>
            </w14:solidFill>
          </w14:textFill>
        </w:rPr>
        <w:t>新疆昌吉国家高新区园区应急管理、生态环保、城市管理综合管理系统建设项目</w:t>
      </w:r>
      <w:r>
        <w:rPr>
          <w:rFonts w:hint="eastAsia" w:ascii="仿宋" w:hAnsi="仿宋" w:eastAsia="仿宋" w:cs="仿宋"/>
          <w:color w:val="000000" w:themeColor="text1"/>
          <w:sz w:val="24"/>
          <w:szCs w:val="24"/>
          <w14:textFill>
            <w14:solidFill>
              <w14:schemeClr w14:val="tx1"/>
            </w14:solidFill>
          </w14:textFill>
        </w:rPr>
        <w:t>的潜在</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应在</w:t>
      </w:r>
      <w:r>
        <w:rPr>
          <w:rFonts w:hint="eastAsia" w:ascii="仿宋" w:hAnsi="仿宋" w:eastAsia="仿宋" w:cs="仿宋"/>
          <w:color w:val="000000" w:themeColor="text1"/>
          <w:sz w:val="24"/>
          <w:szCs w:val="24"/>
          <w:u w:val="single"/>
          <w14:textFill>
            <w14:solidFill>
              <w14:schemeClr w14:val="tx1"/>
            </w14:solidFill>
          </w14:textFill>
        </w:rPr>
        <w:t>政采云平台https://www.zcygov.cn/</w:t>
      </w:r>
      <w:r>
        <w:rPr>
          <w:rFonts w:hint="eastAsia" w:ascii="仿宋" w:hAnsi="仿宋" w:eastAsia="仿宋" w:cs="仿宋"/>
          <w:color w:val="000000" w:themeColor="text1"/>
          <w:sz w:val="24"/>
          <w:szCs w:val="24"/>
          <w14:textFill>
            <w14:solidFill>
              <w14:schemeClr w14:val="tx1"/>
            </w14:solidFill>
          </w14:textFill>
        </w:rPr>
        <w:t>获取</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，并于</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19</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14:textFill>
            <w14:solidFill>
              <w14:schemeClr w14:val="tx1"/>
            </w14:solidFill>
          </w14:textFill>
        </w:rPr>
        <w:t>（北京时间）前提交</w:t>
      </w:r>
      <w:r>
        <w:rPr>
          <w:rFonts w:hint="eastAsia" w:ascii="仿宋" w:hAnsi="仿宋" w:eastAsia="仿宋" w:cs="仿宋"/>
          <w:bCs/>
          <w:color w:val="000000" w:themeColor="text1"/>
          <w:sz w:val="24"/>
          <w:szCs w:val="24"/>
          <w:lang w:eastAsia="zh-CN"/>
          <w14:textFill>
            <w14:solidFill>
              <w14:schemeClr w14:val="tx1"/>
            </w14:solidFill>
          </w14:textFill>
        </w:rPr>
        <w:t>投标</w:t>
      </w:r>
      <w:r>
        <w:rPr>
          <w:rFonts w:hint="eastAsia" w:ascii="仿宋" w:hAnsi="仿宋" w:eastAsia="仿宋" w:cs="仿宋"/>
          <w:bCs/>
          <w:color w:val="000000" w:themeColor="text1"/>
          <w:sz w:val="24"/>
          <w:szCs w:val="24"/>
          <w14:textFill>
            <w14:solidFill>
              <w14:schemeClr w14:val="tx1"/>
            </w14:solidFill>
          </w14:textFill>
        </w:rPr>
        <w:t>文件</w:t>
      </w:r>
      <w:r>
        <w:rPr>
          <w:rFonts w:hint="eastAsia" w:ascii="仿宋" w:hAnsi="仿宋" w:eastAsia="仿宋" w:cs="仿宋"/>
          <w:color w:val="000000" w:themeColor="text1"/>
          <w:sz w:val="24"/>
          <w:szCs w:val="24"/>
          <w14:textFill>
            <w14:solidFill>
              <w14:schemeClr w14:val="tx1"/>
            </w14:solidFill>
          </w14:textFill>
        </w:rPr>
        <w:t>。</w:t>
      </w:r>
    </w:p>
    <w:p>
      <w:pPr>
        <w:pStyle w:val="3"/>
        <w:bidi w:val="0"/>
        <w:rPr>
          <w:rFonts w:hint="eastAsia" w:ascii="仿宋" w:hAnsi="仿宋" w:eastAsia="仿宋" w:cs="仿宋"/>
          <w:color w:val="000000" w:themeColor="text1"/>
          <w:sz w:val="24"/>
          <w:szCs w:val="24"/>
          <w14:textFill>
            <w14:solidFill>
              <w14:schemeClr w14:val="tx1"/>
            </w14:solidFill>
          </w14:textFill>
        </w:rPr>
      </w:pPr>
      <w:bookmarkStart w:id="14" w:name="_Toc3344"/>
      <w:r>
        <w:rPr>
          <w:rFonts w:hint="eastAsia" w:ascii="仿宋" w:hAnsi="仿宋" w:eastAsia="仿宋" w:cs="仿宋"/>
          <w:color w:val="000000" w:themeColor="text1"/>
          <w14:textFill>
            <w14:solidFill>
              <w14:schemeClr w14:val="tx1"/>
            </w14:solidFill>
          </w14:textFill>
        </w:rPr>
        <w:t>一、项目基本情况</w:t>
      </w:r>
      <w:bookmarkEnd w:id="1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项目编号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：W-XJXSZB2023-46-CG</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项目名称</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：新疆昌吉国家高新区园区应急管理、生态环保、城市管理综合管理系统建设项目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采购方式</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：公开招标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预算金额</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1200万元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最高限价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1200万元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资金来源</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：财政资金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采购需求：建设2套大型固定式机场全自主无人机系统，8套中型固定式机场全自主无人机系统，建设1套园区动态巡查管理综合管控平台。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项目地点：昌吉高新区</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合同履行期限：自合同签订生效后120天内完成供货，并验收合格。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本项目不接受联合体投标。</w:t>
      </w:r>
    </w:p>
    <w:p>
      <w:pPr>
        <w:pStyle w:val="3"/>
        <w:bidi w:val="0"/>
        <w:rPr>
          <w:rFonts w:hint="eastAsia" w:ascii="仿宋" w:hAnsi="仿宋" w:eastAsia="仿宋" w:cs="仿宋"/>
          <w:color w:val="000000" w:themeColor="text1"/>
          <w14:textFill>
            <w14:solidFill>
              <w14:schemeClr w14:val="tx1"/>
            </w14:solidFill>
          </w14:textFill>
        </w:rPr>
      </w:pPr>
      <w:bookmarkStart w:id="15" w:name="_Toc27801"/>
      <w:r>
        <w:rPr>
          <w:rFonts w:hint="eastAsia" w:ascii="仿宋" w:hAnsi="仿宋" w:eastAsia="仿宋" w:cs="仿宋"/>
          <w:color w:val="000000" w:themeColor="text1"/>
          <w14:textFill>
            <w14:solidFill>
              <w14:schemeClr w14:val="tx1"/>
            </w14:solidFill>
          </w14:textFill>
        </w:rPr>
        <w:t>二、申请人的资格要求</w:t>
      </w:r>
      <w:bookmarkEnd w:id="15"/>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kern w:val="2"/>
          <w:sz w:val="24"/>
          <w:szCs w:val="24"/>
          <w:lang w:val="en-US" w:eastAsia="zh-CN" w:bidi="ar-SA"/>
          <w14:textFill>
            <w14:solidFill>
              <w14:schemeClr w14:val="tx1"/>
            </w14:solidFill>
          </w14:textFill>
        </w:rPr>
        <w:t>落实政府采购政策需满足的资格要求：1）本项目专门面向中小企业采购，价格不再进行财政政策扣除；</w:t>
      </w:r>
      <w:r>
        <w:rPr>
          <w:rFonts w:hint="eastAsia" w:ascii="仿宋" w:hAnsi="仿宋" w:eastAsia="仿宋" w:cs="仿宋"/>
          <w:color w:val="auto"/>
          <w:sz w:val="24"/>
          <w:szCs w:val="24"/>
          <w:highlight w:val="none"/>
          <w:lang w:val="zh-CN"/>
        </w:rPr>
        <w:t>2）落实《关于调整优化节能产品、环境标志产品政府采购执行机制的通知》（财库[2019]9号）、财政部《关于进一步加大政府采购支持中小企业力度的通知》（财库〔2022〕19号）、关于印发《政府采购促进中小企业发展管理</w:t>
      </w:r>
      <w:r>
        <w:rPr>
          <w:rFonts w:hint="eastAsia" w:ascii="仿宋" w:hAnsi="仿宋" w:eastAsia="仿宋" w:cs="仿宋"/>
          <w:sz w:val="24"/>
          <w:szCs w:val="24"/>
          <w:highlight w:val="none"/>
          <w:lang w:val="zh-CN"/>
        </w:rPr>
        <w:t>办法》的通知（财库[2020]46号）、《财政部、司法部关于政府采购支持监狱企业发展有关问题的通知》（财库[2014]68号）和《关于促进残疾人就业政府采购政策的通知》（财库[2017]141号）等政府采购政策</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3.本项目的特定资格要求：</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1）投标人必须是所投产品的制造商或经销商或代理商，需提供有效的工商营业执照副本；</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2）投标人应具有民用无人驾驶航空器经营许可证或通用航空企业经营许可证；</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3）投标人近三年（2020年1月1日起至今，以合同签订时间为准）至少具有1项无人机相关设备或服务类业绩；</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4）投标人未被列入“信用中国”网站(www.creditchina.gov</w:t>
      </w:r>
      <w:r>
        <w:rPr>
          <w:rFonts w:hint="eastAsia" w:ascii="仿宋" w:hAnsi="仿宋" w:eastAsia="仿宋" w:cs="仿宋"/>
          <w:b w:val="0"/>
          <w:bCs w:val="0"/>
          <w:color w:val="000000" w:themeColor="text1"/>
          <w:sz w:val="24"/>
          <w:szCs w:val="24"/>
          <w:highlight w:val="none"/>
          <w14:textFill>
            <w14:solidFill>
              <w14:schemeClr w14:val="tx1"/>
            </w14:solidFill>
          </w14:textFill>
        </w:rPr>
        <w:t>.cn)“记录失信被执行人或重大税收违法案件当事人名单或政府采购严重违法失信行为”记录名单；未处于中国政府采购网(www.ccgp.gov.cn)“政府采购严重违法失信行为信息记录”中的禁止参加政府采购活动期间</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5）与采购人存在利害关系可能影响招标公正性的法人、其他组织或者个人，不得参加同一标段投标或者未划分标段的同一采购不得参加投标；</w:t>
      </w:r>
    </w:p>
    <w:p>
      <w:pPr>
        <w:keepNext w:val="0"/>
        <w:keepLines w:val="0"/>
        <w:pageBreakBefore w:val="0"/>
        <w:widowControl w:val="0"/>
        <w:kinsoku/>
        <w:wordWrap/>
        <w:overflowPunct/>
        <w:topLinePunct w:val="0"/>
        <w:autoSpaceDE/>
        <w:autoSpaceDN/>
        <w:bidi w:val="0"/>
        <w:adjustRightInd/>
        <w:snapToGrid/>
        <w:spacing w:before="0" w:after="0" w:line="46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6）投标人负责人为同一人或者存在控股、管理关系的不同单位，不得同时参加本项目的投标。</w:t>
      </w:r>
    </w:p>
    <w:p>
      <w:pPr>
        <w:pStyle w:val="3"/>
        <w:bidi w:val="0"/>
        <w:rPr>
          <w:rFonts w:hint="eastAsia" w:ascii="仿宋" w:hAnsi="仿宋" w:eastAsia="仿宋" w:cs="仿宋"/>
          <w:color w:val="000000" w:themeColor="text1"/>
          <w14:textFill>
            <w14:solidFill>
              <w14:schemeClr w14:val="tx1"/>
            </w14:solidFill>
          </w14:textFill>
        </w:rPr>
      </w:pPr>
      <w:bookmarkStart w:id="16" w:name="_Toc8401"/>
      <w:r>
        <w:rPr>
          <w:rFonts w:hint="eastAsia" w:ascii="仿宋" w:hAnsi="仿宋" w:eastAsia="仿宋" w:cs="仿宋"/>
          <w:color w:val="000000" w:themeColor="text1"/>
          <w14:textFill>
            <w14:solidFill>
              <w14:schemeClr w14:val="tx1"/>
            </w14:solidFill>
          </w14:textFill>
        </w:rPr>
        <w:t>三、获取</w:t>
      </w:r>
      <w:r>
        <w:rPr>
          <w:rFonts w:hint="eastAsia" w:ascii="仿宋" w:hAnsi="仿宋" w:eastAsia="仿宋" w:cs="仿宋"/>
          <w:color w:val="000000" w:themeColor="text1"/>
          <w:lang w:eastAsia="zh-CN"/>
          <w14:textFill>
            <w14:solidFill>
              <w14:schemeClr w14:val="tx1"/>
            </w14:solidFill>
          </w14:textFill>
        </w:rPr>
        <w:t>采购文件</w:t>
      </w:r>
      <w:bookmarkEnd w:id="16"/>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w:t>
      </w:r>
      <w:r>
        <w:rPr>
          <w:rFonts w:hint="eastAsia" w:ascii="仿宋" w:hAnsi="仿宋" w:eastAsia="仿宋" w:cs="仿宋"/>
          <w:color w:val="000000" w:themeColor="text1"/>
          <w:sz w:val="24"/>
          <w:szCs w:val="24"/>
          <w:highlight w:val="none"/>
          <w:u w:val="single"/>
          <w14:textFill>
            <w14:solidFill>
              <w14:schemeClr w14:val="tx1"/>
            </w14:solidFill>
          </w14:textFill>
        </w:rPr>
        <w:t>10:00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14:00</w:t>
      </w:r>
      <w:r>
        <w:rPr>
          <w:rFonts w:hint="eastAsia" w:ascii="仿宋" w:hAnsi="仿宋" w:eastAsia="仿宋" w:cs="仿宋"/>
          <w:color w:val="000000" w:themeColor="text1"/>
          <w:sz w:val="24"/>
          <w:szCs w:val="24"/>
          <w:highlight w:val="none"/>
          <w14:textFill>
            <w14:solidFill>
              <w14:schemeClr w14:val="tx1"/>
            </w14:solidFill>
          </w14:textFill>
        </w:rPr>
        <w:t>，下午</w:t>
      </w:r>
      <w:r>
        <w:rPr>
          <w:rFonts w:hint="eastAsia" w:ascii="仿宋" w:hAnsi="仿宋" w:eastAsia="仿宋" w:cs="仿宋"/>
          <w:color w:val="000000" w:themeColor="text1"/>
          <w:sz w:val="24"/>
          <w:szCs w:val="24"/>
          <w:highlight w:val="none"/>
          <w:u w:val="single"/>
          <w14:textFill>
            <w14:solidFill>
              <w14:schemeClr w14:val="tx1"/>
            </w14:solidFill>
          </w14:textFill>
        </w:rPr>
        <w:t>1</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spacing w:val="1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地点：政采云平台线上获取</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登录政采云平台https://www.zcygov.cn/在线申请获取采购文件（进入“项目采购”应用，在获取采购文件菜单中选择项目，申请获取采购文件）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售价：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szCs w:val="24"/>
          <w:highlight w:val="none"/>
          <w14:textFill>
            <w14:solidFill>
              <w14:schemeClr w14:val="tx1"/>
            </w14:solidFill>
          </w14:textFill>
        </w:rPr>
        <w:t>元/包（人民币）。</w:t>
      </w:r>
    </w:p>
    <w:p>
      <w:pPr>
        <w:pStyle w:val="3"/>
        <w:bidi w:val="0"/>
        <w:rPr>
          <w:rFonts w:hint="eastAsia" w:ascii="仿宋" w:hAnsi="仿宋" w:eastAsia="仿宋" w:cs="仿宋"/>
          <w:color w:val="000000" w:themeColor="text1"/>
          <w14:textFill>
            <w14:solidFill>
              <w14:schemeClr w14:val="tx1"/>
            </w14:solidFill>
          </w14:textFill>
        </w:rPr>
      </w:pPr>
      <w:bookmarkStart w:id="17" w:name="_Toc10779"/>
      <w:r>
        <w:rPr>
          <w:rFonts w:hint="eastAsia" w:ascii="仿宋" w:hAnsi="仿宋" w:eastAsia="仿宋" w:cs="仿宋"/>
          <w:color w:val="000000" w:themeColor="text1"/>
          <w14:textFill>
            <w14:solidFill>
              <w14:schemeClr w14:val="tx1"/>
            </w14:solidFill>
          </w14:textFill>
        </w:rPr>
        <w:t>四、</w:t>
      </w:r>
      <w:r>
        <w:rPr>
          <w:rFonts w:hint="eastAsia" w:ascii="仿宋" w:hAnsi="仿宋" w:eastAsia="仿宋" w:cs="仿宋"/>
          <w:color w:val="000000" w:themeColor="text1"/>
          <w:lang w:eastAsia="zh-CN"/>
          <w14:textFill>
            <w14:solidFill>
              <w14:schemeClr w14:val="tx1"/>
            </w14:solidFill>
          </w14:textFill>
        </w:rPr>
        <w:t>投标</w:t>
      </w:r>
      <w:r>
        <w:rPr>
          <w:rFonts w:hint="eastAsia" w:ascii="仿宋" w:hAnsi="仿宋" w:eastAsia="仿宋" w:cs="仿宋"/>
          <w:color w:val="000000" w:themeColor="text1"/>
          <w14:textFill>
            <w14:solidFill>
              <w14:schemeClr w14:val="tx1"/>
            </w14:solidFill>
          </w14:textFill>
        </w:rPr>
        <w:t>文件提交</w:t>
      </w:r>
      <w:bookmarkEnd w:id="17"/>
    </w:p>
    <w:p>
      <w:pPr>
        <w:keepNext w:val="0"/>
        <w:keepLines w:val="0"/>
        <w:pageBreakBefore w:val="0"/>
        <w:widowControl w:val="0"/>
        <w:kinsoku/>
        <w:wordWrap/>
        <w:overflowPunct/>
        <w:topLinePunct w:val="0"/>
        <w:autoSpaceDE/>
        <w:autoSpaceDN/>
        <w:bidi w:val="0"/>
        <w:adjustRightInd/>
        <w:snapToGrid/>
        <w:spacing w:line="460" w:lineRule="exact"/>
        <w:ind w:firstLine="540"/>
        <w:jc w:val="left"/>
        <w:textAlignment w:val="auto"/>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19</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color w:val="000000" w:themeColor="text1"/>
          <w:sz w:val="24"/>
          <w:szCs w:val="24"/>
          <w:highlight w:val="none"/>
          <w14:textFill>
            <w14:solidFill>
              <w14:schemeClr w14:val="tx1"/>
            </w14:solidFill>
          </w14:textFill>
        </w:rPr>
        <w:t>到“政采云https://www.zcygov.cn/）”平台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3"/>
        <w:bidi w:val="0"/>
        <w:rPr>
          <w:rFonts w:hint="eastAsia" w:ascii="仿宋" w:hAnsi="仿宋" w:eastAsia="仿宋" w:cs="仿宋"/>
          <w:color w:val="000000" w:themeColor="text1"/>
          <w14:textFill>
            <w14:solidFill>
              <w14:schemeClr w14:val="tx1"/>
            </w14:solidFill>
          </w14:textFill>
        </w:rPr>
      </w:pPr>
      <w:bookmarkStart w:id="18" w:name="_Toc283"/>
      <w:r>
        <w:rPr>
          <w:rFonts w:hint="eastAsia" w:ascii="仿宋" w:hAnsi="仿宋" w:eastAsia="仿宋" w:cs="仿宋"/>
          <w:color w:val="000000" w:themeColor="text1"/>
          <w14:textFill>
            <w14:solidFill>
              <w14:schemeClr w14:val="tx1"/>
            </w14:solidFill>
          </w14:textFill>
        </w:rPr>
        <w:t>五、开启</w:t>
      </w:r>
      <w:bookmarkEnd w:id="1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u w:val="single"/>
          <w14:textFill>
            <w14:solidFill>
              <w14:schemeClr w14:val="tx1"/>
            </w14:solidFill>
          </w14:textFill>
        </w:rPr>
        <w:t>年</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Cs/>
          <w:color w:val="000000" w:themeColor="text1"/>
          <w:sz w:val="24"/>
          <w:szCs w:val="24"/>
          <w:highlight w:val="none"/>
          <w:u w:val="single"/>
          <w14:textFill>
            <w14:solidFill>
              <w14:schemeClr w14:val="tx1"/>
            </w14:solidFill>
          </w14:textFill>
        </w:rPr>
        <w:t>月</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19</w:t>
      </w:r>
      <w:r>
        <w:rPr>
          <w:rFonts w:hint="eastAsia" w:ascii="仿宋" w:hAnsi="仿宋" w:eastAsia="仿宋" w:cs="仿宋"/>
          <w:bCs/>
          <w:color w:val="000000" w:themeColor="text1"/>
          <w:sz w:val="24"/>
          <w:szCs w:val="24"/>
          <w:highlight w:val="none"/>
          <w:u w:val="single"/>
          <w14:textFill>
            <w14:solidFill>
              <w14:schemeClr w14:val="tx1"/>
            </w14:solidFill>
          </w14:textFill>
        </w:rPr>
        <w:t>日</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u w:val="single"/>
          <w14:textFill>
            <w14:solidFill>
              <w14:schemeClr w14:val="tx1"/>
            </w14:solidFill>
          </w14:textFill>
        </w:rPr>
        <w:t>点</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u w:val="single"/>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地点：政采云平台https://www.zcygov.cn/不见面开标</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3"/>
        <w:bidi w:val="0"/>
        <w:rPr>
          <w:rFonts w:hint="eastAsia" w:ascii="仿宋" w:hAnsi="仿宋" w:eastAsia="仿宋" w:cs="仿宋"/>
          <w:color w:val="000000" w:themeColor="text1"/>
          <w14:textFill>
            <w14:solidFill>
              <w14:schemeClr w14:val="tx1"/>
            </w14:solidFill>
          </w14:textFill>
        </w:rPr>
      </w:pPr>
      <w:bookmarkStart w:id="19" w:name="_Toc13687"/>
      <w:r>
        <w:rPr>
          <w:rFonts w:hint="eastAsia" w:ascii="仿宋" w:hAnsi="仿宋" w:eastAsia="仿宋" w:cs="仿宋"/>
          <w:color w:val="000000" w:themeColor="text1"/>
          <w14:textFill>
            <w14:solidFill>
              <w14:schemeClr w14:val="tx1"/>
            </w14:solidFill>
          </w14:textFill>
        </w:rPr>
        <w:t>六、公告期限</w:t>
      </w:r>
      <w:bookmarkEnd w:id="19"/>
    </w:p>
    <w:p>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自本公告发布之日起5个工作日。</w:t>
      </w:r>
    </w:p>
    <w:p>
      <w:pPr>
        <w:pStyle w:val="3"/>
        <w:numPr>
          <w:ilvl w:val="0"/>
          <w:numId w:val="7"/>
        </w:numPr>
        <w:bidi w:val="0"/>
        <w:rPr>
          <w:rFonts w:hint="eastAsia" w:ascii="仿宋" w:hAnsi="仿宋" w:eastAsia="仿宋" w:cs="仿宋"/>
          <w:color w:val="000000" w:themeColor="text1"/>
          <w14:textFill>
            <w14:solidFill>
              <w14:schemeClr w14:val="tx1"/>
            </w14:solidFill>
          </w14:textFill>
        </w:rPr>
      </w:pPr>
      <w:bookmarkStart w:id="20" w:name="_Toc30332"/>
      <w:r>
        <w:rPr>
          <w:rFonts w:hint="eastAsia" w:ascii="仿宋" w:hAnsi="仿宋" w:eastAsia="仿宋" w:cs="仿宋"/>
          <w:color w:val="000000" w:themeColor="text1"/>
          <w14:textFill>
            <w14:solidFill>
              <w14:schemeClr w14:val="tx1"/>
            </w14:solidFill>
          </w14:textFill>
        </w:rPr>
        <w:t>其他补充事宜</w:t>
      </w:r>
      <w:bookmarkEnd w:id="20"/>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1、本项目实行电子招投标，投标人须登录政采云平台申请获取采购文件，并需要使用CA锁，登录政采云电子投标客户端制作投标文件，若投标人参与投标,自行承担与投标有关的一切费用。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2、各投标人应在开标前确保是新疆维吾尔自治区政府采购网正式注册入库的投标人，并完成CA数字证书申领。因未注册入库、未办理CA数字证书等原因造成无法投标或投标失败等后果的由投标人自行承担。</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3、投标人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4、投标人在开标时须携带制作加密电子投标文件所使用的CA锁，电脑须提前配置好浏览器（建议使用360浏览器或谷歌浏览器），以便开标时在线解密。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5、投标投标人应当在投标截止时间前，将生成的“电子加密投标文件”上传递交至“政府采购云平台”，投标截止时间以后上传递交的投标文件将被“政府采购云平台”拒收。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 xml:space="preserve">  6、本公告在新疆政府采购网发布。</w:t>
      </w:r>
    </w:p>
    <w:p>
      <w:pPr>
        <w:pStyle w:val="3"/>
        <w:bidi w:val="0"/>
        <w:rPr>
          <w:rFonts w:hint="eastAsia" w:ascii="仿宋" w:hAnsi="仿宋" w:eastAsia="仿宋" w:cs="仿宋"/>
          <w:color w:val="000000" w:themeColor="text1"/>
          <w14:textFill>
            <w14:solidFill>
              <w14:schemeClr w14:val="tx1"/>
            </w14:solidFill>
          </w14:textFill>
        </w:rPr>
      </w:pPr>
      <w:bookmarkStart w:id="21" w:name="_Toc14992"/>
      <w:r>
        <w:rPr>
          <w:rFonts w:hint="eastAsia" w:ascii="仿宋" w:hAnsi="仿宋" w:eastAsia="仿宋" w:cs="仿宋"/>
          <w:color w:val="000000" w:themeColor="text1"/>
          <w14:textFill>
            <w14:solidFill>
              <w14:schemeClr w14:val="tx1"/>
            </w14:solidFill>
          </w14:textFill>
        </w:rPr>
        <w:t>八、凡对本次采购提出询问，请按以下方式联系</w:t>
      </w:r>
      <w:bookmarkEnd w:id="21"/>
    </w:p>
    <w:p>
      <w:pPr>
        <w:pageBreakBefore w:val="0"/>
        <w:kinsoku/>
        <w:wordWrap/>
        <w:overflowPunct/>
        <w:topLinePunct w:val="0"/>
        <w:autoSpaceDE/>
        <w:autoSpaceDN/>
        <w:bidi w:val="0"/>
        <w:adjustRightInd/>
        <w:snapToGrid/>
        <w:spacing w:line="500" w:lineRule="exact"/>
        <w:ind w:left="0" w:firstLine="720" w:firstLineChars="300"/>
        <w:jc w:val="left"/>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460" w:lineRule="exact"/>
        <w:ind w:left="0" w:firstLine="720" w:firstLineChars="300"/>
        <w:jc w:val="left"/>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名    称：</w:t>
      </w:r>
      <w:r>
        <w:rPr>
          <w:rFonts w:hint="eastAsia" w:ascii="仿宋" w:hAnsi="仿宋" w:eastAsia="仿宋" w:cs="仿宋"/>
          <w:color w:val="000000" w:themeColor="text1"/>
          <w:sz w:val="24"/>
          <w:szCs w:val="24"/>
          <w:u w:val="single"/>
          <w14:textFill>
            <w14:solidFill>
              <w14:schemeClr w14:val="tx1"/>
            </w14:solidFill>
          </w14:textFill>
        </w:rPr>
        <w:t xml:space="preserve">昌吉高新区安全生产监督管理局    </w:t>
      </w:r>
    </w:p>
    <w:p>
      <w:pPr>
        <w:keepNext w:val="0"/>
        <w:keepLines w:val="0"/>
        <w:pageBreakBefore w:val="0"/>
        <w:widowControl w:val="0"/>
        <w:kinsoku/>
        <w:wordWrap/>
        <w:overflowPunct/>
        <w:topLinePunct w:val="0"/>
        <w:autoSpaceDE/>
        <w:autoSpaceDN/>
        <w:bidi w:val="0"/>
        <w:adjustRightInd/>
        <w:snapToGrid/>
        <w:spacing w:line="460" w:lineRule="exact"/>
        <w:ind w:left="0" w:firstLine="720" w:firstLineChars="3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地    </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仿宋"/>
          <w:color w:val="000000" w:themeColor="text1"/>
          <w:sz w:val="24"/>
          <w:szCs w:val="24"/>
          <w:highlight w:val="none"/>
          <w:u w:val="single"/>
          <w14:textFill>
            <w14:solidFill>
              <w14:schemeClr w14:val="tx1"/>
            </w14:solidFill>
          </w14:textFill>
        </w:rPr>
        <w:t>昌吉市高新园区科技大道9号</w:t>
      </w:r>
    </w:p>
    <w:p>
      <w:pPr>
        <w:keepNext w:val="0"/>
        <w:keepLines w:val="0"/>
        <w:pageBreakBefore w:val="0"/>
        <w:widowControl w:val="0"/>
        <w:kinsoku/>
        <w:wordWrap/>
        <w:overflowPunct/>
        <w:topLinePunct w:val="0"/>
        <w:autoSpaceDE/>
        <w:autoSpaceDN/>
        <w:bidi w:val="0"/>
        <w:adjustRightInd/>
        <w:snapToGrid/>
        <w:spacing w:line="460" w:lineRule="exact"/>
        <w:ind w:left="0" w:firstLine="720" w:firstLineChars="300"/>
        <w:jc w:val="left"/>
        <w:textAlignment w:val="auto"/>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系</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刘先生</w:t>
      </w:r>
    </w:p>
    <w:p>
      <w:pPr>
        <w:pStyle w:val="126"/>
        <w:keepNext w:val="0"/>
        <w:keepLines w:val="0"/>
        <w:pageBreakBefore w:val="0"/>
        <w:widowControl w:val="0"/>
        <w:kinsoku/>
        <w:wordWrap/>
        <w:overflowPunct/>
        <w:topLinePunct w:val="0"/>
        <w:autoSpaceDE/>
        <w:autoSpaceDN/>
        <w:bidi w:val="0"/>
        <w:adjustRightInd/>
        <w:snapToGrid/>
        <w:spacing w:line="460" w:lineRule="exact"/>
        <w:ind w:left="0" w:firstLine="720" w:firstLineChars="300"/>
        <w:textAlignment w:val="auto"/>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联</w:t>
      </w:r>
      <w:r>
        <w:rPr>
          <w:rFonts w:hint="eastAsia" w:ascii="仿宋" w:hAnsi="仿宋" w:eastAsia="仿宋" w:cs="仿宋"/>
          <w:color w:val="000000" w:themeColor="text1"/>
          <w:kern w:val="2"/>
          <w:sz w:val="24"/>
          <w:szCs w:val="24"/>
          <w:highlight w:val="none"/>
          <w:u w:val="none"/>
          <w:lang w:eastAsia="zh-CN" w:bidi="ar-SA"/>
          <w14:textFill>
            <w14:solidFill>
              <w14:schemeClr w14:val="tx1"/>
            </w14:solidFill>
          </w14:textFill>
        </w:rPr>
        <w:t>系方式：</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13999334282</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lang w:eastAsia="zh-CN"/>
        </w:rPr>
        <w:t>新疆信实工程招标咨询服务有限公司</w:t>
      </w:r>
    </w:p>
    <w:p>
      <w:pPr>
        <w:keepNext w:val="0"/>
        <w:keepLines w:val="0"/>
        <w:pageBreakBefore w:val="0"/>
        <w:widowControl w:val="0"/>
        <w:kinsoku/>
        <w:wordWrap/>
        <w:overflowPunct/>
        <w:topLinePunct w:val="0"/>
        <w:autoSpaceDE/>
        <w:autoSpaceDN/>
        <w:bidi w:val="0"/>
        <w:adjustRightInd/>
        <w:snapToGrid/>
        <w:spacing w:line="460" w:lineRule="exact"/>
        <w:ind w:left="1198" w:leftChars="342" w:hanging="480" w:hanging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昌吉市建国西路和谐国际广场A座1406室</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zh-CN"/>
        </w:rPr>
        <w:t>联</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系</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人：</w:t>
      </w:r>
      <w:r>
        <w:rPr>
          <w:rFonts w:hint="eastAsia" w:ascii="仿宋" w:hAnsi="仿宋" w:eastAsia="仿宋" w:cs="仿宋"/>
          <w:color w:val="auto"/>
          <w:sz w:val="24"/>
          <w:szCs w:val="24"/>
          <w:u w:val="single"/>
          <w:lang w:val="zh-CN"/>
        </w:rPr>
        <w:t>许培培、</w:t>
      </w:r>
      <w:r>
        <w:rPr>
          <w:rFonts w:hint="eastAsia" w:ascii="仿宋" w:hAnsi="仿宋" w:eastAsia="仿宋" w:cs="仿宋"/>
          <w:color w:val="auto"/>
          <w:sz w:val="24"/>
          <w:szCs w:val="24"/>
          <w:u w:val="single"/>
          <w:lang w:val="zh-CN" w:eastAsia="zh-CN"/>
        </w:rPr>
        <w:t>李会</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ascii="仿宋" w:hAnsi="仿宋" w:eastAsia="仿宋" w:cs="仿宋"/>
          <w:color w:val="auto"/>
          <w:spacing w:val="10"/>
          <w:sz w:val="24"/>
          <w:szCs w:val="24"/>
          <w:u w:val="single"/>
          <w:lang w:val="en-US"/>
        </w:rPr>
      </w:pPr>
      <w:r>
        <w:rPr>
          <w:rFonts w:hint="eastAsia" w:ascii="仿宋" w:hAnsi="仿宋" w:eastAsia="仿宋" w:cs="仿宋"/>
          <w:color w:val="auto"/>
          <w:sz w:val="24"/>
          <w:szCs w:val="24"/>
        </w:rPr>
        <w:t>联系方式：</w:t>
      </w:r>
      <w:r>
        <w:rPr>
          <w:rFonts w:hint="eastAsia" w:ascii="仿宋" w:hAnsi="仿宋" w:eastAsia="仿宋" w:cs="仿宋"/>
          <w:color w:val="auto"/>
          <w:spacing w:val="10"/>
          <w:sz w:val="24"/>
          <w:szCs w:val="24"/>
          <w:u w:val="single"/>
          <w:lang w:val="en-US" w:eastAsia="zh-CN"/>
        </w:rPr>
        <w:t>15299609390、15292649399</w:t>
      </w:r>
    </w:p>
    <w:p>
      <w:pPr>
        <w:pageBreakBefore w:val="0"/>
        <w:kinsoku/>
        <w:wordWrap/>
        <w:overflowPunct/>
        <w:topLinePunct w:val="0"/>
        <w:autoSpaceDE/>
        <w:autoSpaceDN/>
        <w:bidi w:val="0"/>
        <w:adjustRightInd/>
        <w:snapToGrid/>
        <w:spacing w:line="500" w:lineRule="exact"/>
        <w:ind w:firstLine="4680" w:firstLineChars="1800"/>
        <w:jc w:val="left"/>
        <w:textAlignment w:val="auto"/>
        <w:rPr>
          <w:rFonts w:hint="eastAsia" w:ascii="仿宋" w:hAnsi="仿宋" w:eastAsia="仿宋" w:cs="仿宋"/>
          <w:color w:val="000000" w:themeColor="text1"/>
          <w:spacing w:val="10"/>
          <w:sz w:val="24"/>
          <w:szCs w:val="24"/>
          <w:highlight w:val="yellow"/>
          <w14:textFill>
            <w14:solidFill>
              <w14:schemeClr w14:val="tx1"/>
            </w14:solidFill>
          </w14:textFill>
        </w:rPr>
      </w:pPr>
    </w:p>
    <w:p>
      <w:pPr>
        <w:jc w:val="righ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202</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年</w:t>
      </w:r>
      <w:r>
        <w:rPr>
          <w:rFonts w:hint="eastAsia" w:ascii="仿宋" w:hAnsi="仿宋" w:eastAsia="仿宋" w:cs="仿宋"/>
          <w:color w:val="000000" w:themeColor="text1"/>
          <w:kern w:val="0"/>
          <w:sz w:val="24"/>
          <w:szCs w:val="24"/>
          <w:lang w:val="en-US" w:eastAsia="zh-CN"/>
          <w14:textFill>
            <w14:solidFill>
              <w14:schemeClr w14:val="tx1"/>
            </w14:solidFill>
          </w14:textFill>
        </w:rPr>
        <w:t>11</w:t>
      </w:r>
      <w:r>
        <w:rPr>
          <w:rFonts w:hint="eastAsia" w:ascii="仿宋" w:hAnsi="仿宋" w:eastAsia="仿宋" w:cs="仿宋"/>
          <w:color w:val="000000" w:themeColor="text1"/>
          <w:kern w:val="0"/>
          <w:sz w:val="24"/>
          <w:szCs w:val="24"/>
          <w14:textFill>
            <w14:solidFill>
              <w14:schemeClr w14:val="tx1"/>
            </w14:solidFill>
          </w14:textFill>
        </w:rPr>
        <w:t>月</w:t>
      </w:r>
      <w:r>
        <w:rPr>
          <w:rFonts w:hint="eastAsia" w:ascii="仿宋" w:hAnsi="仿宋" w:eastAsia="仿宋" w:cs="仿宋"/>
          <w:color w:val="000000" w:themeColor="text1"/>
          <w:kern w:val="0"/>
          <w:sz w:val="24"/>
          <w:szCs w:val="24"/>
          <w:lang w:val="en-US" w:eastAsia="zh-CN"/>
          <w14:textFill>
            <w14:solidFill>
              <w14:schemeClr w14:val="tx1"/>
            </w14:solidFill>
          </w14:textFill>
        </w:rPr>
        <w:t>29</w:t>
      </w:r>
      <w:r>
        <w:rPr>
          <w:rFonts w:hint="eastAsia" w:ascii="仿宋" w:hAnsi="仿宋" w:eastAsia="仿宋" w:cs="仿宋"/>
          <w:color w:val="000000" w:themeColor="text1"/>
          <w:kern w:val="0"/>
          <w:sz w:val="24"/>
          <w:szCs w:val="24"/>
          <w14:textFill>
            <w14:solidFill>
              <w14:schemeClr w14:val="tx1"/>
            </w14:solidFill>
          </w14:textFill>
        </w:rPr>
        <w:t>日</w:t>
      </w:r>
    </w:p>
    <w:p>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2"/>
        <w:numPr>
          <w:ilvl w:val="0"/>
          <w:numId w:val="0"/>
        </w:numPr>
        <w:bidi w:val="0"/>
        <w:jc w:val="center"/>
        <w:rPr>
          <w:rFonts w:hint="eastAsia" w:ascii="仿宋" w:hAnsi="仿宋" w:eastAsia="仿宋" w:cs="仿宋"/>
          <w:color w:val="000000" w:themeColor="text1"/>
          <w14:textFill>
            <w14:solidFill>
              <w14:schemeClr w14:val="tx1"/>
            </w14:solidFill>
          </w14:textFill>
        </w:rPr>
      </w:pPr>
      <w:bookmarkStart w:id="22" w:name="_Toc16938518"/>
      <w:bookmarkStart w:id="23" w:name="_Toc28496"/>
      <w:bookmarkStart w:id="24" w:name="_Toc513029202"/>
      <w:bookmarkStart w:id="25" w:name="_Toc13468"/>
      <w:bookmarkStart w:id="26" w:name="_Toc20823274"/>
      <w:bookmarkStart w:id="27" w:name="_Toc13939"/>
      <w:bookmarkStart w:id="28" w:name="_Toc120614213"/>
      <w:bookmarkStart w:id="29" w:name="_Toc9359"/>
      <w:r>
        <w:rPr>
          <w:rFonts w:hint="eastAsia" w:ascii="仿宋" w:hAnsi="仿宋" w:eastAsia="仿宋" w:cs="仿宋"/>
          <w:color w:val="000000" w:themeColor="text1"/>
          <w:lang w:eastAsia="zh-CN"/>
          <w14:textFill>
            <w14:solidFill>
              <w14:schemeClr w14:val="tx1"/>
            </w14:solidFill>
          </w14:textFill>
        </w:rPr>
        <w:t>第二章</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投标人须知</w:t>
      </w:r>
      <w:bookmarkEnd w:id="22"/>
      <w:bookmarkEnd w:id="23"/>
      <w:bookmarkEnd w:id="24"/>
      <w:bookmarkEnd w:id="25"/>
      <w:bookmarkEnd w:id="26"/>
      <w:bookmarkEnd w:id="27"/>
      <w:bookmarkEnd w:id="28"/>
      <w:bookmarkEnd w:id="29"/>
    </w:p>
    <w:p>
      <w:pPr>
        <w:pStyle w:val="3"/>
        <w:bidi w:val="0"/>
        <w:jc w:val="center"/>
        <w:rPr>
          <w:rFonts w:hint="eastAsia" w:ascii="仿宋" w:hAnsi="仿宋" w:eastAsia="仿宋" w:cs="仿宋"/>
          <w:lang w:eastAsia="en-US"/>
        </w:rPr>
      </w:pPr>
      <w:bookmarkStart w:id="30" w:name="_Toc8340"/>
      <w:r>
        <w:rPr>
          <w:rFonts w:hint="eastAsia" w:ascii="仿宋" w:hAnsi="仿宋" w:eastAsia="仿宋" w:cs="仿宋"/>
          <w:lang w:eastAsia="zh-CN"/>
        </w:rPr>
        <w:t>须知</w:t>
      </w:r>
      <w:r>
        <w:rPr>
          <w:rFonts w:hint="eastAsia" w:ascii="仿宋" w:hAnsi="仿宋" w:eastAsia="仿宋" w:cs="仿宋"/>
        </w:rPr>
        <w:t>前附表</w:t>
      </w:r>
      <w:bookmarkEnd w:id="8"/>
      <w:bookmarkEnd w:id="9"/>
      <w:bookmarkEnd w:id="30"/>
    </w:p>
    <w:tbl>
      <w:tblPr>
        <w:tblStyle w:val="38"/>
        <w:tblW w:w="9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607"/>
        <w:gridCol w:w="6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内  容</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项目名称</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新疆昌吉国家高新区园区应急管理、生态环保、城市管理综合管理系统建设项目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w:t>
            </w:r>
            <w:r>
              <w:rPr>
                <w:rFonts w:hint="eastAsia" w:ascii="仿宋" w:hAnsi="仿宋" w:eastAsia="仿宋" w:cs="仿宋"/>
                <w:color w:val="000000" w:themeColor="text1"/>
                <w:sz w:val="21"/>
                <w:szCs w:val="21"/>
                <w14:textFill>
                  <w14:solidFill>
                    <w14:schemeClr w14:val="tx1"/>
                  </w14:solidFill>
                </w14:textFill>
              </w:rPr>
              <w:t>编号</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W-XJXSZB2023-46-CG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资金来源</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160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预算金额</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最高限价</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预算金额：</w:t>
            </w:r>
            <w:r>
              <w:rPr>
                <w:rFonts w:hint="eastAsia" w:ascii="仿宋" w:hAnsi="仿宋" w:eastAsia="仿宋" w:cs="仿宋"/>
                <w:sz w:val="21"/>
                <w:szCs w:val="21"/>
                <w:lang w:val="en-US" w:eastAsia="zh-CN"/>
              </w:rPr>
              <w:t>1200万元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84"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p>
        </w:tc>
        <w:tc>
          <w:tcPr>
            <w:tcW w:w="160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6727" w:type="dxa"/>
            <w:tcBorders>
              <w:top w:val="single" w:color="auto" w:sz="4" w:space="0"/>
              <w:left w:val="single" w:color="auto" w:sz="4" w:space="0"/>
              <w:bottom w:val="single" w:color="auto" w:sz="4" w:space="0"/>
              <w:right w:val="single" w:color="auto" w:sz="4" w:space="0"/>
            </w:tcBorders>
            <w:vAlign w:val="center"/>
          </w:tcPr>
          <w:p>
            <w:pPr>
              <w:pStyle w:val="7"/>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最高限价：1200万元</w:t>
            </w:r>
          </w:p>
          <w:p>
            <w:pPr>
              <w:pStyle w:val="7"/>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（投标人的报价不得超过最高限价，否则其投标文件将被拒绝）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采购</w:t>
            </w:r>
            <w:r>
              <w:rPr>
                <w:rFonts w:hint="eastAsia" w:ascii="仿宋" w:hAnsi="仿宋" w:eastAsia="仿宋" w:cs="仿宋"/>
                <w:bCs/>
                <w:color w:val="000000" w:themeColor="text1"/>
                <w:sz w:val="21"/>
                <w:szCs w:val="21"/>
                <w14:textFill>
                  <w14:solidFill>
                    <w14:schemeClr w14:val="tx1"/>
                  </w14:solidFill>
                </w14:textFill>
              </w:rPr>
              <w:t>方式</w:t>
            </w:r>
          </w:p>
        </w:tc>
        <w:tc>
          <w:tcPr>
            <w:tcW w:w="6727" w:type="dxa"/>
            <w:tcBorders>
              <w:top w:val="single" w:color="auto" w:sz="4" w:space="0"/>
              <w:left w:val="single" w:color="auto" w:sz="4" w:space="0"/>
              <w:bottom w:val="single" w:color="auto" w:sz="4" w:space="0"/>
              <w:right w:val="single" w:color="auto" w:sz="4" w:space="0"/>
            </w:tcBorders>
            <w:vAlign w:val="center"/>
          </w:tcPr>
          <w:p>
            <w:pPr>
              <w:pStyle w:val="126"/>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Cs/>
                <w:color w:val="000000" w:themeColor="text1"/>
                <w:kern w:val="0"/>
                <w:sz w:val="21"/>
                <w:szCs w:val="21"/>
                <w:lang w:eastAsia="zh-CN"/>
                <w14:textFill>
                  <w14:solidFill>
                    <w14:schemeClr w14:val="tx1"/>
                  </w14:solidFill>
                </w14:textFill>
              </w:rPr>
            </w:pPr>
            <w:r>
              <w:rPr>
                <w:rFonts w:hint="eastAsia" w:ascii="仿宋" w:hAnsi="仿宋" w:eastAsia="仿宋" w:cs="仿宋"/>
                <w:bCs/>
                <w:color w:val="000000" w:themeColor="text1"/>
                <w:kern w:val="0"/>
                <w:sz w:val="21"/>
                <w:szCs w:val="21"/>
                <w:lang w:eastAsia="zh-CN"/>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采购</w:t>
            </w:r>
            <w:r>
              <w:rPr>
                <w:rFonts w:hint="eastAsia" w:ascii="仿宋" w:hAnsi="仿宋" w:eastAsia="仿宋" w:cs="仿宋"/>
                <w:bCs/>
                <w:color w:val="000000" w:themeColor="text1"/>
                <w:sz w:val="21"/>
                <w:szCs w:val="21"/>
                <w:highlight w:val="none"/>
                <w14:textFill>
                  <w14:solidFill>
                    <w14:schemeClr w14:val="tx1"/>
                  </w14:solidFill>
                </w14:textFill>
              </w:rPr>
              <w:t>内容</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详见本采购文件第六章项目需求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交货</w:t>
            </w:r>
            <w:r>
              <w:rPr>
                <w:rFonts w:hint="eastAsia" w:ascii="仿宋" w:hAnsi="仿宋" w:eastAsia="仿宋" w:cs="仿宋"/>
                <w:bCs/>
                <w:color w:val="auto"/>
                <w:sz w:val="21"/>
                <w:szCs w:val="21"/>
              </w:rPr>
              <w:t>地点</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昌吉高新区。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合同履约期限</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自合同签订生效后120天内完成供货，并验收合格。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质量标准</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达到</w:t>
            </w:r>
            <w:r>
              <w:rPr>
                <w:rFonts w:hint="eastAsia" w:ascii="仿宋" w:hAnsi="仿宋" w:eastAsia="仿宋" w:cs="仿宋"/>
                <w:color w:val="000000" w:themeColor="text1"/>
                <w:sz w:val="21"/>
                <w:szCs w:val="21"/>
                <w:lang w:eastAsia="zh-CN"/>
                <w14:textFill>
                  <w14:solidFill>
                    <w14:schemeClr w14:val="tx1"/>
                  </w14:solidFill>
                </w14:textFill>
              </w:rPr>
              <w:t>采购</w:t>
            </w:r>
            <w:r>
              <w:rPr>
                <w:rFonts w:hint="eastAsia" w:ascii="仿宋" w:hAnsi="仿宋" w:eastAsia="仿宋" w:cs="仿宋"/>
                <w:color w:val="000000" w:themeColor="text1"/>
                <w:sz w:val="21"/>
                <w:szCs w:val="21"/>
                <w14:textFill>
                  <w14:solidFill>
                    <w14:schemeClr w14:val="tx1"/>
                  </w14:solidFill>
                </w14:textFill>
              </w:rPr>
              <w:t>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付款方式</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签订合同时约定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9</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质量保修期</w:t>
            </w:r>
          </w:p>
        </w:tc>
        <w:tc>
          <w:tcPr>
            <w:tcW w:w="6727" w:type="dxa"/>
            <w:tcBorders>
              <w:top w:val="single" w:color="auto" w:sz="4" w:space="0"/>
              <w:left w:val="single" w:color="auto" w:sz="4" w:space="0"/>
              <w:bottom w:val="single" w:color="auto" w:sz="4" w:space="0"/>
              <w:right w:val="single" w:color="auto" w:sz="4" w:space="0"/>
            </w:tcBorders>
            <w:vAlign w:val="center"/>
          </w:tcPr>
          <w:p>
            <w:pPr>
              <w:pStyle w:val="57"/>
              <w:spacing w:line="240" w:lineRule="auto"/>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10</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进口产品</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本项目不接受进口产品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11</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核心产品</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无核心产品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12</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构成采购文件的其他文件</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采购文件的澄清、修改书及有关补充通知为采购文件的有效组成部分。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bidi="ar-SA"/>
                <w14:textFill>
                  <w14:solidFill>
                    <w14:schemeClr w14:val="tx1"/>
                  </w14:solidFill>
                </w14:textFill>
              </w:rPr>
              <w:t>13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投标人资格要求</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1.满足《中华人民共和国政府采购法》第二十二条规定；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2.落实政府采购政策需满足的资格要求：1）本项目专门面向中小企业采购，价格不再进行财政政策扣除；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3.本项目的特定资格要求：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1）投标人必须是所投产品的制造商或经销商，需提供有效的工商营业执照副本；</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2）投标人应具有民用无人驾驶航空器经营许可证或通用航空企业经营许可证；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3）投标人近三年（2020年1月1日起至今，以合同签订时间为准）至少具有1项无人机相关设备或服务类业绩（合同证明包括但不仅限于合同首页、主要内容页、盖章页等）；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5）与采购人存在利害关系可能影响招标公正性的法人、其他组织或者个人，不得参加同一标段投标或者未划分标段的同一采购不得参加投标；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6）投标人负责人为同一人或者存在控股、管理关系的不同单位，不得同时参加本项目的投标。</w:t>
            </w:r>
          </w:p>
          <w:p>
            <w:pPr>
              <w:pStyle w:val="18"/>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4.本项目不接受联合体投标。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投标保证金</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1.投标保证金数额：￥</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120000.00</w:t>
            </w:r>
            <w:r>
              <w:rPr>
                <w:rFonts w:hint="eastAsia" w:ascii="仿宋" w:hAnsi="仿宋" w:eastAsia="仿宋" w:cs="仿宋"/>
                <w:b w:val="0"/>
                <w:bCs w:val="0"/>
                <w:color w:val="000000" w:themeColor="text1"/>
                <w:sz w:val="21"/>
                <w:szCs w:val="21"/>
                <w:highlight w:val="none"/>
                <w14:textFill>
                  <w14:solidFill>
                    <w14:schemeClr w14:val="tx1"/>
                  </w14:solidFill>
                </w14:textFill>
              </w:rPr>
              <w:t>元（大写：</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壹拾贰万元整</w:t>
            </w:r>
            <w:r>
              <w:rPr>
                <w:rFonts w:hint="eastAsia" w:ascii="仿宋" w:hAnsi="仿宋" w:eastAsia="仿宋" w:cs="仿宋"/>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2.投标保证金递交截止时间：投标文件递交截止时间前。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3.投标保证金缴纳形式：以银行转账、保函、电汇、支票、银行汇票等非现金形式递交。银行保函或者保险公司、担保公司保函应当从其基本账户开具。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4.投标保证金递交的开户银行及账号如下：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账户：</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新疆信实工程招标咨询服务有限公司</w:t>
            </w:r>
            <w:r>
              <w:rPr>
                <w:rFonts w:hint="eastAsia" w:ascii="仿宋" w:hAnsi="仿宋" w:eastAsia="仿宋" w:cs="仿宋"/>
                <w:b w:val="0"/>
                <w:bCs w:val="0"/>
                <w:color w:val="000000" w:themeColor="text1"/>
                <w:sz w:val="21"/>
                <w:szCs w:val="21"/>
                <w:highlight w:val="none"/>
                <w14:textFill>
                  <w14:solidFill>
                    <w14:schemeClr w14:val="tx1"/>
                  </w14:solidFill>
                </w14:textFill>
              </w:rPr>
              <w:t>昌吉分公司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开户账号：3004800909000023370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开户行行号：102885080092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开户行：工行昌吉建国路支行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注：保证金须知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投标保证金由投标投标人基本账户一次性汇入，不得以分公司、办事处或其他机构名义缴纳，投标保证金必须在递交投标文件截止时间前缴纳，投标投标人应充分考虑资金到账时间，在规定的时限前自行办妥投标保证金交纳手续，超过时限交纳投标保证金或未按规定缴纳保证金的视为投标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（2）关于投标保证金的退还：未中标单位：自中标通知书发出之日起5个工作日内退还未中标投标人的投标保证金，自动退回至原打款账户；中标单位：合同签订后递交至采购代理公司后退还。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政采云电子保函须知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（1）本项目推荐使用政采云电子保函形式缴纳投标保证金，在线完成保函的申请、审核、开票、出函等环节；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（2）如采用政采云电子保函形式，可按照以下形式进行在线申请，电子保函申请链接（https://jinrong.zcygov.cn/finance/letter/product/detail?id=30&amp;source=41），如遇问题可拨打客服电话：4009039583；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（3）将保函制作到电子投标文件即可。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（4）银行电子保函、保险电子保函等形式缴纳的投标保证金按协议执行，无需办理退款手续。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15</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投标有效期</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递交投标文件的截止之日起90天。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16</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现场踏勘</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本项目不安排现场踏勘。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17</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投标截止时间</w:t>
            </w:r>
            <w:r>
              <w:rPr>
                <w:rFonts w:hint="eastAsia" w:ascii="仿宋" w:hAnsi="仿宋" w:eastAsia="仿宋" w:cs="仿宋"/>
                <w:bCs/>
                <w:color w:val="000000" w:themeColor="text1"/>
                <w:sz w:val="21"/>
                <w:szCs w:val="21"/>
                <w:lang w:eastAsia="zh-CN"/>
                <w14:textFill>
                  <w14:solidFill>
                    <w14:schemeClr w14:val="tx1"/>
                  </w14:solidFill>
                </w14:textFill>
              </w:rPr>
              <w:t>、开标时间</w:t>
            </w:r>
            <w:r>
              <w:rPr>
                <w:rFonts w:hint="eastAsia" w:ascii="仿宋" w:hAnsi="仿宋" w:eastAsia="仿宋" w:cs="仿宋"/>
                <w:bCs/>
                <w:color w:val="000000" w:themeColor="text1"/>
                <w:sz w:val="21"/>
                <w:szCs w:val="21"/>
                <w14:textFill>
                  <w14:solidFill>
                    <w14:schemeClr w14:val="tx1"/>
                  </w14:solidFill>
                </w14:textFill>
              </w:rPr>
              <w:t>及投标地点</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900" w:hanging="1050" w:hangingChars="500"/>
              <w:jc w:val="left"/>
              <w:textAlignment w:val="auto"/>
              <w:rPr>
                <w:rFonts w:hint="eastAsia" w:ascii="仿宋" w:hAnsi="仿宋" w:eastAsia="仿宋" w:cs="仿宋"/>
                <w:sz w:val="21"/>
                <w:szCs w:val="21"/>
              </w:rPr>
            </w:pPr>
            <w:r>
              <w:rPr>
                <w:rFonts w:hint="eastAsia" w:ascii="仿宋" w:hAnsi="仿宋" w:eastAsia="仿宋" w:cs="仿宋"/>
                <w:sz w:val="21"/>
                <w:szCs w:val="21"/>
              </w:rPr>
              <w:t>投标截止时间：2023年12月19日11点00分(北京时间)</w:t>
            </w:r>
          </w:p>
          <w:p>
            <w:pPr>
              <w:keepNext w:val="0"/>
              <w:keepLines w:val="0"/>
              <w:pageBreakBefore w:val="0"/>
              <w:kinsoku/>
              <w:wordWrap/>
              <w:overflowPunct/>
              <w:topLinePunct w:val="0"/>
              <w:autoSpaceDE/>
              <w:autoSpaceDN/>
              <w:bidi w:val="0"/>
              <w:adjustRightInd/>
              <w:snapToGrid/>
              <w:spacing w:line="240" w:lineRule="auto"/>
              <w:ind w:left="1050" w:leftChars="0" w:hanging="1050" w:hangingChars="500"/>
              <w:jc w:val="left"/>
              <w:textAlignment w:val="auto"/>
              <w:rPr>
                <w:rFonts w:hint="eastAsia" w:ascii="仿宋" w:hAnsi="仿宋" w:eastAsia="仿宋" w:cs="仿宋"/>
                <w:sz w:val="21"/>
                <w:szCs w:val="21"/>
              </w:rPr>
            </w:pPr>
            <w:r>
              <w:rPr>
                <w:rFonts w:hint="eastAsia" w:ascii="仿宋" w:hAnsi="仿宋" w:eastAsia="仿宋" w:cs="仿宋"/>
                <w:sz w:val="21"/>
                <w:szCs w:val="21"/>
              </w:rPr>
              <w:t>投标地点：“政采云https://www.zcygov.cn/）”平台。</w:t>
            </w:r>
          </w:p>
          <w:p>
            <w:pPr>
              <w:bidi w:val="0"/>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开标60分钟内投标人可以登录“政采云”平台，用“项目采购-开标评标”功能进行解密投标文件。解密时间：60分钟，若投标人在规定时间内未按时解密的，视为投标文件撤回。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18</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sz w:val="21"/>
                <w:szCs w:val="21"/>
                <w:lang w:val="en-US" w:eastAsia="zh-CN"/>
              </w:rPr>
              <w:t>递交投标文件的地点及方式</w:t>
            </w:r>
          </w:p>
        </w:tc>
        <w:tc>
          <w:tcPr>
            <w:tcW w:w="6727" w:type="dxa"/>
            <w:tcBorders>
              <w:top w:val="single" w:color="auto" w:sz="4" w:space="0"/>
              <w:left w:val="single" w:color="auto" w:sz="4" w:space="0"/>
              <w:bottom w:val="single" w:color="auto" w:sz="4" w:space="0"/>
              <w:right w:val="single" w:color="auto" w:sz="4" w:space="0"/>
            </w:tcBorders>
            <w:vAlign w:val="center"/>
          </w:tcPr>
          <w:p>
            <w:pPr>
              <w:bidi w:val="0"/>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投标人应于</w:t>
            </w: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w:t>
            </w:r>
            <w:r>
              <w:rPr>
                <w:rFonts w:hint="eastAsia" w:ascii="仿宋" w:hAnsi="仿宋" w:eastAsia="仿宋" w:cs="仿宋"/>
                <w:sz w:val="21"/>
                <w:szCs w:val="21"/>
                <w:lang w:val="en-US" w:eastAsia="zh-CN"/>
              </w:rPr>
              <w:t>12</w:t>
            </w:r>
            <w:r>
              <w:rPr>
                <w:rFonts w:hint="eastAsia" w:ascii="仿宋" w:hAnsi="仿宋" w:eastAsia="仿宋" w:cs="仿宋"/>
                <w:sz w:val="21"/>
                <w:szCs w:val="21"/>
              </w:rPr>
              <w:t>月</w:t>
            </w:r>
            <w:r>
              <w:rPr>
                <w:rFonts w:hint="eastAsia" w:ascii="仿宋" w:hAnsi="仿宋" w:eastAsia="仿宋" w:cs="仿宋"/>
                <w:sz w:val="21"/>
                <w:szCs w:val="21"/>
                <w:lang w:val="en-US" w:eastAsia="zh-CN"/>
              </w:rPr>
              <w:t>19</w:t>
            </w:r>
            <w:r>
              <w:rPr>
                <w:rFonts w:hint="eastAsia" w:ascii="仿宋" w:hAnsi="仿宋" w:eastAsia="仿宋" w:cs="仿宋"/>
                <w:sz w:val="21"/>
                <w:szCs w:val="21"/>
              </w:rPr>
              <w:t>日</w:t>
            </w:r>
            <w:r>
              <w:rPr>
                <w:rFonts w:hint="eastAsia" w:ascii="仿宋" w:hAnsi="仿宋" w:eastAsia="仿宋" w:cs="仿宋"/>
                <w:sz w:val="21"/>
                <w:szCs w:val="21"/>
                <w:lang w:val="en-US" w:eastAsia="zh-CN"/>
              </w:rPr>
              <w:t>11</w:t>
            </w:r>
            <w:r>
              <w:rPr>
                <w:rFonts w:hint="eastAsia" w:ascii="仿宋" w:hAnsi="仿宋" w:eastAsia="仿宋" w:cs="仿宋"/>
                <w:sz w:val="21"/>
                <w:szCs w:val="21"/>
              </w:rPr>
              <w:t>点</w:t>
            </w:r>
            <w:r>
              <w:rPr>
                <w:rFonts w:hint="eastAsia" w:ascii="仿宋" w:hAnsi="仿宋" w:eastAsia="仿宋" w:cs="仿宋"/>
                <w:sz w:val="21"/>
                <w:szCs w:val="21"/>
                <w:lang w:val="en-US" w:eastAsia="zh-CN"/>
              </w:rPr>
              <w:t>00</w:t>
            </w:r>
            <w:r>
              <w:rPr>
                <w:rFonts w:hint="eastAsia" w:ascii="仿宋" w:hAnsi="仿宋" w:eastAsia="仿宋" w:cs="仿宋"/>
                <w:sz w:val="21"/>
                <w:szCs w:val="21"/>
              </w:rPr>
              <w:t>分</w:t>
            </w:r>
            <w:r>
              <w:rPr>
                <w:rFonts w:hint="eastAsia" w:ascii="仿宋" w:hAnsi="仿宋" w:eastAsia="仿宋" w:cs="仿宋"/>
                <w:sz w:val="21"/>
                <w:szCs w:val="21"/>
                <w:lang w:val="en-US" w:eastAsia="zh-CN"/>
              </w:rPr>
              <w:t>之前将电子投标文件上传到“政采云”平台。应按照本项目采购文件和政采云平台的要求编制、加密传输投标文件。投标人在使用系统进行投标的过程中遇到涉及平台使用的任何问题，可致电政采云平台技术支持热线咨询，联系方式：95763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bidi="ar-SA"/>
                <w14:textFill>
                  <w14:solidFill>
                    <w14:schemeClr w14:val="tx1"/>
                  </w14:solidFill>
                </w14:textFill>
              </w:rPr>
              <w:t>19</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开标方式</w:t>
            </w:r>
          </w:p>
        </w:tc>
        <w:tc>
          <w:tcPr>
            <w:tcW w:w="6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采用不见面开标：</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（1）本项目采用远程不见面电子标的方式开标。</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潜在投标人领取文件须提前完成注册、CA证书和电子签章申领和绑定、下载投标客户端。因未注册入库、未办理CA数字证书、CA证书故障、操作不当等原因造成无法投标或投标失败等后果由投标人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（3）投标人操作指南详见新疆政府采购网（www.ccgp-xinjiang.gov.cn）。</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本项目采用远程不见面电子标的方式开标，投标人须在投标文件递交截止时间前通过新疆政府采购网（www.ccgp-xinjiang.gov.cn）的”政采云登录入口”登录后，将加密电子投标文件（为.jmbs后缀格式）上传到对应项目的指定位置。</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纸质版投标文件要求：项目开标结束后，成交单位需提供纸质版投标文件：正本壹份，副本贰份，电子版光盘贰份（未加密的全套PDF版投标文件，内容与纸质版及加密上传的投标文件一致，光盘上标注项目名称、投标人名称）。</w:t>
            </w:r>
          </w:p>
          <w:p>
            <w:pPr>
              <w:adjustRightInd w:val="0"/>
              <w:snapToGrid w:val="0"/>
              <w:spacing w:line="240" w:lineRule="auto"/>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递交地址：新疆信实工程招标咨询服务有限公司（昌吉市建国西路和谐国际广场A座1406室）。</w:t>
            </w:r>
          </w:p>
          <w:p>
            <w:pPr>
              <w:adjustRightInd w:val="0"/>
              <w:snapToGrid w:val="0"/>
              <w:spacing w:line="240" w:lineRule="auto"/>
              <w:ind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（6）系统操作问题请咨询技术支持电话0991-2899144，CA办理问题请咨询新疆CA服务电话0991-2819290，或加QQ号800175577。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20</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8" w:rightChars="0"/>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评标办法</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21</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履约保证金</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bCs/>
                <w:color w:val="auto"/>
                <w:sz w:val="21"/>
                <w:szCs w:val="21"/>
                <w:lang w:eastAsia="zh-CN"/>
              </w:rPr>
              <w:t>金额：</w:t>
            </w:r>
            <w:r>
              <w:rPr>
                <w:rFonts w:hint="eastAsia" w:ascii="仿宋" w:hAnsi="仿宋" w:eastAsia="仿宋" w:cs="仿宋"/>
                <w:color w:val="auto"/>
                <w:sz w:val="21"/>
                <w:szCs w:val="21"/>
                <w:lang w:val="en-US" w:eastAsia="zh-CN"/>
              </w:rPr>
              <w:t>签约合同价格的5%。</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缴纳时间：合同签订前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退还时间：中标单位完成合同相关事项后，具体退还时间合同中约定。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22</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jc w:val="center"/>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spacing w:val="-4"/>
                <w:highlight w:val="none"/>
              </w:rPr>
              <w:t>国家规定的优先、强制采购范围（节能、环保）</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1.根据《国家市场监督管理总局关于优化强制性产品认证目录的公告》要求，本项目采购产品</w:t>
            </w:r>
            <w:r>
              <w:rPr>
                <w:rFonts w:hint="eastAsia" w:ascii="仿宋" w:hAnsi="仿宋" w:eastAsia="仿宋" w:cs="仿宋"/>
                <w:color w:val="auto"/>
                <w:highlight w:val="none"/>
                <w:lang w:eastAsia="zh-CN"/>
              </w:rPr>
              <w:t>如</w:t>
            </w:r>
            <w:r>
              <w:rPr>
                <w:rFonts w:hint="eastAsia" w:ascii="仿宋" w:hAnsi="仿宋" w:eastAsia="仿宋" w:cs="仿宋"/>
                <w:color w:val="auto"/>
                <w:highlight w:val="none"/>
              </w:rPr>
              <w:t>属于《强制性产品认证目录》、《强制性产品认证目录描述与界定表（2020年修订）》范围内产品的，应取得有效期内的强制性认证证书（CCC认证证书），未取得强制性认证证书的将被视为无效投标。</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2.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范围内的政府强制采购产品的，应取得有效期内的节能产品认证证书，未取得节能产品认证证书的将被视为无效投标。</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highlight w:val="none"/>
              </w:rPr>
              <w:t>3.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关于印发环境标志产品政府采购品目清单的通知》（财库[2019]18号）范围内的政府优先采购产品的，应取得有效期内的节能产品、环境标志产品认证证书，</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须在投标文件中提供认证证书复印件（加盖公章），否则不予认定。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t>同品牌投标处理原则</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4"/>
                <w:kern w:val="2"/>
                <w:sz w:val="21"/>
                <w:szCs w:val="21"/>
                <w:highlight w:val="none"/>
                <w:lang w:val="en-US" w:eastAsia="zh-CN"/>
                <w14:textFill>
                  <w14:solidFill>
                    <w14:schemeClr w14:val="tx1"/>
                  </w14:solidFill>
                </w14:textFill>
              </w:rPr>
              <w:t>详见本采购文件总则第6条。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代理服务费用</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参照国家计价格[2002]1980号及发改价格[2011]534号计取，采用差额定率累进计法计取</w:t>
            </w:r>
            <w:r>
              <w:rPr>
                <w:rFonts w:hint="eastAsia" w:ascii="仿宋" w:hAnsi="仿宋" w:eastAsia="仿宋" w:cs="仿宋"/>
                <w:color w:val="auto"/>
                <w:highlight w:val="none"/>
                <w:lang w:eastAsia="zh-CN"/>
              </w:rPr>
              <w:t>，下浮</w:t>
            </w:r>
            <w:r>
              <w:rPr>
                <w:rFonts w:hint="eastAsia" w:ascii="仿宋" w:hAnsi="仿宋" w:eastAsia="仿宋" w:cs="仿宋"/>
                <w:color w:val="auto"/>
                <w:highlight w:val="none"/>
                <w:lang w:val="en-US" w:eastAsia="zh-CN"/>
              </w:rPr>
              <w:t>60%，由采购人支付</w:t>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25</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疑问</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投标人购买采购文件后，若有疑问需要澄清，可在投标截止时间15日前向新疆信实工程招标咨询服务有限公司提供书面质疑材料。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26</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t>落实采购政策</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auto"/>
                <w:highlight w:val="none"/>
                <w:lang w:val="en-US" w:eastAsia="zh-CN"/>
              </w:rPr>
              <w:t>1.</w:t>
            </w:r>
            <w:r>
              <w:rPr>
                <w:rFonts w:hint="eastAsia" w:ascii="仿宋" w:hAnsi="仿宋" w:eastAsia="仿宋" w:cs="仿宋"/>
                <w:color w:val="000000" w:themeColor="text1"/>
                <w:highlight w:val="none"/>
                <w:lang w:val="en-US" w:eastAsia="zh-CN"/>
                <w14:textFill>
                  <w14:solidFill>
                    <w14:schemeClr w14:val="tx1"/>
                  </w14:solidFill>
                </w14:textFill>
              </w:rPr>
              <w:t>本项目专门面向中小企业采购，供应商所提供的货物制造商应为中型、小型、微型企业，价格不再进行财政政策扣除。</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政府采购促进中小企业发展管理办法》（财库[2020]46号）和《财政部关于进一步加大政府采购支持中小企业力度的通知》要求，投标人应提供《中小企业声明函》，如投标人提供的《中小企业声明函》不合格或未提供《中小微企业声明函》的，不得享受相关中小微企业扶持政策。</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关于政府采购支持监狱企业发展有关问题的通知》（财库[2014]68号）和本招标文件要求，在政府采购活动中，监狱企业视同小型、微型企业，享受评审中价格扣除政策。投标人应提供《监狱企业声明函》，如投标人提供的《监狱企业声明函》不合格或未提供《监狱企业声明函》的，不得享受相关中小微企业扶持政策。</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根据《关于促进残疾人就业政府采购政策的通知》（财库[2017]141号）要求，在政府采购活动中，残疾人福利性单位视同小型、微型企业，享受评审中价格扣除政策。属于享受政府采购支持政策的残疾人福利性单位，应满足财库[2017]141号文件第一条的规定，并在投标文件中提供《残疾人福利性单位声明函》，如投标人提供的《残疾人福利性单位声明函》不合格或未提供《残疾人福利性单位声明函》的，不得享受相关中小微企业扶持政策。</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5.同一投标人，小微企业、监狱企业、残疾人福利性单位价格扣除优惠只享受一次，不得重复享受。</w:t>
            </w:r>
          </w:p>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6.小型、微型企业提供大型企业制造的货物时，视同为大型企业。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27</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t>中小企业所属行业</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本项目采购标的对应的中小企业划分标准所属行业：工业（根据工信部联企业〔2011〕300 号中小企业划型标准规定：工业。从业人员1000 人以下或营业收入 40000 万元以下的为中小微型企业。其中，从业人员300 人及以上，且营业收入 2000 万元及以上的为中型企业；从业人员20 人及以上，且营业收入 300 万元及以上的为小型企业；从业人员20 人以下或营业收入 300 万元以下的为微型企业。）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28</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政府采购合同</w:t>
            </w:r>
          </w:p>
          <w:p>
            <w:pPr>
              <w:widowControl/>
              <w:tabs>
                <w:tab w:val="left" w:pos="720"/>
                <w:tab w:val="left" w:pos="900"/>
                <w:tab w:val="left" w:pos="1080"/>
                <w:tab w:val="left" w:pos="1260"/>
                <w:tab w:val="left" w:pos="1440"/>
                <w:tab w:val="left" w:pos="1800"/>
              </w:tabs>
              <w:spacing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公告备案</w:t>
            </w:r>
          </w:p>
        </w:tc>
        <w:tc>
          <w:tcPr>
            <w:tcW w:w="6727" w:type="dxa"/>
            <w:tcBorders>
              <w:top w:val="single" w:color="auto" w:sz="4" w:space="0"/>
              <w:left w:val="single" w:color="auto" w:sz="4" w:space="0"/>
              <w:bottom w:val="single" w:color="auto" w:sz="4" w:space="0"/>
              <w:right w:val="single" w:color="auto" w:sz="4" w:space="0"/>
            </w:tcBorders>
            <w:vAlign w:val="center"/>
          </w:tcPr>
          <w:p>
            <w:pPr>
              <w:widowControl/>
              <w:tabs>
                <w:tab w:val="left" w:pos="720"/>
                <w:tab w:val="left" w:pos="900"/>
                <w:tab w:val="left" w:pos="1080"/>
                <w:tab w:val="left" w:pos="1260"/>
                <w:tab w:val="left" w:pos="1440"/>
                <w:tab w:val="left" w:pos="1800"/>
              </w:tabs>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政府采购合同签订之日起2个工作日内，采购人应将政府采购合同在新疆政府采购网公告；政府采购合同签订之日起七个工作日内，政府采购合同将向本采购项目同级财政部门备案。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29</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t>中标人确定</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themeColor="text1"/>
                <w:spacing w:val="-4"/>
                <w:kern w:val="2"/>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4"/>
                <w:kern w:val="2"/>
                <w:sz w:val="21"/>
                <w:szCs w:val="21"/>
                <w:highlight w:val="none"/>
                <w:lang w:val="en-US" w:eastAsia="zh-CN"/>
                <w14:textFill>
                  <w14:solidFill>
                    <w14:schemeClr w14:val="tx1"/>
                  </w14:solidFill>
                </w14:textFill>
              </w:rPr>
              <w:t>本项目由评标委员会推荐中标人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30</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t>其他</w:t>
            </w:r>
          </w:p>
        </w:tc>
        <w:tc>
          <w:tcPr>
            <w:tcW w:w="6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720"/>
                <w:tab w:val="left" w:pos="900"/>
                <w:tab w:val="left" w:pos="1080"/>
                <w:tab w:val="left" w:pos="1260"/>
                <w:tab w:val="left" w:pos="1440"/>
                <w:tab w:val="left" w:pos="1800"/>
              </w:tabs>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 w:val="21"/>
                <w:szCs w:val="21"/>
                <w:lang w:val="en-US" w:eastAsia="zh-CN"/>
                <w14:textFill>
                  <w14:solidFill>
                    <w14:schemeClr w14:val="tx1"/>
                  </w14:solidFill>
                </w14:textFill>
              </w:rPr>
              <w:t>除法律、法规和规章规定外，采购文件中用“拒绝”“不接受”“无效”“不得”“必须”“应当”“实质性要求”等文字规定的条款为实质性要求条款（即重要条款），对其中任何一条偏离的，在评标时将其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31</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仿宋" w:hAnsi="仿宋" w:eastAsia="仿宋" w:cs="仿宋"/>
                <w:color w:val="000000" w:themeColor="text1"/>
                <w:spacing w:val="-4"/>
                <w:kern w:val="2"/>
                <w:sz w:val="21"/>
                <w:szCs w:val="21"/>
                <w:highlight w:val="none"/>
                <w:lang w:val="en-US" w:eastAsia="zh-CN" w:bidi="ar-SA"/>
                <w14:textFill>
                  <w14:solidFill>
                    <w14:schemeClr w14:val="tx1"/>
                  </w14:solidFill>
                </w14:textFill>
              </w:rPr>
            </w:pPr>
            <w:r>
              <w:rPr>
                <w:rFonts w:hint="eastAsia" w:ascii="仿宋" w:hAnsi="仿宋" w:eastAsia="仿宋" w:cs="仿宋"/>
                <w:color w:val="auto"/>
                <w:sz w:val="21"/>
                <w:szCs w:val="21"/>
                <w:u w:val="none"/>
                <w:lang w:val="en-US" w:eastAsia="zh-CN"/>
              </w:rPr>
              <w:t>询问</w:t>
            </w:r>
          </w:p>
        </w:tc>
        <w:tc>
          <w:tcPr>
            <w:tcW w:w="6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对采购文件、采购过程、采购结果的询问向采购人或采购代理机构提出，并由采购人按相关规定作出答复或采购代理机构在委托授权范围内作出答复。</w:t>
            </w:r>
          </w:p>
          <w:p>
            <w:pPr>
              <w:adjustRightInd w:val="0"/>
              <w:snapToGrid w:val="0"/>
              <w:spacing w:line="240" w:lineRule="auto"/>
              <w:ind w:firstLine="0" w:firstLineChars="0"/>
              <w:jc w:val="left"/>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询问可以采取书面形式，也可以采取口头方式。</w:t>
            </w:r>
          </w:p>
          <w:p>
            <w:pPr>
              <w:adjustRightInd w:val="0"/>
              <w:snapToGrid w:val="0"/>
              <w:spacing w:line="240" w:lineRule="auto"/>
              <w:ind w:firstLine="0" w:firstLineChars="0"/>
              <w:jc w:val="left"/>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联系人：李会</w:t>
            </w:r>
          </w:p>
          <w:p>
            <w:pPr>
              <w:adjustRightInd w:val="0"/>
              <w:snapToGrid w:val="0"/>
              <w:spacing w:line="240" w:lineRule="auto"/>
              <w:ind w:firstLine="0" w:firstLineChars="0"/>
              <w:jc w:val="left"/>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联系电话：15292649399。</w:t>
            </w:r>
          </w:p>
          <w:p>
            <w:pPr>
              <w:adjustRightInd w:val="0"/>
              <w:snapToGrid w:val="0"/>
              <w:spacing w:line="240" w:lineRule="auto"/>
              <w:ind w:firstLine="0" w:firstLineChars="0"/>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auto"/>
                <w:sz w:val="21"/>
                <w:szCs w:val="21"/>
                <w:u w:val="none"/>
                <w:lang w:val="zh-CN" w:eastAsia="zh-CN"/>
              </w:rPr>
              <w:t>注：采购人或采购代理机构只对投标人依法提出的询问作出答复。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01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备注：本投标人须知前附表是对</w:t>
            </w:r>
            <w:r>
              <w:rPr>
                <w:rFonts w:hint="eastAsia" w:ascii="仿宋" w:hAnsi="仿宋" w:eastAsia="仿宋" w:cs="仿宋"/>
                <w:b/>
                <w:bCs/>
                <w:color w:val="000000" w:themeColor="text1"/>
                <w:sz w:val="21"/>
                <w:szCs w:val="21"/>
                <w:lang w:eastAsia="zh-CN"/>
                <w14:textFill>
                  <w14:solidFill>
                    <w14:schemeClr w14:val="tx1"/>
                  </w14:solidFill>
                </w14:textFill>
              </w:rPr>
              <w:t>采购文件</w:t>
            </w:r>
            <w:r>
              <w:rPr>
                <w:rFonts w:hint="eastAsia" w:ascii="仿宋" w:hAnsi="仿宋" w:eastAsia="仿宋" w:cs="仿宋"/>
                <w:b/>
                <w:bCs/>
                <w:color w:val="000000" w:themeColor="text1"/>
                <w:sz w:val="21"/>
                <w:szCs w:val="21"/>
                <w14:textFill>
                  <w14:solidFill>
                    <w14:schemeClr w14:val="tx1"/>
                  </w14:solidFill>
                </w14:textFill>
              </w:rPr>
              <w:t>中的重要内容进行罗列；如与</w:t>
            </w:r>
            <w:r>
              <w:rPr>
                <w:rFonts w:hint="eastAsia" w:ascii="仿宋" w:hAnsi="仿宋" w:eastAsia="仿宋" w:cs="仿宋"/>
                <w:b/>
                <w:bCs/>
                <w:color w:val="000000" w:themeColor="text1"/>
                <w:sz w:val="21"/>
                <w:szCs w:val="21"/>
                <w:lang w:eastAsia="zh-CN"/>
                <w14:textFill>
                  <w14:solidFill>
                    <w14:schemeClr w14:val="tx1"/>
                  </w14:solidFill>
                </w14:textFill>
              </w:rPr>
              <w:t>采购文件</w:t>
            </w:r>
            <w:r>
              <w:rPr>
                <w:rFonts w:hint="eastAsia" w:ascii="仿宋" w:hAnsi="仿宋" w:eastAsia="仿宋" w:cs="仿宋"/>
                <w:b/>
                <w:bCs/>
                <w:color w:val="000000" w:themeColor="text1"/>
                <w:sz w:val="21"/>
                <w:szCs w:val="21"/>
                <w14:textFill>
                  <w14:solidFill>
                    <w14:schemeClr w14:val="tx1"/>
                  </w14:solidFill>
                </w14:textFill>
              </w:rPr>
              <w:t>不符，应以本表为准。</w:t>
            </w:r>
          </w:p>
        </w:tc>
      </w:tr>
    </w:tbl>
    <w:p>
      <w:pPr>
        <w:rPr>
          <w:rFonts w:hint="eastAsia" w:ascii="仿宋" w:hAnsi="仿宋" w:eastAsia="仿宋" w:cs="仿宋"/>
          <w:color w:val="000000" w:themeColor="text1"/>
          <w:spacing w:val="10"/>
          <w:sz w:val="24"/>
          <w:szCs w:val="24"/>
          <w:highlight w:val="non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End w:id="0"/>
      <w:bookmarkEnd w:id="1"/>
      <w:bookmarkEnd w:id="2"/>
      <w:bookmarkEnd w:id="3"/>
      <w:bookmarkEnd w:id="4"/>
      <w:bookmarkEnd w:id="5"/>
      <w:bookmarkEnd w:id="6"/>
      <w:bookmarkEnd w:id="10"/>
      <w:bookmarkEnd w:id="11"/>
      <w:bookmarkEnd w:id="12"/>
      <w:bookmarkStart w:id="31" w:name="_Toc534725597"/>
      <w:bookmarkStart w:id="32" w:name="_Toc120614211"/>
      <w:bookmarkStart w:id="33" w:name="_Toc120614221"/>
      <w:bookmarkStart w:id="34" w:name="_Toc494375079"/>
      <w:bookmarkStart w:id="35" w:name="_Toc20823314"/>
      <w:bookmarkStart w:id="36" w:name="_Toc479757207"/>
      <w:bookmarkStart w:id="37" w:name="_Toc16938558"/>
      <w:bookmarkStart w:id="38" w:name="_Toc513029242"/>
    </w:p>
    <w:bookmarkEnd w:id="31"/>
    <w:bookmarkEnd w:id="32"/>
    <w:p>
      <w:pPr>
        <w:pStyle w:val="3"/>
        <w:bidi w:val="0"/>
        <w:jc w:val="center"/>
        <w:rPr>
          <w:rFonts w:hint="eastAsia" w:ascii="仿宋" w:hAnsi="仿宋" w:eastAsia="仿宋" w:cs="仿宋"/>
          <w:color w:val="000000" w:themeColor="text1"/>
          <w14:textFill>
            <w14:solidFill>
              <w14:schemeClr w14:val="tx1"/>
            </w14:solidFill>
          </w14:textFill>
        </w:rPr>
      </w:pPr>
      <w:bookmarkStart w:id="39" w:name="_Toc21065"/>
      <w:bookmarkStart w:id="40" w:name="_Toc19352"/>
      <w:bookmarkStart w:id="41" w:name="_Toc1924"/>
      <w:bookmarkStart w:id="42" w:name="_Toc534725606"/>
      <w:r>
        <w:rPr>
          <w:rFonts w:hint="eastAsia" w:ascii="仿宋" w:hAnsi="仿宋" w:eastAsia="仿宋" w:cs="仿宋"/>
          <w:color w:val="000000" w:themeColor="text1"/>
          <w14:textFill>
            <w14:solidFill>
              <w14:schemeClr w14:val="tx1"/>
            </w14:solidFill>
          </w14:textFill>
        </w:rPr>
        <w:t xml:space="preserve">一、总  </w:t>
      </w:r>
      <w:bookmarkStart w:id="43" w:name="_Toc9510635"/>
      <w:r>
        <w:rPr>
          <w:rFonts w:hint="eastAsia" w:ascii="仿宋" w:hAnsi="仿宋" w:eastAsia="仿宋" w:cs="仿宋"/>
          <w:color w:val="000000" w:themeColor="text1"/>
          <w14:textFill>
            <w14:solidFill>
              <w14:schemeClr w14:val="tx1"/>
            </w14:solidFill>
          </w14:textFill>
        </w:rPr>
        <w:t>则</w:t>
      </w:r>
      <w:bookmarkEnd w:id="39"/>
      <w:bookmarkEnd w:id="40"/>
      <w:bookmarkEnd w:id="41"/>
    </w:p>
    <w:p>
      <w:pPr>
        <w:pStyle w:val="4"/>
        <w:bidi w:val="0"/>
        <w:jc w:val="left"/>
        <w:rPr>
          <w:rFonts w:hint="eastAsia" w:ascii="仿宋" w:hAnsi="仿宋" w:eastAsia="仿宋" w:cs="仿宋"/>
          <w:color w:val="000000" w:themeColor="text1"/>
          <w14:textFill>
            <w14:solidFill>
              <w14:schemeClr w14:val="tx1"/>
            </w14:solidFill>
          </w14:textFill>
        </w:rPr>
      </w:pPr>
      <w:bookmarkStart w:id="44" w:name="_Toc26214"/>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适用</w:t>
      </w:r>
      <w:bookmarkEnd w:id="43"/>
      <w:r>
        <w:rPr>
          <w:rFonts w:hint="eastAsia" w:ascii="仿宋" w:hAnsi="仿宋" w:eastAsia="仿宋" w:cs="仿宋"/>
          <w:color w:val="000000" w:themeColor="text1"/>
          <w14:textFill>
            <w14:solidFill>
              <w14:schemeClr w14:val="tx1"/>
            </w14:solidFill>
          </w14:textFill>
        </w:rPr>
        <w:t>范围</w:t>
      </w:r>
      <w:bookmarkEnd w:id="44"/>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适用于</w:t>
      </w:r>
      <w:r>
        <w:rPr>
          <w:rFonts w:hint="eastAsia" w:ascii="仿宋" w:hAnsi="仿宋" w:eastAsia="仿宋" w:cs="仿宋"/>
          <w:bCs/>
          <w:color w:val="000000" w:themeColor="text1"/>
          <w:sz w:val="24"/>
          <w:szCs w:val="24"/>
          <w:highlight w:val="none"/>
          <w14:textFill>
            <w14:solidFill>
              <w14:schemeClr w14:val="tx1"/>
            </w14:solidFill>
          </w14:textFill>
        </w:rPr>
        <w:t>本次采购项目</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、投标、评标、定标、验收、合同履约、付款等行为（法律、法规另有规定的，从其规定）。</w:t>
      </w:r>
    </w:p>
    <w:p>
      <w:pPr>
        <w:pStyle w:val="4"/>
        <w:bidi w:val="0"/>
        <w:rPr>
          <w:rFonts w:hint="eastAsia" w:ascii="仿宋" w:hAnsi="仿宋" w:eastAsia="仿宋" w:cs="仿宋"/>
          <w:color w:val="000000" w:themeColor="text1"/>
          <w14:textFill>
            <w14:solidFill>
              <w14:schemeClr w14:val="tx1"/>
            </w14:solidFill>
          </w14:textFill>
        </w:rPr>
      </w:pPr>
      <w:bookmarkStart w:id="45" w:name="_Toc24800"/>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定义</w:t>
      </w:r>
      <w:bookmarkEnd w:id="4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采购单位（采购人）系指采购单位。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“投标人”系指向采购方提交投标文件的法人、其他组织或者自然人。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“产品”系指供方按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“服务”系指</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“项目”系指投标人按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规定向采购人提供的产品和服务。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 “书面形式”包括信函、传真、电子邮件等。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2.7实质性响应:系指投标文件符合</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规定的实质性内容、条件和规定。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2.8重大偏离或保留：系指将会影响到</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规定的服务范围、质量标准，或会给合同中规定的</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人的权利和投标人的责任造成实质性限制，而纠正这些偏离或保留将对其他提交了实质性响应的投标文件的投标人产生不公平影响的。</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2.9 细微偏离：系指投标文件对</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的非实质性内容存在不完全响应或不响应。</w:t>
      </w:r>
    </w:p>
    <w:p>
      <w:pPr>
        <w:pStyle w:val="4"/>
        <w:bidi w:val="0"/>
        <w:rPr>
          <w:rFonts w:hint="eastAsia" w:ascii="仿宋" w:hAnsi="仿宋" w:eastAsia="仿宋" w:cs="仿宋"/>
          <w:color w:val="000000" w:themeColor="text1"/>
          <w14:textFill>
            <w14:solidFill>
              <w14:schemeClr w14:val="tx1"/>
            </w14:solidFill>
          </w14:textFill>
        </w:rPr>
      </w:pPr>
      <w:bookmarkStart w:id="46" w:name="_Toc17392"/>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采购</w:t>
      </w:r>
      <w:r>
        <w:rPr>
          <w:rFonts w:hint="eastAsia" w:ascii="仿宋" w:hAnsi="仿宋" w:eastAsia="仿宋" w:cs="仿宋"/>
          <w:color w:val="000000" w:themeColor="text1"/>
          <w14:textFill>
            <w14:solidFill>
              <w14:schemeClr w14:val="tx1"/>
            </w14:solidFill>
          </w14:textFill>
        </w:rPr>
        <w:t>方式</w:t>
      </w:r>
      <w:bookmarkEnd w:id="46"/>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本项目采用</w:t>
      </w:r>
      <w:r>
        <w:rPr>
          <w:rFonts w:hint="eastAsia" w:ascii="仿宋" w:hAnsi="仿宋" w:eastAsia="仿宋" w:cs="仿宋"/>
          <w:color w:val="000000" w:themeColor="text1"/>
          <w:sz w:val="24"/>
          <w:szCs w:val="24"/>
          <w:highlight w:val="none"/>
          <w:lang w:eastAsia="zh-CN"/>
          <w14:textFill>
            <w14:solidFill>
              <w14:schemeClr w14:val="tx1"/>
            </w14:solidFill>
          </w14:textFill>
        </w:rPr>
        <w:t>公开招标</w:t>
      </w:r>
      <w:r>
        <w:rPr>
          <w:rFonts w:hint="eastAsia" w:ascii="仿宋" w:hAnsi="仿宋" w:eastAsia="仿宋" w:cs="仿宋"/>
          <w:color w:val="000000" w:themeColor="text1"/>
          <w:sz w:val="24"/>
          <w:szCs w:val="24"/>
          <w:highlight w:val="none"/>
          <w14:textFill>
            <w14:solidFill>
              <w14:schemeClr w14:val="tx1"/>
            </w14:solidFill>
          </w14:textFill>
        </w:rPr>
        <w:t>方式进行。</w:t>
      </w:r>
    </w:p>
    <w:p>
      <w:pPr>
        <w:pStyle w:val="4"/>
        <w:bidi w:val="0"/>
        <w:rPr>
          <w:rFonts w:hint="eastAsia" w:ascii="仿宋" w:hAnsi="仿宋" w:eastAsia="仿宋" w:cs="仿宋"/>
          <w:color w:val="000000" w:themeColor="text1"/>
          <w14:textFill>
            <w14:solidFill>
              <w14:schemeClr w14:val="tx1"/>
            </w14:solidFill>
          </w14:textFill>
        </w:rPr>
      </w:pPr>
      <w:bookmarkStart w:id="47" w:name="_Toc32376"/>
      <w:r>
        <w:rPr>
          <w:rFonts w:hint="eastAsia" w:ascii="仿宋" w:hAnsi="仿宋" w:eastAsia="仿宋" w:cs="仿宋"/>
          <w:color w:val="000000" w:themeColor="text1"/>
          <w14:textFill>
            <w14:solidFill>
              <w14:schemeClr w14:val="tx1"/>
            </w14:solidFill>
          </w14:textFill>
        </w:rPr>
        <w:t>4</w:t>
      </w:r>
      <w:bookmarkEnd w:id="47"/>
      <w:bookmarkStart w:id="48" w:name="_Toc21031"/>
      <w:r>
        <w:rPr>
          <w:rFonts w:hint="eastAsia" w:ascii="仿宋" w:hAnsi="仿宋" w:eastAsia="仿宋" w:cs="仿宋"/>
          <w:color w:val="000000" w:themeColor="text1"/>
          <w14:textFill>
            <w14:solidFill>
              <w14:schemeClr w14:val="tx1"/>
            </w14:solidFill>
          </w14:textFill>
        </w:rPr>
        <w:t>、投标费用</w:t>
      </w:r>
      <w:bookmarkEnd w:id="48"/>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不论投标结果如何，投标人均应自行承担所有与投标有关的全部费用</w:t>
      </w:r>
      <w:r>
        <w:rPr>
          <w:rFonts w:hint="eastAsia" w:ascii="仿宋" w:hAnsi="仿宋" w:eastAsia="仿宋" w:cs="仿宋"/>
          <w:color w:val="auto"/>
          <w:sz w:val="24"/>
        </w:rPr>
        <w:t>。</w:t>
      </w:r>
      <w:r>
        <w:rPr>
          <w:rFonts w:hint="eastAsia" w:ascii="仿宋" w:hAnsi="仿宋" w:eastAsia="仿宋" w:cs="仿宋"/>
          <w:color w:val="auto"/>
          <w:sz w:val="24"/>
          <w:lang w:eastAsia="zh-CN"/>
        </w:rPr>
        <w:t>投标人</w:t>
      </w:r>
      <w:r>
        <w:rPr>
          <w:rFonts w:hint="eastAsia" w:ascii="仿宋" w:hAnsi="仿宋" w:eastAsia="仿宋" w:cs="仿宋"/>
          <w:color w:val="auto"/>
          <w:sz w:val="24"/>
        </w:rPr>
        <w:t>在递交</w:t>
      </w:r>
      <w:r>
        <w:rPr>
          <w:rFonts w:hint="eastAsia" w:ascii="仿宋" w:hAnsi="仿宋" w:eastAsia="仿宋" w:cs="仿宋"/>
          <w:color w:val="auto"/>
          <w:sz w:val="24"/>
          <w:lang w:eastAsia="zh-CN"/>
        </w:rPr>
        <w:t>投标文件</w:t>
      </w:r>
      <w:r>
        <w:rPr>
          <w:rFonts w:hint="eastAsia" w:ascii="仿宋" w:hAnsi="仿宋" w:eastAsia="仿宋" w:cs="仿宋"/>
          <w:color w:val="auto"/>
          <w:sz w:val="24"/>
        </w:rPr>
        <w:t>的同时视为同意承担</w:t>
      </w:r>
      <w:r>
        <w:rPr>
          <w:rFonts w:hint="eastAsia" w:ascii="仿宋" w:hAnsi="仿宋" w:eastAsia="仿宋" w:cs="仿宋"/>
          <w:color w:val="auto"/>
          <w:sz w:val="24"/>
          <w:lang w:eastAsia="zh-CN"/>
        </w:rPr>
        <w:t>全部</w:t>
      </w:r>
      <w:r>
        <w:rPr>
          <w:rFonts w:hint="eastAsia" w:ascii="仿宋" w:hAnsi="仿宋" w:eastAsia="仿宋" w:cs="仿宋"/>
          <w:color w:val="auto"/>
          <w:sz w:val="24"/>
        </w:rPr>
        <w:t>费用，否则，将被视为自动放弃中标结果，其投标保证金将不予退还。敬请</w:t>
      </w:r>
      <w:r>
        <w:rPr>
          <w:rFonts w:hint="eastAsia" w:ascii="仿宋" w:hAnsi="仿宋" w:eastAsia="仿宋" w:cs="仿宋"/>
          <w:color w:val="auto"/>
          <w:sz w:val="24"/>
          <w:lang w:eastAsia="zh-CN"/>
        </w:rPr>
        <w:t>投标人</w:t>
      </w:r>
      <w:r>
        <w:rPr>
          <w:rFonts w:hint="eastAsia" w:ascii="仿宋" w:hAnsi="仿宋" w:eastAsia="仿宋" w:cs="仿宋"/>
          <w:color w:val="auto"/>
          <w:sz w:val="24"/>
        </w:rPr>
        <w:t>注意！</w:t>
      </w:r>
    </w:p>
    <w:p>
      <w:pPr>
        <w:pStyle w:val="4"/>
        <w:bidi w:val="0"/>
        <w:rPr>
          <w:rFonts w:hint="eastAsia" w:ascii="仿宋" w:hAnsi="仿宋" w:eastAsia="仿宋" w:cs="仿宋"/>
          <w:color w:val="000000" w:themeColor="text1"/>
          <w14:textFill>
            <w14:solidFill>
              <w14:schemeClr w14:val="tx1"/>
            </w14:solidFill>
          </w14:textFill>
        </w:rPr>
      </w:pPr>
      <w:bookmarkStart w:id="49" w:name="_Toc505"/>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分包</w:t>
      </w:r>
      <w:r>
        <w:rPr>
          <w:rFonts w:hint="eastAsia" w:ascii="仿宋" w:hAnsi="仿宋" w:eastAsia="仿宋" w:cs="仿宋"/>
          <w:color w:val="000000" w:themeColor="text1"/>
          <w14:textFill>
            <w14:solidFill>
              <w14:schemeClr w14:val="tx1"/>
            </w14:solidFill>
          </w14:textFill>
        </w:rPr>
        <w:t>转包</w:t>
      </w:r>
      <w:bookmarkEnd w:id="49"/>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本项目不允许</w:t>
      </w:r>
      <w:r>
        <w:rPr>
          <w:rFonts w:hint="eastAsia" w:ascii="仿宋" w:hAnsi="仿宋" w:eastAsia="仿宋" w:cs="仿宋"/>
          <w:color w:val="000000" w:themeColor="text1"/>
          <w:sz w:val="24"/>
          <w:szCs w:val="24"/>
          <w:highlight w:val="none"/>
          <w:lang w:eastAsia="zh-CN"/>
          <w14:textFill>
            <w14:solidFill>
              <w14:schemeClr w14:val="tx1"/>
            </w14:solidFill>
          </w14:textFill>
        </w:rPr>
        <w:t>分包和</w:t>
      </w:r>
      <w:r>
        <w:rPr>
          <w:rFonts w:hint="eastAsia" w:ascii="仿宋" w:hAnsi="仿宋" w:eastAsia="仿宋" w:cs="仿宋"/>
          <w:color w:val="000000" w:themeColor="text1"/>
          <w:sz w:val="24"/>
          <w:szCs w:val="24"/>
          <w:highlight w:val="none"/>
          <w14:textFill>
            <w14:solidFill>
              <w14:schemeClr w14:val="tx1"/>
            </w14:solidFill>
          </w14:textFill>
        </w:rPr>
        <w:t>转包。</w:t>
      </w:r>
    </w:p>
    <w:p>
      <w:pPr>
        <w:pStyle w:val="4"/>
        <w:bidi w:val="0"/>
        <w:rPr>
          <w:rFonts w:hint="eastAsia" w:ascii="仿宋" w:hAnsi="仿宋" w:eastAsia="仿宋" w:cs="仿宋"/>
          <w:color w:val="000000" w:themeColor="text1"/>
          <w14:textFill>
            <w14:solidFill>
              <w14:schemeClr w14:val="tx1"/>
            </w14:solidFill>
          </w14:textFill>
        </w:rPr>
      </w:pPr>
      <w:bookmarkStart w:id="50" w:name="_Toc5076"/>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、提供相同品牌产品处理</w:t>
      </w:r>
      <w:bookmarkEnd w:id="50"/>
    </w:p>
    <w:p>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jc w:val="left"/>
        <w:textAlignment w:val="auto"/>
        <w:rPr>
          <w:rFonts w:hint="eastAsia" w:ascii="仿宋" w:hAnsi="仿宋" w:eastAsia="仿宋" w:cs="仿宋"/>
          <w:color w:val="auto"/>
          <w:sz w:val="24"/>
          <w:szCs w:val="24"/>
          <w:highlight w:val="none"/>
          <w:lang w:val="en-US" w:eastAsia="zh-CN"/>
        </w:rPr>
      </w:pPr>
      <w:bookmarkStart w:id="51" w:name="_Toc21631"/>
      <w:r>
        <w:rPr>
          <w:rFonts w:hint="eastAsia" w:ascii="仿宋" w:hAnsi="仿宋" w:eastAsia="仿宋" w:cs="仿宋"/>
          <w:color w:val="auto"/>
          <w:sz w:val="24"/>
          <w:szCs w:val="24"/>
          <w:highlight w:val="none"/>
          <w:lang w:val="en-US" w:eastAsia="zh-CN"/>
        </w:rPr>
        <w:t xml:space="preserve">根据《政府采购货物和服务招标投标管理办法》（财政部令第87号）第三十一条规定：提供相同品牌产品且通过资格审查、符合性审查的不同投标人参加同一合同项下投标的，按一家投标人计算，评审后得分最高的同品牌投标人获得中标人推荐资格；评审得分相同的，商务部分得分最高的获得中标人推荐资格，商务部分得分相同的采取随机抽取方式确定，其他同品牌投标人不作为中标候选人。 </w:t>
      </w:r>
    </w:p>
    <w:p>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非单一产品采购项目，采购人应当根据采购项目技术构成、产品价格比重等合理确定核心产品，并在招标文件中载明。多家投标人提供的任一核心产品品牌相同的，按前款规定处理。</w:t>
      </w:r>
    </w:p>
    <w:p>
      <w:pPr>
        <w:pStyle w:val="4"/>
        <w:bidi w:val="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r>
        <w:rPr>
          <w:rFonts w:hint="eastAsia" w:ascii="仿宋" w:hAnsi="仿宋" w:eastAsia="仿宋" w:cs="仿宋"/>
          <w:color w:val="000000" w:themeColor="text1"/>
          <w14:textFill>
            <w14:solidFill>
              <w14:schemeClr w14:val="tx1"/>
            </w14:solidFill>
          </w14:textFill>
        </w:rPr>
        <w:t>、特别说明：</w:t>
      </w:r>
      <w:bookmarkEnd w:id="51"/>
    </w:p>
    <w:p>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投标人投标所使用的资格、信誉、荣誉、业绩与认证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必须为本</w:t>
      </w: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其他组织、个人</w:t>
      </w:r>
      <w:r>
        <w:rPr>
          <w:rFonts w:hint="eastAsia" w:ascii="仿宋" w:hAnsi="仿宋" w:eastAsia="仿宋" w:cs="仿宋"/>
          <w:color w:val="auto"/>
          <w:sz w:val="24"/>
          <w:szCs w:val="24"/>
          <w:highlight w:val="none"/>
        </w:rPr>
        <w:t>）所拥有。投标人投标所使用的项目实施人员必须为本法人（</w:t>
      </w:r>
      <w:r>
        <w:rPr>
          <w:rFonts w:hint="eastAsia" w:ascii="仿宋" w:hAnsi="仿宋" w:eastAsia="仿宋" w:cs="仿宋"/>
          <w:color w:val="auto"/>
          <w:sz w:val="24"/>
          <w:szCs w:val="24"/>
          <w:highlight w:val="none"/>
          <w:lang w:val="en-US" w:eastAsia="zh-CN"/>
        </w:rPr>
        <w:t>其他组织</w:t>
      </w:r>
      <w:r>
        <w:rPr>
          <w:rFonts w:hint="eastAsia" w:ascii="仿宋" w:hAnsi="仿宋" w:eastAsia="仿宋" w:cs="仿宋"/>
          <w:color w:val="auto"/>
          <w:sz w:val="24"/>
          <w:szCs w:val="24"/>
          <w:highlight w:val="none"/>
        </w:rPr>
        <w:t>）或控股</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正式员工（提供社保证明）。</w:t>
      </w:r>
    </w:p>
    <w:p>
      <w:pPr>
        <w:keepNext w:val="0"/>
        <w:keepLines w:val="0"/>
        <w:pageBreakBefore w:val="0"/>
        <w:widowControl w:val="0"/>
        <w:kinsoku/>
        <w:wordWrap/>
        <w:overflowPunct/>
        <w:topLinePunct w:val="0"/>
        <w:autoSpaceDE/>
        <w:autoSpaceDN/>
        <w:bidi w:val="0"/>
        <w:adjustRightInd w:val="0"/>
        <w:snapToGrid w:val="0"/>
        <w:spacing w:line="500" w:lineRule="exact"/>
        <w:ind w:left="2" w:leftChars="1"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投标人应仔细阅读</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的所有内容，按照</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val="0"/>
        <w:snapToGrid w:val="0"/>
        <w:spacing w:line="500" w:lineRule="exact"/>
        <w:ind w:left="2" w:leftChars="1"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7"/>
        <w:rPr>
          <w:rFonts w:hint="eastAsia" w:ascii="仿宋" w:hAnsi="仿宋" w:eastAsia="仿宋" w:cs="仿宋"/>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7.4本项目所有往来函件均由指定的邮箱进行接受和发送，接受方邮箱为首次领取招标文件时邮箱，发送方邮箱为招标代理公司发送招标文件时邮箱（1573189809@qq.com）。</w:t>
      </w:r>
    </w:p>
    <w:p>
      <w:pPr>
        <w:pStyle w:val="4"/>
        <w:bidi w:val="0"/>
        <w:rPr>
          <w:rFonts w:hint="eastAsia" w:ascii="仿宋" w:hAnsi="仿宋" w:eastAsia="仿宋" w:cs="仿宋"/>
          <w:color w:val="000000" w:themeColor="text1"/>
          <w14:textFill>
            <w14:solidFill>
              <w14:schemeClr w14:val="tx1"/>
            </w14:solidFill>
          </w14:textFill>
        </w:rPr>
      </w:pPr>
      <w:bookmarkStart w:id="52" w:name="_Toc24888"/>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、质疑</w:t>
      </w:r>
      <w:bookmarkEnd w:id="52"/>
    </w:p>
    <w:p>
      <w:pPr>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投标人认为采购文件、采购过程、中标或者成交结果使自己的权益受到损害的，可以在知道或者应知其权益受到损害之日起七个工作日内，以书面形式向采购人、采购代理机构提出质疑。投标人在法定质疑期内一次性提出针对同一采购程序环节的质疑。</w:t>
      </w:r>
    </w:p>
    <w:p>
      <w:pPr>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5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.2 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投标人签署的授权委托书。质疑（投诉）书必须有联系人署名。（质疑函格式见本文件质疑函范本）</w:t>
      </w:r>
    </w:p>
    <w:p>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br w:type="page"/>
      </w:r>
    </w:p>
    <w:p>
      <w:pPr>
        <w:pStyle w:val="37"/>
        <w:ind w:left="0" w:leftChars="0" w:firstLine="0" w:firstLineChars="0"/>
        <w:jc w:val="both"/>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附件：</w:t>
      </w:r>
    </w:p>
    <w:p>
      <w:pPr>
        <w:pStyle w:val="37"/>
        <w:ind w:left="0" w:leftChars="0" w:firstLine="0" w:firstLineChars="0"/>
        <w:jc w:val="center"/>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质疑函范本</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一、质疑投标人基本信息</w:t>
      </w:r>
    </w:p>
    <w:p>
      <w:pPr>
        <w:pStyle w:val="37"/>
        <w:rPr>
          <w:rFonts w:hint="eastAsia" w:ascii="仿宋" w:hAnsi="仿宋" w:eastAsia="仿宋" w:cs="仿宋"/>
          <w:color w:val="000000" w:themeColor="text1"/>
          <w:sz w:val="24"/>
          <w:szCs w:val="22"/>
          <w:u w:val="single"/>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质疑投标人：  </w:t>
      </w:r>
      <w:r>
        <w:rPr>
          <w:rFonts w:hint="eastAsia" w:ascii="仿宋" w:hAnsi="仿宋" w:eastAsia="仿宋" w:cs="仿宋"/>
          <w:color w:val="000000" w:themeColor="text1"/>
          <w:sz w:val="24"/>
          <w:szCs w:val="22"/>
          <w:u w:val="single"/>
          <w:lang w:eastAsia="zh-CN"/>
          <w14:textFill>
            <w14:solidFill>
              <w14:schemeClr w14:val="tx1"/>
            </w14:solidFill>
          </w14:textFill>
        </w:rPr>
        <w:t xml:space="preserve">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地址：                          邮编：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联系人：                      联系电话：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授权代表：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联系电话：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地址：                         邮编：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二、质疑项目基本情况</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质疑项目的名称：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质疑项目的编号：               包号：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采购人名称：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采购文件获取日期：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三、质疑事项具体内容</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质疑事项1：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事实依据：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法律依据：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四、与质疑事项相关的质疑请求</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请求：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签字(签章)：                   公章：                      </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 xml:space="preserve">日期：    </w:t>
      </w:r>
    </w:p>
    <w:p>
      <w:pPr>
        <w:rPr>
          <w:rFonts w:hint="eastAsia" w:ascii="仿宋" w:hAnsi="仿宋" w:eastAsia="仿宋" w:cs="仿宋"/>
          <w:color w:val="000000" w:themeColor="text1"/>
          <w:sz w:val="24"/>
          <w:szCs w:val="22"/>
          <w:lang w:eastAsia="zh-CN"/>
          <w14:textFill>
            <w14:solidFill>
              <w14:schemeClr w14:val="tx1"/>
            </w14:solidFill>
          </w14:textFill>
        </w:rPr>
      </w:pP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质疑函制作说明：</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1.投标人提出质疑时，应提交质疑函和必要的证明材料。</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3.质疑投标人若对项目的某一分包进行质疑，质疑函中应列明具体分包号。</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4.质疑函的质疑事项应具体、明确，并有必要的事实依据和法律依据。</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5.质疑函的质疑请求应与质疑事项相关。</w:t>
      </w:r>
    </w:p>
    <w:p>
      <w:pPr>
        <w:pStyle w:val="37"/>
        <w:rPr>
          <w:rFonts w:hint="eastAsia" w:ascii="仿宋" w:hAnsi="仿宋" w:eastAsia="仿宋" w:cs="仿宋"/>
          <w:color w:val="000000" w:themeColor="text1"/>
          <w:sz w:val="24"/>
          <w:szCs w:val="22"/>
          <w:lang w:eastAsia="zh-CN"/>
          <w14:textFill>
            <w14:solidFill>
              <w14:schemeClr w14:val="tx1"/>
            </w14:solidFill>
          </w14:textFill>
        </w:rPr>
      </w:pPr>
      <w:r>
        <w:rPr>
          <w:rFonts w:hint="eastAsia" w:ascii="仿宋" w:hAnsi="仿宋" w:eastAsia="仿宋" w:cs="仿宋"/>
          <w:color w:val="000000" w:themeColor="text1"/>
          <w:sz w:val="24"/>
          <w:szCs w:val="22"/>
          <w:lang w:eastAsia="zh-CN"/>
          <w14:textFill>
            <w14:solidFill>
              <w14:schemeClr w14:val="tx1"/>
            </w14:solidFill>
          </w14:textFill>
        </w:rPr>
        <w:t>6.质疑投标人为自然人的，质疑函应由本人签字；质疑投标人为法人或者其他组织的，质疑函应由法定代表人、主要负责人，或者其授权代表签字或者盖章，并加盖公章。</w:t>
      </w:r>
    </w:p>
    <w:p>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br w:type="page"/>
      </w:r>
    </w:p>
    <w:p>
      <w:pPr>
        <w:pStyle w:val="4"/>
        <w:bidi w:val="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9、充分、公平竞争保障措施（实质性要求）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9.1利害关系投标人处理。单位负责人为同一人或者存在直接控股、管理关系的不同投标人不得参加同一合同项下的政府采购活动。</w:t>
      </w:r>
      <w:r>
        <w:rPr>
          <w:rFonts w:hint="eastAsia" w:ascii="仿宋" w:hAnsi="仿宋" w:eastAsia="仿宋" w:cs="仿宋"/>
          <w:b/>
          <w:bCs/>
          <w:sz w:val="24"/>
          <w:szCs w:val="24"/>
          <w:lang w:val="en-US" w:eastAsia="zh-CN"/>
        </w:rPr>
        <w:t>（提供承诺函原件加盖投标人公章，可以与其他承诺一并进行承诺）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9.2利害关系授权代表处理。两家以上的投标人不得在同一合同项下的采购项目中，委托同一个自然人、同一家庭的人员、同一单位的人员作为其授权代表，否则，其投标文件作为无效处理。</w:t>
      </w:r>
      <w:r>
        <w:rPr>
          <w:rFonts w:hint="eastAsia" w:ascii="仿宋" w:hAnsi="仿宋" w:eastAsia="仿宋" w:cs="仿宋"/>
          <w:b/>
          <w:bCs/>
          <w:sz w:val="24"/>
          <w:szCs w:val="24"/>
          <w:lang w:val="en-US" w:eastAsia="zh-CN"/>
        </w:rPr>
        <w:t>（提供承诺函原件加盖投标人公章，可以与其他承诺一并进行承诺）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sz w:val="24"/>
          <w:szCs w:val="24"/>
          <w:lang w:val="en-US" w:eastAsia="zh-CN"/>
        </w:rPr>
        <w:t>9.3</w:t>
      </w:r>
      <w:r>
        <w:rPr>
          <w:rFonts w:hint="eastAsia" w:ascii="仿宋" w:hAnsi="仿宋" w:eastAsia="仿宋" w:cs="仿宋"/>
          <w:color w:val="auto"/>
          <w:sz w:val="24"/>
          <w:szCs w:val="24"/>
          <w:lang w:val="en-US" w:eastAsia="zh-CN"/>
        </w:rPr>
        <w:t>前期参与投标人处理。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w:t>
      </w:r>
      <w:r>
        <w:rPr>
          <w:rFonts w:hint="eastAsia" w:ascii="仿宋" w:hAnsi="仿宋" w:eastAsia="仿宋" w:cs="仿宋"/>
          <w:b/>
          <w:bCs/>
          <w:color w:val="auto"/>
          <w:sz w:val="24"/>
          <w:szCs w:val="24"/>
          <w:lang w:val="en-US" w:eastAsia="zh-CN"/>
        </w:rPr>
        <w:t>（提供承诺函原件加盖投标人公章，可以与其他承诺一并进行承诺）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9.4投标人实际控制人或者中高级管理人员，同时是采购代理机构工作人员，不得参与本项目政府采购活动。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9.5投标人与采购代理机构存在关联关系，或者是采购代理机构的母公司或子公司，不得参加本项目政府采购活动。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9.6回避。政府采购活动中，采购人员及相关人员与投标人有下列利害关系之一的，应当回避：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（1）参加采购活动前3年内与投标人存在劳动关系；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（2）参加采购活动前3年内担任投标人的董事、监事；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（3）参加采购活动前3年内是投标人的控股股东或者实际控制人；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（4）与投标人的法定代表人或者负责人有夫妻、直系血亲、三代以内旁系血亲或者近姻亲关系；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（5）与投标人有其他可能影响政府采购活动公平、公正进行的关系。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投标人认为采购人员及相关人员与其他投标人有利害关系的，可以向采购代理机构书面提出回避申请，并说明理由。采购代理机构将及时询问被申请回避人员，有利害关系的被申请回避人员应当回避。</w:t>
      </w:r>
      <w:bookmarkStart w:id="53" w:name="_Toc31383"/>
      <w:bookmarkStart w:id="54" w:name="_Toc12925"/>
    </w:p>
    <w:p>
      <w:pPr>
        <w:pStyle w:val="3"/>
        <w:bidi w:val="0"/>
        <w:rPr>
          <w:rFonts w:hint="eastAsia" w:ascii="仿宋" w:hAnsi="仿宋" w:eastAsia="仿宋" w:cs="仿宋"/>
          <w:lang w:eastAsia="zh-CN"/>
        </w:rPr>
      </w:pPr>
      <w:bookmarkStart w:id="55" w:name="_Toc26262"/>
      <w:r>
        <w:rPr>
          <w:rFonts w:hint="eastAsia" w:ascii="仿宋" w:hAnsi="仿宋" w:eastAsia="仿宋" w:cs="仿宋"/>
        </w:rPr>
        <w:t>二、</w:t>
      </w:r>
      <w:bookmarkEnd w:id="53"/>
      <w:bookmarkEnd w:id="54"/>
      <w:bookmarkStart w:id="56" w:name="_Toc9510636"/>
      <w:r>
        <w:rPr>
          <w:rFonts w:hint="eastAsia" w:ascii="仿宋" w:hAnsi="仿宋" w:eastAsia="仿宋" w:cs="仿宋"/>
          <w:lang w:eastAsia="zh-CN"/>
        </w:rPr>
        <w:t>采购文件</w:t>
      </w:r>
      <w:bookmarkEnd w:id="55"/>
    </w:p>
    <w:p>
      <w:pPr>
        <w:pStyle w:val="4"/>
        <w:bidi w:val="0"/>
        <w:rPr>
          <w:rFonts w:hint="eastAsia" w:ascii="仿宋" w:hAnsi="仿宋" w:eastAsia="仿宋" w:cs="仿宋"/>
          <w:color w:val="000000" w:themeColor="text1"/>
          <w:lang w:eastAsia="zh-CN"/>
          <w14:textFill>
            <w14:solidFill>
              <w14:schemeClr w14:val="tx1"/>
            </w14:solidFill>
          </w14:textFill>
        </w:rPr>
      </w:pPr>
      <w:bookmarkStart w:id="57" w:name="_Toc11465"/>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w:t>
      </w:r>
      <w:bookmarkEnd w:id="56"/>
      <w:r>
        <w:rPr>
          <w:rFonts w:hint="eastAsia" w:ascii="仿宋" w:hAnsi="仿宋" w:eastAsia="仿宋" w:cs="仿宋"/>
          <w:color w:val="000000" w:themeColor="text1"/>
          <w:lang w:eastAsia="zh-CN"/>
          <w14:textFill>
            <w14:solidFill>
              <w14:schemeClr w14:val="tx1"/>
            </w14:solidFill>
          </w14:textFill>
        </w:rPr>
        <w:t>采购文件</w:t>
      </w:r>
      <w:r>
        <w:rPr>
          <w:rFonts w:hint="eastAsia" w:ascii="仿宋" w:hAnsi="仿宋" w:eastAsia="仿宋" w:cs="仿宋"/>
          <w:color w:val="000000" w:themeColor="text1"/>
          <w14:textFill>
            <w14:solidFill>
              <w14:schemeClr w14:val="tx1"/>
            </w14:solidFill>
          </w14:textFill>
        </w:rPr>
        <w:t>的构成</w:t>
      </w:r>
      <w:bookmarkEnd w:id="57"/>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（详见本采购文件目录明细）</w:t>
      </w:r>
    </w:p>
    <w:p>
      <w:pPr>
        <w:pStyle w:val="4"/>
        <w:bidi w:val="0"/>
        <w:rPr>
          <w:rFonts w:hint="eastAsia" w:ascii="仿宋" w:hAnsi="仿宋" w:eastAsia="仿宋" w:cs="仿宋"/>
          <w:color w:val="000000" w:themeColor="text1"/>
          <w14:textFill>
            <w14:solidFill>
              <w14:schemeClr w14:val="tx1"/>
            </w14:solidFill>
          </w14:textFill>
        </w:rPr>
      </w:pPr>
      <w:bookmarkStart w:id="58" w:name="_Toc9329"/>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、投标人的风险</w:t>
      </w:r>
      <w:bookmarkEnd w:id="58"/>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投标人没有按照</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要求提供全部资料，或者投标人没有对</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在各方面作出实质性响应是投标人的风险，并可能导致其投标被拒绝。</w:t>
      </w:r>
    </w:p>
    <w:p>
      <w:pPr>
        <w:pStyle w:val="4"/>
        <w:bidi w:val="0"/>
        <w:rPr>
          <w:rFonts w:hint="eastAsia" w:ascii="仿宋" w:hAnsi="仿宋" w:eastAsia="仿宋" w:cs="仿宋"/>
          <w:color w:val="000000" w:themeColor="text1"/>
          <w14:textFill>
            <w14:solidFill>
              <w14:schemeClr w14:val="tx1"/>
            </w14:solidFill>
          </w14:textFill>
        </w:rPr>
      </w:pPr>
      <w:bookmarkStart w:id="59" w:name="_Toc14128"/>
      <w:bookmarkStart w:id="60" w:name="_Toc9510637"/>
      <w:r>
        <w:rPr>
          <w:rFonts w:hint="eastAsia" w:ascii="仿宋" w:hAnsi="仿宋" w:eastAsia="仿宋" w:cs="仿宋"/>
          <w:color w:val="000000" w:themeColor="text1"/>
          <w:lang w:val="en-US" w:eastAsia="zh-CN"/>
          <w14:textFill>
            <w14:solidFill>
              <w14:schemeClr w14:val="tx1"/>
            </w14:solidFill>
          </w14:textFill>
        </w:rPr>
        <w:t>11</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采购文件</w:t>
      </w:r>
      <w:r>
        <w:rPr>
          <w:rFonts w:hint="eastAsia" w:ascii="仿宋" w:hAnsi="仿宋" w:eastAsia="仿宋" w:cs="仿宋"/>
          <w:color w:val="000000" w:themeColor="text1"/>
          <w14:textFill>
            <w14:solidFill>
              <w14:schemeClr w14:val="tx1"/>
            </w14:solidFill>
          </w14:textFill>
        </w:rPr>
        <w:t>的澄清与修改</w:t>
      </w:r>
      <w:bookmarkEnd w:id="5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.1采购人或采购代理机构对已发出的</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进行必要澄清或者修改的，应当在投标人须知前附表规定的提交投标文件截止时间15日前，在原刊登</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公告的媒体上发布更正公告，并以书面形式通知所有</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收受人。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.2澄清或者修改的内容可能影响投标文件编制的，采购人或者采购代理机构应当在投标截止时间至少15日前，以书面形式通知所有获取</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的潜在投标人；不足15日的，采购人或者采购代理机构应当顺延提交投标文件的截止时间。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.3澄清或者修改内容为</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的组成部分，对所有领取了</w:t>
      </w:r>
      <w:r>
        <w:rPr>
          <w:rFonts w:hint="eastAsia" w:ascii="仿宋" w:hAnsi="仿宋" w:eastAsia="仿宋" w:cs="仿宋"/>
          <w:color w:val="000000" w:themeColor="text1"/>
          <w:sz w:val="24"/>
          <w:szCs w:val="24"/>
          <w:lang w:eastAsia="zh-CN"/>
          <w14:textFill>
            <w14:solidFill>
              <w14:schemeClr w14:val="tx1"/>
            </w14:solidFill>
          </w14:textFill>
        </w:rPr>
        <w:t>采购文件</w:t>
      </w:r>
      <w:r>
        <w:rPr>
          <w:rFonts w:hint="eastAsia" w:ascii="仿宋" w:hAnsi="仿宋" w:eastAsia="仿宋" w:cs="仿宋"/>
          <w:color w:val="000000" w:themeColor="text1"/>
          <w:sz w:val="24"/>
          <w:szCs w:val="24"/>
          <w14:textFill>
            <w14:solidFill>
              <w14:schemeClr w14:val="tx1"/>
            </w14:solidFill>
          </w14:textFill>
        </w:rPr>
        <w:t>的潜在投标人均具有约束力。</w:t>
      </w:r>
    </w:p>
    <w:p>
      <w:pPr>
        <w:pStyle w:val="3"/>
        <w:bidi w:val="0"/>
        <w:rPr>
          <w:rFonts w:hint="eastAsia" w:ascii="仿宋" w:hAnsi="仿宋" w:eastAsia="仿宋" w:cs="仿宋"/>
          <w:color w:val="000000" w:themeColor="text1"/>
          <w14:textFill>
            <w14:solidFill>
              <w14:schemeClr w14:val="tx1"/>
            </w14:solidFill>
          </w14:textFill>
        </w:rPr>
      </w:pPr>
      <w:bookmarkStart w:id="61" w:name="_Toc4206"/>
      <w:bookmarkStart w:id="62" w:name="_Toc25731"/>
      <w:bookmarkStart w:id="63" w:name="_Toc3009"/>
      <w:r>
        <w:rPr>
          <w:rFonts w:hint="eastAsia" w:ascii="仿宋" w:hAnsi="仿宋" w:eastAsia="仿宋" w:cs="仿宋"/>
          <w:color w:val="000000" w:themeColor="text1"/>
          <w14:textFill>
            <w14:solidFill>
              <w14:schemeClr w14:val="tx1"/>
            </w14:solidFill>
          </w14:textFill>
        </w:rPr>
        <w:t>三、投标文件的编制</w:t>
      </w:r>
      <w:bookmarkEnd w:id="61"/>
      <w:bookmarkEnd w:id="62"/>
      <w:bookmarkEnd w:id="63"/>
    </w:p>
    <w:bookmarkEnd w:id="60"/>
    <w:p>
      <w:pPr>
        <w:keepNext w:val="0"/>
        <w:keepLines w:val="0"/>
        <w:pageBreakBefore w:val="0"/>
        <w:widowControl w:val="0"/>
        <w:kinsoku/>
        <w:wordWrap/>
        <w:overflowPunct/>
        <w:topLinePunct w:val="0"/>
        <w:autoSpaceDE/>
        <w:autoSpaceDN/>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投标人应认真阅读</w:t>
      </w:r>
      <w:r>
        <w:rPr>
          <w:rFonts w:hint="eastAsia" w:ascii="仿宋" w:hAnsi="仿宋" w:eastAsia="仿宋" w:cs="仿宋"/>
          <w:b/>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color w:val="000000" w:themeColor="text1"/>
          <w:sz w:val="24"/>
          <w:szCs w:val="24"/>
          <w:highlight w:val="none"/>
          <w14:textFill>
            <w14:solidFill>
              <w14:schemeClr w14:val="tx1"/>
            </w14:solidFill>
          </w14:textFill>
        </w:rPr>
        <w:t>中所有的事项、格式、条款和技术要求等内容。如果投标人没有按照</w:t>
      </w:r>
      <w:r>
        <w:rPr>
          <w:rFonts w:hint="eastAsia" w:ascii="仿宋" w:hAnsi="仿宋" w:eastAsia="仿宋" w:cs="仿宋"/>
          <w:b/>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color w:val="000000" w:themeColor="text1"/>
          <w:sz w:val="24"/>
          <w:szCs w:val="24"/>
          <w:highlight w:val="none"/>
          <w14:textFill>
            <w14:solidFill>
              <w14:schemeClr w14:val="tx1"/>
            </w14:solidFill>
          </w14:textFill>
        </w:rPr>
        <w:t>的要求和规定编制投标文件及提交全部资料，或者投标文件没有对</w:t>
      </w:r>
      <w:r>
        <w:rPr>
          <w:rFonts w:hint="eastAsia" w:ascii="仿宋" w:hAnsi="仿宋" w:eastAsia="仿宋" w:cs="仿宋"/>
          <w:b/>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color w:val="000000" w:themeColor="text1"/>
          <w:sz w:val="24"/>
          <w:szCs w:val="24"/>
          <w:highlight w:val="none"/>
          <w14:textFill>
            <w14:solidFill>
              <w14:schemeClr w14:val="tx1"/>
            </w14:solidFill>
          </w14:textFill>
        </w:rPr>
        <w:t>中的各方面作出实质性响应，其风险应由投标人承担。</w:t>
      </w:r>
    </w:p>
    <w:p>
      <w:pPr>
        <w:pStyle w:val="4"/>
        <w:bidi w:val="0"/>
        <w:rPr>
          <w:rFonts w:hint="eastAsia" w:ascii="仿宋" w:hAnsi="仿宋" w:eastAsia="仿宋" w:cs="仿宋"/>
          <w:color w:val="000000" w:themeColor="text1"/>
          <w14:textFill>
            <w14:solidFill>
              <w14:schemeClr w14:val="tx1"/>
            </w14:solidFill>
          </w14:textFill>
        </w:rPr>
      </w:pPr>
      <w:bookmarkStart w:id="64" w:name="_Toc29638"/>
      <w:bookmarkStart w:id="65" w:name="_Toc26745"/>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、投标文件的组成</w:t>
      </w:r>
      <w:bookmarkEnd w:id="64"/>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投标文件由报价</w:t>
      </w:r>
      <w:r>
        <w:rPr>
          <w:rFonts w:hint="eastAsia" w:ascii="仿宋" w:hAnsi="仿宋" w:eastAsia="仿宋" w:cs="仿宋"/>
          <w:b/>
          <w:color w:val="000000" w:themeColor="text1"/>
          <w:sz w:val="24"/>
          <w:szCs w:val="24"/>
          <w:highlight w:val="none"/>
          <w:lang w:eastAsia="zh-CN"/>
          <w14:textFill>
            <w14:solidFill>
              <w14:schemeClr w14:val="tx1"/>
            </w14:solidFill>
          </w14:textFill>
        </w:rPr>
        <w:t>部分</w:t>
      </w:r>
      <w:r>
        <w:rPr>
          <w:rFonts w:hint="eastAsia" w:ascii="仿宋" w:hAnsi="仿宋" w:eastAsia="仿宋" w:cs="仿宋"/>
          <w:b/>
          <w:color w:val="000000" w:themeColor="text1"/>
          <w:sz w:val="24"/>
          <w:szCs w:val="24"/>
          <w:highlight w:val="none"/>
          <w14:textFill>
            <w14:solidFill>
              <w14:schemeClr w14:val="tx1"/>
            </w14:solidFill>
          </w14:textFill>
        </w:rPr>
        <w:t>、商务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b/>
          <w:color w:val="000000" w:themeColor="text1"/>
          <w:sz w:val="24"/>
          <w:szCs w:val="24"/>
          <w:highlight w:val="none"/>
          <w14:textFill>
            <w14:solidFill>
              <w14:schemeClr w14:val="tx1"/>
            </w14:solidFill>
          </w14:textFill>
        </w:rPr>
        <w:t>技术</w:t>
      </w:r>
      <w:r>
        <w:rPr>
          <w:rFonts w:hint="eastAsia" w:ascii="仿宋" w:hAnsi="仿宋" w:eastAsia="仿宋" w:cs="仿宋"/>
          <w:b/>
          <w:color w:val="000000" w:themeColor="text1"/>
          <w:sz w:val="24"/>
          <w:szCs w:val="24"/>
          <w:highlight w:val="none"/>
          <w:lang w:eastAsia="zh-CN"/>
          <w14:textFill>
            <w14:solidFill>
              <w14:schemeClr w14:val="tx1"/>
            </w14:solidFill>
          </w14:textFill>
        </w:rPr>
        <w:t>部分</w:t>
      </w:r>
      <w:r>
        <w:rPr>
          <w:rFonts w:hint="eastAsia" w:ascii="仿宋" w:hAnsi="仿宋" w:eastAsia="仿宋" w:cs="仿宋"/>
          <w:b/>
          <w:color w:val="000000" w:themeColor="text1"/>
          <w:sz w:val="24"/>
          <w:szCs w:val="24"/>
          <w:highlight w:val="none"/>
          <w14:textFill>
            <w14:solidFill>
              <w14:schemeClr w14:val="tx1"/>
            </w14:solidFill>
          </w14:textFill>
        </w:rPr>
        <w:t>组成</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.1 报价</w:t>
      </w:r>
      <w:r>
        <w:rPr>
          <w:rFonts w:hint="eastAsia" w:ascii="仿宋" w:hAnsi="仿宋" w:eastAsia="仿宋" w:cs="仿宋"/>
          <w:b/>
          <w:color w:val="000000" w:themeColor="text1"/>
          <w:sz w:val="24"/>
          <w:szCs w:val="24"/>
          <w:highlight w:val="none"/>
          <w:lang w:eastAsia="zh-CN"/>
          <w14:textFill>
            <w14:solidFill>
              <w14:schemeClr w14:val="tx1"/>
            </w14:solidFill>
          </w14:textFill>
        </w:rPr>
        <w:t>部分</w:t>
      </w:r>
    </w:p>
    <w:p>
      <w:pPr>
        <w:keepNext w:val="0"/>
        <w:keepLines w:val="0"/>
        <w:pageBreakBefore w:val="0"/>
        <w:widowControl w:val="0"/>
        <w:tabs>
          <w:tab w:val="left" w:pos="3870"/>
          <w:tab w:val="left" w:pos="4085"/>
        </w:tabs>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（1）投标函（格式见附件）；</w:t>
      </w:r>
    </w:p>
    <w:p>
      <w:pPr>
        <w:keepNext w:val="0"/>
        <w:keepLines w:val="0"/>
        <w:pageBreakBefore w:val="0"/>
        <w:widowControl w:val="0"/>
        <w:tabs>
          <w:tab w:val="left" w:pos="3870"/>
          <w:tab w:val="left" w:pos="4085"/>
        </w:tabs>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（2）投标报价（格式见附件）；</w:t>
      </w:r>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.2商务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部分</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）投标声明书(格式见附件)；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）授权委托书(格式见附件)；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）具有独立承担民事责任能力的证明材料；</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）投标人情况介绍（格式见附件）；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）具有良好的商业信誉和健全的财务会计制度的证明材料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）投标人须具有履行合同所必需的设备和专业技术能力，须附相关证明材料或声明；</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）前三年内在经营活动中没有重大违法记录的书面声明（格式见附件）；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）投标人未被列入失信被执行人、重大税收违法案件当事人名单、政府采购严重违法失信行为记录名单；</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）商务响应表</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投标人2020年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月1日至今做过与本项目类似的业绩；</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综合实力（评分细则要求提供的证书）</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）投标担保缴纳证明材料及开户许可证</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其他证明文件或投标人认为应提交的商务文件（如有）</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政府采购政策扶持证明材料；</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13.2技术部分</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）技术响应偏离表（格式见附件）；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）产品详细技术规格书（包括产品详细配置、技术性能指标等）（格式自拟）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）与产品相关的由国家认可的检测机构出具的检测报告（如有）</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）针对项目的详细组织实施方案：包括（但不限于）项目人员安排、项目供货方案、质量管控方案、测试（调试）方案等内容（格式自拟）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）针对本项目的详细实施计划</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）针对本项目的售后服务方案：包括（但不限于）售后服务承诺、售后服务响应方案、售后服务人员配备、故障响应措施、质保外服务措施、备品备件供应方案等内容（格式自拟）。</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）备品备件清单及供应保障。</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其他优惠条件（如有）：投标人承诺给予采购人的各种优惠条件；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）投标人需要提供的其他文件或资料（如有）。</w:t>
      </w:r>
    </w:p>
    <w:p>
      <w:pPr>
        <w:keepNext w:val="0"/>
        <w:keepLines w:val="0"/>
        <w:pageBreakBefore w:val="0"/>
        <w:widowControl w:val="0"/>
        <w:kinsoku/>
        <w:wordWrap/>
        <w:overflowPunct/>
        <w:topLinePunct w:val="0"/>
        <w:bidi w:val="0"/>
        <w:adjustRightInd w:val="0"/>
        <w:snapToGrid w:val="0"/>
        <w:spacing w:line="50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rPr>
        <w:t>投标文件编制时，应附目录及其对应页码，以便于专家进行评审</w:t>
      </w:r>
      <w:r>
        <w:rPr>
          <w:rFonts w:hint="eastAsia" w:ascii="仿宋" w:hAnsi="仿宋" w:eastAsia="仿宋" w:cs="仿宋"/>
          <w:b/>
          <w:bCs/>
          <w:color w:val="auto"/>
          <w:sz w:val="24"/>
          <w:szCs w:val="24"/>
          <w:highlight w:val="none"/>
          <w:lang w:eastAsia="zh-CN"/>
        </w:rPr>
        <w:t>；②</w:t>
      </w:r>
      <w:r>
        <w:rPr>
          <w:rFonts w:hint="eastAsia" w:ascii="仿宋" w:hAnsi="仿宋" w:eastAsia="仿宋" w:cs="仿宋"/>
          <w:b/>
          <w:bCs/>
          <w:color w:val="auto"/>
          <w:sz w:val="24"/>
          <w:szCs w:val="24"/>
          <w:highlight w:val="none"/>
        </w:rPr>
        <w:t>投标人应按上述的内容认真编写投标文件，将编制完的投标文件按招标文件及政采云系统要求上传至新疆政府采购云平台https://www.zcygov.cn/的指定位置。</w:t>
      </w:r>
    </w:p>
    <w:p>
      <w:pPr>
        <w:pStyle w:val="4"/>
        <w:bidi w:val="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、投标文件的语言及计量</w:t>
      </w:r>
      <w:bookmarkEnd w:id="65"/>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 投标文件以及投标方与</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.2 投标计量单位，</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已有明确规定的，使用</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规定的计量单位；</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没有规定的，应采用中华人民共和国法定计量单位（货币单位：人民币元），否则视同未响应。</w:t>
      </w:r>
    </w:p>
    <w:p>
      <w:pPr>
        <w:pStyle w:val="4"/>
        <w:bidi w:val="0"/>
        <w:rPr>
          <w:rFonts w:hint="eastAsia" w:ascii="仿宋" w:hAnsi="仿宋" w:eastAsia="仿宋" w:cs="仿宋"/>
          <w:color w:val="000000" w:themeColor="text1"/>
          <w14:textFill>
            <w14:solidFill>
              <w14:schemeClr w14:val="tx1"/>
            </w14:solidFill>
          </w14:textFill>
        </w:rPr>
      </w:pPr>
      <w:bookmarkStart w:id="66" w:name="_Toc10847"/>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、投标报价</w:t>
      </w:r>
      <w:bookmarkEnd w:id="66"/>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投标报价按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中相关附表格式填写，应为所投</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的产品的单价报价，每个产品只允许一个报价。</w:t>
      </w:r>
      <w:r>
        <w:rPr>
          <w:rFonts w:hint="eastAsia" w:ascii="仿宋" w:hAnsi="仿宋" w:eastAsia="仿宋" w:cs="仿宋"/>
          <w:bCs/>
          <w:color w:val="000000" w:themeColor="text1"/>
          <w:sz w:val="24"/>
          <w:szCs w:val="24"/>
          <w:highlight w:val="none"/>
          <w14:textFill>
            <w14:solidFill>
              <w14:schemeClr w14:val="tx1"/>
            </w14:solidFill>
          </w14:textFill>
        </w:rPr>
        <w:t>同型号产品参与投标的，则其报价必须相同，否则视为有选择性报价，按无效标处理</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投标报价应包括货款、标准附件、备品备件、专用工具、包装、运输、装卸、保险、税金、货到就位以及安装、调试、培训、保修等一切税金和费用。</w:t>
      </w:r>
    </w:p>
    <w:p>
      <w:pPr>
        <w:keepNext w:val="0"/>
        <w:keepLines w:val="0"/>
        <w:pageBreakBefore w:val="0"/>
        <w:widowControl w:val="0"/>
        <w:tabs>
          <w:tab w:val="left" w:pos="525"/>
        </w:tabs>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每种货物只允许有一个报价，有选择的或有条件的报价将不予接受。</w:t>
      </w:r>
    </w:p>
    <w:p>
      <w:pPr>
        <w:pStyle w:val="4"/>
        <w:bidi w:val="0"/>
        <w:rPr>
          <w:rFonts w:hint="eastAsia" w:ascii="仿宋" w:hAnsi="仿宋" w:eastAsia="仿宋" w:cs="仿宋"/>
          <w:color w:val="000000" w:themeColor="text1"/>
          <w14:textFill>
            <w14:solidFill>
              <w14:schemeClr w14:val="tx1"/>
            </w14:solidFill>
          </w14:textFill>
        </w:rPr>
      </w:pPr>
      <w:bookmarkStart w:id="67" w:name="_Toc11872"/>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、投标文件的有效期</w:t>
      </w:r>
      <w:bookmarkEnd w:id="67"/>
    </w:p>
    <w:p>
      <w:pPr>
        <w:keepNext w:val="0"/>
        <w:keepLines w:val="0"/>
        <w:pageBreakBefore w:val="0"/>
        <w:widowControl w:val="0"/>
        <w:tabs>
          <w:tab w:val="left" w:pos="454"/>
          <w:tab w:val="left" w:pos="720"/>
        </w:tabs>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.1 自投标截止日起</w:t>
      </w:r>
      <w:r>
        <w:rPr>
          <w:rFonts w:hint="eastAsia" w:ascii="仿宋" w:hAnsi="仿宋" w:eastAsia="仿宋" w:cs="仿宋"/>
          <w:color w:val="000000" w:themeColor="text1"/>
          <w:kern w:val="0"/>
          <w:sz w:val="24"/>
          <w:szCs w:val="24"/>
          <w:highlight w:val="none"/>
          <w:u w:val="single"/>
          <w14:textFill>
            <w14:solidFill>
              <w14:schemeClr w14:val="tx1"/>
            </w14:solidFill>
          </w14:textFill>
        </w:rPr>
        <w:t>90</w:t>
      </w:r>
      <w:r>
        <w:rPr>
          <w:rFonts w:hint="eastAsia" w:ascii="仿宋" w:hAnsi="仿宋" w:eastAsia="仿宋" w:cs="仿宋"/>
          <w:color w:val="000000" w:themeColor="text1"/>
          <w:kern w:val="0"/>
          <w:sz w:val="24"/>
          <w:szCs w:val="24"/>
          <w:highlight w:val="none"/>
          <w14:textFill>
            <w14:solidFill>
              <w14:schemeClr w14:val="tx1"/>
            </w14:solidFill>
          </w14:textFill>
        </w:rPr>
        <w:t>天投标文件应保持有效。</w:t>
      </w:r>
    </w:p>
    <w:p>
      <w:pPr>
        <w:keepNext w:val="0"/>
        <w:keepLines w:val="0"/>
        <w:pageBreakBefore w:val="0"/>
        <w:widowControl w:val="0"/>
        <w:tabs>
          <w:tab w:val="left" w:pos="454"/>
          <w:tab w:val="left" w:pos="720"/>
        </w:tabs>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.2 在特殊情况下，采购人可与投标人协商延长投标书的有效期，这种要求和答复均以书面形式进行。</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 投标人可拒绝接受延期要求而不会导致投标保证金被没收。同意延长有效期的投标人需要相应延长投标保证金的有效期，但不能修改投标文件。</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 中标人的投标文件自开标之日起至合同履行完毕止均应保持有效。</w:t>
      </w:r>
    </w:p>
    <w:p>
      <w:pPr>
        <w:pStyle w:val="4"/>
        <w:bidi w:val="0"/>
        <w:rPr>
          <w:rFonts w:hint="eastAsia" w:ascii="仿宋" w:hAnsi="仿宋" w:eastAsia="仿宋" w:cs="仿宋"/>
          <w:color w:val="000000" w:themeColor="text1"/>
          <w14:textFill>
            <w14:solidFill>
              <w14:schemeClr w14:val="tx1"/>
            </w14:solidFill>
          </w14:textFill>
        </w:rPr>
      </w:pPr>
      <w:bookmarkStart w:id="68" w:name="_Toc2098"/>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、投标保证金</w:t>
      </w:r>
      <w:bookmarkEnd w:id="68"/>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投标人须按规定提交投标保证金。否则，其投标将被拒绝。</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保证金形式：从投标人基本账户以支票、汇票、本票、或者金融机构、担保机构出具的保函等非现金提交。</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.3 退还保证金时，投标人提供</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保证金收据和单位账户信息。</w:t>
      </w:r>
    </w:p>
    <w:p>
      <w:pPr>
        <w:keepNext w:val="0"/>
        <w:keepLines w:val="0"/>
        <w:pageBreakBefore w:val="0"/>
        <w:widowControl w:val="0"/>
        <w:kinsoku/>
        <w:wordWrap/>
        <w:overflowPunct/>
        <w:topLinePunct w:val="0"/>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szCs w:val="24"/>
          <w:highlight w:val="cya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.4 采购代理机构应当自中标通知书发出之日起5个工作日内退还未中标</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的投标保证金，自政府采购合同签订之日起 5 个工作日内退还中标</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的投标保证金。但因投标人自身原因导致无法及时退还的除外。</w:t>
      </w:r>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.5 投标人有下列情形之一的，投标保证金将不予退还：</w:t>
      </w:r>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（1）投标人在投标有效期内撤回投标文件的；</w:t>
      </w:r>
    </w:p>
    <w:p>
      <w:pPr>
        <w:keepNext w:val="0"/>
        <w:keepLines w:val="0"/>
        <w:pageBreakBefore w:val="0"/>
        <w:widowControl w:val="0"/>
        <w:kinsoku/>
        <w:wordWrap/>
        <w:overflowPunct/>
        <w:topLinePunct w:val="0"/>
        <w:bidi w:val="0"/>
        <w:adjustRightInd w:val="0"/>
        <w:snapToGrid w:val="0"/>
        <w:spacing w:line="500" w:lineRule="exact"/>
        <w:ind w:firstLine="472" w:firstLineChars="196"/>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（2）投标人在投标过程中弄虚作假，提供虚假材料的；</w:t>
      </w:r>
    </w:p>
    <w:p>
      <w:pPr>
        <w:keepNext w:val="0"/>
        <w:keepLines w:val="0"/>
        <w:pageBreakBefore w:val="0"/>
        <w:widowControl w:val="0"/>
        <w:kinsoku/>
        <w:wordWrap/>
        <w:overflowPunct/>
        <w:topLinePunct w:val="0"/>
        <w:bidi w:val="0"/>
        <w:adjustRightInd w:val="0"/>
        <w:snapToGrid w:val="0"/>
        <w:spacing w:line="500" w:lineRule="exact"/>
        <w:ind w:firstLine="472" w:firstLineChars="196"/>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（3）中标人无正当理由不与采购人签订合同的；</w:t>
      </w:r>
    </w:p>
    <w:p>
      <w:pPr>
        <w:keepNext w:val="0"/>
        <w:keepLines w:val="0"/>
        <w:pageBreakBefore w:val="0"/>
        <w:widowControl w:val="0"/>
        <w:kinsoku/>
        <w:wordWrap/>
        <w:overflowPunct/>
        <w:topLinePunct w:val="0"/>
        <w:bidi w:val="0"/>
        <w:adjustRightInd w:val="0"/>
        <w:snapToGrid w:val="0"/>
        <w:spacing w:line="500" w:lineRule="exact"/>
        <w:ind w:firstLine="472" w:firstLineChars="196"/>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将中标项目转让给他人或者在投标文件中未说明且未经</w:t>
      </w:r>
      <w:r>
        <w:rPr>
          <w:rFonts w:hint="eastAsia" w:ascii="仿宋" w:hAnsi="仿宋" w:eastAsia="仿宋" w:cs="仿宋"/>
          <w:b/>
          <w:bCs/>
          <w:color w:val="000000" w:themeColor="text1"/>
          <w:sz w:val="24"/>
          <w:szCs w:val="24"/>
          <w:highlight w:val="none"/>
          <w:lang w:eastAsia="zh-CN"/>
          <w14:textFill>
            <w14:solidFill>
              <w14:schemeClr w14:val="tx1"/>
            </w14:solidFill>
          </w14:textFill>
        </w:rPr>
        <w:t>采购</w:t>
      </w:r>
      <w:r>
        <w:rPr>
          <w:rFonts w:hint="eastAsia" w:ascii="仿宋" w:hAnsi="仿宋" w:eastAsia="仿宋" w:cs="仿宋"/>
          <w:b/>
          <w:bCs/>
          <w:color w:val="000000" w:themeColor="text1"/>
          <w:sz w:val="24"/>
          <w:szCs w:val="24"/>
          <w:highlight w:val="none"/>
          <w14:textFill>
            <w14:solidFill>
              <w14:schemeClr w14:val="tx1"/>
            </w14:solidFill>
          </w14:textFill>
        </w:rPr>
        <w:t>采购单位同意，将项目分包给他人的；</w:t>
      </w:r>
    </w:p>
    <w:p>
      <w:pPr>
        <w:keepNext w:val="0"/>
        <w:keepLines w:val="0"/>
        <w:pageBreakBefore w:val="0"/>
        <w:widowControl w:val="0"/>
        <w:kinsoku/>
        <w:wordWrap/>
        <w:overflowPunct/>
        <w:topLinePunct w:val="0"/>
        <w:bidi w:val="0"/>
        <w:adjustRightInd w:val="0"/>
        <w:snapToGrid w:val="0"/>
        <w:spacing w:line="50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（5）拒绝履行合同义务的；</w:t>
      </w:r>
    </w:p>
    <w:p>
      <w:pPr>
        <w:keepNext w:val="0"/>
        <w:keepLines w:val="0"/>
        <w:pageBreakBefore w:val="0"/>
        <w:widowControl w:val="0"/>
        <w:kinsoku/>
        <w:wordWrap/>
        <w:overflowPunct/>
        <w:topLinePunct w:val="0"/>
        <w:bidi w:val="0"/>
        <w:adjustRightInd w:val="0"/>
        <w:snapToGrid w:val="0"/>
        <w:spacing w:line="50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（6）其他严重扰乱招投标程序的。</w:t>
      </w:r>
    </w:p>
    <w:p>
      <w:pPr>
        <w:pStyle w:val="4"/>
        <w:bidi w:val="0"/>
        <w:rPr>
          <w:rFonts w:hint="eastAsia" w:ascii="仿宋" w:hAnsi="仿宋" w:eastAsia="仿宋" w:cs="仿宋"/>
          <w:b/>
          <w:color w:val="000000" w:themeColor="text1"/>
          <w:sz w:val="24"/>
          <w:szCs w:val="24"/>
          <w:highlight w:val="none"/>
          <w:lang w:eastAsia="zh-CN"/>
          <w14:textFill>
            <w14:solidFill>
              <w14:schemeClr w14:val="tx1"/>
            </w14:solidFill>
          </w14:textFill>
        </w:rPr>
      </w:pPr>
      <w:bookmarkStart w:id="69" w:name="_Toc16494"/>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、投标文件</w:t>
      </w:r>
      <w:r>
        <w:rPr>
          <w:rStyle w:val="86"/>
          <w:rFonts w:hint="eastAsia" w:ascii="仿宋" w:hAnsi="仿宋" w:eastAsia="仿宋" w:cs="仿宋"/>
          <w:b/>
          <w:bCs/>
          <w:color w:val="000000" w:themeColor="text1"/>
          <w14:textFill>
            <w14:solidFill>
              <w14:schemeClr w14:val="tx1"/>
            </w14:solidFill>
          </w14:textFill>
        </w:rPr>
        <w:t>的</w:t>
      </w:r>
      <w:r>
        <w:rPr>
          <w:rFonts w:hint="eastAsia" w:ascii="仿宋" w:hAnsi="仿宋" w:eastAsia="仿宋" w:cs="仿宋"/>
          <w:b/>
          <w:color w:val="000000" w:themeColor="text1"/>
          <w:sz w:val="24"/>
          <w:szCs w:val="24"/>
          <w:highlight w:val="none"/>
          <w14:textFill>
            <w14:solidFill>
              <w14:schemeClr w14:val="tx1"/>
            </w14:solidFill>
          </w14:textFill>
        </w:rPr>
        <w:t>签署和</w:t>
      </w:r>
      <w:bookmarkEnd w:id="69"/>
      <w:r>
        <w:rPr>
          <w:rFonts w:hint="eastAsia" w:ascii="仿宋" w:hAnsi="仿宋" w:eastAsia="仿宋" w:cs="仿宋"/>
          <w:b/>
          <w:color w:val="000000" w:themeColor="text1"/>
          <w:sz w:val="24"/>
          <w:szCs w:val="24"/>
          <w:highlight w:val="none"/>
          <w:lang w:eastAsia="zh-CN"/>
          <w14:textFill>
            <w14:solidFill>
              <w14:schemeClr w14:val="tx1"/>
            </w14:solidFill>
          </w14:textFill>
        </w:rPr>
        <w:t>递交</w:t>
      </w:r>
    </w:p>
    <w:p>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17.1本项目实行电子投标。投标人应先安装“政采云投标客户端”。（政府采购云平台—CA管理—绑定CA—下载驱动—“政采云投标客户端”立即下载）。投标人应按招标要求，通过“政采云投标客户端”制作、加密并提交投标文件，同时自行承担与投标有关的一切费用。</w:t>
      </w:r>
    </w:p>
    <w:p>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17.2投标文件应按招标文件加盖投标人（法定名称）电子签章，不得使用投标人专用章（如经济合同章、投标专用章等）或下属单位印章代替。</w:t>
      </w:r>
    </w:p>
    <w:p>
      <w:pPr>
        <w:spacing w:line="360" w:lineRule="auto"/>
        <w:ind w:firstLine="480" w:firstLineChars="200"/>
        <w:rPr>
          <w:rFonts w:hint="eastAsia" w:ascii="仿宋" w:hAnsi="仿宋" w:eastAsia="仿宋" w:cs="仿宋"/>
          <w:color w:val="auto"/>
          <w:sz w:val="24"/>
          <w:lang w:val="en-US" w:eastAsia="zh-CN" w:bidi="ar-SA"/>
        </w:rPr>
      </w:pPr>
      <w:r>
        <w:rPr>
          <w:rFonts w:hint="eastAsia" w:ascii="仿宋" w:hAnsi="仿宋" w:eastAsia="仿宋" w:cs="仿宋"/>
          <w:color w:val="auto"/>
          <w:sz w:val="24"/>
          <w:lang w:val="en-US" w:eastAsia="zh-CN" w:bidi="ar-SA"/>
        </w:rPr>
        <w:t>17.3投标人应使用本企业CA数字证书对投标文件进行加密。</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lang w:val="en-US" w:eastAsia="zh-CN" w:bidi="ar-SA"/>
        </w:rPr>
        <w:t>17.4投标文件若有修改，投标人根据修改后的招标文件制作或修改并递交投标文件。</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17.5</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应按“</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格式”进行编写，如有必要，可以增加附页，作为</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的组成部分。</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17.5</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的份数：电子</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应将电子</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上传到“政采云（https://www.zcygov.cn/）”平台。电子版</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逐页盖单位公章和法定代表人章（应尽量盖在每页空白地方或字少的地方），</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均应使用 CA 数字证书加盖</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的单位电子印章和法定代表人的个人电子印章或电子签名章。</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项目开标结束后，</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单位需提供纸质版</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：正本壹份，副本贰份，电子版光盘贰份（未加密的全套PDF版</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，内容与纸质版及加密上传的</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一致，光盘上标注项目名称、</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名称）。电子</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和纸质</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不一致时，以电子</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为准。（纸质版</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正本、副本用A4纸规格双面打印，装订成册。</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要求编制目录和页码，并不得采用活页装订。）</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备注：1）各</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应在开标前确保成为新疆维吾尔自治区政府采购网正式注册入库</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，并完成CA数字证书申领。因未注册入库、未办理CA数字证书等原因造成无法投标或投标失败等后果由</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 xml:space="preserve">自行承担。 </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可前往新疆政府采购网（http://www.ccgp-xinjiang.gov.cn/）下载专区，下载政采云电子投标客户端，安装完成后，可通过账号密码或CA登录客户端进行</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制作。在使用政采云电子投标客户端时，建议使用WIN7及以上操作系统。如有问题可拨打政采云客户服务热线95763进行咨询。</w:t>
      </w:r>
    </w:p>
    <w:p>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 xml:space="preserve">”版面获取操作指南，同时对自助查询无法解决的问题可通过钉钉群及政采云在线客服获取服务支持。 </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Cs/>
          <w:color w:val="000000" w:themeColor="text1"/>
          <w:sz w:val="24"/>
          <w:szCs w:val="24"/>
          <w:highlight w:val="none"/>
          <w14:textFill>
            <w14:solidFill>
              <w14:schemeClr w14:val="tx1"/>
            </w14:solidFill>
          </w14:textFill>
        </w:rPr>
        <w:t>在开标前须提前配置好电脑浏览器（建议使用360浏览器或谷歌浏览器），开标时请使用制作加密电子</w:t>
      </w:r>
      <w:r>
        <w:rPr>
          <w:rFonts w:hint="eastAsia" w:ascii="仿宋" w:hAnsi="仿宋" w:eastAsia="仿宋" w:cs="仿宋"/>
          <w:bCs/>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bCs/>
          <w:color w:val="000000" w:themeColor="text1"/>
          <w:sz w:val="24"/>
          <w:szCs w:val="24"/>
          <w:highlight w:val="none"/>
          <w14:textFill>
            <w14:solidFill>
              <w14:schemeClr w14:val="tx1"/>
            </w14:solidFill>
          </w14:textFill>
        </w:rPr>
        <w:t>的CA锁进行解密及报价确认。本项目</w:t>
      </w:r>
      <w:r>
        <w:rPr>
          <w:rFonts w:hint="eastAsia" w:ascii="仿宋" w:hAnsi="仿宋" w:eastAsia="仿宋" w:cs="仿宋"/>
          <w:bCs/>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bCs/>
          <w:color w:val="000000" w:themeColor="text1"/>
          <w:sz w:val="24"/>
          <w:szCs w:val="24"/>
          <w:highlight w:val="none"/>
          <w14:textFill>
            <w14:solidFill>
              <w14:schemeClr w14:val="tx1"/>
            </w14:solidFill>
          </w14:textFill>
        </w:rPr>
        <w:t>解密时间定为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bCs/>
          <w:color w:val="000000" w:themeColor="text1"/>
          <w:sz w:val="24"/>
          <w:szCs w:val="24"/>
          <w:highlight w:val="none"/>
          <w14:textFill>
            <w14:solidFill>
              <w14:schemeClr w14:val="tx1"/>
            </w14:solidFill>
          </w14:textFill>
        </w:rPr>
        <w:t>分钟，如因自身原因导致无法正常解密，后果由</w:t>
      </w:r>
      <w:r>
        <w:rPr>
          <w:rFonts w:hint="eastAsia" w:ascii="仿宋" w:hAnsi="仿宋" w:eastAsia="仿宋" w:cs="仿宋"/>
          <w:b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Cs/>
          <w:color w:val="000000" w:themeColor="text1"/>
          <w:sz w:val="24"/>
          <w:szCs w:val="24"/>
          <w:highlight w:val="none"/>
          <w14:textFill>
            <w14:solidFill>
              <w14:schemeClr w14:val="tx1"/>
            </w14:solidFill>
          </w14:textFill>
        </w:rPr>
        <w:t>自行承担。</w:t>
      </w:r>
    </w:p>
    <w:p>
      <w:pPr>
        <w:pStyle w:val="4"/>
        <w:bidi w:val="0"/>
        <w:rPr>
          <w:rFonts w:hint="eastAsia" w:ascii="仿宋" w:hAnsi="仿宋" w:eastAsia="仿宋" w:cs="仿宋"/>
          <w:color w:val="000000" w:themeColor="text1"/>
          <w:kern w:val="2"/>
          <w:sz w:val="24"/>
          <w:szCs w:val="24"/>
          <w:highlight w:val="none"/>
          <w14:textFill>
            <w14:solidFill>
              <w14:schemeClr w14:val="tx1"/>
            </w14:solidFill>
          </w14:textFill>
        </w:rPr>
      </w:pPr>
      <w:bookmarkStart w:id="70" w:name="_Toc8464"/>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w:t>
      </w:r>
      <w:bookmarkEnd w:id="70"/>
      <w:r>
        <w:rPr>
          <w:rFonts w:hint="eastAsia" w:ascii="仿宋" w:hAnsi="仿宋" w:eastAsia="仿宋" w:cs="仿宋"/>
          <w:color w:val="000000" w:themeColor="text1"/>
          <w:kern w:val="2"/>
          <w:sz w:val="24"/>
          <w:szCs w:val="24"/>
          <w:highlight w:val="none"/>
          <w14:textFill>
            <w14:solidFill>
              <w14:schemeClr w14:val="tx1"/>
            </w14:solidFill>
          </w14:textFill>
        </w:rPr>
        <w:t>投标文件的准备和解密时间要求</w:t>
      </w:r>
    </w:p>
    <w:p>
      <w:pPr>
        <w:pStyle w:val="196"/>
        <w:keepNext w:val="0"/>
        <w:keepLines w:val="0"/>
        <w:pageBreakBefore w:val="0"/>
        <w:widowControl w:val="0"/>
        <w:kinsoku/>
        <w:wordWrap/>
        <w:overflowPunct/>
        <w:topLinePunct w:val="0"/>
        <w:bidi w:val="0"/>
        <w:snapToGrid w:val="0"/>
        <w:spacing w:before="0" w:line="500" w:lineRule="exact"/>
        <w:ind w:left="0"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应通过电子投标文件制作工具严格按招标文件要求制作投标文件，在投标截止时间前完成上传经过数字证书电子签章并加密的投标文件（加密和解密须用同一把数字证书）。</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在投标截止时间前，可以对其所递交的投标文件进行修改并重新上传，但以投标截止时间前最后一次上传的投标文件为有效投标文件。</w:t>
      </w:r>
    </w:p>
    <w:p>
      <w:pPr>
        <w:pStyle w:val="196"/>
        <w:keepNext w:val="0"/>
        <w:keepLines w:val="0"/>
        <w:pageBreakBefore w:val="0"/>
        <w:widowControl w:val="0"/>
        <w:kinsoku/>
        <w:wordWrap/>
        <w:overflowPunct/>
        <w:topLinePunct w:val="0"/>
        <w:bidi w:val="0"/>
        <w:snapToGrid w:val="0"/>
        <w:spacing w:before="0" w:line="500" w:lineRule="exact"/>
        <w:ind w:left="0"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登录政府采购云平台，点击“项目采购—开标评标”模块，进入本项目“开标大厅”，等待代理机构开启解密后，进行线上解密。除因断电、断网、系统故障或其他不可抗力等因素，导致系统无法使用外，</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在规定的解密时间内，未成功解密的投标文件将视为无效投标文件。</w:t>
      </w:r>
    </w:p>
    <w:p>
      <w:pPr>
        <w:pStyle w:val="4"/>
        <w:bidi w:val="0"/>
        <w:rPr>
          <w:rFonts w:hint="eastAsia" w:ascii="仿宋" w:hAnsi="仿宋" w:eastAsia="仿宋" w:cs="仿宋"/>
          <w:color w:val="000000" w:themeColor="text1"/>
          <w14:textFill>
            <w14:solidFill>
              <w14:schemeClr w14:val="tx1"/>
            </w14:solidFill>
          </w14:textFill>
        </w:rPr>
      </w:pPr>
      <w:bookmarkStart w:id="71" w:name="_Toc5085"/>
      <w:r>
        <w:rPr>
          <w:rFonts w:hint="eastAsia" w:ascii="仿宋" w:hAnsi="仿宋" w:eastAsia="仿宋" w:cs="仿宋"/>
          <w:color w:val="000000" w:themeColor="text1"/>
          <w:lang w:val="en-US" w:eastAsia="zh-CN"/>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、投标截止期</w:t>
      </w:r>
      <w:bookmarkEnd w:id="71"/>
    </w:p>
    <w:p>
      <w:pPr>
        <w:keepNext w:val="0"/>
        <w:keepLines w:val="0"/>
        <w:pageBreakBefore w:val="0"/>
        <w:widowControl w:val="0"/>
        <w:kinsoku/>
        <w:wordWrap/>
        <w:overflowPunct/>
        <w:topLinePunct w:val="0"/>
        <w:bidi w:val="0"/>
        <w:adjustRightInd w:val="0"/>
        <w:snapToGrid w:val="0"/>
        <w:spacing w:line="500" w:lineRule="exact"/>
        <w:ind w:firstLine="42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.1 投标人应按照前附表规定的日期、时间和地点递交投标文件。</w:t>
      </w:r>
    </w:p>
    <w:p>
      <w:pPr>
        <w:keepNext w:val="0"/>
        <w:keepLines w:val="0"/>
        <w:pageBreakBefore w:val="0"/>
        <w:widowControl w:val="0"/>
        <w:kinsoku/>
        <w:wordWrap/>
        <w:overflowPunct/>
        <w:topLinePunct w:val="0"/>
        <w:bidi w:val="0"/>
        <w:adjustRightInd w:val="0"/>
        <w:snapToGrid w:val="0"/>
        <w:spacing w:line="500" w:lineRule="exact"/>
        <w:ind w:firstLine="42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.2 投标截止时间以政采云平台中心交易平台显示的时间为准，逾期系统将自动关闭，未完成上传的投标文件视为逾期送达，将被拒绝。</w:t>
      </w:r>
    </w:p>
    <w:p>
      <w:pPr>
        <w:pStyle w:val="4"/>
        <w:bidi w:val="0"/>
        <w:rPr>
          <w:rFonts w:hint="eastAsia" w:ascii="仿宋" w:hAnsi="仿宋" w:eastAsia="仿宋" w:cs="仿宋"/>
          <w:color w:val="000000" w:themeColor="text1"/>
          <w14:textFill>
            <w14:solidFill>
              <w14:schemeClr w14:val="tx1"/>
            </w14:solidFill>
          </w14:textFill>
        </w:rPr>
      </w:pPr>
      <w:bookmarkStart w:id="72" w:name="_Toc11084"/>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、投标无效的情形</w:t>
      </w:r>
      <w:bookmarkEnd w:id="72"/>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实质上没有响应</w:t>
      </w:r>
      <w:r>
        <w:rPr>
          <w:rFonts w:hint="eastAsia" w:ascii="仿宋" w:hAnsi="仿宋" w:eastAsia="仿宋" w:cs="仿宋"/>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Cs/>
          <w:color w:val="000000" w:themeColor="text1"/>
          <w:sz w:val="24"/>
          <w:szCs w:val="24"/>
          <w:highlight w:val="none"/>
          <w14:textFill>
            <w14:solidFill>
              <w14:schemeClr w14:val="tx1"/>
            </w14:solidFill>
          </w14:textFill>
        </w:rPr>
        <w:t>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仿宋" w:hAnsi="仿宋" w:eastAsia="仿宋" w:cs="仿宋"/>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Cs/>
          <w:color w:val="000000" w:themeColor="text1"/>
          <w:sz w:val="24"/>
          <w:szCs w:val="24"/>
          <w:highlight w:val="none"/>
          <w14:textFill>
            <w14:solidFill>
              <w14:schemeClr w14:val="tx1"/>
            </w14:solidFill>
          </w14:textFill>
        </w:rPr>
        <w:t>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bidi w:val="0"/>
        <w:adjustRightInd w:val="0"/>
        <w:snapToGrid w:val="0"/>
        <w:spacing w:line="50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在评审时，如发现下列情形之一的，投标文件将被视为无效：</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投标方未能提供合格的投标文件；</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.2未采用人民币报价或未按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标明的币种或计量单位报价的；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.3投标文件有采购人不能接受的附加条件的；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.4有重大偏离的投标文件；</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.5未提供或未如实提供投标货物产品的技术参数；投标文件标明的商务、技术响应或偏离与事实不符或虚假投标的；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以赠送方式投标的、对一个</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提供两个投标方案或两个报价的；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投标文件应盖公章而未盖公章或盖非公司公章、内容字迹严重模糊辨认不清的、未有效授权</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未缴纳投标保证金的；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 投标报价超出预算的；</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投标人不能在规定时间内提供原件核实或提供相关证明材料；</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不符合法律、法规和本</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明确规定的其他实质性要求的。</w:t>
      </w:r>
    </w:p>
    <w:p>
      <w:pPr>
        <w:pStyle w:val="3"/>
        <w:bidi w:val="0"/>
        <w:rPr>
          <w:rFonts w:hint="eastAsia" w:ascii="仿宋" w:hAnsi="仿宋" w:eastAsia="仿宋" w:cs="仿宋"/>
          <w:color w:val="000000" w:themeColor="text1"/>
          <w14:textFill>
            <w14:solidFill>
              <w14:schemeClr w14:val="tx1"/>
            </w14:solidFill>
          </w14:textFill>
        </w:rPr>
      </w:pPr>
      <w:bookmarkStart w:id="73" w:name="_Toc30125"/>
      <w:bookmarkStart w:id="74" w:name="_Toc12370"/>
      <w:bookmarkStart w:id="75" w:name="_Toc19368"/>
      <w:r>
        <w:rPr>
          <w:rFonts w:hint="eastAsia" w:ascii="仿宋" w:hAnsi="仿宋" w:eastAsia="仿宋" w:cs="仿宋"/>
          <w:color w:val="000000" w:themeColor="text1"/>
          <w14:textFill>
            <w14:solidFill>
              <w14:schemeClr w14:val="tx1"/>
            </w14:solidFill>
          </w14:textFill>
        </w:rPr>
        <w:t>四、开标</w:t>
      </w:r>
      <w:bookmarkEnd w:id="73"/>
      <w:bookmarkEnd w:id="74"/>
      <w:bookmarkEnd w:id="75"/>
    </w:p>
    <w:p>
      <w:pPr>
        <w:pStyle w:val="4"/>
        <w:bidi w:val="0"/>
        <w:rPr>
          <w:rFonts w:hint="eastAsia" w:ascii="仿宋" w:hAnsi="仿宋" w:eastAsia="仿宋" w:cs="仿宋"/>
          <w:color w:val="000000" w:themeColor="text1"/>
          <w14:textFill>
            <w14:solidFill>
              <w14:schemeClr w14:val="tx1"/>
            </w14:solidFill>
          </w14:textFill>
        </w:rPr>
      </w:pPr>
      <w:bookmarkStart w:id="76" w:name="_Toc21515"/>
      <w:bookmarkStart w:id="77" w:name="_Toc9510638"/>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w:t>
      </w:r>
      <w:bookmarkEnd w:id="76"/>
      <w:bookmarkEnd w:id="77"/>
      <w:r>
        <w:rPr>
          <w:rFonts w:hint="eastAsia" w:ascii="仿宋" w:hAnsi="仿宋" w:eastAsia="仿宋" w:cs="仿宋"/>
          <w:color w:val="000000" w:themeColor="text1"/>
          <w14:textFill>
            <w14:solidFill>
              <w14:schemeClr w14:val="tx1"/>
            </w14:solidFill>
          </w14:textFill>
        </w:rPr>
        <w:t>开标及开标程序</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.1本项目为不见面开标项目。（递交电子投标文件的投标人不足3家的，不予开标。）</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21.2开标准备工作。投标人需在开标当日、投标截止时间前登录“政府采购云平台”，通过本项目“开标大厅”参与不见面开标。登录政府采购云平台—项目采购—开标评标—开标大厅（确保进入本项目开标大厅）。</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提示：投标人未按时登录不见面开标系统，错过开标解密时间的，由投标人自行承担不利后果。</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.3解密投标文件。等待代理机构开启解密后，投标人进行线上解密。开启解密后，投标人应在</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bCs/>
          <w:color w:val="000000" w:themeColor="text1"/>
          <w:sz w:val="24"/>
          <w:szCs w:val="24"/>
          <w:highlight w:val="none"/>
          <w14:textFill>
            <w14:solidFill>
              <w14:schemeClr w14:val="tx1"/>
            </w14:solidFill>
          </w14:textFill>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4确认开标记录。解密时间截止或者所有投标人投标文件均完成解密后（以发生在先的时间为准），由“政府采购云平台”系统展示投标人名称、投标文件解密情况、等内容。如成功解密投标文件的投标人不足三家的，则只展示投标人名称、投标文件解密情况。报价文件开启后将开启签字时段，投标人须在20分钟内用CA证书对报价进行签字确认</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如未确认，视为认同开标记录。</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.5投标人电脑终端等硬件设备和软件系统配置：投标人电脑终端等硬件设备和软件系统配置应符合电子投标（含不见面开标大厅）投标人电脑终端配置要求并运行正常，投标人承担因未尽职责产生的不利后果。</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.6因断电、断网、系统故障或其他不可抗力等因素导致不见面开标系统无法正常运行的，开标活动中止或延迟，待系统恢复正常后继续进行开标活动。</w:t>
      </w:r>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Cs/>
          <w:color w:val="000000" w:themeColor="text1"/>
          <w:sz w:val="24"/>
          <w:szCs w:val="24"/>
          <w:highlight w:val="none"/>
          <w14:textFill>
            <w14:solidFill>
              <w14:schemeClr w14:val="tx1"/>
            </w14:solidFill>
          </w14:textFill>
        </w:rPr>
        <w:t>.7不见面开标过程中，各方主体均应遵守互联网有关规定，不得发表与交易活动无关的言论。</w:t>
      </w:r>
    </w:p>
    <w:p>
      <w:pPr>
        <w:pStyle w:val="4"/>
        <w:bidi w:val="0"/>
        <w:rPr>
          <w:rFonts w:hint="eastAsia" w:ascii="仿宋" w:hAnsi="仿宋" w:eastAsia="仿宋" w:cs="仿宋"/>
          <w:b/>
          <w:sz w:val="24"/>
          <w:szCs w:val="24"/>
          <w:highlight w:val="none"/>
        </w:rPr>
      </w:pPr>
      <w:bookmarkStart w:id="78" w:name="_Toc14026"/>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、资格审查</w:t>
      </w:r>
      <w:bookmarkEnd w:id="78"/>
    </w:p>
    <w:p>
      <w:pPr>
        <w:keepNext w:val="0"/>
        <w:keepLines w:val="0"/>
        <w:pageBreakBefore w:val="0"/>
        <w:widowControl w:val="0"/>
        <w:kinsoku/>
        <w:wordWrap/>
        <w:overflowPunct/>
        <w:topLinePunct w:val="0"/>
        <w:bidi w:val="0"/>
        <w:adjustRightInd w:val="0"/>
        <w:snapToGrid w:val="0"/>
        <w:spacing w:line="500" w:lineRule="exact"/>
        <w:ind w:firstLine="523" w:firstLineChars="218"/>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公开招标</w:t>
      </w:r>
      <w:r>
        <w:rPr>
          <w:rFonts w:hint="eastAsia" w:ascii="仿宋" w:hAnsi="仿宋" w:eastAsia="仿宋" w:cs="仿宋"/>
          <w:bCs/>
          <w:sz w:val="24"/>
          <w:szCs w:val="24"/>
          <w:highlight w:val="none"/>
        </w:rPr>
        <w:t>采购项目开标结束后，采购人或者采购代理机构应当依法对投标人的资格进行审查。</w:t>
      </w:r>
    </w:p>
    <w:p>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资格性审查表</w:t>
      </w:r>
    </w:p>
    <w:tbl>
      <w:tblPr>
        <w:tblStyle w:val="38"/>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1290"/>
        <w:gridCol w:w="582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513" w:type="dxa"/>
            <w:vAlign w:val="center"/>
          </w:tcPr>
          <w:p>
            <w:pPr>
              <w:bidi w:val="0"/>
              <w:ind w:left="0" w:leftChars="0" w:firstLine="0" w:firstLineChars="0"/>
              <w:jc w:val="center"/>
              <w:rPr>
                <w:rFonts w:hint="eastAsia" w:ascii="仿宋" w:hAnsi="仿宋" w:eastAsia="仿宋" w:cs="仿宋"/>
                <w:sz w:val="24"/>
                <w:szCs w:val="24"/>
                <w:lang w:eastAsia="zh-CN"/>
              </w:rPr>
            </w:pPr>
            <w:bookmarkStart w:id="79" w:name="_Toc21778"/>
            <w:bookmarkStart w:id="80" w:name="_Toc25332"/>
            <w:r>
              <w:rPr>
                <w:rFonts w:hint="eastAsia" w:ascii="仿宋" w:hAnsi="仿宋" w:eastAsia="仿宋" w:cs="仿宋"/>
                <w:sz w:val="24"/>
                <w:szCs w:val="24"/>
                <w:lang w:eastAsia="zh-CN"/>
              </w:rPr>
              <w:t>序号</w:t>
            </w:r>
          </w:p>
        </w:tc>
        <w:tc>
          <w:tcPr>
            <w:tcW w:w="1290" w:type="dxa"/>
            <w:vAlign w:val="center"/>
          </w:tcPr>
          <w:p>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评分点</w:t>
            </w:r>
          </w:p>
        </w:tc>
        <w:tc>
          <w:tcPr>
            <w:tcW w:w="5823" w:type="dxa"/>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280" w:type="dxa"/>
            <w:vAlign w:val="center"/>
          </w:tcPr>
          <w:p>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13" w:type="dxa"/>
            <w:vAlign w:val="center"/>
          </w:tcPr>
          <w:p>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90" w:type="dxa"/>
            <w:vAlign w:val="center"/>
          </w:tcPr>
          <w:p>
            <w:pPr>
              <w:pStyle w:val="13"/>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vertAlign w:val="baseline"/>
                <w:lang w:eastAsia="zh-CN"/>
              </w:rPr>
              <w:t>营业执照</w:t>
            </w:r>
          </w:p>
        </w:tc>
        <w:tc>
          <w:tcPr>
            <w:tcW w:w="5823" w:type="dxa"/>
            <w:vAlign w:val="center"/>
          </w:tcPr>
          <w:p>
            <w:pPr>
              <w:pStyle w:val="13"/>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vertAlign w:val="baseline"/>
              </w:rPr>
              <w:t>具有独立承担民事责任的能力</w:t>
            </w:r>
          </w:p>
        </w:tc>
        <w:tc>
          <w:tcPr>
            <w:tcW w:w="1280" w:type="dxa"/>
            <w:vAlign w:val="center"/>
          </w:tcPr>
          <w:p>
            <w:pPr>
              <w:pStyle w:val="13"/>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 w:type="dxa"/>
            <w:vAlign w:val="center"/>
          </w:tcPr>
          <w:p>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90" w:type="dxa"/>
            <w:vAlign w:val="center"/>
          </w:tcPr>
          <w:p>
            <w:pPr>
              <w:bidi w:val="0"/>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特定资质</w:t>
            </w:r>
          </w:p>
        </w:tc>
        <w:tc>
          <w:tcPr>
            <w:tcW w:w="5823" w:type="dxa"/>
            <w:vAlign w:val="center"/>
          </w:tcPr>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1）投标人必须是所投产品的制造商或经销商，需提供有效的工商营业执照副本；</w:t>
            </w:r>
          </w:p>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2）投标人应具有民用无人驾驶航空器经营许可证或通用航空企业经营许可证；</w:t>
            </w:r>
          </w:p>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3）投标人近三年（2020年</w:t>
            </w:r>
            <w:r>
              <w:rPr>
                <w:rFonts w:hint="eastAsia" w:ascii="仿宋" w:hAnsi="仿宋" w:eastAsia="仿宋" w:cs="仿宋"/>
                <w:sz w:val="24"/>
                <w:szCs w:val="24"/>
                <w:lang w:val="en-US" w:eastAsia="zh-CN"/>
              </w:rPr>
              <w:t>1</w:t>
            </w:r>
            <w:r>
              <w:rPr>
                <w:rFonts w:hint="eastAsia" w:ascii="仿宋" w:hAnsi="仿宋" w:eastAsia="仿宋" w:cs="仿宋"/>
                <w:sz w:val="24"/>
                <w:szCs w:val="24"/>
              </w:rPr>
              <w:t>月1日起至今，以合同签订时间为准）至少具有1项无人机相关设备或服务类业绩（合同证明包括但不仅限于合同首页、主要内容页、盖章页等）；</w:t>
            </w:r>
          </w:p>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4）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5）与采购人存在利害关系可能影响招标公正性的法人、其他组织或者个人，不得参加同一标段投标或者未划分标段的同一采购不得参加投标；</w:t>
            </w:r>
          </w:p>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6）投标人负责人为同一人或者存在控股、管理关系的不同单位，不得同时参加本项目的投标。</w:t>
            </w:r>
          </w:p>
        </w:tc>
        <w:tc>
          <w:tcPr>
            <w:tcW w:w="1280" w:type="dxa"/>
            <w:vAlign w:val="center"/>
          </w:tcPr>
          <w:p>
            <w:pPr>
              <w:bidi w:val="0"/>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按照审查要求出具证明材料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 w:type="dxa"/>
            <w:vAlign w:val="center"/>
          </w:tcPr>
          <w:p>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90" w:type="dxa"/>
            <w:vAlign w:val="center"/>
          </w:tcPr>
          <w:p>
            <w:pPr>
              <w:bidi w:val="0"/>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5823" w:type="dxa"/>
            <w:vAlign w:val="center"/>
          </w:tcPr>
          <w:p>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按照招标文件要求提供投标担保（从基本户缴纳保证金）。</w:t>
            </w:r>
          </w:p>
        </w:tc>
        <w:tc>
          <w:tcPr>
            <w:tcW w:w="1280" w:type="dxa"/>
            <w:vAlign w:val="center"/>
          </w:tcPr>
          <w:p>
            <w:pPr>
              <w:bidi w:val="0"/>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递交投标担保证明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 w:type="dxa"/>
            <w:vAlign w:val="center"/>
          </w:tcPr>
          <w:p>
            <w:pPr>
              <w:bidi w:val="0"/>
              <w:ind w:left="0" w:leftChars="0" w:firstLine="0" w:firstLineChars="0"/>
              <w:jc w:val="center"/>
              <w:rPr>
                <w:rFonts w:hint="default" w:ascii="仿宋" w:hAnsi="仿宋" w:eastAsia="仿宋" w:cs="仿宋"/>
                <w:sz w:val="24"/>
                <w:szCs w:val="24"/>
                <w:lang w:val="en-US" w:eastAsia="zh-CN"/>
              </w:rPr>
            </w:pPr>
            <w:bookmarkStart w:id="81" w:name="_Toc13769"/>
            <w:r>
              <w:rPr>
                <w:rFonts w:hint="eastAsia" w:ascii="仿宋" w:hAnsi="仿宋" w:eastAsia="仿宋" w:cs="仿宋"/>
                <w:sz w:val="24"/>
                <w:szCs w:val="24"/>
                <w:lang w:val="en-US" w:eastAsia="zh-CN"/>
              </w:rPr>
              <w:t>4</w:t>
            </w:r>
          </w:p>
        </w:tc>
        <w:tc>
          <w:tcPr>
            <w:tcW w:w="1290" w:type="dxa"/>
            <w:vAlign w:val="center"/>
          </w:tcPr>
          <w:p>
            <w:pPr>
              <w:bidi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采购政策</w:t>
            </w:r>
          </w:p>
        </w:tc>
        <w:tc>
          <w:tcPr>
            <w:tcW w:w="5823" w:type="dxa"/>
            <w:vAlign w:val="center"/>
          </w:tcPr>
          <w:p>
            <w:pPr>
              <w:bidi w:val="0"/>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供应商应为中小企业</w:t>
            </w:r>
          </w:p>
        </w:tc>
        <w:tc>
          <w:tcPr>
            <w:tcW w:w="1280" w:type="dxa"/>
            <w:vAlign w:val="center"/>
          </w:tcPr>
          <w:p>
            <w:pPr>
              <w:bidi w:val="0"/>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请根据要求单独上传《中小企业声明函》。格式以采购文件要求为准。</w:t>
            </w:r>
          </w:p>
        </w:tc>
      </w:tr>
    </w:tbl>
    <w:p>
      <w:pPr>
        <w:pStyle w:val="3"/>
        <w:bidi w:val="0"/>
        <w:rPr>
          <w:rFonts w:hint="eastAsia" w:ascii="仿宋" w:hAnsi="仿宋" w:eastAsia="仿宋" w:cs="仿宋"/>
        </w:rPr>
      </w:pPr>
      <w:r>
        <w:rPr>
          <w:rFonts w:hint="eastAsia" w:ascii="仿宋" w:hAnsi="仿宋" w:eastAsia="仿宋" w:cs="仿宋"/>
        </w:rPr>
        <w:t>五、评标</w:t>
      </w:r>
      <w:bookmarkEnd w:id="79"/>
      <w:bookmarkEnd w:id="80"/>
      <w:bookmarkEnd w:id="81"/>
    </w:p>
    <w:p>
      <w:pPr>
        <w:pStyle w:val="4"/>
        <w:bidi w:val="0"/>
        <w:rPr>
          <w:rFonts w:hint="eastAsia" w:ascii="仿宋" w:hAnsi="仿宋" w:eastAsia="仿宋" w:cs="仿宋"/>
          <w:color w:val="000000" w:themeColor="text1"/>
          <w14:textFill>
            <w14:solidFill>
              <w14:schemeClr w14:val="tx1"/>
            </w14:solidFill>
          </w14:textFill>
        </w:rPr>
      </w:pPr>
      <w:bookmarkStart w:id="82" w:name="_Toc9510639"/>
      <w:bookmarkStart w:id="83" w:name="_Toc6750"/>
      <w:r>
        <w:rPr>
          <w:rFonts w:hint="eastAsia" w:ascii="仿宋" w:hAnsi="仿宋" w:eastAsia="仿宋" w:cs="仿宋"/>
          <w:color w:val="000000" w:themeColor="text1"/>
          <w:lang w:val="en-US"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、组</w:t>
      </w:r>
      <w:bookmarkEnd w:id="82"/>
      <w:r>
        <w:rPr>
          <w:rFonts w:hint="eastAsia" w:ascii="仿宋" w:hAnsi="仿宋" w:eastAsia="仿宋" w:cs="仿宋"/>
          <w:color w:val="000000" w:themeColor="text1"/>
          <w14:textFill>
            <w14:solidFill>
              <w14:schemeClr w14:val="tx1"/>
            </w14:solidFill>
          </w14:textFill>
        </w:rPr>
        <w:t>建评标委员会</w:t>
      </w:r>
      <w:bookmarkEnd w:id="83"/>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按《中华人民共和国政府采购法》相关要求，评标委员会由</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专家库随机抽取专家，其中随机抽取</w:t>
      </w:r>
      <w:r>
        <w:rPr>
          <w:rFonts w:hint="eastAsia" w:ascii="仿宋" w:hAnsi="仿宋" w:eastAsia="仿宋" w:cs="仿宋"/>
          <w:color w:val="auto"/>
          <w:sz w:val="24"/>
          <w:szCs w:val="24"/>
          <w:highlight w:val="none"/>
          <w:lang w:eastAsia="zh-CN"/>
        </w:rPr>
        <w:t>地方</w:t>
      </w:r>
      <w:r>
        <w:rPr>
          <w:rFonts w:hint="eastAsia" w:ascii="仿宋" w:hAnsi="仿宋" w:eastAsia="仿宋" w:cs="仿宋"/>
          <w:color w:val="auto"/>
          <w:sz w:val="24"/>
          <w:szCs w:val="24"/>
          <w:highlight w:val="none"/>
        </w:rPr>
        <w:t>专家人数不少于成员总数的三分之二。</w:t>
      </w:r>
    </w:p>
    <w:p>
      <w:pPr>
        <w:pStyle w:val="4"/>
        <w:bidi w:val="0"/>
        <w:rPr>
          <w:rFonts w:hint="eastAsia" w:ascii="仿宋" w:hAnsi="仿宋" w:eastAsia="仿宋" w:cs="仿宋"/>
        </w:rPr>
      </w:pPr>
      <w:r>
        <w:rPr>
          <w:rFonts w:hint="eastAsia" w:ascii="仿宋" w:hAnsi="仿宋" w:eastAsia="仿宋" w:cs="仿宋"/>
          <w:lang w:val="en-US" w:eastAsia="zh-CN"/>
        </w:rPr>
        <w:t>24、</w:t>
      </w:r>
      <w:r>
        <w:rPr>
          <w:rFonts w:hint="eastAsia" w:ascii="仿宋" w:hAnsi="仿宋" w:eastAsia="仿宋" w:cs="仿宋"/>
        </w:rPr>
        <w:t>评标纪律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1．评标是</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工作的重要环节，评标工作在评标委员会内独立进行。评标委员会将按照评标原则的要求，公正、平等地对待所有投标人。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2．所有评标人员应忠于职守、廉洁自律、秉公办事、不徇私情。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3．评标人员不得接受或参加投标人或与投标有关的单位、组织或个人的有碍公务的宴请、娱乐活动等，不得以任何形式弄虚作假。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4．评标期间，评标人员不得随意出入评标地点、与外界通讯、会客等。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5．在投标文件的审查、澄清、评价和比较以及授予合同的过程中，投标人对采购人、采购代理机构人员及评标委员会成员施加影响的任何行为，都将导致被取消投标资格。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7．评标过程中，评标专家对投标人的优劣情况，以及认为差异较大的情况，应以书面意见作出真实、专业、诚恳负责的表述，不得违背客观、公正的原则。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8．评标结束后，各评标人员应将全部资料整理上交采购代理机构，严禁将评标过程中的任何资料带出评标现场向投标人或其他单位提供。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9．在中标结果公布前应对评标委员会成员名单予以保密。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10．评标委员会对各投标人的商业秘密予以保密。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11．评标委员会成员应当客观、公正地履行职责，遵守职业道德，对所提出的评审意见承担个人责任。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12．在整个评标过程中，投标人企图影响</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结果的任何活动，可能导致其投标失败。如有违法行为，将依法追究其法律责任。</w:t>
      </w:r>
    </w:p>
    <w:p>
      <w:pPr>
        <w:pStyle w:val="4"/>
        <w:bidi w:val="0"/>
        <w:rPr>
          <w:rFonts w:hint="eastAsia" w:ascii="仿宋" w:hAnsi="仿宋" w:eastAsia="仿宋" w:cs="仿宋"/>
          <w:color w:val="000000" w:themeColor="text1"/>
          <w14:textFill>
            <w14:solidFill>
              <w14:schemeClr w14:val="tx1"/>
            </w14:solidFill>
          </w14:textFill>
        </w:rPr>
      </w:pPr>
      <w:bookmarkStart w:id="84" w:name="_Toc14527"/>
      <w:r>
        <w:rPr>
          <w:rFonts w:hint="eastAsia" w:ascii="仿宋" w:hAnsi="仿宋" w:eastAsia="仿宋" w:cs="仿宋"/>
          <w:color w:val="000000" w:themeColor="text1"/>
          <w:lang w:val="en-US" w:eastAsia="zh-CN"/>
          <w14:textFill>
            <w14:solidFill>
              <w14:schemeClr w14:val="tx1"/>
            </w14:solidFill>
          </w14:textFill>
        </w:rPr>
        <w:t>25</w:t>
      </w:r>
      <w:r>
        <w:rPr>
          <w:rFonts w:hint="eastAsia" w:ascii="仿宋" w:hAnsi="仿宋" w:eastAsia="仿宋" w:cs="仿宋"/>
          <w:color w:val="000000" w:themeColor="text1"/>
          <w14:textFill>
            <w14:solidFill>
              <w14:schemeClr w14:val="tx1"/>
            </w14:solidFill>
          </w14:textFill>
        </w:rPr>
        <w:t>、评标程序</w:t>
      </w:r>
      <w:bookmarkEnd w:id="84"/>
    </w:p>
    <w:p>
      <w:pPr>
        <w:keepNext w:val="0"/>
        <w:keepLines w:val="0"/>
        <w:pageBreakBefore w:val="0"/>
        <w:widowControl w:val="0"/>
        <w:kinsoku/>
        <w:wordWrap/>
        <w:overflowPunct/>
        <w:topLinePunct w:val="0"/>
        <w:bidi w:val="0"/>
        <w:adjustRightInd w:val="0"/>
        <w:snapToGrid w:val="0"/>
        <w:spacing w:line="400" w:lineRule="exact"/>
        <w:ind w:firstLine="472" w:firstLineChars="196"/>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符合性</w:t>
      </w:r>
      <w:r>
        <w:rPr>
          <w:rFonts w:hint="eastAsia" w:ascii="仿宋" w:hAnsi="仿宋" w:eastAsia="仿宋" w:cs="仿宋"/>
          <w:b/>
          <w:bCs/>
          <w:color w:val="000000" w:themeColor="text1"/>
          <w:sz w:val="24"/>
          <w:szCs w:val="24"/>
          <w:highlight w:val="none"/>
          <w14:textFill>
            <w14:solidFill>
              <w14:schemeClr w14:val="tx1"/>
            </w14:solidFill>
          </w14:textFill>
        </w:rPr>
        <w:t>审查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评标委员会对投标文件的完整性、合法性等进行审查。下列有一项未通过审查内容的，应在符合性审查时按照无效投标处理：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97"/>
        <w:gridCol w:w="1643"/>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7"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797"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类型</w:t>
            </w:r>
          </w:p>
        </w:tc>
        <w:tc>
          <w:tcPr>
            <w:tcW w:w="1643"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w:t>
            </w:r>
          </w:p>
        </w:tc>
        <w:tc>
          <w:tcPr>
            <w:tcW w:w="5649"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797"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报价</w:t>
            </w:r>
          </w:p>
        </w:tc>
        <w:tc>
          <w:tcPr>
            <w:tcW w:w="1643"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报价要求</w:t>
            </w:r>
          </w:p>
        </w:tc>
        <w:tc>
          <w:tcPr>
            <w:tcW w:w="5649" w:type="dxa"/>
            <w:vAlign w:val="center"/>
          </w:tcPr>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投标报价按照招标文件格式填写；</w:t>
            </w:r>
          </w:p>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投标报价未高于本项目最高限价的；</w:t>
            </w:r>
          </w:p>
          <w:p>
            <w:pPr>
              <w:ind w:left="0" w:leftChars="0" w:firstLine="0" w:firstLineChars="0"/>
              <w:jc w:val="left"/>
              <w:rPr>
                <w:rFonts w:hint="eastAsia" w:ascii="仿宋" w:hAnsi="仿宋" w:eastAsia="仿宋" w:cs="仿宋"/>
              </w:rPr>
            </w:pPr>
            <w:r>
              <w:rPr>
                <w:rFonts w:hint="eastAsia" w:ascii="仿宋" w:hAnsi="仿宋" w:eastAsia="仿宋" w:cs="仿宋"/>
                <w:sz w:val="24"/>
                <w:szCs w:val="24"/>
                <w:vertAlign w:val="baseline"/>
                <w:lang w:eastAsia="zh-CN"/>
              </w:rPr>
              <w:t>只允许有一个报价，不接受可变动性报价、赠送及“零”报价。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7"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797"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商务资信</w:t>
            </w:r>
          </w:p>
        </w:tc>
        <w:tc>
          <w:tcPr>
            <w:tcW w:w="1643"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投标文件的编写符合招标文件的要求</w:t>
            </w:r>
          </w:p>
        </w:tc>
        <w:tc>
          <w:tcPr>
            <w:tcW w:w="5649" w:type="dxa"/>
            <w:vAlign w:val="center"/>
          </w:tcPr>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rPr>
              <w:t>文</w:t>
            </w:r>
            <w:r>
              <w:rPr>
                <w:rFonts w:hint="eastAsia" w:ascii="仿宋" w:hAnsi="仿宋" w:eastAsia="仿宋" w:cs="仿宋"/>
                <w:sz w:val="24"/>
                <w:szCs w:val="24"/>
                <w:vertAlign w:val="baseline"/>
                <w:lang w:eastAsia="zh-CN"/>
              </w:rPr>
              <w:t>件按照招标文件规定要求签署、盖章；</w:t>
            </w:r>
          </w:p>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投标文件未含有采购人不能接受的附加条件的；</w:t>
            </w:r>
          </w:p>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投标文件不存在与采购文件有重大偏离的；如需投标人在规定时间内提供原件核实或提供相关证明材料时，投标人按时提供的；</w:t>
            </w:r>
          </w:p>
          <w:p>
            <w:pPr>
              <w:ind w:left="0" w:leftChars="0" w:firstLine="0" w:firstLineChars="0"/>
              <w:jc w:val="left"/>
              <w:rPr>
                <w:rFonts w:hint="eastAsia" w:ascii="仿宋" w:hAnsi="仿宋" w:eastAsia="仿宋" w:cs="仿宋"/>
                <w:lang w:eastAsia="zh-CN"/>
              </w:rPr>
            </w:pPr>
            <w:r>
              <w:rPr>
                <w:rFonts w:hint="eastAsia" w:ascii="仿宋" w:hAnsi="仿宋" w:eastAsia="仿宋" w:cs="仿宋"/>
                <w:sz w:val="24"/>
                <w:szCs w:val="24"/>
                <w:vertAlign w:val="baseline"/>
                <w:lang w:eastAsia="zh-CN"/>
              </w:rPr>
              <w:t>不存在其他无效情形的，如不符合法律、法规和采购文件规定的。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797"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技术</w:t>
            </w:r>
          </w:p>
        </w:tc>
        <w:tc>
          <w:tcPr>
            <w:tcW w:w="1643"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投标</w:t>
            </w:r>
            <w:r>
              <w:rPr>
                <w:rFonts w:hint="eastAsia" w:ascii="仿宋" w:hAnsi="仿宋" w:eastAsia="仿宋" w:cs="仿宋"/>
                <w:sz w:val="24"/>
                <w:szCs w:val="24"/>
                <w:vertAlign w:val="baseline"/>
              </w:rPr>
              <w:t>文件的编写符合</w:t>
            </w:r>
            <w:r>
              <w:rPr>
                <w:rFonts w:hint="eastAsia" w:ascii="仿宋" w:hAnsi="仿宋" w:eastAsia="仿宋" w:cs="仿宋"/>
                <w:sz w:val="24"/>
                <w:szCs w:val="24"/>
                <w:vertAlign w:val="baseline"/>
                <w:lang w:eastAsia="zh-CN"/>
              </w:rPr>
              <w:t>招标</w:t>
            </w:r>
            <w:r>
              <w:rPr>
                <w:rFonts w:hint="eastAsia" w:ascii="仿宋" w:hAnsi="仿宋" w:eastAsia="仿宋" w:cs="仿宋"/>
                <w:sz w:val="24"/>
                <w:szCs w:val="24"/>
                <w:vertAlign w:val="baseline"/>
              </w:rPr>
              <w:t>文件的</w:t>
            </w:r>
            <w:r>
              <w:rPr>
                <w:rFonts w:hint="eastAsia" w:ascii="仿宋" w:hAnsi="仿宋" w:eastAsia="仿宋" w:cs="仿宋"/>
                <w:sz w:val="24"/>
                <w:szCs w:val="24"/>
                <w:vertAlign w:val="baseline"/>
                <w:lang w:eastAsia="zh-CN"/>
              </w:rPr>
              <w:t>要求</w:t>
            </w:r>
          </w:p>
        </w:tc>
        <w:tc>
          <w:tcPr>
            <w:tcW w:w="5649" w:type="dxa"/>
            <w:vAlign w:val="center"/>
          </w:tcPr>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投标人</w:t>
            </w:r>
            <w:r>
              <w:rPr>
                <w:rFonts w:hint="eastAsia" w:ascii="仿宋" w:hAnsi="仿宋" w:eastAsia="仿宋" w:cs="仿宋"/>
                <w:sz w:val="24"/>
                <w:szCs w:val="24"/>
                <w:vertAlign w:val="baseline"/>
              </w:rPr>
              <w:t>所投内容符合采购需求中实质性要求的</w:t>
            </w:r>
            <w:r>
              <w:rPr>
                <w:rFonts w:hint="eastAsia" w:ascii="仿宋" w:hAnsi="仿宋" w:eastAsia="仿宋" w:cs="仿宋"/>
                <w:sz w:val="24"/>
                <w:szCs w:val="24"/>
                <w:vertAlign w:val="baseline"/>
                <w:lang w:eastAsia="zh-CN"/>
              </w:rPr>
              <w:t>；</w:t>
            </w:r>
          </w:p>
          <w:p>
            <w:pPr>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w:t>
            </w:r>
            <w:r>
              <w:rPr>
                <w:rFonts w:hint="eastAsia" w:ascii="仿宋" w:hAnsi="仿宋" w:eastAsia="仿宋" w:cs="仿宋"/>
                <w:sz w:val="24"/>
                <w:szCs w:val="24"/>
                <w:vertAlign w:val="baseline"/>
              </w:rPr>
              <w:t>文件中承诺的投标有效期</w:t>
            </w:r>
            <w:r>
              <w:rPr>
                <w:rFonts w:hint="eastAsia" w:ascii="仿宋" w:hAnsi="仿宋" w:eastAsia="仿宋" w:cs="仿宋"/>
                <w:sz w:val="24"/>
                <w:szCs w:val="24"/>
                <w:vertAlign w:val="baseline"/>
                <w:lang w:eastAsia="zh-CN"/>
              </w:rPr>
              <w:t>满足招标</w:t>
            </w:r>
            <w:r>
              <w:rPr>
                <w:rFonts w:hint="eastAsia" w:ascii="仿宋" w:hAnsi="仿宋" w:eastAsia="仿宋" w:cs="仿宋"/>
                <w:sz w:val="24"/>
                <w:szCs w:val="24"/>
                <w:vertAlign w:val="baseline"/>
              </w:rPr>
              <w:t>文件投标有效期的</w:t>
            </w:r>
            <w:r>
              <w:rPr>
                <w:rFonts w:hint="eastAsia" w:ascii="仿宋" w:hAnsi="仿宋" w:eastAsia="仿宋" w:cs="仿宋"/>
                <w:sz w:val="24"/>
                <w:szCs w:val="24"/>
                <w:vertAlign w:val="baseline"/>
                <w:lang w:eastAsia="zh-CN"/>
              </w:rPr>
              <w:t>；</w:t>
            </w:r>
          </w:p>
          <w:p>
            <w:pPr>
              <w:ind w:left="0" w:leftChars="0" w:firstLine="0" w:firstLineChars="0"/>
              <w:jc w:val="lef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合同履约期限及质保期必须要满足采购文件规定。</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72" w:firstLineChars="196"/>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 xml:space="preserve"> 实质审查与比较</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.1评标委员会审查投标文件的实质性内容是否符合</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的实质性要求。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.3各投标人的</w:t>
      </w:r>
      <w:r>
        <w:rPr>
          <w:rFonts w:hint="eastAsia" w:ascii="仿宋" w:hAnsi="仿宋" w:eastAsia="仿宋" w:cs="仿宋"/>
          <w:color w:val="000000" w:themeColor="text1"/>
          <w:sz w:val="24"/>
          <w:szCs w:val="24"/>
          <w:highlight w:val="none"/>
          <w:lang w:eastAsia="zh-CN"/>
          <w14:textFill>
            <w14:solidFill>
              <w14:schemeClr w14:val="tx1"/>
            </w14:solidFill>
          </w14:textFill>
        </w:rPr>
        <w:t>实质性要求通过后，</w:t>
      </w:r>
      <w:r>
        <w:rPr>
          <w:rFonts w:hint="eastAsia" w:ascii="仿宋" w:hAnsi="仿宋" w:eastAsia="仿宋" w:cs="仿宋"/>
          <w:color w:val="000000" w:themeColor="text1"/>
          <w:sz w:val="24"/>
          <w:szCs w:val="24"/>
          <w:highlight w:val="none"/>
          <w14:textFill>
            <w14:solidFill>
              <w14:schemeClr w14:val="tx1"/>
            </w14:solidFill>
          </w14:textFill>
        </w:rPr>
        <w:t>评标委员会按评标原则推荐中标候选人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同时起草评标报告。</w:t>
      </w:r>
    </w:p>
    <w:p>
      <w:pPr>
        <w:pStyle w:val="4"/>
        <w:bidi w:val="0"/>
        <w:rPr>
          <w:rFonts w:hint="eastAsia" w:ascii="仿宋" w:hAnsi="仿宋" w:eastAsia="仿宋" w:cs="仿宋"/>
          <w:color w:val="000000" w:themeColor="text1"/>
          <w14:textFill>
            <w14:solidFill>
              <w14:schemeClr w14:val="tx1"/>
            </w14:solidFill>
          </w14:textFill>
        </w:rPr>
      </w:pPr>
      <w:bookmarkStart w:id="85" w:name="_Toc26304"/>
      <w:r>
        <w:rPr>
          <w:rFonts w:hint="eastAsia" w:ascii="仿宋" w:hAnsi="仿宋" w:eastAsia="仿宋" w:cs="仿宋"/>
          <w:color w:val="000000" w:themeColor="text1"/>
          <w:lang w:val="en-US" w:eastAsia="zh-CN"/>
          <w14:textFill>
            <w14:solidFill>
              <w14:schemeClr w14:val="tx1"/>
            </w14:solidFill>
          </w14:textFill>
        </w:rPr>
        <w:t>26</w:t>
      </w:r>
      <w:r>
        <w:rPr>
          <w:rFonts w:hint="eastAsia" w:ascii="仿宋" w:hAnsi="仿宋" w:eastAsia="仿宋" w:cs="仿宋"/>
          <w:color w:val="000000" w:themeColor="text1"/>
          <w14:textFill>
            <w14:solidFill>
              <w14:schemeClr w14:val="tx1"/>
            </w14:solidFill>
          </w14:textFill>
        </w:rPr>
        <w:t>、澄清问题的形式</w:t>
      </w:r>
      <w:bookmarkEnd w:id="85"/>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bidi w:val="0"/>
        <w:rPr>
          <w:rFonts w:hint="eastAsia" w:ascii="仿宋" w:hAnsi="仿宋" w:eastAsia="仿宋" w:cs="仿宋"/>
          <w:color w:val="000000" w:themeColor="text1"/>
          <w14:textFill>
            <w14:solidFill>
              <w14:schemeClr w14:val="tx1"/>
            </w14:solidFill>
          </w14:textFill>
        </w:rPr>
      </w:pPr>
      <w:bookmarkStart w:id="86" w:name="_Toc1409"/>
      <w:r>
        <w:rPr>
          <w:rFonts w:hint="eastAsia" w:ascii="仿宋" w:hAnsi="仿宋" w:eastAsia="仿宋" w:cs="仿宋"/>
          <w:color w:val="000000" w:themeColor="text1"/>
          <w:lang w:val="en-US" w:eastAsia="zh-CN"/>
          <w14:textFill>
            <w14:solidFill>
              <w14:schemeClr w14:val="tx1"/>
            </w14:solidFill>
          </w14:textFill>
        </w:rPr>
        <w:t>27</w:t>
      </w:r>
      <w:r>
        <w:rPr>
          <w:rFonts w:hint="eastAsia" w:ascii="仿宋" w:hAnsi="仿宋" w:eastAsia="仿宋" w:cs="仿宋"/>
          <w:color w:val="000000" w:themeColor="text1"/>
          <w14:textFill>
            <w14:solidFill>
              <w14:schemeClr w14:val="tx1"/>
            </w14:solidFill>
          </w14:textFill>
        </w:rPr>
        <w:t>、错误修正</w:t>
      </w:r>
      <w:bookmarkEnd w:id="86"/>
    </w:p>
    <w:p>
      <w:pPr>
        <w:keepNext w:val="0"/>
        <w:keepLines w:val="0"/>
        <w:pageBreakBefore w:val="0"/>
        <w:widowControl w:val="0"/>
        <w:kinsoku/>
        <w:wordWrap/>
        <w:overflowPunct/>
        <w:topLinePunct w:val="0"/>
        <w:autoSpaceDE/>
        <w:autoSpaceDN/>
        <w:bidi w:val="0"/>
        <w:adjustRightInd w:val="0"/>
        <w:snapToGrid w:val="0"/>
        <w:spacing w:line="500" w:lineRule="exact"/>
        <w:ind w:left="719" w:leftChars="228" w:hanging="240" w:hangingChars="1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.1 开标一览表总价与投标报价明细表汇总数不一致的，</w:t>
      </w:r>
      <w:r>
        <w:rPr>
          <w:rFonts w:hint="eastAsia" w:ascii="仿宋" w:hAnsi="仿宋" w:eastAsia="仿宋" w:cs="仿宋"/>
          <w:color w:val="000000" w:themeColor="text1"/>
          <w:kern w:val="0"/>
          <w:sz w:val="24"/>
          <w:szCs w:val="24"/>
          <w:highlight w:val="none"/>
          <w14:textFill>
            <w14:solidFill>
              <w14:schemeClr w14:val="tx1"/>
            </w14:solidFill>
          </w14:textFill>
        </w:rPr>
        <w:t>以开标一览表为准；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投标文件的大写金额和小写金额不一致的，以大写金额为准；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.4 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4"/>
        <w:bidi w:val="0"/>
        <w:rPr>
          <w:rFonts w:hint="eastAsia" w:ascii="仿宋" w:hAnsi="仿宋" w:eastAsia="仿宋" w:cs="仿宋"/>
          <w:color w:val="000000" w:themeColor="text1"/>
          <w14:textFill>
            <w14:solidFill>
              <w14:schemeClr w14:val="tx1"/>
            </w14:solidFill>
          </w14:textFill>
        </w:rPr>
      </w:pPr>
      <w:bookmarkStart w:id="87" w:name="_Toc8797"/>
      <w:r>
        <w:rPr>
          <w:rFonts w:hint="eastAsia" w:ascii="仿宋" w:hAnsi="仿宋" w:eastAsia="仿宋" w:cs="仿宋"/>
          <w:color w:val="000000" w:themeColor="text1"/>
          <w:lang w:val="en-US" w:eastAsia="zh-CN"/>
          <w14:textFill>
            <w14:solidFill>
              <w14:schemeClr w14:val="tx1"/>
            </w14:solidFill>
          </w14:textFill>
        </w:rPr>
        <w:t>28</w:t>
      </w:r>
      <w:r>
        <w:rPr>
          <w:rFonts w:hint="eastAsia" w:ascii="仿宋" w:hAnsi="仿宋" w:eastAsia="仿宋" w:cs="仿宋"/>
          <w:color w:val="000000" w:themeColor="text1"/>
          <w14:textFill>
            <w14:solidFill>
              <w14:schemeClr w14:val="tx1"/>
            </w14:solidFill>
          </w14:textFill>
        </w:rPr>
        <w:t>、评标原则和评标办法</w:t>
      </w:r>
      <w:bookmarkEnd w:id="87"/>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.2 评标办法。本项目评标办法是</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color w:val="000000" w:themeColor="text1"/>
          <w:sz w:val="24"/>
          <w:szCs w:val="24"/>
          <w:highlight w:val="none"/>
          <w:u w:val="single"/>
          <w:lang w:eastAsia="zh-CN"/>
          <w14:textFill>
            <w14:solidFill>
              <w14:schemeClr w14:val="tx1"/>
            </w14:solidFill>
          </w14:textFill>
        </w:rPr>
        <w:t>综合评分法</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具体评标内容及评分标准等详见《第三章 评分办法及评分标准》</w:t>
      </w:r>
      <w:r>
        <w:rPr>
          <w:rFonts w:hint="eastAsia" w:ascii="仿宋" w:hAnsi="仿宋" w:eastAsia="仿宋" w:cs="仿宋"/>
          <w:b w:val="0"/>
          <w:bCs/>
          <w:color w:val="000000" w:themeColor="text1"/>
          <w:sz w:val="24"/>
          <w:szCs w:val="24"/>
          <w:highlight w:val="none"/>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pacing w:val="0"/>
          <w:sz w:val="24"/>
          <w:szCs w:val="24"/>
          <w:highlight w:val="none"/>
          <w14:textFill>
            <w14:solidFill>
              <w14:schemeClr w14:val="tx1"/>
            </w14:solidFill>
          </w14:textFill>
        </w:rPr>
      </w:pP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pacing w:val="0"/>
          <w:sz w:val="24"/>
          <w:szCs w:val="24"/>
          <w:highlight w:val="none"/>
          <w14:textFill>
            <w14:solidFill>
              <w14:schemeClr w14:val="tx1"/>
            </w14:solidFill>
          </w14:textFill>
        </w:rPr>
        <w:t>.3废标</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pacing w:val="0"/>
          <w:sz w:val="24"/>
          <w:szCs w:val="24"/>
          <w:highlight w:val="none"/>
          <w14:textFill>
            <w14:solidFill>
              <w14:schemeClr w14:val="tx1"/>
            </w14:solidFill>
          </w14:textFill>
        </w:rPr>
      </w:pPr>
      <w:r>
        <w:rPr>
          <w:rFonts w:hint="eastAsia" w:ascii="仿宋" w:hAnsi="仿宋" w:eastAsia="仿宋" w:cs="仿宋"/>
          <w:color w:val="000000" w:themeColor="text1"/>
          <w:spacing w:val="0"/>
          <w:sz w:val="24"/>
          <w:szCs w:val="24"/>
          <w:highlight w:val="none"/>
          <w14:textFill>
            <w14:solidFill>
              <w14:schemeClr w14:val="tx1"/>
            </w14:solidFill>
          </w14:textFill>
        </w:rPr>
        <w:t>在采购中，出现下列情形之一的，本项目应予废标：</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textAlignment w:val="auto"/>
        <w:rPr>
          <w:rFonts w:hint="eastAsia" w:ascii="仿宋" w:hAnsi="仿宋" w:eastAsia="仿宋" w:cs="仿宋"/>
          <w:color w:val="000000" w:themeColor="text1"/>
          <w:spacing w:val="0"/>
          <w:sz w:val="24"/>
          <w:szCs w:val="24"/>
          <w:highlight w:val="none"/>
          <w14:textFill>
            <w14:solidFill>
              <w14:schemeClr w14:val="tx1"/>
            </w14:solidFill>
          </w14:textFill>
        </w:rPr>
      </w:pPr>
      <w:r>
        <w:rPr>
          <w:rFonts w:hint="eastAsia" w:ascii="仿宋" w:hAnsi="仿宋" w:eastAsia="仿宋" w:cs="仿宋"/>
          <w:color w:val="000000" w:themeColor="text1"/>
          <w:spacing w:val="0"/>
          <w:sz w:val="24"/>
          <w:szCs w:val="24"/>
          <w:highlight w:val="none"/>
          <w14:textFill>
            <w14:solidFill>
              <w14:schemeClr w14:val="tx1"/>
            </w14:solidFill>
          </w14:textFill>
        </w:rPr>
        <w:t>(1</w:t>
      </w:r>
      <w:r>
        <w:rPr>
          <w:rFonts w:hint="eastAsia" w:ascii="仿宋" w:hAnsi="仿宋" w:eastAsia="仿宋" w:cs="仿宋"/>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0"/>
          <w:sz w:val="24"/>
          <w:szCs w:val="24"/>
          <w:highlight w:val="none"/>
          <w14:textFill>
            <w14:solidFill>
              <w14:schemeClr w14:val="tx1"/>
            </w14:solidFill>
          </w14:textFill>
        </w:rPr>
        <w:t>出现影响采购公正的违法、违规行为的；</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textAlignment w:val="auto"/>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14:textFill>
            <w14:solidFill>
              <w14:schemeClr w14:val="tx1"/>
            </w14:solidFill>
          </w14:textFill>
        </w:rPr>
        <w:t>(2</w:t>
      </w:r>
      <w:r>
        <w:rPr>
          <w:rFonts w:hint="eastAsia" w:ascii="仿宋" w:hAnsi="仿宋" w:eastAsia="仿宋" w:cs="仿宋"/>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有效投标人不足三家的；</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textAlignment w:val="auto"/>
        <w:rPr>
          <w:rFonts w:hint="eastAsia" w:ascii="仿宋" w:hAnsi="仿宋" w:eastAsia="仿宋" w:cs="仿宋"/>
        </w:rPr>
      </w:pPr>
      <w:r>
        <w:rPr>
          <w:rFonts w:hint="eastAsia" w:ascii="仿宋" w:hAnsi="仿宋" w:eastAsia="仿宋" w:cs="仿宋"/>
          <w:color w:val="000000" w:themeColor="text1"/>
          <w:spacing w:val="0"/>
          <w:sz w:val="24"/>
          <w:szCs w:val="24"/>
          <w:highlight w:val="none"/>
          <w14:textFill>
            <w14:solidFill>
              <w14:schemeClr w14:val="tx1"/>
            </w14:solidFill>
          </w14:textFill>
        </w:rPr>
        <w:t>(3</w:t>
      </w:r>
      <w:r>
        <w:rPr>
          <w:rFonts w:hint="eastAsia" w:ascii="仿宋" w:hAnsi="仿宋" w:eastAsia="仿宋" w:cs="仿宋"/>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0"/>
          <w:sz w:val="24"/>
          <w:szCs w:val="24"/>
          <w:highlight w:val="none"/>
          <w14:textFill>
            <w14:solidFill>
              <w14:schemeClr w14:val="tx1"/>
            </w14:solidFill>
          </w14:textFill>
        </w:rPr>
        <w:t>因重大变故，采购任务取消的。</w:t>
      </w:r>
    </w:p>
    <w:p>
      <w:pPr>
        <w:pStyle w:val="3"/>
        <w:bidi w:val="0"/>
        <w:rPr>
          <w:rFonts w:hint="eastAsia" w:ascii="仿宋" w:hAnsi="仿宋" w:eastAsia="仿宋" w:cs="仿宋"/>
          <w:color w:val="000000" w:themeColor="text1"/>
          <w14:textFill>
            <w14:solidFill>
              <w14:schemeClr w14:val="tx1"/>
            </w14:solidFill>
          </w14:textFill>
        </w:rPr>
      </w:pPr>
      <w:bookmarkStart w:id="88" w:name="_Toc17951"/>
      <w:bookmarkStart w:id="89" w:name="_Toc5562"/>
      <w:bookmarkStart w:id="90" w:name="_Toc7520"/>
      <w:r>
        <w:rPr>
          <w:rFonts w:hint="eastAsia" w:ascii="仿宋" w:hAnsi="仿宋" w:eastAsia="仿宋" w:cs="仿宋"/>
          <w:color w:val="000000" w:themeColor="text1"/>
          <w14:textFill>
            <w14:solidFill>
              <w14:schemeClr w14:val="tx1"/>
            </w14:solidFill>
          </w14:textFill>
        </w:rPr>
        <w:t>六、定标及</w:t>
      </w:r>
      <w:bookmarkStart w:id="91" w:name="_Toc9510640"/>
      <w:r>
        <w:rPr>
          <w:rFonts w:hint="eastAsia" w:ascii="仿宋" w:hAnsi="仿宋" w:eastAsia="仿宋" w:cs="仿宋"/>
          <w:color w:val="000000" w:themeColor="text1"/>
          <w14:textFill>
            <w14:solidFill>
              <w14:schemeClr w14:val="tx1"/>
            </w14:solidFill>
          </w14:textFill>
        </w:rPr>
        <w:t>合同授予</w:t>
      </w:r>
      <w:bookmarkEnd w:id="88"/>
      <w:bookmarkEnd w:id="89"/>
      <w:bookmarkEnd w:id="90"/>
    </w:p>
    <w:p>
      <w:pPr>
        <w:pStyle w:val="4"/>
        <w:bidi w:val="0"/>
        <w:rPr>
          <w:rFonts w:hint="eastAsia" w:ascii="仿宋" w:hAnsi="仿宋" w:eastAsia="仿宋" w:cs="仿宋"/>
          <w:color w:val="000000" w:themeColor="text1"/>
          <w14:textFill>
            <w14:solidFill>
              <w14:schemeClr w14:val="tx1"/>
            </w14:solidFill>
          </w14:textFill>
        </w:rPr>
      </w:pPr>
      <w:bookmarkStart w:id="92" w:name="_Toc31428"/>
      <w:r>
        <w:rPr>
          <w:rFonts w:hint="eastAsia" w:ascii="仿宋" w:hAnsi="仿宋" w:eastAsia="仿宋" w:cs="仿宋"/>
          <w:color w:val="000000" w:themeColor="text1"/>
          <w:lang w:val="en-US" w:eastAsia="zh-CN"/>
          <w14:textFill>
            <w14:solidFill>
              <w14:schemeClr w14:val="tx1"/>
            </w14:solidFill>
          </w14:textFill>
        </w:rPr>
        <w:t>29</w:t>
      </w:r>
      <w:r>
        <w:rPr>
          <w:rFonts w:hint="eastAsia" w:ascii="仿宋" w:hAnsi="仿宋" w:eastAsia="仿宋" w:cs="仿宋"/>
          <w:color w:val="000000" w:themeColor="text1"/>
          <w14:textFill>
            <w14:solidFill>
              <w14:schemeClr w14:val="tx1"/>
            </w14:solidFill>
          </w14:textFill>
        </w:rPr>
        <w:t>、确</w:t>
      </w:r>
      <w:bookmarkEnd w:id="91"/>
      <w:r>
        <w:rPr>
          <w:rFonts w:hint="eastAsia" w:ascii="仿宋" w:hAnsi="仿宋" w:eastAsia="仿宋" w:cs="仿宋"/>
          <w:color w:val="000000" w:themeColor="text1"/>
          <w14:textFill>
            <w14:solidFill>
              <w14:schemeClr w14:val="tx1"/>
            </w14:solidFill>
          </w14:textFill>
        </w:rPr>
        <w:t>定中标人</w:t>
      </w:r>
      <w:bookmarkEnd w:id="92"/>
    </w:p>
    <w:p>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.1本项目由评标委员会以打分的方法，以得分高低先后顺序，原则上选定综合得分最高的为中标人。如排名第一</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投标人因不可抗力或者自身原因不能履行合同的，根据相关办法规定，可以确定排名第二的</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候选人为中标人，或认定</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无效，</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无效的重新组织</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2中标人确定之日起2个工作日内，采购人或者采购代理机构应将中标结果在规定的公告媒体上公布。投标人如对评审结果有质疑的，按照《中华人民共和国政府采购法》、《中华人民共和国政府采购法实施条例》等有关程序办理。</w:t>
      </w:r>
    </w:p>
    <w:p>
      <w:pPr>
        <w:keepNext w:val="0"/>
        <w:keepLines w:val="0"/>
        <w:pageBreakBefore w:val="0"/>
        <w:widowControl w:val="0"/>
        <w:kinsoku/>
        <w:wordWrap/>
        <w:overflowPunct/>
        <w:topLinePunct w:val="0"/>
        <w:autoSpaceDE/>
        <w:autoSpaceDN/>
        <w:bidi w:val="0"/>
        <w:adjustRightInd w:val="0"/>
        <w:snapToGrid w:val="0"/>
        <w:spacing w:line="500" w:lineRule="exact"/>
        <w:ind w:firstLine="472" w:firstLineChars="196"/>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29.3最低报价不作为中标的唯一依据。</w:t>
      </w:r>
    </w:p>
    <w:p>
      <w:pPr>
        <w:pStyle w:val="4"/>
        <w:bidi w:val="0"/>
        <w:rPr>
          <w:rFonts w:hint="eastAsia" w:ascii="仿宋" w:hAnsi="仿宋" w:eastAsia="仿宋" w:cs="仿宋"/>
          <w:color w:val="000000" w:themeColor="text1"/>
          <w14:textFill>
            <w14:solidFill>
              <w14:schemeClr w14:val="tx1"/>
            </w14:solidFill>
          </w14:textFill>
        </w:rPr>
      </w:pPr>
      <w:bookmarkStart w:id="93" w:name="_Toc4164"/>
      <w:r>
        <w:rPr>
          <w:rFonts w:hint="eastAsia" w:ascii="仿宋" w:hAnsi="仿宋" w:eastAsia="仿宋" w:cs="仿宋"/>
          <w:color w:val="000000" w:themeColor="text1"/>
          <w:lang w:val="en-US" w:eastAsia="zh-CN"/>
          <w14:textFill>
            <w14:solidFill>
              <w14:schemeClr w14:val="tx1"/>
            </w14:solidFill>
          </w14:textFill>
        </w:rPr>
        <w:t>30</w:t>
      </w:r>
      <w:r>
        <w:rPr>
          <w:rFonts w:hint="eastAsia" w:ascii="仿宋" w:hAnsi="仿宋" w:eastAsia="仿宋" w:cs="仿宋"/>
          <w:color w:val="000000" w:themeColor="text1"/>
          <w14:textFill>
            <w14:solidFill>
              <w14:schemeClr w14:val="tx1"/>
            </w14:solidFill>
          </w14:textFill>
        </w:rPr>
        <w:t>、签订合同</w:t>
      </w:r>
      <w:bookmarkEnd w:id="93"/>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和中标人的投标文件均为签订采购合同的依据。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.2中标人应当在中标通知书发出之日起30日内，与采购人签订采购合同。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.3采购人不得与中标投标人订立背离</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确定的合同文本以及采购标的、规格型</w:t>
      </w:r>
      <w:r>
        <w:rPr>
          <w:rFonts w:hint="eastAsia" w:ascii="仿宋" w:hAnsi="仿宋" w:eastAsia="仿宋" w:cs="仿宋"/>
          <w:color w:val="auto"/>
          <w:sz w:val="24"/>
          <w:szCs w:val="24"/>
          <w:highlight w:val="none"/>
        </w:rPr>
        <w:t>号、采购金额、采购数量、技术和服务要求等实质性内容的协议。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.4自政府采购合同签订之日起2个工作日内，本项目政府采购合同在投标人须知</w:t>
      </w:r>
      <w:r>
        <w:rPr>
          <w:rFonts w:hint="eastAsia" w:ascii="仿宋" w:hAnsi="仿宋" w:eastAsia="仿宋" w:cs="仿宋"/>
          <w:color w:val="auto"/>
          <w:sz w:val="24"/>
          <w:szCs w:val="24"/>
          <w:highlight w:val="none"/>
          <w:lang w:val="en-US" w:eastAsia="zh-CN"/>
        </w:rPr>
        <w:t>前附表规定的媒体上公告，但政府采购合同中涉及国家秘密、商业秘密的内容除外。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30.5中标或者中标投标人拒绝与采购人签订合同的，采购人可以按照评审报告推荐的中标或者中标候选人名单排序，确定下一候选人为中标或者中标投标人，也可以重新开展政府采购活动。</w:t>
      </w:r>
    </w:p>
    <w:p>
      <w:pPr>
        <w:pStyle w:val="4"/>
        <w:bidi w:val="0"/>
        <w:rPr>
          <w:rFonts w:hint="eastAsia" w:ascii="仿宋" w:hAnsi="仿宋" w:eastAsia="仿宋" w:cs="仿宋"/>
          <w:color w:val="000000" w:themeColor="text1"/>
          <w14:textFill>
            <w14:solidFill>
              <w14:schemeClr w14:val="tx1"/>
            </w14:solidFill>
          </w14:textFill>
        </w:rPr>
      </w:pPr>
      <w:bookmarkStart w:id="94" w:name="_Toc15336"/>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、其他说明</w:t>
      </w:r>
      <w:bookmarkEnd w:id="94"/>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保密要求：在合同期内或合同终止后，未征得有关方同意，不得泄露与本项目、本合同业务有关的保密资料。</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w:t>
      </w:r>
      <w:r>
        <w:rPr>
          <w:rFonts w:hint="eastAsia" w:ascii="仿宋" w:hAnsi="仿宋" w:eastAsia="仿宋" w:cs="仿宋"/>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Cs/>
          <w:color w:val="000000" w:themeColor="text1"/>
          <w:sz w:val="24"/>
          <w:szCs w:val="24"/>
          <w:highlight w:val="none"/>
          <w14:textFill>
            <w14:solidFill>
              <w14:schemeClr w14:val="tx1"/>
            </w14:solidFill>
          </w14:textFill>
        </w:rPr>
        <w:t>未尽事宜按现行</w:t>
      </w:r>
      <w:r>
        <w:rPr>
          <w:rFonts w:hint="eastAsia" w:ascii="仿宋" w:hAnsi="仿宋" w:eastAsia="仿宋" w:cs="仿宋"/>
          <w:bCs/>
          <w:color w:val="000000" w:themeColor="text1"/>
          <w:sz w:val="24"/>
          <w:szCs w:val="24"/>
          <w:highlight w:val="none"/>
          <w:lang w:eastAsia="zh-CN"/>
          <w14:textFill>
            <w14:solidFill>
              <w14:schemeClr w14:val="tx1"/>
            </w14:solidFill>
          </w14:textFill>
        </w:rPr>
        <w:t>采购</w:t>
      </w:r>
      <w:r>
        <w:rPr>
          <w:rFonts w:hint="eastAsia" w:ascii="仿宋" w:hAnsi="仿宋" w:eastAsia="仿宋" w:cs="仿宋"/>
          <w:bCs/>
          <w:color w:val="000000" w:themeColor="text1"/>
          <w:sz w:val="24"/>
          <w:szCs w:val="24"/>
          <w:highlight w:val="none"/>
          <w14:textFill>
            <w14:solidFill>
              <w14:schemeClr w14:val="tx1"/>
            </w14:solidFill>
          </w14:textFill>
        </w:rPr>
        <w:t>投标的有关法律法规和规定执行。</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pPr>
        <w:pStyle w:val="2"/>
        <w:rPr>
          <w:rFonts w:hint="eastAsia" w:ascii="仿宋" w:hAnsi="仿宋" w:eastAsia="仿宋" w:cs="仿宋"/>
          <w:color w:val="000000" w:themeColor="text1"/>
          <w14:textFill>
            <w14:solidFill>
              <w14:schemeClr w14:val="tx1"/>
            </w14:solidFill>
          </w14:textFill>
        </w:rPr>
      </w:pPr>
      <w:bookmarkStart w:id="95" w:name="_Toc8515"/>
      <w:bookmarkStart w:id="96" w:name="_Toc23127"/>
      <w:bookmarkStart w:id="97" w:name="_Toc11392"/>
      <w:bookmarkStart w:id="98" w:name="_Toc30905"/>
      <w:bookmarkStart w:id="99" w:name="_Toc18570"/>
      <w:r>
        <w:rPr>
          <w:rFonts w:hint="eastAsia" w:ascii="仿宋" w:hAnsi="仿宋" w:eastAsia="仿宋" w:cs="仿宋"/>
          <w:color w:val="000000" w:themeColor="text1"/>
          <w14:textFill>
            <w14:solidFill>
              <w14:schemeClr w14:val="tx1"/>
            </w14:solidFill>
          </w14:textFill>
        </w:rPr>
        <w:t>第三章 评分</w:t>
      </w:r>
      <w:bookmarkEnd w:id="95"/>
      <w:bookmarkEnd w:id="96"/>
      <w:r>
        <w:rPr>
          <w:rFonts w:hint="eastAsia" w:ascii="仿宋" w:hAnsi="仿宋" w:eastAsia="仿宋" w:cs="仿宋"/>
          <w:color w:val="000000" w:themeColor="text1"/>
          <w14:textFill>
            <w14:solidFill>
              <w14:schemeClr w14:val="tx1"/>
            </w14:solidFill>
          </w14:textFill>
        </w:rPr>
        <w:t>办法及评分标准</w:t>
      </w:r>
      <w:bookmarkEnd w:id="97"/>
      <w:bookmarkEnd w:id="98"/>
      <w:bookmarkEnd w:id="99"/>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为公正、公平、科学地选择中标人，根据有关法律法规的规定，并结合本项目的实际情况，制定本办法。</w:t>
      </w:r>
    </w:p>
    <w:p>
      <w:pPr>
        <w:pStyle w:val="3"/>
        <w:rPr>
          <w:rFonts w:hint="eastAsia" w:ascii="仿宋" w:hAnsi="仿宋" w:eastAsia="仿宋" w:cs="仿宋"/>
          <w:color w:val="000000" w:themeColor="text1"/>
          <w14:textFill>
            <w14:solidFill>
              <w14:schemeClr w14:val="tx1"/>
            </w14:solidFill>
          </w14:textFill>
        </w:rPr>
      </w:pPr>
      <w:bookmarkStart w:id="100" w:name="_Toc32479"/>
      <w:bookmarkStart w:id="101" w:name="_Toc29264"/>
      <w:bookmarkStart w:id="102" w:name="_Toc21548"/>
      <w:r>
        <w:rPr>
          <w:rFonts w:hint="eastAsia" w:ascii="仿宋" w:hAnsi="仿宋" w:eastAsia="仿宋" w:cs="仿宋"/>
          <w:color w:val="000000" w:themeColor="text1"/>
          <w14:textFill>
            <w14:solidFill>
              <w14:schemeClr w14:val="tx1"/>
            </w14:solidFill>
          </w14:textFill>
        </w:rPr>
        <w:t>一、评标组织</w:t>
      </w:r>
      <w:bookmarkEnd w:id="100"/>
      <w:bookmarkEnd w:id="101"/>
      <w:bookmarkEnd w:id="102"/>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bookmarkStart w:id="103" w:name="_Toc249760792"/>
      <w:bookmarkStart w:id="104" w:name="_Toc251566663"/>
      <w:bookmarkStart w:id="105" w:name="_Toc405213814"/>
      <w:r>
        <w:rPr>
          <w:rFonts w:hint="eastAsia" w:ascii="仿宋" w:hAnsi="仿宋" w:eastAsia="仿宋" w:cs="仿宋"/>
          <w:color w:val="000000" w:themeColor="text1"/>
          <w:sz w:val="24"/>
          <w:szCs w:val="24"/>
          <w14:textFill>
            <w14:solidFill>
              <w14:schemeClr w14:val="tx1"/>
            </w14:solidFill>
          </w14:textFill>
        </w:rPr>
        <w:t>评标工作</w:t>
      </w:r>
      <w:bookmarkEnd w:id="103"/>
      <w:bookmarkEnd w:id="104"/>
      <w:bookmarkEnd w:id="105"/>
      <w:r>
        <w:rPr>
          <w:rFonts w:hint="eastAsia" w:ascii="仿宋" w:hAnsi="仿宋" w:eastAsia="仿宋" w:cs="仿宋"/>
          <w:color w:val="000000" w:themeColor="text1"/>
          <w:sz w:val="24"/>
          <w:szCs w:val="24"/>
          <w14:textFill>
            <w14:solidFill>
              <w14:schemeClr w14:val="tx1"/>
            </w14:solidFill>
          </w14:textFill>
        </w:rPr>
        <w:t>由</w:t>
      </w:r>
      <w:bookmarkStart w:id="106" w:name="_Toc249760793"/>
      <w:bookmarkStart w:id="107" w:name="_Toc405213815"/>
      <w:bookmarkStart w:id="108" w:name="_Toc251566664"/>
      <w:r>
        <w:rPr>
          <w:rFonts w:hint="eastAsia" w:ascii="仿宋" w:hAnsi="仿宋" w:eastAsia="仿宋" w:cs="仿宋"/>
          <w:color w:val="000000" w:themeColor="text1"/>
          <w:sz w:val="24"/>
          <w:szCs w:val="24"/>
          <w14:textFill>
            <w14:solidFill>
              <w14:schemeClr w14:val="tx1"/>
            </w14:solidFill>
          </w14:textFill>
        </w:rPr>
        <w:t>采购代理机构负责组织，具体评标事务由依法组建的评标委员会负责。</w:t>
      </w:r>
    </w:p>
    <w:p>
      <w:pPr>
        <w:pStyle w:val="3"/>
        <w:rPr>
          <w:rFonts w:hint="eastAsia" w:ascii="仿宋" w:hAnsi="仿宋" w:eastAsia="仿宋" w:cs="仿宋"/>
          <w:color w:val="000000" w:themeColor="text1"/>
          <w14:textFill>
            <w14:solidFill>
              <w14:schemeClr w14:val="tx1"/>
            </w14:solidFill>
          </w14:textFill>
        </w:rPr>
      </w:pPr>
      <w:bookmarkStart w:id="109" w:name="_Toc3581"/>
      <w:bookmarkStart w:id="110" w:name="_Toc24221"/>
      <w:bookmarkStart w:id="111" w:name="_Toc12564"/>
      <w:r>
        <w:rPr>
          <w:rFonts w:hint="eastAsia" w:ascii="仿宋" w:hAnsi="仿宋" w:eastAsia="仿宋" w:cs="仿宋"/>
          <w:color w:val="000000" w:themeColor="text1"/>
          <w14:textFill>
            <w14:solidFill>
              <w14:schemeClr w14:val="tx1"/>
            </w14:solidFill>
          </w14:textFill>
        </w:rPr>
        <w:t>二、评标纪律</w:t>
      </w:r>
      <w:bookmarkEnd w:id="109"/>
      <w:bookmarkEnd w:id="110"/>
      <w:bookmarkEnd w:id="111"/>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1．评标</w:t>
      </w:r>
      <w:bookmarkEnd w:id="106"/>
      <w:bookmarkEnd w:id="107"/>
      <w:bookmarkEnd w:id="108"/>
      <w:r>
        <w:rPr>
          <w:rFonts w:hint="eastAsia" w:ascii="仿宋" w:hAnsi="仿宋" w:eastAsia="仿宋" w:cs="仿宋"/>
          <w:color w:val="000000" w:themeColor="text1"/>
          <w:sz w:val="24"/>
          <w:szCs w:val="24"/>
          <w14:textFill>
            <w14:solidFill>
              <w14:schemeClr w14:val="tx1"/>
            </w14:solidFill>
          </w14:textFill>
        </w:rPr>
        <w:t>是</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工作的重要环节，评标工作在评标委员会内独立进行。评标委员会将按照评标原则的要求，公正、平等地对待所有投标人。</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2．所有评标人员应忠于职守、廉洁自律、秉公办事、不徇私情。</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3．评标人员不得接受或参加投标人或与投标有关的单位、组织或个人的有碍公务的宴请、娱乐活动等，不得以任何形式弄虚作假。</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4．评标期间，评标人员不得随意出入评标地点、与外界通讯、会客等。</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5．在投标文件的审查、澄清、评价和比较以及授予合同的过程中，投标人对采购人、采购代理机构人员及评标委员会成员施加影响的任何行为，都将导致被取消投标资格。</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7．评标过程中，评标专家对投标人的优劣情况，以及认为差异较大的情况，应以书面意见作出真实、专业、诚恳负责的表述，不得违背客观、公正的原则。</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8．评标结束后，各评标人员应将全部资料整理上交采购代理机构，严禁将评标过程中的任何资料带出评标现场向投标人或其他单位提供。</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9．在中标结果公布前应对评标委员会成员名单予以保密。</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10．评标委员会对各投标人的商业秘密予以保密。</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11．评标委员会成员应当客观、公正地履行职责，遵守职业道德，对所提出的评审意见承担个人责任。</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12．在整个评标过程中，投标人企图影响</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结果的任何活动，可能导致其投标失败。如有违法行为，将依法追究其法律责任。</w:t>
      </w:r>
    </w:p>
    <w:p>
      <w:pPr>
        <w:pStyle w:val="3"/>
        <w:rPr>
          <w:rFonts w:hint="eastAsia" w:ascii="仿宋" w:hAnsi="仿宋" w:eastAsia="仿宋" w:cs="仿宋"/>
          <w:color w:val="000000" w:themeColor="text1"/>
          <w14:textFill>
            <w14:solidFill>
              <w14:schemeClr w14:val="tx1"/>
            </w14:solidFill>
          </w14:textFill>
        </w:rPr>
      </w:pPr>
      <w:bookmarkStart w:id="112" w:name="_Toc25949"/>
      <w:bookmarkStart w:id="113" w:name="_Toc10772"/>
      <w:bookmarkStart w:id="114" w:name="_Toc6124"/>
      <w:r>
        <w:rPr>
          <w:rFonts w:hint="eastAsia" w:ascii="仿宋" w:hAnsi="仿宋" w:eastAsia="仿宋" w:cs="仿宋"/>
          <w:color w:val="000000" w:themeColor="text1"/>
          <w14:textFill>
            <w14:solidFill>
              <w14:schemeClr w14:val="tx1"/>
            </w14:solidFill>
          </w14:textFill>
        </w:rPr>
        <w:t>三、评分标准和细则</w:t>
      </w:r>
      <w:bookmarkEnd w:id="112"/>
      <w:bookmarkEnd w:id="113"/>
      <w:bookmarkEnd w:id="114"/>
    </w:p>
    <w:p>
      <w:pPr>
        <w:spacing w:line="5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（一）评分标准：</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1.评标委员会根据</w:t>
      </w:r>
      <w:r>
        <w:rPr>
          <w:rFonts w:hint="eastAsia" w:ascii="仿宋" w:hAnsi="仿宋" w:eastAsia="仿宋" w:cs="仿宋"/>
          <w:color w:val="000000" w:themeColor="text1"/>
          <w:sz w:val="24"/>
          <w:szCs w:val="24"/>
          <w:lang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文件对各投标文件技术内容充分审核、讨论、评议后，评标委员会按评分细则，进行评判，每人一张评分票，并记名；如某张评分票的一个项目评分超过规定的分值范围，则该张评分票无效；各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技术的最终评分值为评标委员会成员的有效评分票的算术平均值。</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2.评标委员会成员按评分细则对各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的最终报价进行统一计算评分，集体统一判定评分。</w:t>
      </w: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的综合评分为技术、商务和投标报价</w:t>
      </w:r>
      <w:r>
        <w:rPr>
          <w:rFonts w:hint="eastAsia" w:ascii="仿宋" w:hAnsi="仿宋" w:eastAsia="仿宋" w:cs="仿宋"/>
          <w:color w:val="000000" w:themeColor="text1"/>
          <w:sz w:val="24"/>
          <w:szCs w:val="24"/>
          <w:lang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部分的总计，由指定专人进行计算和复核。中标候选资格按评标得分由高到低顺序排列，得分相同的，按投标报价由低到高顺序排列；得分且投标报价相同的，按技术得分由高到低顺序排列。</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（二）评分细则：</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rPr>
      </w:pPr>
      <w:r>
        <w:rPr>
          <w:rFonts w:hint="eastAsia" w:ascii="仿宋" w:hAnsi="仿宋" w:eastAsia="仿宋" w:cs="仿宋"/>
          <w:b/>
          <w:bCs/>
          <w:color w:val="000000" w:themeColor="text1"/>
          <w:sz w:val="24"/>
          <w:szCs w:val="24"/>
          <w14:textFill>
            <w14:solidFill>
              <w14:schemeClr w14:val="tx1"/>
            </w14:solidFill>
          </w14:textFill>
        </w:rPr>
        <w:t>1、技术和商务分（70分）</w:t>
      </w:r>
    </w:p>
    <w:tbl>
      <w:tblPr>
        <w:tblStyle w:val="38"/>
        <w:tblW w:w="8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805"/>
        <w:gridCol w:w="6196"/>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87" w:type="dxa"/>
            <w:tcMar>
              <w:top w:w="15" w:type="dxa"/>
              <w:left w:w="15" w:type="dxa"/>
              <w:right w:w="15" w:type="dxa"/>
            </w:tcMar>
            <w:vAlign w:val="center"/>
          </w:tcPr>
          <w:p>
            <w:pPr>
              <w:pStyle w:val="22"/>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评分因素及权重</w:t>
            </w:r>
          </w:p>
        </w:tc>
        <w:tc>
          <w:tcPr>
            <w:tcW w:w="805" w:type="dxa"/>
            <w:tcMar>
              <w:top w:w="15" w:type="dxa"/>
              <w:left w:w="15" w:type="dxa"/>
              <w:right w:w="15" w:type="dxa"/>
            </w:tcMar>
            <w:vAlign w:val="center"/>
          </w:tcPr>
          <w:p>
            <w:pPr>
              <w:pStyle w:val="22"/>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评标因素</w:t>
            </w:r>
          </w:p>
        </w:tc>
        <w:tc>
          <w:tcPr>
            <w:tcW w:w="6196" w:type="dxa"/>
            <w:tcMar>
              <w:top w:w="15" w:type="dxa"/>
              <w:left w:w="15" w:type="dxa"/>
              <w:right w:w="15" w:type="dxa"/>
            </w:tcMar>
            <w:vAlign w:val="center"/>
          </w:tcPr>
          <w:p>
            <w:pPr>
              <w:pStyle w:val="22"/>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8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rPr>
              <w:t>价格部分（30分）</w:t>
            </w:r>
          </w:p>
        </w:tc>
        <w:tc>
          <w:tcPr>
            <w:tcW w:w="8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w:t>
            </w:r>
          </w:p>
          <w:p>
            <w:pPr>
              <w:widowControl/>
              <w:spacing w:line="400" w:lineRule="exact"/>
              <w:jc w:val="center"/>
              <w:textAlignment w:val="center"/>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rPr>
              <w:t>报价</w:t>
            </w:r>
          </w:p>
        </w:tc>
        <w:tc>
          <w:tcPr>
            <w:tcW w:w="6196" w:type="dxa"/>
            <w:tcMar>
              <w:top w:w="15" w:type="dxa"/>
              <w:left w:w="15" w:type="dxa"/>
              <w:right w:w="15" w:type="dxa"/>
            </w:tcMar>
            <w:vAlign w:val="center"/>
          </w:tcPr>
          <w:p>
            <w:pPr>
              <w:widowControl/>
              <w:spacing w:line="400" w:lineRule="exact"/>
              <w:ind w:firstLine="480" w:firstLineChars="200"/>
              <w:textAlignment w:val="center"/>
              <w:rPr>
                <w:rFonts w:hint="eastAsia" w:ascii="仿宋" w:hAnsi="仿宋" w:eastAsia="仿宋" w:cs="仿宋"/>
                <w:highlight w:val="none"/>
              </w:rPr>
            </w:pPr>
            <w:r>
              <w:rPr>
                <w:rFonts w:hint="eastAsia" w:ascii="仿宋" w:hAnsi="仿宋" w:eastAsia="仿宋" w:cs="仿宋"/>
                <w:kern w:val="0"/>
                <w:sz w:val="24"/>
                <w:szCs w:val="24"/>
                <w:highlight w:val="none"/>
              </w:rPr>
              <w:t>综合评分法中的价格分统一采用低价优先法计算，即满足招标文件要求且投标价格最低的投标报价为评标基准价，其价格分为满分30分，其它投标报价得分=评标基准价/</w:t>
            </w:r>
            <w:r>
              <w:rPr>
                <w:rFonts w:hint="eastAsia" w:ascii="仿宋" w:hAnsi="仿宋" w:eastAsia="仿宋" w:cs="仿宋"/>
                <w:kern w:val="0"/>
                <w:sz w:val="24"/>
                <w:szCs w:val="24"/>
                <w:highlight w:val="none"/>
                <w:lang w:eastAsia="zh-CN"/>
              </w:rPr>
              <w:t>有效投标报价</w:t>
            </w:r>
            <w:r>
              <w:rPr>
                <w:rFonts w:hint="eastAsia" w:ascii="仿宋" w:hAnsi="仿宋" w:eastAsia="仿宋" w:cs="仿宋"/>
                <w:kern w:val="0"/>
                <w:sz w:val="24"/>
                <w:szCs w:val="24"/>
                <w:highlight w:val="none"/>
              </w:rPr>
              <w:t>*30</w:t>
            </w:r>
          </w:p>
        </w:tc>
        <w:tc>
          <w:tcPr>
            <w:tcW w:w="80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jc w:val="center"/>
        </w:trPr>
        <w:tc>
          <w:tcPr>
            <w:tcW w:w="1087" w:type="dxa"/>
            <w:vMerge w:val="restart"/>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商务部分（</w:t>
            </w:r>
            <w:r>
              <w:rPr>
                <w:rFonts w:hint="eastAsia" w:ascii="仿宋" w:hAnsi="仿宋" w:eastAsia="仿宋" w:cs="仿宋"/>
                <w:kern w:val="0"/>
                <w:sz w:val="24"/>
                <w:szCs w:val="24"/>
                <w:highlight w:val="none"/>
                <w:lang w:val="en-US" w:eastAsia="zh-CN"/>
              </w:rPr>
              <w:t>25分</w:t>
            </w:r>
            <w:r>
              <w:rPr>
                <w:rFonts w:hint="eastAsia" w:ascii="仿宋" w:hAnsi="仿宋" w:eastAsia="仿宋" w:cs="仿宋"/>
                <w:kern w:val="0"/>
                <w:sz w:val="24"/>
                <w:szCs w:val="24"/>
                <w:highlight w:val="none"/>
                <w:lang w:eastAsia="zh-CN"/>
              </w:rPr>
              <w:t>）</w:t>
            </w:r>
          </w:p>
        </w:tc>
        <w:tc>
          <w:tcPr>
            <w:tcW w:w="8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业绩证明</w:t>
            </w:r>
          </w:p>
        </w:tc>
        <w:tc>
          <w:tcPr>
            <w:tcW w:w="6196" w:type="dxa"/>
            <w:tcMar>
              <w:top w:w="15" w:type="dxa"/>
              <w:left w:w="15" w:type="dxa"/>
              <w:right w:w="15" w:type="dxa"/>
            </w:tcMar>
            <w:vAlign w:val="center"/>
          </w:tcPr>
          <w:p>
            <w:pPr>
              <w:widowControl/>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投标人近三年内（2020年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月1日起至今，以合同签订日期为准）完成的项目金额500万元</w:t>
            </w:r>
            <w:r>
              <w:rPr>
                <w:rFonts w:hint="eastAsia" w:ascii="仿宋" w:hAnsi="仿宋" w:eastAsia="仿宋" w:cs="仿宋"/>
                <w:color w:val="auto"/>
                <w:sz w:val="24"/>
                <w:szCs w:val="24"/>
                <w:highlight w:val="none"/>
                <w:lang w:eastAsia="zh-CN"/>
              </w:rPr>
              <w:t>以上</w:t>
            </w:r>
            <w:r>
              <w:rPr>
                <w:rFonts w:hint="eastAsia" w:ascii="仿宋" w:hAnsi="仿宋" w:eastAsia="仿宋" w:cs="仿宋"/>
                <w:color w:val="auto"/>
                <w:sz w:val="24"/>
                <w:szCs w:val="24"/>
                <w:highlight w:val="none"/>
              </w:rPr>
              <w:t>类似项目的业绩，每个项目业绩得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widowControl/>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注：①提供中标(成交)通知书或合同复印件(合同证明包括但不仅限于合同首页、主要内容页、盖章页等)、发票等相关证明材料，未按要求提供的不得分；②类似业绩指无人机相关设备或服务类业绩。</w:t>
            </w:r>
          </w:p>
          <w:p>
            <w:pPr>
              <w:pStyle w:val="37"/>
              <w:numPr>
                <w:ilvl w:val="0"/>
                <w:numId w:val="0"/>
              </w:numPr>
              <w:rPr>
                <w:rFonts w:hint="eastAsia" w:ascii="仿宋" w:hAnsi="仿宋" w:eastAsia="仿宋" w:cs="仿宋"/>
                <w:kern w:val="2"/>
                <w:sz w:val="21"/>
                <w:szCs w:val="20"/>
                <w:lang w:val="en-US" w:eastAsia="zh-CN" w:bidi="ar-SA"/>
              </w:rPr>
            </w:pPr>
            <w:r>
              <w:rPr>
                <w:rFonts w:hint="eastAsia" w:ascii="仿宋" w:hAnsi="仿宋" w:eastAsia="仿宋" w:cs="仿宋"/>
                <w:color w:val="auto"/>
                <w:sz w:val="24"/>
                <w:szCs w:val="24"/>
                <w:highlight w:val="none"/>
                <w:lang w:val="en-US" w:eastAsia="zh-CN"/>
              </w:rPr>
              <w:t>2、投标人履约评价情况证明：以业主单位提供的无人机相关业绩的用户评价证明材料为准，（评价指用户满意，给予高度评价等）的，每提供一项得1分，最高5分。</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r>
              <w:rPr>
                <w:rFonts w:hint="eastAsia" w:ascii="仿宋" w:hAnsi="仿宋" w:eastAsia="仿宋" w:cs="仿宋"/>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87" w:type="dxa"/>
            <w:vMerge w:val="continue"/>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4"/>
                <w:szCs w:val="24"/>
                <w:highlight w:val="none"/>
              </w:rPr>
            </w:pPr>
          </w:p>
        </w:tc>
        <w:tc>
          <w:tcPr>
            <w:tcW w:w="805" w:type="dxa"/>
            <w:vMerge w:val="restart"/>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综合实力</w:t>
            </w:r>
          </w:p>
        </w:tc>
        <w:tc>
          <w:tcPr>
            <w:tcW w:w="6196" w:type="dxa"/>
            <w:tcMar>
              <w:top w:w="15" w:type="dxa"/>
              <w:left w:w="15" w:type="dxa"/>
              <w:right w:w="15" w:type="dxa"/>
            </w:tcMar>
            <w:vAlign w:val="top"/>
          </w:tcPr>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1、投标人具有ISO9001质量管理体系认证、ISO14001环境管理体系认证、ISO45001职业健康安全管理体系认证，且认证范围包含无人机或无人飞行器相关设备，满足1项得1分，共3分。</w:t>
            </w:r>
          </w:p>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2、投标人通过信息安全管理体系认证且认证范围包含无人机或无人飞行器相关设备，共1分。</w:t>
            </w:r>
          </w:p>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CN" w:bidi="ar-SA"/>
              </w:rPr>
              <w:t>3、投标人通过GB/T29490-2013知识产权管理体系认证且认证范围包含全自主智能巡检无人飞行器系统，共1分。</w:t>
            </w:r>
          </w:p>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CN" w:bidi="ar-SA"/>
              </w:rPr>
              <w:t>注：以上证书需提供有效证书复印件加盖公章和中国国家认证认可监督管理委员会(http://www.cnca.gov.cn)或中国合格评定国家认可委员会(https:/www.cnas.org.cn)网站的下载网页并注明网址作为证明材料，否则不得分。</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7" w:type="dxa"/>
            <w:vMerge w:val="continue"/>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4"/>
                <w:szCs w:val="24"/>
                <w:highlight w:val="none"/>
              </w:rPr>
            </w:pPr>
          </w:p>
        </w:tc>
        <w:tc>
          <w:tcPr>
            <w:tcW w:w="805" w:type="dxa"/>
            <w:vMerge w:val="continue"/>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4"/>
                <w:szCs w:val="24"/>
                <w:highlight w:val="none"/>
              </w:rPr>
            </w:pPr>
          </w:p>
        </w:tc>
        <w:tc>
          <w:tcPr>
            <w:tcW w:w="6196" w:type="dxa"/>
            <w:tcMar>
              <w:top w:w="15" w:type="dxa"/>
              <w:left w:w="15" w:type="dxa"/>
              <w:right w:w="15" w:type="dxa"/>
            </w:tcMar>
            <w:vAlign w:val="top"/>
          </w:tcPr>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1、投标人通过CMMI软件成熟度认证，提供有效期内的认证证书复印件加盖公章，得2.5分，否则不得分。</w:t>
            </w:r>
          </w:p>
          <w:p>
            <w:pPr>
              <w:pStyle w:val="209"/>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kern w:val="0"/>
                <w:sz w:val="20"/>
                <w:szCs w:val="20"/>
                <w:lang w:val="en-US" w:eastAsia="zh-Hans" w:bidi="ar-SA"/>
              </w:rPr>
            </w:pPr>
            <w:r>
              <w:rPr>
                <w:rFonts w:hint="eastAsia" w:ascii="仿宋" w:hAnsi="仿宋" w:eastAsia="仿宋" w:cs="仿宋"/>
                <w:color w:val="auto"/>
                <w:kern w:val="2"/>
                <w:sz w:val="24"/>
                <w:szCs w:val="24"/>
                <w:highlight w:val="none"/>
                <w:lang w:val="en-US" w:eastAsia="zh-CN" w:bidi="ar-SA"/>
              </w:rPr>
              <w:t>2、投标人具有乙级及以上测绘资质证书并且专业类别包含测绘航空摄影、摄影测量与遥感和地理信息系统的，提供有效期内的认证证书复印件加盖公章，得2.5分，否则不得分。</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87" w:type="dxa"/>
            <w:vMerge w:val="restart"/>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技术部分</w:t>
            </w:r>
          </w:p>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rPr>
              <w:t>分）</w:t>
            </w:r>
          </w:p>
        </w:tc>
        <w:tc>
          <w:tcPr>
            <w:tcW w:w="805"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技术参数响应评价</w:t>
            </w:r>
          </w:p>
        </w:tc>
        <w:tc>
          <w:tcPr>
            <w:tcW w:w="6196" w:type="dxa"/>
            <w:tcMar>
              <w:top w:w="15" w:type="dxa"/>
              <w:left w:w="15" w:type="dxa"/>
              <w:right w:w="15" w:type="dxa"/>
            </w:tcMar>
            <w:vAlign w:val="center"/>
          </w:tcPr>
          <w:p>
            <w:pPr>
              <w:pStyle w:val="22"/>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评标委员会将综合评议各投标人对所投产品的说明情况，以及对招标文件响应情况等方面。由评标委员会对招标文件中的技术指标进行评分，技术参数完全满足招标文件要求的得满分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2"/>
              <w:spacing w:line="44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标注“*”的参数，须提供合格有效的第三方权威检测机构出具的产品检测报告复印件佐证，未提供者或提供的数据存在偏离项的，本项技术参数响应评价不得分；</w:t>
            </w:r>
          </w:p>
          <w:p>
            <w:pPr>
              <w:pStyle w:val="22"/>
              <w:spacing w:line="44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标注“▲”的参数，须提供合格有效的第三方权威检测机构出具的产品检测报告复印件佐证，未提供或提供的数据存在偏离项的，每负偏离一项，扣2分，扣完为止。</w:t>
            </w:r>
          </w:p>
          <w:p>
            <w:pPr>
              <w:pStyle w:val="22"/>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*”技术参数分，每负偏离一项扣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分，扣完为止。</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25</w:t>
            </w:r>
            <w:r>
              <w:rPr>
                <w:rFonts w:hint="eastAsia" w:ascii="仿宋" w:hAnsi="仿宋" w:eastAsia="仿宋" w:cs="仿宋"/>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87" w:type="dxa"/>
            <w:vMerge w:val="continue"/>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p>
        </w:tc>
        <w:tc>
          <w:tcPr>
            <w:tcW w:w="805"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技术水平综合评价</w:t>
            </w:r>
          </w:p>
        </w:tc>
        <w:tc>
          <w:tcPr>
            <w:tcW w:w="6196" w:type="dxa"/>
            <w:tcMar>
              <w:top w:w="15" w:type="dxa"/>
              <w:left w:w="15" w:type="dxa"/>
              <w:right w:w="15" w:type="dxa"/>
            </w:tcMar>
            <w:vAlign w:val="center"/>
          </w:tcPr>
          <w:p>
            <w:pPr>
              <w:pStyle w:val="22"/>
              <w:spacing w:line="44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评标委员会将综合评议各投标人所投产品的技术水平情况况，评审因素为投标产品制造工艺和质量改进、组部件、配套件及材质、设备软件及硬件性能等，采用定量或比较评审。优</w:t>
            </w:r>
            <w:r>
              <w:rPr>
                <w:rFonts w:hint="eastAsia" w:ascii="仿宋" w:hAnsi="仿宋" w:eastAsia="仿宋" w:cs="仿宋"/>
                <w:color w:val="000000" w:themeColor="text1"/>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分，良</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分，一般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分，差不得分。(提供相关佐证材料，佐证材料包括技术性能说明、产品彩页等)</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87" w:type="dxa"/>
            <w:vMerge w:val="continue"/>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p>
        </w:tc>
        <w:tc>
          <w:tcPr>
            <w:tcW w:w="805" w:type="dxa"/>
            <w:tcMar>
              <w:top w:w="15" w:type="dxa"/>
              <w:left w:w="15" w:type="dxa"/>
              <w:right w:w="15" w:type="dxa"/>
            </w:tcMar>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项目实施方案评价</w:t>
            </w:r>
          </w:p>
        </w:tc>
        <w:tc>
          <w:tcPr>
            <w:tcW w:w="6196" w:type="dxa"/>
            <w:tcMar>
              <w:top w:w="15" w:type="dxa"/>
              <w:left w:w="15" w:type="dxa"/>
              <w:right w:w="15" w:type="dxa"/>
            </w:tcMar>
            <w:vAlign w:val="center"/>
          </w:tcPr>
          <w:p>
            <w:pPr>
              <w:widowControl/>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根据投标人提供的项目实施方案进行评分：</w:t>
            </w:r>
          </w:p>
          <w:p>
            <w:pPr>
              <w:widowControl/>
              <w:spacing w:line="400" w:lineRule="exact"/>
              <w:ind w:firstLine="480"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项目实施方案包括但不限于：</w:t>
            </w:r>
            <w:r>
              <w:rPr>
                <w:rFonts w:hint="eastAsia" w:ascii="仿宋" w:hAnsi="仿宋" w:eastAsia="仿宋" w:cs="仿宋"/>
                <w:color w:val="000000" w:themeColor="text1"/>
                <w:sz w:val="24"/>
                <w:szCs w:val="24"/>
                <w:highlight w:val="none"/>
                <w:lang w:eastAsia="zh-CN"/>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项目人员安排（包含但不限于主要人员名单及基本情况介绍、在本项目中承担的职责等）、</w:t>
            </w:r>
            <w:r>
              <w:rPr>
                <w:rFonts w:hint="eastAsia" w:ascii="仿宋" w:hAnsi="仿宋" w:eastAsia="仿宋" w:cs="仿宋"/>
                <w:color w:val="000000" w:themeColor="text1"/>
                <w:sz w:val="24"/>
                <w:szCs w:val="24"/>
                <w:highlight w:val="none"/>
                <w:lang w:eastAsia="zh-CN"/>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供货方案（包含但不限于产品来源、供货计划、供货时间等）、</w:t>
            </w:r>
            <w:r>
              <w:rPr>
                <w:rFonts w:hint="eastAsia" w:ascii="仿宋" w:hAnsi="仿宋" w:eastAsia="仿宋" w:cs="仿宋"/>
                <w:color w:val="000000" w:themeColor="text1"/>
                <w:sz w:val="24"/>
                <w:szCs w:val="24"/>
                <w:highlight w:val="none"/>
                <w:lang w:eastAsia="zh-CN"/>
                <w14:textFill>
                  <w14:solidFill>
                    <w14:schemeClr w14:val="tx1"/>
                  </w14:solidFill>
                </w14:textFill>
              </w:rPr>
              <w:t>③质量保障方案（包括但不限于质量保障体系及措施等</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④</w:t>
            </w:r>
            <w:r>
              <w:rPr>
                <w:rFonts w:hint="eastAsia" w:ascii="仿宋" w:hAnsi="仿宋" w:eastAsia="仿宋" w:cs="仿宋"/>
                <w:color w:val="000000" w:themeColor="text1"/>
                <w:sz w:val="24"/>
                <w:szCs w:val="24"/>
                <w:highlight w:val="none"/>
                <w14:textFill>
                  <w14:solidFill>
                    <w14:schemeClr w14:val="tx1"/>
                  </w14:solidFill>
                </w14:textFill>
              </w:rPr>
              <w:t>测试（调试）方案（包含但不限于人员安排、测试步骤、测试标准等）等4项内容，方案内容完整齐全，符合项目实际（第六章“</w:t>
            </w:r>
            <w:r>
              <w:rPr>
                <w:rFonts w:hint="eastAsia" w:ascii="仿宋" w:hAnsi="仿宋" w:eastAsia="仿宋" w:cs="仿宋"/>
                <w:color w:val="000000" w:themeColor="text1"/>
                <w:sz w:val="24"/>
                <w:szCs w:val="24"/>
                <w:highlight w:val="none"/>
                <w:lang w:eastAsia="zh-CN"/>
                <w14:textFill>
                  <w14:solidFill>
                    <w14:schemeClr w14:val="tx1"/>
                  </w14:solidFill>
                </w14:textFill>
              </w:rPr>
              <w:t>技术规范书</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，采用定量或比较评审。优</w:t>
            </w:r>
            <w:r>
              <w:rPr>
                <w:rFonts w:hint="eastAsia" w:ascii="仿宋" w:hAnsi="仿宋" w:eastAsia="仿宋" w:cs="仿宋"/>
                <w:color w:val="000000" w:themeColor="text1"/>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分，良</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分，一般</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分，差不得分。</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87" w:type="dxa"/>
            <w:vMerge w:val="continue"/>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p>
        </w:tc>
        <w:tc>
          <w:tcPr>
            <w:tcW w:w="8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技术培训方案评价</w:t>
            </w:r>
          </w:p>
        </w:tc>
        <w:tc>
          <w:tcPr>
            <w:tcW w:w="6196" w:type="dxa"/>
            <w:tcMar>
              <w:top w:w="15" w:type="dxa"/>
              <w:left w:w="15" w:type="dxa"/>
              <w:right w:w="15" w:type="dxa"/>
            </w:tcMar>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根据投标人提供的项目技术培训方案进行评分：</w:t>
            </w:r>
          </w:p>
          <w:p>
            <w:pPr>
              <w:widowControl/>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项目培训方案包括但不限于培训内容、培训方式、培训计划、培训团</w:t>
            </w:r>
            <w:r>
              <w:rPr>
                <w:rFonts w:hint="eastAsia" w:ascii="仿宋" w:hAnsi="仿宋" w:eastAsia="仿宋" w:cs="仿宋"/>
                <w:color w:val="auto"/>
                <w:sz w:val="24"/>
                <w:szCs w:val="24"/>
                <w:highlight w:val="none"/>
              </w:rPr>
              <w:t>队人员配置等4项内容，方案内容完整齐全，符合项目实际（第六章“技术规范书”）</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，采用定量或比较评审。优4-5分，良2-3分，一般1分，差不得分</w:t>
            </w:r>
            <w:r>
              <w:rPr>
                <w:rFonts w:hint="eastAsia" w:ascii="仿宋" w:hAnsi="仿宋" w:eastAsia="仿宋" w:cs="仿宋"/>
                <w:sz w:val="24"/>
                <w:szCs w:val="24"/>
                <w:highlight w:val="none"/>
              </w:rPr>
              <w:t>。</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87" w:type="dxa"/>
            <w:vMerge w:val="continue"/>
            <w:tcMar>
              <w:top w:w="15" w:type="dxa"/>
              <w:left w:w="15" w:type="dxa"/>
              <w:right w:w="15" w:type="dxa"/>
            </w:tcMar>
            <w:vAlign w:val="center"/>
          </w:tcPr>
          <w:p>
            <w:pPr>
              <w:pStyle w:val="22"/>
              <w:spacing w:line="440" w:lineRule="exact"/>
              <w:rPr>
                <w:rFonts w:hint="eastAsia" w:ascii="仿宋" w:hAnsi="仿宋" w:eastAsia="仿宋" w:cs="仿宋"/>
                <w:sz w:val="24"/>
                <w:szCs w:val="24"/>
                <w:highlight w:val="none"/>
              </w:rPr>
            </w:pPr>
          </w:p>
        </w:tc>
        <w:tc>
          <w:tcPr>
            <w:tcW w:w="805" w:type="dxa"/>
            <w:tcBorders>
              <w:top w:val="single" w:color="auto" w:sz="4" w:space="0"/>
            </w:tcBorders>
            <w:tcMar>
              <w:top w:w="15" w:type="dxa"/>
              <w:left w:w="15" w:type="dxa"/>
              <w:right w:w="15" w:type="dxa"/>
            </w:tcMar>
            <w:vAlign w:val="center"/>
          </w:tcPr>
          <w:p>
            <w:pPr>
              <w:widowControl/>
              <w:spacing w:line="400" w:lineRule="exact"/>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售后服务方案评价</w:t>
            </w:r>
          </w:p>
        </w:tc>
        <w:tc>
          <w:tcPr>
            <w:tcW w:w="6196" w:type="dxa"/>
            <w:tcMar>
              <w:top w:w="15" w:type="dxa"/>
              <w:left w:w="15" w:type="dxa"/>
              <w:right w:w="15" w:type="dxa"/>
            </w:tcMar>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根据投标人提供的项目售后服务方案进行评分：</w:t>
            </w:r>
          </w:p>
          <w:p>
            <w:pPr>
              <w:widowControl/>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项目售后服务方案包括但不限于：售后服务承诺、售后服务响应方案、售后服务人员配备、故障响应措施、质保外服务措施、备品备件供</w:t>
            </w:r>
            <w:r>
              <w:rPr>
                <w:rFonts w:hint="eastAsia" w:ascii="仿宋" w:hAnsi="仿宋" w:eastAsia="仿宋" w:cs="仿宋"/>
                <w:color w:val="auto"/>
                <w:sz w:val="24"/>
                <w:szCs w:val="24"/>
                <w:highlight w:val="none"/>
              </w:rPr>
              <w:t>应方案等6项内容，方案内容完整齐全，符合项目实际（第六章“技术规范书”）等，采用定量或比较评审。优4-5分，良2-3分，一般1分，差不得分</w:t>
            </w:r>
            <w:r>
              <w:rPr>
                <w:rFonts w:hint="eastAsia" w:ascii="仿宋" w:hAnsi="仿宋" w:eastAsia="仿宋" w:cs="仿宋"/>
                <w:sz w:val="24"/>
                <w:szCs w:val="24"/>
                <w:highlight w:val="none"/>
              </w:rPr>
              <w:t>。</w:t>
            </w:r>
          </w:p>
        </w:tc>
        <w:tc>
          <w:tcPr>
            <w:tcW w:w="800" w:type="dxa"/>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888" w:type="dxa"/>
            <w:gridSpan w:val="4"/>
            <w:tcMar>
              <w:top w:w="15" w:type="dxa"/>
              <w:left w:w="15" w:type="dxa"/>
              <w:right w:w="15" w:type="dxa"/>
            </w:tcMar>
            <w:vAlign w:val="center"/>
          </w:tcPr>
          <w:p>
            <w:pPr>
              <w:pStyle w:val="22"/>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合计：100分</w:t>
            </w:r>
          </w:p>
        </w:tc>
      </w:tr>
    </w:tbl>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2、报价分（30分）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投标价格的合理性</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分析总报价及各个分项报价是否合理，报价范围是否完整，有否重大错漏项</w:t>
      </w:r>
      <w:r>
        <w:rPr>
          <w:rFonts w:hint="eastAsia" w:ascii="仿宋" w:hAnsi="仿宋" w:eastAsia="仿宋" w:cs="仿宋"/>
          <w:color w:val="000000" w:themeColor="text1"/>
          <w:sz w:val="24"/>
          <w14:textFill>
            <w14:solidFill>
              <w14:schemeClr w14:val="tx1"/>
            </w14:solidFill>
          </w14:textFill>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color w:val="000000" w:themeColor="text1"/>
          <w:sz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报价评分应在投标报价产品响应</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文件要求的配置基础上，取所有有效投标报价的最低价作为评标基准价，其价格分为满分。其他投标人的价格分统一按照下列公式计算：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投标报价得分=（评标基准价/</w:t>
      </w:r>
      <w:r>
        <w:rPr>
          <w:rFonts w:hint="eastAsia" w:ascii="仿宋" w:hAnsi="仿宋" w:eastAsia="仿宋" w:cs="仿宋"/>
          <w:color w:val="000000" w:themeColor="text1"/>
          <w:sz w:val="24"/>
          <w:lang w:eastAsia="zh-CN"/>
          <w14:textFill>
            <w14:solidFill>
              <w14:schemeClr w14:val="tx1"/>
            </w14:solidFill>
          </w14:textFill>
        </w:rPr>
        <w:t>有效</w:t>
      </w:r>
      <w:r>
        <w:rPr>
          <w:rFonts w:hint="eastAsia" w:ascii="仿宋" w:hAnsi="仿宋" w:eastAsia="仿宋" w:cs="仿宋"/>
          <w:color w:val="000000" w:themeColor="text1"/>
          <w:sz w:val="24"/>
          <w14:textFill>
            <w14:solidFill>
              <w14:schemeClr w14:val="tx1"/>
            </w14:solidFill>
          </w14:textFill>
        </w:rPr>
        <w:t>投标报价）×价格分值</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最低报价不是中标的保证。评标委员会根据得分排序推荐中标人。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注：1、计算评分值时四舍五入保留小数点后两位。</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以上评分细则中要求的各种证书、证件、证明资料如是复印件，须在复印件上加盖有效公章，原件备查。采购人及采购代理机构在项目评审直至合同签订、履约期间，有权要求投标人出具投标文件中的主要证明材料原件：如合同或用户验收报告等，予以确认其的真实性和有效性，如出现与事实不符等情况，将根据有关规定以“提供虚假材料谋取中标”予以处罚；如投标人提供的合同复印件等实施项目证明材料与投标主体无关或违规转包分包的，评标委员会将进行扣分直至认定投标无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政府采购政策功能落实</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1、本项目专门面向中小微企业采购，不享受促进中小企业发展政策优惠。</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2、投标人需按照采购文件的要求提供相应的《中小企业声明函》。</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注：《中小企业声明函》中要求投标的每一个产品的制造商都应满足要求，否则按无效投标处理。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3、企业标准请参照关于印发《政府采购促进中小企业发展管理办法》的通知（财库[2020]46号）文件规定自行填写。</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4、残疾人福利单位价格扣除</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（1）本项目对残疾人福利性单位视同小型、微型企业。</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（2）残疾人福利单位需按照采购文件的要求提供《残疾人福利性单位声明函》。</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（3）残疾人福利单位标准请参照《关于促进残疾人就业政府采购政策的通知》（财库[2017]141号）。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5、监狱和戒毒企业价格扣除</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（1）本项目对监狱和戒毒企业（简称监狱企业）视同小型、微型企业。</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（2）监狱企业参加政府采购活动时，需提供由省级以上监狱管理局、戒毒管理局(含新疆生产建设兵团)出具的属于监狱企业的证明文件。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（3）监狱企业标准请参照《财政部、司法部关于政府采购支持监狱企业发展有关问题的通知》（财库[2014]68号）。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6、残疾人福利单位、监狱企业属于小型、微型企业的，不重复享受政策。</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bookmarkEnd w:id="33"/>
    <w:bookmarkEnd w:id="34"/>
    <w:bookmarkEnd w:id="35"/>
    <w:bookmarkEnd w:id="36"/>
    <w:bookmarkEnd w:id="37"/>
    <w:bookmarkEnd w:id="38"/>
    <w:bookmarkEnd w:id="42"/>
    <w:p>
      <w:pPr>
        <w:pStyle w:val="2"/>
        <w:numPr>
          <w:ilvl w:val="0"/>
          <w:numId w:val="8"/>
        </w:numPr>
        <w:bidi w:val="0"/>
        <w:jc w:val="center"/>
        <w:rPr>
          <w:rFonts w:hint="eastAsia" w:ascii="仿宋" w:hAnsi="仿宋" w:eastAsia="仿宋" w:cs="仿宋"/>
          <w:color w:val="000000" w:themeColor="text1"/>
          <w:lang w:val="en-US" w:eastAsia="en-US"/>
          <w14:textFill>
            <w14:solidFill>
              <w14:schemeClr w14:val="tx1"/>
            </w14:solidFill>
          </w14:textFill>
        </w:rPr>
      </w:pPr>
      <w:bookmarkStart w:id="115" w:name="_Toc12223"/>
      <w:bookmarkStart w:id="116" w:name="_Toc26728"/>
      <w:r>
        <w:rPr>
          <w:rFonts w:hint="eastAsia" w:ascii="仿宋" w:hAnsi="仿宋" w:eastAsia="仿宋" w:cs="仿宋"/>
          <w:color w:val="000000" w:themeColor="text1"/>
          <w:lang w:val="en-US" w:eastAsia="zh-CN"/>
          <w14:textFill>
            <w14:solidFill>
              <w14:schemeClr w14:val="tx1"/>
            </w14:solidFill>
          </w14:textFill>
        </w:rPr>
        <w:t xml:space="preserve"> </w:t>
      </w:r>
      <w:bookmarkStart w:id="117" w:name="_Toc18483"/>
      <w:bookmarkStart w:id="118" w:name="_Toc21091"/>
      <w:r>
        <w:rPr>
          <w:rFonts w:hint="eastAsia" w:ascii="仿宋" w:hAnsi="仿宋" w:eastAsia="仿宋" w:cs="仿宋"/>
          <w:color w:val="000000" w:themeColor="text1"/>
          <w:lang w:val="en-US" w:eastAsia="en-US"/>
          <w14:textFill>
            <w14:solidFill>
              <w14:schemeClr w14:val="tx1"/>
            </w14:solidFill>
          </w14:textFill>
        </w:rPr>
        <w:t>拟订立的合同样本</w:t>
      </w:r>
      <w:bookmarkEnd w:id="115"/>
      <w:bookmarkEnd w:id="116"/>
      <w:bookmarkEnd w:id="117"/>
      <w:bookmarkEnd w:id="118"/>
    </w:p>
    <w:p>
      <w:pPr>
        <w:jc w:val="center"/>
        <w:rPr>
          <w:rFonts w:hint="default" w:eastAsia="仿宋"/>
          <w:b/>
          <w:bCs/>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(仅供参考）</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color w:val="auto"/>
          <w:sz w:val="28"/>
          <w:szCs w:val="28"/>
          <w:highlight w:val="none"/>
        </w:rPr>
      </w:pPr>
      <w:bookmarkStart w:id="119" w:name="_Toc513029243"/>
      <w:bookmarkStart w:id="120" w:name="_Toc20823346"/>
      <w:bookmarkStart w:id="121" w:name="_Hlt16619350"/>
      <w:bookmarkStart w:id="122" w:name="_Toc120614244"/>
      <w:bookmarkStart w:id="123" w:name="_Toc20823315"/>
      <w:bookmarkStart w:id="124" w:name="_Toc462564139"/>
      <w:bookmarkStart w:id="125" w:name="_Toc479757211"/>
      <w:bookmarkStart w:id="126" w:name="_Toc16938590"/>
      <w:bookmarkStart w:id="127" w:name="_Toc16938559"/>
      <w:r>
        <w:rPr>
          <w:rFonts w:hint="eastAsia" w:ascii="仿宋" w:hAnsi="仿宋" w:eastAsia="仿宋" w:cs="仿宋"/>
          <w:bCs/>
          <w:color w:val="auto"/>
          <w:sz w:val="24"/>
          <w:szCs w:val="24"/>
          <w:highlight w:val="none"/>
        </w:rPr>
        <w:t>合同条款甲乙双方根据实际情况进行签订，签订内容不得违反国家法规  政策，不得违反招标文件及投标文件的约定。（说明：本合同作为合同的基本格式，不作为最终合同，甲方有权在签订合同时对合同的相关条款及内容作进一步的细化和修改。）</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招标文件编号：</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甲方合同编号：</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甲方（采购人）：</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eastAsia="zh-CN"/>
        </w:rPr>
        <w:t>投标单位</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根据《中华人民共和国政府采购法》、《中华人民共和国民法典》及</w:t>
      </w:r>
      <w:r>
        <w:rPr>
          <w:rFonts w:hint="eastAsia" w:ascii="仿宋" w:hAnsi="仿宋" w:eastAsia="仿宋" w:cs="仿宋"/>
          <w:b w:val="0"/>
          <w:bCs/>
          <w:color w:val="auto"/>
          <w:sz w:val="24"/>
          <w:szCs w:val="24"/>
          <w:highlight w:val="none"/>
          <w:u w:val="single"/>
          <w:lang w:val="zh-CN" w:eastAsia="zh-CN"/>
        </w:rPr>
        <w:t>项目名称：</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（项目编号：</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一、供货一览表（下列表格参考适合，可根据实际需求变更）</w:t>
      </w:r>
    </w:p>
    <w:tbl>
      <w:tblPr>
        <w:tblStyle w:val="38"/>
        <w:tblW w:w="5000" w:type="pct"/>
        <w:tblInd w:w="0" w:type="dxa"/>
        <w:tblLayout w:type="autofit"/>
        <w:tblCellMar>
          <w:top w:w="0" w:type="dxa"/>
          <w:left w:w="108" w:type="dxa"/>
          <w:bottom w:w="0" w:type="dxa"/>
          <w:right w:w="108" w:type="dxa"/>
        </w:tblCellMar>
      </w:tblPr>
      <w:tblGrid>
        <w:gridCol w:w="772"/>
        <w:gridCol w:w="1164"/>
        <w:gridCol w:w="1275"/>
        <w:gridCol w:w="1204"/>
        <w:gridCol w:w="975"/>
        <w:gridCol w:w="916"/>
        <w:gridCol w:w="939"/>
        <w:gridCol w:w="939"/>
        <w:gridCol w:w="900"/>
      </w:tblGrid>
      <w:tr>
        <w:tblPrEx>
          <w:tblCellMar>
            <w:top w:w="0" w:type="dxa"/>
            <w:left w:w="108" w:type="dxa"/>
            <w:bottom w:w="0" w:type="dxa"/>
            <w:right w:w="108" w:type="dxa"/>
          </w:tblCellMar>
        </w:tblPrEx>
        <w:trPr>
          <w:trHeight w:val="495" w:hRule="atLeast"/>
        </w:trPr>
        <w:tc>
          <w:tcPr>
            <w:tcW w:w="42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序号</w:t>
            </w:r>
          </w:p>
        </w:tc>
        <w:tc>
          <w:tcPr>
            <w:tcW w:w="64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货物品名</w:t>
            </w:r>
          </w:p>
        </w:tc>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规格型号</w:t>
            </w:r>
          </w:p>
        </w:tc>
        <w:tc>
          <w:tcPr>
            <w:tcW w:w="66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制造厂商</w:t>
            </w:r>
          </w:p>
        </w:tc>
        <w:tc>
          <w:tcPr>
            <w:tcW w:w="5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单位</w:t>
            </w:r>
          </w:p>
        </w:tc>
        <w:tc>
          <w:tcPr>
            <w:tcW w:w="5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数量</w:t>
            </w:r>
          </w:p>
        </w:tc>
        <w:tc>
          <w:tcPr>
            <w:tcW w:w="506" w:type="pct"/>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单价（元）</w:t>
            </w:r>
          </w:p>
        </w:tc>
        <w:tc>
          <w:tcPr>
            <w:tcW w:w="512" w:type="pct"/>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总价（元）</w:t>
            </w: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备注</w:t>
            </w:r>
          </w:p>
        </w:tc>
      </w:tr>
      <w:tr>
        <w:tblPrEx>
          <w:tblCellMar>
            <w:top w:w="0" w:type="dxa"/>
            <w:left w:w="108" w:type="dxa"/>
            <w:bottom w:w="0" w:type="dxa"/>
            <w:right w:w="108" w:type="dxa"/>
          </w:tblCellMar>
        </w:tblPrEx>
        <w:trPr>
          <w:trHeight w:val="495" w:hRule="atLeast"/>
        </w:trPr>
        <w:tc>
          <w:tcPr>
            <w:tcW w:w="4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6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6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5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5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506" w:type="pct"/>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512" w:type="pct"/>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lang w:val="en-US"/>
              </w:rPr>
            </w:pPr>
          </w:p>
        </w:tc>
      </w:tr>
      <w:tr>
        <w:tblPrEx>
          <w:tblCellMar>
            <w:top w:w="0" w:type="dxa"/>
            <w:left w:w="108" w:type="dxa"/>
            <w:bottom w:w="0" w:type="dxa"/>
            <w:right w:w="108" w:type="dxa"/>
          </w:tblCellMar>
        </w:tblPrEx>
        <w:trPr>
          <w:trHeight w:val="495" w:hRule="atLeast"/>
        </w:trPr>
        <w:tc>
          <w:tcPr>
            <w:tcW w:w="42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64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66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3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0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0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4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r>
      <w:tr>
        <w:tblPrEx>
          <w:tblCellMar>
            <w:top w:w="0" w:type="dxa"/>
            <w:left w:w="108" w:type="dxa"/>
            <w:bottom w:w="0" w:type="dxa"/>
            <w:right w:w="108" w:type="dxa"/>
          </w:tblCellMar>
        </w:tblPrEx>
        <w:trPr>
          <w:trHeight w:val="495" w:hRule="atLeast"/>
        </w:trPr>
        <w:tc>
          <w:tcPr>
            <w:tcW w:w="42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64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70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66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3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0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0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51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4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r>
      <w:tr>
        <w:tblPrEx>
          <w:tblCellMar>
            <w:top w:w="0" w:type="dxa"/>
            <w:left w:w="108" w:type="dxa"/>
            <w:bottom w:w="0" w:type="dxa"/>
            <w:right w:w="108" w:type="dxa"/>
          </w:tblCellMar>
        </w:tblPrEx>
        <w:trPr>
          <w:trHeight w:val="495" w:hRule="atLeast"/>
        </w:trPr>
        <w:tc>
          <w:tcPr>
            <w:tcW w:w="42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64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合计</w:t>
            </w:r>
          </w:p>
        </w:tc>
        <w:tc>
          <w:tcPr>
            <w:tcW w:w="3431" w:type="pct"/>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c>
          <w:tcPr>
            <w:tcW w:w="4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　</w:t>
            </w:r>
          </w:p>
        </w:tc>
      </w:tr>
    </w:tbl>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二、合同总金额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本合同项下货物总金额：￥</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元。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分项价款在《供货一览表》中明确规定。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本合同总价款包括货物、软件、标准附件、备品备件、专用工具、图纸资料、技术服务，包装、运输、装卸、保险、税金，货到就位以及安装、调试、培训、保修等验收合格之前和质保期内的售后服务一切税金和费用。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本合同执行期间合同总价款不变，甲方无须另向乙方支付本合同规定之外的其他任何费用。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 xml:space="preserve">三、权利和质量保证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（签订合同时自行补充)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1．乙方应保证甲方在使用该货物或其任何一部分时不存在侵犯第三人知识产权的情况且不存在任何权利瑕疵。一旦出现上述侵权、索赔或诉讼，乙方应承担全部责任并赔偿所有损失。</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2．乙方保证货物是全新的、未使用过的，完全符合国家规范及甲乙双方确认的投标文件、本合同关于货物数量、质量的要求。货物符合实行国家“三包”规定的，应执行“三包”规定。</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本项目质保期</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年，保修期</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3．乙方提交的货物应符合投标文件中所记载的详细配置、技术参数、参数及性能，并应附有此类货物完整、详细的技术资料和说明等相应文件。</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乙方提交的货物必须按照招标招标文件的要求和中标人投标文件的承诺，以约定标准进行制造、安装；经政府采购管理部门批准采购的进口产品应执行原产地国家有关部门最新颁布的相应正式标准并提供国家商检、海关报关等手续。</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5．乙方应保证将货物按照国家或专业标准包装、确保货物安全无损运抵合同规定的交货地点，并进行安装、试运行。</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6．乙方保证货物不存在危及人身及财产安全的产品缺陷，否则应承担全部法律责任。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四、付款方式</w:t>
      </w:r>
    </w:p>
    <w:p>
      <w:pPr>
        <w:keepNext w:val="0"/>
        <w:keepLines w:val="0"/>
        <w:pageBreakBefore w:val="0"/>
        <w:widowControl w:val="0"/>
        <w:kinsoku/>
        <w:wordWrap/>
        <w:overflowPunct/>
        <w:topLinePunct w:val="0"/>
        <w:autoSpaceDE/>
        <w:autoSpaceDN/>
        <w:bidi w:val="0"/>
        <w:adjustRightInd/>
        <w:snapToGrid/>
        <w:spacing w:line="360" w:lineRule="auto"/>
        <w:ind w:left="233" w:leftChars="111" w:firstLine="120" w:firstLineChars="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1．付款条件：乙方向甲方提交下列文件材料，经甲方审核无误后支付采购资金：（1）合法有效等额并经甲方确认的发票；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（2）经甲乙双方确认签署的《验收报告》（或按项目进度阶段性《验收报告》）；</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（3）其他付款所需的凭证材料。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2．付款进度：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（1）在本合同签订生效后</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日内，乙方应向甲方发出付款书面申请和付款所需票据凭证资料，并由乙方支付给甲方合同履约保证金（按合同总价的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%计算的款额￥</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元，人民币大写：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元整）。甲方在收到书面申请和票据凭证资料、履约保证金后的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日内通过银行转账向乙方支付合同金额</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%的价款；（根据招标文件要求）。</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（2）全部货物安装调试完毕并验收合格之</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日起，甲方接到乙方书面申请与付款所需票据凭证资料以后的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日内，提交支付凭证资料给财政国库支付执行机构办理财政国库支付手续，在手续办结以后</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日内由甲方向乙方核拨合同总价的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%的款项：￥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元，人民币大写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3．乙方未按照前述规定按时发出书面申请、提供付款所需票据凭证资料或按时足额支付合同履约保证金的，甲方有权暂不支付货款。</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五、履约保证金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1．乙方应在签订本合同之日起</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内，向甲方提交合同履约保证金人民币</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元（履约保证金的数额不得超过政府采购合同金额的10%）。如乙方逾期或未足额缴纳保证金的，视为放弃中标资格。</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2．合同履约保证金退还：在货物验收合格后，甲方财务部门在接到乙方书面申请和由甲方确认的《验收报告》后</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日内，通过银行转账向乙方退还履约保证金￥</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 人民币大写：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元整；（根据招标文件要求）</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合同履行期间，甲方有权从履约保证金中扣除乙方应付款项，包括但不限于违约金、赔偿金等。甲方扣除应付款项后，乙方应按照甲方的要求按时补足履约保证金，若逾期未补足的，甲方有权单方面无条件解除本合同。</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 xml:space="preserve">六、交货和验收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1．乙方交货期限为合同签订生效后的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日内，在合同签订生效之日起  天内交货到甲方指定地点。（交货地点为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在甲方签字确认收货后，需要安装调试的，乙方须在</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日内全部完成安装调试（如由于甲方的原因造成合同延迟签订或验收的，时间顺延）。乙方交货验收时须提供产品质检部门从同类产品中抽样检查合格的检测报告。</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2．乙方应对提供的货物作全面自查和整理，并列出清单，作为甲方验收和使用的技术条件依据，清单应随提供的验收资料交给甲方。</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3．乙方提供的货物应包括本合同规定的全部货物及其附（辅）件、资料。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4．甲方在到货后的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5．需要乙方对货物（包括软件）或系统进行安装调试的，甲乙双方应在货物安装调试完毕后的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a．重新调试直至合格为止；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b．要求乙方对货物进行免费更换，然后重新调试直至合格为止。</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因上述原因所产生的所有费用均由乙方负担。</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6．验收合格的，由双方共同签署《验收报告》。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7．甲方可以视项目规模或复杂情况聘请专业人员参与验收，大型或复杂项目，以及特种货物应当邀请国家认可的第三方质量检测机构参与验收。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8．货物验收包括：货物包装是否完好，产地生产厂家名称、品牌、型号、规格、数量、外观质量、配置、内在质量，以及调试运行是否达到本合同规定的效果。乙方应将所提供货物的装箱清单、产品合格证、用户使用手册、原厂保修卡、随机资料及备品备件、易损件、专用工具等交付给甲方；乙方不能完整交付货物、附（辅）件和资料的，视为未按合同约定交货，乙方负责补齐，因此导致逾期交付的，由乙方承担相关的违约责任。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9．其他未尽事宜应严格按照</w:t>
      </w:r>
      <w:r>
        <w:rPr>
          <w:rFonts w:hint="eastAsia" w:ascii="仿宋" w:hAnsi="仿宋" w:eastAsia="仿宋" w:cs="仿宋"/>
          <w:b w:val="0"/>
          <w:bCs/>
          <w:color w:val="auto"/>
          <w:sz w:val="24"/>
          <w:szCs w:val="24"/>
          <w:highlight w:val="none"/>
          <w:lang w:val="en-US"/>
        </w:rPr>
        <w:t>《财政部关于进一步加强政府采购需求和履约验收管理的指导意见》（财库[2016]205号）的要求进行</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 xml:space="preserve">七、项目管理服务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乙方应指定不少于一人全权全程负责本项目的商务服务，以及货物安装、调试、咨询、培训和售后等技术服务工作。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项目负责人姓名：</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身份证号码：</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乙方变更负责人信息的，应当提前</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日书面通知甲方，若因乙方未及时通知所产生的一切责任和损失由乙方承担。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 xml:space="preserve">八、售后服务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1．质量保证期为自货物通过最终验收之日起</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月/年）。若国家有明确规定的质量保证期高于此质量保证期的，执行国家规定。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2．在货物质保期内，乙方应对由于设计、工艺、质量（含环保节能要求）、材料等缺陷而发生的任何不足或故障负责，并解决存在的问题。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3．对不符合本合同第三条规定要求的货物应立即进行调换，调换本身并不影响甲方就其损失向乙方索赔的权利。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4．货物安装调试完成后，乙方应继续向甲方提供良好的技术支持。应当由专门队伍从事此项工作，并提供全天候的热线技术支持服务，应当对甲方所反映的任何问题在</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小时之内做出及时</w:t>
      </w:r>
      <w:r>
        <w:rPr>
          <w:rFonts w:hint="eastAsia" w:ascii="仿宋" w:hAnsi="仿宋" w:eastAsia="仿宋" w:cs="仿宋"/>
          <w:b w:val="0"/>
          <w:bCs/>
          <w:color w:val="auto"/>
          <w:sz w:val="24"/>
          <w:szCs w:val="24"/>
          <w:highlight w:val="none"/>
          <w:lang w:eastAsia="zh-CN"/>
        </w:rPr>
        <w:t>投标</w:t>
      </w:r>
      <w:r>
        <w:rPr>
          <w:rFonts w:hint="eastAsia" w:ascii="仿宋" w:hAnsi="仿宋" w:eastAsia="仿宋" w:cs="仿宋"/>
          <w:b w:val="0"/>
          <w:bCs/>
          <w:color w:val="auto"/>
          <w:sz w:val="24"/>
          <w:szCs w:val="24"/>
          <w:highlight w:val="none"/>
        </w:rPr>
        <w:t>，在</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小时之内赶到现场实地解决问题，</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小时内完成维修或更换。并承担维修调换所引起的费用。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若问题、故障在检修</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工作日（小时）后仍无法解决，乙方应在</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小时内免费提供不低于故障货物规格型号档次的备用货物供甲方使用，直至故障货物修复。如果乙方逾期未提供，甲方有权自行使用替代货物，所产生的费用由乙方承担。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5．乙方应当建立健全售后服务体系，确保货物正常运行。乙方应当遵守甲方的有关管理制度、操作规程。对于乙方违规操作造成甲方损失的，由乙方按照本合同第十条的约定承担赔偿责任。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6．乙方应负责货物及主要部件、配件维修更换。质保期内，乙方对货物（人为故意损坏除外）提供全免费保修或免费更换；质保期后，收取维修成本费（备品备件乙方应以投标文件承诺的优惠价格提供）。</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九、分包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除投标文件事先说明、且经甲方事先书面同意外，乙方不得分包其应履行的合同义务。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十、违约责任</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1．甲方违约责任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（1）甲方无正当理由拒收货物、拒付货款的，甲方应向乙方偿付拒付货款</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（2）甲方未按合同规定的期限向乙方支付货款的，每逾期1天甲方向乙方偿付欠款总额的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‰违约金，但累计违约金总额不超过欠款总额的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2．乙方违约责任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（1）乙方所交付的货物不符合本合同规定的，甲方有权拒收，同时乙方应向甲方支付合同总价</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％的违约金。乙方应在得到甲方通知之日起    个工作日内采取补救措施。若乙方上述期限内所提供的货物仍不符合规定，乙方应向甲方另行支付合同总价</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%的违约金，同时甲方有权单方面无条件解除合同。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（2）乙方无正当理由逾期交付货物的，每逾期1天，乙方向甲方偿付逾期交货部分货款总金额的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%的违约金。如乙方逾期交货达</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天，甲方有权解除合同，甲方解除合同的通知自到达乙方时生效。在此情况下，乙方给甲方造成的实际损失高于违约金的，对高出违约金的部分乙方应予以赔偿。</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（3）在乙方承诺的或国家规定的质量保证期内（取两者中最长的期限），如经乙方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次维修，货物仍不能达到合同约定的质量标准、运行效果的，甲方有权要求乙方更换为全新合格货物并按本条第1款处理，同时，乙方还须赔偿甲方因此遭受的损失。</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（4）乙方保证本合同货物的权利无瑕疵，包括货物所有权及知识产权等权利无瑕疵。如产生了任何的纠纷、索赔或诉讼等，乙方除应向甲方返还已收款项外，还应另按合同总价的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3．一方偿付的违约金不足以弥补另一方损失的，还应按另一方损失尚未弥补的部分，支付赔偿金给另一方。</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十一、合同的生效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1．本合同经甲乙双方授权代表签字并加盖公章后生效。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2．生效后，除《政府采购法》第49条、第50条第二款规定的情形外，甲乙双方不得擅自变更、中止或终止合同。</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十二、不可抗力</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甲、乙方中任何一方，因不可抗力不能按时或完全履行合同的，应及时通知对方，并在</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个工作日内提供相应证明。未履行完合同部分是否继续履行、如何履行等问题，可由双方初步协商，并向主管部门和政府采购管理部门报告。确定为不可抗力原因造成的损失，免予承担责任。</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十三、争议的解决方式</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2．在解释或者执行本合同的过程中发生争议时，双方应通过协商方式解决。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3．经协商不能解决的争议，双方可选择以下第</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（1）向甲方所在地有管辖权的法院提起诉讼；</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（2）向成都仲裁委员会提出仲裁。</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4．在法院审理和仲裁期间，除有争议部分外，本合同其他部分可以履行的仍应按合同条款继续履行。</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十四、其他</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1．本合同所有附件、招标文件、投标文件、中标/成交通知书均为合同的有效组成部分，与本合同具有同等法律效力。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2．本合同一式</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份，自双方签章之日起起效。甲方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份，乙方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份，政府采购代理机构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份，同级财政部门备案</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份，具有同等法律效力。</w:t>
      </w:r>
    </w:p>
    <w:p>
      <w:pPr>
        <w:ind w:firstLine="0" w:firstLineChars="0"/>
        <w:jc w:val="left"/>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委托人（公章）：</w:t>
      </w:r>
      <w:r>
        <w:rPr>
          <w:rFonts w:hint="eastAsia" w:ascii="仿宋" w:hAnsi="仿宋" w:eastAsia="仿宋" w:cs="仿宋"/>
          <w:color w:val="auto"/>
          <w:sz w:val="24"/>
          <w:szCs w:val="24"/>
          <w:lang w:val="en-US" w:eastAsia="zh-CN"/>
        </w:rPr>
        <w:t xml:space="preserve">                            咨询人（公章）：</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法定代表人签字</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法定代表人签字</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委托代理人签字：</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委托代理人签字：</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电话：</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单位地址：</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单位地址：</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default" w:ascii="宋体" w:hAnsi="宋体" w:eastAsia="宋体" w:cs="Times New Roman"/>
          <w:color w:val="auto"/>
          <w:sz w:val="24"/>
          <w:szCs w:val="24"/>
          <w:u w:val="single"/>
          <w:lang w:val="en-US" w:eastAsia="zh-CN"/>
        </w:rPr>
      </w:pPr>
      <w:r>
        <w:rPr>
          <w:rFonts w:hint="eastAsia" w:ascii="仿宋" w:hAnsi="仿宋" w:eastAsia="仿宋" w:cs="仿宋"/>
          <w:color w:val="auto"/>
          <w:sz w:val="24"/>
          <w:szCs w:val="24"/>
          <w:u w:val="none"/>
          <w:lang w:val="en-US" w:eastAsia="zh-CN"/>
        </w:rPr>
        <w:t>传真：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 xml:space="preserve">                传真：</w:t>
      </w:r>
      <w:r>
        <w:rPr>
          <w:rFonts w:hint="eastAsia" w:ascii="仿宋" w:hAnsi="仿宋" w:eastAsia="仿宋" w:cs="仿宋"/>
          <w:color w:val="auto"/>
          <w:sz w:val="24"/>
          <w:szCs w:val="24"/>
          <w:u w:val="singl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bookmarkEnd w:id="119"/>
    <w:bookmarkEnd w:id="120"/>
    <w:bookmarkEnd w:id="121"/>
    <w:bookmarkEnd w:id="122"/>
    <w:bookmarkEnd w:id="123"/>
    <w:bookmarkEnd w:id="124"/>
    <w:bookmarkEnd w:id="125"/>
    <w:bookmarkEnd w:id="126"/>
    <w:bookmarkEnd w:id="127"/>
    <w:p>
      <w:pPr>
        <w:rPr>
          <w:rFonts w:hint="eastAsia" w:ascii="仿宋" w:hAnsi="仿宋" w:eastAsia="仿宋" w:cs="仿宋"/>
          <w:color w:val="000000" w:themeColor="text1"/>
          <w14:textFill>
            <w14:solidFill>
              <w14:schemeClr w14:val="tx1"/>
            </w14:solidFill>
          </w14:textFill>
        </w:rPr>
      </w:pPr>
      <w:bookmarkStart w:id="128" w:name="_Toc31151"/>
      <w:bookmarkStart w:id="129" w:name="_Toc9411"/>
      <w:r>
        <w:rPr>
          <w:rFonts w:hint="eastAsia" w:ascii="仿宋" w:hAnsi="仿宋" w:eastAsia="仿宋" w:cs="仿宋"/>
          <w:color w:val="000000" w:themeColor="text1"/>
          <w14:textFill>
            <w14:solidFill>
              <w14:schemeClr w14:val="tx1"/>
            </w14:solidFill>
          </w14:textFill>
        </w:rPr>
        <w:br w:type="page"/>
      </w:r>
    </w:p>
    <w:p>
      <w:pPr>
        <w:pStyle w:val="2"/>
        <w:bidi w:val="0"/>
        <w:rPr>
          <w:rFonts w:hint="eastAsia" w:ascii="仿宋" w:hAnsi="仿宋" w:eastAsia="仿宋" w:cs="仿宋"/>
          <w:color w:val="000000" w:themeColor="text1"/>
          <w14:textFill>
            <w14:solidFill>
              <w14:schemeClr w14:val="tx1"/>
            </w14:solidFill>
          </w14:textFill>
        </w:rPr>
      </w:pPr>
      <w:bookmarkStart w:id="130" w:name="_Toc16021"/>
      <w:bookmarkStart w:id="131" w:name="_Toc20943"/>
      <w:r>
        <w:rPr>
          <w:rFonts w:hint="eastAsia" w:ascii="仿宋" w:hAnsi="仿宋" w:eastAsia="仿宋" w:cs="仿宋"/>
          <w:color w:val="000000" w:themeColor="text1"/>
          <w14:textFill>
            <w14:solidFill>
              <w14:schemeClr w14:val="tx1"/>
            </w14:solidFill>
          </w14:textFill>
        </w:rPr>
        <w:t>第</w:t>
      </w:r>
      <w:bookmarkStart w:id="132" w:name="_Toc9510643"/>
      <w:r>
        <w:rPr>
          <w:rFonts w:hint="eastAsia" w:ascii="仿宋" w:hAnsi="仿宋" w:eastAsia="仿宋" w:cs="仿宋"/>
          <w:color w:val="000000" w:themeColor="text1"/>
          <w:lang w:eastAsia="zh-CN"/>
          <w14:textFill>
            <w14:solidFill>
              <w14:schemeClr w14:val="tx1"/>
            </w14:solidFill>
          </w14:textFill>
        </w:rPr>
        <w:t>五</w:t>
      </w:r>
      <w:r>
        <w:rPr>
          <w:rFonts w:hint="eastAsia" w:ascii="仿宋" w:hAnsi="仿宋" w:eastAsia="仿宋" w:cs="仿宋"/>
          <w:color w:val="000000" w:themeColor="text1"/>
          <w:lang w:val="en-US" w:eastAsia="zh-CN"/>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 xml:space="preserve"> 投标文件格式</w:t>
      </w:r>
      <w:bookmarkEnd w:id="128"/>
      <w:bookmarkEnd w:id="129"/>
      <w:bookmarkEnd w:id="130"/>
      <w:bookmarkEnd w:id="131"/>
    </w:p>
    <w:p>
      <w:pPr>
        <w:adjustRightInd w:val="0"/>
        <w:snapToGrid w:val="0"/>
        <w:spacing w:line="360" w:lineRule="auto"/>
        <w:rPr>
          <w:rFonts w:hint="eastAsia" w:ascii="仿宋" w:hAnsi="仿宋" w:eastAsia="仿宋" w:cs="仿宋"/>
          <w:color w:val="000000" w:themeColor="text1"/>
          <w:szCs w:val="24"/>
          <w:highlight w:val="none"/>
          <w14:textFill>
            <w14:solidFill>
              <w14:schemeClr w14:val="tx1"/>
            </w14:solidFill>
          </w14:textFill>
        </w:rPr>
      </w:pPr>
    </w:p>
    <w:bookmarkEnd w:id="132"/>
    <w:p>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投标文件封面</w:t>
      </w:r>
    </w:p>
    <w:p>
      <w:pPr>
        <w:snapToGrid w:val="0"/>
        <w:spacing w:line="360" w:lineRule="auto"/>
        <w:rPr>
          <w:rFonts w:hint="eastAsia" w:ascii="仿宋" w:hAnsi="仿宋" w:eastAsia="仿宋" w:cs="仿宋"/>
          <w:color w:val="000000" w:themeColor="text1"/>
          <w:sz w:val="40"/>
          <w:szCs w:val="20"/>
          <w:highlight w:val="none"/>
          <w14:textFill>
            <w14:solidFill>
              <w14:schemeClr w14:val="tx1"/>
            </w14:solidFill>
          </w14:textFill>
        </w:rPr>
      </w:pPr>
      <w:r>
        <w:rPr>
          <w:rFonts w:hint="eastAsia" w:ascii="仿宋" w:hAnsi="仿宋" w:eastAsia="仿宋" w:cs="仿宋"/>
          <w:color w:val="000000" w:themeColor="text1"/>
          <w:sz w:val="40"/>
          <w:szCs w:val="20"/>
          <w:highlight w:val="none"/>
          <w14:textFill>
            <w14:solidFill>
              <w14:schemeClr w14:val="tx1"/>
            </w14:solidFill>
          </w14:textFill>
        </w:rPr>
        <w:t>正（副）本</w:t>
      </w:r>
    </w:p>
    <w:p>
      <w:pPr>
        <w:snapToGrid w:val="0"/>
        <w:spacing w:line="360" w:lineRule="auto"/>
        <w:jc w:val="center"/>
        <w:rPr>
          <w:rFonts w:hint="eastAsia" w:ascii="仿宋" w:hAnsi="仿宋" w:eastAsia="仿宋" w:cs="仿宋"/>
          <w:color w:val="000000" w:themeColor="text1"/>
          <w:sz w:val="56"/>
          <w:szCs w:val="20"/>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(项目名称)项目</w:t>
      </w:r>
    </w:p>
    <w:p>
      <w:pPr>
        <w:snapToGrid w:val="0"/>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r>
        <w:rPr>
          <w:rFonts w:hint="eastAsia" w:ascii="仿宋" w:hAnsi="仿宋" w:eastAsia="仿宋" w:cs="仿宋"/>
          <w:color w:val="000000" w:themeColor="text1"/>
          <w:sz w:val="28"/>
          <w:szCs w:val="20"/>
          <w:highlight w:val="none"/>
          <w:lang w:eastAsia="zh-CN"/>
          <w14:textFill>
            <w14:solidFill>
              <w14:schemeClr w14:val="tx1"/>
            </w14:solidFill>
          </w14:textFill>
        </w:rPr>
        <w:t>项目</w:t>
      </w:r>
      <w:r>
        <w:rPr>
          <w:rFonts w:hint="eastAsia" w:ascii="仿宋" w:hAnsi="仿宋" w:eastAsia="仿宋" w:cs="仿宋"/>
          <w:color w:val="000000" w:themeColor="text1"/>
          <w:sz w:val="28"/>
          <w:szCs w:val="20"/>
          <w:highlight w:val="none"/>
          <w14:textFill>
            <w14:solidFill>
              <w14:schemeClr w14:val="tx1"/>
            </w14:solidFill>
          </w14:textFill>
        </w:rPr>
        <w:t>编号：</w:t>
      </w:r>
    </w:p>
    <w:p>
      <w:pPr>
        <w:snapToGrid w:val="0"/>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56"/>
          <w:szCs w:val="20"/>
          <w:highlight w:val="none"/>
          <w14:textFill>
            <w14:solidFill>
              <w14:schemeClr w14:val="tx1"/>
            </w14:solidFill>
          </w14:textFill>
        </w:rPr>
      </w:pPr>
      <w:r>
        <w:rPr>
          <w:rFonts w:hint="eastAsia" w:ascii="仿宋" w:hAnsi="仿宋" w:eastAsia="仿宋" w:cs="仿宋"/>
          <w:color w:val="000000" w:themeColor="text1"/>
          <w:sz w:val="56"/>
          <w:szCs w:val="20"/>
          <w:highlight w:val="none"/>
          <w:lang w:eastAsia="zh-CN"/>
          <w14:textFill>
            <w14:solidFill>
              <w14:schemeClr w14:val="tx1"/>
            </w14:solidFill>
          </w14:textFill>
        </w:rPr>
        <w:t>投标</w:t>
      </w:r>
      <w:r>
        <w:rPr>
          <w:rFonts w:hint="eastAsia" w:ascii="仿宋" w:hAnsi="仿宋" w:eastAsia="仿宋" w:cs="仿宋"/>
          <w:color w:val="000000" w:themeColor="text1"/>
          <w:sz w:val="56"/>
          <w:szCs w:val="20"/>
          <w:highlight w:val="none"/>
          <w14:textFill>
            <w14:solidFill>
              <w14:schemeClr w14:val="tx1"/>
            </w14:solidFill>
          </w14:textFill>
        </w:rPr>
        <w:t>文件</w:t>
      </w:r>
    </w:p>
    <w:p>
      <w:pPr>
        <w:snapToGrid w:val="0"/>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pPr>
        <w:pStyle w:val="30"/>
        <w:rPr>
          <w:rFonts w:hint="eastAsia" w:ascii="仿宋" w:hAnsi="仿宋" w:eastAsia="仿宋" w:cs="仿宋"/>
          <w:color w:val="000000" w:themeColor="text1"/>
          <w:sz w:val="28"/>
          <w:szCs w:val="20"/>
          <w:highlight w:val="none"/>
          <w14:textFill>
            <w14:solidFill>
              <w14:schemeClr w14:val="tx1"/>
            </w14:solidFill>
          </w14:textFill>
        </w:rPr>
      </w:pPr>
    </w:p>
    <w:p>
      <w:pPr>
        <w:pStyle w:val="30"/>
        <w:rPr>
          <w:rFonts w:hint="eastAsia" w:ascii="仿宋" w:hAnsi="仿宋" w:eastAsia="仿宋" w:cs="仿宋"/>
          <w:color w:val="000000" w:themeColor="text1"/>
          <w:sz w:val="28"/>
          <w:szCs w:val="20"/>
          <w:highlight w:val="none"/>
          <w14:textFill>
            <w14:solidFill>
              <w14:schemeClr w14:val="tx1"/>
            </w14:solidFill>
          </w14:textFill>
        </w:rPr>
      </w:pPr>
    </w:p>
    <w:p>
      <w:pPr>
        <w:pStyle w:val="30"/>
        <w:rPr>
          <w:rFonts w:hint="eastAsia" w:ascii="仿宋" w:hAnsi="仿宋" w:eastAsia="仿宋" w:cs="仿宋"/>
          <w:color w:val="000000" w:themeColor="text1"/>
          <w:sz w:val="28"/>
          <w:szCs w:val="20"/>
          <w:highlight w:val="none"/>
          <w14:textFill>
            <w14:solidFill>
              <w14:schemeClr w14:val="tx1"/>
            </w14:solidFill>
          </w14:textFill>
        </w:rPr>
      </w:pPr>
    </w:p>
    <w:p>
      <w:pPr>
        <w:pStyle w:val="30"/>
        <w:rPr>
          <w:rFonts w:hint="eastAsia" w:ascii="仿宋" w:hAnsi="仿宋" w:eastAsia="仿宋" w:cs="仿宋"/>
          <w:color w:val="000000" w:themeColor="text1"/>
          <w:sz w:val="28"/>
          <w:szCs w:val="20"/>
          <w:highlight w:val="none"/>
          <w14:textFill>
            <w14:solidFill>
              <w14:schemeClr w14:val="tx1"/>
            </w14:solidFill>
          </w14:textFill>
        </w:rPr>
      </w:pPr>
    </w:p>
    <w:p>
      <w:pPr>
        <w:pStyle w:val="30"/>
        <w:rPr>
          <w:rFonts w:hint="eastAsia" w:ascii="仿宋" w:hAnsi="仿宋" w:eastAsia="仿宋" w:cs="仿宋"/>
          <w:color w:val="000000" w:themeColor="text1"/>
          <w:sz w:val="28"/>
          <w:szCs w:val="20"/>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8"/>
          <w:szCs w:val="20"/>
          <w:highlight w:val="none"/>
          <w14:textFill>
            <w14:solidFill>
              <w14:schemeClr w14:val="tx1"/>
            </w14:solidFill>
          </w14:textFill>
        </w:rPr>
      </w:pPr>
      <w:r>
        <w:rPr>
          <w:rFonts w:hint="eastAsia" w:ascii="仿宋" w:hAnsi="仿宋" w:eastAsia="仿宋" w:cs="仿宋"/>
          <w:color w:val="000000" w:themeColor="text1"/>
          <w:sz w:val="28"/>
          <w:szCs w:val="20"/>
          <w:highlight w:val="none"/>
          <w:lang w:eastAsia="zh-CN"/>
          <w14:textFill>
            <w14:solidFill>
              <w14:schemeClr w14:val="tx1"/>
            </w14:solidFill>
          </w14:textFill>
        </w:rPr>
        <w:t>投标人</w:t>
      </w:r>
      <w:r>
        <w:rPr>
          <w:rFonts w:hint="eastAsia" w:ascii="仿宋" w:hAnsi="仿宋" w:eastAsia="仿宋" w:cs="仿宋"/>
          <w:color w:val="000000" w:themeColor="text1"/>
          <w:sz w:val="28"/>
          <w:szCs w:val="20"/>
          <w:highlight w:val="none"/>
          <w14:textFill>
            <w14:solidFill>
              <w14:schemeClr w14:val="tx1"/>
            </w14:solidFill>
          </w14:textFill>
        </w:rPr>
        <w:t>名称：（加盖单位公章）</w:t>
      </w:r>
    </w:p>
    <w:p>
      <w:pPr>
        <w:snapToGrid w:val="0"/>
        <w:spacing w:line="360" w:lineRule="auto"/>
        <w:rPr>
          <w:rFonts w:hint="eastAsia" w:ascii="仿宋" w:hAnsi="仿宋" w:eastAsia="仿宋" w:cs="仿宋"/>
          <w:color w:val="000000" w:themeColor="text1"/>
          <w:sz w:val="28"/>
          <w:szCs w:val="20"/>
          <w:highlight w:val="none"/>
          <w14:textFill>
            <w14:solidFill>
              <w14:schemeClr w14:val="tx1"/>
            </w14:solidFill>
          </w14:textFill>
        </w:rPr>
      </w:pPr>
      <w:r>
        <w:rPr>
          <w:rFonts w:hint="eastAsia" w:ascii="仿宋" w:hAnsi="仿宋" w:eastAsia="仿宋" w:cs="仿宋"/>
          <w:color w:val="000000" w:themeColor="text1"/>
          <w:sz w:val="28"/>
          <w:szCs w:val="20"/>
          <w:highlight w:val="none"/>
          <w:lang w:eastAsia="zh-CN"/>
          <w14:textFill>
            <w14:solidFill>
              <w14:schemeClr w14:val="tx1"/>
            </w14:solidFill>
          </w14:textFill>
        </w:rPr>
        <w:t>投标人</w:t>
      </w:r>
      <w:r>
        <w:rPr>
          <w:rFonts w:hint="eastAsia" w:ascii="仿宋" w:hAnsi="仿宋" w:eastAsia="仿宋" w:cs="仿宋"/>
          <w:color w:val="000000" w:themeColor="text1"/>
          <w:sz w:val="28"/>
          <w:szCs w:val="20"/>
          <w:highlight w:val="none"/>
          <w14:textFill>
            <w14:solidFill>
              <w14:schemeClr w14:val="tx1"/>
            </w14:solidFill>
          </w14:textFill>
        </w:rPr>
        <w:t>地址：</w:t>
      </w:r>
    </w:p>
    <w:p>
      <w:pPr>
        <w:snapToGrid w:val="0"/>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lang w:eastAsia="zh-CN"/>
        </w:rPr>
        <w:t>投标人</w:t>
      </w:r>
      <w:r>
        <w:rPr>
          <w:rFonts w:hint="eastAsia" w:ascii="仿宋" w:hAnsi="仿宋" w:eastAsia="仿宋" w:cs="仿宋"/>
          <w:color w:val="auto"/>
          <w:sz w:val="28"/>
          <w:szCs w:val="20"/>
          <w:highlight w:val="none"/>
        </w:rPr>
        <w:t>法定代表人</w:t>
      </w: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28"/>
          <w:szCs w:val="20"/>
          <w:highlight w:val="none"/>
          <w:lang w:val="en-US" w:eastAsia="zh-CN"/>
        </w:rPr>
        <w:t>负责人、自然人</w:t>
      </w: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28"/>
          <w:szCs w:val="20"/>
          <w:highlight w:val="none"/>
        </w:rPr>
        <w:t>或授权代表姓名：（签字或盖章）</w:t>
      </w:r>
    </w:p>
    <w:p>
      <w:pPr>
        <w:snapToGrid w:val="0"/>
        <w:spacing w:line="360" w:lineRule="auto"/>
        <w:rPr>
          <w:rFonts w:hint="eastAsia" w:ascii="仿宋" w:hAnsi="仿宋" w:eastAsia="仿宋" w:cs="仿宋"/>
          <w:color w:val="000000" w:themeColor="text1"/>
          <w:sz w:val="28"/>
          <w:szCs w:val="20"/>
          <w:highlight w:val="none"/>
          <w14:textFill>
            <w14:solidFill>
              <w14:schemeClr w14:val="tx1"/>
            </w14:solidFill>
          </w14:textFill>
        </w:rPr>
      </w:pPr>
      <w:r>
        <w:rPr>
          <w:rFonts w:hint="eastAsia" w:ascii="仿宋" w:hAnsi="仿宋" w:eastAsia="仿宋" w:cs="仿宋"/>
          <w:color w:val="000000" w:themeColor="text1"/>
          <w:sz w:val="28"/>
          <w:szCs w:val="20"/>
          <w:highlight w:val="none"/>
          <w:lang w:eastAsia="zh-CN"/>
          <w14:textFill>
            <w14:solidFill>
              <w14:schemeClr w14:val="tx1"/>
            </w14:solidFill>
          </w14:textFill>
        </w:rPr>
        <w:t>投标人</w:t>
      </w:r>
      <w:r>
        <w:rPr>
          <w:rFonts w:hint="eastAsia" w:ascii="仿宋" w:hAnsi="仿宋" w:eastAsia="仿宋" w:cs="仿宋"/>
          <w:color w:val="000000" w:themeColor="text1"/>
          <w:sz w:val="28"/>
          <w:szCs w:val="20"/>
          <w:highlight w:val="none"/>
          <w14:textFill>
            <w14:solidFill>
              <w14:schemeClr w14:val="tx1"/>
            </w14:solidFill>
          </w14:textFill>
        </w:rPr>
        <w:t>联系方式：</w:t>
      </w:r>
    </w:p>
    <w:p>
      <w:pPr>
        <w:snapToGrid w:val="0"/>
        <w:spacing w:line="360" w:lineRule="auto"/>
        <w:rPr>
          <w:rFonts w:hint="eastAsia" w:ascii="仿宋" w:hAnsi="仿宋" w:eastAsia="仿宋" w:cs="仿宋"/>
          <w:color w:val="000000" w:themeColor="text1"/>
          <w:sz w:val="20"/>
          <w:szCs w:val="20"/>
          <w:highlight w:val="none"/>
          <w14:textFill>
            <w14:solidFill>
              <w14:schemeClr w14:val="tx1"/>
            </w14:solidFill>
          </w14:textFill>
        </w:rPr>
      </w:pPr>
    </w:p>
    <w:p>
      <w:pPr>
        <w:adjustRightInd w:val="0"/>
        <w:snapToGrid w:val="0"/>
        <w:spacing w:before="50" w:after="50"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410" w:after="50" w:line="400" w:lineRule="exact"/>
        <w:jc w:val="center"/>
        <w:textAlignment w:val="auto"/>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一、经济部分</w:t>
      </w:r>
    </w:p>
    <w:p>
      <w:pPr>
        <w:adjustRightInd w:val="0"/>
        <w:snapToGrid w:val="0"/>
        <w:spacing w:before="50" w:after="50" w:line="400" w:lineRule="exact"/>
        <w:rPr>
          <w:rFonts w:hint="eastAsia" w:ascii="仿宋" w:hAnsi="仿宋" w:eastAsia="仿宋" w:cs="仿宋"/>
          <w:b/>
          <w:color w:val="000000" w:themeColor="text1"/>
          <w:sz w:val="24"/>
          <w:szCs w:val="24"/>
          <w:highlight w:val="none"/>
          <w14:textFill>
            <w14:solidFill>
              <w14:schemeClr w14:val="tx1"/>
            </w14:solidFill>
          </w14:textFill>
        </w:rPr>
      </w:pPr>
    </w:p>
    <w:p>
      <w:pPr>
        <w:pStyle w:val="57"/>
        <w:rPr>
          <w:rFonts w:hint="eastAsia" w:ascii="仿宋" w:hAnsi="仿宋" w:eastAsia="仿宋" w:cs="仿宋"/>
          <w:b/>
          <w:color w:val="000000" w:themeColor="text1"/>
          <w:sz w:val="24"/>
          <w:szCs w:val="24"/>
          <w:highlight w:val="none"/>
          <w14:textFill>
            <w14:solidFill>
              <w14:schemeClr w14:val="tx1"/>
            </w14:solidFill>
          </w14:textFill>
        </w:rPr>
      </w:pPr>
    </w:p>
    <w:p>
      <w:pPr>
        <w:pStyle w:val="57"/>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before="50" w:after="50" w:line="4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1、投标函格式：</w:t>
      </w:r>
    </w:p>
    <w:p>
      <w:pPr>
        <w:adjustRightInd w:val="0"/>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 标 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根据贵方项目（项目编号：）</w:t>
      </w:r>
      <w:r>
        <w:rPr>
          <w:rFonts w:hint="eastAsia" w:ascii="仿宋" w:hAnsi="仿宋" w:eastAsia="仿宋" w:cs="仿宋"/>
          <w:color w:val="000000" w:themeColor="text1"/>
          <w:sz w:val="24"/>
          <w:szCs w:val="24"/>
          <w:highlight w:val="none"/>
          <w:lang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公告/投标邀请书，签字代表（全名）经正式授权并代表投标人（投标人名称）提交投标文件。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1、投标人已详细审查全部“</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”，包括补充文件（如有）以及全部参考资料和有关附件，已经了解我方对于</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2、投标人在投标之前已经与贵方进行了充分的沟通，完全理解并接受</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的各项规定和要求，对</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的合理性、合法性不再有异议。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3、本投标有效期自</w:t>
      </w:r>
      <w:r>
        <w:rPr>
          <w:rFonts w:hint="eastAsia" w:ascii="仿宋" w:hAnsi="仿宋" w:eastAsia="仿宋" w:cs="仿宋"/>
          <w:color w:val="000000" w:themeColor="text1"/>
          <w:sz w:val="24"/>
          <w:szCs w:val="24"/>
          <w:highlight w:val="none"/>
          <w:lang w:val="en-US" w:eastAsia="zh-CN"/>
          <w14:textFill>
            <w14:solidFill>
              <w14:schemeClr w14:val="tx1"/>
            </w14:solidFill>
          </w14:textFill>
        </w:rPr>
        <w:t>递交投标文件截止之日</w:t>
      </w:r>
      <w:r>
        <w:rPr>
          <w:rFonts w:hint="eastAsia" w:ascii="仿宋" w:hAnsi="仿宋" w:eastAsia="仿宋" w:cs="仿宋"/>
          <w:color w:val="000000" w:themeColor="text1"/>
          <w:sz w:val="24"/>
          <w:szCs w:val="24"/>
          <w:highlight w:val="none"/>
          <w14:textFill>
            <w14:solidFill>
              <w14:schemeClr w14:val="tx1"/>
            </w14:solidFill>
          </w14:textFill>
        </w:rPr>
        <w:t>起</w:t>
      </w:r>
      <w:r>
        <w:rPr>
          <w:rFonts w:hint="eastAsia" w:ascii="仿宋" w:hAnsi="仿宋" w:eastAsia="仿宋" w:cs="仿宋"/>
          <w:color w:val="000000" w:themeColor="text1"/>
          <w:sz w:val="24"/>
          <w:szCs w:val="24"/>
          <w:highlight w:val="none"/>
          <w:u w:val="single"/>
          <w14:textFill>
            <w14:solidFill>
              <w14:schemeClr w14:val="tx1"/>
            </w14:solidFill>
          </w14:textFill>
        </w:rPr>
        <w:t>90</w:t>
      </w:r>
      <w:r>
        <w:rPr>
          <w:rFonts w:hint="eastAsia" w:ascii="仿宋" w:hAnsi="仿宋" w:eastAsia="仿宋" w:cs="仿宋"/>
          <w:color w:val="000000" w:themeColor="text1"/>
          <w:sz w:val="24"/>
          <w:szCs w:val="24"/>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4、如中标，本投标文件至本项目合同履行完毕止均保持有效，本投标人将按“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”及政府采购法律、法规的规定履行合同责任和义务。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5、投标人同意按照贵方要求提供与投标有关的一切数据或资料，完全理解采购人不一定接受最低价的投标或收到的任何投标。</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6、与本投标有关的一切正式往来信函请寄：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  邮编：     电话：</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   投标人代表姓名：  职务：</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    银行帐号：</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日期：年月日</w:t>
      </w:r>
    </w:p>
    <w:p>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400" w:lineRule="exact"/>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color w:val="000000" w:themeColor="text1"/>
          <w:sz w:val="24"/>
          <w:szCs w:val="24"/>
          <w:highlight w:val="none"/>
          <w14:textFill>
            <w14:solidFill>
              <w14:schemeClr w14:val="tx1"/>
            </w14:solidFill>
          </w14:textFill>
        </w:rPr>
        <w:t>2、开标一览表</w:t>
      </w:r>
    </w:p>
    <w:p>
      <w:pPr>
        <w:adjustRightInd w:val="0"/>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开标一览表</w:t>
      </w:r>
    </w:p>
    <w:p>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pPr>
        <w:adjustRightInd w:val="0"/>
        <w:snapToGrid w:val="0"/>
        <w:spacing w:line="400" w:lineRule="exact"/>
        <w:ind w:firstLine="4800" w:firstLineChars="20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单位：元/辆</w:t>
      </w:r>
    </w:p>
    <w:tbl>
      <w:tblPr>
        <w:tblStyle w:val="3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0"/>
        <w:gridCol w:w="1177"/>
        <w:gridCol w:w="709"/>
        <w:gridCol w:w="1417"/>
        <w:gridCol w:w="993"/>
        <w:gridCol w:w="1275"/>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38"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270"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产品</w:t>
            </w:r>
            <w:r>
              <w:rPr>
                <w:rFonts w:hint="eastAsia" w:ascii="仿宋" w:hAnsi="仿宋" w:eastAsia="仿宋" w:cs="仿宋"/>
                <w:color w:val="000000" w:themeColor="text1"/>
                <w:sz w:val="24"/>
                <w:szCs w:val="24"/>
                <w:highlight w:val="none"/>
                <w14:textFill>
                  <w14:solidFill>
                    <w14:schemeClr w14:val="tx1"/>
                  </w14:solidFill>
                </w14:textFill>
              </w:rPr>
              <w:t>名称</w:t>
            </w:r>
          </w:p>
        </w:tc>
        <w:tc>
          <w:tcPr>
            <w:tcW w:w="117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品牌</w:t>
            </w:r>
          </w:p>
        </w:tc>
        <w:tc>
          <w:tcPr>
            <w:tcW w:w="709"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产地</w:t>
            </w:r>
          </w:p>
        </w:tc>
        <w:tc>
          <w:tcPr>
            <w:tcW w:w="141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规格型号</w:t>
            </w:r>
          </w:p>
        </w:tc>
        <w:tc>
          <w:tcPr>
            <w:tcW w:w="993"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数量</w:t>
            </w:r>
          </w:p>
        </w:tc>
        <w:tc>
          <w:tcPr>
            <w:tcW w:w="1275"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单价（元）</w:t>
            </w:r>
          </w:p>
        </w:tc>
        <w:tc>
          <w:tcPr>
            <w:tcW w:w="1276"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合计（元）</w:t>
            </w:r>
          </w:p>
        </w:tc>
        <w:tc>
          <w:tcPr>
            <w:tcW w:w="992"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38"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0"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1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3"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Align w:val="center"/>
          </w:tcPr>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2"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8"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0"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709"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17"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3"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Align w:val="center"/>
          </w:tcPr>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2" w:type="dxa"/>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08" w:type="dxa"/>
            <w:gridSpan w:val="2"/>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投标总价（元）</w:t>
            </w:r>
          </w:p>
        </w:tc>
        <w:tc>
          <w:tcPr>
            <w:tcW w:w="7839" w:type="dxa"/>
            <w:gridSpan w:val="7"/>
            <w:vAlign w:val="center"/>
          </w:tcPr>
          <w:p>
            <w:p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08" w:type="dxa"/>
            <w:gridSpan w:val="2"/>
            <w:vAlign w:val="center"/>
          </w:tcPr>
          <w:p>
            <w:pPr>
              <w:snapToGrid w:val="0"/>
              <w:spacing w:line="40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合同履约期限</w:t>
            </w:r>
          </w:p>
        </w:tc>
        <w:tc>
          <w:tcPr>
            <w:tcW w:w="7839" w:type="dxa"/>
            <w:gridSpan w:val="7"/>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（可填写是\否满足</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08" w:type="dxa"/>
            <w:gridSpan w:val="2"/>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质保期</w:t>
            </w:r>
          </w:p>
        </w:tc>
        <w:tc>
          <w:tcPr>
            <w:tcW w:w="7839" w:type="dxa"/>
            <w:gridSpan w:val="7"/>
            <w:vAlign w:val="center"/>
          </w:tcPr>
          <w:p>
            <w:pPr>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（可填写是\否满足</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要求）</w:t>
            </w:r>
          </w:p>
        </w:tc>
      </w:tr>
    </w:tbl>
    <w:p>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 1、投标报价包括项目实施所需的货款、人工费、服务费、运输费、安装调试费、税金及其他一切费用。</w:t>
      </w:r>
    </w:p>
    <w:p>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pStyle w:val="30"/>
        <w:rPr>
          <w:rFonts w:hint="eastAsia" w:ascii="仿宋" w:hAnsi="仿宋" w:eastAsia="仿宋" w:cs="仿宋"/>
        </w:rPr>
      </w:pP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400" w:lineRule="exact"/>
        <w:ind w:left="-2" w:leftChars="-1"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rPr>
          <w:rFonts w:hint="eastAsia" w:ascii="仿宋" w:hAnsi="仿宋" w:eastAsia="仿宋" w:cs="仿宋"/>
          <w:color w:val="000000" w:themeColor="text1"/>
          <w:spacing w:val="20"/>
          <w:sz w:val="24"/>
          <w:szCs w:val="24"/>
          <w:highlight w:val="none"/>
          <w:u w:val="single"/>
          <w14:textFill>
            <w14:solidFill>
              <w14:schemeClr w14:val="tx1"/>
            </w14:solidFill>
          </w14:textFill>
        </w:rPr>
      </w:pPr>
    </w:p>
    <w:p>
      <w:pPr>
        <w:pStyle w:val="57"/>
        <w:rPr>
          <w:rFonts w:hint="eastAsia" w:ascii="仿宋" w:hAnsi="仿宋" w:eastAsia="仿宋" w:cs="仿宋"/>
          <w:color w:val="000000" w:themeColor="text1"/>
          <w:spacing w:val="20"/>
          <w:sz w:val="24"/>
          <w:szCs w:val="24"/>
          <w:highlight w:val="none"/>
          <w:u w:val="single"/>
          <w14:textFill>
            <w14:solidFill>
              <w14:schemeClr w14:val="tx1"/>
            </w14:solidFill>
          </w14:textFill>
        </w:rPr>
      </w:pPr>
    </w:p>
    <w:p>
      <w:pP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br w:type="page"/>
      </w:r>
    </w:p>
    <w:p>
      <w:pPr>
        <w:pStyle w:val="57"/>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二、商务部分</w:t>
      </w:r>
    </w:p>
    <w:p>
      <w:pPr>
        <w:adjustRightInd w:val="0"/>
        <w:snapToGrid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pStyle w:val="57"/>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pStyle w:val="57"/>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、投标声明书格式：</w:t>
      </w:r>
    </w:p>
    <w:p>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投标声明书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w:t>
      </w:r>
    </w:p>
    <w:p>
      <w:pPr>
        <w:keepNext w:val="0"/>
        <w:keepLines w:val="0"/>
        <w:pageBreakBefore w:val="0"/>
        <w:widowControl w:val="0"/>
        <w:kinsoku/>
        <w:wordWrap/>
        <w:overflowPunct/>
        <w:topLinePunct w:val="0"/>
        <w:autoSpaceDE/>
        <w:autoSpaceDN/>
        <w:bidi w:val="0"/>
        <w:adjustRightInd w:val="0"/>
        <w:snapToGrid w:val="0"/>
        <w:spacing w:line="400" w:lineRule="exact"/>
        <w:ind w:firstLine="720" w:firstLineChars="3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（投标人名称）系中华人民共和国合法企业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其他组织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，经营地址</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64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我（姓名）系（投标人名称）的法定代表人（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负责人</w:t>
      </w:r>
      <w:r>
        <w:rPr>
          <w:rFonts w:hint="eastAsia" w:ascii="仿宋" w:hAnsi="仿宋" w:eastAsia="仿宋" w:cs="仿宋"/>
          <w:color w:val="000000" w:themeColor="text1"/>
          <w:sz w:val="24"/>
          <w:szCs w:val="24"/>
          <w:highlight w:val="none"/>
          <w14:textFill>
            <w14:solidFill>
              <w14:schemeClr w14:val="tx1"/>
            </w14:solidFill>
          </w14:textFill>
        </w:rPr>
        <w:t>），我方愿意参加贵方组织的项目（项目编号：）的投标，为便于贵方公正、择优地确定中标人及其投标产品和服务，我方就本次投标有关事项郑重声明如下：</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投标方已详细审查全部</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，同意</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的各项要求。</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我方向贵方提交的所有投标文件、资料都是准确的和真实的。</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若中标，我方将按</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规定履行合同责任和义务。</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我方郑重承诺：我</w:t>
      </w:r>
      <w:r>
        <w:rPr>
          <w:rFonts w:hint="eastAsia" w:ascii="仿宋" w:hAnsi="仿宋" w:eastAsia="仿宋" w:cs="仿宋"/>
          <w:color w:val="000000" w:themeColor="text1"/>
          <w:sz w:val="24"/>
          <w:szCs w:val="24"/>
          <w:highlight w:val="none"/>
          <w:lang w:val="en-US" w:eastAsia="zh-CN"/>
          <w14:textFill>
            <w14:solidFill>
              <w14:schemeClr w14:val="tx1"/>
            </w14:solidFill>
          </w14:textFill>
        </w:rPr>
        <w:t>方</w:t>
      </w:r>
      <w:r>
        <w:rPr>
          <w:rFonts w:hint="eastAsia" w:ascii="仿宋" w:hAnsi="仿宋" w:eastAsia="仿宋" w:cs="仿宋"/>
          <w:color w:val="000000" w:themeColor="text1"/>
          <w:sz w:val="24"/>
          <w:szCs w:val="24"/>
          <w:highlight w:val="none"/>
          <w14:textFill>
            <w14:solidFill>
              <w14:schemeClr w14:val="tx1"/>
            </w14:solidFill>
          </w14:textFill>
        </w:rPr>
        <w:t>所投产品及其任何一部分，免受第三方提出的侵犯其专利权、商标权、著作权或其它知识产权的起诉。我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方</w:t>
      </w:r>
      <w:r>
        <w:rPr>
          <w:rFonts w:hint="eastAsia" w:ascii="仿宋" w:hAnsi="仿宋" w:eastAsia="仿宋" w:cs="仿宋"/>
          <w:color w:val="000000" w:themeColor="text1"/>
          <w:sz w:val="24"/>
          <w:szCs w:val="24"/>
          <w:highlight w:val="none"/>
          <w14:textFill>
            <w14:solidFill>
              <w14:schemeClr w14:val="tx1"/>
            </w14:solidFill>
          </w14:textFill>
        </w:rPr>
        <w:t>承担由此可能产生的一切法律责任和费用。</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我方不是采购人的附属机构；在获知本项目采购信息后，与采购人聘请的为此项目提供咨询服务的公司及其附属机构没有任何联系。</w:t>
      </w:r>
    </w:p>
    <w:p>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投标书自开标日起有效期为日。以上事项如有虚假或隐瞒，我方愿意承担一切后果，并不再寻求任何旨在减轻或免除法律责任的辩解。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left="-4" w:leftChars="-2" w:right="-817" w:rightChars="-389" w:firstLine="2"/>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4" w:leftChars="-2" w:right="-817" w:rightChars="-389" w:firstLine="2"/>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4" w:leftChars="-2" w:right="-817" w:rightChars="-389" w:firstLine="2"/>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4" w:leftChars="-2" w:right="-817" w:rightChars="-389" w:firstLine="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val="0"/>
        <w:snapToGrid w:val="0"/>
        <w:spacing w:line="400" w:lineRule="exact"/>
        <w:ind w:left="-4" w:leftChars="-2" w:right="-817" w:rightChars="-389" w:firstLine="2"/>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left="-2" w:leftChars="-1" w:right="-817" w:rightChars="-389" w:firstLine="2"/>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、授权委托书格式：</w:t>
      </w:r>
    </w:p>
    <w:p>
      <w:pPr>
        <w:adjustRightInd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授权委托书</w:t>
      </w:r>
    </w:p>
    <w:p>
      <w:pPr>
        <w:adjustRightInd w:val="0"/>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（采购代理机构名称）：</w:t>
      </w:r>
    </w:p>
    <w:p>
      <w:pPr>
        <w:adjustRightInd w:val="0"/>
        <w:snapToGrid w:val="0"/>
        <w:spacing w:line="360" w:lineRule="auto"/>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我（姓名）系（投标人名称）的法定代表人（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负责人、自然人</w:t>
      </w:r>
      <w:r>
        <w:rPr>
          <w:rFonts w:hint="eastAsia" w:ascii="仿宋" w:hAnsi="仿宋" w:eastAsia="仿宋" w:cs="仿宋"/>
          <w:color w:val="000000" w:themeColor="text1"/>
          <w:sz w:val="24"/>
          <w:szCs w:val="24"/>
          <w:highlight w:val="none"/>
          <w14:textFill>
            <w14:solidFill>
              <w14:schemeClr w14:val="tx1"/>
            </w14:solidFill>
          </w14:textFill>
        </w:rPr>
        <w:t>），现授权委托本单位在职职工 （姓名）以我方的名义参加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项目（项目编号：        ）</w:t>
      </w:r>
      <w:r>
        <w:rPr>
          <w:rFonts w:hint="eastAsia" w:ascii="仿宋" w:hAnsi="仿宋" w:eastAsia="仿宋" w:cs="仿宋"/>
          <w:color w:val="000000" w:themeColor="text1"/>
          <w:sz w:val="24"/>
          <w:szCs w:val="24"/>
          <w:highlight w:val="none"/>
          <w14:textFill>
            <w14:solidFill>
              <w14:schemeClr w14:val="tx1"/>
            </w14:solidFill>
          </w14:textFill>
        </w:rPr>
        <w:t>的投标活动，并代表我方全权办理针对上述项目的投标、开标、评标、签约等具体事务和签署相关文件。</w:t>
      </w:r>
    </w:p>
    <w:p>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我方对被授权人的签名事项负全部责任。</w:t>
      </w:r>
    </w:p>
    <w:p>
      <w:pPr>
        <w:adjustRightInd w:val="0"/>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在撤销授权的书面通知以前，本授权书一直有效。</w:t>
      </w:r>
      <w:r>
        <w:rPr>
          <w:rFonts w:hint="eastAsia" w:ascii="仿宋" w:hAnsi="仿宋" w:eastAsia="仿宋" w:cs="仿宋"/>
          <w:color w:val="000000" w:themeColor="text1"/>
          <w:sz w:val="24"/>
          <w:szCs w:val="24"/>
          <w:highlight w:val="none"/>
          <w14:textFill>
            <w14:solidFill>
              <w14:schemeClr w14:val="tx1"/>
            </w14:solidFill>
          </w14:textFill>
        </w:rPr>
        <w:t>被授权人在授权书有效期内签署的所有文件不因授权的撤销而失效。</w:t>
      </w:r>
    </w:p>
    <w:p>
      <w:pPr>
        <w:adjustRightInd w:val="0"/>
        <w:snapToGrid w:val="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被授权人无转委托权，特此委托。</w:t>
      </w:r>
    </w:p>
    <w:tbl>
      <w:tblPr>
        <w:tblStyle w:val="3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4290" w:type="dxa"/>
            <w:vAlign w:val="center"/>
          </w:tcPr>
          <w:p>
            <w:pPr>
              <w:adjustRightInd w:val="0"/>
              <w:snapToGrid w:val="0"/>
              <w:spacing w:line="360" w:lineRule="auto"/>
              <w:ind w:right="48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授权</w:t>
            </w:r>
            <w:r>
              <w:rPr>
                <w:rFonts w:hint="eastAsia" w:ascii="仿宋" w:hAnsi="仿宋" w:eastAsia="仿宋" w:cs="仿宋"/>
                <w:color w:val="000000" w:themeColor="text1"/>
                <w:sz w:val="24"/>
                <w:szCs w:val="24"/>
                <w:highlight w:val="none"/>
                <w14:textFill>
                  <w14:solidFill>
                    <w14:schemeClr w14:val="tx1"/>
                  </w14:solidFill>
                </w14:textFill>
              </w:rPr>
              <w:t>人身份证正</w:t>
            </w:r>
            <w:r>
              <w:rPr>
                <w:rFonts w:hint="eastAsia" w:ascii="仿宋" w:hAnsi="仿宋" w:eastAsia="仿宋" w:cs="仿宋"/>
                <w:color w:val="000000" w:themeColor="text1"/>
                <w:sz w:val="24"/>
                <w:szCs w:val="24"/>
                <w:highlight w:val="none"/>
                <w:lang w:val="en-US" w:eastAsia="zh-CN"/>
                <w14:textFill>
                  <w14:solidFill>
                    <w14:schemeClr w14:val="tx1"/>
                  </w14:solidFill>
                </w14:textFill>
              </w:rPr>
              <w:t>反</w:t>
            </w:r>
            <w:r>
              <w:rPr>
                <w:rFonts w:hint="eastAsia" w:ascii="仿宋" w:hAnsi="仿宋" w:eastAsia="仿宋" w:cs="仿宋"/>
                <w:color w:val="000000" w:themeColor="text1"/>
                <w:sz w:val="24"/>
                <w:szCs w:val="24"/>
                <w:highlight w:val="none"/>
                <w14:textFill>
                  <w14:solidFill>
                    <w14:schemeClr w14:val="tx1"/>
                  </w14:solidFill>
                </w14:textFill>
              </w:rPr>
              <w:t>面</w:t>
            </w:r>
          </w:p>
        </w:tc>
        <w:tc>
          <w:tcPr>
            <w:tcW w:w="4368" w:type="dxa"/>
            <w:vAlign w:val="center"/>
          </w:tcPr>
          <w:p>
            <w:pPr>
              <w:adjustRightInd w:val="0"/>
              <w:snapToGrid w:val="0"/>
              <w:spacing w:line="360" w:lineRule="auto"/>
              <w:ind w:right="48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被授权人身份证正</w:t>
            </w:r>
            <w:r>
              <w:rPr>
                <w:rFonts w:hint="eastAsia" w:ascii="仿宋" w:hAnsi="仿宋" w:eastAsia="仿宋" w:cs="仿宋"/>
                <w:color w:val="000000" w:themeColor="text1"/>
                <w:sz w:val="24"/>
                <w:szCs w:val="24"/>
                <w:highlight w:val="none"/>
                <w:lang w:val="en-US" w:eastAsia="zh-CN"/>
                <w14:textFill>
                  <w14:solidFill>
                    <w14:schemeClr w14:val="tx1"/>
                  </w14:solidFill>
                </w14:textFill>
              </w:rPr>
              <w:t>反</w:t>
            </w:r>
            <w:r>
              <w:rPr>
                <w:rFonts w:hint="eastAsia" w:ascii="仿宋" w:hAnsi="仿宋" w:eastAsia="仿宋" w:cs="仿宋"/>
                <w:color w:val="000000" w:themeColor="text1"/>
                <w:sz w:val="24"/>
                <w:szCs w:val="24"/>
                <w:highlight w:val="none"/>
                <w14:textFill>
                  <w14:solidFill>
                    <w14:schemeClr w14:val="tx1"/>
                  </w14:solidFill>
                </w14:textFill>
              </w:rPr>
              <w:t>面</w:t>
            </w:r>
          </w:p>
        </w:tc>
      </w:tr>
    </w:tbl>
    <w:p>
      <w:pPr>
        <w:adjustRightInd w:val="0"/>
        <w:snapToGrid w:val="0"/>
        <w:spacing w:line="360" w:lineRule="auto"/>
        <w:ind w:right="480"/>
        <w:jc w:val="center"/>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360" w:lineRule="auto"/>
        <w:ind w:right="48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投标人名称（盖章）：</w:t>
      </w:r>
    </w:p>
    <w:p>
      <w:pPr>
        <w:adjustRightInd w:val="0"/>
        <w:snapToGrid w:val="0"/>
        <w:spacing w:line="360" w:lineRule="auto"/>
        <w:ind w:right="36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adjustRightInd w:val="0"/>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pStyle w:val="57"/>
        <w:rPr>
          <w:rFonts w:hint="eastAsia" w:ascii="仿宋" w:hAnsi="仿宋" w:eastAsia="仿宋" w:cs="仿宋"/>
          <w:lang w:val="en-US" w:eastAsia="zh-CN"/>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、具有独立承担民事责任能力的证明材料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供应商若为企业法人：提供“统一社会信用代码营业执照”副本复印件；②若为其他组织：提供“对应主管部门颁发的准许执业证明文件或营业执照”复印件；（注：上述材料均需在有效期内，加盖投标人公章。）</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、投标人情况介绍格式：</w:t>
      </w:r>
    </w:p>
    <w:p>
      <w:pPr>
        <w:adjustRightInd w:val="0"/>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投标人情况</w:t>
      </w:r>
    </w:p>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投标人名称:                                                   </w:t>
      </w:r>
    </w:p>
    <w:tbl>
      <w:tblPr>
        <w:tblStyle w:val="3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76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注册地址</w:t>
            </w:r>
          </w:p>
        </w:tc>
        <w:tc>
          <w:tcPr>
            <w:tcW w:w="3376" w:type="dxa"/>
            <w:gridSpan w:val="3"/>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14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restart"/>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p>
        </w:tc>
        <w:tc>
          <w:tcPr>
            <w:tcW w:w="10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tc>
        <w:tc>
          <w:tcPr>
            <w:tcW w:w="2323"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1453"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continue"/>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10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p>
        </w:tc>
        <w:tc>
          <w:tcPr>
            <w:tcW w:w="2323"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1453"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网址</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tc>
        <w:tc>
          <w:tcPr>
            <w:tcW w:w="10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1469"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854"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453"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765"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1400"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企业负责人</w:t>
            </w:r>
          </w:p>
        </w:tc>
        <w:tc>
          <w:tcPr>
            <w:tcW w:w="10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1469"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854"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453"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765"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1400"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技术负责人</w:t>
            </w:r>
          </w:p>
        </w:tc>
        <w:tc>
          <w:tcPr>
            <w:tcW w:w="1053"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1469"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854"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453"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765"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c>
          <w:tcPr>
            <w:tcW w:w="1400" w:type="dxa"/>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企业资质</w:t>
            </w:r>
          </w:p>
        </w:tc>
        <w:tc>
          <w:tcPr>
            <w:tcW w:w="2522"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2307" w:type="dxa"/>
            <w:gridSpan w:val="2"/>
            <w:vAlign w:val="center"/>
          </w:tcPr>
          <w:p>
            <w:pPr>
              <w:pStyle w:val="185"/>
              <w:numPr>
                <w:ilvl w:val="0"/>
                <w:numId w:val="0"/>
              </w:numPr>
              <w:spacing w:line="400" w:lineRule="exact"/>
              <w:ind w:left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营业执照号</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资信等级</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注册资金</w:t>
            </w:r>
          </w:p>
        </w:tc>
        <w:tc>
          <w:tcPr>
            <w:tcW w:w="2522"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万元</w:t>
            </w:r>
          </w:p>
        </w:tc>
        <w:tc>
          <w:tcPr>
            <w:tcW w:w="2307" w:type="dxa"/>
            <w:gridSpan w:val="2"/>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固定资产净值</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流动资产</w:t>
            </w:r>
          </w:p>
        </w:tc>
        <w:tc>
          <w:tcPr>
            <w:tcW w:w="2522"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万元</w:t>
            </w:r>
          </w:p>
        </w:tc>
        <w:tc>
          <w:tcPr>
            <w:tcW w:w="2307"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c>
          <w:tcPr>
            <w:tcW w:w="2522"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c>
          <w:tcPr>
            <w:tcW w:w="2307" w:type="dxa"/>
            <w:gridSpan w:val="2"/>
            <w:vAlign w:val="center"/>
          </w:tcPr>
          <w:p>
            <w:pPr>
              <w:pStyle w:val="185"/>
              <w:spacing w:line="400" w:lineRule="exact"/>
              <w:ind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帐号</w:t>
            </w:r>
          </w:p>
        </w:tc>
        <w:tc>
          <w:tcPr>
            <w:tcW w:w="2165" w:type="dxa"/>
            <w:gridSpan w:val="2"/>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pPr>
              <w:pStyle w:val="185"/>
              <w:spacing w:line="400" w:lineRule="exact"/>
              <w:ind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股权关系</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652" w:type="dxa"/>
            <w:gridSpan w:val="7"/>
            <w:vAlign w:val="center"/>
          </w:tcPr>
          <w:p>
            <w:pPr>
              <w:pStyle w:val="185"/>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总人数人，其中：具有高级职称的人，中级职称的人。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58" w:type="dxa"/>
            <w:vAlign w:val="center"/>
          </w:tcPr>
          <w:p>
            <w:pPr>
              <w:pStyle w:val="185"/>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经营范围</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pPr>
              <w:pStyle w:val="185"/>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资质范围</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pPr>
              <w:pStyle w:val="185"/>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  注</w:t>
            </w:r>
          </w:p>
        </w:tc>
        <w:tc>
          <w:tcPr>
            <w:tcW w:w="6994" w:type="dxa"/>
            <w:gridSpan w:val="6"/>
            <w:vAlign w:val="center"/>
          </w:tcPr>
          <w:p>
            <w:pPr>
              <w:pStyle w:val="185"/>
              <w:numPr>
                <w:ilvl w:val="0"/>
                <w:numId w:val="10"/>
              </w:numPr>
              <w:spacing w:line="400" w:lineRule="exact"/>
              <w:ind w:firstLineChars="0"/>
              <w:rPr>
                <w:rFonts w:hint="eastAsia" w:ascii="仿宋" w:hAnsi="仿宋" w:eastAsia="仿宋" w:cs="仿宋"/>
                <w:color w:val="000000" w:themeColor="text1"/>
                <w:sz w:val="24"/>
                <w:szCs w:val="24"/>
                <w:highlight w:val="none"/>
                <w14:textFill>
                  <w14:solidFill>
                    <w14:schemeClr w14:val="tx1"/>
                  </w14:solidFill>
                </w14:textFill>
              </w:rPr>
            </w:pPr>
          </w:p>
        </w:tc>
      </w:tr>
    </w:tbl>
    <w:p>
      <w:pPr>
        <w:adjustRightInd w:val="0"/>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auto"/>
          <w:sz w:val="24"/>
          <w:szCs w:val="24"/>
          <w:highlight w:val="none"/>
          <w:lang w:val="en-US" w:eastAsia="zh-CN"/>
        </w:rPr>
        <w:t>附：</w:t>
      </w:r>
      <w:r>
        <w:rPr>
          <w:rFonts w:hint="eastAsia" w:ascii="仿宋" w:hAnsi="仿宋" w:eastAsia="仿宋" w:cs="仿宋"/>
          <w:b/>
          <w:color w:val="auto"/>
          <w:sz w:val="24"/>
          <w:szCs w:val="24"/>
          <w:highlight w:val="none"/>
          <w:lang w:eastAsia="zh-CN"/>
        </w:rPr>
        <w:t>投标人已取得的各种有效认证证书、政府部门（企业）或第三方权威鉴定机构出具的信用等级证书或证明复印件(如有)。</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400" w:lineRule="exact"/>
        <w:ind w:left="-2" w:leftChars="-1" w:right="-817" w:rightChars="-389" w:firstLine="2"/>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具有良好的商业信誉和健全的财务会计制度的证明材料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2022年度经审计的财务报告（包含审计报告和审计报告中所涉及的财务报表、报表附注和出具报告机构、人员的证照）复印件②投标人内部出具的2022年度财务报表复印件（至少包含资产负债表）③银行出具的资信证明复印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a.以上①②③提供任意一项即可；b.投标人成立时间至递交投标文件截止时间为止不足一年的，提供任意时间段的资产负债表复印件或银行出具的资信证明复印件即可；c.投标人为事业单位或其他组织的提供其具有健全的财务会计制度的承诺函原件即可；d．投标人为自然人的提供承诺函（格式自拟）；</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、投标人须具有履行合同所必需的设备和专业技术能力，须附相关证明材料或声明：</w:t>
      </w:r>
    </w:p>
    <w:p>
      <w:pPr>
        <w:pStyle w:val="198"/>
        <w:autoSpaceDE w:val="0"/>
        <w:autoSpaceDN w:val="0"/>
        <w:adjustRightInd w:val="0"/>
        <w:snapToGrid w:val="0"/>
        <w:spacing w:line="400" w:lineRule="exact"/>
        <w:ind w:firstLine="120" w:firstLineChars="5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格式：</w:t>
      </w:r>
    </w:p>
    <w:p>
      <w:pPr>
        <w:pStyle w:val="198"/>
        <w:autoSpaceDE w:val="0"/>
        <w:autoSpaceDN w:val="0"/>
        <w:adjustRightInd w:val="0"/>
        <w:snapToGrid w:val="0"/>
        <w:spacing w:line="400" w:lineRule="exact"/>
        <w:ind w:firstLine="120" w:firstLineChars="5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本投标人郑重声明：</w:t>
      </w:r>
    </w:p>
    <w:p>
      <w:pPr>
        <w:pStyle w:val="198"/>
        <w:autoSpaceDE w:val="0"/>
        <w:autoSpaceDN w:val="0"/>
        <w:adjustRightInd w:val="0"/>
        <w:snapToGrid w:val="0"/>
        <w:spacing w:line="400" w:lineRule="exact"/>
        <w:ind w:firstLine="120" w:firstLineChars="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本公司（或单位）具备本项目履行合同所必需的设备和专业技术能力，特此承诺。 </w:t>
      </w:r>
    </w:p>
    <w:p>
      <w:pPr>
        <w:pStyle w:val="198"/>
        <w:autoSpaceDE w:val="0"/>
        <w:autoSpaceDN w:val="0"/>
        <w:adjustRightInd w:val="0"/>
        <w:snapToGrid w:val="0"/>
        <w:spacing w:line="400" w:lineRule="exact"/>
        <w:ind w:firstLine="120" w:firstLineChars="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98"/>
        <w:autoSpaceDE w:val="0"/>
        <w:autoSpaceDN w:val="0"/>
        <w:adjustRightInd w:val="0"/>
        <w:snapToGrid w:val="0"/>
        <w:spacing w:line="400" w:lineRule="exact"/>
        <w:ind w:firstLine="120" w:firstLineChars="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投标人名称（加盖公章）：</w:t>
      </w:r>
    </w:p>
    <w:p>
      <w:pPr>
        <w:pStyle w:val="198"/>
        <w:autoSpaceDE w:val="0"/>
        <w:autoSpaceDN w:val="0"/>
        <w:adjustRightInd w:val="0"/>
        <w:snapToGrid w:val="0"/>
        <w:spacing w:line="400" w:lineRule="exact"/>
        <w:ind w:firstLine="120" w:firstLineChars="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年 月 日 </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前三年内在经营活动中没有重大违法记录的书面声明：</w:t>
      </w:r>
    </w:p>
    <w:p>
      <w:pPr>
        <w:pStyle w:val="198"/>
        <w:adjustRightInd w:val="0"/>
        <w:snapToGrid w:val="0"/>
        <w:spacing w:line="40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格式：</w:t>
      </w:r>
    </w:p>
    <w:p>
      <w:pPr>
        <w:pStyle w:val="198"/>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szCs w:val="24"/>
          <w:highlight w:val="none"/>
          <w14:textFill>
            <w14:solidFill>
              <w14:schemeClr w14:val="tx1"/>
            </w14:solidFill>
          </w14:textFill>
        </w:rPr>
        <w:t>：</w:t>
      </w:r>
    </w:p>
    <w:p>
      <w:pPr>
        <w:pStyle w:val="198"/>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参与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项目名称、编号）投标，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郑重声明，我方参加本项目政府采购活动前三年内无重大违法记录，符合《</w:t>
      </w:r>
      <w:r>
        <w:rPr>
          <w:rFonts w:hint="eastAsia" w:ascii="仿宋" w:hAnsi="仿宋" w:eastAsia="仿宋" w:cs="仿宋"/>
          <w:color w:val="000000" w:themeColor="text1"/>
          <w:sz w:val="24"/>
          <w:szCs w:val="24"/>
          <w:highlight w:val="none"/>
          <w:lang w:eastAsia="zh-CN"/>
          <w14:textFill>
            <w14:solidFill>
              <w14:schemeClr w14:val="tx1"/>
            </w14:solidFill>
          </w14:textFill>
        </w:rPr>
        <w:t>中华人民共和国政府采购法</w:t>
      </w:r>
      <w:r>
        <w:rPr>
          <w:rFonts w:hint="eastAsia" w:ascii="仿宋" w:hAnsi="仿宋" w:eastAsia="仿宋" w:cs="仿宋"/>
          <w:color w:val="000000" w:themeColor="text1"/>
          <w:sz w:val="24"/>
          <w:szCs w:val="24"/>
          <w:highlight w:val="none"/>
          <w14:textFill>
            <w14:solidFill>
              <w14:schemeClr w14:val="tx1"/>
            </w14:solidFill>
          </w14:textFill>
        </w:rPr>
        <w:t>》规定的投标人条件。若贵方在本项目采购过程中发现我方政府采购活动前三年内有重大违法记录，我</w:t>
      </w:r>
      <w:r>
        <w:rPr>
          <w:rFonts w:hint="eastAsia" w:ascii="仿宋" w:hAnsi="仿宋" w:eastAsia="仿宋" w:cs="仿宋"/>
          <w:color w:val="000000" w:themeColor="text1"/>
          <w:sz w:val="24"/>
          <w:szCs w:val="24"/>
          <w:highlight w:val="none"/>
          <w:lang w:val="en-US" w:eastAsia="zh-CN"/>
          <w14:textFill>
            <w14:solidFill>
              <w14:schemeClr w14:val="tx1"/>
            </w14:solidFill>
          </w14:textFill>
        </w:rPr>
        <w:t>方</w:t>
      </w:r>
      <w:r>
        <w:rPr>
          <w:rFonts w:hint="eastAsia" w:ascii="仿宋" w:hAnsi="仿宋" w:eastAsia="仿宋" w:cs="仿宋"/>
          <w:color w:val="000000" w:themeColor="text1"/>
          <w:sz w:val="24"/>
          <w:szCs w:val="24"/>
          <w:highlight w:val="none"/>
          <w14:textFill>
            <w14:solidFill>
              <w14:schemeClr w14:val="tx1"/>
            </w14:solidFill>
          </w14:textFill>
        </w:rPr>
        <w:t>将无条件退出本项目的投标，并承担因此引起的一切后果。我方对此声明负全部法律责任。</w:t>
      </w:r>
    </w:p>
    <w:p>
      <w:pPr>
        <w:pStyle w:val="198"/>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特此声明  </w:t>
      </w:r>
    </w:p>
    <w:p>
      <w:pPr>
        <w:pStyle w:val="198"/>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投标人（盖单位章）：</w:t>
      </w:r>
    </w:p>
    <w:p>
      <w:pPr>
        <w:pStyle w:val="198"/>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7"/>
        <w:snapToGrid w:val="0"/>
        <w:spacing w:line="400" w:lineRule="exact"/>
        <w:ind w:firstLine="0"/>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br w:type="page"/>
      </w:r>
    </w:p>
    <w:p>
      <w:pPr>
        <w:adjustRightInd w:val="0"/>
        <w:snapToGrid w:val="0"/>
        <w:spacing w:line="400" w:lineRule="exact"/>
        <w:jc w:val="left"/>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、拒绝列入失信被执行人、重大税收违法案件当事人名单、政府采购严重违法失信行为记录名单及及其他不符合规定条件的投标人；投标人未被列入“信用中国”网站(www.creditchina.gov.cn)“记录失信被执行人或重大 税收违法案件当事人名单或政府采购严重违法失信行为”记录名单；未处于中国政府采购 网(www.ccgp.gov.cn)“政府采购严重违法失信行为信息记录”中的禁止参加政府采购活动 期间</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pStyle w:val="57"/>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color w:val="000000" w:themeColor="text1"/>
          <w:sz w:val="24"/>
          <w:szCs w:val="24"/>
          <w:highlight w:val="none"/>
          <w14:textFill>
            <w14:solidFill>
              <w14:schemeClr w14:val="tx1"/>
            </w14:solidFill>
          </w14:textFill>
        </w:rPr>
        <w:t>商务响应表格式：</w:t>
      </w:r>
    </w:p>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商务响应表</w:t>
      </w:r>
    </w:p>
    <w:p>
      <w:pPr>
        <w:adjustRightInd w:val="0"/>
        <w:snapToGrid w:val="0"/>
        <w:spacing w:line="400" w:lineRule="exact"/>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38"/>
        <w:tblW w:w="9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2"/>
        <w:gridCol w:w="2879"/>
        <w:gridCol w:w="1483"/>
        <w:gridCol w:w="3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2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要求</w:t>
            </w:r>
          </w:p>
        </w:tc>
        <w:tc>
          <w:tcPr>
            <w:tcW w:w="1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是否响应</w:t>
            </w:r>
          </w:p>
        </w:tc>
        <w:tc>
          <w:tcPr>
            <w:tcW w:w="3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2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287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148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tc>
      </w:tr>
    </w:tbl>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注：如有偏离，则必须注明“偏离”；未注明偏离的，视为完全响应。</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pStyle w:val="57"/>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pStyle w:val="57"/>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color w:val="000000" w:themeColor="text1"/>
          <w:sz w:val="24"/>
          <w:szCs w:val="24"/>
          <w:highlight w:val="none"/>
          <w14:textFill>
            <w14:solidFill>
              <w14:schemeClr w14:val="tx1"/>
            </w14:solidFill>
          </w14:textFill>
        </w:rPr>
        <w:t>、20</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年</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月</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日以来</w:t>
      </w:r>
      <w:r>
        <w:rPr>
          <w:rFonts w:hint="eastAsia" w:ascii="仿宋" w:hAnsi="仿宋" w:eastAsia="仿宋" w:cs="仿宋"/>
          <w:b/>
          <w:color w:val="000000" w:themeColor="text1"/>
          <w:sz w:val="24"/>
          <w:szCs w:val="24"/>
          <w:highlight w:val="none"/>
          <w:lang w:val="en-US" w:eastAsia="zh-CN"/>
          <w14:textFill>
            <w14:solidFill>
              <w14:schemeClr w14:val="tx1"/>
            </w14:solidFill>
          </w14:textFill>
        </w:rPr>
        <w:t>类似</w:t>
      </w:r>
      <w:r>
        <w:rPr>
          <w:rFonts w:hint="eastAsia" w:ascii="仿宋" w:hAnsi="仿宋" w:eastAsia="仿宋" w:cs="仿宋"/>
          <w:b/>
          <w:color w:val="000000" w:themeColor="text1"/>
          <w:sz w:val="24"/>
          <w:szCs w:val="24"/>
          <w:highlight w:val="none"/>
          <w14:textFill>
            <w14:solidFill>
              <w14:schemeClr w14:val="tx1"/>
            </w14:solidFill>
          </w14:textFill>
        </w:rPr>
        <w:t>成功业绩</w:t>
      </w:r>
    </w:p>
    <w:p>
      <w:pPr>
        <w:adjustRightInd w:val="0"/>
        <w:snapToGrid w:val="0"/>
        <w:spacing w:line="400" w:lineRule="exact"/>
        <w:ind w:firstLine="470" w:firstLineChars="196"/>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以签订合同时间为准，需提供与最终用户合同</w:t>
      </w:r>
      <w:r>
        <w:rPr>
          <w:rFonts w:hint="eastAsia" w:ascii="仿宋" w:hAnsi="仿宋" w:eastAsia="仿宋" w:cs="仿宋"/>
          <w:color w:val="000000" w:themeColor="text1"/>
          <w:sz w:val="24"/>
          <w:szCs w:val="24"/>
          <w:highlight w:val="none"/>
          <w:lang w:eastAsia="zh-CN"/>
          <w14:textFill>
            <w14:solidFill>
              <w14:schemeClr w14:val="tx1"/>
            </w14:solidFill>
          </w14:textFill>
        </w:rPr>
        <w:t>、中标（成交通知书）</w:t>
      </w:r>
      <w:r>
        <w:rPr>
          <w:rFonts w:hint="eastAsia" w:ascii="仿宋" w:hAnsi="仿宋" w:eastAsia="仿宋" w:cs="仿宋"/>
          <w:color w:val="000000" w:themeColor="text1"/>
          <w:sz w:val="24"/>
          <w:szCs w:val="24"/>
          <w:highlight w:val="none"/>
          <w14:textFill>
            <w14:solidFill>
              <w14:schemeClr w14:val="tx1"/>
            </w14:solidFill>
          </w14:textFill>
        </w:rPr>
        <w:t>和相对应的发票复印件，复印件并加盖公章，如出现与事实不符等情况，将根据有关规定以“提供虚假材料谋取中标”予以处罚。</w:t>
      </w:r>
    </w:p>
    <w:p>
      <w:pPr>
        <w:adjustRightInd w:val="0"/>
        <w:snapToGrid w:val="0"/>
        <w:spacing w:line="400" w:lineRule="exact"/>
        <w:ind w:firstLine="470" w:firstLineChars="196"/>
        <w:jc w:val="left"/>
        <w:rPr>
          <w:rFonts w:hint="eastAsia" w:ascii="仿宋" w:hAnsi="仿宋" w:eastAsia="仿宋" w:cs="仿宋"/>
          <w:color w:val="000000" w:themeColor="text1"/>
          <w:sz w:val="24"/>
          <w:szCs w:val="24"/>
          <w:highlight w:val="none"/>
          <w14:textFill>
            <w14:solidFill>
              <w14:schemeClr w14:val="tx1"/>
            </w14:solidFill>
          </w14:textFill>
        </w:rPr>
      </w:pPr>
    </w:p>
    <w:p>
      <w:pPr>
        <w:pStyle w:val="57"/>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13、综合实力（评分细则要求提供的证书）</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14、投标担保缴纳证明材料及开户许可证</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15、其他证明文件或投标人认为应提交的商务文件（如有）</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b/>
          <w:color w:val="000000" w:themeColor="text1"/>
          <w:sz w:val="24"/>
          <w:szCs w:val="24"/>
          <w:highlight w:val="none"/>
          <w14:textFill>
            <w14:solidFill>
              <w14:schemeClr w14:val="tx1"/>
            </w14:solidFill>
          </w14:textFill>
        </w:rPr>
        <w:t>、政府采购政策扶持证明材料</w:t>
      </w:r>
    </w:p>
    <w:p>
      <w:pPr>
        <w:widowControl/>
        <w:snapToGrid w:val="0"/>
        <w:spacing w:before="240" w:after="240"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中小企业声明函（货物）</w:t>
      </w:r>
    </w:p>
    <w:p>
      <w:pPr>
        <w:widowControl/>
        <w:snapToGrid w:val="0"/>
        <w:spacing w:before="75" w:after="75" w:line="400" w:lineRule="exact"/>
        <w:ind w:firstLine="480" w:firstLineChars="200"/>
        <w:rPr>
          <w:rFonts w:hint="eastAsia" w:ascii="仿宋" w:hAnsi="仿宋" w:eastAsia="仿宋" w:cs="仿宋"/>
          <w:i w:val="0"/>
          <w:iCs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本公司（联合体）郑重声明，根据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关于</w:t>
      </w:r>
      <w:r>
        <w:rPr>
          <w:rFonts w:hint="eastAsia" w:ascii="仿宋" w:hAnsi="仿宋" w:eastAsia="仿宋" w:cs="仿宋"/>
          <w:color w:val="000000" w:themeColor="text1"/>
          <w:kern w:val="0"/>
          <w:sz w:val="24"/>
          <w:szCs w:val="24"/>
          <w:highlight w:val="none"/>
          <w14:textFill>
            <w14:solidFill>
              <w14:schemeClr w14:val="tx1"/>
            </w14:solidFill>
          </w14:textFill>
        </w:rPr>
        <w:t>《政府采购促进中小企业发展管理办法》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的通知</w:t>
      </w:r>
      <w:r>
        <w:rPr>
          <w:rFonts w:hint="eastAsia" w:ascii="仿宋" w:hAnsi="仿宋" w:eastAsia="仿宋" w:cs="仿宋"/>
          <w:color w:val="000000" w:themeColor="text1"/>
          <w:kern w:val="0"/>
          <w:sz w:val="24"/>
          <w:szCs w:val="24"/>
          <w:highlight w:val="none"/>
          <w14:textFill>
            <w14:solidFill>
              <w14:schemeClr w14:val="tx1"/>
            </w14:solidFill>
          </w14:textFill>
        </w:rPr>
        <w:t>（财库〔2020〕46号）的规定，本公司（联合体）</w:t>
      </w:r>
      <w:r>
        <w:rPr>
          <w:rFonts w:hint="eastAsia" w:ascii="仿宋" w:hAnsi="仿宋" w:eastAsia="仿宋" w:cs="仿宋"/>
          <w:i w:val="0"/>
          <w:iCs w:val="0"/>
          <w:color w:val="000000" w:themeColor="text1"/>
          <w:kern w:val="0"/>
          <w:sz w:val="24"/>
          <w:szCs w:val="24"/>
          <w:highlight w:val="none"/>
          <w14:textFill>
            <w14:solidFill>
              <w14:schemeClr w14:val="tx1"/>
            </w14:solidFill>
          </w14:textFill>
        </w:rPr>
        <w:t>参加</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（单位名称）</w:t>
      </w:r>
      <w:r>
        <w:rPr>
          <w:rFonts w:hint="eastAsia" w:ascii="仿宋" w:hAnsi="仿宋" w:eastAsia="仿宋" w:cs="仿宋"/>
          <w:i w:val="0"/>
          <w:iCs w:val="0"/>
          <w:color w:val="000000" w:themeColor="text1"/>
          <w:kern w:val="0"/>
          <w:sz w:val="24"/>
          <w:szCs w:val="24"/>
          <w:highlight w:val="none"/>
          <w14:textFill>
            <w14:solidFill>
              <w14:schemeClr w14:val="tx1"/>
            </w14:solidFill>
          </w14:textFill>
        </w:rPr>
        <w:t>的</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szCs w:val="24"/>
          <w:highlight w:val="none"/>
          <w14:textFill>
            <w14:solidFill>
              <w14:schemeClr w14:val="tx1"/>
            </w14:solidFill>
          </w14:textFill>
        </w:rPr>
        <w:t>采购活动，提供的货物全部由符合政策要求的中小企业制造。相关企业（含</w:t>
      </w:r>
      <w:r>
        <w:rPr>
          <w:rFonts w:hint="eastAsia" w:ascii="仿宋" w:hAnsi="仿宋" w:eastAsia="仿宋" w:cs="仿宋"/>
          <w:i w:val="0"/>
          <w:iCs w:val="0"/>
          <w:color w:val="000000" w:themeColor="text1"/>
          <w:kern w:val="0"/>
          <w:sz w:val="24"/>
          <w:szCs w:val="24"/>
          <w:highlight w:val="none"/>
          <w14:textFill>
            <w14:solidFill>
              <w14:schemeClr w14:val="tx1"/>
            </w14:solidFill>
          </w14:textFill>
        </w:rPr>
        <w:t>联合体中的中小企业、签订分包意向协议的中小企业）的具体情况如下：</w:t>
      </w:r>
    </w:p>
    <w:p>
      <w:pPr>
        <w:widowControl/>
        <w:snapToGrid w:val="0"/>
        <w:spacing w:before="75" w:after="75" w:line="400" w:lineRule="exact"/>
        <w:ind w:firstLine="480" w:firstLineChars="200"/>
        <w:rPr>
          <w:rFonts w:hint="eastAsia" w:ascii="仿宋" w:hAnsi="仿宋" w:eastAsia="仿宋" w:cs="仿宋"/>
          <w:i w:val="0"/>
          <w:iCs w:val="0"/>
          <w:color w:val="000000" w:themeColor="text1"/>
          <w:kern w:val="0"/>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single"/>
          <w:lang w:eastAsia="zh-CN"/>
          <w14:textFill>
            <w14:solidFill>
              <w14:schemeClr w14:val="tx1"/>
            </w14:solidFill>
          </w14:textFill>
        </w:rPr>
        <w:t>采购文件</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中明确的所属行业）</w:t>
      </w:r>
      <w:r>
        <w:rPr>
          <w:rFonts w:hint="eastAsia" w:ascii="仿宋" w:hAnsi="仿宋" w:eastAsia="仿宋" w:cs="仿宋"/>
          <w:i w:val="0"/>
          <w:iCs w:val="0"/>
          <w:color w:val="000000" w:themeColor="text1"/>
          <w:kern w:val="0"/>
          <w:sz w:val="24"/>
          <w:szCs w:val="24"/>
          <w:highlight w:val="none"/>
          <w14:textFill>
            <w14:solidFill>
              <w14:schemeClr w14:val="tx1"/>
            </w14:solidFill>
          </w14:textFill>
        </w:rPr>
        <w:t>；制造商为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14:textFill>
            <w14:solidFill>
              <w14:schemeClr w14:val="tx1"/>
            </w14:solidFill>
          </w14:textFill>
        </w:rPr>
        <w:t>；</w:t>
      </w:r>
    </w:p>
    <w:p>
      <w:pPr>
        <w:widowControl/>
        <w:snapToGrid w:val="0"/>
        <w:spacing w:before="75" w:after="75" w:line="400" w:lineRule="exact"/>
        <w:ind w:firstLine="480" w:firstLineChars="200"/>
        <w:rPr>
          <w:rFonts w:hint="eastAsia" w:ascii="仿宋" w:hAnsi="仿宋" w:eastAsia="仿宋" w:cs="仿宋"/>
          <w:i w:val="0"/>
          <w:iCs w:val="0"/>
          <w:color w:val="000000" w:themeColor="text1"/>
          <w:kern w:val="0"/>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single"/>
          <w:lang w:eastAsia="zh-CN"/>
          <w14:textFill>
            <w14:solidFill>
              <w14:schemeClr w14:val="tx1"/>
            </w14:solidFill>
          </w14:textFill>
        </w:rPr>
        <w:t>采购文件</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中明确的所属行业）</w:t>
      </w:r>
      <w:r>
        <w:rPr>
          <w:rFonts w:hint="eastAsia" w:ascii="仿宋" w:hAnsi="仿宋" w:eastAsia="仿宋" w:cs="仿宋"/>
          <w:i w:val="0"/>
          <w:iCs w:val="0"/>
          <w:color w:val="000000" w:themeColor="text1"/>
          <w:kern w:val="0"/>
          <w:sz w:val="24"/>
          <w:szCs w:val="24"/>
          <w:highlight w:val="none"/>
          <w14:textFill>
            <w14:solidFill>
              <w14:schemeClr w14:val="tx1"/>
            </w14:solidFill>
          </w14:textFill>
        </w:rPr>
        <w:t>；制造商为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14:textFill>
            <w14:solidFill>
              <w14:schemeClr w14:val="tx1"/>
            </w14:solidFill>
          </w14:textFill>
        </w:rPr>
        <w:t>；</w:t>
      </w:r>
    </w:p>
    <w:p>
      <w:pPr>
        <w:widowControl/>
        <w:snapToGrid w:val="0"/>
        <w:spacing w:before="75" w:after="75" w:line="400" w:lineRule="exact"/>
        <w:ind w:firstLine="480" w:firstLineChars="200"/>
        <w:rPr>
          <w:rFonts w:hint="eastAsia" w:ascii="仿宋" w:hAnsi="仿宋" w:eastAsia="仿宋" w:cs="仿宋"/>
          <w:i w:val="0"/>
          <w:iCs w:val="0"/>
          <w:color w:val="000000" w:themeColor="text1"/>
          <w:kern w:val="0"/>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14:textFill>
            <w14:solidFill>
              <w14:schemeClr w14:val="tx1"/>
            </w14:solidFill>
          </w14:textFill>
        </w:rPr>
        <w:t>……</w:t>
      </w:r>
    </w:p>
    <w:p>
      <w:pPr>
        <w:widowControl/>
        <w:snapToGrid w:val="0"/>
        <w:spacing w:before="75" w:after="75" w:line="400" w:lineRule="exact"/>
        <w:ind w:firstLine="480" w:firstLineChars="200"/>
        <w:rPr>
          <w:rFonts w:hint="eastAsia" w:ascii="仿宋" w:hAnsi="仿宋" w:eastAsia="仿宋" w:cs="仿宋"/>
          <w:i w:val="0"/>
          <w:iCs w:val="0"/>
          <w:color w:val="000000" w:themeColor="text1"/>
          <w:kern w:val="0"/>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widowControl/>
        <w:snapToGrid w:val="0"/>
        <w:spacing w:before="75" w:after="75"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本企业对上述声明内容的真实性负责。如有虚假，将依法承担相应责任。</w:t>
      </w:r>
    </w:p>
    <w:p>
      <w:pPr>
        <w:widowControl/>
        <w:snapToGrid w:val="0"/>
        <w:spacing w:before="75" w:after="75"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napToGrid w:val="0"/>
        <w:spacing w:before="75" w:after="75"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napToGrid w:val="0"/>
        <w:spacing w:before="75" w:after="75" w:line="400" w:lineRule="exact"/>
        <w:ind w:firstLine="4677" w:firstLineChars="194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企业名称（盖章）：</w:t>
      </w:r>
    </w:p>
    <w:p>
      <w:pPr>
        <w:pStyle w:val="22"/>
        <w:snapToGrid w:val="0"/>
        <w:spacing w:before="156" w:after="156"/>
        <w:ind w:firstLine="4305" w:firstLineChars="20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日期：</w:t>
      </w:r>
    </w:p>
    <w:p>
      <w:pPr>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注：小型、微型企业资格证明文件</w:t>
      </w:r>
    </w:p>
    <w:p>
      <w:pPr>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中小企业参加政府采购活动，应当出具本办法规定的《中小企业声明函》（附1），否则不得享受相关中小企业扶持政策。任何单位和个人不得要求</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提供《中小企业声明函》之外的中小企业身份证明文件。</w:t>
      </w:r>
    </w:p>
    <w:p>
      <w:pPr>
        <w:tabs>
          <w:tab w:val="left" w:pos="3777"/>
          <w:tab w:val="center" w:pos="4819"/>
        </w:tabs>
        <w:snapToGrid w:val="0"/>
        <w:spacing w:line="400" w:lineRule="exact"/>
        <w:ind w:firstLine="3337" w:firstLineChars="1385"/>
        <w:rPr>
          <w:rFonts w:hint="eastAsia" w:ascii="仿宋" w:hAnsi="仿宋" w:eastAsia="仿宋" w:cs="仿宋"/>
          <w:b/>
          <w:color w:val="000000" w:themeColor="text1"/>
          <w:sz w:val="24"/>
          <w:szCs w:val="24"/>
          <w:highlight w:val="none"/>
          <w14:textFill>
            <w14:solidFill>
              <w14:schemeClr w14:val="tx1"/>
            </w14:solidFill>
          </w14:textFill>
        </w:rPr>
      </w:pPr>
    </w:p>
    <w:p>
      <w:pPr>
        <w:tabs>
          <w:tab w:val="left" w:pos="3777"/>
          <w:tab w:val="center" w:pos="4819"/>
        </w:tabs>
        <w:snapToGrid w:val="0"/>
        <w:spacing w:line="400" w:lineRule="exact"/>
        <w:ind w:firstLine="3337" w:firstLineChars="1385"/>
        <w:rPr>
          <w:rFonts w:hint="eastAsia" w:ascii="仿宋" w:hAnsi="仿宋" w:eastAsia="仿宋" w:cs="仿宋"/>
          <w:b/>
          <w:color w:val="000000" w:themeColor="text1"/>
          <w:sz w:val="24"/>
          <w:szCs w:val="24"/>
          <w:highlight w:val="none"/>
          <w14:textFill>
            <w14:solidFill>
              <w14:schemeClr w14:val="tx1"/>
            </w14:solidFill>
          </w14:textFill>
        </w:rPr>
      </w:pPr>
    </w:p>
    <w:p>
      <w:pPr>
        <w:tabs>
          <w:tab w:val="left" w:pos="3777"/>
          <w:tab w:val="center" w:pos="4819"/>
        </w:tabs>
        <w:snapToGrid w:val="0"/>
        <w:spacing w:line="400" w:lineRule="exact"/>
        <w:ind w:firstLine="3337" w:firstLineChars="1385"/>
        <w:rPr>
          <w:rFonts w:hint="eastAsia" w:ascii="仿宋" w:hAnsi="仿宋" w:eastAsia="仿宋" w:cs="仿宋"/>
          <w:b/>
          <w:color w:val="000000" w:themeColor="text1"/>
          <w:sz w:val="24"/>
          <w:szCs w:val="24"/>
          <w:highlight w:val="none"/>
          <w14:textFill>
            <w14:solidFill>
              <w14:schemeClr w14:val="tx1"/>
            </w14:solidFill>
          </w14:textFill>
        </w:rPr>
      </w:pPr>
    </w:p>
    <w:p>
      <w:pPr>
        <w:tabs>
          <w:tab w:val="left" w:pos="3777"/>
          <w:tab w:val="center" w:pos="4819"/>
        </w:tabs>
        <w:snapToGrid w:val="0"/>
        <w:spacing w:line="400" w:lineRule="exact"/>
        <w:ind w:firstLine="3337" w:firstLineChars="1385"/>
        <w:rPr>
          <w:rFonts w:hint="eastAsia" w:ascii="仿宋" w:hAnsi="仿宋" w:eastAsia="仿宋" w:cs="仿宋"/>
          <w:b/>
          <w:color w:val="000000" w:themeColor="text1"/>
          <w:sz w:val="24"/>
          <w:szCs w:val="24"/>
          <w:highlight w:val="none"/>
          <w14:textFill>
            <w14:solidFill>
              <w14:schemeClr w14:val="tx1"/>
            </w14:solidFill>
          </w14:textFill>
        </w:rPr>
      </w:pPr>
    </w:p>
    <w:p>
      <w:pPr>
        <w:tabs>
          <w:tab w:val="left" w:pos="3777"/>
          <w:tab w:val="center" w:pos="4819"/>
        </w:tabs>
        <w:snapToGrid w:val="0"/>
        <w:spacing w:line="400" w:lineRule="exact"/>
        <w:ind w:firstLine="3337" w:firstLineChars="1385"/>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tabs>
          <w:tab w:val="left" w:pos="3777"/>
          <w:tab w:val="center" w:pos="4819"/>
        </w:tabs>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监狱企业声明函</w:t>
      </w:r>
    </w:p>
    <w:p>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（监狱企业适用）</w:t>
      </w:r>
    </w:p>
    <w:p>
      <w:pPr>
        <w:keepNext w:val="0"/>
        <w:keepLines w:val="0"/>
        <w:pageBreakBefore w:val="0"/>
        <w:widowControl w:val="0"/>
        <w:kinsoku/>
        <w:wordWrap/>
        <w:overflowPunct/>
        <w:topLinePunct w:val="0"/>
        <w:autoSpaceDE/>
        <w:autoSpaceDN/>
        <w:bidi w:val="0"/>
        <w:adjustRightInd/>
        <w:snapToGrid w:val="0"/>
        <w:spacing w:line="400" w:lineRule="exact"/>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本公司郑重声明，根据《</w:t>
      </w:r>
      <w:r>
        <w:rPr>
          <w:rFonts w:hint="eastAsia" w:ascii="仿宋" w:hAnsi="仿宋" w:eastAsia="仿宋" w:cs="仿宋"/>
          <w:color w:val="000000" w:themeColor="text1"/>
          <w:sz w:val="24"/>
          <w:highlight w:val="none"/>
          <w:lang w:eastAsia="zh-CN"/>
          <w14:textFill>
            <w14:solidFill>
              <w14:schemeClr w14:val="tx1"/>
            </w14:solidFill>
          </w14:textFill>
        </w:rPr>
        <w:t>财政部、司法部</w:t>
      </w:r>
      <w:r>
        <w:rPr>
          <w:rFonts w:hint="eastAsia" w:ascii="仿宋" w:hAnsi="仿宋" w:eastAsia="仿宋" w:cs="仿宋"/>
          <w:color w:val="000000" w:themeColor="text1"/>
          <w:sz w:val="24"/>
          <w:highlight w:val="none"/>
          <w14:textFill>
            <w14:solidFill>
              <w14:schemeClr w14:val="tx1"/>
            </w14:solidFill>
          </w14:textFill>
        </w:rPr>
        <w:t>关于政府采购支持监狱企业发展有关问题的通知》（财库[2014]68号）的规定，本公司为监狱企业。</w:t>
      </w:r>
    </w:p>
    <w:p>
      <w:pPr>
        <w:keepNext w:val="0"/>
        <w:keepLines w:val="0"/>
        <w:pageBreakBefore w:val="0"/>
        <w:widowControl w:val="0"/>
        <w:kinsoku/>
        <w:wordWrap/>
        <w:overflowPunct/>
        <w:topLinePunct w:val="0"/>
        <w:autoSpaceDE/>
        <w:autoSpaceDN/>
        <w:bidi w:val="0"/>
        <w:adjustRightInd/>
        <w:snapToGrid w:val="0"/>
        <w:spacing w:line="400" w:lineRule="exact"/>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本公司参加______单位的______项目采购活动，采购活动提供本企业（填写制造的货物，由本企业承担工程、提供服务）。</w:t>
      </w:r>
    </w:p>
    <w:p>
      <w:pPr>
        <w:keepNext w:val="0"/>
        <w:keepLines w:val="0"/>
        <w:pageBreakBefore w:val="0"/>
        <w:widowControl w:val="0"/>
        <w:kinsoku/>
        <w:wordWrap/>
        <w:overflowPunct/>
        <w:topLinePunct w:val="0"/>
        <w:autoSpaceDE/>
        <w:autoSpaceDN/>
        <w:bidi w:val="0"/>
        <w:adjustRightInd/>
        <w:snapToGrid w:val="0"/>
        <w:spacing w:line="400" w:lineRule="exact"/>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本条所称货物不包括使用大型企业注册商标的货物和服务。</w:t>
      </w:r>
    </w:p>
    <w:p>
      <w:pPr>
        <w:keepNext w:val="0"/>
        <w:keepLines w:val="0"/>
        <w:pageBreakBefore w:val="0"/>
        <w:widowControl w:val="0"/>
        <w:kinsoku/>
        <w:wordWrap/>
        <w:overflowPunct/>
        <w:topLinePunct w:val="0"/>
        <w:autoSpaceDE/>
        <w:autoSpaceDN/>
        <w:bidi w:val="0"/>
        <w:adjustRightInd/>
        <w:snapToGrid w:val="0"/>
        <w:spacing w:line="400" w:lineRule="exact"/>
        <w:ind w:firstLine="540" w:firstLineChars="22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400" w:lineRule="exact"/>
        <w:ind w:firstLine="4860" w:firstLineChars="2025"/>
        <w:textAlignment w:val="auto"/>
        <w:rPr>
          <w:rFonts w:hint="eastAsia" w:ascii="仿宋" w:hAnsi="仿宋" w:eastAsia="仿宋" w:cs="仿宋"/>
          <w:color w:val="000000" w:themeColor="text1"/>
          <w:sz w:val="24"/>
          <w:highlight w:val="none"/>
          <w14:textFill>
            <w14:solidFill>
              <w14:schemeClr w14:val="tx1"/>
            </w14:solidFill>
          </w14:textFill>
        </w:rPr>
      </w:pPr>
    </w:p>
    <w:p>
      <w:pPr>
        <w:pStyle w:val="22"/>
        <w:snapToGrid w:val="0"/>
        <w:spacing w:before="156" w:after="156"/>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名称(公章)：____________</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p>
    <w:p>
      <w:pPr>
        <w:pStyle w:val="22"/>
        <w:snapToGrid w:val="0"/>
        <w:spacing w:before="156" w:after="156"/>
        <w:ind w:firstLine="480" w:firstLineChars="200"/>
        <w:rPr>
          <w:rFonts w:hint="eastAsia" w:ascii="仿宋" w:hAnsi="仿宋" w:eastAsia="仿宋" w:cs="仿宋"/>
          <w:b/>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日期：________________________</w:t>
      </w:r>
    </w:p>
    <w:p>
      <w:pPr>
        <w:pStyle w:val="22"/>
        <w:snapToGrid w:val="0"/>
        <w:spacing w:before="156" w:after="156"/>
        <w:ind w:firstLine="562" w:firstLineChars="200"/>
        <w:jc w:val="left"/>
        <w:rPr>
          <w:rFonts w:hint="eastAsia" w:ascii="仿宋" w:hAnsi="仿宋" w:eastAsia="仿宋" w:cs="仿宋"/>
          <w:b/>
          <w:color w:val="000000" w:themeColor="text1"/>
          <w:sz w:val="28"/>
          <w:szCs w:val="28"/>
          <w:highlight w:val="none"/>
          <w:lang w:val="zh-CN"/>
          <w14:textFill>
            <w14:solidFill>
              <w14:schemeClr w14:val="tx1"/>
            </w14:solidFill>
          </w14:textFill>
        </w:rPr>
      </w:pPr>
    </w:p>
    <w:p>
      <w:pPr>
        <w:pStyle w:val="22"/>
        <w:snapToGrid w:val="0"/>
        <w:spacing w:before="156" w:after="156"/>
        <w:ind w:firstLine="422" w:firstLineChars="200"/>
        <w:jc w:val="left"/>
        <w:rPr>
          <w:rFonts w:hint="eastAsia" w:ascii="仿宋" w:hAnsi="仿宋" w:eastAsia="仿宋" w:cs="仿宋"/>
          <w:b/>
          <w:color w:val="000000" w:themeColor="text1"/>
          <w:highlight w:val="none"/>
          <w:lang w:val="zh-CN"/>
          <w14:textFill>
            <w14:solidFill>
              <w14:schemeClr w14:val="tx1"/>
            </w14:solidFill>
          </w14:textFill>
        </w:rPr>
      </w:pPr>
      <w:r>
        <w:rPr>
          <w:rFonts w:hint="eastAsia" w:ascii="仿宋" w:hAnsi="仿宋" w:eastAsia="仿宋" w:cs="仿宋"/>
          <w:b/>
          <w:color w:val="000000" w:themeColor="text1"/>
          <w:highlight w:val="none"/>
          <w:lang w:val="zh-CN"/>
          <w14:textFill>
            <w14:solidFill>
              <w14:schemeClr w14:val="tx1"/>
            </w14:solidFill>
          </w14:textFill>
        </w:rPr>
        <w:t>注：应当提供由省级以上监狱管理局、戒毒管理局（含新疆生产建设兵团）出具的属于监狱企业的证明文件。</w:t>
      </w:r>
    </w:p>
    <w:p>
      <w:pPr>
        <w:pStyle w:val="22"/>
        <w:snapToGrid w:val="0"/>
        <w:spacing w:before="156" w:after="156"/>
        <w:ind w:firstLine="422" w:firstLineChars="200"/>
        <w:jc w:val="center"/>
        <w:rPr>
          <w:rFonts w:hint="eastAsia" w:ascii="仿宋" w:hAnsi="仿宋" w:eastAsia="仿宋" w:cs="仿宋"/>
          <w:b/>
          <w:color w:val="000000" w:themeColor="text1"/>
          <w:highlight w:val="none"/>
          <w:lang w:val="zh-CN"/>
          <w14:textFill>
            <w14:solidFill>
              <w14:schemeClr w14:val="tx1"/>
            </w14:solidFill>
          </w14:textFill>
        </w:rPr>
      </w:pPr>
    </w:p>
    <w:p>
      <w:pPr>
        <w:widowControl/>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widowControl/>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widowControl/>
        <w:snapToGrid w:val="0"/>
        <w:spacing w:line="400" w:lineRule="exact"/>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残疾人</w:t>
      </w:r>
      <w:bookmarkStart w:id="133" w:name="OLE_LINK14"/>
      <w:bookmarkStart w:id="134" w:name="OLE_LINK13"/>
      <w:r>
        <w:rPr>
          <w:rFonts w:hint="eastAsia" w:ascii="仿宋" w:hAnsi="仿宋" w:eastAsia="仿宋" w:cs="仿宋"/>
          <w:b/>
          <w:color w:val="000000" w:themeColor="text1"/>
          <w:sz w:val="24"/>
          <w:szCs w:val="24"/>
          <w:highlight w:val="none"/>
          <w14:textFill>
            <w14:solidFill>
              <w14:schemeClr w14:val="tx1"/>
            </w14:solidFill>
          </w14:textFill>
        </w:rPr>
        <w:t>福利性单位声明函</w:t>
      </w:r>
    </w:p>
    <w:p>
      <w:pPr>
        <w:snapToGrid w:val="0"/>
        <w:spacing w:line="400" w:lineRule="exact"/>
        <w:ind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残疾人福</w:t>
      </w:r>
      <w:bookmarkEnd w:id="133"/>
      <w:bookmarkEnd w:id="134"/>
      <w:r>
        <w:rPr>
          <w:rFonts w:hint="eastAsia" w:ascii="仿宋" w:hAnsi="仿宋" w:eastAsia="仿宋" w:cs="仿宋"/>
          <w:color w:val="000000" w:themeColor="text1"/>
          <w:sz w:val="24"/>
          <w:highlight w:val="none"/>
          <w14:textFill>
            <w14:solidFill>
              <w14:schemeClr w14:val="tx1"/>
            </w14:solidFill>
          </w14:textFill>
        </w:rPr>
        <w:t>利性单位适用</w:t>
      </w:r>
      <w:r>
        <w:rPr>
          <w:rFonts w:hint="eastAsia" w:ascii="仿宋" w:hAnsi="仿宋" w:eastAsia="仿宋" w:cs="仿宋"/>
          <w:color w:val="000000" w:themeColor="text1"/>
          <w:spacing w:val="6"/>
          <w:sz w:val="24"/>
          <w:szCs w:val="24"/>
          <w:highlight w:val="none"/>
          <w14:textFill>
            <w14:solidFill>
              <w14:schemeClr w14:val="tx1"/>
            </w14:solidFill>
          </w14:textFill>
        </w:rPr>
        <w:t>）</w:t>
      </w:r>
    </w:p>
    <w:p>
      <w:pPr>
        <w:snapToGrid w:val="0"/>
        <w:spacing w:line="400"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napToGrid w:val="0"/>
        <w:spacing w:before="156" w:after="156"/>
        <w:ind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pPr>
        <w:pStyle w:val="22"/>
        <w:snapToGrid w:val="0"/>
        <w:spacing w:before="156" w:after="156"/>
        <w:ind w:firstLine="444" w:firstLineChars="200"/>
        <w:jc w:val="center"/>
        <w:rPr>
          <w:rFonts w:hint="eastAsia" w:ascii="仿宋" w:hAnsi="仿宋" w:eastAsia="仿宋" w:cs="仿宋"/>
          <w:color w:val="000000" w:themeColor="text1"/>
          <w:spacing w:val="6"/>
          <w:highlight w:val="none"/>
          <w14:textFill>
            <w14:solidFill>
              <w14:schemeClr w14:val="tx1"/>
            </w14:solidFill>
          </w14:textFill>
        </w:rPr>
      </w:pPr>
    </w:p>
    <w:p>
      <w:pPr>
        <w:pStyle w:val="22"/>
        <w:snapToGrid w:val="0"/>
        <w:spacing w:before="156" w:after="156"/>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名称(公章)：____________</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p>
    <w:p>
      <w:pPr>
        <w:pStyle w:val="22"/>
        <w:snapToGrid w:val="0"/>
        <w:spacing w:before="156" w:after="156"/>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日期：________________________</w:t>
      </w:r>
    </w:p>
    <w:p>
      <w:pPr>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snapToGrid w:val="0"/>
        <w:spacing w:line="400" w:lineRule="exact"/>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lang w:eastAsia="zh-CN"/>
          <w14:textFill>
            <w14:solidFill>
              <w14:schemeClr w14:val="tx1"/>
            </w14:solidFill>
          </w14:textFill>
        </w:rPr>
        <w:t>三、技术部分</w:t>
      </w:r>
    </w:p>
    <w:p>
      <w:pPr>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p>
    <w:p>
      <w:pPr>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p>
    <w:p>
      <w:pPr>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p>
    <w:p>
      <w:pPr>
        <w:snapToGri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pPr>
    </w:p>
    <w:p>
      <w:p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b/>
          <w:color w:val="000000" w:themeColor="text1"/>
          <w:sz w:val="24"/>
          <w:szCs w:val="24"/>
          <w:highlight w:val="none"/>
          <w14:textFill>
            <w14:solidFill>
              <w14:schemeClr w14:val="tx1"/>
            </w14:solidFill>
          </w14:textFill>
        </w:rPr>
        <w:t>、技术偏离表格式：</w:t>
      </w:r>
    </w:p>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技术偏离表</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pPr>
        <w:adjustRightInd w:val="0"/>
        <w:snapToGrid w:val="0"/>
        <w:spacing w:line="400" w:lineRule="exact"/>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38"/>
        <w:tblW w:w="9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1708"/>
        <w:gridCol w:w="1927"/>
        <w:gridCol w:w="1793"/>
        <w:gridCol w:w="1243"/>
        <w:gridCol w:w="1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要求</w:t>
            </w:r>
          </w:p>
        </w:tc>
        <w:tc>
          <w:tcPr>
            <w:tcW w:w="3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投标文件响应</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偏离情况</w:t>
            </w:r>
          </w:p>
        </w:tc>
        <w:tc>
          <w:tcPr>
            <w:tcW w:w="1243"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索引页码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要求</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性能及指标</w:t>
            </w: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adjustRightInd w:val="0"/>
        <w:snapToGrid w:val="0"/>
        <w:spacing w:line="400" w:lineRule="exact"/>
        <w:rPr>
          <w:rFonts w:hint="eastAsia" w:ascii="仿宋" w:hAnsi="仿宋" w:eastAsia="仿宋" w:cs="仿宋"/>
          <w:b/>
          <w:bCs/>
          <w:color w:val="000000" w:themeColor="text1"/>
          <w:spacing w:val="20"/>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注：投标人应根据投标设备的性能指标、对照</w:t>
      </w:r>
      <w:r>
        <w:rPr>
          <w:rFonts w:hint="eastAsia" w:ascii="仿宋" w:hAnsi="仿宋" w:eastAsia="仿宋" w:cs="仿宋"/>
          <w:b/>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bCs/>
          <w:color w:val="000000" w:themeColor="text1"/>
          <w:sz w:val="24"/>
          <w:szCs w:val="24"/>
          <w:highlight w:val="none"/>
          <w14:textFill>
            <w14:solidFill>
              <w14:schemeClr w14:val="tx1"/>
            </w14:solidFill>
          </w14:textFill>
        </w:rPr>
        <w:t>要求在“偏离情况”栏注明“正偏离”、“负偏离”或“无偏离”。未注明偏离的，视为完全响应。投标人提供投标设备的性能指标与实际不符的且产生偏离的，评标委员会有权认定该投标文件为无效响应。</w:t>
      </w:r>
      <w:r>
        <w:rPr>
          <w:rFonts w:hint="eastAsia" w:ascii="仿宋" w:hAnsi="仿宋" w:eastAsia="仿宋" w:cs="仿宋"/>
          <w:b/>
          <w:bCs/>
          <w:color w:val="000000" w:themeColor="text1"/>
          <w:sz w:val="24"/>
          <w:szCs w:val="24"/>
          <w:highlight w:val="none"/>
          <w:lang w:eastAsia="zh-CN"/>
          <w14:textFill>
            <w14:solidFill>
              <w14:schemeClr w14:val="tx1"/>
            </w14:solidFill>
          </w14:textFill>
        </w:rPr>
        <w:t>并附有相应的检测报告（为便于评标委员会查看请索引页码）。</w:t>
      </w:r>
    </w:p>
    <w:p>
      <w:pPr>
        <w:adjustRightInd w:val="0"/>
        <w:snapToGrid w:val="0"/>
        <w:spacing w:line="400" w:lineRule="exact"/>
        <w:ind w:right="-817" w:rightChars="-389"/>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p>
    <w:p>
      <w:pPr>
        <w:adjustRightInd w:val="0"/>
        <w:snapToGrid w:val="0"/>
        <w:spacing w:line="400" w:lineRule="exact"/>
        <w:ind w:left="-4" w:leftChars="-2" w:right="-817" w:rightChars="-389" w:firstLine="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adjustRightInd w:val="0"/>
        <w:snapToGrid w:val="0"/>
        <w:spacing w:line="400" w:lineRule="exact"/>
        <w:ind w:left="-2" w:leftChars="-1" w:right="-817" w:rightChars="-389" w:firstLine="2"/>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br w:type="page"/>
      </w:r>
    </w:p>
    <w:p>
      <w:pPr>
        <w:widowControl/>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b/>
          <w:color w:val="000000" w:themeColor="text1"/>
          <w:sz w:val="24"/>
          <w:szCs w:val="24"/>
          <w:highlight w:val="none"/>
          <w14:textFill>
            <w14:solidFill>
              <w14:schemeClr w14:val="tx1"/>
            </w14:solidFill>
          </w14:textFill>
        </w:rPr>
        <w:t>产品详细配置和技术性能指标</w:t>
      </w:r>
    </w:p>
    <w:p>
      <w:pPr>
        <w:snapToGrid w:val="0"/>
        <w:spacing w:line="400" w:lineRule="exact"/>
        <w:jc w:val="cente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spacing w:val="2"/>
          <w:kern w:val="0"/>
          <w:sz w:val="36"/>
          <w:szCs w:val="36"/>
          <w:highlight w:val="none"/>
          <w14:textFill>
            <w14:solidFill>
              <w14:schemeClr w14:val="tx1"/>
            </w14:solidFill>
          </w14:textFill>
        </w:rPr>
        <w:t>技术指标说明</w:t>
      </w:r>
    </w:p>
    <w:p>
      <w:pPr>
        <w:snapToGrid w:val="0"/>
        <w:spacing w:line="400" w:lineRule="exact"/>
        <w:jc w:val="left"/>
        <w:rPr>
          <w:rFonts w:hint="eastAsia" w:ascii="仿宋" w:hAnsi="仿宋" w:eastAsia="仿宋" w:cs="仿宋"/>
          <w:color w:val="000000" w:themeColor="text1"/>
          <w:spacing w:val="1"/>
          <w:kern w:val="0"/>
          <w:sz w:val="24"/>
          <w:szCs w:val="24"/>
          <w:highlight w:val="none"/>
          <w14:textFill>
            <w14:solidFill>
              <w14:schemeClr w14:val="tx1"/>
            </w14:solidFill>
          </w14:textFill>
        </w:rPr>
      </w:pPr>
      <w:r>
        <w:rPr>
          <w:rFonts w:hint="eastAsia" w:ascii="仿宋" w:hAnsi="仿宋" w:eastAsia="仿宋" w:cs="仿宋"/>
          <w:color w:val="000000" w:themeColor="text1"/>
          <w:spacing w:val="1"/>
          <w:kern w:val="0"/>
          <w:sz w:val="24"/>
          <w:szCs w:val="24"/>
          <w:highlight w:val="none"/>
          <w14:textFill>
            <w14:solidFill>
              <w14:schemeClr w14:val="tx1"/>
            </w14:solidFill>
          </w14:textFill>
        </w:rPr>
        <w:t>项目名称：</w:t>
      </w: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项目编号：</w:t>
      </w:r>
    </w:p>
    <w:tbl>
      <w:tblPr>
        <w:tblStyle w:val="38"/>
        <w:tblW w:w="932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87"/>
        <w:gridCol w:w="1886"/>
        <w:gridCol w:w="1566"/>
        <w:gridCol w:w="178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序号</w:t>
            </w: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货物名称</w:t>
            </w: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制造商名称</w:t>
            </w: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型号规格</w:t>
            </w: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主要技术参数和技术指标</w:t>
            </w: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03"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7"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88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566"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785"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c>
          <w:tcPr>
            <w:tcW w:w="1402" w:type="dxa"/>
            <w:vAlign w:val="center"/>
          </w:tcPr>
          <w:p>
            <w:pPr>
              <w:snapToGrid w:val="0"/>
              <w:spacing w:line="400" w:lineRule="exact"/>
              <w:jc w:val="center"/>
              <w:rPr>
                <w:rFonts w:hint="eastAsia" w:ascii="仿宋" w:hAnsi="仿宋" w:eastAsia="仿宋" w:cs="仿宋"/>
                <w:b/>
                <w:bCs/>
                <w:color w:val="000000" w:themeColor="text1"/>
                <w:kern w:val="0"/>
                <w:szCs w:val="21"/>
                <w:highlight w:val="none"/>
                <w14:textFill>
                  <w14:solidFill>
                    <w14:schemeClr w14:val="tx1"/>
                  </w14:solidFill>
                </w14:textFill>
              </w:rPr>
            </w:pPr>
          </w:p>
        </w:tc>
      </w:tr>
    </w:tbl>
    <w:p>
      <w:pPr>
        <w:snapToGrid w:val="0"/>
        <w:spacing w:line="400" w:lineRule="exact"/>
        <w:rPr>
          <w:rFonts w:hint="eastAsia" w:ascii="仿宋" w:hAnsi="仿宋" w:eastAsia="仿宋" w:cs="仿宋"/>
          <w:b/>
          <w:bCs/>
          <w:color w:val="000000" w:themeColor="text1"/>
          <w:kern w:val="0"/>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投标人名称（盖单位章）：</w:t>
      </w: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法定代表人或授权代表（签字或</w:t>
      </w:r>
      <w:r>
        <w:rPr>
          <w:rFonts w:hint="eastAsia" w:ascii="仿宋" w:hAnsi="仿宋" w:eastAsia="仿宋" w:cs="仿宋"/>
          <w:color w:val="000000" w:themeColor="text1"/>
          <w:sz w:val="24"/>
          <w:szCs w:val="24"/>
          <w:highlight w:val="none"/>
          <w:lang w:eastAsia="zh-CN"/>
          <w14:textFill>
            <w14:solidFill>
              <w14:schemeClr w14:val="tx1"/>
            </w14:solidFill>
          </w14:textFill>
        </w:rPr>
        <w:t>盖章</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400" w:lineRule="exact"/>
        <w:jc w:val="left"/>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日期：        年    月    日</w:t>
      </w:r>
    </w:p>
    <w:p>
      <w:pPr>
        <w:snapToGrid w:val="0"/>
        <w:spacing w:line="400" w:lineRule="exact"/>
        <w:jc w:val="left"/>
        <w:rPr>
          <w:rFonts w:hint="eastAsia" w:ascii="仿宋" w:hAnsi="仿宋" w:eastAsia="仿宋" w:cs="仿宋"/>
          <w:b/>
          <w:bCs/>
          <w:color w:val="000000" w:themeColor="text1"/>
          <w:kern w:val="0"/>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说明：货物的主要技术参数和技术指标可另页描述。含：    </w:t>
      </w: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(1)供货范围清单    </w:t>
      </w: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本清单应列明组成货物的主要件和关键件的名称、数量、品牌型号、规格参数、原产地；    </w:t>
      </w: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(2)图纸、彩图等（附效果样图）；    </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(3)实施本项目的详细技术文档及其内容说明。</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pStyle w:val="57"/>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pStyle w:val="57"/>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19、与产品相关的由国家认可的检测机构出具的检测报告（如有）；</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针对本项目的详细实施组织方案</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包括（但不限于）组织机构、工作时间进度表、工作程序和步骤、管理和协调方法</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adjustRightInd w:val="0"/>
        <w:snapToGrid w:val="0"/>
        <w:spacing w:line="400" w:lineRule="exact"/>
        <w:jc w:val="lef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 w:val="24"/>
          <w:szCs w:val="24"/>
          <w:highlight w:val="none"/>
          <w14:textFill>
            <w14:solidFill>
              <w14:schemeClr w14:val="tx1"/>
            </w14:solidFill>
          </w14:textFill>
        </w:rPr>
        <w:t>、针对本项目的详细实施计划</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p>
      <w:pPr>
        <w:adjustRightInd w:val="0"/>
        <w:snapToGrid w:val="0"/>
        <w:spacing w:line="400" w:lineRule="exact"/>
        <w:ind w:firstLine="235" w:firstLineChars="98"/>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包括产品供货、验货、安装、调试、操作培训、维护培训等内容</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widowControl/>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b/>
          <w:color w:val="000000" w:themeColor="text1"/>
          <w:sz w:val="24"/>
          <w:szCs w:val="24"/>
          <w:highlight w:val="none"/>
          <w14:textFill>
            <w14:solidFill>
              <w14:schemeClr w14:val="tx1"/>
            </w14:solidFill>
          </w14:textFill>
        </w:rPr>
        <w:t>、针对本项目的售后服务方案</w:t>
      </w:r>
    </w:p>
    <w:p>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w:t>
      </w:r>
      <w:r>
        <w:rPr>
          <w:rFonts w:hint="eastAsia" w:ascii="仿宋" w:hAnsi="仿宋" w:eastAsia="仿宋" w:cs="仿宋"/>
          <w:color w:val="000000" w:themeColor="text1"/>
          <w:sz w:val="24"/>
          <w:szCs w:val="24"/>
          <w:highlight w:val="none"/>
          <w14:textFill>
            <w14:solidFill>
              <w14:schemeClr w14:val="tx1"/>
            </w14:solidFill>
          </w14:textFill>
        </w:rPr>
        <w:t>服务人员情况等、以书面形式完整准确地表述制造厂家的标准售后服务承诺（范围、标准及期限等）、培训计划（每项注明具体内容及是否需要费用）、投标人可能增加的服务承诺等，并明示服务承诺可能涉及的前提设定和费用，否则将被认为是无条件和免费的。</w:t>
      </w:r>
    </w:p>
    <w:p>
      <w:pPr>
        <w:snapToGrid w:val="0"/>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b/>
          <w:color w:val="000000" w:themeColor="text1"/>
          <w:sz w:val="24"/>
          <w:szCs w:val="24"/>
          <w:highlight w:val="none"/>
          <w14:textFill>
            <w14:solidFill>
              <w14:schemeClr w14:val="tx1"/>
            </w14:solidFill>
          </w14:textFill>
        </w:rPr>
        <w:t>、备品备件清单及供应保障</w:t>
      </w:r>
      <w:r>
        <w:rPr>
          <w:rFonts w:hint="eastAsia" w:ascii="仿宋" w:hAnsi="仿宋" w:eastAsia="仿宋" w:cs="仿宋"/>
          <w:color w:val="000000" w:themeColor="text1"/>
          <w:sz w:val="24"/>
          <w:szCs w:val="24"/>
          <w:highlight w:val="none"/>
          <w14:textFill>
            <w14:solidFill>
              <w14:schemeClr w14:val="tx1"/>
            </w14:solidFill>
          </w14:textFill>
        </w:rPr>
        <w:t>（包括其供货渠道及价格）</w:t>
      </w:r>
    </w:p>
    <w:p>
      <w:pPr>
        <w:tabs>
          <w:tab w:val="left" w:pos="930"/>
        </w:tabs>
        <w:autoSpaceDE w:val="0"/>
        <w:autoSpaceDN w:val="0"/>
        <w:adjustRightInd w:val="0"/>
        <w:snapToGrid w:val="0"/>
        <w:spacing w:line="400" w:lineRule="exac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tabs>
          <w:tab w:val="left" w:pos="930"/>
        </w:tabs>
        <w:autoSpaceDE w:val="0"/>
        <w:autoSpaceDN w:val="0"/>
        <w:adjustRightInd w:val="0"/>
        <w:snapToGrid w:val="0"/>
        <w:spacing w:line="400" w:lineRule="exact"/>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color w:val="000000" w:themeColor="text1"/>
          <w:sz w:val="24"/>
          <w:szCs w:val="24"/>
          <w:highlight w:val="none"/>
          <w14:textFill>
            <w14:solidFill>
              <w14:schemeClr w14:val="tx1"/>
            </w14:solidFill>
          </w14:textFill>
        </w:rPr>
        <w:t>、其他优惠条件（如有）</w:t>
      </w:r>
    </w:p>
    <w:p>
      <w:pPr>
        <w:adjustRightInd w:val="0"/>
        <w:snapToGrid w:val="0"/>
        <w:spacing w:line="400" w:lineRule="exact"/>
        <w:ind w:firstLine="470" w:firstLineChars="196"/>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投标人承诺给予</w:t>
      </w:r>
      <w:r>
        <w:rPr>
          <w:rFonts w:hint="eastAsia" w:ascii="仿宋" w:hAnsi="仿宋" w:eastAsia="仿宋" w:cs="仿宋"/>
          <w:b/>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的各种优惠条件，包括备品备件、专用耗材等。</w:t>
      </w: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p>
    <w:p>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color w:val="000000" w:themeColor="text1"/>
          <w:sz w:val="24"/>
          <w:szCs w:val="24"/>
          <w:highlight w:val="none"/>
          <w14:textFill>
            <w14:solidFill>
              <w14:schemeClr w14:val="tx1"/>
            </w14:solidFill>
          </w14:textFill>
        </w:rPr>
        <w:t>、投标人需要提供的其他文件或资料（如有）</w:t>
      </w:r>
    </w:p>
    <w:p>
      <w:pPr>
        <w:rPr>
          <w:rFonts w:hint="eastAsia" w:ascii="仿宋" w:hAnsi="仿宋" w:eastAsia="仿宋" w:cs="仿宋"/>
          <w:color w:val="000000" w:themeColor="text1"/>
          <w:sz w:val="24"/>
          <w:szCs w:val="22"/>
          <w:lang w:eastAsia="zh-CN"/>
          <w14:textFill>
            <w14:solidFill>
              <w14:schemeClr w14:val="tx1"/>
            </w14:solidFill>
          </w14:textFill>
        </w:rPr>
        <w:sectPr>
          <w:footerReference r:id="rId6"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bidi w:val="0"/>
        <w:rPr>
          <w:rFonts w:hint="eastAsia" w:ascii="仿宋" w:hAnsi="仿宋" w:eastAsia="仿宋" w:cs="仿宋"/>
        </w:rPr>
      </w:pPr>
      <w:bookmarkStart w:id="135" w:name="_Toc25843"/>
      <w:bookmarkStart w:id="136" w:name="_Toc9212"/>
      <w:r>
        <w:rPr>
          <w:rFonts w:hint="eastAsia" w:ascii="仿宋" w:hAnsi="仿宋" w:eastAsia="仿宋" w:cs="仿宋"/>
          <w:lang w:eastAsia="zh-CN"/>
        </w:rPr>
        <w:t>第六章</w:t>
      </w:r>
      <w:r>
        <w:rPr>
          <w:rFonts w:hint="eastAsia" w:ascii="仿宋" w:hAnsi="仿宋" w:eastAsia="仿宋" w:cs="仿宋"/>
          <w:lang w:val="en-US" w:eastAsia="zh-CN"/>
        </w:rPr>
        <w:t xml:space="preserve"> </w:t>
      </w:r>
      <w:r>
        <w:rPr>
          <w:rFonts w:hint="eastAsia" w:ascii="仿宋" w:hAnsi="仿宋" w:eastAsia="仿宋" w:cs="仿宋"/>
        </w:rPr>
        <w:t>技术规范书</w:t>
      </w:r>
      <w:bookmarkEnd w:id="135"/>
      <w:bookmarkEnd w:id="136"/>
    </w:p>
    <w:p>
      <w:pPr>
        <w:pStyle w:val="3"/>
        <w:rPr>
          <w:rFonts w:hint="eastAsia" w:ascii="仿宋" w:hAnsi="仿宋" w:eastAsia="仿宋" w:cs="仿宋"/>
          <w:color w:val="000000" w:themeColor="text1"/>
          <w14:textFill>
            <w14:solidFill>
              <w14:schemeClr w14:val="tx1"/>
            </w14:solidFill>
          </w14:textFill>
        </w:rPr>
      </w:pPr>
      <w:bookmarkStart w:id="137" w:name="_Toc25274"/>
      <w:r>
        <w:rPr>
          <w:rFonts w:hint="eastAsia" w:ascii="仿宋" w:hAnsi="仿宋" w:eastAsia="仿宋" w:cs="仿宋"/>
          <w:color w:val="000000" w:themeColor="text1"/>
          <w14:textFill>
            <w14:solidFill>
              <w14:schemeClr w14:val="tx1"/>
            </w14:solidFill>
          </w14:textFill>
        </w:rPr>
        <w:t>1.总则</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供方应具备招标公告所要求的资质，具体商务类资质要求详见本招标文件的商务资质部分。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本技术规范书仅适用于</w:t>
      </w:r>
      <w:r>
        <w:rPr>
          <w:rFonts w:hint="eastAsia" w:ascii="仿宋" w:hAnsi="仿宋" w:eastAsia="仿宋" w:cs="仿宋"/>
          <w:sz w:val="24"/>
          <w:szCs w:val="24"/>
          <w:lang w:val="en-US" w:eastAsia="zh-CN"/>
        </w:rPr>
        <w:t>本项目</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本技术规范书包括全自主无人机智慧巡检系统的功能设计、结构、性能、安装、调试等方面的技术要求。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本技术规范书提出的是最低限度的技术要求，并未对一切技术细节做出规定，也未充分引述有关标准和规范的条文，供方应提供符合本技术规范和有关最新工业标准的优质产品。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如果供方没有以书面方式对本技术规范的条文提出异议，那么需方将认为供方提出的产品完全符合本技术规范书的要求。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从签订合同之后至供方开始制造之日的这段时期内，需方有权提出因规程、规范和标准发生变化而产生的一些补充修改要求，供方应遵守这些要求。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本技术规范书所使用的标准，如遇与供方所执行的标准不一致时，按较高的标准执行。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如有差异（无论多少），均应填写到投标文件的差异表中。如供方没有对本招标文件的要求提出书面异议（或差异），需方则可认为供方完全接受和同意本招标文件的要求。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本技术规范书涉及有关商务方面的内容，如与招标文件的商务部分有矛盾，则以商务部分为准。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1.10</w:t>
      </w:r>
      <w:r>
        <w:rPr>
          <w:rFonts w:hint="eastAsia" w:ascii="仿宋" w:hAnsi="仿宋" w:eastAsia="仿宋" w:cs="仿宋"/>
          <w:sz w:val="24"/>
          <w:szCs w:val="24"/>
        </w:rPr>
        <w:t>本技术规范书通用部分各条款如与专用部分有冲突，则以专用部分为准。</w:t>
      </w:r>
    </w:p>
    <w:p>
      <w:pPr>
        <w:rPr>
          <w:rFonts w:hint="eastAsia" w:ascii="仿宋" w:hAnsi="仿宋" w:eastAsia="仿宋" w:cs="仿宋"/>
          <w:color w:val="000000" w:themeColor="text1"/>
          <w14:textFill>
            <w14:solidFill>
              <w14:schemeClr w14:val="tx1"/>
            </w14:solidFill>
          </w14:textFill>
        </w:rPr>
      </w:pPr>
      <w:bookmarkStart w:id="138" w:name="_Toc93503703"/>
      <w:bookmarkStart w:id="139" w:name="_Toc113979802"/>
      <w:r>
        <w:rPr>
          <w:rFonts w:hint="eastAsia" w:ascii="仿宋" w:hAnsi="仿宋" w:eastAsia="仿宋" w:cs="仿宋"/>
          <w:color w:val="000000" w:themeColor="text1"/>
          <w14:textFill>
            <w14:solidFill>
              <w14:schemeClr w14:val="tx1"/>
            </w14:solidFill>
          </w14:textFill>
        </w:rPr>
        <w:br w:type="page"/>
      </w:r>
    </w:p>
    <w:p>
      <w:pPr>
        <w:pStyle w:val="3"/>
        <w:rPr>
          <w:rFonts w:hint="eastAsia" w:ascii="仿宋" w:hAnsi="仿宋" w:eastAsia="仿宋" w:cs="仿宋"/>
          <w:color w:val="000000" w:themeColor="text1"/>
          <w14:textFill>
            <w14:solidFill>
              <w14:schemeClr w14:val="tx1"/>
            </w14:solidFill>
          </w14:textFill>
        </w:rPr>
      </w:pPr>
      <w:bookmarkStart w:id="140" w:name="_Toc11888"/>
      <w:r>
        <w:rPr>
          <w:rFonts w:hint="eastAsia" w:ascii="仿宋" w:hAnsi="仿宋" w:eastAsia="仿宋" w:cs="仿宋"/>
          <w:color w:val="000000" w:themeColor="text1"/>
          <w14:textFill>
            <w14:solidFill>
              <w14:schemeClr w14:val="tx1"/>
            </w14:solidFill>
          </w14:textFill>
        </w:rPr>
        <w:t>2.货物需求一览表</w:t>
      </w:r>
      <w:bookmarkEnd w:id="138"/>
      <w:bookmarkEnd w:id="139"/>
      <w:bookmarkEnd w:id="140"/>
    </w:p>
    <w:tbl>
      <w:tblPr>
        <w:tblStyle w:val="38"/>
        <w:tblW w:w="8067" w:type="dxa"/>
        <w:tblInd w:w="38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7"/>
        <w:gridCol w:w="2250"/>
        <w:gridCol w:w="891"/>
        <w:gridCol w:w="642"/>
        <w:gridCol w:w="633"/>
        <w:gridCol w:w="800"/>
        <w:gridCol w:w="975"/>
        <w:gridCol w:w="1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17"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序号</w:t>
            </w:r>
          </w:p>
        </w:tc>
        <w:tc>
          <w:tcPr>
            <w:tcW w:w="2250" w:type="dxa"/>
            <w:tcBorders>
              <w:left w:val="single" w:color="auto" w:sz="4" w:space="0"/>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设备名称</w:t>
            </w:r>
          </w:p>
        </w:tc>
        <w:tc>
          <w:tcPr>
            <w:tcW w:w="891"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参数</w:t>
            </w:r>
          </w:p>
        </w:tc>
        <w:tc>
          <w:tcPr>
            <w:tcW w:w="642"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单位</w:t>
            </w:r>
          </w:p>
        </w:tc>
        <w:tc>
          <w:tcPr>
            <w:tcW w:w="633"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数量</w:t>
            </w:r>
          </w:p>
        </w:tc>
        <w:tc>
          <w:tcPr>
            <w:tcW w:w="800"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质保期</w:t>
            </w:r>
          </w:p>
        </w:tc>
        <w:tc>
          <w:tcPr>
            <w:tcW w:w="975"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交货地点</w:t>
            </w:r>
          </w:p>
        </w:tc>
        <w:tc>
          <w:tcPr>
            <w:tcW w:w="1259" w:type="dxa"/>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交货期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17"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1</w:t>
            </w:r>
          </w:p>
        </w:tc>
        <w:tc>
          <w:tcPr>
            <w:tcW w:w="2250" w:type="dxa"/>
            <w:tcBorders>
              <w:left w:val="single" w:color="auto" w:sz="4" w:space="0"/>
            </w:tcBorders>
            <w:vAlign w:val="center"/>
          </w:tcPr>
          <w:p>
            <w:pPr>
              <w:spacing w:line="240" w:lineRule="auto"/>
              <w:jc w:val="center"/>
              <w:outlineLvl w:val="9"/>
              <w:rPr>
                <w:rFonts w:hint="eastAsia" w:ascii="仿宋" w:hAnsi="仿宋" w:eastAsia="仿宋" w:cs="仿宋"/>
                <w:sz w:val="24"/>
                <w:szCs w:val="24"/>
                <w:highlight w:val="yellow"/>
              </w:rPr>
            </w:pPr>
            <w:r>
              <w:rPr>
                <w:rFonts w:hint="eastAsia" w:ascii="仿宋" w:hAnsi="仿宋" w:eastAsia="仿宋" w:cs="仿宋"/>
                <w:sz w:val="24"/>
                <w:szCs w:val="24"/>
              </w:rPr>
              <w:t>大型固定式全自主无人机自动机场智慧巡检系统</w:t>
            </w:r>
          </w:p>
        </w:tc>
        <w:tc>
          <w:tcPr>
            <w:tcW w:w="891"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详见技术要求</w:t>
            </w:r>
          </w:p>
        </w:tc>
        <w:tc>
          <w:tcPr>
            <w:tcW w:w="642"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633" w:type="dxa"/>
            <w:vAlign w:val="center"/>
          </w:tcPr>
          <w:p>
            <w:pPr>
              <w:spacing w:line="240" w:lineRule="auto"/>
              <w:jc w:val="center"/>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800"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1年</w:t>
            </w:r>
          </w:p>
        </w:tc>
        <w:tc>
          <w:tcPr>
            <w:tcW w:w="975"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需方指定</w:t>
            </w:r>
          </w:p>
        </w:tc>
        <w:tc>
          <w:tcPr>
            <w:tcW w:w="1259"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自合同签订生效后120天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17"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2</w:t>
            </w:r>
          </w:p>
        </w:tc>
        <w:tc>
          <w:tcPr>
            <w:tcW w:w="2250" w:type="dxa"/>
            <w:tcBorders>
              <w:left w:val="single" w:color="auto" w:sz="4" w:space="0"/>
            </w:tcBorders>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中型固定式全自主无人机自动机场智慧巡检系统</w:t>
            </w:r>
          </w:p>
        </w:tc>
        <w:tc>
          <w:tcPr>
            <w:tcW w:w="891"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详见技术要求</w:t>
            </w:r>
          </w:p>
        </w:tc>
        <w:tc>
          <w:tcPr>
            <w:tcW w:w="642"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633" w:type="dxa"/>
            <w:vAlign w:val="center"/>
          </w:tcPr>
          <w:p>
            <w:pPr>
              <w:spacing w:line="240" w:lineRule="auto"/>
              <w:jc w:val="center"/>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800"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1年</w:t>
            </w:r>
          </w:p>
        </w:tc>
        <w:tc>
          <w:tcPr>
            <w:tcW w:w="975"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需方指定</w:t>
            </w:r>
          </w:p>
        </w:tc>
        <w:tc>
          <w:tcPr>
            <w:tcW w:w="1259"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自合同签订生效后120天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17"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3</w:t>
            </w:r>
          </w:p>
        </w:tc>
        <w:tc>
          <w:tcPr>
            <w:tcW w:w="2250" w:type="dxa"/>
            <w:tcBorders>
              <w:left w:val="single" w:color="auto" w:sz="4" w:space="0"/>
            </w:tcBorders>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bCs/>
                <w:sz w:val="24"/>
                <w:szCs w:val="24"/>
              </w:rPr>
              <w:t>数字化管控平台</w:t>
            </w:r>
          </w:p>
        </w:tc>
        <w:tc>
          <w:tcPr>
            <w:tcW w:w="891"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详见技术要求</w:t>
            </w:r>
          </w:p>
        </w:tc>
        <w:tc>
          <w:tcPr>
            <w:tcW w:w="642"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633" w:type="dxa"/>
            <w:vAlign w:val="center"/>
          </w:tcPr>
          <w:p>
            <w:pPr>
              <w:spacing w:line="240" w:lineRule="auto"/>
              <w:jc w:val="center"/>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800"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1年</w:t>
            </w:r>
          </w:p>
        </w:tc>
        <w:tc>
          <w:tcPr>
            <w:tcW w:w="975"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需方指定</w:t>
            </w:r>
          </w:p>
        </w:tc>
        <w:tc>
          <w:tcPr>
            <w:tcW w:w="1259"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自合同签订生效后120天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17"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2250" w:type="dxa"/>
            <w:tcBorders>
              <w:left w:val="single" w:color="auto" w:sz="4" w:space="0"/>
            </w:tcBorders>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数字化管控大厅</w:t>
            </w:r>
          </w:p>
        </w:tc>
        <w:tc>
          <w:tcPr>
            <w:tcW w:w="891"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详见技术要求</w:t>
            </w:r>
          </w:p>
        </w:tc>
        <w:tc>
          <w:tcPr>
            <w:tcW w:w="642"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633" w:type="dxa"/>
            <w:vAlign w:val="center"/>
          </w:tcPr>
          <w:p>
            <w:pPr>
              <w:spacing w:line="240" w:lineRule="auto"/>
              <w:jc w:val="center"/>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800"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1年</w:t>
            </w:r>
          </w:p>
        </w:tc>
        <w:tc>
          <w:tcPr>
            <w:tcW w:w="975" w:type="dxa"/>
            <w:vAlign w:val="center"/>
          </w:tcPr>
          <w:p>
            <w:pPr>
              <w:spacing w:line="240" w:lineRule="auto"/>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需方指定</w:t>
            </w:r>
          </w:p>
        </w:tc>
        <w:tc>
          <w:tcPr>
            <w:tcW w:w="1259" w:type="dxa"/>
            <w:vAlign w:val="center"/>
          </w:tcPr>
          <w:p>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自合同签订生效后120天</w:t>
            </w:r>
          </w:p>
        </w:tc>
      </w:tr>
    </w:tbl>
    <w:p>
      <w:pPr>
        <w:pStyle w:val="3"/>
        <w:rPr>
          <w:rFonts w:hint="eastAsia" w:ascii="仿宋" w:hAnsi="仿宋" w:eastAsia="仿宋" w:cs="仿宋"/>
          <w:color w:val="000000" w:themeColor="text1"/>
          <w14:textFill>
            <w14:solidFill>
              <w14:schemeClr w14:val="tx1"/>
            </w14:solidFill>
          </w14:textFill>
        </w:rPr>
      </w:pPr>
      <w:bookmarkStart w:id="141" w:name="_Toc29984"/>
      <w:bookmarkStart w:id="142" w:name="_Toc93503704"/>
      <w:bookmarkStart w:id="143" w:name="_Toc113979803"/>
      <w:r>
        <w:rPr>
          <w:rFonts w:hint="eastAsia" w:ascii="仿宋" w:hAnsi="仿宋" w:eastAsia="仿宋" w:cs="仿宋"/>
          <w:color w:val="000000" w:themeColor="text1"/>
          <w14:textFill>
            <w14:solidFill>
              <w14:schemeClr w14:val="tx1"/>
            </w14:solidFill>
          </w14:textFill>
        </w:rPr>
        <w:t>3.货物清单表</w:t>
      </w:r>
      <w:bookmarkEnd w:id="141"/>
    </w:p>
    <w:tbl>
      <w:tblPr>
        <w:tblStyle w:val="38"/>
        <w:tblW w:w="75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3348"/>
        <w:gridCol w:w="1540"/>
        <w:gridCol w:w="1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blHeader/>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序号</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项目</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单位</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大型多旋翼无人机</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大型全自动机场</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3</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中型多旋翼无人机</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4</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中型全自动机场</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5</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无人机可见光吊舱</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6</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无人机红外热成像吊舱</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7</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无人机喊话器吊舱</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8</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无人机双光吊舱</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台</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9</w:t>
            </w:r>
          </w:p>
        </w:tc>
        <w:tc>
          <w:tcPr>
            <w:tcW w:w="3348" w:type="dxa"/>
            <w:tcBorders>
              <w:tl2br w:val="nil"/>
              <w:tr2bl w:val="nil"/>
            </w:tcBorders>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数字化管控平台</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套</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2" w:type="dxa"/>
            <w:tcBorders>
              <w:tl2br w:val="nil"/>
              <w:tr2bl w:val="nil"/>
            </w:tcBorders>
            <w:shd w:val="clear" w:color="auto" w:fill="auto"/>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10</w:t>
            </w:r>
          </w:p>
        </w:tc>
        <w:tc>
          <w:tcPr>
            <w:tcW w:w="3348"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数字化管控大厅建设</w:t>
            </w:r>
          </w:p>
        </w:tc>
        <w:tc>
          <w:tcPr>
            <w:tcW w:w="1540"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项</w:t>
            </w:r>
          </w:p>
        </w:tc>
        <w:tc>
          <w:tcPr>
            <w:tcW w:w="1429" w:type="dxa"/>
            <w:tcBorders>
              <w:tl2br w:val="nil"/>
              <w:tr2bl w:val="nil"/>
            </w:tcBorders>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w:t>
            </w:r>
          </w:p>
        </w:tc>
      </w:tr>
    </w:tbl>
    <w:p>
      <w:pPr>
        <w:outlineLvl w:val="9"/>
        <w:rPr>
          <w:rFonts w:hint="eastAsia" w:ascii="仿宋" w:hAnsi="仿宋" w:eastAsia="仿宋" w:cs="仿宋"/>
        </w:rPr>
      </w:pPr>
    </w:p>
    <w:p>
      <w:pPr>
        <w:pStyle w:val="3"/>
        <w:rPr>
          <w:rFonts w:hint="eastAsia" w:ascii="仿宋" w:hAnsi="仿宋" w:eastAsia="仿宋" w:cs="仿宋"/>
          <w:color w:val="000000" w:themeColor="text1"/>
          <w14:textFill>
            <w14:solidFill>
              <w14:schemeClr w14:val="tx1"/>
            </w14:solidFill>
          </w14:textFill>
        </w:rPr>
      </w:pPr>
      <w:bookmarkStart w:id="144" w:name="_Toc30917"/>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en-US"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供方应提供的资格文件</w:t>
      </w:r>
      <w:bookmarkEnd w:id="142"/>
      <w:r>
        <w:rPr>
          <w:rFonts w:hint="eastAsia" w:ascii="仿宋" w:hAnsi="仿宋" w:eastAsia="仿宋" w:cs="仿宋"/>
          <w:color w:val="000000" w:themeColor="text1"/>
          <w14:textFill>
            <w14:solidFill>
              <w14:schemeClr w14:val="tx1"/>
            </w14:solidFill>
          </w14:textFill>
        </w:rPr>
        <w:t>说明</w:t>
      </w:r>
      <w:bookmarkEnd w:id="143"/>
      <w:bookmarkEnd w:id="144"/>
    </w:p>
    <w:p>
      <w:pPr>
        <w:pStyle w:val="1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仿宋" w:hAnsi="仿宋" w:eastAsia="仿宋" w:cs="仿宋"/>
          <w:szCs w:val="21"/>
        </w:rPr>
      </w:pPr>
      <w:r>
        <w:rPr>
          <w:rFonts w:hint="eastAsia" w:ascii="仿宋" w:hAnsi="仿宋" w:eastAsia="仿宋" w:cs="仿宋"/>
          <w:szCs w:val="21"/>
          <w:lang w:val="en-US" w:eastAsia="zh-CN"/>
        </w:rPr>
        <w:t>4.1供方应认真逐项填写本技术规范书中的参数指标响应值，不允许改动招标人要求值。如有偏差，请在技术偏差表中填写并详细说明</w:t>
      </w:r>
      <w:r>
        <w:rPr>
          <w:rFonts w:hint="eastAsia" w:ascii="仿宋" w:hAnsi="仿宋" w:eastAsia="仿宋" w:cs="仿宋"/>
          <w:szCs w:val="21"/>
        </w:rPr>
        <w:t>；</w:t>
      </w:r>
    </w:p>
    <w:p>
      <w:pPr>
        <w:pStyle w:val="1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仿宋" w:hAnsi="仿宋" w:eastAsia="仿宋" w:cs="仿宋"/>
          <w:szCs w:val="21"/>
        </w:rPr>
      </w:pPr>
      <w:r>
        <w:rPr>
          <w:rFonts w:hint="eastAsia" w:ascii="仿宋" w:hAnsi="仿宋" w:eastAsia="仿宋" w:cs="仿宋"/>
          <w:szCs w:val="21"/>
          <w:lang w:val="en-US" w:eastAsia="zh-CN"/>
        </w:rPr>
        <w:t>4.2</w:t>
      </w:r>
      <w:r>
        <w:rPr>
          <w:rFonts w:hint="eastAsia" w:ascii="仿宋" w:hAnsi="仿宋" w:eastAsia="仿宋" w:cs="仿宋"/>
          <w:szCs w:val="21"/>
        </w:rPr>
        <w:t>供方需根据商务资质提供对应的商务资质证明及业绩证明（包括但不限于中标通知书、合同关键页及发票）材料；</w:t>
      </w:r>
    </w:p>
    <w:p>
      <w:pPr>
        <w:pStyle w:val="1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仿宋" w:hAnsi="仿宋" w:eastAsia="仿宋" w:cs="仿宋"/>
          <w:szCs w:val="21"/>
        </w:rPr>
      </w:pPr>
      <w:r>
        <w:rPr>
          <w:rFonts w:hint="eastAsia" w:ascii="仿宋" w:hAnsi="仿宋" w:eastAsia="仿宋" w:cs="仿宋"/>
          <w:szCs w:val="21"/>
          <w:lang w:val="en-US" w:eastAsia="zh-CN"/>
        </w:rPr>
        <w:t>4.3</w:t>
      </w:r>
      <w:r>
        <w:rPr>
          <w:rFonts w:hint="eastAsia" w:ascii="仿宋" w:hAnsi="仿宋" w:eastAsia="仿宋" w:cs="仿宋"/>
          <w:szCs w:val="21"/>
        </w:rPr>
        <w:t>供方按技术规范书专用部分</w:t>
      </w:r>
      <w:bookmarkStart w:id="145" w:name="_Hlk72786118"/>
      <w:r>
        <w:rPr>
          <w:rFonts w:hint="eastAsia" w:ascii="仿宋" w:hAnsi="仿宋" w:eastAsia="仿宋" w:cs="仿宋"/>
          <w:szCs w:val="21"/>
        </w:rPr>
        <w:t>货物组件材料配置一览表</w:t>
      </w:r>
      <w:bookmarkEnd w:id="145"/>
      <w:r>
        <w:rPr>
          <w:rFonts w:hint="eastAsia" w:ascii="仿宋" w:hAnsi="仿宋" w:eastAsia="仿宋" w:cs="仿宋"/>
          <w:szCs w:val="21"/>
        </w:rPr>
        <w:t>填写对应配置表。</w:t>
      </w:r>
    </w:p>
    <w:p>
      <w:pPr>
        <w:pStyle w:val="126"/>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仿宋" w:hAnsi="仿宋" w:eastAsia="仿宋" w:cs="仿宋"/>
          <w:szCs w:val="21"/>
        </w:rPr>
      </w:pPr>
      <w:r>
        <w:rPr>
          <w:rFonts w:hint="eastAsia" w:ascii="仿宋" w:hAnsi="仿宋" w:eastAsia="仿宋" w:cs="仿宋"/>
          <w:szCs w:val="21"/>
          <w:lang w:val="en-US" w:eastAsia="zh-CN"/>
        </w:rPr>
        <w:t>4.4</w:t>
      </w:r>
      <w:r>
        <w:rPr>
          <w:rFonts w:hint="eastAsia" w:ascii="仿宋" w:hAnsi="仿宋" w:eastAsia="仿宋" w:cs="仿宋"/>
          <w:szCs w:val="21"/>
        </w:rPr>
        <w:t>供方应提供与投标设备参数规格一致的产品检测报告（产品检测报告需为获得</w:t>
      </w:r>
      <w:bookmarkStart w:id="146" w:name="_Hlk100225125"/>
      <w:r>
        <w:rPr>
          <w:rFonts w:hint="eastAsia" w:ascii="仿宋" w:hAnsi="仿宋" w:eastAsia="仿宋" w:cs="仿宋"/>
          <w:szCs w:val="21"/>
        </w:rPr>
        <w:t>国家或省级第三方权威检测机构出具的产品试验报告或检测报告或鉴定报告</w:t>
      </w:r>
      <w:bookmarkEnd w:id="146"/>
      <w:r>
        <w:rPr>
          <w:rFonts w:hint="eastAsia" w:ascii="仿宋" w:hAnsi="仿宋" w:eastAsia="仿宋" w:cs="仿宋"/>
          <w:szCs w:val="21"/>
        </w:rPr>
        <w:t>）。</w:t>
      </w:r>
    </w:p>
    <w:p>
      <w:pPr>
        <w:pStyle w:val="3"/>
        <w:rPr>
          <w:rFonts w:hint="eastAsia" w:ascii="仿宋" w:hAnsi="仿宋" w:eastAsia="仿宋" w:cs="仿宋"/>
          <w:color w:val="000000" w:themeColor="text1"/>
          <w14:textFill>
            <w14:solidFill>
              <w14:schemeClr w14:val="tx1"/>
            </w14:solidFill>
          </w14:textFill>
        </w:rPr>
      </w:pPr>
      <w:bookmarkStart w:id="147" w:name="_Toc93503706"/>
      <w:bookmarkStart w:id="148" w:name="_Toc10024"/>
      <w:bookmarkStart w:id="149" w:name="_Toc113979805"/>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技术规范及</w:t>
      </w:r>
      <w:bookmarkEnd w:id="147"/>
      <w:r>
        <w:rPr>
          <w:rFonts w:hint="eastAsia" w:ascii="仿宋" w:hAnsi="仿宋" w:eastAsia="仿宋" w:cs="仿宋"/>
          <w:color w:val="000000" w:themeColor="text1"/>
          <w14:textFill>
            <w14:solidFill>
              <w14:schemeClr w14:val="tx1"/>
            </w14:solidFill>
          </w14:textFill>
        </w:rPr>
        <w:t>参数指标要求</w:t>
      </w:r>
      <w:bookmarkEnd w:id="148"/>
      <w:bookmarkEnd w:id="14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kern w:val="0"/>
          <w:sz w:val="24"/>
          <w:szCs w:val="21"/>
          <w:lang w:val="en-US" w:eastAsia="en-US" w:bidi="en-US"/>
        </w:rPr>
      </w:pPr>
      <w:r>
        <w:rPr>
          <w:rFonts w:hint="eastAsia" w:ascii="仿宋" w:hAnsi="仿宋" w:eastAsia="仿宋" w:cs="仿宋"/>
          <w:kern w:val="0"/>
          <w:sz w:val="24"/>
          <w:szCs w:val="21"/>
          <w:lang w:val="en-US" w:eastAsia="en-US" w:bidi="en-US"/>
        </w:rPr>
        <w:t>供方应认真逐项填写本技术规范书中的参数指标响应值，不允许改动招标人要求值。如有偏差，请在技术偏差表中填写并详细说明。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kern w:val="0"/>
          <w:sz w:val="24"/>
          <w:szCs w:val="21"/>
          <w:lang w:val="en-US" w:eastAsia="en-US" w:bidi="en-US"/>
        </w:rPr>
      </w:pPr>
      <w:r>
        <w:rPr>
          <w:rFonts w:hint="eastAsia" w:ascii="仿宋" w:hAnsi="仿宋" w:eastAsia="仿宋" w:cs="仿宋"/>
          <w:kern w:val="0"/>
          <w:sz w:val="24"/>
          <w:szCs w:val="21"/>
          <w:lang w:val="en-US" w:eastAsia="en-US" w:bidi="en-US"/>
        </w:rPr>
        <w:t>技术参数指标响应表中标“*”部分，供方必须提供国家或省级第三方权威检测机构出具的产品试验报告或检测报告或鉴定报告做对应证明，如不能满足要求，将被视为主要技术参数不满足招标文件要求。</w:t>
      </w:r>
    </w:p>
    <w:p>
      <w:pPr>
        <w:pStyle w:val="4"/>
        <w:bidi w:val="0"/>
        <w:rPr>
          <w:rFonts w:hint="eastAsia" w:ascii="仿宋" w:hAnsi="仿宋" w:eastAsia="仿宋" w:cs="仿宋"/>
          <w:color w:val="000000" w:themeColor="text1"/>
          <w:lang w:val="en-US" w:eastAsia="zh-CN"/>
          <w14:textFill>
            <w14:solidFill>
              <w14:schemeClr w14:val="tx1"/>
            </w14:solidFill>
          </w14:textFill>
        </w:rPr>
      </w:pPr>
      <w:bookmarkStart w:id="150" w:name="_Toc113979806"/>
      <w:r>
        <w:rPr>
          <w:rFonts w:hint="eastAsia" w:ascii="仿宋" w:hAnsi="仿宋" w:eastAsia="仿宋" w:cs="仿宋"/>
          <w:color w:val="000000" w:themeColor="text1"/>
          <w:lang w:val="en-US" w:eastAsia="zh-CN"/>
          <w14:textFill>
            <w14:solidFill>
              <w14:schemeClr w14:val="tx1"/>
            </w14:solidFill>
          </w14:textFill>
        </w:rPr>
        <w:t>5.1大型固定式全自主无人机自动机场智慧巡检系统技术参数指标响应表</w:t>
      </w:r>
      <w:bookmarkEnd w:id="150"/>
    </w:p>
    <w:p>
      <w:pPr>
        <w:numPr>
          <w:ilvl w:val="0"/>
          <w:numId w:val="11"/>
        </w:numPr>
        <w:spacing w:before="0" w:after="0"/>
        <w:outlineLvl w:val="9"/>
        <w:rPr>
          <w:rFonts w:hint="eastAsia" w:ascii="仿宋" w:hAnsi="仿宋" w:eastAsia="仿宋" w:cs="仿宋"/>
          <w:b w:val="0"/>
          <w:bCs w:val="0"/>
          <w:sz w:val="24"/>
          <w:szCs w:val="24"/>
        </w:rPr>
      </w:pPr>
      <w:bookmarkStart w:id="151" w:name="_Toc113979807"/>
      <w:r>
        <w:rPr>
          <w:rFonts w:hint="eastAsia" w:ascii="仿宋" w:hAnsi="仿宋" w:eastAsia="仿宋" w:cs="仿宋"/>
          <w:b w:val="0"/>
          <w:bCs w:val="0"/>
          <w:sz w:val="24"/>
          <w:szCs w:val="24"/>
        </w:rPr>
        <w:t>多旋翼无人机外观指标响应表</w:t>
      </w:r>
      <w:bookmarkEnd w:id="151"/>
    </w:p>
    <w:tbl>
      <w:tblPr>
        <w:tblStyle w:val="3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24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36"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1247"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6735"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36" w:type="dxa"/>
            <w:vMerge w:val="restart"/>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无人机</w:t>
            </w:r>
          </w:p>
        </w:tc>
        <w:tc>
          <w:tcPr>
            <w:tcW w:w="1247" w:type="dxa"/>
            <w:vMerge w:val="restart"/>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外观</w:t>
            </w:r>
          </w:p>
        </w:tc>
        <w:tc>
          <w:tcPr>
            <w:tcW w:w="6735" w:type="dxa"/>
            <w:vAlign w:val="center"/>
          </w:tcPr>
          <w:p>
            <w:pPr>
              <w:outlineLvl w:val="9"/>
              <w:rPr>
                <w:rFonts w:hint="eastAsia" w:ascii="仿宋" w:hAnsi="仿宋" w:eastAsia="仿宋" w:cs="仿宋"/>
                <w:kern w:val="0"/>
                <w:sz w:val="24"/>
                <w:szCs w:val="24"/>
              </w:rPr>
            </w:pPr>
            <w:r>
              <w:rPr>
                <w:rFonts w:hint="eastAsia" w:ascii="仿宋" w:hAnsi="仿宋" w:eastAsia="仿宋" w:cs="仿宋"/>
                <w:kern w:val="0"/>
                <w:sz w:val="24"/>
                <w:szCs w:val="24"/>
              </w:rPr>
              <w:t>无人机机体材质采用全碳纤维/复合材料一体成型。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36" w:type="dxa"/>
            <w:vMerge w:val="continue"/>
            <w:vAlign w:val="center"/>
          </w:tcPr>
          <w:p>
            <w:pPr>
              <w:outlineLvl w:val="9"/>
              <w:rPr>
                <w:rFonts w:hint="eastAsia" w:ascii="仿宋" w:hAnsi="仿宋" w:eastAsia="仿宋" w:cs="仿宋"/>
                <w:kern w:val="0"/>
                <w:sz w:val="24"/>
                <w:szCs w:val="24"/>
              </w:rPr>
            </w:pPr>
          </w:p>
        </w:tc>
        <w:tc>
          <w:tcPr>
            <w:tcW w:w="1247" w:type="dxa"/>
            <w:vMerge w:val="continue"/>
            <w:vAlign w:val="center"/>
          </w:tcPr>
          <w:p>
            <w:pPr>
              <w:outlineLvl w:val="9"/>
              <w:rPr>
                <w:rFonts w:hint="eastAsia" w:ascii="仿宋" w:hAnsi="仿宋" w:eastAsia="仿宋" w:cs="仿宋"/>
                <w:kern w:val="0"/>
                <w:sz w:val="24"/>
                <w:szCs w:val="24"/>
              </w:rPr>
            </w:pPr>
          </w:p>
        </w:tc>
        <w:tc>
          <w:tcPr>
            <w:tcW w:w="6735" w:type="dxa"/>
            <w:vAlign w:val="center"/>
          </w:tcPr>
          <w:p>
            <w:pPr>
              <w:outlineLvl w:val="9"/>
              <w:rPr>
                <w:rFonts w:hint="eastAsia" w:ascii="仿宋" w:hAnsi="仿宋" w:eastAsia="仿宋" w:cs="仿宋"/>
                <w:kern w:val="0"/>
                <w:sz w:val="24"/>
                <w:szCs w:val="24"/>
              </w:rPr>
            </w:pPr>
            <w:r>
              <w:rPr>
                <w:rFonts w:hint="eastAsia" w:ascii="仿宋" w:hAnsi="仿宋" w:eastAsia="仿宋" w:cs="仿宋"/>
                <w:kern w:val="0"/>
                <w:sz w:val="24"/>
                <w:szCs w:val="24"/>
              </w:rPr>
              <w:t>无人机外观应清洁、光滑、整齐，无污损、腐蚀、划伤、毛刺、裂痕和形变现象。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6" w:type="dxa"/>
            <w:vMerge w:val="continue"/>
            <w:vAlign w:val="center"/>
          </w:tcPr>
          <w:p>
            <w:pPr>
              <w:outlineLvl w:val="9"/>
              <w:rPr>
                <w:rFonts w:hint="eastAsia" w:ascii="仿宋" w:hAnsi="仿宋" w:eastAsia="仿宋" w:cs="仿宋"/>
                <w:kern w:val="0"/>
                <w:sz w:val="24"/>
                <w:szCs w:val="24"/>
              </w:rPr>
            </w:pPr>
          </w:p>
        </w:tc>
        <w:tc>
          <w:tcPr>
            <w:tcW w:w="1247" w:type="dxa"/>
            <w:vMerge w:val="continue"/>
            <w:vAlign w:val="center"/>
          </w:tcPr>
          <w:p>
            <w:pPr>
              <w:outlineLvl w:val="9"/>
              <w:rPr>
                <w:rFonts w:hint="eastAsia" w:ascii="仿宋" w:hAnsi="仿宋" w:eastAsia="仿宋" w:cs="仿宋"/>
                <w:kern w:val="0"/>
                <w:sz w:val="24"/>
                <w:szCs w:val="24"/>
              </w:rPr>
            </w:pPr>
          </w:p>
        </w:tc>
        <w:tc>
          <w:tcPr>
            <w:tcW w:w="6735" w:type="dxa"/>
            <w:vAlign w:val="center"/>
          </w:tcPr>
          <w:p>
            <w:pPr>
              <w:outlineLvl w:val="9"/>
              <w:rPr>
                <w:rFonts w:hint="eastAsia" w:ascii="仿宋" w:hAnsi="仿宋" w:eastAsia="仿宋" w:cs="仿宋"/>
                <w:kern w:val="0"/>
                <w:sz w:val="24"/>
                <w:szCs w:val="24"/>
              </w:rPr>
            </w:pPr>
            <w:r>
              <w:rPr>
                <w:rFonts w:hint="eastAsia" w:ascii="仿宋" w:hAnsi="仿宋" w:eastAsia="仿宋" w:cs="仿宋"/>
                <w:kern w:val="0"/>
                <w:sz w:val="24"/>
                <w:szCs w:val="24"/>
              </w:rPr>
              <w:t>流线型机身，减小飞行中空气阻力</w:t>
            </w:r>
          </w:p>
        </w:tc>
      </w:tr>
    </w:tbl>
    <w:p>
      <w:pPr>
        <w:numPr>
          <w:ilvl w:val="0"/>
          <w:numId w:val="11"/>
        </w:numPr>
        <w:spacing w:before="0" w:after="0"/>
        <w:outlineLvl w:val="9"/>
        <w:rPr>
          <w:rFonts w:hint="eastAsia" w:ascii="仿宋" w:hAnsi="仿宋" w:eastAsia="仿宋" w:cs="仿宋"/>
          <w:b w:val="0"/>
          <w:bCs w:val="0"/>
          <w:sz w:val="24"/>
          <w:szCs w:val="24"/>
        </w:rPr>
      </w:pPr>
      <w:bookmarkStart w:id="152" w:name="_Toc113979808"/>
      <w:r>
        <w:rPr>
          <w:rFonts w:hint="eastAsia" w:ascii="仿宋" w:hAnsi="仿宋" w:eastAsia="仿宋" w:cs="仿宋"/>
          <w:b w:val="0"/>
          <w:bCs w:val="0"/>
          <w:sz w:val="24"/>
          <w:szCs w:val="24"/>
        </w:rPr>
        <w:t>多旋翼无人机参数指标响应表</w:t>
      </w:r>
      <w:bookmarkEnd w:id="152"/>
    </w:p>
    <w:tbl>
      <w:tblPr>
        <w:tblStyle w:val="3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706"/>
        <w:gridCol w:w="2148"/>
        <w:gridCol w:w="607"/>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276" w:lineRule="auto"/>
              <w:jc w:val="center"/>
              <w:rPr>
                <w:rFonts w:hint="eastAsia" w:ascii="仿宋" w:hAnsi="仿宋" w:eastAsia="仿宋" w:cs="仿宋"/>
                <w:kern w:val="0"/>
                <w:sz w:val="24"/>
                <w:szCs w:val="24"/>
              </w:rPr>
            </w:pPr>
            <w:bookmarkStart w:id="153" w:name="_Hlk100227240"/>
            <w:r>
              <w:rPr>
                <w:rFonts w:hint="eastAsia" w:ascii="仿宋" w:hAnsi="仿宋" w:eastAsia="仿宋" w:cs="仿宋"/>
                <w:kern w:val="0"/>
                <w:sz w:val="24"/>
                <w:szCs w:val="24"/>
              </w:rPr>
              <w:t>产品</w:t>
            </w:r>
          </w:p>
        </w:tc>
        <w:tc>
          <w:tcPr>
            <w:tcW w:w="0" w:type="auto"/>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0" w:type="auto"/>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c>
          <w:tcPr>
            <w:tcW w:w="0" w:type="auto"/>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0" w:type="auto"/>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详细内容</w:t>
            </w:r>
          </w:p>
        </w:tc>
      </w:tr>
      <w:bookmark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无人机</w:t>
            </w:r>
          </w:p>
        </w:tc>
        <w:tc>
          <w:tcPr>
            <w:tcW w:w="0" w:type="auto"/>
            <w:vMerge w:val="restart"/>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飞行器本体</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轴距</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mm</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最大飞行时长</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最大载重</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kg</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悬停精度</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（固定解）</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水平：±0.15</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垂直：±0.10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精准定位</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（1）双RTK设计，采用差分定位模式，支持GPS+北斗，实现厘米级高精度定位</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（2）支持视觉定位和UWB定位</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（3）可引导无人机精准飞行和降落</w:t>
            </w:r>
          </w:p>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（4）无人机自主精准降落误差≤15cm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通讯传输链路</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（1）支持4G通讯（可拓展5G通讯），控制距离和图传距离无限制</w:t>
            </w:r>
          </w:p>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（2）支持数图传模组通讯，控制距离和图传距离≥15km</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（3）公网链路与数图传链路可同时工作，互为备份</w:t>
            </w:r>
          </w:p>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（4）可扩展MESH网络通讯模式，最多支持32个节点，控制距离≥15km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抗电磁干扰等级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自主避障</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电池更换</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具备全自动机场自动更换电池功能，自动更换电池时间≤2min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吊舱更换</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具备全自动机场自动更换吊舱功能，自动更换吊舱时间≤2min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restart"/>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遥控器</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工作频率（GHz）</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1427.9MHz~1447.9MHz</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2400MHz-2483.50MHz</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5725MHz～5825MHz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通信方式</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支持4G通讯</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（可拓展5G通讯）</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支持图传模组通讯</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通信延迟≤600ms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电池</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充电时间</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restart"/>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环境适应性</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工作环境温度</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最大飞行海拔高度</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最大防风等级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工作相对湿度</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IP防护等级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restart"/>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巡航性能</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最大飞行半径</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km</w:t>
            </w:r>
          </w:p>
        </w:tc>
        <w:tc>
          <w:tcPr>
            <w:tcW w:w="0" w:type="auto"/>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最大水平飞速度</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m/s</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保护功能</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（1）支持一键自动返航</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（2）支持低电自动返航</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（3）支持大于7级风以上自动返航</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（4）支持自动降落备降点</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（5）支持返航至指定地点</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（6）支持紧急降落</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（7）支持复降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集群作业</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航线高度校验</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对无人机飞行路径进行高度校验，对航线高度异常航点进行报警提示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智能计算</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具备端侧AI处理能力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目标兴趣点识别与智能数据采集（搭载吊舱后）</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（1）支持端侧AI</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（2）支持目标智能识别与计算</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（3）支持自动识别目标并自动变焦对焦</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（4）自动识别绝缘子及两侧挂点、地线挂点，目标清晰居中且目标画幅占照片画面比例70%—80%，拍准目标响应速度≤2s</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（5）自动识别目标后，对焦拍清目标响应速度≤2s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智能协作机制</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（搭载吊舱后）</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（1）支持与端侧AI系统控制联动，对端侧AI反馈信息及时处理，处理响应速度≤1s</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（2）支持通过端侧AI系统调动云台作出快速响应，实现无人机、云台和吊舱三者之间的自动协作控制闭环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作业时间</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支持24小时不间断作业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三维电子地理围栏</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rPr>
                <w:rFonts w:hint="eastAsia" w:ascii="仿宋" w:hAnsi="仿宋" w:eastAsia="仿宋" w:cs="仿宋"/>
                <w:kern w:val="0"/>
                <w:sz w:val="24"/>
                <w:szCs w:val="24"/>
              </w:rPr>
            </w:pPr>
          </w:p>
        </w:tc>
        <w:tc>
          <w:tcPr>
            <w:tcW w:w="0" w:type="auto"/>
            <w:vMerge w:val="continue"/>
            <w:vAlign w:val="center"/>
          </w:tcPr>
          <w:p>
            <w:pPr>
              <w:spacing w:line="276" w:lineRule="auto"/>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远程应急操控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bl>
    <w:p>
      <w:pPr>
        <w:numPr>
          <w:ilvl w:val="0"/>
          <w:numId w:val="11"/>
        </w:numPr>
        <w:spacing w:before="0" w:after="0"/>
        <w:outlineLvl w:val="9"/>
        <w:rPr>
          <w:rFonts w:hint="eastAsia" w:ascii="仿宋" w:hAnsi="仿宋" w:eastAsia="仿宋" w:cs="仿宋"/>
          <w:b w:val="0"/>
          <w:bCs w:val="0"/>
          <w:sz w:val="24"/>
          <w:szCs w:val="24"/>
        </w:rPr>
      </w:pPr>
      <w:bookmarkStart w:id="154" w:name="_Toc113979809"/>
      <w:r>
        <w:rPr>
          <w:rFonts w:hint="eastAsia" w:ascii="仿宋" w:hAnsi="仿宋" w:eastAsia="仿宋" w:cs="仿宋"/>
          <w:b w:val="0"/>
          <w:bCs w:val="0"/>
          <w:sz w:val="24"/>
          <w:szCs w:val="24"/>
        </w:rPr>
        <w:t>全自动机场外观指标响应表</w:t>
      </w:r>
      <w:bookmarkEnd w:id="154"/>
    </w:p>
    <w:tbl>
      <w:tblPr>
        <w:tblStyle w:val="3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00"/>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97"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1300"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6562" w:type="dxa"/>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97" w:type="dxa"/>
            <w:vMerge w:val="restart"/>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全自动机场</w:t>
            </w:r>
          </w:p>
        </w:tc>
        <w:tc>
          <w:tcPr>
            <w:tcW w:w="1300" w:type="dxa"/>
            <w:vMerge w:val="restart"/>
            <w:shd w:val="clear" w:color="auto" w:fill="auto"/>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外观</w:t>
            </w:r>
          </w:p>
        </w:tc>
        <w:tc>
          <w:tcPr>
            <w:tcW w:w="6562"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机场连接线布局合理，固定牢靠；连接件、紧固件有防松措施；涂镀层无气泡、龟裂和脱落；金属件无锈蚀和机械损伤；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97" w:type="dxa"/>
            <w:vMerge w:val="continue"/>
            <w:shd w:val="clear" w:color="auto" w:fill="auto"/>
            <w:vAlign w:val="center"/>
          </w:tcPr>
          <w:p>
            <w:pPr>
              <w:outlineLvl w:val="9"/>
              <w:rPr>
                <w:rFonts w:hint="eastAsia" w:ascii="仿宋" w:hAnsi="仿宋" w:eastAsia="仿宋" w:cs="仿宋"/>
                <w:kern w:val="0"/>
                <w:sz w:val="24"/>
                <w:szCs w:val="24"/>
              </w:rPr>
            </w:pPr>
          </w:p>
        </w:tc>
        <w:tc>
          <w:tcPr>
            <w:tcW w:w="1300" w:type="dxa"/>
            <w:vMerge w:val="continue"/>
            <w:shd w:val="clear" w:color="auto" w:fill="auto"/>
            <w:vAlign w:val="center"/>
          </w:tcPr>
          <w:p>
            <w:pPr>
              <w:outlineLvl w:val="9"/>
              <w:rPr>
                <w:rFonts w:hint="eastAsia" w:ascii="仿宋" w:hAnsi="仿宋" w:eastAsia="仿宋" w:cs="仿宋"/>
                <w:kern w:val="0"/>
                <w:sz w:val="24"/>
                <w:szCs w:val="24"/>
              </w:rPr>
            </w:pPr>
          </w:p>
        </w:tc>
        <w:tc>
          <w:tcPr>
            <w:tcW w:w="6562"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全自动机场电源与机柜等危险区域应有明显标识予以警告；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vMerge w:val="continue"/>
            <w:vAlign w:val="center"/>
          </w:tcPr>
          <w:p>
            <w:pPr>
              <w:outlineLvl w:val="9"/>
              <w:rPr>
                <w:rFonts w:hint="eastAsia" w:ascii="仿宋" w:hAnsi="仿宋" w:eastAsia="仿宋" w:cs="仿宋"/>
                <w:kern w:val="0"/>
                <w:sz w:val="24"/>
                <w:szCs w:val="24"/>
              </w:rPr>
            </w:pPr>
          </w:p>
        </w:tc>
        <w:tc>
          <w:tcPr>
            <w:tcW w:w="1300" w:type="dxa"/>
            <w:vMerge w:val="continue"/>
            <w:vAlign w:val="center"/>
          </w:tcPr>
          <w:p>
            <w:pPr>
              <w:outlineLvl w:val="9"/>
              <w:rPr>
                <w:rFonts w:hint="eastAsia" w:ascii="仿宋" w:hAnsi="仿宋" w:eastAsia="仿宋" w:cs="仿宋"/>
                <w:kern w:val="0"/>
                <w:sz w:val="24"/>
                <w:szCs w:val="24"/>
              </w:rPr>
            </w:pPr>
          </w:p>
        </w:tc>
        <w:tc>
          <w:tcPr>
            <w:tcW w:w="6562" w:type="dxa"/>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全自动机场上应有指示灯，指示灯在机场收到起飞指令启动；</w:t>
            </w:r>
          </w:p>
        </w:tc>
      </w:tr>
    </w:tbl>
    <w:p>
      <w:pPr>
        <w:numPr>
          <w:ilvl w:val="0"/>
          <w:numId w:val="11"/>
        </w:numPr>
        <w:spacing w:before="0" w:after="0"/>
        <w:outlineLvl w:val="9"/>
        <w:rPr>
          <w:rFonts w:hint="eastAsia" w:ascii="仿宋" w:hAnsi="仿宋" w:eastAsia="仿宋" w:cs="仿宋"/>
          <w:b w:val="0"/>
          <w:bCs w:val="0"/>
          <w:sz w:val="24"/>
          <w:szCs w:val="24"/>
        </w:rPr>
      </w:pPr>
      <w:bookmarkStart w:id="155" w:name="_Toc113979810"/>
      <w:r>
        <w:rPr>
          <w:rFonts w:hint="eastAsia" w:ascii="仿宋" w:hAnsi="仿宋" w:eastAsia="仿宋" w:cs="仿宋"/>
          <w:b w:val="0"/>
          <w:bCs w:val="0"/>
          <w:sz w:val="24"/>
          <w:szCs w:val="24"/>
        </w:rPr>
        <w:t>全自动机场参数指标响应表</w:t>
      </w:r>
      <w:bookmarkEnd w:id="155"/>
    </w:p>
    <w:tbl>
      <w:tblPr>
        <w:tblStyle w:val="3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4"/>
        <w:gridCol w:w="1124"/>
        <w:gridCol w:w="2585"/>
        <w:gridCol w:w="92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4"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1124"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258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c>
          <w:tcPr>
            <w:tcW w:w="928"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351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全自动</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机场</w:t>
            </w:r>
          </w:p>
        </w:tc>
        <w:tc>
          <w:tcPr>
            <w:tcW w:w="1124" w:type="dxa"/>
            <w:vMerge w:val="restart"/>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机场本体</w:t>
            </w: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外观尺寸（闭合状态）</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全自动机场重量</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kg</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无人机电池充电时长</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≤70min/每块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自动更换电池功能</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（1）支持自动更换无人机电池</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（2）自动更换电池时长≤2min（仅换电池的时间）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自动更换吊舱功能</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（1）支持自动更换无人机吊舱</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（2）自动更换吊舱时长≤2min（仅换吊舱的时间）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最多支持自动更换电池组数 </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≥4组，更多可选配定制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最多支持自动更换吊舱组数</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≥2组，更多可选配定制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电池同时充电数量</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智能电池管理(BMS)</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电池状态远程读取</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机场视频存储时长</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天</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输入电压</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V</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内部照明系统</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实时监控系统</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支持（内外监控）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工作环境温度</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工作相对湿度</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内部自动恒温调节</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温度控制范围10-30℃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小型气象系统</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（1）机场内外温度、湿度监测与实时显示</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（2）机场外部风速、风向、雨量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智能计算</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端侧AI能力≥10Tops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小雨天窗开启作业</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防尘等级</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5级（IP55工业防护等级）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防水等级</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5级（IP55工业防护等级）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抗电磁干扰等级</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自主巡检功能</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支持全流程自主运行</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无人值守运行</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断点续飞</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多元传感器</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边缘计算</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集群作业</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如多同步作业、蛙跳、对飞等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自主开关机</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备降与复降</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支持，误差≤0.2米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可靠性</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机场连续起降无故障次数（含远程恢复）≥200次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shd w:val="clear" w:color="auto" w:fill="auto"/>
            <w:vAlign w:val="center"/>
          </w:tcPr>
          <w:p>
            <w:pPr>
              <w:rPr>
                <w:rFonts w:hint="eastAsia" w:ascii="仿宋" w:hAnsi="仿宋" w:eastAsia="仿宋" w:cs="仿宋"/>
                <w:kern w:val="0"/>
                <w:sz w:val="24"/>
                <w:szCs w:val="24"/>
              </w:rPr>
            </w:pPr>
          </w:p>
        </w:tc>
        <w:tc>
          <w:tcPr>
            <w:tcW w:w="1124" w:type="dxa"/>
            <w:vMerge w:val="continue"/>
            <w:shd w:val="clear" w:color="auto" w:fill="auto"/>
            <w:vAlign w:val="center"/>
          </w:tcPr>
          <w:p>
            <w:pPr>
              <w:rPr>
                <w:rFonts w:hint="eastAsia" w:ascii="仿宋" w:hAnsi="仿宋" w:eastAsia="仿宋" w:cs="仿宋"/>
                <w:kern w:val="0"/>
                <w:sz w:val="24"/>
                <w:szCs w:val="24"/>
              </w:rPr>
            </w:pPr>
          </w:p>
        </w:tc>
        <w:tc>
          <w:tcPr>
            <w:tcW w:w="258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全自动机场通讯系统</w:t>
            </w:r>
          </w:p>
        </w:tc>
        <w:tc>
          <w:tcPr>
            <w:tcW w:w="9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515" w:type="dxa"/>
            <w:shd w:val="clear" w:color="auto" w:fill="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（1）支持4G/5G公网通讯（移动、联通、电信），控制距离和图传距离无限制</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（2）支持图传模组通讯，控制距离和图传距离≥10km</w:t>
            </w:r>
          </w:p>
        </w:tc>
      </w:tr>
    </w:tbl>
    <w:p>
      <w:pPr>
        <w:numPr>
          <w:ilvl w:val="0"/>
          <w:numId w:val="11"/>
        </w:numPr>
        <w:spacing w:before="0" w:after="0"/>
        <w:outlineLvl w:val="9"/>
        <w:rPr>
          <w:rFonts w:hint="eastAsia" w:ascii="仿宋" w:hAnsi="仿宋" w:eastAsia="仿宋" w:cs="仿宋"/>
          <w:b w:val="0"/>
          <w:bCs w:val="0"/>
          <w:sz w:val="24"/>
          <w:szCs w:val="24"/>
        </w:rPr>
      </w:pPr>
      <w:bookmarkStart w:id="156" w:name="_Toc113979811"/>
      <w:r>
        <w:rPr>
          <w:rFonts w:hint="eastAsia" w:ascii="仿宋" w:hAnsi="仿宋" w:eastAsia="仿宋" w:cs="仿宋"/>
          <w:b w:val="0"/>
          <w:bCs w:val="0"/>
          <w:sz w:val="24"/>
          <w:szCs w:val="24"/>
        </w:rPr>
        <w:t>多旋翼无人机挂载可见光吊舱参数指标响应表</w:t>
      </w:r>
      <w:bookmarkEnd w:id="156"/>
    </w:p>
    <w:tbl>
      <w:tblPr>
        <w:tblStyle w:val="3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756"/>
        <w:gridCol w:w="807"/>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shd w:val="clear" w:color="auto" w:fill="auto"/>
            <w:vAlign w:val="center"/>
          </w:tcPr>
          <w:p>
            <w:pPr>
              <w:jc w:val="center"/>
              <w:rPr>
                <w:rFonts w:hint="eastAsia" w:ascii="仿宋" w:hAnsi="仿宋" w:eastAsia="仿宋" w:cs="仿宋"/>
                <w:sz w:val="24"/>
                <w:szCs w:val="24"/>
              </w:rPr>
            </w:pPr>
            <w:bookmarkStart w:id="157" w:name="_Toc113979812"/>
            <w:r>
              <w:rPr>
                <w:rFonts w:hint="eastAsia" w:ascii="仿宋" w:hAnsi="仿宋" w:eastAsia="仿宋" w:cs="仿宋"/>
                <w:sz w:val="24"/>
                <w:szCs w:val="24"/>
              </w:rPr>
              <w:t>序号</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尺寸</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mm</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≤220*250*280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重量</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g</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光学变焦</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图像存储格式</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视频实时分辨率FHD</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≥1920*1080，全高清，≥25fps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图像分辨率</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像素</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支持存储卡类型</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GB</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支持128GB存储卡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远程照片读取与访问</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云台角度抖动量</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云台可控转动范围</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俯仰-90°至+30°</w:t>
            </w:r>
          </w:p>
          <w:p>
            <w:pPr>
              <w:spacing w:line="276" w:lineRule="auto"/>
              <w:rPr>
                <w:rFonts w:hint="eastAsia" w:ascii="仿宋" w:hAnsi="仿宋" w:eastAsia="仿宋" w:cs="仿宋"/>
                <w:sz w:val="24"/>
                <w:szCs w:val="24"/>
              </w:rPr>
            </w:pPr>
            <w:r>
              <w:rPr>
                <w:rFonts w:hint="eastAsia" w:ascii="仿宋" w:hAnsi="仿宋" w:eastAsia="仿宋" w:cs="仿宋"/>
                <w:sz w:val="24"/>
                <w:szCs w:val="24"/>
              </w:rPr>
              <w:t>水平-180°至+180°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云台自动更换</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（1）支持自动更换</w:t>
            </w:r>
          </w:p>
          <w:p>
            <w:pPr>
              <w:spacing w:line="276" w:lineRule="auto"/>
              <w:rPr>
                <w:rFonts w:hint="eastAsia" w:ascii="仿宋" w:hAnsi="仿宋" w:eastAsia="仿宋" w:cs="仿宋"/>
                <w:sz w:val="24"/>
                <w:szCs w:val="24"/>
              </w:rPr>
            </w:pPr>
            <w:r>
              <w:rPr>
                <w:rFonts w:hint="eastAsia" w:ascii="仿宋" w:hAnsi="仿宋" w:eastAsia="仿宋" w:cs="仿宋"/>
                <w:sz w:val="24"/>
                <w:szCs w:val="24"/>
              </w:rPr>
              <w:t>（2）在机场内自动更换吊舱时长≤2min</w:t>
            </w:r>
          </w:p>
        </w:tc>
      </w:tr>
    </w:tbl>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多旋翼无人机挂载红外热成像吊舱参数指标响应表</w:t>
      </w:r>
      <w:bookmarkEnd w:id="157"/>
    </w:p>
    <w:tbl>
      <w:tblPr>
        <w:tblStyle w:val="3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68"/>
        <w:gridCol w:w="771"/>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0" w:type="auto"/>
            <w:shd w:val="clear" w:color="auto" w:fill="auto"/>
            <w:vAlign w:val="center"/>
          </w:tcPr>
          <w:p>
            <w:pPr>
              <w:jc w:val="center"/>
              <w:rPr>
                <w:rFonts w:hint="eastAsia" w:ascii="仿宋" w:hAnsi="仿宋" w:eastAsia="仿宋" w:cs="仿宋"/>
                <w:sz w:val="24"/>
                <w:szCs w:val="24"/>
              </w:rPr>
            </w:pPr>
            <w:bookmarkStart w:id="158" w:name="_Hlk100250010"/>
            <w:r>
              <w:rPr>
                <w:rFonts w:hint="eastAsia" w:ascii="仿宋" w:hAnsi="仿宋" w:eastAsia="仿宋" w:cs="仿宋"/>
                <w:sz w:val="24"/>
                <w:szCs w:val="24"/>
              </w:rPr>
              <w:t>序号</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详细内容</w:t>
            </w:r>
          </w:p>
        </w:tc>
      </w:tr>
      <w:bookmark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尺寸</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mm</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≤220*250*280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重量</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g</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探测器类型</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非制冷氧化钒VOx焦平面探测器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成像像素</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像素</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640×512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测温范围</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-20 ~ +150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像间距</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μm</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精度</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≤±2℃或测量值乘以±2%（取绝对值大者）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热灵敏度</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50mK@f/1，</w:t>
            </w:r>
            <w:bookmarkStart w:id="167" w:name="_GoBack"/>
            <w:r>
              <w:rPr>
                <w:rFonts w:hint="eastAsia" w:ascii="仿宋" w:hAnsi="仿宋" w:eastAsia="仿宋" w:cs="仿宋"/>
                <w:sz w:val="24"/>
                <w:szCs w:val="24"/>
              </w:rPr>
              <w:t>30</w:t>
            </w:r>
            <w:bookmarkEnd w:id="167"/>
            <w:r>
              <w:rPr>
                <w:rFonts w:hint="eastAsia" w:ascii="仿宋" w:hAnsi="仿宋" w:eastAsia="仿宋" w:cs="仿宋"/>
                <w:sz w:val="24"/>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帧频</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Hz</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工作环境温度</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-20 ~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云台角度抖动量</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云台可控转动范围</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俯仰-90°至+30°</w:t>
            </w:r>
          </w:p>
          <w:p>
            <w:pPr>
              <w:spacing w:line="276" w:lineRule="auto"/>
              <w:rPr>
                <w:rFonts w:hint="eastAsia" w:ascii="仿宋" w:hAnsi="仿宋" w:eastAsia="仿宋" w:cs="仿宋"/>
                <w:sz w:val="24"/>
                <w:szCs w:val="24"/>
              </w:rPr>
            </w:pPr>
            <w:r>
              <w:rPr>
                <w:rFonts w:hint="eastAsia" w:ascii="仿宋" w:hAnsi="仿宋" w:eastAsia="仿宋" w:cs="仿宋"/>
                <w:sz w:val="24"/>
                <w:szCs w:val="24"/>
              </w:rPr>
              <w:t>水平-180°至+180°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云台自动更换</w:t>
            </w:r>
          </w:p>
        </w:tc>
        <w:tc>
          <w:tcPr>
            <w:tcW w:w="0" w:type="auto"/>
            <w:shd w:val="clear" w:color="auto" w:fill="auto"/>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0" w:type="auto"/>
            <w:shd w:val="clear" w:color="auto" w:fill="auto"/>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（1）支持自动更换</w:t>
            </w:r>
          </w:p>
          <w:p>
            <w:pPr>
              <w:spacing w:line="276" w:lineRule="auto"/>
              <w:rPr>
                <w:rFonts w:hint="eastAsia" w:ascii="仿宋" w:hAnsi="仿宋" w:eastAsia="仿宋" w:cs="仿宋"/>
                <w:sz w:val="24"/>
                <w:szCs w:val="24"/>
              </w:rPr>
            </w:pPr>
            <w:r>
              <w:rPr>
                <w:rFonts w:hint="eastAsia" w:ascii="仿宋" w:hAnsi="仿宋" w:eastAsia="仿宋" w:cs="仿宋"/>
                <w:sz w:val="24"/>
                <w:szCs w:val="24"/>
              </w:rPr>
              <w:t>（2）在机场内自动更换吊舱时长≤3min</w:t>
            </w:r>
          </w:p>
        </w:tc>
      </w:tr>
    </w:tbl>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多旋翼无人机挂载喊话器吊舱参数指标响应表</w:t>
      </w:r>
    </w:p>
    <w:tbl>
      <w:tblPr>
        <w:tblStyle w:val="3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559"/>
        <w:gridCol w:w="8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spacing w:line="240" w:lineRule="auto"/>
              <w:jc w:val="center"/>
              <w:rPr>
                <w:rFonts w:hint="eastAsia" w:ascii="仿宋" w:hAnsi="仿宋" w:eastAsia="仿宋" w:cs="仿宋"/>
                <w:b/>
                <w:sz w:val="24"/>
                <w:szCs w:val="24"/>
              </w:rPr>
            </w:pPr>
            <w:bookmarkStart w:id="159" w:name="_Toc113979813"/>
            <w:r>
              <w:rPr>
                <w:rFonts w:hint="eastAsia" w:ascii="仿宋" w:hAnsi="仿宋" w:eastAsia="仿宋" w:cs="仿宋"/>
                <w:b/>
                <w:sz w:val="24"/>
                <w:szCs w:val="24"/>
              </w:rPr>
              <w:t>序号</w:t>
            </w:r>
          </w:p>
        </w:tc>
        <w:tc>
          <w:tcPr>
            <w:tcW w:w="1134" w:type="dxa"/>
            <w:shd w:val="clear" w:color="auto" w:fill="auto"/>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指标分类</w:t>
            </w:r>
          </w:p>
        </w:tc>
        <w:tc>
          <w:tcPr>
            <w:tcW w:w="1559" w:type="dxa"/>
            <w:shd w:val="clear" w:color="auto" w:fill="auto"/>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参数</w:t>
            </w:r>
          </w:p>
        </w:tc>
        <w:tc>
          <w:tcPr>
            <w:tcW w:w="851" w:type="dxa"/>
            <w:shd w:val="clear" w:color="auto" w:fill="auto"/>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4678" w:type="dxa"/>
            <w:shd w:val="clear" w:color="auto" w:fill="auto"/>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外观</w:t>
            </w: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尺寸</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mm</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≤200*150*150（不含天线）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材质</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ABS 塑料外壳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3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语音广播终端</w:t>
            </w: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机载重量</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g</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≤1000g（包含天线以及安装结构件）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工作温度</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广播模式</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实时喊话、音频广播、声卡广播等模式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传声距离</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m</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输出音量</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130dB@10cm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网络制式</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通信频率</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LTE FDD: B1/B3/B5/B8 ；</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LTE TDD: B38/B39/B40/B41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工作电流</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A</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静态电流 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供电范围</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V</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DC 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134"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喊话麦克风</w:t>
            </w: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音频接口</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pStyle w:val="211"/>
              <w:spacing w:line="276"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适用系统</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Windows XP,Windows7/8/10，Mac 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信噪比</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≥70dB（1KW）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灵敏度</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-47±3dB，360°灵敏拾音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134" w:type="dxa"/>
            <w:vMerge w:val="continue"/>
            <w:vAlign w:val="center"/>
          </w:tcPr>
          <w:p>
            <w:pPr>
              <w:jc w:val="center"/>
              <w:rPr>
                <w:rFonts w:hint="eastAsia" w:ascii="仿宋" w:hAnsi="仿宋" w:eastAsia="仿宋" w:cs="仿宋"/>
                <w:sz w:val="24"/>
                <w:szCs w:val="24"/>
              </w:rPr>
            </w:pPr>
          </w:p>
        </w:tc>
        <w:tc>
          <w:tcPr>
            <w:tcW w:w="15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频率</w:t>
            </w:r>
          </w:p>
        </w:tc>
        <w:tc>
          <w:tcPr>
            <w:tcW w:w="85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4678" w:type="dxa"/>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50HZ～17KHZ</w:t>
            </w:r>
          </w:p>
        </w:tc>
      </w:tr>
    </w:tbl>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r>
        <w:rPr>
          <w:rFonts w:hint="eastAsia" w:ascii="仿宋" w:hAnsi="仿宋" w:eastAsia="仿宋" w:cs="仿宋"/>
          <w:sz w:val="24"/>
          <w:szCs w:val="24"/>
        </w:rPr>
        <w:t>设备环境适应性要求</w:t>
      </w:r>
      <w:bookmarkEnd w:id="159"/>
    </w:p>
    <w:tbl>
      <w:tblPr>
        <w:tblStyle w:val="38"/>
        <w:tblW w:w="92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339"/>
        <w:gridCol w:w="3092"/>
        <w:gridCol w:w="1704"/>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29" w:type="dxa"/>
            <w:shd w:val="clear" w:color="auto" w:fill="auto"/>
            <w:vAlign w:val="center"/>
          </w:tcPr>
          <w:p>
            <w:pPr>
              <w:spacing w:line="24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序号</w:t>
            </w:r>
          </w:p>
        </w:tc>
        <w:tc>
          <w:tcPr>
            <w:tcW w:w="1339" w:type="dxa"/>
            <w:shd w:val="clear" w:color="auto" w:fill="auto"/>
            <w:vAlign w:val="center"/>
          </w:tcPr>
          <w:p>
            <w:pPr>
              <w:spacing w:line="24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项目</w:t>
            </w:r>
          </w:p>
        </w:tc>
        <w:tc>
          <w:tcPr>
            <w:tcW w:w="4796" w:type="dxa"/>
            <w:gridSpan w:val="2"/>
            <w:shd w:val="clear" w:color="auto" w:fill="auto"/>
            <w:vAlign w:val="center"/>
          </w:tcPr>
          <w:p>
            <w:pPr>
              <w:spacing w:line="24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投标人要求值</w:t>
            </w:r>
          </w:p>
        </w:tc>
        <w:tc>
          <w:tcPr>
            <w:tcW w:w="1842" w:type="dxa"/>
            <w:shd w:val="clear" w:color="auto" w:fill="auto"/>
            <w:vAlign w:val="center"/>
          </w:tcPr>
          <w:p>
            <w:pPr>
              <w:spacing w:line="240" w:lineRule="auto"/>
              <w:jc w:val="center"/>
              <w:outlineLvl w:val="9"/>
              <w:rPr>
                <w:rFonts w:hint="eastAsia" w:ascii="仿宋" w:hAnsi="仿宋" w:eastAsia="仿宋" w:cs="仿宋"/>
                <w:b/>
                <w:sz w:val="24"/>
                <w:szCs w:val="24"/>
              </w:rPr>
            </w:pPr>
            <w:r>
              <w:rPr>
                <w:rFonts w:hint="eastAsia" w:ascii="仿宋" w:hAnsi="仿宋" w:eastAsia="仿宋" w:cs="仿宋"/>
                <w:b/>
                <w:sz w:val="24"/>
                <w:szCs w:val="24"/>
              </w:rPr>
              <w:t>投标人指标响应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4" w:hRule="atLeast"/>
          <w:jc w:val="center"/>
        </w:trPr>
        <w:tc>
          <w:tcPr>
            <w:tcW w:w="1229"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w:t>
            </w:r>
          </w:p>
        </w:tc>
        <w:tc>
          <w:tcPr>
            <w:tcW w:w="1339"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温度</w:t>
            </w:r>
          </w:p>
        </w:tc>
        <w:tc>
          <w:tcPr>
            <w:tcW w:w="3092"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（-20℃~-55℃环境温度）下机场内部温度控制区间</w:t>
            </w:r>
          </w:p>
        </w:tc>
        <w:tc>
          <w:tcPr>
            <w:tcW w:w="1704"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10℃-30℃</w:t>
            </w:r>
          </w:p>
        </w:tc>
        <w:tc>
          <w:tcPr>
            <w:tcW w:w="1842"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（投标人填写）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4" w:hRule="atLeast"/>
          <w:jc w:val="center"/>
        </w:trPr>
        <w:tc>
          <w:tcPr>
            <w:tcW w:w="1229"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2</w:t>
            </w:r>
          </w:p>
        </w:tc>
        <w:tc>
          <w:tcPr>
            <w:tcW w:w="1339"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湿度</w:t>
            </w:r>
          </w:p>
        </w:tc>
        <w:tc>
          <w:tcPr>
            <w:tcW w:w="3092"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相对湿度</w:t>
            </w:r>
          </w:p>
        </w:tc>
        <w:tc>
          <w:tcPr>
            <w:tcW w:w="1704"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≤90%</w:t>
            </w:r>
          </w:p>
        </w:tc>
        <w:tc>
          <w:tcPr>
            <w:tcW w:w="1842" w:type="dxa"/>
            <w:vAlign w:val="center"/>
          </w:tcPr>
          <w:p>
            <w:pPr>
              <w:spacing w:line="240" w:lineRule="auto"/>
              <w:jc w:val="center"/>
              <w:outlineLvl w:val="9"/>
              <w:rPr>
                <w:rFonts w:hint="eastAsia" w:ascii="仿宋" w:hAnsi="仿宋" w:eastAsia="仿宋" w:cs="仿宋"/>
                <w:bCs/>
                <w:sz w:val="24"/>
                <w:szCs w:val="24"/>
              </w:rPr>
            </w:pPr>
            <w:r>
              <w:rPr>
                <w:rFonts w:hint="eastAsia" w:ascii="仿宋" w:hAnsi="仿宋" w:eastAsia="仿宋" w:cs="仿宋"/>
                <w:bCs/>
                <w:sz w:val="24"/>
                <w:szCs w:val="24"/>
              </w:rPr>
              <w:t>（投标人填写）</w:t>
            </w:r>
          </w:p>
        </w:tc>
      </w:tr>
    </w:tbl>
    <w:p>
      <w:pPr>
        <w:pStyle w:val="4"/>
        <w:bidi w:val="0"/>
        <w:rPr>
          <w:rFonts w:hint="eastAsia" w:ascii="仿宋" w:hAnsi="仿宋" w:eastAsia="仿宋" w:cs="仿宋"/>
          <w:color w:val="000000" w:themeColor="text1"/>
          <w:lang w:val="en-US" w:eastAsia="zh-CN"/>
          <w14:textFill>
            <w14:solidFill>
              <w14:schemeClr w14:val="tx1"/>
            </w14:solidFill>
          </w14:textFill>
        </w:rPr>
      </w:pPr>
      <w:bookmarkStart w:id="160" w:name="_Toc113979814"/>
      <w:r>
        <w:rPr>
          <w:rFonts w:hint="eastAsia" w:ascii="仿宋" w:hAnsi="仿宋" w:eastAsia="仿宋" w:cs="仿宋"/>
          <w:color w:val="000000" w:themeColor="text1"/>
          <w:lang w:val="en-US" w:eastAsia="zh-CN"/>
          <w14:textFill>
            <w14:solidFill>
              <w14:schemeClr w14:val="tx1"/>
            </w14:solidFill>
          </w14:textFill>
        </w:rPr>
        <w:t>5.2中型固定式全自主无人机自动机场智慧巡检系统技术参数指标响应表</w:t>
      </w: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多旋翼无人机参数指标响应表</w:t>
      </w:r>
    </w:p>
    <w:tbl>
      <w:tblPr>
        <w:tblStyle w:val="3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228"/>
        <w:gridCol w:w="2018"/>
        <w:gridCol w:w="1050"/>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33"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122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2018"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c>
          <w:tcPr>
            <w:tcW w:w="1050"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4069"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3" w:type="dxa"/>
            <w:vMerge w:val="restart"/>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无人机</w:t>
            </w:r>
          </w:p>
        </w:tc>
        <w:tc>
          <w:tcPr>
            <w:tcW w:w="1228" w:type="dxa"/>
            <w:vMerge w:val="restart"/>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飞行器本体</w:t>
            </w: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bCs/>
                <w:kern w:val="0"/>
                <w:sz w:val="24"/>
                <w:szCs w:val="24"/>
              </w:rPr>
              <w:t>*</w:t>
            </w:r>
            <w:r>
              <w:rPr>
                <w:rFonts w:hint="eastAsia" w:ascii="仿宋" w:hAnsi="仿宋" w:eastAsia="仿宋" w:cs="仿宋"/>
                <w:bCs/>
                <w:kern w:val="0"/>
                <w:sz w:val="24"/>
                <w:szCs w:val="24"/>
              </w:rPr>
              <w:t>轴距</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mm</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400≤轴距≤530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bCs/>
                <w:kern w:val="0"/>
                <w:sz w:val="24"/>
                <w:szCs w:val="24"/>
              </w:rPr>
              <w:t>▲</w:t>
            </w:r>
            <w:r>
              <w:rPr>
                <w:rFonts w:hint="eastAsia" w:ascii="仿宋" w:hAnsi="仿宋" w:eastAsia="仿宋" w:cs="仿宋"/>
                <w:bCs/>
                <w:kern w:val="0"/>
                <w:sz w:val="24"/>
                <w:szCs w:val="24"/>
              </w:rPr>
              <w:t>机身重量（含电池，桨叶）</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kg</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1kg≤机身重量（含电池，桨叶）≤2.5kg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highlight w:val="yellow"/>
              </w:rPr>
            </w:pPr>
            <w:r>
              <w:rPr>
                <w:rFonts w:hint="eastAsia" w:ascii="仿宋" w:hAnsi="仿宋" w:eastAsia="仿宋" w:cs="仿宋"/>
                <w:b/>
                <w:bCs/>
                <w:kern w:val="0"/>
                <w:sz w:val="24"/>
                <w:szCs w:val="24"/>
              </w:rPr>
              <w:t>*</w:t>
            </w:r>
            <w:r>
              <w:rPr>
                <w:rFonts w:hint="eastAsia" w:ascii="仿宋" w:hAnsi="仿宋" w:eastAsia="仿宋" w:cs="仿宋"/>
                <w:bCs/>
                <w:kern w:val="0"/>
                <w:sz w:val="24"/>
                <w:szCs w:val="24"/>
              </w:rPr>
              <w:t>搭载单一任务载荷后作业时间</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min</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最大水平飞行速度</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m/s</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最大上升速度</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m/s</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bCs/>
                <w:kern w:val="0"/>
                <w:sz w:val="24"/>
                <w:szCs w:val="24"/>
              </w:rPr>
              <w:t>*</w:t>
            </w:r>
            <w:r>
              <w:rPr>
                <w:rFonts w:hint="eastAsia" w:ascii="仿宋" w:hAnsi="仿宋" w:eastAsia="仿宋" w:cs="仿宋"/>
                <w:bCs/>
                <w:kern w:val="0"/>
                <w:sz w:val="24"/>
                <w:szCs w:val="24"/>
              </w:rPr>
              <w:t>最大飞行半径</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km</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最大可承受风速</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m/s</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最大飞行海拔高度</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km</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工作环境温度</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-10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最大信号有效距离（无干扰、无遮挡）</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km</w:t>
            </w:r>
          </w:p>
        </w:tc>
        <w:tc>
          <w:tcPr>
            <w:tcW w:w="4069"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RTK 位置精度</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4069" w:type="dxa"/>
            <w:vAlign w:val="center"/>
          </w:tcPr>
          <w:p>
            <w:pPr>
              <w:pStyle w:val="209"/>
              <w:ind w:firstLine="480"/>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无人机垂直悬停精度应符合下述要求：</w:t>
            </w:r>
          </w:p>
          <w:p>
            <w:pPr>
              <w:pStyle w:val="209"/>
              <w:ind w:firstLine="480"/>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≤0.1m（RTK正常工作时）</w:t>
            </w:r>
          </w:p>
          <w:p>
            <w:pPr>
              <w:pStyle w:val="209"/>
              <w:ind w:firstLine="480"/>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≤0.5m（GPS正常工作时）；</w:t>
            </w:r>
          </w:p>
          <w:p>
            <w:pPr>
              <w:pStyle w:val="209"/>
              <w:ind w:firstLine="480"/>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无人机水平悬停精度应符合下述要求：≤0.1m （RTK正常工作时）</w:t>
            </w:r>
          </w:p>
          <w:p>
            <w:pPr>
              <w:pStyle w:val="209"/>
              <w:ind w:firstLine="480"/>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≤1.5m（GPS正常工作时）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自主避障</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具有自主避障功能, 无人机搭载≥4个鱼眼避障摄像头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bCs/>
                <w:kern w:val="0"/>
                <w:sz w:val="24"/>
                <w:szCs w:val="24"/>
              </w:rPr>
              <w:t>▲</w:t>
            </w:r>
            <w:r>
              <w:rPr>
                <w:rFonts w:hint="eastAsia" w:ascii="仿宋" w:hAnsi="仿宋" w:eastAsia="仿宋" w:cs="仿宋"/>
                <w:bCs/>
                <w:kern w:val="0"/>
                <w:sz w:val="24"/>
                <w:szCs w:val="24"/>
              </w:rPr>
              <w:t>智能计算</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应具备端侧AI功能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无人机电池容量</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mAh</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kern w:val="0"/>
                <w:sz w:val="24"/>
                <w:szCs w:val="24"/>
              </w:rPr>
              <w:t>*</w:t>
            </w:r>
            <w:r>
              <w:rPr>
                <w:rFonts w:hint="eastAsia" w:ascii="仿宋" w:hAnsi="仿宋" w:eastAsia="仿宋" w:cs="仿宋"/>
                <w:bCs/>
                <w:kern w:val="0"/>
                <w:sz w:val="24"/>
                <w:szCs w:val="24"/>
              </w:rPr>
              <w:t>自动更换电池</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min</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无人机应支持自动更换电池功能，更换时间≤2min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
                <w:kern w:val="0"/>
                <w:sz w:val="24"/>
                <w:szCs w:val="24"/>
              </w:rPr>
              <w:t>*</w:t>
            </w:r>
            <w:r>
              <w:rPr>
                <w:rFonts w:hint="eastAsia" w:ascii="仿宋" w:hAnsi="仿宋" w:eastAsia="仿宋" w:cs="仿宋"/>
                <w:bCs/>
                <w:kern w:val="0"/>
                <w:sz w:val="24"/>
                <w:szCs w:val="24"/>
              </w:rPr>
              <w:t>自动更换吊舱</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min</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无人机应支持自动更换吊舱功能，更换时间≤2min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支持SD卡扩展内存</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GB</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vMerge w:val="continue"/>
            <w:vAlign w:val="center"/>
          </w:tcPr>
          <w:p>
            <w:pPr>
              <w:spacing w:line="276" w:lineRule="auto"/>
              <w:jc w:val="center"/>
              <w:rPr>
                <w:rFonts w:hint="eastAsia" w:ascii="仿宋" w:hAnsi="仿宋" w:eastAsia="仿宋" w:cs="仿宋"/>
                <w:kern w:val="0"/>
                <w:sz w:val="24"/>
                <w:szCs w:val="24"/>
              </w:rPr>
            </w:pPr>
          </w:p>
        </w:tc>
        <w:tc>
          <w:tcPr>
            <w:tcW w:w="1228" w:type="dxa"/>
            <w:vMerge w:val="continue"/>
            <w:vAlign w:val="center"/>
          </w:tcPr>
          <w:p>
            <w:pPr>
              <w:spacing w:line="276" w:lineRule="auto"/>
              <w:jc w:val="center"/>
              <w:rPr>
                <w:rFonts w:hint="eastAsia" w:ascii="仿宋" w:hAnsi="仿宋" w:eastAsia="仿宋" w:cs="仿宋"/>
                <w:kern w:val="0"/>
                <w:sz w:val="24"/>
                <w:szCs w:val="24"/>
              </w:rPr>
            </w:pPr>
          </w:p>
        </w:tc>
        <w:tc>
          <w:tcPr>
            <w:tcW w:w="2018"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实时图传质量</w:t>
            </w:r>
          </w:p>
        </w:tc>
        <w:tc>
          <w:tcPr>
            <w:tcW w:w="1050" w:type="dxa"/>
            <w:vAlign w:val="center"/>
          </w:tcPr>
          <w:p>
            <w:pPr>
              <w:spacing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4069" w:type="dxa"/>
            <w:vAlign w:val="center"/>
          </w:tcPr>
          <w:p>
            <w:pPr>
              <w:spacing w:line="276"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720p@30fps</w:t>
            </w:r>
          </w:p>
        </w:tc>
      </w:tr>
    </w:tbl>
    <w:p>
      <w:pPr>
        <w:rPr>
          <w:rFonts w:hint="eastAsia" w:ascii="仿宋" w:hAnsi="仿宋" w:eastAsia="仿宋" w:cs="仿宋"/>
          <w:b w:val="0"/>
          <w:bCs w:val="0"/>
          <w:sz w:val="24"/>
          <w:szCs w:val="24"/>
        </w:rPr>
      </w:pPr>
      <w:r>
        <w:rPr>
          <w:rFonts w:hint="eastAsia" w:ascii="仿宋" w:hAnsi="仿宋" w:eastAsia="仿宋" w:cs="仿宋"/>
          <w:b w:val="0"/>
          <w:bCs w:val="0"/>
          <w:sz w:val="24"/>
          <w:szCs w:val="24"/>
        </w:rPr>
        <w:br w:type="page"/>
      </w: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全自动机场外观指标响应表</w:t>
      </w:r>
    </w:p>
    <w:tbl>
      <w:tblPr>
        <w:tblStyle w:val="3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00"/>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97"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1300"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6562" w:type="dxa"/>
            <w:shd w:val="clear" w:color="auto" w:fill="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97" w:type="dxa"/>
            <w:vMerge w:val="restart"/>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全自动机场</w:t>
            </w:r>
          </w:p>
        </w:tc>
        <w:tc>
          <w:tcPr>
            <w:tcW w:w="1300" w:type="dxa"/>
            <w:vMerge w:val="restart"/>
            <w:vAlign w:val="center"/>
          </w:tcPr>
          <w:p>
            <w:pPr>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外观</w:t>
            </w:r>
          </w:p>
        </w:tc>
        <w:tc>
          <w:tcPr>
            <w:tcW w:w="6562"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机场连接线布局合理，固定牢靠；连接件、紧固件有防松措施；涂镀层无气泡、龟裂和脱落；金属件无锈蚀和机械损伤；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97" w:type="dxa"/>
            <w:vMerge w:val="continue"/>
            <w:vAlign w:val="center"/>
          </w:tcPr>
          <w:p>
            <w:pPr>
              <w:outlineLvl w:val="9"/>
              <w:rPr>
                <w:rFonts w:hint="eastAsia" w:ascii="仿宋" w:hAnsi="仿宋" w:eastAsia="仿宋" w:cs="仿宋"/>
                <w:kern w:val="0"/>
                <w:sz w:val="24"/>
                <w:szCs w:val="24"/>
              </w:rPr>
            </w:pPr>
          </w:p>
        </w:tc>
        <w:tc>
          <w:tcPr>
            <w:tcW w:w="1300" w:type="dxa"/>
            <w:vMerge w:val="continue"/>
            <w:vAlign w:val="center"/>
          </w:tcPr>
          <w:p>
            <w:pPr>
              <w:outlineLvl w:val="9"/>
              <w:rPr>
                <w:rFonts w:hint="eastAsia" w:ascii="仿宋" w:hAnsi="仿宋" w:eastAsia="仿宋" w:cs="仿宋"/>
                <w:kern w:val="0"/>
                <w:sz w:val="24"/>
                <w:szCs w:val="24"/>
              </w:rPr>
            </w:pPr>
          </w:p>
        </w:tc>
        <w:tc>
          <w:tcPr>
            <w:tcW w:w="6562"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全自动机场电源与机柜等危险区域应有明显标识予以警告；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97" w:type="dxa"/>
            <w:vMerge w:val="continue"/>
            <w:vAlign w:val="center"/>
          </w:tcPr>
          <w:p>
            <w:pPr>
              <w:outlineLvl w:val="9"/>
              <w:rPr>
                <w:rFonts w:hint="eastAsia" w:ascii="仿宋" w:hAnsi="仿宋" w:eastAsia="仿宋" w:cs="仿宋"/>
                <w:kern w:val="0"/>
                <w:sz w:val="24"/>
                <w:szCs w:val="24"/>
              </w:rPr>
            </w:pPr>
          </w:p>
        </w:tc>
        <w:tc>
          <w:tcPr>
            <w:tcW w:w="1300" w:type="dxa"/>
            <w:vMerge w:val="continue"/>
            <w:vAlign w:val="center"/>
          </w:tcPr>
          <w:p>
            <w:pPr>
              <w:outlineLvl w:val="9"/>
              <w:rPr>
                <w:rFonts w:hint="eastAsia" w:ascii="仿宋" w:hAnsi="仿宋" w:eastAsia="仿宋" w:cs="仿宋"/>
                <w:kern w:val="0"/>
                <w:sz w:val="24"/>
                <w:szCs w:val="24"/>
              </w:rPr>
            </w:pPr>
          </w:p>
        </w:tc>
        <w:tc>
          <w:tcPr>
            <w:tcW w:w="6562"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全自动机场上应有指示灯，指示灯在机场收到起飞指令启动；</w:t>
            </w:r>
          </w:p>
        </w:tc>
      </w:tr>
    </w:tbl>
    <w:p>
      <w:pPr>
        <w:outlineLvl w:val="9"/>
        <w:rPr>
          <w:rFonts w:hint="eastAsia" w:ascii="仿宋" w:hAnsi="仿宋" w:eastAsia="仿宋" w:cs="仿宋"/>
          <w:sz w:val="24"/>
          <w:szCs w:val="24"/>
        </w:rPr>
      </w:pP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全自动机场参数指标响应表</w:t>
      </w:r>
    </w:p>
    <w:tbl>
      <w:tblPr>
        <w:tblStyle w:val="3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645"/>
        <w:gridCol w:w="2399"/>
        <w:gridCol w:w="608"/>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0" w:type="auto"/>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0" w:type="auto"/>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类别</w:t>
            </w:r>
          </w:p>
        </w:tc>
        <w:tc>
          <w:tcPr>
            <w:tcW w:w="0" w:type="auto"/>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c>
          <w:tcPr>
            <w:tcW w:w="0" w:type="auto"/>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0" w:type="auto"/>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全自动</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机场</w:t>
            </w:r>
          </w:p>
        </w:tc>
        <w:tc>
          <w:tcPr>
            <w:tcW w:w="0" w:type="auto"/>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机场本体</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外观尺寸</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0" w:type="auto"/>
            <w:vAlign w:val="center"/>
          </w:tcPr>
          <w:p>
            <w:pPr>
              <w:spacing w:line="276" w:lineRule="auto"/>
              <w:rPr>
                <w:rFonts w:hint="eastAsia" w:ascii="仿宋" w:hAnsi="仿宋" w:eastAsia="仿宋" w:cs="仿宋"/>
                <w:bCs/>
                <w:kern w:val="0"/>
                <w:sz w:val="24"/>
                <w:szCs w:val="24"/>
              </w:rPr>
            </w:pPr>
            <w:r>
              <w:rPr>
                <w:rFonts w:hint="eastAsia" w:ascii="仿宋" w:hAnsi="仿宋" w:eastAsia="仿宋" w:cs="仿宋"/>
                <w:bCs/>
                <w:kern w:val="0"/>
                <w:sz w:val="24"/>
                <w:szCs w:val="24"/>
                <w:shd w:val="clear" w:color="auto" w:fill="FFFFFF"/>
              </w:rPr>
              <w:t>≤1.0×1.0×1.5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全自动机场重量</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kg</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防护等级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UPS供电时间</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h</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全自动机场待机功率</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工作温度</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-20 ~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自动更换电池功能</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（1）支持自动更换无人机电池</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（2）自动更换电池时长≤2min（仅换电池的时间）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自动更换吊舱功能</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min</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（1）支持自动更换无人机吊舱</w:t>
            </w:r>
          </w:p>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（2）自动更换吊舱时长≤2min（仅换吊舱的时间）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 xml:space="preserve">最多支持自动更换电池组数 </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组</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最多支持自动更换吊舱组数</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组</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通讯系统</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应具备4G/5G全频段及微波图传通讯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无人机与机场设备测控及影像数据全向传输距离（无遮挡无干扰）</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km</w:t>
            </w:r>
          </w:p>
        </w:tc>
        <w:tc>
          <w:tcPr>
            <w:tcW w:w="0" w:type="auto"/>
            <w:vAlign w:val="center"/>
          </w:tcPr>
          <w:p>
            <w:pPr>
              <w:pStyle w:val="209"/>
              <w:spacing w:line="276"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w:t>
            </w:r>
          </w:p>
          <w:p>
            <w:pPr>
              <w:spacing w:line="276"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定位方式</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支持北斗定位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气象监测功能</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支持包含风速、环境温湿度、降雨参数监测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紧急备降</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pStyle w:val="209"/>
              <w:spacing w:line="276" w:lineRule="auto"/>
              <w:jc w:val="both"/>
              <w:rPr>
                <w:rFonts w:hint="eastAsia" w:ascii="仿宋" w:hAnsi="仿宋" w:eastAsia="仿宋" w:cs="仿宋"/>
                <w:sz w:val="24"/>
                <w:szCs w:val="24"/>
              </w:rPr>
            </w:pPr>
            <w:r>
              <w:rPr>
                <w:rFonts w:hint="eastAsia" w:ascii="仿宋" w:hAnsi="仿宋" w:eastAsia="仿宋" w:cs="仿宋"/>
                <w:sz w:val="24"/>
                <w:szCs w:val="24"/>
                <w:lang w:eastAsia="zh-CN"/>
              </w:rPr>
              <w:t>降落回收系统应具备紧急备降功能，无人机降落失败时，自动降落在围栏区域内预设的备降点并具备复降功能。紧急备降功能误差应≤1.5m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电磁兼容性等级</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b/>
                <w:bCs/>
                <w:kern w:val="0"/>
                <w:sz w:val="24"/>
                <w:szCs w:val="24"/>
              </w:rPr>
              <w:t>*</w:t>
            </w:r>
            <w:r>
              <w:rPr>
                <w:rFonts w:hint="eastAsia" w:ascii="仿宋" w:hAnsi="仿宋" w:eastAsia="仿宋" w:cs="仿宋"/>
                <w:kern w:val="0"/>
                <w:sz w:val="24"/>
                <w:szCs w:val="24"/>
              </w:rPr>
              <w:t>集群化作业</w:t>
            </w:r>
          </w:p>
        </w:tc>
        <w:tc>
          <w:tcPr>
            <w:tcW w:w="0" w:type="auto"/>
            <w:vAlign w:val="center"/>
          </w:tcPr>
          <w:p>
            <w:pPr>
              <w:spacing w:line="276"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0" w:type="auto"/>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支持多机同步作业、蛙跳、对飞等集群化作业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restart"/>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多机场集中与分布式集群作业模式</w:t>
            </w: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单机场应具备独立作业能力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系统应支持任务集中分发和多机场协同完成作业能力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系统应支持单机多任务、多机多任务数据采集作业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restart"/>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航线管理</w:t>
            </w: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支持飞行过程中动态变更航线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可对任意航点排列组合并完成编辑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w:t>
            </w: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航点编辑后，应能自动生成效率最有且流畅的航线轨迹规划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Merge w:val="continue"/>
            <w:vAlign w:val="center"/>
          </w:tcPr>
          <w:p>
            <w:pPr>
              <w:rPr>
                <w:rFonts w:hint="eastAsia" w:ascii="仿宋" w:hAnsi="仿宋" w:eastAsia="仿宋" w:cs="仿宋"/>
                <w:kern w:val="0"/>
                <w:sz w:val="24"/>
                <w:szCs w:val="24"/>
              </w:rPr>
            </w:pPr>
          </w:p>
        </w:tc>
        <w:tc>
          <w:tcPr>
            <w:tcW w:w="0" w:type="auto"/>
            <w:vAlign w:val="center"/>
          </w:tcPr>
          <w:p>
            <w:pPr>
              <w:jc w:val="center"/>
              <w:rPr>
                <w:rFonts w:hint="eastAsia" w:ascii="仿宋" w:hAnsi="仿宋" w:eastAsia="仿宋" w:cs="仿宋"/>
                <w:kern w:val="0"/>
                <w:sz w:val="24"/>
                <w:szCs w:val="24"/>
              </w:rPr>
            </w:pPr>
          </w:p>
        </w:tc>
        <w:tc>
          <w:tcPr>
            <w:tcW w:w="0" w:type="auto"/>
            <w:vAlign w:val="center"/>
          </w:tcPr>
          <w:p>
            <w:pPr>
              <w:rPr>
                <w:rFonts w:hint="eastAsia" w:ascii="仿宋" w:hAnsi="仿宋" w:eastAsia="仿宋" w:cs="仿宋"/>
                <w:kern w:val="0"/>
                <w:sz w:val="24"/>
                <w:szCs w:val="24"/>
              </w:rPr>
            </w:pPr>
            <w:r>
              <w:rPr>
                <w:rFonts w:hint="eastAsia" w:ascii="仿宋" w:hAnsi="仿宋" w:eastAsia="仿宋" w:cs="仿宋"/>
                <w:color w:val="000000"/>
                <w:kern w:val="0"/>
                <w:sz w:val="24"/>
                <w:szCs w:val="24"/>
              </w:rPr>
              <w:t>任意航线应均可精准复飞</w:t>
            </w:r>
          </w:p>
        </w:tc>
      </w:tr>
    </w:tbl>
    <w:p>
      <w:pPr>
        <w:outlineLvl w:val="9"/>
        <w:rPr>
          <w:rFonts w:hint="eastAsia" w:ascii="仿宋" w:hAnsi="仿宋" w:eastAsia="仿宋" w:cs="仿宋"/>
          <w:sz w:val="24"/>
          <w:szCs w:val="24"/>
        </w:rPr>
      </w:pP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多旋翼无人机挂载双光吊舱参数指标响应表</w:t>
      </w:r>
    </w:p>
    <w:tbl>
      <w:tblPr>
        <w:tblStyle w:val="3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365"/>
        <w:gridCol w:w="668"/>
        <w:gridCol w:w="5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6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5857"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尺寸（长×宽×高）</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mm</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≤85*85*85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Cs/>
                <w:sz w:val="24"/>
                <w:szCs w:val="24"/>
              </w:rPr>
              <w:t>重量</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g</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Cs/>
                <w:sz w:val="24"/>
                <w:szCs w:val="24"/>
              </w:rPr>
              <w:t>可见光相机影像分辨率</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像素</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≥2000万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可见光相机视频分辨率</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可见光相机数字变焦</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倍</w:t>
            </w:r>
          </w:p>
        </w:tc>
        <w:tc>
          <w:tcPr>
            <w:tcW w:w="5857" w:type="dxa"/>
            <w:shd w:val="clear" w:color="auto" w:fill="auto"/>
            <w:vAlign w:val="center"/>
          </w:tcPr>
          <w:p>
            <w:pPr>
              <w:pStyle w:val="209"/>
              <w:rPr>
                <w:rFonts w:hint="eastAsia" w:ascii="仿宋" w:hAnsi="仿宋" w:eastAsia="仿宋" w:cs="仿宋"/>
                <w:sz w:val="24"/>
                <w:szCs w:val="24"/>
              </w:rPr>
            </w:pPr>
            <w:r>
              <w:rPr>
                <w:rFonts w:hint="eastAsia" w:ascii="仿宋" w:hAnsi="仿宋" w:eastAsia="仿宋" w:cs="仿宋"/>
                <w:bCs/>
                <w:kern w:val="2"/>
                <w:sz w:val="24"/>
                <w:szCs w:val="24"/>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热成像相机探测器类型</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w:t>
            </w:r>
          </w:p>
        </w:tc>
        <w:tc>
          <w:tcPr>
            <w:tcW w:w="5857" w:type="dxa"/>
            <w:shd w:val="clear" w:color="auto" w:fill="auto"/>
            <w:vAlign w:val="center"/>
          </w:tcPr>
          <w:p>
            <w:pPr>
              <w:pStyle w:val="209"/>
              <w:rPr>
                <w:rFonts w:hint="eastAsia" w:ascii="仿宋" w:hAnsi="仿宋" w:eastAsia="仿宋" w:cs="仿宋"/>
                <w:sz w:val="24"/>
                <w:szCs w:val="24"/>
              </w:rPr>
            </w:pPr>
            <w:r>
              <w:rPr>
                <w:rFonts w:hint="eastAsia" w:ascii="仿宋" w:hAnsi="仿宋" w:eastAsia="仿宋" w:cs="仿宋"/>
                <w:bCs/>
                <w:kern w:val="2"/>
                <w:sz w:val="24"/>
                <w:szCs w:val="24"/>
                <w:lang w:eastAsia="zh-CN"/>
              </w:rPr>
              <w:t>非制冷氧化钒微测辐射热计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热成像相机成像像素</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像素</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≥640x480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热成像相机数字变焦</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倍</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测温范围</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-20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热成像相机像间距</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μm</w:t>
            </w:r>
          </w:p>
        </w:tc>
        <w:tc>
          <w:tcPr>
            <w:tcW w:w="5857"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≥12μm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2365" w:type="dxa"/>
            <w:shd w:val="clear" w:color="auto" w:fill="auto"/>
            <w:vAlign w:val="center"/>
          </w:tcPr>
          <w:p>
            <w:pPr>
              <w:rPr>
                <w:rFonts w:hint="eastAsia" w:ascii="仿宋" w:hAnsi="仿宋" w:eastAsia="仿宋" w:cs="仿宋"/>
                <w:sz w:val="24"/>
                <w:szCs w:val="24"/>
              </w:rPr>
            </w:pPr>
            <w:r>
              <w:rPr>
                <w:rFonts w:hint="eastAsia" w:ascii="仿宋" w:hAnsi="仿宋" w:eastAsia="仿宋" w:cs="仿宋"/>
                <w:bCs/>
                <w:sz w:val="24"/>
                <w:szCs w:val="24"/>
              </w:rPr>
              <w:t>测温精度</w:t>
            </w:r>
          </w:p>
        </w:tc>
        <w:tc>
          <w:tcPr>
            <w:tcW w:w="668"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w:t>
            </w:r>
          </w:p>
        </w:tc>
        <w:tc>
          <w:tcPr>
            <w:tcW w:w="5857"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≤±2℃或测量值乘以±2%（取绝对值大者）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2365"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
                <w:bCs/>
                <w:sz w:val="24"/>
                <w:szCs w:val="24"/>
              </w:rPr>
              <w:t>▲</w:t>
            </w:r>
            <w:r>
              <w:rPr>
                <w:rFonts w:hint="eastAsia" w:ascii="仿宋" w:hAnsi="仿宋" w:eastAsia="仿宋" w:cs="仿宋"/>
                <w:bCs/>
                <w:sz w:val="24"/>
                <w:szCs w:val="24"/>
              </w:rPr>
              <w:t>云台角度抖动量</w:t>
            </w:r>
          </w:p>
        </w:tc>
        <w:tc>
          <w:tcPr>
            <w:tcW w:w="668" w:type="dxa"/>
            <w:shd w:val="clear" w:color="auto" w:fill="auto"/>
            <w:vAlign w:val="center"/>
          </w:tcPr>
          <w:p>
            <w:pPr>
              <w:jc w:val="center"/>
              <w:rPr>
                <w:rFonts w:hint="eastAsia" w:ascii="仿宋" w:hAnsi="仿宋" w:eastAsia="仿宋" w:cs="仿宋"/>
                <w:bCs/>
                <w:sz w:val="24"/>
                <w:szCs w:val="24"/>
                <w:highlight w:val="yellow"/>
              </w:rPr>
            </w:pPr>
          </w:p>
        </w:tc>
        <w:tc>
          <w:tcPr>
            <w:tcW w:w="5857"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2365"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云台可控转动范围</w:t>
            </w:r>
          </w:p>
        </w:tc>
        <w:tc>
          <w:tcPr>
            <w:tcW w:w="668" w:type="dxa"/>
            <w:shd w:val="clear" w:color="auto" w:fill="auto"/>
            <w:vAlign w:val="center"/>
          </w:tcPr>
          <w:p>
            <w:pPr>
              <w:jc w:val="center"/>
              <w:rPr>
                <w:rFonts w:hint="eastAsia" w:ascii="仿宋" w:hAnsi="仿宋" w:eastAsia="仿宋" w:cs="仿宋"/>
                <w:bCs/>
                <w:sz w:val="24"/>
                <w:szCs w:val="24"/>
              </w:rPr>
            </w:pPr>
          </w:p>
        </w:tc>
        <w:tc>
          <w:tcPr>
            <w:tcW w:w="5857"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俯仰-90°至+30°，水平-180°至+180°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2365"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智能协作机制</w:t>
            </w:r>
          </w:p>
        </w:tc>
        <w:tc>
          <w:tcPr>
            <w:tcW w:w="668" w:type="dxa"/>
            <w:shd w:val="clear" w:color="auto" w:fill="auto"/>
            <w:vAlign w:val="center"/>
          </w:tcPr>
          <w:p>
            <w:pPr>
              <w:jc w:val="center"/>
              <w:rPr>
                <w:rFonts w:hint="eastAsia" w:ascii="仿宋" w:hAnsi="仿宋" w:eastAsia="仿宋" w:cs="仿宋"/>
                <w:bCs/>
                <w:sz w:val="24"/>
                <w:szCs w:val="24"/>
              </w:rPr>
            </w:pPr>
          </w:p>
        </w:tc>
        <w:tc>
          <w:tcPr>
            <w:tcW w:w="5857" w:type="dxa"/>
            <w:shd w:val="clear" w:color="auto" w:fill="auto"/>
            <w:vAlign w:val="center"/>
          </w:tcPr>
          <w:p>
            <w:pPr>
              <w:rPr>
                <w:rFonts w:hint="eastAsia" w:ascii="仿宋" w:hAnsi="仿宋" w:eastAsia="仿宋" w:cs="仿宋"/>
                <w:bCs/>
                <w:sz w:val="24"/>
                <w:szCs w:val="24"/>
              </w:rPr>
            </w:pPr>
            <w:r>
              <w:rPr>
                <w:rFonts w:hint="eastAsia" w:ascii="仿宋" w:hAnsi="仿宋" w:eastAsia="仿宋" w:cs="仿宋"/>
                <w:bCs/>
                <w:sz w:val="24"/>
                <w:szCs w:val="24"/>
              </w:rPr>
              <w:t>应支持与端测AI系统控制联动，对端侧AI反馈信息及时处理，处理响应速度应≤1S</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4"/>
        <w:bidi w:val="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5.3数字化管控大厅技术参数指标响应表</w:t>
      </w: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数字化管控系统</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98"/>
        <w:gridCol w:w="143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序号</w:t>
            </w:r>
          </w:p>
        </w:tc>
        <w:tc>
          <w:tcPr>
            <w:tcW w:w="798" w:type="dxa"/>
            <w:noWrap/>
            <w:vAlign w:val="center"/>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系统</w:t>
            </w:r>
          </w:p>
        </w:tc>
        <w:tc>
          <w:tcPr>
            <w:tcW w:w="1431" w:type="dxa"/>
            <w:noWrap/>
            <w:vAlign w:val="center"/>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功能模块</w:t>
            </w:r>
          </w:p>
        </w:tc>
        <w:tc>
          <w:tcPr>
            <w:tcW w:w="6234" w:type="dxa"/>
            <w:noWrap/>
            <w:vAlign w:val="center"/>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798"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数字化管控平台</w:t>
            </w: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数据自主采集与模型重建</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（1）支持自主采集可见光、热红外图像及视频数据并自动回传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（2）支持正射及倾斜摄影数据自动回传并进行二维、三维重建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（3）支持高精度激光点云数据采集并三维建模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地图标绘与图层管理</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（1）支持基于点、线、面等几何形状的地图标绘功能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（2）标绘对象支持分类管理，支持自定义类别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（3）支持图层管理，可按类别显示不同标绘对象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7</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三维地图导航系统</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（1）平台支持倾斜摄影模型载入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8</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（2）支持三维模拟作业飞行与参数校正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9</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（3）支持基于三维模型的自主飞行及设备实时显示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10</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（4）通过设备、业务关联并筛选高清照片、红外照片、目标识别结果、缺陷检测结果等数据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11</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动态航线规划</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（1）支持二维/三维设置航点及拍摄动作的编排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12</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（2）航线手动/自动规划航线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13</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（3）支持针对点、线、面对象的自动巡检航线规划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14</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（4）支持正射、倾斜等测绘拍摄航线规划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15</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（5）支持倾斜摄影智能摆拍功能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16</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（6）支持协调转弯功能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17</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（7）支持智能仿地飞行功能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18</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（8）支持动态规划航线并实时显示在三维地图中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19</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自动化交互控制系统</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（1）支持一键下发任务并自动执行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20</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（2）支持一键自动换电池、吊舱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21</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（3）支持一键自动返航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22</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（4）支持全自动机场和无人机画面实时回传显示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23</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（5）支持远程控制无人机，包括飞机位置移动、姿态调整、云台调整、拍摄及录像、镜头变焦与对焦、曝光参数调整等功能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24</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（6）支持远程控制无人机暂停、继续、停止执行任务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25</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智能调度与任务模式</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（1）支持多机多机场同时作业的集群巡检模式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26</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（2）支持计算最佳巡检航线路径和巡检机场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27</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（3）支持单机连续执行多任务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28</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（4）支持多机同时执行多任务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29</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（5）支持多机之间对飞任务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30</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（6）支持单机与多机场之间的连续蛙跳任务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31</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（7）支持单机异地起飞降落模式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32</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（8）支持定时起飞作业模式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33</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（9）支持无人在突发状况下的人工接管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34</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（10）支持无人机故障或异常时自动返航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35</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四维数据管理</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（1）支持三维模型、业务数据根据时间交互回放与立体展示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36</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（2）支持任务数据远程统一管理与打包下载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37</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IOT 设备监控与实时交互</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（1）支持无人机状态实时显示：航向、经纬度、高度、电机状态、RTK 差分定位状态、通讯状态、电池电量等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38</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（2）支持全自动机场状态实时显示：朝向、经纬度、通讯状态、电池充放电状态、风速风向、温湿度状态等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39</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（3）支持操控无人机在全自动机场内自动更换电池时长≤2min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40</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（4）支持操控无人机在全自动机场内自动更换吊舱时长≤2min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41</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（5）支持远程控制设备 OTA 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42</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（6）支持第三方 IOT 设备接入及动态交互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43</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（7）支持公开、多端访问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44</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（8）支持不同角色用户的内容、操作界面的区别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45</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（9）支持多角色、多用户并发执行巡检任务处置及无人机操控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46</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（10）支持在手机、平板上开展任务处置及无人机操控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47</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数据融合与异常报警</w:t>
            </w: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（1）支持三维模型中的缺陷和隐患图片对比展示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48</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（2）支持巡检报告报告自动生成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59"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49</w:t>
            </w:r>
          </w:p>
        </w:tc>
        <w:tc>
          <w:tcPr>
            <w:tcW w:w="798" w:type="dxa"/>
            <w:vMerge w:val="continue"/>
            <w:vAlign w:val="center"/>
          </w:tcPr>
          <w:p>
            <w:pPr>
              <w:pStyle w:val="209"/>
              <w:jc w:val="center"/>
              <w:rPr>
                <w:rFonts w:hint="eastAsia" w:ascii="仿宋" w:hAnsi="仿宋" w:eastAsia="仿宋" w:cs="仿宋"/>
                <w:bCs/>
                <w:kern w:val="2"/>
                <w:sz w:val="24"/>
                <w:szCs w:val="24"/>
                <w:lang w:eastAsia="zh-CN"/>
              </w:rPr>
            </w:pPr>
          </w:p>
        </w:tc>
        <w:tc>
          <w:tcPr>
            <w:tcW w:w="1431" w:type="dxa"/>
            <w:vMerge w:val="continue"/>
            <w:vAlign w:val="center"/>
          </w:tcPr>
          <w:p>
            <w:pPr>
              <w:pStyle w:val="209"/>
              <w:jc w:val="center"/>
              <w:rPr>
                <w:rFonts w:hint="eastAsia" w:ascii="仿宋" w:hAnsi="仿宋" w:eastAsia="仿宋" w:cs="仿宋"/>
                <w:bCs/>
                <w:kern w:val="2"/>
                <w:sz w:val="24"/>
                <w:szCs w:val="24"/>
                <w:lang w:eastAsia="zh-CN"/>
              </w:rPr>
            </w:pPr>
          </w:p>
        </w:tc>
        <w:tc>
          <w:tcPr>
            <w:tcW w:w="6234" w:type="dxa"/>
            <w:noWrap/>
            <w:vAlign w:val="center"/>
          </w:tcPr>
          <w:p>
            <w:pPr>
              <w:pStyle w:val="209"/>
              <w:jc w:val="both"/>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（3）支持异常信息和缺陷报警</w:t>
            </w:r>
          </w:p>
        </w:tc>
      </w:tr>
    </w:tbl>
    <w:p>
      <w:pPr>
        <w:outlineLvl w:val="9"/>
        <w:rPr>
          <w:rFonts w:hint="eastAsia" w:ascii="仿宋" w:hAnsi="仿宋" w:eastAsia="仿宋" w:cs="仿宋"/>
          <w:sz w:val="24"/>
          <w:szCs w:val="24"/>
        </w:rPr>
      </w:pPr>
    </w:p>
    <w:p>
      <w:pPr>
        <w:numPr>
          <w:ilvl w:val="0"/>
          <w:numId w:val="11"/>
        </w:numPr>
        <w:spacing w:before="0" w:after="0"/>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数字化管控大厅建设</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00"/>
        <w:gridCol w:w="993"/>
        <w:gridCol w:w="4217"/>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序号</w:t>
            </w:r>
          </w:p>
        </w:tc>
        <w:tc>
          <w:tcPr>
            <w:tcW w:w="1000" w:type="dxa"/>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系统</w:t>
            </w:r>
          </w:p>
        </w:tc>
        <w:tc>
          <w:tcPr>
            <w:tcW w:w="993" w:type="dxa"/>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模块</w:t>
            </w:r>
          </w:p>
        </w:tc>
        <w:tc>
          <w:tcPr>
            <w:tcW w:w="4217" w:type="dxa"/>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参数需求</w:t>
            </w:r>
          </w:p>
        </w:tc>
        <w:tc>
          <w:tcPr>
            <w:tcW w:w="0" w:type="auto"/>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数量</w:t>
            </w:r>
          </w:p>
        </w:tc>
        <w:tc>
          <w:tcPr>
            <w:tcW w:w="0" w:type="auto"/>
            <w:noWrap/>
          </w:tcPr>
          <w:p>
            <w:pPr>
              <w:pStyle w:val="209"/>
              <w:jc w:val="center"/>
              <w:rPr>
                <w:rFonts w:hint="eastAsia" w:ascii="仿宋" w:hAnsi="仿宋" w:eastAsia="仿宋" w:cs="仿宋"/>
                <w:b/>
                <w:kern w:val="2"/>
                <w:sz w:val="24"/>
                <w:szCs w:val="24"/>
                <w:lang w:eastAsia="zh-CN"/>
              </w:rPr>
            </w:pPr>
            <w:r>
              <w:rPr>
                <w:rFonts w:hint="eastAsia" w:ascii="仿宋" w:hAnsi="仿宋" w:eastAsia="仿宋" w:cs="仿宋"/>
                <w:b/>
                <w:kern w:val="2"/>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1000" w:type="dxa"/>
            <w:vMerge w:val="restart"/>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数字化管控大厅</w:t>
            </w: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拼接屏</w:t>
            </w:r>
          </w:p>
        </w:tc>
        <w:tc>
          <w:tcPr>
            <w:tcW w:w="4217" w:type="dxa"/>
            <w:noWrap/>
            <w:vAlign w:val="center"/>
          </w:tcPr>
          <w:p>
            <w:pPr>
              <w:pStyle w:val="209"/>
              <w:numPr>
                <w:ilvl w:val="0"/>
                <w:numId w:val="12"/>
              </w:numPr>
              <w:ind w:left="153" w:firstLine="0"/>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面板尺寸：55寸；</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2.分辨率：1920×1080；</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3.亮度：≥500cd/㎡；</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4.物理拼缝：≤3.5mm（双边）;</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5.背光类型：LED；</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6.光源寿命：≥50000小时</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7.对比度：≥4000:1；</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8.视角：89/89/89/89 (Typ.)(CR≥10)</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9.色域：72%</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 xml:space="preserve">10.信号输入接口：DVI/HDMI/USB </w:t>
            </w:r>
          </w:p>
          <w:p>
            <w:pPr>
              <w:pStyle w:val="209"/>
              <w:ind w:left="153"/>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含安装支架</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12</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投屏主控电脑</w:t>
            </w:r>
          </w:p>
        </w:tc>
        <w:tc>
          <w:tcPr>
            <w:tcW w:w="4217" w:type="dxa"/>
            <w:noWrap/>
            <w:vAlign w:val="center"/>
          </w:tcPr>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CPU：i7-13700K及以上</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内存：DDR4 16G 3200或者更高</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显卡：RTX4060其他配件</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主机显示器：27英寸 21:9屏幕比例</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3</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视频矩阵</w:t>
            </w:r>
          </w:p>
        </w:tc>
        <w:tc>
          <w:tcPr>
            <w:tcW w:w="4217" w:type="dxa"/>
            <w:noWrap/>
            <w:vAlign w:val="center"/>
          </w:tcPr>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12路HDMI输入，12路HDMI输出</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1、单台设备最大为28个输入接口，32个输出接口；</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2、最大支持创建 8 个独立的屏幕。</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3、输出接口同步拼接。</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4、支持单卡单接口配屏和跨卡多接口配屏。</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5、支持对显示单元的拼接缝进行边缘补偿。</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6、支持随路音频输出。支持大屏音频联动管理功能，可将大屏中的一路音频根据业务应用需要进行联动输出，方便用户同步感知音频信息。</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7、多图层显示，单接口最大支持 2 个图层。</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8、高清动态滚动字幕。支持滚动文字显示功能，用户可自定义滚动文字的内容、方向、速度和样式，可进行标语口号、通知消息发布。字幕支持多语言多字体显示。</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9、自定义用户场景：256 个用户自定义场景，支持场景无缝切换； 11、场景自动定时轮巡：可以选择每个场景是否参与自动轮巡，方便监控、展览展示领域应用。</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10、支持单屏独立设置 OSD。</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11、支持输入源截取和截取源重命名。对输入源画面进行任意截取，形成一个新的输入源，不影响原输入源的使用。</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12、支持输入源 HDCP 自动解码和小数帧频。</w:t>
            </w:r>
          </w:p>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13、输入源分组。支持对输入源进行分组管理。</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14、支持 3.5mm 独立音频输出。</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15、采用 Web 端控制，操作实时响应，采用 1000M/100M 自适应网络接口，支持多用户同时访</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问。</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16、Web 控制界面可实现输入源预监和输出回显。</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17、Web 端固件升级。</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18、支持中控控制。</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19、支持设备自检。</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20、支持系统自动监测和告警。</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服务器</w:t>
            </w:r>
          </w:p>
        </w:tc>
        <w:tc>
          <w:tcPr>
            <w:tcW w:w="4217" w:type="dxa"/>
            <w:noWrap/>
            <w:vAlign w:val="center"/>
          </w:tcPr>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CPU：CPU Intel Xeon 5318Y * 2</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内存：≥128GB</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≥480G[480G_sata_ssd]*1</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≥2400G[8T_sata_hdd]*3</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2G Raid5</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网口：10GE*2（独立万兆网卡）</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 xml:space="preserve"> 1300W * 电源</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2</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5</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数字音频处理器</w:t>
            </w:r>
          </w:p>
        </w:tc>
        <w:tc>
          <w:tcPr>
            <w:tcW w:w="4217" w:type="dxa"/>
            <w:noWrap/>
            <w:vAlign w:val="center"/>
          </w:tcPr>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1.支持8路平衡式话筒\线路输入，8路平衡式线路输出；</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2.支持自定义用户操作界面，支持在单个界面上对多台设备同时在线管理，且不仅限于同一型号；</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3.输入通道支持扩展器、压缩器、自动增益、闪避器、噪声门、噪声增益补偿、延时器等信号处理功能；输出通道支持高低通、延时器、限幅器等处理功能；</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 xml:space="preserve">4.支持AEC(回声消除)、ANS(噪声抑制)、AutoMixer(自动混音)、AGC(自动增益控制)、AFC（自动反馈）、摄像跟踪、幻象供电等功能； </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5.支持输入输出所有通道电平同时回显查看功能；</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6.支持双向RS232、RS485和UDP协议中控控制功能，同时支持RS232、RS485和UDP等接口控制第三方设备；</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7.支持IOS、Windows、Android、鸿蒙等系统控制终端；</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8.支持局域网跨网段、跨VLAN 控制设备；</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9.支持16组预设，每个预设独立工作；</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 xml:space="preserve">10.支持内置USB声卡，支持音乐播放、录制和软视频会议等功能； </w:t>
            </w:r>
            <w:r>
              <w:rPr>
                <w:rFonts w:hint="eastAsia" w:ascii="仿宋" w:hAnsi="仿宋" w:eastAsia="仿宋" w:cs="仿宋"/>
                <w:bCs/>
                <w:kern w:val="2"/>
                <w:sz w:val="24"/>
                <w:szCs w:val="24"/>
                <w:lang w:eastAsia="zh-CN"/>
              </w:rPr>
              <w:br w:type="textWrapping"/>
            </w:r>
            <w:r>
              <w:rPr>
                <w:rFonts w:hint="eastAsia" w:ascii="仿宋" w:hAnsi="仿宋" w:eastAsia="仿宋" w:cs="仿宋"/>
                <w:bCs/>
                <w:kern w:val="2"/>
                <w:sz w:val="24"/>
                <w:szCs w:val="24"/>
                <w:lang w:eastAsia="zh-CN"/>
              </w:rPr>
              <w:t>11.输入动态范围：113dB、输出动态范围：115dB、频率响应范围：20～20kHz (±0.2dB)、总谐波失真(THD+N) ：0.003% @1kHz，+4dBu、采样率：48KHz；</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6</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机柜</w:t>
            </w:r>
          </w:p>
        </w:tc>
        <w:tc>
          <w:tcPr>
            <w:tcW w:w="4217" w:type="dxa"/>
            <w:noWrap/>
            <w:vAlign w:val="center"/>
          </w:tcPr>
          <w:p>
            <w:pPr>
              <w:pStyle w:val="209"/>
              <w:ind w:firstLine="960" w:firstLineChars="400"/>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42U服务器机柜</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7</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交换机</w:t>
            </w:r>
          </w:p>
        </w:tc>
        <w:tc>
          <w:tcPr>
            <w:tcW w:w="4217" w:type="dxa"/>
            <w:noWrap/>
            <w:vAlign w:val="center"/>
          </w:tcPr>
          <w:p>
            <w:pPr>
              <w:pStyle w:val="209"/>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 xml:space="preserve">三层接入交换机，24个10/100/1000M自适应电口，4个1G/10G SFP+光口（带光模块） </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8</w:t>
            </w:r>
          </w:p>
        </w:tc>
        <w:tc>
          <w:tcPr>
            <w:tcW w:w="1000" w:type="dxa"/>
            <w:vMerge w:val="continue"/>
            <w:noWrap/>
            <w:vAlign w:val="center"/>
          </w:tcPr>
          <w:p>
            <w:pPr>
              <w:pStyle w:val="209"/>
              <w:jc w:val="center"/>
              <w:rPr>
                <w:rFonts w:hint="eastAsia" w:ascii="仿宋" w:hAnsi="仿宋" w:eastAsia="仿宋" w:cs="仿宋"/>
                <w:bCs/>
                <w:kern w:val="2"/>
                <w:sz w:val="24"/>
                <w:szCs w:val="24"/>
                <w:lang w:eastAsia="zh-CN"/>
              </w:rPr>
            </w:pPr>
          </w:p>
        </w:tc>
        <w:tc>
          <w:tcPr>
            <w:tcW w:w="993" w:type="dxa"/>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安装和辅材</w:t>
            </w:r>
          </w:p>
        </w:tc>
        <w:tc>
          <w:tcPr>
            <w:tcW w:w="4217" w:type="dxa"/>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安装调试和配套线材等</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1</w:t>
            </w:r>
          </w:p>
        </w:tc>
        <w:tc>
          <w:tcPr>
            <w:tcW w:w="0" w:type="auto"/>
            <w:noWrap/>
            <w:vAlign w:val="center"/>
          </w:tcPr>
          <w:p>
            <w:pPr>
              <w:pStyle w:val="209"/>
              <w:jc w:val="center"/>
              <w:rPr>
                <w:rFonts w:hint="eastAsia" w:ascii="仿宋" w:hAnsi="仿宋" w:eastAsia="仿宋" w:cs="仿宋"/>
                <w:bCs/>
                <w:kern w:val="2"/>
                <w:sz w:val="24"/>
                <w:szCs w:val="24"/>
                <w:lang w:eastAsia="zh-CN"/>
              </w:rPr>
            </w:pPr>
            <w:r>
              <w:rPr>
                <w:rFonts w:hint="eastAsia" w:ascii="仿宋" w:hAnsi="仿宋" w:eastAsia="仿宋" w:cs="仿宋"/>
                <w:bCs/>
                <w:kern w:val="2"/>
                <w:sz w:val="24"/>
                <w:szCs w:val="24"/>
                <w:lang w:eastAsia="zh-CN"/>
              </w:rPr>
              <w:t>项</w:t>
            </w:r>
          </w:p>
        </w:tc>
      </w:tr>
    </w:tbl>
    <w:p>
      <w:pPr>
        <w:outlineLvl w:val="9"/>
        <w:rPr>
          <w:rFonts w:hint="eastAsia" w:ascii="仿宋" w:hAnsi="仿宋" w:eastAsia="仿宋" w:cs="仿宋"/>
        </w:rPr>
      </w:pPr>
    </w:p>
    <w:p>
      <w:pPr>
        <w:pStyle w:val="3"/>
        <w:bidi w:val="0"/>
        <w:rPr>
          <w:rFonts w:hint="eastAsia" w:ascii="仿宋" w:hAnsi="仿宋" w:eastAsia="仿宋" w:cs="仿宋"/>
          <w:lang w:val="en-US" w:eastAsia="zh-CN"/>
        </w:rPr>
      </w:pPr>
      <w:bookmarkStart w:id="161" w:name="_Toc28351"/>
      <w:r>
        <w:rPr>
          <w:rFonts w:hint="eastAsia" w:ascii="仿宋" w:hAnsi="仿宋" w:eastAsia="仿宋" w:cs="仿宋"/>
          <w:lang w:val="en-US" w:eastAsia="zh-CN"/>
        </w:rPr>
        <w:t>6.技术培训</w:t>
      </w:r>
      <w:bookmarkEnd w:id="160"/>
      <w:bookmarkEnd w:id="16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供方应提供技术培训工作，并结合成套设备安装、调试、试运行直至最终验收等各阶段，同步地对需方指定的被培训人员就有关设备使用操作、保养等方面进行现场技术培训，使受训人员能熟练独立操作。培训人数及培训时间由需方确定，供方配合完成并保证培训质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供方应根据上述要求在投标文件中提供详细的培训计划和内容，培训内容应包括但不限于：理论培训、现场操作、维护保养等，培训计划和内容应得到业主认可，培训应在设备交付后至需方所在地完成。被培训人员应支持独立进行多旋翼无人机固定机场巡检系统的现场操作和日常维护保养的能力。</w:t>
      </w:r>
    </w:p>
    <w:p>
      <w:pPr>
        <w:pStyle w:val="3"/>
        <w:bidi w:val="0"/>
        <w:rPr>
          <w:rFonts w:hint="eastAsia" w:ascii="仿宋" w:hAnsi="仿宋" w:eastAsia="仿宋" w:cs="仿宋"/>
          <w:lang w:val="en-US" w:eastAsia="zh-CN"/>
        </w:rPr>
      </w:pPr>
      <w:bookmarkStart w:id="162" w:name="_Toc113979815"/>
      <w:bookmarkStart w:id="163" w:name="_Toc25512"/>
      <w:r>
        <w:rPr>
          <w:rFonts w:hint="eastAsia" w:ascii="仿宋" w:hAnsi="仿宋" w:eastAsia="仿宋" w:cs="仿宋"/>
          <w:lang w:val="en-US" w:eastAsia="zh-CN"/>
        </w:rPr>
        <w:t>7.包装运输要求</w:t>
      </w:r>
      <w:bookmarkEnd w:id="162"/>
      <w:bookmarkEnd w:id="16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bookmarkStart w:id="164" w:name="OLE_LINK3"/>
      <w:r>
        <w:rPr>
          <w:rFonts w:hint="eastAsia" w:ascii="仿宋" w:hAnsi="仿宋" w:eastAsia="仿宋" w:cs="仿宋"/>
          <w:sz w:val="24"/>
          <w:szCs w:val="24"/>
          <w:lang w:val="en-US" w:eastAsia="zh-CN"/>
        </w:rPr>
        <w:t>7.1包装应牢固，美观和经济，结构合理，紧凑，防护可靠。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7.2设备在储运状态下，能承受运输和储存中所遇到的加速度、冲击、振动和淋雨，设备包装环境及包装箱内应清洁，干燥，无有害气体，无异物。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7.3设备包装后，其包装件重心尽量靠下且居中，必须予以支撑，垫平，卡紧，并加以固定。</w:t>
      </w:r>
    </w:p>
    <w:bookmarkEnd w:id="164"/>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供方负责设备的包装，包装箱必须密闭坚固，适于陆、空运输和整体吊装。有良好的防潮、防震、防锈和防野蛮装卸的保护措施，以确保货物安全运抵用户现场。运抵用户现场时，设备外部必须保持完好无损。货物由供需双方的人员共同开箱检查确认，供方承诺对其包装或其保护措施不妥引起的货物锈蚀、缺失和损坏负责。</w:t>
      </w:r>
    </w:p>
    <w:p>
      <w:pPr>
        <w:pStyle w:val="3"/>
        <w:bidi w:val="0"/>
        <w:rPr>
          <w:rFonts w:hint="eastAsia" w:ascii="仿宋" w:hAnsi="仿宋" w:eastAsia="仿宋" w:cs="仿宋"/>
          <w:lang w:val="en-US" w:eastAsia="zh-CN"/>
        </w:rPr>
      </w:pPr>
      <w:bookmarkStart w:id="165" w:name="_Toc113979816"/>
      <w:bookmarkStart w:id="166" w:name="_Toc5649"/>
      <w:r>
        <w:rPr>
          <w:rFonts w:hint="eastAsia" w:ascii="仿宋" w:hAnsi="仿宋" w:eastAsia="仿宋" w:cs="仿宋"/>
          <w:lang w:val="en-US" w:eastAsia="zh-CN"/>
        </w:rPr>
        <w:t>8.交货要求</w:t>
      </w:r>
      <w:bookmarkEnd w:id="165"/>
      <w:bookmarkEnd w:id="166"/>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供方在中标后应按照合同和采购需求中规定的到货时间和地点完成所有设备的到货及设备检验/检测工作，应随同设备提供出厂检验报告、产品质量合格证，结果必须符合验收标准的要求。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sz w:val="36"/>
          <w:szCs w:val="44"/>
          <w:lang w:val="en-US" w:eastAsia="zh-CN"/>
        </w:rPr>
      </w:pPr>
      <w:r>
        <w:rPr>
          <w:rFonts w:hint="eastAsia" w:ascii="仿宋" w:hAnsi="仿宋" w:eastAsia="仿宋" w:cs="仿宋"/>
          <w:sz w:val="24"/>
          <w:szCs w:val="24"/>
          <w:lang w:val="en-US" w:eastAsia="zh-CN"/>
        </w:rPr>
        <w:t>交货周期为合同签订后120天内，交货地点由需方指定。</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5"/>
        <w:szCs w:val="15"/>
      </w:rPr>
    </w:pPr>
    <w:r>
      <w:rPr>
        <w:rFonts w:hint="eastAsia" w:ascii="仿宋" w:hAnsi="仿宋" w:eastAsia="仿宋" w:cs="仿宋"/>
        <w:b/>
        <w:bCs/>
        <w:color w:val="auto"/>
        <w:spacing w:val="0"/>
        <w:sz w:val="21"/>
        <w:szCs w:val="21"/>
        <w:lang w:eastAsia="zh-CN"/>
      </w:rPr>
      <w:t>新疆信实工程招标咨询服务有限公司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18918"/>
    <w:multiLevelType w:val="singleLevel"/>
    <w:tmpl w:val="8E918918"/>
    <w:lvl w:ilvl="0" w:tentative="0">
      <w:start w:val="4"/>
      <w:numFmt w:val="chineseCounting"/>
      <w:suff w:val="space"/>
      <w:lvlText w:val="第%1章"/>
      <w:lvlJc w:val="left"/>
      <w:rPr>
        <w:rFonts w:hint="eastAsia"/>
      </w:rPr>
    </w:lvl>
  </w:abstractNum>
  <w:abstractNum w:abstractNumId="1">
    <w:nsid w:val="FEC1CC46"/>
    <w:multiLevelType w:val="singleLevel"/>
    <w:tmpl w:val="FEC1CC46"/>
    <w:lvl w:ilvl="0" w:tentative="0">
      <w:start w:val="7"/>
      <w:numFmt w:val="chineseCounting"/>
      <w:suff w:val="nothing"/>
      <w:lvlText w:val="%1、"/>
      <w:lvlJc w:val="left"/>
      <w:rPr>
        <w:rFonts w:hint="eastAsia"/>
      </w:rPr>
    </w:lvl>
  </w:abstractNum>
  <w:abstractNum w:abstractNumId="2">
    <w:nsid w:val="01E027C0"/>
    <w:multiLevelType w:val="multilevel"/>
    <w:tmpl w:val="01E027C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784D56"/>
    <w:multiLevelType w:val="singleLevel"/>
    <w:tmpl w:val="06784D56"/>
    <w:lvl w:ilvl="0" w:tentative="0">
      <w:start w:val="1"/>
      <w:numFmt w:val="upperLetter"/>
      <w:pStyle w:val="119"/>
      <w:lvlText w:val="附录%1."/>
      <w:lvlJc w:val="left"/>
      <w:pPr>
        <w:tabs>
          <w:tab w:val="left" w:pos="907"/>
        </w:tabs>
        <w:ind w:left="907" w:hanging="907"/>
      </w:pPr>
      <w:rPr>
        <w:rFonts w:hint="eastAsia"/>
      </w:rPr>
    </w:lvl>
  </w:abstractNum>
  <w:abstractNum w:abstractNumId="4">
    <w:nsid w:val="233906E8"/>
    <w:multiLevelType w:val="multilevel"/>
    <w:tmpl w:val="233906E8"/>
    <w:lvl w:ilvl="0" w:tentative="0">
      <w:start w:val="1"/>
      <w:numFmt w:val="decimal"/>
      <w:lvlText w:val="%1."/>
      <w:lvlJc w:val="left"/>
      <w:pPr>
        <w:ind w:left="504" w:hanging="360"/>
      </w:pPr>
      <w:rPr>
        <w:rFonts w:hint="default"/>
      </w:rPr>
    </w:lvl>
    <w:lvl w:ilvl="1" w:tentative="0">
      <w:start w:val="1"/>
      <w:numFmt w:val="lowerLetter"/>
      <w:lvlText w:val="%2)"/>
      <w:lvlJc w:val="left"/>
      <w:pPr>
        <w:ind w:left="1024" w:hanging="440"/>
      </w:pPr>
    </w:lvl>
    <w:lvl w:ilvl="2" w:tentative="0">
      <w:start w:val="1"/>
      <w:numFmt w:val="lowerRoman"/>
      <w:lvlText w:val="%3."/>
      <w:lvlJc w:val="right"/>
      <w:pPr>
        <w:ind w:left="1464" w:hanging="440"/>
      </w:pPr>
    </w:lvl>
    <w:lvl w:ilvl="3" w:tentative="0">
      <w:start w:val="1"/>
      <w:numFmt w:val="decimal"/>
      <w:lvlText w:val="%4."/>
      <w:lvlJc w:val="left"/>
      <w:pPr>
        <w:ind w:left="1904" w:hanging="440"/>
      </w:pPr>
    </w:lvl>
    <w:lvl w:ilvl="4" w:tentative="0">
      <w:start w:val="1"/>
      <w:numFmt w:val="lowerLetter"/>
      <w:lvlText w:val="%5)"/>
      <w:lvlJc w:val="left"/>
      <w:pPr>
        <w:ind w:left="2344" w:hanging="440"/>
      </w:pPr>
    </w:lvl>
    <w:lvl w:ilvl="5" w:tentative="0">
      <w:start w:val="1"/>
      <w:numFmt w:val="lowerRoman"/>
      <w:lvlText w:val="%6."/>
      <w:lvlJc w:val="right"/>
      <w:pPr>
        <w:ind w:left="2784" w:hanging="440"/>
      </w:pPr>
    </w:lvl>
    <w:lvl w:ilvl="6" w:tentative="0">
      <w:start w:val="1"/>
      <w:numFmt w:val="decimal"/>
      <w:lvlText w:val="%7."/>
      <w:lvlJc w:val="left"/>
      <w:pPr>
        <w:ind w:left="3224" w:hanging="440"/>
      </w:pPr>
    </w:lvl>
    <w:lvl w:ilvl="7" w:tentative="0">
      <w:start w:val="1"/>
      <w:numFmt w:val="lowerLetter"/>
      <w:lvlText w:val="%8)"/>
      <w:lvlJc w:val="left"/>
      <w:pPr>
        <w:ind w:left="3664" w:hanging="440"/>
      </w:pPr>
    </w:lvl>
    <w:lvl w:ilvl="8" w:tentative="0">
      <w:start w:val="1"/>
      <w:numFmt w:val="lowerRoman"/>
      <w:lvlText w:val="%9."/>
      <w:lvlJc w:val="right"/>
      <w:pPr>
        <w:ind w:left="4104" w:hanging="440"/>
      </w:pPr>
    </w:lvl>
  </w:abstractNum>
  <w:abstractNum w:abstractNumId="5">
    <w:nsid w:val="253E05EF"/>
    <w:multiLevelType w:val="multilevel"/>
    <w:tmpl w:val="253E05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A15682F"/>
    <w:multiLevelType w:val="singleLevel"/>
    <w:tmpl w:val="3A15682F"/>
    <w:lvl w:ilvl="0" w:tentative="0">
      <w:start w:val="0"/>
      <w:numFmt w:val="none"/>
      <w:lvlText w:val=""/>
      <w:lvlJc w:val="left"/>
      <w:pPr>
        <w:tabs>
          <w:tab w:val="left" w:pos="360"/>
        </w:tabs>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20C153B"/>
    <w:multiLevelType w:val="multilevel"/>
    <w:tmpl w:val="420C153B"/>
    <w:lvl w:ilvl="0" w:tentative="0">
      <w:start w:val="1"/>
      <w:numFmt w:val="decimal"/>
      <w:pStyle w:val="9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59"/>
      <w:lvlText w:val="%1.%2"/>
      <w:lvlJc w:val="left"/>
      <w:pPr>
        <w:tabs>
          <w:tab w:val="left" w:pos="1002"/>
        </w:tabs>
        <w:ind w:left="1002"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10">
    <w:nsid w:val="4C0C1BFB"/>
    <w:multiLevelType w:val="singleLevel"/>
    <w:tmpl w:val="4C0C1BFB"/>
    <w:lvl w:ilvl="0" w:tentative="0">
      <w:start w:val="1"/>
      <w:numFmt w:val="decimal"/>
      <w:pStyle w:val="124"/>
      <w:lvlText w:val="（%1）"/>
      <w:lvlJc w:val="left"/>
      <w:pPr>
        <w:tabs>
          <w:tab w:val="left" w:pos="810"/>
        </w:tabs>
        <w:ind w:left="810" w:hanging="810"/>
      </w:pPr>
      <w:rPr>
        <w:rFonts w:hint="eastAsia"/>
      </w:rPr>
    </w:lvl>
  </w:abstractNum>
  <w:abstractNum w:abstractNumId="11">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1"/>
  </w:num>
  <w:num w:numId="2">
    <w:abstractNumId w:val="9"/>
  </w:num>
  <w:num w:numId="3">
    <w:abstractNumId w:val="7"/>
  </w:num>
  <w:num w:numId="4">
    <w:abstractNumId w:val="8"/>
  </w:num>
  <w:num w:numId="5">
    <w:abstractNumId w:val="3"/>
  </w:num>
  <w:num w:numId="6">
    <w:abstractNumId w:val="10"/>
  </w:num>
  <w:num w:numId="7">
    <w:abstractNumId w:val="1"/>
  </w:num>
  <w:num w:numId="8">
    <w:abstractNumId w:val="0"/>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TMzNThkMGNlMThhYThkMDc3ZTU2NTI3YzgzNDMifQ=="/>
  </w:docVars>
  <w:rsids>
    <w:rsidRoot w:val="00000000"/>
    <w:rsid w:val="0B360162"/>
    <w:rsid w:val="0B6B5349"/>
    <w:rsid w:val="0FF56A6C"/>
    <w:rsid w:val="121054BA"/>
    <w:rsid w:val="1964396D"/>
    <w:rsid w:val="1A332FA9"/>
    <w:rsid w:val="1CDD73E7"/>
    <w:rsid w:val="21605500"/>
    <w:rsid w:val="21B30FD0"/>
    <w:rsid w:val="22C47377"/>
    <w:rsid w:val="25203443"/>
    <w:rsid w:val="273063B1"/>
    <w:rsid w:val="2AAA6513"/>
    <w:rsid w:val="30FB5DBA"/>
    <w:rsid w:val="31920CCE"/>
    <w:rsid w:val="34284CA8"/>
    <w:rsid w:val="342F1271"/>
    <w:rsid w:val="35CB5DAC"/>
    <w:rsid w:val="362D3E46"/>
    <w:rsid w:val="394504E4"/>
    <w:rsid w:val="47055BCE"/>
    <w:rsid w:val="49006329"/>
    <w:rsid w:val="4D1A242E"/>
    <w:rsid w:val="4D283E61"/>
    <w:rsid w:val="4E8725EC"/>
    <w:rsid w:val="51BD2FED"/>
    <w:rsid w:val="54CB5432"/>
    <w:rsid w:val="55E47A21"/>
    <w:rsid w:val="5AF24AAC"/>
    <w:rsid w:val="5F167D1C"/>
    <w:rsid w:val="65BE4E8A"/>
    <w:rsid w:val="66CC61B6"/>
    <w:rsid w:val="7006220D"/>
    <w:rsid w:val="70A80B45"/>
    <w:rsid w:val="727D2FB8"/>
    <w:rsid w:val="76BE35A4"/>
    <w:rsid w:val="78BF0096"/>
    <w:rsid w:val="7FB92288"/>
    <w:rsid w:val="7FCA639E"/>
    <w:rsid w:val="7FE51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5"/>
    <w:qFormat/>
    <w:uiPriority w:val="9"/>
    <w:pPr>
      <w:keepNext/>
      <w:jc w:val="center"/>
      <w:outlineLvl w:val="0"/>
    </w:pPr>
    <w:rPr>
      <w:rFonts w:ascii="楷体_GB2312" w:hAnsi="楷体_GB2312" w:eastAsia="宋体"/>
      <w:b/>
      <w:sz w:val="32"/>
      <w:szCs w:val="32"/>
    </w:rPr>
  </w:style>
  <w:style w:type="paragraph" w:styleId="3">
    <w:name w:val="heading 2"/>
    <w:basedOn w:val="1"/>
    <w:next w:val="1"/>
    <w:link w:val="91"/>
    <w:qFormat/>
    <w:uiPriority w:val="0"/>
    <w:pPr>
      <w:keepNext/>
      <w:keepLines/>
      <w:spacing w:before="200" w:after="200" w:line="480" w:lineRule="auto"/>
      <w:jc w:val="left"/>
      <w:outlineLvl w:val="1"/>
    </w:pPr>
    <w:rPr>
      <w:rFonts w:ascii="Arial" w:hAnsi="Arial" w:eastAsia="宋体" w:cs="Arial"/>
      <w:b/>
      <w:bCs/>
      <w:sz w:val="30"/>
      <w:szCs w:val="30"/>
    </w:rPr>
  </w:style>
  <w:style w:type="paragraph" w:styleId="4">
    <w:name w:val="heading 3"/>
    <w:basedOn w:val="1"/>
    <w:next w:val="1"/>
    <w:link w:val="86"/>
    <w:qFormat/>
    <w:uiPriority w:val="0"/>
    <w:pPr>
      <w:keepNext/>
      <w:keepLines/>
      <w:spacing w:before="200" w:after="100" w:line="480" w:lineRule="auto"/>
      <w:jc w:val="left"/>
      <w:outlineLvl w:val="2"/>
    </w:pPr>
    <w:rPr>
      <w:rFonts w:ascii="Times New Roman" w:hAnsi="Times New Roman" w:eastAsia="宋体"/>
      <w:b/>
      <w:bCs/>
      <w:sz w:val="28"/>
      <w:szCs w:val="32"/>
    </w:rPr>
  </w:style>
  <w:style w:type="paragraph" w:styleId="5">
    <w:name w:val="heading 4"/>
    <w:basedOn w:val="1"/>
    <w:next w:val="1"/>
    <w:link w:val="56"/>
    <w:qFormat/>
    <w:uiPriority w:val="0"/>
    <w:pPr>
      <w:keepNext/>
      <w:keepLines/>
      <w:ind w:firstLine="420" w:firstLineChars="150"/>
      <w:outlineLvl w:val="3"/>
    </w:pPr>
    <w:rPr>
      <w:rFonts w:ascii="Arial" w:hAnsi="Arial" w:cs="Arial"/>
      <w:b/>
      <w:sz w:val="28"/>
      <w:szCs w:val="28"/>
    </w:rPr>
  </w:style>
  <w:style w:type="paragraph" w:styleId="6">
    <w:name w:val="heading 5"/>
    <w:basedOn w:val="1"/>
    <w:next w:val="7"/>
    <w:link w:val="96"/>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87"/>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7">
    <w:name w:val="Normal Indent"/>
    <w:basedOn w:val="1"/>
    <w:next w:val="1"/>
    <w:link w:val="74"/>
    <w:qFormat/>
    <w:uiPriority w:val="0"/>
    <w:pPr>
      <w:ind w:firstLine="420"/>
    </w:pPr>
  </w:style>
  <w:style w:type="paragraph" w:styleId="12">
    <w:name w:val="List 3"/>
    <w:basedOn w:val="1"/>
    <w:qFormat/>
    <w:uiPriority w:val="0"/>
    <w:pPr>
      <w:ind w:left="100" w:leftChars="400" w:hanging="200" w:hangingChars="200"/>
    </w:pPr>
  </w:style>
  <w:style w:type="paragraph" w:styleId="13">
    <w:name w:val="index 5"/>
    <w:basedOn w:val="1"/>
    <w:next w:val="1"/>
    <w:unhideWhenUsed/>
    <w:qFormat/>
    <w:uiPriority w:val="0"/>
    <w:pPr>
      <w:ind w:left="1680"/>
    </w:pPr>
  </w:style>
  <w:style w:type="paragraph" w:styleId="14">
    <w:name w:val="Document Map"/>
    <w:basedOn w:val="1"/>
    <w:link w:val="93"/>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link w:val="70"/>
    <w:qFormat/>
    <w:uiPriority w:val="0"/>
    <w:rPr>
      <w:rFonts w:ascii="仿宋_GB2312" w:hAnsi="Arial" w:eastAsia="仿宋_GB2312"/>
      <w:sz w:val="32"/>
      <w:szCs w:val="32"/>
    </w:rPr>
  </w:style>
  <w:style w:type="paragraph" w:styleId="17">
    <w:name w:val="Body Text"/>
    <w:basedOn w:val="1"/>
    <w:next w:val="1"/>
    <w:link w:val="66"/>
    <w:qFormat/>
    <w:uiPriority w:val="0"/>
    <w:rPr>
      <w:rFonts w:ascii="楷体_GB2312" w:hAnsi="Arial" w:eastAsia="楷体_GB2312"/>
      <w:sz w:val="28"/>
      <w:szCs w:val="28"/>
    </w:rPr>
  </w:style>
  <w:style w:type="paragraph" w:styleId="18">
    <w:name w:val="Body Text Indent"/>
    <w:basedOn w:val="1"/>
    <w:next w:val="7"/>
    <w:link w:val="72"/>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toc 3"/>
    <w:basedOn w:val="21"/>
    <w:next w:val="1"/>
    <w:qFormat/>
    <w:uiPriority w:val="39"/>
    <w:pPr>
      <w:ind w:left="840" w:leftChars="400"/>
    </w:pPr>
  </w:style>
  <w:style w:type="paragraph" w:styleId="21">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2">
    <w:name w:val="Plain Text"/>
    <w:basedOn w:val="1"/>
    <w:next w:val="1"/>
    <w:link w:val="95"/>
    <w:qFormat/>
    <w:uiPriority w:val="0"/>
    <w:rPr>
      <w:rFonts w:ascii="宋体" w:hAnsi="Courier New" w:cs="Courier New"/>
    </w:rPr>
  </w:style>
  <w:style w:type="paragraph" w:styleId="23">
    <w:name w:val="Date"/>
    <w:basedOn w:val="1"/>
    <w:next w:val="1"/>
    <w:link w:val="78"/>
    <w:qFormat/>
    <w:uiPriority w:val="0"/>
    <w:rPr>
      <w:sz w:val="24"/>
      <w:szCs w:val="24"/>
    </w:rPr>
  </w:style>
  <w:style w:type="paragraph" w:styleId="24">
    <w:name w:val="Body Text Indent 2"/>
    <w:basedOn w:val="1"/>
    <w:link w:val="73"/>
    <w:qFormat/>
    <w:uiPriority w:val="0"/>
    <w:pPr>
      <w:ind w:left="630" w:firstLine="645"/>
    </w:pPr>
    <w:rPr>
      <w:rFonts w:ascii="Arial" w:hAnsi="Arial" w:eastAsia="仿宋_GB2312" w:cs="Arial"/>
      <w:sz w:val="32"/>
      <w:szCs w:val="32"/>
    </w:rPr>
  </w:style>
  <w:style w:type="paragraph" w:styleId="25">
    <w:name w:val="Balloon Text"/>
    <w:basedOn w:val="1"/>
    <w:link w:val="97"/>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rFonts w:cs="Symbol"/>
      <w:color w:val="000000" w:themeColor="text1"/>
      <w:sz w:val="18"/>
      <w:szCs w:val="18"/>
      <w14:textFill>
        <w14:solidFill>
          <w14:schemeClr w14:val="tx1"/>
        </w14:solidFill>
      </w14:textFill>
    </w:rPr>
  </w:style>
  <w:style w:type="paragraph" w:styleId="27">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28">
    <w:name w:val="toc 4"/>
    <w:basedOn w:val="1"/>
    <w:next w:val="1"/>
    <w:qFormat/>
    <w:uiPriority w:val="39"/>
    <w:pPr>
      <w:ind w:left="960"/>
      <w:jc w:val="left"/>
    </w:pPr>
    <w:rPr>
      <w:rFonts w:ascii="Calibri" w:hAnsi="Calibri"/>
      <w:sz w:val="18"/>
      <w:szCs w:val="18"/>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sz w:val="18"/>
    </w:rPr>
  </w:style>
  <w:style w:type="paragraph" w:styleId="31">
    <w:name w:val="Body Text Indent 3"/>
    <w:basedOn w:val="1"/>
    <w:link w:val="88"/>
    <w:qFormat/>
    <w:uiPriority w:val="0"/>
    <w:pPr>
      <w:ind w:left="645" w:firstLine="645"/>
    </w:pPr>
    <w:rPr>
      <w:rFonts w:ascii="Arial" w:hAnsi="Arial" w:eastAsia="仿宋_GB2312" w:cs="Arial"/>
      <w:color w:val="FFFF00"/>
      <w:sz w:val="32"/>
      <w:szCs w:val="32"/>
    </w:rPr>
  </w:style>
  <w:style w:type="paragraph" w:styleId="32">
    <w:name w:val="toc 2"/>
    <w:basedOn w:val="21"/>
    <w:next w:val="1"/>
    <w:qFormat/>
    <w:uiPriority w:val="39"/>
    <w:pPr>
      <w:ind w:left="210"/>
      <w:jc w:val="left"/>
    </w:pPr>
    <w:rPr>
      <w:smallCaps/>
      <w:szCs w:val="24"/>
    </w:rPr>
  </w:style>
  <w:style w:type="paragraph" w:styleId="33">
    <w:name w:val="Body Text 2"/>
    <w:basedOn w:val="1"/>
    <w:link w:val="94"/>
    <w:qFormat/>
    <w:uiPriority w:val="0"/>
    <w:pPr>
      <w:widowControl/>
      <w:jc w:val="center"/>
    </w:pPr>
    <w:rPr>
      <w:rFonts w:ascii="楷体_GB2312" w:eastAsia="楷体_GB2312"/>
      <w:sz w:val="28"/>
      <w:szCs w:val="28"/>
    </w:rPr>
  </w:style>
  <w:style w:type="paragraph" w:styleId="34">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5"/>
    <w:next w:val="15"/>
    <w:link w:val="90"/>
    <w:semiHidden/>
    <w:qFormat/>
    <w:uiPriority w:val="0"/>
    <w:rPr>
      <w:b/>
      <w:bCs/>
    </w:rPr>
  </w:style>
  <w:style w:type="paragraph" w:styleId="36">
    <w:name w:val="Body Text First Indent"/>
    <w:basedOn w:val="17"/>
    <w:link w:val="92"/>
    <w:qFormat/>
    <w:uiPriority w:val="0"/>
    <w:pPr>
      <w:spacing w:line="360" w:lineRule="auto"/>
      <w:ind w:firstLine="200" w:firstLineChars="200"/>
    </w:pPr>
    <w:rPr>
      <w:rFonts w:ascii="仿宋_GB2312" w:eastAsia="仿宋_GB2312"/>
      <w:sz w:val="30"/>
      <w:szCs w:val="30"/>
    </w:rPr>
  </w:style>
  <w:style w:type="paragraph" w:styleId="37">
    <w:name w:val="Body Text First Indent 2"/>
    <w:basedOn w:val="18"/>
    <w:next w:val="1"/>
    <w:link w:val="75"/>
    <w:qFormat/>
    <w:uiPriority w:val="0"/>
    <w:pPr>
      <w:spacing w:line="360" w:lineRule="auto"/>
      <w:ind w:firstLine="420" w:firstLineChars="200"/>
    </w:pPr>
    <w:rPr>
      <w:rFonts w:ascii="宋体" w:hAnsi="宋体" w:eastAsia="宋体"/>
      <w:sz w:val="21"/>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qFormat/>
    <w:uiPriority w:val="99"/>
    <w:rPr>
      <w:color w:val="800080"/>
      <w:u w:val="single"/>
    </w:rPr>
  </w:style>
  <w:style w:type="character" w:styleId="44">
    <w:name w:val="Emphasis"/>
    <w:basedOn w:val="40"/>
    <w:qFormat/>
    <w:uiPriority w:val="0"/>
  </w:style>
  <w:style w:type="character" w:styleId="45">
    <w:name w:val="HTML Definition"/>
    <w:basedOn w:val="40"/>
    <w:qFormat/>
    <w:uiPriority w:val="0"/>
  </w:style>
  <w:style w:type="character" w:styleId="46">
    <w:name w:val="HTML Typewriter"/>
    <w:basedOn w:val="40"/>
    <w:qFormat/>
    <w:uiPriority w:val="0"/>
    <w:rPr>
      <w:rFonts w:hint="default" w:ascii="monospace" w:hAnsi="monospace" w:eastAsia="monospace" w:cs="monospace"/>
      <w:sz w:val="20"/>
    </w:rPr>
  </w:style>
  <w:style w:type="character" w:styleId="47">
    <w:name w:val="HTML Acronym"/>
    <w:basedOn w:val="40"/>
    <w:qFormat/>
    <w:uiPriority w:val="0"/>
  </w:style>
  <w:style w:type="character" w:styleId="48">
    <w:name w:val="HTML Variable"/>
    <w:basedOn w:val="40"/>
    <w:qFormat/>
    <w:uiPriority w:val="0"/>
  </w:style>
  <w:style w:type="character" w:styleId="49">
    <w:name w:val="Hyperlink"/>
    <w:qFormat/>
    <w:uiPriority w:val="99"/>
    <w:rPr>
      <w:color w:val="0000FF"/>
      <w:u w:val="single"/>
    </w:rPr>
  </w:style>
  <w:style w:type="character" w:styleId="50">
    <w:name w:val="HTML Code"/>
    <w:basedOn w:val="40"/>
    <w:qFormat/>
    <w:uiPriority w:val="0"/>
    <w:rPr>
      <w:rFonts w:hint="default" w:ascii="monospace" w:hAnsi="monospace" w:eastAsia="monospace" w:cs="monospace"/>
      <w:sz w:val="20"/>
    </w:rPr>
  </w:style>
  <w:style w:type="character" w:styleId="51">
    <w:name w:val="annotation reference"/>
    <w:qFormat/>
    <w:uiPriority w:val="0"/>
    <w:rPr>
      <w:sz w:val="21"/>
      <w:szCs w:val="21"/>
    </w:rPr>
  </w:style>
  <w:style w:type="character" w:styleId="52">
    <w:name w:val="HTML Cite"/>
    <w:basedOn w:val="40"/>
    <w:qFormat/>
    <w:uiPriority w:val="0"/>
  </w:style>
  <w:style w:type="character" w:styleId="53">
    <w:name w:val="HTML Keyboard"/>
    <w:basedOn w:val="40"/>
    <w:qFormat/>
    <w:uiPriority w:val="0"/>
    <w:rPr>
      <w:rFonts w:hint="default" w:ascii="monospace" w:hAnsi="monospace" w:eastAsia="monospace" w:cs="monospace"/>
      <w:sz w:val="20"/>
    </w:rPr>
  </w:style>
  <w:style w:type="character" w:styleId="54">
    <w:name w:val="HTML Sample"/>
    <w:basedOn w:val="40"/>
    <w:qFormat/>
    <w:uiPriority w:val="0"/>
    <w:rPr>
      <w:rFonts w:ascii="monospace" w:hAnsi="monospace" w:eastAsia="monospace" w:cs="monospace"/>
    </w:rPr>
  </w:style>
  <w:style w:type="character" w:customStyle="1" w:styleId="55">
    <w:name w:val="标题 1 字符"/>
    <w:link w:val="2"/>
    <w:qFormat/>
    <w:uiPriority w:val="9"/>
    <w:rPr>
      <w:rFonts w:ascii="楷体_GB2312" w:hAnsi="楷体_GB2312" w:eastAsia="宋体"/>
      <w:b/>
      <w:kern w:val="2"/>
      <w:sz w:val="32"/>
      <w:szCs w:val="32"/>
      <w:lang w:val="en-US" w:eastAsia="zh-CN" w:bidi="ar-SA"/>
    </w:rPr>
  </w:style>
  <w:style w:type="character" w:customStyle="1" w:styleId="56">
    <w:name w:val="标题 4 字符"/>
    <w:link w:val="5"/>
    <w:qFormat/>
    <w:uiPriority w:val="0"/>
    <w:rPr>
      <w:rFonts w:ascii="Arial" w:hAnsi="Arial" w:eastAsia="宋体" w:cs="Arial"/>
      <w:b/>
      <w:kern w:val="2"/>
      <w:sz w:val="28"/>
      <w:szCs w:val="28"/>
      <w:lang w:val="en-US" w:eastAsia="zh-CN" w:bidi="ar-SA"/>
    </w:rPr>
  </w:style>
  <w:style w:type="paragraph" w:customStyle="1" w:styleId="57">
    <w:name w:val="Body Text First Indent 21"/>
    <w:basedOn w:val="58"/>
    <w:qFormat/>
    <w:uiPriority w:val="99"/>
    <w:pPr>
      <w:ind w:firstLine="420"/>
    </w:pPr>
  </w:style>
  <w:style w:type="paragraph" w:customStyle="1" w:styleId="58">
    <w:name w:val="Body Text Indent1"/>
    <w:basedOn w:val="1"/>
    <w:qFormat/>
    <w:uiPriority w:val="99"/>
    <w:pPr>
      <w:ind w:left="420" w:leftChars="200"/>
    </w:pPr>
    <w:rPr>
      <w:rFonts w:ascii="Times New Roman" w:hAnsi="Times New Roman"/>
    </w:rPr>
  </w:style>
  <w:style w:type="paragraph" w:customStyle="1" w:styleId="59">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60">
    <w:name w:val="标题 5（有编号）（绿盟科技）"/>
    <w:basedOn w:val="1"/>
    <w:next w:val="61"/>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2">
    <w:name w:val="标题 9 字符"/>
    <w:link w:val="11"/>
    <w:qFormat/>
    <w:uiPriority w:val="0"/>
    <w:rPr>
      <w:rFonts w:ascii="Arial" w:hAnsi="Arial" w:eastAsia="黑体"/>
      <w:kern w:val="2"/>
      <w:sz w:val="21"/>
      <w:szCs w:val="21"/>
      <w:lang w:val="en-US" w:eastAsia="zh-CN" w:bidi="ar-SA"/>
    </w:rPr>
  </w:style>
  <w:style w:type="character" w:customStyle="1" w:styleId="63">
    <w:name w:val="正文缩进 Char"/>
    <w:qFormat/>
    <w:uiPriority w:val="0"/>
    <w:rPr>
      <w:kern w:val="2"/>
      <w:sz w:val="21"/>
      <w:szCs w:val="21"/>
    </w:rPr>
  </w:style>
  <w:style w:type="character" w:customStyle="1" w:styleId="64">
    <w:name w:val="列出段落 Char"/>
    <w:link w:val="65"/>
    <w:qFormat/>
    <w:locked/>
    <w:uiPriority w:val="0"/>
    <w:rPr>
      <w:rFonts w:ascii="Calibri" w:hAnsi="Calibri"/>
      <w:sz w:val="24"/>
      <w:szCs w:val="24"/>
      <w:lang w:eastAsia="en-US" w:bidi="en-US"/>
    </w:rPr>
  </w:style>
  <w:style w:type="paragraph" w:customStyle="1" w:styleId="65">
    <w:name w:val="列出段落11"/>
    <w:basedOn w:val="1"/>
    <w:link w:val="64"/>
    <w:qFormat/>
    <w:uiPriority w:val="0"/>
    <w:pPr>
      <w:widowControl/>
      <w:ind w:left="720"/>
      <w:contextualSpacing/>
      <w:jc w:val="left"/>
    </w:pPr>
    <w:rPr>
      <w:rFonts w:ascii="Calibri" w:hAnsi="Calibri"/>
      <w:kern w:val="0"/>
      <w:sz w:val="24"/>
      <w:szCs w:val="24"/>
      <w:lang w:eastAsia="en-US" w:bidi="en-US"/>
    </w:rPr>
  </w:style>
  <w:style w:type="character" w:customStyle="1" w:styleId="66">
    <w:name w:val="正文文本 字符"/>
    <w:link w:val="17"/>
    <w:qFormat/>
    <w:uiPriority w:val="0"/>
    <w:rPr>
      <w:rFonts w:ascii="楷体_GB2312" w:hAnsi="Arial" w:eastAsia="楷体_GB2312"/>
      <w:kern w:val="2"/>
      <w:sz w:val="28"/>
      <w:szCs w:val="28"/>
      <w:lang w:val="en-US" w:eastAsia="zh-CN" w:bidi="ar-SA"/>
    </w:rPr>
  </w:style>
  <w:style w:type="character" w:customStyle="1" w:styleId="67">
    <w:name w:val="标题 7 字符"/>
    <w:link w:val="9"/>
    <w:qFormat/>
    <w:uiPriority w:val="0"/>
    <w:rPr>
      <w:rFonts w:eastAsia="宋体"/>
      <w:b/>
      <w:bCs/>
      <w:kern w:val="2"/>
      <w:sz w:val="24"/>
      <w:szCs w:val="24"/>
      <w:lang w:val="en-US" w:eastAsia="zh-CN" w:bidi="ar-SA"/>
    </w:rPr>
  </w:style>
  <w:style w:type="character" w:customStyle="1" w:styleId="68">
    <w:name w:val="标题 8 字符"/>
    <w:link w:val="10"/>
    <w:qFormat/>
    <w:uiPriority w:val="0"/>
    <w:rPr>
      <w:rFonts w:ascii="Arial" w:hAnsi="Arial" w:eastAsia="黑体"/>
      <w:kern w:val="2"/>
      <w:sz w:val="24"/>
      <w:szCs w:val="24"/>
      <w:lang w:val="en-US" w:eastAsia="zh-CN" w:bidi="ar-SA"/>
    </w:rPr>
  </w:style>
  <w:style w:type="character" w:customStyle="1" w:styleId="69">
    <w:name w:val="正文首行缩进 Char"/>
    <w:qFormat/>
    <w:uiPriority w:val="0"/>
    <w:rPr>
      <w:rFonts w:ascii="仿宋_GB2312" w:hAnsi="Times New Roman" w:eastAsia="仿宋_GB2312" w:cs="Times New Roman"/>
      <w:kern w:val="2"/>
      <w:sz w:val="30"/>
      <w:szCs w:val="30"/>
    </w:rPr>
  </w:style>
  <w:style w:type="character" w:customStyle="1" w:styleId="70">
    <w:name w:val="正文文本 3 字符"/>
    <w:link w:val="16"/>
    <w:qFormat/>
    <w:uiPriority w:val="0"/>
    <w:rPr>
      <w:rFonts w:ascii="仿宋_GB2312" w:hAnsi="Arial" w:eastAsia="仿宋_GB2312"/>
      <w:kern w:val="2"/>
      <w:sz w:val="32"/>
      <w:szCs w:val="32"/>
      <w:lang w:val="en-US" w:eastAsia="zh-CN" w:bidi="ar-SA"/>
    </w:rPr>
  </w:style>
  <w:style w:type="character" w:customStyle="1" w:styleId="71">
    <w:name w:val="页脚 字符"/>
    <w:link w:val="26"/>
    <w:qFormat/>
    <w:uiPriority w:val="99"/>
    <w:rPr>
      <w:rFonts w:eastAsia="宋体" w:cs="Symbol"/>
      <w:color w:val="000000" w:themeColor="text1"/>
      <w:kern w:val="2"/>
      <w:sz w:val="18"/>
      <w:szCs w:val="18"/>
      <w:lang w:bidi="ar-SA"/>
      <w14:textFill>
        <w14:solidFill>
          <w14:schemeClr w14:val="tx1"/>
        </w14:solidFill>
      </w14:textFill>
    </w:rPr>
  </w:style>
  <w:style w:type="character" w:customStyle="1" w:styleId="72">
    <w:name w:val="正文文本缩进 字符"/>
    <w:link w:val="18"/>
    <w:qFormat/>
    <w:uiPriority w:val="0"/>
    <w:rPr>
      <w:rFonts w:ascii="楷体_GB2312" w:eastAsia="楷体_GB2312"/>
      <w:kern w:val="2"/>
      <w:sz w:val="32"/>
      <w:szCs w:val="32"/>
      <w:lang w:val="en-US" w:eastAsia="zh-CN" w:bidi="ar-SA"/>
    </w:rPr>
  </w:style>
  <w:style w:type="character" w:customStyle="1" w:styleId="73">
    <w:name w:val="正文文本缩进 2 字符"/>
    <w:link w:val="24"/>
    <w:qFormat/>
    <w:uiPriority w:val="0"/>
    <w:rPr>
      <w:rFonts w:ascii="Arial" w:hAnsi="Arial" w:eastAsia="仿宋_GB2312" w:cs="Arial"/>
      <w:kern w:val="2"/>
      <w:sz w:val="32"/>
      <w:szCs w:val="32"/>
      <w:lang w:val="en-US" w:eastAsia="zh-CN" w:bidi="ar-SA"/>
    </w:rPr>
  </w:style>
  <w:style w:type="character" w:customStyle="1" w:styleId="74">
    <w:name w:val="正文缩进 字符1"/>
    <w:link w:val="7"/>
    <w:qFormat/>
    <w:uiPriority w:val="0"/>
    <w:rPr>
      <w:rFonts w:eastAsia="宋体"/>
      <w:kern w:val="2"/>
      <w:sz w:val="21"/>
      <w:szCs w:val="21"/>
      <w:lang w:bidi="ar-SA"/>
    </w:rPr>
  </w:style>
  <w:style w:type="character" w:customStyle="1" w:styleId="75">
    <w:name w:val="正文文本首行缩进 2 字符"/>
    <w:link w:val="37"/>
    <w:qFormat/>
    <w:uiPriority w:val="0"/>
    <w:rPr>
      <w:rFonts w:ascii="宋体" w:hAnsi="宋体" w:eastAsia="宋体"/>
      <w:kern w:val="2"/>
      <w:sz w:val="21"/>
      <w:lang w:val="en-US" w:eastAsia="zh-CN" w:bidi="ar-SA"/>
    </w:rPr>
  </w:style>
  <w:style w:type="character" w:customStyle="1" w:styleId="76">
    <w:name w:val="正文首行缩进（qhb） Char"/>
    <w:link w:val="77"/>
    <w:qFormat/>
    <w:uiPriority w:val="0"/>
    <w:rPr>
      <w:rFonts w:ascii="Arial" w:hAnsi="Arial"/>
      <w:sz w:val="24"/>
      <w:szCs w:val="21"/>
    </w:rPr>
  </w:style>
  <w:style w:type="paragraph" w:customStyle="1" w:styleId="77">
    <w:name w:val="正文首行缩进（qhb）"/>
    <w:basedOn w:val="1"/>
    <w:link w:val="76"/>
    <w:qFormat/>
    <w:uiPriority w:val="0"/>
    <w:pPr>
      <w:widowControl/>
      <w:spacing w:after="50" w:line="360" w:lineRule="auto"/>
      <w:ind w:firstLine="200" w:firstLineChars="200"/>
      <w:jc w:val="left"/>
    </w:pPr>
    <w:rPr>
      <w:rFonts w:ascii="Arial" w:hAnsi="Arial"/>
      <w:kern w:val="0"/>
      <w:sz w:val="24"/>
    </w:rPr>
  </w:style>
  <w:style w:type="character" w:customStyle="1" w:styleId="78">
    <w:name w:val="日期 字符"/>
    <w:link w:val="23"/>
    <w:qFormat/>
    <w:uiPriority w:val="0"/>
    <w:rPr>
      <w:rFonts w:eastAsia="宋体"/>
      <w:kern w:val="2"/>
      <w:sz w:val="24"/>
      <w:szCs w:val="24"/>
      <w:lang w:val="en-US" w:eastAsia="zh-CN" w:bidi="ar-SA"/>
    </w:rPr>
  </w:style>
  <w:style w:type="character" w:customStyle="1" w:styleId="79">
    <w:name w:val="font5 Char"/>
    <w:qFormat/>
    <w:uiPriority w:val="0"/>
    <w:rPr>
      <w:rFonts w:ascii="宋体" w:hAnsi="宋体" w:eastAsia="宋体"/>
      <w:sz w:val="28"/>
      <w:szCs w:val="28"/>
      <w:lang w:val="en-US" w:eastAsia="zh-CN" w:bidi="ar-SA"/>
    </w:rPr>
  </w:style>
  <w:style w:type="character" w:customStyle="1" w:styleId="80">
    <w:name w:val="Char Char2"/>
    <w:qFormat/>
    <w:uiPriority w:val="0"/>
    <w:rPr>
      <w:rFonts w:ascii="Times New Roman" w:hAnsi="Times New Roman" w:eastAsia="宋体" w:cs="Times New Roman"/>
      <w:szCs w:val="21"/>
    </w:rPr>
  </w:style>
  <w:style w:type="character" w:customStyle="1" w:styleId="81">
    <w:name w:val="正文格式 Char"/>
    <w:link w:val="82"/>
    <w:qFormat/>
    <w:uiPriority w:val="0"/>
    <w:rPr>
      <w:rFonts w:eastAsia="仿宋_GB2312"/>
      <w:sz w:val="28"/>
      <w:lang w:bidi="ar-SA"/>
    </w:rPr>
  </w:style>
  <w:style w:type="paragraph" w:customStyle="1" w:styleId="82">
    <w:name w:val="正文格式"/>
    <w:basedOn w:val="1"/>
    <w:link w:val="81"/>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3">
    <w:name w:val="二级目录 Char"/>
    <w:link w:val="84"/>
    <w:qFormat/>
    <w:uiPriority w:val="0"/>
    <w:rPr>
      <w:rFonts w:eastAsia="Times New Roman"/>
      <w:b/>
      <w:kern w:val="2"/>
      <w:sz w:val="30"/>
      <w:szCs w:val="28"/>
      <w:lang w:val="en-US" w:eastAsia="zh-CN" w:bidi="ar-SA"/>
    </w:rPr>
  </w:style>
  <w:style w:type="paragraph" w:customStyle="1" w:styleId="84">
    <w:name w:val="二级目录"/>
    <w:next w:val="1"/>
    <w:link w:val="83"/>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85">
    <w:name w:val="Char Char6"/>
    <w:qFormat/>
    <w:uiPriority w:val="0"/>
    <w:rPr>
      <w:rFonts w:ascii="Times New Roman" w:hAnsi="Times New Roman" w:eastAsia="宋体" w:cs="Times New Roman"/>
      <w:sz w:val="18"/>
      <w:szCs w:val="18"/>
    </w:rPr>
  </w:style>
  <w:style w:type="character" w:customStyle="1" w:styleId="86">
    <w:name w:val="标题 3 字符"/>
    <w:link w:val="4"/>
    <w:qFormat/>
    <w:uiPriority w:val="0"/>
    <w:rPr>
      <w:rFonts w:ascii="Times New Roman" w:hAnsi="Times New Roman" w:eastAsia="宋体"/>
      <w:b/>
      <w:bCs/>
      <w:kern w:val="2"/>
      <w:sz w:val="28"/>
      <w:szCs w:val="32"/>
      <w:lang w:val="en-US" w:eastAsia="zh-CN" w:bidi="ar-SA"/>
    </w:rPr>
  </w:style>
  <w:style w:type="character" w:customStyle="1" w:styleId="87">
    <w:name w:val="标题 6 字符"/>
    <w:link w:val="8"/>
    <w:qFormat/>
    <w:uiPriority w:val="0"/>
    <w:rPr>
      <w:rFonts w:ascii="Arial" w:hAnsi="Arial" w:eastAsia="黑体"/>
      <w:b/>
      <w:bCs/>
      <w:kern w:val="2"/>
      <w:sz w:val="24"/>
      <w:szCs w:val="24"/>
      <w:lang w:val="en-US" w:eastAsia="zh-CN" w:bidi="ar-SA"/>
    </w:rPr>
  </w:style>
  <w:style w:type="character" w:customStyle="1" w:styleId="88">
    <w:name w:val="正文文本缩进 3 字符"/>
    <w:link w:val="31"/>
    <w:qFormat/>
    <w:uiPriority w:val="0"/>
    <w:rPr>
      <w:rFonts w:ascii="Arial" w:hAnsi="Arial" w:eastAsia="仿宋_GB2312" w:cs="Arial"/>
      <w:color w:val="FFFF00"/>
      <w:kern w:val="2"/>
      <w:sz w:val="32"/>
      <w:szCs w:val="32"/>
      <w:lang w:val="en-US" w:eastAsia="zh-CN" w:bidi="ar-SA"/>
    </w:rPr>
  </w:style>
  <w:style w:type="character" w:customStyle="1" w:styleId="89">
    <w:name w:val="页眉 字符"/>
    <w:link w:val="27"/>
    <w:qFormat/>
    <w:uiPriority w:val="99"/>
    <w:rPr>
      <w:rFonts w:eastAsia="宋体"/>
      <w:kern w:val="2"/>
      <w:sz w:val="18"/>
      <w:szCs w:val="18"/>
      <w:lang w:val="en-US" w:eastAsia="zh-CN" w:bidi="ar-SA"/>
    </w:rPr>
  </w:style>
  <w:style w:type="character" w:customStyle="1" w:styleId="90">
    <w:name w:val="批注主题 字符"/>
    <w:link w:val="35"/>
    <w:semiHidden/>
    <w:qFormat/>
    <w:uiPriority w:val="0"/>
    <w:rPr>
      <w:rFonts w:eastAsia="宋体"/>
      <w:b/>
      <w:bCs/>
      <w:kern w:val="2"/>
      <w:sz w:val="21"/>
      <w:szCs w:val="21"/>
      <w:lang w:val="en-US" w:eastAsia="zh-CN" w:bidi="ar-SA"/>
    </w:rPr>
  </w:style>
  <w:style w:type="character" w:customStyle="1" w:styleId="91">
    <w:name w:val="标题 2 字符"/>
    <w:link w:val="3"/>
    <w:qFormat/>
    <w:uiPriority w:val="0"/>
    <w:rPr>
      <w:rFonts w:ascii="Arial" w:hAnsi="Arial" w:eastAsia="宋体" w:cs="Arial"/>
      <w:b/>
      <w:bCs/>
      <w:kern w:val="2"/>
      <w:sz w:val="30"/>
      <w:szCs w:val="30"/>
      <w:lang w:val="en-US" w:eastAsia="zh-CN" w:bidi="ar-SA"/>
    </w:rPr>
  </w:style>
  <w:style w:type="character" w:customStyle="1" w:styleId="92">
    <w:name w:val="正文文本首行缩进 字符"/>
    <w:link w:val="36"/>
    <w:qFormat/>
    <w:uiPriority w:val="0"/>
    <w:rPr>
      <w:rFonts w:ascii="仿宋_GB2312" w:eastAsia="仿宋_GB2312"/>
      <w:kern w:val="2"/>
      <w:sz w:val="30"/>
      <w:szCs w:val="30"/>
      <w:lang w:val="en-US" w:eastAsia="zh-CN" w:bidi="ar-SA"/>
    </w:rPr>
  </w:style>
  <w:style w:type="character" w:customStyle="1" w:styleId="93">
    <w:name w:val="文档结构图 字符"/>
    <w:link w:val="14"/>
    <w:semiHidden/>
    <w:qFormat/>
    <w:uiPriority w:val="0"/>
    <w:rPr>
      <w:rFonts w:eastAsia="宋体"/>
      <w:kern w:val="2"/>
      <w:sz w:val="21"/>
      <w:szCs w:val="21"/>
      <w:lang w:bidi="ar-SA"/>
    </w:rPr>
  </w:style>
  <w:style w:type="character" w:customStyle="1" w:styleId="94">
    <w:name w:val="正文文本 2 字符"/>
    <w:link w:val="33"/>
    <w:qFormat/>
    <w:uiPriority w:val="0"/>
    <w:rPr>
      <w:rFonts w:ascii="楷体_GB2312" w:eastAsia="楷体_GB2312"/>
      <w:kern w:val="2"/>
      <w:sz w:val="28"/>
      <w:szCs w:val="28"/>
      <w:lang w:val="en-US" w:eastAsia="zh-CN" w:bidi="ar-SA"/>
    </w:rPr>
  </w:style>
  <w:style w:type="character" w:customStyle="1" w:styleId="95">
    <w:name w:val="纯文本 字符1"/>
    <w:link w:val="22"/>
    <w:qFormat/>
    <w:uiPriority w:val="0"/>
    <w:rPr>
      <w:rFonts w:ascii="宋体" w:hAnsi="Courier New" w:eastAsia="宋体" w:cs="Courier New"/>
      <w:kern w:val="2"/>
      <w:sz w:val="21"/>
      <w:szCs w:val="21"/>
      <w:lang w:val="en-US" w:eastAsia="zh-CN" w:bidi="ar-SA"/>
    </w:rPr>
  </w:style>
  <w:style w:type="character" w:customStyle="1" w:styleId="96">
    <w:name w:val="标题 5 字符"/>
    <w:link w:val="6"/>
    <w:qFormat/>
    <w:uiPriority w:val="0"/>
    <w:rPr>
      <w:rFonts w:ascii="宋体" w:eastAsia="宋体"/>
      <w:color w:val="000000"/>
      <w:sz w:val="28"/>
      <w:szCs w:val="28"/>
      <w:lang w:val="en-US" w:eastAsia="zh-CN" w:bidi="ar-SA"/>
    </w:rPr>
  </w:style>
  <w:style w:type="character" w:customStyle="1" w:styleId="97">
    <w:name w:val="批注框文本 字符"/>
    <w:link w:val="25"/>
    <w:semiHidden/>
    <w:qFormat/>
    <w:uiPriority w:val="0"/>
    <w:rPr>
      <w:rFonts w:eastAsia="宋体"/>
      <w:kern w:val="2"/>
      <w:sz w:val="18"/>
      <w:szCs w:val="18"/>
      <w:lang w:val="en-US" w:eastAsia="zh-CN" w:bidi="ar-SA"/>
    </w:rPr>
  </w:style>
  <w:style w:type="paragraph" w:customStyle="1" w:styleId="98">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9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0">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5">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6">
    <w:name w:val="Char Char Char Char Char Char Char Char Char Char"/>
    <w:basedOn w:val="1"/>
    <w:qFormat/>
    <w:uiPriority w:val="0"/>
    <w:pPr>
      <w:adjustRightInd w:val="0"/>
      <w:spacing w:line="360" w:lineRule="auto"/>
    </w:pPr>
    <w:rPr>
      <w:kern w:val="0"/>
      <w:sz w:val="24"/>
      <w:szCs w:val="20"/>
    </w:rPr>
  </w:style>
  <w:style w:type="paragraph" w:customStyle="1" w:styleId="107">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08">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1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11">
    <w:name w:val="列出段落1"/>
    <w:basedOn w:val="1"/>
    <w:qFormat/>
    <w:uiPriority w:val="99"/>
    <w:pPr>
      <w:ind w:firstLine="420" w:firstLineChars="200"/>
    </w:p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3">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14">
    <w:name w:val="Char"/>
    <w:basedOn w:val="1"/>
    <w:qFormat/>
    <w:uiPriority w:val="0"/>
    <w:pPr>
      <w:tabs>
        <w:tab w:val="left" w:pos="360"/>
      </w:tabs>
      <w:ind w:firstLine="200" w:firstLineChars="200"/>
    </w:pPr>
    <w:rPr>
      <w:sz w:val="28"/>
      <w:szCs w:val="30"/>
    </w:rPr>
  </w:style>
  <w:style w:type="paragraph" w:customStyle="1" w:styleId="115">
    <w:name w:val="table_1stline"/>
    <w:basedOn w:val="1"/>
    <w:qFormat/>
    <w:uiPriority w:val="0"/>
    <w:pPr>
      <w:widowControl/>
      <w:spacing w:before="120"/>
      <w:jc w:val="left"/>
    </w:pPr>
    <w:rPr>
      <w:bCs/>
      <w:kern w:val="0"/>
      <w:sz w:val="20"/>
      <w:szCs w:val="20"/>
      <w:lang w:val="de-DE" w:eastAsia="de-DE"/>
    </w:rPr>
  </w:style>
  <w:style w:type="paragraph" w:customStyle="1" w:styleId="116">
    <w:name w:val="table_lines"/>
    <w:basedOn w:val="1"/>
    <w:qFormat/>
    <w:uiPriority w:val="0"/>
    <w:pPr>
      <w:widowControl/>
      <w:jc w:val="left"/>
    </w:pPr>
    <w:rPr>
      <w:kern w:val="0"/>
      <w:sz w:val="20"/>
      <w:szCs w:val="20"/>
      <w:lang w:val="de-DE" w:eastAsia="de-DE"/>
    </w:rPr>
  </w:style>
  <w:style w:type="paragraph" w:customStyle="1" w:styleId="117">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8">
    <w:name w:val="Char Char Char Char1"/>
    <w:basedOn w:val="14"/>
    <w:qFormat/>
    <w:uiPriority w:val="0"/>
    <w:pPr>
      <w:adjustRightInd w:val="0"/>
      <w:snapToGrid w:val="0"/>
      <w:spacing w:line="360" w:lineRule="auto"/>
    </w:pPr>
    <w:rPr>
      <w:rFonts w:ascii="Tahoma" w:hAnsi="Tahoma"/>
      <w:kern w:val="0"/>
      <w:sz w:val="24"/>
      <w:szCs w:val="24"/>
    </w:rPr>
  </w:style>
  <w:style w:type="paragraph" w:customStyle="1" w:styleId="119">
    <w:name w:val="font5"/>
    <w:basedOn w:val="1"/>
    <w:qFormat/>
    <w:uiPriority w:val="0"/>
    <w:pPr>
      <w:widowControl/>
      <w:numPr>
        <w:ilvl w:val="0"/>
        <w:numId w:val="5"/>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2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21">
    <w:name w:val="Char Char Char Char"/>
    <w:basedOn w:val="14"/>
    <w:qFormat/>
    <w:uiPriority w:val="0"/>
    <w:pPr>
      <w:adjustRightInd w:val="0"/>
      <w:snapToGrid w:val="0"/>
      <w:spacing w:line="360" w:lineRule="auto"/>
    </w:pPr>
    <w:rPr>
      <w:rFonts w:ascii="Tahoma" w:hAnsi="Tahoma"/>
      <w:sz w:val="24"/>
      <w:szCs w:val="24"/>
    </w:rPr>
  </w:style>
  <w:style w:type="paragraph" w:customStyle="1" w:styleId="122">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列表内容"/>
    <w:basedOn w:val="1"/>
    <w:next w:val="1"/>
    <w:qFormat/>
    <w:uiPriority w:val="0"/>
    <w:pPr>
      <w:widowControl/>
      <w:numPr>
        <w:ilvl w:val="0"/>
        <w:numId w:val="6"/>
      </w:numPr>
      <w:tabs>
        <w:tab w:val="left" w:pos="840"/>
      </w:tabs>
      <w:jc w:val="left"/>
    </w:pPr>
    <w:rPr>
      <w:kern w:val="0"/>
      <w:sz w:val="18"/>
      <w:szCs w:val="24"/>
    </w:rPr>
  </w:style>
  <w:style w:type="paragraph" w:customStyle="1" w:styleId="125">
    <w:name w:val="Body Text(ch)"/>
    <w:basedOn w:val="1"/>
    <w:next w:val="17"/>
    <w:qFormat/>
    <w:uiPriority w:val="0"/>
    <w:pPr>
      <w:spacing w:after="120"/>
    </w:pPr>
    <w:rPr>
      <w:rFonts w:ascii="宋体" w:hAnsi="Arial"/>
      <w:bCs/>
      <w:iCs/>
      <w:szCs w:val="24"/>
    </w:rPr>
  </w:style>
  <w:style w:type="paragraph" w:customStyle="1" w:styleId="126">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7">
    <w:name w:val="Char11"/>
    <w:basedOn w:val="14"/>
    <w:qFormat/>
    <w:uiPriority w:val="0"/>
    <w:rPr>
      <w:rFonts w:ascii="Tahoma" w:hAnsi="Tahoma"/>
      <w:sz w:val="24"/>
      <w:szCs w:val="24"/>
    </w:rPr>
  </w:style>
  <w:style w:type="paragraph" w:customStyle="1" w:styleId="12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29">
    <w:name w:val="_Style 4"/>
    <w:basedOn w:val="14"/>
    <w:qFormat/>
    <w:uiPriority w:val="0"/>
    <w:pPr>
      <w:shd w:val="clear" w:color="auto" w:fill="auto"/>
      <w:spacing w:line="360" w:lineRule="auto"/>
      <w:jc w:val="left"/>
    </w:pPr>
    <w:rPr>
      <w:kern w:val="0"/>
      <w:sz w:val="20"/>
      <w:szCs w:val="20"/>
    </w:rPr>
  </w:style>
  <w:style w:type="paragraph" w:customStyle="1" w:styleId="130">
    <w:name w:val="4"/>
    <w:basedOn w:val="1"/>
    <w:next w:val="31"/>
    <w:qFormat/>
    <w:uiPriority w:val="0"/>
    <w:pPr>
      <w:spacing w:line="360" w:lineRule="auto"/>
      <w:ind w:firstLine="420"/>
    </w:pPr>
    <w:rPr>
      <w:color w:val="FF0000"/>
      <w:sz w:val="24"/>
      <w:szCs w:val="24"/>
    </w:rPr>
  </w:style>
  <w:style w:type="paragraph" w:customStyle="1" w:styleId="131">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TOC 标题1"/>
    <w:basedOn w:val="2"/>
    <w:next w:val="1"/>
    <w:qFormat/>
    <w:uiPriority w:val="39"/>
    <w:pPr>
      <w:keepLines/>
      <w:widowControl/>
      <w:spacing w:before="480" w:line="276" w:lineRule="auto"/>
      <w:jc w:val="left"/>
      <w:outlineLvl w:val="9"/>
    </w:pPr>
    <w:rPr>
      <w:rFonts w:ascii="Cambria" w:hAnsi="Cambria" w:eastAsia="宋体"/>
      <w:bCs/>
      <w:color w:val="365F91"/>
      <w:kern w:val="0"/>
    </w:rPr>
  </w:style>
  <w:style w:type="paragraph" w:customStyle="1" w:styleId="13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4">
    <w:name w:val="Char1"/>
    <w:basedOn w:val="1"/>
    <w:qFormat/>
    <w:uiPriority w:val="0"/>
    <w:pPr>
      <w:tabs>
        <w:tab w:val="left" w:pos="360"/>
      </w:tabs>
      <w:ind w:firstLine="200" w:firstLineChars="200"/>
    </w:pPr>
    <w:rPr>
      <w:sz w:val="28"/>
      <w:szCs w:val="30"/>
    </w:rPr>
  </w:style>
  <w:style w:type="paragraph" w:customStyle="1" w:styleId="135">
    <w:name w:val="Char2 Char1 Char"/>
    <w:basedOn w:val="1"/>
    <w:qFormat/>
    <w:uiPriority w:val="0"/>
    <w:pPr>
      <w:tabs>
        <w:tab w:val="left" w:pos="360"/>
      </w:tabs>
    </w:pPr>
    <w:rPr>
      <w:rFonts w:eastAsia="方正仿宋简体"/>
      <w:sz w:val="24"/>
      <w:szCs w:val="32"/>
    </w:rPr>
  </w:style>
  <w:style w:type="paragraph" w:customStyle="1" w:styleId="136">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37">
    <w:name w:val="Char Char Char Char2"/>
    <w:basedOn w:val="14"/>
    <w:qFormat/>
    <w:uiPriority w:val="0"/>
    <w:pPr>
      <w:adjustRightInd w:val="0"/>
      <w:snapToGrid w:val="0"/>
      <w:spacing w:line="360" w:lineRule="auto"/>
    </w:pPr>
    <w:rPr>
      <w:rFonts w:ascii="Tahoma" w:hAnsi="Tahoma"/>
      <w:sz w:val="24"/>
      <w:szCs w:val="24"/>
    </w:rPr>
  </w:style>
  <w:style w:type="paragraph" w:customStyle="1" w:styleId="138">
    <w:name w:val="_Style 119"/>
    <w:basedOn w:val="1"/>
    <w:next w:val="126"/>
    <w:qFormat/>
    <w:uiPriority w:val="34"/>
    <w:pPr>
      <w:widowControl/>
      <w:ind w:left="720"/>
      <w:contextualSpacing/>
      <w:jc w:val="left"/>
    </w:pPr>
    <w:rPr>
      <w:rFonts w:ascii="Calibri" w:hAnsi="Calibri"/>
      <w:kern w:val="0"/>
      <w:sz w:val="24"/>
      <w:szCs w:val="24"/>
      <w:lang w:eastAsia="en-US" w:bidi="en-US"/>
    </w:rPr>
  </w:style>
  <w:style w:type="paragraph" w:customStyle="1" w:styleId="1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Table Paragraph"/>
    <w:basedOn w:val="1"/>
    <w:qFormat/>
    <w:uiPriority w:val="1"/>
  </w:style>
  <w:style w:type="character" w:customStyle="1" w:styleId="141">
    <w:name w:val="纯文本 字符"/>
    <w:qFormat/>
    <w:uiPriority w:val="0"/>
    <w:rPr>
      <w:rFonts w:ascii="宋体" w:hAnsi="Courier New" w:cs="Courier New"/>
      <w:kern w:val="2"/>
      <w:sz w:val="21"/>
      <w:szCs w:val="21"/>
    </w:rPr>
  </w:style>
  <w:style w:type="character" w:customStyle="1" w:styleId="142">
    <w:name w:val="正文缩进 字符"/>
    <w:qFormat/>
    <w:uiPriority w:val="0"/>
    <w:rPr>
      <w:kern w:val="2"/>
      <w:sz w:val="21"/>
      <w:szCs w:val="21"/>
    </w:rPr>
  </w:style>
  <w:style w:type="paragraph" w:customStyle="1" w:styleId="143">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144">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5">
    <w:name w:val="xl71"/>
    <w:basedOn w:val="1"/>
    <w:qFormat/>
    <w:uiPriority w:val="0"/>
    <w:pPr>
      <w:widowControl/>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D0D0D"/>
      <w:kern w:val="0"/>
      <w:sz w:val="20"/>
      <w:szCs w:val="20"/>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66">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7">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8">
    <w:name w:val="xl94"/>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69">
    <w:name w:val="xl95"/>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71">
    <w:name w:val="xl9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72">
    <w:name w:val="xl9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3">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4">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5">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6">
    <w:name w:val="xl102"/>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7">
    <w:name w:val="xl103"/>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8">
    <w:name w:val="xl1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9">
    <w:name w:val="xl6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80">
    <w:name w:val="xl69"/>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181">
    <w:name w:val="超链接_0"/>
    <w:qFormat/>
    <w:uiPriority w:val="99"/>
    <w:rPr>
      <w:rFonts w:hint="default" w:ascii="Calibri" w:hAnsi="Calibri" w:cs="Calibri"/>
      <w:color w:val="0000FF"/>
      <w:u w:val="single"/>
    </w:rPr>
  </w:style>
  <w:style w:type="paragraph" w:customStyle="1" w:styleId="182">
    <w:name w:val="正文_0"/>
    <w:basedOn w:val="1"/>
    <w:next w:val="1"/>
    <w:qFormat/>
    <w:uiPriority w:val="0"/>
    <w:pPr>
      <w:spacing w:after="200" w:line="276" w:lineRule="auto"/>
    </w:pPr>
    <w:rPr>
      <w:rFonts w:ascii="Calibri" w:hAnsi="Calibri"/>
      <w:szCs w:val="24"/>
    </w:rPr>
  </w:style>
  <w:style w:type="paragraph" w:customStyle="1" w:styleId="183">
    <w:name w:val="普通(网站)1"/>
    <w:basedOn w:val="1"/>
    <w:qFormat/>
    <w:uiPriority w:val="0"/>
    <w:pPr>
      <w:spacing w:beforeAutospacing="1" w:afterAutospacing="1"/>
      <w:jc w:val="left"/>
    </w:pPr>
    <w:rPr>
      <w:rFonts w:ascii="Calibri" w:hAnsi="Calibri"/>
      <w:kern w:val="0"/>
      <w:sz w:val="24"/>
    </w:rPr>
  </w:style>
  <w:style w:type="character" w:customStyle="1" w:styleId="184">
    <w:name w:val="bookmark-item"/>
    <w:basedOn w:val="40"/>
    <w:qFormat/>
    <w:uiPriority w:val="0"/>
  </w:style>
  <w:style w:type="paragraph" w:customStyle="1" w:styleId="185">
    <w:name w:val="表格"/>
    <w:basedOn w:val="29"/>
    <w:next w:val="1"/>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186">
    <w:name w:val="btn-auto-1"/>
    <w:basedOn w:val="40"/>
    <w:qFormat/>
    <w:uiPriority w:val="0"/>
  </w:style>
  <w:style w:type="character" w:customStyle="1" w:styleId="187">
    <w:name w:val="s1"/>
    <w:basedOn w:val="40"/>
    <w:qFormat/>
    <w:uiPriority w:val="0"/>
    <w:rPr>
      <w:color w:val="DDDDDD"/>
      <w:sz w:val="14"/>
      <w:szCs w:val="14"/>
    </w:rPr>
  </w:style>
  <w:style w:type="character" w:customStyle="1" w:styleId="188">
    <w:name w:val="btn-task-gray2"/>
    <w:basedOn w:val="40"/>
    <w:qFormat/>
    <w:uiPriority w:val="0"/>
    <w:rPr>
      <w:color w:val="FFFFFF"/>
      <w:u w:val="none"/>
      <w:shd w:val="clear" w:color="auto" w:fill="CCCCCC"/>
    </w:rPr>
  </w:style>
  <w:style w:type="character" w:customStyle="1" w:styleId="189">
    <w:name w:val="btn-task-gray3"/>
    <w:basedOn w:val="40"/>
    <w:qFormat/>
    <w:uiPriority w:val="0"/>
  </w:style>
  <w:style w:type="character" w:customStyle="1" w:styleId="190">
    <w:name w:val="fontstyle01"/>
    <w:basedOn w:val="40"/>
    <w:qFormat/>
    <w:uiPriority w:val="0"/>
    <w:rPr>
      <w:rFonts w:ascii="仿宋" w:hAnsi="仿宋" w:eastAsia="仿宋" w:cs="仿宋"/>
      <w:color w:val="000000"/>
      <w:sz w:val="32"/>
      <w:szCs w:val="32"/>
    </w:rPr>
  </w:style>
  <w:style w:type="paragraph" w:customStyle="1" w:styleId="191">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19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正文2"/>
    <w:basedOn w:val="1"/>
    <w:qFormat/>
    <w:uiPriority w:val="0"/>
    <w:pPr>
      <w:spacing w:before="156" w:line="360" w:lineRule="auto"/>
      <w:ind w:firstLine="510" w:firstLineChars="200"/>
    </w:pPr>
    <w:rPr>
      <w:sz w:val="24"/>
    </w:rPr>
  </w:style>
  <w:style w:type="paragraph" w:customStyle="1" w:styleId="198">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9">
    <w:name w:val="正文文本缩进_2"/>
    <w:basedOn w:val="200"/>
    <w:qFormat/>
    <w:uiPriority w:val="0"/>
    <w:pPr>
      <w:spacing w:line="500" w:lineRule="exact"/>
      <w:ind w:left="1588" w:leftChars="832" w:firstLine="433" w:firstLineChars="196"/>
    </w:pPr>
    <w:rPr>
      <w:kern w:val="0"/>
      <w:sz w:val="24"/>
    </w:rPr>
  </w:style>
  <w:style w:type="paragraph" w:customStyle="1" w:styleId="20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02">
    <w:name w:val="layui-layer-tabnow"/>
    <w:basedOn w:val="40"/>
    <w:qFormat/>
    <w:uiPriority w:val="0"/>
    <w:rPr>
      <w:bdr w:val="single" w:color="CCCCCC" w:sz="4" w:space="0"/>
      <w:shd w:val="clear" w:fill="FFFFFF"/>
    </w:rPr>
  </w:style>
  <w:style w:type="character" w:customStyle="1" w:styleId="203">
    <w:name w:val="first-child"/>
    <w:basedOn w:val="40"/>
    <w:qFormat/>
    <w:uiPriority w:val="0"/>
  </w:style>
  <w:style w:type="character" w:customStyle="1" w:styleId="204">
    <w:name w:val="font51"/>
    <w:basedOn w:val="40"/>
    <w:qFormat/>
    <w:uiPriority w:val="0"/>
    <w:rPr>
      <w:rFonts w:hint="default" w:ascii="方正仿宋_GBK" w:hAnsi="方正仿宋_GBK" w:eastAsia="方正仿宋_GBK" w:cs="方正仿宋_GBK"/>
      <w:color w:val="FF0000"/>
      <w:sz w:val="18"/>
      <w:szCs w:val="18"/>
      <w:u w:val="none"/>
    </w:rPr>
  </w:style>
  <w:style w:type="character" w:customStyle="1" w:styleId="205">
    <w:name w:val="font41"/>
    <w:basedOn w:val="40"/>
    <w:qFormat/>
    <w:uiPriority w:val="0"/>
    <w:rPr>
      <w:rFonts w:hint="default" w:ascii="方正仿宋_GBK" w:hAnsi="方正仿宋_GBK" w:eastAsia="方正仿宋_GBK" w:cs="方正仿宋_GBK"/>
      <w:color w:val="000000"/>
      <w:sz w:val="18"/>
      <w:szCs w:val="18"/>
      <w:u w:val="none"/>
    </w:rPr>
  </w:style>
  <w:style w:type="paragraph" w:customStyle="1" w:styleId="206">
    <w:name w:val="样式5"/>
    <w:basedOn w:val="207"/>
    <w:qFormat/>
    <w:uiPriority w:val="0"/>
    <w:pPr>
      <w:ind w:firstLine="485"/>
    </w:pPr>
  </w:style>
  <w:style w:type="paragraph" w:customStyle="1" w:styleId="207">
    <w:name w:val="样式 正文文本缩进 2 + 左  0 字符 首行缩进:  2.02 字符"/>
    <w:basedOn w:val="24"/>
    <w:qFormat/>
    <w:uiPriority w:val="0"/>
    <w:pPr>
      <w:ind w:left="0" w:leftChars="0" w:firstLine="424" w:firstLineChars="202"/>
    </w:pPr>
    <w:rPr>
      <w:rFonts w:cs="宋体"/>
      <w:sz w:val="24"/>
    </w:rPr>
  </w:style>
  <w:style w:type="character" w:customStyle="1" w:styleId="208">
    <w:name w:val="font01"/>
    <w:basedOn w:val="40"/>
    <w:qFormat/>
    <w:uiPriority w:val="0"/>
    <w:rPr>
      <w:rFonts w:hint="eastAsia" w:ascii="宋体" w:hAnsi="宋体" w:eastAsia="宋体" w:cs="宋体"/>
      <w:b/>
      <w:bCs/>
      <w:color w:val="000000"/>
      <w:sz w:val="18"/>
      <w:szCs w:val="18"/>
      <w:u w:val="none"/>
    </w:rPr>
  </w:style>
  <w:style w:type="paragraph" w:customStyle="1" w:styleId="209">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10">
    <w:name w:val="Plain Text1"/>
    <w:basedOn w:val="1"/>
    <w:qFormat/>
    <w:uiPriority w:val="99"/>
    <w:rPr>
      <w:rFonts w:hAnsi="Courier New" w:cs="Courier New"/>
      <w:szCs w:val="21"/>
    </w:rPr>
  </w:style>
  <w:style w:type="paragraph" w:customStyle="1" w:styleId="211">
    <w:name w:val="列表段落2"/>
    <w:basedOn w:val="1"/>
    <w:qFormat/>
    <w:uiPriority w:val="34"/>
    <w:pPr>
      <w:spacing w:line="240" w:lineRule="auto"/>
      <w:ind w:firstLine="420" w:firstLineChars="200"/>
    </w:pPr>
    <w:rPr>
      <w:rFonts w:eastAsia="宋体"/>
      <w:sz w:val="21"/>
    </w:rPr>
  </w:style>
  <w:style w:type="paragraph" w:customStyle="1" w:styleId="212">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44"/>
      <w:szCs w:val="44"/>
      <w:lang w:eastAsia="en-US"/>
    </w:rPr>
  </w:style>
  <w:style w:type="table" w:customStyle="1" w:styleId="213">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38795</Words>
  <Characters>41704</Characters>
  <Lines>878</Lines>
  <Paragraphs>247</Paragraphs>
  <TotalTime>58</TotalTime>
  <ScaleCrop>false</ScaleCrop>
  <LinksUpToDate>false</LinksUpToDate>
  <CharactersWithSpaces>43867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2021-09-18T22:34:00Z</dcterms:created>
  <dc:creator>yinjian</dc:creator>
  <cp:lastModifiedBy>李会会</cp:lastModifiedBy>
  <cp:lastPrinted>2023-11-23T05:43:00Z</cp:lastPrinted>
  <dcterms:modified xsi:type="dcterms:W3CDTF">2023-11-28T09:42:20Z</dcterms:modified>
  <dc:title>招　标　文　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A7C35B7FA9134049806036CDC8AAB3D4_13</vt:lpwstr>
  </property>
</Properties>
</file>