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FF78">
      <w:pPr>
        <w:autoSpaceDE w:val="0"/>
        <w:autoSpaceDN w:val="0"/>
        <w:adjustRightInd w:val="0"/>
        <w:spacing w:line="360" w:lineRule="auto"/>
        <w:ind w:firstLine="3795" w:firstLineChars="450"/>
        <w:jc w:val="right"/>
        <w:rPr>
          <w:rFonts w:ascii="方正行楷简体" w:hAnsi="新宋体" w:eastAsia="方正行楷简体" w:cs="华文行楷"/>
          <w:b/>
          <w:sz w:val="52"/>
          <w:szCs w:val="52"/>
          <w:lang w:val="zh-CN"/>
        </w:rPr>
      </w:pPr>
      <w:r>
        <w:rPr>
          <w:rFonts w:hint="eastAsia" w:ascii="宋体" w:hAnsi="宋体" w:cs="宋体"/>
          <w:b/>
          <w:bCs/>
          <w:color w:val="000000"/>
          <w:kern w:val="0"/>
          <w:sz w:val="84"/>
          <w:szCs w:val="84"/>
          <w:lang w:val="zh-CN"/>
        </w:rPr>
        <w:drawing>
          <wp:inline distT="0" distB="0" distL="114300" distR="114300">
            <wp:extent cx="1162050" cy="1066800"/>
            <wp:effectExtent l="0" t="0" r="0" b="0"/>
            <wp:docPr id="3" name="图片 1" descr="QQ截图2018070615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截图20180706150227"/>
                    <pic:cNvPicPr>
                      <a:picLocks noChangeAspect="1"/>
                    </pic:cNvPicPr>
                  </pic:nvPicPr>
                  <pic:blipFill>
                    <a:blip r:embed="rId14"/>
                    <a:stretch>
                      <a:fillRect/>
                    </a:stretch>
                  </pic:blipFill>
                  <pic:spPr>
                    <a:xfrm>
                      <a:off x="0" y="0"/>
                      <a:ext cx="1162050" cy="1066800"/>
                    </a:xfrm>
                    <a:prstGeom prst="rect">
                      <a:avLst/>
                    </a:prstGeom>
                    <a:noFill/>
                    <a:ln>
                      <a:noFill/>
                    </a:ln>
                  </pic:spPr>
                </pic:pic>
              </a:graphicData>
            </a:graphic>
          </wp:inline>
        </w:drawing>
      </w:r>
      <w:r>
        <w:rPr>
          <w:rFonts w:hint="eastAsia" w:ascii="方正行楷简体" w:hAnsi="新宋体" w:eastAsia="方正行楷简体" w:cs="华文行楷"/>
          <w:b/>
          <w:sz w:val="52"/>
          <w:szCs w:val="52"/>
        </w:rPr>
        <w:t xml:space="preserve">                                                                    </w:t>
      </w:r>
      <w:r>
        <w:rPr>
          <w:rFonts w:hint="eastAsia" w:ascii="方正行楷简体" w:hAnsi="新宋体" w:eastAsia="方正行楷简体" w:cs="华文行楷"/>
          <w:b/>
          <w:sz w:val="52"/>
          <w:szCs w:val="52"/>
          <w:lang w:val="zh-CN"/>
        </w:rPr>
        <w:t xml:space="preserve"> </w:t>
      </w:r>
    </w:p>
    <w:p w14:paraId="3ABF0100">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0D51D8E">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25525863">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14:paraId="092E0819">
      <w:pPr>
        <w:adjustRightInd w:val="0"/>
        <w:spacing w:line="360" w:lineRule="auto"/>
        <w:ind w:firstLine="0" w:firstLineChars="0"/>
        <w:textAlignment w:val="baseline"/>
        <w:rPr>
          <w:rFonts w:ascii="仿宋_GB2312" w:hAnsi="宋体" w:eastAsia="仿宋_GB2312"/>
          <w:b/>
          <w:sz w:val="36"/>
          <w:szCs w:val="36"/>
        </w:rPr>
      </w:pPr>
    </w:p>
    <w:p w14:paraId="0F5FC0C2">
      <w:pPr>
        <w:pStyle w:val="67"/>
      </w:pPr>
    </w:p>
    <w:p w14:paraId="67D644B9">
      <w:pPr>
        <w:adjustRightInd w:val="0"/>
        <w:spacing w:line="360" w:lineRule="auto"/>
        <w:ind w:firstLine="0" w:firstLineChars="0"/>
        <w:textAlignment w:val="baseline"/>
        <w:rPr>
          <w:rFonts w:ascii="仿宋_GB2312" w:hAnsi="宋体" w:eastAsia="仿宋_GB2312"/>
          <w:b/>
          <w:sz w:val="36"/>
          <w:szCs w:val="36"/>
        </w:rPr>
      </w:pPr>
    </w:p>
    <w:p w14:paraId="246090EC">
      <w:pPr>
        <w:adjustRightInd w:val="0"/>
        <w:spacing w:line="720" w:lineRule="auto"/>
        <w:ind w:right="-571" w:rightChars="-238" w:firstLine="0" w:firstLineChars="0"/>
        <w:textAlignment w:val="baseline"/>
        <w:rPr>
          <w:rFonts w:ascii="仿宋_GB2312" w:hAnsi="宋体" w:eastAsia="仿宋_GB2312"/>
          <w:b/>
          <w:sz w:val="36"/>
          <w:szCs w:val="36"/>
        </w:rPr>
      </w:pPr>
    </w:p>
    <w:p w14:paraId="26F09F9B">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b/>
          <w:sz w:val="30"/>
          <w:szCs w:val="30"/>
        </w:rPr>
      </w:pPr>
      <w:r>
        <w:rPr>
          <w:rFonts w:hint="eastAsia"/>
          <w:b/>
          <w:sz w:val="30"/>
          <w:szCs w:val="30"/>
        </w:rPr>
        <w:t>项目编号：</w:t>
      </w:r>
      <w:r>
        <w:rPr>
          <w:rFonts w:hint="eastAsia"/>
          <w:b/>
          <w:sz w:val="30"/>
          <w:szCs w:val="30"/>
          <w:lang w:eastAsia="zh-CN"/>
        </w:rPr>
        <w:t xml:space="preserve">青海旺利欣竞磋（货物）2025-023号 </w:t>
      </w:r>
    </w:p>
    <w:p w14:paraId="42E794A5">
      <w:pPr>
        <w:adjustRightInd w:val="0"/>
        <w:spacing w:line="360" w:lineRule="auto"/>
        <w:ind w:left="0" w:leftChars="0" w:firstLine="0" w:firstLineChars="0"/>
        <w:textAlignment w:val="baseline"/>
        <w:rPr>
          <w:rFonts w:hint="eastAsia" w:eastAsia="宋体"/>
          <w:b/>
          <w:sz w:val="30"/>
          <w:szCs w:val="30"/>
          <w:lang w:eastAsia="zh-CN"/>
        </w:rPr>
      </w:pPr>
      <w:r>
        <w:rPr>
          <w:rFonts w:hint="eastAsia"/>
          <w:b/>
          <w:sz w:val="30"/>
          <w:szCs w:val="30"/>
        </w:rPr>
        <w:t>项目名称：</w:t>
      </w:r>
      <w:r>
        <w:rPr>
          <w:rFonts w:hint="eastAsia"/>
          <w:b/>
          <w:sz w:val="30"/>
          <w:szCs w:val="30"/>
          <w:lang w:eastAsia="zh-CN"/>
        </w:rPr>
        <w:t>共和县中医院两专一中心（康复器材）采购项目</w:t>
      </w:r>
    </w:p>
    <w:p w14:paraId="30AC1CF5">
      <w:pPr>
        <w:adjustRightInd w:val="0"/>
        <w:spacing w:line="360" w:lineRule="auto"/>
        <w:ind w:left="0" w:leftChars="0" w:firstLine="0" w:firstLineChars="0"/>
        <w:jc w:val="left"/>
        <w:textAlignment w:val="baseline"/>
        <w:rPr>
          <w:rFonts w:hint="default"/>
          <w:b/>
          <w:sz w:val="32"/>
          <w:szCs w:val="32"/>
          <w:lang w:val="en-US"/>
        </w:rPr>
      </w:pPr>
      <w:r>
        <w:rPr>
          <w:rFonts w:hint="eastAsia"/>
          <w:b/>
          <w:sz w:val="30"/>
          <w:szCs w:val="30"/>
        </w:rPr>
        <w:t>采购单位：</w:t>
      </w:r>
      <w:r>
        <w:rPr>
          <w:rFonts w:hint="eastAsia"/>
          <w:b/>
          <w:sz w:val="30"/>
          <w:szCs w:val="30"/>
          <w:lang w:eastAsia="zh-CN"/>
        </w:rPr>
        <w:t>共和县中医院</w:t>
      </w:r>
      <w:r>
        <w:rPr>
          <w:rFonts w:hint="eastAsia"/>
          <w:b/>
          <w:sz w:val="30"/>
          <w:szCs w:val="30"/>
          <w:lang w:val="en-US" w:eastAsia="zh-CN"/>
        </w:rPr>
        <w:t xml:space="preserve"> </w:t>
      </w:r>
    </w:p>
    <w:p w14:paraId="5D393C70">
      <w:pPr>
        <w:adjustRightInd w:val="0"/>
        <w:spacing w:line="360" w:lineRule="auto"/>
        <w:ind w:left="0" w:leftChars="0" w:firstLine="0" w:firstLineChars="0"/>
        <w:jc w:val="both"/>
        <w:textAlignment w:val="baseline"/>
        <w:rPr>
          <w:b/>
          <w:sz w:val="30"/>
          <w:szCs w:val="30"/>
        </w:rPr>
      </w:pPr>
      <w:r>
        <w:rPr>
          <w:rFonts w:hint="eastAsia"/>
          <w:b/>
          <w:sz w:val="30"/>
          <w:szCs w:val="30"/>
        </w:rPr>
        <w:t>采购代理机构：青海旺利欣项目咨询管理有限公司</w:t>
      </w:r>
    </w:p>
    <w:p w14:paraId="73985006">
      <w:pPr>
        <w:adjustRightInd w:val="0"/>
        <w:spacing w:line="360" w:lineRule="auto"/>
        <w:ind w:left="0" w:leftChars="0" w:firstLine="0" w:firstLineChars="0"/>
        <w:jc w:val="center"/>
        <w:textAlignment w:val="baseline"/>
        <w:rPr>
          <w:rFonts w:ascii="宋体" w:hAnsi="宋体"/>
          <w:b/>
          <w:sz w:val="32"/>
          <w:szCs w:val="32"/>
        </w:rPr>
      </w:pPr>
      <w:r>
        <w:rPr>
          <w:rFonts w:hint="eastAsia" w:ascii="宋体" w:hAnsi="宋体"/>
          <w:b/>
          <w:sz w:val="30"/>
          <w:szCs w:val="30"/>
        </w:rPr>
        <w:t>202</w:t>
      </w:r>
      <w:r>
        <w:rPr>
          <w:rFonts w:hint="eastAsia" w:ascii="宋体" w:hAnsi="宋体"/>
          <w:b/>
          <w:sz w:val="30"/>
          <w:szCs w:val="30"/>
          <w:lang w:val="en-US" w:eastAsia="zh-CN"/>
        </w:rPr>
        <w:t>5</w:t>
      </w:r>
      <w:r>
        <w:rPr>
          <w:rFonts w:hint="eastAsia" w:ascii="宋体" w:hAnsi="宋体"/>
          <w:b/>
          <w:sz w:val="30"/>
          <w:szCs w:val="30"/>
        </w:rPr>
        <w:t>年</w:t>
      </w:r>
      <w:r>
        <w:rPr>
          <w:rFonts w:hint="eastAsia" w:ascii="宋体" w:hAnsi="宋体"/>
          <w:b/>
          <w:sz w:val="30"/>
          <w:szCs w:val="30"/>
          <w:lang w:val="en-US" w:eastAsia="zh-CN"/>
        </w:rPr>
        <w:t>06</w:t>
      </w:r>
      <w:r>
        <w:rPr>
          <w:rFonts w:hint="eastAsia" w:ascii="宋体" w:hAnsi="宋体"/>
          <w:b/>
          <w:sz w:val="30"/>
          <w:szCs w:val="30"/>
        </w:rPr>
        <w:t>月</w:t>
      </w:r>
    </w:p>
    <w:p w14:paraId="2D58AACF">
      <w:pPr>
        <w:adjustRightInd w:val="0"/>
        <w:spacing w:line="360" w:lineRule="auto"/>
        <w:ind w:firstLine="0" w:firstLineChars="0"/>
        <w:jc w:val="center"/>
        <w:textAlignment w:val="baseline"/>
        <w:rPr>
          <w:rFonts w:ascii="宋体" w:hAnsi="宋体"/>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867" w:gutter="0"/>
          <w:pgBorders>
            <w:top w:val="none" w:sz="0" w:space="0"/>
            <w:left w:val="none" w:sz="0" w:space="0"/>
            <w:bottom w:val="none" w:sz="0" w:space="0"/>
            <w:right w:val="none" w:sz="0" w:space="0"/>
          </w:pgBorders>
          <w:pgNumType w:fmt="decimal"/>
          <w:cols w:space="720" w:num="1"/>
          <w:docGrid w:linePitch="312" w:charSpace="0"/>
        </w:sectPr>
      </w:pPr>
    </w:p>
    <w:p w14:paraId="47384B77">
      <w:pPr>
        <w:adjustRightInd w:val="0"/>
        <w:spacing w:line="360" w:lineRule="auto"/>
        <w:ind w:firstLine="0" w:firstLineChars="0"/>
        <w:jc w:val="center"/>
        <w:textAlignment w:val="baseline"/>
      </w:pPr>
      <w:r>
        <w:rPr>
          <w:rFonts w:hint="eastAsia" w:ascii="宋体" w:hAnsi="宋体"/>
          <w:b/>
          <w:sz w:val="40"/>
          <w:szCs w:val="30"/>
        </w:rPr>
        <w:t>目  录</w:t>
      </w:r>
    </w:p>
    <w:p w14:paraId="23377015">
      <w:pPr>
        <w:pStyle w:val="275"/>
        <w:tabs>
          <w:tab w:val="right" w:leader="dot" w:pos="8788"/>
        </w:tabs>
        <w:spacing w:line="264" w:lineRule="auto"/>
        <w:rPr>
          <w:rFonts w:ascii="宋体" w:hAnsi="宋体" w:cs="宋体"/>
          <w:b/>
          <w:sz w:val="24"/>
          <w:szCs w:val="24"/>
        </w:rPr>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"_Toc25898" </w:instrText>
      </w:r>
      <w:r>
        <w:fldChar w:fldCharType="separate"/>
      </w:r>
      <w:r>
        <w:rPr>
          <w:rFonts w:hint="eastAsia" w:ascii="宋体" w:hAnsi="宋体" w:cs="宋体"/>
          <w:b/>
          <w:sz w:val="24"/>
          <w:szCs w:val="24"/>
        </w:rPr>
        <w:t xml:space="preserve">第一部分  </w:t>
      </w:r>
      <w:r>
        <w:rPr>
          <w:rFonts w:hint="eastAsia" w:ascii="宋体" w:hAnsi="宋体" w:cs="宋体"/>
          <w:b/>
          <w:kern w:val="28"/>
          <w:sz w:val="24"/>
          <w:szCs w:val="24"/>
        </w:rPr>
        <w:t>磋商公告</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_Toc25898 </w:instrText>
      </w:r>
      <w:r>
        <w:rPr>
          <w:rFonts w:hint="eastAsia" w:ascii="宋体" w:hAnsi="宋体" w:cs="宋体"/>
          <w:b/>
          <w:sz w:val="24"/>
          <w:szCs w:val="24"/>
        </w:rPr>
        <w:fldChar w:fldCharType="separate"/>
      </w:r>
      <w:r>
        <w:rPr>
          <w:rFonts w:hint="eastAsia" w:ascii="宋体" w:hAnsi="宋体" w:cs="宋体"/>
          <w:b/>
          <w:sz w:val="24"/>
          <w:szCs w:val="24"/>
        </w:rPr>
        <w:t>2</w:t>
      </w:r>
      <w:r>
        <w:rPr>
          <w:rFonts w:hint="eastAsia" w:ascii="宋体" w:hAnsi="宋体" w:cs="宋体"/>
          <w:b/>
          <w:sz w:val="24"/>
          <w:szCs w:val="24"/>
        </w:rPr>
        <w:fldChar w:fldCharType="end"/>
      </w:r>
      <w:r>
        <w:rPr>
          <w:rFonts w:hint="eastAsia" w:ascii="宋体" w:hAnsi="宋体" w:cs="宋体"/>
          <w:b/>
          <w:sz w:val="24"/>
          <w:szCs w:val="24"/>
        </w:rPr>
        <w:fldChar w:fldCharType="end"/>
      </w:r>
    </w:p>
    <w:p w14:paraId="7030EF3D">
      <w:pPr>
        <w:pStyle w:val="275"/>
        <w:tabs>
          <w:tab w:val="right" w:leader="dot" w:pos="8788"/>
        </w:tabs>
        <w:spacing w:line="264" w:lineRule="auto"/>
        <w:rPr>
          <w:rFonts w:ascii="宋体" w:hAnsi="宋体" w:cs="宋体"/>
          <w:b/>
          <w:sz w:val="24"/>
          <w:szCs w:val="24"/>
        </w:rPr>
      </w:pPr>
      <w:r>
        <w:fldChar w:fldCharType="begin"/>
      </w:r>
      <w:r>
        <w:instrText xml:space="preserve"> HYPERLINK \l "_Toc30337" </w:instrText>
      </w:r>
      <w:r>
        <w:fldChar w:fldCharType="separate"/>
      </w:r>
      <w:r>
        <w:rPr>
          <w:rFonts w:hint="eastAsia" w:ascii="宋体" w:hAnsi="宋体" w:cs="宋体"/>
          <w:b/>
          <w:kern w:val="28"/>
          <w:sz w:val="24"/>
          <w:szCs w:val="24"/>
        </w:rPr>
        <w:t>第二部分  供应商须知前附表</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_Toc30337 </w:instrText>
      </w:r>
      <w:r>
        <w:rPr>
          <w:rFonts w:hint="eastAsia" w:ascii="宋体" w:hAnsi="宋体" w:cs="宋体"/>
          <w:b/>
          <w:sz w:val="24"/>
          <w:szCs w:val="24"/>
        </w:rPr>
        <w:fldChar w:fldCharType="separate"/>
      </w:r>
      <w:r>
        <w:rPr>
          <w:rFonts w:hint="eastAsia" w:ascii="宋体" w:hAnsi="宋体" w:cs="宋体"/>
          <w:b/>
          <w:sz w:val="24"/>
          <w:szCs w:val="24"/>
        </w:rPr>
        <w:t>5</w:t>
      </w:r>
      <w:r>
        <w:rPr>
          <w:rFonts w:hint="eastAsia" w:ascii="宋体" w:hAnsi="宋体" w:cs="宋体"/>
          <w:b/>
          <w:sz w:val="24"/>
          <w:szCs w:val="24"/>
        </w:rPr>
        <w:fldChar w:fldCharType="end"/>
      </w:r>
      <w:r>
        <w:rPr>
          <w:rFonts w:hint="eastAsia" w:ascii="宋体" w:hAnsi="宋体" w:cs="宋体"/>
          <w:b/>
          <w:sz w:val="24"/>
          <w:szCs w:val="24"/>
        </w:rPr>
        <w:fldChar w:fldCharType="end"/>
      </w:r>
    </w:p>
    <w:p w14:paraId="194EF83D">
      <w:pPr>
        <w:pStyle w:val="275"/>
        <w:tabs>
          <w:tab w:val="right" w:leader="dot" w:pos="8788"/>
        </w:tabs>
        <w:spacing w:line="264" w:lineRule="auto"/>
        <w:rPr>
          <w:rFonts w:ascii="宋体" w:hAnsi="宋体" w:cs="宋体"/>
          <w:b/>
          <w:sz w:val="24"/>
          <w:szCs w:val="24"/>
        </w:rPr>
      </w:pPr>
      <w:r>
        <w:fldChar w:fldCharType="begin"/>
      </w:r>
      <w:r>
        <w:instrText xml:space="preserve"> HYPERLINK \l "_Toc19598" </w:instrText>
      </w:r>
      <w:r>
        <w:fldChar w:fldCharType="separate"/>
      </w:r>
      <w:r>
        <w:rPr>
          <w:rFonts w:hint="eastAsia" w:ascii="宋体" w:hAnsi="宋体" w:cs="宋体"/>
          <w:b/>
          <w:kern w:val="28"/>
          <w:sz w:val="24"/>
          <w:szCs w:val="24"/>
        </w:rPr>
        <w:t>第三部分  投标供应商须知</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_Toc19598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sz w:val="24"/>
          <w:szCs w:val="24"/>
        </w:rPr>
        <w:fldChar w:fldCharType="end"/>
      </w:r>
    </w:p>
    <w:p w14:paraId="604B3BBB">
      <w:pPr>
        <w:pStyle w:val="261"/>
        <w:tabs>
          <w:tab w:val="right" w:leader="dot" w:pos="8788"/>
        </w:tabs>
        <w:spacing w:line="264" w:lineRule="auto"/>
        <w:ind w:left="480"/>
        <w:rPr>
          <w:rFonts w:ascii="宋体" w:hAnsi="宋体" w:cs="宋体"/>
          <w:sz w:val="24"/>
          <w:szCs w:val="24"/>
        </w:rPr>
      </w:pPr>
      <w:r>
        <w:fldChar w:fldCharType="begin"/>
      </w:r>
      <w:r>
        <w:instrText xml:space="preserve"> HYPERLINK \l "_Toc12782" </w:instrText>
      </w:r>
      <w:r>
        <w:fldChar w:fldCharType="separate"/>
      </w:r>
      <w:r>
        <w:rPr>
          <w:rFonts w:hint="eastAsia" w:ascii="宋体" w:hAnsi="宋体" w:cs="宋体"/>
          <w:bCs/>
          <w:sz w:val="24"/>
          <w:szCs w:val="24"/>
        </w:rPr>
        <w:t>一、说明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_Toc12782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4488905F">
      <w:pPr>
        <w:pStyle w:val="261"/>
        <w:tabs>
          <w:tab w:val="right" w:leader="dot" w:pos="8788"/>
        </w:tabs>
        <w:spacing w:line="264" w:lineRule="auto"/>
        <w:ind w:left="480"/>
        <w:rPr>
          <w:rFonts w:ascii="宋体" w:hAnsi="宋体" w:cs="宋体"/>
          <w:sz w:val="24"/>
          <w:szCs w:val="24"/>
        </w:rPr>
      </w:pPr>
      <w:r>
        <w:fldChar w:fldCharType="begin"/>
      </w:r>
      <w:r>
        <w:instrText xml:space="preserve"> HYPERLINK \l "_Toc4709" </w:instrText>
      </w:r>
      <w:r>
        <w:fldChar w:fldCharType="separate"/>
      </w:r>
      <w:r>
        <w:rPr>
          <w:rFonts w:hint="eastAsia" w:ascii="宋体" w:hAnsi="宋体" w:cs="宋体"/>
          <w:bCs/>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_Toc4709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4A72EF0">
      <w:pPr>
        <w:pStyle w:val="261"/>
        <w:tabs>
          <w:tab w:val="right" w:leader="dot" w:pos="8788"/>
        </w:tabs>
        <w:spacing w:line="264" w:lineRule="auto"/>
        <w:ind w:left="480"/>
        <w:rPr>
          <w:rFonts w:ascii="宋体" w:hAnsi="宋体" w:cs="宋体"/>
          <w:sz w:val="24"/>
          <w:szCs w:val="24"/>
        </w:rPr>
      </w:pPr>
      <w:r>
        <w:fldChar w:fldCharType="begin"/>
      </w:r>
      <w:r>
        <w:instrText xml:space="preserve"> HYPERLINK \l "_Toc10664" </w:instrText>
      </w:r>
      <w:r>
        <w:fldChar w:fldCharType="separate"/>
      </w:r>
      <w:r>
        <w:rPr>
          <w:rFonts w:hint="eastAsia" w:ascii="宋体" w:hAnsi="宋体" w:cs="宋体"/>
          <w:bCs/>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_Toc10664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5ADF54BF">
      <w:pPr>
        <w:pStyle w:val="261"/>
        <w:tabs>
          <w:tab w:val="right" w:leader="dot" w:pos="8788"/>
        </w:tabs>
        <w:spacing w:line="264" w:lineRule="auto"/>
        <w:ind w:left="480"/>
        <w:rPr>
          <w:rFonts w:ascii="宋体" w:hAnsi="宋体" w:cs="宋体"/>
          <w:sz w:val="24"/>
          <w:szCs w:val="24"/>
        </w:rPr>
      </w:pPr>
      <w:r>
        <w:fldChar w:fldCharType="begin"/>
      </w:r>
      <w:r>
        <w:instrText xml:space="preserve"> HYPERLINK \l "_Toc14999" </w:instrText>
      </w:r>
      <w:r>
        <w:fldChar w:fldCharType="separate"/>
      </w:r>
      <w:r>
        <w:rPr>
          <w:rFonts w:hint="eastAsia" w:ascii="宋体" w:hAnsi="宋体" w:cs="宋体"/>
          <w:bCs/>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_Toc14999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60781079">
      <w:pPr>
        <w:pStyle w:val="261"/>
        <w:tabs>
          <w:tab w:val="right" w:leader="dot" w:pos="8788"/>
        </w:tabs>
        <w:spacing w:line="264" w:lineRule="auto"/>
        <w:ind w:left="480"/>
        <w:rPr>
          <w:rFonts w:ascii="宋体" w:hAnsi="宋体" w:cs="宋体"/>
          <w:sz w:val="24"/>
          <w:szCs w:val="24"/>
        </w:rPr>
      </w:pPr>
      <w:r>
        <w:fldChar w:fldCharType="begin"/>
      </w:r>
      <w:r>
        <w:instrText xml:space="preserve"> HYPERLINK \l "_Toc16789" </w:instrText>
      </w:r>
      <w:r>
        <w:fldChar w:fldCharType="separate"/>
      </w:r>
      <w:r>
        <w:rPr>
          <w:rFonts w:hint="eastAsia" w:ascii="宋体" w:hAnsi="宋体" w:cs="宋体"/>
          <w:bCs/>
          <w:sz w:val="24"/>
          <w:szCs w:val="24"/>
        </w:rPr>
        <w:t>五、磋商过程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_Toc16789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61FDFF0A">
      <w:pPr>
        <w:pStyle w:val="261"/>
        <w:tabs>
          <w:tab w:val="right" w:leader="dot" w:pos="8788"/>
        </w:tabs>
        <w:spacing w:line="264" w:lineRule="auto"/>
        <w:ind w:left="480"/>
        <w:rPr>
          <w:rFonts w:ascii="宋体" w:hAnsi="宋体" w:cs="宋体"/>
          <w:sz w:val="24"/>
          <w:szCs w:val="24"/>
        </w:rPr>
      </w:pPr>
      <w:r>
        <w:fldChar w:fldCharType="begin"/>
      </w:r>
      <w:r>
        <w:instrText xml:space="preserve"> HYPERLINK \l "_Toc1386" </w:instrText>
      </w:r>
      <w:r>
        <w:fldChar w:fldCharType="separate"/>
      </w:r>
      <w:r>
        <w:rPr>
          <w:rFonts w:hint="eastAsia" w:ascii="宋体" w:hAnsi="宋体" w:cs="宋体"/>
          <w:bCs/>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4750477F">
      <w:pPr>
        <w:pStyle w:val="261"/>
        <w:tabs>
          <w:tab w:val="right" w:leader="dot" w:pos="8788"/>
        </w:tabs>
        <w:spacing w:line="264" w:lineRule="auto"/>
        <w:ind w:left="480"/>
        <w:rPr>
          <w:rFonts w:ascii="宋体" w:hAnsi="宋体" w:cs="宋体"/>
          <w:sz w:val="24"/>
          <w:szCs w:val="24"/>
        </w:rPr>
      </w:pPr>
      <w:r>
        <w:fldChar w:fldCharType="begin"/>
      </w:r>
      <w:r>
        <w:instrText xml:space="preserve"> HYPERLINK \l "_Toc23797" </w:instrText>
      </w:r>
      <w:r>
        <w:fldChar w:fldCharType="separate"/>
      </w:r>
      <w:r>
        <w:rPr>
          <w:rFonts w:hint="eastAsia" w:ascii="宋体" w:hAnsi="宋体" w:cs="宋体"/>
          <w:bCs/>
          <w:sz w:val="24"/>
          <w:szCs w:val="24"/>
        </w:rPr>
        <w:t>七、确定成交供应商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_Toc23797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C9FA62B">
      <w:pPr>
        <w:pStyle w:val="261"/>
        <w:tabs>
          <w:tab w:val="right" w:leader="dot" w:pos="8788"/>
        </w:tabs>
        <w:spacing w:line="264" w:lineRule="auto"/>
        <w:ind w:left="480"/>
        <w:rPr>
          <w:rFonts w:ascii="宋体" w:hAnsi="宋体" w:cs="宋体"/>
          <w:sz w:val="24"/>
          <w:szCs w:val="24"/>
        </w:rPr>
      </w:pPr>
      <w:r>
        <w:fldChar w:fldCharType="begin"/>
      </w:r>
      <w:r>
        <w:instrText xml:space="preserve"> HYPERLINK \l "_Toc9445" </w:instrText>
      </w:r>
      <w:r>
        <w:fldChar w:fldCharType="separate"/>
      </w:r>
      <w:r>
        <w:rPr>
          <w:rFonts w:hint="eastAsia" w:ascii="宋体" w:hAnsi="宋体" w:cs="宋体"/>
          <w:bCs/>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_Toc9445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043654CA">
      <w:pPr>
        <w:pStyle w:val="261"/>
        <w:tabs>
          <w:tab w:val="right" w:leader="dot" w:pos="8788"/>
        </w:tabs>
        <w:spacing w:line="264" w:lineRule="auto"/>
        <w:ind w:left="480"/>
        <w:rPr>
          <w:rFonts w:ascii="宋体" w:hAnsi="宋体" w:cs="宋体"/>
          <w:sz w:val="24"/>
          <w:szCs w:val="24"/>
        </w:rPr>
      </w:pPr>
      <w:r>
        <w:fldChar w:fldCharType="begin"/>
      </w:r>
      <w:r>
        <w:instrText xml:space="preserve"> HYPERLINK \l "_Toc31312" </w:instrText>
      </w:r>
      <w:r>
        <w:fldChar w:fldCharType="separate"/>
      </w:r>
      <w:r>
        <w:rPr>
          <w:rFonts w:hint="eastAsia" w:ascii="宋体" w:hAnsi="宋体" w:cs="宋体"/>
          <w:bCs/>
          <w:sz w:val="24"/>
          <w:szCs w:val="24"/>
        </w:rPr>
        <w:t>九、磋商活动终止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_Toc31312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501C2496">
      <w:pPr>
        <w:pStyle w:val="261"/>
        <w:tabs>
          <w:tab w:val="right" w:leader="dot" w:pos="8788"/>
        </w:tabs>
        <w:spacing w:line="264" w:lineRule="auto"/>
        <w:ind w:left="480"/>
        <w:rPr>
          <w:rFonts w:ascii="宋体" w:hAnsi="宋体" w:cs="宋体"/>
          <w:sz w:val="24"/>
          <w:szCs w:val="24"/>
        </w:rPr>
      </w:pPr>
      <w:r>
        <w:fldChar w:fldCharType="begin"/>
      </w:r>
      <w:r>
        <w:instrText xml:space="preserve"> HYPERLINK \l "_Toc26508" </w:instrText>
      </w:r>
      <w:r>
        <w:fldChar w:fldCharType="separate"/>
      </w:r>
      <w:r>
        <w:rPr>
          <w:rFonts w:hint="eastAsia" w:ascii="宋体" w:hAnsi="宋体" w:cs="宋体"/>
          <w:bCs/>
          <w:sz w:val="24"/>
          <w:szCs w:val="24"/>
        </w:rPr>
        <w:t>十、处罚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_Toc26508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1AE464F0">
      <w:pPr>
        <w:pStyle w:val="261"/>
        <w:tabs>
          <w:tab w:val="right" w:leader="dot" w:pos="8788"/>
        </w:tabs>
        <w:spacing w:line="264" w:lineRule="auto"/>
        <w:ind w:left="480"/>
        <w:rPr>
          <w:rFonts w:ascii="宋体" w:hAnsi="宋体" w:cs="宋体"/>
          <w:sz w:val="24"/>
          <w:szCs w:val="24"/>
        </w:rPr>
      </w:pPr>
      <w:r>
        <w:fldChar w:fldCharType="begin"/>
      </w:r>
      <w:r>
        <w:instrText xml:space="preserve"> HYPERLINK \l "_Toc14288" </w:instrText>
      </w:r>
      <w:r>
        <w:fldChar w:fldCharType="separate"/>
      </w:r>
      <w:r>
        <w:rPr>
          <w:rFonts w:hint="eastAsia" w:ascii="宋体" w:hAnsi="宋体" w:cs="宋体"/>
          <w:bCs/>
          <w:sz w:val="24"/>
          <w:szCs w:val="24"/>
        </w:rPr>
        <w:t>十一、招标代理费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_Toc14288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1681515">
      <w:pPr>
        <w:pStyle w:val="261"/>
        <w:tabs>
          <w:tab w:val="right" w:leader="dot" w:pos="8788"/>
        </w:tabs>
        <w:spacing w:line="264" w:lineRule="auto"/>
        <w:ind w:left="480"/>
        <w:rPr>
          <w:rFonts w:ascii="宋体" w:hAnsi="宋体" w:cs="宋体"/>
          <w:sz w:val="24"/>
          <w:szCs w:val="24"/>
        </w:rPr>
      </w:pPr>
      <w:r>
        <w:fldChar w:fldCharType="begin"/>
      </w:r>
      <w:r>
        <w:instrText xml:space="preserve"> HYPERLINK \l "_Toc7628" </w:instrText>
      </w:r>
      <w:r>
        <w:fldChar w:fldCharType="separate"/>
      </w:r>
      <w:r>
        <w:rPr>
          <w:rFonts w:hint="eastAsia" w:ascii="宋体" w:hAnsi="宋体" w:cs="宋体"/>
          <w:bCs/>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_Toc7628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5FA7C308">
      <w:pPr>
        <w:pStyle w:val="275"/>
        <w:tabs>
          <w:tab w:val="right" w:leader="dot" w:pos="8788"/>
        </w:tabs>
        <w:spacing w:line="264" w:lineRule="auto"/>
        <w:rPr>
          <w:rFonts w:ascii="宋体" w:hAnsi="宋体" w:cs="宋体"/>
          <w:sz w:val="24"/>
          <w:szCs w:val="24"/>
        </w:rPr>
      </w:pPr>
      <w:r>
        <w:fldChar w:fldCharType="begin"/>
      </w:r>
      <w:r>
        <w:instrText xml:space="preserve"> HYPERLINK \l "_Toc19312" </w:instrText>
      </w:r>
      <w:r>
        <w:fldChar w:fldCharType="separate"/>
      </w:r>
      <w:r>
        <w:rPr>
          <w:rFonts w:hint="eastAsia" w:ascii="宋体" w:hAnsi="宋体" w:cs="宋体"/>
          <w:b/>
          <w:kern w:val="28"/>
          <w:sz w:val="24"/>
          <w:szCs w:val="24"/>
        </w:rPr>
        <w:t>第四部分  青海省政府采购项目合同书（货物类）</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_Toc19312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sz w:val="24"/>
          <w:szCs w:val="24"/>
        </w:rPr>
        <w:fldChar w:fldCharType="end"/>
      </w:r>
    </w:p>
    <w:p w14:paraId="0B646DBE">
      <w:pPr>
        <w:pStyle w:val="275"/>
        <w:tabs>
          <w:tab w:val="right" w:leader="dot" w:pos="8788"/>
        </w:tabs>
        <w:spacing w:line="264" w:lineRule="auto"/>
        <w:rPr>
          <w:rFonts w:ascii="宋体" w:hAnsi="宋体" w:cs="宋体"/>
          <w:sz w:val="24"/>
          <w:szCs w:val="24"/>
        </w:rPr>
      </w:pPr>
      <w:r>
        <w:fldChar w:fldCharType="begin"/>
      </w:r>
      <w:r>
        <w:instrText xml:space="preserve"> HYPERLINK \l "_Toc4649" </w:instrText>
      </w:r>
      <w:r>
        <w:fldChar w:fldCharType="separate"/>
      </w:r>
      <w:r>
        <w:rPr>
          <w:rFonts w:hint="eastAsia" w:ascii="宋体" w:hAnsi="宋体" w:cs="宋体"/>
          <w:b/>
          <w:kern w:val="28"/>
          <w:sz w:val="24"/>
          <w:szCs w:val="24"/>
        </w:rPr>
        <w:t>第五部分  磋商响应文件格式</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_Toc4649 </w:instrText>
      </w:r>
      <w:r>
        <w:rPr>
          <w:rFonts w:hint="eastAsia" w:ascii="宋体" w:hAnsi="宋体" w:cs="宋体"/>
          <w:b/>
          <w:sz w:val="24"/>
          <w:szCs w:val="24"/>
        </w:rPr>
        <w:fldChar w:fldCharType="separate"/>
      </w:r>
      <w:r>
        <w:rPr>
          <w:rFonts w:hint="eastAsia" w:ascii="宋体" w:hAnsi="宋体" w:cs="宋体"/>
          <w:b/>
          <w:sz w:val="24"/>
          <w:szCs w:val="24"/>
        </w:rPr>
        <w:t>32</w:t>
      </w:r>
      <w:r>
        <w:rPr>
          <w:rFonts w:hint="eastAsia" w:ascii="宋体" w:hAnsi="宋体" w:cs="宋体"/>
          <w:b/>
          <w:sz w:val="24"/>
          <w:szCs w:val="24"/>
        </w:rPr>
        <w:fldChar w:fldCharType="end"/>
      </w:r>
      <w:r>
        <w:rPr>
          <w:rFonts w:hint="eastAsia" w:ascii="宋体" w:hAnsi="宋体" w:cs="宋体"/>
          <w:b/>
          <w:sz w:val="24"/>
          <w:szCs w:val="24"/>
        </w:rPr>
        <w:fldChar w:fldCharType="end"/>
      </w:r>
    </w:p>
    <w:p w14:paraId="07527674">
      <w:pPr>
        <w:pStyle w:val="261"/>
        <w:tabs>
          <w:tab w:val="right" w:leader="dot" w:pos="8788"/>
        </w:tabs>
        <w:spacing w:line="264" w:lineRule="auto"/>
        <w:ind w:left="480"/>
        <w:rPr>
          <w:rFonts w:ascii="宋体" w:hAnsi="宋体" w:cs="宋体"/>
          <w:sz w:val="24"/>
          <w:szCs w:val="24"/>
        </w:rPr>
      </w:pPr>
      <w:r>
        <w:fldChar w:fldCharType="begin"/>
      </w:r>
      <w:r>
        <w:instrText xml:space="preserve"> HYPERLINK \l "_Toc8782" </w:instrText>
      </w:r>
      <w:r>
        <w:fldChar w:fldCharType="separate"/>
      </w:r>
      <w:r>
        <w:rPr>
          <w:rFonts w:hint="eastAsia" w:ascii="宋体" w:hAnsi="宋体" w:cs="宋体"/>
          <w:sz w:val="24"/>
          <w:szCs w:val="24"/>
        </w:rPr>
        <w:t>附件1：磋商函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_Toc8782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44564FDC">
      <w:pPr>
        <w:pStyle w:val="261"/>
        <w:tabs>
          <w:tab w:val="right" w:leader="dot" w:pos="8788"/>
        </w:tabs>
        <w:spacing w:line="264" w:lineRule="auto"/>
        <w:ind w:left="480"/>
        <w:rPr>
          <w:rFonts w:ascii="宋体" w:hAnsi="宋体" w:cs="宋体"/>
          <w:sz w:val="24"/>
          <w:szCs w:val="24"/>
        </w:rPr>
      </w:pPr>
      <w:r>
        <w:fldChar w:fldCharType="begin"/>
      </w:r>
      <w:r>
        <w:instrText xml:space="preserve"> HYPERLINK \l "_Toc22867" </w:instrText>
      </w:r>
      <w:r>
        <w:fldChar w:fldCharType="separate"/>
      </w:r>
      <w:r>
        <w:rPr>
          <w:rFonts w:hint="eastAsia" w:ascii="宋体" w:hAnsi="宋体" w:cs="宋体"/>
          <w:sz w:val="24"/>
          <w:szCs w:val="24"/>
        </w:rPr>
        <w:t>附件2：磋商首次报价表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_Toc22867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55E4D384">
      <w:pPr>
        <w:pStyle w:val="261"/>
        <w:tabs>
          <w:tab w:val="right" w:leader="dot" w:pos="8788"/>
        </w:tabs>
        <w:spacing w:line="264" w:lineRule="auto"/>
        <w:ind w:left="480"/>
        <w:rPr>
          <w:rFonts w:ascii="宋体" w:hAnsi="宋体" w:cs="宋体"/>
          <w:sz w:val="24"/>
          <w:szCs w:val="24"/>
        </w:rPr>
      </w:pPr>
      <w:r>
        <w:fldChar w:fldCharType="begin"/>
      </w:r>
      <w:r>
        <w:instrText xml:space="preserve"> HYPERLINK \l "_Toc30278" </w:instrText>
      </w:r>
      <w:r>
        <w:fldChar w:fldCharType="separate"/>
      </w:r>
      <w:r>
        <w:rPr>
          <w:rFonts w:hint="eastAsia" w:ascii="宋体" w:hAnsi="宋体" w:cs="宋体"/>
          <w:smallCaps/>
          <w:kern w:val="2"/>
          <w:sz w:val="24"/>
          <w:szCs w:val="24"/>
        </w:rPr>
        <w:t>附件3</w:t>
      </w:r>
      <w:r>
        <w:rPr>
          <w:rFonts w:hint="eastAsia" w:ascii="宋体" w:hAnsi="宋体" w:cs="宋体"/>
          <w:smallCaps/>
          <w:kern w:val="2"/>
          <w:sz w:val="24"/>
          <w:szCs w:val="24"/>
          <w:lang w:val="zh-CN"/>
        </w:rPr>
        <w:t>：分项报价表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_Toc30278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52D40D76">
      <w:pPr>
        <w:pStyle w:val="261"/>
        <w:tabs>
          <w:tab w:val="right" w:leader="dot" w:pos="8788"/>
        </w:tabs>
        <w:spacing w:line="264" w:lineRule="auto"/>
        <w:ind w:left="480"/>
        <w:rPr>
          <w:rFonts w:ascii="宋体" w:hAnsi="宋体" w:cs="宋体"/>
          <w:sz w:val="24"/>
          <w:szCs w:val="24"/>
        </w:rPr>
      </w:pPr>
      <w:r>
        <w:fldChar w:fldCharType="begin"/>
      </w:r>
      <w:r>
        <w:instrText xml:space="preserve"> HYPERLINK \l "_Toc29650" </w:instrText>
      </w:r>
      <w:r>
        <w:fldChar w:fldCharType="separate"/>
      </w:r>
      <w:r>
        <w:rPr>
          <w:rFonts w:hint="eastAsia" w:ascii="宋体" w:hAnsi="宋体" w:cs="宋体"/>
          <w:smallCaps/>
          <w:kern w:val="2"/>
          <w:sz w:val="24"/>
          <w:szCs w:val="24"/>
        </w:rPr>
        <w:t>附件4</w:t>
      </w:r>
      <w:r>
        <w:rPr>
          <w:rFonts w:hint="eastAsia" w:ascii="宋体" w:hAnsi="宋体" w:cs="宋体"/>
          <w:smallCaps/>
          <w:kern w:val="2"/>
          <w:sz w:val="24"/>
          <w:szCs w:val="24"/>
          <w:lang w:val="zh-CN"/>
        </w:rPr>
        <w:t>：技术规格响应表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_Toc29650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17EBB9E5">
      <w:pPr>
        <w:pStyle w:val="261"/>
        <w:tabs>
          <w:tab w:val="right" w:leader="dot" w:pos="8788"/>
        </w:tabs>
        <w:spacing w:line="264" w:lineRule="auto"/>
        <w:ind w:left="480"/>
        <w:rPr>
          <w:rFonts w:ascii="宋体" w:hAnsi="宋体" w:cs="宋体"/>
          <w:sz w:val="24"/>
          <w:szCs w:val="24"/>
        </w:rPr>
      </w:pPr>
      <w:r>
        <w:fldChar w:fldCharType="begin"/>
      </w:r>
      <w:r>
        <w:instrText xml:space="preserve"> HYPERLINK \l "_Toc28339" </w:instrText>
      </w:r>
      <w:r>
        <w:fldChar w:fldCharType="separate"/>
      </w:r>
      <w:r>
        <w:rPr>
          <w:rFonts w:hint="eastAsia" w:ascii="宋体" w:hAnsi="宋体" w:cs="宋体"/>
          <w:smallCaps/>
          <w:sz w:val="24"/>
          <w:szCs w:val="24"/>
          <w:lang w:val="zh-CN"/>
        </w:rPr>
        <w:t>附件</w:t>
      </w:r>
      <w:r>
        <w:rPr>
          <w:rFonts w:hint="eastAsia" w:ascii="宋体" w:hAnsi="宋体" w:cs="宋体"/>
          <w:smallCaps/>
          <w:sz w:val="24"/>
          <w:szCs w:val="24"/>
        </w:rPr>
        <w:t>5</w:t>
      </w:r>
      <w:r>
        <w:rPr>
          <w:rFonts w:hint="eastAsia" w:ascii="宋体" w:hAnsi="宋体" w:cs="宋体"/>
          <w:smallCaps/>
          <w:sz w:val="24"/>
          <w:szCs w:val="24"/>
          <w:lang w:val="zh-CN"/>
        </w:rPr>
        <w:t>：法定代表人证明书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_Toc28339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715F0B4C">
      <w:pPr>
        <w:pStyle w:val="261"/>
        <w:tabs>
          <w:tab w:val="right" w:leader="dot" w:pos="8788"/>
        </w:tabs>
        <w:spacing w:line="264" w:lineRule="auto"/>
        <w:ind w:left="480"/>
        <w:rPr>
          <w:rFonts w:ascii="宋体" w:hAnsi="宋体" w:cs="宋体"/>
          <w:sz w:val="24"/>
          <w:szCs w:val="24"/>
        </w:rPr>
      </w:pPr>
      <w:r>
        <w:fldChar w:fldCharType="begin"/>
      </w:r>
      <w:r>
        <w:instrText xml:space="preserve"> HYPERLINK \l "_Toc4471" </w:instrText>
      </w:r>
      <w:r>
        <w:fldChar w:fldCharType="separate"/>
      </w:r>
      <w:r>
        <w:rPr>
          <w:rFonts w:hint="eastAsia" w:ascii="宋体" w:hAnsi="宋体" w:cs="宋体"/>
          <w:smallCaps/>
          <w:sz w:val="24"/>
          <w:szCs w:val="24"/>
          <w:lang w:val="zh-CN"/>
        </w:rPr>
        <w:t>附件</w:t>
      </w:r>
      <w:r>
        <w:rPr>
          <w:rFonts w:hint="eastAsia" w:ascii="宋体" w:hAnsi="宋体" w:cs="宋体"/>
          <w:smallCaps/>
          <w:sz w:val="24"/>
          <w:szCs w:val="24"/>
        </w:rPr>
        <w:t>6</w:t>
      </w:r>
      <w:r>
        <w:rPr>
          <w:rFonts w:hint="eastAsia" w:ascii="宋体" w:hAnsi="宋体" w:cs="宋体"/>
          <w:smallCaps/>
          <w:sz w:val="24"/>
          <w:szCs w:val="24"/>
          <w:lang w:val="zh-CN"/>
        </w:rPr>
        <w:t>：法定代表人授权书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_Toc4471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14:paraId="1FE2AF24">
      <w:pPr>
        <w:pStyle w:val="261"/>
        <w:tabs>
          <w:tab w:val="right" w:leader="dot" w:pos="8788"/>
        </w:tabs>
        <w:spacing w:line="264" w:lineRule="auto"/>
        <w:ind w:left="480"/>
        <w:rPr>
          <w:rFonts w:ascii="宋体" w:hAnsi="宋体" w:cs="宋体"/>
          <w:sz w:val="24"/>
          <w:szCs w:val="24"/>
        </w:rPr>
      </w:pPr>
      <w:r>
        <w:fldChar w:fldCharType="begin"/>
      </w:r>
      <w:r>
        <w:instrText xml:space="preserve"> HYPERLINK \l "_Toc13119" </w:instrText>
      </w:r>
      <w:r>
        <w:fldChar w:fldCharType="separate"/>
      </w:r>
      <w:r>
        <w:rPr>
          <w:rFonts w:hint="eastAsia" w:ascii="宋体" w:hAnsi="宋体" w:cs="宋体"/>
          <w:sz w:val="24"/>
          <w:szCs w:val="24"/>
        </w:rPr>
        <w:t>附件7：投标供应商承诺函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_Toc13119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554D2827">
      <w:pPr>
        <w:pStyle w:val="261"/>
        <w:tabs>
          <w:tab w:val="right" w:leader="dot" w:pos="8788"/>
        </w:tabs>
        <w:spacing w:line="264" w:lineRule="auto"/>
        <w:ind w:left="480"/>
        <w:rPr>
          <w:rFonts w:ascii="宋体" w:hAnsi="宋体" w:cs="宋体"/>
          <w:sz w:val="24"/>
          <w:szCs w:val="24"/>
        </w:rPr>
      </w:pPr>
      <w:r>
        <w:fldChar w:fldCharType="begin"/>
      </w:r>
      <w:r>
        <w:instrText xml:space="preserve"> HYPERLINK \l "_Toc7174" </w:instrText>
      </w:r>
      <w:r>
        <w:fldChar w:fldCharType="separate"/>
      </w:r>
      <w:r>
        <w:rPr>
          <w:rFonts w:hint="eastAsia" w:ascii="宋体" w:hAnsi="宋体" w:cs="宋体"/>
          <w:sz w:val="24"/>
          <w:szCs w:val="24"/>
        </w:rPr>
        <w:t>附件8：供应商诚信承诺书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_Toc7174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14:paraId="70498E78">
      <w:pPr>
        <w:pStyle w:val="261"/>
        <w:tabs>
          <w:tab w:val="right" w:leader="dot" w:pos="8788"/>
        </w:tabs>
        <w:spacing w:line="264" w:lineRule="auto"/>
        <w:ind w:left="480"/>
        <w:rPr>
          <w:rFonts w:ascii="宋体" w:hAnsi="宋体" w:cs="宋体"/>
          <w:sz w:val="24"/>
          <w:szCs w:val="24"/>
        </w:rPr>
      </w:pPr>
      <w:r>
        <w:fldChar w:fldCharType="begin"/>
      </w:r>
      <w:r>
        <w:instrText xml:space="preserve"> HYPERLINK \l "_Toc28700" </w:instrText>
      </w:r>
      <w:r>
        <w:fldChar w:fldCharType="separate"/>
      </w:r>
      <w:r>
        <w:rPr>
          <w:rFonts w:hint="eastAsia" w:ascii="宋体" w:hAnsi="宋体" w:cs="宋体"/>
          <w:sz w:val="24"/>
          <w:szCs w:val="24"/>
        </w:rPr>
        <w:t>附件9：资格证明材料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_Toc28700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518B8590">
      <w:pPr>
        <w:pStyle w:val="261"/>
        <w:tabs>
          <w:tab w:val="right" w:leader="dot" w:pos="8788"/>
        </w:tabs>
        <w:spacing w:line="264" w:lineRule="auto"/>
        <w:ind w:left="480"/>
        <w:rPr>
          <w:rFonts w:ascii="宋体" w:hAnsi="宋体" w:cs="宋体"/>
          <w:sz w:val="24"/>
          <w:szCs w:val="24"/>
        </w:rPr>
      </w:pPr>
      <w:r>
        <w:fldChar w:fldCharType="begin"/>
      </w:r>
      <w:r>
        <w:instrText xml:space="preserve"> HYPERLINK \l "_Toc22798" </w:instrText>
      </w:r>
      <w:r>
        <w:fldChar w:fldCharType="separate"/>
      </w:r>
      <w:r>
        <w:rPr>
          <w:rFonts w:hint="eastAsia" w:ascii="宋体" w:hAnsi="宋体" w:cs="宋体"/>
          <w:sz w:val="24"/>
          <w:szCs w:val="24"/>
        </w:rPr>
        <w:t>附件10：财务状况、缴纳税收和社会保障资金证明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_Toc22798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14:paraId="17522886">
      <w:pPr>
        <w:pStyle w:val="261"/>
        <w:tabs>
          <w:tab w:val="right" w:leader="dot" w:pos="8788"/>
        </w:tabs>
        <w:spacing w:line="264" w:lineRule="auto"/>
        <w:ind w:left="480"/>
        <w:rPr>
          <w:rFonts w:ascii="宋体" w:hAnsi="宋体" w:cs="宋体"/>
          <w:sz w:val="24"/>
          <w:szCs w:val="24"/>
        </w:rPr>
      </w:pPr>
      <w:r>
        <w:fldChar w:fldCharType="begin"/>
      </w:r>
      <w:r>
        <w:instrText xml:space="preserve"> HYPERLINK \l "_Toc32076" </w:instrText>
      </w:r>
      <w:r>
        <w:fldChar w:fldCharType="separate"/>
      </w:r>
      <w:r>
        <w:rPr>
          <w:rFonts w:hint="eastAsia" w:ascii="宋体" w:hAnsi="宋体" w:cs="宋体"/>
          <w:sz w:val="24"/>
          <w:szCs w:val="24"/>
        </w:rPr>
        <w:t>附件11：具备履行合同所必须的设备和专业技术能力证明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_Toc32076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14:paraId="6EEEAB1F">
      <w:pPr>
        <w:pStyle w:val="261"/>
        <w:tabs>
          <w:tab w:val="right" w:leader="dot" w:pos="8788"/>
        </w:tabs>
        <w:spacing w:line="264" w:lineRule="auto"/>
        <w:ind w:left="480"/>
        <w:rPr>
          <w:rFonts w:ascii="宋体" w:hAnsi="宋体" w:cs="宋体"/>
          <w:sz w:val="24"/>
          <w:szCs w:val="24"/>
        </w:rPr>
      </w:pPr>
      <w:r>
        <w:fldChar w:fldCharType="begin"/>
      </w:r>
      <w:r>
        <w:instrText xml:space="preserve"> HYPERLINK \l "_Toc1860" </w:instrText>
      </w:r>
      <w:r>
        <w:fldChar w:fldCharType="separate"/>
      </w:r>
      <w:r>
        <w:rPr>
          <w:rFonts w:hint="eastAsia" w:ascii="宋体" w:hAnsi="宋体" w:cs="宋体"/>
          <w:sz w:val="24"/>
          <w:szCs w:val="24"/>
        </w:rPr>
        <w:t>附件12</w:t>
      </w:r>
      <w:r>
        <w:rPr>
          <w:rFonts w:hint="eastAsia" w:ascii="宋体" w:hAnsi="宋体" w:cs="宋体"/>
          <w:sz w:val="24"/>
          <w:szCs w:val="24"/>
          <w:lang w:val="zh-CN"/>
        </w:rPr>
        <w:t>：投标产品相关资料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_Toc1860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14:paraId="17518DC5">
      <w:pPr>
        <w:pStyle w:val="261"/>
        <w:tabs>
          <w:tab w:val="right" w:leader="dot" w:pos="8788"/>
        </w:tabs>
        <w:spacing w:line="264" w:lineRule="auto"/>
        <w:ind w:left="480"/>
        <w:rPr>
          <w:rFonts w:ascii="宋体" w:hAnsi="宋体" w:cs="宋体"/>
          <w:sz w:val="24"/>
          <w:szCs w:val="24"/>
        </w:rPr>
      </w:pPr>
      <w:r>
        <w:fldChar w:fldCharType="begin"/>
      </w:r>
      <w:r>
        <w:instrText xml:space="preserve"> HYPERLINK \l "_Toc2419" </w:instrText>
      </w:r>
      <w:r>
        <w:fldChar w:fldCharType="separate"/>
      </w:r>
      <w:r>
        <w:rPr>
          <w:rFonts w:hint="eastAsia" w:ascii="宋体" w:hAnsi="宋体" w:cs="宋体"/>
          <w:sz w:val="24"/>
          <w:szCs w:val="24"/>
        </w:rPr>
        <w:t>附件13：无重大违法记录声明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_Toc2419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14:paraId="6CBDA861">
      <w:pPr>
        <w:pStyle w:val="261"/>
        <w:tabs>
          <w:tab w:val="right" w:leader="dot" w:pos="8788"/>
        </w:tabs>
        <w:spacing w:line="264" w:lineRule="auto"/>
        <w:ind w:left="480"/>
        <w:rPr>
          <w:rFonts w:ascii="宋体" w:hAnsi="宋体" w:cs="宋体"/>
          <w:sz w:val="24"/>
          <w:szCs w:val="24"/>
        </w:rPr>
      </w:pPr>
      <w:r>
        <w:fldChar w:fldCharType="begin"/>
      </w:r>
      <w:r>
        <w:instrText xml:space="preserve"> HYPERLINK \l "_Toc7261" </w:instrText>
      </w:r>
      <w:r>
        <w:fldChar w:fldCharType="separate"/>
      </w:r>
      <w:r>
        <w:rPr>
          <w:rFonts w:hint="eastAsia" w:ascii="宋体" w:hAnsi="宋体" w:cs="宋体"/>
          <w:sz w:val="24"/>
          <w:szCs w:val="24"/>
        </w:rPr>
        <w:t>附件14：投标供应商的类似业绩证明材料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_Toc7261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14:paraId="625DA207">
      <w:pPr>
        <w:pStyle w:val="261"/>
        <w:tabs>
          <w:tab w:val="right" w:leader="dot" w:pos="8788"/>
        </w:tabs>
        <w:spacing w:line="264" w:lineRule="auto"/>
        <w:ind w:left="480"/>
        <w:rPr>
          <w:rFonts w:ascii="宋体" w:hAnsi="宋体" w:cs="宋体"/>
          <w:sz w:val="24"/>
          <w:szCs w:val="24"/>
        </w:rPr>
      </w:pPr>
      <w:r>
        <w:fldChar w:fldCharType="begin"/>
      </w:r>
      <w:r>
        <w:instrText xml:space="preserve"> HYPERLINK \l "_Toc5110" </w:instrText>
      </w:r>
      <w:r>
        <w:fldChar w:fldCharType="separate"/>
      </w:r>
      <w:r>
        <w:rPr>
          <w:rFonts w:hint="eastAsia" w:ascii="宋体" w:hAnsi="宋体" w:cs="宋体"/>
          <w:sz w:val="24"/>
          <w:szCs w:val="24"/>
        </w:rPr>
        <w:t>附件15：磋商保证金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_Toc5110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7D8D58E2">
      <w:pPr>
        <w:pStyle w:val="261"/>
        <w:tabs>
          <w:tab w:val="right" w:leader="dot" w:pos="8788"/>
        </w:tabs>
        <w:spacing w:line="264" w:lineRule="auto"/>
        <w:ind w:left="480"/>
        <w:rPr>
          <w:rFonts w:ascii="宋体" w:hAnsi="宋体" w:cs="宋体"/>
          <w:sz w:val="24"/>
          <w:szCs w:val="24"/>
        </w:rPr>
      </w:pPr>
      <w:r>
        <w:fldChar w:fldCharType="begin"/>
      </w:r>
      <w:r>
        <w:instrText xml:space="preserve"> HYPERLINK \l "_Toc5110" </w:instrText>
      </w:r>
      <w:r>
        <w:fldChar w:fldCharType="separate"/>
      </w:r>
      <w:r>
        <w:rPr>
          <w:rFonts w:hint="eastAsia" w:ascii="宋体" w:hAnsi="宋体" w:cs="宋体"/>
          <w:sz w:val="24"/>
          <w:szCs w:val="24"/>
        </w:rPr>
        <w:t>附件16：制造（生产）企业小型、微型企业声明函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_Toc5110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3E45560A">
      <w:pPr>
        <w:pStyle w:val="275"/>
        <w:tabs>
          <w:tab w:val="right" w:leader="dot" w:pos="8788"/>
        </w:tabs>
        <w:spacing w:line="264" w:lineRule="auto"/>
        <w:rPr>
          <w:rFonts w:ascii="宋体" w:hAnsi="宋体" w:cs="宋体"/>
          <w:b/>
          <w:sz w:val="24"/>
          <w:szCs w:val="24"/>
        </w:rPr>
      </w:pPr>
      <w:r>
        <w:fldChar w:fldCharType="begin"/>
      </w:r>
      <w:r>
        <w:instrText xml:space="preserve"> HYPERLINK \l "_Toc28306" </w:instrText>
      </w:r>
      <w:r>
        <w:fldChar w:fldCharType="separate"/>
      </w:r>
      <w:r>
        <w:rPr>
          <w:rFonts w:hint="eastAsia" w:ascii="宋体" w:hAnsi="宋体" w:cs="宋体"/>
          <w:b/>
          <w:kern w:val="28"/>
          <w:sz w:val="24"/>
          <w:szCs w:val="24"/>
        </w:rPr>
        <w:t>第六部分  磋商及采购项目货物要求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_Toc28306 </w:instrText>
      </w:r>
      <w:r>
        <w:rPr>
          <w:rFonts w:hint="eastAsia" w:ascii="宋体" w:hAnsi="宋体" w:cs="宋体"/>
          <w:b/>
          <w:sz w:val="24"/>
          <w:szCs w:val="24"/>
        </w:rPr>
        <w:fldChar w:fldCharType="separate"/>
      </w:r>
      <w:r>
        <w:rPr>
          <w:rFonts w:hint="eastAsia" w:ascii="宋体" w:hAnsi="宋体" w:cs="宋体"/>
          <w:b/>
          <w:sz w:val="24"/>
          <w:szCs w:val="24"/>
        </w:rPr>
        <w:t>50</w:t>
      </w:r>
      <w:r>
        <w:rPr>
          <w:rFonts w:hint="eastAsia" w:ascii="宋体" w:hAnsi="宋体" w:cs="宋体"/>
          <w:b/>
          <w:sz w:val="24"/>
          <w:szCs w:val="24"/>
        </w:rPr>
        <w:fldChar w:fldCharType="end"/>
      </w:r>
      <w:r>
        <w:rPr>
          <w:rFonts w:hint="eastAsia" w:ascii="宋体" w:hAnsi="宋体" w:cs="宋体"/>
          <w:b/>
          <w:sz w:val="24"/>
          <w:szCs w:val="24"/>
        </w:rPr>
        <w:fldChar w:fldCharType="end"/>
      </w:r>
    </w:p>
    <w:p w14:paraId="00052237">
      <w:pPr>
        <w:pStyle w:val="261"/>
        <w:tabs>
          <w:tab w:val="right" w:leader="dot" w:pos="8788"/>
        </w:tabs>
        <w:spacing w:line="264" w:lineRule="auto"/>
        <w:ind w:left="480"/>
        <w:rPr>
          <w:rFonts w:ascii="宋体" w:hAnsi="宋体" w:cs="宋体"/>
          <w:sz w:val="24"/>
          <w:szCs w:val="24"/>
        </w:rPr>
      </w:pPr>
      <w:r>
        <w:fldChar w:fldCharType="begin"/>
      </w:r>
      <w:r>
        <w:instrText xml:space="preserve"> HYPERLINK \l "_Toc6456" </w:instrText>
      </w:r>
      <w:r>
        <w:fldChar w:fldCharType="separate"/>
      </w:r>
      <w:r>
        <w:rPr>
          <w:rFonts w:hint="eastAsia" w:ascii="宋体" w:hAnsi="宋体" w:cs="宋体"/>
          <w:kern w:val="28"/>
          <w:sz w:val="24"/>
          <w:szCs w:val="24"/>
        </w:rPr>
        <w:t>一、磋商要求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_Toc6456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14:paraId="12B38FD8">
      <w:pPr>
        <w:pStyle w:val="261"/>
        <w:tabs>
          <w:tab w:val="right" w:leader="dot" w:pos="8788"/>
        </w:tabs>
        <w:spacing w:line="264" w:lineRule="auto"/>
        <w:ind w:left="480"/>
      </w:pPr>
      <w:r>
        <w:fldChar w:fldCharType="begin"/>
      </w:r>
      <w:r>
        <w:instrText xml:space="preserve"> HYPERLINK \l "_Toc18918" </w:instrText>
      </w:r>
      <w:r>
        <w:fldChar w:fldCharType="separate"/>
      </w:r>
      <w:r>
        <w:rPr>
          <w:rFonts w:hint="eastAsia" w:ascii="宋体" w:hAnsi="宋体" w:cs="宋体"/>
          <w:sz w:val="24"/>
          <w:szCs w:val="24"/>
        </w:rPr>
        <w:t>二、</w:t>
      </w:r>
      <w:r>
        <w:rPr>
          <w:rFonts w:hint="eastAsia" w:ascii="宋体" w:hAnsi="宋体" w:cs="宋体"/>
          <w:sz w:val="24"/>
          <w:szCs w:val="24"/>
          <w:lang w:val="zh-CN"/>
        </w:rPr>
        <w:t>项目概况及技术参数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_Toc18918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14:paraId="60A7FE4C">
      <w:pPr>
        <w:pStyle w:val="261"/>
        <w:tabs>
          <w:tab w:val="right" w:leader="dot" w:pos="8788"/>
        </w:tabs>
        <w:spacing w:line="360" w:lineRule="auto"/>
        <w:ind w:left="480"/>
      </w:pPr>
    </w:p>
    <w:p w14:paraId="2F921DCF">
      <w:pPr>
        <w:pStyle w:val="23"/>
        <w:spacing w:line="360" w:lineRule="auto"/>
        <w:ind w:firstLine="422"/>
        <w:sectPr>
          <w:footerReference r:id="rId11" w:type="default"/>
          <w:pgSz w:w="11906" w:h="16838"/>
          <w:pgMar w:top="1440" w:right="1800" w:bottom="1440" w:left="1800" w:header="1021" w:footer="867" w:gutter="0"/>
          <w:pgBorders>
            <w:top w:val="none" w:sz="0" w:space="0"/>
            <w:left w:val="none" w:sz="0" w:space="0"/>
            <w:bottom w:val="none" w:sz="0" w:space="0"/>
            <w:right w:val="none" w:sz="0" w:space="0"/>
          </w:pgBorders>
          <w:pgNumType w:fmt="decimal"/>
          <w:cols w:space="720" w:num="1"/>
          <w:docGrid w:linePitch="312" w:charSpace="0"/>
        </w:sectPr>
      </w:pPr>
      <w:r>
        <w:rPr>
          <w:rFonts w:hint="eastAsia"/>
          <w:b/>
        </w:rPr>
        <w:fldChar w:fldCharType="end"/>
      </w:r>
    </w:p>
    <w:p w14:paraId="22038DD7">
      <w:pPr>
        <w:pStyle w:val="2"/>
        <w:spacing w:line="360" w:lineRule="auto"/>
        <w:ind w:firstLine="723"/>
      </w:pPr>
      <w:bookmarkStart w:id="0" w:name="_Toc8288"/>
      <w:bookmarkStart w:id="1" w:name="_Toc20115_WPSOffice_Level1"/>
      <w:bookmarkStart w:id="2" w:name="_Toc14238"/>
      <w:bookmarkStart w:id="3" w:name="_Toc3256"/>
      <w:bookmarkStart w:id="4" w:name="_Toc10836"/>
      <w:bookmarkStart w:id="5" w:name="_Toc25898"/>
      <w:r>
        <w:rPr>
          <w:rFonts w:hint="eastAsia"/>
        </w:rPr>
        <w:t xml:space="preserve">第一部分   </w:t>
      </w:r>
      <w:bookmarkEnd w:id="0"/>
      <w:bookmarkEnd w:id="1"/>
      <w:bookmarkEnd w:id="2"/>
      <w:bookmarkEnd w:id="3"/>
      <w:bookmarkEnd w:id="4"/>
      <w:bookmarkEnd w:id="5"/>
      <w:r>
        <w:rPr>
          <w:rFonts w:hint="eastAsia"/>
        </w:rPr>
        <w:t>磋商公告</w:t>
      </w:r>
    </w:p>
    <w:p w14:paraId="7B268DB7">
      <w:pPr>
        <w:pStyle w:val="2"/>
        <w:spacing w:line="360" w:lineRule="auto"/>
        <w:ind w:left="-240" w:leftChars="-100" w:right="-240" w:rightChars="-100" w:firstLine="480" w:firstLineChars="200"/>
        <w:jc w:val="both"/>
      </w:pPr>
      <w:bookmarkStart w:id="6" w:name="_Toc16548"/>
      <w:bookmarkStart w:id="7" w:name="_Toc21771"/>
      <w:bookmarkStart w:id="8" w:name="_Toc30984"/>
      <w:bookmarkStart w:id="9" w:name="_Toc4445"/>
      <w:bookmarkStart w:id="10" w:name="_Toc13372"/>
      <w:bookmarkStart w:id="11" w:name="_Toc28729"/>
      <w:bookmarkStart w:id="12" w:name="_Toc32232"/>
      <w:r>
        <w:rPr>
          <w:rFonts w:hint="eastAsia" w:hAnsi="宋体" w:cs="宋体"/>
          <w:b w:val="0"/>
          <w:bCs/>
          <w:kern w:val="2"/>
          <w:sz w:val="24"/>
        </w:rPr>
        <w:t>青海旺利欣项目咨询管理有限公司受</w:t>
      </w:r>
      <w:r>
        <w:rPr>
          <w:rFonts w:hint="eastAsia" w:hAnsi="宋体" w:cs="宋体"/>
          <w:b w:val="0"/>
          <w:bCs/>
          <w:kern w:val="2"/>
          <w:sz w:val="24"/>
          <w:lang w:eastAsia="zh-CN"/>
        </w:rPr>
        <w:t>共和县中医院</w:t>
      </w:r>
      <w:r>
        <w:rPr>
          <w:rFonts w:hint="eastAsia" w:hAnsi="宋体" w:cs="宋体"/>
          <w:b w:val="0"/>
          <w:bCs/>
          <w:kern w:val="2"/>
          <w:sz w:val="24"/>
        </w:rPr>
        <w:t>的委托，拟对“</w:t>
      </w:r>
      <w:r>
        <w:rPr>
          <w:rFonts w:hint="eastAsia" w:hAnsi="宋体" w:cs="宋体"/>
          <w:b w:val="0"/>
          <w:bCs/>
          <w:kern w:val="2"/>
          <w:sz w:val="24"/>
          <w:lang w:eastAsia="zh-CN"/>
        </w:rPr>
        <w:t>共和县中医院两专一中心（康复器材）采购项目</w:t>
      </w:r>
      <w:r>
        <w:rPr>
          <w:rFonts w:hint="eastAsia" w:hAnsi="宋体" w:cs="宋体"/>
          <w:b w:val="0"/>
          <w:bCs/>
          <w:kern w:val="2"/>
          <w:sz w:val="24"/>
        </w:rPr>
        <w:t>”进行国内竞争性磋商，现予以公告，欢迎符合条件的供应商前来参加投标。</w:t>
      </w:r>
      <w:bookmarkEnd w:id="6"/>
      <w:bookmarkEnd w:id="7"/>
      <w:bookmarkEnd w:id="8"/>
      <w:bookmarkEnd w:id="9"/>
      <w:bookmarkEnd w:id="10"/>
      <w:bookmarkEnd w:id="11"/>
      <w:bookmarkEnd w:id="12"/>
    </w:p>
    <w:tbl>
      <w:tblPr>
        <w:tblStyle w:val="68"/>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48"/>
        <w:gridCol w:w="6829"/>
      </w:tblGrid>
      <w:tr w14:paraId="02FA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6FB1F22">
            <w:pPr>
              <w:spacing w:line="360" w:lineRule="auto"/>
              <w:ind w:firstLine="0" w:firstLineChars="0"/>
            </w:pPr>
            <w:bookmarkStart w:id="13" w:name="_Toc376936727"/>
            <w:r>
              <w:rPr>
                <w:rFonts w:hint="eastAsia"/>
              </w:rPr>
              <w:t>采购项目编号</w:t>
            </w:r>
          </w:p>
        </w:tc>
        <w:tc>
          <w:tcPr>
            <w:tcW w:w="6829" w:type="dxa"/>
            <w:tcBorders>
              <w:top w:val="single" w:color="000000" w:sz="4" w:space="0"/>
              <w:left w:val="single" w:color="000000" w:sz="4" w:space="0"/>
              <w:bottom w:val="single" w:color="000000" w:sz="4" w:space="0"/>
              <w:right w:val="single" w:color="000000" w:sz="4" w:space="0"/>
            </w:tcBorders>
            <w:vAlign w:val="center"/>
          </w:tcPr>
          <w:p w14:paraId="73B34A9A">
            <w:pPr>
              <w:spacing w:line="360" w:lineRule="auto"/>
              <w:ind w:firstLine="0" w:firstLineChars="0"/>
            </w:pPr>
            <w:r>
              <w:rPr>
                <w:rFonts w:hint="eastAsia"/>
                <w:lang w:val="zh-CN"/>
              </w:rPr>
              <w:t xml:space="preserve">青海旺利欣竞磋（货物）2025-023号 </w:t>
            </w:r>
          </w:p>
        </w:tc>
      </w:tr>
      <w:tr w14:paraId="59E68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00FE26C8">
            <w:pPr>
              <w:spacing w:line="360" w:lineRule="auto"/>
              <w:ind w:firstLine="0" w:firstLineChars="0"/>
            </w:pPr>
            <w:r>
              <w:rPr>
                <w:rFonts w:hint="eastAsia"/>
              </w:rPr>
              <w:t>采购项目名称</w:t>
            </w:r>
          </w:p>
        </w:tc>
        <w:tc>
          <w:tcPr>
            <w:tcW w:w="6829" w:type="dxa"/>
            <w:tcBorders>
              <w:top w:val="single" w:color="000000" w:sz="4" w:space="0"/>
              <w:left w:val="single" w:color="000000" w:sz="4" w:space="0"/>
              <w:bottom w:val="single" w:color="000000" w:sz="4" w:space="0"/>
              <w:right w:val="single" w:color="000000" w:sz="4" w:space="0"/>
            </w:tcBorders>
            <w:vAlign w:val="center"/>
          </w:tcPr>
          <w:p w14:paraId="0139EA6F">
            <w:pPr>
              <w:spacing w:line="360" w:lineRule="auto"/>
              <w:ind w:firstLine="0" w:firstLineChars="0"/>
              <w:rPr>
                <w:rFonts w:hint="eastAsia" w:eastAsia="宋体"/>
                <w:lang w:eastAsia="zh-CN"/>
              </w:rPr>
            </w:pPr>
            <w:r>
              <w:rPr>
                <w:rFonts w:hint="eastAsia"/>
                <w:lang w:eastAsia="zh-CN"/>
              </w:rPr>
              <w:t>共和县中医院两专一中心（康复器材）采购项目</w:t>
            </w:r>
          </w:p>
        </w:tc>
      </w:tr>
      <w:tr w14:paraId="5E8E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3B7DD8A">
            <w:pPr>
              <w:spacing w:line="360" w:lineRule="auto"/>
              <w:ind w:firstLine="0" w:firstLineChars="0"/>
            </w:pPr>
            <w:r>
              <w:rPr>
                <w:rFonts w:hint="eastAsia"/>
              </w:rPr>
              <w:t>采购方式</w:t>
            </w:r>
          </w:p>
        </w:tc>
        <w:tc>
          <w:tcPr>
            <w:tcW w:w="6829" w:type="dxa"/>
            <w:tcBorders>
              <w:top w:val="single" w:color="000000" w:sz="4" w:space="0"/>
              <w:left w:val="single" w:color="000000" w:sz="4" w:space="0"/>
              <w:bottom w:val="single" w:color="000000" w:sz="4" w:space="0"/>
              <w:right w:val="single" w:color="000000" w:sz="4" w:space="0"/>
            </w:tcBorders>
            <w:vAlign w:val="center"/>
          </w:tcPr>
          <w:p w14:paraId="7C3D5B18">
            <w:pPr>
              <w:spacing w:line="360" w:lineRule="auto"/>
              <w:ind w:firstLine="0" w:firstLineChars="0"/>
            </w:pPr>
            <w:r>
              <w:rPr>
                <w:rFonts w:hint="eastAsia"/>
                <w:lang w:val="zh-CN"/>
              </w:rPr>
              <w:t>竞争性磋商</w:t>
            </w:r>
          </w:p>
        </w:tc>
      </w:tr>
      <w:tr w14:paraId="7525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B3E9EFA">
            <w:pPr>
              <w:spacing w:line="360" w:lineRule="auto"/>
              <w:ind w:firstLine="0" w:firstLineChars="0"/>
            </w:pPr>
            <w:r>
              <w:rPr>
                <w:rFonts w:hint="eastAsia"/>
              </w:rPr>
              <w:t>采购预算控制额度</w:t>
            </w:r>
          </w:p>
        </w:tc>
        <w:tc>
          <w:tcPr>
            <w:tcW w:w="6829" w:type="dxa"/>
            <w:tcBorders>
              <w:top w:val="single" w:color="000000" w:sz="4" w:space="0"/>
              <w:left w:val="single" w:color="000000" w:sz="4" w:space="0"/>
              <w:bottom w:val="single" w:color="000000" w:sz="4" w:space="0"/>
              <w:right w:val="single" w:color="000000" w:sz="4" w:space="0"/>
            </w:tcBorders>
            <w:vAlign w:val="center"/>
          </w:tcPr>
          <w:p w14:paraId="410A7E6E">
            <w:pPr>
              <w:spacing w:line="360" w:lineRule="auto"/>
              <w:ind w:firstLine="0" w:firstLineChars="0"/>
              <w:rPr>
                <w:rFonts w:hint="eastAsia" w:eastAsia="宋体"/>
                <w:highlight w:val="red"/>
                <w:lang w:eastAsia="zh-CN"/>
              </w:rPr>
            </w:pPr>
            <w:r>
              <w:rPr>
                <w:rFonts w:hint="eastAsia"/>
                <w:lang w:val="en-US" w:eastAsia="zh-CN"/>
              </w:rPr>
              <w:t>1700000</w:t>
            </w:r>
            <w:r>
              <w:rPr>
                <w:rFonts w:hint="eastAsia"/>
              </w:rPr>
              <w:t xml:space="preserve">元 </w:t>
            </w:r>
          </w:p>
        </w:tc>
      </w:tr>
      <w:tr w14:paraId="1F33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720ACD85">
            <w:pPr>
              <w:spacing w:line="360" w:lineRule="auto"/>
              <w:ind w:firstLine="0" w:firstLineChars="0"/>
            </w:pPr>
            <w:r>
              <w:rPr>
                <w:rFonts w:hint="eastAsia"/>
              </w:rPr>
              <w:t>最高限价</w:t>
            </w:r>
          </w:p>
        </w:tc>
        <w:tc>
          <w:tcPr>
            <w:tcW w:w="6829" w:type="dxa"/>
            <w:tcBorders>
              <w:top w:val="single" w:color="000000" w:sz="4" w:space="0"/>
              <w:left w:val="single" w:color="000000" w:sz="4" w:space="0"/>
              <w:bottom w:val="single" w:color="000000" w:sz="4" w:space="0"/>
              <w:right w:val="single" w:color="000000" w:sz="4" w:space="0"/>
            </w:tcBorders>
            <w:vAlign w:val="center"/>
          </w:tcPr>
          <w:p w14:paraId="457CD767">
            <w:pPr>
              <w:spacing w:line="360" w:lineRule="auto"/>
              <w:ind w:firstLine="0" w:firstLineChars="0"/>
            </w:pPr>
            <w:r>
              <w:rPr>
                <w:rFonts w:hint="eastAsia"/>
                <w:lang w:val="en-US" w:eastAsia="zh-CN"/>
              </w:rPr>
              <w:t>1700000</w:t>
            </w:r>
            <w:r>
              <w:rPr>
                <w:rFonts w:hint="eastAsia"/>
              </w:rPr>
              <w:t xml:space="preserve">元 </w:t>
            </w:r>
          </w:p>
        </w:tc>
      </w:tr>
      <w:tr w14:paraId="08BA1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A8E176F">
            <w:pPr>
              <w:spacing w:line="360" w:lineRule="auto"/>
              <w:ind w:firstLine="0" w:firstLineChars="0"/>
            </w:pPr>
            <w:r>
              <w:rPr>
                <w:rFonts w:hint="eastAsia"/>
              </w:rPr>
              <w:t>项目分包个数</w:t>
            </w:r>
          </w:p>
        </w:tc>
        <w:tc>
          <w:tcPr>
            <w:tcW w:w="6829" w:type="dxa"/>
            <w:tcBorders>
              <w:top w:val="single" w:color="000000" w:sz="4" w:space="0"/>
              <w:left w:val="single" w:color="000000" w:sz="4" w:space="0"/>
              <w:bottom w:val="single" w:color="000000" w:sz="4" w:space="0"/>
              <w:right w:val="single" w:color="000000" w:sz="4" w:space="0"/>
            </w:tcBorders>
            <w:vAlign w:val="center"/>
          </w:tcPr>
          <w:p w14:paraId="2AF396FE">
            <w:pPr>
              <w:spacing w:line="360" w:lineRule="auto"/>
              <w:ind w:firstLine="0" w:firstLineChars="0"/>
            </w:pPr>
            <w:r>
              <w:rPr>
                <w:rFonts w:hint="eastAsia"/>
                <w:lang w:val="en-US" w:eastAsia="zh-CN"/>
              </w:rPr>
              <w:t>不分包</w:t>
            </w:r>
          </w:p>
        </w:tc>
      </w:tr>
      <w:tr w14:paraId="33258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77E170C9">
            <w:pPr>
              <w:spacing w:line="360" w:lineRule="auto"/>
              <w:ind w:firstLine="0" w:firstLineChars="0"/>
              <w:rPr>
                <w:rFonts w:hint="default" w:eastAsia="宋体"/>
                <w:lang w:val="en-US" w:eastAsia="zh-CN"/>
              </w:rPr>
            </w:pPr>
            <w:r>
              <w:rPr>
                <w:rFonts w:hint="eastAsia"/>
                <w:lang w:val="en-US" w:eastAsia="zh-CN"/>
              </w:rPr>
              <w:t>采购内容</w:t>
            </w:r>
          </w:p>
        </w:tc>
        <w:tc>
          <w:tcPr>
            <w:tcW w:w="6829" w:type="dxa"/>
            <w:tcBorders>
              <w:top w:val="single" w:color="000000" w:sz="4" w:space="0"/>
              <w:left w:val="single" w:color="000000" w:sz="4" w:space="0"/>
              <w:bottom w:val="single" w:color="000000" w:sz="4" w:space="0"/>
              <w:right w:val="single" w:color="000000" w:sz="4" w:space="0"/>
            </w:tcBorders>
            <w:vAlign w:val="center"/>
          </w:tcPr>
          <w:p w14:paraId="4BEF988A">
            <w:pPr>
              <w:spacing w:line="360" w:lineRule="auto"/>
              <w:ind w:firstLine="0" w:firstLineChars="0"/>
              <w:rPr>
                <w:rFonts w:hint="default" w:eastAsia="宋体"/>
                <w:lang w:val="en-US" w:eastAsia="zh-CN"/>
              </w:rPr>
            </w:pPr>
            <w:r>
              <w:rPr>
                <w:rFonts w:hint="eastAsia"/>
              </w:rPr>
              <w:t>疼痛治疗仪照射</w:t>
            </w:r>
            <w:r>
              <w:rPr>
                <w:rFonts w:hint="eastAsia"/>
                <w:lang w:eastAsia="zh-CN"/>
              </w:rPr>
              <w:t>、神经肌肉电刺激、空气压力波(套袖式)、可升降OT桌、体操棒与抛接球、上肢推举康复器、肩抬举训练器、分指板（手指固定带合滑轮）、爬行垫、功能性电刺激助行仪、训练用阶梯（抽屉式）、系列沙袋（绑式和提式）、肌力训练弹力带、可升降PT床、吞咽功能电刺激仪、超声波治疗仪、电针仪、内热针。</w:t>
            </w:r>
          </w:p>
        </w:tc>
      </w:tr>
      <w:tr w14:paraId="3321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8"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0A275AA">
            <w:pPr>
              <w:spacing w:line="360" w:lineRule="auto"/>
              <w:ind w:firstLine="0" w:firstLineChars="0"/>
              <w:rPr>
                <w:rFonts w:ascii="宋体" w:hAnsi="宋体" w:cs="宋体"/>
                <w:bCs/>
              </w:rPr>
            </w:pPr>
            <w:r>
              <w:rPr>
                <w:rFonts w:hint="eastAsia" w:ascii="宋体" w:hAnsi="宋体" w:cs="宋体"/>
                <w:bCs/>
              </w:rPr>
              <w:t>供应商资格条件</w:t>
            </w:r>
          </w:p>
        </w:tc>
        <w:tc>
          <w:tcPr>
            <w:tcW w:w="6829" w:type="dxa"/>
            <w:tcBorders>
              <w:top w:val="single" w:color="000000" w:sz="4" w:space="0"/>
              <w:left w:val="single" w:color="000000" w:sz="4" w:space="0"/>
              <w:bottom w:val="single" w:color="000000" w:sz="4" w:space="0"/>
              <w:right w:val="single" w:color="000000" w:sz="4" w:space="0"/>
            </w:tcBorders>
            <w:vAlign w:val="center"/>
          </w:tcPr>
          <w:p w14:paraId="4CD9BFC1">
            <w:pPr>
              <w:autoSpaceDE w:val="0"/>
              <w:autoSpaceDN w:val="0"/>
              <w:spacing w:line="360" w:lineRule="auto"/>
              <w:ind w:firstLine="0" w:firstLineChars="0"/>
              <w:rPr>
                <w:color w:val="auto"/>
                <w:lang w:val="zh-CN"/>
              </w:rPr>
            </w:pPr>
            <w:r>
              <w:rPr>
                <w:rFonts w:hint="eastAsia"/>
                <w:color w:val="auto"/>
                <w:lang w:val="zh-CN"/>
              </w:rPr>
              <w:t>1、应当具备《政府采购法》第二十二条规定的条件，并按照《政府采购法实施条例》第十七条提供相材料。</w:t>
            </w:r>
          </w:p>
          <w:p w14:paraId="1C04FF60">
            <w:pPr>
              <w:autoSpaceDE w:val="0"/>
              <w:autoSpaceDN w:val="0"/>
              <w:spacing w:line="360" w:lineRule="auto"/>
              <w:ind w:firstLine="0" w:firstLineChars="0"/>
              <w:rPr>
                <w:color w:val="auto"/>
                <w:lang w:val="zh-CN"/>
              </w:rPr>
            </w:pPr>
            <w:r>
              <w:rPr>
                <w:rFonts w:hint="eastAsia"/>
                <w:color w:val="auto"/>
                <w:lang w:val="zh-CN"/>
              </w:rPr>
              <w:t xml:space="preserve">2、经信用中国（www.creditchina.gov.cn）、中国政府采购网（www.ccgp.gov.cn）等渠道查询后，列入失信被执行人、重大税收违法案件当事人名单、政府采购严重违法失信行为记录名单的，取消投标资格； </w:t>
            </w:r>
          </w:p>
          <w:p w14:paraId="61ADB228">
            <w:pPr>
              <w:autoSpaceDE w:val="0"/>
              <w:autoSpaceDN w:val="0"/>
              <w:spacing w:line="360" w:lineRule="auto"/>
              <w:ind w:firstLine="0" w:firstLineChars="0"/>
              <w:rPr>
                <w:color w:val="auto"/>
                <w:lang w:val="zh-CN"/>
              </w:rPr>
            </w:pPr>
            <w:r>
              <w:rPr>
                <w:rFonts w:hint="eastAsia"/>
                <w:color w:val="auto"/>
                <w:lang w:val="zh-CN"/>
              </w:rPr>
              <w:t xml:space="preserve">3、单位负责人为同一人或者存在直接控股、管理关系的不同投标供应商，不得参加同一合同项下的政府采购活动。否则，取消投标资格； </w:t>
            </w:r>
          </w:p>
          <w:p w14:paraId="3396EA2A">
            <w:pPr>
              <w:autoSpaceDE w:val="0"/>
              <w:autoSpaceDN w:val="0"/>
              <w:spacing w:line="360" w:lineRule="auto"/>
              <w:ind w:firstLine="0" w:firstLineChars="0"/>
              <w:rPr>
                <w:color w:val="auto"/>
                <w:lang w:val="zh-CN"/>
              </w:rPr>
            </w:pPr>
            <w:r>
              <w:rPr>
                <w:rFonts w:hint="eastAsia"/>
                <w:color w:val="auto"/>
                <w:lang w:val="zh-CN"/>
              </w:rPr>
              <w:t>4、为本采购项目提供整体设计、规范编制或者项目管理、监理、检测等服务的投标供应商，不得再参加该采购项目的其他采购活动。</w:t>
            </w:r>
          </w:p>
          <w:p w14:paraId="5F86DDF2">
            <w:pPr>
              <w:autoSpaceDE w:val="0"/>
              <w:autoSpaceDN w:val="0"/>
              <w:spacing w:line="360" w:lineRule="auto"/>
              <w:ind w:firstLine="0" w:firstLineChars="0"/>
              <w:rPr>
                <w:color w:val="auto"/>
                <w:lang w:val="zh-CN"/>
              </w:rPr>
            </w:pPr>
            <w:r>
              <w:rPr>
                <w:rFonts w:hint="eastAsia"/>
                <w:color w:val="auto"/>
              </w:rPr>
              <w:t>5、</w:t>
            </w:r>
            <w:r>
              <w:rPr>
                <w:rFonts w:hint="eastAsia"/>
                <w:color w:val="auto"/>
                <w:lang w:val="zh-CN"/>
              </w:rPr>
              <w:t>本项目不接受投标供应商以联合体方式进行投标。</w:t>
            </w:r>
          </w:p>
          <w:p w14:paraId="2894FEF1">
            <w:pPr>
              <w:autoSpaceDE w:val="0"/>
              <w:autoSpaceDN w:val="0"/>
              <w:spacing w:line="360" w:lineRule="auto"/>
              <w:ind w:firstLine="0" w:firstLineChars="0"/>
              <w:rPr>
                <w:color w:val="auto"/>
              </w:rPr>
            </w:pPr>
            <w:r>
              <w:rPr>
                <w:rFonts w:hint="eastAsia"/>
                <w:color w:val="auto"/>
              </w:rPr>
              <w:t>6、</w:t>
            </w:r>
            <w:r>
              <w:rPr>
                <w:rFonts w:hint="eastAsia" w:ascii="新宋体" w:hAnsi="新宋体" w:eastAsia="新宋体" w:cs="新宋体"/>
                <w:color w:val="auto"/>
                <w:kern w:val="0"/>
                <w:highlight w:val="none"/>
                <w:lang w:val="zh-CN"/>
              </w:rPr>
              <w:t>参加本项目的投标</w:t>
            </w:r>
            <w:r>
              <w:rPr>
                <w:rFonts w:hint="eastAsia" w:ascii="新宋体" w:hAnsi="新宋体" w:eastAsia="新宋体" w:cs="新宋体"/>
                <w:color w:val="auto"/>
                <w:kern w:val="0"/>
                <w:highlight w:val="none"/>
                <w:lang w:val="en-US" w:eastAsia="zh-CN"/>
              </w:rPr>
              <w:t>人，所投产品是医疗设备的</w:t>
            </w:r>
            <w:r>
              <w:rPr>
                <w:rFonts w:hint="eastAsia" w:ascii="新宋体" w:hAnsi="新宋体" w:eastAsia="新宋体" w:cs="新宋体"/>
                <w:color w:val="auto"/>
                <w:kern w:val="0"/>
                <w:highlight w:val="none"/>
                <w:lang w:val="zh-CN"/>
              </w:rPr>
              <w:t>须具备医疗</w:t>
            </w:r>
            <w:r>
              <w:rPr>
                <w:rFonts w:ascii="新宋体" w:hAnsi="新宋体" w:eastAsia="新宋体" w:cs="新宋体"/>
                <w:color w:val="auto"/>
                <w:kern w:val="0"/>
                <w:highlight w:val="none"/>
                <w:lang w:val="zh-CN"/>
              </w:rPr>
              <w:t>器械</w:t>
            </w:r>
            <w:r>
              <w:rPr>
                <w:rFonts w:hint="eastAsia" w:ascii="新宋体" w:hAnsi="新宋体" w:eastAsia="新宋体" w:cs="新宋体"/>
                <w:color w:val="auto"/>
                <w:kern w:val="0"/>
                <w:highlight w:val="none"/>
                <w:lang w:val="zh-CN"/>
              </w:rPr>
              <w:t>经营许可证</w:t>
            </w:r>
            <w:r>
              <w:rPr>
                <w:rFonts w:hint="eastAsia" w:ascii="新宋体" w:hAnsi="新宋体" w:eastAsia="新宋体" w:cs="新宋体"/>
                <w:color w:val="auto"/>
                <w:kern w:val="0"/>
                <w:highlight w:val="none"/>
              </w:rPr>
              <w:t>或</w:t>
            </w:r>
            <w:r>
              <w:rPr>
                <w:rFonts w:hint="eastAsia" w:ascii="新宋体" w:hAnsi="新宋体" w:eastAsia="新宋体" w:cs="新宋体"/>
                <w:color w:val="auto"/>
                <w:kern w:val="0"/>
                <w:highlight w:val="none"/>
                <w:lang w:val="zh-CN"/>
              </w:rPr>
              <w:t>第二类医疗</w:t>
            </w:r>
            <w:r>
              <w:rPr>
                <w:rFonts w:ascii="新宋体" w:hAnsi="新宋体" w:eastAsia="新宋体" w:cs="新宋体"/>
                <w:color w:val="auto"/>
                <w:kern w:val="0"/>
                <w:highlight w:val="none"/>
                <w:lang w:val="zh-CN"/>
              </w:rPr>
              <w:t>器械经营</w:t>
            </w:r>
            <w:r>
              <w:rPr>
                <w:rFonts w:hint="eastAsia" w:ascii="新宋体" w:hAnsi="新宋体" w:eastAsia="新宋体" w:cs="新宋体"/>
                <w:color w:val="auto"/>
                <w:kern w:val="0"/>
                <w:highlight w:val="none"/>
                <w:lang w:val="zh-CN"/>
              </w:rPr>
              <w:t>备案</w:t>
            </w:r>
            <w:r>
              <w:rPr>
                <w:rFonts w:ascii="新宋体" w:hAnsi="新宋体" w:eastAsia="新宋体" w:cs="新宋体"/>
                <w:color w:val="auto"/>
                <w:kern w:val="0"/>
                <w:highlight w:val="none"/>
                <w:lang w:val="zh-CN"/>
              </w:rPr>
              <w:t>凭证</w:t>
            </w:r>
            <w:r>
              <w:rPr>
                <w:rFonts w:hint="eastAsia" w:ascii="新宋体" w:hAnsi="新宋体" w:eastAsia="新宋体" w:cs="新宋体"/>
                <w:color w:val="auto"/>
                <w:kern w:val="0"/>
                <w:highlight w:val="none"/>
                <w:lang w:val="zh-CN"/>
              </w:rPr>
              <w:t>。</w:t>
            </w:r>
          </w:p>
        </w:tc>
      </w:tr>
      <w:tr w14:paraId="1A77C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3E7DC34">
            <w:pPr>
              <w:spacing w:line="360" w:lineRule="auto"/>
              <w:ind w:firstLine="0" w:firstLineChars="0"/>
            </w:pPr>
            <w:r>
              <w:rPr>
                <w:rFonts w:hint="eastAsia"/>
              </w:rPr>
              <w:t>公告发布时间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57EABA2D">
            <w:pPr>
              <w:spacing w:line="360" w:lineRule="auto"/>
              <w:ind w:firstLine="0" w:firstLineChars="0"/>
              <w:rPr>
                <w:color w:val="auto"/>
                <w:highlight w:val="none"/>
              </w:rPr>
            </w:pPr>
            <w:r>
              <w:rPr>
                <w:rFonts w:hint="eastAsia"/>
                <w:color w:val="auto"/>
                <w:highlight w:val="none"/>
                <w:lang w:val="zh-CN"/>
              </w:rPr>
              <w:t>2025年06月</w:t>
            </w:r>
            <w:r>
              <w:rPr>
                <w:rFonts w:hint="eastAsia"/>
                <w:color w:val="auto"/>
                <w:highlight w:val="none"/>
                <w:lang w:val="en-US" w:eastAsia="zh-CN"/>
              </w:rPr>
              <w:t>17</w:t>
            </w:r>
            <w:r>
              <w:rPr>
                <w:rFonts w:hint="eastAsia"/>
                <w:color w:val="auto"/>
                <w:highlight w:val="none"/>
                <w:lang w:val="zh-CN"/>
              </w:rPr>
              <w:t>日</w:t>
            </w:r>
          </w:p>
        </w:tc>
      </w:tr>
      <w:tr w14:paraId="12FD0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69AC1E16">
            <w:pPr>
              <w:spacing w:line="360" w:lineRule="auto"/>
              <w:ind w:firstLine="0" w:firstLineChars="0"/>
            </w:pPr>
            <w:r>
              <w:rPr>
                <w:rFonts w:hint="eastAsia"/>
              </w:rPr>
              <w:t>获取磋商文件时间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204BEDA8">
            <w:pPr>
              <w:spacing w:line="360" w:lineRule="auto"/>
              <w:ind w:firstLine="0" w:firstLineChars="0"/>
              <w:rPr>
                <w:color w:val="auto"/>
                <w:highlight w:val="none"/>
              </w:rPr>
            </w:pPr>
            <w:r>
              <w:rPr>
                <w:rFonts w:hint="eastAsia"/>
                <w:color w:val="auto"/>
                <w:highlight w:val="none"/>
                <w:lang w:val="zh-CN"/>
              </w:rPr>
              <w:t>2025年06月</w:t>
            </w:r>
            <w:r>
              <w:rPr>
                <w:rFonts w:hint="eastAsia"/>
                <w:color w:val="auto"/>
                <w:highlight w:val="none"/>
                <w:lang w:val="en-US" w:eastAsia="zh-CN"/>
              </w:rPr>
              <w:t>17</w:t>
            </w:r>
            <w:r>
              <w:rPr>
                <w:rFonts w:hint="eastAsia"/>
                <w:color w:val="auto"/>
                <w:highlight w:val="none"/>
                <w:lang w:val="zh-CN"/>
              </w:rPr>
              <w:t>日至20</w:t>
            </w:r>
            <w:r>
              <w:rPr>
                <w:rFonts w:hint="eastAsia"/>
                <w:color w:val="auto"/>
                <w:highlight w:val="none"/>
              </w:rPr>
              <w:t>2</w:t>
            </w:r>
            <w:r>
              <w:rPr>
                <w:rFonts w:hint="eastAsia"/>
                <w:color w:val="auto"/>
                <w:highlight w:val="none"/>
                <w:lang w:val="en-US" w:eastAsia="zh-CN"/>
              </w:rPr>
              <w:t>5</w:t>
            </w:r>
            <w:r>
              <w:rPr>
                <w:rFonts w:hint="eastAsia"/>
                <w:color w:val="auto"/>
                <w:highlight w:val="none"/>
                <w:lang w:val="zh-CN"/>
              </w:rPr>
              <w:t>年</w:t>
            </w:r>
            <w:r>
              <w:rPr>
                <w:rFonts w:hint="eastAsia"/>
                <w:color w:val="auto"/>
                <w:highlight w:val="none"/>
                <w:lang w:val="en-US" w:eastAsia="zh-CN"/>
              </w:rPr>
              <w:t>06</w:t>
            </w:r>
            <w:r>
              <w:rPr>
                <w:rFonts w:hint="eastAsia"/>
                <w:color w:val="auto"/>
                <w:highlight w:val="none"/>
                <w:lang w:val="zh-CN"/>
              </w:rPr>
              <w:t>月</w:t>
            </w:r>
            <w:r>
              <w:rPr>
                <w:rFonts w:hint="eastAsia"/>
                <w:color w:val="auto"/>
                <w:highlight w:val="none"/>
                <w:lang w:val="en-US" w:eastAsia="zh-CN"/>
              </w:rPr>
              <w:t>24</w:t>
            </w:r>
            <w:r>
              <w:rPr>
                <w:rFonts w:hint="eastAsia"/>
                <w:color w:val="auto"/>
                <w:highlight w:val="none"/>
                <w:lang w:val="zh-CN"/>
              </w:rPr>
              <w:t>日</w:t>
            </w:r>
            <w:r>
              <w:rPr>
                <w:rFonts w:hint="eastAsia" w:ascii="宋体" w:hAnsi="宋体" w:cs="宋体"/>
                <w:color w:val="auto"/>
                <w:kern w:val="0"/>
                <w:highlight w:val="none"/>
                <w:lang w:val="zh-CN"/>
              </w:rPr>
              <w:t>每天上午</w:t>
            </w:r>
            <w:r>
              <w:rPr>
                <w:rFonts w:hint="eastAsia" w:ascii="宋体" w:hAnsi="宋体" w:cs="宋体"/>
                <w:color w:val="auto"/>
                <w:kern w:val="0"/>
                <w:highlight w:val="none"/>
              </w:rPr>
              <w:t>00</w:t>
            </w:r>
            <w:r>
              <w:rPr>
                <w:rFonts w:hint="eastAsia" w:ascii="宋体" w:hAnsi="宋体" w:cs="宋体"/>
                <w:color w:val="auto"/>
                <w:kern w:val="0"/>
                <w:highlight w:val="none"/>
                <w:lang w:val="zh-CN"/>
              </w:rPr>
              <w:t>:</w:t>
            </w:r>
            <w:r>
              <w:rPr>
                <w:rFonts w:hint="eastAsia" w:ascii="宋体" w:hAnsi="宋体" w:cs="宋体"/>
                <w:color w:val="auto"/>
                <w:kern w:val="0"/>
                <w:highlight w:val="none"/>
              </w:rPr>
              <w:t>0</w:t>
            </w:r>
            <w:r>
              <w:rPr>
                <w:rFonts w:hint="eastAsia" w:ascii="宋体" w:hAnsi="宋体" w:cs="宋体"/>
                <w:color w:val="auto"/>
                <w:kern w:val="0"/>
                <w:highlight w:val="none"/>
                <w:lang w:val="zh-CN"/>
              </w:rPr>
              <w:t>0-</w:t>
            </w:r>
            <w:r>
              <w:rPr>
                <w:rFonts w:hint="eastAsia" w:ascii="宋体" w:hAnsi="宋体" w:cs="宋体"/>
                <w:color w:val="auto"/>
                <w:kern w:val="0"/>
                <w:highlight w:val="none"/>
              </w:rPr>
              <w:t>12</w:t>
            </w:r>
            <w:r>
              <w:rPr>
                <w:rFonts w:hint="eastAsia" w:ascii="宋体" w:hAnsi="宋体" w:cs="宋体"/>
                <w:color w:val="auto"/>
                <w:kern w:val="0"/>
                <w:highlight w:val="none"/>
                <w:lang w:val="zh-CN"/>
              </w:rPr>
              <w:t>:</w:t>
            </w:r>
            <w:r>
              <w:rPr>
                <w:rFonts w:hint="eastAsia" w:ascii="宋体" w:hAnsi="宋体" w:cs="宋体"/>
                <w:color w:val="auto"/>
                <w:kern w:val="0"/>
                <w:highlight w:val="none"/>
              </w:rPr>
              <w:t>0</w:t>
            </w:r>
            <w:r>
              <w:rPr>
                <w:rFonts w:hint="eastAsia" w:ascii="宋体" w:hAnsi="宋体" w:cs="宋体"/>
                <w:color w:val="auto"/>
                <w:kern w:val="0"/>
                <w:highlight w:val="none"/>
                <w:lang w:val="zh-CN"/>
              </w:rPr>
              <w:t>0,下午</w:t>
            </w:r>
            <w:r>
              <w:rPr>
                <w:rFonts w:hint="eastAsia" w:ascii="宋体" w:hAnsi="宋体" w:cs="宋体"/>
                <w:color w:val="auto"/>
                <w:kern w:val="0"/>
                <w:highlight w:val="none"/>
              </w:rPr>
              <w:t>12</w:t>
            </w:r>
            <w:r>
              <w:rPr>
                <w:rFonts w:hint="eastAsia" w:ascii="宋体" w:hAnsi="宋体" w:cs="宋体"/>
                <w:color w:val="auto"/>
                <w:kern w:val="0"/>
                <w:highlight w:val="none"/>
                <w:lang w:val="zh-CN"/>
              </w:rPr>
              <w:t>:</w:t>
            </w:r>
            <w:r>
              <w:rPr>
                <w:rFonts w:hint="eastAsia" w:ascii="宋体" w:hAnsi="宋体" w:cs="宋体"/>
                <w:color w:val="auto"/>
                <w:kern w:val="0"/>
                <w:highlight w:val="none"/>
              </w:rPr>
              <w:t>00</w:t>
            </w:r>
            <w:r>
              <w:rPr>
                <w:rFonts w:hint="eastAsia" w:ascii="宋体" w:hAnsi="宋体" w:cs="宋体"/>
                <w:color w:val="auto"/>
                <w:kern w:val="0"/>
                <w:highlight w:val="none"/>
                <w:lang w:val="zh-CN"/>
              </w:rPr>
              <w:t>-</w:t>
            </w:r>
            <w:r>
              <w:rPr>
                <w:rFonts w:hint="eastAsia" w:ascii="宋体" w:hAnsi="宋体" w:cs="宋体"/>
                <w:color w:val="auto"/>
                <w:kern w:val="0"/>
                <w:highlight w:val="none"/>
              </w:rPr>
              <w:t>23</w:t>
            </w:r>
            <w:r>
              <w:rPr>
                <w:rFonts w:hint="eastAsia" w:ascii="宋体" w:hAnsi="宋体" w:cs="宋体"/>
                <w:color w:val="auto"/>
                <w:kern w:val="0"/>
                <w:highlight w:val="none"/>
                <w:lang w:val="zh-CN"/>
              </w:rPr>
              <w:t>:</w:t>
            </w:r>
            <w:r>
              <w:rPr>
                <w:rFonts w:hint="eastAsia" w:ascii="宋体" w:hAnsi="宋体" w:cs="宋体"/>
                <w:color w:val="auto"/>
                <w:kern w:val="0"/>
                <w:highlight w:val="none"/>
              </w:rPr>
              <w:t>59</w:t>
            </w:r>
            <w:r>
              <w:rPr>
                <w:rFonts w:hint="eastAsia" w:ascii="宋体" w:hAnsi="宋体" w:cs="宋体"/>
                <w:color w:val="auto"/>
                <w:kern w:val="0"/>
                <w:highlight w:val="none"/>
                <w:lang w:val="zh-CN"/>
              </w:rPr>
              <w:t>（节假日除外）</w:t>
            </w:r>
          </w:p>
        </w:tc>
      </w:tr>
      <w:tr w14:paraId="2C70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8"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23AF647">
            <w:pPr>
              <w:spacing w:line="360" w:lineRule="auto"/>
              <w:ind w:firstLine="0" w:firstLineChars="0"/>
            </w:pPr>
            <w:r>
              <w:rPr>
                <w:rFonts w:hint="eastAsia"/>
              </w:rPr>
              <w:t>获取磋商文件方式</w:t>
            </w:r>
          </w:p>
        </w:tc>
        <w:tc>
          <w:tcPr>
            <w:tcW w:w="6829" w:type="dxa"/>
            <w:tcBorders>
              <w:top w:val="single" w:color="000000" w:sz="4" w:space="0"/>
              <w:left w:val="single" w:color="000000" w:sz="4" w:space="0"/>
              <w:bottom w:val="single" w:color="000000" w:sz="4" w:space="0"/>
              <w:right w:val="single" w:color="000000" w:sz="4" w:space="0"/>
            </w:tcBorders>
            <w:vAlign w:val="center"/>
          </w:tcPr>
          <w:p w14:paraId="34495752">
            <w:pPr>
              <w:spacing w:line="360" w:lineRule="auto"/>
              <w:ind w:firstLine="0" w:firstLineChars="0"/>
              <w:rPr>
                <w:color w:val="auto"/>
              </w:rPr>
            </w:pPr>
            <w:r>
              <w:rPr>
                <w:rFonts w:hint="eastAsia"/>
                <w:color w:val="auto"/>
                <w:lang w:val="zh-CN"/>
              </w:rPr>
              <w:t>登录政采云平台</w:t>
            </w:r>
            <w:r>
              <w:rPr>
                <w:rFonts w:hint="eastAsia"/>
                <w:color w:val="auto"/>
              </w:rPr>
              <w:t>https://www.zcygov.cn/</w:t>
            </w:r>
            <w:r>
              <w:rPr>
                <w:rFonts w:hint="eastAsia"/>
                <w:color w:val="auto"/>
                <w:lang w:val="zh-CN"/>
              </w:rPr>
              <w:t>在线申请获取采购文件</w:t>
            </w:r>
            <w:r>
              <w:rPr>
                <w:rFonts w:hint="eastAsia"/>
                <w:color w:val="auto"/>
              </w:rPr>
              <w:t>（</w:t>
            </w:r>
            <w:r>
              <w:rPr>
                <w:rFonts w:hint="eastAsia"/>
                <w:color w:val="auto"/>
                <w:lang w:val="zh-CN"/>
              </w:rPr>
              <w:t>进入</w:t>
            </w:r>
            <w:r>
              <w:rPr>
                <w:rFonts w:hint="eastAsia"/>
                <w:color w:val="auto"/>
              </w:rPr>
              <w:t>“</w:t>
            </w:r>
            <w:r>
              <w:rPr>
                <w:rFonts w:hint="eastAsia"/>
                <w:color w:val="auto"/>
                <w:lang w:val="zh-CN"/>
              </w:rPr>
              <w:t>项目采购</w:t>
            </w:r>
            <w:r>
              <w:rPr>
                <w:rFonts w:hint="eastAsia"/>
                <w:color w:val="auto"/>
              </w:rPr>
              <w:t>”</w:t>
            </w:r>
            <w:r>
              <w:rPr>
                <w:rFonts w:hint="eastAsia"/>
                <w:color w:val="auto"/>
                <w:lang w:val="zh-CN"/>
              </w:rPr>
              <w:t>应用</w:t>
            </w:r>
            <w:r>
              <w:rPr>
                <w:rFonts w:hint="eastAsia"/>
                <w:color w:val="auto"/>
              </w:rPr>
              <w:t>，</w:t>
            </w:r>
            <w:r>
              <w:rPr>
                <w:rFonts w:hint="eastAsia"/>
                <w:color w:val="auto"/>
                <w:lang w:val="zh-CN"/>
              </w:rPr>
              <w:t>在获取采购文件菜单中选择项目</w:t>
            </w:r>
            <w:r>
              <w:rPr>
                <w:rFonts w:hint="eastAsia"/>
                <w:color w:val="auto"/>
              </w:rPr>
              <w:t>，</w:t>
            </w:r>
            <w:r>
              <w:rPr>
                <w:rFonts w:hint="eastAsia"/>
                <w:color w:val="auto"/>
                <w:lang w:val="zh-CN"/>
              </w:rPr>
              <w:t>申请获取采购文件</w:t>
            </w:r>
            <w:r>
              <w:rPr>
                <w:rFonts w:hint="eastAsia"/>
                <w:color w:val="auto"/>
              </w:rPr>
              <w:t>）。</w:t>
            </w:r>
          </w:p>
        </w:tc>
      </w:tr>
      <w:tr w14:paraId="6E71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65242EBC">
            <w:pPr>
              <w:spacing w:line="360" w:lineRule="auto"/>
              <w:ind w:firstLine="0" w:firstLineChars="0"/>
            </w:pPr>
            <w:bookmarkStart w:id="14" w:name="_Toc13676_WPSOffice_Level3"/>
            <w:r>
              <w:rPr>
                <w:rFonts w:hint="eastAsia"/>
              </w:rPr>
              <w:t>获取磋商文件地点</w:t>
            </w:r>
          </w:p>
          <w:bookmarkEnd w:id="14"/>
        </w:tc>
        <w:tc>
          <w:tcPr>
            <w:tcW w:w="6829" w:type="dxa"/>
            <w:tcBorders>
              <w:top w:val="single" w:color="000000" w:sz="4" w:space="0"/>
              <w:left w:val="single" w:color="000000" w:sz="4" w:space="0"/>
              <w:bottom w:val="single" w:color="000000" w:sz="4" w:space="0"/>
              <w:right w:val="single" w:color="000000" w:sz="4" w:space="0"/>
            </w:tcBorders>
            <w:vAlign w:val="center"/>
          </w:tcPr>
          <w:p w14:paraId="2895BBB8">
            <w:pPr>
              <w:spacing w:line="360" w:lineRule="auto"/>
              <w:ind w:firstLine="0" w:firstLineChars="0"/>
              <w:rPr>
                <w:color w:val="auto"/>
              </w:rPr>
            </w:pPr>
            <w:r>
              <w:rPr>
                <w:rFonts w:hint="eastAsia"/>
                <w:color w:val="auto"/>
              </w:rPr>
              <w:t>通过政采云平台线上获取</w:t>
            </w:r>
          </w:p>
        </w:tc>
      </w:tr>
      <w:tr w14:paraId="2840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7897B88">
            <w:pPr>
              <w:spacing w:line="360" w:lineRule="auto"/>
              <w:ind w:firstLine="0" w:firstLineChars="0"/>
              <w:rPr>
                <w:lang w:val="zh-CN"/>
              </w:rPr>
            </w:pPr>
            <w:bookmarkStart w:id="15" w:name="_Toc12504_WPSOffice_Level3"/>
            <w:r>
              <w:rPr>
                <w:rFonts w:hint="eastAsia"/>
              </w:rPr>
              <w:t>提交响应文件地点</w:t>
            </w:r>
          </w:p>
        </w:tc>
        <w:tc>
          <w:tcPr>
            <w:tcW w:w="6829" w:type="dxa"/>
            <w:tcBorders>
              <w:top w:val="single" w:color="000000" w:sz="4" w:space="0"/>
              <w:left w:val="single" w:color="000000" w:sz="4" w:space="0"/>
              <w:bottom w:val="single" w:color="000000" w:sz="4" w:space="0"/>
              <w:right w:val="single" w:color="000000" w:sz="4" w:space="0"/>
            </w:tcBorders>
            <w:vAlign w:val="center"/>
          </w:tcPr>
          <w:p w14:paraId="406CA0BD">
            <w:pPr>
              <w:spacing w:line="360" w:lineRule="auto"/>
              <w:ind w:firstLine="0" w:firstLineChars="0"/>
              <w:rPr>
                <w:rFonts w:hint="eastAsia"/>
                <w:color w:val="auto"/>
              </w:rPr>
            </w:pPr>
            <w:r>
              <w:rPr>
                <w:rFonts w:hint="eastAsia"/>
                <w:color w:val="auto"/>
              </w:rPr>
              <w:t>供应商应在投标截止时间前按磋商文件要求使用政采云电子投标客户端制作上传电子投标文件，并在开标后30分钟内远程解密投标文件。</w:t>
            </w:r>
          </w:p>
          <w:p w14:paraId="3043C04B">
            <w:pPr>
              <w:pStyle w:val="40"/>
              <w:ind w:left="0" w:leftChars="0" w:firstLine="0" w:firstLineChars="0"/>
              <w:rPr>
                <w:color w:val="auto"/>
                <w:lang w:val="zh-CN"/>
              </w:rPr>
            </w:pPr>
            <w:r>
              <w:rPr>
                <w:rFonts w:hint="eastAsia"/>
                <w:color w:val="auto"/>
                <w:sz w:val="24"/>
                <w:szCs w:val="24"/>
                <w:lang w:val="en-US" w:eastAsia="zh-CN"/>
              </w:rPr>
              <w:t>开标地点：</w:t>
            </w:r>
            <w:r>
              <w:rPr>
                <w:rFonts w:hint="eastAsia"/>
                <w:color w:val="auto"/>
                <w:sz w:val="24"/>
                <w:szCs w:val="24"/>
                <w:lang w:val="zh-CN"/>
              </w:rPr>
              <w:t>西宁市城西区西川南路76号万达中心1号写字楼5楼10508室</w:t>
            </w:r>
          </w:p>
        </w:tc>
      </w:tr>
      <w:bookmarkEnd w:id="15"/>
      <w:tr w14:paraId="0D97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96F6540">
            <w:pPr>
              <w:spacing w:line="360" w:lineRule="auto"/>
              <w:ind w:firstLine="0" w:firstLineChars="0"/>
              <w:rPr>
                <w:lang w:val="zh-CN"/>
              </w:rPr>
            </w:pPr>
            <w:r>
              <w:t>提交响应文件截止时间响应文件开启时间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0AD74849">
            <w:pPr>
              <w:spacing w:line="360" w:lineRule="auto"/>
              <w:ind w:firstLine="0" w:firstLineChars="0"/>
              <w:rPr>
                <w:color w:val="auto"/>
                <w:lang w:val="zh-CN"/>
              </w:rPr>
            </w:pPr>
            <w:r>
              <w:rPr>
                <w:rFonts w:hint="eastAsia"/>
                <w:color w:val="auto"/>
                <w:highlight w:val="none"/>
                <w:lang w:val="zh-CN"/>
              </w:rPr>
              <w:t>202</w:t>
            </w:r>
            <w:r>
              <w:rPr>
                <w:rFonts w:hint="eastAsia"/>
                <w:color w:val="auto"/>
                <w:highlight w:val="none"/>
                <w:lang w:val="en-US" w:eastAsia="zh-CN"/>
              </w:rPr>
              <w:t>5</w:t>
            </w:r>
            <w:r>
              <w:rPr>
                <w:rFonts w:hint="eastAsia"/>
                <w:color w:val="auto"/>
                <w:highlight w:val="none"/>
                <w:lang w:val="zh-CN"/>
              </w:rPr>
              <w:t>年</w:t>
            </w:r>
            <w:r>
              <w:rPr>
                <w:rFonts w:hint="eastAsia"/>
                <w:color w:val="auto"/>
                <w:highlight w:val="none"/>
                <w:lang w:val="en-US" w:eastAsia="zh-CN"/>
              </w:rPr>
              <w:t>6</w:t>
            </w:r>
            <w:r>
              <w:rPr>
                <w:rFonts w:hint="eastAsia"/>
                <w:color w:val="auto"/>
                <w:highlight w:val="none"/>
                <w:lang w:val="zh-CN"/>
              </w:rPr>
              <w:t>月</w:t>
            </w:r>
            <w:r>
              <w:rPr>
                <w:rFonts w:hint="eastAsia"/>
                <w:color w:val="auto"/>
                <w:highlight w:val="none"/>
                <w:lang w:val="en-US" w:eastAsia="zh-CN"/>
              </w:rPr>
              <w:t>30</w:t>
            </w:r>
            <w:r>
              <w:rPr>
                <w:rFonts w:hint="eastAsia"/>
                <w:color w:val="auto"/>
                <w:highlight w:val="none"/>
                <w:lang w:val="zh-CN"/>
              </w:rPr>
              <w:t>日</w:t>
            </w:r>
            <w:r>
              <w:rPr>
                <w:rFonts w:hint="eastAsia"/>
                <w:color w:val="auto"/>
                <w:highlight w:val="none"/>
                <w:lang w:val="en-US" w:eastAsia="zh-CN"/>
              </w:rPr>
              <w:t>上午09</w:t>
            </w:r>
            <w:r>
              <w:rPr>
                <w:rFonts w:hint="eastAsia"/>
                <w:color w:val="auto"/>
                <w:highlight w:val="none"/>
                <w:lang w:val="zh-CN"/>
              </w:rPr>
              <w:t>:</w:t>
            </w:r>
            <w:r>
              <w:rPr>
                <w:rFonts w:hint="eastAsia"/>
                <w:color w:val="auto"/>
                <w:highlight w:val="none"/>
                <w:lang w:val="en-US" w:eastAsia="zh-CN"/>
              </w:rPr>
              <w:t>3</w:t>
            </w:r>
            <w:r>
              <w:rPr>
                <w:rFonts w:hint="eastAsia"/>
                <w:color w:val="auto"/>
                <w:highlight w:val="none"/>
                <w:lang w:val="zh-CN"/>
              </w:rPr>
              <w:t>0（北京时间）</w:t>
            </w:r>
          </w:p>
        </w:tc>
      </w:tr>
      <w:tr w14:paraId="185B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0506F263">
            <w:pPr>
              <w:spacing w:line="360" w:lineRule="auto"/>
              <w:ind w:firstLine="0" w:firstLineChars="0"/>
            </w:pPr>
            <w:r>
              <w:rPr>
                <w:rFonts w:hint="eastAsia"/>
              </w:rPr>
              <w:t>采购单位及联系人电话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18CAEFD2">
            <w:pPr>
              <w:autoSpaceDE w:val="0"/>
              <w:autoSpaceDN w:val="0"/>
              <w:spacing w:line="360" w:lineRule="auto"/>
              <w:ind w:firstLine="0" w:firstLineChars="0"/>
              <w:rPr>
                <w:rFonts w:hint="eastAsia" w:ascii="宋体" w:hAnsi="宋体" w:cs="宋体"/>
                <w:color w:val="auto"/>
                <w:lang w:val="zh-CN"/>
              </w:rPr>
            </w:pPr>
            <w:r>
              <w:rPr>
                <w:rFonts w:hint="eastAsia" w:ascii="宋体" w:hAnsi="宋体" w:cs="宋体"/>
                <w:color w:val="auto"/>
              </w:rPr>
              <w:t>采购</w:t>
            </w:r>
            <w:r>
              <w:rPr>
                <w:rFonts w:hint="eastAsia" w:ascii="宋体" w:hAnsi="宋体" w:cs="宋体"/>
                <w:color w:val="auto"/>
                <w:lang w:val="zh-CN"/>
              </w:rPr>
              <w:t>单位：共和县中医院</w:t>
            </w:r>
          </w:p>
          <w:p w14:paraId="1CAEF3F9">
            <w:pPr>
              <w:autoSpaceDE w:val="0"/>
              <w:autoSpaceDN w:val="0"/>
              <w:spacing w:line="360" w:lineRule="auto"/>
              <w:ind w:firstLine="0" w:firstLineChars="0"/>
              <w:rPr>
                <w:rFonts w:ascii="宋体" w:hAnsi="宋体" w:cs="宋体"/>
                <w:color w:val="auto"/>
              </w:rPr>
            </w:pPr>
            <w:r>
              <w:rPr>
                <w:rFonts w:hint="eastAsia" w:ascii="宋体" w:hAnsi="宋体" w:cs="宋体"/>
                <w:color w:val="auto"/>
                <w:lang w:val="zh-CN"/>
              </w:rPr>
              <w:t>联系人：</w:t>
            </w:r>
            <w:r>
              <w:rPr>
                <w:rFonts w:hint="eastAsia" w:ascii="宋体" w:hAnsi="宋体" w:cs="宋体"/>
                <w:color w:val="auto"/>
                <w:lang w:val="en-US" w:eastAsia="zh-CN"/>
              </w:rPr>
              <w:t>范</w:t>
            </w:r>
            <w:r>
              <w:rPr>
                <w:rFonts w:hint="eastAsia" w:ascii="宋体" w:hAnsi="宋体" w:cs="宋体"/>
                <w:color w:val="auto"/>
              </w:rPr>
              <w:t>老师</w:t>
            </w:r>
          </w:p>
          <w:p w14:paraId="35A4CB94">
            <w:pPr>
              <w:autoSpaceDE w:val="0"/>
              <w:autoSpaceDN w:val="0"/>
              <w:spacing w:line="360" w:lineRule="auto"/>
              <w:ind w:firstLine="0" w:firstLineChars="0"/>
              <w:rPr>
                <w:rFonts w:hint="default"/>
                <w:color w:val="auto"/>
                <w:lang w:val="en-US"/>
              </w:rPr>
            </w:pPr>
            <w:r>
              <w:rPr>
                <w:rFonts w:hint="eastAsia" w:ascii="宋体" w:hAnsi="宋体" w:cs="宋体"/>
                <w:color w:val="auto"/>
              </w:rPr>
              <w:t>联系</w:t>
            </w:r>
            <w:r>
              <w:rPr>
                <w:rFonts w:hint="eastAsia" w:ascii="宋体" w:hAnsi="宋体" w:cs="宋体"/>
                <w:color w:val="auto"/>
                <w:lang w:val="zh-CN"/>
              </w:rPr>
              <w:t>电话：</w:t>
            </w:r>
            <w:r>
              <w:rPr>
                <w:rFonts w:hint="eastAsia" w:ascii="宋体" w:hAnsi="宋体" w:cs="宋体"/>
                <w:color w:val="auto"/>
                <w:lang w:val="en-US" w:eastAsia="zh-CN"/>
              </w:rPr>
              <w:t>0974-8512832-8060</w:t>
            </w:r>
          </w:p>
          <w:p w14:paraId="442FE105">
            <w:pPr>
              <w:spacing w:line="360" w:lineRule="auto"/>
              <w:ind w:firstLine="0" w:firstLineChars="0"/>
            </w:pPr>
            <w:r>
              <w:rPr>
                <w:rFonts w:hint="eastAsia" w:ascii="宋体" w:hAnsi="宋体" w:cs="宋体"/>
                <w:color w:val="auto"/>
                <w:lang w:val="zh-CN"/>
              </w:rPr>
              <w:t>联系地址：</w:t>
            </w:r>
            <w:r>
              <w:rPr>
                <w:rFonts w:hint="eastAsia" w:ascii="宋体" w:hAnsi="宋体" w:cs="宋体"/>
                <w:color w:val="auto"/>
                <w:lang w:val="en-US" w:eastAsia="zh-CN"/>
              </w:rPr>
              <w:t>共和县恰卜恰镇团结南路241号</w:t>
            </w:r>
          </w:p>
        </w:tc>
      </w:tr>
      <w:tr w14:paraId="50EBA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524106F9">
            <w:pPr>
              <w:spacing w:line="360" w:lineRule="auto"/>
              <w:ind w:firstLine="0" w:firstLineChars="0"/>
            </w:pPr>
            <w:r>
              <w:rPr>
                <w:rFonts w:hint="eastAsia"/>
              </w:rPr>
              <w:t>采购代理机构及联系人电话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0BAA0C4F">
            <w:pPr>
              <w:spacing w:line="360" w:lineRule="auto"/>
              <w:ind w:firstLine="0" w:firstLineChars="0"/>
              <w:rPr>
                <w:rFonts w:ascii="宋体" w:hAnsi="宋体" w:cs="宋体"/>
              </w:rPr>
            </w:pPr>
            <w:r>
              <w:rPr>
                <w:rFonts w:ascii="宋体" w:hAnsi="宋体" w:cs="宋体"/>
              </w:rPr>
              <w:t>采购代理机构：</w:t>
            </w:r>
            <w:r>
              <w:rPr>
                <w:rFonts w:hint="eastAsia" w:ascii="宋体" w:hAnsi="宋体" w:cs="宋体"/>
              </w:rPr>
              <w:t>青海旺利欣项目咨询管理有限公司</w:t>
            </w:r>
          </w:p>
          <w:p w14:paraId="09531C54">
            <w:pPr>
              <w:spacing w:line="360" w:lineRule="auto"/>
              <w:ind w:firstLine="0" w:firstLineChars="0"/>
              <w:rPr>
                <w:rFonts w:hint="eastAsia" w:ascii="宋体" w:hAnsi="宋体" w:cs="宋体"/>
              </w:rPr>
            </w:pPr>
            <w:r>
              <w:rPr>
                <w:rFonts w:ascii="宋体" w:hAnsi="宋体" w:cs="宋体"/>
              </w:rPr>
              <w:t>联系人：</w:t>
            </w:r>
            <w:r>
              <w:rPr>
                <w:rFonts w:hint="eastAsia" w:ascii="宋体" w:hAnsi="宋体" w:cs="宋体"/>
                <w:lang w:val="en-US" w:eastAsia="zh-CN"/>
              </w:rPr>
              <w:t>彤</w:t>
            </w:r>
            <w:r>
              <w:rPr>
                <w:rFonts w:hint="eastAsia" w:ascii="宋体" w:hAnsi="宋体" w:cs="宋体"/>
              </w:rPr>
              <w:t xml:space="preserve">女士    </w:t>
            </w:r>
          </w:p>
          <w:p w14:paraId="6BC902F8">
            <w:pPr>
              <w:spacing w:line="360" w:lineRule="auto"/>
              <w:ind w:firstLine="0" w:firstLineChars="0"/>
              <w:rPr>
                <w:rFonts w:hint="eastAsia" w:ascii="宋体" w:hAnsi="宋体" w:cs="宋体"/>
                <w:lang w:val="en-US" w:eastAsia="zh-CN"/>
              </w:rPr>
            </w:pPr>
            <w:r>
              <w:rPr>
                <w:rFonts w:ascii="宋体" w:hAnsi="宋体" w:cs="宋体"/>
              </w:rPr>
              <w:t>联系电话：</w:t>
            </w:r>
            <w:r>
              <w:rPr>
                <w:rFonts w:hint="eastAsia" w:ascii="宋体" w:hAnsi="宋体" w:cs="宋体"/>
                <w:lang w:val="en-US" w:eastAsia="zh-CN"/>
              </w:rPr>
              <w:t>15297016608</w:t>
            </w:r>
          </w:p>
          <w:p w14:paraId="0A86DAE5">
            <w:pPr>
              <w:spacing w:line="360" w:lineRule="auto"/>
              <w:ind w:firstLine="0" w:firstLineChars="0"/>
              <w:rPr>
                <w:rFonts w:ascii="宋体" w:hAnsi="宋体" w:cs="宋体"/>
              </w:rPr>
            </w:pPr>
            <w:r>
              <w:rPr>
                <w:rFonts w:ascii="宋体" w:hAnsi="宋体" w:cs="宋体"/>
              </w:rPr>
              <w:t>电子邮箱：</w:t>
            </w:r>
            <w:r>
              <w:rPr>
                <w:rFonts w:hint="eastAsia" w:ascii="宋体" w:hAnsi="宋体" w:cs="宋体"/>
                <w:lang w:val="en-US" w:eastAsia="zh-CN"/>
              </w:rPr>
              <w:t>378593801</w:t>
            </w:r>
            <w:r>
              <w:rPr>
                <w:rFonts w:ascii="宋体" w:hAnsi="宋体" w:cs="宋体"/>
              </w:rPr>
              <w:t>@</w:t>
            </w:r>
            <w:r>
              <w:rPr>
                <w:rFonts w:hint="eastAsia" w:ascii="宋体" w:hAnsi="宋体" w:cs="宋体"/>
                <w:lang w:val="en-US" w:eastAsia="zh-CN"/>
              </w:rPr>
              <w:t>QQ</w:t>
            </w:r>
            <w:r>
              <w:rPr>
                <w:rFonts w:ascii="宋体" w:hAnsi="宋体" w:cs="宋体"/>
              </w:rPr>
              <w:t xml:space="preserve">.com </w:t>
            </w:r>
          </w:p>
          <w:p w14:paraId="512A6AF7">
            <w:pPr>
              <w:spacing w:line="360" w:lineRule="auto"/>
              <w:ind w:firstLine="0" w:firstLineChars="0"/>
            </w:pPr>
            <w:r>
              <w:rPr>
                <w:rFonts w:hint="eastAsia"/>
                <w:lang w:val="zh-CN"/>
              </w:rPr>
              <w:t>联系地址</w:t>
            </w:r>
            <w:r>
              <w:rPr>
                <w:rFonts w:hint="eastAsia"/>
              </w:rPr>
              <w:t>：</w:t>
            </w:r>
            <w:r>
              <w:rPr>
                <w:rFonts w:hint="eastAsia"/>
                <w:lang w:val="zh-CN"/>
              </w:rPr>
              <w:t>西宁市城西区西川南路</w:t>
            </w:r>
            <w:r>
              <w:rPr>
                <w:rFonts w:hint="eastAsia"/>
              </w:rPr>
              <w:t>76</w:t>
            </w:r>
            <w:r>
              <w:rPr>
                <w:rFonts w:hint="eastAsia"/>
                <w:lang w:val="zh-CN"/>
              </w:rPr>
              <w:t>号万达中心</w:t>
            </w:r>
            <w:r>
              <w:rPr>
                <w:rFonts w:hint="eastAsia"/>
              </w:rPr>
              <w:t>1</w:t>
            </w:r>
            <w:r>
              <w:rPr>
                <w:rFonts w:hint="eastAsia"/>
                <w:lang w:val="zh-CN"/>
              </w:rPr>
              <w:t>号写字楼</w:t>
            </w:r>
            <w:r>
              <w:rPr>
                <w:rFonts w:hint="eastAsia"/>
              </w:rPr>
              <w:t>5</w:t>
            </w:r>
            <w:r>
              <w:rPr>
                <w:rFonts w:hint="eastAsia"/>
                <w:lang w:val="zh-CN"/>
              </w:rPr>
              <w:t>楼</w:t>
            </w:r>
            <w:r>
              <w:rPr>
                <w:rFonts w:hint="eastAsia"/>
              </w:rPr>
              <w:t>10508</w:t>
            </w:r>
            <w:r>
              <w:rPr>
                <w:rFonts w:hint="eastAsia"/>
                <w:lang w:val="zh-CN"/>
              </w:rPr>
              <w:t>室</w:t>
            </w:r>
          </w:p>
        </w:tc>
      </w:tr>
      <w:tr w14:paraId="1C0AE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53F6910">
            <w:pPr>
              <w:spacing w:line="360" w:lineRule="auto"/>
              <w:ind w:firstLine="0" w:firstLineChars="0"/>
            </w:pPr>
            <w:r>
              <w:rPr>
                <w:rFonts w:hint="eastAsia"/>
              </w:rPr>
              <w:t>采购代理机构开户银行</w:t>
            </w:r>
          </w:p>
        </w:tc>
        <w:tc>
          <w:tcPr>
            <w:tcW w:w="6829" w:type="dxa"/>
            <w:tcBorders>
              <w:top w:val="single" w:color="000000" w:sz="4" w:space="0"/>
              <w:left w:val="single" w:color="000000" w:sz="4" w:space="0"/>
              <w:bottom w:val="single" w:color="000000" w:sz="4" w:space="0"/>
              <w:right w:val="single" w:color="000000" w:sz="4" w:space="0"/>
            </w:tcBorders>
            <w:vAlign w:val="center"/>
          </w:tcPr>
          <w:p w14:paraId="633C6694">
            <w:pPr>
              <w:spacing w:line="360" w:lineRule="auto"/>
              <w:ind w:firstLine="0" w:firstLineChars="0"/>
            </w:pPr>
            <w:r>
              <w:rPr>
                <w:rFonts w:hint="eastAsia"/>
              </w:rPr>
              <w:t>青海银行城西支行</w:t>
            </w:r>
          </w:p>
        </w:tc>
      </w:tr>
      <w:tr w14:paraId="19D4A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1"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805FED5">
            <w:pPr>
              <w:spacing w:line="360" w:lineRule="auto"/>
              <w:ind w:firstLine="0" w:firstLineChars="0"/>
            </w:pPr>
            <w:r>
              <w:rPr>
                <w:rFonts w:hint="eastAsia"/>
              </w:rPr>
              <w:t>收款人</w:t>
            </w:r>
          </w:p>
        </w:tc>
        <w:tc>
          <w:tcPr>
            <w:tcW w:w="6829" w:type="dxa"/>
            <w:tcBorders>
              <w:top w:val="single" w:color="000000" w:sz="4" w:space="0"/>
              <w:left w:val="single" w:color="000000" w:sz="4" w:space="0"/>
              <w:bottom w:val="single" w:color="000000" w:sz="4" w:space="0"/>
              <w:right w:val="single" w:color="000000" w:sz="4" w:space="0"/>
            </w:tcBorders>
            <w:vAlign w:val="center"/>
          </w:tcPr>
          <w:p w14:paraId="0B173F2C">
            <w:pPr>
              <w:spacing w:line="360" w:lineRule="auto"/>
              <w:ind w:firstLine="0" w:firstLineChars="0"/>
            </w:pPr>
            <w:r>
              <w:rPr>
                <w:rFonts w:hint="eastAsia"/>
                <w:lang w:val="zh-CN"/>
              </w:rPr>
              <w:t>青海旺利欣项目咨询管理有限公司</w:t>
            </w:r>
          </w:p>
        </w:tc>
      </w:tr>
      <w:tr w14:paraId="204F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1"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A282841">
            <w:pPr>
              <w:spacing w:line="360" w:lineRule="auto"/>
              <w:ind w:firstLine="0" w:firstLineChars="0"/>
            </w:pPr>
            <w:r>
              <w:rPr>
                <w:rFonts w:hint="eastAsia"/>
              </w:rPr>
              <w:t>银行账号</w:t>
            </w:r>
          </w:p>
        </w:tc>
        <w:tc>
          <w:tcPr>
            <w:tcW w:w="6829" w:type="dxa"/>
            <w:tcBorders>
              <w:top w:val="single" w:color="000000" w:sz="4" w:space="0"/>
              <w:left w:val="single" w:color="000000" w:sz="4" w:space="0"/>
              <w:bottom w:val="single" w:color="000000" w:sz="4" w:space="0"/>
              <w:right w:val="single" w:color="000000" w:sz="4" w:space="0"/>
            </w:tcBorders>
            <w:vAlign w:val="center"/>
          </w:tcPr>
          <w:p w14:paraId="3C6646C1">
            <w:pPr>
              <w:spacing w:line="360" w:lineRule="auto"/>
              <w:ind w:firstLine="0" w:firstLineChars="0"/>
            </w:pPr>
            <w:r>
              <w:rPr>
                <w:rFonts w:hint="eastAsia"/>
              </w:rPr>
              <w:t>0201201000077792</w:t>
            </w:r>
          </w:p>
        </w:tc>
      </w:tr>
      <w:tr w14:paraId="4F08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596D205E">
            <w:pPr>
              <w:spacing w:line="360" w:lineRule="auto"/>
              <w:ind w:firstLine="0" w:firstLineChars="0"/>
            </w:pPr>
            <w:r>
              <w:rPr>
                <w:rFonts w:hint="eastAsia"/>
              </w:rPr>
              <w:t>其他事</w:t>
            </w:r>
            <w:bookmarkStart w:id="16" w:name="_Toc15454_WPSOffice_Level3"/>
            <w:r>
              <w:rPr>
                <w:rFonts w:hint="eastAsia"/>
              </w:rPr>
              <w:t>项</w:t>
            </w:r>
          </w:p>
          <w:bookmarkEnd w:id="16"/>
        </w:tc>
        <w:tc>
          <w:tcPr>
            <w:tcW w:w="6829" w:type="dxa"/>
            <w:tcBorders>
              <w:top w:val="single" w:color="000000" w:sz="4" w:space="0"/>
              <w:left w:val="single" w:color="000000" w:sz="4" w:space="0"/>
              <w:bottom w:val="single" w:color="000000" w:sz="4" w:space="0"/>
              <w:right w:val="single" w:color="000000" w:sz="4" w:space="0"/>
            </w:tcBorders>
            <w:vAlign w:val="center"/>
          </w:tcPr>
          <w:p w14:paraId="3DD23D71">
            <w:pPr>
              <w:spacing w:line="360" w:lineRule="auto"/>
              <w:ind w:firstLine="0" w:firstLineChars="0"/>
              <w:jc w:val="left"/>
              <w:rPr>
                <w:rFonts w:ascii="新宋体" w:hAnsi="新宋体" w:eastAsia="新宋体" w:cs="新宋体"/>
                <w:lang w:val="zh-CN"/>
              </w:rPr>
            </w:pPr>
            <w:r>
              <w:rPr>
                <w:rFonts w:hint="eastAsia" w:ascii="新宋体" w:hAnsi="新宋体" w:eastAsia="新宋体" w:cs="新宋体"/>
              </w:rPr>
              <w:t>1、</w:t>
            </w:r>
            <w:r>
              <w:rPr>
                <w:rFonts w:hint="eastAsia" w:ascii="新宋体" w:hAnsi="新宋体" w:eastAsia="新宋体" w:cs="新宋体"/>
                <w:lang w:val="zh-CN"/>
              </w:rPr>
              <w:t>本公告发布于《青海省政府采购网》、《青海省电子招标投标公共服务平台》。</w:t>
            </w:r>
          </w:p>
          <w:p w14:paraId="085EF1F9">
            <w:pPr>
              <w:spacing w:line="360" w:lineRule="auto"/>
              <w:ind w:firstLine="0" w:firstLineChars="0"/>
            </w:pPr>
            <w:r>
              <w:rPr>
                <w:rFonts w:hint="eastAsia" w:ascii="新宋体" w:hAnsi="新宋体" w:eastAsia="新宋体" w:cs="新宋体"/>
                <w:lang w:val="zh-CN"/>
              </w:rPr>
              <w:t>2、本项目线上进行，供应商无需到现场开标；如非系统原因造成无法解密的或非系统原因加密文件上传不成功的或没办理CA锁而造成加密磋商响应文件无法解密、加密磋商响应文件无法上传的视为无效投标，线上电子加密磋商响应文件必须在磋商响应文件递交截止时间前上传至电子开评标系统；</w:t>
            </w:r>
            <w:r>
              <w:rPr>
                <w:rFonts w:hint="eastAsia" w:ascii="新宋体" w:hAnsi="新宋体" w:eastAsia="新宋体" w:cs="新宋体"/>
                <w:lang w:val="zh-CN"/>
              </w:rPr>
              <w:br w:type="textWrapping"/>
            </w:r>
            <w:r>
              <w:rPr>
                <w:rFonts w:hint="eastAsia" w:ascii="新宋体" w:hAnsi="新宋体" w:eastAsia="新宋体" w:cs="新宋体"/>
                <w:lang w:val="zh-CN"/>
              </w:rPr>
              <w:t>3、线上电子化开评标系统操作及办理CA锁等相关事宜请咨询政采云：咨询电话：95763；</w:t>
            </w:r>
          </w:p>
        </w:tc>
      </w:tr>
      <w:tr w14:paraId="11D94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A9E07E2">
            <w:pPr>
              <w:spacing w:line="360" w:lineRule="auto"/>
              <w:ind w:firstLine="0" w:firstLineChars="0"/>
            </w:pPr>
            <w:r>
              <w:rPr>
                <w:rFonts w:hint="eastAsia"/>
              </w:rPr>
              <w:t>财政部门监督电话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0B944AB0">
            <w:pPr>
              <w:spacing w:line="360" w:lineRule="auto"/>
              <w:ind w:firstLine="0" w:firstLineChars="0"/>
              <w:rPr>
                <w:lang w:val="zh-CN"/>
              </w:rPr>
            </w:pPr>
            <w:r>
              <w:rPr>
                <w:rFonts w:hint="eastAsia"/>
                <w:lang w:val="zh-CN"/>
              </w:rPr>
              <w:t>监督单位：</w:t>
            </w:r>
            <w:r>
              <w:rPr>
                <w:rFonts w:hint="eastAsia"/>
                <w:lang w:val="en-US" w:eastAsia="zh-CN"/>
              </w:rPr>
              <w:t>共和县财政局</w:t>
            </w:r>
            <w:r>
              <w:rPr>
                <w:rFonts w:hint="eastAsia"/>
                <w:lang w:val="zh-CN"/>
              </w:rPr>
              <w:t xml:space="preserve">   </w:t>
            </w:r>
          </w:p>
          <w:p w14:paraId="6DE6982A">
            <w:pPr>
              <w:spacing w:line="360" w:lineRule="auto"/>
              <w:ind w:firstLine="0" w:firstLineChars="0"/>
              <w:rPr>
                <w:rFonts w:hint="default" w:eastAsia="宋体"/>
                <w:lang w:val="en-US" w:eastAsia="zh-CN"/>
              </w:rPr>
            </w:pPr>
            <w:r>
              <w:rPr>
                <w:rFonts w:hint="eastAsia"/>
                <w:lang w:val="zh-CN"/>
              </w:rPr>
              <w:t>联系电话：097</w:t>
            </w:r>
            <w:r>
              <w:rPr>
                <w:rFonts w:hint="eastAsia"/>
                <w:lang w:val="en-US" w:eastAsia="zh-CN"/>
              </w:rPr>
              <w:t>4</w:t>
            </w:r>
            <w:r>
              <w:rPr>
                <w:rFonts w:hint="eastAsia"/>
                <w:lang w:val="zh-CN"/>
              </w:rPr>
              <w:t>-</w:t>
            </w:r>
            <w:r>
              <w:rPr>
                <w:rFonts w:hint="eastAsia"/>
                <w:lang w:val="en-US" w:eastAsia="zh-CN"/>
              </w:rPr>
              <w:t>8525597</w:t>
            </w:r>
          </w:p>
        </w:tc>
      </w:tr>
    </w:tbl>
    <w:p w14:paraId="49482DB8">
      <w:pPr>
        <w:keepNext/>
        <w:keepLines/>
        <w:pageBreakBefore/>
        <w:widowControl/>
        <w:snapToGrid w:val="0"/>
        <w:spacing w:line="360" w:lineRule="auto"/>
        <w:ind w:firstLine="0" w:firstLineChars="0"/>
        <w:outlineLvl w:val="0"/>
        <w:rPr>
          <w:rFonts w:ascii="宋体"/>
          <w:b/>
          <w:kern w:val="28"/>
          <w:sz w:val="36"/>
          <w:szCs w:val="20"/>
        </w:rPr>
      </w:pPr>
      <w:bookmarkStart w:id="17" w:name="_Toc456270726"/>
      <w:bookmarkStart w:id="18" w:name="_Toc456184036"/>
      <w:bookmarkStart w:id="19" w:name="_Toc456183966"/>
      <w:bookmarkStart w:id="20" w:name="_Toc456184191"/>
      <w:r>
        <w:rPr>
          <w:rFonts w:hint="eastAsia" w:ascii="宋体"/>
          <w:b/>
          <w:kern w:val="28"/>
          <w:sz w:val="36"/>
          <w:szCs w:val="20"/>
        </w:rPr>
        <w:t xml:space="preserve">             </w:t>
      </w:r>
      <w:bookmarkStart w:id="21" w:name="_Toc32227"/>
      <w:bookmarkStart w:id="22" w:name="_Toc4847"/>
      <w:bookmarkStart w:id="23" w:name="_Toc18678"/>
      <w:bookmarkStart w:id="24" w:name="_Toc30337"/>
      <w:bookmarkStart w:id="25" w:name="_Toc23022_WPSOffice_Level1"/>
      <w:bookmarkStart w:id="26" w:name="_Toc7644"/>
      <w:r>
        <w:rPr>
          <w:rFonts w:hint="eastAsia" w:ascii="宋体"/>
          <w:b/>
          <w:kern w:val="28"/>
          <w:sz w:val="36"/>
          <w:szCs w:val="20"/>
        </w:rPr>
        <w:t>第二部分  供应商须知前附表</w:t>
      </w:r>
      <w:bookmarkEnd w:id="17"/>
      <w:bookmarkEnd w:id="18"/>
      <w:bookmarkEnd w:id="19"/>
      <w:bookmarkEnd w:id="20"/>
      <w:bookmarkEnd w:id="21"/>
      <w:bookmarkEnd w:id="22"/>
      <w:bookmarkEnd w:id="23"/>
      <w:bookmarkEnd w:id="24"/>
      <w:bookmarkEnd w:id="25"/>
      <w:bookmarkEnd w:id="26"/>
    </w:p>
    <w:tbl>
      <w:tblPr>
        <w:tblStyle w:val="68"/>
        <w:tblW w:w="9203" w:type="dxa"/>
        <w:tblInd w:w="-392" w:type="dxa"/>
        <w:tblLayout w:type="fixed"/>
        <w:tblCellMar>
          <w:top w:w="0" w:type="dxa"/>
          <w:left w:w="57" w:type="dxa"/>
          <w:bottom w:w="0" w:type="dxa"/>
          <w:right w:w="57" w:type="dxa"/>
        </w:tblCellMar>
      </w:tblPr>
      <w:tblGrid>
        <w:gridCol w:w="2368"/>
        <w:gridCol w:w="6835"/>
      </w:tblGrid>
      <w:tr w14:paraId="6FEC31CF">
        <w:tblPrEx>
          <w:tblCellMar>
            <w:top w:w="0" w:type="dxa"/>
            <w:left w:w="57" w:type="dxa"/>
            <w:bottom w:w="0" w:type="dxa"/>
            <w:right w:w="57" w:type="dxa"/>
          </w:tblCellMar>
        </w:tblPrEx>
        <w:trPr>
          <w:trHeight w:val="166" w:hRule="atLeast"/>
        </w:trPr>
        <w:tc>
          <w:tcPr>
            <w:tcW w:w="9203" w:type="dxa"/>
            <w:gridSpan w:val="2"/>
            <w:tcBorders>
              <w:top w:val="single" w:color="000000" w:sz="6" w:space="0"/>
              <w:left w:val="single" w:color="000000" w:sz="6" w:space="0"/>
              <w:bottom w:val="single" w:color="000000" w:sz="6" w:space="0"/>
              <w:right w:val="single" w:color="000000" w:sz="6" w:space="0"/>
            </w:tcBorders>
            <w:shd w:val="clear" w:color="000000" w:fill="auto"/>
            <w:vAlign w:val="center"/>
          </w:tcPr>
          <w:p w14:paraId="5BDBDA07">
            <w:pPr>
              <w:spacing w:line="360" w:lineRule="auto"/>
              <w:ind w:firstLine="0" w:firstLineChars="0"/>
              <w:jc w:val="center"/>
              <w:rPr>
                <w:rFonts w:ascii="宋体" w:hAnsi="宋体" w:cs="宋体"/>
                <w:bCs/>
                <w:lang w:val="zh-CN"/>
              </w:rPr>
            </w:pPr>
            <w:r>
              <w:rPr>
                <w:rFonts w:hint="eastAsia" w:ascii="宋体" w:hAnsi="宋体" w:cs="宋体"/>
                <w:bCs/>
                <w:lang w:val="zh-CN"/>
              </w:rPr>
              <w:t>内容</w:t>
            </w:r>
          </w:p>
        </w:tc>
      </w:tr>
      <w:tr w14:paraId="2EDE63A2">
        <w:tblPrEx>
          <w:tblCellMar>
            <w:top w:w="0" w:type="dxa"/>
            <w:left w:w="57" w:type="dxa"/>
            <w:bottom w:w="0" w:type="dxa"/>
            <w:right w:w="57" w:type="dxa"/>
          </w:tblCellMar>
        </w:tblPrEx>
        <w:trPr>
          <w:trHeight w:val="316"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2E54106">
            <w:pPr>
              <w:spacing w:line="360" w:lineRule="auto"/>
              <w:ind w:firstLine="0" w:firstLineChars="0"/>
              <w:rPr>
                <w:lang w:val="zh-CN"/>
              </w:rPr>
            </w:pPr>
            <w:r>
              <w:rPr>
                <w:rFonts w:hint="eastAsia"/>
                <w:lang w:val="zh-CN"/>
              </w:rPr>
              <w:t>采购项目</w:t>
            </w:r>
            <w:bookmarkStart w:id="27" w:name="_Toc1091_WPSOffice_Level2"/>
            <w:r>
              <w:rPr>
                <w:rFonts w:hint="eastAsia"/>
                <w:lang w:val="zh-CN"/>
              </w:rPr>
              <w:t>编号</w:t>
            </w:r>
          </w:p>
          <w:bookmarkEnd w:id="27"/>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7E4F317">
            <w:pPr>
              <w:spacing w:line="360" w:lineRule="auto"/>
              <w:ind w:firstLine="0" w:firstLineChars="0"/>
            </w:pPr>
            <w:r>
              <w:rPr>
                <w:rFonts w:hint="eastAsia"/>
                <w:lang w:val="zh-CN"/>
              </w:rPr>
              <w:t xml:space="preserve">青海旺利欣竞磋（货物）2025-023号 </w:t>
            </w:r>
          </w:p>
        </w:tc>
      </w:tr>
      <w:tr w14:paraId="31EB26E9">
        <w:tblPrEx>
          <w:tblCellMar>
            <w:top w:w="0" w:type="dxa"/>
            <w:left w:w="57" w:type="dxa"/>
            <w:bottom w:w="0" w:type="dxa"/>
            <w:right w:w="57" w:type="dxa"/>
          </w:tblCellMar>
        </w:tblPrEx>
        <w:trPr>
          <w:trHeight w:val="511"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742AB54">
            <w:pPr>
              <w:spacing w:line="360" w:lineRule="auto"/>
              <w:ind w:firstLine="0" w:firstLineChars="0"/>
              <w:rPr>
                <w:lang w:val="zh-CN"/>
              </w:rPr>
            </w:pPr>
            <w:bookmarkStart w:id="28" w:name="_Toc10384_WPSOffice_Level2"/>
            <w:r>
              <w:rPr>
                <w:rFonts w:hint="eastAsia"/>
                <w:lang w:val="zh-CN"/>
              </w:rPr>
              <w:t>采购项目名称</w:t>
            </w:r>
          </w:p>
          <w:bookmarkEnd w:id="28"/>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5E5B494">
            <w:pPr>
              <w:spacing w:line="360" w:lineRule="auto"/>
              <w:ind w:firstLine="0" w:firstLineChars="0"/>
              <w:rPr>
                <w:rFonts w:hint="eastAsia" w:eastAsia="宋体"/>
                <w:lang w:eastAsia="zh-CN"/>
              </w:rPr>
            </w:pPr>
            <w:r>
              <w:rPr>
                <w:rFonts w:hint="eastAsia"/>
                <w:lang w:eastAsia="zh-CN"/>
              </w:rPr>
              <w:t>共和县中医院两专一中心（康复器材）采购项目</w:t>
            </w:r>
          </w:p>
        </w:tc>
      </w:tr>
      <w:tr w14:paraId="54766951">
        <w:tblPrEx>
          <w:tblCellMar>
            <w:top w:w="0" w:type="dxa"/>
            <w:left w:w="57" w:type="dxa"/>
            <w:bottom w:w="0" w:type="dxa"/>
            <w:right w:w="57" w:type="dxa"/>
          </w:tblCellMar>
        </w:tblPrEx>
        <w:trPr>
          <w:trHeight w:val="349"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6722CAF">
            <w:pPr>
              <w:spacing w:line="360" w:lineRule="auto"/>
              <w:ind w:firstLine="0" w:firstLineChars="0"/>
              <w:rPr>
                <w:lang w:val="zh-CN"/>
              </w:rPr>
            </w:pPr>
            <w:r>
              <w:rPr>
                <w:rFonts w:hint="eastAsia"/>
                <w:lang w:val="zh-CN"/>
              </w:rPr>
              <w:t>采购人</w:t>
            </w:r>
          </w:p>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7837C5C">
            <w:pPr>
              <w:spacing w:line="360" w:lineRule="auto"/>
              <w:ind w:firstLine="0" w:firstLineChars="0"/>
            </w:pPr>
            <w:r>
              <w:rPr>
                <w:rFonts w:hint="eastAsia"/>
                <w:lang w:eastAsia="zh-CN"/>
              </w:rPr>
              <w:t>共和县中医院</w:t>
            </w:r>
          </w:p>
        </w:tc>
      </w:tr>
      <w:tr w14:paraId="59C4B62E">
        <w:tblPrEx>
          <w:tblCellMar>
            <w:top w:w="0" w:type="dxa"/>
            <w:left w:w="57" w:type="dxa"/>
            <w:bottom w:w="0" w:type="dxa"/>
            <w:right w:w="57" w:type="dxa"/>
          </w:tblCellMar>
        </w:tblPrEx>
        <w:trPr>
          <w:trHeight w:val="31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4E3EDDE">
            <w:pPr>
              <w:spacing w:line="360" w:lineRule="auto"/>
              <w:ind w:firstLine="0" w:firstLineChars="0"/>
              <w:rPr>
                <w:lang w:val="zh-CN"/>
              </w:rPr>
            </w:pPr>
            <w:r>
              <w:rPr>
                <w:rFonts w:hint="eastAsia"/>
                <w:lang w:val="zh-CN"/>
              </w:rPr>
              <w:t>采购代</w:t>
            </w:r>
            <w:bookmarkStart w:id="29" w:name="_Toc11819_WPSOffice_Level2"/>
            <w:r>
              <w:rPr>
                <w:rFonts w:hint="eastAsia"/>
                <w:lang w:val="zh-CN"/>
              </w:rPr>
              <w:t>理机构</w:t>
            </w:r>
          </w:p>
          <w:bookmarkEnd w:id="29"/>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2778B85">
            <w:pPr>
              <w:spacing w:line="360" w:lineRule="auto"/>
              <w:ind w:firstLine="0" w:firstLineChars="0"/>
              <w:rPr>
                <w:lang w:val="zh-CN"/>
              </w:rPr>
            </w:pPr>
            <w:r>
              <w:rPr>
                <w:rFonts w:hint="eastAsia"/>
                <w:lang w:val="zh-CN"/>
              </w:rPr>
              <w:t>青海旺利欣项目咨询管理有限公司</w:t>
            </w:r>
          </w:p>
        </w:tc>
      </w:tr>
      <w:tr w14:paraId="470CB3FC">
        <w:tblPrEx>
          <w:tblCellMar>
            <w:top w:w="0" w:type="dxa"/>
            <w:left w:w="57" w:type="dxa"/>
            <w:bottom w:w="0" w:type="dxa"/>
            <w:right w:w="57" w:type="dxa"/>
          </w:tblCellMar>
        </w:tblPrEx>
        <w:trPr>
          <w:trHeight w:val="210"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63376D1">
            <w:pPr>
              <w:spacing w:line="360" w:lineRule="auto"/>
              <w:ind w:firstLine="0" w:firstLineChars="0"/>
              <w:rPr>
                <w:lang w:val="zh-CN"/>
              </w:rPr>
            </w:pPr>
            <w:r>
              <w:rPr>
                <w:rFonts w:hint="eastAsia"/>
                <w:lang w:val="zh-CN"/>
              </w:rPr>
              <w:t>采购方式</w:t>
            </w:r>
          </w:p>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A52A227">
            <w:pPr>
              <w:spacing w:line="360" w:lineRule="auto"/>
              <w:ind w:firstLine="0" w:firstLineChars="0"/>
              <w:rPr>
                <w:lang w:val="zh-CN"/>
              </w:rPr>
            </w:pPr>
            <w:r>
              <w:rPr>
                <w:rFonts w:hint="eastAsia"/>
                <w:lang w:val="zh-CN"/>
              </w:rPr>
              <w:t>竞争性磋商</w:t>
            </w:r>
          </w:p>
        </w:tc>
      </w:tr>
      <w:tr w14:paraId="1F6B4000">
        <w:tblPrEx>
          <w:tblCellMar>
            <w:top w:w="0" w:type="dxa"/>
            <w:left w:w="57" w:type="dxa"/>
            <w:bottom w:w="0" w:type="dxa"/>
            <w:right w:w="57" w:type="dxa"/>
          </w:tblCellMar>
        </w:tblPrEx>
        <w:trPr>
          <w:trHeight w:val="177"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7D8B14C">
            <w:pPr>
              <w:spacing w:line="360" w:lineRule="auto"/>
              <w:ind w:firstLine="0" w:firstLineChars="0"/>
              <w:rPr>
                <w:lang w:val="zh-CN"/>
              </w:rPr>
            </w:pPr>
            <w:r>
              <w:rPr>
                <w:rFonts w:hint="eastAsia"/>
                <w:lang w:val="zh-CN"/>
              </w:rPr>
              <w:t>评分办法</w:t>
            </w:r>
          </w:p>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CB29D2E">
            <w:pPr>
              <w:spacing w:line="360" w:lineRule="auto"/>
              <w:ind w:firstLine="0" w:firstLineChars="0"/>
              <w:rPr>
                <w:lang w:val="zh-CN"/>
              </w:rPr>
            </w:pPr>
            <w:r>
              <w:rPr>
                <w:rFonts w:hint="eastAsia"/>
                <w:lang w:val="zh-CN"/>
              </w:rPr>
              <w:t>综合评分法</w:t>
            </w:r>
          </w:p>
        </w:tc>
      </w:tr>
      <w:tr w14:paraId="7846E991">
        <w:tblPrEx>
          <w:tblCellMar>
            <w:top w:w="0" w:type="dxa"/>
            <w:left w:w="57" w:type="dxa"/>
            <w:bottom w:w="0" w:type="dxa"/>
            <w:right w:w="57" w:type="dxa"/>
          </w:tblCellMar>
        </w:tblPrEx>
        <w:trPr>
          <w:trHeight w:val="25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EEEC4DC">
            <w:pPr>
              <w:spacing w:line="360" w:lineRule="auto"/>
              <w:ind w:firstLine="0" w:firstLineChars="0"/>
              <w:rPr>
                <w:lang w:val="zh-CN"/>
              </w:rPr>
            </w:pPr>
            <w:r>
              <w:rPr>
                <w:rFonts w:hint="eastAsia"/>
                <w:lang w:val="zh-CN"/>
              </w:rPr>
              <w:t>递交</w:t>
            </w:r>
            <w:r>
              <w:rPr>
                <w:rFonts w:hint="eastAsia"/>
              </w:rPr>
              <w:t>响应</w:t>
            </w:r>
            <w:r>
              <w:rPr>
                <w:rFonts w:hint="eastAsia"/>
                <w:lang w:val="zh-CN"/>
              </w:rPr>
              <w:t>文件方式</w:t>
            </w:r>
          </w:p>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EF9DA3F">
            <w:pPr>
              <w:spacing w:line="360" w:lineRule="auto"/>
              <w:ind w:firstLine="0" w:firstLineChars="0"/>
            </w:pPr>
            <w:r>
              <w:rPr>
                <w:rFonts w:hint="eastAsia"/>
                <w:lang w:val="zh-CN"/>
              </w:rPr>
              <w:t>政采云</w:t>
            </w:r>
            <w:r>
              <w:rPr>
                <w:rFonts w:hint="eastAsia"/>
              </w:rPr>
              <w:t>平台线上投标</w:t>
            </w:r>
          </w:p>
        </w:tc>
      </w:tr>
      <w:tr w14:paraId="014A73EE">
        <w:tblPrEx>
          <w:tblCellMar>
            <w:top w:w="0" w:type="dxa"/>
            <w:left w:w="57" w:type="dxa"/>
            <w:bottom w:w="0" w:type="dxa"/>
            <w:right w:w="57" w:type="dxa"/>
          </w:tblCellMar>
        </w:tblPrEx>
        <w:trPr>
          <w:trHeight w:val="309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14EA153">
            <w:pPr>
              <w:autoSpaceDE w:val="0"/>
              <w:autoSpaceDN w:val="0"/>
              <w:spacing w:line="360" w:lineRule="auto"/>
              <w:ind w:firstLine="0" w:firstLineChars="0"/>
              <w:rPr>
                <w:rFonts w:ascii="宋体" w:hAnsi="宋体" w:cs="宋体"/>
                <w:bCs/>
                <w:lang w:val="zh-CN"/>
              </w:rPr>
            </w:pPr>
            <w:r>
              <w:rPr>
                <w:rFonts w:hint="eastAsia" w:ascii="宋体" w:hAnsi="宋体" w:cs="宋体"/>
                <w:bCs/>
              </w:rPr>
              <w:t>磋商保证金</w:t>
            </w:r>
          </w:p>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6D277FC">
            <w:pPr>
              <w:autoSpaceDE w:val="0"/>
              <w:autoSpaceDN w:val="0"/>
              <w:spacing w:line="360" w:lineRule="auto"/>
              <w:ind w:firstLine="0" w:firstLineChars="0"/>
              <w:jc w:val="left"/>
              <w:rPr>
                <w:rFonts w:hint="eastAsia" w:ascii="宋体" w:hAnsi="宋体" w:cs="宋体"/>
                <w:bCs/>
                <w:highlight w:val="none"/>
                <w:lang w:val="en-US" w:eastAsia="zh-CN"/>
              </w:rPr>
            </w:pPr>
            <w:r>
              <w:rPr>
                <w:rFonts w:hint="eastAsia" w:ascii="宋体" w:hAnsi="宋体" w:cs="宋体"/>
                <w:bCs/>
              </w:rPr>
              <w:t>磋商</w:t>
            </w:r>
            <w:r>
              <w:rPr>
                <w:rFonts w:hint="eastAsia" w:ascii="宋体" w:hAnsi="宋体" w:cs="宋体"/>
                <w:bCs/>
                <w:lang w:val="zh-CN"/>
              </w:rPr>
              <w:t>保证金：</w:t>
            </w:r>
            <w:r>
              <w:rPr>
                <w:rFonts w:hint="eastAsia" w:ascii="宋体" w:hAnsi="宋体" w:cs="宋体"/>
                <w:bCs/>
                <w:highlight w:val="none"/>
                <w:lang w:val="en-US" w:eastAsia="zh-CN"/>
              </w:rPr>
              <w:t>30000</w:t>
            </w:r>
            <w:r>
              <w:rPr>
                <w:rFonts w:hint="eastAsia" w:ascii="宋体" w:hAnsi="宋体" w:cs="宋体"/>
                <w:bCs/>
                <w:highlight w:val="none"/>
                <w:lang w:val="zh-CN" w:eastAsia="zh-CN"/>
              </w:rPr>
              <w:t>元</w:t>
            </w:r>
            <w:r>
              <w:rPr>
                <w:rFonts w:hint="eastAsia" w:ascii="宋体" w:hAnsi="宋体" w:cs="宋体"/>
                <w:bCs/>
                <w:highlight w:val="none"/>
                <w:lang w:val="en-US" w:eastAsia="zh-CN"/>
              </w:rPr>
              <w:t>；（大写：叁万元整）</w:t>
            </w:r>
          </w:p>
          <w:p w14:paraId="395488B1">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收款单位：青海旺利欣项目咨询管理有限公司</w:t>
            </w:r>
          </w:p>
          <w:p w14:paraId="0F5FE968">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开</w:t>
            </w:r>
            <w:r>
              <w:rPr>
                <w:rFonts w:hint="eastAsia" w:ascii="宋体" w:hAnsi="宋体" w:cs="宋体"/>
                <w:bCs/>
              </w:rPr>
              <w:t xml:space="preserve"> </w:t>
            </w:r>
            <w:r>
              <w:rPr>
                <w:rFonts w:hint="eastAsia" w:ascii="宋体" w:hAnsi="宋体" w:cs="宋体"/>
                <w:bCs/>
                <w:lang w:val="zh-CN"/>
              </w:rPr>
              <w:t>户</w:t>
            </w:r>
            <w:r>
              <w:rPr>
                <w:rFonts w:hint="eastAsia" w:ascii="宋体" w:hAnsi="宋体" w:cs="宋体"/>
                <w:bCs/>
              </w:rPr>
              <w:t xml:space="preserve"> </w:t>
            </w:r>
            <w:r>
              <w:rPr>
                <w:rFonts w:hint="eastAsia" w:ascii="宋体" w:hAnsi="宋体" w:cs="宋体"/>
                <w:bCs/>
                <w:lang w:val="zh-CN"/>
              </w:rPr>
              <w:t>行：西宁农商银行西川南路支行</w:t>
            </w:r>
          </w:p>
          <w:p w14:paraId="42A1A4F6">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银行账号：8201 0000 0006 0702 3</w:t>
            </w:r>
          </w:p>
          <w:p w14:paraId="4736D6F1">
            <w:pPr>
              <w:autoSpaceDE w:val="0"/>
              <w:autoSpaceDN w:val="0"/>
              <w:spacing w:line="360" w:lineRule="auto"/>
              <w:ind w:firstLine="0" w:firstLineChars="0"/>
              <w:jc w:val="left"/>
              <w:rPr>
                <w:rFonts w:ascii="宋体" w:hAnsi="宋体" w:cs="宋体"/>
                <w:bCs/>
              </w:rPr>
            </w:pPr>
            <w:r>
              <w:rPr>
                <w:rFonts w:hint="eastAsia" w:ascii="宋体" w:hAnsi="宋体" w:cs="宋体"/>
                <w:bCs/>
                <w:lang w:val="zh-CN"/>
              </w:rPr>
              <w:t>行</w:t>
            </w:r>
            <w:r>
              <w:rPr>
                <w:rFonts w:hint="eastAsia" w:ascii="宋体" w:hAnsi="宋体" w:cs="宋体"/>
                <w:bCs/>
              </w:rPr>
              <w:t xml:space="preserve">    </w:t>
            </w:r>
            <w:r>
              <w:rPr>
                <w:rFonts w:hint="eastAsia" w:ascii="宋体" w:hAnsi="宋体" w:cs="宋体"/>
                <w:bCs/>
                <w:lang w:val="zh-CN"/>
              </w:rPr>
              <w:t>号：402851020201</w:t>
            </w:r>
          </w:p>
          <w:p w14:paraId="026A7991">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交纳时间：</w:t>
            </w:r>
            <w:r>
              <w:rPr>
                <w:rFonts w:hint="eastAsia" w:ascii="宋体" w:hAnsi="宋体" w:cs="宋体"/>
                <w:bCs/>
              </w:rPr>
              <w:t>投标截止时间</w:t>
            </w:r>
            <w:r>
              <w:rPr>
                <w:rFonts w:hint="eastAsia" w:ascii="宋体" w:hAnsi="宋体" w:cs="宋体"/>
                <w:bCs/>
                <w:lang w:val="zh-CN"/>
              </w:rPr>
              <w:t>，以银行到账时间为准。</w:t>
            </w:r>
          </w:p>
          <w:p w14:paraId="054F30F1">
            <w:pPr>
              <w:autoSpaceDE w:val="0"/>
              <w:autoSpaceDN w:val="0"/>
              <w:spacing w:line="360" w:lineRule="auto"/>
              <w:ind w:firstLine="0" w:firstLineChars="0"/>
              <w:jc w:val="left"/>
              <w:rPr>
                <w:rFonts w:ascii="宋体" w:hAnsi="宋体"/>
                <w:bCs/>
                <w:kern w:val="0"/>
                <w:lang w:val="zh-CN"/>
              </w:rPr>
            </w:pPr>
            <w:r>
              <w:rPr>
                <w:rFonts w:hint="eastAsia" w:ascii="宋体" w:hAnsi="宋体" w:cs="宋体"/>
                <w:bCs/>
                <w:lang w:val="zh-CN"/>
              </w:rPr>
              <w:t>缴费方式：投标保证金应当以</w:t>
            </w:r>
            <w:r>
              <w:rPr>
                <w:rFonts w:hint="eastAsia" w:ascii="宋体" w:hAnsi="宋体" w:cs="宋体"/>
                <w:bCs/>
              </w:rPr>
              <w:t>银行转账、</w:t>
            </w:r>
            <w:r>
              <w:rPr>
                <w:rFonts w:hint="eastAsia" w:ascii="宋体" w:hAnsi="宋体" w:cs="宋体"/>
                <w:bCs/>
                <w:lang w:val="zh-CN"/>
              </w:rPr>
              <w:t>支票、汇票、本票或者金融机构、担保机构出具的保函等非现金形式提交。</w:t>
            </w:r>
          </w:p>
        </w:tc>
      </w:tr>
      <w:tr w14:paraId="0850A497">
        <w:tblPrEx>
          <w:tblCellMar>
            <w:top w:w="0" w:type="dxa"/>
            <w:left w:w="57" w:type="dxa"/>
            <w:bottom w:w="0" w:type="dxa"/>
            <w:right w:w="57" w:type="dxa"/>
          </w:tblCellMar>
        </w:tblPrEx>
        <w:trPr>
          <w:trHeight w:val="133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5150CD8">
            <w:pPr>
              <w:spacing w:line="360" w:lineRule="auto"/>
              <w:ind w:firstLine="0" w:firstLineChars="0"/>
              <w:jc w:val="left"/>
              <w:rPr>
                <w:rFonts w:ascii="宋体" w:hAnsi="宋体"/>
                <w:bCs/>
                <w:kern w:val="0"/>
                <w:lang w:val="zh-CN"/>
              </w:rPr>
            </w:pPr>
            <w:r>
              <w:rPr>
                <w:rFonts w:hint="eastAsia" w:ascii="宋体" w:hAnsi="宋体"/>
                <w:bCs/>
                <w:kern w:val="0"/>
                <w:lang w:val="zh-CN"/>
              </w:rPr>
              <w:t>磋商保证金缴纳</w:t>
            </w:r>
          </w:p>
          <w:p w14:paraId="365F3178">
            <w:pPr>
              <w:spacing w:line="360" w:lineRule="auto"/>
              <w:ind w:firstLine="0" w:firstLineChars="0"/>
              <w:jc w:val="left"/>
              <w:rPr>
                <w:rFonts w:ascii="宋体" w:hAnsi="宋体" w:cs="宋体"/>
                <w:bCs/>
                <w:lang w:val="zh-CN"/>
              </w:rPr>
            </w:pPr>
            <w:r>
              <w:rPr>
                <w:rFonts w:hint="eastAsia" w:ascii="宋体" w:hAnsi="宋体"/>
                <w:bCs/>
                <w:kern w:val="0"/>
                <w:lang w:val="zh-CN"/>
              </w:rPr>
              <w:t>方式</w:t>
            </w:r>
          </w:p>
        </w:tc>
        <w:tc>
          <w:tcPr>
            <w:tcW w:w="6835" w:type="dxa"/>
            <w:tcBorders>
              <w:top w:val="single" w:color="000000" w:sz="6" w:space="0"/>
              <w:left w:val="single" w:color="000000" w:sz="6" w:space="0"/>
              <w:bottom w:val="single" w:color="000000" w:sz="6" w:space="0"/>
              <w:right w:val="single" w:color="000000" w:sz="6" w:space="0"/>
            </w:tcBorders>
            <w:shd w:val="clear" w:color="000000" w:fill="auto"/>
          </w:tcPr>
          <w:p w14:paraId="1D9FCE63">
            <w:pPr>
              <w:spacing w:line="360" w:lineRule="auto"/>
              <w:ind w:firstLine="0" w:firstLineChars="0"/>
              <w:jc w:val="left"/>
              <w:rPr>
                <w:rFonts w:ascii="宋体" w:hAnsi="宋体"/>
                <w:bCs/>
                <w:kern w:val="0"/>
                <w:lang w:val="zh-CN"/>
              </w:rPr>
            </w:pPr>
            <w:r>
              <w:rPr>
                <w:rFonts w:hint="eastAsia" w:ascii="宋体" w:hAnsi="宋体"/>
                <w:bCs/>
                <w:kern w:val="0"/>
                <w:lang w:val="zh-CN"/>
              </w:rPr>
              <w:t>磋商保证金应当以转账、电汇、支票、汇票、本票或者金融机构、担保机构出具的保函等非现金形式提交。</w:t>
            </w:r>
          </w:p>
          <w:p w14:paraId="12856C94">
            <w:pPr>
              <w:spacing w:line="360" w:lineRule="auto"/>
              <w:ind w:firstLine="0" w:firstLineChars="0"/>
              <w:jc w:val="left"/>
              <w:rPr>
                <w:rFonts w:ascii="宋体" w:hAnsi="宋体"/>
                <w:bCs/>
                <w:kern w:val="0"/>
                <w:lang w:val="zh-CN"/>
              </w:rPr>
            </w:pPr>
            <w:r>
              <w:rPr>
                <w:rFonts w:hint="eastAsia" w:ascii="宋体" w:hAnsi="宋体"/>
                <w:bCs/>
                <w:kern w:val="0"/>
                <w:lang w:val="zh-CN"/>
              </w:rPr>
              <w:t>磋商供应商未按照磋商文件要求提交磋商保证金的，磋商无效。</w:t>
            </w:r>
          </w:p>
        </w:tc>
      </w:tr>
      <w:tr w14:paraId="1B87A047">
        <w:tblPrEx>
          <w:tblCellMar>
            <w:top w:w="0" w:type="dxa"/>
            <w:left w:w="57" w:type="dxa"/>
            <w:bottom w:w="0" w:type="dxa"/>
            <w:right w:w="57" w:type="dxa"/>
          </w:tblCellMar>
        </w:tblPrEx>
        <w:trPr>
          <w:trHeight w:val="105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8B3D914">
            <w:pPr>
              <w:spacing w:line="360" w:lineRule="auto"/>
              <w:ind w:firstLine="0" w:firstLineChars="0"/>
              <w:rPr>
                <w:lang w:val="zh-CN"/>
              </w:rPr>
            </w:pPr>
            <w:r>
              <w:rPr>
                <w:rFonts w:hint="eastAsia"/>
                <w:lang w:val="zh-CN"/>
              </w:rPr>
              <w:t>答疑澄清方式</w:t>
            </w:r>
          </w:p>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17B7586">
            <w:pPr>
              <w:spacing w:line="360" w:lineRule="auto"/>
              <w:ind w:firstLine="0" w:firstLineChars="0"/>
              <w:rPr>
                <w:lang w:val="zh-CN"/>
              </w:rPr>
            </w:pPr>
            <w:r>
              <w:rPr>
                <w:rFonts w:hint="eastAsia"/>
                <w:lang w:val="zh-CN"/>
              </w:rPr>
              <w:t>线上答疑，应在规定的时间内通过政采云平台进行答疑澄清，如在规定的时间内未按要求进行澄清，视同放弃答疑。</w:t>
            </w:r>
          </w:p>
        </w:tc>
      </w:tr>
      <w:tr w14:paraId="58CF3594">
        <w:tblPrEx>
          <w:tblCellMar>
            <w:top w:w="0" w:type="dxa"/>
            <w:left w:w="57" w:type="dxa"/>
            <w:bottom w:w="0" w:type="dxa"/>
            <w:right w:w="57" w:type="dxa"/>
          </w:tblCellMar>
        </w:tblPrEx>
        <w:trPr>
          <w:trHeight w:val="52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C028C65">
            <w:pPr>
              <w:spacing w:line="360" w:lineRule="auto"/>
              <w:ind w:firstLine="0" w:firstLineChars="0"/>
              <w:rPr>
                <w:lang w:val="zh-CN"/>
              </w:rPr>
            </w:pPr>
            <w:r>
              <w:rPr>
                <w:rFonts w:hint="eastAsia"/>
                <w:lang w:val="zh-CN"/>
              </w:rPr>
              <w:t>合同签订有效期</w:t>
            </w:r>
          </w:p>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73BDEB3">
            <w:pPr>
              <w:spacing w:line="360" w:lineRule="auto"/>
              <w:ind w:firstLine="0" w:firstLineChars="0"/>
              <w:rPr>
                <w:lang w:val="zh-CN"/>
              </w:rPr>
            </w:pPr>
            <w:r>
              <w:rPr>
                <w:rFonts w:hint="eastAsia"/>
                <w:lang w:val="zh-CN"/>
              </w:rPr>
              <w:t>自成交通知书发出之日起</w:t>
            </w:r>
            <w:r>
              <w:rPr>
                <w:rFonts w:hint="eastAsia"/>
              </w:rPr>
              <w:t>30</w:t>
            </w:r>
            <w:r>
              <w:rPr>
                <w:rFonts w:hint="eastAsia"/>
                <w:lang w:val="zh-CN"/>
              </w:rPr>
              <w:t>日内与采购人签订供货合同</w:t>
            </w:r>
          </w:p>
        </w:tc>
      </w:tr>
      <w:tr w14:paraId="2E61461F">
        <w:tblPrEx>
          <w:tblCellMar>
            <w:top w:w="0" w:type="dxa"/>
            <w:left w:w="57" w:type="dxa"/>
            <w:bottom w:w="0" w:type="dxa"/>
            <w:right w:w="57" w:type="dxa"/>
          </w:tblCellMar>
        </w:tblPrEx>
        <w:trPr>
          <w:trHeight w:val="20"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EA179A3">
            <w:pPr>
              <w:spacing w:line="360" w:lineRule="auto"/>
              <w:ind w:firstLine="0" w:firstLineChars="0"/>
              <w:rPr>
                <w:lang w:val="zh-CN"/>
              </w:rPr>
            </w:pPr>
            <w:r>
              <w:rPr>
                <w:rFonts w:hint="eastAsia"/>
                <w:lang w:val="zh-CN"/>
              </w:rPr>
              <w:t>政府采购合同备案</w:t>
            </w:r>
          </w:p>
        </w:tc>
        <w:tc>
          <w:tcPr>
            <w:tcW w:w="683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3CC0A64">
            <w:pPr>
              <w:spacing w:line="360" w:lineRule="auto"/>
              <w:ind w:firstLine="0" w:firstLineChars="0"/>
              <w:rPr>
                <w:lang w:val="zh-CN"/>
              </w:rPr>
            </w:pPr>
            <w:r>
              <w:rPr>
                <w:rFonts w:hint="eastAsia"/>
                <w:lang w:val="zh-CN"/>
              </w:rPr>
              <w:t>采购合同全数返回采购代理机构鉴证，盖章。</w:t>
            </w:r>
          </w:p>
          <w:p w14:paraId="35F06988">
            <w:pPr>
              <w:spacing w:line="360" w:lineRule="auto"/>
              <w:ind w:firstLine="0" w:firstLineChars="0"/>
              <w:rPr>
                <w:lang w:val="zh-CN"/>
              </w:rPr>
            </w:pPr>
            <w:r>
              <w:rPr>
                <w:rFonts w:hint="eastAsia"/>
                <w:lang w:val="zh-CN"/>
              </w:rPr>
              <w:t>采购代理机构留存两份原件备案。</w:t>
            </w:r>
          </w:p>
        </w:tc>
      </w:tr>
    </w:tbl>
    <w:p w14:paraId="508F3254">
      <w:pPr>
        <w:keepNext/>
        <w:keepLines/>
        <w:widowControl/>
        <w:snapToGrid w:val="0"/>
        <w:spacing w:line="360" w:lineRule="auto"/>
        <w:ind w:firstLine="0" w:firstLineChars="0"/>
        <w:jc w:val="center"/>
        <w:outlineLvl w:val="0"/>
        <w:rPr>
          <w:rFonts w:ascii="宋体" w:hAnsi="宋体"/>
          <w:b/>
          <w:bCs/>
          <w:kern w:val="0"/>
          <w:sz w:val="36"/>
          <w:szCs w:val="36"/>
        </w:rPr>
      </w:pPr>
      <w:r>
        <w:rPr>
          <w:rFonts w:hint="eastAsia" w:ascii="宋体"/>
          <w:b/>
          <w:kern w:val="28"/>
          <w:sz w:val="36"/>
          <w:szCs w:val="20"/>
        </w:rPr>
        <w:br w:type="page"/>
      </w:r>
      <w:bookmarkStart w:id="30" w:name="_Toc25093"/>
      <w:bookmarkStart w:id="31" w:name="_Toc29194_WPSOffice_Level1"/>
      <w:bookmarkStart w:id="32" w:name="_Toc23167"/>
      <w:bookmarkStart w:id="33" w:name="_Toc6535"/>
      <w:bookmarkStart w:id="34" w:name="_Toc4462"/>
      <w:bookmarkStart w:id="35" w:name="_Toc19598"/>
      <w:r>
        <w:rPr>
          <w:rFonts w:hint="eastAsia" w:ascii="宋体"/>
          <w:b/>
          <w:kern w:val="28"/>
          <w:sz w:val="36"/>
          <w:szCs w:val="20"/>
        </w:rPr>
        <w:t xml:space="preserve">第三部分  </w:t>
      </w:r>
      <w:bookmarkStart w:id="36" w:name="_Toc7097_WPSOffice_Level2"/>
      <w:r>
        <w:rPr>
          <w:rFonts w:hint="eastAsia" w:ascii="宋体"/>
          <w:b/>
          <w:kern w:val="28"/>
          <w:sz w:val="36"/>
          <w:szCs w:val="20"/>
        </w:rPr>
        <w:t>投标供应商须知</w:t>
      </w:r>
      <w:bookmarkEnd w:id="13"/>
      <w:bookmarkEnd w:id="30"/>
      <w:bookmarkEnd w:id="31"/>
      <w:bookmarkEnd w:id="32"/>
      <w:bookmarkEnd w:id="33"/>
      <w:bookmarkEnd w:id="34"/>
      <w:bookmarkEnd w:id="35"/>
      <w:bookmarkStart w:id="37" w:name="_Toc325725997"/>
      <w:bookmarkStart w:id="38" w:name="_Toc26999"/>
      <w:bookmarkStart w:id="39" w:name="_Toc7770_WPSOffice_Level2"/>
      <w:bookmarkStart w:id="40" w:name="_Toc376936728"/>
      <w:bookmarkStart w:id="41" w:name="_Toc18374"/>
      <w:bookmarkStart w:id="42" w:name="_Toc2341"/>
    </w:p>
    <w:p w14:paraId="5A7474AA">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43" w:name="_Toc12782"/>
      <w:r>
        <w:rPr>
          <w:rFonts w:hint="eastAsia" w:ascii="宋体" w:hAnsi="宋体"/>
          <w:b/>
          <w:bCs/>
          <w:kern w:val="0"/>
          <w:sz w:val="36"/>
          <w:szCs w:val="36"/>
        </w:rPr>
        <w:t>一、说</w:t>
      </w:r>
      <w:bookmarkEnd w:id="36"/>
      <w:r>
        <w:rPr>
          <w:rFonts w:hint="eastAsia" w:ascii="宋体" w:hAnsi="宋体"/>
          <w:b/>
          <w:bCs/>
          <w:kern w:val="0"/>
          <w:sz w:val="36"/>
          <w:szCs w:val="36"/>
        </w:rPr>
        <w:t xml:space="preserve">  明</w:t>
      </w:r>
      <w:bookmarkEnd w:id="37"/>
      <w:bookmarkEnd w:id="38"/>
      <w:bookmarkEnd w:id="39"/>
      <w:bookmarkEnd w:id="40"/>
      <w:bookmarkEnd w:id="41"/>
      <w:bookmarkEnd w:id="42"/>
      <w:bookmarkEnd w:id="43"/>
    </w:p>
    <w:p w14:paraId="61C3067F">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44" w:name="_Toc376936729"/>
      <w:bookmarkStart w:id="45" w:name="_Toc4594_WPSOffice_Level3"/>
      <w:bookmarkStart w:id="46" w:name="_Toc25731"/>
      <w:bookmarkStart w:id="47" w:name="_Toc24281"/>
      <w:bookmarkStart w:id="48" w:name="_Toc325725998"/>
      <w:bookmarkStart w:id="49" w:name="_Toc9097"/>
      <w:r>
        <w:rPr>
          <w:rFonts w:hint="eastAsia" w:ascii="宋体" w:hAnsi="宋体"/>
          <w:b/>
          <w:bCs/>
          <w:kern w:val="0"/>
          <w:sz w:val="27"/>
          <w:szCs w:val="27"/>
        </w:rPr>
        <w:t>1.适用范围</w:t>
      </w:r>
      <w:bookmarkEnd w:id="44"/>
      <w:bookmarkEnd w:id="45"/>
      <w:bookmarkEnd w:id="46"/>
      <w:bookmarkEnd w:id="47"/>
      <w:bookmarkEnd w:id="48"/>
      <w:bookmarkEnd w:id="49"/>
    </w:p>
    <w:p w14:paraId="3B22418E">
      <w:pPr>
        <w:tabs>
          <w:tab w:val="left" w:pos="840"/>
        </w:tabs>
        <w:spacing w:line="360" w:lineRule="auto"/>
        <w:ind w:firstLine="240" w:firstLineChars="100"/>
        <w:rPr>
          <w:rFonts w:ascii="宋体" w:hAnsi="宋体"/>
          <w:color w:val="000000"/>
        </w:rPr>
      </w:pPr>
      <w:r>
        <w:rPr>
          <w:rFonts w:hint="eastAsia" w:ascii="宋体" w:hAnsi="宋体"/>
          <w:color w:val="000000"/>
        </w:rPr>
        <w:t>1.1本次采购依据相关采购计划，仅适用于本竞争性磋商文件（以下简称“磋商文件”）中所叙述的项目。</w:t>
      </w:r>
    </w:p>
    <w:p w14:paraId="7A264543">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50" w:name="_Toc26255"/>
      <w:bookmarkStart w:id="51" w:name="_Toc325725999"/>
      <w:bookmarkStart w:id="52" w:name="_Toc376936730"/>
      <w:bookmarkStart w:id="53" w:name="_Toc2627_WPSOffice_Level3"/>
      <w:bookmarkStart w:id="54" w:name="_Toc9667"/>
      <w:bookmarkStart w:id="55" w:name="_Toc32341"/>
      <w:r>
        <w:rPr>
          <w:rFonts w:hint="eastAsia" w:ascii="宋体" w:hAnsi="宋体"/>
          <w:b/>
          <w:bCs/>
          <w:kern w:val="0"/>
          <w:sz w:val="27"/>
          <w:szCs w:val="27"/>
        </w:rPr>
        <w:t>2.采购方式、合格的</w:t>
      </w:r>
      <w:bookmarkEnd w:id="50"/>
      <w:bookmarkEnd w:id="51"/>
      <w:bookmarkEnd w:id="52"/>
      <w:bookmarkEnd w:id="53"/>
      <w:bookmarkEnd w:id="54"/>
      <w:bookmarkEnd w:id="55"/>
      <w:r>
        <w:rPr>
          <w:rFonts w:hint="eastAsia" w:ascii="宋体" w:hAnsi="宋体"/>
          <w:b/>
          <w:bCs/>
          <w:kern w:val="0"/>
          <w:sz w:val="27"/>
          <w:szCs w:val="27"/>
        </w:rPr>
        <w:t>投标供应商</w:t>
      </w:r>
    </w:p>
    <w:p w14:paraId="2F585C31">
      <w:pPr>
        <w:spacing w:line="360" w:lineRule="auto"/>
        <w:ind w:firstLine="240" w:firstLineChars="100"/>
        <w:rPr>
          <w:rFonts w:ascii="宋体" w:hAnsi="宋体"/>
        </w:rPr>
      </w:pPr>
      <w:r>
        <w:rPr>
          <w:rFonts w:hint="eastAsia" w:ascii="宋体" w:hAnsi="宋体"/>
        </w:rPr>
        <w:t>2.1本次采购采取竞争性磋商方式。</w:t>
      </w:r>
    </w:p>
    <w:p w14:paraId="6AA2B19D">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合格的投标供应商：详见第一部分</w:t>
      </w:r>
      <w:r>
        <w:rPr>
          <w:rFonts w:hint="eastAsia" w:ascii="宋体" w:hAnsi="宋体" w:cs="宋体"/>
          <w:color w:val="000000"/>
          <w:kern w:val="0"/>
        </w:rPr>
        <w:t>“</w:t>
      </w:r>
      <w:r>
        <w:rPr>
          <w:rFonts w:hint="eastAsia" w:ascii="宋体" w:hAnsi="宋体" w:cs="宋体"/>
          <w:color w:val="000000"/>
          <w:kern w:val="0"/>
          <w:lang w:val="zh-CN"/>
        </w:rPr>
        <w:t>各包投标供应商资格要求</w:t>
      </w:r>
      <w:r>
        <w:rPr>
          <w:rFonts w:hint="eastAsia" w:ascii="宋体" w:hAnsi="宋体" w:cs="宋体"/>
          <w:color w:val="000000"/>
          <w:kern w:val="0"/>
        </w:rPr>
        <w:t>”。</w:t>
      </w:r>
    </w:p>
    <w:p w14:paraId="3D125809">
      <w:pPr>
        <w:pStyle w:val="64"/>
        <w:spacing w:after="0"/>
        <w:ind w:firstLine="0" w:firstLineChars="0"/>
        <w:jc w:val="left"/>
        <w:outlineLvl w:val="2"/>
        <w:rPr>
          <w:rFonts w:ascii="宋体" w:hAnsi="宋体" w:cs="宋体"/>
          <w:color w:val="000000"/>
          <w:lang w:val="zh-CN" w:eastAsia="zh-CN"/>
        </w:rPr>
      </w:pPr>
      <w:bookmarkStart w:id="56" w:name="_Toc6766"/>
      <w:bookmarkStart w:id="57" w:name="_Toc12786_WPSOffice_Level3"/>
      <w:bookmarkStart w:id="58" w:name="_Toc24470"/>
      <w:bookmarkStart w:id="59" w:name="_Toc325726001"/>
      <w:bookmarkStart w:id="60" w:name="_Toc376936732"/>
      <w:r>
        <w:rPr>
          <w:rFonts w:hint="eastAsia" w:ascii="宋体" w:hAnsi="宋体" w:cs="宋体"/>
          <w:color w:val="000000"/>
          <w:sz w:val="28"/>
          <w:szCs w:val="28"/>
          <w:lang w:val="zh-CN" w:eastAsia="zh-CN"/>
        </w:rPr>
        <w:t>3.投标费用</w:t>
      </w:r>
      <w:bookmarkEnd w:id="56"/>
      <w:bookmarkEnd w:id="57"/>
      <w:bookmarkEnd w:id="58"/>
    </w:p>
    <w:p w14:paraId="4771B3FC">
      <w:pPr>
        <w:autoSpaceDE w:val="0"/>
        <w:autoSpaceDN w:val="0"/>
        <w:spacing w:line="360" w:lineRule="auto"/>
        <w:ind w:firstLine="480"/>
        <w:rPr>
          <w:rFonts w:ascii="宋体" w:hAnsi="宋体"/>
          <w:b/>
          <w:bCs/>
          <w:kern w:val="0"/>
          <w:sz w:val="36"/>
          <w:szCs w:val="36"/>
        </w:rPr>
      </w:pPr>
      <w:r>
        <w:rPr>
          <w:rFonts w:hint="eastAsia" w:ascii="宋体" w:hAnsi="宋体" w:cs="宋体"/>
          <w:color w:val="000000"/>
          <w:kern w:val="0"/>
          <w:lang w:val="zh-CN"/>
        </w:rPr>
        <w:t>投标供应商应自愿承担与参加本次投标有关的费用。采购代理机构对投标供应商发生的费用不承担任何责任。</w:t>
      </w:r>
      <w:bookmarkStart w:id="61" w:name="_Toc11053_WPSOffice_Level2"/>
      <w:bookmarkStart w:id="62" w:name="_Toc32508"/>
      <w:bookmarkStart w:id="63" w:name="_Toc7980"/>
      <w:bookmarkStart w:id="64" w:name="_Toc29190"/>
    </w:p>
    <w:p w14:paraId="02810E3A">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65" w:name="_Toc4709"/>
      <w:r>
        <w:rPr>
          <w:rFonts w:hint="eastAsia" w:ascii="宋体" w:hAnsi="宋体"/>
          <w:b/>
          <w:bCs/>
          <w:kern w:val="0"/>
          <w:sz w:val="36"/>
          <w:szCs w:val="36"/>
        </w:rPr>
        <w:t>二、磋商文件说明</w:t>
      </w:r>
      <w:bookmarkEnd w:id="59"/>
      <w:bookmarkEnd w:id="60"/>
      <w:bookmarkEnd w:id="61"/>
      <w:bookmarkEnd w:id="62"/>
      <w:bookmarkEnd w:id="63"/>
      <w:bookmarkEnd w:id="64"/>
      <w:bookmarkEnd w:id="65"/>
    </w:p>
    <w:p w14:paraId="55CD7769">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66" w:name="_Toc10201"/>
      <w:bookmarkStart w:id="67" w:name="_Toc18453_WPSOffice_Level3"/>
      <w:bookmarkStart w:id="68" w:name="_Toc325726002"/>
      <w:bookmarkStart w:id="69" w:name="_Toc23828"/>
      <w:bookmarkStart w:id="70" w:name="_Toc376936733"/>
      <w:bookmarkStart w:id="71" w:name="_Toc10154"/>
      <w:r>
        <w:rPr>
          <w:rFonts w:hint="eastAsia" w:ascii="宋体" w:hAnsi="宋体"/>
          <w:b/>
          <w:bCs/>
          <w:kern w:val="0"/>
          <w:sz w:val="27"/>
          <w:szCs w:val="27"/>
        </w:rPr>
        <w:t>4.磋商文件</w:t>
      </w:r>
      <w:bookmarkStart w:id="72" w:name="_Toc28200_WPSOffice_Level2"/>
      <w:r>
        <w:rPr>
          <w:rFonts w:hint="eastAsia" w:ascii="宋体" w:hAnsi="宋体"/>
          <w:b/>
          <w:bCs/>
          <w:kern w:val="0"/>
          <w:sz w:val="27"/>
          <w:szCs w:val="27"/>
        </w:rPr>
        <w:t>的构成</w:t>
      </w:r>
      <w:bookmarkEnd w:id="66"/>
      <w:bookmarkEnd w:id="67"/>
      <w:bookmarkEnd w:id="68"/>
      <w:bookmarkEnd w:id="69"/>
      <w:bookmarkEnd w:id="70"/>
      <w:bookmarkEnd w:id="71"/>
    </w:p>
    <w:p w14:paraId="48F96437">
      <w:pPr>
        <w:spacing w:line="360" w:lineRule="auto"/>
        <w:ind w:firstLine="480"/>
        <w:rPr>
          <w:rFonts w:ascii="宋体" w:hAnsi="宋体"/>
        </w:rPr>
      </w:pPr>
      <w:r>
        <w:rPr>
          <w:rFonts w:hint="eastAsia" w:ascii="宋体" w:hAnsi="宋体"/>
        </w:rPr>
        <w:t>4.1磋商文件包括</w:t>
      </w:r>
      <w:bookmarkEnd w:id="72"/>
      <w:r>
        <w:rPr>
          <w:rFonts w:hint="eastAsia" w:ascii="宋体" w:hAnsi="宋体"/>
        </w:rPr>
        <w:t>：</w:t>
      </w:r>
    </w:p>
    <w:p w14:paraId="1F9DC547">
      <w:pPr>
        <w:spacing w:line="360" w:lineRule="auto"/>
        <w:ind w:firstLine="480"/>
        <w:rPr>
          <w:rFonts w:ascii="宋体" w:hAnsi="宋体"/>
        </w:rPr>
      </w:pPr>
      <w:r>
        <w:rPr>
          <w:rFonts w:hint="eastAsia" w:ascii="宋体" w:hAnsi="宋体"/>
        </w:rPr>
        <w:t>（1）投标供应商须知前附表</w:t>
      </w:r>
    </w:p>
    <w:p w14:paraId="7737AB73">
      <w:pPr>
        <w:spacing w:line="360" w:lineRule="auto"/>
        <w:ind w:firstLine="480"/>
        <w:rPr>
          <w:rFonts w:ascii="宋体" w:hAnsi="宋体"/>
        </w:rPr>
      </w:pPr>
      <w:r>
        <w:rPr>
          <w:rFonts w:hint="eastAsia" w:ascii="宋体" w:hAnsi="宋体"/>
        </w:rPr>
        <w:t>（2）投标供应商须知</w:t>
      </w:r>
    </w:p>
    <w:p w14:paraId="2361981B">
      <w:pPr>
        <w:spacing w:line="360" w:lineRule="auto"/>
        <w:ind w:firstLine="480"/>
        <w:rPr>
          <w:rFonts w:ascii="宋体" w:hAnsi="宋体"/>
        </w:rPr>
      </w:pPr>
      <w:r>
        <w:rPr>
          <w:rFonts w:hint="eastAsia" w:ascii="宋体" w:hAnsi="宋体"/>
        </w:rPr>
        <w:t>（3）政府采购项目合同书</w:t>
      </w:r>
    </w:p>
    <w:p w14:paraId="0FEF8798">
      <w:pPr>
        <w:spacing w:line="360" w:lineRule="auto"/>
        <w:ind w:firstLine="480"/>
        <w:rPr>
          <w:rFonts w:ascii="宋体" w:hAnsi="宋体"/>
        </w:rPr>
      </w:pPr>
      <w:r>
        <w:rPr>
          <w:rFonts w:hint="eastAsia" w:ascii="宋体" w:hAnsi="宋体"/>
        </w:rPr>
        <w:t>（4）磋商响应文件格式（相关附件）</w:t>
      </w:r>
    </w:p>
    <w:p w14:paraId="3F16915B">
      <w:pPr>
        <w:spacing w:line="360" w:lineRule="auto"/>
        <w:ind w:firstLine="480"/>
        <w:rPr>
          <w:rFonts w:ascii="宋体" w:hAnsi="宋体"/>
        </w:rPr>
      </w:pPr>
      <w:r>
        <w:rPr>
          <w:rFonts w:hint="eastAsia" w:ascii="宋体" w:hAnsi="宋体"/>
        </w:rPr>
        <w:t>（5）磋商及采购项目货物要求</w:t>
      </w:r>
    </w:p>
    <w:p w14:paraId="4E8345C9">
      <w:pPr>
        <w:spacing w:line="360" w:lineRule="auto"/>
        <w:ind w:firstLine="480"/>
        <w:rPr>
          <w:rFonts w:ascii="宋体" w:hAnsi="宋体"/>
        </w:rPr>
      </w:pPr>
      <w:r>
        <w:rPr>
          <w:rFonts w:hint="eastAsia" w:ascii="宋体" w:hAnsi="宋体"/>
        </w:rPr>
        <w:t>（6）磋商</w:t>
      </w:r>
      <w:bookmarkStart w:id="73" w:name="_Toc27971_WPSOffice_Level2"/>
      <w:r>
        <w:rPr>
          <w:rFonts w:hint="eastAsia" w:ascii="宋体" w:hAnsi="宋体"/>
        </w:rPr>
        <w:t>过程中发生的</w:t>
      </w:r>
      <w:bookmarkEnd w:id="73"/>
      <w:r>
        <w:rPr>
          <w:rFonts w:hint="eastAsia" w:ascii="宋体" w:hAnsi="宋体"/>
        </w:rPr>
        <w:t>澄清、变更和补充文件</w:t>
      </w:r>
    </w:p>
    <w:p w14:paraId="5085AAD4">
      <w:pPr>
        <w:spacing w:line="360" w:lineRule="auto"/>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14:paraId="73B6C0F3">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74" w:name="_Toc325726003"/>
      <w:bookmarkStart w:id="75" w:name="_Toc376936734"/>
      <w:bookmarkStart w:id="76" w:name="_Toc10512"/>
      <w:bookmarkStart w:id="77" w:name="_Toc32549"/>
      <w:bookmarkStart w:id="78" w:name="_Toc8502"/>
      <w:bookmarkStart w:id="79" w:name="_Toc2882_WPSOffice_Level3"/>
      <w:r>
        <w:rPr>
          <w:rFonts w:hint="eastAsia" w:ascii="宋体" w:hAnsi="宋体"/>
          <w:b/>
          <w:bCs/>
          <w:kern w:val="0"/>
          <w:sz w:val="27"/>
          <w:szCs w:val="27"/>
        </w:rPr>
        <w:t>5.磋商文件的</w:t>
      </w:r>
      <w:bookmarkEnd w:id="74"/>
      <w:bookmarkEnd w:id="75"/>
      <w:r>
        <w:rPr>
          <w:rFonts w:hint="eastAsia" w:ascii="宋体" w:hAnsi="宋体"/>
          <w:b/>
          <w:bCs/>
          <w:kern w:val="0"/>
          <w:sz w:val="27"/>
          <w:szCs w:val="27"/>
        </w:rPr>
        <w:t>质疑</w:t>
      </w:r>
      <w:bookmarkEnd w:id="76"/>
      <w:bookmarkEnd w:id="77"/>
      <w:bookmarkEnd w:id="78"/>
      <w:bookmarkEnd w:id="79"/>
    </w:p>
    <w:p w14:paraId="55C4EC1D">
      <w:pPr>
        <w:spacing w:line="360" w:lineRule="auto"/>
        <w:ind w:firstLine="480"/>
      </w:pPr>
      <w:r>
        <w:rPr>
          <w:rFonts w:hint="eastAsia"/>
        </w:rPr>
        <w:t>投标供应商对磋商文件有异议的，应在获取磋商文件止日或者</w:t>
      </w:r>
      <w:r>
        <w:rPr>
          <w:rFonts w:hint="eastAsia" w:ascii="宋体" w:hAnsi="宋体"/>
        </w:rPr>
        <w:t>提交首次磋商响应文件截止时间至少2日前</w:t>
      </w:r>
      <w:r>
        <w:rPr>
          <w:rFonts w:hint="eastAsia"/>
        </w:rPr>
        <w:t>以书面形式（不接受匿名质疑）提出，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在青海政府采购网上发布公告，</w:t>
      </w:r>
      <w:r>
        <w:rPr>
          <w:rFonts w:hint="eastAsia"/>
        </w:rPr>
        <w:t>告知本项目的所有潜在投标供应商。</w:t>
      </w:r>
      <w:r>
        <w:rPr>
          <w:rFonts w:ascii="Arial" w:hAnsi="Arial" w:eastAsia="宋体" w:cs="Arial"/>
          <w:i w:val="0"/>
          <w:iCs w:val="0"/>
          <w:caps w:val="0"/>
          <w:color w:val="000000"/>
          <w:spacing w:val="0"/>
          <w:sz w:val="24"/>
          <w:szCs w:val="24"/>
          <w:shd w:val="clear" w:fill="FFFFFF"/>
        </w:rPr>
        <w:t>供应商在法定质疑期内一次性提出针对同一采购程序环节的质疑。</w:t>
      </w:r>
    </w:p>
    <w:p w14:paraId="3FCBBEC6">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80" w:name="_Toc16131"/>
      <w:bookmarkStart w:id="81" w:name="_Toc30835"/>
      <w:bookmarkStart w:id="82" w:name="_Toc325726004"/>
      <w:bookmarkStart w:id="83" w:name="_Toc6398_WPSOffice_Level3"/>
      <w:bookmarkStart w:id="84" w:name="_Toc32228"/>
      <w:bookmarkStart w:id="85" w:name="_Toc376936735"/>
      <w:r>
        <w:rPr>
          <w:rFonts w:hint="eastAsia" w:ascii="宋体" w:hAnsi="宋体"/>
          <w:b/>
          <w:bCs/>
          <w:kern w:val="0"/>
          <w:sz w:val="27"/>
          <w:szCs w:val="27"/>
        </w:rPr>
        <w:t>6.磋商文件的澄清、修改</w:t>
      </w:r>
      <w:bookmarkEnd w:id="80"/>
      <w:bookmarkEnd w:id="81"/>
      <w:bookmarkEnd w:id="82"/>
      <w:bookmarkEnd w:id="83"/>
      <w:bookmarkEnd w:id="84"/>
      <w:bookmarkEnd w:id="85"/>
    </w:p>
    <w:p w14:paraId="083F7840">
      <w:pPr>
        <w:spacing w:line="360" w:lineRule="auto"/>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14:paraId="1D940A73">
      <w:pPr>
        <w:spacing w:line="360" w:lineRule="auto"/>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网发布公告；不足5日的，顺延提交首次磋商响应文件的截止时间。该澄清或者修改的内容为磋商文件的组成部分。</w:t>
      </w:r>
    </w:p>
    <w:p w14:paraId="4542347D">
      <w:pPr>
        <w:spacing w:line="360" w:lineRule="auto"/>
        <w:ind w:firstLine="480"/>
        <w:rPr>
          <w:rFonts w:ascii="宋体" w:hAnsi="宋体"/>
          <w:b/>
          <w:bCs/>
          <w:kern w:val="0"/>
          <w:sz w:val="36"/>
          <w:szCs w:val="36"/>
        </w:rPr>
      </w:pPr>
      <w:r>
        <w:rPr>
          <w:rFonts w:hint="eastAsia" w:ascii="宋体" w:hAnsi="宋体"/>
        </w:rPr>
        <w:t>6.</w:t>
      </w:r>
      <w:bookmarkStart w:id="86" w:name="_Toc17454_WPSOffice_Level2"/>
      <w:r>
        <w:rPr>
          <w:rFonts w:hint="eastAsia" w:ascii="宋体" w:hAnsi="宋体"/>
        </w:rPr>
        <w:t>3在投标截止</w:t>
      </w:r>
      <w:bookmarkEnd w:id="86"/>
      <w:r>
        <w:rPr>
          <w:rFonts w:hint="eastAsia" w:ascii="宋体" w:hAnsi="宋体"/>
        </w:rPr>
        <w:t>时间前，采购人或采购代理机构可以视采购具体情况，延长投标截止时间和开标时间，并在磋商文件中要求的磋商截止时间和磋商时间的三日前，将变更公告发布在青海政府采购网上。</w:t>
      </w:r>
      <w:bookmarkStart w:id="87" w:name="_Toc18791"/>
      <w:bookmarkStart w:id="88" w:name="_Toc4729"/>
      <w:bookmarkStart w:id="89" w:name="_Toc17596"/>
      <w:bookmarkStart w:id="90" w:name="_Toc15155_WPSOffice_Level2"/>
      <w:bookmarkStart w:id="91" w:name="_Toc325726005"/>
      <w:bookmarkStart w:id="92" w:name="_Toc376936736"/>
    </w:p>
    <w:p w14:paraId="3AFE3C7C">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93" w:name="_Toc10664"/>
      <w:r>
        <w:rPr>
          <w:rFonts w:hint="eastAsia" w:ascii="宋体" w:hAnsi="宋体"/>
          <w:b/>
          <w:bCs/>
          <w:kern w:val="0"/>
          <w:sz w:val="36"/>
          <w:szCs w:val="36"/>
        </w:rPr>
        <w:t>三、磋商响应文件的编制</w:t>
      </w:r>
      <w:bookmarkEnd w:id="87"/>
      <w:bookmarkEnd w:id="88"/>
      <w:bookmarkEnd w:id="89"/>
      <w:bookmarkEnd w:id="90"/>
      <w:bookmarkEnd w:id="91"/>
      <w:bookmarkEnd w:id="92"/>
      <w:bookmarkEnd w:id="93"/>
    </w:p>
    <w:p w14:paraId="3B601788">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94" w:name="_Toc22446"/>
      <w:bookmarkStart w:id="95" w:name="_Toc16074_WPSOffice_Level3"/>
      <w:bookmarkStart w:id="96" w:name="_Toc325726006"/>
      <w:bookmarkStart w:id="97" w:name="_Toc25349"/>
      <w:bookmarkStart w:id="98" w:name="_Toc376936737"/>
      <w:bookmarkStart w:id="99" w:name="_Toc29690"/>
      <w:r>
        <w:rPr>
          <w:rFonts w:hint="eastAsia" w:ascii="宋体" w:hAnsi="宋体"/>
          <w:b/>
          <w:bCs/>
          <w:kern w:val="0"/>
          <w:sz w:val="27"/>
          <w:szCs w:val="27"/>
        </w:rPr>
        <w:t>7.磋</w:t>
      </w:r>
      <w:bookmarkStart w:id="100" w:name="_Toc23661_WPSOffice_Level2"/>
      <w:r>
        <w:rPr>
          <w:rFonts w:hint="eastAsia" w:ascii="宋体" w:hAnsi="宋体"/>
          <w:b/>
          <w:bCs/>
          <w:kern w:val="0"/>
          <w:sz w:val="27"/>
          <w:szCs w:val="27"/>
        </w:rPr>
        <w:t>商响应文件的语</w:t>
      </w:r>
      <w:bookmarkEnd w:id="100"/>
      <w:r>
        <w:rPr>
          <w:rFonts w:hint="eastAsia" w:ascii="宋体" w:hAnsi="宋体"/>
          <w:b/>
          <w:bCs/>
          <w:kern w:val="0"/>
          <w:sz w:val="27"/>
          <w:szCs w:val="27"/>
        </w:rPr>
        <w:t>言</w:t>
      </w:r>
      <w:bookmarkStart w:id="101" w:name="_Toc12191_WPSOffice_Level2"/>
      <w:r>
        <w:rPr>
          <w:rFonts w:hint="eastAsia" w:ascii="宋体" w:hAnsi="宋体"/>
          <w:b/>
          <w:bCs/>
          <w:kern w:val="0"/>
          <w:sz w:val="27"/>
          <w:szCs w:val="27"/>
        </w:rPr>
        <w:t>及度量衡单位</w:t>
      </w:r>
      <w:bookmarkEnd w:id="94"/>
      <w:bookmarkEnd w:id="95"/>
      <w:bookmarkEnd w:id="96"/>
      <w:bookmarkEnd w:id="97"/>
      <w:bookmarkEnd w:id="98"/>
      <w:bookmarkEnd w:id="99"/>
    </w:p>
    <w:bookmarkEnd w:id="101"/>
    <w:p w14:paraId="5A62EB0A">
      <w:pPr>
        <w:spacing w:line="360" w:lineRule="auto"/>
        <w:ind w:firstLine="480"/>
        <w:rPr>
          <w:rFonts w:ascii="宋体" w:hAnsi="宋体"/>
        </w:rPr>
      </w:pPr>
      <w:r>
        <w:rPr>
          <w:rFonts w:hint="eastAsia" w:ascii="宋体" w:hAnsi="宋体"/>
        </w:rPr>
        <w:t>7</w:t>
      </w:r>
      <w:bookmarkStart w:id="102" w:name="_Toc18792_WPSOffice_Level2"/>
      <w:r>
        <w:rPr>
          <w:rFonts w:hint="eastAsia" w:ascii="宋体" w:hAnsi="宋体"/>
        </w:rPr>
        <w:t>.1投标供应商提交的</w:t>
      </w:r>
      <w:bookmarkEnd w:id="102"/>
      <w:r>
        <w:rPr>
          <w:rFonts w:hint="eastAsia" w:ascii="宋体" w:hAnsi="宋体"/>
        </w:rPr>
        <w:t>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14:paraId="17BABA86">
      <w:pPr>
        <w:spacing w:line="360" w:lineRule="auto"/>
        <w:ind w:firstLine="480"/>
        <w:rPr>
          <w:rFonts w:ascii="宋体" w:hAnsi="宋体"/>
        </w:rPr>
      </w:pPr>
      <w:r>
        <w:rPr>
          <w:rFonts w:hint="eastAsia" w:ascii="宋体" w:hAnsi="宋体"/>
        </w:rPr>
        <w:t>7.2 除磋商文件中另有规定外，磋商响应文件所使用的度量衡单位，均须采用国家法定计量单位。</w:t>
      </w:r>
    </w:p>
    <w:p w14:paraId="1B0F7BA7">
      <w:pPr>
        <w:spacing w:line="360" w:lineRule="auto"/>
        <w:ind w:firstLine="480"/>
        <w:rPr>
          <w:rFonts w:ascii="宋体" w:hAnsi="宋体"/>
        </w:rPr>
      </w:pPr>
      <w:r>
        <w:rPr>
          <w:rFonts w:hint="eastAsia" w:ascii="宋体" w:hAnsi="宋体"/>
        </w:rPr>
        <w:t>7.3附有外文资料的，须翻译成中文并加盖投标供应商公章，如果翻译的中文资料与外文资料存在差异和矛盾时，以中文资料为准。其准确性由投标供应商负责。</w:t>
      </w:r>
    </w:p>
    <w:p w14:paraId="49B57A0A">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103" w:name="_Toc19362"/>
      <w:bookmarkStart w:id="104" w:name="_Toc325726007"/>
      <w:bookmarkStart w:id="105" w:name="_Toc20497_WPSOffice_Level3"/>
      <w:bookmarkStart w:id="106" w:name="_Toc11758"/>
      <w:bookmarkStart w:id="107" w:name="_Toc17468"/>
      <w:bookmarkStart w:id="108" w:name="_Toc376936738"/>
      <w:r>
        <w:rPr>
          <w:rFonts w:hint="eastAsia" w:ascii="宋体" w:hAnsi="宋体"/>
          <w:b/>
          <w:bCs/>
          <w:kern w:val="0"/>
          <w:sz w:val="27"/>
          <w:szCs w:val="27"/>
        </w:rPr>
        <w:t>8.磋商报价及币种</w:t>
      </w:r>
      <w:bookmarkEnd w:id="103"/>
      <w:bookmarkEnd w:id="104"/>
      <w:bookmarkEnd w:id="105"/>
      <w:bookmarkEnd w:id="106"/>
      <w:bookmarkEnd w:id="107"/>
      <w:bookmarkEnd w:id="108"/>
    </w:p>
    <w:p w14:paraId="58FF4302">
      <w:pPr>
        <w:spacing w:before="240" w:line="360" w:lineRule="auto"/>
        <w:ind w:firstLine="480"/>
        <w:rPr>
          <w:rFonts w:ascii="宋体" w:hAnsi="宋体"/>
        </w:rPr>
      </w:pPr>
      <w:r>
        <w:rPr>
          <w:rFonts w:hint="eastAsia" w:ascii="宋体" w:hAnsi="宋体"/>
        </w:rPr>
        <w:t>8</w:t>
      </w:r>
      <w:bookmarkStart w:id="109" w:name="_Toc19549_WPSOffice_Level2"/>
      <w:r>
        <w:rPr>
          <w:rFonts w:hint="eastAsia" w:ascii="宋体" w:hAnsi="宋体"/>
        </w:rPr>
        <w:t>.l磋商报价为总报价。</w:t>
      </w:r>
      <w:bookmarkEnd w:id="109"/>
      <w:r>
        <w:rPr>
          <w:rFonts w:hint="eastAsia" w:ascii="宋体" w:hAnsi="宋体"/>
        </w:rPr>
        <w:t>必须包括：安装费、检验费、手续费、包装费、运输费、保险费、税金及其他不可预见费等全部费用。</w:t>
      </w:r>
    </w:p>
    <w:p w14:paraId="38BBFD62">
      <w:pPr>
        <w:spacing w:line="360" w:lineRule="auto"/>
        <w:ind w:firstLine="480"/>
        <w:rPr>
          <w:rFonts w:ascii="宋体" w:hAnsi="宋体"/>
        </w:rPr>
      </w:pPr>
      <w:r>
        <w:rPr>
          <w:rFonts w:hint="eastAsia" w:ascii="宋体" w:hAnsi="宋体"/>
        </w:rPr>
        <w:t>8.2 磋商函中应注明磋商有效期。</w:t>
      </w:r>
    </w:p>
    <w:p w14:paraId="001F1477">
      <w:pPr>
        <w:spacing w:line="360" w:lineRule="auto"/>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0110C1C">
      <w:pPr>
        <w:spacing w:line="360" w:lineRule="auto"/>
        <w:ind w:firstLine="480"/>
        <w:rPr>
          <w:rFonts w:ascii="宋体" w:hAnsi="宋体"/>
        </w:rPr>
      </w:pPr>
      <w:r>
        <w:rPr>
          <w:rFonts w:hint="eastAsia" w:ascii="宋体" w:hAnsi="宋体"/>
        </w:rPr>
        <w:t>8.4 磋商最终报价为闭口价，即成交后在合同有效期内价格不变。</w:t>
      </w:r>
    </w:p>
    <w:p w14:paraId="62C4F8D1">
      <w:pPr>
        <w:spacing w:line="360" w:lineRule="auto"/>
        <w:ind w:firstLine="480"/>
        <w:rPr>
          <w:rFonts w:ascii="宋体" w:hAnsi="宋体"/>
        </w:rPr>
      </w:pPr>
      <w:r>
        <w:rPr>
          <w:rFonts w:hint="eastAsia" w:ascii="宋体" w:hAnsi="宋体"/>
        </w:rPr>
        <w:t>8.5 磋商币种为人民币。</w:t>
      </w:r>
    </w:p>
    <w:p w14:paraId="6C1573DF">
      <w:pPr>
        <w:widowControl/>
        <w:spacing w:before="100" w:beforeAutospacing="1" w:after="100" w:afterAutospacing="1" w:line="360" w:lineRule="auto"/>
        <w:ind w:firstLine="0" w:firstLineChars="0"/>
        <w:jc w:val="left"/>
        <w:rPr>
          <w:rFonts w:ascii="宋体" w:hAnsi="宋体"/>
          <w:b/>
          <w:bCs/>
          <w:kern w:val="0"/>
          <w:sz w:val="27"/>
          <w:szCs w:val="27"/>
        </w:rPr>
      </w:pPr>
      <w:bookmarkStart w:id="110" w:name="_Toc325726013"/>
      <w:bookmarkStart w:id="111" w:name="_Toc26156"/>
      <w:bookmarkStart w:id="112" w:name="_Toc1778"/>
      <w:bookmarkStart w:id="113" w:name="_Toc376936744"/>
      <w:r>
        <w:rPr>
          <w:rFonts w:hint="eastAsia" w:ascii="宋体" w:hAnsi="宋体"/>
          <w:b/>
          <w:bCs/>
          <w:kern w:val="0"/>
          <w:sz w:val="27"/>
          <w:szCs w:val="27"/>
        </w:rPr>
        <w:t>9.磋商有效期</w:t>
      </w:r>
      <w:bookmarkEnd w:id="110"/>
      <w:bookmarkEnd w:id="111"/>
      <w:bookmarkEnd w:id="112"/>
      <w:bookmarkEnd w:id="113"/>
    </w:p>
    <w:p w14:paraId="18221F0D">
      <w:pPr>
        <w:spacing w:line="360" w:lineRule="auto"/>
        <w:ind w:firstLine="480"/>
        <w:rPr>
          <w:rFonts w:ascii="宋体" w:hAnsi="宋体"/>
        </w:rPr>
      </w:pPr>
      <w:r>
        <w:rPr>
          <w:rFonts w:hint="eastAsia" w:ascii="宋体" w:hAnsi="宋体"/>
        </w:rPr>
        <w:t>磋商有效期自开标之日起60个日历日。</w:t>
      </w:r>
    </w:p>
    <w:p w14:paraId="5798E262">
      <w:pPr>
        <w:widowControl/>
        <w:spacing w:before="100" w:beforeAutospacing="1" w:after="100" w:afterAutospacing="1" w:line="360" w:lineRule="auto"/>
        <w:ind w:firstLine="0" w:firstLineChars="0"/>
        <w:jc w:val="left"/>
        <w:rPr>
          <w:rFonts w:ascii="宋体" w:hAnsi="宋体"/>
          <w:b/>
          <w:bCs/>
          <w:kern w:val="0"/>
          <w:sz w:val="27"/>
          <w:szCs w:val="27"/>
        </w:rPr>
      </w:pPr>
      <w:bookmarkStart w:id="114" w:name="_Toc376936739"/>
      <w:bookmarkStart w:id="115" w:name="_Toc325726008"/>
      <w:bookmarkStart w:id="116" w:name="_Toc772"/>
      <w:bookmarkStart w:id="117" w:name="_Toc31960"/>
      <w:r>
        <w:rPr>
          <w:rFonts w:hint="eastAsia" w:ascii="宋体" w:hAnsi="宋体"/>
          <w:b/>
          <w:bCs/>
          <w:kern w:val="0"/>
          <w:sz w:val="27"/>
          <w:szCs w:val="27"/>
        </w:rPr>
        <w:t>10.磋商响应文件构成</w:t>
      </w:r>
      <w:bookmarkEnd w:id="114"/>
      <w:bookmarkEnd w:id="115"/>
      <w:bookmarkEnd w:id="116"/>
      <w:bookmarkEnd w:id="117"/>
    </w:p>
    <w:p w14:paraId="2116F650">
      <w:pPr>
        <w:spacing w:line="360" w:lineRule="auto"/>
        <w:ind w:firstLine="480"/>
      </w:pPr>
      <w:r>
        <w:rPr>
          <w:rFonts w:hint="eastAsia" w:ascii="宋体" w:hAnsi="宋体"/>
        </w:rPr>
        <w:t>投标供应商应提交相关证明材料，作为其参加投标和成交后有能力履行合同的证明。编写的磋商响应文件须包括以下内容：</w:t>
      </w:r>
    </w:p>
    <w:p w14:paraId="2D646689">
      <w:pPr>
        <w:pStyle w:val="55"/>
        <w:tabs>
          <w:tab w:val="right" w:leader="dot" w:pos="8787"/>
          <w:tab w:val="clear" w:pos="8777"/>
        </w:tabs>
        <w:spacing w:line="360" w:lineRule="auto"/>
        <w:ind w:firstLine="0" w:firstLineChars="0"/>
        <w:outlineLvl w:val="2"/>
        <w:rPr>
          <w:sz w:val="24"/>
          <w:szCs w:val="24"/>
        </w:rPr>
      </w:pPr>
      <w:bookmarkStart w:id="118" w:name="_Toc6877"/>
      <w:r>
        <w:rPr>
          <w:rFonts w:hint="eastAsia" w:ascii="宋体" w:hAnsi="宋体"/>
          <w:sz w:val="24"/>
          <w:szCs w:val="24"/>
        </w:rPr>
        <w:t xml:space="preserve">    （1）</w:t>
      </w:r>
      <w:r>
        <w:fldChar w:fldCharType="begin"/>
      </w:r>
      <w:r>
        <w:instrText xml:space="preserve"> HYPERLINK \l "_Toc28775" </w:instrText>
      </w:r>
      <w:r>
        <w:fldChar w:fldCharType="separate"/>
      </w:r>
      <w:bookmarkStart w:id="119" w:name="_Toc7396_WPSOffice_Level3"/>
      <w:bookmarkStart w:id="120" w:name="_Toc15659_WPSOffice_Level3"/>
      <w:r>
        <w:rPr>
          <w:rFonts w:hint="eastAsia" w:ascii="宋体"/>
          <w:sz w:val="24"/>
          <w:szCs w:val="24"/>
        </w:rPr>
        <w:t>：磋商函</w:t>
      </w:r>
      <w:bookmarkEnd w:id="119"/>
      <w:bookmarkEnd w:id="120"/>
      <w:r>
        <w:rPr>
          <w:rFonts w:hint="eastAsia" w:ascii="宋体"/>
          <w:sz w:val="24"/>
          <w:szCs w:val="24"/>
        </w:rPr>
        <w:fldChar w:fldCharType="end"/>
      </w:r>
      <w:bookmarkEnd w:id="118"/>
    </w:p>
    <w:p w14:paraId="76564768">
      <w:pPr>
        <w:pStyle w:val="55"/>
        <w:tabs>
          <w:tab w:val="right" w:leader="dot" w:pos="8787"/>
          <w:tab w:val="clear" w:pos="8777"/>
        </w:tabs>
        <w:spacing w:line="360" w:lineRule="auto"/>
        <w:ind w:firstLine="0" w:firstLineChars="0"/>
        <w:outlineLvl w:val="2"/>
        <w:rPr>
          <w:rFonts w:ascii="宋体" w:hAnsi="宋体"/>
          <w:sz w:val="24"/>
          <w:szCs w:val="24"/>
        </w:rPr>
      </w:pPr>
      <w:bookmarkStart w:id="121" w:name="_Toc30847"/>
      <w:r>
        <w:rPr>
          <w:rFonts w:hint="eastAsia" w:ascii="宋体" w:hAnsi="宋体"/>
          <w:sz w:val="24"/>
          <w:szCs w:val="24"/>
        </w:rPr>
        <w:t xml:space="preserve">    （2）</w:t>
      </w:r>
      <w:r>
        <w:fldChar w:fldCharType="begin"/>
      </w:r>
      <w:r>
        <w:instrText xml:space="preserve"> HYPERLINK \l "_Toc3124" </w:instrText>
      </w:r>
      <w:r>
        <w:fldChar w:fldCharType="separate"/>
      </w:r>
      <w:bookmarkStart w:id="122" w:name="_Toc1909_WPSOffice_Level3"/>
      <w:bookmarkStart w:id="123" w:name="_Toc14464_WPSOffice_Level3"/>
      <w:r>
        <w:rPr>
          <w:rFonts w:hint="eastAsia" w:ascii="宋体"/>
          <w:sz w:val="24"/>
          <w:szCs w:val="24"/>
        </w:rPr>
        <w:t>：磋商首次报价表</w:t>
      </w:r>
      <w:bookmarkEnd w:id="122"/>
      <w:bookmarkEnd w:id="123"/>
      <w:r>
        <w:rPr>
          <w:rFonts w:hint="eastAsia" w:ascii="宋体"/>
          <w:sz w:val="24"/>
          <w:szCs w:val="24"/>
        </w:rPr>
        <w:fldChar w:fldCharType="end"/>
      </w:r>
      <w:bookmarkEnd w:id="121"/>
      <w:bookmarkStart w:id="124" w:name="_Toc15541_WPSOffice_Level3"/>
      <w:bookmarkStart w:id="125" w:name="_Toc4760"/>
      <w:bookmarkStart w:id="126" w:name="_Toc28177_WPSOffice_Level3"/>
    </w:p>
    <w:p w14:paraId="36821C3A">
      <w:pPr>
        <w:pStyle w:val="55"/>
        <w:tabs>
          <w:tab w:val="right" w:leader="dot" w:pos="8787"/>
          <w:tab w:val="clear" w:pos="8777"/>
        </w:tabs>
        <w:spacing w:line="360" w:lineRule="auto"/>
        <w:ind w:firstLine="0" w:firstLineChars="0"/>
        <w:outlineLvl w:val="2"/>
        <w:rPr>
          <w:rFonts w:ascii="宋体"/>
          <w:sz w:val="24"/>
          <w:szCs w:val="24"/>
          <w:lang w:val="zh-CN"/>
        </w:rPr>
      </w:pPr>
      <w:r>
        <w:rPr>
          <w:rFonts w:hint="eastAsia" w:ascii="宋体"/>
          <w:sz w:val="24"/>
          <w:szCs w:val="24"/>
        </w:rPr>
        <w:t xml:space="preserve">    （3）：</w:t>
      </w:r>
      <w:r>
        <w:rPr>
          <w:rFonts w:hint="eastAsia" w:ascii="宋体"/>
          <w:sz w:val="24"/>
          <w:szCs w:val="24"/>
          <w:lang w:val="zh-CN"/>
        </w:rPr>
        <w:t>分项报价表</w:t>
      </w:r>
      <w:bookmarkEnd w:id="124"/>
      <w:bookmarkEnd w:id="125"/>
      <w:bookmarkEnd w:id="126"/>
      <w:bookmarkStart w:id="127" w:name="_Toc6890_WPSOffice_Level3"/>
      <w:bookmarkStart w:id="128" w:name="_Toc29253_WPSOffice_Level3"/>
      <w:bookmarkStart w:id="129" w:name="_Toc29763"/>
    </w:p>
    <w:p w14:paraId="673F9951">
      <w:pPr>
        <w:pStyle w:val="55"/>
        <w:tabs>
          <w:tab w:val="right" w:leader="dot" w:pos="8787"/>
          <w:tab w:val="clear" w:pos="8777"/>
        </w:tabs>
        <w:spacing w:line="360" w:lineRule="auto"/>
        <w:ind w:firstLine="0" w:firstLineChars="0"/>
        <w:outlineLvl w:val="2"/>
        <w:rPr>
          <w:rFonts w:ascii="宋体"/>
          <w:sz w:val="24"/>
          <w:szCs w:val="24"/>
        </w:rPr>
      </w:pPr>
      <w:r>
        <w:rPr>
          <w:rFonts w:hint="eastAsia" w:ascii="宋体"/>
          <w:sz w:val="24"/>
          <w:szCs w:val="24"/>
        </w:rPr>
        <w:t xml:space="preserve">    （4）：技术响应规格表</w:t>
      </w:r>
      <w:bookmarkEnd w:id="127"/>
      <w:bookmarkEnd w:id="128"/>
      <w:bookmarkEnd w:id="129"/>
      <w:bookmarkStart w:id="130" w:name="_Toc9356"/>
      <w:bookmarkStart w:id="131" w:name="_Toc6020_WPSOffice_Level3"/>
      <w:bookmarkStart w:id="132" w:name="_Toc31942_WPSOffice_Level3"/>
    </w:p>
    <w:p w14:paraId="7AD21CFF">
      <w:pPr>
        <w:pStyle w:val="55"/>
        <w:tabs>
          <w:tab w:val="right" w:leader="dot" w:pos="8787"/>
          <w:tab w:val="clear" w:pos="8777"/>
        </w:tabs>
        <w:spacing w:line="360" w:lineRule="auto"/>
        <w:ind w:firstLine="0" w:firstLineChars="0"/>
        <w:outlineLvl w:val="2"/>
        <w:rPr>
          <w:rFonts w:ascii="宋体"/>
          <w:sz w:val="24"/>
          <w:szCs w:val="24"/>
        </w:rPr>
      </w:pPr>
      <w:r>
        <w:rPr>
          <w:rFonts w:hint="eastAsia" w:ascii="宋体"/>
          <w:sz w:val="24"/>
          <w:szCs w:val="24"/>
        </w:rPr>
        <w:t xml:space="preserve">    （5）：法定代表人证明</w:t>
      </w:r>
      <w:bookmarkEnd w:id="130"/>
      <w:bookmarkEnd w:id="131"/>
      <w:bookmarkEnd w:id="132"/>
    </w:p>
    <w:p w14:paraId="49CAC85E">
      <w:pPr>
        <w:pStyle w:val="55"/>
        <w:tabs>
          <w:tab w:val="right" w:leader="dot" w:pos="8787"/>
          <w:tab w:val="clear" w:pos="8777"/>
        </w:tabs>
        <w:spacing w:line="360" w:lineRule="auto"/>
        <w:ind w:firstLine="0" w:firstLineChars="0"/>
        <w:outlineLvl w:val="2"/>
        <w:rPr>
          <w:sz w:val="24"/>
          <w:szCs w:val="24"/>
        </w:rPr>
      </w:pPr>
      <w:bookmarkStart w:id="133" w:name="_Toc9284"/>
      <w:r>
        <w:rPr>
          <w:rFonts w:hint="eastAsia" w:ascii="宋体" w:hAnsi="宋体"/>
          <w:sz w:val="24"/>
          <w:szCs w:val="24"/>
        </w:rPr>
        <w:t xml:space="preserve">    （6）</w:t>
      </w:r>
      <w:r>
        <w:fldChar w:fldCharType="begin"/>
      </w:r>
      <w:r>
        <w:instrText xml:space="preserve"> HYPERLINK \l "_Toc9826" </w:instrText>
      </w:r>
      <w:r>
        <w:fldChar w:fldCharType="separate"/>
      </w:r>
      <w:bookmarkStart w:id="134" w:name="_Toc5369_WPSOffice_Level3"/>
      <w:bookmarkStart w:id="135" w:name="_Toc6744_WPSOffice_Level3"/>
      <w:r>
        <w:rPr>
          <w:rFonts w:hint="eastAsia" w:ascii="宋体"/>
          <w:sz w:val="24"/>
          <w:szCs w:val="24"/>
        </w:rPr>
        <w:t>：法定代表人授权书</w:t>
      </w:r>
      <w:bookmarkEnd w:id="134"/>
      <w:bookmarkEnd w:id="135"/>
      <w:r>
        <w:rPr>
          <w:rFonts w:hint="eastAsia" w:ascii="宋体"/>
          <w:sz w:val="24"/>
          <w:szCs w:val="24"/>
        </w:rPr>
        <w:fldChar w:fldCharType="end"/>
      </w:r>
      <w:bookmarkEnd w:id="133"/>
    </w:p>
    <w:p w14:paraId="75C9E623">
      <w:pPr>
        <w:pStyle w:val="55"/>
        <w:tabs>
          <w:tab w:val="right" w:leader="dot" w:pos="8787"/>
          <w:tab w:val="clear" w:pos="8777"/>
        </w:tabs>
        <w:spacing w:line="360" w:lineRule="auto"/>
        <w:ind w:firstLine="0" w:firstLineChars="0"/>
        <w:outlineLvl w:val="2"/>
        <w:rPr>
          <w:sz w:val="24"/>
          <w:szCs w:val="24"/>
        </w:rPr>
      </w:pPr>
      <w:r>
        <w:rPr>
          <w:rFonts w:hint="eastAsia" w:ascii="宋体" w:hAnsi="宋体"/>
          <w:sz w:val="24"/>
          <w:szCs w:val="24"/>
        </w:rPr>
        <w:t xml:space="preserve">    （7）</w:t>
      </w:r>
      <w:r>
        <w:fldChar w:fldCharType="begin"/>
      </w:r>
      <w:r>
        <w:instrText xml:space="preserve"> HYPERLINK \l "_Toc10370" </w:instrText>
      </w:r>
      <w:r>
        <w:fldChar w:fldCharType="separate"/>
      </w:r>
      <w:bookmarkStart w:id="136" w:name="_Toc17168_WPSOffice_Level3"/>
      <w:bookmarkStart w:id="137" w:name="_Toc22526_WPSOffice_Level3"/>
      <w:r>
        <w:rPr>
          <w:rFonts w:hint="eastAsia" w:ascii="宋体"/>
          <w:sz w:val="24"/>
          <w:szCs w:val="24"/>
        </w:rPr>
        <w:t>：投标供应商承诺函</w:t>
      </w:r>
      <w:bookmarkEnd w:id="136"/>
      <w:bookmarkEnd w:id="137"/>
      <w:r>
        <w:rPr>
          <w:rFonts w:hint="eastAsia" w:ascii="宋体"/>
          <w:sz w:val="24"/>
          <w:szCs w:val="24"/>
        </w:rPr>
        <w:fldChar w:fldCharType="end"/>
      </w:r>
    </w:p>
    <w:p w14:paraId="5C6335EB">
      <w:pPr>
        <w:pStyle w:val="55"/>
        <w:tabs>
          <w:tab w:val="right" w:leader="dot" w:pos="8787"/>
          <w:tab w:val="clear" w:pos="8777"/>
        </w:tabs>
        <w:spacing w:line="360" w:lineRule="auto"/>
        <w:ind w:firstLine="0" w:firstLineChars="0"/>
        <w:outlineLvl w:val="2"/>
        <w:rPr>
          <w:sz w:val="24"/>
          <w:szCs w:val="24"/>
        </w:rPr>
      </w:pPr>
      <w:bookmarkStart w:id="138" w:name="_Toc26046"/>
      <w:r>
        <w:rPr>
          <w:rFonts w:hint="eastAsia" w:ascii="宋体" w:hAnsi="宋体"/>
          <w:sz w:val="24"/>
          <w:szCs w:val="24"/>
        </w:rPr>
        <w:t xml:space="preserve">    （8）</w:t>
      </w:r>
      <w:r>
        <w:fldChar w:fldCharType="begin"/>
      </w:r>
      <w:r>
        <w:instrText xml:space="preserve"> HYPERLINK \l "_Toc9176" </w:instrText>
      </w:r>
      <w:r>
        <w:fldChar w:fldCharType="separate"/>
      </w:r>
      <w:bookmarkStart w:id="139" w:name="_Toc23186_WPSOffice_Level3"/>
      <w:r>
        <w:rPr>
          <w:rFonts w:hint="eastAsia" w:ascii="宋体"/>
          <w:sz w:val="24"/>
          <w:szCs w:val="24"/>
        </w:rPr>
        <w:t>：供应商诚信承诺书</w:t>
      </w:r>
      <w:bookmarkEnd w:id="139"/>
      <w:r>
        <w:rPr>
          <w:rFonts w:hint="eastAsia" w:ascii="宋体"/>
          <w:sz w:val="24"/>
          <w:szCs w:val="24"/>
        </w:rPr>
        <w:fldChar w:fldCharType="end"/>
      </w:r>
      <w:bookmarkEnd w:id="138"/>
    </w:p>
    <w:p w14:paraId="7D3035A5">
      <w:pPr>
        <w:pStyle w:val="55"/>
        <w:tabs>
          <w:tab w:val="right" w:leader="dot" w:pos="8787"/>
          <w:tab w:val="clear" w:pos="8777"/>
        </w:tabs>
        <w:spacing w:line="360" w:lineRule="auto"/>
        <w:ind w:firstLine="0" w:firstLineChars="0"/>
        <w:outlineLvl w:val="2"/>
        <w:rPr>
          <w:sz w:val="24"/>
          <w:szCs w:val="24"/>
        </w:rPr>
      </w:pPr>
      <w:bookmarkStart w:id="140" w:name="_Toc18349"/>
      <w:r>
        <w:rPr>
          <w:rFonts w:hint="eastAsia" w:ascii="宋体" w:hAnsi="宋体"/>
          <w:sz w:val="24"/>
          <w:szCs w:val="24"/>
        </w:rPr>
        <w:t xml:space="preserve">    （9）</w:t>
      </w:r>
      <w:r>
        <w:fldChar w:fldCharType="begin"/>
      </w:r>
      <w:r>
        <w:instrText xml:space="preserve"> HYPERLINK \l "_Toc4521" </w:instrText>
      </w:r>
      <w:r>
        <w:fldChar w:fldCharType="separate"/>
      </w:r>
      <w:bookmarkStart w:id="141" w:name="_Toc23870_WPSOffice_Level3"/>
      <w:r>
        <w:rPr>
          <w:rFonts w:hint="eastAsia" w:ascii="宋体"/>
          <w:sz w:val="24"/>
          <w:szCs w:val="24"/>
        </w:rPr>
        <w:t>：资格证明材料</w:t>
      </w:r>
      <w:bookmarkEnd w:id="141"/>
      <w:r>
        <w:rPr>
          <w:rFonts w:hint="eastAsia" w:ascii="宋体"/>
          <w:sz w:val="24"/>
          <w:szCs w:val="24"/>
        </w:rPr>
        <w:fldChar w:fldCharType="end"/>
      </w:r>
      <w:bookmarkEnd w:id="140"/>
    </w:p>
    <w:p w14:paraId="149177DC">
      <w:pPr>
        <w:pStyle w:val="55"/>
        <w:tabs>
          <w:tab w:val="right" w:leader="dot" w:pos="8787"/>
          <w:tab w:val="clear" w:pos="8777"/>
        </w:tabs>
        <w:spacing w:line="360" w:lineRule="auto"/>
        <w:ind w:firstLine="480" w:firstLineChars="200"/>
        <w:outlineLvl w:val="2"/>
        <w:rPr>
          <w:sz w:val="24"/>
          <w:szCs w:val="24"/>
        </w:rPr>
      </w:pPr>
      <w:bookmarkStart w:id="142" w:name="_Toc11887"/>
      <w:r>
        <w:rPr>
          <w:rFonts w:hint="eastAsia" w:ascii="宋体" w:hAnsi="宋体"/>
          <w:sz w:val="24"/>
          <w:szCs w:val="24"/>
        </w:rPr>
        <w:t>(</w:t>
      </w:r>
      <w:r>
        <w:fldChar w:fldCharType="begin"/>
      </w:r>
      <w:r>
        <w:instrText xml:space="preserve"> HYPERLINK \l "_Toc30821" </w:instrText>
      </w:r>
      <w:r>
        <w:fldChar w:fldCharType="separate"/>
      </w:r>
      <w:bookmarkStart w:id="143" w:name="_Toc16145_WPSOffice_Level3"/>
      <w:r>
        <w:rPr>
          <w:rFonts w:hint="eastAsia" w:ascii="宋体" w:hAnsi="宋体"/>
          <w:sz w:val="24"/>
          <w:szCs w:val="24"/>
        </w:rPr>
        <w:t>10)</w:t>
      </w:r>
      <w:r>
        <w:rPr>
          <w:rFonts w:hint="eastAsia" w:ascii="宋体"/>
          <w:sz w:val="24"/>
          <w:szCs w:val="24"/>
        </w:rPr>
        <w:t>：财务状况、缴纳税收</w:t>
      </w:r>
      <w:bookmarkStart w:id="144" w:name="_Toc31016_WPSOffice_Level2"/>
      <w:r>
        <w:rPr>
          <w:rFonts w:hint="eastAsia" w:ascii="宋体"/>
          <w:sz w:val="24"/>
          <w:szCs w:val="24"/>
        </w:rPr>
        <w:t>和社会保障资金证</w:t>
      </w:r>
      <w:bookmarkEnd w:id="144"/>
      <w:r>
        <w:rPr>
          <w:rFonts w:hint="eastAsia" w:ascii="宋体"/>
          <w:sz w:val="24"/>
          <w:szCs w:val="24"/>
        </w:rPr>
        <w:t>明</w:t>
      </w:r>
      <w:bookmarkEnd w:id="143"/>
      <w:r>
        <w:rPr>
          <w:rFonts w:hint="eastAsia" w:ascii="宋体"/>
          <w:sz w:val="24"/>
          <w:szCs w:val="24"/>
        </w:rPr>
        <w:fldChar w:fldCharType="end"/>
      </w:r>
      <w:bookmarkEnd w:id="142"/>
    </w:p>
    <w:p w14:paraId="68CC5B59">
      <w:pPr>
        <w:pStyle w:val="55"/>
        <w:tabs>
          <w:tab w:val="right" w:leader="dot" w:pos="8787"/>
          <w:tab w:val="clear" w:pos="8777"/>
        </w:tabs>
        <w:spacing w:line="360" w:lineRule="auto"/>
        <w:ind w:firstLine="480" w:firstLineChars="200"/>
        <w:outlineLvl w:val="2"/>
        <w:rPr>
          <w:rFonts w:ascii="宋体" w:hAnsi="宋体"/>
          <w:sz w:val="24"/>
          <w:szCs w:val="24"/>
        </w:rPr>
      </w:pPr>
      <w:bookmarkStart w:id="145" w:name="_Toc31280"/>
      <w:r>
        <w:rPr>
          <w:rFonts w:hint="eastAsia" w:ascii="宋体" w:hAnsi="宋体"/>
          <w:sz w:val="24"/>
          <w:szCs w:val="24"/>
        </w:rPr>
        <w:t>(</w:t>
      </w:r>
      <w:r>
        <w:fldChar w:fldCharType="begin"/>
      </w:r>
      <w:r>
        <w:instrText xml:space="preserve"> HYPERLINK \l "_Toc12764" </w:instrText>
      </w:r>
      <w:r>
        <w:fldChar w:fldCharType="separate"/>
      </w:r>
      <w:bookmarkStart w:id="146" w:name="_Toc19392_WPSOffice_Level3"/>
      <w:r>
        <w:rPr>
          <w:rFonts w:hint="eastAsia" w:ascii="宋体"/>
          <w:sz w:val="24"/>
          <w:szCs w:val="24"/>
        </w:rPr>
        <w:t>11)：具备履行合同所必须的设备和专业技术能力证明</w:t>
      </w:r>
      <w:bookmarkEnd w:id="146"/>
      <w:r>
        <w:rPr>
          <w:rFonts w:hint="eastAsia" w:ascii="宋体"/>
          <w:sz w:val="24"/>
          <w:szCs w:val="24"/>
        </w:rPr>
        <w:fldChar w:fldCharType="end"/>
      </w:r>
      <w:bookmarkEnd w:id="145"/>
      <w:bookmarkStart w:id="147" w:name="_Toc26056"/>
      <w:bookmarkStart w:id="148" w:name="_Toc46_WPSOffice_Level3"/>
    </w:p>
    <w:p w14:paraId="75B522FF">
      <w:pPr>
        <w:pStyle w:val="55"/>
        <w:tabs>
          <w:tab w:val="right" w:leader="dot" w:pos="8787"/>
          <w:tab w:val="clear" w:pos="8777"/>
        </w:tabs>
        <w:spacing w:line="360" w:lineRule="auto"/>
        <w:ind w:firstLine="480" w:firstLineChars="200"/>
        <w:outlineLvl w:val="2"/>
        <w:rPr>
          <w:rFonts w:ascii="宋体"/>
          <w:sz w:val="24"/>
          <w:szCs w:val="24"/>
        </w:rPr>
      </w:pPr>
      <w:r>
        <w:rPr>
          <w:rFonts w:hint="eastAsia" w:ascii="宋体"/>
          <w:sz w:val="24"/>
          <w:szCs w:val="24"/>
        </w:rPr>
        <w:t>(12)：</w:t>
      </w:r>
      <w:r>
        <w:rPr>
          <w:rFonts w:hint="eastAsia" w:ascii="宋体"/>
          <w:sz w:val="24"/>
          <w:szCs w:val="24"/>
          <w:lang w:val="zh-CN"/>
        </w:rPr>
        <w:t>投标产品相关资料</w:t>
      </w:r>
      <w:bookmarkEnd w:id="147"/>
      <w:bookmarkEnd w:id="148"/>
    </w:p>
    <w:p w14:paraId="0E0F19F0">
      <w:pPr>
        <w:pStyle w:val="55"/>
        <w:tabs>
          <w:tab w:val="right" w:leader="dot" w:pos="8787"/>
          <w:tab w:val="clear" w:pos="8777"/>
        </w:tabs>
        <w:spacing w:line="360" w:lineRule="auto"/>
        <w:ind w:firstLine="480" w:firstLineChars="200"/>
        <w:outlineLvl w:val="2"/>
        <w:rPr>
          <w:sz w:val="24"/>
          <w:szCs w:val="24"/>
        </w:rPr>
      </w:pPr>
      <w:bookmarkStart w:id="149" w:name="_Toc2462"/>
      <w:r>
        <w:rPr>
          <w:rFonts w:hint="eastAsia" w:ascii="宋体" w:hAnsi="宋体"/>
          <w:sz w:val="24"/>
          <w:szCs w:val="24"/>
        </w:rPr>
        <w:t>(</w:t>
      </w:r>
      <w:r>
        <w:fldChar w:fldCharType="begin"/>
      </w:r>
      <w:r>
        <w:instrText xml:space="preserve"> HYPERLINK \l "_Toc5844" </w:instrText>
      </w:r>
      <w:r>
        <w:fldChar w:fldCharType="separate"/>
      </w:r>
      <w:bookmarkStart w:id="150" w:name="_Toc16550_WPSOffice_Level3"/>
      <w:r>
        <w:rPr>
          <w:rFonts w:hint="eastAsia" w:ascii="宋体"/>
          <w:sz w:val="24"/>
          <w:szCs w:val="24"/>
        </w:rPr>
        <w:t>13)：无重大违法记录声明</w:t>
      </w:r>
      <w:bookmarkEnd w:id="150"/>
      <w:r>
        <w:rPr>
          <w:rFonts w:hint="eastAsia" w:ascii="宋体"/>
          <w:sz w:val="24"/>
          <w:szCs w:val="24"/>
        </w:rPr>
        <w:fldChar w:fldCharType="end"/>
      </w:r>
      <w:bookmarkEnd w:id="149"/>
    </w:p>
    <w:p w14:paraId="6A547BA6">
      <w:pPr>
        <w:pStyle w:val="55"/>
        <w:tabs>
          <w:tab w:val="right" w:leader="dot" w:pos="8787"/>
          <w:tab w:val="clear" w:pos="8777"/>
        </w:tabs>
        <w:spacing w:line="360" w:lineRule="auto"/>
        <w:ind w:firstLine="480" w:firstLineChars="200"/>
        <w:outlineLvl w:val="2"/>
        <w:rPr>
          <w:rFonts w:ascii="宋体" w:hAnsi="宋体"/>
          <w:sz w:val="24"/>
          <w:szCs w:val="24"/>
        </w:rPr>
      </w:pPr>
      <w:bookmarkStart w:id="151" w:name="_Toc3114"/>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HYP</w:instrText>
      </w:r>
      <w:bookmarkStart w:id="152" w:name="_Toc5336_WPSOffice_Level2"/>
      <w:r>
        <w:rPr>
          <w:rFonts w:ascii="宋体" w:hAnsi="宋体"/>
          <w:sz w:val="24"/>
          <w:szCs w:val="24"/>
        </w:rPr>
        <w:instrText xml:space="preserve">ERLINK</w:instrText>
      </w:r>
      <w:bookmarkEnd w:id="152"/>
      <w:r>
        <w:rPr>
          <w:rFonts w:ascii="宋体" w:hAnsi="宋体"/>
          <w:sz w:val="24"/>
          <w:szCs w:val="24"/>
        </w:rPr>
        <w:instrText xml:space="preserve"> \l _Toc14253 </w:instrText>
      </w:r>
      <w:r>
        <w:rPr>
          <w:rFonts w:ascii="宋体" w:hAnsi="宋体"/>
          <w:sz w:val="24"/>
          <w:szCs w:val="24"/>
        </w:rPr>
        <w:fldChar w:fldCharType="separate"/>
      </w:r>
      <w:bookmarkStart w:id="153" w:name="_Toc15975_WPSOffice_Level3"/>
      <w:r>
        <w:rPr>
          <w:rFonts w:hint="eastAsia" w:ascii="宋体"/>
          <w:sz w:val="24"/>
          <w:szCs w:val="24"/>
        </w:rPr>
        <w:t>14)：投标供应商的类似业绩证明材料</w:t>
      </w:r>
      <w:bookmarkEnd w:id="153"/>
      <w:r>
        <w:rPr>
          <w:rFonts w:ascii="宋体" w:hAnsi="宋体"/>
          <w:sz w:val="24"/>
          <w:szCs w:val="24"/>
        </w:rPr>
        <w:fldChar w:fldCharType="end"/>
      </w:r>
      <w:bookmarkEnd w:id="151"/>
    </w:p>
    <w:p w14:paraId="481A4261">
      <w:pPr>
        <w:pStyle w:val="55"/>
        <w:tabs>
          <w:tab w:val="right" w:leader="dot" w:pos="8787"/>
          <w:tab w:val="clear" w:pos="8777"/>
        </w:tabs>
        <w:spacing w:line="360" w:lineRule="auto"/>
        <w:ind w:firstLine="480" w:firstLineChars="200"/>
        <w:outlineLvl w:val="2"/>
      </w:pPr>
      <w:r>
        <w:rPr>
          <w:rFonts w:hint="eastAsia" w:ascii="宋体" w:hAnsi="宋体"/>
          <w:sz w:val="24"/>
          <w:szCs w:val="24"/>
        </w:rPr>
        <w:t>(</w:t>
      </w:r>
      <w:r>
        <w:fldChar w:fldCharType="begin"/>
      </w:r>
      <w:r>
        <w:instrText xml:space="preserve"> HYPERLINK \l "_Toc15556" </w:instrText>
      </w:r>
      <w:r>
        <w:fldChar w:fldCharType="separate"/>
      </w:r>
      <w:r>
        <w:rPr>
          <w:rFonts w:hint="eastAsia" w:ascii="宋体"/>
          <w:sz w:val="24"/>
          <w:szCs w:val="24"/>
        </w:rPr>
        <w:t>15)：</w:t>
      </w:r>
      <w:r>
        <w:rPr>
          <w:rFonts w:hint="eastAsia" w:ascii="宋体" w:hAnsi="宋体"/>
          <w:sz w:val="24"/>
          <w:szCs w:val="24"/>
        </w:rPr>
        <w:t>磋商</w:t>
      </w:r>
      <w:r>
        <w:rPr>
          <w:rFonts w:hint="eastAsia" w:ascii="宋体" w:hAnsi="宋体"/>
          <w:sz w:val="24"/>
          <w:szCs w:val="24"/>
        </w:rPr>
        <w:fldChar w:fldCharType="end"/>
      </w:r>
      <w:r>
        <w:rPr>
          <w:rFonts w:hint="eastAsia" w:ascii="宋体" w:hAnsi="宋体"/>
          <w:sz w:val="24"/>
          <w:szCs w:val="24"/>
        </w:rPr>
        <w:t>保证金</w:t>
      </w:r>
    </w:p>
    <w:p w14:paraId="30A8EA73">
      <w:pPr>
        <w:pStyle w:val="55"/>
        <w:tabs>
          <w:tab w:val="right" w:leader="dot" w:pos="8787"/>
          <w:tab w:val="clear" w:pos="8777"/>
        </w:tabs>
        <w:spacing w:line="360" w:lineRule="auto"/>
        <w:ind w:firstLine="480" w:firstLineChars="200"/>
        <w:outlineLvl w:val="2"/>
        <w:rPr>
          <w:rFonts w:ascii="宋体" w:hAnsi="宋体"/>
          <w:sz w:val="24"/>
          <w:szCs w:val="24"/>
        </w:rPr>
      </w:pPr>
      <w:bookmarkStart w:id="154" w:name="_Toc31250"/>
      <w:r>
        <w:rPr>
          <w:rFonts w:hint="eastAsia" w:ascii="宋体" w:hAnsi="宋体"/>
          <w:sz w:val="24"/>
          <w:szCs w:val="24"/>
        </w:rPr>
        <w:t>(</w:t>
      </w:r>
      <w:r>
        <w:fldChar w:fldCharType="begin"/>
      </w:r>
      <w:r>
        <w:instrText xml:space="preserve"> HYPERLINK \l "_Toc15556" </w:instrText>
      </w:r>
      <w:r>
        <w:fldChar w:fldCharType="separate"/>
      </w:r>
      <w:bookmarkStart w:id="155" w:name="_Toc11923_WPSOffice_Level3"/>
      <w:r>
        <w:rPr>
          <w:rFonts w:hint="eastAsia" w:ascii="宋体"/>
          <w:sz w:val="24"/>
          <w:szCs w:val="24"/>
        </w:rPr>
        <w:t>16)：中小企业声明函</w:t>
      </w:r>
      <w:bookmarkEnd w:id="155"/>
      <w:r>
        <w:rPr>
          <w:rFonts w:hint="eastAsia" w:ascii="宋体"/>
          <w:sz w:val="24"/>
          <w:szCs w:val="24"/>
        </w:rPr>
        <w:fldChar w:fldCharType="end"/>
      </w:r>
      <w:bookmarkEnd w:id="154"/>
      <w:bookmarkStart w:id="156" w:name="_Toc14015"/>
    </w:p>
    <w:bookmarkEnd w:id="156"/>
    <w:p w14:paraId="78F6BF13">
      <w:pPr>
        <w:spacing w:line="360" w:lineRule="auto"/>
        <w:ind w:left="2" w:firstLine="422" w:firstLineChars="176"/>
        <w:rPr>
          <w:rFonts w:ascii="宋体" w:hAns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14:paraId="22AF4BBA">
      <w:pPr>
        <w:widowControl/>
        <w:spacing w:before="100" w:beforeAutospacing="1" w:after="100" w:afterAutospacing="1" w:line="360" w:lineRule="auto"/>
        <w:ind w:firstLine="0" w:firstLineChars="0"/>
        <w:jc w:val="left"/>
        <w:rPr>
          <w:rFonts w:ascii="宋体" w:hAnsi="宋体"/>
          <w:b/>
          <w:bCs/>
          <w:kern w:val="0"/>
          <w:sz w:val="27"/>
          <w:szCs w:val="27"/>
        </w:rPr>
      </w:pPr>
      <w:bookmarkStart w:id="157" w:name="_Toc23868"/>
      <w:bookmarkStart w:id="158" w:name="_Toc373392580"/>
      <w:bookmarkStart w:id="159" w:name="_Toc412617729"/>
      <w:bookmarkStart w:id="160" w:name="_Toc583"/>
      <w:r>
        <w:rPr>
          <w:rFonts w:hint="eastAsia" w:ascii="宋体" w:hAnsi="宋体"/>
          <w:b/>
          <w:bCs/>
          <w:kern w:val="0"/>
          <w:sz w:val="27"/>
          <w:szCs w:val="27"/>
        </w:rPr>
        <w:t>11.磋商响应文件编印和签署</w:t>
      </w:r>
      <w:bookmarkEnd w:id="157"/>
      <w:bookmarkEnd w:id="158"/>
      <w:bookmarkEnd w:id="159"/>
      <w:bookmarkEnd w:id="160"/>
    </w:p>
    <w:p w14:paraId="41FBDEBC">
      <w:pPr>
        <w:autoSpaceDE w:val="0"/>
        <w:autoSpaceDN w:val="0"/>
        <w:adjustRightInd w:val="0"/>
        <w:spacing w:line="360" w:lineRule="auto"/>
        <w:ind w:firstLine="480"/>
        <w:rPr>
          <w:rFonts w:hAnsi="宋体"/>
        </w:rPr>
      </w:pPr>
      <w:r>
        <w:rPr>
          <w:rFonts w:hint="eastAsia" w:hAnsi="宋体"/>
        </w:rPr>
        <w:t xml:space="preserve">11.1 </w:t>
      </w:r>
      <w:r>
        <w:rPr>
          <w:rFonts w:hint="eastAsia" w:ascii="宋体" w:hAnsi="宋体" w:cs="宋体"/>
          <w:kern w:val="0"/>
          <w:lang w:val="zh-CN"/>
        </w:rPr>
        <w:t>投标供应商应按照磋商文件所提供的投标文件格式，分别填写磋商文件内容，应分别注明所提供货物的名称、技术配置及参数、数量和价格等内容；</w:t>
      </w:r>
    </w:p>
    <w:p w14:paraId="4634E1F8">
      <w:pPr>
        <w:pStyle w:val="34"/>
        <w:spacing w:line="360" w:lineRule="auto"/>
        <w:ind w:firstLine="480"/>
        <w:rPr>
          <w:rFonts w:hAnsi="宋体"/>
          <w:szCs w:val="24"/>
        </w:rPr>
      </w:pPr>
      <w:r>
        <w:rPr>
          <w:rFonts w:hint="eastAsia" w:hAnsi="宋体"/>
          <w:szCs w:val="24"/>
        </w:rPr>
        <w:t>11.2磋商响应文件</w:t>
      </w:r>
      <w:r>
        <w:rPr>
          <w:rFonts w:hint="eastAsia" w:hAnsi="宋体" w:cs="宋体"/>
          <w:kern w:val="0"/>
          <w:lang w:val="zh-CN"/>
        </w:rPr>
        <w:t>要求签字、盖章的地方必须由投标供应商的法定代表人或委托代理人按要求签字、盖章。</w:t>
      </w:r>
    </w:p>
    <w:p w14:paraId="0C4480D7">
      <w:pPr>
        <w:pStyle w:val="34"/>
        <w:spacing w:line="360" w:lineRule="auto"/>
        <w:ind w:firstLine="480"/>
        <w:rPr>
          <w:rFonts w:hAnsi="宋体"/>
          <w:szCs w:val="24"/>
        </w:rPr>
      </w:pPr>
      <w:r>
        <w:rPr>
          <w:rFonts w:hint="eastAsia" w:hAnsi="宋体"/>
          <w:szCs w:val="24"/>
        </w:rPr>
        <w:t>11.3磋商响</w:t>
      </w:r>
      <w:bookmarkStart w:id="161" w:name="_Toc4459_WPSOffice_Level2"/>
      <w:r>
        <w:rPr>
          <w:rFonts w:hint="eastAsia" w:hAnsi="宋体"/>
          <w:szCs w:val="24"/>
        </w:rPr>
        <w:t>应文件中不得</w:t>
      </w:r>
      <w:bookmarkEnd w:id="161"/>
      <w:r>
        <w:rPr>
          <w:rFonts w:hint="eastAsia" w:hAnsi="宋体"/>
          <w:szCs w:val="24"/>
        </w:rPr>
        <w:t>行间插字、涂改或增删，如有修改错漏处，须由投标供应商法定代表人或其委托代理人签字和盖章。</w:t>
      </w:r>
    </w:p>
    <w:p w14:paraId="1BE6BA2C">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62" w:name="_Toc412617730"/>
      <w:bookmarkStart w:id="163" w:name="_Toc24658"/>
      <w:bookmarkStart w:id="164" w:name="_Toc8507_WPSOffice_Level2"/>
      <w:bookmarkStart w:id="165" w:name="_Toc14999"/>
      <w:bookmarkStart w:id="166" w:name="_Toc20793"/>
      <w:bookmarkStart w:id="167" w:name="_Toc21048"/>
      <w:bookmarkStart w:id="168" w:name="_Toc376936748"/>
      <w:bookmarkStart w:id="169" w:name="_Toc371090029"/>
      <w:r>
        <w:rPr>
          <w:rFonts w:hint="eastAsia" w:ascii="宋体" w:hAnsi="宋体"/>
          <w:b/>
          <w:bCs/>
          <w:kern w:val="0"/>
          <w:sz w:val="36"/>
          <w:szCs w:val="36"/>
        </w:rPr>
        <w:t>四、磋商响应文件的递交</w:t>
      </w:r>
      <w:bookmarkEnd w:id="162"/>
      <w:bookmarkEnd w:id="163"/>
      <w:bookmarkEnd w:id="164"/>
      <w:bookmarkEnd w:id="165"/>
      <w:bookmarkEnd w:id="166"/>
      <w:bookmarkEnd w:id="167"/>
    </w:p>
    <w:p w14:paraId="10EDBB5F">
      <w:pPr>
        <w:widowControl/>
        <w:spacing w:before="100" w:beforeAutospacing="1" w:after="100" w:afterAutospacing="1" w:line="360" w:lineRule="auto"/>
        <w:ind w:firstLine="0" w:firstLineChars="0"/>
        <w:jc w:val="left"/>
        <w:rPr>
          <w:rFonts w:ascii="宋体" w:hAnsi="宋体"/>
          <w:b/>
          <w:bCs/>
          <w:kern w:val="0"/>
          <w:sz w:val="27"/>
          <w:szCs w:val="27"/>
        </w:rPr>
      </w:pPr>
      <w:bookmarkStart w:id="170" w:name="_Toc23434"/>
      <w:bookmarkStart w:id="171" w:name="_Toc412617731"/>
      <w:bookmarkStart w:id="172" w:name="_Toc373392582"/>
      <w:bookmarkStart w:id="173" w:name="_Toc325726016"/>
      <w:bookmarkStart w:id="174" w:name="_Toc23324"/>
      <w:r>
        <w:rPr>
          <w:rFonts w:hint="eastAsia" w:ascii="宋体" w:hAnsi="宋体"/>
          <w:b/>
          <w:bCs/>
          <w:kern w:val="0"/>
          <w:sz w:val="27"/>
          <w:szCs w:val="27"/>
        </w:rPr>
        <w:t>12.磋商响应文件的</w:t>
      </w:r>
      <w:bookmarkEnd w:id="170"/>
      <w:bookmarkEnd w:id="171"/>
      <w:bookmarkEnd w:id="172"/>
      <w:bookmarkEnd w:id="173"/>
      <w:bookmarkEnd w:id="174"/>
      <w:r>
        <w:rPr>
          <w:rFonts w:hint="eastAsia" w:ascii="宋体" w:hAnsi="宋体"/>
          <w:b/>
          <w:bCs/>
          <w:kern w:val="0"/>
          <w:sz w:val="27"/>
          <w:szCs w:val="27"/>
        </w:rPr>
        <w:t>递交</w:t>
      </w:r>
    </w:p>
    <w:bookmarkEnd w:id="168"/>
    <w:bookmarkEnd w:id="169"/>
    <w:p w14:paraId="7B7B109D">
      <w:pPr>
        <w:autoSpaceDE w:val="0"/>
        <w:autoSpaceDN w:val="0"/>
        <w:spacing w:line="360" w:lineRule="auto"/>
        <w:ind w:firstLine="480"/>
        <w:rPr>
          <w:rFonts w:hAnsi="宋体"/>
          <w:b/>
          <w:bCs/>
          <w:kern w:val="0"/>
          <w:sz w:val="27"/>
          <w:szCs w:val="27"/>
        </w:rPr>
      </w:pPr>
      <w:bookmarkStart w:id="175" w:name="_Toc373392583"/>
      <w:bookmarkStart w:id="176" w:name="_Toc325726017"/>
      <w:bookmarkStart w:id="177" w:name="_Toc19503"/>
      <w:bookmarkStart w:id="178" w:name="_Toc27952"/>
      <w:bookmarkStart w:id="179" w:name="_Toc412617732"/>
      <w:bookmarkStart w:id="180" w:name="_Toc376936749"/>
      <w:bookmarkStart w:id="181" w:name="_Toc371090030"/>
      <w:r>
        <w:rPr>
          <w:rFonts w:hint="eastAsia" w:ascii="宋体" w:hAnsi="宋体" w:cs="宋体"/>
          <w:kern w:val="0"/>
          <w:lang w:val="zh-CN"/>
        </w:rPr>
        <w:t>投标供应商应当在磋商文件要求提交</w:t>
      </w:r>
      <w:r>
        <w:rPr>
          <w:rFonts w:hint="eastAsia" w:ascii="宋体" w:hAnsi="宋体" w:cs="宋体"/>
          <w:kern w:val="0"/>
        </w:rPr>
        <w:t>响应</w:t>
      </w:r>
      <w:r>
        <w:rPr>
          <w:rFonts w:hint="eastAsia" w:ascii="宋体" w:hAnsi="宋体" w:cs="宋体"/>
          <w:kern w:val="0"/>
          <w:lang w:val="zh-CN"/>
        </w:rPr>
        <w:t>文件的截止时间前，将投标文件</w:t>
      </w:r>
      <w:r>
        <w:rPr>
          <w:rFonts w:hint="eastAsia" w:ascii="宋体" w:hAnsi="宋体" w:cs="宋体"/>
          <w:kern w:val="0"/>
        </w:rPr>
        <w:t>上传指定平台</w:t>
      </w:r>
      <w:r>
        <w:rPr>
          <w:rFonts w:hint="eastAsia" w:ascii="宋体" w:hAnsi="宋体" w:cs="宋体"/>
          <w:kern w:val="0"/>
          <w:lang w:val="zh-CN"/>
        </w:rPr>
        <w:t>，任何单位和个人不得在开标前开启</w:t>
      </w:r>
      <w:r>
        <w:rPr>
          <w:rFonts w:hint="eastAsia" w:ascii="宋体" w:hAnsi="宋体" w:cs="宋体"/>
          <w:kern w:val="0"/>
        </w:rPr>
        <w:t>响应</w:t>
      </w:r>
      <w:r>
        <w:rPr>
          <w:rFonts w:hint="eastAsia" w:ascii="宋体" w:hAnsi="宋体" w:cs="宋体"/>
          <w:kern w:val="0"/>
          <w:lang w:val="zh-CN"/>
        </w:rPr>
        <w:t>文件。</w:t>
      </w:r>
    </w:p>
    <w:p w14:paraId="2FE54C74">
      <w:pPr>
        <w:widowControl/>
        <w:spacing w:before="100" w:beforeAutospacing="1" w:after="100" w:afterAutospacing="1" w:line="360" w:lineRule="auto"/>
        <w:ind w:firstLine="0" w:firstLineChars="0"/>
        <w:jc w:val="left"/>
        <w:rPr>
          <w:rFonts w:ascii="宋体" w:hAnsi="宋体"/>
          <w:b/>
          <w:bCs/>
          <w:kern w:val="0"/>
          <w:sz w:val="27"/>
          <w:szCs w:val="27"/>
        </w:rPr>
      </w:pPr>
      <w:r>
        <w:rPr>
          <w:rFonts w:hint="eastAsia" w:ascii="宋体" w:hAnsi="宋体"/>
          <w:b/>
          <w:bCs/>
          <w:kern w:val="0"/>
          <w:sz w:val="27"/>
          <w:szCs w:val="27"/>
        </w:rPr>
        <w:t>13.递送磋商响应文件的地点、截止日期</w:t>
      </w:r>
      <w:bookmarkEnd w:id="175"/>
      <w:bookmarkEnd w:id="176"/>
      <w:bookmarkEnd w:id="177"/>
      <w:bookmarkEnd w:id="178"/>
      <w:bookmarkEnd w:id="179"/>
    </w:p>
    <w:p w14:paraId="083EBFA7">
      <w:pPr>
        <w:pStyle w:val="34"/>
        <w:spacing w:line="360" w:lineRule="auto"/>
        <w:ind w:left="480" w:hanging="480" w:hangingChars="200"/>
        <w:rPr>
          <w:rFonts w:hAnsi="宋体"/>
          <w:szCs w:val="24"/>
        </w:rPr>
      </w:pPr>
      <w:r>
        <w:rPr>
          <w:rFonts w:hint="eastAsia" w:hAnsi="宋体"/>
          <w:szCs w:val="24"/>
        </w:rPr>
        <w:t xml:space="preserve">    13.1</w:t>
      </w:r>
      <w:r>
        <w:rPr>
          <w:rFonts w:hAnsi="宋体" w:cs="宋体"/>
          <w:szCs w:val="24"/>
        </w:rPr>
        <w:t>响应文件提交的截止时间及地点详见“供应商须知前附表”。</w:t>
      </w:r>
    </w:p>
    <w:p w14:paraId="3EFC498D">
      <w:pPr>
        <w:pStyle w:val="34"/>
        <w:spacing w:line="360" w:lineRule="auto"/>
        <w:ind w:firstLine="480"/>
        <w:rPr>
          <w:rFonts w:hAnsi="宋体"/>
          <w:szCs w:val="24"/>
        </w:rPr>
      </w:pPr>
      <w:r>
        <w:rPr>
          <w:rFonts w:hint="eastAsia" w:hAnsi="宋体"/>
          <w:szCs w:val="24"/>
        </w:rPr>
        <w:t>13.2所有磋商响应文件都必须按“投标供应商须知前附表”中规定的磋商截止时间之前上传。</w:t>
      </w:r>
    </w:p>
    <w:p w14:paraId="72F51032">
      <w:pPr>
        <w:widowControl/>
        <w:spacing w:before="100" w:beforeAutospacing="1" w:after="100" w:afterAutospacing="1" w:line="360" w:lineRule="auto"/>
        <w:ind w:firstLine="0" w:firstLineChars="0"/>
        <w:jc w:val="left"/>
        <w:rPr>
          <w:rFonts w:ascii="宋体" w:hAnsi="宋体"/>
          <w:b/>
          <w:bCs/>
          <w:kern w:val="0"/>
          <w:sz w:val="27"/>
          <w:szCs w:val="27"/>
        </w:rPr>
      </w:pPr>
      <w:bookmarkStart w:id="182" w:name="_Toc15389"/>
      <w:bookmarkStart w:id="183" w:name="_Toc13331"/>
      <w:r>
        <w:rPr>
          <w:rFonts w:hint="eastAsia" w:ascii="宋体" w:hAnsi="宋体"/>
          <w:b/>
          <w:bCs/>
          <w:kern w:val="0"/>
          <w:sz w:val="27"/>
          <w:szCs w:val="27"/>
        </w:rPr>
        <w:t>14.磋商响应文件的撤回</w:t>
      </w:r>
      <w:bookmarkEnd w:id="180"/>
      <w:bookmarkEnd w:id="181"/>
      <w:bookmarkEnd w:id="182"/>
      <w:bookmarkEnd w:id="183"/>
    </w:p>
    <w:p w14:paraId="2C90E78C">
      <w:pPr>
        <w:spacing w:line="360" w:lineRule="auto"/>
        <w:ind w:firstLine="480"/>
        <w:rPr>
          <w:rFonts w:ascii="宋体" w:hAnsi="宋体"/>
          <w:b/>
          <w:bCs/>
          <w:kern w:val="0"/>
          <w:sz w:val="36"/>
          <w:szCs w:val="36"/>
        </w:rPr>
      </w:pPr>
      <w:r>
        <w:rPr>
          <w:rFonts w:hint="eastAsia" w:ascii="宋体" w:hAnsi="宋体"/>
        </w:rPr>
        <w:t>允许投标供应商在提交最终报价之前声明撤回磋商响应文件，但提交最终报价之后不得撤回其投标，否则其磋商保证金将不予退还。</w:t>
      </w:r>
      <w:bookmarkStart w:id="184" w:name="_Toc376936750"/>
      <w:bookmarkStart w:id="185" w:name="_Toc325726019"/>
      <w:bookmarkStart w:id="186" w:name="_Toc15833_WPSOffice_Level2"/>
      <w:bookmarkStart w:id="187" w:name="_Toc9529"/>
      <w:bookmarkStart w:id="188" w:name="_Toc27841"/>
      <w:bookmarkStart w:id="189" w:name="_Toc23980"/>
    </w:p>
    <w:p w14:paraId="2B004AA7">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90" w:name="_Toc16789"/>
      <w:r>
        <w:rPr>
          <w:rFonts w:hint="eastAsia" w:ascii="宋体" w:hAnsi="宋体"/>
          <w:b/>
          <w:bCs/>
          <w:kern w:val="0"/>
          <w:sz w:val="36"/>
          <w:szCs w:val="36"/>
        </w:rPr>
        <w:t>五、</w:t>
      </w:r>
      <w:bookmarkEnd w:id="184"/>
      <w:bookmarkEnd w:id="185"/>
      <w:r>
        <w:rPr>
          <w:rFonts w:hint="eastAsia" w:ascii="宋体" w:hAnsi="宋体"/>
          <w:b/>
          <w:bCs/>
          <w:kern w:val="0"/>
          <w:sz w:val="36"/>
          <w:szCs w:val="36"/>
        </w:rPr>
        <w:t>磋商过程</w:t>
      </w:r>
      <w:bookmarkEnd w:id="186"/>
      <w:bookmarkEnd w:id="187"/>
      <w:bookmarkEnd w:id="188"/>
      <w:bookmarkEnd w:id="189"/>
      <w:bookmarkEnd w:id="190"/>
    </w:p>
    <w:p w14:paraId="4B1FF5E1">
      <w:pPr>
        <w:widowControl/>
        <w:spacing w:before="100" w:beforeAutospacing="1" w:after="100" w:afterAutospacing="1" w:line="360" w:lineRule="auto"/>
        <w:ind w:firstLine="0" w:firstLineChars="0"/>
        <w:jc w:val="left"/>
        <w:rPr>
          <w:rFonts w:ascii="宋体" w:hAnsi="宋体"/>
          <w:b/>
          <w:bCs/>
          <w:kern w:val="0"/>
          <w:sz w:val="27"/>
          <w:szCs w:val="27"/>
        </w:rPr>
      </w:pPr>
      <w:bookmarkStart w:id="191" w:name="_Toc325726020"/>
      <w:bookmarkStart w:id="192" w:name="_Toc376936751"/>
      <w:bookmarkStart w:id="193" w:name="_Toc19609"/>
      <w:bookmarkStart w:id="194" w:name="_Toc16426"/>
      <w:r>
        <w:rPr>
          <w:rFonts w:hint="eastAsia" w:ascii="宋体" w:hAnsi="宋体"/>
          <w:b/>
          <w:bCs/>
          <w:kern w:val="0"/>
          <w:sz w:val="27"/>
          <w:szCs w:val="27"/>
        </w:rPr>
        <w:t>15.</w:t>
      </w:r>
      <w:bookmarkEnd w:id="191"/>
      <w:bookmarkEnd w:id="192"/>
      <w:r>
        <w:rPr>
          <w:rFonts w:hint="eastAsia" w:ascii="宋体" w:hAnsi="宋体"/>
          <w:b/>
          <w:bCs/>
          <w:kern w:val="0"/>
          <w:sz w:val="27"/>
          <w:szCs w:val="27"/>
        </w:rPr>
        <w:t>磋商过程</w:t>
      </w:r>
      <w:bookmarkEnd w:id="193"/>
      <w:bookmarkEnd w:id="194"/>
    </w:p>
    <w:p w14:paraId="4B6C2AF6">
      <w:pPr>
        <w:spacing w:line="360" w:lineRule="auto"/>
        <w:ind w:firstLine="480"/>
        <w:jc w:val="left"/>
        <w:rPr>
          <w:rFonts w:ascii="宋体" w:hAnsi="宋体"/>
          <w:color w:val="000000"/>
        </w:rPr>
      </w:pPr>
      <w:r>
        <w:rPr>
          <w:rFonts w:hint="eastAsia" w:ascii="宋体" w:hAnsi="宋体"/>
          <w:color w:val="000000"/>
        </w:rPr>
        <w:t>15.1采购代理机构按本磋商文件中确定的时间和地点组织本项目的磋商活动。投标供应商应由其法定代表人或</w:t>
      </w:r>
      <w:bookmarkStart w:id="195" w:name="_Toc2239_WPSOffice_Level2"/>
      <w:r>
        <w:rPr>
          <w:rFonts w:hint="eastAsia" w:ascii="宋体" w:hAnsi="宋体"/>
          <w:color w:val="000000"/>
        </w:rPr>
        <w:t>委托代理人参加</w:t>
      </w:r>
      <w:bookmarkEnd w:id="195"/>
      <w:r>
        <w:rPr>
          <w:rFonts w:hint="eastAsia" w:ascii="宋体" w:hAnsi="宋体"/>
          <w:color w:val="000000"/>
        </w:rPr>
        <w:t>。</w:t>
      </w:r>
      <w:bookmarkStart w:id="196" w:name="_Toc23941_WPSOffice_Level3"/>
      <w:r>
        <w:rPr>
          <w:rFonts w:hint="eastAsia" w:ascii="宋体" w:hAnsi="宋体"/>
          <w:color w:val="000000"/>
        </w:rPr>
        <w:t>参加磋商的代表须签</w:t>
      </w:r>
      <w:bookmarkEnd w:id="196"/>
      <w:r>
        <w:rPr>
          <w:rFonts w:hint="eastAsia" w:ascii="宋体" w:hAnsi="宋体"/>
          <w:color w:val="000000"/>
        </w:rPr>
        <w:t>名报到以证明其出席开标会议。否则，视为自动弃权。</w:t>
      </w:r>
    </w:p>
    <w:p w14:paraId="73547109">
      <w:pPr>
        <w:spacing w:line="360" w:lineRule="auto"/>
        <w:ind w:firstLine="480"/>
        <w:jc w:val="left"/>
        <w:rPr>
          <w:rFonts w:ascii="宋体" w:hAnsi="宋体"/>
          <w:color w:val="000000"/>
        </w:rPr>
      </w:pPr>
      <w:r>
        <w:rPr>
          <w:rFonts w:hint="eastAsia" w:ascii="宋体" w:hAnsi="宋体"/>
          <w:color w:val="000000"/>
        </w:rPr>
        <w:t>15.2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26C2E35E">
      <w:pPr>
        <w:spacing w:line="360" w:lineRule="auto"/>
        <w:ind w:firstLine="480"/>
        <w:jc w:val="left"/>
      </w:pPr>
      <w:r>
        <w:rPr>
          <w:rFonts w:hint="eastAsia" w:ascii="宋体" w:hAnsi="宋体"/>
          <w:color w:val="000000"/>
        </w:rPr>
        <w:t>15.3磋商工作由采购代理机构组织，采购人、采购监管、纪检监察等有关方面代表可根据采购项目的具体情况列席。</w:t>
      </w:r>
    </w:p>
    <w:p w14:paraId="483377EF">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97" w:name="_Toc16413"/>
      <w:bookmarkStart w:id="198" w:name="_Toc11422"/>
      <w:bookmarkStart w:id="199" w:name="_Toc1386"/>
      <w:bookmarkStart w:id="200" w:name="_Toc25757_WPSOffice_Level2"/>
      <w:bookmarkStart w:id="201" w:name="_Toc376936752"/>
      <w:bookmarkStart w:id="202" w:name="_Toc325726021"/>
      <w:bookmarkStart w:id="203" w:name="_Toc16027"/>
      <w:r>
        <w:rPr>
          <w:rFonts w:hint="eastAsia" w:ascii="宋体" w:hAnsi="宋体"/>
          <w:b/>
          <w:bCs/>
          <w:kern w:val="0"/>
          <w:sz w:val="36"/>
          <w:szCs w:val="36"/>
        </w:rPr>
        <w:t>六、磋商程序及方法</w:t>
      </w:r>
      <w:bookmarkEnd w:id="197"/>
      <w:bookmarkEnd w:id="198"/>
      <w:bookmarkEnd w:id="199"/>
      <w:bookmarkEnd w:id="200"/>
      <w:bookmarkEnd w:id="201"/>
      <w:bookmarkEnd w:id="202"/>
      <w:bookmarkEnd w:id="203"/>
    </w:p>
    <w:p w14:paraId="594BD416">
      <w:pPr>
        <w:widowControl/>
        <w:spacing w:before="100" w:beforeAutospacing="1" w:after="100" w:afterAutospacing="1" w:line="360" w:lineRule="auto"/>
        <w:ind w:firstLine="0" w:firstLineChars="0"/>
        <w:jc w:val="left"/>
        <w:rPr>
          <w:rFonts w:ascii="宋体" w:hAnsi="宋体"/>
          <w:b/>
          <w:bCs/>
          <w:kern w:val="0"/>
          <w:sz w:val="27"/>
          <w:szCs w:val="27"/>
        </w:rPr>
      </w:pPr>
      <w:bookmarkStart w:id="204" w:name="_Toc376936753"/>
      <w:bookmarkStart w:id="205" w:name="_Toc26214"/>
      <w:bookmarkStart w:id="206" w:name="_Toc12075"/>
      <w:bookmarkStart w:id="207" w:name="_Toc325726022"/>
      <w:r>
        <w:rPr>
          <w:rFonts w:hint="eastAsia" w:ascii="宋体" w:hAnsi="宋体"/>
          <w:b/>
          <w:bCs/>
          <w:kern w:val="0"/>
          <w:sz w:val="27"/>
          <w:szCs w:val="27"/>
        </w:rPr>
        <w:t>16.磋商小组</w:t>
      </w:r>
      <w:bookmarkEnd w:id="204"/>
      <w:bookmarkEnd w:id="205"/>
      <w:bookmarkEnd w:id="206"/>
      <w:bookmarkEnd w:id="207"/>
    </w:p>
    <w:p w14:paraId="0728FB02">
      <w:pPr>
        <w:spacing w:line="360" w:lineRule="auto"/>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2C0C783">
      <w:pPr>
        <w:spacing w:line="360" w:lineRule="auto"/>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14:paraId="6FD9ECA9">
      <w:pPr>
        <w:spacing w:line="360" w:lineRule="auto"/>
        <w:ind w:firstLine="480"/>
        <w:jc w:val="left"/>
        <w:outlineLvl w:val="2"/>
        <w:rPr>
          <w:rFonts w:ascii="宋体" w:hAnsi="宋体"/>
        </w:rPr>
      </w:pPr>
      <w:bookmarkStart w:id="208" w:name="_Toc21929_WPSOffice_Level3"/>
      <w:bookmarkStart w:id="209" w:name="_Toc27891_WPSOffice_Level3"/>
      <w:bookmarkStart w:id="210" w:name="_Toc26422"/>
      <w:r>
        <w:rPr>
          <w:rFonts w:hint="eastAsia" w:ascii="宋体" w:hAnsi="宋体"/>
        </w:rPr>
        <w:t>（1）审查磋商响应文件是否符合磋商文件要求，并作出评价；</w:t>
      </w:r>
      <w:bookmarkEnd w:id="208"/>
      <w:bookmarkEnd w:id="209"/>
      <w:bookmarkEnd w:id="210"/>
    </w:p>
    <w:p w14:paraId="1AFC189F">
      <w:pPr>
        <w:spacing w:line="360" w:lineRule="auto"/>
        <w:ind w:firstLine="480"/>
        <w:jc w:val="left"/>
        <w:outlineLvl w:val="2"/>
        <w:rPr>
          <w:rFonts w:ascii="宋体" w:hAnsi="宋体"/>
        </w:rPr>
      </w:pPr>
      <w:bookmarkStart w:id="211" w:name="_Toc235_WPSOffice_Level3"/>
      <w:bookmarkStart w:id="212" w:name="_Toc5458"/>
      <w:bookmarkStart w:id="213" w:name="_Toc16069_WPSOffice_Level3"/>
      <w:r>
        <w:rPr>
          <w:rFonts w:hint="eastAsia" w:ascii="宋体" w:hAnsi="宋体"/>
        </w:rPr>
        <w:t>（2）要求投标供应商对磋商响应文件有关事项作出解释或澄清；</w:t>
      </w:r>
      <w:bookmarkEnd w:id="211"/>
      <w:bookmarkEnd w:id="212"/>
      <w:bookmarkEnd w:id="213"/>
    </w:p>
    <w:p w14:paraId="291D7E62">
      <w:pPr>
        <w:spacing w:line="360" w:lineRule="auto"/>
        <w:ind w:firstLine="480"/>
        <w:jc w:val="left"/>
        <w:outlineLvl w:val="2"/>
        <w:rPr>
          <w:rFonts w:ascii="宋体" w:hAnsi="宋体"/>
        </w:rPr>
      </w:pPr>
      <w:bookmarkStart w:id="214" w:name="_Toc16567"/>
      <w:bookmarkStart w:id="215" w:name="_Toc14500_WPSOffice_Level3"/>
      <w:bookmarkStart w:id="216" w:name="_Toc20815_WPSOffice_Level3"/>
      <w:r>
        <w:rPr>
          <w:rFonts w:hint="eastAsia" w:ascii="宋体" w:hAnsi="宋体"/>
        </w:rPr>
        <w:t>（3）推荐预成交候选供应商；</w:t>
      </w:r>
      <w:bookmarkEnd w:id="214"/>
      <w:bookmarkEnd w:id="215"/>
      <w:bookmarkEnd w:id="216"/>
    </w:p>
    <w:p w14:paraId="0B2C0C79">
      <w:pPr>
        <w:spacing w:line="360" w:lineRule="auto"/>
        <w:ind w:firstLine="480"/>
        <w:jc w:val="left"/>
        <w:outlineLvl w:val="2"/>
        <w:rPr>
          <w:rFonts w:ascii="宋体" w:hAnsi="宋体"/>
        </w:rPr>
      </w:pPr>
      <w:bookmarkStart w:id="217" w:name="_Toc11807_WPSOffice_Level3"/>
      <w:bookmarkStart w:id="218" w:name="_Toc32139"/>
      <w:bookmarkStart w:id="219" w:name="_Toc1772_WPSOffice_Level3"/>
      <w:r>
        <w:rPr>
          <w:rFonts w:hint="eastAsia" w:ascii="宋体" w:hAnsi="宋体"/>
        </w:rPr>
        <w:t>（4）对非法干预评标工作的人员和机构进行举报或投诉。</w:t>
      </w:r>
      <w:bookmarkEnd w:id="217"/>
      <w:bookmarkEnd w:id="218"/>
      <w:bookmarkEnd w:id="219"/>
    </w:p>
    <w:p w14:paraId="4AB4637C">
      <w:pPr>
        <w:spacing w:line="360" w:lineRule="auto"/>
        <w:ind w:firstLine="480"/>
        <w:jc w:val="left"/>
        <w:rPr>
          <w:rFonts w:ascii="宋体" w:hAnsi="宋体"/>
        </w:rPr>
      </w:pPr>
      <w:r>
        <w:rPr>
          <w:rFonts w:hint="eastAsia" w:ascii="宋体" w:hAnsi="宋体"/>
        </w:rPr>
        <w:t>16.3磋商小组应遵守并履行下列义务：</w:t>
      </w:r>
    </w:p>
    <w:p w14:paraId="6769E66D">
      <w:pPr>
        <w:spacing w:line="360" w:lineRule="auto"/>
        <w:ind w:firstLine="480"/>
        <w:jc w:val="left"/>
        <w:rPr>
          <w:rFonts w:ascii="宋体" w:hAnsi="宋体"/>
        </w:rPr>
      </w:pPr>
      <w:r>
        <w:rPr>
          <w:rFonts w:hint="eastAsia" w:ascii="宋体" w:hAnsi="宋体"/>
        </w:rPr>
        <w:t>（1）遵纪守法，客观、公正、廉洁地履行职责；</w:t>
      </w:r>
    </w:p>
    <w:p w14:paraId="6B8F6976">
      <w:pPr>
        <w:spacing w:line="360" w:lineRule="auto"/>
        <w:ind w:firstLine="480"/>
        <w:jc w:val="left"/>
        <w:rPr>
          <w:rFonts w:ascii="宋体" w:hAnsi="宋体"/>
        </w:rPr>
      </w:pPr>
      <w:r>
        <w:rPr>
          <w:rFonts w:hint="eastAsia" w:ascii="宋体" w:hAnsi="宋体"/>
        </w:rPr>
        <w:t>（2</w:t>
      </w:r>
      <w:bookmarkStart w:id="220" w:name="_Toc3251_WPSOffice_Level3"/>
      <w:r>
        <w:rPr>
          <w:rFonts w:hint="eastAsia" w:ascii="宋体" w:hAnsi="宋体"/>
        </w:rPr>
        <w:t>）按照磋商文件规定的评</w:t>
      </w:r>
      <w:bookmarkEnd w:id="220"/>
      <w:r>
        <w:rPr>
          <w:rFonts w:hint="eastAsia" w:ascii="宋体" w:hAnsi="宋体"/>
        </w:rPr>
        <w:t>审方法和评审标准进行评审，对评审意见承担磋商小组成员责任；</w:t>
      </w:r>
    </w:p>
    <w:p w14:paraId="5F05643C">
      <w:pPr>
        <w:spacing w:line="360" w:lineRule="auto"/>
        <w:ind w:firstLine="480"/>
        <w:jc w:val="left"/>
        <w:rPr>
          <w:rFonts w:ascii="宋体" w:hAnsi="宋体"/>
        </w:rPr>
      </w:pPr>
      <w:r>
        <w:rPr>
          <w:rFonts w:hint="eastAsia" w:ascii="宋体" w:hAnsi="宋体"/>
        </w:rPr>
        <w:t>（3）对磋商响应文件、磋商情况和磋商中获悉的商业秘密保密；</w:t>
      </w:r>
    </w:p>
    <w:p w14:paraId="688C95A8">
      <w:pPr>
        <w:spacing w:line="360" w:lineRule="auto"/>
        <w:ind w:firstLine="480"/>
        <w:jc w:val="left"/>
        <w:rPr>
          <w:rFonts w:ascii="宋体" w:hAnsi="宋体"/>
        </w:rPr>
      </w:pPr>
      <w:r>
        <w:rPr>
          <w:rFonts w:hint="eastAsia" w:ascii="宋体" w:hAnsi="宋体"/>
        </w:rPr>
        <w:t>（4）参与磋商报告的起草；</w:t>
      </w:r>
    </w:p>
    <w:p w14:paraId="287916B4">
      <w:pPr>
        <w:spacing w:line="360" w:lineRule="auto"/>
        <w:ind w:firstLine="480"/>
        <w:jc w:val="left"/>
        <w:rPr>
          <w:rFonts w:ascii="宋体" w:hAnsi="宋体"/>
        </w:rPr>
      </w:pPr>
      <w:r>
        <w:rPr>
          <w:rFonts w:hint="eastAsia" w:ascii="宋体" w:hAnsi="宋体"/>
        </w:rPr>
        <w:t>（5）解答投标供应商及有关方面的质疑；</w:t>
      </w:r>
    </w:p>
    <w:p w14:paraId="12A0FA00">
      <w:pPr>
        <w:spacing w:line="360" w:lineRule="auto"/>
        <w:ind w:firstLine="480"/>
        <w:jc w:val="left"/>
        <w:rPr>
          <w:rFonts w:ascii="宋体" w:hAnsi="宋体"/>
        </w:rPr>
      </w:pPr>
      <w:r>
        <w:rPr>
          <w:rFonts w:hint="eastAsia" w:ascii="宋体" w:hAnsi="宋体"/>
        </w:rPr>
        <w:t>（6）配合纪检部门进行投诉处理工作。</w:t>
      </w:r>
    </w:p>
    <w:p w14:paraId="74DF3B1D">
      <w:pPr>
        <w:spacing w:line="360" w:lineRule="auto"/>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14:paraId="51A9E537">
      <w:pPr>
        <w:spacing w:line="360" w:lineRule="auto"/>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14:paraId="7F4A0F59">
      <w:pPr>
        <w:widowControl/>
        <w:spacing w:before="100" w:beforeAutospacing="1" w:after="100" w:afterAutospacing="1" w:line="360" w:lineRule="auto"/>
        <w:ind w:firstLine="0" w:firstLineChars="0"/>
        <w:jc w:val="left"/>
        <w:rPr>
          <w:rFonts w:ascii="宋体" w:hAnsi="宋体"/>
          <w:b/>
          <w:bCs/>
          <w:kern w:val="0"/>
          <w:sz w:val="27"/>
          <w:szCs w:val="27"/>
        </w:rPr>
      </w:pPr>
      <w:bookmarkStart w:id="221" w:name="_Toc1208"/>
      <w:bookmarkStart w:id="222" w:name="_Toc7743"/>
      <w:bookmarkStart w:id="223" w:name="_Toc325726023"/>
      <w:bookmarkStart w:id="224" w:name="_Toc376936754"/>
      <w:r>
        <w:rPr>
          <w:rFonts w:hint="eastAsia" w:ascii="宋体" w:hAnsi="宋体"/>
          <w:b/>
          <w:bCs/>
          <w:kern w:val="0"/>
          <w:sz w:val="27"/>
          <w:szCs w:val="27"/>
        </w:rPr>
        <w:t>17.磋商程序</w:t>
      </w:r>
      <w:bookmarkEnd w:id="221"/>
      <w:bookmarkEnd w:id="222"/>
      <w:bookmarkEnd w:id="223"/>
      <w:bookmarkEnd w:id="224"/>
    </w:p>
    <w:p w14:paraId="1290922D">
      <w:pPr>
        <w:spacing w:line="360" w:lineRule="auto"/>
        <w:ind w:firstLine="480"/>
        <w:jc w:val="left"/>
        <w:rPr>
          <w:rFonts w:ascii="宋体" w:hAnsi="宋体"/>
          <w:color w:val="000000"/>
        </w:rPr>
      </w:pPr>
      <w:r>
        <w:rPr>
          <w:rFonts w:hint="eastAsia" w:ascii="宋体" w:hAnsi="Courier New"/>
          <w:szCs w:val="20"/>
        </w:rPr>
        <w:t>17.1</w:t>
      </w:r>
      <w:r>
        <w:rPr>
          <w:rFonts w:hint="eastAsia" w:ascii="宋体" w:hAnsi="宋体"/>
          <w:color w:val="000000"/>
        </w:rPr>
        <w:t>进入磋商阶</w:t>
      </w:r>
      <w:bookmarkStart w:id="225" w:name="_Toc10972_WPSOffice_Level2"/>
      <w:r>
        <w:rPr>
          <w:rFonts w:hint="eastAsia" w:ascii="宋体" w:hAnsi="宋体"/>
          <w:color w:val="000000"/>
        </w:rPr>
        <w:t>段后，磋商小</w:t>
      </w:r>
      <w:bookmarkEnd w:id="225"/>
      <w:r>
        <w:rPr>
          <w:rFonts w:hint="eastAsia" w:ascii="宋体" w:hAnsi="宋体"/>
          <w:color w:val="000000"/>
        </w:rPr>
        <w:t>组成员按照客观、公正、审慎的原则，根据磋商文件规定的评审程序、评审方法和评审标准进行独立开展评审工作，负责审议所有磋商响应文件，并按先初审、后复审的程序对磋商响应文件进行评审、评分。</w:t>
      </w:r>
    </w:p>
    <w:p w14:paraId="19F00A6D">
      <w:pPr>
        <w:spacing w:line="360" w:lineRule="auto"/>
        <w:ind w:firstLine="480"/>
        <w:jc w:val="left"/>
        <w:rPr>
          <w:rFonts w:ascii="宋体" w:hAnsi="宋体"/>
          <w:color w:val="000000"/>
        </w:rPr>
      </w:pPr>
      <w:r>
        <w:rPr>
          <w:rFonts w:hint="eastAsia" w:ascii="宋体" w:hAnsi="宋体"/>
          <w:color w:val="000000"/>
        </w:rPr>
        <w:t>17.2初审阶段为资格性审查和符合性审查。磋商响应文件在响应磋商文件要求方面出现的偏离，分为实质性偏离和非实质性偏离。</w:t>
      </w:r>
    </w:p>
    <w:p w14:paraId="4781F2E4">
      <w:pPr>
        <w:spacing w:line="360" w:lineRule="auto"/>
        <w:ind w:firstLine="480"/>
        <w:jc w:val="left"/>
        <w:rPr>
          <w:rFonts w:hint="eastAsia" w:ascii="宋体" w:hAnsi="宋体" w:eastAsia="宋体"/>
          <w:color w:val="000000"/>
          <w:lang w:eastAsia="zh-CN"/>
        </w:rPr>
      </w:pPr>
      <w:r>
        <w:rPr>
          <w:rFonts w:hint="eastAsia" w:ascii="宋体" w:hAnsi="宋体"/>
          <w:color w:val="000000"/>
        </w:rPr>
        <w:t>17.2.1实质性偏离是指磋商响应文件未能实质性响应磋商文件的要求。以下情况属于实质性偏离</w:t>
      </w:r>
      <w:r>
        <w:rPr>
          <w:rFonts w:hint="eastAsia" w:ascii="宋体" w:hAnsi="宋体"/>
          <w:color w:val="000000"/>
          <w:lang w:eastAsia="zh-CN"/>
        </w:rPr>
        <w:t>。</w:t>
      </w:r>
    </w:p>
    <w:p w14:paraId="0037AA47">
      <w:pPr>
        <w:spacing w:line="360" w:lineRule="auto"/>
        <w:ind w:firstLine="480"/>
        <w:jc w:val="left"/>
        <w:rPr>
          <w:rFonts w:ascii="宋体" w:hAnsi="宋体"/>
          <w:color w:val="000000"/>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.2.1.1资格审查时，</w:t>
      </w:r>
      <w:r>
        <w:rPr>
          <w:rFonts w:hint="eastAsia" w:ascii="宋体" w:hAnsi="宋体"/>
          <w:color w:val="000000"/>
        </w:rPr>
        <w:t>磋商响应文件有下列情况之一的，按无效响应处理。</w:t>
      </w:r>
    </w:p>
    <w:p w14:paraId="6CFFEBE3">
      <w:pPr>
        <w:spacing w:line="360" w:lineRule="auto"/>
        <w:ind w:firstLine="480"/>
        <w:jc w:val="left"/>
        <w:rPr>
          <w:rFonts w:ascii="宋体" w:hAnsi="宋体" w:cs="楷体_GB2312"/>
          <w:color w:val="000000"/>
          <w:lang w:val="zh-CN"/>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2款“合格的投标供应商”之规定的；</w:t>
      </w:r>
    </w:p>
    <w:p w14:paraId="7C09D7FB">
      <w:pPr>
        <w:spacing w:line="360" w:lineRule="auto"/>
        <w:ind w:firstLine="480"/>
        <w:jc w:val="left"/>
        <w:rPr>
          <w:rFonts w:ascii="宋体" w:hAnsi="宋体"/>
          <w:color w:val="000000"/>
        </w:rPr>
      </w:pPr>
      <w:r>
        <w:rPr>
          <w:rFonts w:hint="eastAsia" w:ascii="宋体" w:hAnsi="宋体" w:cs="楷体_GB2312"/>
          <w:color w:val="000000"/>
          <w:lang w:val="zh-CN"/>
        </w:rPr>
        <w:t>（</w:t>
      </w:r>
      <w:r>
        <w:rPr>
          <w:rFonts w:hint="eastAsia" w:ascii="宋体" w:hAnsi="宋体" w:cs="楷体_GB2312"/>
          <w:color w:val="000000"/>
        </w:rPr>
        <w:t>2</w:t>
      </w:r>
      <w:r>
        <w:rPr>
          <w:rFonts w:hint="eastAsia" w:ascii="宋体" w:hAnsi="宋体" w:cs="楷体_GB2312"/>
          <w:color w:val="000000"/>
          <w:lang w:val="zh-CN"/>
        </w:rPr>
        <w:t>）未按第1</w:t>
      </w:r>
      <w:r>
        <w:rPr>
          <w:rFonts w:hint="eastAsia" w:ascii="宋体" w:hAnsi="宋体" w:cs="楷体_GB2312"/>
          <w:color w:val="000000"/>
        </w:rPr>
        <w:t>0</w:t>
      </w:r>
      <w:r>
        <w:rPr>
          <w:rFonts w:hint="eastAsia" w:ascii="宋体" w:hAnsi="宋体" w:cs="楷体_GB2312"/>
          <w:color w:val="000000"/>
          <w:lang w:val="zh-CN"/>
        </w:rPr>
        <w:t>款</w:t>
      </w:r>
      <w:r>
        <w:rPr>
          <w:rFonts w:hint="eastAsia" w:ascii="宋体" w:hAnsi="宋体" w:cs="楷体_GB2312"/>
          <w:color w:val="000000"/>
        </w:rPr>
        <w:t>(1)</w:t>
      </w:r>
      <w:r>
        <w:rPr>
          <w:rFonts w:hint="eastAsia" w:ascii="宋体" w:hAnsi="宋体" w:cs="楷体_GB2312"/>
          <w:color w:val="000000"/>
          <w:lang w:val="zh-CN"/>
        </w:rPr>
        <w:t>-</w:t>
      </w:r>
      <w:r>
        <w:rPr>
          <w:rFonts w:hint="eastAsia" w:ascii="宋体" w:hAnsi="宋体" w:cs="楷体_GB2312"/>
          <w:color w:val="000000"/>
        </w:rPr>
        <w:t>(11)</w:t>
      </w:r>
      <w:r>
        <w:rPr>
          <w:rFonts w:hint="eastAsia" w:ascii="宋体" w:hAnsi="宋体" w:cs="楷体_GB2312"/>
          <w:color w:val="000000"/>
          <w:lang w:val="zh-CN"/>
        </w:rPr>
        <w:t>要求提供相关资料的；</w:t>
      </w:r>
    </w:p>
    <w:p w14:paraId="5EC5CFD1">
      <w:pPr>
        <w:spacing w:line="360" w:lineRule="auto"/>
        <w:ind w:firstLine="480"/>
        <w:jc w:val="left"/>
        <w:rPr>
          <w:rFonts w:ascii="宋体" w:hAnsi="宋体"/>
          <w:color w:val="000000"/>
        </w:rPr>
      </w:pPr>
      <w:r>
        <w:rPr>
          <w:rFonts w:hint="eastAsia" w:ascii="宋体" w:hAnsi="宋体"/>
          <w:color w:val="000000"/>
        </w:rPr>
        <w:t>（3）磋商响应文件内容没有按磋商</w:t>
      </w:r>
      <w:bookmarkStart w:id="226" w:name="_Toc28858_WPSOffice_Level2"/>
      <w:r>
        <w:rPr>
          <w:rFonts w:hint="eastAsia" w:ascii="宋体" w:hAnsi="宋体"/>
          <w:color w:val="000000"/>
        </w:rPr>
        <w:t>文件规定和</w:t>
      </w:r>
      <w:bookmarkEnd w:id="226"/>
      <w:r>
        <w:rPr>
          <w:rFonts w:hint="eastAsia" w:ascii="宋体" w:hAnsi="宋体"/>
          <w:color w:val="000000"/>
        </w:rPr>
        <w:t>要求签字、盖章的；</w:t>
      </w:r>
    </w:p>
    <w:p w14:paraId="178551B3">
      <w:pPr>
        <w:spacing w:line="360" w:lineRule="auto"/>
        <w:ind w:firstLine="480"/>
        <w:jc w:val="left"/>
        <w:rPr>
          <w:rFonts w:ascii="宋体" w:hAnsi="宋体"/>
          <w:color w:val="000000"/>
        </w:rPr>
      </w:pPr>
      <w:r>
        <w:rPr>
          <w:rFonts w:hint="eastAsia" w:ascii="宋体" w:hAnsi="宋体"/>
          <w:color w:val="000000"/>
        </w:rPr>
        <w:t>（4）磋商响应文件编排混乱，且擅自修改磋商文件规定的格式内容的；</w:t>
      </w:r>
    </w:p>
    <w:p w14:paraId="56A58C18">
      <w:pPr>
        <w:spacing w:line="360" w:lineRule="auto"/>
        <w:ind w:firstLine="480"/>
        <w:jc w:val="left"/>
        <w:rPr>
          <w:rFonts w:ascii="宋体" w:hAnsi="宋体"/>
          <w:color w:val="000000"/>
        </w:rPr>
      </w:pPr>
      <w:r>
        <w:rPr>
          <w:rFonts w:hint="eastAsia" w:ascii="宋体" w:hAnsi="宋体"/>
          <w:color w:val="000000"/>
        </w:rPr>
        <w:t>（5）磋商有效期不能满足磋商文件要求的；</w:t>
      </w:r>
    </w:p>
    <w:p w14:paraId="20F3E770">
      <w:pPr>
        <w:spacing w:line="360" w:lineRule="auto"/>
        <w:ind w:firstLine="480"/>
        <w:jc w:val="left"/>
        <w:rPr>
          <w:rFonts w:hint="eastAsia" w:ascii="宋体" w:hAnsi="宋体"/>
          <w:color w:val="000000"/>
        </w:rPr>
      </w:pPr>
      <w:r>
        <w:rPr>
          <w:rFonts w:hint="eastAsia" w:ascii="宋体" w:hAnsi="宋体"/>
          <w:color w:val="000000"/>
        </w:rPr>
        <w:t>（6）交货期不能满足磋商文件要求的；</w:t>
      </w:r>
    </w:p>
    <w:p w14:paraId="56BF7AC9">
      <w:pPr>
        <w:ind w:firstLine="480"/>
        <w:jc w:val="left"/>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.2.1.2符合性审查时，磋商响应文件有下列情况之一的，按无效响应处理。</w:t>
      </w:r>
    </w:p>
    <w:p w14:paraId="3C93AC46">
      <w:pPr>
        <w:spacing w:line="360" w:lineRule="auto"/>
        <w:ind w:firstLine="480"/>
        <w:jc w:val="left"/>
        <w:rPr>
          <w:rFonts w:ascii="新宋体" w:hAnsi="新宋体" w:eastAsia="新宋体" w:cs="新宋体"/>
        </w:rPr>
      </w:pPr>
      <w:r>
        <w:rPr>
          <w:rFonts w:hint="eastAsia" w:ascii="宋体" w:hAnsi="宋体" w:cs="宋体"/>
          <w:szCs w:val="20"/>
        </w:rPr>
        <w:t>（</w:t>
      </w:r>
      <w:r>
        <w:rPr>
          <w:rFonts w:hint="eastAsia" w:ascii="宋体" w:hAnsi="宋体" w:cs="宋体"/>
          <w:szCs w:val="20"/>
          <w:lang w:val="en-US" w:eastAsia="zh-CN"/>
        </w:rPr>
        <w:t>1</w:t>
      </w:r>
      <w:r>
        <w:rPr>
          <w:rFonts w:hint="eastAsia" w:ascii="宋体" w:hAnsi="宋体" w:cs="宋体"/>
          <w:szCs w:val="20"/>
        </w:rPr>
        <w:t>）</w:t>
      </w:r>
      <w:r>
        <w:rPr>
          <w:rFonts w:hint="eastAsia" w:ascii="新宋体" w:hAnsi="新宋体" w:eastAsia="新宋体" w:cs="新宋体"/>
        </w:rPr>
        <w:t>报价超过采购文件中规定的预算金额或者最高限价的；</w:t>
      </w:r>
    </w:p>
    <w:p w14:paraId="62B24905">
      <w:pPr>
        <w:spacing w:line="360" w:lineRule="auto"/>
        <w:ind w:firstLine="480"/>
        <w:jc w:val="left"/>
        <w:rPr>
          <w:lang w:val="zh-CN"/>
        </w:rPr>
      </w:pPr>
      <w:r>
        <w:rPr>
          <w:rFonts w:hint="eastAsia" w:ascii="新宋体" w:hAnsi="新宋体" w:eastAsia="新宋体" w:cs="新宋体"/>
        </w:rPr>
        <w:t>（</w:t>
      </w:r>
      <w:r>
        <w:rPr>
          <w:rFonts w:hint="eastAsia" w:ascii="新宋体" w:hAnsi="新宋体" w:eastAsia="新宋体" w:cs="新宋体"/>
          <w:lang w:val="en-US" w:eastAsia="zh-CN"/>
        </w:rPr>
        <w:t>2</w:t>
      </w:r>
      <w:r>
        <w:rPr>
          <w:rFonts w:hint="eastAsia" w:ascii="新宋体" w:hAnsi="新宋体" w:eastAsia="新宋体" w:cs="新宋体"/>
        </w:rPr>
        <w:t>）投标报价出现前后不一致，又不按15.2进行修正确认的；</w:t>
      </w:r>
    </w:p>
    <w:p w14:paraId="61933264">
      <w:pPr>
        <w:spacing w:line="360" w:lineRule="auto"/>
        <w:ind w:firstLine="480"/>
        <w:jc w:val="left"/>
        <w:rPr>
          <w:rFonts w:ascii="宋体" w:hAnsi="宋体"/>
          <w:color w:val="000000"/>
        </w:rPr>
      </w:pPr>
      <w:r>
        <w:rPr>
          <w:rFonts w:hint="eastAsia" w:ascii="宋体" w:hAnsi="宋体" w:cs="宋体"/>
          <w:szCs w:val="20"/>
          <w:lang w:val="zh-CN"/>
        </w:rPr>
        <w:t>（</w:t>
      </w:r>
      <w:r>
        <w:rPr>
          <w:rFonts w:hint="eastAsia" w:ascii="宋体" w:hAnsi="宋体" w:cs="宋体"/>
          <w:szCs w:val="20"/>
          <w:lang w:val="en-US" w:eastAsia="zh-CN"/>
        </w:rPr>
        <w:t>3</w:t>
      </w:r>
      <w:r>
        <w:rPr>
          <w:rFonts w:hint="eastAsia" w:ascii="宋体" w:hAnsi="宋体" w:cs="宋体"/>
          <w:szCs w:val="20"/>
          <w:lang w:val="zh-CN"/>
        </w:rPr>
        <w:t>）存在串通投标行为</w:t>
      </w:r>
      <w:r>
        <w:rPr>
          <w:rFonts w:hint="eastAsia" w:ascii="宋体" w:hAnsi="宋体" w:cs="宋体"/>
          <w:szCs w:val="20"/>
        </w:rPr>
        <w:t>的</w:t>
      </w:r>
      <w:r>
        <w:rPr>
          <w:rFonts w:hint="eastAsia" w:ascii="宋体" w:hAnsi="宋体" w:cs="宋体"/>
          <w:szCs w:val="20"/>
          <w:lang w:val="zh-CN"/>
        </w:rPr>
        <w:t>；</w:t>
      </w:r>
    </w:p>
    <w:p w14:paraId="1275BD1E">
      <w:pPr>
        <w:spacing w:line="360" w:lineRule="auto"/>
        <w:ind w:firstLine="480"/>
        <w:jc w:val="left"/>
        <w:rPr>
          <w:rFonts w:ascii="宋体" w:hAnsi="宋体"/>
          <w:color w:val="000000"/>
          <w:szCs w:val="20"/>
        </w:rPr>
      </w:pPr>
      <w:r>
        <w:rPr>
          <w:rFonts w:hint="eastAsia" w:ascii="宋体" w:hAnsi="宋体"/>
          <w:color w:val="000000"/>
          <w:szCs w:val="20"/>
        </w:rPr>
        <w:t>（</w:t>
      </w:r>
      <w:r>
        <w:rPr>
          <w:rFonts w:hint="eastAsia" w:ascii="宋体" w:hAnsi="宋体"/>
          <w:color w:val="000000"/>
          <w:szCs w:val="20"/>
          <w:lang w:val="en-US" w:eastAsia="zh-CN"/>
        </w:rPr>
        <w:t>4</w:t>
      </w:r>
      <w:r>
        <w:rPr>
          <w:rFonts w:hint="eastAsia" w:ascii="宋体" w:hAnsi="宋体"/>
          <w:color w:val="000000"/>
          <w:szCs w:val="20"/>
        </w:rPr>
        <w:t>）磋商响应文件中附有采购人不能接受的条件的；</w:t>
      </w:r>
    </w:p>
    <w:p w14:paraId="65B9C21C">
      <w:pPr>
        <w:spacing w:line="360" w:lineRule="auto"/>
        <w:ind w:firstLine="480"/>
        <w:rPr>
          <w:rFonts w:ascii="宋体" w:hAnsi="宋体"/>
          <w:color w:val="000000"/>
        </w:rPr>
      </w:pPr>
      <w:r>
        <w:rPr>
          <w:rFonts w:hint="eastAsia" w:ascii="宋体" w:hAnsi="宋体"/>
          <w:color w:val="000000"/>
        </w:rPr>
        <w:t>（</w:t>
      </w:r>
      <w:r>
        <w:rPr>
          <w:rFonts w:hint="eastAsia" w:ascii="宋体" w:hAnsi="宋体"/>
          <w:color w:val="000000"/>
          <w:lang w:val="en-US" w:eastAsia="zh-CN"/>
        </w:rPr>
        <w:t>5</w:t>
      </w:r>
      <w:r>
        <w:rPr>
          <w:rFonts w:hint="eastAsia" w:ascii="宋体" w:hAnsi="宋体"/>
          <w:color w:val="000000"/>
        </w:rPr>
        <w:t>）磋商小组认为应按无效响应处理的其他情况；</w:t>
      </w:r>
    </w:p>
    <w:p w14:paraId="1860DF0C">
      <w:pPr>
        <w:spacing w:line="360" w:lineRule="auto"/>
        <w:ind w:firstLine="480"/>
        <w:rPr>
          <w:rFonts w:ascii="宋体" w:hAnsi="宋体"/>
          <w:color w:val="000000"/>
        </w:rPr>
      </w:pPr>
      <w:r>
        <w:rPr>
          <w:rFonts w:hint="eastAsia" w:ascii="宋体" w:hAnsi="宋体"/>
          <w:color w:val="000000"/>
        </w:rPr>
        <w:t>（</w:t>
      </w:r>
      <w:r>
        <w:rPr>
          <w:rFonts w:hint="eastAsia" w:ascii="宋体" w:hAnsi="宋体"/>
          <w:color w:val="000000"/>
          <w:lang w:val="en-US" w:eastAsia="zh-CN"/>
        </w:rPr>
        <w:t>6</w:t>
      </w:r>
      <w:r>
        <w:rPr>
          <w:rFonts w:hint="eastAsia" w:ascii="宋体" w:hAnsi="宋体"/>
          <w:color w:val="000000"/>
        </w:rPr>
        <w:t>）法律、法规规定的其他情形。</w:t>
      </w:r>
    </w:p>
    <w:p w14:paraId="101D899C">
      <w:pPr>
        <w:spacing w:line="360" w:lineRule="auto"/>
        <w:ind w:firstLine="480"/>
        <w:jc w:val="left"/>
        <w:rPr>
          <w:rFonts w:ascii="宋体" w:hAnsi="宋体"/>
          <w:color w:val="000000"/>
        </w:rPr>
      </w:pPr>
      <w:r>
        <w:rPr>
          <w:rFonts w:hint="eastAsia" w:ascii="宋体" w:hAnsi="宋体"/>
          <w:color w:val="000000"/>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29B2684">
      <w:pPr>
        <w:spacing w:line="360" w:lineRule="auto"/>
        <w:ind w:firstLine="480"/>
        <w:jc w:val="left"/>
        <w:rPr>
          <w:rFonts w:ascii="宋体" w:hAnsi="宋体"/>
          <w:color w:val="000000"/>
        </w:rPr>
      </w:pPr>
      <w:r>
        <w:rPr>
          <w:rFonts w:hint="eastAsia" w:ascii="宋体" w:hAnsi="宋体"/>
          <w:color w:val="000000"/>
        </w:rPr>
        <w:t>（1） 磋商响应文件文字表述的内容含义不明确；</w:t>
      </w:r>
    </w:p>
    <w:p w14:paraId="17A63C7D">
      <w:pPr>
        <w:spacing w:line="360" w:lineRule="auto"/>
        <w:ind w:firstLine="480"/>
        <w:jc w:val="left"/>
        <w:rPr>
          <w:rFonts w:ascii="宋体" w:hAnsi="宋体"/>
          <w:color w:val="000000"/>
        </w:rPr>
      </w:pPr>
      <w:r>
        <w:rPr>
          <w:rFonts w:hint="eastAsia" w:ascii="宋体" w:hAnsi="宋体"/>
          <w:color w:val="000000"/>
        </w:rPr>
        <w:t>（2） 同类问题表述不一致；</w:t>
      </w:r>
    </w:p>
    <w:p w14:paraId="55110446">
      <w:pPr>
        <w:spacing w:line="360" w:lineRule="auto"/>
        <w:ind w:firstLine="480"/>
        <w:jc w:val="left"/>
        <w:rPr>
          <w:rFonts w:ascii="宋体" w:hAnsi="宋体"/>
          <w:color w:val="000000"/>
        </w:rPr>
      </w:pPr>
      <w:r>
        <w:rPr>
          <w:rFonts w:hint="eastAsia" w:ascii="宋体" w:hAnsi="宋体"/>
          <w:color w:val="000000"/>
        </w:rPr>
        <w:t>（3） 有明显文字和计算错误；</w:t>
      </w:r>
    </w:p>
    <w:p w14:paraId="5A43808D">
      <w:pPr>
        <w:spacing w:line="360" w:lineRule="auto"/>
        <w:ind w:firstLine="480"/>
        <w:jc w:val="left"/>
        <w:rPr>
          <w:rFonts w:ascii="宋体" w:hAnsi="宋体"/>
          <w:color w:val="000000"/>
        </w:rPr>
      </w:pPr>
      <w:r>
        <w:rPr>
          <w:rFonts w:hint="eastAsia" w:ascii="宋体" w:hAnsi="宋体"/>
          <w:color w:val="000000"/>
        </w:rPr>
        <w:t>（4） 提供的技术信息和数据资料不完整；</w:t>
      </w:r>
    </w:p>
    <w:p w14:paraId="362A8F87">
      <w:pPr>
        <w:spacing w:line="360" w:lineRule="auto"/>
        <w:ind w:firstLine="480"/>
        <w:jc w:val="left"/>
        <w:rPr>
          <w:rFonts w:ascii="宋体" w:hAnsi="宋体"/>
          <w:color w:val="000000"/>
        </w:rPr>
      </w:pPr>
      <w:r>
        <w:rPr>
          <w:rFonts w:hint="eastAsia" w:ascii="宋体" w:hAnsi="宋体"/>
          <w:color w:val="000000"/>
        </w:rPr>
        <w:t>（5） 磋商</w:t>
      </w:r>
      <w:bookmarkStart w:id="227" w:name="_Toc5058_WPSOffice_Level2"/>
      <w:r>
        <w:rPr>
          <w:rFonts w:hint="eastAsia" w:ascii="宋体" w:hAnsi="宋体"/>
          <w:color w:val="000000"/>
        </w:rPr>
        <w:t>小组认定的其他非实质性偏</w:t>
      </w:r>
      <w:bookmarkEnd w:id="227"/>
      <w:r>
        <w:rPr>
          <w:rFonts w:hint="eastAsia" w:ascii="宋体" w:hAnsi="宋体"/>
          <w:color w:val="000000"/>
        </w:rPr>
        <w:t>离情况。</w:t>
      </w:r>
    </w:p>
    <w:p w14:paraId="3267248E">
      <w:pPr>
        <w:tabs>
          <w:tab w:val="left" w:pos="8787"/>
        </w:tabs>
        <w:spacing w:line="360" w:lineRule="auto"/>
        <w:ind w:firstLine="480"/>
        <w:jc w:val="left"/>
        <w:rPr>
          <w:rFonts w:ascii="宋体" w:hAns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w:t>
      </w:r>
      <w:bookmarkStart w:id="228" w:name="_Toc2994_WPSOffice_Level2"/>
      <w:r>
        <w:rPr>
          <w:rFonts w:hint="eastAsia" w:hAnsi="宋体"/>
          <w:color w:val="000000"/>
        </w:rPr>
        <w:t>提出的质疑做出应</w:t>
      </w:r>
      <w:bookmarkEnd w:id="228"/>
      <w:r>
        <w:rPr>
          <w:rFonts w:hint="eastAsia" w:hAnsi="宋体"/>
          <w:color w:val="000000"/>
        </w:rPr>
        <w:t>答</w:t>
      </w:r>
      <w:bookmarkStart w:id="229" w:name="_Toc1020_WPSOffice_Level3"/>
      <w:r>
        <w:rPr>
          <w:rFonts w:hint="eastAsia" w:hAnsi="宋体"/>
          <w:color w:val="000000"/>
        </w:rPr>
        <w:t>（如不在场则视为</w:t>
      </w:r>
      <w:bookmarkEnd w:id="229"/>
      <w:r>
        <w:rPr>
          <w:rFonts w:hint="eastAsia" w:hAnsi="宋体"/>
          <w:color w:val="000000"/>
        </w:rPr>
        <w:t>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对投标供应商</w:t>
      </w:r>
      <w:r>
        <w:rPr>
          <w:rFonts w:ascii="宋体" w:hAnsi="宋体"/>
          <w:color w:val="000000"/>
        </w:rPr>
        <w:t>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14:paraId="71A1942A">
      <w:pPr>
        <w:autoSpaceDE w:val="0"/>
        <w:autoSpaceDN w:val="0"/>
        <w:adjustRightInd w:val="0"/>
        <w:spacing w:line="360" w:lineRule="auto"/>
        <w:ind w:firstLine="480"/>
        <w:jc w:val="left"/>
        <w:rPr>
          <w:rFonts w:ascii="宋体" w:hAnsi="宋体"/>
          <w:color w:val="000000"/>
        </w:rPr>
      </w:pPr>
      <w:r>
        <w:rPr>
          <w:rFonts w:hint="eastAsia" w:ascii="宋体" w:hAnsi="宋体"/>
          <w:color w:val="000000"/>
        </w:rPr>
        <w:t>17.2.3 在磋商响应文件初审、复审过程中，如果磋商小组成员出现对评审结果有不同意见的，应当以书面形式反映，磋商报告中应注明该不同意见。磋商小组成员拒绝在磋商报告中签字又不</w:t>
      </w:r>
      <w:bookmarkStart w:id="230" w:name="_Toc12605_WPSOffice_Level3"/>
      <w:r>
        <w:rPr>
          <w:rFonts w:hint="eastAsia" w:ascii="宋体" w:hAnsi="宋体"/>
          <w:color w:val="000000"/>
        </w:rPr>
        <w:t>书面说明其不同意见和</w:t>
      </w:r>
      <w:bookmarkEnd w:id="230"/>
      <w:r>
        <w:rPr>
          <w:rFonts w:hint="eastAsia" w:ascii="宋体" w:hAnsi="宋体"/>
          <w:color w:val="000000"/>
        </w:rPr>
        <w:t>理由的，视为同意磋商结果。</w:t>
      </w:r>
    </w:p>
    <w:p w14:paraId="529348E6">
      <w:pPr>
        <w:autoSpaceDE w:val="0"/>
        <w:autoSpaceDN w:val="0"/>
        <w:adjustRightInd w:val="0"/>
        <w:spacing w:line="360" w:lineRule="auto"/>
        <w:ind w:firstLine="480"/>
        <w:jc w:val="left"/>
        <w:rPr>
          <w:rFonts w:ascii="宋体" w:hAnsi="宋体"/>
          <w:color w:val="000000"/>
        </w:rPr>
      </w:pPr>
      <w:r>
        <w:rPr>
          <w:rFonts w:hint="eastAsia" w:ascii="宋体" w:hAnsi="宋体" w:cs="宋体"/>
          <w:color w:val="000000"/>
        </w:rPr>
        <w:t>17.3 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04728C8">
      <w:pPr>
        <w:spacing w:line="360" w:lineRule="auto"/>
        <w:ind w:firstLine="480"/>
        <w:jc w:val="left"/>
        <w:rPr>
          <w:rFonts w:ascii="宋体" w:hAnsi="宋体" w:cs="宋体"/>
          <w:color w:val="000000"/>
        </w:rPr>
      </w:pPr>
      <w:r>
        <w:rPr>
          <w:rFonts w:hint="eastAsia" w:ascii="宋体" w:hAnsi="宋体" w:cs="宋体"/>
          <w:color w:val="000000"/>
        </w:rPr>
        <w:t>17.4比较与评价：磋商小组将按磋商文件中规定的评审办法和标准，对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终报价由低到</w:t>
      </w:r>
      <w:bookmarkStart w:id="231" w:name="_Toc973_WPSOffice_Level3"/>
      <w:r>
        <w:rPr>
          <w:rFonts w:hint="eastAsia" w:ascii="宋体" w:hAnsi="宋体" w:cs="宋体"/>
          <w:color w:val="000000"/>
        </w:rPr>
        <w:t>高顺序排列；得分相同且</w:t>
      </w:r>
      <w:bookmarkEnd w:id="231"/>
      <w:r>
        <w:rPr>
          <w:rFonts w:hint="eastAsia" w:ascii="宋体" w:hAnsi="宋体" w:cs="宋体"/>
          <w:color w:val="000000"/>
        </w:rPr>
        <w:t>最终报价相同的，按管理能力与技术方案得分由高到低顺序排列。</w:t>
      </w:r>
      <w:bookmarkStart w:id="232" w:name="_Toc376936755"/>
      <w:bookmarkStart w:id="233" w:name="_Toc325726024"/>
    </w:p>
    <w:p w14:paraId="7FA6FC0F">
      <w:pPr>
        <w:widowControl/>
        <w:spacing w:before="100" w:beforeAutospacing="1" w:after="100" w:afterAutospacing="1" w:line="360" w:lineRule="auto"/>
        <w:ind w:firstLine="0" w:firstLineChars="0"/>
        <w:jc w:val="left"/>
        <w:rPr>
          <w:rFonts w:ascii="宋体" w:hAnsi="宋体"/>
          <w:b/>
          <w:bCs/>
          <w:kern w:val="0"/>
          <w:sz w:val="27"/>
          <w:szCs w:val="27"/>
        </w:rPr>
      </w:pPr>
      <w:r>
        <w:rPr>
          <w:rFonts w:hint="eastAsia" w:ascii="宋体" w:hAnsi="宋体"/>
          <w:b/>
          <w:bCs/>
          <w:kern w:val="0"/>
          <w:sz w:val="27"/>
          <w:szCs w:val="27"/>
        </w:rPr>
        <w:t>18.评审办法</w:t>
      </w:r>
      <w:bookmarkEnd w:id="232"/>
      <w:bookmarkEnd w:id="233"/>
    </w:p>
    <w:p w14:paraId="6083ABEF">
      <w:pPr>
        <w:spacing w:line="360" w:lineRule="auto"/>
        <w:ind w:firstLine="480"/>
        <w:jc w:val="left"/>
        <w:rPr>
          <w:rFonts w:ascii="宋体" w:hAnsi="宋体"/>
          <w:color w:val="000000"/>
        </w:rPr>
      </w:pPr>
      <w:r>
        <w:rPr>
          <w:rFonts w:hint="eastAsia" w:ascii="宋体" w:hAnsi="宋体"/>
          <w:color w:val="000000"/>
        </w:rPr>
        <w:t>18.1、</w:t>
      </w:r>
      <w:r>
        <w:rPr>
          <w:rFonts w:hint="eastAsia" w:ascii="宋体" w:hAnsi="Cambria" w:cs="宋体"/>
          <w:kern w:val="0"/>
          <w:lang w:val="zh-CN"/>
        </w:rPr>
        <w:t>评</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1ADECFA8">
      <w:pPr>
        <w:spacing w:line="360" w:lineRule="auto"/>
        <w:ind w:firstLine="480"/>
        <w:jc w:val="left"/>
      </w:pPr>
      <w:r>
        <w:rPr>
          <w:rFonts w:hint="eastAsia" w:ascii="宋体" w:hAnsi="宋体"/>
        </w:rPr>
        <w:t>18.2、</w:t>
      </w:r>
      <w:r>
        <w:rPr>
          <w:rFonts w:hint="eastAsia" w:ascii="宋体" w:hAnsi="宋体"/>
          <w:color w:val="000000"/>
        </w:rPr>
        <w:t>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评审内容分为磋商报价（最终报价）、技术水平、节能环保、体系认证、项目管理及售后服务六部分组成（满分100分）。</w:t>
      </w:r>
    </w:p>
    <w:tbl>
      <w:tblPr>
        <w:tblStyle w:val="68"/>
        <w:tblW w:w="8918" w:type="dxa"/>
        <w:jc w:val="center"/>
        <w:tblLayout w:type="fixed"/>
        <w:tblCellMar>
          <w:top w:w="0" w:type="dxa"/>
          <w:left w:w="28" w:type="dxa"/>
          <w:bottom w:w="0" w:type="dxa"/>
          <w:right w:w="28" w:type="dxa"/>
        </w:tblCellMar>
      </w:tblPr>
      <w:tblGrid>
        <w:gridCol w:w="717"/>
        <w:gridCol w:w="1254"/>
        <w:gridCol w:w="6947"/>
      </w:tblGrid>
      <w:tr w14:paraId="7583177D">
        <w:tblPrEx>
          <w:tblCellMar>
            <w:top w:w="0" w:type="dxa"/>
            <w:left w:w="28" w:type="dxa"/>
            <w:bottom w:w="0" w:type="dxa"/>
            <w:right w:w="28" w:type="dxa"/>
          </w:tblCellMar>
        </w:tblPrEx>
        <w:trPr>
          <w:trHeight w:val="475" w:hRule="atLeast"/>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26DB75BB">
            <w:pPr>
              <w:pStyle w:val="62"/>
              <w:widowControl/>
              <w:spacing w:line="360" w:lineRule="auto"/>
              <w:ind w:firstLine="0" w:firstLineChars="0"/>
              <w:jc w:val="center"/>
              <w:rPr>
                <w:rFonts w:cs="宋体"/>
                <w:b/>
                <w:lang w:val="zh-CN"/>
              </w:rPr>
            </w:pPr>
            <w:bookmarkStart w:id="234" w:name="_Toc325726025"/>
            <w:bookmarkStart w:id="235" w:name="_Toc376936756"/>
            <w:bookmarkStart w:id="236" w:name="_Toc10618"/>
            <w:bookmarkStart w:id="237" w:name="_Toc5617_WPSOffice_Level2"/>
            <w:bookmarkStart w:id="238" w:name="_Toc12026"/>
            <w:bookmarkStart w:id="239" w:name="_Toc23797"/>
            <w:bookmarkStart w:id="240" w:name="_Toc3486"/>
            <w:r>
              <w:rPr>
                <w:rFonts w:hint="eastAsia" w:cs="宋体"/>
                <w:b/>
                <w:lang w:val="zh-CN"/>
              </w:rPr>
              <w:t>序号</w:t>
            </w:r>
          </w:p>
        </w:tc>
        <w:tc>
          <w:tcPr>
            <w:tcW w:w="1254" w:type="dxa"/>
            <w:tcBorders>
              <w:top w:val="single" w:color="000000" w:sz="6" w:space="0"/>
              <w:left w:val="single" w:color="000000" w:sz="6" w:space="0"/>
              <w:bottom w:val="single" w:color="000000" w:sz="6" w:space="0"/>
              <w:right w:val="single" w:color="000000" w:sz="6" w:space="0"/>
            </w:tcBorders>
            <w:vAlign w:val="center"/>
          </w:tcPr>
          <w:p w14:paraId="41A4B76E">
            <w:pPr>
              <w:pStyle w:val="62"/>
              <w:widowControl/>
              <w:spacing w:line="360" w:lineRule="auto"/>
              <w:ind w:firstLine="0" w:firstLineChars="0"/>
              <w:jc w:val="center"/>
              <w:rPr>
                <w:rFonts w:cs="宋体"/>
                <w:b/>
                <w:lang w:val="zh-CN"/>
              </w:rPr>
            </w:pPr>
            <w:r>
              <w:rPr>
                <w:rFonts w:hint="eastAsia" w:cs="宋体"/>
                <w:b/>
                <w:lang w:val="zh-CN"/>
              </w:rPr>
              <w:t>评审因素</w:t>
            </w:r>
          </w:p>
        </w:tc>
        <w:tc>
          <w:tcPr>
            <w:tcW w:w="6947" w:type="dxa"/>
            <w:tcBorders>
              <w:top w:val="single" w:color="000000" w:sz="6" w:space="0"/>
              <w:left w:val="single" w:color="000000" w:sz="6" w:space="0"/>
              <w:bottom w:val="single" w:color="000000" w:sz="6" w:space="0"/>
              <w:right w:val="single" w:color="000000" w:sz="6" w:space="0"/>
            </w:tcBorders>
            <w:vAlign w:val="center"/>
          </w:tcPr>
          <w:p w14:paraId="2970581D">
            <w:pPr>
              <w:pStyle w:val="62"/>
              <w:widowControl/>
              <w:spacing w:line="360" w:lineRule="auto"/>
              <w:ind w:firstLine="482"/>
              <w:jc w:val="center"/>
              <w:rPr>
                <w:rFonts w:cs="宋体"/>
                <w:b/>
                <w:lang w:val="zh-CN"/>
              </w:rPr>
            </w:pPr>
            <w:r>
              <w:rPr>
                <w:rFonts w:hint="eastAsia" w:cs="宋体"/>
                <w:b/>
                <w:lang w:val="zh-CN"/>
              </w:rPr>
              <w:t>评审标准</w:t>
            </w:r>
          </w:p>
        </w:tc>
      </w:tr>
      <w:tr w14:paraId="331D67D0">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4C5EB470">
            <w:pPr>
              <w:pStyle w:val="62"/>
              <w:widowControl/>
              <w:spacing w:line="360" w:lineRule="auto"/>
              <w:ind w:firstLine="0" w:firstLineChars="0"/>
              <w:jc w:val="center"/>
              <w:rPr>
                <w:rFonts w:cs="宋体"/>
                <w:b/>
                <w:lang w:val="zh-CN"/>
              </w:rPr>
            </w:pPr>
            <w:r>
              <w:rPr>
                <w:rFonts w:hint="eastAsia" w:cs="宋体"/>
                <w:b/>
                <w:lang w:val="zh-CN"/>
              </w:rPr>
              <w:t>1</w:t>
            </w:r>
          </w:p>
        </w:tc>
        <w:tc>
          <w:tcPr>
            <w:tcW w:w="1254" w:type="dxa"/>
            <w:tcBorders>
              <w:top w:val="single" w:color="000000" w:sz="6" w:space="0"/>
              <w:left w:val="single" w:color="000000" w:sz="6" w:space="0"/>
              <w:bottom w:val="single" w:color="000000" w:sz="6" w:space="0"/>
              <w:right w:val="single" w:color="000000" w:sz="6" w:space="0"/>
            </w:tcBorders>
            <w:vAlign w:val="center"/>
          </w:tcPr>
          <w:p w14:paraId="0C1C0B35">
            <w:pPr>
              <w:pStyle w:val="62"/>
              <w:widowControl/>
              <w:spacing w:line="360" w:lineRule="auto"/>
              <w:ind w:firstLine="0" w:firstLineChars="0"/>
              <w:jc w:val="center"/>
              <w:rPr>
                <w:rFonts w:cs="宋体"/>
                <w:b/>
                <w:lang w:val="zh-CN"/>
              </w:rPr>
            </w:pPr>
            <w:r>
              <w:rPr>
                <w:rFonts w:hint="eastAsia" w:cs="宋体"/>
                <w:b/>
                <w:lang w:val="zh-CN"/>
              </w:rPr>
              <w:t>投标报价</w:t>
            </w:r>
          </w:p>
          <w:p w14:paraId="2CC7C609">
            <w:pPr>
              <w:pStyle w:val="62"/>
              <w:widowControl/>
              <w:spacing w:line="360" w:lineRule="auto"/>
              <w:ind w:firstLine="0" w:firstLineChars="0"/>
              <w:jc w:val="center"/>
              <w:rPr>
                <w:rFonts w:cs="宋体"/>
                <w:b/>
                <w:lang w:val="zh-CN"/>
              </w:rPr>
            </w:pPr>
            <w:r>
              <w:rPr>
                <w:rFonts w:hint="eastAsia" w:cs="宋体"/>
                <w:b/>
                <w:lang w:val="zh-CN"/>
              </w:rPr>
              <w:t>(30分)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7561C3CE">
            <w:pPr>
              <w:pStyle w:val="62"/>
              <w:widowControl/>
              <w:spacing w:line="360" w:lineRule="auto"/>
              <w:ind w:firstLine="0" w:firstLineChars="0"/>
              <w:jc w:val="both"/>
              <w:rPr>
                <w:rFonts w:cs="宋体"/>
                <w:lang w:val="zh-CN"/>
              </w:rPr>
            </w:pPr>
            <w:r>
              <w:rPr>
                <w:rFonts w:hint="eastAsia" w:cs="宋体"/>
                <w:b/>
                <w:lang w:val="zh-CN"/>
              </w:rPr>
              <w:t>投标报价(30分)：</w:t>
            </w:r>
            <w:r>
              <w:rPr>
                <w:rFonts w:hint="eastAsia" w:cs="宋体"/>
                <w:lang w:val="zh-CN"/>
              </w:rPr>
              <w:t>在所有的有效响应报价中，以最低响应报价为基准价，其价格分为满分。其他响应单位的报价分统一按下列公式计算：响应报价得分=(评标基准价／响应报价)×价格权值（30%）×100（四舍五入后保留小数点后两位）。注：根据《政府采购促进中小企业发展暂行办法》的相关规定，对小型和微型企业制造（生产）产品的价格给予</w:t>
            </w:r>
            <w:r>
              <w:rPr>
                <w:rFonts w:hint="eastAsia" w:cs="宋体"/>
              </w:rPr>
              <w:t>10</w:t>
            </w:r>
            <w:r>
              <w:rPr>
                <w:rFonts w:hint="eastAsia" w:cs="宋体"/>
                <w:lang w:val="zh-CN"/>
              </w:rPr>
              <w:t>%的扣除，用扣除后的价格计算评标基准价和投标报价。残疾人福利性单位属于小型、微型企业的，不重复享受政策。执行国家统一定价标准和采用固定价格采购的项目，其价格不列为评审因素。</w:t>
            </w:r>
          </w:p>
        </w:tc>
      </w:tr>
      <w:tr w14:paraId="0A35504A">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5DE459A6">
            <w:pPr>
              <w:pStyle w:val="62"/>
              <w:widowControl/>
              <w:spacing w:line="360" w:lineRule="auto"/>
              <w:ind w:firstLine="0" w:firstLineChars="0"/>
              <w:jc w:val="center"/>
              <w:rPr>
                <w:rFonts w:cs="宋体"/>
                <w:b/>
                <w:lang w:val="zh-CN"/>
              </w:rPr>
            </w:pPr>
            <w:r>
              <w:rPr>
                <w:rFonts w:hint="eastAsia" w:cs="宋体"/>
                <w:b/>
                <w:lang w:val="zh-CN"/>
              </w:rPr>
              <w:t>2</w:t>
            </w:r>
          </w:p>
        </w:tc>
        <w:tc>
          <w:tcPr>
            <w:tcW w:w="1254" w:type="dxa"/>
            <w:tcBorders>
              <w:top w:val="single" w:color="000000" w:sz="6" w:space="0"/>
              <w:left w:val="single" w:color="000000" w:sz="6" w:space="0"/>
              <w:bottom w:val="single" w:color="000000" w:sz="6" w:space="0"/>
              <w:right w:val="single" w:color="000000" w:sz="6" w:space="0"/>
            </w:tcBorders>
            <w:vAlign w:val="center"/>
          </w:tcPr>
          <w:p w14:paraId="583C3922">
            <w:pPr>
              <w:pStyle w:val="62"/>
              <w:widowControl/>
              <w:spacing w:line="360" w:lineRule="auto"/>
              <w:ind w:firstLine="0" w:firstLineChars="0"/>
              <w:jc w:val="center"/>
              <w:rPr>
                <w:rFonts w:cs="宋体"/>
                <w:b/>
                <w:lang w:val="zh-CN"/>
              </w:rPr>
            </w:pPr>
            <w:r>
              <w:rPr>
                <w:rFonts w:hint="eastAsia" w:cs="宋体"/>
                <w:b/>
                <w:lang w:val="zh-CN"/>
              </w:rPr>
              <w:t>技术水平</w:t>
            </w:r>
          </w:p>
          <w:p w14:paraId="3E4356AA">
            <w:pPr>
              <w:pStyle w:val="62"/>
              <w:widowControl/>
              <w:spacing w:line="360" w:lineRule="auto"/>
              <w:ind w:firstLine="0" w:firstLineChars="0"/>
              <w:jc w:val="center"/>
              <w:rPr>
                <w:rFonts w:cs="宋体"/>
                <w:b/>
                <w:lang w:val="zh-CN"/>
              </w:rPr>
            </w:pPr>
            <w:r>
              <w:rPr>
                <w:rFonts w:hint="eastAsia" w:cs="宋体"/>
                <w:b/>
                <w:lang w:val="zh-CN"/>
              </w:rPr>
              <w:t>（</w:t>
            </w:r>
            <w:r>
              <w:rPr>
                <w:rFonts w:hint="eastAsia" w:cs="宋体"/>
                <w:b/>
              </w:rPr>
              <w:t>3</w:t>
            </w:r>
            <w:r>
              <w:rPr>
                <w:rFonts w:hint="eastAsia" w:cs="宋体"/>
                <w:b/>
                <w:lang w:val="en-US" w:eastAsia="zh-CN"/>
              </w:rPr>
              <w:t>3</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61BA4F88">
            <w:pPr>
              <w:spacing w:line="360" w:lineRule="auto"/>
              <w:ind w:firstLine="0" w:firstLineChars="0"/>
              <w:rPr>
                <w:rFonts w:cs="宋体"/>
              </w:rPr>
            </w:pPr>
            <w:r>
              <w:rPr>
                <w:rFonts w:hint="eastAsia"/>
                <w:b/>
                <w:bCs/>
                <w:lang w:val="zh-CN"/>
              </w:rPr>
              <w:t>技术参数（</w:t>
            </w:r>
            <w:r>
              <w:rPr>
                <w:rFonts w:hint="eastAsia"/>
                <w:b/>
                <w:bCs/>
              </w:rPr>
              <w:t>3</w:t>
            </w:r>
            <w:r>
              <w:rPr>
                <w:rFonts w:hint="eastAsia"/>
                <w:b/>
                <w:bCs/>
                <w:lang w:val="en-US" w:eastAsia="zh-CN"/>
              </w:rPr>
              <w:t>3</w:t>
            </w:r>
            <w:r>
              <w:rPr>
                <w:rFonts w:hint="eastAsia"/>
                <w:b/>
                <w:bCs/>
                <w:lang w:val="zh-CN"/>
              </w:rPr>
              <w:t>分）：</w:t>
            </w:r>
            <w:r>
              <w:rPr>
                <w:rFonts w:hint="eastAsia"/>
                <w:lang w:val="zh-CN"/>
              </w:rPr>
              <w:t>投标产品技术参数和配置完全满足或高于磋商文件要求的，得</w:t>
            </w:r>
            <w:r>
              <w:rPr>
                <w:rFonts w:hint="eastAsia"/>
              </w:rPr>
              <w:t>3</w:t>
            </w:r>
            <w:r>
              <w:rPr>
                <w:rFonts w:hint="eastAsia"/>
                <w:lang w:val="en-US" w:eastAsia="zh-CN"/>
              </w:rPr>
              <w:t>3</w:t>
            </w:r>
            <w:r>
              <w:rPr>
                <w:rFonts w:hint="eastAsia"/>
                <w:lang w:val="zh-CN"/>
              </w:rPr>
              <w:t>分；所投产品技术参数，每有一项负偏离扣</w:t>
            </w:r>
            <w:r>
              <w:rPr>
                <w:rFonts w:hint="eastAsia"/>
              </w:rPr>
              <w:t>3</w:t>
            </w:r>
            <w:r>
              <w:rPr>
                <w:rFonts w:hint="eastAsia"/>
                <w:lang w:val="zh-CN"/>
              </w:rPr>
              <w:t>分，直到扣完为止。（此项评分以产品彩页或检验报告或生产厂家的技术文件等为依据）。</w:t>
            </w:r>
          </w:p>
        </w:tc>
      </w:tr>
      <w:tr w14:paraId="5083BE8B">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340A46C6">
            <w:pPr>
              <w:pStyle w:val="62"/>
              <w:widowControl/>
              <w:spacing w:line="360" w:lineRule="auto"/>
              <w:ind w:firstLine="0" w:firstLineChars="0"/>
              <w:jc w:val="center"/>
              <w:rPr>
                <w:rFonts w:cs="宋体"/>
                <w:b/>
              </w:rPr>
            </w:pPr>
            <w:r>
              <w:rPr>
                <w:rFonts w:hint="eastAsia" w:cs="宋体"/>
                <w:b/>
              </w:rPr>
              <w:t>3</w:t>
            </w:r>
          </w:p>
        </w:tc>
        <w:tc>
          <w:tcPr>
            <w:tcW w:w="1254" w:type="dxa"/>
            <w:tcBorders>
              <w:top w:val="single" w:color="000000" w:sz="6" w:space="0"/>
              <w:left w:val="single" w:color="000000" w:sz="6" w:space="0"/>
              <w:bottom w:val="single" w:color="000000" w:sz="6" w:space="0"/>
              <w:right w:val="single" w:color="000000" w:sz="6" w:space="0"/>
            </w:tcBorders>
            <w:vAlign w:val="center"/>
          </w:tcPr>
          <w:p w14:paraId="3E8A2CCF">
            <w:pPr>
              <w:pStyle w:val="62"/>
              <w:widowControl/>
              <w:spacing w:line="360" w:lineRule="auto"/>
              <w:ind w:firstLine="0" w:firstLineChars="0"/>
              <w:jc w:val="center"/>
              <w:rPr>
                <w:rFonts w:cs="宋体"/>
                <w:b/>
              </w:rPr>
            </w:pPr>
            <w:r>
              <w:rPr>
                <w:rFonts w:hint="eastAsia" w:cs="宋体"/>
                <w:b/>
              </w:rPr>
              <w:t>节能环保</w:t>
            </w:r>
          </w:p>
          <w:p w14:paraId="10C6B392">
            <w:pPr>
              <w:pStyle w:val="62"/>
              <w:widowControl/>
              <w:spacing w:line="360" w:lineRule="auto"/>
              <w:ind w:firstLine="0" w:firstLineChars="0"/>
              <w:jc w:val="center"/>
              <w:rPr>
                <w:rFonts w:cs="宋体"/>
                <w:b/>
              </w:rPr>
            </w:pPr>
            <w:r>
              <w:rPr>
                <w:rFonts w:hint="eastAsia" w:cs="宋体"/>
                <w:b/>
              </w:rPr>
              <w:t>（2分）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40F08707">
            <w:pPr>
              <w:widowControl/>
              <w:spacing w:line="360" w:lineRule="auto"/>
              <w:ind w:firstLine="0" w:firstLineChars="0"/>
              <w:jc w:val="left"/>
              <w:rPr>
                <w:rFonts w:hint="default" w:eastAsia="宋体"/>
                <w:b/>
                <w:bCs/>
                <w:lang w:val="en-US" w:eastAsia="zh-CN"/>
              </w:rPr>
            </w:pPr>
            <w:r>
              <w:rPr>
                <w:rFonts w:hint="eastAsia"/>
                <w:b/>
                <w:bCs/>
                <w:lang w:val="zh-CN"/>
              </w:rPr>
              <w:t>节能环保（</w:t>
            </w:r>
            <w:r>
              <w:rPr>
                <w:rFonts w:hint="eastAsia"/>
                <w:b/>
                <w:bCs/>
              </w:rPr>
              <w:t>2分</w:t>
            </w:r>
            <w:r>
              <w:rPr>
                <w:rFonts w:hint="eastAsia"/>
                <w:b/>
                <w:bCs/>
                <w:lang w:val="zh-CN"/>
              </w:rPr>
              <w:t>）：</w:t>
            </w:r>
            <w:r>
              <w:rPr>
                <w:rFonts w:hint="eastAsia" w:ascii="宋体" w:hAnsi="宋体" w:cs="宋体"/>
                <w:color w:val="000000"/>
                <w:kern w:val="0"/>
                <w:lang w:bidi="ar"/>
              </w:rPr>
              <w:t xml:space="preserve">所投产品为节能产品，每提供1份得0.5分，满分1分，加满为止；所投产品为环保产品，每提供 1 份得0.5分，满分1分，加满为止；未提供不得分。 </w:t>
            </w:r>
            <w:r>
              <w:rPr>
                <w:rFonts w:hint="eastAsia" w:ascii="宋体" w:hAnsi="宋体" w:cs="宋体"/>
                <w:color w:val="auto"/>
                <w:kern w:val="0"/>
                <w:lang w:val="en-US" w:eastAsia="zh-CN" w:bidi="ar"/>
              </w:rPr>
              <w:t>投标人需提供财政部、发展改革委、生态环境部等部门提供的品目清单和认证证书。</w:t>
            </w:r>
          </w:p>
        </w:tc>
      </w:tr>
      <w:tr w14:paraId="223EAFD3">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70DF71C8">
            <w:pPr>
              <w:pStyle w:val="62"/>
              <w:widowControl/>
              <w:spacing w:line="360" w:lineRule="auto"/>
              <w:ind w:firstLine="0" w:firstLineChars="0"/>
              <w:jc w:val="center"/>
              <w:rPr>
                <w:rFonts w:hint="eastAsia" w:eastAsia="宋体" w:cs="宋体"/>
                <w:b/>
                <w:lang w:eastAsia="zh-CN"/>
              </w:rPr>
            </w:pPr>
            <w:r>
              <w:rPr>
                <w:rFonts w:hint="eastAsia" w:cs="宋体"/>
                <w:b/>
                <w:lang w:val="en-US" w:eastAsia="zh-CN"/>
              </w:rPr>
              <w:t>4</w:t>
            </w:r>
          </w:p>
        </w:tc>
        <w:tc>
          <w:tcPr>
            <w:tcW w:w="1254" w:type="dxa"/>
            <w:tcBorders>
              <w:top w:val="single" w:color="000000" w:sz="6" w:space="0"/>
              <w:left w:val="single" w:color="000000" w:sz="6" w:space="0"/>
              <w:bottom w:val="single" w:color="000000" w:sz="6" w:space="0"/>
              <w:right w:val="single" w:color="000000" w:sz="6" w:space="0"/>
            </w:tcBorders>
            <w:vAlign w:val="center"/>
          </w:tcPr>
          <w:p w14:paraId="315967AF">
            <w:pPr>
              <w:pStyle w:val="62"/>
              <w:widowControl/>
              <w:spacing w:line="360" w:lineRule="auto"/>
              <w:ind w:firstLine="0" w:firstLineChars="0"/>
              <w:jc w:val="center"/>
              <w:rPr>
                <w:rFonts w:cs="宋体"/>
                <w:b/>
              </w:rPr>
            </w:pPr>
            <w:r>
              <w:rPr>
                <w:rFonts w:hint="eastAsia" w:cs="宋体"/>
                <w:b/>
                <w:bCs/>
                <w:lang w:val="zh-CN"/>
              </w:rPr>
              <w:t>类似业绩情况（</w:t>
            </w:r>
            <w:r>
              <w:rPr>
                <w:rFonts w:hint="eastAsia" w:cs="宋体"/>
                <w:b/>
                <w:bCs/>
              </w:rPr>
              <w:t>10</w:t>
            </w:r>
            <w:r>
              <w:rPr>
                <w:rFonts w:hint="eastAsia" w:cs="宋体"/>
                <w:b/>
                <w:bCs/>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005EFDDE">
            <w:pPr>
              <w:pStyle w:val="62"/>
              <w:widowControl/>
              <w:spacing w:line="360" w:lineRule="auto"/>
              <w:ind w:firstLine="0" w:firstLineChars="0"/>
              <w:jc w:val="both"/>
              <w:rPr>
                <w:b/>
                <w:bCs/>
                <w:lang w:val="zh-CN"/>
              </w:rPr>
            </w:pPr>
            <w:r>
              <w:rPr>
                <w:rFonts w:hint="eastAsia" w:cs="宋体"/>
                <w:b/>
                <w:bCs/>
                <w:lang w:val="zh-CN"/>
              </w:rPr>
              <w:t>类似业绩情况（</w:t>
            </w:r>
            <w:r>
              <w:rPr>
                <w:rFonts w:hint="eastAsia" w:cs="宋体"/>
                <w:b/>
                <w:bCs/>
              </w:rPr>
              <w:t>10</w:t>
            </w:r>
            <w:r>
              <w:rPr>
                <w:rFonts w:hint="eastAsia" w:cs="宋体"/>
                <w:b/>
                <w:bCs/>
                <w:lang w:val="zh-CN"/>
              </w:rPr>
              <w:t>分）</w:t>
            </w:r>
            <w:r>
              <w:rPr>
                <w:rFonts w:hint="eastAsia" w:cs="宋体"/>
                <w:lang w:val="zh-CN"/>
              </w:rPr>
              <w:t>：提供</w:t>
            </w:r>
            <w:r>
              <w:rPr>
                <w:rFonts w:hint="eastAsia" w:cs="宋体"/>
              </w:rPr>
              <w:t>202</w:t>
            </w:r>
            <w:r>
              <w:rPr>
                <w:rFonts w:hint="eastAsia" w:cs="宋体"/>
                <w:lang w:val="en-US" w:eastAsia="zh-CN"/>
              </w:rPr>
              <w:t>2</w:t>
            </w:r>
            <w:r>
              <w:rPr>
                <w:rFonts w:hint="eastAsia" w:cs="宋体"/>
              </w:rPr>
              <w:t>年</w:t>
            </w:r>
            <w:r>
              <w:rPr>
                <w:rFonts w:hint="eastAsia" w:cs="宋体"/>
                <w:lang w:val="en-US" w:eastAsia="zh-CN"/>
              </w:rPr>
              <w:t>以来</w:t>
            </w:r>
            <w:r>
              <w:rPr>
                <w:rFonts w:cs="宋体"/>
                <w:lang w:val="zh-CN"/>
              </w:rPr>
              <w:t>的类似业绩证明材料</w:t>
            </w:r>
            <w:r>
              <w:rPr>
                <w:rFonts w:hint="eastAsia" w:cs="宋体"/>
                <w:lang w:val="zh-CN"/>
              </w:rPr>
              <w:t>，</w:t>
            </w:r>
            <w:r>
              <w:rPr>
                <w:rFonts w:cs="宋体"/>
                <w:lang w:val="zh-CN"/>
              </w:rPr>
              <w:t>需提供</w:t>
            </w:r>
            <w:r>
              <w:rPr>
                <w:rFonts w:hint="eastAsia" w:cs="宋体"/>
                <w:lang w:val="zh-CN"/>
              </w:rPr>
              <w:t>中标通知书</w:t>
            </w:r>
            <w:r>
              <w:rPr>
                <w:rFonts w:hint="eastAsia" w:cs="宋体"/>
              </w:rPr>
              <w:t>和</w:t>
            </w:r>
            <w:r>
              <w:rPr>
                <w:rFonts w:cs="宋体"/>
                <w:lang w:val="zh-CN"/>
              </w:rPr>
              <w:t>合同</w:t>
            </w:r>
            <w:r>
              <w:rPr>
                <w:rFonts w:hint="eastAsia" w:cs="宋体"/>
                <w:lang w:val="zh-CN"/>
              </w:rPr>
              <w:t>（</w:t>
            </w:r>
            <w:r>
              <w:rPr>
                <w:rFonts w:hint="eastAsia" w:cs="宋体"/>
              </w:rPr>
              <w:t>合同包含</w:t>
            </w:r>
            <w:r>
              <w:rPr>
                <w:rFonts w:cs="宋体"/>
                <w:lang w:val="zh-CN"/>
              </w:rPr>
              <w:t>首页、标的及金额所在页、供货合同签字盖章页</w:t>
            </w:r>
            <w:r>
              <w:rPr>
                <w:rFonts w:hint="eastAsia" w:cs="宋体"/>
                <w:lang w:val="zh-CN"/>
              </w:rPr>
              <w:t>）；</w:t>
            </w:r>
            <w:r>
              <w:rPr>
                <w:rFonts w:cs="宋体"/>
                <w:lang w:val="zh-CN"/>
              </w:rPr>
              <w:t>每提供1项得</w:t>
            </w:r>
            <w:r>
              <w:rPr>
                <w:rFonts w:hint="eastAsia" w:cs="宋体"/>
              </w:rPr>
              <w:t>2</w:t>
            </w:r>
            <w:r>
              <w:rPr>
                <w:rFonts w:cs="宋体"/>
                <w:lang w:val="zh-CN"/>
              </w:rPr>
              <w:t>分,满分</w:t>
            </w:r>
            <w:r>
              <w:rPr>
                <w:rFonts w:hint="eastAsia" w:cs="宋体"/>
              </w:rPr>
              <w:t>10</w:t>
            </w:r>
            <w:r>
              <w:rPr>
                <w:rFonts w:cs="宋体"/>
                <w:lang w:val="zh-CN"/>
              </w:rPr>
              <w:t>分；不提供或提供不完整不得分</w:t>
            </w:r>
            <w:r>
              <w:rPr>
                <w:rFonts w:hint="eastAsia" w:cs="宋体"/>
                <w:lang w:val="zh-CN"/>
              </w:rPr>
              <w:t>。</w:t>
            </w:r>
          </w:p>
        </w:tc>
      </w:tr>
      <w:tr w14:paraId="3A1F1C7B">
        <w:tblPrEx>
          <w:tblCellMar>
            <w:top w:w="0" w:type="dxa"/>
            <w:left w:w="28" w:type="dxa"/>
            <w:bottom w:w="0" w:type="dxa"/>
            <w:right w:w="28" w:type="dxa"/>
          </w:tblCellMar>
        </w:tblPrEx>
        <w:trPr>
          <w:jc w:val="center"/>
        </w:trPr>
        <w:tc>
          <w:tcPr>
            <w:tcW w:w="717" w:type="dxa"/>
            <w:vMerge w:val="restart"/>
            <w:tcBorders>
              <w:top w:val="single" w:color="000000" w:sz="6" w:space="0"/>
              <w:left w:val="single" w:color="000000" w:sz="6" w:space="0"/>
              <w:right w:val="single" w:color="000000" w:sz="6" w:space="0"/>
            </w:tcBorders>
            <w:vAlign w:val="center"/>
          </w:tcPr>
          <w:p w14:paraId="1D261719">
            <w:pPr>
              <w:pStyle w:val="62"/>
              <w:widowControl/>
              <w:spacing w:line="360" w:lineRule="auto"/>
              <w:ind w:firstLine="0" w:firstLineChars="0"/>
              <w:jc w:val="center"/>
              <w:rPr>
                <w:rFonts w:hint="eastAsia" w:eastAsia="宋体" w:cs="宋体"/>
                <w:b/>
                <w:lang w:val="zh-CN" w:eastAsia="zh-CN"/>
              </w:rPr>
            </w:pPr>
            <w:r>
              <w:rPr>
                <w:rFonts w:hint="eastAsia" w:cs="宋体"/>
                <w:b/>
                <w:lang w:val="en-US" w:eastAsia="zh-CN"/>
              </w:rPr>
              <w:t>5</w:t>
            </w:r>
          </w:p>
        </w:tc>
        <w:tc>
          <w:tcPr>
            <w:tcW w:w="1254" w:type="dxa"/>
            <w:vMerge w:val="restart"/>
            <w:tcBorders>
              <w:top w:val="single" w:color="000000" w:sz="6" w:space="0"/>
              <w:left w:val="single" w:color="000000" w:sz="6" w:space="0"/>
              <w:right w:val="single" w:color="000000" w:sz="6" w:space="0"/>
            </w:tcBorders>
            <w:vAlign w:val="center"/>
          </w:tcPr>
          <w:p w14:paraId="28C78A63">
            <w:pPr>
              <w:pStyle w:val="62"/>
              <w:widowControl/>
              <w:spacing w:line="360" w:lineRule="auto"/>
              <w:ind w:firstLine="0" w:firstLineChars="0"/>
              <w:jc w:val="center"/>
              <w:rPr>
                <w:rFonts w:cs="宋体"/>
                <w:b/>
                <w:lang w:val="zh-CN"/>
              </w:rPr>
            </w:pPr>
            <w:r>
              <w:rPr>
                <w:rFonts w:hint="eastAsia" w:ascii="宋体" w:hAnsi="宋体"/>
                <w:b/>
                <w:bCs/>
              </w:rPr>
              <w:t>项目管理及实施方案</w:t>
            </w:r>
            <w:r>
              <w:rPr>
                <w:rFonts w:hint="eastAsia" w:cs="宋体"/>
                <w:b/>
                <w:lang w:val="zh-CN"/>
              </w:rPr>
              <w:t>(</w:t>
            </w:r>
            <w:r>
              <w:rPr>
                <w:rFonts w:hint="eastAsia" w:cs="宋体"/>
                <w:b/>
              </w:rPr>
              <w:t>15</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5EDB0B9E">
            <w:pPr>
              <w:pStyle w:val="62"/>
              <w:widowControl/>
              <w:spacing w:line="360" w:lineRule="auto"/>
              <w:ind w:firstLine="0" w:firstLineChars="0"/>
              <w:rPr>
                <w:rFonts w:cs="宋体"/>
                <w:lang w:val="zh-CN"/>
              </w:rPr>
            </w:pPr>
          </w:p>
        </w:tc>
      </w:tr>
      <w:tr w14:paraId="160D269C">
        <w:tblPrEx>
          <w:tblCellMar>
            <w:top w:w="0" w:type="dxa"/>
            <w:left w:w="28" w:type="dxa"/>
            <w:bottom w:w="0" w:type="dxa"/>
            <w:right w:w="28" w:type="dxa"/>
          </w:tblCellMar>
        </w:tblPrEx>
        <w:trPr>
          <w:trHeight w:val="798" w:hRule="atLeast"/>
          <w:jc w:val="center"/>
        </w:trPr>
        <w:tc>
          <w:tcPr>
            <w:tcW w:w="717" w:type="dxa"/>
            <w:vMerge w:val="continue"/>
            <w:tcBorders>
              <w:left w:val="single" w:color="000000" w:sz="6" w:space="0"/>
              <w:right w:val="single" w:color="000000" w:sz="6" w:space="0"/>
            </w:tcBorders>
            <w:vAlign w:val="center"/>
          </w:tcPr>
          <w:p w14:paraId="04AF8AE0">
            <w:pPr>
              <w:pStyle w:val="62"/>
              <w:widowControl/>
              <w:spacing w:line="360" w:lineRule="auto"/>
              <w:ind w:firstLine="0" w:firstLineChars="0"/>
              <w:jc w:val="center"/>
              <w:rPr>
                <w:rFonts w:hint="eastAsia" w:cs="宋体"/>
                <w:b/>
                <w:lang w:val="en-US" w:eastAsia="zh-CN"/>
              </w:rPr>
            </w:pPr>
          </w:p>
        </w:tc>
        <w:tc>
          <w:tcPr>
            <w:tcW w:w="1254" w:type="dxa"/>
            <w:vMerge w:val="continue"/>
            <w:tcBorders>
              <w:left w:val="single" w:color="000000" w:sz="6" w:space="0"/>
              <w:right w:val="single" w:color="000000" w:sz="6" w:space="0"/>
            </w:tcBorders>
            <w:vAlign w:val="center"/>
          </w:tcPr>
          <w:p w14:paraId="2550B9C3">
            <w:pPr>
              <w:pStyle w:val="62"/>
              <w:widowControl/>
              <w:spacing w:line="360" w:lineRule="auto"/>
              <w:ind w:firstLine="0" w:firstLineChars="0"/>
              <w:jc w:val="center"/>
              <w:rPr>
                <w:rFonts w:hint="eastAsia" w:ascii="宋体" w:hAnsi="宋体"/>
                <w:b/>
                <w:bCs/>
              </w:rPr>
            </w:pPr>
          </w:p>
        </w:tc>
        <w:tc>
          <w:tcPr>
            <w:tcW w:w="6947" w:type="dxa"/>
            <w:tcBorders>
              <w:top w:val="single" w:color="000000" w:sz="6" w:space="0"/>
              <w:left w:val="single" w:color="000000" w:sz="6" w:space="0"/>
              <w:bottom w:val="single" w:color="000000" w:sz="6" w:space="0"/>
              <w:right w:val="single" w:color="000000" w:sz="6" w:space="0"/>
            </w:tcBorders>
            <w:vAlign w:val="center"/>
          </w:tcPr>
          <w:p w14:paraId="6F12F5FF">
            <w:pPr>
              <w:snapToGrid w:val="0"/>
              <w:spacing w:line="360" w:lineRule="auto"/>
              <w:ind w:firstLine="0" w:firstLineChars="0"/>
              <w:jc w:val="left"/>
              <w:rPr>
                <w:rFonts w:ascii="宋体" w:hAnsi="宋体"/>
              </w:rPr>
            </w:pPr>
            <w:r>
              <w:rPr>
                <w:rFonts w:hint="eastAsia" w:ascii="宋体" w:hAnsi="宋体"/>
              </w:rPr>
              <w:t>设置了项目管理机构，并且有科学、具体的项目管理措施，内容包含：实施计划、实施团队、实施进度、质量控制措施、</w:t>
            </w:r>
            <w:r>
              <w:rPr>
                <w:rFonts w:hint="eastAsia" w:ascii="宋体" w:hAnsi="宋体"/>
                <w:lang w:val="zh-CN"/>
              </w:rPr>
              <w:t>安全保障措施</w:t>
            </w:r>
            <w:r>
              <w:rPr>
                <w:rFonts w:hint="eastAsia" w:ascii="宋体" w:hAnsi="宋体"/>
              </w:rPr>
              <w:t>。</w:t>
            </w:r>
          </w:p>
          <w:p w14:paraId="25758D22">
            <w:pPr>
              <w:snapToGrid w:val="0"/>
              <w:spacing w:line="360" w:lineRule="auto"/>
              <w:ind w:firstLine="0" w:firstLineChars="0"/>
              <w:jc w:val="left"/>
              <w:rPr>
                <w:rFonts w:hint="default" w:ascii="宋体" w:hAnsi="宋体" w:eastAsia="宋体"/>
                <w:lang w:val="en-US" w:eastAsia="zh-CN"/>
              </w:rPr>
            </w:pPr>
            <w:r>
              <w:rPr>
                <w:rFonts w:hint="eastAsia" w:ascii="宋体" w:hAnsi="宋体"/>
                <w:lang w:val="zh-CN"/>
              </w:rPr>
              <w:t>（</w:t>
            </w:r>
            <w:r>
              <w:rPr>
                <w:rFonts w:hint="eastAsia" w:ascii="宋体" w:hAnsi="宋体"/>
              </w:rPr>
              <w:t>1</w:t>
            </w:r>
            <w:r>
              <w:rPr>
                <w:rFonts w:hint="eastAsia" w:ascii="宋体" w:hAnsi="宋体"/>
                <w:lang w:val="zh-CN"/>
              </w:rPr>
              <w:t>）实施计划：包含项目规划、项目实施、项目验收，内容完整可行，完全符合或优于本项目实际需求的得</w:t>
            </w:r>
            <w:r>
              <w:rPr>
                <w:rFonts w:hint="eastAsia" w:ascii="宋体" w:hAnsi="宋体"/>
              </w:rPr>
              <w:t>3</w:t>
            </w:r>
            <w:r>
              <w:rPr>
                <w:rFonts w:hint="eastAsia" w:ascii="宋体" w:hAnsi="宋体"/>
                <w:lang w:val="zh-CN"/>
              </w:rPr>
              <w:t>分；</w:t>
            </w:r>
            <w:r>
              <w:rPr>
                <w:rFonts w:hint="eastAsia" w:ascii="宋体" w:hAnsi="宋体"/>
              </w:rPr>
              <w:t>表述不清楚、针对性不强、逻辑不清晰的扣1</w:t>
            </w:r>
            <w:r>
              <w:rPr>
                <w:rFonts w:hint="eastAsia" w:ascii="宋体" w:hAnsi="宋体"/>
                <w:lang w:val="en-US" w:eastAsia="zh-CN"/>
              </w:rPr>
              <w:t>.5</w:t>
            </w:r>
            <w:r>
              <w:rPr>
                <w:rFonts w:hint="eastAsia" w:ascii="宋体" w:hAnsi="宋体"/>
              </w:rPr>
              <w:t>分，</w:t>
            </w:r>
            <w:r>
              <w:rPr>
                <w:rFonts w:hint="eastAsia" w:ascii="宋体" w:hAnsi="宋体"/>
                <w:lang w:val="en-US" w:eastAsia="zh-CN"/>
              </w:rPr>
              <w:t>未提供的不得分。</w:t>
            </w:r>
          </w:p>
        </w:tc>
      </w:tr>
      <w:tr w14:paraId="2899EA3B">
        <w:tblPrEx>
          <w:tblCellMar>
            <w:top w:w="0" w:type="dxa"/>
            <w:left w:w="28" w:type="dxa"/>
            <w:bottom w:w="0" w:type="dxa"/>
            <w:right w:w="28" w:type="dxa"/>
          </w:tblCellMar>
        </w:tblPrEx>
        <w:trPr>
          <w:trHeight w:val="798" w:hRule="atLeast"/>
          <w:jc w:val="center"/>
        </w:trPr>
        <w:tc>
          <w:tcPr>
            <w:tcW w:w="717" w:type="dxa"/>
            <w:vMerge w:val="continue"/>
            <w:tcBorders>
              <w:left w:val="single" w:color="000000" w:sz="6" w:space="0"/>
              <w:right w:val="single" w:color="000000" w:sz="6" w:space="0"/>
            </w:tcBorders>
            <w:vAlign w:val="center"/>
          </w:tcPr>
          <w:p w14:paraId="018C3EB8">
            <w:pPr>
              <w:pStyle w:val="62"/>
              <w:widowControl/>
              <w:spacing w:line="360" w:lineRule="auto"/>
              <w:ind w:firstLine="0" w:firstLineChars="0"/>
              <w:jc w:val="center"/>
              <w:rPr>
                <w:rFonts w:hint="eastAsia" w:cs="宋体"/>
                <w:b/>
                <w:lang w:val="en-US" w:eastAsia="zh-CN"/>
              </w:rPr>
            </w:pPr>
          </w:p>
        </w:tc>
        <w:tc>
          <w:tcPr>
            <w:tcW w:w="1254" w:type="dxa"/>
            <w:vMerge w:val="continue"/>
            <w:tcBorders>
              <w:left w:val="single" w:color="000000" w:sz="6" w:space="0"/>
              <w:right w:val="single" w:color="000000" w:sz="6" w:space="0"/>
            </w:tcBorders>
            <w:vAlign w:val="center"/>
          </w:tcPr>
          <w:p w14:paraId="09D7B6C0">
            <w:pPr>
              <w:pStyle w:val="62"/>
              <w:widowControl/>
              <w:spacing w:line="360" w:lineRule="auto"/>
              <w:ind w:firstLine="0" w:firstLineChars="0"/>
              <w:jc w:val="center"/>
              <w:rPr>
                <w:rFonts w:hint="eastAsia" w:ascii="宋体" w:hAnsi="宋体"/>
                <w:b/>
                <w:bCs/>
              </w:rPr>
            </w:pPr>
          </w:p>
        </w:tc>
        <w:tc>
          <w:tcPr>
            <w:tcW w:w="6947" w:type="dxa"/>
            <w:tcBorders>
              <w:top w:val="single" w:color="000000" w:sz="6" w:space="0"/>
              <w:left w:val="single" w:color="000000" w:sz="6" w:space="0"/>
              <w:bottom w:val="single" w:color="000000" w:sz="6" w:space="0"/>
              <w:right w:val="single" w:color="000000" w:sz="6" w:space="0"/>
            </w:tcBorders>
            <w:vAlign w:val="center"/>
          </w:tcPr>
          <w:p w14:paraId="6D40998B">
            <w:pPr>
              <w:snapToGrid w:val="0"/>
              <w:spacing w:line="360" w:lineRule="auto"/>
              <w:ind w:firstLine="0" w:firstLineChars="0"/>
              <w:jc w:val="left"/>
              <w:rPr>
                <w:rFonts w:hint="eastAsia" w:ascii="宋体" w:hAnsi="宋体" w:eastAsia="宋体"/>
                <w:lang w:val="zh-CN" w:eastAsia="zh-CN"/>
              </w:rPr>
            </w:pPr>
            <w:r>
              <w:rPr>
                <w:rFonts w:hint="eastAsia" w:ascii="宋体" w:hAnsi="宋体"/>
                <w:lang w:val="zh-CN"/>
              </w:rPr>
              <w:t>（</w:t>
            </w:r>
            <w:r>
              <w:rPr>
                <w:rFonts w:hint="eastAsia" w:ascii="宋体" w:hAnsi="宋体"/>
              </w:rPr>
              <w:t>2</w:t>
            </w:r>
            <w:r>
              <w:rPr>
                <w:rFonts w:hint="eastAsia" w:ascii="宋体" w:hAnsi="宋体"/>
                <w:lang w:val="zh-CN"/>
              </w:rPr>
              <w:t>）实施团队：包含针对本项目机构设置、人员技术水平（技术人员相关证书）、人员联系方式等，完全符合或优于本项目实际需求的得</w:t>
            </w:r>
            <w:r>
              <w:rPr>
                <w:rFonts w:hint="eastAsia" w:ascii="宋体" w:hAnsi="宋体"/>
              </w:rPr>
              <w:t>3</w:t>
            </w:r>
            <w:r>
              <w:rPr>
                <w:rFonts w:hint="eastAsia" w:ascii="宋体" w:hAnsi="宋体"/>
                <w:lang w:val="zh-CN"/>
              </w:rPr>
              <w:t>分；</w:t>
            </w:r>
            <w:r>
              <w:rPr>
                <w:rFonts w:hint="eastAsia" w:ascii="宋体" w:hAnsi="宋体"/>
              </w:rPr>
              <w:t>表述不清楚、针对性不强、逻辑不清晰的扣1</w:t>
            </w:r>
            <w:r>
              <w:rPr>
                <w:rFonts w:hint="eastAsia" w:ascii="宋体" w:hAnsi="宋体"/>
                <w:lang w:val="en-US" w:eastAsia="zh-CN"/>
              </w:rPr>
              <w:t>.5</w:t>
            </w:r>
            <w:r>
              <w:rPr>
                <w:rFonts w:hint="eastAsia" w:ascii="宋体" w:hAnsi="宋体"/>
              </w:rPr>
              <w:t>分</w:t>
            </w:r>
            <w:r>
              <w:rPr>
                <w:rFonts w:hint="eastAsia" w:ascii="宋体" w:hAnsi="宋体"/>
                <w:lang w:eastAsia="zh-CN"/>
              </w:rPr>
              <w:t>，</w:t>
            </w:r>
            <w:r>
              <w:rPr>
                <w:rFonts w:hint="eastAsia" w:ascii="宋体" w:hAnsi="宋体"/>
                <w:lang w:val="en-US" w:eastAsia="zh-CN"/>
              </w:rPr>
              <w:t>未提供的不得分。</w:t>
            </w:r>
          </w:p>
        </w:tc>
      </w:tr>
      <w:tr w14:paraId="0E4C581B">
        <w:tblPrEx>
          <w:tblCellMar>
            <w:top w:w="0" w:type="dxa"/>
            <w:left w:w="28" w:type="dxa"/>
            <w:bottom w:w="0" w:type="dxa"/>
            <w:right w:w="28" w:type="dxa"/>
          </w:tblCellMar>
        </w:tblPrEx>
        <w:trPr>
          <w:trHeight w:val="798" w:hRule="atLeast"/>
          <w:jc w:val="center"/>
        </w:trPr>
        <w:tc>
          <w:tcPr>
            <w:tcW w:w="717" w:type="dxa"/>
            <w:vMerge w:val="continue"/>
            <w:tcBorders>
              <w:left w:val="single" w:color="000000" w:sz="6" w:space="0"/>
              <w:right w:val="single" w:color="000000" w:sz="6" w:space="0"/>
            </w:tcBorders>
            <w:vAlign w:val="center"/>
          </w:tcPr>
          <w:p w14:paraId="7A70A299">
            <w:pPr>
              <w:pStyle w:val="62"/>
              <w:widowControl/>
              <w:spacing w:line="360" w:lineRule="auto"/>
              <w:ind w:firstLine="0" w:firstLineChars="0"/>
              <w:jc w:val="center"/>
              <w:rPr>
                <w:rFonts w:hint="eastAsia" w:cs="宋体"/>
                <w:b/>
                <w:lang w:val="en-US" w:eastAsia="zh-CN"/>
              </w:rPr>
            </w:pPr>
          </w:p>
        </w:tc>
        <w:tc>
          <w:tcPr>
            <w:tcW w:w="1254" w:type="dxa"/>
            <w:vMerge w:val="continue"/>
            <w:tcBorders>
              <w:left w:val="single" w:color="000000" w:sz="6" w:space="0"/>
              <w:right w:val="single" w:color="000000" w:sz="6" w:space="0"/>
            </w:tcBorders>
            <w:vAlign w:val="center"/>
          </w:tcPr>
          <w:p w14:paraId="11B25F44">
            <w:pPr>
              <w:pStyle w:val="62"/>
              <w:widowControl/>
              <w:spacing w:line="360" w:lineRule="auto"/>
              <w:ind w:firstLine="0" w:firstLineChars="0"/>
              <w:jc w:val="center"/>
              <w:rPr>
                <w:rFonts w:hint="eastAsia" w:ascii="宋体" w:hAnsi="宋体"/>
                <w:b/>
                <w:bCs/>
              </w:rPr>
            </w:pPr>
          </w:p>
        </w:tc>
        <w:tc>
          <w:tcPr>
            <w:tcW w:w="6947" w:type="dxa"/>
            <w:tcBorders>
              <w:top w:val="single" w:color="000000" w:sz="6" w:space="0"/>
              <w:left w:val="single" w:color="000000" w:sz="6" w:space="0"/>
              <w:bottom w:val="single" w:color="000000" w:sz="6" w:space="0"/>
              <w:right w:val="single" w:color="000000" w:sz="6" w:space="0"/>
            </w:tcBorders>
            <w:vAlign w:val="center"/>
          </w:tcPr>
          <w:p w14:paraId="596E656D">
            <w:pPr>
              <w:snapToGrid w:val="0"/>
              <w:spacing w:line="360" w:lineRule="auto"/>
              <w:ind w:firstLine="0" w:firstLineChars="0"/>
              <w:jc w:val="left"/>
              <w:rPr>
                <w:rFonts w:hint="eastAsia"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）实施进度：包含产品准备、安装调试、交付进度安排等，完全符合或优于本项目实际需求的得</w:t>
            </w:r>
            <w:r>
              <w:rPr>
                <w:rFonts w:hint="eastAsia" w:ascii="宋体" w:hAnsi="宋体"/>
              </w:rPr>
              <w:t>3</w:t>
            </w:r>
            <w:r>
              <w:rPr>
                <w:rFonts w:hint="eastAsia" w:ascii="宋体" w:hAnsi="宋体"/>
                <w:lang w:val="zh-CN"/>
              </w:rPr>
              <w:t>分；</w:t>
            </w:r>
            <w:r>
              <w:rPr>
                <w:rFonts w:hint="eastAsia" w:ascii="宋体" w:hAnsi="宋体"/>
              </w:rPr>
              <w:t>表述不清楚、针对性不强、逻辑不清晰的扣1</w:t>
            </w:r>
            <w:r>
              <w:rPr>
                <w:rFonts w:hint="eastAsia" w:ascii="宋体" w:hAnsi="宋体"/>
                <w:lang w:val="en-US" w:eastAsia="zh-CN"/>
              </w:rPr>
              <w:t>.5</w:t>
            </w:r>
            <w:r>
              <w:rPr>
                <w:rFonts w:hint="eastAsia" w:ascii="宋体" w:hAnsi="宋体"/>
              </w:rPr>
              <w:t>分，</w:t>
            </w:r>
            <w:r>
              <w:rPr>
                <w:rFonts w:hint="eastAsia" w:ascii="宋体" w:hAnsi="宋体"/>
                <w:lang w:val="en-US" w:eastAsia="zh-CN"/>
              </w:rPr>
              <w:t>未提供的不得分</w:t>
            </w:r>
            <w:r>
              <w:rPr>
                <w:rFonts w:hint="eastAsia" w:ascii="宋体" w:hAnsi="宋体"/>
              </w:rPr>
              <w:t>；</w:t>
            </w:r>
          </w:p>
        </w:tc>
      </w:tr>
      <w:tr w14:paraId="6AB91802">
        <w:tblPrEx>
          <w:tblCellMar>
            <w:top w:w="0" w:type="dxa"/>
            <w:left w:w="28" w:type="dxa"/>
            <w:bottom w:w="0" w:type="dxa"/>
            <w:right w:w="28" w:type="dxa"/>
          </w:tblCellMar>
        </w:tblPrEx>
        <w:trPr>
          <w:trHeight w:val="798" w:hRule="atLeast"/>
          <w:jc w:val="center"/>
        </w:trPr>
        <w:tc>
          <w:tcPr>
            <w:tcW w:w="717" w:type="dxa"/>
            <w:vMerge w:val="continue"/>
            <w:tcBorders>
              <w:left w:val="single" w:color="000000" w:sz="6" w:space="0"/>
              <w:right w:val="single" w:color="000000" w:sz="6" w:space="0"/>
            </w:tcBorders>
            <w:vAlign w:val="center"/>
          </w:tcPr>
          <w:p w14:paraId="3159FBD5">
            <w:pPr>
              <w:pStyle w:val="62"/>
              <w:widowControl/>
              <w:spacing w:line="360" w:lineRule="auto"/>
              <w:ind w:firstLine="0" w:firstLineChars="0"/>
              <w:jc w:val="center"/>
              <w:rPr>
                <w:rFonts w:hint="eastAsia" w:cs="宋体"/>
                <w:b/>
                <w:lang w:val="en-US" w:eastAsia="zh-CN"/>
              </w:rPr>
            </w:pPr>
          </w:p>
        </w:tc>
        <w:tc>
          <w:tcPr>
            <w:tcW w:w="1254" w:type="dxa"/>
            <w:vMerge w:val="continue"/>
            <w:tcBorders>
              <w:left w:val="single" w:color="000000" w:sz="6" w:space="0"/>
              <w:right w:val="single" w:color="000000" w:sz="6" w:space="0"/>
            </w:tcBorders>
            <w:vAlign w:val="center"/>
          </w:tcPr>
          <w:p w14:paraId="201EA4B8">
            <w:pPr>
              <w:pStyle w:val="62"/>
              <w:widowControl/>
              <w:spacing w:line="360" w:lineRule="auto"/>
              <w:ind w:firstLine="0" w:firstLineChars="0"/>
              <w:jc w:val="center"/>
              <w:rPr>
                <w:rFonts w:hint="eastAsia" w:ascii="宋体" w:hAnsi="宋体"/>
                <w:b/>
                <w:bCs/>
              </w:rPr>
            </w:pPr>
          </w:p>
        </w:tc>
        <w:tc>
          <w:tcPr>
            <w:tcW w:w="6947" w:type="dxa"/>
            <w:tcBorders>
              <w:top w:val="single" w:color="000000" w:sz="6" w:space="0"/>
              <w:left w:val="single" w:color="000000" w:sz="6" w:space="0"/>
              <w:bottom w:val="single" w:color="000000" w:sz="6" w:space="0"/>
              <w:right w:val="single" w:color="000000" w:sz="6" w:space="0"/>
            </w:tcBorders>
            <w:vAlign w:val="center"/>
          </w:tcPr>
          <w:p w14:paraId="60A62930">
            <w:pPr>
              <w:snapToGrid w:val="0"/>
              <w:spacing w:line="360" w:lineRule="auto"/>
              <w:ind w:firstLine="0" w:firstLineChars="0"/>
              <w:jc w:val="left"/>
              <w:rPr>
                <w:rFonts w:hint="eastAsia"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）质量控制措施：包含产品生产、运输、使用等各阶段质量保障措施，完全符合或优于本项目实际需求的得</w:t>
            </w:r>
            <w:r>
              <w:rPr>
                <w:rFonts w:hint="eastAsia" w:ascii="宋体" w:hAnsi="宋体"/>
              </w:rPr>
              <w:t>3</w:t>
            </w:r>
            <w:r>
              <w:rPr>
                <w:rFonts w:hint="eastAsia" w:ascii="宋体" w:hAnsi="宋体"/>
                <w:lang w:val="zh-CN"/>
              </w:rPr>
              <w:t>分；</w:t>
            </w:r>
            <w:r>
              <w:rPr>
                <w:rFonts w:hint="eastAsia" w:ascii="宋体" w:hAnsi="宋体"/>
              </w:rPr>
              <w:t>表述不清楚、针对性不强、逻辑不清晰的扣1</w:t>
            </w:r>
            <w:r>
              <w:rPr>
                <w:rFonts w:hint="eastAsia" w:ascii="宋体" w:hAnsi="宋体"/>
                <w:lang w:val="en-US" w:eastAsia="zh-CN"/>
              </w:rPr>
              <w:t>.5</w:t>
            </w:r>
            <w:r>
              <w:rPr>
                <w:rFonts w:hint="eastAsia" w:ascii="宋体" w:hAnsi="宋体"/>
              </w:rPr>
              <w:t>分，</w:t>
            </w:r>
            <w:r>
              <w:rPr>
                <w:rFonts w:hint="eastAsia" w:ascii="宋体" w:hAnsi="宋体"/>
                <w:lang w:val="en-US" w:eastAsia="zh-CN"/>
              </w:rPr>
              <w:t>未提供的不得分</w:t>
            </w:r>
            <w:r>
              <w:rPr>
                <w:rFonts w:hint="eastAsia" w:ascii="宋体" w:hAnsi="宋体"/>
              </w:rPr>
              <w:t>；</w:t>
            </w:r>
          </w:p>
        </w:tc>
      </w:tr>
      <w:tr w14:paraId="0EEA9EDB">
        <w:tblPrEx>
          <w:tblCellMar>
            <w:top w:w="0" w:type="dxa"/>
            <w:left w:w="28" w:type="dxa"/>
            <w:bottom w:w="0" w:type="dxa"/>
            <w:right w:w="28" w:type="dxa"/>
          </w:tblCellMar>
        </w:tblPrEx>
        <w:trPr>
          <w:trHeight w:val="798" w:hRule="atLeast"/>
          <w:jc w:val="center"/>
        </w:trPr>
        <w:tc>
          <w:tcPr>
            <w:tcW w:w="717" w:type="dxa"/>
            <w:vMerge w:val="continue"/>
            <w:tcBorders>
              <w:left w:val="single" w:color="000000" w:sz="6" w:space="0"/>
              <w:bottom w:val="single" w:color="000000" w:sz="6" w:space="0"/>
              <w:right w:val="single" w:color="000000" w:sz="6" w:space="0"/>
            </w:tcBorders>
            <w:vAlign w:val="center"/>
          </w:tcPr>
          <w:p w14:paraId="2E4646B7">
            <w:pPr>
              <w:pStyle w:val="62"/>
              <w:widowControl/>
              <w:spacing w:line="360" w:lineRule="auto"/>
              <w:ind w:firstLine="0" w:firstLineChars="0"/>
              <w:jc w:val="center"/>
              <w:rPr>
                <w:rFonts w:hint="eastAsia" w:cs="宋体"/>
                <w:b/>
                <w:lang w:val="en-US" w:eastAsia="zh-CN"/>
              </w:rPr>
            </w:pPr>
          </w:p>
        </w:tc>
        <w:tc>
          <w:tcPr>
            <w:tcW w:w="1254" w:type="dxa"/>
            <w:vMerge w:val="continue"/>
            <w:tcBorders>
              <w:left w:val="single" w:color="000000" w:sz="6" w:space="0"/>
              <w:bottom w:val="single" w:color="000000" w:sz="6" w:space="0"/>
              <w:right w:val="single" w:color="000000" w:sz="6" w:space="0"/>
            </w:tcBorders>
            <w:vAlign w:val="center"/>
          </w:tcPr>
          <w:p w14:paraId="1C73C015">
            <w:pPr>
              <w:pStyle w:val="62"/>
              <w:widowControl/>
              <w:spacing w:line="360" w:lineRule="auto"/>
              <w:ind w:firstLine="0" w:firstLineChars="0"/>
              <w:jc w:val="center"/>
              <w:rPr>
                <w:rFonts w:hint="eastAsia" w:ascii="宋体" w:hAnsi="宋体"/>
                <w:b/>
                <w:bCs/>
              </w:rPr>
            </w:pPr>
          </w:p>
        </w:tc>
        <w:tc>
          <w:tcPr>
            <w:tcW w:w="6947" w:type="dxa"/>
            <w:tcBorders>
              <w:top w:val="single" w:color="000000" w:sz="6" w:space="0"/>
              <w:left w:val="single" w:color="000000" w:sz="6" w:space="0"/>
              <w:bottom w:val="single" w:color="000000" w:sz="6" w:space="0"/>
              <w:right w:val="single" w:color="000000" w:sz="6" w:space="0"/>
            </w:tcBorders>
            <w:vAlign w:val="center"/>
          </w:tcPr>
          <w:p w14:paraId="2EA38B89">
            <w:pPr>
              <w:snapToGrid w:val="0"/>
              <w:spacing w:line="360" w:lineRule="auto"/>
              <w:ind w:firstLine="0" w:firstLineChars="0"/>
              <w:jc w:val="left"/>
              <w:rPr>
                <w:rFonts w:hint="eastAsia"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）安全保障措施：包含产品安装及使用等方面的安全保障措施、实施措施，应急处置措施，完全符合或优于本项目实际需求的得</w:t>
            </w:r>
            <w:r>
              <w:rPr>
                <w:rFonts w:hint="eastAsia" w:ascii="宋体" w:hAnsi="宋体"/>
              </w:rPr>
              <w:t>3</w:t>
            </w:r>
            <w:r>
              <w:rPr>
                <w:rFonts w:hint="eastAsia" w:ascii="宋体" w:hAnsi="宋体"/>
                <w:lang w:val="zh-CN"/>
              </w:rPr>
              <w:t>分；</w:t>
            </w:r>
            <w:r>
              <w:rPr>
                <w:rFonts w:hint="eastAsia" w:ascii="宋体" w:hAnsi="宋体"/>
              </w:rPr>
              <w:t>表述不清楚、针对性不强、逻辑不清晰的扣1</w:t>
            </w:r>
            <w:r>
              <w:rPr>
                <w:rFonts w:hint="eastAsia" w:ascii="宋体" w:hAnsi="宋体"/>
                <w:lang w:val="en-US" w:eastAsia="zh-CN"/>
              </w:rPr>
              <w:t>.5</w:t>
            </w:r>
            <w:r>
              <w:rPr>
                <w:rFonts w:hint="eastAsia" w:ascii="宋体" w:hAnsi="宋体"/>
              </w:rPr>
              <w:t>分，</w:t>
            </w:r>
            <w:r>
              <w:rPr>
                <w:rFonts w:hint="eastAsia" w:ascii="宋体" w:hAnsi="宋体"/>
                <w:lang w:val="en-US" w:eastAsia="zh-CN"/>
              </w:rPr>
              <w:t>未提供的不得分</w:t>
            </w:r>
            <w:r>
              <w:rPr>
                <w:rFonts w:hint="eastAsia" w:ascii="宋体" w:hAnsi="宋体"/>
              </w:rPr>
              <w:t>；</w:t>
            </w:r>
          </w:p>
        </w:tc>
      </w:tr>
      <w:tr w14:paraId="39825B4B">
        <w:tblPrEx>
          <w:tblCellMar>
            <w:top w:w="0" w:type="dxa"/>
            <w:left w:w="28" w:type="dxa"/>
            <w:bottom w:w="0" w:type="dxa"/>
            <w:right w:w="28" w:type="dxa"/>
          </w:tblCellMar>
        </w:tblPrEx>
        <w:trPr>
          <w:trHeight w:val="293" w:hRule="atLeast"/>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597F4940">
            <w:pPr>
              <w:pStyle w:val="62"/>
              <w:widowControl/>
              <w:spacing w:line="360" w:lineRule="auto"/>
              <w:ind w:firstLine="0" w:firstLineChars="0"/>
              <w:jc w:val="center"/>
              <w:rPr>
                <w:rFonts w:hint="eastAsia" w:eastAsia="宋体" w:cs="宋体"/>
                <w:b/>
                <w:lang w:eastAsia="zh-CN"/>
              </w:rPr>
            </w:pPr>
            <w:r>
              <w:rPr>
                <w:rFonts w:hint="eastAsia" w:cs="宋体"/>
                <w:b/>
                <w:lang w:val="en-US" w:eastAsia="zh-CN"/>
              </w:rPr>
              <w:t>6</w:t>
            </w:r>
          </w:p>
        </w:tc>
        <w:tc>
          <w:tcPr>
            <w:tcW w:w="1254" w:type="dxa"/>
            <w:tcBorders>
              <w:top w:val="single" w:color="000000" w:sz="6" w:space="0"/>
              <w:left w:val="single" w:color="000000" w:sz="6" w:space="0"/>
              <w:bottom w:val="single" w:color="000000" w:sz="6" w:space="0"/>
              <w:right w:val="single" w:color="000000" w:sz="6" w:space="0"/>
            </w:tcBorders>
            <w:vAlign w:val="center"/>
          </w:tcPr>
          <w:p w14:paraId="31526166">
            <w:pPr>
              <w:pStyle w:val="62"/>
              <w:widowControl/>
              <w:spacing w:line="360" w:lineRule="auto"/>
              <w:ind w:firstLine="0" w:firstLineChars="0"/>
              <w:jc w:val="center"/>
              <w:rPr>
                <w:rFonts w:cs="宋体"/>
                <w:b/>
                <w:lang w:val="zh-CN"/>
              </w:rPr>
            </w:pPr>
            <w:r>
              <w:rPr>
                <w:rFonts w:hint="eastAsia" w:cs="宋体"/>
                <w:b/>
                <w:lang w:val="zh-CN"/>
              </w:rPr>
              <w:t>售后服务</w:t>
            </w:r>
          </w:p>
          <w:p w14:paraId="0FD5021B">
            <w:pPr>
              <w:pStyle w:val="62"/>
              <w:widowControl/>
              <w:spacing w:line="360" w:lineRule="auto"/>
              <w:ind w:firstLine="0" w:firstLineChars="0"/>
              <w:jc w:val="center"/>
              <w:rPr>
                <w:rFonts w:cs="宋体"/>
                <w:b/>
                <w:lang w:val="zh-CN"/>
              </w:rPr>
            </w:pPr>
            <w:r>
              <w:rPr>
                <w:rFonts w:hint="eastAsia" w:cs="宋体"/>
                <w:b/>
                <w:lang w:val="zh-CN"/>
              </w:rPr>
              <w:t>(</w:t>
            </w:r>
            <w:r>
              <w:rPr>
                <w:rFonts w:hint="eastAsia" w:cs="宋体"/>
                <w:b/>
              </w:rPr>
              <w:t>10</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19AE4531">
            <w:pPr>
              <w:pStyle w:val="62"/>
              <w:widowControl/>
              <w:spacing w:line="360" w:lineRule="auto"/>
              <w:ind w:firstLine="0" w:firstLineChars="0"/>
              <w:rPr>
                <w:lang w:val="zh-CN"/>
              </w:rPr>
            </w:pPr>
            <w:r>
              <w:rPr>
                <w:rFonts w:hint="eastAsia" w:cs="宋体"/>
                <w:b/>
                <w:bCs/>
                <w:lang w:val="zh-CN"/>
              </w:rPr>
              <w:t>售后服务计划、措施及服务承诺（</w:t>
            </w:r>
            <w:r>
              <w:rPr>
                <w:rFonts w:hint="eastAsia" w:cs="宋体"/>
                <w:b/>
                <w:bCs/>
              </w:rPr>
              <w:t>10</w:t>
            </w:r>
            <w:r>
              <w:rPr>
                <w:rFonts w:hint="eastAsia" w:cs="宋体"/>
                <w:b/>
                <w:bCs/>
                <w:lang w:val="zh-CN"/>
              </w:rPr>
              <w:t>分）</w:t>
            </w:r>
            <w:r>
              <w:rPr>
                <w:rFonts w:hint="eastAsia" w:cs="宋体"/>
                <w:lang w:val="zh-CN"/>
              </w:rPr>
              <w:t>：</w:t>
            </w:r>
            <w:r>
              <w:rPr>
                <w:rFonts w:hint="eastAsia" w:ascii="宋体" w:hAnsi="宋体"/>
              </w:rPr>
              <w:t>根据供应商提供详细的售后服务方案进行评审，包括但不限于以下内容：①完整的售后服务内容及体系、②售后维修服务响应时间③服务团队（须提供售后服务人员列表、服务网点地址证明（提供营业执照或房屋产权或租赁证明、联系电话等）④售后服务保障措施⑤日常维护及操作使用培训方案，以上 5 项内容完全符合本项目实际需求及项目情况的得 10分，表述不清楚、针对性不强、逻辑不清晰的</w:t>
            </w:r>
            <w:r>
              <w:rPr>
                <w:rFonts w:hint="eastAsia" w:ascii="宋体" w:hAnsi="宋体"/>
                <w:lang w:val="en-US" w:eastAsia="zh-CN"/>
              </w:rPr>
              <w:t>每项</w:t>
            </w:r>
            <w:r>
              <w:rPr>
                <w:rFonts w:hint="eastAsia" w:ascii="宋体" w:hAnsi="宋体"/>
              </w:rPr>
              <w:t>扣1分，</w:t>
            </w:r>
            <w:r>
              <w:rPr>
                <w:rFonts w:hint="eastAsia" w:ascii="宋体" w:hAnsi="宋体"/>
                <w:lang w:val="en-US" w:eastAsia="zh-CN"/>
              </w:rPr>
              <w:t>未提供的不得分。</w:t>
            </w:r>
          </w:p>
        </w:tc>
      </w:tr>
      <w:tr w14:paraId="78940F90">
        <w:tblPrEx>
          <w:tblCellMar>
            <w:top w:w="0" w:type="dxa"/>
            <w:left w:w="28" w:type="dxa"/>
            <w:bottom w:w="0" w:type="dxa"/>
            <w:right w:w="28" w:type="dxa"/>
          </w:tblCellMar>
        </w:tblPrEx>
        <w:trPr>
          <w:trHeight w:val="293" w:hRule="atLeast"/>
          <w:jc w:val="center"/>
        </w:trPr>
        <w:tc>
          <w:tcPr>
            <w:tcW w:w="8918" w:type="dxa"/>
            <w:gridSpan w:val="3"/>
            <w:tcBorders>
              <w:top w:val="single" w:color="000000" w:sz="6" w:space="0"/>
              <w:left w:val="single" w:color="000000" w:sz="6" w:space="0"/>
              <w:bottom w:val="single" w:color="000000" w:sz="6" w:space="0"/>
              <w:right w:val="single" w:color="000000" w:sz="6" w:space="0"/>
            </w:tcBorders>
            <w:vAlign w:val="center"/>
          </w:tcPr>
          <w:p w14:paraId="05F639DF">
            <w:pPr>
              <w:widowControl/>
              <w:ind w:firstLine="0" w:firstLineChars="0"/>
              <w:jc w:val="left"/>
            </w:pPr>
            <w:r>
              <w:rPr>
                <w:rFonts w:hint="eastAsia" w:ascii="宋体" w:hAnsi="宋体" w:cs="宋体"/>
                <w:color w:val="000000"/>
                <w:kern w:val="0"/>
                <w:lang w:bidi="ar"/>
              </w:rPr>
              <w:t xml:space="preserve">注：1.完全符合本项目实际需求及项目情况是指：方案包含但不限于上述内容详细呈现方案内容，方案内容切合行业实际，符合行业政策，满足本项目要求。 </w:t>
            </w:r>
          </w:p>
          <w:p w14:paraId="2264A80C">
            <w:pPr>
              <w:widowControl/>
              <w:ind w:firstLine="480"/>
              <w:jc w:val="left"/>
              <w:rPr>
                <w:rFonts w:cs="宋体"/>
                <w:b/>
                <w:bCs/>
                <w:lang w:val="zh-CN"/>
              </w:rPr>
            </w:pPr>
            <w:r>
              <w:rPr>
                <w:rFonts w:hint="eastAsia" w:ascii="宋体" w:hAnsi="宋体" w:cs="宋体"/>
                <w:color w:val="000000"/>
                <w:kern w:val="0"/>
                <w:lang w:bidi="ar"/>
              </w:rPr>
              <w:t>2.表述不清楚、针对性不强、逻辑不清晰是指：提供的内容存在不适用项目实际情况、不切合行业实际、不符合行业政策；或方案内容生搬硬造、套用其他方案、凭空捏造、逻辑漏洞、科学原理错误以及不可能实现的夸大情形等情。</w:t>
            </w:r>
          </w:p>
        </w:tc>
      </w:tr>
    </w:tbl>
    <w:p w14:paraId="77A52B1A">
      <w:pPr>
        <w:widowControl/>
        <w:spacing w:before="480" w:beforeLines="200" w:after="480" w:afterLines="200" w:line="36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七、</w:t>
      </w:r>
      <w:bookmarkEnd w:id="234"/>
      <w:bookmarkEnd w:id="235"/>
      <w:r>
        <w:rPr>
          <w:rFonts w:hint="eastAsia" w:ascii="宋体" w:hAnsi="宋体"/>
          <w:b/>
          <w:bCs/>
          <w:kern w:val="0"/>
          <w:sz w:val="36"/>
          <w:szCs w:val="36"/>
        </w:rPr>
        <w:t>确定成交供应商</w:t>
      </w:r>
      <w:bookmarkEnd w:id="236"/>
      <w:bookmarkEnd w:id="237"/>
      <w:bookmarkEnd w:id="238"/>
      <w:bookmarkEnd w:id="239"/>
      <w:bookmarkEnd w:id="240"/>
    </w:p>
    <w:p w14:paraId="38FF7210">
      <w:pPr>
        <w:widowControl/>
        <w:spacing w:before="100" w:beforeAutospacing="1" w:after="100" w:afterAutospacing="1" w:line="360" w:lineRule="auto"/>
        <w:ind w:firstLine="0" w:firstLineChars="0"/>
        <w:jc w:val="left"/>
        <w:rPr>
          <w:rFonts w:ascii="宋体" w:hAnsi="宋体"/>
          <w:b/>
          <w:bCs/>
          <w:kern w:val="0"/>
          <w:sz w:val="27"/>
          <w:szCs w:val="27"/>
        </w:rPr>
      </w:pPr>
      <w:bookmarkStart w:id="241" w:name="_Toc376936757"/>
      <w:bookmarkStart w:id="242" w:name="_Toc325726026"/>
      <w:bookmarkStart w:id="243" w:name="_Toc12984"/>
      <w:bookmarkStart w:id="244" w:name="_Toc16935"/>
      <w:r>
        <w:rPr>
          <w:rFonts w:hint="eastAsia" w:ascii="宋体" w:hAnsi="宋体"/>
          <w:b/>
          <w:bCs/>
          <w:kern w:val="0"/>
          <w:sz w:val="27"/>
          <w:szCs w:val="27"/>
        </w:rPr>
        <w:t>19.推荐并确定成交</w:t>
      </w:r>
      <w:bookmarkEnd w:id="241"/>
      <w:bookmarkEnd w:id="242"/>
      <w:r>
        <w:rPr>
          <w:rFonts w:hint="eastAsia" w:ascii="宋体" w:hAnsi="宋体"/>
          <w:b/>
          <w:bCs/>
          <w:kern w:val="0"/>
          <w:sz w:val="27"/>
          <w:szCs w:val="27"/>
        </w:rPr>
        <w:t>供应商</w:t>
      </w:r>
      <w:bookmarkEnd w:id="243"/>
      <w:bookmarkEnd w:id="244"/>
    </w:p>
    <w:p w14:paraId="768A3CEF">
      <w:pPr>
        <w:spacing w:line="360" w:lineRule="auto"/>
        <w:ind w:firstLine="480"/>
        <w:jc w:val="left"/>
        <w:rPr>
          <w:rFonts w:ascii="宋体" w:hAnsi="宋体"/>
        </w:rPr>
      </w:pPr>
      <w:r>
        <w:rPr>
          <w:rFonts w:hint="eastAsia" w:ascii="宋体" w:hAnsi="宋体"/>
        </w:rPr>
        <w:t>19.1磋商小组根据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14:paraId="512EDB74">
      <w:pPr>
        <w:spacing w:line="360" w:lineRule="auto"/>
        <w:ind w:firstLine="480"/>
        <w:jc w:val="left"/>
        <w:rPr>
          <w:rFonts w:ascii="宋体" w:hAnsi="宋体"/>
        </w:rPr>
      </w:pPr>
      <w:bookmarkStart w:id="245" w:name="_Toc13147_WPSOffice_Level2"/>
      <w:r>
        <w:rPr>
          <w:rFonts w:hint="eastAsia" w:ascii="宋体" w:hAnsi="宋体"/>
        </w:rPr>
        <w:t>19.2成交</w:t>
      </w:r>
      <w:r>
        <w:rPr>
          <w:rFonts w:hint="eastAsia" w:ascii="宋体" w:hAnsi="宋体" w:cs="宋体"/>
          <w:color w:val="000000"/>
        </w:rPr>
        <w:t>供应</w:t>
      </w:r>
      <w:bookmarkEnd w:id="245"/>
      <w:r>
        <w:rPr>
          <w:rFonts w:hint="eastAsia" w:ascii="宋体" w:hAnsi="宋体" w:cs="宋体"/>
          <w:color w:val="000000"/>
        </w:rPr>
        <w:t>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w:t>
      </w:r>
      <w:bookmarkStart w:id="246" w:name="_Toc2293_WPSOffice_Level2"/>
      <w:r>
        <w:rPr>
          <w:rFonts w:hint="eastAsia" w:ascii="宋体" w:hAnsi="宋体"/>
        </w:rPr>
        <w:t>新开展政府采购</w:t>
      </w:r>
      <w:bookmarkEnd w:id="246"/>
      <w:r>
        <w:rPr>
          <w:rFonts w:hint="eastAsia" w:ascii="宋体" w:hAnsi="宋体"/>
        </w:rPr>
        <w:t>活动。</w:t>
      </w:r>
      <w:bookmarkStart w:id="247" w:name="_Toc325726027"/>
    </w:p>
    <w:p w14:paraId="2E11D38A">
      <w:pPr>
        <w:widowControl/>
        <w:spacing w:before="100" w:beforeAutospacing="1" w:after="100" w:afterAutospacing="1" w:line="360" w:lineRule="auto"/>
        <w:ind w:firstLine="0" w:firstLineChars="0"/>
        <w:jc w:val="left"/>
        <w:rPr>
          <w:rFonts w:ascii="宋体" w:hAnsi="宋体"/>
          <w:b/>
          <w:bCs/>
          <w:kern w:val="0"/>
          <w:sz w:val="27"/>
          <w:szCs w:val="27"/>
        </w:rPr>
      </w:pPr>
      <w:bookmarkStart w:id="248" w:name="_Toc11962"/>
      <w:bookmarkStart w:id="249" w:name="_Toc376936759"/>
      <w:bookmarkStart w:id="250" w:name="_Toc325726028"/>
      <w:bookmarkStart w:id="251" w:name="_Toc11764"/>
      <w:r>
        <w:rPr>
          <w:rFonts w:hint="eastAsia" w:ascii="宋体" w:hAnsi="宋体"/>
          <w:b/>
          <w:bCs/>
          <w:kern w:val="0"/>
          <w:sz w:val="27"/>
          <w:szCs w:val="27"/>
        </w:rPr>
        <w:t>20.成交通知</w:t>
      </w:r>
      <w:bookmarkEnd w:id="248"/>
      <w:bookmarkEnd w:id="249"/>
      <w:bookmarkEnd w:id="250"/>
      <w:bookmarkEnd w:id="251"/>
    </w:p>
    <w:p w14:paraId="5CDDF0C9">
      <w:pPr>
        <w:spacing w:line="360" w:lineRule="auto"/>
        <w:ind w:firstLine="480"/>
        <w:jc w:val="left"/>
        <w:rPr>
          <w:rFonts w:ascii="宋体" w:hAnsi="宋体"/>
        </w:rPr>
      </w:pPr>
      <w:r>
        <w:rPr>
          <w:rFonts w:hint="eastAsia" w:ascii="宋体" w:hAnsi="宋体"/>
        </w:rPr>
        <w:t>20.1采购代理机构自成交供应商确定之日起2个工作日内发出《成交通知书》，并在青海政府采购网上公告成交结果。</w:t>
      </w:r>
    </w:p>
    <w:p w14:paraId="6A227A28">
      <w:pPr>
        <w:spacing w:line="360" w:lineRule="auto"/>
        <w:ind w:firstLine="480"/>
        <w:jc w:val="left"/>
        <w:rPr>
          <w:rFonts w:ascii="宋体" w:hAnsi="宋体"/>
        </w:rPr>
      </w:pPr>
      <w:r>
        <w:rPr>
          <w:rFonts w:hint="eastAsia" w:ascii="宋体" w:hAnsi="宋体"/>
        </w:rPr>
        <w:t>20.2《成交通知书》发出后，采购人改变成交结果的，或者成交供应商无正当理由放弃成交项目的，依法承担法律责任。</w:t>
      </w:r>
    </w:p>
    <w:p w14:paraId="29BB0B26">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52" w:name="_Toc11449_WPSOffice_Level2"/>
      <w:bookmarkStart w:id="253" w:name="_Toc14518"/>
      <w:bookmarkStart w:id="254" w:name="_Toc24599"/>
      <w:bookmarkStart w:id="255" w:name="_Toc23104"/>
      <w:bookmarkStart w:id="256" w:name="_Toc376936758"/>
      <w:bookmarkStart w:id="257" w:name="_Toc9445"/>
      <w:r>
        <w:rPr>
          <w:rFonts w:hint="eastAsia" w:ascii="宋体" w:hAnsi="宋体"/>
          <w:b/>
          <w:bCs/>
          <w:kern w:val="0"/>
          <w:sz w:val="36"/>
          <w:szCs w:val="36"/>
        </w:rPr>
        <w:t>八、授予合同</w:t>
      </w:r>
      <w:bookmarkEnd w:id="247"/>
      <w:bookmarkEnd w:id="252"/>
      <w:bookmarkEnd w:id="253"/>
      <w:bookmarkEnd w:id="254"/>
      <w:bookmarkEnd w:id="255"/>
      <w:bookmarkEnd w:id="256"/>
      <w:bookmarkEnd w:id="257"/>
    </w:p>
    <w:p w14:paraId="64EA80BE">
      <w:pPr>
        <w:widowControl/>
        <w:spacing w:before="100" w:beforeAutospacing="1" w:after="100" w:afterAutospacing="1" w:line="360" w:lineRule="auto"/>
        <w:ind w:firstLine="0" w:firstLineChars="0"/>
        <w:jc w:val="left"/>
        <w:rPr>
          <w:rFonts w:ascii="宋体" w:hAnsi="宋体"/>
          <w:b/>
          <w:bCs/>
          <w:kern w:val="0"/>
          <w:sz w:val="27"/>
          <w:szCs w:val="27"/>
        </w:rPr>
      </w:pPr>
      <w:bookmarkStart w:id="258" w:name="_Toc376936760"/>
      <w:bookmarkStart w:id="259" w:name="_Toc325726029"/>
      <w:bookmarkStart w:id="260" w:name="_Toc8427"/>
      <w:bookmarkStart w:id="261" w:name="_Toc10033"/>
      <w:r>
        <w:rPr>
          <w:rFonts w:hint="eastAsia" w:ascii="宋体" w:hAnsi="宋体"/>
          <w:b/>
          <w:bCs/>
          <w:kern w:val="0"/>
          <w:sz w:val="27"/>
          <w:szCs w:val="27"/>
        </w:rPr>
        <w:t>21.签订合同</w:t>
      </w:r>
      <w:bookmarkEnd w:id="258"/>
      <w:bookmarkEnd w:id="259"/>
      <w:bookmarkEnd w:id="260"/>
      <w:bookmarkEnd w:id="261"/>
    </w:p>
    <w:p w14:paraId="0E6B8FEF">
      <w:pPr>
        <w:spacing w:line="360" w:lineRule="auto"/>
        <w:ind w:firstLine="480"/>
        <w:jc w:val="left"/>
        <w:rPr>
          <w:rFonts w:ascii="宋体" w:hAnsi="宋体"/>
        </w:rPr>
      </w:pPr>
      <w:bookmarkStart w:id="262" w:name="_Toc376936761"/>
      <w:bookmarkStart w:id="263" w:name="_Toc325726030"/>
      <w:r>
        <w:rPr>
          <w:rFonts w:hint="eastAsia" w:ascii="宋体" w:hAnsi="宋体"/>
        </w:rPr>
        <w:t>21.1采购人与成交供应商双方应当自《成交通知书》发出之日起</w:t>
      </w:r>
      <w:bookmarkStart w:id="264" w:name="_Toc26359_WPSOffice_Level2"/>
      <w:r>
        <w:rPr>
          <w:rFonts w:hint="eastAsia" w:ascii="宋体" w:hAnsi="宋体"/>
        </w:rPr>
        <w:t>30日内，</w:t>
      </w:r>
      <w:bookmarkEnd w:id="264"/>
      <w:r>
        <w:rPr>
          <w:rFonts w:hint="eastAsia" w:ascii="宋体" w:hAnsi="宋体"/>
        </w:rPr>
        <w:t>按照磋商文件确定的合同文本以及采购标的、</w:t>
      </w:r>
      <w:bookmarkStart w:id="265" w:name="_Toc27444_WPSOffice_Level2"/>
      <w:r>
        <w:rPr>
          <w:rFonts w:hint="eastAsia" w:ascii="宋体" w:hAnsi="宋体"/>
        </w:rPr>
        <w:t>规格型号、采购金额、</w:t>
      </w:r>
      <w:bookmarkEnd w:id="265"/>
      <w:r>
        <w:rPr>
          <w:rFonts w:hint="eastAsia" w:ascii="宋体" w:hAnsi="宋体"/>
        </w:rPr>
        <w:t>采购数量、技术和货物要求等事项签订政府采购合同，并报采购代理机构审核备案。</w:t>
      </w:r>
    </w:p>
    <w:p w14:paraId="19AB0578">
      <w:pPr>
        <w:spacing w:line="360" w:lineRule="auto"/>
        <w:ind w:firstLine="480"/>
        <w:jc w:val="left"/>
        <w:rPr>
          <w:rFonts w:ascii="宋体" w:hAnsi="宋体"/>
        </w:rPr>
      </w:pPr>
      <w:r>
        <w:rPr>
          <w:rFonts w:hint="eastAsia" w:ascii="宋体" w:hAnsi="宋体"/>
        </w:rPr>
        <w:t>21.2采购人不得向成交供应商提出超出磋商文件以外的任何要求作为订立合同的条件，不得与成交供应商订立背离</w:t>
      </w:r>
      <w:bookmarkStart w:id="266" w:name="_Toc5026_WPSOffice_Level2"/>
      <w:r>
        <w:rPr>
          <w:rFonts w:hint="eastAsia" w:ascii="宋体" w:hAnsi="宋体"/>
        </w:rPr>
        <w:t>磋商文件确定的合同</w:t>
      </w:r>
      <w:bookmarkEnd w:id="266"/>
      <w:r>
        <w:rPr>
          <w:rFonts w:hint="eastAsia" w:ascii="宋体" w:hAnsi="宋体"/>
        </w:rPr>
        <w:t>文本以及采购标的、规格型号、采购金额、采购数量、技术和货物要求等实质性内容的协议。</w:t>
      </w:r>
    </w:p>
    <w:p w14:paraId="12590966">
      <w:pPr>
        <w:spacing w:line="360" w:lineRule="auto"/>
        <w:ind w:firstLine="480"/>
        <w:jc w:val="left"/>
        <w:rPr>
          <w:rFonts w:ascii="宋体" w:hAnsi="宋体"/>
        </w:rPr>
      </w:pPr>
      <w:r>
        <w:rPr>
          <w:rFonts w:hint="eastAsia" w:ascii="宋体" w:hAnsi="宋体"/>
        </w:rPr>
        <w:t>21.3成交供应商在法定期限内无正当理由拒签合同的，按违约处理。同时，采购代理机构和采购人可依成交供应商候选人排序重新确定成交供应商，并协调双方签订采购合同。</w:t>
      </w:r>
    </w:p>
    <w:p w14:paraId="45AEF187">
      <w:pPr>
        <w:spacing w:line="360" w:lineRule="auto"/>
        <w:ind w:firstLine="480"/>
        <w:jc w:val="left"/>
        <w:rPr>
          <w:rFonts w:ascii="宋体" w:hAnsi="宋体"/>
        </w:rPr>
      </w:pPr>
      <w:r>
        <w:rPr>
          <w:rFonts w:hint="eastAsia" w:ascii="宋体" w:hAnsi="宋体"/>
        </w:rPr>
        <w:t>21.4磋商文件、成交供应商的磋商响应文件、《成交通知书》及其澄清、说明</w:t>
      </w:r>
      <w:bookmarkStart w:id="267" w:name="_Toc2838_WPSOffice_Level2"/>
      <w:r>
        <w:rPr>
          <w:rFonts w:hint="eastAsia" w:ascii="宋体" w:hAnsi="宋体"/>
        </w:rPr>
        <w:t>文件等，均为签订采</w:t>
      </w:r>
      <w:bookmarkEnd w:id="267"/>
      <w:r>
        <w:rPr>
          <w:rFonts w:hint="eastAsia" w:ascii="宋体" w:hAnsi="宋体"/>
        </w:rPr>
        <w:t>购合同的依据。</w:t>
      </w:r>
    </w:p>
    <w:p w14:paraId="753F0A24">
      <w:pPr>
        <w:spacing w:line="360" w:lineRule="auto"/>
        <w:ind w:firstLine="480"/>
        <w:jc w:val="left"/>
        <w:rPr>
          <w:rFonts w:ascii="宋体" w:hAnsi="宋体"/>
        </w:rPr>
      </w:pPr>
      <w:r>
        <w:rPr>
          <w:rFonts w:hint="eastAsia" w:ascii="宋体" w:hAnsi="宋体"/>
        </w:rPr>
        <w:t>21.5采购人或采购代理机构应当自采购合同签订之日起2个工作日内，将采购合同在青海政府采购网上公告，但政府采购合同中涉及国家秘密、商业秘密的内容除外</w:t>
      </w:r>
      <w:bookmarkStart w:id="268" w:name="_Toc25073_WPSOffice_Level2"/>
      <w:r>
        <w:rPr>
          <w:rFonts w:hint="eastAsia" w:ascii="宋体" w:hAnsi="宋体"/>
        </w:rPr>
        <w:t>。</w:t>
      </w:r>
    </w:p>
    <w:p w14:paraId="344608AF">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69" w:name="_Toc18570_WPSOffice_Level2"/>
      <w:bookmarkStart w:id="270" w:name="_Toc31312"/>
      <w:bookmarkStart w:id="271" w:name="_Toc10256"/>
      <w:bookmarkStart w:id="272" w:name="_Toc10228"/>
      <w:bookmarkStart w:id="273" w:name="_Toc5439"/>
      <w:r>
        <w:rPr>
          <w:rFonts w:hint="eastAsia" w:ascii="宋体" w:hAnsi="宋体"/>
          <w:b/>
          <w:bCs/>
          <w:kern w:val="0"/>
          <w:sz w:val="36"/>
          <w:szCs w:val="36"/>
        </w:rPr>
        <w:t>九、</w:t>
      </w:r>
      <w:bookmarkEnd w:id="262"/>
      <w:bookmarkEnd w:id="263"/>
      <w:r>
        <w:rPr>
          <w:rFonts w:hint="eastAsia" w:ascii="宋体" w:hAnsi="宋体"/>
          <w:b/>
          <w:bCs/>
          <w:kern w:val="0"/>
          <w:sz w:val="36"/>
          <w:szCs w:val="36"/>
        </w:rPr>
        <w:t>磋商活动</w:t>
      </w:r>
      <w:bookmarkEnd w:id="268"/>
      <w:r>
        <w:rPr>
          <w:rFonts w:hint="eastAsia" w:ascii="宋体" w:hAnsi="宋体"/>
          <w:b/>
          <w:bCs/>
          <w:kern w:val="0"/>
          <w:sz w:val="36"/>
          <w:szCs w:val="36"/>
        </w:rPr>
        <w:t>终止</w:t>
      </w:r>
      <w:bookmarkEnd w:id="269"/>
      <w:bookmarkEnd w:id="270"/>
      <w:bookmarkEnd w:id="271"/>
      <w:bookmarkEnd w:id="272"/>
      <w:bookmarkEnd w:id="273"/>
    </w:p>
    <w:p w14:paraId="493CA115">
      <w:pPr>
        <w:widowControl/>
        <w:spacing w:before="100" w:beforeAutospacing="1" w:after="100" w:afterAutospacing="1" w:line="360" w:lineRule="auto"/>
        <w:ind w:firstLine="0" w:firstLineChars="0"/>
        <w:jc w:val="left"/>
        <w:rPr>
          <w:rFonts w:ascii="宋体" w:hAnsi="宋体"/>
          <w:b/>
          <w:bCs/>
          <w:kern w:val="0"/>
          <w:sz w:val="27"/>
          <w:szCs w:val="27"/>
        </w:rPr>
      </w:pPr>
      <w:bookmarkStart w:id="274" w:name="_Toc5844"/>
      <w:bookmarkStart w:id="275" w:name="_Toc13077"/>
      <w:bookmarkStart w:id="276" w:name="_Toc325726031"/>
      <w:bookmarkStart w:id="277" w:name="_Toc376936762"/>
      <w:r>
        <w:rPr>
          <w:rFonts w:hint="eastAsia" w:ascii="宋体" w:hAnsi="宋体"/>
          <w:b/>
          <w:bCs/>
          <w:kern w:val="0"/>
          <w:sz w:val="27"/>
          <w:szCs w:val="27"/>
        </w:rPr>
        <w:t>22. 终止情形</w:t>
      </w:r>
      <w:bookmarkEnd w:id="274"/>
      <w:bookmarkEnd w:id="275"/>
    </w:p>
    <w:p w14:paraId="29F3DF0D">
      <w:pPr>
        <w:spacing w:line="360" w:lineRule="auto"/>
        <w:ind w:firstLine="480"/>
        <w:jc w:val="left"/>
        <w:outlineLvl w:val="2"/>
        <w:rPr>
          <w:rFonts w:ascii="宋体" w:hAnsi="宋体"/>
        </w:rPr>
      </w:pPr>
      <w:bookmarkStart w:id="278" w:name="_Toc27766_WPSOffice_Level3"/>
      <w:bookmarkStart w:id="279" w:name="_Toc4489_WPSOffice_Level3"/>
      <w:bookmarkStart w:id="280" w:name="_Toc31862"/>
      <w:r>
        <w:rPr>
          <w:rFonts w:hint="eastAsia" w:ascii="宋体" w:hAnsi="宋体"/>
        </w:rPr>
        <w:t>22.1在竞争性磋商采购中，出现下列情形之一的，终止磋商活动：</w:t>
      </w:r>
      <w:bookmarkEnd w:id="276"/>
      <w:bookmarkEnd w:id="277"/>
      <w:bookmarkEnd w:id="278"/>
      <w:bookmarkEnd w:id="279"/>
      <w:bookmarkEnd w:id="280"/>
    </w:p>
    <w:p w14:paraId="71005287">
      <w:pPr>
        <w:spacing w:line="360" w:lineRule="auto"/>
        <w:ind w:firstLine="480"/>
        <w:jc w:val="left"/>
        <w:rPr>
          <w:rFonts w:ascii="宋体" w:hAnsi="宋体"/>
        </w:rPr>
      </w:pPr>
      <w:r>
        <w:rPr>
          <w:rFonts w:hint="eastAsia" w:ascii="宋体" w:hAnsi="宋体"/>
        </w:rPr>
        <w:t>（1）因情况变化，不再符合规定的竞争性磋商采购方式适用情形的。</w:t>
      </w:r>
    </w:p>
    <w:p w14:paraId="6C45489B">
      <w:pPr>
        <w:spacing w:line="360" w:lineRule="auto"/>
        <w:ind w:firstLine="480"/>
        <w:jc w:val="left"/>
        <w:rPr>
          <w:rFonts w:ascii="宋体" w:hAnsi="宋体"/>
        </w:rPr>
      </w:pPr>
      <w:r>
        <w:rPr>
          <w:rFonts w:hint="eastAsia" w:ascii="宋体" w:hAnsi="宋体"/>
        </w:rPr>
        <w:t>（2）出现影响采购活动公正的违法、违规行为的。</w:t>
      </w:r>
    </w:p>
    <w:p w14:paraId="45BFF3FC">
      <w:pPr>
        <w:spacing w:line="360" w:lineRule="auto"/>
        <w:ind w:firstLine="480"/>
        <w:jc w:val="left"/>
        <w:rPr>
          <w:rFonts w:ascii="宋体" w:hAnsi="宋体"/>
        </w:rPr>
      </w:pPr>
      <w:r>
        <w:rPr>
          <w:rFonts w:hint="eastAsia" w:ascii="宋体" w:hAnsi="宋体"/>
        </w:rPr>
        <w:t>（3）符合要求的供应商或者报价未超过采购预算额度的供应商不足三</w:t>
      </w:r>
      <w:bookmarkStart w:id="281" w:name="_Toc14184_WPSOffice_Level2"/>
      <w:r>
        <w:rPr>
          <w:rFonts w:hint="eastAsia" w:ascii="宋体" w:hAnsi="宋体"/>
        </w:rPr>
        <w:t>家的。</w:t>
      </w:r>
    </w:p>
    <w:p w14:paraId="093E3540">
      <w:pPr>
        <w:spacing w:line="360" w:lineRule="auto"/>
        <w:ind w:firstLine="480"/>
        <w:jc w:val="left"/>
        <w:rPr>
          <w:rFonts w:ascii="宋体" w:hAnsi="宋体"/>
        </w:rPr>
      </w:pPr>
      <w:r>
        <w:rPr>
          <w:rFonts w:hint="eastAsia" w:ascii="宋体" w:hAnsi="宋体"/>
        </w:rPr>
        <w:t>（4）</w:t>
      </w:r>
      <w:bookmarkEnd w:id="281"/>
      <w:r>
        <w:rPr>
          <w:rFonts w:hint="eastAsia" w:ascii="宋体" w:hAnsi="宋体"/>
        </w:rPr>
        <w:t>因重大变故，采购任务取消的。</w:t>
      </w:r>
    </w:p>
    <w:p w14:paraId="508838DC">
      <w:pPr>
        <w:spacing w:line="360" w:lineRule="auto"/>
        <w:ind w:firstLine="480"/>
        <w:outlineLvl w:val="2"/>
        <w:rPr>
          <w:rFonts w:ascii="宋体" w:hAnsi="Courier New"/>
          <w:szCs w:val="20"/>
        </w:rPr>
      </w:pPr>
      <w:bookmarkStart w:id="282" w:name="_Toc27241_WPSOffice_Level3"/>
      <w:bookmarkStart w:id="283" w:name="_Toc27921"/>
      <w:bookmarkStart w:id="284" w:name="_Toc25265_WPSOffice_Level3"/>
      <w:r>
        <w:rPr>
          <w:rFonts w:hint="eastAsia" w:ascii="宋体" w:hAnsi="宋体"/>
        </w:rPr>
        <w:t>22.2终止磋商活动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End w:id="282"/>
      <w:bookmarkEnd w:id="283"/>
      <w:bookmarkEnd w:id="284"/>
      <w:bookmarkStart w:id="285" w:name="_Toc325726032"/>
    </w:p>
    <w:p w14:paraId="52055395">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86" w:name="_Toc376936763"/>
      <w:bookmarkStart w:id="287" w:name="_Toc26508"/>
      <w:bookmarkStart w:id="288" w:name="_Toc14729"/>
      <w:bookmarkStart w:id="289" w:name="_Toc26781_WPSOffice_Level2"/>
      <w:bookmarkStart w:id="290" w:name="_Toc15633"/>
      <w:bookmarkStart w:id="291" w:name="_Toc9231"/>
      <w:r>
        <w:rPr>
          <w:rFonts w:hint="eastAsia" w:ascii="宋体" w:hAnsi="宋体"/>
          <w:b/>
          <w:bCs/>
          <w:kern w:val="0"/>
          <w:sz w:val="36"/>
          <w:szCs w:val="36"/>
        </w:rPr>
        <w:t>十、处罚</w:t>
      </w:r>
      <w:bookmarkEnd w:id="285"/>
      <w:bookmarkEnd w:id="286"/>
      <w:bookmarkEnd w:id="287"/>
      <w:bookmarkEnd w:id="288"/>
      <w:bookmarkEnd w:id="289"/>
      <w:bookmarkEnd w:id="290"/>
      <w:bookmarkEnd w:id="291"/>
    </w:p>
    <w:p w14:paraId="2881CF3C">
      <w:pPr>
        <w:widowControl/>
        <w:spacing w:before="100" w:beforeAutospacing="1" w:after="100" w:afterAutospacing="1" w:line="360" w:lineRule="auto"/>
        <w:ind w:firstLine="0" w:firstLineChars="0"/>
        <w:jc w:val="left"/>
        <w:rPr>
          <w:rFonts w:ascii="宋体" w:hAnsi="宋体"/>
          <w:b/>
          <w:bCs/>
          <w:kern w:val="0"/>
          <w:sz w:val="27"/>
          <w:szCs w:val="27"/>
        </w:rPr>
      </w:pPr>
      <w:bookmarkStart w:id="292" w:name="_Toc325726033"/>
      <w:bookmarkStart w:id="293" w:name="_Toc376936764"/>
      <w:bookmarkStart w:id="294" w:name="_Toc24234"/>
      <w:bookmarkStart w:id="295" w:name="_Toc227"/>
      <w:r>
        <w:rPr>
          <w:rFonts w:hint="eastAsia" w:ascii="宋体" w:hAnsi="宋体"/>
          <w:b/>
          <w:bCs/>
          <w:kern w:val="0"/>
          <w:sz w:val="27"/>
          <w:szCs w:val="27"/>
        </w:rPr>
        <w:t>23.处罚情形</w:t>
      </w:r>
      <w:bookmarkEnd w:id="292"/>
      <w:bookmarkEnd w:id="293"/>
      <w:bookmarkEnd w:id="294"/>
      <w:bookmarkEnd w:id="295"/>
    </w:p>
    <w:p w14:paraId="484E9D30">
      <w:pPr>
        <w:spacing w:line="360" w:lineRule="auto"/>
        <w:ind w:firstLine="480"/>
        <w:jc w:val="left"/>
        <w:rPr>
          <w:rFonts w:ascii="宋体" w:hAnsi="宋体"/>
        </w:rPr>
      </w:pPr>
      <w:r>
        <w:rPr>
          <w:rFonts w:hint="eastAsia" w:ascii="宋体" w:hAnsi="宋体"/>
        </w:rPr>
        <w:t>有下列情形之一的，投标供应商的磋商保证金</w:t>
      </w:r>
      <w:bookmarkStart w:id="296" w:name="_Toc13282_WPSOffice_Level2"/>
      <w:r>
        <w:rPr>
          <w:rFonts w:hint="eastAsia" w:ascii="宋体" w:hAnsi="宋体"/>
        </w:rPr>
        <w:t>不予退还；</w:t>
      </w:r>
      <w:bookmarkEnd w:id="296"/>
      <w:r>
        <w:rPr>
          <w:rFonts w:hint="eastAsia" w:ascii="宋体" w:hAnsi="宋体"/>
        </w:rPr>
        <w:t>成交供应商的成交结果无效，履约保证金不予退还。情节严重的，报省财政厅依法进行处理：</w:t>
      </w:r>
    </w:p>
    <w:p w14:paraId="725CF917">
      <w:pPr>
        <w:spacing w:line="360" w:lineRule="auto"/>
        <w:ind w:firstLine="480"/>
        <w:jc w:val="left"/>
        <w:rPr>
          <w:rFonts w:ascii="宋体" w:hAnsi="宋体"/>
        </w:rPr>
      </w:pPr>
      <w:r>
        <w:rPr>
          <w:rFonts w:hint="eastAsia" w:ascii="宋体" w:hAnsi="宋体"/>
        </w:rPr>
        <w:t>23.1投标供应商在提交</w:t>
      </w:r>
      <w:bookmarkStart w:id="297" w:name="_Toc26377_WPSOffice_Level2"/>
      <w:r>
        <w:rPr>
          <w:rFonts w:hint="eastAsia" w:ascii="宋体" w:hAnsi="宋体"/>
        </w:rPr>
        <w:t>响应文件截止时</w:t>
      </w:r>
      <w:bookmarkEnd w:id="297"/>
      <w:r>
        <w:rPr>
          <w:rFonts w:hint="eastAsia" w:ascii="宋体" w:hAnsi="宋体"/>
        </w:rPr>
        <w:t>间之后撤回响应文件的。</w:t>
      </w:r>
    </w:p>
    <w:p w14:paraId="3C8AABEB">
      <w:pPr>
        <w:spacing w:line="360" w:lineRule="auto"/>
        <w:ind w:firstLine="480"/>
        <w:jc w:val="left"/>
        <w:rPr>
          <w:rFonts w:ascii="宋体" w:hAnsi="宋体"/>
        </w:rPr>
      </w:pPr>
      <w:r>
        <w:rPr>
          <w:rFonts w:hint="eastAsia" w:ascii="宋体" w:hAnsi="宋体"/>
        </w:rPr>
        <w:t>23.2投标供应商在响应文件中提供虚假材</w:t>
      </w:r>
      <w:bookmarkStart w:id="298" w:name="_Toc13889_WPSOffice_Level2"/>
      <w:r>
        <w:rPr>
          <w:rFonts w:hint="eastAsia" w:ascii="宋体" w:hAnsi="宋体"/>
        </w:rPr>
        <w:t>料的。</w:t>
      </w:r>
    </w:p>
    <w:bookmarkEnd w:id="298"/>
    <w:p w14:paraId="55D9D9FA">
      <w:pPr>
        <w:spacing w:line="360" w:lineRule="auto"/>
        <w:ind w:firstLine="480"/>
        <w:jc w:val="left"/>
        <w:rPr>
          <w:rFonts w:ascii="宋体" w:hAnsi="宋体"/>
        </w:rPr>
      </w:pPr>
      <w:r>
        <w:rPr>
          <w:rFonts w:hint="eastAsia" w:ascii="宋体" w:hAnsi="宋体"/>
        </w:rPr>
        <w:t>23.3采取不正当手段诋毁、排挤其他供应商的。</w:t>
      </w:r>
    </w:p>
    <w:p w14:paraId="73319DEA">
      <w:pPr>
        <w:spacing w:line="360" w:lineRule="auto"/>
        <w:ind w:firstLine="480"/>
        <w:jc w:val="left"/>
        <w:rPr>
          <w:rFonts w:ascii="宋体" w:hAnsi="宋体"/>
        </w:rPr>
      </w:pPr>
      <w:r>
        <w:rPr>
          <w:rFonts w:hint="eastAsia" w:ascii="宋体" w:hAnsi="宋体"/>
        </w:rPr>
        <w:t>23.4有恶意串通等不正当竞争行为的。</w:t>
      </w:r>
    </w:p>
    <w:p w14:paraId="6490015E">
      <w:pPr>
        <w:spacing w:line="360" w:lineRule="auto"/>
        <w:ind w:firstLine="480"/>
        <w:jc w:val="left"/>
        <w:rPr>
          <w:rFonts w:ascii="宋体" w:hAnsi="宋体"/>
        </w:rPr>
      </w:pPr>
      <w:r>
        <w:rPr>
          <w:rFonts w:hint="eastAsia" w:ascii="宋体" w:hAnsi="宋体"/>
        </w:rPr>
        <w:t>23.5成交后无正当理由拒不与采购人签订采购合同的。</w:t>
      </w:r>
    </w:p>
    <w:p w14:paraId="30654274">
      <w:pPr>
        <w:spacing w:line="360" w:lineRule="auto"/>
        <w:ind w:firstLine="480"/>
        <w:jc w:val="left"/>
        <w:rPr>
          <w:rFonts w:ascii="宋体" w:hAnsi="宋体"/>
        </w:rPr>
      </w:pPr>
      <w:r>
        <w:rPr>
          <w:rFonts w:hint="eastAsia" w:ascii="宋体" w:hAnsi="宋体"/>
        </w:rPr>
        <w:t>23.6未按照磋商</w:t>
      </w:r>
      <w:bookmarkStart w:id="299" w:name="_Toc26971_WPSOffice_Level3"/>
      <w:r>
        <w:rPr>
          <w:rFonts w:hint="eastAsia" w:ascii="宋体" w:hAnsi="宋体"/>
        </w:rPr>
        <w:t>文件、磋商响应文件</w:t>
      </w:r>
      <w:bookmarkEnd w:id="299"/>
      <w:r>
        <w:rPr>
          <w:rFonts w:hint="eastAsia" w:ascii="宋体" w:hAnsi="宋体"/>
        </w:rPr>
        <w:t>确定的</w:t>
      </w:r>
      <w:bookmarkStart w:id="300" w:name="_Toc27918_WPSOffice_Level3"/>
      <w:r>
        <w:rPr>
          <w:rFonts w:hint="eastAsia" w:ascii="宋体" w:hAnsi="宋体"/>
        </w:rPr>
        <w:t>事项签订采购</w:t>
      </w:r>
      <w:bookmarkEnd w:id="300"/>
      <w:r>
        <w:rPr>
          <w:rFonts w:hint="eastAsia" w:ascii="宋体" w:hAnsi="宋体"/>
        </w:rPr>
        <w:t>合同</w:t>
      </w:r>
      <w:bookmarkStart w:id="301" w:name="_Toc4819_WPSOffice_Level3"/>
      <w:r>
        <w:rPr>
          <w:rFonts w:hint="eastAsia" w:ascii="宋体" w:hAnsi="宋体"/>
        </w:rPr>
        <w:t>的。</w:t>
      </w:r>
    </w:p>
    <w:p w14:paraId="4BF7E1D0">
      <w:pPr>
        <w:spacing w:line="360" w:lineRule="auto"/>
        <w:ind w:firstLine="480"/>
        <w:jc w:val="left"/>
        <w:rPr>
          <w:rFonts w:ascii="宋体" w:hAnsi="宋体"/>
        </w:rPr>
      </w:pPr>
      <w:r>
        <w:rPr>
          <w:rFonts w:hint="eastAsia" w:ascii="宋体" w:hAnsi="宋体"/>
        </w:rPr>
        <w:t>23.7擅自变更、中止或者终止政府采购合同的。</w:t>
      </w:r>
    </w:p>
    <w:bookmarkEnd w:id="301"/>
    <w:p w14:paraId="6716DF56">
      <w:pPr>
        <w:spacing w:line="360" w:lineRule="auto"/>
        <w:ind w:firstLine="480"/>
        <w:jc w:val="left"/>
        <w:rPr>
          <w:rFonts w:ascii="宋体" w:hAnsi="宋体"/>
        </w:rPr>
      </w:pPr>
      <w:r>
        <w:rPr>
          <w:rFonts w:hint="eastAsia" w:ascii="宋体" w:hAnsi="宋体"/>
        </w:rPr>
        <w:t>2</w:t>
      </w:r>
      <w:bookmarkStart w:id="302" w:name="_Toc24533_WPSOffice_Level3"/>
      <w:r>
        <w:rPr>
          <w:rFonts w:hint="eastAsia" w:ascii="宋体" w:hAnsi="宋体"/>
        </w:rPr>
        <w:t>3.8成交供应商签订合同后，因种种原因不能履约或无</w:t>
      </w:r>
      <w:bookmarkEnd w:id="302"/>
      <w:r>
        <w:rPr>
          <w:rFonts w:hint="eastAsia" w:ascii="宋体" w:hAnsi="宋体"/>
        </w:rPr>
        <w:t>故拖延履约期的</w:t>
      </w:r>
      <w:bookmarkStart w:id="303" w:name="_Toc2828_WPSOffice_Level3"/>
      <w:r>
        <w:rPr>
          <w:rFonts w:hint="eastAsia" w:ascii="宋体" w:hAnsi="宋体"/>
        </w:rPr>
        <w:t>。</w:t>
      </w:r>
    </w:p>
    <w:p w14:paraId="38C1CC93">
      <w:pPr>
        <w:spacing w:line="240" w:lineRule="auto"/>
        <w:ind w:firstLine="480"/>
        <w:jc w:val="left"/>
        <w:rPr>
          <w:rFonts w:ascii="宋体" w:hAnsi="宋体"/>
          <w:b/>
          <w:bCs/>
          <w:kern w:val="0"/>
          <w:sz w:val="36"/>
          <w:szCs w:val="36"/>
        </w:rPr>
      </w:pPr>
      <w:r>
        <w:rPr>
          <w:rFonts w:hint="eastAsia" w:ascii="宋体" w:hAnsi="宋体"/>
        </w:rPr>
        <w:t>2</w:t>
      </w:r>
      <w:bookmarkEnd w:id="303"/>
      <w:r>
        <w:rPr>
          <w:rFonts w:hint="eastAsia" w:ascii="宋体" w:hAnsi="宋体"/>
        </w:rPr>
        <w:t>3.9法律、法规规定的其他情形的。</w:t>
      </w:r>
      <w:bookmarkStart w:id="304" w:name="_Toc9780_WPSOffice_Level2"/>
      <w:bookmarkStart w:id="305" w:name="_Toc28049"/>
      <w:bookmarkStart w:id="306" w:name="_Toc32568"/>
      <w:bookmarkStart w:id="307" w:name="_Toc14619"/>
      <w:bookmarkStart w:id="308" w:name="_Toc14288"/>
    </w:p>
    <w:bookmarkEnd w:id="304"/>
    <w:bookmarkEnd w:id="305"/>
    <w:bookmarkEnd w:id="306"/>
    <w:bookmarkEnd w:id="307"/>
    <w:p w14:paraId="1BCDCCC3">
      <w:pPr>
        <w:widowControl/>
        <w:numPr>
          <w:ilvl w:val="0"/>
          <w:numId w:val="21"/>
        </w:numPr>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招标代理费</w:t>
      </w:r>
      <w:bookmarkEnd w:id="308"/>
      <w:bookmarkStart w:id="309" w:name="_Toc14121_WPSOffice_Level3"/>
      <w:bookmarkStart w:id="310" w:name="_Toc23320"/>
      <w:bookmarkStart w:id="311" w:name="_Toc3276_WPSOffice_Level3"/>
      <w:bookmarkStart w:id="312" w:name="_Toc325726034"/>
      <w:bookmarkStart w:id="313" w:name="_Toc376936765"/>
    </w:p>
    <w:bookmarkEnd w:id="309"/>
    <w:bookmarkEnd w:id="310"/>
    <w:bookmarkEnd w:id="311"/>
    <w:p w14:paraId="1575AB29">
      <w:pPr>
        <w:pStyle w:val="23"/>
        <w:keepNext w:val="0"/>
        <w:keepLines w:val="0"/>
        <w:pageBreakBefore w:val="0"/>
        <w:kinsoku/>
        <w:wordWrap/>
        <w:overflowPunct/>
        <w:topLinePunct w:val="0"/>
        <w:bidi w:val="0"/>
        <w:snapToGrid/>
        <w:spacing w:line="24" w:lineRule="atLeast"/>
        <w:ind w:firstLine="480"/>
        <w:textAlignment w:val="auto"/>
        <w:outlineLvl w:val="2"/>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zh-CN"/>
        </w:rPr>
        <w:t>收取对象：</w:t>
      </w:r>
      <w:r>
        <w:rPr>
          <w:rFonts w:hint="eastAsia" w:ascii="宋体" w:hAnsi="宋体" w:cs="宋体"/>
          <w:color w:val="auto"/>
          <w:kern w:val="0"/>
          <w:sz w:val="24"/>
          <w:szCs w:val="24"/>
          <w:lang w:val="en-US" w:eastAsia="zh-CN"/>
        </w:rPr>
        <w:t>成交供应商</w:t>
      </w:r>
      <w:r>
        <w:rPr>
          <w:rFonts w:hint="eastAsia" w:ascii="宋体" w:hAnsi="宋体" w:cs="宋体"/>
          <w:color w:val="auto"/>
          <w:kern w:val="0"/>
          <w:sz w:val="24"/>
          <w:szCs w:val="24"/>
          <w:lang w:val="zh-CN"/>
        </w:rPr>
        <w:t>在领取成交通知书前向采购代理机构缴纳</w:t>
      </w:r>
    </w:p>
    <w:p w14:paraId="3F90879B">
      <w:pPr>
        <w:pStyle w:val="23"/>
        <w:keepNext w:val="0"/>
        <w:keepLines w:val="0"/>
        <w:pageBreakBefore w:val="0"/>
        <w:kinsoku/>
        <w:wordWrap/>
        <w:overflowPunct/>
        <w:topLinePunct w:val="0"/>
        <w:bidi w:val="0"/>
        <w:snapToGrid/>
        <w:spacing w:line="24" w:lineRule="atLeast"/>
        <w:ind w:firstLine="480"/>
        <w:textAlignment w:val="auto"/>
        <w:outlineLvl w:val="2"/>
        <w:rPr>
          <w:rFonts w:hint="eastAsia" w:ascii="宋体" w:hAnsi="宋体" w:cs="宋体"/>
          <w:color w:val="auto"/>
          <w:kern w:val="0"/>
          <w:sz w:val="24"/>
          <w:szCs w:val="24"/>
          <w:lang w:val="zh-CN"/>
        </w:rPr>
      </w:pPr>
      <w:bookmarkStart w:id="314" w:name="_Toc25374_WPSOffice_Level3"/>
      <w:bookmarkStart w:id="315" w:name="_Toc30238"/>
      <w:bookmarkStart w:id="316" w:name="_Toc21216_WPSOffice_Level3"/>
      <w:r>
        <w:rPr>
          <w:rFonts w:hint="eastAsia" w:ascii="宋体" w:hAnsi="宋体" w:cs="宋体"/>
          <w:color w:val="auto"/>
          <w:kern w:val="0"/>
          <w:sz w:val="24"/>
          <w:szCs w:val="24"/>
        </w:rPr>
        <w:t>2、收费金额：</w:t>
      </w:r>
      <w:bookmarkEnd w:id="314"/>
      <w:bookmarkEnd w:id="315"/>
      <w:bookmarkEnd w:id="316"/>
      <w:r>
        <w:rPr>
          <w:rFonts w:hint="eastAsia" w:ascii="宋体" w:hAnsi="宋体" w:cs="宋体"/>
          <w:color w:val="auto"/>
          <w:kern w:val="0"/>
          <w:sz w:val="24"/>
          <w:szCs w:val="24"/>
          <w:lang w:val="en-US" w:eastAsia="zh-CN"/>
        </w:rPr>
        <w:t>24700.00</w:t>
      </w:r>
      <w:r>
        <w:rPr>
          <w:rFonts w:hint="eastAsia" w:ascii="宋体" w:hAnsi="宋体" w:cs="宋体"/>
          <w:color w:val="auto"/>
          <w:kern w:val="0"/>
          <w:sz w:val="24"/>
          <w:szCs w:val="24"/>
        </w:rPr>
        <w:t>元整</w:t>
      </w:r>
    </w:p>
    <w:p w14:paraId="60980F56">
      <w:pPr>
        <w:keepNext w:val="0"/>
        <w:keepLines w:val="0"/>
        <w:pageBreakBefore w:val="0"/>
        <w:kinsoku/>
        <w:wordWrap/>
        <w:overflowPunct/>
        <w:topLinePunct w:val="0"/>
        <w:autoSpaceDE w:val="0"/>
        <w:autoSpaceDN w:val="0"/>
        <w:bidi w:val="0"/>
        <w:adjustRightInd w:val="0"/>
        <w:snapToGrid/>
        <w:spacing w:line="24" w:lineRule="atLeast"/>
        <w:ind w:firstLine="480" w:firstLineChars="200"/>
        <w:textAlignment w:val="auto"/>
        <w:rPr>
          <w:rFonts w:hint="eastAsia" w:ascii="宋体" w:hAnsi="Cambria" w:cs="宋体"/>
          <w:color w:val="auto"/>
          <w:kern w:val="0"/>
          <w:sz w:val="24"/>
          <w:szCs w:val="24"/>
          <w:lang w:val="en-US" w:eastAsia="zh-CN"/>
        </w:rPr>
      </w:pPr>
      <w:r>
        <w:rPr>
          <w:rFonts w:hint="eastAsia" w:ascii="宋体" w:hAnsi="Cambria" w:cs="宋体"/>
          <w:color w:val="auto"/>
          <w:kern w:val="0"/>
          <w:sz w:val="24"/>
          <w:szCs w:val="24"/>
          <w:lang w:val="en-US" w:eastAsia="zh-CN"/>
        </w:rPr>
        <w:t>3、收款账户：</w:t>
      </w:r>
    </w:p>
    <w:p w14:paraId="720F52F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Cambria" w:cs="宋体"/>
          <w:color w:val="auto"/>
          <w:kern w:val="0"/>
          <w:sz w:val="24"/>
          <w:szCs w:val="24"/>
          <w:lang w:val="zh-CN" w:eastAsia="zh-CN"/>
        </w:rPr>
      </w:pP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eastAsia="zh-CN"/>
        </w:rPr>
        <w:t>收款名称：青海旺利欣项目咨询管理有限公司</w:t>
      </w:r>
    </w:p>
    <w:p w14:paraId="59FF8056">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Cambria" w:cs="宋体"/>
          <w:color w:val="auto"/>
          <w:kern w:val="0"/>
          <w:sz w:val="24"/>
          <w:szCs w:val="24"/>
          <w:lang w:val="zh-CN" w:eastAsia="zh-CN"/>
        </w:rPr>
      </w:pP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eastAsia="zh-CN"/>
        </w:rPr>
        <w:t xml:space="preserve">收款银行：青海银行城西支行 </w:t>
      </w:r>
    </w:p>
    <w:p w14:paraId="79732FE9">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Cambria" w:cs="宋体"/>
          <w:color w:val="auto"/>
          <w:kern w:val="0"/>
          <w:sz w:val="24"/>
          <w:szCs w:val="24"/>
          <w:lang w:val="zh-CN" w:eastAsia="zh-CN"/>
        </w:rPr>
      </w:pP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eastAsia="zh-CN"/>
        </w:rPr>
        <w:t>收款账号：0201 2010 0007 7792</w:t>
      </w:r>
    </w:p>
    <w:p w14:paraId="233E7FD2">
      <w:pPr>
        <w:widowControl/>
        <w:spacing w:before="480" w:beforeLines="200" w:after="480" w:afterLines="200" w:line="360" w:lineRule="auto"/>
        <w:ind w:firstLine="3253" w:firstLineChars="900"/>
        <w:jc w:val="both"/>
        <w:outlineLvl w:val="1"/>
        <w:rPr>
          <w:rFonts w:ascii="宋体" w:hAnsi="宋体"/>
          <w:b/>
          <w:bCs/>
          <w:kern w:val="0"/>
          <w:sz w:val="36"/>
          <w:szCs w:val="36"/>
        </w:rPr>
      </w:pPr>
      <w:bookmarkStart w:id="317" w:name="_Toc14542"/>
      <w:bookmarkStart w:id="318" w:name="_Toc14212"/>
      <w:bookmarkStart w:id="319" w:name="_Toc9911"/>
      <w:bookmarkStart w:id="320" w:name="_Toc7628"/>
      <w:bookmarkStart w:id="321" w:name="_Toc18758_WPSOffice_Level2"/>
      <w:r>
        <w:rPr>
          <w:rFonts w:hint="eastAsia" w:ascii="宋体" w:hAnsi="宋体"/>
          <w:b/>
          <w:bCs/>
          <w:kern w:val="0"/>
          <w:sz w:val="36"/>
          <w:szCs w:val="36"/>
        </w:rPr>
        <w:t>十二、其他</w:t>
      </w:r>
      <w:bookmarkEnd w:id="312"/>
      <w:bookmarkEnd w:id="313"/>
      <w:bookmarkEnd w:id="317"/>
      <w:bookmarkEnd w:id="318"/>
      <w:bookmarkEnd w:id="319"/>
      <w:bookmarkEnd w:id="320"/>
      <w:bookmarkEnd w:id="321"/>
    </w:p>
    <w:p w14:paraId="067B486A">
      <w:pPr>
        <w:spacing w:line="360" w:lineRule="auto"/>
        <w:ind w:firstLine="480"/>
        <w:jc w:val="left"/>
        <w:rPr>
          <w:rFonts w:ascii="宋体"/>
          <w:b/>
          <w:kern w:val="28"/>
          <w:sz w:val="36"/>
          <w:szCs w:val="20"/>
        </w:rPr>
      </w:pPr>
      <w:r>
        <w:rPr>
          <w:rFonts w:hint="eastAsia" w:ascii="宋体" w:hAnsi="宋体"/>
        </w:rPr>
        <w:t>其他未尽事宜，按照《中华人民共和国政府采购法》、《中华人民共和国政府采购法实施条例</w:t>
      </w:r>
      <w:bookmarkStart w:id="322" w:name="_Toc7252_WPSOffice_Level3"/>
      <w:r>
        <w:rPr>
          <w:rFonts w:hint="eastAsia" w:ascii="宋体" w:hAnsi="宋体"/>
        </w:rPr>
        <w:t>》、</w:t>
      </w:r>
      <w:r>
        <w:rPr>
          <w:rFonts w:hint="eastAsia" w:ascii="宋体" w:hAnsi="宋体"/>
          <w:color w:val="000000"/>
        </w:rPr>
        <w:t>《</w:t>
      </w:r>
      <w:bookmarkEnd w:id="322"/>
      <w:r>
        <w:rPr>
          <w:rFonts w:hint="eastAsia" w:ascii="宋体" w:hAnsi="宋体"/>
          <w:color w:val="000000"/>
        </w:rPr>
        <w:t>政府采购竞争性磋商采购方式管理暂行办法》</w:t>
      </w:r>
      <w:r>
        <w:rPr>
          <w:rFonts w:hint="eastAsia" w:ascii="宋体" w:hAnsi="宋体"/>
        </w:rPr>
        <w:t>等法律法规的有关条款执行。</w:t>
      </w:r>
      <w:bookmarkStart w:id="323" w:name="_Toc376936766"/>
      <w:r>
        <w:rPr>
          <w:rFonts w:hint="eastAsia" w:ascii="宋体"/>
          <w:b/>
          <w:kern w:val="28"/>
          <w:sz w:val="36"/>
          <w:szCs w:val="20"/>
        </w:rPr>
        <w:br w:type="page"/>
      </w:r>
      <w:bookmarkStart w:id="324" w:name="_Toc9123"/>
      <w:bookmarkStart w:id="325" w:name="_Toc19312"/>
      <w:bookmarkStart w:id="326" w:name="_Toc1316_WPSOffice_Level1"/>
      <w:bookmarkStart w:id="327" w:name="_Toc28871"/>
      <w:bookmarkStart w:id="328" w:name="_Toc5733"/>
      <w:r>
        <w:rPr>
          <w:rFonts w:hint="eastAsia" w:ascii="宋体"/>
          <w:b/>
          <w:kern w:val="28"/>
          <w:sz w:val="36"/>
          <w:szCs w:val="20"/>
        </w:rPr>
        <w:t>第四部分</w:t>
      </w:r>
      <w:bookmarkEnd w:id="323"/>
      <w:bookmarkStart w:id="329" w:name="_Toc7903"/>
      <w:r>
        <w:rPr>
          <w:rFonts w:hint="eastAsia" w:ascii="宋体"/>
          <w:b/>
          <w:kern w:val="28"/>
          <w:sz w:val="36"/>
          <w:szCs w:val="20"/>
        </w:rPr>
        <w:t xml:space="preserve"> 青海省政府采购项目合同书（货物类）</w:t>
      </w:r>
      <w:bookmarkEnd w:id="324"/>
      <w:bookmarkEnd w:id="325"/>
      <w:bookmarkEnd w:id="326"/>
      <w:bookmarkEnd w:id="327"/>
      <w:bookmarkEnd w:id="328"/>
      <w:bookmarkEnd w:id="329"/>
    </w:p>
    <w:p w14:paraId="3DD96B20">
      <w:pPr>
        <w:spacing w:line="240" w:lineRule="auto"/>
        <w:ind w:firstLine="480"/>
      </w:pPr>
    </w:p>
    <w:p w14:paraId="54C5D126">
      <w:pPr>
        <w:spacing w:line="240" w:lineRule="auto"/>
        <w:ind w:firstLine="480"/>
      </w:pPr>
      <w:bookmarkStart w:id="330" w:name="_Toc373936315"/>
      <w:bookmarkStart w:id="331" w:name="_Toc375576842"/>
      <w:bookmarkStart w:id="332" w:name="_Toc373954603"/>
    </w:p>
    <w:p w14:paraId="29FB551B">
      <w:pPr>
        <w:spacing w:line="240" w:lineRule="auto"/>
        <w:ind w:firstLine="480"/>
      </w:pPr>
    </w:p>
    <w:p w14:paraId="31B3DADD">
      <w:pPr>
        <w:spacing w:line="240" w:lineRule="auto"/>
        <w:ind w:firstLine="480"/>
      </w:pPr>
    </w:p>
    <w:p w14:paraId="6C8B7A49">
      <w:pPr>
        <w:pStyle w:val="2"/>
        <w:spacing w:line="240" w:lineRule="auto"/>
        <w:ind w:firstLine="1378" w:firstLineChars="286"/>
        <w:jc w:val="both"/>
        <w:rPr>
          <w:sz w:val="48"/>
          <w:szCs w:val="48"/>
        </w:rPr>
      </w:pPr>
    </w:p>
    <w:p w14:paraId="7474A040">
      <w:pPr>
        <w:pStyle w:val="2"/>
        <w:spacing w:line="240" w:lineRule="auto"/>
        <w:ind w:firstLine="1446" w:firstLineChars="300"/>
        <w:jc w:val="both"/>
        <w:rPr>
          <w:sz w:val="48"/>
          <w:szCs w:val="48"/>
        </w:rPr>
      </w:pPr>
      <w:bookmarkStart w:id="333" w:name="_Toc10717"/>
      <w:bookmarkStart w:id="334" w:name="_Toc20087"/>
      <w:bookmarkStart w:id="335" w:name="_Toc2434"/>
      <w:bookmarkStart w:id="336" w:name="_Toc14316"/>
      <w:bookmarkStart w:id="337" w:name="_Toc26943_WPSOffice_Level2"/>
      <w:bookmarkStart w:id="338" w:name="_Toc502"/>
      <w:bookmarkStart w:id="339" w:name="_Toc18813_WPSOffice_Level2"/>
      <w:r>
        <w:rPr>
          <w:rFonts w:hint="eastAsia"/>
          <w:sz w:val="48"/>
          <w:szCs w:val="48"/>
        </w:rPr>
        <w:t>青海省政府采购项目合同</w:t>
      </w:r>
      <w:bookmarkEnd w:id="330"/>
      <w:bookmarkEnd w:id="331"/>
      <w:bookmarkEnd w:id="332"/>
      <w:r>
        <w:rPr>
          <w:rFonts w:hint="eastAsia"/>
          <w:sz w:val="48"/>
          <w:szCs w:val="48"/>
        </w:rPr>
        <w:t>书</w:t>
      </w:r>
      <w:bookmarkEnd w:id="333"/>
      <w:bookmarkEnd w:id="334"/>
      <w:bookmarkEnd w:id="335"/>
      <w:bookmarkEnd w:id="336"/>
      <w:bookmarkEnd w:id="337"/>
      <w:bookmarkEnd w:id="338"/>
      <w:bookmarkEnd w:id="339"/>
    </w:p>
    <w:p w14:paraId="2AD89F31">
      <w:pPr>
        <w:spacing w:line="240" w:lineRule="auto"/>
        <w:ind w:firstLine="480"/>
      </w:pPr>
    </w:p>
    <w:p w14:paraId="204C2762">
      <w:pPr>
        <w:spacing w:line="240" w:lineRule="auto"/>
        <w:ind w:firstLine="480"/>
      </w:pPr>
    </w:p>
    <w:p w14:paraId="3D00D5EC">
      <w:pPr>
        <w:spacing w:line="240" w:lineRule="auto"/>
        <w:ind w:firstLine="480"/>
      </w:pPr>
    </w:p>
    <w:p w14:paraId="7C4871EF">
      <w:pPr>
        <w:spacing w:line="240" w:lineRule="auto"/>
        <w:ind w:firstLine="480"/>
      </w:pPr>
    </w:p>
    <w:p w14:paraId="48E94820">
      <w:pPr>
        <w:spacing w:line="240" w:lineRule="auto"/>
        <w:ind w:firstLine="480"/>
      </w:pPr>
    </w:p>
    <w:p w14:paraId="018DF79B">
      <w:pPr>
        <w:spacing w:line="240" w:lineRule="auto"/>
        <w:ind w:firstLine="480"/>
      </w:pPr>
    </w:p>
    <w:p w14:paraId="5CEF6CC0">
      <w:pPr>
        <w:ind w:firstLine="0" w:firstLineChars="0"/>
      </w:pPr>
    </w:p>
    <w:p w14:paraId="3E831601">
      <w:pPr>
        <w:spacing w:line="240" w:lineRule="auto"/>
        <w:ind w:firstLine="480"/>
      </w:pPr>
    </w:p>
    <w:p w14:paraId="1DA5624D">
      <w:pPr>
        <w:spacing w:line="240" w:lineRule="auto"/>
        <w:ind w:firstLine="480"/>
      </w:pPr>
    </w:p>
    <w:p w14:paraId="6E99598C">
      <w:pPr>
        <w:spacing w:line="240" w:lineRule="auto"/>
        <w:ind w:firstLine="480"/>
      </w:pPr>
    </w:p>
    <w:p w14:paraId="5A32D2AA">
      <w:pPr>
        <w:spacing w:line="240" w:lineRule="auto"/>
        <w:ind w:firstLine="240" w:firstLineChars="100"/>
      </w:pPr>
    </w:p>
    <w:p w14:paraId="3C1B4B7F">
      <w:pPr>
        <w:spacing w:line="360" w:lineRule="auto"/>
        <w:ind w:firstLine="301" w:firstLineChars="100"/>
        <w:outlineLvl w:val="1"/>
        <w:rPr>
          <w:b/>
          <w:strike/>
          <w:sz w:val="30"/>
          <w:szCs w:val="30"/>
          <w:u w:val="single"/>
        </w:rPr>
      </w:pPr>
      <w:bookmarkStart w:id="340" w:name="_Toc3015_WPSOffice_Level2"/>
      <w:bookmarkStart w:id="341" w:name="_Toc21288"/>
      <w:bookmarkStart w:id="342" w:name="_Toc5546"/>
      <w:bookmarkStart w:id="343" w:name="_Toc18458_WPSOffice_Level2"/>
      <w:r>
        <w:rPr>
          <w:rFonts w:hint="eastAsia"/>
          <w:b/>
          <w:sz w:val="30"/>
          <w:szCs w:val="30"/>
        </w:rPr>
        <w:t>采购项目名称：</w:t>
      </w:r>
      <w:bookmarkEnd w:id="340"/>
      <w:bookmarkEnd w:id="341"/>
      <w:bookmarkEnd w:id="342"/>
      <w:bookmarkEnd w:id="343"/>
      <w:r>
        <w:rPr>
          <w:rFonts w:hint="eastAsia"/>
          <w:b/>
          <w:sz w:val="30"/>
          <w:szCs w:val="30"/>
          <w:u w:val="single"/>
        </w:rPr>
        <w:t xml:space="preserve">                                      </w:t>
      </w:r>
    </w:p>
    <w:p w14:paraId="16FE2037">
      <w:pPr>
        <w:spacing w:line="360" w:lineRule="auto"/>
        <w:ind w:firstLine="301" w:firstLineChars="100"/>
        <w:outlineLvl w:val="1"/>
        <w:rPr>
          <w:b/>
          <w:sz w:val="30"/>
          <w:szCs w:val="30"/>
          <w:u w:val="single"/>
        </w:rPr>
      </w:pPr>
      <w:bookmarkStart w:id="344" w:name="_Toc18571"/>
      <w:bookmarkStart w:id="345" w:name="_Toc13025"/>
      <w:bookmarkStart w:id="346" w:name="_Toc8826_WPSOffice_Level2"/>
      <w:bookmarkStart w:id="347" w:name="_Toc29021_WPSOffice_Level2"/>
      <w:r>
        <w:rPr>
          <w:rFonts w:hint="eastAsia"/>
          <w:b/>
          <w:sz w:val="30"/>
          <w:szCs w:val="30"/>
        </w:rPr>
        <w:t>采购项目编号:</w:t>
      </w:r>
      <w:bookmarkEnd w:id="344"/>
      <w:bookmarkEnd w:id="345"/>
      <w:bookmarkEnd w:id="346"/>
      <w:bookmarkEnd w:id="347"/>
      <w:r>
        <w:rPr>
          <w:rFonts w:hint="eastAsia"/>
          <w:b/>
          <w:sz w:val="30"/>
          <w:szCs w:val="30"/>
        </w:rPr>
        <w:t xml:space="preserve"> </w:t>
      </w:r>
      <w:r>
        <w:rPr>
          <w:rFonts w:hint="eastAsia"/>
          <w:b/>
          <w:sz w:val="30"/>
          <w:szCs w:val="30"/>
          <w:u w:val="single"/>
        </w:rPr>
        <w:t xml:space="preserve">                                      </w:t>
      </w:r>
    </w:p>
    <w:p w14:paraId="53978B69">
      <w:pPr>
        <w:spacing w:line="360" w:lineRule="auto"/>
        <w:ind w:firstLine="301" w:firstLineChars="100"/>
        <w:outlineLvl w:val="1"/>
        <w:rPr>
          <w:b/>
          <w:sz w:val="30"/>
          <w:szCs w:val="30"/>
        </w:rPr>
      </w:pPr>
      <w:bookmarkStart w:id="348" w:name="_Toc27628_WPSOffice_Level2"/>
      <w:bookmarkStart w:id="349" w:name="_Toc31668_WPSOffice_Level2"/>
      <w:bookmarkStart w:id="350" w:name="_Toc11481"/>
      <w:bookmarkStart w:id="351" w:name="_Toc27271"/>
      <w:r>
        <w:rPr>
          <w:rFonts w:hint="eastAsia"/>
          <w:b/>
          <w:sz w:val="30"/>
          <w:szCs w:val="30"/>
        </w:rPr>
        <w:t>采购合同编号：</w:t>
      </w:r>
      <w:r>
        <w:rPr>
          <w:rFonts w:hint="eastAsia"/>
          <w:b/>
          <w:sz w:val="30"/>
          <w:szCs w:val="30"/>
          <w:u w:val="single"/>
        </w:rPr>
        <w:t xml:space="preserve">  QHWLX-</w:t>
      </w:r>
      <w:bookmarkEnd w:id="348"/>
      <w:bookmarkEnd w:id="349"/>
      <w:bookmarkEnd w:id="350"/>
      <w:bookmarkEnd w:id="351"/>
      <w:r>
        <w:rPr>
          <w:rFonts w:hint="eastAsia"/>
          <w:b/>
          <w:sz w:val="30"/>
          <w:szCs w:val="30"/>
          <w:u w:val="single"/>
        </w:rPr>
        <w:t>202</w:t>
      </w:r>
      <w:r>
        <w:rPr>
          <w:rFonts w:hint="eastAsia"/>
          <w:b/>
          <w:sz w:val="30"/>
          <w:szCs w:val="30"/>
          <w:u w:val="single"/>
          <w:lang w:val="en-US" w:eastAsia="zh-CN"/>
        </w:rPr>
        <w:t>5</w:t>
      </w:r>
      <w:r>
        <w:rPr>
          <w:rFonts w:hint="eastAsia"/>
          <w:b/>
          <w:sz w:val="30"/>
          <w:szCs w:val="30"/>
          <w:u w:val="single"/>
        </w:rPr>
        <w:t>-</w:t>
      </w:r>
      <w:r>
        <w:rPr>
          <w:rFonts w:hint="eastAsia"/>
          <w:b/>
          <w:sz w:val="30"/>
          <w:szCs w:val="30"/>
          <w:u w:val="single"/>
          <w:lang w:val="en-US" w:eastAsia="zh-CN"/>
        </w:rPr>
        <w:t>023</w:t>
      </w:r>
      <w:r>
        <w:rPr>
          <w:rFonts w:hint="eastAsia"/>
          <w:b/>
          <w:sz w:val="30"/>
          <w:szCs w:val="30"/>
          <w:u w:val="single"/>
        </w:rPr>
        <w:t>号</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7702F716">
      <w:pPr>
        <w:spacing w:line="360" w:lineRule="auto"/>
        <w:ind w:firstLine="301" w:firstLineChars="100"/>
        <w:outlineLvl w:val="1"/>
        <w:rPr>
          <w:b/>
          <w:sz w:val="30"/>
          <w:szCs w:val="30"/>
        </w:rPr>
      </w:pPr>
      <w:bookmarkStart w:id="352" w:name="_Toc10297_WPSOffice_Level2"/>
      <w:bookmarkStart w:id="353" w:name="_Toc14311"/>
      <w:bookmarkStart w:id="354" w:name="_Toc3939_WPSOffice_Level2"/>
      <w:bookmarkStart w:id="355" w:name="_Toc12220"/>
      <w:r>
        <w:rPr>
          <w:rFonts w:hint="eastAsia"/>
          <w:b/>
          <w:sz w:val="30"/>
          <w:szCs w:val="30"/>
        </w:rPr>
        <w:t>合同金额（人民币）：</w:t>
      </w:r>
      <w:bookmarkEnd w:id="352"/>
      <w:bookmarkEnd w:id="353"/>
      <w:bookmarkEnd w:id="354"/>
      <w:bookmarkEnd w:id="355"/>
      <w:r>
        <w:rPr>
          <w:rFonts w:hint="eastAsia"/>
          <w:b/>
          <w:sz w:val="30"/>
          <w:szCs w:val="30"/>
          <w:u w:val="single"/>
        </w:rPr>
        <w:t xml:space="preserve">                                </w:t>
      </w:r>
      <w:r>
        <w:rPr>
          <w:rFonts w:hint="eastAsia"/>
          <w:b/>
          <w:sz w:val="30"/>
          <w:szCs w:val="30"/>
        </w:rPr>
        <w:t xml:space="preserve">                                     </w:t>
      </w:r>
    </w:p>
    <w:p w14:paraId="3255B9B3">
      <w:pPr>
        <w:spacing w:line="360" w:lineRule="auto"/>
        <w:ind w:firstLine="301" w:firstLineChars="100"/>
        <w:jc w:val="left"/>
        <w:outlineLvl w:val="1"/>
        <w:rPr>
          <w:b/>
          <w:sz w:val="30"/>
          <w:szCs w:val="30"/>
        </w:rPr>
      </w:pPr>
      <w:bookmarkStart w:id="356" w:name="_Toc24605"/>
      <w:bookmarkStart w:id="357" w:name="_Toc11502_WPSOffice_Level2"/>
      <w:bookmarkStart w:id="358" w:name="_Toc9625_WPSOffice_Level2"/>
      <w:bookmarkStart w:id="359" w:name="_Toc19518"/>
      <w:r>
        <w:rPr>
          <w:rFonts w:hint="eastAsia"/>
          <w:b/>
          <w:sz w:val="30"/>
          <w:szCs w:val="30"/>
        </w:rPr>
        <w:t>采购单位（委托方）：</w:t>
      </w:r>
      <w:r>
        <w:rPr>
          <w:rFonts w:hint="eastAsia"/>
          <w:b/>
          <w:sz w:val="30"/>
          <w:szCs w:val="30"/>
          <w:u w:val="single"/>
        </w:rPr>
        <w:t xml:space="preserve">                        （盖章）</w:t>
      </w:r>
      <w:bookmarkEnd w:id="356"/>
      <w:bookmarkEnd w:id="357"/>
      <w:bookmarkEnd w:id="358"/>
      <w:bookmarkEnd w:id="359"/>
    </w:p>
    <w:p w14:paraId="3EAAEB9B">
      <w:pPr>
        <w:spacing w:line="360" w:lineRule="auto"/>
        <w:ind w:firstLine="301" w:firstLineChars="100"/>
        <w:jc w:val="left"/>
        <w:outlineLvl w:val="1"/>
        <w:rPr>
          <w:b/>
          <w:sz w:val="30"/>
          <w:szCs w:val="30"/>
          <w:u w:val="single"/>
        </w:rPr>
      </w:pPr>
      <w:bookmarkStart w:id="360" w:name="_Toc13326_WPSOffice_Level2"/>
      <w:bookmarkStart w:id="361" w:name="_Toc26234_WPSOffice_Level2"/>
      <w:bookmarkStart w:id="362" w:name="_Toc5762"/>
      <w:bookmarkStart w:id="363" w:name="_Toc16776"/>
      <w:r>
        <w:rPr>
          <w:rFonts w:hint="eastAsia"/>
          <w:b/>
          <w:sz w:val="30"/>
          <w:szCs w:val="30"/>
        </w:rPr>
        <w:t>成交供应商（受托方）：</w:t>
      </w:r>
      <w:r>
        <w:rPr>
          <w:rFonts w:hint="eastAsia"/>
          <w:b/>
          <w:sz w:val="30"/>
          <w:szCs w:val="30"/>
          <w:u w:val="single"/>
        </w:rPr>
        <w:t xml:space="preserve">                      （盖章）</w:t>
      </w:r>
      <w:bookmarkEnd w:id="360"/>
      <w:bookmarkEnd w:id="361"/>
      <w:bookmarkEnd w:id="362"/>
      <w:bookmarkEnd w:id="363"/>
    </w:p>
    <w:p w14:paraId="36D423A2">
      <w:pPr>
        <w:spacing w:line="360" w:lineRule="auto"/>
        <w:ind w:firstLine="301" w:firstLineChars="100"/>
        <w:outlineLvl w:val="1"/>
        <w:rPr>
          <w:b/>
          <w:sz w:val="30"/>
          <w:szCs w:val="30"/>
        </w:rPr>
      </w:pPr>
      <w:bookmarkStart w:id="364" w:name="_Toc11410"/>
      <w:bookmarkStart w:id="365" w:name="_Toc27594"/>
      <w:bookmarkStart w:id="366" w:name="_Toc23709_WPSOffice_Level2"/>
      <w:bookmarkStart w:id="367" w:name="_Toc28543_WPSOffice_Level2"/>
      <w:r>
        <w:rPr>
          <w:rFonts w:hint="eastAsia"/>
          <w:b/>
          <w:sz w:val="30"/>
          <w:szCs w:val="30"/>
        </w:rPr>
        <w:t>磋商日期：</w:t>
      </w:r>
      <w:bookmarkEnd w:id="364"/>
      <w:bookmarkEnd w:id="365"/>
      <w:bookmarkEnd w:id="366"/>
      <w:bookmarkEnd w:id="367"/>
      <w:r>
        <w:rPr>
          <w:rFonts w:hint="eastAsia"/>
          <w:b/>
          <w:sz w:val="30"/>
          <w:szCs w:val="30"/>
          <w:u w:val="single"/>
        </w:rPr>
        <w:t xml:space="preserve">                                          </w:t>
      </w:r>
    </w:p>
    <w:p w14:paraId="4A32843B">
      <w:pPr>
        <w:spacing w:line="240" w:lineRule="auto"/>
        <w:ind w:firstLine="482"/>
        <w:rPr>
          <w:rFonts w:ascii="宋体" w:hAnsi="宋体" w:cs="宋体"/>
          <w:b/>
          <w:bCs/>
        </w:rPr>
      </w:pPr>
      <w:bookmarkStart w:id="368" w:name="_Toc325726036"/>
      <w:bookmarkStart w:id="369" w:name="_Toc376936767"/>
    </w:p>
    <w:p w14:paraId="30E4BF44">
      <w:pPr>
        <w:pStyle w:val="67"/>
        <w:spacing w:line="240" w:lineRule="auto"/>
        <w:ind w:left="0" w:firstLine="0" w:firstLineChars="0"/>
        <w:rPr>
          <w:rFonts w:eastAsia="宋体" w:cs="宋体"/>
          <w:b/>
          <w:bCs/>
          <w:u w:val="single"/>
        </w:rPr>
      </w:pPr>
    </w:p>
    <w:p w14:paraId="16867313">
      <w:pPr>
        <w:pStyle w:val="67"/>
        <w:spacing w:line="240" w:lineRule="auto"/>
        <w:ind w:left="0" w:firstLine="0" w:firstLineChars="0"/>
        <w:rPr>
          <w:b/>
          <w:bCs/>
        </w:rPr>
      </w:pPr>
      <w:r>
        <w:rPr>
          <w:rFonts w:hint="eastAsia" w:eastAsia="宋体" w:cs="宋体"/>
          <w:b/>
          <w:bCs/>
          <w:u w:val="single"/>
        </w:rPr>
        <w:t>注：本合同格式仅为合同的参考文本，合同签订双方可根据项目的具体要求进行修订，但合同标的、数量、金额、服务承诺、履约方式等必须与磋商文件和成交供应商的响应文件保持一致。在不违反原采购方案要求和各方认可的文件内容前提下，合同当事人可对合同范本中个别非磋商文件规定和投标文件承诺的合同条款共同协商完善补充修订。</w:t>
      </w:r>
    </w:p>
    <w:p w14:paraId="17F0E877">
      <w:pPr>
        <w:ind w:firstLine="562"/>
        <w:rPr>
          <w:rFonts w:cs="宋体"/>
          <w:b/>
          <w:bCs/>
          <w:kern w:val="0"/>
          <w:sz w:val="28"/>
          <w:szCs w:val="28"/>
          <w:lang w:val="zh-CN"/>
        </w:rPr>
      </w:pPr>
      <w:bookmarkStart w:id="370" w:name="_Toc28695_WPSOffice_Level2"/>
      <w:bookmarkStart w:id="371" w:name="_Toc18632"/>
      <w:bookmarkStart w:id="372" w:name="_Toc12776"/>
      <w:bookmarkStart w:id="373" w:name="_Toc12007_WPSOffice_Level2"/>
      <w:r>
        <w:rPr>
          <w:rFonts w:hint="eastAsia" w:cs="宋体"/>
          <w:b/>
          <w:bCs/>
          <w:kern w:val="0"/>
          <w:sz w:val="28"/>
          <w:szCs w:val="28"/>
          <w:lang w:val="zh-CN"/>
        </w:rPr>
        <w:br w:type="page"/>
      </w:r>
    </w:p>
    <w:p w14:paraId="0ABD169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outlineLvl w:val="1"/>
        <w:rPr>
          <w:rFonts w:cs="Calibri"/>
          <w:b/>
          <w:bCs/>
          <w:kern w:val="0"/>
          <w:sz w:val="28"/>
          <w:szCs w:val="28"/>
        </w:rPr>
      </w:pPr>
      <w:r>
        <w:rPr>
          <w:rFonts w:hint="eastAsia" w:cs="宋体"/>
          <w:b/>
          <w:bCs/>
          <w:kern w:val="0"/>
          <w:sz w:val="28"/>
          <w:szCs w:val="28"/>
          <w:lang w:val="zh-CN"/>
        </w:rPr>
        <w:t>采</w:t>
      </w:r>
      <w:r>
        <w:rPr>
          <w:rFonts w:cs="Calibri"/>
          <w:b/>
          <w:bCs/>
          <w:kern w:val="0"/>
          <w:sz w:val="28"/>
          <w:szCs w:val="28"/>
        </w:rPr>
        <w:t xml:space="preserve"> </w:t>
      </w:r>
      <w:r>
        <w:rPr>
          <w:rFonts w:hint="eastAsia" w:cs="宋体"/>
          <w:b/>
          <w:bCs/>
          <w:kern w:val="0"/>
          <w:sz w:val="28"/>
          <w:szCs w:val="28"/>
          <w:lang w:val="zh-CN"/>
        </w:rPr>
        <w:t>购</w:t>
      </w:r>
      <w:r>
        <w:rPr>
          <w:rFonts w:cs="Calibri"/>
          <w:b/>
          <w:bCs/>
          <w:kern w:val="0"/>
          <w:sz w:val="28"/>
          <w:szCs w:val="28"/>
        </w:rPr>
        <w:t xml:space="preserve"> </w:t>
      </w:r>
      <w:r>
        <w:rPr>
          <w:rFonts w:hint="eastAsia" w:cs="宋体"/>
          <w:b/>
          <w:bCs/>
          <w:kern w:val="0"/>
          <w:sz w:val="28"/>
          <w:szCs w:val="28"/>
          <w:lang w:val="zh-CN"/>
        </w:rPr>
        <w:t>人（以下简称甲方）：</w:t>
      </w:r>
      <w:bookmarkEnd w:id="370"/>
      <w:bookmarkEnd w:id="371"/>
      <w:bookmarkEnd w:id="372"/>
      <w:bookmarkEnd w:id="373"/>
    </w:p>
    <w:p w14:paraId="61B0D15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outlineLvl w:val="1"/>
        <w:rPr>
          <w:rFonts w:cs="Calibri"/>
          <w:kern w:val="0"/>
          <w:sz w:val="28"/>
          <w:szCs w:val="28"/>
        </w:rPr>
      </w:pPr>
      <w:bookmarkStart w:id="374" w:name="_Toc31383"/>
      <w:bookmarkStart w:id="375" w:name="_Toc12022_WPSOffice_Level2"/>
      <w:bookmarkStart w:id="376" w:name="_Toc13155_WPSOffice_Level2"/>
      <w:bookmarkStart w:id="377" w:name="_Toc10007"/>
      <w:r>
        <w:rPr>
          <w:rFonts w:hint="eastAsia" w:cs="宋体"/>
          <w:b/>
          <w:bCs/>
          <w:kern w:val="0"/>
          <w:sz w:val="28"/>
          <w:szCs w:val="28"/>
          <w:lang w:val="zh-CN"/>
        </w:rPr>
        <w:t>供</w:t>
      </w:r>
      <w:r>
        <w:rPr>
          <w:rFonts w:cs="Calibri"/>
          <w:b/>
          <w:bCs/>
          <w:kern w:val="0"/>
          <w:sz w:val="28"/>
          <w:szCs w:val="28"/>
        </w:rPr>
        <w:t xml:space="preserve"> </w:t>
      </w:r>
      <w:r>
        <w:rPr>
          <w:rFonts w:hint="eastAsia" w:cs="宋体"/>
          <w:b/>
          <w:bCs/>
          <w:kern w:val="0"/>
          <w:sz w:val="28"/>
          <w:szCs w:val="28"/>
          <w:lang w:val="zh-CN"/>
        </w:rPr>
        <w:t>应</w:t>
      </w:r>
      <w:r>
        <w:rPr>
          <w:rFonts w:cs="Calibri"/>
          <w:b/>
          <w:bCs/>
          <w:kern w:val="0"/>
          <w:sz w:val="28"/>
          <w:szCs w:val="28"/>
        </w:rPr>
        <w:t xml:space="preserve"> </w:t>
      </w:r>
      <w:r>
        <w:rPr>
          <w:rFonts w:hint="eastAsia" w:cs="宋体"/>
          <w:b/>
          <w:bCs/>
          <w:kern w:val="0"/>
          <w:sz w:val="28"/>
          <w:szCs w:val="28"/>
          <w:lang w:val="zh-CN"/>
        </w:rPr>
        <w:t>商（以下简称乙方）：</w:t>
      </w:r>
      <w:bookmarkEnd w:id="374"/>
      <w:bookmarkEnd w:id="375"/>
      <w:bookmarkEnd w:id="376"/>
      <w:bookmarkEnd w:id="377"/>
    </w:p>
    <w:p w14:paraId="1E2EA8A7">
      <w:pPr>
        <w:pStyle w:val="27"/>
        <w:keepNext w:val="0"/>
        <w:keepLines w:val="0"/>
        <w:pageBreakBefore w:val="0"/>
        <w:widowControl w:val="0"/>
        <w:kinsoku/>
        <w:wordWrap/>
        <w:overflowPunct/>
        <w:topLinePunct w:val="0"/>
        <w:bidi w:val="0"/>
        <w:snapToGrid w:val="0"/>
        <w:spacing w:line="336" w:lineRule="auto"/>
        <w:ind w:left="0" w:leftChars="0" w:firstLine="480"/>
        <w:textAlignment w:val="auto"/>
        <w:rPr>
          <w:rFonts w:hint="eastAsia" w:ascii="新宋体" w:hAnsi="新宋体" w:eastAsia="新宋体" w:cs="新宋体"/>
          <w:kern w:val="0"/>
          <w:sz w:val="24"/>
          <w:lang w:val="zh-CN"/>
        </w:rPr>
      </w:pPr>
      <w:bookmarkStart w:id="378" w:name="_Toc7057_WPSOffice_Level2"/>
      <w:bookmarkStart w:id="379" w:name="_Toc30882_WPSOffice_Level2"/>
      <w:bookmarkStart w:id="380" w:name="_Toc12450"/>
      <w:bookmarkStart w:id="381" w:name="_Toc21113"/>
      <w:r>
        <w:rPr>
          <w:rFonts w:hint="eastAsia" w:ascii="新宋体" w:hAnsi="新宋体" w:eastAsia="新宋体" w:cs="新宋体"/>
          <w:kern w:val="0"/>
          <w:sz w:val="24"/>
          <w:lang w:val="zh-CN"/>
        </w:rPr>
        <w:t>甲、乙双方根据</w:t>
      </w:r>
      <w:r>
        <w:rPr>
          <w:rFonts w:hint="eastAsia" w:ascii="新宋体" w:hAnsi="新宋体" w:eastAsia="新宋体" w:cs="新宋体"/>
          <w:kern w:val="0"/>
          <w:sz w:val="24"/>
        </w:rPr>
        <w:t>202</w:t>
      </w:r>
      <w:r>
        <w:rPr>
          <w:rFonts w:hint="eastAsia" w:ascii="新宋体" w:hAnsi="新宋体" w:eastAsia="新宋体" w:cs="新宋体"/>
          <w:kern w:val="0"/>
          <w:sz w:val="24"/>
          <w:lang w:val="en-US" w:eastAsia="zh-CN"/>
        </w:rPr>
        <w:t>5</w:t>
      </w:r>
      <w:r>
        <w:rPr>
          <w:rFonts w:hint="eastAsia" w:ascii="新宋体" w:hAnsi="新宋体" w:eastAsia="新宋体" w:cs="新宋体"/>
          <w:kern w:val="0"/>
          <w:sz w:val="24"/>
        </w:rPr>
        <w:t>年XX</w:t>
      </w:r>
      <w:r>
        <w:rPr>
          <w:rFonts w:hint="eastAsia" w:ascii="新宋体" w:hAnsi="新宋体" w:eastAsia="新宋体" w:cs="新宋体"/>
          <w:kern w:val="0"/>
          <w:sz w:val="24"/>
          <w:lang w:val="zh-CN"/>
        </w:rPr>
        <w:t>月</w:t>
      </w:r>
      <w:r>
        <w:rPr>
          <w:rFonts w:hint="eastAsia" w:ascii="新宋体" w:hAnsi="新宋体" w:eastAsia="新宋体" w:cs="新宋体"/>
          <w:kern w:val="0"/>
          <w:sz w:val="24"/>
        </w:rPr>
        <w:t>XX</w:t>
      </w:r>
      <w:r>
        <w:rPr>
          <w:rFonts w:hint="eastAsia" w:ascii="新宋体" w:hAnsi="新宋体" w:eastAsia="新宋体" w:cs="新宋体"/>
          <w:kern w:val="0"/>
          <w:sz w:val="24"/>
          <w:lang w:val="zh-CN"/>
        </w:rPr>
        <w:t>日</w:t>
      </w:r>
      <w:r>
        <w:rPr>
          <w:rFonts w:hint="eastAsia" w:ascii="新宋体" w:hAnsi="新宋体" w:eastAsia="新宋体" w:cs="新宋体"/>
          <w:kern w:val="0"/>
          <w:sz w:val="24"/>
          <w:u w:val="single"/>
          <w:lang w:val="zh-CN"/>
        </w:rPr>
        <w:t>（</w:t>
      </w:r>
      <w:r>
        <w:rPr>
          <w:rFonts w:hint="eastAsia"/>
          <w:sz w:val="24"/>
          <w:szCs w:val="24"/>
          <w:u w:val="single"/>
          <w:lang w:eastAsia="zh-CN"/>
        </w:rPr>
        <w:t>共和县中医院两专一中心（康复器材）采购项目</w:t>
      </w:r>
      <w:r>
        <w:rPr>
          <w:rFonts w:hint="eastAsia" w:ascii="新宋体" w:hAnsi="新宋体" w:eastAsia="新宋体" w:cs="新宋体"/>
          <w:kern w:val="0"/>
          <w:sz w:val="24"/>
          <w:u w:val="single"/>
          <w:lang w:val="zh-CN"/>
        </w:rPr>
        <w:t>）</w:t>
      </w:r>
      <w:r>
        <w:rPr>
          <w:rFonts w:hint="eastAsia" w:ascii="新宋体" w:hAnsi="新宋体" w:eastAsia="新宋体" w:cs="新宋体"/>
          <w:kern w:val="0"/>
          <w:sz w:val="24"/>
          <w:lang w:val="zh-CN"/>
        </w:rPr>
        <w:t>采购项目（</w:t>
      </w:r>
      <w:r>
        <w:rPr>
          <w:rFonts w:hint="eastAsia" w:ascii="新宋体" w:hAnsi="新宋体" w:eastAsia="新宋体" w:cs="新宋体"/>
          <w:kern w:val="0"/>
          <w:sz w:val="24"/>
          <w:u w:val="single"/>
          <w:lang w:val="zh-CN"/>
        </w:rPr>
        <w:t>青海旺利欣竞磋（货物）202</w:t>
      </w:r>
      <w:r>
        <w:rPr>
          <w:rFonts w:hint="eastAsia" w:ascii="新宋体" w:hAnsi="新宋体" w:eastAsia="新宋体" w:cs="新宋体"/>
          <w:kern w:val="0"/>
          <w:sz w:val="24"/>
          <w:u w:val="single"/>
          <w:lang w:val="en-US" w:eastAsia="zh-CN"/>
        </w:rPr>
        <w:t>5</w:t>
      </w:r>
      <w:r>
        <w:rPr>
          <w:rFonts w:hint="eastAsia" w:ascii="新宋体" w:hAnsi="新宋体" w:eastAsia="新宋体" w:cs="新宋体"/>
          <w:kern w:val="0"/>
          <w:sz w:val="24"/>
          <w:u w:val="single"/>
          <w:lang w:val="zh-CN"/>
        </w:rPr>
        <w:t>-</w:t>
      </w:r>
      <w:r>
        <w:rPr>
          <w:rFonts w:hint="eastAsia" w:ascii="新宋体" w:hAnsi="新宋体" w:eastAsia="新宋体" w:cs="新宋体"/>
          <w:kern w:val="0"/>
          <w:sz w:val="24"/>
          <w:u w:val="single"/>
          <w:lang w:val="en-US" w:eastAsia="zh-CN"/>
        </w:rPr>
        <w:t>023</w:t>
      </w:r>
      <w:r>
        <w:rPr>
          <w:rFonts w:hint="eastAsia" w:ascii="新宋体" w:hAnsi="新宋体" w:eastAsia="新宋体" w:cs="新宋体"/>
          <w:kern w:val="0"/>
          <w:sz w:val="24"/>
          <w:u w:val="single"/>
          <w:lang w:val="zh-CN"/>
        </w:rPr>
        <w:t>号</w:t>
      </w:r>
      <w:r>
        <w:rPr>
          <w:rFonts w:hint="eastAsia" w:ascii="新宋体" w:hAnsi="新宋体" w:eastAsia="新宋体" w:cs="新宋体"/>
          <w:kern w:val="0"/>
          <w:sz w:val="24"/>
          <w:lang w:val="zh-CN"/>
        </w:rPr>
        <w:t>）的</w:t>
      </w:r>
      <w:r>
        <w:rPr>
          <w:rFonts w:hint="eastAsia" w:ascii="新宋体" w:hAnsi="新宋体" w:eastAsia="新宋体" w:cs="新宋体"/>
          <w:kern w:val="0"/>
          <w:sz w:val="24"/>
          <w:lang w:val="en-US" w:eastAsia="zh-CN"/>
        </w:rPr>
        <w:t>磋商</w:t>
      </w:r>
      <w:r>
        <w:rPr>
          <w:rFonts w:hint="eastAsia" w:ascii="新宋体" w:hAnsi="新宋体" w:eastAsia="新宋体" w:cs="新宋体"/>
          <w:kern w:val="0"/>
          <w:sz w:val="24"/>
          <w:lang w:val="zh-CN" w:eastAsia="zh-CN"/>
        </w:rPr>
        <w:t>文件</w:t>
      </w:r>
      <w:r>
        <w:rPr>
          <w:rFonts w:hint="eastAsia" w:ascii="新宋体" w:hAnsi="新宋体" w:eastAsia="新宋体" w:cs="新宋体"/>
          <w:kern w:val="0"/>
          <w:sz w:val="24"/>
          <w:lang w:val="zh-CN"/>
        </w:rPr>
        <w:t>要求、采购代理机构出具的《</w:t>
      </w:r>
      <w:r>
        <w:rPr>
          <w:rFonts w:hint="eastAsia" w:ascii="新宋体" w:hAnsi="新宋体" w:eastAsia="新宋体" w:cs="新宋体"/>
          <w:kern w:val="0"/>
          <w:sz w:val="24"/>
          <w:lang w:val="en-US" w:eastAsia="zh-CN"/>
        </w:rPr>
        <w:t>成交</w:t>
      </w:r>
      <w:r>
        <w:rPr>
          <w:rFonts w:hint="eastAsia" w:ascii="新宋体" w:hAnsi="新宋体" w:eastAsia="新宋体" w:cs="新宋体"/>
          <w:kern w:val="0"/>
          <w:sz w:val="24"/>
          <w:lang w:val="zh-CN"/>
        </w:rPr>
        <w:t>通知书》，并经双方协商一致，签订本合同协议书。</w:t>
      </w:r>
    </w:p>
    <w:p w14:paraId="127DBDB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一、签订本政府采购合同的依据</w:t>
      </w:r>
    </w:p>
    <w:p w14:paraId="55C9318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本政府采购合同所附下列文件是构成本政府采购合同不可分割的部分：</w:t>
      </w:r>
    </w:p>
    <w:p w14:paraId="6A3BE200">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FF0000"/>
          <w:kern w:val="0"/>
          <w:lang w:val="zh-CN"/>
        </w:rPr>
      </w:pPr>
      <w:r>
        <w:rPr>
          <w:rFonts w:hint="eastAsia" w:ascii="新宋体" w:hAnsi="新宋体" w:eastAsia="新宋体" w:cs="新宋体"/>
          <w:kern w:val="0"/>
          <w:lang w:val="zh-CN"/>
        </w:rPr>
        <w:t>1.</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w:t>
      </w:r>
    </w:p>
    <w:p w14:paraId="18312E73">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2.</w:t>
      </w:r>
      <w:r>
        <w:rPr>
          <w:rFonts w:hint="eastAsia" w:ascii="宋体" w:hAnsi="宋体" w:cs="宋体"/>
          <w:color w:val="000000"/>
          <w:szCs w:val="24"/>
          <w:highlight w:val="none"/>
          <w:lang w:eastAsia="zh-CN" w:bidi="ar"/>
        </w:rPr>
        <w:t>招</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的更正、变更公告；</w:t>
      </w:r>
    </w:p>
    <w:p w14:paraId="0787A8BA">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3.中标人提交的</w:t>
      </w:r>
      <w:r>
        <w:rPr>
          <w:rFonts w:hint="eastAsia" w:ascii="新宋体" w:hAnsi="新宋体" w:eastAsia="新宋体" w:cs="新宋体"/>
          <w:color w:val="auto"/>
          <w:kern w:val="0"/>
          <w:lang w:val="en-US" w:eastAsia="zh-CN"/>
        </w:rPr>
        <w:t>响应</w:t>
      </w:r>
      <w:r>
        <w:rPr>
          <w:rFonts w:hint="eastAsia" w:ascii="新宋体" w:hAnsi="新宋体" w:eastAsia="新宋体" w:cs="新宋体"/>
          <w:color w:val="auto"/>
          <w:kern w:val="0"/>
          <w:lang w:val="zh-CN"/>
        </w:rPr>
        <w:t>文件；</w:t>
      </w:r>
    </w:p>
    <w:p w14:paraId="59B4A18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4.</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中规定的政府采购合同通用条款；</w:t>
      </w:r>
    </w:p>
    <w:p w14:paraId="232B9A76">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5.</w:t>
      </w:r>
      <w:r>
        <w:rPr>
          <w:rFonts w:hint="eastAsia" w:ascii="新宋体" w:hAnsi="新宋体" w:eastAsia="新宋体" w:cs="新宋体"/>
          <w:kern w:val="0"/>
          <w:sz w:val="24"/>
          <w:lang w:val="en-US" w:eastAsia="zh-CN"/>
        </w:rPr>
        <w:t>成交</w:t>
      </w:r>
      <w:r>
        <w:rPr>
          <w:rFonts w:hint="eastAsia" w:ascii="新宋体" w:hAnsi="新宋体" w:eastAsia="新宋体" w:cs="新宋体"/>
          <w:color w:val="auto"/>
          <w:kern w:val="0"/>
          <w:lang w:val="zh-CN"/>
        </w:rPr>
        <w:t>通知书；</w:t>
      </w:r>
    </w:p>
    <w:p w14:paraId="06FE3EAE">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6.履约保证金缴费证明。</w:t>
      </w:r>
    </w:p>
    <w:p w14:paraId="547C7280">
      <w:pPr>
        <w:keepNext w:val="0"/>
        <w:keepLines w:val="0"/>
        <w:pageBreakBefore w:val="0"/>
        <w:widowControl w:val="0"/>
        <w:kinsoku/>
        <w:wordWrap/>
        <w:overflowPunct/>
        <w:topLinePunct w:val="0"/>
        <w:autoSpaceDE w:val="0"/>
        <w:autoSpaceDN w:val="0"/>
        <w:bidi w:val="0"/>
        <w:snapToGrid w:val="0"/>
        <w:spacing w:line="336" w:lineRule="auto"/>
        <w:textAlignment w:val="auto"/>
        <w:rPr>
          <w:rFonts w:hint="eastAsia" w:ascii="宋体" w:hAnsi="宋体" w:eastAsia="宋体" w:cs="宋体"/>
          <w:b/>
          <w:bCs/>
          <w:color w:val="000000"/>
          <w:kern w:val="0"/>
          <w:highlight w:val="none"/>
          <w:lang w:eastAsia="zh-CN"/>
        </w:rPr>
      </w:pPr>
      <w:r>
        <w:rPr>
          <w:rFonts w:hint="eastAsia" w:ascii="宋体" w:hAnsi="宋体" w:cs="宋体"/>
          <w:color w:val="000000"/>
          <w:kern w:val="0"/>
          <w:highlight w:val="none"/>
          <w:lang w:val="zh-CN"/>
        </w:rPr>
        <w:t>二、合同标的及金额</w:t>
      </w:r>
    </w:p>
    <w:tbl>
      <w:tblPr>
        <w:tblStyle w:val="68"/>
        <w:tblW w:w="8933" w:type="dxa"/>
        <w:jc w:val="center"/>
        <w:tblLayout w:type="fixed"/>
        <w:tblCellMar>
          <w:top w:w="0" w:type="dxa"/>
          <w:left w:w="108" w:type="dxa"/>
          <w:bottom w:w="0" w:type="dxa"/>
          <w:right w:w="108" w:type="dxa"/>
        </w:tblCellMar>
      </w:tblPr>
      <w:tblGrid>
        <w:gridCol w:w="879"/>
        <w:gridCol w:w="862"/>
        <w:gridCol w:w="1330"/>
        <w:gridCol w:w="1330"/>
        <w:gridCol w:w="740"/>
        <w:gridCol w:w="755"/>
        <w:gridCol w:w="771"/>
        <w:gridCol w:w="770"/>
        <w:gridCol w:w="725"/>
        <w:gridCol w:w="771"/>
      </w:tblGrid>
      <w:tr w14:paraId="6502A0AD">
        <w:tblPrEx>
          <w:tblCellMar>
            <w:top w:w="0" w:type="dxa"/>
            <w:left w:w="108" w:type="dxa"/>
            <w:bottom w:w="0" w:type="dxa"/>
            <w:right w:w="108" w:type="dxa"/>
          </w:tblCellMar>
        </w:tblPrEx>
        <w:trPr>
          <w:cantSplit/>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73E7422A">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ascii="宋体" w:hAnsi="宋体" w:cs="宋体"/>
                <w:sz w:val="24"/>
                <w:szCs w:val="24"/>
              </w:rPr>
              <w:t>序号</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2C79A9F0">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名称</w:t>
            </w: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9E64C66">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生产厂家</w:t>
            </w: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CCEEEC7">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规格型号</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CC75222">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单位</w:t>
            </w: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5AA6CCF">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ascii="宋体" w:hAnsi="宋体" w:cs="宋体"/>
                <w:sz w:val="24"/>
                <w:szCs w:val="24"/>
              </w:rPr>
              <w:t>数量</w:t>
            </w: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5D69AEEB">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单价</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ACBA1CA">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合计</w:t>
            </w: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CAB0E2F">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产地</w:t>
            </w: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2429E16D">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highlight w:val="yellow"/>
                <w:lang w:eastAsia="zh-CN"/>
              </w:rPr>
            </w:pPr>
            <w:r>
              <w:rPr>
                <w:rFonts w:hint="eastAsia" w:ascii="宋体" w:hAnsi="宋体" w:cs="宋体"/>
                <w:sz w:val="24"/>
                <w:szCs w:val="24"/>
                <w:highlight w:val="none"/>
                <w:lang w:eastAsia="zh-CN"/>
              </w:rPr>
              <w:t>备注</w:t>
            </w:r>
          </w:p>
        </w:tc>
      </w:tr>
      <w:tr w14:paraId="5F3D252D">
        <w:tblPrEx>
          <w:tblCellMar>
            <w:top w:w="0" w:type="dxa"/>
            <w:left w:w="108" w:type="dxa"/>
            <w:bottom w:w="0" w:type="dxa"/>
            <w:right w:w="108" w:type="dxa"/>
          </w:tblCellMar>
        </w:tblPrEx>
        <w:trPr>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7BEE0CC">
            <w:pPr>
              <w:keepNext w:val="0"/>
              <w:keepLines w:val="0"/>
              <w:pageBreakBefore w:val="0"/>
              <w:widowControl w:val="0"/>
              <w:kinsoku/>
              <w:wordWrap/>
              <w:overflowPunct/>
              <w:topLinePunct w:val="0"/>
              <w:bidi w:val="0"/>
              <w:snapToGrid w:val="0"/>
              <w:spacing w:line="240" w:lineRule="auto"/>
              <w:ind w:left="0" w:leftChars="0" w:firstLine="240" w:firstLineChars="100"/>
              <w:jc w:val="both"/>
              <w:textAlignment w:val="auto"/>
              <w:rPr>
                <w:rFonts w:ascii="宋体" w:hAnsi="宋体" w:cs="宋体"/>
                <w:sz w:val="24"/>
                <w:szCs w:val="24"/>
              </w:rPr>
            </w:pPr>
            <w:r>
              <w:rPr>
                <w:rFonts w:ascii="宋体" w:hAnsi="宋体" w:cs="宋体"/>
                <w:sz w:val="24"/>
                <w:szCs w:val="24"/>
              </w:rPr>
              <w:t>1</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3B323C68">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66A0345">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797695A5">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22A8D3A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5313A7F">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C596B72">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34CBA9E">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A820342">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B3E4684">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r>
      <w:tr w14:paraId="4B31C388">
        <w:tblPrEx>
          <w:tblCellMar>
            <w:top w:w="0" w:type="dxa"/>
            <w:left w:w="108" w:type="dxa"/>
            <w:bottom w:w="0" w:type="dxa"/>
            <w:right w:w="108" w:type="dxa"/>
          </w:tblCellMar>
        </w:tblPrEx>
        <w:trPr>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401B034">
            <w:pPr>
              <w:keepNext w:val="0"/>
              <w:keepLines w:val="0"/>
              <w:pageBreakBefore w:val="0"/>
              <w:widowControl w:val="0"/>
              <w:kinsoku/>
              <w:wordWrap/>
              <w:overflowPunct/>
              <w:topLinePunct w:val="0"/>
              <w:bidi w:val="0"/>
              <w:snapToGrid w:val="0"/>
              <w:spacing w:line="240" w:lineRule="auto"/>
              <w:ind w:left="0" w:leftChars="0" w:firstLine="240" w:firstLineChars="100"/>
              <w:jc w:val="both"/>
              <w:textAlignment w:val="auto"/>
              <w:rPr>
                <w:rFonts w:ascii="宋体" w:hAnsi="宋体" w:cs="宋体"/>
                <w:sz w:val="24"/>
                <w:szCs w:val="24"/>
              </w:rPr>
            </w:pPr>
            <w:r>
              <w:rPr>
                <w:rFonts w:ascii="宋体" w:hAnsi="宋体" w:cs="宋体"/>
                <w:sz w:val="24"/>
                <w:szCs w:val="24"/>
              </w:rPr>
              <w:t>2</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6AE1317">
            <w:pPr>
              <w:keepNext w:val="0"/>
              <w:keepLines w:val="0"/>
              <w:pageBreakBefore w:val="0"/>
              <w:widowControl w:val="0"/>
              <w:kinsoku/>
              <w:wordWrap/>
              <w:overflowPunct/>
              <w:topLinePunct w:val="0"/>
              <w:bidi w:val="0"/>
              <w:snapToGrid w:val="0"/>
              <w:spacing w:line="240" w:lineRule="auto"/>
              <w:ind w:firstLine="480"/>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17828E7A">
            <w:pPr>
              <w:keepNext w:val="0"/>
              <w:keepLines w:val="0"/>
              <w:pageBreakBefore w:val="0"/>
              <w:widowControl w:val="0"/>
              <w:kinsoku/>
              <w:wordWrap/>
              <w:overflowPunct/>
              <w:topLinePunct w:val="0"/>
              <w:bidi w:val="0"/>
              <w:snapToGrid w:val="0"/>
              <w:spacing w:line="240" w:lineRule="auto"/>
              <w:ind w:firstLine="480"/>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4475C27">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1677D98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A84E1C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75326D17">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1A2634B">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B88D6C3">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2A71F908">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r>
    </w:tbl>
    <w:p w14:paraId="40272307">
      <w:pPr>
        <w:keepNext w:val="0"/>
        <w:keepLines w:val="0"/>
        <w:pageBreakBefore w:val="0"/>
        <w:widowControl w:val="0"/>
        <w:kinsoku/>
        <w:wordWrap/>
        <w:overflowPunct/>
        <w:topLinePunct w:val="0"/>
        <w:autoSpaceDE w:val="0"/>
        <w:autoSpaceDN w:val="0"/>
        <w:bidi w:val="0"/>
        <w:snapToGrid w:val="0"/>
        <w:spacing w:line="240" w:lineRule="auto"/>
        <w:ind w:firstLine="480" w:firstLineChars="200"/>
        <w:jc w:val="left"/>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根据上述政府采购合同文件要求，本政府采购合同的总金额为人民币</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元</w:t>
      </w:r>
      <w:r>
        <w:rPr>
          <w:rFonts w:hint="eastAsia" w:ascii="宋体" w:hAnsi="宋体" w:cs="宋体"/>
          <w:color w:val="000000"/>
          <w:kern w:val="0"/>
          <w:highlight w:val="none"/>
          <w:lang w:val="en-US" w:eastAsia="zh-CN"/>
        </w:rPr>
        <w:t>(大写金额：</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w:t>
      </w:r>
    </w:p>
    <w:p w14:paraId="3D206623">
      <w:pPr>
        <w:keepNext w:val="0"/>
        <w:keepLines w:val="0"/>
        <w:pageBreakBefore w:val="0"/>
        <w:widowControl w:val="0"/>
        <w:kinsoku/>
        <w:wordWrap/>
        <w:overflowPunct/>
        <w:topLinePunct w:val="0"/>
        <w:autoSpaceDE w:val="0"/>
        <w:autoSpaceDN w:val="0"/>
        <w:bidi w:val="0"/>
        <w:snapToGrid w:val="0"/>
        <w:spacing w:line="24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投标报价必须包括：产品费、验收费、手续费、包装费、运输费、保险费、安装费、调试费、培训费、售前、售中、售后服务费、招标代理费、税金及不可预见费等全部费用。</w:t>
      </w:r>
    </w:p>
    <w:p w14:paraId="7FEE4B25">
      <w:pPr>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三、交付时间、地点和要求</w:t>
      </w:r>
    </w:p>
    <w:p w14:paraId="34C1C544">
      <w:pPr>
        <w:keepNext w:val="0"/>
        <w:keepLines w:val="0"/>
        <w:pageBreakBefore w:val="0"/>
        <w:widowControl w:val="0"/>
        <w:kinsoku/>
        <w:wordWrap/>
        <w:overflowPunct/>
        <w:topLinePunct w:val="0"/>
        <w:autoSpaceDE w:val="0"/>
        <w:autoSpaceDN w:val="0"/>
        <w:bidi w:val="0"/>
        <w:snapToGrid w:val="0"/>
        <w:spacing w:line="360" w:lineRule="auto"/>
        <w:ind w:firstLine="36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交货时间：</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lang w:val="en-US" w:eastAsia="zh-CN"/>
        </w:rPr>
        <w:t>共和县中医院</w:t>
      </w:r>
      <w:r>
        <w:rPr>
          <w:rFonts w:hint="eastAsia" w:ascii="宋体" w:hAnsi="宋体" w:cs="宋体"/>
          <w:color w:val="000000"/>
          <w:kern w:val="0"/>
          <w:highlight w:val="none"/>
          <w:lang w:val="zh-CN"/>
        </w:rPr>
        <w:t>；</w:t>
      </w:r>
    </w:p>
    <w:p w14:paraId="766991DA">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乙方提供不符合</w:t>
      </w:r>
      <w:r>
        <w:rPr>
          <w:rFonts w:hint="eastAsia" w:ascii="宋体" w:hAnsi="宋体" w:cs="宋体"/>
          <w:color w:val="000000"/>
          <w:szCs w:val="24"/>
          <w:highlight w:val="none"/>
          <w:lang w:eastAsia="zh-CN" w:bidi="ar"/>
        </w:rPr>
        <w:t>磋商文件、投标文件</w:t>
      </w:r>
      <w:r>
        <w:rPr>
          <w:rFonts w:hint="eastAsia" w:ascii="宋体" w:hAnsi="宋体" w:cs="宋体"/>
          <w:color w:val="000000"/>
          <w:kern w:val="0"/>
          <w:highlight w:val="none"/>
          <w:lang w:val="zh-CN"/>
        </w:rPr>
        <w:t>和本合同规定的产品，甲方有权拒绝接受。</w:t>
      </w:r>
    </w:p>
    <w:p w14:paraId="28603A5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乙方应将提供产品的装箱清单、用户手册、原厂保修卡、随机资料、工具和备品、备件等交付给甲方如有缺失应及时补齐，否则视为逾期交货。</w:t>
      </w:r>
    </w:p>
    <w:p w14:paraId="310953E1">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甲方应当在到货（安装、调试完）后</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个工作日内进行验收，逾期不验收的，乙方可视为验收合格。验收合格后，由甲乙双方签署产品验收单并加盖采购人公章，甲乙双方各执一份。</w:t>
      </w:r>
    </w:p>
    <w:p w14:paraId="48EF948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甲方应提供该项目验收报告交同级财政监管部门，由财政部门按规定程序抽验后办理资金拨付。</w:t>
      </w:r>
    </w:p>
    <w:p w14:paraId="2EF7F22D">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甲方在验收过程中发现乙方有违约问题，可按</w:t>
      </w:r>
      <w:r>
        <w:rPr>
          <w:rFonts w:hint="eastAsia" w:ascii="宋体" w:hAnsi="宋体" w:cs="宋体"/>
          <w:color w:val="000000"/>
          <w:szCs w:val="24"/>
          <w:highlight w:val="none"/>
          <w:lang w:eastAsia="zh-CN" w:bidi="ar"/>
        </w:rPr>
        <w:t>磋商文件</w:t>
      </w:r>
      <w:r>
        <w:rPr>
          <w:rFonts w:hint="eastAsia" w:ascii="宋体" w:hAnsi="宋体" w:cs="宋体"/>
          <w:color w:val="auto"/>
          <w:kern w:val="0"/>
          <w:highlight w:val="none"/>
          <w:lang w:val="zh-CN"/>
        </w:rPr>
        <w:t>、投标</w:t>
      </w:r>
      <w:r>
        <w:rPr>
          <w:rFonts w:hint="eastAsia" w:ascii="宋体" w:hAnsi="宋体" w:cs="宋体"/>
          <w:color w:val="000000"/>
          <w:kern w:val="0"/>
          <w:highlight w:val="none"/>
          <w:lang w:val="zh-CN"/>
        </w:rPr>
        <w:t>文件的规定要求乙方及时予以解决。</w:t>
      </w:r>
    </w:p>
    <w:p w14:paraId="3B3682E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乙方向甲方提供产品相关完税销售发票。</w:t>
      </w:r>
    </w:p>
    <w:p w14:paraId="09BFB45D">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auto"/>
          <w:kern w:val="0"/>
          <w:highlight w:val="none"/>
          <w:lang w:val="zh-CN"/>
        </w:rPr>
      </w:pPr>
      <w:r>
        <w:rPr>
          <w:rFonts w:hint="eastAsia" w:ascii="宋体" w:hAnsi="宋体" w:cs="宋体"/>
          <w:color w:val="auto"/>
          <w:kern w:val="0"/>
          <w:highlight w:val="none"/>
          <w:lang w:val="zh-CN"/>
        </w:rPr>
        <w:t>四、付款方式</w:t>
      </w:r>
    </w:p>
    <w:p w14:paraId="58F57D84">
      <w:pPr>
        <w:rPr>
          <w:rFonts w:hint="default" w:ascii="宋体" w:hAnsi="宋体" w:cs="宋体"/>
          <w:b w:val="0"/>
          <w:bCs w:val="0"/>
          <w:color w:val="auto"/>
          <w:kern w:val="0"/>
          <w:sz w:val="24"/>
          <w:szCs w:val="24"/>
          <w:highlight w:val="none"/>
          <w:u w:val="none"/>
          <w:lang w:val="en-US" w:eastAsia="zh-CN"/>
        </w:rPr>
      </w:pPr>
      <w:r>
        <w:rPr>
          <w:rFonts w:hint="eastAsia" w:ascii="宋体" w:hAnsi="宋体" w:cs="宋体"/>
          <w:color w:val="auto"/>
          <w:kern w:val="0"/>
          <w:highlight w:val="none"/>
          <w:lang w:val="zh-CN" w:eastAsia="zh-CN"/>
        </w:rPr>
        <w:t>签订合同前，乙方向甲方缴纳合同总价款的</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eastAsia="zh-CN"/>
        </w:rPr>
        <w:t>%，</w:t>
      </w:r>
      <w:r>
        <w:rPr>
          <w:rFonts w:hint="eastAsia" w:ascii="宋体" w:hAnsi="宋体" w:cs="宋体"/>
          <w:b w:val="0"/>
          <w:bCs w:val="0"/>
          <w:color w:val="auto"/>
          <w:kern w:val="0"/>
          <w:sz w:val="24"/>
          <w:szCs w:val="24"/>
          <w:highlight w:val="none"/>
          <w:u w:val="none"/>
          <w:lang w:val="en-US" w:eastAsia="zh-CN"/>
        </w:rPr>
        <w:t>待产品质保期满且提供产品无质量问题证明后一次性退还，不计利息。乙方所交付的产品质保期按验收合格之日起计算。</w:t>
      </w:r>
    </w:p>
    <w:p w14:paraId="562B340A">
      <w:pPr>
        <w:keepNext w:val="0"/>
        <w:keepLines w:val="0"/>
        <w:pageBreakBefore w:val="0"/>
        <w:widowControl w:val="0"/>
        <w:kinsoku/>
        <w:wordWrap/>
        <w:overflowPunct/>
        <w:topLinePunct w:val="0"/>
        <w:autoSpaceDE w:val="0"/>
        <w:autoSpaceDN w:val="0"/>
        <w:bidi w:val="0"/>
        <w:snapToGrid w:val="0"/>
        <w:spacing w:line="360" w:lineRule="auto"/>
        <w:textAlignment w:val="auto"/>
        <w:rPr>
          <w:rFonts w:hint="default" w:ascii="宋体" w:hAnsi="宋体" w:cs="宋体"/>
          <w:color w:val="auto"/>
          <w:kern w:val="0"/>
          <w:highlight w:val="none"/>
          <w:lang w:val="en-US"/>
        </w:rPr>
      </w:pPr>
      <w:r>
        <w:rPr>
          <w:rFonts w:hint="eastAsia" w:ascii="宋体" w:hAnsi="宋体" w:cs="宋体"/>
          <w:color w:val="auto"/>
          <w:kern w:val="0"/>
          <w:highlight w:val="none"/>
          <w:lang w:val="zh-CN" w:eastAsia="zh-CN"/>
        </w:rPr>
        <w:t>合同签订后甲方向乙方支付合同总价款</w:t>
      </w:r>
      <w:r>
        <w:rPr>
          <w:rFonts w:hint="eastAsia" w:ascii="宋体" w:hAnsi="宋体" w:cs="宋体"/>
          <w:color w:val="auto"/>
          <w:kern w:val="0"/>
          <w:highlight w:val="none"/>
          <w:lang w:val="en-US" w:eastAsia="zh-CN"/>
        </w:rPr>
        <w:t>30%，</w:t>
      </w:r>
      <w:r>
        <w:rPr>
          <w:rFonts w:hint="eastAsia" w:ascii="宋体" w:hAnsi="宋体" w:cs="宋体"/>
          <w:color w:val="auto"/>
          <w:kern w:val="0"/>
          <w:highlight w:val="none"/>
          <w:lang w:val="zh-CN" w:eastAsia="zh-CN"/>
        </w:rPr>
        <w:t>即人民币：</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eastAsia="zh-CN"/>
        </w:rPr>
        <w:t>,大写：</w:t>
      </w:r>
      <w:r>
        <w:rPr>
          <w:rFonts w:hint="eastAsia" w:ascii="宋体" w:hAnsi="宋体" w:cs="宋体"/>
          <w:color w:val="auto"/>
          <w:kern w:val="0"/>
          <w:highlight w:val="none"/>
          <w:u w:val="none"/>
          <w:lang w:val="zh-CN" w:eastAsia="zh-CN"/>
        </w:rPr>
        <w:t>人民币</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en-US" w:eastAsia="zh-CN"/>
        </w:rPr>
        <w:t>的预付款；</w:t>
      </w:r>
      <w:r>
        <w:rPr>
          <w:rFonts w:hint="eastAsia" w:ascii="宋体" w:hAnsi="宋体" w:cs="宋体"/>
          <w:color w:val="auto"/>
          <w:kern w:val="0"/>
          <w:highlight w:val="none"/>
          <w:lang w:val="zh-CN" w:eastAsia="zh-CN"/>
        </w:rPr>
        <w:t>验收合格后支付</w:t>
      </w:r>
      <w:r>
        <w:rPr>
          <w:rFonts w:hint="eastAsia" w:ascii="宋体" w:hAnsi="宋体" w:cs="宋体"/>
          <w:color w:val="auto"/>
          <w:kern w:val="0"/>
          <w:highlight w:val="none"/>
          <w:lang w:val="en-US" w:eastAsia="zh-CN"/>
        </w:rPr>
        <w:t>70%</w:t>
      </w:r>
      <w:r>
        <w:rPr>
          <w:rFonts w:hint="eastAsia" w:ascii="宋体" w:hAnsi="宋体" w:cs="宋体"/>
          <w:color w:val="auto"/>
          <w:kern w:val="0"/>
          <w:highlight w:val="none"/>
          <w:lang w:val="zh-CN" w:eastAsia="zh-CN"/>
        </w:rPr>
        <w:t>，即人民币：</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eastAsia="zh-CN"/>
        </w:rPr>
        <w:t>,大写：</w:t>
      </w:r>
      <w:r>
        <w:rPr>
          <w:rFonts w:hint="eastAsia" w:ascii="宋体" w:hAnsi="宋体" w:cs="宋体"/>
          <w:color w:val="auto"/>
          <w:kern w:val="0"/>
          <w:highlight w:val="none"/>
          <w:u w:val="none"/>
          <w:lang w:val="zh-CN" w:eastAsia="zh-CN"/>
        </w:rPr>
        <w:t>人民币</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none"/>
          <w:lang w:val="en-US" w:eastAsia="zh-CN"/>
        </w:rPr>
        <w:t>剩余款项。</w:t>
      </w:r>
    </w:p>
    <w:p w14:paraId="157354A7">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五、合同的变更、终止与转让</w:t>
      </w:r>
    </w:p>
    <w:p w14:paraId="604442C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除《中华人民共和国政府采购法》第</w:t>
      </w:r>
      <w:r>
        <w:rPr>
          <w:rFonts w:hint="eastAsia" w:ascii="宋体" w:hAnsi="宋体" w:cs="宋体"/>
          <w:color w:val="000000"/>
          <w:kern w:val="0"/>
          <w:highlight w:val="none"/>
        </w:rPr>
        <w:t>50</w:t>
      </w:r>
      <w:r>
        <w:rPr>
          <w:rFonts w:hint="eastAsia" w:ascii="宋体" w:hAnsi="宋体" w:cs="宋体"/>
          <w:color w:val="000000"/>
          <w:kern w:val="0"/>
          <w:highlight w:val="none"/>
          <w:lang w:val="zh-CN"/>
        </w:rPr>
        <w:t>条规定的情形外，本合同一经签订，甲乙双方不得擅自变更、中止或终止。</w:t>
      </w:r>
    </w:p>
    <w:p w14:paraId="7561BB97">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乙方不得擅自转让其应履行的合同义务。</w:t>
      </w:r>
    </w:p>
    <w:p w14:paraId="5B82FB7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六、违约责任</w:t>
      </w:r>
    </w:p>
    <w:p w14:paraId="31ABE59E">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9D2C2E1">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乙方提供的货物如侵犯了第三方权益而引发纠纷或诉讼的，均由乙方负责交涉并承担全部责任。</w:t>
      </w:r>
    </w:p>
    <w:p w14:paraId="30CA7B2E">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因包装、运输引起的货物损坏，按质量不合格处罚。</w:t>
      </w:r>
    </w:p>
    <w:p w14:paraId="6AD1F6F8">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甲方无故延期接受货物和乙方逾期交货的，每天应向对方偿付未交货物的货款</w:t>
      </w:r>
      <w:r>
        <w:rPr>
          <w:rFonts w:hint="eastAsia" w:ascii="宋体" w:hAnsi="宋体" w:cs="宋体"/>
          <w:color w:val="000000"/>
          <w:kern w:val="0"/>
          <w:highlight w:val="none"/>
        </w:rPr>
        <w:t>3</w:t>
      </w:r>
      <w:r>
        <w:rPr>
          <w:rFonts w:hint="eastAsia" w:ascii="宋体" w:hAnsi="宋体" w:cs="宋体"/>
          <w:color w:val="000000"/>
          <w:kern w:val="0"/>
          <w:highlight w:val="none"/>
          <w:lang w:val="zh-CN"/>
        </w:rPr>
        <w:t>‰的违约金，但违约金累计不得超过违约货款的</w:t>
      </w:r>
      <w:r>
        <w:rPr>
          <w:rFonts w:hint="eastAsia" w:ascii="宋体" w:hAnsi="宋体" w:cs="宋体"/>
          <w:color w:val="000000"/>
          <w:kern w:val="0"/>
          <w:highlight w:val="none"/>
        </w:rPr>
        <w:t>5%</w:t>
      </w:r>
      <w:r>
        <w:rPr>
          <w:rFonts w:hint="eastAsia" w:ascii="宋体" w:hAnsi="宋体" w:cs="宋体"/>
          <w:color w:val="000000"/>
          <w:kern w:val="0"/>
          <w:highlight w:val="none"/>
          <w:lang w:val="zh-CN"/>
        </w:rPr>
        <w:t>，超过</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天对方有权解除合同，违约方承担因此给对方造成的经济损失。</w:t>
      </w:r>
    </w:p>
    <w:p w14:paraId="0DD1D6BF">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乙方未按本合同和投标文件中规定的服务承诺提供售后服务的，乙方应按本合同合计金额的</w:t>
      </w:r>
      <w:r>
        <w:rPr>
          <w:rFonts w:hint="eastAsia" w:ascii="宋体" w:hAnsi="宋体" w:cs="宋体"/>
          <w:color w:val="000000"/>
          <w:kern w:val="0"/>
          <w:highlight w:val="none"/>
        </w:rPr>
        <w:t>5%</w:t>
      </w:r>
      <w:r>
        <w:rPr>
          <w:rFonts w:hint="eastAsia" w:ascii="宋体" w:hAnsi="宋体" w:cs="宋体"/>
          <w:color w:val="000000"/>
          <w:kern w:val="0"/>
          <w:highlight w:val="none"/>
          <w:lang w:val="zh-CN"/>
        </w:rPr>
        <w:t>向甲方支付违约金。</w:t>
      </w:r>
    </w:p>
    <w:p w14:paraId="2818503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乙方提供的货物在质量保证期内，因设计、工艺或材料的缺陷和其它质量原因造成的问题，由乙方负责，费用从履约保证金中扣除，不足另补。</w:t>
      </w:r>
    </w:p>
    <w:p w14:paraId="4301C09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其它违约行为按违约货款额</w:t>
      </w:r>
      <w:r>
        <w:rPr>
          <w:rFonts w:hint="eastAsia" w:ascii="宋体" w:hAnsi="宋体" w:cs="宋体"/>
          <w:color w:val="000000"/>
          <w:kern w:val="0"/>
          <w:highlight w:val="none"/>
        </w:rPr>
        <w:t>5%</w:t>
      </w:r>
      <w:r>
        <w:rPr>
          <w:rFonts w:hint="eastAsia" w:ascii="宋体" w:hAnsi="宋体" w:cs="宋体"/>
          <w:color w:val="000000"/>
          <w:kern w:val="0"/>
          <w:highlight w:val="none"/>
          <w:lang w:val="zh-CN"/>
        </w:rPr>
        <w:t>收取违约金并赔偿经济损失。</w:t>
      </w:r>
    </w:p>
    <w:p w14:paraId="50A6C63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七、不可抗力</w:t>
      </w:r>
    </w:p>
    <w:p w14:paraId="72421DC7">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不可抗力使合同的某些内容有变更必要的，双方应通过协商在</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天内达成进一步履行合同的协议，因不可抗力致使合同不能履行的，合同终止。</w:t>
      </w:r>
    </w:p>
    <w:p w14:paraId="0D390F0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八、知识产权：详见合同通用条款</w:t>
      </w:r>
    </w:p>
    <w:p w14:paraId="1F11E631">
      <w:pPr>
        <w:numPr>
          <w:ilvl w:val="0"/>
          <w:numId w:val="0"/>
        </w:numPr>
        <w:autoSpaceDE w:val="0"/>
        <w:autoSpaceDN w:val="0"/>
        <w:adjustRightInd w:val="0"/>
        <w:ind w:firstLine="480" w:firstLineChars="200"/>
        <w:rPr>
          <w:rFonts w:hint="eastAsia" w:ascii="宋体" w:hAnsi="宋体" w:cs="宋体"/>
          <w:color w:val="000000"/>
          <w:kern w:val="0"/>
          <w:highlight w:val="none"/>
          <w:lang w:val="zh-CN"/>
        </w:rPr>
      </w:pPr>
      <w:r>
        <w:rPr>
          <w:rFonts w:hint="eastAsia" w:ascii="宋体" w:hAnsi="宋体" w:cs="宋体"/>
          <w:color w:val="000000"/>
          <w:kern w:val="0"/>
          <w:highlight w:val="none"/>
          <w:lang w:val="zh-CN"/>
        </w:rPr>
        <w:t>九、其他约定：</w:t>
      </w:r>
    </w:p>
    <w:p w14:paraId="4D527F85">
      <w:pPr>
        <w:numPr>
          <w:ilvl w:val="0"/>
          <w:numId w:val="0"/>
        </w:numPr>
        <w:autoSpaceDE w:val="0"/>
        <w:autoSpaceDN w:val="0"/>
        <w:adjustRightInd w:val="0"/>
        <w:ind w:firstLine="480" w:firstLineChars="200"/>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1.乙方提供不符合招标文件和本合同规定的产品甲方有权拒绝接收。</w:t>
      </w:r>
    </w:p>
    <w:p w14:paraId="19CCB69C">
      <w:pPr>
        <w:pStyle w:val="40"/>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2.甲方在验收过程中发现乙方有违约问题可按招、投标文件的规定要求乙方及时予以解决。</w:t>
      </w:r>
    </w:p>
    <w:p w14:paraId="053E21D1">
      <w:pPr>
        <w:pStyle w:val="40"/>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3.凡本次采购的产品如果出现超低价中标和以次充好或所提供的产品不符合招标参数的，甲方在验收时一旦发现乙方提供上述问题的产品时乙方需无条件更换并承担相应的法律责任。</w:t>
      </w:r>
    </w:p>
    <w:p w14:paraId="4254B5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4.1.属于医疗设备计量器具的必须出具首次计量检定证书或校准证书。</w:t>
      </w:r>
    </w:p>
    <w:p w14:paraId="110D59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4.2.设备对接医院系统的全部费用由乙方承担。</w:t>
      </w:r>
    </w:p>
    <w:p w14:paraId="34B154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en-US" w:eastAsia="zh-CN" w:bidi="ar-SA"/>
        </w:rPr>
        <w:t>4.3.设备在院内验收合格之日起开始计算质保期。</w:t>
      </w:r>
    </w:p>
    <w:p w14:paraId="0CC7C8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4.4.质保期满后，由乙方负责设备的终身维修、维护，乙方承担人工费，甲方按成本价承担原厂配件费。</w:t>
      </w:r>
    </w:p>
    <w:p w14:paraId="1305BE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4.5.凡本次采购的产品，在后期使用中如发生不可逆的不良事件及恶性事件或造成经济损失的，对患者造成了人身损害或对我院造成了不良影响的，均由本次供货商负全部责任并承担相应的经济损失及经济补偿。</w:t>
      </w:r>
    </w:p>
    <w:p w14:paraId="2F9E4798">
      <w:pPr>
        <w:keepNext w:val="0"/>
        <w:keepLines w:val="0"/>
        <w:pageBreakBefore w:val="0"/>
        <w:widowControl w:val="0"/>
        <w:kinsoku/>
        <w:wordWrap/>
        <w:overflowPunct/>
        <w:topLinePunct w:val="0"/>
        <w:autoSpaceDE w:val="0"/>
        <w:autoSpaceDN w:val="0"/>
        <w:bidi w:val="0"/>
        <w:snapToGrid w:val="0"/>
        <w:spacing w:line="360" w:lineRule="auto"/>
        <w:ind w:left="0" w:leftChars="0" w:firstLine="48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十、合同争议解决</w:t>
      </w:r>
    </w:p>
    <w:p w14:paraId="4C4486D2">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因产品质量问题发生争议的，应邀请国家认可的质量检测机构进行鉴定。产品符合标准的，鉴定费由甲方承担；产品不符合标准的，鉴定费由乙方承担。</w:t>
      </w:r>
    </w:p>
    <w:p w14:paraId="4A764DC6">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因履行本合同引起的或与本合同有关的争议，甲乙双方应首先通过友好协商解决，如果协商不能解决，可向</w:t>
      </w:r>
      <w:r>
        <w:rPr>
          <w:rFonts w:hint="eastAsia" w:ascii="宋体" w:hAnsi="宋体" w:cs="宋体"/>
          <w:color w:val="000000"/>
          <w:kern w:val="0"/>
          <w:highlight w:val="none"/>
          <w:u w:val="single"/>
          <w:lang w:val="zh-CN"/>
        </w:rPr>
        <w:t>甲方</w:t>
      </w:r>
      <w:r>
        <w:rPr>
          <w:rFonts w:hint="eastAsia" w:ascii="宋体" w:hAnsi="宋体" w:cs="宋体"/>
          <w:color w:val="000000"/>
          <w:kern w:val="0"/>
          <w:highlight w:val="none"/>
          <w:lang w:val="zh-CN"/>
        </w:rPr>
        <w:t>所在地仲裁委员会申请仲裁或向甲方所在地人民法院提起诉讼。</w:t>
      </w:r>
    </w:p>
    <w:p w14:paraId="6A6D32ED">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诉讼期间，本合同继续履行。</w:t>
      </w:r>
    </w:p>
    <w:p w14:paraId="18FDAB5E">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十一、合同生效及其它</w:t>
      </w:r>
      <w:r>
        <w:rPr>
          <w:rFonts w:hint="eastAsia" w:ascii="宋体" w:hAnsi="宋体" w:cs="宋体"/>
          <w:color w:val="000000"/>
          <w:kern w:val="0"/>
          <w:highlight w:val="none"/>
        </w:rPr>
        <w:t>：</w:t>
      </w:r>
    </w:p>
    <w:p w14:paraId="475716D0">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本合同一式</w:t>
      </w:r>
      <w:r>
        <w:rPr>
          <w:rFonts w:hint="eastAsia" w:ascii="宋体" w:hAnsi="宋体" w:cs="宋体"/>
          <w:kern w:val="0"/>
          <w:highlight w:val="none"/>
          <w:u w:val="dashDotHeavy"/>
          <w:lang w:val="zh-CN"/>
        </w:rPr>
        <w:t>八</w:t>
      </w:r>
      <w:r>
        <w:rPr>
          <w:rFonts w:hint="eastAsia" w:ascii="宋体" w:hAnsi="宋体" w:cs="宋体"/>
          <w:color w:val="000000"/>
          <w:kern w:val="0"/>
          <w:highlight w:val="none"/>
          <w:lang w:val="zh-CN"/>
        </w:rPr>
        <w:t>份，经双方签字，并加盖公章即为生效。如有遗失，概不负责。</w:t>
      </w:r>
    </w:p>
    <w:p w14:paraId="2A5AE0DF">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本合同未尽事宜，按经济合同法有关规定处理。</w:t>
      </w:r>
    </w:p>
    <w:p w14:paraId="6EC8FE8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本合同的组成包含《合同通用条款》。</w:t>
      </w:r>
    </w:p>
    <w:p w14:paraId="2D8FC67C">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甲方（盖章）：</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乙方（盖章）：</w:t>
      </w:r>
    </w:p>
    <w:p w14:paraId="3C0C5D87">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w:t>
      </w:r>
    </w:p>
    <w:p w14:paraId="6C088B7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开户银行：</w:t>
      </w:r>
    </w:p>
    <w:p w14:paraId="5A50DCFD">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账号：</w:t>
      </w:r>
    </w:p>
    <w:p w14:paraId="622FDDA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地址：</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地址：</w:t>
      </w:r>
    </w:p>
    <w:p w14:paraId="55BC033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联系电话：</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联系电话：</w:t>
      </w:r>
    </w:p>
    <w:p w14:paraId="3C176793">
      <w:pPr>
        <w:keepNext w:val="0"/>
        <w:keepLines w:val="0"/>
        <w:pageBreakBefore w:val="0"/>
        <w:widowControl w:val="0"/>
        <w:kinsoku/>
        <w:wordWrap/>
        <w:overflowPunct/>
        <w:topLinePunct w:val="0"/>
        <w:autoSpaceDE w:val="0"/>
        <w:autoSpaceDN w:val="0"/>
        <w:bidi w:val="0"/>
        <w:snapToGrid w:val="0"/>
        <w:spacing w:line="360" w:lineRule="auto"/>
        <w:ind w:firstLine="1320" w:firstLineChars="550"/>
        <w:textAlignment w:val="auto"/>
        <w:rPr>
          <w:rFonts w:hint="eastAsia" w:ascii="宋体" w:hAnsi="宋体" w:cs="宋体"/>
          <w:color w:val="000000"/>
          <w:kern w:val="0"/>
          <w:highlight w:val="none"/>
          <w:lang w:val="zh-CN"/>
        </w:rPr>
      </w:pPr>
    </w:p>
    <w:p w14:paraId="652D4261">
      <w:pPr>
        <w:keepNext w:val="0"/>
        <w:keepLines w:val="0"/>
        <w:pageBreakBefore w:val="0"/>
        <w:widowControl w:val="0"/>
        <w:kinsoku/>
        <w:wordWrap/>
        <w:overflowPunct/>
        <w:topLinePunct w:val="0"/>
        <w:autoSpaceDE w:val="0"/>
        <w:autoSpaceDN w:val="0"/>
        <w:bidi w:val="0"/>
        <w:snapToGrid w:val="0"/>
        <w:spacing w:line="360" w:lineRule="auto"/>
        <w:ind w:firstLine="1320" w:firstLineChars="55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en-US" w:eastAsia="zh-CN"/>
        </w:rPr>
        <w:t>甲乙双方</w:t>
      </w:r>
      <w:r>
        <w:rPr>
          <w:rFonts w:hint="eastAsia" w:ascii="宋体" w:hAnsi="宋体" w:cs="宋体"/>
          <w:color w:val="000000"/>
          <w:kern w:val="0"/>
          <w:highlight w:val="none"/>
          <w:lang w:val="zh-CN"/>
        </w:rPr>
        <w:t>签约时间：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月</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日</w:t>
      </w:r>
    </w:p>
    <w:p w14:paraId="4628988B">
      <w:pPr>
        <w:pStyle w:val="40"/>
        <w:rPr>
          <w:rFonts w:hint="eastAsia"/>
          <w:lang w:val="zh-CN"/>
        </w:rPr>
      </w:pPr>
    </w:p>
    <w:p w14:paraId="585FCC7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rPr>
      </w:pPr>
      <w:r>
        <w:rPr>
          <w:rFonts w:hint="eastAsia" w:ascii="新宋体" w:hAnsi="新宋体" w:eastAsia="新宋体" w:cs="新宋体"/>
          <w:kern w:val="0"/>
          <w:lang w:val="zh-CN"/>
        </w:rPr>
        <w:t>采购代理机构：青海旺利欣项目咨询管理有限公司</w:t>
      </w:r>
      <w:r>
        <w:rPr>
          <w:rFonts w:hint="eastAsia" w:ascii="新宋体" w:hAnsi="新宋体" w:eastAsia="新宋体" w:cs="新宋体"/>
          <w:kern w:val="0"/>
        </w:rPr>
        <w:t xml:space="preserve">                        </w:t>
      </w:r>
    </w:p>
    <w:p w14:paraId="042A5E9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负责人或经办人：</w:t>
      </w:r>
    </w:p>
    <w:p w14:paraId="07BFB1D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合同备案时间：</w:t>
      </w:r>
      <w:r>
        <w:rPr>
          <w:rFonts w:hint="eastAsia" w:ascii="新宋体" w:hAnsi="新宋体" w:eastAsia="新宋体" w:cs="新宋体"/>
          <w:kern w:val="0"/>
        </w:rPr>
        <w:t xml:space="preserve">    </w:t>
      </w:r>
      <w:r>
        <w:rPr>
          <w:rFonts w:hint="eastAsia" w:ascii="新宋体" w:hAnsi="新宋体" w:eastAsia="新宋体" w:cs="新宋体"/>
          <w:kern w:val="0"/>
          <w:lang w:val="zh-CN"/>
        </w:rPr>
        <w:t>年</w:t>
      </w:r>
      <w:r>
        <w:rPr>
          <w:rFonts w:hint="eastAsia" w:ascii="新宋体" w:hAnsi="新宋体" w:eastAsia="新宋体" w:cs="新宋体"/>
          <w:kern w:val="0"/>
        </w:rPr>
        <w:t xml:space="preserve">  </w:t>
      </w:r>
      <w:r>
        <w:rPr>
          <w:rFonts w:hint="eastAsia" w:ascii="新宋体" w:hAnsi="新宋体" w:eastAsia="新宋体" w:cs="新宋体"/>
          <w:kern w:val="0"/>
          <w:lang w:val="zh-CN"/>
        </w:rPr>
        <w:t>月</w:t>
      </w:r>
      <w:r>
        <w:rPr>
          <w:rFonts w:hint="eastAsia" w:ascii="新宋体" w:hAnsi="新宋体" w:eastAsia="新宋体" w:cs="新宋体"/>
          <w:kern w:val="0"/>
        </w:rPr>
        <w:t xml:space="preserve">  </w:t>
      </w:r>
      <w:r>
        <w:rPr>
          <w:rFonts w:hint="eastAsia" w:ascii="新宋体" w:hAnsi="新宋体" w:eastAsia="新宋体" w:cs="新宋体"/>
          <w:kern w:val="0"/>
          <w:lang w:val="zh-CN"/>
        </w:rPr>
        <w:t>日</w:t>
      </w:r>
    </w:p>
    <w:p w14:paraId="3505F4C4">
      <w:pPr>
        <w:keepNext w:val="0"/>
        <w:keepLines w:val="0"/>
        <w:pageBreakBefore w:val="0"/>
        <w:widowControl w:val="0"/>
        <w:kinsoku/>
        <w:wordWrap/>
        <w:overflowPunct/>
        <w:topLinePunct w:val="0"/>
        <w:bidi w:val="0"/>
        <w:snapToGrid/>
        <w:spacing w:line="360" w:lineRule="auto"/>
        <w:ind w:firstLine="562"/>
        <w:textAlignment w:val="auto"/>
        <w:rPr>
          <w:rFonts w:cs="宋体"/>
          <w:b/>
          <w:bCs/>
          <w:kern w:val="0"/>
          <w:sz w:val="28"/>
          <w:szCs w:val="28"/>
          <w:lang w:val="zh-CN"/>
        </w:rPr>
      </w:pPr>
    </w:p>
    <w:p w14:paraId="6416FAA9">
      <w:pPr>
        <w:rPr>
          <w:rFonts w:hint="eastAsia" w:cs="宋体"/>
          <w:b/>
          <w:bCs/>
          <w:kern w:val="0"/>
          <w:sz w:val="28"/>
          <w:szCs w:val="28"/>
          <w:lang w:val="zh-CN"/>
        </w:rPr>
      </w:pPr>
    </w:p>
    <w:p w14:paraId="7F7AE05F">
      <w:pPr>
        <w:autoSpaceDE w:val="0"/>
        <w:autoSpaceDN w:val="0"/>
        <w:adjustRightInd w:val="0"/>
        <w:spacing w:line="360" w:lineRule="auto"/>
        <w:ind w:firstLine="562"/>
        <w:jc w:val="center"/>
        <w:outlineLvl w:val="1"/>
        <w:rPr>
          <w:rFonts w:hint="eastAsia" w:cs="宋体"/>
          <w:b/>
          <w:bCs/>
          <w:kern w:val="0"/>
          <w:sz w:val="28"/>
          <w:szCs w:val="28"/>
          <w:lang w:val="zh-CN"/>
        </w:rPr>
      </w:pPr>
    </w:p>
    <w:p w14:paraId="5BFE36F0">
      <w:pPr>
        <w:autoSpaceDE w:val="0"/>
        <w:autoSpaceDN w:val="0"/>
        <w:adjustRightInd w:val="0"/>
        <w:spacing w:line="360" w:lineRule="auto"/>
        <w:ind w:firstLine="562"/>
        <w:jc w:val="center"/>
        <w:outlineLvl w:val="1"/>
        <w:rPr>
          <w:rFonts w:hint="eastAsia" w:cs="宋体"/>
          <w:b/>
          <w:bCs/>
          <w:kern w:val="0"/>
          <w:sz w:val="28"/>
          <w:szCs w:val="28"/>
          <w:lang w:val="zh-CN"/>
        </w:rPr>
      </w:pPr>
    </w:p>
    <w:p w14:paraId="64C40D3A">
      <w:pPr>
        <w:autoSpaceDE w:val="0"/>
        <w:autoSpaceDN w:val="0"/>
        <w:adjustRightInd w:val="0"/>
        <w:spacing w:line="360" w:lineRule="auto"/>
        <w:ind w:firstLine="562"/>
        <w:jc w:val="center"/>
        <w:outlineLvl w:val="1"/>
        <w:rPr>
          <w:rFonts w:hint="eastAsia" w:cs="宋体"/>
          <w:b/>
          <w:bCs/>
          <w:kern w:val="0"/>
          <w:sz w:val="28"/>
          <w:szCs w:val="28"/>
          <w:lang w:val="zh-CN"/>
        </w:rPr>
      </w:pPr>
    </w:p>
    <w:p w14:paraId="69C27ACE">
      <w:pPr>
        <w:autoSpaceDE w:val="0"/>
        <w:autoSpaceDN w:val="0"/>
        <w:adjustRightInd w:val="0"/>
        <w:spacing w:line="360" w:lineRule="auto"/>
        <w:ind w:firstLine="562"/>
        <w:jc w:val="center"/>
        <w:outlineLvl w:val="1"/>
        <w:rPr>
          <w:rFonts w:hint="eastAsia" w:cs="宋体"/>
          <w:b/>
          <w:bCs/>
          <w:kern w:val="0"/>
          <w:sz w:val="28"/>
          <w:szCs w:val="28"/>
          <w:lang w:val="zh-CN"/>
        </w:rPr>
      </w:pPr>
    </w:p>
    <w:p w14:paraId="35AC93AD">
      <w:pPr>
        <w:autoSpaceDE w:val="0"/>
        <w:autoSpaceDN w:val="0"/>
        <w:adjustRightInd w:val="0"/>
        <w:spacing w:line="360" w:lineRule="auto"/>
        <w:ind w:firstLine="562"/>
        <w:jc w:val="center"/>
        <w:outlineLvl w:val="1"/>
        <w:rPr>
          <w:rFonts w:hint="eastAsia" w:cs="宋体"/>
          <w:b/>
          <w:bCs/>
          <w:kern w:val="0"/>
          <w:sz w:val="28"/>
          <w:szCs w:val="28"/>
          <w:lang w:val="zh-CN"/>
        </w:rPr>
      </w:pPr>
    </w:p>
    <w:p w14:paraId="22F236F0">
      <w:pPr>
        <w:autoSpaceDE w:val="0"/>
        <w:autoSpaceDN w:val="0"/>
        <w:adjustRightInd w:val="0"/>
        <w:spacing w:line="360" w:lineRule="auto"/>
        <w:ind w:firstLine="562"/>
        <w:jc w:val="center"/>
        <w:outlineLvl w:val="1"/>
        <w:rPr>
          <w:rFonts w:hint="eastAsia" w:cs="宋体"/>
          <w:b/>
          <w:bCs/>
          <w:kern w:val="0"/>
          <w:sz w:val="28"/>
          <w:szCs w:val="28"/>
          <w:lang w:val="zh-CN"/>
        </w:rPr>
      </w:pPr>
    </w:p>
    <w:p w14:paraId="6755E9F7">
      <w:pPr>
        <w:autoSpaceDE w:val="0"/>
        <w:autoSpaceDN w:val="0"/>
        <w:adjustRightInd w:val="0"/>
        <w:spacing w:line="360" w:lineRule="auto"/>
        <w:ind w:firstLine="562"/>
        <w:jc w:val="center"/>
        <w:outlineLvl w:val="1"/>
        <w:rPr>
          <w:rFonts w:hint="eastAsia" w:cs="宋体"/>
          <w:b/>
          <w:bCs/>
          <w:kern w:val="0"/>
          <w:sz w:val="28"/>
          <w:szCs w:val="28"/>
          <w:lang w:val="zh-CN"/>
        </w:rPr>
      </w:pPr>
    </w:p>
    <w:p w14:paraId="21C1C209">
      <w:pPr>
        <w:autoSpaceDE w:val="0"/>
        <w:autoSpaceDN w:val="0"/>
        <w:adjustRightInd w:val="0"/>
        <w:spacing w:line="360" w:lineRule="auto"/>
        <w:ind w:firstLine="562"/>
        <w:jc w:val="center"/>
        <w:outlineLvl w:val="1"/>
        <w:rPr>
          <w:rFonts w:hint="eastAsia" w:cs="宋体"/>
          <w:b/>
          <w:bCs/>
          <w:kern w:val="0"/>
          <w:sz w:val="28"/>
          <w:szCs w:val="28"/>
          <w:lang w:val="zh-CN"/>
        </w:rPr>
      </w:pPr>
    </w:p>
    <w:p w14:paraId="79195CA5">
      <w:pPr>
        <w:autoSpaceDE w:val="0"/>
        <w:autoSpaceDN w:val="0"/>
        <w:adjustRightInd w:val="0"/>
        <w:spacing w:line="360" w:lineRule="auto"/>
        <w:ind w:firstLine="562"/>
        <w:jc w:val="center"/>
        <w:outlineLvl w:val="1"/>
        <w:rPr>
          <w:rFonts w:hint="eastAsia" w:cs="宋体"/>
          <w:b/>
          <w:bCs/>
          <w:kern w:val="0"/>
          <w:sz w:val="28"/>
          <w:szCs w:val="28"/>
          <w:lang w:val="zh-CN"/>
        </w:rPr>
      </w:pPr>
    </w:p>
    <w:p w14:paraId="693B72C6">
      <w:pPr>
        <w:autoSpaceDE w:val="0"/>
        <w:autoSpaceDN w:val="0"/>
        <w:adjustRightInd w:val="0"/>
        <w:spacing w:line="360" w:lineRule="auto"/>
        <w:ind w:firstLine="562"/>
        <w:jc w:val="center"/>
        <w:outlineLvl w:val="1"/>
        <w:rPr>
          <w:rFonts w:hint="eastAsia" w:cs="宋体"/>
          <w:b/>
          <w:bCs/>
          <w:kern w:val="0"/>
          <w:sz w:val="28"/>
          <w:szCs w:val="28"/>
          <w:lang w:val="zh-CN"/>
        </w:rPr>
      </w:pPr>
    </w:p>
    <w:p w14:paraId="49C31201">
      <w:pPr>
        <w:autoSpaceDE w:val="0"/>
        <w:autoSpaceDN w:val="0"/>
        <w:adjustRightInd w:val="0"/>
        <w:spacing w:line="360" w:lineRule="auto"/>
        <w:ind w:firstLine="562"/>
        <w:jc w:val="center"/>
        <w:outlineLvl w:val="1"/>
        <w:rPr>
          <w:rFonts w:cs="Calibri"/>
          <w:kern w:val="0"/>
          <w:sz w:val="28"/>
          <w:szCs w:val="28"/>
        </w:rPr>
      </w:pPr>
      <w:r>
        <w:rPr>
          <w:rFonts w:hint="eastAsia" w:cs="宋体"/>
          <w:b/>
          <w:bCs/>
          <w:kern w:val="0"/>
          <w:sz w:val="28"/>
          <w:szCs w:val="28"/>
          <w:lang w:val="zh-CN"/>
        </w:rPr>
        <w:t>合同通用条款</w:t>
      </w:r>
      <w:bookmarkEnd w:id="378"/>
      <w:bookmarkEnd w:id="379"/>
      <w:bookmarkEnd w:id="380"/>
      <w:bookmarkEnd w:id="381"/>
    </w:p>
    <w:p w14:paraId="3573422F">
      <w:pPr>
        <w:autoSpaceDE w:val="0"/>
        <w:autoSpaceDN w:val="0"/>
        <w:adjustRightInd w:val="0"/>
        <w:spacing w:line="360" w:lineRule="auto"/>
        <w:ind w:firstLine="480"/>
        <w:rPr>
          <w:rFonts w:cs="Calibri"/>
          <w:kern w:val="0"/>
        </w:rPr>
      </w:pPr>
      <w:r>
        <w:rPr>
          <w:rFonts w:hint="eastAsia" w:cs="宋体"/>
          <w:kern w:val="0"/>
          <w:lang w:val="zh-CN"/>
        </w:rPr>
        <w:t>根据</w:t>
      </w:r>
      <w:r>
        <w:rPr>
          <w:rFonts w:hint="eastAsia" w:ascii="宋体" w:hAnsi="宋体"/>
        </w:rPr>
        <w:t>《中华人民共和国民法典》、</w:t>
      </w:r>
      <w:r>
        <w:rPr>
          <w:rFonts w:hint="eastAsia" w:cs="宋体"/>
          <w:kern w:val="0"/>
          <w:lang w:val="zh-CN"/>
        </w:rPr>
        <w:t>《中华人民共和国政府采购法》的规定，合同双方经协商达成一致，自愿订立本合同，遵循公平原则明确双方的权利、义务，确保双方诚实守信地履行合同。</w:t>
      </w:r>
    </w:p>
    <w:p w14:paraId="01B12F39">
      <w:pPr>
        <w:autoSpaceDE w:val="0"/>
        <w:autoSpaceDN w:val="0"/>
        <w:adjustRightInd w:val="0"/>
        <w:spacing w:line="360" w:lineRule="auto"/>
        <w:ind w:firstLine="562"/>
        <w:outlineLvl w:val="1"/>
        <w:rPr>
          <w:rFonts w:cs="Calibri"/>
          <w:b/>
          <w:bCs/>
          <w:kern w:val="0"/>
          <w:sz w:val="28"/>
          <w:szCs w:val="28"/>
        </w:rPr>
      </w:pPr>
      <w:bookmarkStart w:id="382" w:name="_Toc19693_WPSOffice_Level2"/>
      <w:bookmarkStart w:id="383" w:name="_Toc28818_WPSOffice_Level2"/>
      <w:bookmarkStart w:id="384" w:name="_Toc16471"/>
      <w:bookmarkStart w:id="385" w:name="_Toc7975"/>
      <w:r>
        <w:rPr>
          <w:rFonts w:cs="Calibri"/>
          <w:b/>
          <w:bCs/>
          <w:kern w:val="0"/>
          <w:sz w:val="28"/>
          <w:szCs w:val="28"/>
        </w:rPr>
        <w:t>1.</w:t>
      </w:r>
      <w:r>
        <w:rPr>
          <w:rFonts w:hint="eastAsia" w:cs="宋体"/>
          <w:b/>
          <w:bCs/>
          <w:kern w:val="0"/>
          <w:sz w:val="28"/>
          <w:szCs w:val="28"/>
          <w:lang w:val="zh-CN"/>
        </w:rPr>
        <w:t>定义</w:t>
      </w:r>
      <w:bookmarkEnd w:id="382"/>
      <w:bookmarkEnd w:id="383"/>
      <w:bookmarkEnd w:id="384"/>
      <w:bookmarkEnd w:id="385"/>
    </w:p>
    <w:p w14:paraId="28ACD858">
      <w:pPr>
        <w:autoSpaceDE w:val="0"/>
        <w:autoSpaceDN w:val="0"/>
        <w:adjustRightInd w:val="0"/>
        <w:spacing w:line="360" w:lineRule="auto"/>
        <w:ind w:firstLine="480"/>
        <w:rPr>
          <w:rFonts w:cs="Calibri"/>
          <w:kern w:val="0"/>
        </w:rPr>
      </w:pPr>
      <w:r>
        <w:rPr>
          <w:rFonts w:hint="eastAsia" w:cs="宋体"/>
          <w:kern w:val="0"/>
          <w:lang w:val="zh-CN"/>
        </w:rPr>
        <w:t>本合同中的下列术语应解释为：</w:t>
      </w:r>
    </w:p>
    <w:p w14:paraId="32641713">
      <w:pPr>
        <w:autoSpaceDE w:val="0"/>
        <w:autoSpaceDN w:val="0"/>
        <w:adjustRightInd w:val="0"/>
        <w:spacing w:line="360" w:lineRule="auto"/>
        <w:ind w:firstLine="480"/>
        <w:rPr>
          <w:rFonts w:cs="Calibri"/>
          <w:kern w:val="0"/>
        </w:rPr>
      </w:pPr>
      <w:r>
        <w:rPr>
          <w:rFonts w:cs="Calibri"/>
          <w:kern w:val="0"/>
        </w:rPr>
        <w:t xml:space="preserve">1.1 </w:t>
      </w:r>
      <w:r>
        <w:rPr>
          <w:rFonts w:cs="宋体"/>
          <w:kern w:val="0"/>
          <w:lang w:val="zh-CN"/>
        </w:rPr>
        <w:t>“</w:t>
      </w:r>
      <w:r>
        <w:rPr>
          <w:rFonts w:hint="eastAsia" w:cs="宋体"/>
          <w:kern w:val="0"/>
          <w:lang w:val="zh-CN"/>
        </w:rPr>
        <w:t>合同</w:t>
      </w:r>
      <w:r>
        <w:rPr>
          <w:rFonts w:cs="宋体"/>
          <w:kern w:val="0"/>
          <w:lang w:val="zh-CN"/>
        </w:rPr>
        <w:t>”</w:t>
      </w:r>
      <w:r>
        <w:rPr>
          <w:rFonts w:hint="eastAsia" w:cs="宋体"/>
          <w:kern w:val="0"/>
          <w:lang w:val="zh-CN"/>
        </w:rPr>
        <w:t>指甲乙双方签署的、载明的甲乙双方权利义务的协议，包括所有的附件、附录和上述文件所提到的构成合同的所有文件。</w:t>
      </w:r>
    </w:p>
    <w:p w14:paraId="50E87E7A">
      <w:pPr>
        <w:autoSpaceDE w:val="0"/>
        <w:autoSpaceDN w:val="0"/>
        <w:adjustRightInd w:val="0"/>
        <w:spacing w:line="360" w:lineRule="auto"/>
        <w:ind w:firstLine="480"/>
        <w:rPr>
          <w:rFonts w:cs="Calibri"/>
          <w:kern w:val="0"/>
        </w:rPr>
      </w:pPr>
      <w:r>
        <w:rPr>
          <w:rFonts w:cs="Calibri"/>
          <w:kern w:val="0"/>
        </w:rPr>
        <w:t xml:space="preserve">1.2 </w:t>
      </w:r>
      <w:r>
        <w:rPr>
          <w:rFonts w:cs="宋体"/>
          <w:kern w:val="0"/>
          <w:lang w:val="zh-CN"/>
        </w:rPr>
        <w:t>“</w:t>
      </w:r>
      <w:r>
        <w:rPr>
          <w:rFonts w:hint="eastAsia" w:cs="宋体"/>
          <w:kern w:val="0"/>
          <w:lang w:val="zh-CN"/>
        </w:rPr>
        <w:t>合同金额</w:t>
      </w:r>
      <w:r>
        <w:rPr>
          <w:rFonts w:cs="宋体"/>
          <w:kern w:val="0"/>
          <w:lang w:val="zh-CN"/>
        </w:rPr>
        <w:t>”</w:t>
      </w:r>
      <w:r>
        <w:rPr>
          <w:rFonts w:hint="eastAsia" w:cs="宋体"/>
          <w:kern w:val="0"/>
          <w:lang w:val="zh-CN"/>
        </w:rPr>
        <w:t>指根据合同规定，乙方在正确地完全履行合同义务后甲方应付给乙方的价款。</w:t>
      </w:r>
    </w:p>
    <w:p w14:paraId="5E2E56DE">
      <w:pPr>
        <w:autoSpaceDE w:val="0"/>
        <w:autoSpaceDN w:val="0"/>
        <w:adjustRightInd w:val="0"/>
        <w:spacing w:line="360" w:lineRule="auto"/>
        <w:ind w:firstLine="480"/>
        <w:rPr>
          <w:rFonts w:cs="Calibri"/>
          <w:kern w:val="0"/>
        </w:rPr>
      </w:pPr>
      <w:r>
        <w:rPr>
          <w:rFonts w:cs="Calibri"/>
          <w:kern w:val="0"/>
        </w:rPr>
        <w:t xml:space="preserve">1.3 </w:t>
      </w:r>
      <w:r>
        <w:rPr>
          <w:rFonts w:cs="宋体"/>
          <w:kern w:val="0"/>
          <w:lang w:val="zh-CN"/>
        </w:rPr>
        <w:t>“</w:t>
      </w:r>
      <w:r>
        <w:rPr>
          <w:rFonts w:hint="eastAsia" w:cs="宋体"/>
          <w:kern w:val="0"/>
          <w:lang w:val="zh-CN"/>
        </w:rPr>
        <w:t>合同条款</w:t>
      </w:r>
      <w:r>
        <w:rPr>
          <w:rFonts w:cs="宋体"/>
          <w:kern w:val="0"/>
          <w:lang w:val="zh-CN"/>
        </w:rPr>
        <w:t>”</w:t>
      </w:r>
      <w:r>
        <w:rPr>
          <w:rFonts w:hint="eastAsia" w:cs="宋体"/>
          <w:kern w:val="0"/>
          <w:lang w:val="zh-CN"/>
        </w:rPr>
        <w:t>指本合同条款。</w:t>
      </w:r>
    </w:p>
    <w:p w14:paraId="78AFA549">
      <w:pPr>
        <w:autoSpaceDE w:val="0"/>
        <w:autoSpaceDN w:val="0"/>
        <w:adjustRightInd w:val="0"/>
        <w:spacing w:line="360" w:lineRule="auto"/>
        <w:ind w:firstLine="480"/>
        <w:rPr>
          <w:rFonts w:cs="Calibri"/>
          <w:kern w:val="0"/>
        </w:rPr>
      </w:pPr>
      <w:r>
        <w:rPr>
          <w:rFonts w:cs="Calibri"/>
          <w:kern w:val="0"/>
        </w:rPr>
        <w:t xml:space="preserve">1.4 </w:t>
      </w:r>
      <w:r>
        <w:rPr>
          <w:rFonts w:cs="宋体"/>
          <w:kern w:val="0"/>
          <w:lang w:val="zh-CN"/>
        </w:rPr>
        <w:t>“</w:t>
      </w:r>
      <w:r>
        <w:rPr>
          <w:rFonts w:hint="eastAsia" w:cs="宋体"/>
          <w:kern w:val="0"/>
          <w:lang w:val="zh-CN"/>
        </w:rPr>
        <w:t>货物</w:t>
      </w:r>
      <w:r>
        <w:rPr>
          <w:rFonts w:cs="宋体"/>
          <w:kern w:val="0"/>
          <w:lang w:val="zh-CN"/>
        </w:rPr>
        <w:t>”</w:t>
      </w:r>
      <w:r>
        <w:rPr>
          <w:rFonts w:hint="eastAsia" w:cs="宋体"/>
          <w:kern w:val="0"/>
          <w:lang w:val="zh-CN"/>
        </w:rPr>
        <w:t>指乙方根据合同约定须向甲方提供的一切产品、设备、机械、仪表、备件等，包括辅助工具、使用手册等相关资料。</w:t>
      </w:r>
    </w:p>
    <w:p w14:paraId="6DBEFA19">
      <w:pPr>
        <w:autoSpaceDE w:val="0"/>
        <w:autoSpaceDN w:val="0"/>
        <w:adjustRightInd w:val="0"/>
        <w:spacing w:line="360" w:lineRule="auto"/>
        <w:ind w:firstLine="480"/>
        <w:rPr>
          <w:rFonts w:cs="Calibri"/>
          <w:kern w:val="0"/>
        </w:rPr>
      </w:pPr>
      <w:r>
        <w:rPr>
          <w:rFonts w:cs="Calibri"/>
          <w:kern w:val="0"/>
        </w:rPr>
        <w:t xml:space="preserve">1.5 </w:t>
      </w:r>
      <w:r>
        <w:rPr>
          <w:rFonts w:cs="宋体"/>
          <w:kern w:val="0"/>
          <w:lang w:val="zh-CN"/>
        </w:rPr>
        <w:t>“</w:t>
      </w:r>
      <w:r>
        <w:rPr>
          <w:rFonts w:hint="eastAsia" w:cs="宋体"/>
          <w:kern w:val="0"/>
          <w:lang w:val="zh-CN"/>
        </w:rPr>
        <w:t>服务</w:t>
      </w:r>
      <w:r>
        <w:rPr>
          <w:rFonts w:cs="宋体"/>
          <w:kern w:val="0"/>
          <w:lang w:val="zh-CN"/>
        </w:rPr>
        <w:t>”</w:t>
      </w:r>
      <w:r>
        <w:rPr>
          <w:rFonts w:hint="eastAsia" w:cs="宋体"/>
          <w:kern w:val="0"/>
          <w:lang w:val="zh-CN"/>
        </w:rPr>
        <w:t>指根据本合同规定乙方承担与供货有关的辅助服务，如运输、保险及安装、调试、提供技术援助、培训和合同中规定乙方应承担的其它义务。</w:t>
      </w:r>
    </w:p>
    <w:p w14:paraId="64A88383">
      <w:pPr>
        <w:autoSpaceDE w:val="0"/>
        <w:autoSpaceDN w:val="0"/>
        <w:adjustRightInd w:val="0"/>
        <w:spacing w:line="360" w:lineRule="auto"/>
        <w:ind w:firstLine="480"/>
        <w:rPr>
          <w:rFonts w:cs="Calibri"/>
          <w:kern w:val="0"/>
        </w:rPr>
      </w:pPr>
      <w:r>
        <w:rPr>
          <w:rFonts w:cs="Calibri"/>
          <w:kern w:val="0"/>
        </w:rPr>
        <w:t xml:space="preserve">1.6 </w:t>
      </w:r>
      <w:r>
        <w:rPr>
          <w:rFonts w:cs="宋体"/>
          <w:kern w:val="0"/>
          <w:lang w:val="zh-CN"/>
        </w:rPr>
        <w:t>“</w:t>
      </w:r>
      <w:r>
        <w:rPr>
          <w:rFonts w:hint="eastAsia" w:cs="宋体"/>
          <w:kern w:val="0"/>
          <w:lang w:val="zh-CN"/>
        </w:rPr>
        <w:t>甲方</w:t>
      </w:r>
      <w:r>
        <w:rPr>
          <w:rFonts w:cs="宋体"/>
          <w:kern w:val="0"/>
          <w:lang w:val="zh-CN"/>
        </w:rPr>
        <w:t>”</w:t>
      </w:r>
      <w:r>
        <w:rPr>
          <w:rFonts w:hint="eastAsia" w:cs="宋体"/>
          <w:kern w:val="0"/>
          <w:lang w:val="zh-CN"/>
        </w:rPr>
        <w:t>指购买货物和服务的单位。</w:t>
      </w:r>
    </w:p>
    <w:p w14:paraId="3E312237">
      <w:pPr>
        <w:autoSpaceDE w:val="0"/>
        <w:autoSpaceDN w:val="0"/>
        <w:adjustRightInd w:val="0"/>
        <w:spacing w:line="360" w:lineRule="auto"/>
        <w:ind w:firstLine="480"/>
        <w:rPr>
          <w:rFonts w:cs="Calibri"/>
          <w:kern w:val="0"/>
        </w:rPr>
      </w:pPr>
      <w:r>
        <w:rPr>
          <w:rFonts w:cs="Calibri"/>
          <w:kern w:val="0"/>
        </w:rPr>
        <w:t>1</w:t>
      </w:r>
      <w:bookmarkStart w:id="386" w:name="_Toc25938_WPSOffice_Level3"/>
      <w:r>
        <w:rPr>
          <w:rFonts w:cs="Calibri"/>
          <w:kern w:val="0"/>
        </w:rPr>
        <w:t xml:space="preserve">.7 </w:t>
      </w:r>
      <w:r>
        <w:rPr>
          <w:rFonts w:cs="宋体"/>
          <w:kern w:val="0"/>
          <w:lang w:val="zh-CN"/>
        </w:rPr>
        <w:t>“</w:t>
      </w:r>
      <w:r>
        <w:rPr>
          <w:rFonts w:hint="eastAsia" w:cs="宋体"/>
          <w:kern w:val="0"/>
          <w:lang w:val="zh-CN"/>
        </w:rPr>
        <w:t>乙方</w:t>
      </w:r>
      <w:r>
        <w:rPr>
          <w:rFonts w:cs="宋体"/>
          <w:kern w:val="0"/>
          <w:lang w:val="zh-CN"/>
        </w:rPr>
        <w:t>”</w:t>
      </w:r>
      <w:r>
        <w:rPr>
          <w:rFonts w:hint="eastAsia" w:cs="宋体"/>
          <w:kern w:val="0"/>
          <w:lang w:val="zh-CN"/>
        </w:rPr>
        <w:t>指</w:t>
      </w:r>
      <w:bookmarkEnd w:id="386"/>
      <w:r>
        <w:rPr>
          <w:rFonts w:hint="eastAsia" w:cs="宋体"/>
          <w:kern w:val="0"/>
          <w:lang w:val="zh-CN"/>
        </w:rPr>
        <w:t>提供本合同条款下货物和服务的公司或其他实体。</w:t>
      </w:r>
    </w:p>
    <w:p w14:paraId="7BB033C7">
      <w:pPr>
        <w:autoSpaceDE w:val="0"/>
        <w:autoSpaceDN w:val="0"/>
        <w:adjustRightInd w:val="0"/>
        <w:spacing w:line="360" w:lineRule="auto"/>
        <w:ind w:firstLine="480"/>
        <w:rPr>
          <w:rFonts w:cs="Calibri"/>
          <w:kern w:val="0"/>
        </w:rPr>
      </w:pPr>
      <w:r>
        <w:rPr>
          <w:rFonts w:cs="Calibri"/>
          <w:kern w:val="0"/>
        </w:rPr>
        <w:t xml:space="preserve">1.8 </w:t>
      </w:r>
      <w:r>
        <w:rPr>
          <w:rFonts w:cs="宋体"/>
          <w:kern w:val="0"/>
          <w:lang w:val="zh-CN"/>
        </w:rPr>
        <w:t>“</w:t>
      </w:r>
      <w:r>
        <w:rPr>
          <w:rFonts w:hint="eastAsia" w:cs="宋体"/>
          <w:kern w:val="0"/>
          <w:lang w:val="zh-CN"/>
        </w:rPr>
        <w:t>现场</w:t>
      </w:r>
      <w:r>
        <w:rPr>
          <w:rFonts w:cs="宋体"/>
          <w:kern w:val="0"/>
          <w:lang w:val="zh-CN"/>
        </w:rPr>
        <w:t>”</w:t>
      </w:r>
      <w:r>
        <w:rPr>
          <w:rFonts w:hint="eastAsia" w:cs="宋体"/>
          <w:kern w:val="0"/>
          <w:lang w:val="zh-CN"/>
        </w:rPr>
        <w:t>指合同规定货物将要运至和安装的地点。</w:t>
      </w:r>
    </w:p>
    <w:p w14:paraId="0EED1C7A">
      <w:pPr>
        <w:autoSpaceDE w:val="0"/>
        <w:autoSpaceDN w:val="0"/>
        <w:adjustRightInd w:val="0"/>
        <w:spacing w:line="360" w:lineRule="auto"/>
        <w:ind w:firstLine="480"/>
        <w:rPr>
          <w:rFonts w:cs="Calibri"/>
          <w:kern w:val="0"/>
        </w:rPr>
      </w:pPr>
      <w:r>
        <w:rPr>
          <w:rFonts w:cs="Calibri"/>
          <w:kern w:val="0"/>
        </w:rPr>
        <w:t xml:space="preserve">1.9 </w:t>
      </w:r>
      <w:r>
        <w:rPr>
          <w:rFonts w:cs="宋体"/>
          <w:kern w:val="0"/>
          <w:lang w:val="zh-CN"/>
        </w:rPr>
        <w:t>“</w:t>
      </w:r>
      <w:r>
        <w:rPr>
          <w:rFonts w:hint="eastAsia" w:cs="宋体"/>
          <w:kern w:val="0"/>
          <w:lang w:val="zh-CN"/>
        </w:rPr>
        <w:t>验收</w:t>
      </w:r>
      <w:r>
        <w:rPr>
          <w:rFonts w:cs="宋体"/>
          <w:kern w:val="0"/>
          <w:lang w:val="zh-CN"/>
        </w:rPr>
        <w:t>”</w:t>
      </w:r>
      <w:r>
        <w:rPr>
          <w:rFonts w:hint="eastAsia" w:cs="宋体"/>
          <w:kern w:val="0"/>
          <w:lang w:val="zh-CN"/>
        </w:rPr>
        <w:t>指合同双方依据强制性的国家技术质量规范和合同约定，确认合同条款下的货物符合合同规定的活动。</w:t>
      </w:r>
    </w:p>
    <w:p w14:paraId="57722B66">
      <w:pPr>
        <w:autoSpaceDE w:val="0"/>
        <w:autoSpaceDN w:val="0"/>
        <w:adjustRightInd w:val="0"/>
        <w:spacing w:line="360" w:lineRule="auto"/>
        <w:ind w:firstLine="480"/>
        <w:rPr>
          <w:rFonts w:cs="Calibri"/>
          <w:kern w:val="0"/>
        </w:rPr>
      </w:pPr>
      <w:r>
        <w:rPr>
          <w:rFonts w:cs="Calibri"/>
          <w:kern w:val="0"/>
        </w:rPr>
        <w:t>1.10</w:t>
      </w:r>
      <w:r>
        <w:rPr>
          <w:rFonts w:hint="eastAsia" w:cs="宋体"/>
          <w:kern w:val="0"/>
          <w:lang w:val="zh-CN"/>
        </w:rPr>
        <w:t>原厂商：产品制造商或其在中国境内设立的办事或技术服务机构。除另有说明外，本合同文件所述的制造商、产品制造商、制造厂家、产品制造厂家均为原厂商。</w:t>
      </w:r>
    </w:p>
    <w:p w14:paraId="1D2C73AC">
      <w:pPr>
        <w:autoSpaceDE w:val="0"/>
        <w:autoSpaceDN w:val="0"/>
        <w:adjustRightInd w:val="0"/>
        <w:spacing w:line="360" w:lineRule="auto"/>
        <w:ind w:firstLine="480"/>
        <w:rPr>
          <w:rFonts w:cs="Calibri"/>
          <w:kern w:val="0"/>
        </w:rPr>
      </w:pPr>
      <w:r>
        <w:rPr>
          <w:rFonts w:cs="Calibri"/>
          <w:kern w:val="0"/>
        </w:rPr>
        <w:t xml:space="preserve">1.11 </w:t>
      </w:r>
      <w:r>
        <w:rPr>
          <w:rFonts w:hint="eastAsia" w:cs="宋体"/>
          <w:kern w:val="0"/>
          <w:lang w:val="zh-CN"/>
        </w:rPr>
        <w:t>原产地：指产品的生产地，或提供服务的来源地。</w:t>
      </w:r>
    </w:p>
    <w:p w14:paraId="36E37C89">
      <w:pPr>
        <w:autoSpaceDE w:val="0"/>
        <w:autoSpaceDN w:val="0"/>
        <w:adjustRightInd w:val="0"/>
        <w:spacing w:line="360" w:lineRule="auto"/>
        <w:ind w:firstLine="480"/>
        <w:rPr>
          <w:rFonts w:cs="Calibri"/>
          <w:kern w:val="0"/>
        </w:rPr>
      </w:pPr>
      <w:r>
        <w:rPr>
          <w:rFonts w:cs="Calibri"/>
          <w:kern w:val="0"/>
        </w:rPr>
        <w:t xml:space="preserve">1.12 </w:t>
      </w:r>
      <w:r>
        <w:rPr>
          <w:rFonts w:cs="宋体"/>
          <w:kern w:val="0"/>
          <w:lang w:val="zh-CN"/>
        </w:rPr>
        <w:t>“</w:t>
      </w:r>
      <w:r>
        <w:rPr>
          <w:rFonts w:hint="eastAsia" w:cs="宋体"/>
          <w:kern w:val="0"/>
          <w:lang w:val="zh-CN"/>
        </w:rPr>
        <w:t>工作日</w:t>
      </w:r>
      <w:r>
        <w:rPr>
          <w:rFonts w:cs="宋体"/>
          <w:kern w:val="0"/>
          <w:lang w:val="zh-CN"/>
        </w:rPr>
        <w:t>”</w:t>
      </w:r>
      <w:r>
        <w:rPr>
          <w:rFonts w:hint="eastAsia" w:cs="宋体"/>
          <w:kern w:val="0"/>
          <w:lang w:val="zh-CN"/>
        </w:rPr>
        <w:t>指国家法定工作日，</w:t>
      </w:r>
      <w:r>
        <w:rPr>
          <w:rFonts w:cs="宋体"/>
          <w:kern w:val="0"/>
          <w:lang w:val="zh-CN"/>
        </w:rPr>
        <w:t>“</w:t>
      </w:r>
      <w:r>
        <w:rPr>
          <w:rFonts w:hint="eastAsia" w:cs="宋体"/>
          <w:kern w:val="0"/>
          <w:lang w:val="zh-CN"/>
        </w:rPr>
        <w:t>天</w:t>
      </w:r>
      <w:r>
        <w:rPr>
          <w:rFonts w:cs="宋体"/>
          <w:kern w:val="0"/>
          <w:lang w:val="zh-CN"/>
        </w:rPr>
        <w:t>”</w:t>
      </w:r>
      <w:r>
        <w:rPr>
          <w:rFonts w:hint="eastAsia" w:cs="宋体"/>
          <w:kern w:val="0"/>
          <w:lang w:val="zh-CN"/>
        </w:rPr>
        <w:t>指日历天数。</w:t>
      </w:r>
    </w:p>
    <w:p w14:paraId="7C9F833A">
      <w:pPr>
        <w:autoSpaceDE w:val="0"/>
        <w:autoSpaceDN w:val="0"/>
        <w:adjustRightInd w:val="0"/>
        <w:spacing w:line="360" w:lineRule="auto"/>
        <w:ind w:firstLine="562"/>
        <w:outlineLvl w:val="1"/>
        <w:rPr>
          <w:rFonts w:cs="Calibri"/>
          <w:b/>
          <w:bCs/>
          <w:kern w:val="0"/>
          <w:sz w:val="28"/>
          <w:szCs w:val="28"/>
        </w:rPr>
      </w:pPr>
      <w:bookmarkStart w:id="387" w:name="_Toc18044_WPSOffice_Level2"/>
      <w:bookmarkStart w:id="388" w:name="_Toc12881"/>
      <w:bookmarkStart w:id="389" w:name="_Toc6272_WPSOffice_Level2"/>
      <w:bookmarkStart w:id="390" w:name="_Toc21117"/>
      <w:r>
        <w:rPr>
          <w:rFonts w:cs="Calibri"/>
          <w:b/>
          <w:bCs/>
          <w:kern w:val="0"/>
          <w:sz w:val="28"/>
          <w:szCs w:val="28"/>
        </w:rPr>
        <w:t>2.</w:t>
      </w:r>
      <w:r>
        <w:rPr>
          <w:rFonts w:hint="eastAsia" w:cs="宋体"/>
          <w:b/>
          <w:bCs/>
          <w:kern w:val="0"/>
          <w:sz w:val="28"/>
          <w:szCs w:val="28"/>
          <w:lang w:val="zh-CN"/>
        </w:rPr>
        <w:t>技术规格要求</w:t>
      </w:r>
      <w:bookmarkEnd w:id="387"/>
      <w:bookmarkEnd w:id="388"/>
      <w:bookmarkEnd w:id="389"/>
      <w:bookmarkEnd w:id="390"/>
    </w:p>
    <w:p w14:paraId="18F4F40A">
      <w:pPr>
        <w:autoSpaceDE w:val="0"/>
        <w:autoSpaceDN w:val="0"/>
        <w:adjustRightInd w:val="0"/>
        <w:spacing w:line="360" w:lineRule="auto"/>
        <w:ind w:firstLine="480"/>
        <w:rPr>
          <w:rFonts w:cs="Calibri"/>
          <w:kern w:val="0"/>
        </w:rPr>
      </w:pPr>
      <w:r>
        <w:rPr>
          <w:rFonts w:cs="Calibri"/>
          <w:kern w:val="0"/>
        </w:rPr>
        <w:t xml:space="preserve">2.1 </w:t>
      </w:r>
      <w:r>
        <w:rPr>
          <w:rFonts w:hint="eastAsia" w:cs="宋体"/>
          <w:kern w:val="0"/>
          <w:lang w:val="zh-CN"/>
        </w:rPr>
        <w:t>本合同条款下提交货物的技术规格要求应等于或优于招投标文件技术规格要求。若技术规格要求中无相应规定，则应符合相应的国家有关部门最新颁布的相应正式标准。</w:t>
      </w:r>
    </w:p>
    <w:p w14:paraId="06CEA33A">
      <w:pPr>
        <w:autoSpaceDE w:val="0"/>
        <w:autoSpaceDN w:val="0"/>
        <w:adjustRightInd w:val="0"/>
        <w:spacing w:line="360" w:lineRule="auto"/>
        <w:ind w:firstLine="480"/>
        <w:rPr>
          <w:rFonts w:cs="Calibri"/>
          <w:kern w:val="0"/>
        </w:rPr>
      </w:pPr>
      <w:r>
        <w:rPr>
          <w:rFonts w:cs="Calibri"/>
          <w:kern w:val="0"/>
        </w:rPr>
        <w:t xml:space="preserve">2.2 </w:t>
      </w:r>
      <w:r>
        <w:rPr>
          <w:rFonts w:hint="eastAsia" w:cs="宋体"/>
          <w:kern w:val="0"/>
          <w:lang w:val="zh-CN"/>
        </w:rPr>
        <w:t>乙方应向甲方提供货物及服务有关的标准的中文文本。</w:t>
      </w:r>
    </w:p>
    <w:p w14:paraId="03BC7D33">
      <w:pPr>
        <w:autoSpaceDE w:val="0"/>
        <w:autoSpaceDN w:val="0"/>
        <w:adjustRightInd w:val="0"/>
        <w:spacing w:line="360" w:lineRule="auto"/>
        <w:ind w:firstLine="480"/>
        <w:rPr>
          <w:rFonts w:cs="Calibri"/>
          <w:kern w:val="0"/>
        </w:rPr>
      </w:pPr>
      <w:r>
        <w:rPr>
          <w:rFonts w:cs="Calibri"/>
          <w:kern w:val="0"/>
        </w:rPr>
        <w:t xml:space="preserve">2.3 </w:t>
      </w:r>
      <w:r>
        <w:rPr>
          <w:rFonts w:hint="eastAsia" w:cs="宋体"/>
          <w:kern w:val="0"/>
          <w:lang w:val="zh-CN"/>
        </w:rPr>
        <w:t>除非技术规范中另有规定，计量单位均采用中华人民共和国法定计量单位。</w:t>
      </w:r>
    </w:p>
    <w:p w14:paraId="63751732">
      <w:pPr>
        <w:autoSpaceDE w:val="0"/>
        <w:autoSpaceDN w:val="0"/>
        <w:adjustRightInd w:val="0"/>
        <w:spacing w:line="360" w:lineRule="auto"/>
        <w:ind w:firstLine="562"/>
        <w:outlineLvl w:val="1"/>
        <w:rPr>
          <w:rFonts w:cs="Calibri"/>
          <w:b/>
          <w:bCs/>
          <w:kern w:val="0"/>
          <w:sz w:val="28"/>
          <w:szCs w:val="28"/>
        </w:rPr>
      </w:pPr>
      <w:bookmarkStart w:id="391" w:name="_Toc21995_WPSOffice_Level2"/>
      <w:bookmarkStart w:id="392" w:name="_Toc14148"/>
      <w:bookmarkStart w:id="393" w:name="_Toc16918_WPSOffice_Level2"/>
      <w:bookmarkStart w:id="394" w:name="_Toc1029"/>
      <w:r>
        <w:rPr>
          <w:rFonts w:cs="Calibri"/>
          <w:b/>
          <w:bCs/>
          <w:kern w:val="0"/>
          <w:sz w:val="28"/>
          <w:szCs w:val="28"/>
        </w:rPr>
        <w:t>3.</w:t>
      </w:r>
      <w:r>
        <w:rPr>
          <w:rFonts w:hint="eastAsia" w:cs="宋体"/>
          <w:b/>
          <w:bCs/>
          <w:kern w:val="0"/>
          <w:sz w:val="28"/>
          <w:szCs w:val="28"/>
          <w:lang w:val="zh-CN"/>
        </w:rPr>
        <w:t>合同范围</w:t>
      </w:r>
      <w:bookmarkEnd w:id="391"/>
      <w:bookmarkEnd w:id="392"/>
      <w:bookmarkEnd w:id="393"/>
      <w:bookmarkEnd w:id="394"/>
    </w:p>
    <w:p w14:paraId="2CCEF180">
      <w:pPr>
        <w:autoSpaceDE w:val="0"/>
        <w:autoSpaceDN w:val="0"/>
        <w:adjustRightInd w:val="0"/>
        <w:spacing w:line="360" w:lineRule="auto"/>
        <w:ind w:firstLine="480"/>
        <w:rPr>
          <w:rFonts w:cs="Calibri"/>
          <w:kern w:val="0"/>
        </w:rPr>
      </w:pPr>
      <w:r>
        <w:rPr>
          <w:rFonts w:cs="Calibri"/>
          <w:kern w:val="0"/>
        </w:rPr>
        <w:t xml:space="preserve">3.1 </w:t>
      </w:r>
      <w:r>
        <w:rPr>
          <w:rFonts w:hint="eastAsia"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F14AF0B">
      <w:pPr>
        <w:autoSpaceDE w:val="0"/>
        <w:autoSpaceDN w:val="0"/>
        <w:adjustRightInd w:val="0"/>
        <w:spacing w:line="360" w:lineRule="auto"/>
        <w:ind w:firstLine="480"/>
        <w:rPr>
          <w:rFonts w:cs="Calibri"/>
          <w:kern w:val="0"/>
        </w:rPr>
      </w:pPr>
      <w:r>
        <w:rPr>
          <w:rFonts w:cs="Calibri"/>
          <w:kern w:val="0"/>
        </w:rPr>
        <w:t xml:space="preserve">3.2 </w:t>
      </w:r>
      <w:r>
        <w:rPr>
          <w:rFonts w:hint="eastAsia" w:cs="宋体"/>
          <w:kern w:val="0"/>
          <w:lang w:val="zh-CN"/>
        </w:rPr>
        <w:t>乙方应负责培训甲方的技术人员。</w:t>
      </w:r>
    </w:p>
    <w:p w14:paraId="687B69E5">
      <w:pPr>
        <w:autoSpaceDE w:val="0"/>
        <w:autoSpaceDN w:val="0"/>
        <w:adjustRightInd w:val="0"/>
        <w:spacing w:line="360" w:lineRule="auto"/>
        <w:ind w:firstLine="480"/>
        <w:rPr>
          <w:rFonts w:cs="Calibri"/>
          <w:kern w:val="0"/>
        </w:rPr>
      </w:pPr>
      <w:r>
        <w:rPr>
          <w:rFonts w:cs="Calibri"/>
          <w:kern w:val="0"/>
        </w:rPr>
        <w:t xml:space="preserve">3.3 </w:t>
      </w:r>
      <w:r>
        <w:rPr>
          <w:rFonts w:hint="eastAsia" w:cs="宋体"/>
          <w:kern w:val="0"/>
          <w:lang w:val="zh-CN"/>
        </w:rPr>
        <w:t>按照甲方的要求，乙方应在合同规定的质量保证期和免费保修期内，免费负责修理或更换有缺陷的零部件或整机，对软件产品进行</w:t>
      </w:r>
      <w:bookmarkStart w:id="395" w:name="_Toc4642_WPSOffice_Level3"/>
      <w:r>
        <w:rPr>
          <w:rFonts w:hint="eastAsia" w:cs="宋体"/>
          <w:kern w:val="0"/>
          <w:lang w:val="zh-CN"/>
        </w:rPr>
        <w:t>免费升级，同</w:t>
      </w:r>
      <w:bookmarkEnd w:id="395"/>
      <w:r>
        <w:rPr>
          <w:rFonts w:hint="eastAsia" w:cs="宋体"/>
          <w:kern w:val="0"/>
          <w:lang w:val="zh-CN"/>
        </w:rPr>
        <w:t>时在合同规定的质量保证期和免费保修期满后，以最优惠的价格，向买方提供合同货物大修和维护所需的配件及服务。</w:t>
      </w:r>
    </w:p>
    <w:p w14:paraId="6B7C4CC1">
      <w:pPr>
        <w:autoSpaceDE w:val="0"/>
        <w:autoSpaceDN w:val="0"/>
        <w:adjustRightInd w:val="0"/>
        <w:spacing w:line="360" w:lineRule="auto"/>
        <w:ind w:firstLine="562"/>
        <w:outlineLvl w:val="1"/>
        <w:rPr>
          <w:rFonts w:cs="Calibri"/>
          <w:b/>
          <w:bCs/>
          <w:kern w:val="0"/>
          <w:sz w:val="28"/>
          <w:szCs w:val="28"/>
        </w:rPr>
      </w:pPr>
      <w:bookmarkStart w:id="396" w:name="_Toc1474"/>
      <w:bookmarkStart w:id="397" w:name="_Toc21752_WPSOffice_Level2"/>
      <w:bookmarkStart w:id="398" w:name="_Toc24227_WPSOffice_Level2"/>
      <w:bookmarkStart w:id="399" w:name="_Toc7477"/>
      <w:r>
        <w:rPr>
          <w:rFonts w:cs="Calibri"/>
          <w:b/>
          <w:bCs/>
          <w:kern w:val="0"/>
          <w:sz w:val="28"/>
          <w:szCs w:val="28"/>
        </w:rPr>
        <w:t>4.</w:t>
      </w:r>
      <w:r>
        <w:rPr>
          <w:rFonts w:hint="eastAsia" w:cs="宋体"/>
          <w:b/>
          <w:bCs/>
          <w:kern w:val="0"/>
          <w:sz w:val="28"/>
          <w:szCs w:val="28"/>
          <w:lang w:val="zh-CN"/>
        </w:rPr>
        <w:t>合同文件和资料</w:t>
      </w:r>
      <w:bookmarkEnd w:id="396"/>
      <w:bookmarkEnd w:id="397"/>
      <w:bookmarkEnd w:id="398"/>
      <w:bookmarkEnd w:id="399"/>
    </w:p>
    <w:p w14:paraId="6E31FEA7">
      <w:pPr>
        <w:autoSpaceDE w:val="0"/>
        <w:autoSpaceDN w:val="0"/>
        <w:adjustRightInd w:val="0"/>
        <w:spacing w:line="360" w:lineRule="auto"/>
        <w:ind w:firstLine="480"/>
        <w:rPr>
          <w:rFonts w:cs="Calibri"/>
          <w:kern w:val="0"/>
        </w:rPr>
      </w:pPr>
      <w:r>
        <w:rPr>
          <w:rFonts w:cs="Calibri"/>
          <w:kern w:val="0"/>
        </w:rPr>
        <w:t>4.1</w:t>
      </w:r>
      <w:r>
        <w:rPr>
          <w:rFonts w:hint="eastAsia" w:cs="宋体"/>
          <w:kern w:val="0"/>
          <w:lang w:val="zh-CN"/>
        </w:rPr>
        <w:t>乙方在提供仪器设备时应同时提供中文版相关的技术资料，如目录索引、图纸、操作手册、使用指南、维修指南、服务手册等。</w:t>
      </w:r>
    </w:p>
    <w:p w14:paraId="3A9E3BE1">
      <w:pPr>
        <w:autoSpaceDE w:val="0"/>
        <w:autoSpaceDN w:val="0"/>
        <w:adjustRightInd w:val="0"/>
        <w:spacing w:line="360" w:lineRule="auto"/>
        <w:ind w:firstLine="480"/>
        <w:rPr>
          <w:rFonts w:cs="Calibri"/>
          <w:kern w:val="0"/>
        </w:rPr>
      </w:pPr>
      <w:r>
        <w:rPr>
          <w:rFonts w:cs="Calibri"/>
          <w:kern w:val="0"/>
        </w:rPr>
        <w:t>4.2</w:t>
      </w:r>
      <w:r>
        <w:rPr>
          <w:rFonts w:hint="eastAsia"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C818AE1">
      <w:pPr>
        <w:autoSpaceDE w:val="0"/>
        <w:autoSpaceDN w:val="0"/>
        <w:adjustRightInd w:val="0"/>
        <w:spacing w:line="360" w:lineRule="auto"/>
        <w:ind w:firstLine="562"/>
        <w:outlineLvl w:val="1"/>
        <w:rPr>
          <w:rFonts w:cs="Calibri"/>
          <w:b/>
          <w:bCs/>
          <w:kern w:val="0"/>
          <w:sz w:val="28"/>
          <w:szCs w:val="28"/>
        </w:rPr>
      </w:pPr>
      <w:bookmarkStart w:id="400" w:name="_Toc15545"/>
      <w:bookmarkStart w:id="401" w:name="_Toc4800"/>
      <w:bookmarkStart w:id="402" w:name="_Toc10933_WPSOffice_Level2"/>
      <w:bookmarkStart w:id="403" w:name="_Toc1218_WPSOffice_Level2"/>
      <w:r>
        <w:rPr>
          <w:rFonts w:cs="Calibri"/>
          <w:b/>
          <w:bCs/>
          <w:kern w:val="0"/>
          <w:sz w:val="28"/>
          <w:szCs w:val="28"/>
        </w:rPr>
        <w:t>5.</w:t>
      </w:r>
      <w:r>
        <w:rPr>
          <w:rFonts w:hint="eastAsia" w:cs="宋体"/>
          <w:b/>
          <w:bCs/>
          <w:kern w:val="0"/>
          <w:sz w:val="28"/>
          <w:szCs w:val="28"/>
          <w:lang w:val="zh-CN"/>
        </w:rPr>
        <w:t>知识产权</w:t>
      </w:r>
      <w:bookmarkEnd w:id="400"/>
      <w:bookmarkEnd w:id="401"/>
      <w:bookmarkEnd w:id="402"/>
      <w:bookmarkEnd w:id="403"/>
    </w:p>
    <w:p w14:paraId="76A10621">
      <w:pPr>
        <w:autoSpaceDE w:val="0"/>
        <w:autoSpaceDN w:val="0"/>
        <w:adjustRightInd w:val="0"/>
        <w:spacing w:line="360" w:lineRule="auto"/>
        <w:ind w:firstLine="480"/>
        <w:rPr>
          <w:rFonts w:cs="Calibri"/>
          <w:kern w:val="0"/>
        </w:rPr>
      </w:pPr>
      <w:r>
        <w:rPr>
          <w:rFonts w:cs="Calibri"/>
          <w:kern w:val="0"/>
        </w:rPr>
        <w:t>5.1</w:t>
      </w:r>
      <w:r>
        <w:rPr>
          <w:rFonts w:hint="eastAsia" w:cs="宋体"/>
          <w:kern w:val="0"/>
          <w:lang w:val="zh-CN"/>
        </w:rPr>
        <w:t>乙方应保证甲方在使用该货物或其任何一部分时不受第三方提出的侵犯专利权、</w:t>
      </w:r>
      <w:r>
        <w:rPr>
          <w:rFonts w:cs="Calibri"/>
          <w:kern w:val="0"/>
        </w:rPr>
        <w:t xml:space="preserve"> </w:t>
      </w:r>
      <w:r>
        <w:rPr>
          <w:rFonts w:hint="eastAsia" w:cs="宋体"/>
          <w:kern w:val="0"/>
          <w:lang w:val="zh-CN"/>
        </w:rPr>
        <w:t>著作权、商标权和工业设计权等的起诉。</w:t>
      </w:r>
    </w:p>
    <w:p w14:paraId="1CC82320">
      <w:pPr>
        <w:autoSpaceDE w:val="0"/>
        <w:autoSpaceDN w:val="0"/>
        <w:adjustRightInd w:val="0"/>
        <w:spacing w:line="360" w:lineRule="auto"/>
        <w:ind w:firstLine="480"/>
        <w:rPr>
          <w:rFonts w:cs="Calibri"/>
          <w:kern w:val="0"/>
        </w:rPr>
      </w:pPr>
      <w:r>
        <w:rPr>
          <w:rFonts w:cs="Calibri"/>
          <w:kern w:val="0"/>
        </w:rPr>
        <w:t>5.2</w:t>
      </w:r>
      <w:r>
        <w:rPr>
          <w:rFonts w:hint="eastAsia" w:cs="宋体"/>
          <w:kern w:val="0"/>
          <w:lang w:val="zh-CN"/>
        </w:rPr>
        <w:t>任何第三方提出侵权指控，乙方须与第三方交涉并承担由此产生的一切责任、费用和经济赔偿。</w:t>
      </w:r>
    </w:p>
    <w:p w14:paraId="552D9668">
      <w:pPr>
        <w:autoSpaceDE w:val="0"/>
        <w:autoSpaceDN w:val="0"/>
        <w:adjustRightInd w:val="0"/>
        <w:spacing w:line="360" w:lineRule="auto"/>
        <w:ind w:firstLine="480"/>
        <w:rPr>
          <w:rFonts w:cs="Calibri"/>
          <w:kern w:val="0"/>
        </w:rPr>
      </w:pPr>
      <w:r>
        <w:rPr>
          <w:rFonts w:cs="Calibri"/>
          <w:kern w:val="0"/>
        </w:rPr>
        <w:t>5.3</w:t>
      </w:r>
      <w:r>
        <w:rPr>
          <w:rFonts w:hint="eastAsia"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634A286">
      <w:pPr>
        <w:autoSpaceDE w:val="0"/>
        <w:autoSpaceDN w:val="0"/>
        <w:adjustRightInd w:val="0"/>
        <w:spacing w:line="360" w:lineRule="auto"/>
        <w:ind w:firstLine="480"/>
        <w:rPr>
          <w:rFonts w:cs="Calibri"/>
          <w:kern w:val="0"/>
        </w:rPr>
      </w:pPr>
      <w:r>
        <w:rPr>
          <w:rFonts w:cs="Calibri"/>
          <w:kern w:val="0"/>
        </w:rPr>
        <w:t>5.4</w:t>
      </w:r>
      <w:r>
        <w:rPr>
          <w:rFonts w:hint="eastAsia" w:cs="宋体"/>
          <w:kern w:val="0"/>
          <w:lang w:val="zh-CN"/>
        </w:rPr>
        <w:t>在</w:t>
      </w:r>
      <w:bookmarkStart w:id="404" w:name="_Toc1660_WPSOffice_Level3"/>
      <w:r>
        <w:rPr>
          <w:rFonts w:hint="eastAsia" w:cs="宋体"/>
          <w:kern w:val="0"/>
          <w:lang w:val="zh-CN"/>
        </w:rPr>
        <w:t>本合同生效时已经存在并为各方合法拥有</w:t>
      </w:r>
      <w:bookmarkEnd w:id="404"/>
      <w:r>
        <w:rPr>
          <w:rFonts w:hint="eastAsia" w:cs="宋体"/>
          <w:kern w:val="0"/>
          <w:lang w:val="zh-CN"/>
        </w:rPr>
        <w:t>或使用的所有技术、资料和信息的知识产权，仍应属于其各自的原权利人所有或享有，另有约定的除外。</w:t>
      </w:r>
    </w:p>
    <w:p w14:paraId="3ACE22F9">
      <w:pPr>
        <w:autoSpaceDE w:val="0"/>
        <w:autoSpaceDN w:val="0"/>
        <w:adjustRightInd w:val="0"/>
        <w:spacing w:line="360" w:lineRule="auto"/>
        <w:ind w:firstLine="480"/>
        <w:rPr>
          <w:rFonts w:cs="Calibri"/>
          <w:kern w:val="0"/>
        </w:rPr>
      </w:pPr>
      <w:r>
        <w:rPr>
          <w:rFonts w:cs="Calibri"/>
          <w:kern w:val="0"/>
        </w:rPr>
        <w:t>5.5</w:t>
      </w:r>
      <w:r>
        <w:rPr>
          <w:rFonts w:hint="eastAsia"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298E12E">
      <w:pPr>
        <w:autoSpaceDE w:val="0"/>
        <w:autoSpaceDN w:val="0"/>
        <w:adjustRightInd w:val="0"/>
        <w:spacing w:line="360" w:lineRule="auto"/>
        <w:ind w:firstLine="562"/>
        <w:outlineLvl w:val="1"/>
        <w:rPr>
          <w:rFonts w:cs="Calibri"/>
          <w:b/>
          <w:bCs/>
          <w:kern w:val="0"/>
          <w:sz w:val="28"/>
          <w:szCs w:val="28"/>
        </w:rPr>
      </w:pPr>
      <w:bookmarkStart w:id="405" w:name="_Toc6934"/>
      <w:bookmarkStart w:id="406" w:name="_Toc30101"/>
      <w:bookmarkStart w:id="407" w:name="_Toc24583_WPSOffice_Level2"/>
      <w:bookmarkStart w:id="408" w:name="_Toc2052_WPSOffice_Level2"/>
      <w:r>
        <w:rPr>
          <w:rFonts w:cs="Calibri"/>
          <w:b/>
          <w:bCs/>
          <w:kern w:val="0"/>
          <w:sz w:val="28"/>
          <w:szCs w:val="28"/>
        </w:rPr>
        <w:t>6.</w:t>
      </w:r>
      <w:r>
        <w:rPr>
          <w:rFonts w:hint="eastAsia" w:cs="宋体"/>
          <w:b/>
          <w:bCs/>
          <w:kern w:val="0"/>
          <w:sz w:val="28"/>
          <w:szCs w:val="28"/>
          <w:lang w:val="zh-CN"/>
        </w:rPr>
        <w:t>保密</w:t>
      </w:r>
      <w:bookmarkEnd w:id="405"/>
      <w:bookmarkEnd w:id="406"/>
      <w:bookmarkEnd w:id="407"/>
      <w:bookmarkEnd w:id="408"/>
    </w:p>
    <w:p w14:paraId="24E738EF">
      <w:pPr>
        <w:autoSpaceDE w:val="0"/>
        <w:autoSpaceDN w:val="0"/>
        <w:adjustRightInd w:val="0"/>
        <w:spacing w:line="360" w:lineRule="auto"/>
        <w:ind w:firstLine="480"/>
        <w:rPr>
          <w:rFonts w:cs="Calibri"/>
          <w:kern w:val="0"/>
        </w:rPr>
      </w:pPr>
      <w:r>
        <w:rPr>
          <w:rFonts w:cs="Calibri"/>
          <w:kern w:val="0"/>
        </w:rPr>
        <w:t>6.1</w:t>
      </w:r>
      <w:r>
        <w:rPr>
          <w:rFonts w:hint="eastAsia"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71306A3">
      <w:pPr>
        <w:autoSpaceDE w:val="0"/>
        <w:autoSpaceDN w:val="0"/>
        <w:adjustRightInd w:val="0"/>
        <w:spacing w:line="360" w:lineRule="auto"/>
        <w:ind w:firstLine="480"/>
        <w:rPr>
          <w:rFonts w:cs="Calibri"/>
          <w:kern w:val="0"/>
        </w:rPr>
      </w:pPr>
      <w:r>
        <w:rPr>
          <w:rFonts w:cs="Calibri"/>
          <w:kern w:val="0"/>
        </w:rPr>
        <w:t>6.2</w:t>
      </w:r>
      <w:r>
        <w:rPr>
          <w:rFonts w:hint="eastAsia" w:cs="宋体"/>
          <w:kern w:val="0"/>
          <w:lang w:val="zh-CN"/>
        </w:rPr>
        <w:t>保密信息指任何一方因履行本合同所知悉的任何以口头、书面、图表或电子形式存在的</w:t>
      </w:r>
      <w:bookmarkStart w:id="409" w:name="_Toc19899_WPSOffice_Level3"/>
      <w:r>
        <w:rPr>
          <w:rFonts w:hint="eastAsia" w:cs="宋体"/>
          <w:kern w:val="0"/>
          <w:lang w:val="zh-CN"/>
        </w:rPr>
        <w:t>对方信息，具体包括：</w:t>
      </w:r>
    </w:p>
    <w:p w14:paraId="4E477594">
      <w:pPr>
        <w:autoSpaceDE w:val="0"/>
        <w:autoSpaceDN w:val="0"/>
        <w:adjustRightInd w:val="0"/>
        <w:spacing w:line="360" w:lineRule="auto"/>
        <w:ind w:firstLine="480"/>
        <w:rPr>
          <w:rFonts w:cs="Calibri"/>
          <w:kern w:val="0"/>
        </w:rPr>
      </w:pPr>
      <w:r>
        <w:rPr>
          <w:rFonts w:cs="Calibri"/>
          <w:kern w:val="0"/>
        </w:rPr>
        <w:t>6.2.1</w:t>
      </w:r>
      <w:r>
        <w:rPr>
          <w:rFonts w:hint="eastAsia" w:cs="宋体"/>
          <w:kern w:val="0"/>
          <w:lang w:val="zh-CN"/>
        </w:rPr>
        <w:t>任何涉及对</w:t>
      </w:r>
      <w:bookmarkEnd w:id="409"/>
      <w:r>
        <w:rPr>
          <w:rFonts w:hint="eastAsia" w:cs="宋体"/>
          <w:kern w:val="0"/>
          <w:lang w:val="zh-CN"/>
        </w:rPr>
        <w:t>方过去、现在或将来的商业计划、规章制度、操作规程、处理手段、财务信息；</w:t>
      </w:r>
    </w:p>
    <w:p w14:paraId="03711314">
      <w:pPr>
        <w:autoSpaceDE w:val="0"/>
        <w:autoSpaceDN w:val="0"/>
        <w:adjustRightInd w:val="0"/>
        <w:spacing w:line="360" w:lineRule="auto"/>
        <w:ind w:firstLine="480"/>
        <w:rPr>
          <w:rFonts w:cs="Calibri"/>
          <w:kern w:val="0"/>
        </w:rPr>
      </w:pPr>
      <w:r>
        <w:rPr>
          <w:rFonts w:cs="Calibri"/>
          <w:kern w:val="0"/>
        </w:rPr>
        <w:t>6.2.2</w:t>
      </w:r>
      <w:r>
        <w:rPr>
          <w:rFonts w:hint="eastAsia" w:cs="宋体"/>
          <w:kern w:val="0"/>
          <w:lang w:val="zh-CN"/>
        </w:rPr>
        <w:t>任何对方的技术措施、技术方案、软件应用及开发，硬件设备的品种、质量、数量、品牌等；</w:t>
      </w:r>
    </w:p>
    <w:p w14:paraId="1114F7D4">
      <w:pPr>
        <w:autoSpaceDE w:val="0"/>
        <w:autoSpaceDN w:val="0"/>
        <w:adjustRightInd w:val="0"/>
        <w:spacing w:line="360" w:lineRule="auto"/>
        <w:ind w:firstLine="480"/>
        <w:rPr>
          <w:rFonts w:cs="Calibri"/>
          <w:kern w:val="0"/>
        </w:rPr>
      </w:pPr>
      <w:r>
        <w:rPr>
          <w:rFonts w:cs="Calibri"/>
          <w:kern w:val="0"/>
        </w:rPr>
        <w:t>6.2.3</w:t>
      </w:r>
      <w:r>
        <w:rPr>
          <w:rFonts w:hint="eastAsia" w:cs="宋体"/>
          <w:kern w:val="0"/>
          <w:lang w:val="zh-CN"/>
        </w:rPr>
        <w:t>任何对方的技术秘密或专有知识、文件</w:t>
      </w:r>
      <w:r>
        <w:rPr>
          <w:rFonts w:cs="Calibri"/>
          <w:kern w:val="0"/>
        </w:rPr>
        <w:t xml:space="preserve"> </w:t>
      </w:r>
      <w:r>
        <w:rPr>
          <w:rFonts w:hint="eastAsia" w:cs="宋体"/>
          <w:kern w:val="0"/>
          <w:lang w:val="zh-CN"/>
        </w:rPr>
        <w:t>、报告、数据、客户软件、流程图、数据库、发明、知识、贸易秘密。</w:t>
      </w:r>
    </w:p>
    <w:p w14:paraId="4F8694A3">
      <w:pPr>
        <w:autoSpaceDE w:val="0"/>
        <w:autoSpaceDN w:val="0"/>
        <w:adjustRightInd w:val="0"/>
        <w:spacing w:line="360" w:lineRule="auto"/>
        <w:ind w:firstLine="480"/>
        <w:rPr>
          <w:rFonts w:cs="Calibri"/>
          <w:kern w:val="0"/>
        </w:rPr>
      </w:pPr>
      <w:r>
        <w:rPr>
          <w:rFonts w:cs="Calibri"/>
          <w:kern w:val="0"/>
        </w:rPr>
        <w:t>6.3</w:t>
      </w:r>
      <w:bookmarkStart w:id="410" w:name="_Toc31236_WPSOffice_Level3"/>
      <w:r>
        <w:rPr>
          <w:rFonts w:hint="eastAsia" w:cs="宋体"/>
          <w:kern w:val="0"/>
          <w:lang w:val="zh-CN"/>
        </w:rPr>
        <w:t>乙方应根据甲方的</w:t>
      </w:r>
      <w:bookmarkEnd w:id="410"/>
      <w:r>
        <w:rPr>
          <w:rFonts w:hint="eastAsia" w:cs="宋体"/>
          <w:kern w:val="0"/>
          <w:lang w:val="zh-CN"/>
        </w:rPr>
        <w:t>要求签署相应的保密协议，保密协议与本条款存在不一致的，以保密协议为准。</w:t>
      </w:r>
    </w:p>
    <w:p w14:paraId="77A58B5E">
      <w:pPr>
        <w:autoSpaceDE w:val="0"/>
        <w:autoSpaceDN w:val="0"/>
        <w:adjustRightInd w:val="0"/>
        <w:spacing w:line="360" w:lineRule="auto"/>
        <w:ind w:firstLine="562"/>
        <w:outlineLvl w:val="1"/>
        <w:rPr>
          <w:rFonts w:cs="Calibri"/>
          <w:b/>
          <w:bCs/>
          <w:kern w:val="0"/>
          <w:sz w:val="28"/>
          <w:szCs w:val="28"/>
        </w:rPr>
      </w:pPr>
      <w:bookmarkStart w:id="411" w:name="_Toc30323"/>
      <w:bookmarkStart w:id="412" w:name="_Toc20193_WPSOffice_Level2"/>
      <w:bookmarkStart w:id="413" w:name="_Toc11864"/>
      <w:bookmarkStart w:id="414" w:name="_Toc8845_WPSOffice_Level2"/>
      <w:r>
        <w:rPr>
          <w:rFonts w:cs="Calibri"/>
          <w:b/>
          <w:bCs/>
          <w:kern w:val="0"/>
          <w:sz w:val="28"/>
          <w:szCs w:val="28"/>
        </w:rPr>
        <w:t xml:space="preserve">7. </w:t>
      </w:r>
      <w:r>
        <w:rPr>
          <w:rFonts w:hint="eastAsia" w:cs="宋体"/>
          <w:b/>
          <w:bCs/>
          <w:kern w:val="0"/>
          <w:sz w:val="28"/>
          <w:szCs w:val="28"/>
          <w:lang w:val="zh-CN"/>
        </w:rPr>
        <w:t>质量保证</w:t>
      </w:r>
      <w:bookmarkEnd w:id="411"/>
      <w:bookmarkEnd w:id="412"/>
      <w:bookmarkEnd w:id="413"/>
      <w:bookmarkEnd w:id="414"/>
    </w:p>
    <w:p w14:paraId="142AF659">
      <w:pPr>
        <w:autoSpaceDE w:val="0"/>
        <w:autoSpaceDN w:val="0"/>
        <w:adjustRightInd w:val="0"/>
        <w:spacing w:line="360" w:lineRule="auto"/>
        <w:ind w:firstLine="480"/>
        <w:outlineLvl w:val="2"/>
        <w:rPr>
          <w:rFonts w:cs="Calibri"/>
          <w:kern w:val="0"/>
        </w:rPr>
      </w:pPr>
      <w:bookmarkStart w:id="415" w:name="_Toc9279"/>
      <w:bookmarkStart w:id="416" w:name="_Toc32396_WPSOffice_Level3"/>
      <w:bookmarkStart w:id="417" w:name="_Toc5742_WPSOffice_Level3"/>
      <w:r>
        <w:rPr>
          <w:rFonts w:cs="Calibri"/>
          <w:kern w:val="0"/>
        </w:rPr>
        <w:t>7.1</w:t>
      </w:r>
      <w:r>
        <w:rPr>
          <w:rFonts w:hint="eastAsia" w:cs="宋体"/>
          <w:kern w:val="0"/>
          <w:lang w:val="zh-CN"/>
        </w:rPr>
        <w:t>货物质量保证</w:t>
      </w:r>
      <w:bookmarkEnd w:id="415"/>
      <w:bookmarkEnd w:id="416"/>
      <w:bookmarkEnd w:id="417"/>
    </w:p>
    <w:p w14:paraId="50C8F6E6">
      <w:pPr>
        <w:autoSpaceDE w:val="0"/>
        <w:autoSpaceDN w:val="0"/>
        <w:adjustRightInd w:val="0"/>
        <w:spacing w:line="360" w:lineRule="auto"/>
        <w:ind w:firstLine="480"/>
        <w:rPr>
          <w:rFonts w:cs="Calibri"/>
          <w:kern w:val="0"/>
        </w:rPr>
      </w:pPr>
      <w:r>
        <w:rPr>
          <w:rFonts w:cs="Calibri"/>
          <w:kern w:val="0"/>
        </w:rPr>
        <w:t>7.1.1</w:t>
      </w:r>
      <w:r>
        <w:rPr>
          <w:rFonts w:hint="eastAsia" w:cs="宋体"/>
          <w:kern w:val="0"/>
          <w:lang w:val="zh-CN"/>
        </w:rPr>
        <w:t>乙方必须保证货物是全新、未使用过的，并完全符合强制性的国家技术质量规范和合同规定的质量、规格、性能和技术规范等的要求。</w:t>
      </w:r>
    </w:p>
    <w:p w14:paraId="2C6233FF">
      <w:pPr>
        <w:autoSpaceDE w:val="0"/>
        <w:autoSpaceDN w:val="0"/>
        <w:adjustRightInd w:val="0"/>
        <w:spacing w:line="360" w:lineRule="auto"/>
        <w:ind w:firstLine="480"/>
        <w:rPr>
          <w:rFonts w:cs="Calibri"/>
          <w:kern w:val="0"/>
        </w:rPr>
      </w:pPr>
      <w:r>
        <w:rPr>
          <w:rFonts w:cs="Calibri"/>
          <w:kern w:val="0"/>
        </w:rPr>
        <w:t>7.</w:t>
      </w:r>
      <w:bookmarkStart w:id="418" w:name="_Toc23251_WPSOffice_Level3"/>
      <w:r>
        <w:rPr>
          <w:rFonts w:cs="Calibri"/>
          <w:kern w:val="0"/>
        </w:rPr>
        <w:t>1.2</w:t>
      </w:r>
      <w:r>
        <w:rPr>
          <w:rFonts w:hint="eastAsia" w:cs="宋体"/>
          <w:kern w:val="0"/>
          <w:lang w:val="zh-CN"/>
        </w:rPr>
        <w:t>乙方须保证所</w:t>
      </w:r>
      <w:bookmarkEnd w:id="418"/>
      <w:r>
        <w:rPr>
          <w:rFonts w:hint="eastAsia" w:cs="宋体"/>
          <w:kern w:val="0"/>
          <w:lang w:val="zh-CN"/>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18C38A7">
      <w:pPr>
        <w:autoSpaceDE w:val="0"/>
        <w:autoSpaceDN w:val="0"/>
        <w:adjustRightInd w:val="0"/>
        <w:spacing w:line="360" w:lineRule="auto"/>
        <w:ind w:firstLine="480"/>
        <w:rPr>
          <w:rFonts w:cs="Calibri"/>
          <w:kern w:val="0"/>
        </w:rPr>
      </w:pPr>
      <w:r>
        <w:rPr>
          <w:rFonts w:cs="Calibri"/>
          <w:kern w:val="0"/>
        </w:rPr>
        <w:t>7.1.3</w:t>
      </w:r>
      <w:r>
        <w:rPr>
          <w:rFonts w:hint="eastAsia"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419" w:name="_Toc26824_WPSOffice_Level3"/>
      <w:r>
        <w:rPr>
          <w:rFonts w:hint="eastAsia" w:cs="宋体"/>
          <w:kern w:val="0"/>
          <w:lang w:val="zh-CN"/>
        </w:rPr>
        <w:t>破损货物。</w:t>
      </w:r>
      <w:bookmarkEnd w:id="419"/>
      <w:r>
        <w:rPr>
          <w:rFonts w:hint="eastAsia" w:cs="宋体"/>
          <w:kern w:val="0"/>
          <w:lang w:val="zh-CN"/>
        </w:rPr>
        <w:t>乙方在甲方发出质量异议通知后，未作答复，甲方在通知书中所提出的要求应视为已被乙方接受。</w:t>
      </w:r>
    </w:p>
    <w:p w14:paraId="1A55E7F1">
      <w:pPr>
        <w:autoSpaceDE w:val="0"/>
        <w:autoSpaceDN w:val="0"/>
        <w:adjustRightInd w:val="0"/>
        <w:spacing w:line="360" w:lineRule="auto"/>
        <w:ind w:firstLine="480"/>
        <w:rPr>
          <w:rFonts w:cs="Calibri"/>
          <w:kern w:val="0"/>
        </w:rPr>
      </w:pPr>
      <w:r>
        <w:rPr>
          <w:rFonts w:cs="Calibri"/>
          <w:kern w:val="0"/>
        </w:rPr>
        <w:t>7.1.4</w:t>
      </w:r>
      <w:r>
        <w:rPr>
          <w:rFonts w:hint="eastAsia" w:cs="宋体"/>
          <w:kern w:val="0"/>
          <w:lang w:val="zh-CN"/>
        </w:rPr>
        <w:t>乙方在收到通知后虽答复，但没有弥补缺陷，甲方可采取必要的补救措施，但由此引发的风险和费用将由乙方承担。</w:t>
      </w:r>
      <w:bookmarkStart w:id="420" w:name="_Toc6368_WPSOffice_Level3"/>
      <w:r>
        <w:rPr>
          <w:rFonts w:hint="eastAsia" w:cs="宋体"/>
          <w:kern w:val="0"/>
          <w:lang w:val="zh-CN"/>
        </w:rPr>
        <w:t>甲方可从合同款或乙方提交</w:t>
      </w:r>
      <w:bookmarkEnd w:id="420"/>
      <w:r>
        <w:rPr>
          <w:rFonts w:hint="eastAsia" w:cs="宋体"/>
          <w:kern w:val="0"/>
          <w:lang w:val="zh-CN"/>
        </w:rPr>
        <w:t>的履约保证金中扣款，不足部分，甲方有权要求乙方赔偿。甲方根据合同规定对卖方行使的其他权力不受影响。</w:t>
      </w:r>
    </w:p>
    <w:p w14:paraId="7EA2AE1A">
      <w:pPr>
        <w:autoSpaceDE w:val="0"/>
        <w:autoSpaceDN w:val="0"/>
        <w:adjustRightInd w:val="0"/>
        <w:spacing w:line="360" w:lineRule="auto"/>
        <w:ind w:firstLine="480"/>
        <w:rPr>
          <w:rFonts w:cs="Calibri"/>
          <w:kern w:val="0"/>
        </w:rPr>
      </w:pPr>
      <w:r>
        <w:rPr>
          <w:rFonts w:cs="Calibri"/>
          <w:kern w:val="0"/>
        </w:rPr>
        <w:t xml:space="preserve">7.1.5 </w:t>
      </w:r>
      <w:r>
        <w:rPr>
          <w:rFonts w:hint="eastAsia" w:cs="宋体"/>
          <w:kern w:val="0"/>
          <w:lang w:val="zh-CN"/>
        </w:rPr>
        <w:t>合同条款下货物的质量保证期自货物通过最终验收起算，合同另行规定除外。</w:t>
      </w:r>
    </w:p>
    <w:p w14:paraId="6012B8E4">
      <w:pPr>
        <w:autoSpaceDE w:val="0"/>
        <w:autoSpaceDN w:val="0"/>
        <w:adjustRightInd w:val="0"/>
        <w:spacing w:line="360" w:lineRule="auto"/>
        <w:ind w:firstLine="480"/>
        <w:outlineLvl w:val="2"/>
        <w:rPr>
          <w:rFonts w:cs="Calibri"/>
          <w:kern w:val="0"/>
        </w:rPr>
      </w:pPr>
      <w:bookmarkStart w:id="421" w:name="_Toc7944_WPSOffice_Level3"/>
      <w:bookmarkStart w:id="422" w:name="_Toc16593_WPSOffice_Level3"/>
      <w:bookmarkStart w:id="423" w:name="_Toc22060"/>
      <w:r>
        <w:rPr>
          <w:rFonts w:cs="Calibri"/>
          <w:kern w:val="0"/>
        </w:rPr>
        <w:t>7.2</w:t>
      </w:r>
      <w:r>
        <w:rPr>
          <w:rFonts w:hint="eastAsia" w:cs="宋体"/>
          <w:kern w:val="0"/>
          <w:lang w:val="zh-CN"/>
        </w:rPr>
        <w:t>辅助服务质量保证</w:t>
      </w:r>
      <w:bookmarkEnd w:id="421"/>
      <w:bookmarkEnd w:id="422"/>
      <w:bookmarkEnd w:id="423"/>
    </w:p>
    <w:p w14:paraId="752E7AF1">
      <w:pPr>
        <w:autoSpaceDE w:val="0"/>
        <w:autoSpaceDN w:val="0"/>
        <w:adjustRightInd w:val="0"/>
        <w:spacing w:line="360" w:lineRule="auto"/>
        <w:ind w:firstLine="480"/>
        <w:rPr>
          <w:rFonts w:cs="Calibri"/>
          <w:kern w:val="0"/>
        </w:rPr>
      </w:pPr>
      <w:r>
        <w:rPr>
          <w:rFonts w:cs="Calibri"/>
          <w:kern w:val="0"/>
        </w:rPr>
        <w:t>7.2.1</w:t>
      </w:r>
      <w:r>
        <w:rPr>
          <w:rFonts w:hint="eastAsia" w:cs="宋体"/>
          <w:kern w:val="0"/>
          <w:lang w:val="zh-CN"/>
        </w:rPr>
        <w:t>乙方保证免费提供合同条款下的软件产品原厂商至少一年软件全部功能及其换代</w:t>
      </w:r>
      <w:bookmarkStart w:id="424" w:name="_Toc6789_WPSOffice_Level3"/>
      <w:r>
        <w:rPr>
          <w:rFonts w:hint="eastAsia" w:cs="宋体"/>
          <w:kern w:val="0"/>
          <w:lang w:val="zh-CN"/>
        </w:rPr>
        <w:t>产品的升级与技术支持服务（包含任何版</w:t>
      </w:r>
      <w:bookmarkEnd w:id="424"/>
      <w:r>
        <w:rPr>
          <w:rFonts w:hint="eastAsia" w:cs="宋体"/>
          <w:kern w:val="0"/>
          <w:lang w:val="zh-CN"/>
        </w:rPr>
        <w:t>本升级、产品换代、更新及在原有产品基础上的拆解、完善、合并所产生的新产品，提供升级产品介质及授权，要求原厂商承诺，并加盖原厂商公章），不得出现因货物停售、转产而无法提供上述支持服务。</w:t>
      </w:r>
    </w:p>
    <w:p w14:paraId="0AF80708">
      <w:pPr>
        <w:autoSpaceDE w:val="0"/>
        <w:autoSpaceDN w:val="0"/>
        <w:adjustRightInd w:val="0"/>
        <w:spacing w:line="360" w:lineRule="auto"/>
        <w:ind w:firstLine="480"/>
        <w:rPr>
          <w:rFonts w:cs="Calibri"/>
          <w:kern w:val="0"/>
        </w:rPr>
      </w:pPr>
      <w:r>
        <w:rPr>
          <w:rFonts w:cs="Calibri"/>
          <w:kern w:val="0"/>
        </w:rPr>
        <w:t>7.2.2</w:t>
      </w:r>
      <w:r>
        <w:rPr>
          <w:rFonts w:hint="eastAsia"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41C9A027">
      <w:pPr>
        <w:autoSpaceDE w:val="0"/>
        <w:autoSpaceDN w:val="0"/>
        <w:adjustRightInd w:val="0"/>
        <w:spacing w:line="360" w:lineRule="auto"/>
        <w:ind w:firstLine="562"/>
        <w:outlineLvl w:val="1"/>
        <w:rPr>
          <w:rFonts w:cs="Calibri"/>
          <w:b/>
          <w:bCs/>
          <w:kern w:val="0"/>
          <w:sz w:val="28"/>
          <w:szCs w:val="28"/>
        </w:rPr>
      </w:pPr>
      <w:bookmarkStart w:id="425" w:name="_Toc29794_WPSOffice_Level2"/>
      <w:bookmarkStart w:id="426" w:name="_Toc26861"/>
      <w:bookmarkStart w:id="427" w:name="_Toc14707"/>
      <w:bookmarkStart w:id="428" w:name="_Toc3192_WPSOffice_Level2"/>
      <w:r>
        <w:rPr>
          <w:rFonts w:cs="Calibri"/>
          <w:b/>
          <w:bCs/>
          <w:kern w:val="0"/>
          <w:sz w:val="28"/>
          <w:szCs w:val="28"/>
        </w:rPr>
        <w:t>8.</w:t>
      </w:r>
      <w:r>
        <w:rPr>
          <w:rFonts w:hint="eastAsia" w:cs="宋体"/>
          <w:b/>
          <w:bCs/>
          <w:kern w:val="0"/>
          <w:sz w:val="28"/>
          <w:szCs w:val="28"/>
          <w:lang w:val="zh-CN"/>
        </w:rPr>
        <w:t>包装要求</w:t>
      </w:r>
      <w:bookmarkEnd w:id="425"/>
      <w:bookmarkEnd w:id="426"/>
      <w:bookmarkEnd w:id="427"/>
      <w:bookmarkEnd w:id="428"/>
    </w:p>
    <w:p w14:paraId="039382CF">
      <w:pPr>
        <w:autoSpaceDE w:val="0"/>
        <w:autoSpaceDN w:val="0"/>
        <w:adjustRightInd w:val="0"/>
        <w:spacing w:line="360" w:lineRule="auto"/>
        <w:ind w:firstLine="480"/>
        <w:rPr>
          <w:rFonts w:cs="Calibri"/>
          <w:kern w:val="0"/>
        </w:rPr>
      </w:pPr>
      <w:r>
        <w:rPr>
          <w:rFonts w:cs="Calibri"/>
          <w:kern w:val="0"/>
        </w:rPr>
        <w:t xml:space="preserve">8.1 </w:t>
      </w:r>
      <w:r>
        <w:rPr>
          <w:rFonts w:hint="eastAsia" w:cs="宋体"/>
          <w:kern w:val="0"/>
          <w:lang w:val="zh-CN"/>
        </w:rPr>
        <w:t>除合同另有约定外</w:t>
      </w:r>
      <w:r>
        <w:rPr>
          <w:rFonts w:cs="Calibri"/>
          <w:kern w:val="0"/>
        </w:rPr>
        <w:t>,</w:t>
      </w:r>
      <w:r>
        <w:rPr>
          <w:rFonts w:hint="eastAsia" w:cs="宋体"/>
          <w:kern w:val="0"/>
          <w:lang w:val="zh-CN"/>
        </w:rPr>
        <w:t>乙方提供的全部货物</w:t>
      </w:r>
      <w:r>
        <w:rPr>
          <w:rFonts w:cs="Calibri"/>
          <w:kern w:val="0"/>
        </w:rPr>
        <w:t>,</w:t>
      </w:r>
      <w:r>
        <w:rPr>
          <w:rFonts w:hint="eastAsia" w:cs="宋体"/>
          <w:kern w:val="0"/>
          <w:lang w:val="zh-CN"/>
        </w:rPr>
        <w:t>均应采用本行业通用的方式进行包装，且该包装应符合国家有关包装的法律、法规的规定。</w:t>
      </w:r>
    </w:p>
    <w:p w14:paraId="4C3F20AF">
      <w:pPr>
        <w:autoSpaceDE w:val="0"/>
        <w:autoSpaceDN w:val="0"/>
        <w:adjustRightInd w:val="0"/>
        <w:spacing w:line="360" w:lineRule="auto"/>
        <w:ind w:firstLine="480"/>
        <w:rPr>
          <w:rFonts w:cs="Calibri"/>
          <w:kern w:val="0"/>
        </w:rPr>
      </w:pPr>
      <w:r>
        <w:rPr>
          <w:rFonts w:cs="Calibri"/>
          <w:kern w:val="0"/>
        </w:rPr>
        <w:t xml:space="preserve">8.2 </w:t>
      </w:r>
      <w:r>
        <w:rPr>
          <w:rFonts w:hint="eastAsia" w:cs="宋体"/>
          <w:kern w:val="0"/>
          <w:lang w:val="zh-CN"/>
        </w:rPr>
        <w:t>包装应适应于远距离运输，并有良好的防潮、防震、防锈和防粗暴装卸等保护措施，以确保货物安全运抵现场。由于包装不善所引起的货物锈蚀、损坏和损失均由乙方承担。</w:t>
      </w:r>
    </w:p>
    <w:p w14:paraId="3F211A8C">
      <w:pPr>
        <w:autoSpaceDE w:val="0"/>
        <w:autoSpaceDN w:val="0"/>
        <w:adjustRightInd w:val="0"/>
        <w:spacing w:line="360" w:lineRule="auto"/>
        <w:ind w:firstLine="480"/>
        <w:rPr>
          <w:rFonts w:cs="Calibri"/>
          <w:kern w:val="0"/>
        </w:rPr>
      </w:pPr>
      <w:r>
        <w:rPr>
          <w:rFonts w:hint="eastAsia" w:cs="宋体"/>
          <w:kern w:val="0"/>
          <w:lang w:val="zh-CN"/>
        </w:rPr>
        <w:t>乙方应提供货物运至合同规定的最终目的地所需要的包装，以防止货物在转运中损坏或变质。</w:t>
      </w:r>
    </w:p>
    <w:p w14:paraId="5EDE1ECE">
      <w:pPr>
        <w:autoSpaceDE w:val="0"/>
        <w:autoSpaceDN w:val="0"/>
        <w:adjustRightInd w:val="0"/>
        <w:spacing w:line="360" w:lineRule="auto"/>
        <w:ind w:firstLine="480"/>
        <w:rPr>
          <w:rFonts w:cs="Calibri"/>
          <w:kern w:val="0"/>
        </w:rPr>
      </w:pPr>
      <w:r>
        <w:rPr>
          <w:rFonts w:cs="Calibri"/>
          <w:kern w:val="0"/>
        </w:rPr>
        <w:t xml:space="preserve">8.3 </w:t>
      </w:r>
      <w:r>
        <w:rPr>
          <w:rFonts w:hint="eastAsia" w:cs="宋体"/>
          <w:kern w:val="0"/>
          <w:lang w:val="zh-CN"/>
        </w:rPr>
        <w:t>乙方所提供的货物包装均为出厂时原包装。</w:t>
      </w:r>
    </w:p>
    <w:p w14:paraId="3D26C249">
      <w:pPr>
        <w:autoSpaceDE w:val="0"/>
        <w:autoSpaceDN w:val="0"/>
        <w:adjustRightInd w:val="0"/>
        <w:spacing w:line="360" w:lineRule="auto"/>
        <w:ind w:firstLine="480"/>
        <w:rPr>
          <w:rFonts w:cs="Calibri"/>
          <w:kern w:val="0"/>
        </w:rPr>
      </w:pPr>
      <w:r>
        <w:rPr>
          <w:rFonts w:cs="Calibri"/>
          <w:kern w:val="0"/>
        </w:rPr>
        <w:t xml:space="preserve">8.4 </w:t>
      </w:r>
      <w:r>
        <w:rPr>
          <w:rFonts w:hint="eastAsia" w:cs="宋体"/>
          <w:kern w:val="0"/>
          <w:lang w:val="zh-CN"/>
        </w:rPr>
        <w:t>乙方所提供货物必须附有质量合格证，装箱清单，主机、附件、各种零部件和消耗品，有清楚的与装箱单相对应的名称和编号。</w:t>
      </w:r>
    </w:p>
    <w:p w14:paraId="610BEC4E">
      <w:pPr>
        <w:autoSpaceDE w:val="0"/>
        <w:autoSpaceDN w:val="0"/>
        <w:adjustRightInd w:val="0"/>
        <w:spacing w:line="360" w:lineRule="auto"/>
        <w:ind w:firstLine="480"/>
        <w:rPr>
          <w:rFonts w:cs="Calibri"/>
          <w:kern w:val="0"/>
        </w:rPr>
      </w:pPr>
      <w:r>
        <w:rPr>
          <w:rFonts w:cs="Calibri"/>
          <w:kern w:val="0"/>
        </w:rPr>
        <w:t xml:space="preserve">8.5 </w:t>
      </w:r>
      <w:r>
        <w:rPr>
          <w:rFonts w:hint="eastAsia" w:cs="宋体"/>
          <w:kern w:val="0"/>
          <w:lang w:val="zh-CN"/>
        </w:rPr>
        <w:t>货物运输中的运输费用和保险费用均由乙方承担。运输过程中的一切损失、损坏均由乙方负责。</w:t>
      </w:r>
    </w:p>
    <w:p w14:paraId="76517593">
      <w:pPr>
        <w:autoSpaceDE w:val="0"/>
        <w:autoSpaceDN w:val="0"/>
        <w:adjustRightInd w:val="0"/>
        <w:spacing w:line="360" w:lineRule="auto"/>
        <w:ind w:firstLine="562"/>
        <w:outlineLvl w:val="1"/>
        <w:rPr>
          <w:rFonts w:cs="Calibri"/>
          <w:b/>
          <w:bCs/>
          <w:kern w:val="0"/>
          <w:sz w:val="28"/>
          <w:szCs w:val="28"/>
        </w:rPr>
      </w:pPr>
      <w:bookmarkStart w:id="429" w:name="_Toc24578_WPSOffice_Level2"/>
      <w:bookmarkStart w:id="430" w:name="_Toc2016"/>
      <w:bookmarkStart w:id="431" w:name="_Toc21158_WPSOffice_Level2"/>
      <w:bookmarkStart w:id="432" w:name="_Toc19644"/>
      <w:r>
        <w:rPr>
          <w:rFonts w:cs="Calibri"/>
          <w:b/>
          <w:bCs/>
          <w:kern w:val="0"/>
          <w:sz w:val="28"/>
          <w:szCs w:val="28"/>
        </w:rPr>
        <w:t xml:space="preserve">9. </w:t>
      </w:r>
      <w:r>
        <w:rPr>
          <w:rFonts w:hint="eastAsia" w:cs="宋体"/>
          <w:b/>
          <w:bCs/>
          <w:kern w:val="0"/>
          <w:sz w:val="28"/>
          <w:szCs w:val="28"/>
          <w:lang w:val="zh-CN"/>
        </w:rPr>
        <w:t>价格</w:t>
      </w:r>
      <w:bookmarkEnd w:id="429"/>
      <w:bookmarkEnd w:id="430"/>
      <w:bookmarkEnd w:id="431"/>
      <w:bookmarkEnd w:id="432"/>
    </w:p>
    <w:p w14:paraId="4EA8F5C0">
      <w:pPr>
        <w:autoSpaceDE w:val="0"/>
        <w:autoSpaceDN w:val="0"/>
        <w:adjustRightInd w:val="0"/>
        <w:spacing w:line="360" w:lineRule="auto"/>
        <w:ind w:firstLine="480"/>
        <w:rPr>
          <w:rFonts w:cs="Calibri"/>
          <w:kern w:val="0"/>
        </w:rPr>
      </w:pPr>
      <w:r>
        <w:rPr>
          <w:rFonts w:cs="Calibri"/>
          <w:kern w:val="0"/>
        </w:rPr>
        <w:t>9</w:t>
      </w:r>
      <w:bookmarkStart w:id="433" w:name="_Toc24349_WPSOffice_Level3"/>
      <w:r>
        <w:rPr>
          <w:rFonts w:cs="Calibri"/>
          <w:kern w:val="0"/>
        </w:rPr>
        <w:t xml:space="preserve">.1 </w:t>
      </w:r>
      <w:r>
        <w:rPr>
          <w:rFonts w:hint="eastAsia" w:cs="宋体"/>
          <w:kern w:val="0"/>
          <w:lang w:val="zh-CN"/>
        </w:rPr>
        <w:t>乙方履</w:t>
      </w:r>
      <w:bookmarkEnd w:id="433"/>
      <w:r>
        <w:rPr>
          <w:rFonts w:hint="eastAsia" w:cs="宋体"/>
          <w:kern w:val="0"/>
          <w:lang w:val="zh-CN"/>
        </w:rPr>
        <w:t>行</w:t>
      </w:r>
      <w:bookmarkStart w:id="434" w:name="_Toc11169_WPSOffice_Level2"/>
      <w:r>
        <w:rPr>
          <w:rFonts w:hint="eastAsia" w:cs="宋体"/>
          <w:kern w:val="0"/>
          <w:lang w:val="zh-CN"/>
        </w:rPr>
        <w:t>合同所必须的所有费用，包括但不限于货物及部件的设计、检测与试验、制造、运输、装卸、保险、单机调试、安装</w:t>
      </w:r>
      <w:bookmarkEnd w:id="434"/>
      <w:r>
        <w:rPr>
          <w:rFonts w:hint="eastAsia" w:cs="宋体"/>
          <w:kern w:val="0"/>
          <w:lang w:val="zh-CN"/>
        </w:rPr>
        <w:t>调试指导、技术资料、培训、交通、人员、差旅、质量保证期服务费、其他管理费用、所有的检验、测试、调试、验收、试运行费用等均已包括在合同价格中。</w:t>
      </w:r>
    </w:p>
    <w:p w14:paraId="6BC5350B">
      <w:pPr>
        <w:autoSpaceDE w:val="0"/>
        <w:autoSpaceDN w:val="0"/>
        <w:adjustRightInd w:val="0"/>
        <w:spacing w:line="360" w:lineRule="auto"/>
        <w:ind w:firstLine="480"/>
        <w:rPr>
          <w:rFonts w:cs="Calibri"/>
          <w:kern w:val="0"/>
        </w:rPr>
      </w:pPr>
      <w:r>
        <w:rPr>
          <w:rFonts w:cs="Calibri"/>
          <w:kern w:val="0"/>
        </w:rPr>
        <w:t xml:space="preserve">9.2 </w:t>
      </w:r>
      <w:r>
        <w:rPr>
          <w:rFonts w:hint="eastAsia" w:cs="宋体"/>
          <w:kern w:val="0"/>
          <w:lang w:val="zh-CN"/>
        </w:rPr>
        <w:t>本合同价格为固定价格，包括了乙方履行合同全过程产生的所有成本和费用以及乙方应承担的一切税费。</w:t>
      </w:r>
    </w:p>
    <w:p w14:paraId="34691187">
      <w:pPr>
        <w:autoSpaceDE w:val="0"/>
        <w:autoSpaceDN w:val="0"/>
        <w:adjustRightInd w:val="0"/>
        <w:spacing w:line="360" w:lineRule="auto"/>
        <w:ind w:firstLine="480"/>
        <w:rPr>
          <w:rFonts w:cs="Calibri"/>
          <w:kern w:val="0"/>
        </w:rPr>
      </w:pPr>
      <w:r>
        <w:rPr>
          <w:rFonts w:cs="Calibri"/>
          <w:kern w:val="0"/>
        </w:rPr>
        <w:t>9.3</w:t>
      </w:r>
      <w:r>
        <w:rPr>
          <w:rFonts w:hint="eastAsia" w:cs="宋体"/>
          <w:kern w:val="0"/>
          <w:lang w:val="zh-CN"/>
        </w:rPr>
        <w:t>检验费用</w:t>
      </w:r>
    </w:p>
    <w:p w14:paraId="6A8E7868">
      <w:pPr>
        <w:autoSpaceDE w:val="0"/>
        <w:autoSpaceDN w:val="0"/>
        <w:adjustRightInd w:val="0"/>
        <w:spacing w:line="360" w:lineRule="auto"/>
        <w:ind w:firstLine="480"/>
        <w:rPr>
          <w:rFonts w:cs="Calibri"/>
          <w:kern w:val="0"/>
        </w:rPr>
      </w:pPr>
      <w:r>
        <w:rPr>
          <w:rFonts w:cs="Calibri"/>
          <w:kern w:val="0"/>
        </w:rPr>
        <w:t xml:space="preserve">9.3.1 </w:t>
      </w:r>
      <w:r>
        <w:rPr>
          <w:rFonts w:hint="eastAsia" w:cs="宋体"/>
          <w:kern w:val="0"/>
          <w:lang w:val="zh-CN"/>
        </w:rPr>
        <w:t>乙方必须负担本条款下属于乙方负责的检验、测试、调试、试运</w:t>
      </w:r>
      <w:bookmarkStart w:id="435" w:name="_Toc32505_WPSOffice_Level2"/>
      <w:r>
        <w:rPr>
          <w:rFonts w:hint="eastAsia" w:cs="宋体"/>
          <w:kern w:val="0"/>
          <w:lang w:val="zh-CN"/>
        </w:rPr>
        <w:t>行和验收的所有费用，并负责乙方派</w:t>
      </w:r>
      <w:bookmarkEnd w:id="435"/>
      <w:r>
        <w:rPr>
          <w:rFonts w:hint="eastAsia" w:cs="宋体"/>
          <w:kern w:val="0"/>
          <w:lang w:val="zh-CN"/>
        </w:rPr>
        <w:t>往买方组织的</w:t>
      </w:r>
      <w:bookmarkStart w:id="436" w:name="_Toc19833_WPSOffice_Level3"/>
      <w:r>
        <w:rPr>
          <w:rFonts w:hint="eastAsia" w:cs="宋体"/>
          <w:kern w:val="0"/>
          <w:lang w:val="zh-CN"/>
        </w:rPr>
        <w:t>检验、测试和验收人员的所有费用。</w:t>
      </w:r>
    </w:p>
    <w:p w14:paraId="4BA4F83A">
      <w:pPr>
        <w:autoSpaceDE w:val="0"/>
        <w:autoSpaceDN w:val="0"/>
        <w:adjustRightInd w:val="0"/>
        <w:spacing w:line="360" w:lineRule="auto"/>
        <w:ind w:firstLine="480"/>
        <w:rPr>
          <w:rFonts w:cs="Calibri"/>
          <w:kern w:val="0"/>
        </w:rPr>
      </w:pPr>
      <w:r>
        <w:rPr>
          <w:rFonts w:cs="Calibri"/>
          <w:kern w:val="0"/>
        </w:rPr>
        <w:t xml:space="preserve">9.3.2 </w:t>
      </w:r>
      <w:r>
        <w:rPr>
          <w:rFonts w:hint="eastAsia" w:cs="宋体"/>
          <w:kern w:val="0"/>
          <w:lang w:val="zh-CN"/>
        </w:rPr>
        <w:t>甲方按</w:t>
      </w:r>
      <w:bookmarkEnd w:id="436"/>
      <w:r>
        <w:rPr>
          <w:rFonts w:hint="eastAsia" w:cs="宋体"/>
          <w:kern w:val="0"/>
          <w:lang w:val="zh-CN"/>
        </w:rPr>
        <w:t>合同计划参加在乙方工厂所在地检</w:t>
      </w:r>
      <w:bookmarkStart w:id="437" w:name="_Toc28370_WPSOffice_Level3"/>
      <w:r>
        <w:rPr>
          <w:rFonts w:hint="eastAsia" w:cs="宋体"/>
          <w:kern w:val="0"/>
          <w:lang w:val="zh-CN"/>
        </w:rPr>
        <w:t>验、测试和验收的</w:t>
      </w:r>
      <w:bookmarkEnd w:id="437"/>
      <w:r>
        <w:rPr>
          <w:rFonts w:hint="eastAsia" w:cs="宋体"/>
          <w:kern w:val="0"/>
          <w:lang w:val="zh-CN"/>
        </w:rPr>
        <w:t>费用全部由乙方负责并已包含在合同总价中。</w:t>
      </w:r>
    </w:p>
    <w:p w14:paraId="7C4D1F9A">
      <w:pPr>
        <w:autoSpaceDE w:val="0"/>
        <w:autoSpaceDN w:val="0"/>
        <w:adjustRightInd w:val="0"/>
        <w:spacing w:line="360" w:lineRule="auto"/>
        <w:ind w:firstLine="480"/>
        <w:rPr>
          <w:rFonts w:cs="Calibri"/>
          <w:kern w:val="0"/>
        </w:rPr>
      </w:pPr>
      <w:r>
        <w:rPr>
          <w:rFonts w:cs="Calibri"/>
          <w:kern w:val="0"/>
        </w:rPr>
        <w:t>9.3.3</w:t>
      </w:r>
      <w:r>
        <w:rPr>
          <w:rFonts w:hint="eastAsia" w:cs="宋体"/>
          <w:kern w:val="0"/>
          <w:lang w:val="zh-CN"/>
        </w:rPr>
        <w:t>甲方检验人员已到卖</w:t>
      </w:r>
      <w:bookmarkStart w:id="438" w:name="_Toc27026_WPSOffice_Level3"/>
      <w:r>
        <w:rPr>
          <w:rFonts w:hint="eastAsia" w:cs="宋体"/>
          <w:kern w:val="0"/>
          <w:lang w:val="zh-CN"/>
        </w:rPr>
        <w:t>方所在地，测</w:t>
      </w:r>
      <w:bookmarkEnd w:id="438"/>
      <w:r>
        <w:rPr>
          <w:rFonts w:hint="eastAsia" w:cs="宋体"/>
          <w:kern w:val="0"/>
          <w:lang w:val="zh-CN"/>
        </w:rPr>
        <w:t>试无法依照合同进行，</w:t>
      </w:r>
      <w:r>
        <w:rPr>
          <w:rFonts w:cs="Calibri"/>
          <w:kern w:val="0"/>
        </w:rPr>
        <w:t xml:space="preserve"> </w:t>
      </w:r>
      <w:r>
        <w:rPr>
          <w:rFonts w:hint="eastAsia" w:cs="宋体"/>
          <w:kern w:val="0"/>
          <w:lang w:val="zh-CN"/>
        </w:rPr>
        <w:t>而引起甲方人员延长逗留时间，所有由此产生的包括甲方人员在内的直接费用及成本由乙方承担。</w:t>
      </w:r>
    </w:p>
    <w:p w14:paraId="59723D5E">
      <w:pPr>
        <w:autoSpaceDE w:val="0"/>
        <w:autoSpaceDN w:val="0"/>
        <w:adjustRightInd w:val="0"/>
        <w:spacing w:line="360" w:lineRule="auto"/>
        <w:ind w:firstLine="562"/>
        <w:outlineLvl w:val="1"/>
        <w:rPr>
          <w:rFonts w:cs="Calibri"/>
          <w:b/>
          <w:bCs/>
          <w:kern w:val="0"/>
          <w:sz w:val="28"/>
          <w:szCs w:val="28"/>
        </w:rPr>
      </w:pPr>
      <w:bookmarkStart w:id="439" w:name="_Toc19464"/>
      <w:bookmarkStart w:id="440" w:name="_Toc27093_WPSOffice_Level2"/>
      <w:bookmarkStart w:id="441" w:name="_Toc10257_WPSOffice_Level2"/>
      <w:bookmarkStart w:id="442" w:name="_Toc21053"/>
      <w:r>
        <w:rPr>
          <w:rFonts w:cs="Calibri"/>
          <w:b/>
          <w:bCs/>
          <w:kern w:val="0"/>
          <w:sz w:val="28"/>
          <w:szCs w:val="28"/>
        </w:rPr>
        <w:t>10.</w:t>
      </w:r>
      <w:r>
        <w:rPr>
          <w:rFonts w:hint="eastAsia" w:cs="宋体"/>
          <w:b/>
          <w:bCs/>
          <w:kern w:val="0"/>
          <w:sz w:val="28"/>
          <w:szCs w:val="28"/>
          <w:lang w:val="zh-CN"/>
        </w:rPr>
        <w:t>交货方式及交货日期</w:t>
      </w:r>
      <w:bookmarkEnd w:id="439"/>
      <w:bookmarkEnd w:id="440"/>
      <w:bookmarkEnd w:id="441"/>
      <w:bookmarkEnd w:id="442"/>
    </w:p>
    <w:p w14:paraId="7E828ED3">
      <w:pPr>
        <w:autoSpaceDE w:val="0"/>
        <w:autoSpaceDN w:val="0"/>
        <w:adjustRightInd w:val="0"/>
        <w:spacing w:line="360" w:lineRule="auto"/>
        <w:ind w:firstLine="480"/>
        <w:rPr>
          <w:rFonts w:cs="宋体"/>
          <w:kern w:val="0"/>
          <w:lang w:val="zh-CN"/>
        </w:rPr>
      </w:pPr>
      <w:r>
        <w:rPr>
          <w:rFonts w:hint="eastAsia" w:cs="宋体"/>
          <w:kern w:val="0"/>
          <w:lang w:val="zh-CN"/>
        </w:rPr>
        <w:t>交货方式：现场交货，乙方负责办理运输和保险，将货物运抵现场。</w:t>
      </w:r>
    </w:p>
    <w:p w14:paraId="2D7C45C5">
      <w:pPr>
        <w:autoSpaceDE w:val="0"/>
        <w:autoSpaceDN w:val="0"/>
        <w:adjustRightInd w:val="0"/>
        <w:spacing w:line="360" w:lineRule="auto"/>
        <w:ind w:firstLine="480"/>
        <w:rPr>
          <w:rFonts w:cs="宋体"/>
          <w:kern w:val="0"/>
          <w:lang w:val="zh-CN"/>
        </w:rPr>
      </w:pPr>
      <w:r>
        <w:rPr>
          <w:rFonts w:hint="eastAsia" w:cs="宋体"/>
          <w:kern w:val="0"/>
          <w:lang w:val="zh-CN"/>
        </w:rPr>
        <w:t>交货期:进口产品</w:t>
      </w:r>
      <w:r>
        <w:rPr>
          <w:rFonts w:hint="eastAsia" w:cs="宋体"/>
          <w:kern w:val="0"/>
        </w:rPr>
        <w:t>60</w:t>
      </w:r>
      <w:r>
        <w:rPr>
          <w:rFonts w:hint="eastAsia" w:cs="宋体"/>
          <w:kern w:val="0"/>
          <w:lang w:val="zh-CN"/>
        </w:rPr>
        <w:t>个工作日内，国产产品30个工作日内。</w:t>
      </w:r>
    </w:p>
    <w:p w14:paraId="1181BA29">
      <w:pPr>
        <w:autoSpaceDE w:val="0"/>
        <w:autoSpaceDN w:val="0"/>
        <w:adjustRightInd w:val="0"/>
        <w:spacing w:line="360" w:lineRule="auto"/>
        <w:ind w:firstLine="480"/>
        <w:rPr>
          <w:rFonts w:cs="宋体"/>
          <w:kern w:val="0"/>
          <w:lang w:val="zh-CN"/>
        </w:rPr>
      </w:pPr>
      <w:r>
        <w:rPr>
          <w:rFonts w:hint="eastAsia" w:cs="宋体"/>
          <w:kern w:val="0"/>
          <w:lang w:val="zh-CN"/>
        </w:rPr>
        <w:t>交货日期：所有货物运抵现场并经双方开箱验收合格之日。</w:t>
      </w:r>
    </w:p>
    <w:p w14:paraId="24E0F1D5">
      <w:pPr>
        <w:autoSpaceDE w:val="0"/>
        <w:autoSpaceDN w:val="0"/>
        <w:adjustRightInd w:val="0"/>
        <w:spacing w:line="360" w:lineRule="auto"/>
        <w:ind w:firstLine="480"/>
        <w:outlineLvl w:val="1"/>
        <w:rPr>
          <w:rFonts w:cs="宋体"/>
          <w:kern w:val="0"/>
          <w:lang w:val="zh-CN"/>
        </w:rPr>
      </w:pPr>
      <w:bookmarkStart w:id="443" w:name="_Toc4398"/>
      <w:bookmarkStart w:id="444" w:name="_Toc30111_WPSOffice_Level2"/>
      <w:bookmarkStart w:id="445" w:name="_Toc7784"/>
      <w:bookmarkStart w:id="446" w:name="_Toc1842_WPSOffice_Level2"/>
      <w:r>
        <w:rPr>
          <w:rFonts w:cs="宋体"/>
          <w:kern w:val="0"/>
          <w:lang w:val="zh-CN"/>
        </w:rPr>
        <w:t>11.</w:t>
      </w:r>
      <w:r>
        <w:rPr>
          <w:rFonts w:hint="eastAsia" w:cs="宋体"/>
          <w:kern w:val="0"/>
          <w:lang w:val="zh-CN"/>
        </w:rPr>
        <w:t>检验和验收</w:t>
      </w:r>
      <w:bookmarkEnd w:id="443"/>
      <w:bookmarkEnd w:id="444"/>
      <w:bookmarkEnd w:id="445"/>
      <w:bookmarkEnd w:id="446"/>
    </w:p>
    <w:p w14:paraId="5FAA699E">
      <w:pPr>
        <w:autoSpaceDE w:val="0"/>
        <w:autoSpaceDN w:val="0"/>
        <w:adjustRightInd w:val="0"/>
        <w:spacing w:line="360" w:lineRule="auto"/>
        <w:ind w:firstLine="480"/>
        <w:outlineLvl w:val="2"/>
        <w:rPr>
          <w:rFonts w:cs="Calibri"/>
          <w:kern w:val="0"/>
        </w:rPr>
      </w:pPr>
      <w:bookmarkStart w:id="447" w:name="_Toc28427"/>
      <w:bookmarkStart w:id="448" w:name="_Toc23498_WPSOffice_Level3"/>
      <w:bookmarkStart w:id="449" w:name="_Toc4727_WPSOffice_Level3"/>
      <w:r>
        <w:rPr>
          <w:rFonts w:cs="Calibri"/>
          <w:kern w:val="0"/>
        </w:rPr>
        <w:t>11.1</w:t>
      </w:r>
      <w:r>
        <w:rPr>
          <w:rFonts w:hint="eastAsia" w:cs="宋体"/>
          <w:kern w:val="0"/>
          <w:lang w:val="zh-CN"/>
        </w:rPr>
        <w:t>开箱验收</w:t>
      </w:r>
      <w:bookmarkEnd w:id="447"/>
      <w:bookmarkEnd w:id="448"/>
      <w:bookmarkEnd w:id="449"/>
    </w:p>
    <w:p w14:paraId="1B9B4380">
      <w:pPr>
        <w:autoSpaceDE w:val="0"/>
        <w:autoSpaceDN w:val="0"/>
        <w:adjustRightInd w:val="0"/>
        <w:spacing w:line="360" w:lineRule="auto"/>
        <w:ind w:firstLine="480"/>
        <w:rPr>
          <w:rFonts w:cs="Calibri"/>
          <w:kern w:val="0"/>
        </w:rPr>
      </w:pPr>
      <w:r>
        <w:rPr>
          <w:rFonts w:cs="Calibri"/>
          <w:kern w:val="0"/>
        </w:rPr>
        <w:t>11.1.1</w:t>
      </w:r>
      <w:r>
        <w:rPr>
          <w:rFonts w:hint="eastAsia" w:cs="宋体"/>
          <w:kern w:val="0"/>
          <w:lang w:val="zh-CN"/>
        </w:rPr>
        <w:t>货物运抵现场后，双方应及时开箱验收，并制作验收记录，以确认与本合同约定的数量、型号等是否一致。</w:t>
      </w:r>
    </w:p>
    <w:p w14:paraId="51DA50EF">
      <w:pPr>
        <w:autoSpaceDE w:val="0"/>
        <w:autoSpaceDN w:val="0"/>
        <w:adjustRightInd w:val="0"/>
        <w:spacing w:line="360" w:lineRule="auto"/>
        <w:ind w:firstLine="480"/>
        <w:rPr>
          <w:rFonts w:cs="Calibri"/>
          <w:kern w:val="0"/>
        </w:rPr>
      </w:pPr>
      <w:r>
        <w:rPr>
          <w:rFonts w:cs="Calibri"/>
          <w:kern w:val="0"/>
        </w:rPr>
        <w:t xml:space="preserve">11.1.2 </w:t>
      </w:r>
      <w:r>
        <w:rPr>
          <w:rFonts w:hint="eastAsia"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73C32D4">
      <w:pPr>
        <w:autoSpaceDE w:val="0"/>
        <w:autoSpaceDN w:val="0"/>
        <w:adjustRightInd w:val="0"/>
        <w:spacing w:line="360" w:lineRule="auto"/>
        <w:ind w:firstLine="480"/>
        <w:rPr>
          <w:rFonts w:cs="Calibri"/>
          <w:kern w:val="0"/>
        </w:rPr>
      </w:pPr>
      <w:r>
        <w:rPr>
          <w:rFonts w:cs="Calibri"/>
          <w:kern w:val="0"/>
        </w:rPr>
        <w:t xml:space="preserve">11.1.3 </w:t>
      </w:r>
      <w:r>
        <w:rPr>
          <w:rFonts w:hint="eastAsia" w:cs="宋体"/>
          <w:kern w:val="0"/>
          <w:lang w:val="zh-CN"/>
        </w:rPr>
        <w:t>开箱验收中如发现货物的数量、规格与合同约定不符，甲方有权拒收货物，乙方应及时按甲方要求免费对拒收货物采取更</w:t>
      </w:r>
      <w:bookmarkStart w:id="450" w:name="_Toc23254_WPSOffice_Level3"/>
      <w:r>
        <w:rPr>
          <w:rFonts w:hint="eastAsia" w:cs="宋体"/>
          <w:kern w:val="0"/>
          <w:lang w:val="zh-CN"/>
        </w:rPr>
        <w:t>换或其他必要</w:t>
      </w:r>
      <w:bookmarkEnd w:id="450"/>
      <w:r>
        <w:rPr>
          <w:rFonts w:hint="eastAsia" w:cs="宋体"/>
          <w:kern w:val="0"/>
          <w:lang w:val="zh-CN"/>
        </w:rPr>
        <w:t>的补救措施，直至开箱验收合格，方视为乙方完成交货。</w:t>
      </w:r>
    </w:p>
    <w:p w14:paraId="7BB160A0">
      <w:pPr>
        <w:autoSpaceDE w:val="0"/>
        <w:autoSpaceDN w:val="0"/>
        <w:adjustRightInd w:val="0"/>
        <w:spacing w:line="360" w:lineRule="auto"/>
        <w:ind w:firstLine="480"/>
        <w:outlineLvl w:val="2"/>
        <w:rPr>
          <w:rFonts w:cs="Calibri"/>
          <w:kern w:val="0"/>
        </w:rPr>
      </w:pPr>
      <w:bookmarkStart w:id="451" w:name="_Toc10807"/>
      <w:bookmarkStart w:id="452" w:name="_Toc101_WPSOffice_Level3"/>
      <w:bookmarkStart w:id="453" w:name="_Toc7831_WPSOffice_Level3"/>
      <w:r>
        <w:rPr>
          <w:rFonts w:cs="Calibri"/>
          <w:kern w:val="0"/>
        </w:rPr>
        <w:t xml:space="preserve">11.2  </w:t>
      </w:r>
      <w:r>
        <w:rPr>
          <w:rFonts w:hint="eastAsia" w:cs="宋体"/>
          <w:kern w:val="0"/>
          <w:lang w:val="zh-CN"/>
        </w:rPr>
        <w:t>检验验收</w:t>
      </w:r>
      <w:bookmarkEnd w:id="451"/>
      <w:bookmarkEnd w:id="452"/>
      <w:bookmarkEnd w:id="453"/>
    </w:p>
    <w:p w14:paraId="3ACB8E73">
      <w:pPr>
        <w:autoSpaceDE w:val="0"/>
        <w:autoSpaceDN w:val="0"/>
        <w:adjustRightInd w:val="0"/>
        <w:spacing w:line="360" w:lineRule="auto"/>
        <w:ind w:firstLine="480"/>
        <w:rPr>
          <w:rFonts w:cs="Calibri"/>
          <w:kern w:val="0"/>
        </w:rPr>
      </w:pPr>
      <w:r>
        <w:rPr>
          <w:rFonts w:cs="Calibri"/>
          <w:kern w:val="0"/>
        </w:rPr>
        <w:t xml:space="preserve">11.2.1 </w:t>
      </w:r>
      <w:r>
        <w:rPr>
          <w:rFonts w:hint="eastAsia" w:cs="宋体"/>
          <w:kern w:val="0"/>
          <w:lang w:val="zh-CN"/>
        </w:rPr>
        <w:t>交货完成后，乙方应及时组装、调试、试运行，按照合同专用条款规定的试运行完成后，双方及时组织对货物检验验收。合同双方均须派人参加合同要求双方参加的试验、检验。</w:t>
      </w:r>
    </w:p>
    <w:p w14:paraId="79FF4E13">
      <w:pPr>
        <w:autoSpaceDE w:val="0"/>
        <w:autoSpaceDN w:val="0"/>
        <w:adjustRightInd w:val="0"/>
        <w:spacing w:line="360" w:lineRule="auto"/>
        <w:ind w:firstLine="480"/>
        <w:rPr>
          <w:rFonts w:cs="Calibri"/>
          <w:kern w:val="0"/>
        </w:rPr>
      </w:pPr>
      <w:r>
        <w:rPr>
          <w:rFonts w:cs="Calibri"/>
          <w:kern w:val="0"/>
        </w:rPr>
        <w:t xml:space="preserve">11.2.2 </w:t>
      </w:r>
      <w:r>
        <w:rPr>
          <w:rFonts w:hint="eastAsia" w:cs="宋体"/>
          <w:kern w:val="0"/>
          <w:lang w:val="zh-CN"/>
        </w:rPr>
        <w:t>在具体实施合同规定的检验</w:t>
      </w:r>
      <w:bookmarkStart w:id="454" w:name="_Toc25906_WPSOffice_Level3"/>
      <w:r>
        <w:rPr>
          <w:rFonts w:hint="eastAsia" w:cs="宋体"/>
          <w:kern w:val="0"/>
          <w:lang w:val="zh-CN"/>
        </w:rPr>
        <w:t>验收之前，乙</w:t>
      </w:r>
      <w:bookmarkEnd w:id="454"/>
      <w:r>
        <w:rPr>
          <w:rFonts w:hint="eastAsia" w:cs="宋体"/>
          <w:kern w:val="0"/>
          <w:lang w:val="zh-CN"/>
        </w:rPr>
        <w:t>方需提前提交相应的测试计划（包括测试程序、测试内容和检验标准、试验时间安排等）供甲方确认。</w:t>
      </w:r>
    </w:p>
    <w:p w14:paraId="26BD82D0">
      <w:pPr>
        <w:autoSpaceDE w:val="0"/>
        <w:autoSpaceDN w:val="0"/>
        <w:adjustRightInd w:val="0"/>
        <w:spacing w:line="360" w:lineRule="auto"/>
        <w:ind w:firstLine="480"/>
        <w:rPr>
          <w:rFonts w:cs="Calibri"/>
          <w:kern w:val="0"/>
        </w:rPr>
      </w:pPr>
      <w:r>
        <w:rPr>
          <w:rFonts w:cs="Calibri"/>
          <w:kern w:val="0"/>
        </w:rPr>
        <w:t xml:space="preserve">11.2.3  </w:t>
      </w:r>
      <w:r>
        <w:rPr>
          <w:rFonts w:hint="eastAsia" w:cs="宋体"/>
          <w:kern w:val="0"/>
          <w:lang w:val="zh-CN"/>
        </w:rPr>
        <w:t>除需甲方确认的试验验收外，乙方还应对所有检验验收测试的结果、步骤、原始数据等作妥善记录。如甲方要求，乙方应提供这些记录给买方。</w:t>
      </w:r>
    </w:p>
    <w:p w14:paraId="672A10C3">
      <w:pPr>
        <w:autoSpaceDE w:val="0"/>
        <w:autoSpaceDN w:val="0"/>
        <w:adjustRightInd w:val="0"/>
        <w:spacing w:line="360" w:lineRule="auto"/>
        <w:ind w:firstLine="480"/>
        <w:rPr>
          <w:rFonts w:cs="Calibri"/>
          <w:kern w:val="0"/>
        </w:rPr>
      </w:pPr>
      <w:r>
        <w:rPr>
          <w:rFonts w:cs="Calibri"/>
          <w:kern w:val="0"/>
        </w:rPr>
        <w:t xml:space="preserve">11.2.4  </w:t>
      </w:r>
      <w:r>
        <w:rPr>
          <w:rFonts w:hint="eastAsia" w:cs="宋体"/>
          <w:kern w:val="0"/>
          <w:lang w:val="zh-CN"/>
        </w:rPr>
        <w:t>检验测试出现全部或部分未达到本合同所约定的技术指标，甲方有权选择下列任一处理方式：</w:t>
      </w:r>
    </w:p>
    <w:p w14:paraId="23AE8FE6">
      <w:pPr>
        <w:autoSpaceDE w:val="0"/>
        <w:autoSpaceDN w:val="0"/>
        <w:adjustRightInd w:val="0"/>
        <w:spacing w:line="360" w:lineRule="auto"/>
        <w:ind w:firstLine="480"/>
        <w:rPr>
          <w:rFonts w:cs="Calibri"/>
          <w:kern w:val="0"/>
        </w:rPr>
      </w:pPr>
      <w:r>
        <w:rPr>
          <w:rFonts w:cs="Calibri"/>
          <w:kern w:val="0"/>
        </w:rPr>
        <w:t>a.</w:t>
      </w:r>
      <w:r>
        <w:rPr>
          <w:rFonts w:hint="eastAsia" w:cs="宋体"/>
          <w:kern w:val="0"/>
          <w:lang w:val="zh-CN"/>
        </w:rPr>
        <w:t>重新测试直至合格为止；</w:t>
      </w:r>
    </w:p>
    <w:p w14:paraId="7D3EABCD">
      <w:pPr>
        <w:autoSpaceDE w:val="0"/>
        <w:autoSpaceDN w:val="0"/>
        <w:adjustRightInd w:val="0"/>
        <w:spacing w:line="360" w:lineRule="auto"/>
        <w:ind w:firstLine="480"/>
        <w:rPr>
          <w:rFonts w:cs="Calibri"/>
          <w:kern w:val="0"/>
        </w:rPr>
      </w:pPr>
      <w:r>
        <w:rPr>
          <w:rFonts w:cs="Calibri"/>
          <w:kern w:val="0"/>
        </w:rPr>
        <w:t>b.</w:t>
      </w:r>
      <w:r>
        <w:rPr>
          <w:rFonts w:hint="eastAsia" w:cs="宋体"/>
          <w:kern w:val="0"/>
          <w:lang w:val="zh-CN"/>
        </w:rPr>
        <w:t>要求乙方对货物进行免费更换，然后重新测试直至合格为止；</w:t>
      </w:r>
    </w:p>
    <w:p w14:paraId="48901F6B">
      <w:pPr>
        <w:autoSpaceDE w:val="0"/>
        <w:autoSpaceDN w:val="0"/>
        <w:adjustRightInd w:val="0"/>
        <w:spacing w:line="360" w:lineRule="auto"/>
        <w:ind w:firstLine="480"/>
        <w:rPr>
          <w:rFonts w:cs="Calibri"/>
          <w:kern w:val="0"/>
        </w:rPr>
      </w:pPr>
      <w:r>
        <w:rPr>
          <w:rFonts w:hint="eastAsia" w:cs="宋体"/>
          <w:kern w:val="0"/>
          <w:lang w:val="zh-CN"/>
        </w:rPr>
        <w:t>无论选择何种方式，甲方因此而发生的因卖方原因引起的所有费用均由乙方负担。</w:t>
      </w:r>
    </w:p>
    <w:p w14:paraId="6D3C5052">
      <w:pPr>
        <w:autoSpaceDE w:val="0"/>
        <w:autoSpaceDN w:val="0"/>
        <w:adjustRightInd w:val="0"/>
        <w:spacing w:line="360" w:lineRule="auto"/>
        <w:ind w:firstLine="480"/>
        <w:outlineLvl w:val="2"/>
        <w:rPr>
          <w:rFonts w:cs="Calibri"/>
          <w:kern w:val="0"/>
        </w:rPr>
      </w:pPr>
      <w:bookmarkStart w:id="455" w:name="_Toc29213_WPSOffice_Level3"/>
      <w:bookmarkStart w:id="456" w:name="_Toc14513_WPSOffice_Level3"/>
      <w:bookmarkStart w:id="457" w:name="_Toc9309"/>
      <w:r>
        <w:rPr>
          <w:rFonts w:cs="Calibri"/>
          <w:kern w:val="0"/>
        </w:rPr>
        <w:t xml:space="preserve">11.3  </w:t>
      </w:r>
      <w:r>
        <w:rPr>
          <w:rFonts w:hint="eastAsia" w:cs="宋体"/>
          <w:kern w:val="0"/>
          <w:lang w:val="zh-CN"/>
        </w:rPr>
        <w:t>使用过程检验</w:t>
      </w:r>
      <w:bookmarkEnd w:id="455"/>
      <w:bookmarkEnd w:id="456"/>
      <w:bookmarkEnd w:id="457"/>
    </w:p>
    <w:p w14:paraId="671F77FB">
      <w:pPr>
        <w:autoSpaceDE w:val="0"/>
        <w:autoSpaceDN w:val="0"/>
        <w:adjustRightInd w:val="0"/>
        <w:spacing w:line="360" w:lineRule="auto"/>
        <w:ind w:firstLine="480"/>
        <w:rPr>
          <w:rFonts w:cs="Calibri"/>
          <w:kern w:val="0"/>
        </w:rPr>
      </w:pPr>
      <w:r>
        <w:rPr>
          <w:rFonts w:cs="Calibri"/>
          <w:kern w:val="0"/>
        </w:rPr>
        <w:t>11.3.1</w:t>
      </w:r>
      <w:r>
        <w:rPr>
          <w:rFonts w:hint="eastAsia"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E7BE200">
      <w:pPr>
        <w:autoSpaceDE w:val="0"/>
        <w:autoSpaceDN w:val="0"/>
        <w:adjustRightInd w:val="0"/>
        <w:spacing w:line="360" w:lineRule="auto"/>
        <w:ind w:firstLine="480"/>
        <w:rPr>
          <w:rFonts w:cs="Calibri"/>
          <w:kern w:val="0"/>
        </w:rPr>
      </w:pPr>
      <w:r>
        <w:rPr>
          <w:rFonts w:cs="Calibri"/>
          <w:kern w:val="0"/>
        </w:rPr>
        <w:t>11.3.2</w:t>
      </w:r>
      <w:r>
        <w:rPr>
          <w:rFonts w:hint="eastAsia" w:cs="宋体"/>
          <w:kern w:val="0"/>
          <w:lang w:val="zh-CN"/>
        </w:rPr>
        <w:t>如果合同双方对乙方提供的上述试验结果报告的解释有分歧，双方须于出现分歧后</w:t>
      </w:r>
      <w:r>
        <w:rPr>
          <w:rFonts w:cs="Calibri"/>
          <w:kern w:val="0"/>
        </w:rPr>
        <w:t>10</w:t>
      </w:r>
      <w:r>
        <w:rPr>
          <w:rFonts w:hint="eastAsia" w:cs="宋体"/>
          <w:kern w:val="0"/>
          <w:lang w:val="zh-CN"/>
        </w:rPr>
        <w:t>天内给对方声明，以陈述己方的观点。声明须附有关证据。分歧应通过协商解决。</w:t>
      </w:r>
    </w:p>
    <w:p w14:paraId="3B551081">
      <w:pPr>
        <w:autoSpaceDE w:val="0"/>
        <w:autoSpaceDN w:val="0"/>
        <w:adjustRightInd w:val="0"/>
        <w:spacing w:line="360" w:lineRule="auto"/>
        <w:ind w:firstLine="562"/>
        <w:outlineLvl w:val="1"/>
        <w:rPr>
          <w:rFonts w:cs="Calibri"/>
          <w:b/>
          <w:bCs/>
          <w:kern w:val="0"/>
          <w:sz w:val="28"/>
          <w:szCs w:val="28"/>
        </w:rPr>
      </w:pPr>
      <w:bookmarkStart w:id="458" w:name="_Toc5013"/>
      <w:bookmarkStart w:id="459" w:name="_Toc29980"/>
      <w:bookmarkStart w:id="460" w:name="_Toc15266_WPSOffice_Level2"/>
      <w:bookmarkStart w:id="461" w:name="_Toc27207_WPSOffice_Level2"/>
      <w:r>
        <w:rPr>
          <w:rFonts w:cs="Calibri"/>
          <w:b/>
          <w:bCs/>
          <w:kern w:val="0"/>
          <w:sz w:val="28"/>
          <w:szCs w:val="28"/>
        </w:rPr>
        <w:t>12.</w:t>
      </w:r>
      <w:r>
        <w:rPr>
          <w:rFonts w:hint="eastAsia" w:cs="宋体"/>
          <w:b/>
          <w:bCs/>
          <w:kern w:val="0"/>
          <w:sz w:val="28"/>
          <w:szCs w:val="28"/>
          <w:lang w:val="zh-CN"/>
        </w:rPr>
        <w:t>付款条件</w:t>
      </w:r>
      <w:bookmarkEnd w:id="458"/>
      <w:bookmarkEnd w:id="459"/>
      <w:bookmarkEnd w:id="460"/>
      <w:bookmarkEnd w:id="461"/>
    </w:p>
    <w:p w14:paraId="7EFEDFF0">
      <w:pPr>
        <w:autoSpaceDE w:val="0"/>
        <w:autoSpaceDN w:val="0"/>
        <w:adjustRightInd w:val="0"/>
        <w:spacing w:line="360" w:lineRule="auto"/>
        <w:ind w:firstLine="480"/>
        <w:rPr>
          <w:rFonts w:cs="Calibri"/>
          <w:kern w:val="0"/>
        </w:rPr>
      </w:pPr>
      <w:r>
        <w:rPr>
          <w:rFonts w:hint="eastAsia" w:cs="宋体"/>
          <w:kern w:val="0"/>
          <w:lang w:val="zh-CN"/>
        </w:rPr>
        <w:t>本合同条款下的付款方法和条件在</w:t>
      </w:r>
      <w:r>
        <w:rPr>
          <w:rFonts w:cs="宋体"/>
          <w:kern w:val="0"/>
          <w:lang w:val="zh-CN"/>
        </w:rPr>
        <w:t>“</w:t>
      </w:r>
      <w:r>
        <w:rPr>
          <w:rFonts w:hint="eastAsia" w:cs="宋体"/>
          <w:kern w:val="0"/>
          <w:lang w:val="zh-CN"/>
        </w:rPr>
        <w:t>青海省政府采购合同书</w:t>
      </w:r>
      <w:r>
        <w:rPr>
          <w:rFonts w:cs="宋体"/>
          <w:kern w:val="0"/>
          <w:lang w:val="zh-CN"/>
        </w:rPr>
        <w:t>”</w:t>
      </w:r>
      <w:r>
        <w:rPr>
          <w:rFonts w:hint="eastAsia" w:cs="宋体"/>
          <w:kern w:val="0"/>
          <w:lang w:val="zh-CN"/>
        </w:rPr>
        <w:t>中具体规定。</w:t>
      </w:r>
    </w:p>
    <w:p w14:paraId="5D3F73FB">
      <w:pPr>
        <w:autoSpaceDE w:val="0"/>
        <w:autoSpaceDN w:val="0"/>
        <w:adjustRightInd w:val="0"/>
        <w:spacing w:line="360" w:lineRule="auto"/>
        <w:ind w:firstLine="562"/>
        <w:outlineLvl w:val="1"/>
        <w:rPr>
          <w:rFonts w:cs="Calibri"/>
          <w:b/>
          <w:bCs/>
          <w:kern w:val="0"/>
          <w:sz w:val="28"/>
          <w:szCs w:val="28"/>
        </w:rPr>
      </w:pPr>
      <w:bookmarkStart w:id="462" w:name="_Toc5637_WPSOffice_Level2"/>
      <w:bookmarkStart w:id="463" w:name="_Toc21678"/>
      <w:bookmarkStart w:id="464" w:name="_Toc22788_WPSOffice_Level2"/>
      <w:bookmarkStart w:id="465" w:name="_Toc16063"/>
      <w:r>
        <w:rPr>
          <w:rFonts w:cs="Calibri"/>
          <w:b/>
          <w:bCs/>
          <w:kern w:val="0"/>
          <w:sz w:val="28"/>
          <w:szCs w:val="28"/>
        </w:rPr>
        <w:t>13.</w:t>
      </w:r>
      <w:r>
        <w:rPr>
          <w:rFonts w:hint="eastAsia" w:cs="宋体"/>
          <w:b/>
          <w:bCs/>
          <w:kern w:val="0"/>
          <w:sz w:val="28"/>
          <w:szCs w:val="28"/>
          <w:lang w:val="zh-CN"/>
        </w:rPr>
        <w:t>履约保证金</w:t>
      </w:r>
      <w:bookmarkEnd w:id="462"/>
      <w:bookmarkEnd w:id="463"/>
      <w:bookmarkEnd w:id="464"/>
      <w:bookmarkEnd w:id="465"/>
    </w:p>
    <w:p w14:paraId="5F3D10C0">
      <w:pPr>
        <w:autoSpaceDE w:val="0"/>
        <w:autoSpaceDN w:val="0"/>
        <w:adjustRightInd w:val="0"/>
        <w:spacing w:line="360" w:lineRule="auto"/>
        <w:ind w:firstLine="480"/>
        <w:rPr>
          <w:rFonts w:cs="Calibri"/>
          <w:kern w:val="0"/>
        </w:rPr>
      </w:pPr>
      <w:r>
        <w:rPr>
          <w:rFonts w:cs="Calibri"/>
          <w:kern w:val="0"/>
        </w:rPr>
        <w:t>13.1</w:t>
      </w:r>
      <w:r>
        <w:rPr>
          <w:rFonts w:hint="eastAsia" w:cs="宋体"/>
          <w:kern w:val="0"/>
          <w:lang w:val="zh-CN"/>
        </w:rPr>
        <w:t>乙方应在合同签订前，按磋商文件第三部分“八 授予合同”中第22.2项的约定提交履约保证金。</w:t>
      </w:r>
    </w:p>
    <w:p w14:paraId="264C6523">
      <w:pPr>
        <w:autoSpaceDE w:val="0"/>
        <w:autoSpaceDN w:val="0"/>
        <w:adjustRightInd w:val="0"/>
        <w:spacing w:line="360" w:lineRule="auto"/>
        <w:ind w:firstLine="480"/>
        <w:rPr>
          <w:rFonts w:cs="Calibri"/>
          <w:kern w:val="0"/>
        </w:rPr>
      </w:pPr>
      <w:r>
        <w:rPr>
          <w:rFonts w:cs="Calibri"/>
          <w:kern w:val="0"/>
        </w:rPr>
        <w:t>13.2</w:t>
      </w:r>
      <w:r>
        <w:rPr>
          <w:rFonts w:hint="eastAsia" w:cs="宋体"/>
          <w:kern w:val="0"/>
          <w:lang w:val="zh-CN"/>
        </w:rPr>
        <w:t>履约保证金用于补偿甲方因乙方不能履行其合同义务而蒙受的损失。</w:t>
      </w:r>
    </w:p>
    <w:p w14:paraId="2A57E749">
      <w:pPr>
        <w:autoSpaceDE w:val="0"/>
        <w:autoSpaceDN w:val="0"/>
        <w:adjustRightInd w:val="0"/>
        <w:spacing w:line="360" w:lineRule="auto"/>
        <w:ind w:firstLine="480"/>
        <w:rPr>
          <w:rFonts w:cs="Calibri"/>
          <w:kern w:val="0"/>
        </w:rPr>
      </w:pPr>
      <w:r>
        <w:rPr>
          <w:rFonts w:cs="Calibri"/>
          <w:kern w:val="0"/>
        </w:rPr>
        <w:t>13.3</w:t>
      </w:r>
      <w:r>
        <w:rPr>
          <w:rFonts w:hint="eastAsia" w:cs="宋体"/>
          <w:kern w:val="0"/>
          <w:lang w:val="zh-CN"/>
        </w:rPr>
        <w:t>履约保证金应使用本合同货币，按下述方式之一提交（磋商文件中另有约定的除外）：</w:t>
      </w:r>
    </w:p>
    <w:p w14:paraId="293306A6">
      <w:pPr>
        <w:autoSpaceDE w:val="0"/>
        <w:autoSpaceDN w:val="0"/>
        <w:adjustRightInd w:val="0"/>
        <w:spacing w:line="360" w:lineRule="auto"/>
        <w:ind w:firstLine="480"/>
        <w:rPr>
          <w:rFonts w:cs="Calibri"/>
          <w:kern w:val="0"/>
        </w:rPr>
      </w:pPr>
      <w:r>
        <w:rPr>
          <w:rFonts w:cs="Calibri"/>
          <w:kern w:val="0"/>
        </w:rPr>
        <w:t>13.3.1</w:t>
      </w:r>
      <w:r>
        <w:rPr>
          <w:rFonts w:hint="eastAsia" w:cs="宋体"/>
          <w:kern w:val="0"/>
          <w:lang w:val="zh-CN"/>
        </w:rPr>
        <w:t>甲方可接受的在中华人民共和国注册和营业的银行出具的履约保函；</w:t>
      </w:r>
    </w:p>
    <w:p w14:paraId="690272D5">
      <w:pPr>
        <w:autoSpaceDE w:val="0"/>
        <w:autoSpaceDN w:val="0"/>
        <w:adjustRightInd w:val="0"/>
        <w:spacing w:line="360" w:lineRule="auto"/>
        <w:ind w:firstLine="480"/>
        <w:rPr>
          <w:rFonts w:cs="Calibri"/>
          <w:kern w:val="0"/>
        </w:rPr>
      </w:pPr>
      <w:r>
        <w:rPr>
          <w:rFonts w:cs="Calibri"/>
          <w:kern w:val="0"/>
        </w:rPr>
        <w:t xml:space="preserve">13.3.2 </w:t>
      </w:r>
      <w:r>
        <w:rPr>
          <w:rFonts w:hint="eastAsia" w:cs="宋体"/>
          <w:kern w:val="0"/>
          <w:lang w:val="zh-CN"/>
        </w:rPr>
        <w:t>支票或汇票。</w:t>
      </w:r>
    </w:p>
    <w:p w14:paraId="25B7FFFF">
      <w:pPr>
        <w:autoSpaceDE w:val="0"/>
        <w:autoSpaceDN w:val="0"/>
        <w:adjustRightInd w:val="0"/>
        <w:spacing w:line="360" w:lineRule="auto"/>
        <w:ind w:firstLine="480"/>
        <w:rPr>
          <w:rFonts w:cs="Calibri"/>
          <w:kern w:val="0"/>
        </w:rPr>
      </w:pPr>
      <w:r>
        <w:rPr>
          <w:rFonts w:cs="Calibri"/>
          <w:kern w:val="0"/>
        </w:rPr>
        <w:t>13.4</w:t>
      </w:r>
      <w:r>
        <w:rPr>
          <w:rFonts w:hint="eastAsia" w:cs="宋体"/>
          <w:kern w:val="0"/>
          <w:lang w:val="zh-CN"/>
        </w:rPr>
        <w:t>乙方未能按合同规定履行其义务，甲方有权从履约保证金中取得补偿。货物验收合格后，甲方将履约保证金退还乙方或转为质量保证金。</w:t>
      </w:r>
    </w:p>
    <w:p w14:paraId="54199B1E">
      <w:pPr>
        <w:autoSpaceDE w:val="0"/>
        <w:autoSpaceDN w:val="0"/>
        <w:adjustRightInd w:val="0"/>
        <w:spacing w:line="360" w:lineRule="auto"/>
        <w:ind w:firstLine="562"/>
        <w:outlineLvl w:val="1"/>
        <w:rPr>
          <w:rFonts w:cs="Calibri"/>
          <w:b/>
          <w:bCs/>
          <w:kern w:val="0"/>
          <w:sz w:val="28"/>
          <w:szCs w:val="28"/>
        </w:rPr>
      </w:pPr>
      <w:bookmarkStart w:id="466" w:name="_Toc8585_WPSOffice_Level2"/>
      <w:bookmarkStart w:id="467" w:name="_Toc26225"/>
      <w:bookmarkStart w:id="468" w:name="_Toc106_WPSOffice_Level2"/>
      <w:bookmarkStart w:id="469" w:name="_Toc482"/>
      <w:r>
        <w:rPr>
          <w:rFonts w:cs="Calibri"/>
          <w:b/>
          <w:bCs/>
          <w:kern w:val="0"/>
          <w:sz w:val="28"/>
          <w:szCs w:val="28"/>
        </w:rPr>
        <w:t>14.</w:t>
      </w:r>
      <w:r>
        <w:rPr>
          <w:rFonts w:hint="eastAsia" w:cs="宋体"/>
          <w:b/>
          <w:bCs/>
          <w:kern w:val="0"/>
          <w:sz w:val="28"/>
          <w:szCs w:val="28"/>
          <w:lang w:val="zh-CN"/>
        </w:rPr>
        <w:t>索赔</w:t>
      </w:r>
      <w:bookmarkEnd w:id="466"/>
      <w:bookmarkEnd w:id="467"/>
      <w:bookmarkEnd w:id="468"/>
      <w:bookmarkEnd w:id="469"/>
    </w:p>
    <w:p w14:paraId="3EC90227">
      <w:pPr>
        <w:autoSpaceDE w:val="0"/>
        <w:autoSpaceDN w:val="0"/>
        <w:adjustRightInd w:val="0"/>
        <w:spacing w:line="360" w:lineRule="auto"/>
        <w:ind w:firstLine="480"/>
        <w:rPr>
          <w:rFonts w:cs="Calibri"/>
          <w:kern w:val="0"/>
        </w:rPr>
      </w:pPr>
      <w:r>
        <w:rPr>
          <w:rFonts w:cs="Calibri"/>
          <w:kern w:val="0"/>
        </w:rPr>
        <w:t>14.1</w:t>
      </w:r>
      <w:r>
        <w:rPr>
          <w:rFonts w:hint="eastAsia"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A8EF2B2">
      <w:pPr>
        <w:autoSpaceDE w:val="0"/>
        <w:autoSpaceDN w:val="0"/>
        <w:adjustRightInd w:val="0"/>
        <w:spacing w:line="360" w:lineRule="auto"/>
        <w:ind w:firstLine="480"/>
        <w:rPr>
          <w:rFonts w:cs="Calibri"/>
          <w:kern w:val="0"/>
        </w:rPr>
      </w:pPr>
      <w:r>
        <w:rPr>
          <w:rFonts w:cs="Calibri"/>
          <w:kern w:val="0"/>
        </w:rPr>
        <w:t>14.2</w:t>
      </w:r>
      <w:r>
        <w:rPr>
          <w:rFonts w:hint="eastAsia" w:cs="宋体"/>
          <w:kern w:val="0"/>
          <w:lang w:val="zh-CN"/>
        </w:rPr>
        <w:t>在履约保证期和检验期内，乙方对甲方提出的索赔负有责任，乙方应按照甲方同意的下列一种或多种方式解决索赔事宜：</w:t>
      </w:r>
    </w:p>
    <w:p w14:paraId="31C99E2B">
      <w:pPr>
        <w:autoSpaceDE w:val="0"/>
        <w:autoSpaceDN w:val="0"/>
        <w:adjustRightInd w:val="0"/>
        <w:spacing w:line="360" w:lineRule="auto"/>
        <w:ind w:firstLine="480"/>
        <w:rPr>
          <w:rFonts w:cs="Calibri"/>
          <w:kern w:val="0"/>
        </w:rPr>
      </w:pPr>
      <w:r>
        <w:rPr>
          <w:rFonts w:cs="Calibri"/>
          <w:kern w:val="0"/>
        </w:rPr>
        <w:t>14.2.1</w:t>
      </w:r>
      <w:r>
        <w:rPr>
          <w:rFonts w:hint="eastAsia"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3AC29D4">
      <w:pPr>
        <w:autoSpaceDE w:val="0"/>
        <w:autoSpaceDN w:val="0"/>
        <w:adjustRightInd w:val="0"/>
        <w:spacing w:line="360" w:lineRule="auto"/>
        <w:ind w:firstLine="480"/>
        <w:rPr>
          <w:rFonts w:cs="Calibri"/>
          <w:kern w:val="0"/>
        </w:rPr>
      </w:pPr>
      <w:r>
        <w:rPr>
          <w:rFonts w:cs="Calibri"/>
          <w:kern w:val="0"/>
        </w:rPr>
        <w:t>14.2.2</w:t>
      </w:r>
      <w:r>
        <w:rPr>
          <w:rFonts w:hint="eastAsia" w:cs="宋体"/>
          <w:kern w:val="0"/>
          <w:lang w:val="zh-CN"/>
        </w:rPr>
        <w:t>根据货物低劣程度、损坏程度以及甲方所遭受损失的数额，经甲乙双方商定降低货物的价格，或由有资质的中介机构评估，以降低后的价格或评估价格为准。</w:t>
      </w:r>
    </w:p>
    <w:p w14:paraId="3B363638">
      <w:pPr>
        <w:autoSpaceDE w:val="0"/>
        <w:autoSpaceDN w:val="0"/>
        <w:adjustRightInd w:val="0"/>
        <w:spacing w:line="360" w:lineRule="auto"/>
        <w:ind w:firstLine="480"/>
        <w:rPr>
          <w:rFonts w:cs="Calibri"/>
          <w:kern w:val="0"/>
        </w:rPr>
      </w:pPr>
      <w:r>
        <w:rPr>
          <w:rFonts w:cs="Calibri"/>
          <w:kern w:val="0"/>
        </w:rPr>
        <w:t>14.2.3</w:t>
      </w:r>
      <w:r>
        <w:rPr>
          <w:rFonts w:hint="eastAsia"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849C922">
      <w:pPr>
        <w:autoSpaceDE w:val="0"/>
        <w:autoSpaceDN w:val="0"/>
        <w:adjustRightInd w:val="0"/>
        <w:spacing w:line="360" w:lineRule="auto"/>
        <w:ind w:firstLine="480"/>
        <w:rPr>
          <w:rFonts w:cs="Calibri"/>
          <w:kern w:val="0"/>
        </w:rPr>
      </w:pPr>
      <w:r>
        <w:rPr>
          <w:rFonts w:cs="Calibri"/>
          <w:kern w:val="0"/>
        </w:rPr>
        <w:t>14.3</w:t>
      </w:r>
      <w:r>
        <w:rPr>
          <w:rFonts w:hint="eastAsia" w:cs="宋体"/>
          <w:kern w:val="0"/>
          <w:lang w:val="zh-CN"/>
        </w:rPr>
        <w:t>乙方收到甲方发出的索赔通知之日起</w:t>
      </w:r>
      <w:r>
        <w:rPr>
          <w:rFonts w:cs="Calibri"/>
          <w:kern w:val="0"/>
        </w:rPr>
        <w:t>5</w:t>
      </w:r>
      <w:r>
        <w:rPr>
          <w:rFonts w:hint="eastAsia" w:cs="宋体"/>
          <w:kern w:val="0"/>
          <w:lang w:val="zh-CN"/>
        </w:rPr>
        <w:t>个工作日内未作答复的，甲方可从合同款或履约保证金中扣回索赔金额，如金额不足以补偿索赔金额，乙方应补足差额部分。</w:t>
      </w:r>
    </w:p>
    <w:p w14:paraId="1EAE13A8">
      <w:pPr>
        <w:autoSpaceDE w:val="0"/>
        <w:autoSpaceDN w:val="0"/>
        <w:adjustRightInd w:val="0"/>
        <w:spacing w:line="360" w:lineRule="auto"/>
        <w:ind w:firstLine="562"/>
        <w:outlineLvl w:val="1"/>
        <w:rPr>
          <w:rFonts w:cs="Calibri"/>
          <w:b/>
          <w:bCs/>
          <w:kern w:val="0"/>
          <w:sz w:val="28"/>
          <w:szCs w:val="28"/>
        </w:rPr>
      </w:pPr>
      <w:bookmarkStart w:id="470" w:name="_Toc7492"/>
      <w:bookmarkStart w:id="471" w:name="_Toc19763"/>
      <w:bookmarkStart w:id="472" w:name="_Toc12410_WPSOffice_Level2"/>
      <w:bookmarkStart w:id="473" w:name="_Toc29957_WPSOffice_Level2"/>
      <w:r>
        <w:rPr>
          <w:rFonts w:cs="Calibri"/>
          <w:b/>
          <w:bCs/>
          <w:kern w:val="0"/>
          <w:sz w:val="28"/>
          <w:szCs w:val="28"/>
        </w:rPr>
        <w:t>15.</w:t>
      </w:r>
      <w:r>
        <w:rPr>
          <w:rFonts w:hint="eastAsia" w:cs="宋体"/>
          <w:b/>
          <w:bCs/>
          <w:kern w:val="0"/>
          <w:sz w:val="28"/>
          <w:szCs w:val="28"/>
          <w:lang w:val="zh-CN"/>
        </w:rPr>
        <w:t>迟延交货</w:t>
      </w:r>
      <w:bookmarkEnd w:id="470"/>
      <w:bookmarkEnd w:id="471"/>
      <w:bookmarkEnd w:id="472"/>
      <w:bookmarkEnd w:id="473"/>
    </w:p>
    <w:p w14:paraId="3A505272">
      <w:pPr>
        <w:autoSpaceDE w:val="0"/>
        <w:autoSpaceDN w:val="0"/>
        <w:adjustRightInd w:val="0"/>
        <w:spacing w:line="360" w:lineRule="auto"/>
        <w:ind w:firstLine="480"/>
        <w:rPr>
          <w:rFonts w:cs="Calibri"/>
          <w:kern w:val="0"/>
        </w:rPr>
      </w:pPr>
      <w:r>
        <w:rPr>
          <w:rFonts w:cs="Calibri"/>
          <w:kern w:val="0"/>
        </w:rPr>
        <w:t xml:space="preserve">15.1 </w:t>
      </w:r>
      <w:r>
        <w:rPr>
          <w:rFonts w:hint="eastAsia" w:cs="宋体"/>
          <w:kern w:val="0"/>
          <w:lang w:val="zh-CN"/>
        </w:rPr>
        <w:t>乙方应按照合同约定的时间交货和提供服务。</w:t>
      </w:r>
    </w:p>
    <w:p w14:paraId="5FD0F797">
      <w:pPr>
        <w:autoSpaceDE w:val="0"/>
        <w:autoSpaceDN w:val="0"/>
        <w:adjustRightInd w:val="0"/>
        <w:spacing w:line="360" w:lineRule="auto"/>
        <w:ind w:firstLine="480"/>
        <w:rPr>
          <w:rFonts w:cs="Calibri"/>
          <w:kern w:val="0"/>
        </w:rPr>
      </w:pPr>
      <w:r>
        <w:rPr>
          <w:rFonts w:cs="Calibri"/>
          <w:kern w:val="0"/>
        </w:rPr>
        <w:t xml:space="preserve">15.2 </w:t>
      </w:r>
      <w:r>
        <w:rPr>
          <w:rFonts w:hint="eastAsia" w:cs="宋体"/>
          <w:kern w:val="0"/>
          <w:lang w:val="zh-CN"/>
        </w:rPr>
        <w:t>除不可抗力因素外，乙方迟延交货，甲方有权提出违约损失赔偿或解除合同。</w:t>
      </w:r>
    </w:p>
    <w:p w14:paraId="0D8C5BDD">
      <w:pPr>
        <w:autoSpaceDE w:val="0"/>
        <w:autoSpaceDN w:val="0"/>
        <w:adjustRightInd w:val="0"/>
        <w:spacing w:line="360" w:lineRule="auto"/>
        <w:ind w:firstLine="480"/>
        <w:rPr>
          <w:rFonts w:cs="Calibri"/>
          <w:kern w:val="0"/>
        </w:rPr>
      </w:pPr>
      <w:r>
        <w:rPr>
          <w:rFonts w:cs="Calibri"/>
          <w:kern w:val="0"/>
        </w:rPr>
        <w:t>15.3</w:t>
      </w:r>
      <w:r>
        <w:rPr>
          <w:rFonts w:hint="eastAsia"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390793">
      <w:pPr>
        <w:autoSpaceDE w:val="0"/>
        <w:autoSpaceDN w:val="0"/>
        <w:adjustRightInd w:val="0"/>
        <w:spacing w:line="360" w:lineRule="auto"/>
        <w:ind w:firstLine="562"/>
        <w:outlineLvl w:val="1"/>
        <w:rPr>
          <w:rFonts w:cs="Calibri"/>
          <w:b/>
          <w:bCs/>
          <w:kern w:val="0"/>
          <w:sz w:val="28"/>
          <w:szCs w:val="28"/>
        </w:rPr>
      </w:pPr>
      <w:bookmarkStart w:id="474" w:name="_Toc5663_WPSOffice_Level2"/>
      <w:bookmarkStart w:id="475" w:name="_Toc13122"/>
      <w:bookmarkStart w:id="476" w:name="_Toc23165_WPSOffice_Level2"/>
      <w:bookmarkStart w:id="477" w:name="_Toc3565"/>
      <w:r>
        <w:rPr>
          <w:rFonts w:cs="Calibri"/>
          <w:b/>
          <w:bCs/>
          <w:kern w:val="0"/>
          <w:sz w:val="28"/>
          <w:szCs w:val="28"/>
        </w:rPr>
        <w:t>16.</w:t>
      </w:r>
      <w:r>
        <w:rPr>
          <w:rFonts w:hint="eastAsia" w:cs="宋体"/>
          <w:b/>
          <w:bCs/>
          <w:kern w:val="0"/>
          <w:sz w:val="28"/>
          <w:szCs w:val="28"/>
          <w:lang w:val="zh-CN"/>
        </w:rPr>
        <w:t>违约赔偿</w:t>
      </w:r>
      <w:bookmarkEnd w:id="474"/>
      <w:bookmarkEnd w:id="475"/>
      <w:bookmarkEnd w:id="476"/>
      <w:bookmarkEnd w:id="477"/>
    </w:p>
    <w:p w14:paraId="256BC95B">
      <w:pPr>
        <w:autoSpaceDE w:val="0"/>
        <w:autoSpaceDN w:val="0"/>
        <w:adjustRightInd w:val="0"/>
        <w:spacing w:line="360" w:lineRule="auto"/>
        <w:ind w:firstLine="480"/>
        <w:rPr>
          <w:rFonts w:cs="Calibri"/>
          <w:kern w:val="0"/>
        </w:rPr>
      </w:pPr>
      <w:r>
        <w:rPr>
          <w:rFonts w:hint="eastAsia" w:cs="宋体"/>
          <w:kern w:val="0"/>
          <w:lang w:val="zh-CN"/>
        </w:rPr>
        <w:t>除不可抗力因素外，乙方没有按照合同规定的时间交货和提供服务，甲方可要求乙方支付违约金。违约金每日按合同总价款的千分之五计收。</w:t>
      </w:r>
    </w:p>
    <w:p w14:paraId="20EF753F">
      <w:pPr>
        <w:autoSpaceDE w:val="0"/>
        <w:autoSpaceDN w:val="0"/>
        <w:adjustRightInd w:val="0"/>
        <w:spacing w:line="360" w:lineRule="auto"/>
        <w:ind w:firstLine="562"/>
        <w:outlineLvl w:val="1"/>
        <w:rPr>
          <w:rFonts w:cs="Calibri"/>
          <w:b/>
          <w:bCs/>
          <w:kern w:val="0"/>
          <w:sz w:val="28"/>
          <w:szCs w:val="28"/>
        </w:rPr>
      </w:pPr>
      <w:bookmarkStart w:id="478" w:name="_Toc5420_WPSOffice_Level2"/>
      <w:bookmarkStart w:id="479" w:name="_Toc9923"/>
      <w:bookmarkStart w:id="480" w:name="_Toc30965_WPSOffice_Level2"/>
      <w:bookmarkStart w:id="481" w:name="_Toc24561"/>
      <w:r>
        <w:rPr>
          <w:rFonts w:cs="Calibri"/>
          <w:b/>
          <w:bCs/>
          <w:kern w:val="0"/>
          <w:sz w:val="28"/>
          <w:szCs w:val="28"/>
        </w:rPr>
        <w:t>17.</w:t>
      </w:r>
      <w:r>
        <w:rPr>
          <w:rFonts w:hint="eastAsia" w:cs="宋体"/>
          <w:b/>
          <w:bCs/>
          <w:kern w:val="0"/>
          <w:sz w:val="28"/>
          <w:szCs w:val="28"/>
          <w:lang w:val="zh-CN"/>
        </w:rPr>
        <w:t>不可抗力</w:t>
      </w:r>
      <w:bookmarkEnd w:id="478"/>
      <w:bookmarkEnd w:id="479"/>
      <w:bookmarkEnd w:id="480"/>
      <w:bookmarkEnd w:id="481"/>
    </w:p>
    <w:p w14:paraId="65832CE4">
      <w:pPr>
        <w:autoSpaceDE w:val="0"/>
        <w:autoSpaceDN w:val="0"/>
        <w:adjustRightInd w:val="0"/>
        <w:spacing w:line="360" w:lineRule="auto"/>
        <w:ind w:firstLine="480"/>
        <w:rPr>
          <w:rFonts w:cs="Calibri"/>
          <w:kern w:val="0"/>
        </w:rPr>
      </w:pPr>
      <w:r>
        <w:rPr>
          <w:rFonts w:cs="Calibri"/>
          <w:kern w:val="0"/>
        </w:rPr>
        <w:t>17.1.</w:t>
      </w:r>
      <w:r>
        <w:rPr>
          <w:rFonts w:hint="eastAsia" w:cs="宋体"/>
          <w:kern w:val="0"/>
          <w:lang w:val="zh-CN"/>
        </w:rPr>
        <w:t>双方中任何一方遭遇法律规定的不可抗力，致使合同履行受阻时，履行合同的期限应予延长，延长的期限应相当于不可抗力所影响的时间。</w:t>
      </w:r>
    </w:p>
    <w:p w14:paraId="7C3D956B">
      <w:pPr>
        <w:autoSpaceDE w:val="0"/>
        <w:autoSpaceDN w:val="0"/>
        <w:adjustRightInd w:val="0"/>
        <w:spacing w:line="360" w:lineRule="auto"/>
        <w:ind w:firstLine="480"/>
        <w:rPr>
          <w:rFonts w:cs="Calibri"/>
          <w:kern w:val="0"/>
        </w:rPr>
      </w:pPr>
      <w:r>
        <w:rPr>
          <w:rFonts w:cs="Calibri"/>
          <w:kern w:val="0"/>
        </w:rPr>
        <w:t>17.2</w:t>
      </w:r>
      <w:r>
        <w:rPr>
          <w:rFonts w:hint="eastAsia" w:cs="宋体"/>
          <w:kern w:val="0"/>
          <w:lang w:val="zh-CN"/>
        </w:rPr>
        <w:t>受事故影响的一方应在不可抗力的事故发生后以书面形式通知另一方。</w:t>
      </w:r>
    </w:p>
    <w:p w14:paraId="62403D49">
      <w:pPr>
        <w:autoSpaceDE w:val="0"/>
        <w:autoSpaceDN w:val="0"/>
        <w:adjustRightInd w:val="0"/>
        <w:spacing w:line="360" w:lineRule="auto"/>
        <w:ind w:firstLine="480"/>
        <w:rPr>
          <w:rFonts w:cs="Calibri"/>
          <w:kern w:val="0"/>
        </w:rPr>
      </w:pPr>
      <w:r>
        <w:rPr>
          <w:rFonts w:cs="Calibri"/>
          <w:kern w:val="0"/>
        </w:rPr>
        <w:t>17.3</w:t>
      </w:r>
      <w:r>
        <w:rPr>
          <w:rFonts w:hint="eastAsia" w:cs="宋体"/>
          <w:kern w:val="0"/>
          <w:lang w:val="zh-CN"/>
        </w:rPr>
        <w:t>不可抗力使合同的某些内容有变更必要的，</w:t>
      </w:r>
      <w:r>
        <w:rPr>
          <w:rFonts w:cs="Calibri"/>
          <w:kern w:val="0"/>
        </w:rPr>
        <w:t xml:space="preserve"> </w:t>
      </w:r>
      <w:r>
        <w:rPr>
          <w:rFonts w:hint="eastAsia" w:cs="宋体"/>
          <w:kern w:val="0"/>
          <w:lang w:val="zh-CN"/>
        </w:rPr>
        <w:t>双方应通过协商达成进一步履行合同的协议，因不可抗力致使合同不能履行的，合同终止。</w:t>
      </w:r>
    </w:p>
    <w:p w14:paraId="3353FA73">
      <w:pPr>
        <w:autoSpaceDE w:val="0"/>
        <w:autoSpaceDN w:val="0"/>
        <w:adjustRightInd w:val="0"/>
        <w:spacing w:line="360" w:lineRule="auto"/>
        <w:ind w:firstLine="562"/>
        <w:outlineLvl w:val="1"/>
        <w:rPr>
          <w:rFonts w:cs="Calibri"/>
          <w:b/>
          <w:bCs/>
          <w:kern w:val="0"/>
          <w:sz w:val="28"/>
          <w:szCs w:val="28"/>
        </w:rPr>
      </w:pPr>
      <w:bookmarkStart w:id="482" w:name="_Toc30874"/>
      <w:bookmarkStart w:id="483" w:name="_Toc17675_WPSOffice_Level2"/>
      <w:bookmarkStart w:id="484" w:name="_Toc29589_WPSOffice_Level2"/>
      <w:bookmarkStart w:id="485" w:name="_Toc15651"/>
      <w:r>
        <w:rPr>
          <w:rFonts w:cs="Calibri"/>
          <w:b/>
          <w:bCs/>
          <w:kern w:val="0"/>
          <w:sz w:val="28"/>
          <w:szCs w:val="28"/>
        </w:rPr>
        <w:t>18.</w:t>
      </w:r>
      <w:r>
        <w:rPr>
          <w:rFonts w:hint="eastAsia" w:cs="宋体"/>
          <w:b/>
          <w:bCs/>
          <w:kern w:val="0"/>
          <w:sz w:val="28"/>
          <w:szCs w:val="28"/>
          <w:lang w:val="zh-CN"/>
        </w:rPr>
        <w:t>税费</w:t>
      </w:r>
      <w:bookmarkEnd w:id="482"/>
      <w:bookmarkEnd w:id="483"/>
      <w:bookmarkEnd w:id="484"/>
      <w:bookmarkEnd w:id="485"/>
    </w:p>
    <w:p w14:paraId="70BCC3F6">
      <w:pPr>
        <w:autoSpaceDE w:val="0"/>
        <w:autoSpaceDN w:val="0"/>
        <w:adjustRightInd w:val="0"/>
        <w:spacing w:line="360" w:lineRule="auto"/>
        <w:ind w:firstLine="480"/>
        <w:rPr>
          <w:rFonts w:cs="Calibri"/>
          <w:kern w:val="0"/>
        </w:rPr>
      </w:pPr>
      <w:r>
        <w:rPr>
          <w:rFonts w:hint="eastAsia" w:cs="宋体"/>
          <w:kern w:val="0"/>
          <w:lang w:val="zh-CN"/>
        </w:rPr>
        <w:t>与本合同有关的一切税费均由乙方承担。</w:t>
      </w:r>
    </w:p>
    <w:p w14:paraId="1E82AE18">
      <w:pPr>
        <w:autoSpaceDE w:val="0"/>
        <w:autoSpaceDN w:val="0"/>
        <w:adjustRightInd w:val="0"/>
        <w:spacing w:line="360" w:lineRule="auto"/>
        <w:ind w:firstLine="562"/>
        <w:outlineLvl w:val="1"/>
        <w:rPr>
          <w:rFonts w:cs="Calibri"/>
          <w:b/>
          <w:bCs/>
          <w:kern w:val="0"/>
          <w:sz w:val="28"/>
          <w:szCs w:val="28"/>
        </w:rPr>
      </w:pPr>
      <w:bookmarkStart w:id="486" w:name="_Toc29208_WPSOffice_Level2"/>
      <w:bookmarkStart w:id="487" w:name="_Toc16127_WPSOffice_Level2"/>
      <w:bookmarkStart w:id="488" w:name="_Toc21108"/>
      <w:bookmarkStart w:id="489" w:name="_Toc16784"/>
      <w:r>
        <w:rPr>
          <w:rFonts w:cs="Calibri"/>
          <w:b/>
          <w:bCs/>
          <w:kern w:val="0"/>
          <w:sz w:val="28"/>
          <w:szCs w:val="28"/>
        </w:rPr>
        <w:t>19.</w:t>
      </w:r>
      <w:r>
        <w:rPr>
          <w:rFonts w:hint="eastAsia" w:cs="宋体"/>
          <w:b/>
          <w:bCs/>
          <w:kern w:val="0"/>
          <w:sz w:val="28"/>
          <w:szCs w:val="28"/>
          <w:lang w:val="zh-CN"/>
        </w:rPr>
        <w:t>合同争议的解决</w:t>
      </w:r>
      <w:bookmarkEnd w:id="486"/>
      <w:bookmarkEnd w:id="487"/>
      <w:bookmarkEnd w:id="488"/>
      <w:bookmarkEnd w:id="489"/>
    </w:p>
    <w:p w14:paraId="3F8F8072">
      <w:pPr>
        <w:autoSpaceDE w:val="0"/>
        <w:autoSpaceDN w:val="0"/>
        <w:adjustRightInd w:val="0"/>
        <w:spacing w:line="360" w:lineRule="auto"/>
        <w:ind w:firstLine="480"/>
        <w:rPr>
          <w:rFonts w:cs="Calibri"/>
          <w:kern w:val="0"/>
        </w:rPr>
      </w:pPr>
      <w:r>
        <w:rPr>
          <w:rFonts w:cs="Calibri"/>
          <w:kern w:val="0"/>
        </w:rPr>
        <w:t>19.1</w:t>
      </w:r>
      <w:r>
        <w:rPr>
          <w:rFonts w:hint="eastAsia" w:cs="宋体"/>
          <w:kern w:val="0"/>
          <w:lang w:val="zh-CN"/>
        </w:rPr>
        <w:t>甲方和乙方由于本合同的履行而发生任何争议时，双方可先通过协商解决。</w:t>
      </w:r>
    </w:p>
    <w:p w14:paraId="435807A4">
      <w:pPr>
        <w:autoSpaceDE w:val="0"/>
        <w:autoSpaceDN w:val="0"/>
        <w:adjustRightInd w:val="0"/>
        <w:spacing w:line="360" w:lineRule="auto"/>
        <w:ind w:firstLine="480"/>
        <w:rPr>
          <w:rFonts w:cs="Calibri"/>
          <w:kern w:val="0"/>
        </w:rPr>
      </w:pPr>
      <w:r>
        <w:rPr>
          <w:rFonts w:cs="Calibri"/>
          <w:kern w:val="0"/>
        </w:rPr>
        <w:t>19.2</w:t>
      </w:r>
      <w:r>
        <w:rPr>
          <w:rFonts w:hint="eastAsia" w:cs="宋体"/>
          <w:kern w:val="0"/>
          <w:lang w:val="zh-CN"/>
        </w:rPr>
        <w:t>任何一方不愿通过协商或通过协商仍不能解决争议，则双方中任何一方均应向甲方所在地人民法院起诉。</w:t>
      </w:r>
    </w:p>
    <w:p w14:paraId="79A24F98">
      <w:pPr>
        <w:autoSpaceDE w:val="0"/>
        <w:autoSpaceDN w:val="0"/>
        <w:adjustRightInd w:val="0"/>
        <w:spacing w:line="360" w:lineRule="auto"/>
        <w:ind w:firstLine="562"/>
        <w:outlineLvl w:val="1"/>
        <w:rPr>
          <w:rFonts w:cs="Calibri"/>
          <w:b/>
          <w:bCs/>
          <w:kern w:val="0"/>
          <w:sz w:val="28"/>
          <w:szCs w:val="28"/>
        </w:rPr>
      </w:pPr>
      <w:bookmarkStart w:id="490" w:name="_Toc31950_WPSOffice_Level2"/>
      <w:bookmarkStart w:id="491" w:name="_Toc10644"/>
      <w:bookmarkStart w:id="492" w:name="_Toc24482_WPSOffice_Level2"/>
      <w:bookmarkStart w:id="493" w:name="_Toc20238"/>
      <w:r>
        <w:rPr>
          <w:rFonts w:cs="Calibri"/>
          <w:b/>
          <w:bCs/>
          <w:kern w:val="0"/>
          <w:sz w:val="28"/>
          <w:szCs w:val="28"/>
        </w:rPr>
        <w:t>20.</w:t>
      </w:r>
      <w:r>
        <w:rPr>
          <w:rFonts w:hint="eastAsia" w:cs="宋体"/>
          <w:b/>
          <w:bCs/>
          <w:kern w:val="0"/>
          <w:sz w:val="28"/>
          <w:szCs w:val="28"/>
          <w:lang w:val="zh-CN"/>
        </w:rPr>
        <w:t>违约解除合同</w:t>
      </w:r>
      <w:bookmarkEnd w:id="490"/>
      <w:bookmarkEnd w:id="491"/>
      <w:bookmarkEnd w:id="492"/>
      <w:bookmarkEnd w:id="493"/>
    </w:p>
    <w:p w14:paraId="60D477D8">
      <w:pPr>
        <w:autoSpaceDE w:val="0"/>
        <w:autoSpaceDN w:val="0"/>
        <w:adjustRightInd w:val="0"/>
        <w:spacing w:line="360" w:lineRule="auto"/>
        <w:ind w:firstLine="480"/>
        <w:rPr>
          <w:rFonts w:cs="Calibri"/>
          <w:kern w:val="0"/>
        </w:rPr>
      </w:pPr>
      <w:r>
        <w:rPr>
          <w:rFonts w:cs="Calibri"/>
          <w:kern w:val="0"/>
        </w:rPr>
        <w:t>20.1</w:t>
      </w:r>
      <w:r>
        <w:rPr>
          <w:rFonts w:hint="eastAsia" w:cs="宋体"/>
          <w:kern w:val="0"/>
          <w:lang w:val="zh-CN"/>
        </w:rPr>
        <w:t>出现下列情形之一的，视为乙方违约。甲方可向乙方发出书面通知，部分或全部终止合同，同时保留向乙方索赔的权利。</w:t>
      </w:r>
    </w:p>
    <w:p w14:paraId="037DB6E9">
      <w:pPr>
        <w:autoSpaceDE w:val="0"/>
        <w:autoSpaceDN w:val="0"/>
        <w:adjustRightInd w:val="0"/>
        <w:spacing w:line="360" w:lineRule="auto"/>
        <w:ind w:firstLine="480"/>
        <w:rPr>
          <w:rFonts w:cs="Calibri"/>
          <w:kern w:val="0"/>
        </w:rPr>
      </w:pPr>
      <w:r>
        <w:rPr>
          <w:rFonts w:cs="Calibri"/>
          <w:kern w:val="0"/>
        </w:rPr>
        <w:t>20.1.1</w:t>
      </w:r>
      <w:r>
        <w:rPr>
          <w:rFonts w:hint="eastAsia" w:cs="宋体"/>
          <w:kern w:val="0"/>
          <w:lang w:val="zh-CN"/>
        </w:rPr>
        <w:t>乙方未能在合同规定的限期或甲方同意延长的限期内，提供全部或部分货物的；</w:t>
      </w:r>
    </w:p>
    <w:p w14:paraId="1CEA1E92">
      <w:pPr>
        <w:autoSpaceDE w:val="0"/>
        <w:autoSpaceDN w:val="0"/>
        <w:adjustRightInd w:val="0"/>
        <w:spacing w:line="360" w:lineRule="auto"/>
        <w:ind w:firstLine="480"/>
        <w:rPr>
          <w:rFonts w:cs="Calibri"/>
          <w:kern w:val="0"/>
        </w:rPr>
      </w:pPr>
      <w:r>
        <w:rPr>
          <w:rFonts w:cs="Calibri"/>
          <w:kern w:val="0"/>
        </w:rPr>
        <w:t>20.1.2</w:t>
      </w:r>
      <w:r>
        <w:rPr>
          <w:rFonts w:hint="eastAsia" w:cs="宋体"/>
          <w:kern w:val="0"/>
          <w:lang w:val="zh-CN"/>
        </w:rPr>
        <w:t>乙方未能履行合同规定的其它主要义务的；</w:t>
      </w:r>
    </w:p>
    <w:p w14:paraId="25085B2F">
      <w:pPr>
        <w:autoSpaceDE w:val="0"/>
        <w:autoSpaceDN w:val="0"/>
        <w:adjustRightInd w:val="0"/>
        <w:spacing w:line="360" w:lineRule="auto"/>
        <w:ind w:firstLine="480"/>
        <w:rPr>
          <w:rFonts w:cs="Calibri"/>
          <w:kern w:val="0"/>
        </w:rPr>
      </w:pPr>
      <w:r>
        <w:rPr>
          <w:rFonts w:cs="Calibri"/>
          <w:kern w:val="0"/>
        </w:rPr>
        <w:t>20.1.3</w:t>
      </w:r>
      <w:r>
        <w:rPr>
          <w:rFonts w:hint="eastAsia" w:cs="宋体"/>
          <w:kern w:val="0"/>
          <w:lang w:val="zh-CN"/>
        </w:rPr>
        <w:t>乙方在本合同履行过程中有欺诈行为的。</w:t>
      </w:r>
    </w:p>
    <w:p w14:paraId="24ED275B">
      <w:pPr>
        <w:autoSpaceDE w:val="0"/>
        <w:autoSpaceDN w:val="0"/>
        <w:adjustRightInd w:val="0"/>
        <w:spacing w:line="360" w:lineRule="auto"/>
        <w:ind w:firstLine="480"/>
        <w:rPr>
          <w:rFonts w:cs="Calibri"/>
          <w:kern w:val="0"/>
        </w:rPr>
      </w:pPr>
      <w:r>
        <w:rPr>
          <w:rFonts w:cs="Calibri"/>
          <w:kern w:val="0"/>
        </w:rPr>
        <w:t>20.2</w:t>
      </w:r>
      <w:r>
        <w:rPr>
          <w:rFonts w:hint="eastAsia"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2877097">
      <w:pPr>
        <w:autoSpaceDE w:val="0"/>
        <w:autoSpaceDN w:val="0"/>
        <w:adjustRightInd w:val="0"/>
        <w:spacing w:line="360" w:lineRule="auto"/>
        <w:ind w:firstLine="562"/>
        <w:outlineLvl w:val="1"/>
        <w:rPr>
          <w:rFonts w:cs="Calibri"/>
          <w:b/>
          <w:bCs/>
          <w:kern w:val="0"/>
          <w:sz w:val="28"/>
          <w:szCs w:val="28"/>
        </w:rPr>
      </w:pPr>
      <w:bookmarkStart w:id="494" w:name="_Toc30951_WPSOffice_Level2"/>
      <w:bookmarkStart w:id="495" w:name="_Toc11628_WPSOffice_Level2"/>
      <w:bookmarkStart w:id="496" w:name="_Toc17820"/>
      <w:bookmarkStart w:id="497" w:name="_Toc16879"/>
      <w:r>
        <w:rPr>
          <w:rFonts w:cs="Calibri"/>
          <w:b/>
          <w:bCs/>
          <w:kern w:val="0"/>
          <w:sz w:val="28"/>
          <w:szCs w:val="28"/>
        </w:rPr>
        <w:t>21.</w:t>
      </w:r>
      <w:r>
        <w:rPr>
          <w:rFonts w:hint="eastAsia" w:cs="宋体"/>
          <w:b/>
          <w:bCs/>
          <w:kern w:val="0"/>
          <w:sz w:val="28"/>
          <w:szCs w:val="28"/>
          <w:lang w:val="zh-CN"/>
        </w:rPr>
        <w:t>破产终止合同</w:t>
      </w:r>
      <w:bookmarkEnd w:id="494"/>
      <w:bookmarkEnd w:id="495"/>
      <w:bookmarkEnd w:id="496"/>
      <w:bookmarkEnd w:id="497"/>
    </w:p>
    <w:p w14:paraId="3B38B1EE">
      <w:pPr>
        <w:autoSpaceDE w:val="0"/>
        <w:autoSpaceDN w:val="0"/>
        <w:adjustRightInd w:val="0"/>
        <w:spacing w:line="360" w:lineRule="auto"/>
        <w:ind w:firstLine="480"/>
        <w:rPr>
          <w:rFonts w:cs="Calibri"/>
          <w:kern w:val="0"/>
        </w:rPr>
      </w:pPr>
      <w:r>
        <w:rPr>
          <w:rFonts w:hint="eastAsia"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5E5B0F">
      <w:pPr>
        <w:autoSpaceDE w:val="0"/>
        <w:autoSpaceDN w:val="0"/>
        <w:adjustRightInd w:val="0"/>
        <w:spacing w:line="360" w:lineRule="auto"/>
        <w:ind w:firstLine="562"/>
        <w:outlineLvl w:val="1"/>
        <w:rPr>
          <w:rFonts w:cs="Calibri"/>
          <w:b/>
          <w:bCs/>
          <w:kern w:val="0"/>
          <w:sz w:val="28"/>
          <w:szCs w:val="28"/>
        </w:rPr>
      </w:pPr>
      <w:bookmarkStart w:id="498" w:name="_Toc1952_WPSOffice_Level2"/>
      <w:bookmarkStart w:id="499" w:name="_Toc24313"/>
      <w:bookmarkStart w:id="500" w:name="_Toc16100_WPSOffice_Level2"/>
      <w:bookmarkStart w:id="501" w:name="_Toc5164"/>
      <w:r>
        <w:rPr>
          <w:rFonts w:cs="Calibri"/>
          <w:b/>
          <w:bCs/>
          <w:kern w:val="0"/>
          <w:sz w:val="28"/>
          <w:szCs w:val="28"/>
        </w:rPr>
        <w:t>22.</w:t>
      </w:r>
      <w:r>
        <w:rPr>
          <w:rFonts w:hint="eastAsia" w:cs="宋体"/>
          <w:b/>
          <w:bCs/>
          <w:kern w:val="0"/>
          <w:sz w:val="28"/>
          <w:szCs w:val="28"/>
          <w:lang w:val="zh-CN"/>
        </w:rPr>
        <w:t>转让和分包</w:t>
      </w:r>
      <w:bookmarkEnd w:id="498"/>
      <w:bookmarkEnd w:id="499"/>
      <w:bookmarkEnd w:id="500"/>
      <w:bookmarkEnd w:id="501"/>
    </w:p>
    <w:p w14:paraId="5ACD4829">
      <w:pPr>
        <w:autoSpaceDE w:val="0"/>
        <w:autoSpaceDN w:val="0"/>
        <w:adjustRightInd w:val="0"/>
        <w:spacing w:line="360" w:lineRule="auto"/>
        <w:ind w:firstLine="480"/>
        <w:rPr>
          <w:rFonts w:cs="Calibri"/>
          <w:kern w:val="0"/>
        </w:rPr>
      </w:pPr>
      <w:r>
        <w:rPr>
          <w:rFonts w:cs="Calibri"/>
          <w:kern w:val="0"/>
        </w:rPr>
        <w:t>22.1</w:t>
      </w:r>
      <w:r>
        <w:rPr>
          <w:rFonts w:hint="eastAsia" w:cs="宋体"/>
          <w:kern w:val="0"/>
          <w:lang w:val="zh-CN"/>
        </w:rPr>
        <w:t>政府采购合同不能转让。</w:t>
      </w:r>
    </w:p>
    <w:p w14:paraId="4D566EED">
      <w:pPr>
        <w:autoSpaceDE w:val="0"/>
        <w:autoSpaceDN w:val="0"/>
        <w:adjustRightInd w:val="0"/>
        <w:spacing w:line="360" w:lineRule="auto"/>
        <w:ind w:firstLine="480"/>
        <w:rPr>
          <w:rFonts w:cs="Calibri"/>
          <w:kern w:val="0"/>
        </w:rPr>
      </w:pPr>
      <w:r>
        <w:rPr>
          <w:rFonts w:cs="Calibri"/>
          <w:kern w:val="0"/>
        </w:rPr>
        <w:t>22.2</w:t>
      </w:r>
      <w:r>
        <w:rPr>
          <w:rFonts w:hint="eastAsia"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40A41C2">
      <w:pPr>
        <w:autoSpaceDE w:val="0"/>
        <w:autoSpaceDN w:val="0"/>
        <w:adjustRightInd w:val="0"/>
        <w:spacing w:line="360" w:lineRule="auto"/>
        <w:ind w:firstLine="562"/>
        <w:outlineLvl w:val="1"/>
        <w:rPr>
          <w:rFonts w:cs="Calibri"/>
          <w:b/>
          <w:bCs/>
          <w:kern w:val="0"/>
          <w:sz w:val="28"/>
          <w:szCs w:val="28"/>
        </w:rPr>
      </w:pPr>
      <w:bookmarkStart w:id="502" w:name="_Toc5490"/>
      <w:bookmarkStart w:id="503" w:name="_Toc15411_WPSOffice_Level2"/>
      <w:bookmarkStart w:id="504" w:name="_Toc2890_WPSOffice_Level2"/>
      <w:bookmarkStart w:id="505" w:name="_Toc26116"/>
      <w:r>
        <w:rPr>
          <w:rFonts w:cs="Calibri"/>
          <w:b/>
          <w:bCs/>
          <w:kern w:val="0"/>
          <w:sz w:val="28"/>
          <w:szCs w:val="28"/>
        </w:rPr>
        <w:t>23.</w:t>
      </w:r>
      <w:r>
        <w:rPr>
          <w:rFonts w:hint="eastAsia" w:cs="宋体"/>
          <w:b/>
          <w:bCs/>
          <w:kern w:val="0"/>
          <w:sz w:val="28"/>
          <w:szCs w:val="28"/>
          <w:lang w:val="zh-CN"/>
        </w:rPr>
        <w:t>合同修改</w:t>
      </w:r>
      <w:bookmarkEnd w:id="502"/>
      <w:bookmarkEnd w:id="503"/>
      <w:bookmarkEnd w:id="504"/>
      <w:bookmarkEnd w:id="505"/>
    </w:p>
    <w:p w14:paraId="18D1C4B5">
      <w:pPr>
        <w:autoSpaceDE w:val="0"/>
        <w:autoSpaceDN w:val="0"/>
        <w:adjustRightInd w:val="0"/>
        <w:spacing w:line="360" w:lineRule="auto"/>
        <w:ind w:firstLine="480"/>
        <w:rPr>
          <w:rFonts w:cs="Calibri"/>
          <w:kern w:val="0"/>
        </w:rPr>
      </w:pPr>
      <w:r>
        <w:rPr>
          <w:rFonts w:hint="eastAsia" w:cs="宋体"/>
          <w:kern w:val="0"/>
          <w:lang w:val="zh-CN"/>
        </w:rPr>
        <w:t>甲方和乙方都不得擅自变更本合同，但合同继续履行将损害国家和社会公共利益的除外。如必须对合同条款进行改动时，当事人双方须共同签署书面文件，做为合同的补充。</w:t>
      </w:r>
    </w:p>
    <w:p w14:paraId="0AB3D7B3">
      <w:pPr>
        <w:autoSpaceDE w:val="0"/>
        <w:autoSpaceDN w:val="0"/>
        <w:adjustRightInd w:val="0"/>
        <w:spacing w:line="360" w:lineRule="auto"/>
        <w:ind w:firstLine="562"/>
        <w:outlineLvl w:val="1"/>
        <w:rPr>
          <w:rFonts w:cs="Calibri"/>
          <w:b/>
          <w:bCs/>
          <w:kern w:val="0"/>
          <w:sz w:val="28"/>
          <w:szCs w:val="28"/>
        </w:rPr>
      </w:pPr>
      <w:bookmarkStart w:id="506" w:name="_Toc31553"/>
      <w:bookmarkStart w:id="507" w:name="_Toc29309_WPSOffice_Level2"/>
      <w:bookmarkStart w:id="508" w:name="_Toc18829"/>
      <w:bookmarkStart w:id="509" w:name="_Toc7185_WPSOffice_Level2"/>
      <w:r>
        <w:rPr>
          <w:rFonts w:cs="Calibri"/>
          <w:b/>
          <w:bCs/>
          <w:kern w:val="0"/>
          <w:sz w:val="28"/>
          <w:szCs w:val="28"/>
        </w:rPr>
        <w:t>24.</w:t>
      </w:r>
      <w:r>
        <w:rPr>
          <w:rFonts w:hint="eastAsia" w:cs="宋体"/>
          <w:b/>
          <w:bCs/>
          <w:kern w:val="0"/>
          <w:sz w:val="28"/>
          <w:szCs w:val="28"/>
          <w:lang w:val="zh-CN"/>
        </w:rPr>
        <w:t>通知</w:t>
      </w:r>
      <w:bookmarkEnd w:id="506"/>
      <w:bookmarkEnd w:id="507"/>
      <w:bookmarkEnd w:id="508"/>
      <w:bookmarkEnd w:id="509"/>
    </w:p>
    <w:p w14:paraId="6FC04186">
      <w:pPr>
        <w:autoSpaceDE w:val="0"/>
        <w:autoSpaceDN w:val="0"/>
        <w:adjustRightInd w:val="0"/>
        <w:spacing w:line="360" w:lineRule="auto"/>
        <w:ind w:firstLine="480"/>
        <w:rPr>
          <w:rFonts w:cs="Calibri"/>
          <w:kern w:val="0"/>
        </w:rPr>
      </w:pPr>
      <w:r>
        <w:rPr>
          <w:rFonts w:hint="eastAsia" w:cs="宋体"/>
          <w:kern w:val="0"/>
          <w:lang w:val="zh-CN"/>
        </w:rPr>
        <w:t>本合同任何一方给另一方的通知，都应以书面形式发送，而另一方也应以书面形式确认并发送到对方明确的地址。</w:t>
      </w:r>
    </w:p>
    <w:p w14:paraId="6A84E06D">
      <w:pPr>
        <w:autoSpaceDE w:val="0"/>
        <w:autoSpaceDN w:val="0"/>
        <w:adjustRightInd w:val="0"/>
        <w:spacing w:line="360" w:lineRule="auto"/>
        <w:ind w:firstLine="562"/>
        <w:outlineLvl w:val="1"/>
        <w:rPr>
          <w:rFonts w:cs="Calibri"/>
          <w:b/>
          <w:bCs/>
          <w:kern w:val="0"/>
          <w:sz w:val="28"/>
          <w:szCs w:val="28"/>
        </w:rPr>
      </w:pPr>
      <w:bookmarkStart w:id="510" w:name="_Toc8512_WPSOffice_Level2"/>
      <w:bookmarkStart w:id="511" w:name="_Toc11757"/>
      <w:bookmarkStart w:id="512" w:name="_Toc18715"/>
      <w:bookmarkStart w:id="513" w:name="_Toc28226_WPSOffice_Level2"/>
      <w:r>
        <w:rPr>
          <w:rFonts w:cs="Calibri"/>
          <w:b/>
          <w:bCs/>
          <w:kern w:val="0"/>
          <w:sz w:val="28"/>
          <w:szCs w:val="28"/>
        </w:rPr>
        <w:t>25.</w:t>
      </w:r>
      <w:r>
        <w:rPr>
          <w:rFonts w:hint="eastAsia" w:cs="宋体"/>
          <w:b/>
          <w:bCs/>
          <w:kern w:val="0"/>
          <w:sz w:val="28"/>
          <w:szCs w:val="28"/>
          <w:lang w:val="zh-CN"/>
        </w:rPr>
        <w:t>计量单位</w:t>
      </w:r>
      <w:bookmarkEnd w:id="510"/>
      <w:bookmarkEnd w:id="511"/>
      <w:bookmarkEnd w:id="512"/>
      <w:bookmarkEnd w:id="513"/>
    </w:p>
    <w:p w14:paraId="4E43F9BF">
      <w:pPr>
        <w:autoSpaceDE w:val="0"/>
        <w:autoSpaceDN w:val="0"/>
        <w:adjustRightInd w:val="0"/>
        <w:spacing w:line="360" w:lineRule="auto"/>
        <w:ind w:firstLine="480"/>
        <w:rPr>
          <w:rFonts w:cs="Calibri"/>
          <w:kern w:val="0"/>
        </w:rPr>
      </w:pPr>
      <w:r>
        <w:rPr>
          <w:rFonts w:hint="eastAsia" w:cs="宋体"/>
          <w:kern w:val="0"/>
          <w:lang w:val="zh-CN"/>
        </w:rPr>
        <w:t>除技术规范中另有规定外</w:t>
      </w:r>
      <w:r>
        <w:rPr>
          <w:rFonts w:cs="Calibri"/>
          <w:kern w:val="0"/>
        </w:rPr>
        <w:t>,</w:t>
      </w:r>
      <w:r>
        <w:rPr>
          <w:rFonts w:hint="eastAsia" w:cs="宋体"/>
          <w:kern w:val="0"/>
          <w:lang w:val="zh-CN"/>
        </w:rPr>
        <w:t>计量单位均使用国家法定计量单位。</w:t>
      </w:r>
    </w:p>
    <w:p w14:paraId="604167BB">
      <w:pPr>
        <w:numPr>
          <w:ilvl w:val="0"/>
          <w:numId w:val="22"/>
        </w:numPr>
        <w:autoSpaceDE w:val="0"/>
        <w:autoSpaceDN w:val="0"/>
        <w:adjustRightInd w:val="0"/>
        <w:spacing w:line="360" w:lineRule="auto"/>
        <w:ind w:firstLine="562"/>
        <w:outlineLvl w:val="1"/>
        <w:rPr>
          <w:rFonts w:cs="宋体"/>
          <w:b/>
          <w:bCs/>
          <w:kern w:val="0"/>
          <w:sz w:val="28"/>
          <w:szCs w:val="28"/>
          <w:lang w:val="zh-CN"/>
        </w:rPr>
      </w:pPr>
      <w:bookmarkStart w:id="514" w:name="_Toc18100"/>
      <w:bookmarkStart w:id="515" w:name="_Toc30488_WPSOffice_Level2"/>
      <w:bookmarkStart w:id="516" w:name="_Toc30400_WPSOffice_Level2"/>
      <w:bookmarkStart w:id="517" w:name="_Toc20356"/>
      <w:r>
        <w:rPr>
          <w:rFonts w:hint="eastAsia" w:cs="宋体"/>
          <w:b/>
          <w:bCs/>
          <w:kern w:val="0"/>
          <w:sz w:val="28"/>
          <w:szCs w:val="28"/>
          <w:lang w:val="zh-CN"/>
        </w:rPr>
        <w:t>适用法律</w:t>
      </w:r>
      <w:bookmarkEnd w:id="514"/>
      <w:bookmarkEnd w:id="515"/>
      <w:bookmarkEnd w:id="516"/>
      <w:bookmarkEnd w:id="517"/>
    </w:p>
    <w:p w14:paraId="4B2081F7">
      <w:pPr>
        <w:autoSpaceDE w:val="0"/>
        <w:autoSpaceDN w:val="0"/>
        <w:adjustRightInd w:val="0"/>
        <w:spacing w:line="360" w:lineRule="auto"/>
        <w:ind w:firstLine="0" w:firstLineChars="0"/>
        <w:rPr>
          <w:rFonts w:cs="宋体"/>
          <w:kern w:val="0"/>
          <w:lang w:val="zh-CN"/>
        </w:rPr>
      </w:pPr>
      <w:r>
        <w:rPr>
          <w:rFonts w:hint="eastAsia" w:cs="宋体"/>
          <w:kern w:val="0"/>
        </w:rPr>
        <w:t xml:space="preserve">    </w:t>
      </w:r>
      <w:r>
        <w:rPr>
          <w:rFonts w:hint="eastAsia" w:cs="宋体"/>
          <w:kern w:val="0"/>
          <w:lang w:val="zh-CN"/>
        </w:rPr>
        <w:t>本合同按照中华人民共和国的相关法律进行解释。</w:t>
      </w:r>
    </w:p>
    <w:p w14:paraId="2C377EC6">
      <w:pPr>
        <w:ind w:firstLine="480"/>
        <w:rPr>
          <w:rFonts w:cs="宋体"/>
          <w:kern w:val="0"/>
          <w:lang w:val="zh-CN"/>
        </w:rPr>
      </w:pPr>
      <w:r>
        <w:rPr>
          <w:rFonts w:hint="eastAsia" w:cs="宋体"/>
          <w:kern w:val="0"/>
          <w:lang w:val="zh-CN"/>
        </w:rPr>
        <w:br w:type="page"/>
      </w:r>
    </w:p>
    <w:bookmarkEnd w:id="368"/>
    <w:bookmarkEnd w:id="369"/>
    <w:p w14:paraId="6376CC58">
      <w:pPr>
        <w:keepNext/>
        <w:keepLines/>
        <w:widowControl/>
        <w:snapToGrid w:val="0"/>
        <w:spacing w:line="360" w:lineRule="auto"/>
        <w:ind w:firstLine="0" w:firstLineChars="0"/>
        <w:rPr>
          <w:rFonts w:ascii="宋体"/>
          <w:b/>
          <w:kern w:val="28"/>
          <w:sz w:val="36"/>
          <w:szCs w:val="20"/>
        </w:rPr>
      </w:pPr>
    </w:p>
    <w:p w14:paraId="1DE30A55">
      <w:pPr>
        <w:keepNext/>
        <w:keepLines/>
        <w:widowControl/>
        <w:snapToGrid w:val="0"/>
        <w:spacing w:line="360" w:lineRule="auto"/>
        <w:ind w:firstLine="0" w:firstLineChars="0"/>
        <w:jc w:val="center"/>
        <w:outlineLvl w:val="0"/>
        <w:rPr>
          <w:rFonts w:ascii="宋体"/>
          <w:b/>
          <w:kern w:val="28"/>
          <w:sz w:val="36"/>
          <w:szCs w:val="20"/>
        </w:rPr>
      </w:pPr>
      <w:bookmarkStart w:id="518" w:name="_Toc4649"/>
      <w:bookmarkStart w:id="519" w:name="_Toc25644"/>
      <w:bookmarkStart w:id="520" w:name="_Toc15656"/>
      <w:bookmarkStart w:id="521" w:name="_Toc8898_WPSOffice_Level1"/>
      <w:bookmarkStart w:id="522" w:name="_Toc25338"/>
      <w:r>
        <w:rPr>
          <w:rFonts w:hint="eastAsia" w:ascii="宋体"/>
          <w:b/>
          <w:kern w:val="28"/>
          <w:sz w:val="36"/>
          <w:szCs w:val="20"/>
        </w:rPr>
        <w:t>第五部分  磋商响应文件格式</w:t>
      </w:r>
      <w:bookmarkEnd w:id="518"/>
      <w:bookmarkEnd w:id="519"/>
      <w:bookmarkEnd w:id="520"/>
      <w:bookmarkEnd w:id="521"/>
      <w:bookmarkEnd w:id="522"/>
    </w:p>
    <w:p w14:paraId="006E20B5">
      <w:pPr>
        <w:widowControl/>
        <w:snapToGrid w:val="0"/>
        <w:spacing w:line="360" w:lineRule="auto"/>
        <w:ind w:firstLine="0" w:firstLineChars="0"/>
        <w:rPr>
          <w:rFonts w:ascii="宋体"/>
          <w:b/>
          <w:sz w:val="28"/>
          <w:szCs w:val="28"/>
        </w:rPr>
      </w:pPr>
    </w:p>
    <w:p w14:paraId="07B7107A">
      <w:pPr>
        <w:spacing w:line="360" w:lineRule="auto"/>
        <w:ind w:firstLine="2088" w:firstLineChars="400"/>
        <w:outlineLvl w:val="2"/>
        <w:rPr>
          <w:rFonts w:ascii="仿宋_GB2312" w:hAnsi="宋体" w:eastAsia="仿宋_GB2312"/>
          <w:b/>
          <w:sz w:val="52"/>
          <w:szCs w:val="52"/>
        </w:rPr>
      </w:pPr>
      <w:bookmarkStart w:id="523" w:name="_Toc12213_WPSOffice_Level3"/>
      <w:bookmarkStart w:id="524" w:name="_Toc27300"/>
      <w:bookmarkStart w:id="525" w:name="_Toc15781_WPSOffice_Level3"/>
    </w:p>
    <w:p w14:paraId="54BFE0F5">
      <w:pPr>
        <w:spacing w:line="360" w:lineRule="auto"/>
        <w:ind w:firstLine="0" w:firstLineChars="0"/>
        <w:jc w:val="center"/>
        <w:outlineLvl w:val="2"/>
        <w:rPr>
          <w:rFonts w:ascii="宋体" w:hAnsi="宋体"/>
          <w:b/>
          <w:sz w:val="72"/>
          <w:szCs w:val="72"/>
        </w:rPr>
      </w:pPr>
      <w:r>
        <w:rPr>
          <w:rFonts w:hint="eastAsia" w:ascii="仿宋_GB2312" w:hAnsi="宋体" w:eastAsia="仿宋_GB2312"/>
          <w:b/>
          <w:sz w:val="52"/>
          <w:szCs w:val="52"/>
        </w:rPr>
        <w:t>青海省政府采购项目</w:t>
      </w:r>
      <w:bookmarkEnd w:id="523"/>
      <w:bookmarkEnd w:id="524"/>
      <w:bookmarkEnd w:id="525"/>
    </w:p>
    <w:p w14:paraId="70DE2CAB">
      <w:pPr>
        <w:spacing w:line="360" w:lineRule="auto"/>
        <w:ind w:firstLine="826" w:firstLineChars="392"/>
        <w:jc w:val="center"/>
        <w:rPr>
          <w:rFonts w:ascii="宋体" w:hAnsi="宋体"/>
          <w:b/>
          <w:sz w:val="21"/>
          <w:szCs w:val="21"/>
        </w:rPr>
      </w:pPr>
    </w:p>
    <w:p w14:paraId="62BF13BA">
      <w:pPr>
        <w:spacing w:line="360" w:lineRule="auto"/>
        <w:ind w:firstLine="2364" w:firstLineChars="327"/>
        <w:jc w:val="center"/>
        <w:rPr>
          <w:rFonts w:ascii="宋体" w:hAnsi="宋体"/>
          <w:b/>
          <w:sz w:val="72"/>
          <w:szCs w:val="72"/>
        </w:rPr>
      </w:pPr>
    </w:p>
    <w:p w14:paraId="26B321C3">
      <w:pPr>
        <w:spacing w:line="360" w:lineRule="auto"/>
        <w:ind w:firstLine="0" w:firstLineChars="0"/>
        <w:jc w:val="center"/>
        <w:outlineLvl w:val="2"/>
        <w:rPr>
          <w:rFonts w:ascii="宋体" w:hAnsi="宋体"/>
          <w:b/>
          <w:sz w:val="52"/>
          <w:szCs w:val="52"/>
        </w:rPr>
      </w:pPr>
      <w:bookmarkStart w:id="526" w:name="_Toc32038"/>
      <w:bookmarkStart w:id="527" w:name="_Toc6663_WPSOffice_Level3"/>
      <w:bookmarkStart w:id="528" w:name="_Toc26990_WPSOffice_Level3"/>
      <w:r>
        <w:rPr>
          <w:rFonts w:hint="eastAsia" w:ascii="宋体" w:hAnsi="宋体"/>
          <w:b/>
          <w:sz w:val="52"/>
          <w:szCs w:val="52"/>
        </w:rPr>
        <w:t>磋商响应文件</w:t>
      </w:r>
      <w:bookmarkEnd w:id="526"/>
      <w:bookmarkEnd w:id="527"/>
      <w:bookmarkEnd w:id="528"/>
    </w:p>
    <w:p w14:paraId="1EF5BB92">
      <w:pPr>
        <w:adjustRightInd w:val="0"/>
        <w:spacing w:line="360" w:lineRule="auto"/>
        <w:ind w:firstLine="0" w:firstLineChars="0"/>
        <w:textAlignment w:val="baseline"/>
        <w:rPr>
          <w:rFonts w:ascii="宋体" w:hAnsi="宋体"/>
          <w:b/>
          <w:bCs/>
          <w:sz w:val="32"/>
        </w:rPr>
      </w:pPr>
    </w:p>
    <w:p w14:paraId="405FE356">
      <w:pPr>
        <w:adjustRightInd w:val="0"/>
        <w:spacing w:line="360" w:lineRule="auto"/>
        <w:ind w:firstLine="0" w:firstLineChars="0"/>
        <w:textAlignment w:val="baseline"/>
        <w:outlineLvl w:val="2"/>
        <w:rPr>
          <w:rFonts w:ascii="宋体" w:hAnsi="宋体"/>
          <w:b/>
          <w:sz w:val="32"/>
          <w:szCs w:val="32"/>
        </w:rPr>
      </w:pPr>
      <w:bookmarkStart w:id="529" w:name="_Toc18803_WPSOffice_Level3"/>
      <w:bookmarkStart w:id="530" w:name="_Toc24606_WPSOffice_Level3"/>
      <w:bookmarkStart w:id="531" w:name="_Toc18336"/>
      <w:r>
        <w:rPr>
          <w:rFonts w:hint="eastAsia" w:ascii="宋体" w:hAnsi="宋体"/>
          <w:b/>
          <w:bCs/>
          <w:sz w:val="32"/>
          <w:szCs w:val="32"/>
        </w:rPr>
        <w:t xml:space="preserve">      采购项目编号</w:t>
      </w:r>
      <w:r>
        <w:rPr>
          <w:rFonts w:hint="eastAsia" w:ascii="宋体" w:hAnsi="宋体"/>
          <w:b/>
          <w:sz w:val="32"/>
          <w:szCs w:val="32"/>
        </w:rPr>
        <w:t>：</w:t>
      </w:r>
      <w:bookmarkEnd w:id="529"/>
      <w:bookmarkEnd w:id="530"/>
      <w:bookmarkEnd w:id="531"/>
    </w:p>
    <w:p w14:paraId="37BFE05F">
      <w:pPr>
        <w:adjustRightInd w:val="0"/>
        <w:spacing w:line="360" w:lineRule="auto"/>
        <w:ind w:left="2570" w:hanging="2570" w:hangingChars="800"/>
        <w:textAlignment w:val="baseline"/>
        <w:outlineLvl w:val="2"/>
        <w:rPr>
          <w:rFonts w:ascii="宋体" w:hAnsi="宋体"/>
          <w:b/>
          <w:bCs/>
          <w:sz w:val="32"/>
          <w:szCs w:val="32"/>
        </w:rPr>
      </w:pPr>
      <w:bookmarkStart w:id="532" w:name="_Toc29236_WPSOffice_Level3"/>
      <w:bookmarkStart w:id="533" w:name="_Toc28510"/>
      <w:bookmarkStart w:id="534" w:name="_Toc15972_WPSOffice_Level3"/>
      <w:r>
        <w:rPr>
          <w:rFonts w:hint="eastAsia" w:ascii="宋体" w:hAnsi="宋体"/>
          <w:b/>
          <w:bCs/>
          <w:sz w:val="32"/>
          <w:szCs w:val="32"/>
        </w:rPr>
        <w:t xml:space="preserve">      采购项目名称</w:t>
      </w:r>
      <w:r>
        <w:rPr>
          <w:rFonts w:ascii="宋体" w:hAnsi="宋体"/>
          <w:b/>
          <w:bCs/>
          <w:sz w:val="32"/>
          <w:szCs w:val="32"/>
        </w:rPr>
        <w:t>:</w:t>
      </w:r>
    </w:p>
    <w:bookmarkEnd w:id="532"/>
    <w:bookmarkEnd w:id="533"/>
    <w:bookmarkEnd w:id="534"/>
    <w:p w14:paraId="2102D101">
      <w:pPr>
        <w:adjustRightInd w:val="0"/>
        <w:spacing w:line="360" w:lineRule="auto"/>
        <w:ind w:left="2891" w:hanging="2891" w:hangingChars="800"/>
        <w:textAlignment w:val="baseline"/>
        <w:outlineLvl w:val="2"/>
        <w:rPr>
          <w:rFonts w:ascii="宋体" w:hAnsi="宋体"/>
          <w:b/>
          <w:bCs/>
          <w:sz w:val="36"/>
          <w:szCs w:val="36"/>
        </w:rPr>
      </w:pPr>
      <w:r>
        <w:rPr>
          <w:rFonts w:hint="eastAsia" w:ascii="宋体" w:hAnsi="宋体"/>
          <w:b/>
          <w:bCs/>
          <w:sz w:val="36"/>
          <w:szCs w:val="36"/>
        </w:rPr>
        <w:t xml:space="preserve">  </w:t>
      </w:r>
    </w:p>
    <w:p w14:paraId="3FEFE4DD">
      <w:pPr>
        <w:spacing w:line="360" w:lineRule="auto"/>
        <w:ind w:firstLine="723"/>
        <w:jc w:val="center"/>
        <w:rPr>
          <w:rFonts w:ascii="宋体" w:hAnsi="宋体"/>
          <w:b/>
          <w:sz w:val="32"/>
        </w:rPr>
      </w:pPr>
      <w:r>
        <w:rPr>
          <w:rFonts w:hint="eastAsia" w:ascii="宋体" w:hAnsi="宋体"/>
          <w:b/>
          <w:bCs/>
          <w:sz w:val="36"/>
          <w:szCs w:val="36"/>
        </w:rPr>
        <w:t xml:space="preserve"> </w:t>
      </w:r>
      <w:r>
        <w:rPr>
          <w:rFonts w:hint="eastAsia" w:ascii="宋体" w:hAnsi="宋体"/>
          <w:b/>
          <w:sz w:val="32"/>
        </w:rPr>
        <w:t xml:space="preserve">         </w:t>
      </w:r>
    </w:p>
    <w:p w14:paraId="35345374">
      <w:pPr>
        <w:spacing w:line="360" w:lineRule="auto"/>
        <w:ind w:firstLine="643"/>
        <w:jc w:val="center"/>
        <w:rPr>
          <w:rFonts w:ascii="宋体" w:hAnsi="宋体"/>
          <w:b/>
          <w:sz w:val="32"/>
        </w:rPr>
      </w:pPr>
    </w:p>
    <w:p w14:paraId="7ED96653">
      <w:pPr>
        <w:spacing w:line="360" w:lineRule="auto"/>
        <w:ind w:firstLine="643"/>
        <w:jc w:val="center"/>
        <w:rPr>
          <w:rFonts w:ascii="宋体" w:hAnsi="宋体"/>
          <w:b/>
          <w:sz w:val="32"/>
        </w:rPr>
      </w:pPr>
      <w:r>
        <w:rPr>
          <w:rFonts w:hint="eastAsia" w:ascii="宋体" w:hAnsi="宋体"/>
          <w:b/>
          <w:sz w:val="32"/>
        </w:rPr>
        <w:t xml:space="preserve">                 投标供应商：</w:t>
      </w:r>
      <w:r>
        <w:rPr>
          <w:rFonts w:hint="eastAsia" w:ascii="仿宋_GB2312" w:eastAsia="仿宋_GB2312" w:cs="宋体"/>
          <w:kern w:val="0"/>
          <w:sz w:val="28"/>
          <w:szCs w:val="28"/>
          <w:u w:val="single"/>
        </w:rPr>
        <w:t xml:space="preserve">       </w:t>
      </w:r>
      <w:r>
        <w:rPr>
          <w:rFonts w:hint="eastAsia" w:ascii="宋体" w:hAnsi="宋体"/>
          <w:b/>
          <w:sz w:val="32"/>
        </w:rPr>
        <w:t>（公章）</w:t>
      </w:r>
    </w:p>
    <w:p w14:paraId="70EC6C4C">
      <w:pPr>
        <w:spacing w:line="360" w:lineRule="auto"/>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080C1A86">
      <w:pPr>
        <w:spacing w:line="360" w:lineRule="auto"/>
        <w:ind w:firstLine="643"/>
        <w:jc w:val="center"/>
        <w:rPr>
          <w:rFonts w:ascii="宋体" w:hAnsi="宋体"/>
          <w:b/>
          <w:sz w:val="32"/>
        </w:rPr>
      </w:pPr>
      <w:r>
        <w:rPr>
          <w:rFonts w:hint="eastAsia" w:ascii="宋体" w:hAnsi="宋体"/>
          <w:b/>
          <w:sz w:val="32"/>
        </w:rPr>
        <w:t xml:space="preserve">              年   月  日</w:t>
      </w:r>
    </w:p>
    <w:p w14:paraId="4413BCC4">
      <w:pPr>
        <w:widowControl/>
        <w:snapToGrid w:val="0"/>
        <w:spacing w:line="360" w:lineRule="auto"/>
        <w:ind w:firstLine="0" w:firstLineChars="0"/>
        <w:jc w:val="left"/>
        <w:outlineLvl w:val="1"/>
        <w:rPr>
          <w:rFonts w:ascii="宋体"/>
          <w:b/>
          <w:sz w:val="28"/>
          <w:szCs w:val="28"/>
        </w:rPr>
      </w:pPr>
      <w:r>
        <w:rPr>
          <w:rFonts w:hint="eastAsia" w:ascii="宋体"/>
          <w:b/>
          <w:sz w:val="28"/>
          <w:szCs w:val="28"/>
        </w:rPr>
        <w:br w:type="page"/>
      </w:r>
      <w:bookmarkStart w:id="535" w:name="_Toc12652_WPSOffice_Level2"/>
      <w:bookmarkStart w:id="536" w:name="_Toc28523"/>
      <w:bookmarkStart w:id="537" w:name="_Toc8782"/>
      <w:bookmarkStart w:id="538" w:name="_Toc17886"/>
      <w:bookmarkStart w:id="539" w:name="_Toc28790"/>
      <w:r>
        <w:rPr>
          <w:rFonts w:hint="eastAsia" w:ascii="宋体"/>
          <w:b/>
          <w:sz w:val="28"/>
          <w:szCs w:val="28"/>
        </w:rPr>
        <w:t>附件</w:t>
      </w:r>
      <w:bookmarkStart w:id="540" w:name="_Toc325726037"/>
      <w:bookmarkStart w:id="541" w:name="_Toc376936768"/>
      <w:r>
        <w:rPr>
          <w:rFonts w:hint="eastAsia" w:ascii="宋体"/>
          <w:b/>
          <w:sz w:val="28"/>
          <w:szCs w:val="28"/>
        </w:rPr>
        <w:t>1：磋商函</w:t>
      </w:r>
      <w:bookmarkEnd w:id="535"/>
      <w:bookmarkEnd w:id="536"/>
      <w:bookmarkEnd w:id="537"/>
      <w:bookmarkEnd w:id="538"/>
      <w:bookmarkEnd w:id="539"/>
      <w:bookmarkEnd w:id="540"/>
      <w:bookmarkEnd w:id="541"/>
    </w:p>
    <w:p w14:paraId="44D2E635">
      <w:pPr>
        <w:spacing w:line="360" w:lineRule="auto"/>
        <w:ind w:firstLine="3813" w:firstLineChars="1055"/>
        <w:rPr>
          <w:rFonts w:ascii="宋体" w:hAnsi="宋体"/>
          <w:b/>
          <w:sz w:val="36"/>
          <w:szCs w:val="36"/>
        </w:rPr>
      </w:pPr>
    </w:p>
    <w:p w14:paraId="489DE837">
      <w:pPr>
        <w:spacing w:line="360" w:lineRule="auto"/>
        <w:ind w:firstLine="3813" w:firstLineChars="1055"/>
        <w:outlineLvl w:val="2"/>
        <w:rPr>
          <w:rFonts w:ascii="宋体" w:hAnsi="宋体"/>
          <w:b/>
          <w:sz w:val="36"/>
          <w:szCs w:val="36"/>
        </w:rPr>
      </w:pPr>
      <w:bookmarkStart w:id="542" w:name="_Toc30647"/>
      <w:bookmarkStart w:id="543" w:name="_Toc27098_WPSOffice_Level3"/>
      <w:bookmarkStart w:id="544" w:name="_Toc8026_WPSOffice_Level3"/>
      <w:r>
        <w:rPr>
          <w:rFonts w:hint="eastAsia" w:ascii="宋体" w:hAnsi="宋体"/>
          <w:b/>
          <w:sz w:val="36"/>
          <w:szCs w:val="36"/>
        </w:rPr>
        <w:t>磋商函</w:t>
      </w:r>
      <w:bookmarkEnd w:id="542"/>
      <w:bookmarkEnd w:id="543"/>
      <w:bookmarkEnd w:id="544"/>
    </w:p>
    <w:p w14:paraId="79F6AD5A">
      <w:pPr>
        <w:adjustRightInd w:val="0"/>
        <w:spacing w:line="360" w:lineRule="auto"/>
        <w:ind w:firstLine="0" w:firstLineChars="0"/>
        <w:textAlignment w:val="baseline"/>
        <w:rPr>
          <w:rFonts w:ascii="宋体" w:hAnsi="宋体"/>
          <w:b/>
        </w:rPr>
      </w:pPr>
    </w:p>
    <w:p w14:paraId="7B331284">
      <w:pPr>
        <w:adjustRightInd w:val="0"/>
        <w:spacing w:line="360" w:lineRule="auto"/>
        <w:ind w:firstLine="0" w:firstLineChars="0"/>
        <w:textAlignment w:val="baseline"/>
        <w:rPr>
          <w:rFonts w:ascii="宋体" w:hAnsi="宋体"/>
          <w:b/>
        </w:rPr>
      </w:pPr>
      <w:r>
        <w:rPr>
          <w:rFonts w:hint="eastAsia" w:ascii="宋体" w:hAnsi="宋体"/>
          <w:b/>
        </w:rPr>
        <w:t>致：青海旺利欣项目咨询管理有限公司</w:t>
      </w:r>
    </w:p>
    <w:p w14:paraId="26C7CF2D">
      <w:pPr>
        <w:adjustRightInd w:val="0"/>
        <w:spacing w:line="360" w:lineRule="auto"/>
        <w:ind w:firstLine="480"/>
        <w:textAlignment w:val="baseline"/>
        <w:rPr>
          <w:rFonts w:ascii="宋体" w:hAnsi="宋体"/>
        </w:rPr>
      </w:pPr>
    </w:p>
    <w:p w14:paraId="6AACC393">
      <w:pPr>
        <w:adjustRightInd w:val="0"/>
        <w:spacing w:line="360" w:lineRule="auto"/>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磋商文件，经研究，法定代表人（姓名、职务）正式授权（委托代理人姓名、职务）代表投标供应商（投标供应商名称、地址）提交磋商响应文件。    </w:t>
      </w:r>
    </w:p>
    <w:p w14:paraId="62EDE0FD">
      <w:pPr>
        <w:adjustRightInd w:val="0"/>
        <w:spacing w:line="360" w:lineRule="auto"/>
        <w:ind w:firstLine="424" w:firstLineChars="177"/>
        <w:textAlignment w:val="baseline"/>
        <w:rPr>
          <w:rFonts w:ascii="宋体" w:hAnsi="宋体"/>
        </w:rPr>
      </w:pPr>
      <w:r>
        <w:rPr>
          <w:rFonts w:hint="eastAsia" w:ascii="宋体" w:hAnsi="宋体"/>
        </w:rPr>
        <w:t>据此函，签字代表宣布同意如下：</w:t>
      </w:r>
    </w:p>
    <w:p w14:paraId="395488BD">
      <w:pPr>
        <w:adjustRightInd w:val="0"/>
        <w:spacing w:line="360" w:lineRule="auto"/>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76612B96">
      <w:pPr>
        <w:adjustRightInd w:val="0"/>
        <w:spacing w:line="360" w:lineRule="auto"/>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个日历日内有效。如果在规定的磋商时间后，我方在磋商有效期内撤回投标或成交后不签约的，磋商保证金将被贵方没收。</w:t>
      </w:r>
    </w:p>
    <w:p w14:paraId="778D94E3">
      <w:pPr>
        <w:adjustRightInd w:val="0"/>
        <w:spacing w:line="360" w:lineRule="auto"/>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5751C6E6">
      <w:pPr>
        <w:adjustRightInd w:val="0"/>
        <w:spacing w:line="360" w:lineRule="auto"/>
        <w:ind w:firstLine="424" w:firstLineChars="177"/>
        <w:textAlignment w:val="baseline"/>
        <w:rPr>
          <w:rFonts w:ascii="宋体" w:hAnsi="宋体"/>
        </w:rPr>
      </w:pPr>
      <w:r>
        <w:rPr>
          <w:rFonts w:hint="eastAsia" w:ascii="宋体" w:hAnsi="宋体"/>
        </w:rPr>
        <w:t>4、与本磋商有关的一切正式往来通讯请寄：</w:t>
      </w:r>
    </w:p>
    <w:p w14:paraId="30FB894F">
      <w:pPr>
        <w:adjustRightInd w:val="0"/>
        <w:spacing w:line="360" w:lineRule="auto"/>
        <w:ind w:firstLine="424" w:firstLineChars="177"/>
        <w:textAlignment w:val="baseline"/>
        <w:rPr>
          <w:rFonts w:ascii="宋体" w:hAnsi="宋体"/>
        </w:rPr>
      </w:pPr>
      <w:r>
        <w:rPr>
          <w:rFonts w:hint="eastAsia" w:ascii="宋体" w:hAnsi="宋体"/>
        </w:rPr>
        <w:t>地址：_______________   邮编：______________</w:t>
      </w:r>
    </w:p>
    <w:p w14:paraId="1D0AA3AD">
      <w:pPr>
        <w:adjustRightInd w:val="0"/>
        <w:spacing w:line="360" w:lineRule="auto"/>
        <w:ind w:firstLine="424" w:firstLineChars="177"/>
        <w:textAlignment w:val="baseline"/>
        <w:rPr>
          <w:rFonts w:ascii="宋体" w:hAnsi="宋体"/>
        </w:rPr>
      </w:pPr>
      <w:r>
        <w:rPr>
          <w:rFonts w:hint="eastAsia" w:ascii="宋体" w:hAnsi="宋体"/>
        </w:rPr>
        <w:t>电话：_______________   传真：______________</w:t>
      </w:r>
    </w:p>
    <w:p w14:paraId="080F52EE">
      <w:pPr>
        <w:adjustRightInd w:val="0"/>
        <w:spacing w:line="360" w:lineRule="auto"/>
        <w:ind w:firstLine="424" w:firstLineChars="177"/>
        <w:textAlignment w:val="baseline"/>
        <w:rPr>
          <w:rFonts w:ascii="宋体" w:hAnsi="宋体"/>
        </w:rPr>
      </w:pPr>
      <w:r>
        <w:rPr>
          <w:rFonts w:hint="eastAsia" w:ascii="宋体" w:hAnsi="宋体"/>
        </w:rPr>
        <w:t>法定代表人姓名： ___________ 职务：____________</w:t>
      </w:r>
    </w:p>
    <w:p w14:paraId="6CE1FED9">
      <w:pPr>
        <w:adjustRightInd w:val="0"/>
        <w:spacing w:line="360" w:lineRule="auto"/>
        <w:ind w:firstLine="480"/>
        <w:textAlignment w:val="baseline"/>
        <w:rPr>
          <w:rFonts w:ascii="宋体" w:hAnsi="宋体"/>
        </w:rPr>
      </w:pPr>
    </w:p>
    <w:p w14:paraId="1A4BF7D9">
      <w:pPr>
        <w:spacing w:line="360" w:lineRule="auto"/>
        <w:ind w:firstLine="480"/>
        <w:jc w:val="center"/>
        <w:rPr>
          <w:rFonts w:ascii="宋体" w:hAnsi="宋体"/>
        </w:rPr>
      </w:pPr>
    </w:p>
    <w:p w14:paraId="3200DCAE">
      <w:pPr>
        <w:spacing w:line="360" w:lineRule="auto"/>
        <w:ind w:firstLine="0" w:firstLineChars="0"/>
        <w:rPr>
          <w:rFonts w:ascii="宋体" w:hAnsi="宋体"/>
          <w:sz w:val="28"/>
          <w:szCs w:val="28"/>
        </w:rPr>
      </w:pPr>
    </w:p>
    <w:p w14:paraId="6F7DA729">
      <w:pPr>
        <w:adjustRightInd w:val="0"/>
        <w:spacing w:line="360" w:lineRule="auto"/>
        <w:ind w:firstLine="0" w:firstLineChars="0"/>
        <w:textAlignment w:val="baseline"/>
        <w:rPr>
          <w:rFonts w:ascii="仿宋_GB2312" w:hAnsi="宋体" w:eastAsia="仿宋_GB2312"/>
          <w:sz w:val="28"/>
          <w:szCs w:val="28"/>
        </w:rPr>
      </w:pPr>
    </w:p>
    <w:p w14:paraId="1D9BE06D">
      <w:pPr>
        <w:spacing w:line="360" w:lineRule="auto"/>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 xml:space="preserve"> 投标供应商：</w:t>
      </w:r>
      <w:r>
        <w:rPr>
          <w:rFonts w:hint="eastAsia" w:ascii="仿宋_GB2312" w:eastAsia="仿宋_GB2312" w:cs="宋体"/>
          <w:kern w:val="0"/>
          <w:u w:val="single"/>
        </w:rPr>
        <w:t xml:space="preserve">       </w:t>
      </w:r>
      <w:r>
        <w:rPr>
          <w:rFonts w:hint="eastAsia" w:ascii="宋体" w:hAnsi="宋体"/>
          <w:b/>
        </w:rPr>
        <w:t>（公章）</w:t>
      </w:r>
    </w:p>
    <w:p w14:paraId="1E51DABB">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A5D3E05">
      <w:pPr>
        <w:spacing w:line="360" w:lineRule="auto"/>
        <w:ind w:firstLine="480"/>
        <w:jc w:val="center"/>
        <w:rPr>
          <w:b/>
        </w:rPr>
      </w:pPr>
      <w:r>
        <w:rPr>
          <w:rFonts w:hint="eastAsia"/>
        </w:rPr>
        <w:t xml:space="preserve">              </w:t>
      </w:r>
      <w:r>
        <w:rPr>
          <w:rFonts w:hint="eastAsia"/>
          <w:b/>
        </w:rPr>
        <w:t xml:space="preserve"> 年   月  日</w:t>
      </w:r>
    </w:p>
    <w:p w14:paraId="6E5023F5">
      <w:pPr>
        <w:widowControl/>
        <w:snapToGrid w:val="0"/>
        <w:spacing w:line="360" w:lineRule="auto"/>
        <w:ind w:firstLine="0" w:firstLineChars="0"/>
        <w:outlineLvl w:val="1"/>
        <w:rPr>
          <w:rFonts w:ascii="宋体"/>
          <w:b/>
          <w:sz w:val="28"/>
          <w:szCs w:val="28"/>
        </w:rPr>
      </w:pPr>
      <w:bookmarkStart w:id="545" w:name="_Toc22306_WPSOffice_Level2"/>
      <w:bookmarkStart w:id="546" w:name="_Toc22435"/>
      <w:bookmarkStart w:id="547" w:name="_Toc23627"/>
      <w:bookmarkStart w:id="548" w:name="_Toc22867"/>
      <w:r>
        <w:rPr>
          <w:rFonts w:hint="eastAsia" w:ascii="宋体"/>
          <w:b/>
          <w:sz w:val="28"/>
          <w:szCs w:val="28"/>
        </w:rPr>
        <w:t>附件</w:t>
      </w:r>
      <w:bookmarkStart w:id="549" w:name="_Toc325726038"/>
      <w:bookmarkStart w:id="550" w:name="_Toc376936769"/>
      <w:r>
        <w:rPr>
          <w:rFonts w:hint="eastAsia" w:ascii="宋体"/>
          <w:b/>
          <w:sz w:val="28"/>
          <w:szCs w:val="28"/>
        </w:rPr>
        <w:t>2：</w:t>
      </w:r>
      <w:bookmarkEnd w:id="549"/>
      <w:bookmarkEnd w:id="550"/>
      <w:r>
        <w:rPr>
          <w:rFonts w:hint="eastAsia" w:ascii="宋体"/>
          <w:b/>
          <w:sz w:val="28"/>
          <w:szCs w:val="28"/>
        </w:rPr>
        <w:t>磋商首次报价表</w:t>
      </w:r>
      <w:bookmarkEnd w:id="545"/>
      <w:bookmarkEnd w:id="546"/>
      <w:bookmarkEnd w:id="547"/>
      <w:bookmarkEnd w:id="548"/>
    </w:p>
    <w:p w14:paraId="79CC9C93">
      <w:pPr>
        <w:widowControl/>
        <w:snapToGrid w:val="0"/>
        <w:spacing w:line="360" w:lineRule="auto"/>
        <w:ind w:firstLine="0" w:firstLineChars="0"/>
        <w:jc w:val="center"/>
        <w:rPr>
          <w:rFonts w:ascii="宋体"/>
          <w:b/>
          <w:sz w:val="36"/>
          <w:szCs w:val="36"/>
        </w:rPr>
      </w:pPr>
    </w:p>
    <w:p w14:paraId="4AD59777">
      <w:pPr>
        <w:spacing w:line="360" w:lineRule="auto"/>
        <w:ind w:firstLine="2711" w:firstLineChars="750"/>
        <w:outlineLvl w:val="2"/>
        <w:rPr>
          <w:rFonts w:ascii="宋体" w:hAnsi="宋体"/>
          <w:b/>
          <w:sz w:val="36"/>
          <w:szCs w:val="36"/>
        </w:rPr>
      </w:pPr>
      <w:bookmarkStart w:id="551" w:name="_Toc16984_WPSOffice_Level3"/>
      <w:bookmarkStart w:id="552" w:name="_Toc4839"/>
      <w:bookmarkStart w:id="553" w:name="_Toc20800_WPSOffice_Level3"/>
      <w:r>
        <w:rPr>
          <w:rFonts w:hint="eastAsia" w:ascii="宋体" w:hAnsi="宋体"/>
          <w:b/>
          <w:sz w:val="36"/>
          <w:szCs w:val="36"/>
        </w:rPr>
        <w:t xml:space="preserve">     首次报价表</w:t>
      </w:r>
      <w:bookmarkEnd w:id="551"/>
      <w:bookmarkEnd w:id="552"/>
      <w:bookmarkEnd w:id="553"/>
    </w:p>
    <w:p w14:paraId="68A631AF">
      <w:pPr>
        <w:spacing w:line="360" w:lineRule="auto"/>
        <w:ind w:firstLine="2711" w:firstLineChars="750"/>
        <w:rPr>
          <w:rFonts w:ascii="宋体" w:hAnsi="宋体"/>
          <w:b/>
          <w:sz w:val="36"/>
          <w:szCs w:val="36"/>
        </w:rPr>
      </w:pPr>
    </w:p>
    <w:p w14:paraId="516CACC4">
      <w:pPr>
        <w:spacing w:line="360" w:lineRule="auto"/>
        <w:ind w:firstLine="0" w:firstLineChars="0"/>
        <w:rPr>
          <w:rFonts w:ascii="宋体" w:hAnsi="宋体"/>
          <w:b/>
        </w:rPr>
      </w:pPr>
      <w:r>
        <w:rPr>
          <w:rFonts w:hint="eastAsia" w:ascii="宋体" w:hAnsi="宋体"/>
          <w:b/>
        </w:rPr>
        <w:t xml:space="preserve">投标供应商名称：                                       </w:t>
      </w:r>
      <w:r>
        <w:rPr>
          <w:rFonts w:hint="eastAsia" w:ascii="宋体" w:hAnsi="宋体"/>
        </w:rPr>
        <w:t>单位：</w:t>
      </w:r>
      <w:r>
        <w:rPr>
          <w:rFonts w:hint="eastAsia" w:ascii="宋体" w:hAnsi="宋体"/>
          <w:bCs/>
        </w:rPr>
        <w:t>人民币(元)</w:t>
      </w:r>
    </w:p>
    <w:tbl>
      <w:tblPr>
        <w:tblStyle w:val="68"/>
        <w:tblpPr w:leftFromText="180" w:rightFromText="180" w:vertAnchor="text" w:horzAnchor="margin" w:tblpY="147"/>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0"/>
        <w:gridCol w:w="2228"/>
        <w:gridCol w:w="2454"/>
      </w:tblGrid>
      <w:tr w14:paraId="0296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170" w:type="dxa"/>
            <w:vAlign w:val="center"/>
          </w:tcPr>
          <w:p w14:paraId="532803F8">
            <w:pPr>
              <w:adjustRightInd w:val="0"/>
              <w:spacing w:line="360" w:lineRule="auto"/>
              <w:ind w:firstLine="0" w:firstLineChars="0"/>
              <w:textAlignment w:val="baseline"/>
              <w:rPr>
                <w:rFonts w:ascii="宋体" w:hAnsi="宋体"/>
                <w:b/>
              </w:rPr>
            </w:pPr>
            <w:r>
              <w:rPr>
                <w:rFonts w:hint="eastAsia" w:ascii="宋体" w:hAnsi="宋体"/>
                <w:b/>
              </w:rPr>
              <w:t>项目名称</w:t>
            </w:r>
          </w:p>
        </w:tc>
        <w:tc>
          <w:tcPr>
            <w:tcW w:w="2228" w:type="dxa"/>
            <w:vAlign w:val="center"/>
          </w:tcPr>
          <w:p w14:paraId="5800E22F">
            <w:pPr>
              <w:adjustRightInd w:val="0"/>
              <w:spacing w:line="360" w:lineRule="auto"/>
              <w:ind w:left="0" w:leftChars="0" w:firstLine="0" w:firstLineChars="0"/>
              <w:jc w:val="both"/>
              <w:textAlignment w:val="baseline"/>
              <w:rPr>
                <w:rFonts w:ascii="宋体" w:hAnsi="宋体"/>
                <w:b/>
              </w:rPr>
            </w:pPr>
            <w:r>
              <w:rPr>
                <w:rFonts w:hint="eastAsia" w:ascii="宋体" w:hAnsi="宋体"/>
                <w:b/>
              </w:rPr>
              <w:t>首次报价（元）</w:t>
            </w:r>
          </w:p>
        </w:tc>
        <w:tc>
          <w:tcPr>
            <w:tcW w:w="2454" w:type="dxa"/>
            <w:vAlign w:val="center"/>
          </w:tcPr>
          <w:p w14:paraId="1A3AFA8C">
            <w:pPr>
              <w:adjustRightInd w:val="0"/>
              <w:spacing w:line="360" w:lineRule="auto"/>
              <w:ind w:left="279" w:leftChars="16" w:hanging="241" w:hangingChars="100"/>
              <w:jc w:val="center"/>
              <w:textAlignment w:val="baseline"/>
              <w:rPr>
                <w:rFonts w:ascii="宋体" w:hAnsi="宋体"/>
                <w:b/>
              </w:rPr>
            </w:pPr>
            <w:r>
              <w:rPr>
                <w:rFonts w:hint="eastAsia" w:ascii="宋体" w:hAnsi="宋体"/>
                <w:b/>
              </w:rPr>
              <w:t>交货期</w:t>
            </w:r>
          </w:p>
        </w:tc>
      </w:tr>
      <w:tr w14:paraId="2465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170" w:type="dxa"/>
            <w:vMerge w:val="restart"/>
            <w:vAlign w:val="center"/>
          </w:tcPr>
          <w:p w14:paraId="36878A08">
            <w:pPr>
              <w:adjustRightInd w:val="0"/>
              <w:spacing w:line="360" w:lineRule="auto"/>
              <w:ind w:left="0" w:leftChars="0" w:firstLine="0" w:firstLineChars="0"/>
              <w:textAlignment w:val="baseline"/>
              <w:rPr>
                <w:rFonts w:hint="default" w:ascii="宋体" w:hAnsi="宋体" w:eastAsia="宋体"/>
                <w:b/>
                <w:bCs/>
                <w:lang w:val="en-US" w:eastAsia="zh-CN"/>
              </w:rPr>
            </w:pPr>
            <w:r>
              <w:rPr>
                <w:rFonts w:hint="eastAsia" w:ascii="宋体" w:hAnsi="宋体"/>
                <w:b/>
                <w:bCs/>
                <w:lang w:eastAsia="zh-CN"/>
              </w:rPr>
              <w:t>共和县中医院两专一中心（康复器材）采购项目</w:t>
            </w:r>
          </w:p>
        </w:tc>
        <w:tc>
          <w:tcPr>
            <w:tcW w:w="2228" w:type="dxa"/>
          </w:tcPr>
          <w:p w14:paraId="5D1C76D2">
            <w:pPr>
              <w:adjustRightInd w:val="0"/>
              <w:spacing w:line="360" w:lineRule="auto"/>
              <w:ind w:firstLine="0" w:firstLineChars="0"/>
              <w:textAlignment w:val="baseline"/>
              <w:rPr>
                <w:rFonts w:ascii="宋体" w:hAnsi="宋体"/>
                <w:b/>
              </w:rPr>
            </w:pPr>
            <w:r>
              <w:rPr>
                <w:rFonts w:hint="eastAsia" w:ascii="宋体" w:hAnsi="宋体"/>
                <w:b/>
              </w:rPr>
              <w:t>大写：</w:t>
            </w:r>
          </w:p>
        </w:tc>
        <w:tc>
          <w:tcPr>
            <w:tcW w:w="2454" w:type="dxa"/>
            <w:vMerge w:val="restart"/>
          </w:tcPr>
          <w:p w14:paraId="01F47791">
            <w:pPr>
              <w:adjustRightInd w:val="0"/>
              <w:spacing w:line="360" w:lineRule="auto"/>
              <w:ind w:firstLine="0" w:firstLineChars="0"/>
              <w:textAlignment w:val="baseline"/>
              <w:rPr>
                <w:rFonts w:ascii="宋体" w:hAnsi="宋体"/>
                <w:b/>
              </w:rPr>
            </w:pPr>
          </w:p>
        </w:tc>
      </w:tr>
      <w:tr w14:paraId="345F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170" w:type="dxa"/>
            <w:vMerge w:val="continue"/>
            <w:vAlign w:val="center"/>
          </w:tcPr>
          <w:p w14:paraId="01182A1F">
            <w:pPr>
              <w:adjustRightInd w:val="0"/>
              <w:spacing w:line="360" w:lineRule="auto"/>
              <w:ind w:firstLine="482"/>
              <w:textAlignment w:val="baseline"/>
              <w:rPr>
                <w:rFonts w:ascii="宋体" w:hAnsi="宋体"/>
                <w:b/>
                <w:bCs/>
              </w:rPr>
            </w:pPr>
          </w:p>
        </w:tc>
        <w:tc>
          <w:tcPr>
            <w:tcW w:w="2228" w:type="dxa"/>
          </w:tcPr>
          <w:p w14:paraId="4AF7D5CE">
            <w:pPr>
              <w:adjustRightInd w:val="0"/>
              <w:spacing w:line="360" w:lineRule="auto"/>
              <w:ind w:firstLine="0" w:firstLineChars="0"/>
              <w:textAlignment w:val="baseline"/>
              <w:rPr>
                <w:rFonts w:ascii="宋体" w:hAnsi="宋体"/>
                <w:b/>
              </w:rPr>
            </w:pPr>
            <w:r>
              <w:rPr>
                <w:rFonts w:hint="eastAsia" w:ascii="宋体" w:hAnsi="宋体"/>
                <w:b/>
              </w:rPr>
              <w:t>小写：</w:t>
            </w:r>
          </w:p>
        </w:tc>
        <w:tc>
          <w:tcPr>
            <w:tcW w:w="2454" w:type="dxa"/>
            <w:vMerge w:val="continue"/>
          </w:tcPr>
          <w:p w14:paraId="09C98F79">
            <w:pPr>
              <w:adjustRightInd w:val="0"/>
              <w:spacing w:line="360" w:lineRule="auto"/>
              <w:ind w:firstLine="0" w:firstLineChars="0"/>
              <w:textAlignment w:val="baseline"/>
              <w:rPr>
                <w:rFonts w:ascii="宋体" w:hAnsi="宋体"/>
                <w:b/>
              </w:rPr>
            </w:pPr>
          </w:p>
        </w:tc>
      </w:tr>
      <w:tr w14:paraId="3F7F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852" w:type="dxa"/>
            <w:gridSpan w:val="3"/>
            <w:vAlign w:val="center"/>
          </w:tcPr>
          <w:p w14:paraId="05BD4B09">
            <w:pPr>
              <w:adjustRightInd w:val="0"/>
              <w:spacing w:line="360" w:lineRule="auto"/>
              <w:ind w:firstLine="0" w:firstLineChars="0"/>
              <w:textAlignment w:val="baseline"/>
              <w:rPr>
                <w:rFonts w:ascii="宋体" w:hAnsi="宋体"/>
                <w:b/>
              </w:rPr>
            </w:pPr>
            <w:r>
              <w:rPr>
                <w:rFonts w:hint="eastAsia" w:ascii="宋体" w:hAnsi="宋体"/>
                <w:b/>
              </w:rPr>
              <w:t>最终确定的质量保证及货物承诺（优惠条件）</w:t>
            </w:r>
          </w:p>
        </w:tc>
      </w:tr>
      <w:tr w14:paraId="2400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8852" w:type="dxa"/>
            <w:gridSpan w:val="3"/>
            <w:vAlign w:val="center"/>
          </w:tcPr>
          <w:p w14:paraId="6FC16386">
            <w:pPr>
              <w:adjustRightInd w:val="0"/>
              <w:spacing w:line="360" w:lineRule="auto"/>
              <w:ind w:firstLine="0" w:firstLineChars="0"/>
              <w:textAlignment w:val="baseline"/>
              <w:rPr>
                <w:rFonts w:ascii="宋体" w:hAnsi="宋体"/>
                <w:b/>
              </w:rPr>
            </w:pPr>
          </w:p>
        </w:tc>
      </w:tr>
    </w:tbl>
    <w:p w14:paraId="09304A00">
      <w:pPr>
        <w:adjustRightInd w:val="0"/>
        <w:spacing w:line="360" w:lineRule="auto"/>
        <w:ind w:firstLine="426"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14:paraId="31225287">
      <w:pPr>
        <w:adjustRightInd w:val="0"/>
        <w:spacing w:line="360" w:lineRule="auto"/>
        <w:ind w:firstLine="904" w:firstLineChars="377"/>
        <w:textAlignment w:val="baseline"/>
        <w:rPr>
          <w:rFonts w:ascii="宋体" w:hAnsi="宋体"/>
        </w:rPr>
      </w:pPr>
      <w:r>
        <w:rPr>
          <w:rFonts w:hint="eastAsia" w:ascii="宋体" w:hAnsi="宋体"/>
        </w:rPr>
        <w:t>2、磋商报价为总报价。包括安装费、检验费、手续费、包装费、运输费、保险费、税金及其他不可预见费等全部费用。</w:t>
      </w:r>
    </w:p>
    <w:p w14:paraId="546448F8">
      <w:pPr>
        <w:adjustRightInd w:val="0"/>
        <w:spacing w:line="360" w:lineRule="auto"/>
        <w:ind w:firstLine="424" w:firstLineChars="177"/>
        <w:textAlignment w:val="baseline"/>
        <w:rPr>
          <w:rFonts w:ascii="宋体" w:hAnsi="宋体"/>
        </w:rPr>
      </w:pPr>
    </w:p>
    <w:p w14:paraId="78B0C6DB">
      <w:pPr>
        <w:adjustRightInd w:val="0"/>
        <w:spacing w:line="360" w:lineRule="auto"/>
        <w:ind w:firstLine="0" w:firstLineChars="0"/>
        <w:textAlignment w:val="baseline"/>
        <w:rPr>
          <w:rFonts w:ascii="宋体" w:hAnsi="宋体"/>
        </w:rPr>
      </w:pPr>
    </w:p>
    <w:p w14:paraId="409DA71A">
      <w:pPr>
        <w:spacing w:line="360" w:lineRule="auto"/>
        <w:ind w:firstLine="0" w:firstLineChars="0"/>
        <w:rPr>
          <w:rFonts w:ascii="宋体" w:hAnsi="宋体"/>
        </w:rPr>
      </w:pPr>
    </w:p>
    <w:p w14:paraId="26A66253">
      <w:pPr>
        <w:spacing w:line="360" w:lineRule="auto"/>
        <w:ind w:firstLine="0" w:firstLineChars="0"/>
        <w:rPr>
          <w:rFonts w:ascii="宋体" w:hAnsi="宋体"/>
        </w:rPr>
      </w:pPr>
    </w:p>
    <w:p w14:paraId="64DAC89F">
      <w:pPr>
        <w:spacing w:line="360" w:lineRule="auto"/>
        <w:ind w:firstLine="2532" w:firstLineChars="1055"/>
        <w:rPr>
          <w:rFonts w:ascii="宋体" w:hAnsi="宋体"/>
        </w:rPr>
      </w:pPr>
    </w:p>
    <w:p w14:paraId="4E3FFB53">
      <w:pPr>
        <w:spacing w:line="360" w:lineRule="auto"/>
        <w:ind w:firstLine="482"/>
        <w:jc w:val="center"/>
        <w:rPr>
          <w:rFonts w:ascii="宋体" w:hAnsi="宋体"/>
          <w:b/>
        </w:rPr>
      </w:pPr>
      <w:r>
        <w:rPr>
          <w:rFonts w:hint="eastAsia" w:ascii="宋体" w:hAnsi="宋体"/>
          <w:b/>
        </w:rPr>
        <w:t xml:space="preserve">                  投标供应商：</w:t>
      </w:r>
      <w:r>
        <w:rPr>
          <w:rFonts w:hint="eastAsia" w:ascii="仿宋_GB2312" w:eastAsia="仿宋_GB2312" w:cs="宋体"/>
          <w:kern w:val="0"/>
          <w:u w:val="single"/>
        </w:rPr>
        <w:t xml:space="preserve">                             </w:t>
      </w:r>
      <w:r>
        <w:rPr>
          <w:rFonts w:hint="eastAsia" w:ascii="宋体" w:hAnsi="宋体"/>
          <w:b/>
        </w:rPr>
        <w:t>（公章）</w:t>
      </w:r>
    </w:p>
    <w:p w14:paraId="1122B848">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698F275">
      <w:pPr>
        <w:spacing w:line="360" w:lineRule="auto"/>
        <w:ind w:firstLine="482"/>
        <w:jc w:val="center"/>
        <w:rPr>
          <w:rFonts w:ascii="宋体" w:hAnsi="宋体"/>
          <w:b/>
        </w:rPr>
      </w:pPr>
      <w:r>
        <w:rPr>
          <w:rFonts w:hint="eastAsia" w:ascii="宋体" w:hAnsi="宋体"/>
          <w:b/>
        </w:rPr>
        <w:t xml:space="preserve">             年   月  日</w:t>
      </w:r>
    </w:p>
    <w:p w14:paraId="7E602BEF">
      <w:pPr>
        <w:ind w:firstLine="560"/>
        <w:rPr>
          <w:rFonts w:ascii="宋体"/>
          <w:sz w:val="28"/>
          <w:szCs w:val="28"/>
        </w:rPr>
      </w:pPr>
      <w:bookmarkStart w:id="554" w:name="_Toc19446_WPSOffice_Level2"/>
      <w:bookmarkStart w:id="555" w:name="_Toc30278"/>
      <w:bookmarkStart w:id="556" w:name="_Toc9984"/>
      <w:bookmarkStart w:id="557" w:name="_Toc23988"/>
      <w:r>
        <w:rPr>
          <w:rFonts w:hint="eastAsia" w:ascii="宋体"/>
          <w:sz w:val="28"/>
          <w:szCs w:val="28"/>
        </w:rPr>
        <w:br w:type="page"/>
      </w:r>
    </w:p>
    <w:p w14:paraId="2540DFE1">
      <w:pPr>
        <w:pStyle w:val="64"/>
        <w:ind w:firstLine="0" w:firstLineChars="0"/>
        <w:jc w:val="left"/>
        <w:outlineLvl w:val="1"/>
        <w:rPr>
          <w:rFonts w:ascii="宋体" w:hAnsi="宋体" w:cs="Cambria"/>
          <w:sz w:val="32"/>
          <w:lang w:eastAsia="zh-CN"/>
        </w:rPr>
      </w:pPr>
      <w:r>
        <w:rPr>
          <w:rFonts w:hint="eastAsia" w:ascii="宋体" w:hAnsi="Times New Roman"/>
          <w:smallCaps w:val="0"/>
          <w:kern w:val="2"/>
          <w:sz w:val="28"/>
          <w:szCs w:val="28"/>
          <w:lang w:eastAsia="zh-CN"/>
        </w:rPr>
        <w:t>附件3</w:t>
      </w:r>
      <w:r>
        <w:rPr>
          <w:rFonts w:hint="eastAsia" w:ascii="宋体" w:hAnsi="Times New Roman"/>
          <w:smallCaps w:val="0"/>
          <w:kern w:val="2"/>
          <w:sz w:val="28"/>
          <w:szCs w:val="28"/>
          <w:lang w:val="zh-CN" w:eastAsia="zh-CN"/>
        </w:rPr>
        <w:t>：分项报价表</w:t>
      </w:r>
      <w:bookmarkEnd w:id="554"/>
      <w:bookmarkEnd w:id="555"/>
      <w:bookmarkEnd w:id="556"/>
      <w:bookmarkEnd w:id="557"/>
    </w:p>
    <w:p w14:paraId="091586C7">
      <w:pPr>
        <w:autoSpaceDE w:val="0"/>
        <w:autoSpaceDN w:val="0"/>
        <w:adjustRightInd w:val="0"/>
        <w:spacing w:line="360" w:lineRule="auto"/>
        <w:ind w:firstLine="723"/>
        <w:jc w:val="center"/>
        <w:outlineLvl w:val="2"/>
        <w:rPr>
          <w:rFonts w:ascii="宋体" w:hAnsi="Cambria" w:cs="宋体"/>
          <w:b/>
          <w:bCs/>
          <w:kern w:val="0"/>
          <w:sz w:val="36"/>
          <w:szCs w:val="36"/>
          <w:lang w:val="zh-CN"/>
        </w:rPr>
      </w:pPr>
      <w:bookmarkStart w:id="558" w:name="_Toc5299_WPSOffice_Level3"/>
      <w:bookmarkStart w:id="559" w:name="_Toc30799_WPSOffice_Level3"/>
      <w:bookmarkStart w:id="560" w:name="_Toc7794"/>
      <w:r>
        <w:rPr>
          <w:rFonts w:hint="eastAsia" w:ascii="宋体" w:hAnsi="Cambria" w:cs="宋体"/>
          <w:b/>
          <w:bCs/>
          <w:kern w:val="0"/>
          <w:sz w:val="36"/>
          <w:szCs w:val="36"/>
          <w:lang w:val="zh-CN"/>
        </w:rPr>
        <w:t>分项报价表</w:t>
      </w:r>
      <w:bookmarkEnd w:id="558"/>
      <w:bookmarkEnd w:id="559"/>
      <w:bookmarkEnd w:id="560"/>
    </w:p>
    <w:p w14:paraId="35940577">
      <w:pPr>
        <w:autoSpaceDE w:val="0"/>
        <w:autoSpaceDN w:val="0"/>
        <w:adjustRightInd w:val="0"/>
        <w:spacing w:line="360" w:lineRule="auto"/>
        <w:ind w:left="1" w:leftChars="-100" w:hanging="241" w:hangingChars="100"/>
        <w:rPr>
          <w:rFonts w:ascii="宋体" w:hAnsi="Cambria" w:cs="宋体"/>
          <w:kern w:val="0"/>
          <w:lang w:val="zh-CN"/>
        </w:rPr>
      </w:pPr>
      <w:r>
        <w:rPr>
          <w:rFonts w:hint="eastAsia" w:ascii="宋体" w:hAnsi="Cambria" w:cs="宋体"/>
          <w:b/>
          <w:bCs/>
          <w:kern w:val="0"/>
          <w:lang w:val="zh-CN"/>
        </w:rPr>
        <w:t>投标供应商名称</w:t>
      </w:r>
      <w:r>
        <w:rPr>
          <w:rFonts w:ascii="宋体" w:hAnsi="Cambria" w:cs="宋体"/>
          <w:b/>
          <w:bCs/>
          <w:kern w:val="0"/>
          <w:lang w:val="zh-CN"/>
        </w:rPr>
        <w:t xml:space="preserve">:                                   </w:t>
      </w:r>
      <w:r>
        <w:rPr>
          <w:rFonts w:hint="eastAsia" w:ascii="宋体" w:hAnsi="Cambria" w:cs="宋体"/>
          <w:b/>
          <w:bCs/>
          <w:kern w:val="0"/>
          <w:lang w:val="zh-CN"/>
        </w:rPr>
        <w:t>单位：人民币（元）</w:t>
      </w:r>
    </w:p>
    <w:tbl>
      <w:tblPr>
        <w:tblStyle w:val="68"/>
        <w:tblW w:w="9601" w:type="dxa"/>
        <w:jc w:val="center"/>
        <w:tblLayout w:type="fixed"/>
        <w:tblCellMar>
          <w:top w:w="0" w:type="dxa"/>
          <w:left w:w="28" w:type="dxa"/>
          <w:bottom w:w="0" w:type="dxa"/>
          <w:right w:w="28" w:type="dxa"/>
        </w:tblCellMar>
      </w:tblPr>
      <w:tblGrid>
        <w:gridCol w:w="609"/>
        <w:gridCol w:w="1517"/>
        <w:gridCol w:w="759"/>
        <w:gridCol w:w="1166"/>
        <w:gridCol w:w="1112"/>
        <w:gridCol w:w="903"/>
        <w:gridCol w:w="984"/>
        <w:gridCol w:w="850"/>
        <w:gridCol w:w="758"/>
        <w:gridCol w:w="943"/>
      </w:tblGrid>
      <w:tr w14:paraId="3906EEA5">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5E0DF45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B5999E5">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产品名称</w:t>
            </w:r>
          </w:p>
        </w:tc>
        <w:tc>
          <w:tcPr>
            <w:tcW w:w="759"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BC3CC4E">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品牌</w:t>
            </w:r>
          </w:p>
        </w:tc>
        <w:tc>
          <w:tcPr>
            <w:tcW w:w="11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EBF5180">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规格型号</w:t>
            </w:r>
          </w:p>
        </w:tc>
        <w:tc>
          <w:tcPr>
            <w:tcW w:w="111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2F017D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B70BF9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数量及单位</w:t>
            </w:r>
          </w:p>
        </w:tc>
        <w:tc>
          <w:tcPr>
            <w:tcW w:w="98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DA8FEC6">
            <w:pPr>
              <w:autoSpaceDE w:val="0"/>
              <w:autoSpaceDN w:val="0"/>
              <w:adjustRightInd w:val="0"/>
              <w:spacing w:before="100" w:after="100" w:line="360" w:lineRule="auto"/>
              <w:ind w:firstLine="0" w:firstLineChars="0"/>
              <w:jc w:val="center"/>
              <w:rPr>
                <w:rFonts w:hint="eastAsia" w:ascii="宋体" w:hAnsi="Cambria" w:cs="宋体"/>
                <w:kern w:val="0"/>
                <w:lang w:val="zh-CN"/>
              </w:rPr>
            </w:pPr>
            <w:r>
              <w:rPr>
                <w:rFonts w:hint="eastAsia" w:ascii="宋体" w:hAnsi="Cambria" w:cs="宋体"/>
                <w:kern w:val="0"/>
                <w:lang w:val="zh-CN"/>
              </w:rPr>
              <w:t>单价</w:t>
            </w:r>
          </w:p>
          <w:p w14:paraId="47B4D57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w:t>
            </w:r>
            <w:r>
              <w:rPr>
                <w:rFonts w:hint="eastAsia" w:ascii="宋体" w:hAnsi="Cambria" w:cs="宋体"/>
                <w:kern w:val="0"/>
                <w:lang w:val="en-US" w:eastAsia="zh-CN"/>
              </w:rPr>
              <w:t>元</w:t>
            </w:r>
            <w:r>
              <w:rPr>
                <w:rFonts w:hint="eastAsia" w:ascii="宋体" w:hAnsi="Cambria" w:cs="宋体"/>
                <w:kern w:val="0"/>
                <w:lang w:val="zh-CN"/>
              </w:rPr>
              <w:t>）</w:t>
            </w:r>
          </w:p>
        </w:tc>
        <w:tc>
          <w:tcPr>
            <w:tcW w:w="85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985E5EB">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合计</w:t>
            </w:r>
          </w:p>
        </w:tc>
        <w:tc>
          <w:tcPr>
            <w:tcW w:w="758"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4E73332B">
            <w:pPr>
              <w:autoSpaceDE w:val="0"/>
              <w:autoSpaceDN w:val="0"/>
              <w:adjustRightInd w:val="0"/>
              <w:spacing w:before="100" w:after="100" w:line="360" w:lineRule="auto"/>
              <w:ind w:firstLine="0" w:firstLineChars="0"/>
              <w:jc w:val="center"/>
              <w:rPr>
                <w:rFonts w:hint="eastAsia" w:ascii="宋体" w:hAnsi="Cambria" w:eastAsia="宋体" w:cs="宋体"/>
                <w:kern w:val="0"/>
                <w:lang w:val="en-US" w:eastAsia="zh-CN"/>
              </w:rPr>
            </w:pPr>
            <w:r>
              <w:rPr>
                <w:rFonts w:hint="eastAsia" w:ascii="宋体" w:hAnsi="Cambria" w:cs="宋体"/>
                <w:kern w:val="0"/>
                <w:lang w:val="en-US" w:eastAsia="zh-CN"/>
              </w:rPr>
              <w:t>产地</w:t>
            </w:r>
          </w:p>
        </w:tc>
        <w:tc>
          <w:tcPr>
            <w:tcW w:w="94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4EFE1D2D">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免费质保期</w:t>
            </w:r>
          </w:p>
        </w:tc>
      </w:tr>
      <w:tr w14:paraId="31B2C556">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9E28D23">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B28B8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FDF33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87FD2B">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EE926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50BA5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499EE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87323B">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C761FAE">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6934E19">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6689700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5E4FFE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C9DFA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9475C4">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9B172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71AFB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7B69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DC22D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ABF65B">
            <w:pPr>
              <w:autoSpaceDE w:val="0"/>
              <w:autoSpaceDN w:val="0"/>
              <w:adjustRightInd w:val="0"/>
              <w:spacing w:before="100" w:after="100" w:line="360" w:lineRule="auto"/>
              <w:ind w:firstLine="440"/>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CD80F4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2B2CE14">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107E8C5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49EFBE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D81906">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5C32B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7D359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60E32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0D22BF">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06F2F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C312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3E235B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E193F0F">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5B3C8B6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296D4A1">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458CAF">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4D955A">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CE369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933E66">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432D7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3C179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0A110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887BD48">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FC57B5E">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64EA5EB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B250CF1">
            <w:pPr>
              <w:autoSpaceDE w:val="0"/>
              <w:autoSpaceDN w:val="0"/>
              <w:adjustRightInd w:val="0"/>
              <w:spacing w:before="100" w:after="100" w:line="360" w:lineRule="auto"/>
              <w:ind w:firstLine="0" w:firstLineChars="0"/>
              <w:rPr>
                <w:rFonts w:ascii="宋体" w:hAnsi="Cambria" w:cs="宋体"/>
                <w:kern w:val="0"/>
                <w:sz w:val="22"/>
                <w:szCs w:val="22"/>
                <w:lang w:val="zh-CN"/>
              </w:rPr>
            </w:pPr>
            <w:r>
              <w:rPr>
                <w:rFonts w:hint="eastAsia" w:ascii="宋体" w:hAnsi="Cambria" w:cs="宋体"/>
                <w:kern w:val="0"/>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3CB87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54C5C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0B909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9FE8E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D67E1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20894">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032E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1D188B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7A4BDBE">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4064CBB1">
        <w:tblPrEx>
          <w:tblCellMar>
            <w:top w:w="0" w:type="dxa"/>
            <w:left w:w="28" w:type="dxa"/>
            <w:bottom w:w="0" w:type="dxa"/>
            <w:right w:w="28" w:type="dxa"/>
          </w:tblCellMar>
        </w:tblPrEx>
        <w:trPr>
          <w:trHeight w:val="1067" w:hRule="atLeast"/>
          <w:jc w:val="center"/>
        </w:trPr>
        <w:tc>
          <w:tcPr>
            <w:tcW w:w="9601" w:type="dxa"/>
            <w:gridSpan w:val="10"/>
            <w:tcBorders>
              <w:top w:val="single" w:color="000000" w:sz="6" w:space="0"/>
              <w:left w:val="single" w:color="000000" w:sz="8" w:space="0"/>
              <w:bottom w:val="single" w:color="000000" w:sz="6" w:space="0"/>
              <w:right w:val="single" w:color="000000" w:sz="8" w:space="0"/>
            </w:tcBorders>
            <w:shd w:val="clear" w:color="000000" w:fill="FFFFFF"/>
            <w:vAlign w:val="center"/>
          </w:tcPr>
          <w:p w14:paraId="0250D91E">
            <w:pPr>
              <w:autoSpaceDE w:val="0"/>
              <w:autoSpaceDN w:val="0"/>
              <w:adjustRightInd w:val="0"/>
              <w:spacing w:before="100" w:after="100" w:line="360" w:lineRule="auto"/>
              <w:ind w:left="0" w:leftChars="0" w:firstLine="0" w:firstLineChars="0"/>
              <w:jc w:val="left"/>
              <w:rPr>
                <w:rFonts w:ascii="宋体" w:hAnsi="Cambria" w:cs="宋体"/>
                <w:kern w:val="0"/>
                <w:lang w:val="zh-CN"/>
              </w:rPr>
            </w:pPr>
            <w:r>
              <w:rPr>
                <w:rFonts w:hint="eastAsia" w:ascii="宋体" w:hAnsi="Cambria" w:cs="宋体"/>
                <w:kern w:val="0"/>
                <w:lang w:val="zh-CN"/>
              </w:rPr>
              <w:t>优惠承诺及其他：</w:t>
            </w:r>
          </w:p>
          <w:p w14:paraId="64854F07">
            <w:pPr>
              <w:autoSpaceDE w:val="0"/>
              <w:autoSpaceDN w:val="0"/>
              <w:adjustRightInd w:val="0"/>
              <w:spacing w:before="100" w:after="100" w:line="360" w:lineRule="auto"/>
              <w:ind w:firstLine="440"/>
              <w:jc w:val="left"/>
              <w:rPr>
                <w:rFonts w:ascii="宋体" w:hAnsi="Cambria" w:cs="宋体"/>
                <w:kern w:val="0"/>
                <w:sz w:val="22"/>
                <w:szCs w:val="22"/>
                <w:lang w:val="zh-CN"/>
              </w:rPr>
            </w:pPr>
          </w:p>
        </w:tc>
      </w:tr>
      <w:tr w14:paraId="1A25CAE2">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7AF63AF6">
            <w:pPr>
              <w:autoSpaceDE w:val="0"/>
              <w:autoSpaceDN w:val="0"/>
              <w:adjustRightInd w:val="0"/>
              <w:spacing w:before="100" w:after="100" w:line="360" w:lineRule="auto"/>
              <w:ind w:left="0" w:leftChars="0" w:firstLine="0" w:firstLineChars="0"/>
              <w:jc w:val="left"/>
              <w:rPr>
                <w:rFonts w:ascii="宋体" w:hAnsi="Cambria" w:cs="宋体"/>
                <w:kern w:val="0"/>
                <w:sz w:val="22"/>
                <w:szCs w:val="22"/>
                <w:lang w:val="zh-CN"/>
              </w:rPr>
            </w:pPr>
            <w:r>
              <w:rPr>
                <w:rFonts w:hint="eastAsia" w:ascii="宋体" w:hAnsi="Cambria" w:cs="宋体"/>
                <w:kern w:val="0"/>
                <w:lang w:val="zh-CN"/>
              </w:rPr>
              <w:t>投标总价（</w:t>
            </w:r>
            <w:r>
              <w:rPr>
                <w:rFonts w:hint="eastAsia" w:ascii="宋体" w:hAnsi="Cambria" w:cs="宋体"/>
                <w:kern w:val="0"/>
                <w:lang w:val="en-US" w:eastAsia="zh-CN"/>
              </w:rPr>
              <w:t>元</w:t>
            </w:r>
            <w:r>
              <w:rPr>
                <w:rFonts w:hint="eastAsia" w:ascii="宋体" w:hAnsi="Cambria" w:cs="宋体"/>
                <w:kern w:val="0"/>
                <w:lang w:val="zh-CN"/>
              </w:rPr>
              <w:t>）</w:t>
            </w:r>
          </w:p>
        </w:tc>
        <w:tc>
          <w:tcPr>
            <w:tcW w:w="7475" w:type="dxa"/>
            <w:gridSpan w:val="8"/>
            <w:tcBorders>
              <w:top w:val="single" w:color="000000" w:sz="6" w:space="0"/>
              <w:left w:val="single" w:color="000000" w:sz="6" w:space="0"/>
              <w:bottom w:val="single" w:color="000000" w:sz="8" w:space="0"/>
              <w:right w:val="single" w:color="000000" w:sz="8" w:space="0"/>
            </w:tcBorders>
            <w:shd w:val="clear" w:color="000000" w:fill="FFFFFF"/>
            <w:vAlign w:val="center"/>
          </w:tcPr>
          <w:p w14:paraId="50023722">
            <w:pPr>
              <w:autoSpaceDE w:val="0"/>
              <w:autoSpaceDN w:val="0"/>
              <w:adjustRightInd w:val="0"/>
              <w:spacing w:line="360" w:lineRule="auto"/>
              <w:ind w:firstLine="480"/>
              <w:jc w:val="left"/>
              <w:rPr>
                <w:rFonts w:ascii="宋体" w:hAnsi="Cambria" w:cs="宋体"/>
                <w:kern w:val="0"/>
                <w:lang w:val="zh-CN"/>
              </w:rPr>
            </w:pPr>
            <w:r>
              <w:rPr>
                <w:rFonts w:hint="eastAsia" w:ascii="宋体" w:hAnsi="Cambria" w:cs="宋体"/>
                <w:kern w:val="0"/>
                <w:lang w:val="zh-CN"/>
              </w:rPr>
              <w:t>大写：</w:t>
            </w:r>
          </w:p>
          <w:p w14:paraId="35D62A97">
            <w:pPr>
              <w:autoSpaceDE w:val="0"/>
              <w:autoSpaceDN w:val="0"/>
              <w:adjustRightInd w:val="0"/>
              <w:spacing w:line="360" w:lineRule="auto"/>
              <w:ind w:firstLine="480"/>
              <w:jc w:val="left"/>
              <w:rPr>
                <w:rFonts w:ascii="宋体" w:hAnsi="Cambria" w:cs="宋体"/>
                <w:kern w:val="0"/>
                <w:sz w:val="22"/>
                <w:szCs w:val="22"/>
                <w:lang w:val="zh-CN"/>
              </w:rPr>
            </w:pPr>
            <w:r>
              <w:rPr>
                <w:rFonts w:hint="eastAsia" w:ascii="宋体" w:hAnsi="Cambria" w:cs="宋体"/>
                <w:kern w:val="0"/>
                <w:lang w:val="zh-CN"/>
              </w:rPr>
              <w:t>小写：</w:t>
            </w:r>
          </w:p>
        </w:tc>
      </w:tr>
    </w:tbl>
    <w:p w14:paraId="32819814">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p>
    <w:p w14:paraId="51DF59AC">
      <w:pPr>
        <w:autoSpaceDE w:val="0"/>
        <w:autoSpaceDN w:val="0"/>
        <w:adjustRightInd w:val="0"/>
        <w:spacing w:line="360" w:lineRule="auto"/>
        <w:ind w:left="-240" w:leftChars="-100" w:firstLine="0" w:firstLineChars="0"/>
        <w:rPr>
          <w:rFonts w:ascii="宋体" w:hAnsi="Cambria" w:cs="宋体"/>
          <w:kern w:val="0"/>
          <w:lang w:val="zh-CN"/>
        </w:rPr>
      </w:pPr>
      <w:r>
        <w:rPr>
          <w:rFonts w:hint="eastAsia" w:ascii="宋体" w:hAnsi="Cambria" w:cs="宋体"/>
          <w:kern w:val="0"/>
          <w:lang w:val="zh-CN"/>
        </w:rPr>
        <w:t>注：本表应依照采购一览表中的产品序号按顺序逐项填写，不得遗漏。</w:t>
      </w:r>
    </w:p>
    <w:p w14:paraId="210C94A1">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736EFDC7">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175E6C86">
      <w:pPr>
        <w:autoSpaceDE w:val="0"/>
        <w:autoSpaceDN w:val="0"/>
        <w:adjustRightInd w:val="0"/>
        <w:spacing w:line="360" w:lineRule="auto"/>
        <w:ind w:firstLine="2891" w:firstLineChars="1200"/>
        <w:rPr>
          <w:rFonts w:ascii="宋体" w:hAnsi="Cambria" w:cs="宋体"/>
          <w:b/>
          <w:bCs/>
          <w:kern w:val="0"/>
          <w:lang w:val="zh-CN"/>
        </w:rPr>
      </w:pPr>
      <w:r>
        <w:rPr>
          <w:rFonts w:hint="eastAsia" w:ascii="宋体" w:hAnsi="Cambria" w:cs="宋体"/>
          <w:b/>
          <w:bCs/>
          <w:kern w:val="0"/>
          <w:lang w:val="zh-CN"/>
        </w:rPr>
        <w:t>投标供应商：</w:t>
      </w:r>
      <w:r>
        <w:rPr>
          <w:rFonts w:ascii="宋体" w:hAnsi="Cambria" w:cs="宋体"/>
          <w:b/>
          <w:bCs/>
          <w:kern w:val="0"/>
          <w:lang w:val="zh-CN"/>
        </w:rPr>
        <w:t xml:space="preserve"> </w:t>
      </w:r>
      <w:r>
        <w:rPr>
          <w:rFonts w:ascii="宋体" w:hAnsi="Cambria" w:cs="宋体"/>
          <w:b/>
          <w:bCs/>
          <w:kern w:val="0"/>
          <w:u w:val="single"/>
          <w:lang w:val="zh-CN"/>
        </w:rPr>
        <w:t xml:space="preserve">     </w:t>
      </w:r>
      <w:r>
        <w:rPr>
          <w:rFonts w:hint="eastAsia" w:ascii="宋体" w:hAnsi="Cambria" w:cs="宋体"/>
          <w:b/>
          <w:bCs/>
          <w:kern w:val="0"/>
          <w:u w:val="single"/>
        </w:rPr>
        <w:t xml:space="preserve">             </w:t>
      </w:r>
      <w:r>
        <w:rPr>
          <w:rFonts w:ascii="宋体" w:hAnsi="Cambria" w:cs="宋体"/>
          <w:b/>
          <w:bCs/>
          <w:kern w:val="0"/>
          <w:u w:val="single"/>
          <w:lang w:val="zh-CN"/>
        </w:rPr>
        <w:t xml:space="preserve">       </w:t>
      </w:r>
      <w:r>
        <w:rPr>
          <w:rFonts w:hint="eastAsia" w:ascii="宋体" w:hAnsi="Cambria" w:cs="宋体"/>
          <w:b/>
          <w:bCs/>
          <w:kern w:val="0"/>
          <w:lang w:val="zh-CN"/>
        </w:rPr>
        <w:t>（公章）</w:t>
      </w:r>
    </w:p>
    <w:p w14:paraId="4253C5D3">
      <w:pPr>
        <w:autoSpaceDE w:val="0"/>
        <w:autoSpaceDN w:val="0"/>
        <w:adjustRightInd w:val="0"/>
        <w:spacing w:line="360" w:lineRule="auto"/>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u w:val="single"/>
          <w:lang w:val="zh-CN"/>
        </w:rPr>
        <w:t xml:space="preserve">    </w:t>
      </w:r>
      <w:r>
        <w:rPr>
          <w:rFonts w:hint="eastAsia" w:ascii="宋体" w:hAnsi="宋体"/>
          <w:b/>
        </w:rPr>
        <w:t>（签字或盖章）</w:t>
      </w:r>
    </w:p>
    <w:p w14:paraId="2B858999">
      <w:pPr>
        <w:autoSpaceDE w:val="0"/>
        <w:autoSpaceDN w:val="0"/>
        <w:adjustRightInd w:val="0"/>
        <w:spacing w:line="360" w:lineRule="auto"/>
        <w:ind w:firstLine="482"/>
        <w:rPr>
          <w:rFonts w:ascii="宋体" w:hAnsi="Cambria" w:cs="宋体"/>
          <w:kern w:val="0"/>
          <w:lang w:val="zh-CN"/>
        </w:rPr>
      </w:pPr>
      <w:r>
        <w:rPr>
          <w:rFonts w:ascii="宋体" w:hAnsi="Cambria" w:cs="宋体"/>
          <w:b/>
          <w:bCs/>
          <w:kern w:val="0"/>
          <w:lang w:val="zh-CN"/>
        </w:rPr>
        <w:t xml:space="preserve">                                         </w:t>
      </w:r>
      <w:r>
        <w:rPr>
          <w:rFonts w:hint="eastAsia" w:ascii="宋体" w:hAnsi="Cambria" w:cs="宋体"/>
          <w:b/>
          <w:bCs/>
          <w:kern w:val="0"/>
          <w:lang w:val="zh-CN"/>
        </w:rPr>
        <w:t>年</w:t>
      </w:r>
      <w:r>
        <w:rPr>
          <w:rFonts w:ascii="宋体" w:hAnsi="Cambria" w:cs="宋体"/>
          <w:b/>
          <w:bCs/>
          <w:kern w:val="0"/>
          <w:lang w:val="zh-CN"/>
        </w:rPr>
        <w:t xml:space="preserve">   </w:t>
      </w:r>
      <w:r>
        <w:rPr>
          <w:rFonts w:hint="eastAsia" w:ascii="宋体" w:hAnsi="Cambria" w:cs="宋体"/>
          <w:b/>
          <w:bCs/>
          <w:kern w:val="0"/>
          <w:lang w:val="zh-CN"/>
        </w:rPr>
        <w:t>月</w:t>
      </w:r>
      <w:r>
        <w:rPr>
          <w:rFonts w:ascii="宋体" w:hAnsi="Cambria" w:cs="宋体"/>
          <w:b/>
          <w:bCs/>
          <w:kern w:val="0"/>
          <w:lang w:val="zh-CN"/>
        </w:rPr>
        <w:t xml:space="preserve">   </w:t>
      </w:r>
      <w:r>
        <w:rPr>
          <w:rFonts w:hint="eastAsia" w:ascii="宋体" w:hAnsi="Cambria" w:cs="宋体"/>
          <w:b/>
          <w:bCs/>
          <w:kern w:val="0"/>
          <w:lang w:val="zh-CN"/>
        </w:rPr>
        <w:t>日</w:t>
      </w:r>
    </w:p>
    <w:p w14:paraId="6911A557">
      <w:pPr>
        <w:pStyle w:val="64"/>
        <w:ind w:firstLine="0" w:firstLineChars="0"/>
        <w:jc w:val="left"/>
        <w:outlineLvl w:val="1"/>
        <w:rPr>
          <w:rFonts w:ascii="宋体" w:hAnsi="宋体" w:cs="Cambria"/>
          <w:sz w:val="32"/>
          <w:lang w:eastAsia="zh-CN"/>
        </w:rPr>
      </w:pPr>
      <w:r>
        <w:rPr>
          <w:sz w:val="24"/>
          <w:lang w:val="zh-CN" w:eastAsia="zh-CN"/>
        </w:rPr>
        <w:br w:type="page"/>
      </w:r>
      <w:bookmarkStart w:id="561" w:name="_Toc22215_WPSOffice_Level2"/>
      <w:bookmarkStart w:id="562" w:name="_Toc29689"/>
      <w:bookmarkStart w:id="563" w:name="_Toc29650"/>
      <w:bookmarkStart w:id="564" w:name="_Toc25081"/>
      <w:r>
        <w:rPr>
          <w:rFonts w:hint="eastAsia" w:ascii="宋体" w:hAnsi="Times New Roman"/>
          <w:smallCaps w:val="0"/>
          <w:kern w:val="2"/>
          <w:sz w:val="28"/>
          <w:szCs w:val="28"/>
          <w:lang w:eastAsia="zh-CN"/>
        </w:rPr>
        <w:t>附件4</w:t>
      </w:r>
      <w:r>
        <w:rPr>
          <w:rFonts w:hint="eastAsia" w:ascii="宋体" w:hAnsi="Times New Roman"/>
          <w:smallCaps w:val="0"/>
          <w:kern w:val="2"/>
          <w:sz w:val="28"/>
          <w:szCs w:val="28"/>
          <w:lang w:val="zh-CN" w:eastAsia="zh-CN"/>
        </w:rPr>
        <w:t>：技术规格响应表</w:t>
      </w:r>
      <w:bookmarkEnd w:id="561"/>
      <w:bookmarkEnd w:id="562"/>
      <w:bookmarkEnd w:id="563"/>
      <w:bookmarkEnd w:id="564"/>
    </w:p>
    <w:p w14:paraId="1D5CAD3B">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4AE84C75">
      <w:pPr>
        <w:autoSpaceDE w:val="0"/>
        <w:autoSpaceDN w:val="0"/>
        <w:adjustRightInd w:val="0"/>
        <w:spacing w:line="360" w:lineRule="auto"/>
        <w:ind w:firstLine="723"/>
        <w:jc w:val="center"/>
        <w:outlineLvl w:val="2"/>
        <w:rPr>
          <w:rFonts w:ascii="宋体" w:hAnsi="Cambria" w:cs="宋体"/>
          <w:b/>
          <w:bCs/>
          <w:kern w:val="0"/>
          <w:sz w:val="36"/>
          <w:szCs w:val="36"/>
          <w:lang w:val="zh-CN"/>
        </w:rPr>
      </w:pPr>
      <w:bookmarkStart w:id="565" w:name="_Toc29139_WPSOffice_Level3"/>
      <w:bookmarkStart w:id="566" w:name="_Toc31377"/>
      <w:bookmarkStart w:id="567" w:name="_Toc9732_WPSOffice_Level3"/>
      <w:r>
        <w:rPr>
          <w:rFonts w:hint="eastAsia" w:ascii="宋体" w:hAnsi="Cambria" w:cs="宋体"/>
          <w:b/>
          <w:bCs/>
          <w:kern w:val="0"/>
          <w:sz w:val="36"/>
          <w:szCs w:val="36"/>
          <w:lang w:val="zh-CN"/>
        </w:rPr>
        <w:t>技术规格响应表</w:t>
      </w:r>
      <w:bookmarkEnd w:id="565"/>
      <w:bookmarkEnd w:id="566"/>
      <w:bookmarkEnd w:id="567"/>
    </w:p>
    <w:p w14:paraId="45F7FF3E">
      <w:pPr>
        <w:autoSpaceDE w:val="0"/>
        <w:autoSpaceDN w:val="0"/>
        <w:adjustRightInd w:val="0"/>
        <w:spacing w:line="360" w:lineRule="auto"/>
        <w:ind w:left="1" w:leftChars="-100" w:hanging="241" w:hangingChars="100"/>
        <w:rPr>
          <w:rFonts w:ascii="宋体" w:hAnsi="Cambria" w:cs="宋体"/>
          <w:b/>
          <w:bCs/>
          <w:kern w:val="0"/>
          <w:lang w:val="zh-CN"/>
        </w:rPr>
      </w:pPr>
      <w:r>
        <w:rPr>
          <w:rFonts w:hint="eastAsia" w:ascii="宋体" w:hAnsi="Cambria" w:cs="宋体"/>
          <w:b/>
          <w:bCs/>
          <w:kern w:val="0"/>
          <w:lang w:val="zh-CN"/>
        </w:rPr>
        <w:t>投标供应商名称</w:t>
      </w:r>
      <w:r>
        <w:rPr>
          <w:rFonts w:ascii="宋体" w:hAnsi="Cambria" w:cs="宋体"/>
          <w:b/>
          <w:bCs/>
          <w:kern w:val="0"/>
          <w:lang w:val="zh-CN"/>
        </w:rPr>
        <w:t>:</w:t>
      </w:r>
    </w:p>
    <w:tbl>
      <w:tblPr>
        <w:tblStyle w:val="68"/>
        <w:tblW w:w="9283" w:type="dxa"/>
        <w:jc w:val="center"/>
        <w:tblLayout w:type="fixed"/>
        <w:tblCellMar>
          <w:top w:w="0" w:type="dxa"/>
          <w:left w:w="28" w:type="dxa"/>
          <w:bottom w:w="0" w:type="dxa"/>
          <w:right w:w="28" w:type="dxa"/>
        </w:tblCellMar>
      </w:tblPr>
      <w:tblGrid>
        <w:gridCol w:w="640"/>
        <w:gridCol w:w="705"/>
        <w:gridCol w:w="1857"/>
        <w:gridCol w:w="669"/>
        <w:gridCol w:w="668"/>
        <w:gridCol w:w="1121"/>
        <w:gridCol w:w="1875"/>
        <w:gridCol w:w="775"/>
        <w:gridCol w:w="973"/>
      </w:tblGrid>
      <w:tr w14:paraId="6C3A6ABF">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tcPr>
          <w:p w14:paraId="0634239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3231"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3A6FFA96">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采购需求技术参数、指标</w:t>
            </w:r>
          </w:p>
        </w:tc>
        <w:tc>
          <w:tcPr>
            <w:tcW w:w="4439"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5652F09A">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投标产品技术参数、指标</w:t>
            </w:r>
          </w:p>
        </w:tc>
        <w:tc>
          <w:tcPr>
            <w:tcW w:w="97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6658B6">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偏离</w:t>
            </w:r>
          </w:p>
        </w:tc>
      </w:tr>
      <w:tr w14:paraId="4070DC20">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tcPr>
          <w:p w14:paraId="67121EEB">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序号</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B72333">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名称</w:t>
            </w:r>
          </w:p>
        </w:tc>
        <w:tc>
          <w:tcPr>
            <w:tcW w:w="18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2246E7">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148A64">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1DBCCA">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名称</w:t>
            </w:r>
          </w:p>
        </w:tc>
        <w:tc>
          <w:tcPr>
            <w:tcW w:w="112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DECB0D">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规格型号、产地</w:t>
            </w:r>
          </w:p>
        </w:tc>
        <w:tc>
          <w:tcPr>
            <w:tcW w:w="1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F15081">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技术参数及配置</w:t>
            </w:r>
          </w:p>
        </w:tc>
        <w:tc>
          <w:tcPr>
            <w:tcW w:w="7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3EAFAE">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w:t>
            </w: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4E9AAF72">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r>
      <w:tr w14:paraId="364C81F2">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57A0EB">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1</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295AA4E7">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6705266B">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1865742">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1C397E0D">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2C05DE7C">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21853306">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3EA3112D">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6D23067C">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r>
      <w:tr w14:paraId="18AD83ED">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3CD2CC">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2</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1F496E48">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122312A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7119B6E">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50A0489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41CE61F7">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24F91E9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27E470CE">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05A69E09">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7CEB152E">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FE899D">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3</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22CFB388">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6065ED9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15C7B55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202804FD">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289E654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625A023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0A4E68F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4987356C">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403FD39D">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3036BE">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4</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72FE5DFF">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1B0BDB5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2BD730B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6C93BAF2">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5F3CE4A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1BF7586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3663121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64DA9178">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60CF87BF">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2EF931">
            <w:pPr>
              <w:autoSpaceDE w:val="0"/>
              <w:autoSpaceDN w:val="0"/>
              <w:adjustRightInd w:val="0"/>
              <w:spacing w:before="40" w:after="40" w:line="360" w:lineRule="auto"/>
              <w:ind w:firstLine="0" w:firstLineChars="0"/>
              <w:rPr>
                <w:rFonts w:ascii="宋体" w:hAnsi="Cambria" w:cs="宋体"/>
                <w:kern w:val="0"/>
                <w:sz w:val="22"/>
                <w:szCs w:val="22"/>
                <w:lang w:val="zh-CN"/>
              </w:rPr>
            </w:pPr>
            <w:r>
              <w:rPr>
                <w:rFonts w:hint="eastAsia" w:ascii="宋体" w:hAnsi="Cambria" w:cs="宋体"/>
                <w:kern w:val="0"/>
                <w:lang w:val="zh-CN"/>
              </w:rPr>
              <w:t>…</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166AE57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286D34B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508722EF">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61F3FF8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79EED34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524D95C6">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54E2140C">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1E57145E">
            <w:pPr>
              <w:autoSpaceDE w:val="0"/>
              <w:autoSpaceDN w:val="0"/>
              <w:adjustRightInd w:val="0"/>
              <w:spacing w:before="40" w:after="40" w:line="360" w:lineRule="auto"/>
              <w:ind w:firstLine="440"/>
              <w:jc w:val="center"/>
              <w:rPr>
                <w:rFonts w:ascii="宋体" w:hAnsi="Cambria" w:cs="宋体"/>
                <w:kern w:val="0"/>
                <w:sz w:val="22"/>
                <w:szCs w:val="22"/>
                <w:lang w:val="zh-CN"/>
              </w:rPr>
            </w:pPr>
          </w:p>
        </w:tc>
      </w:tr>
    </w:tbl>
    <w:p w14:paraId="3E93C84B">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本表应按照每包采购一览表中产品序号的指标逐项填写，不得遗漏。</w:t>
      </w:r>
    </w:p>
    <w:p w14:paraId="4098F611">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2.</w:t>
      </w:r>
      <w:r>
        <w:rPr>
          <w:rFonts w:hint="eastAsia" w:ascii="宋体" w:hAnsi="Cambria" w:cs="宋体"/>
          <w:kern w:val="0"/>
          <w:lang w:val="zh-CN"/>
        </w:rPr>
        <w:t>“投标产品技术参数、指标”必须与投标文件中提供的产品检测报告、彩页等证明材料的实质性响应情况相一致。</w:t>
      </w:r>
    </w:p>
    <w:p w14:paraId="07292D48">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3. </w:t>
      </w:r>
      <w:r>
        <w:rPr>
          <w:rFonts w:hint="eastAsia" w:ascii="宋体" w:hAnsi="Cambria" w:cs="宋体"/>
          <w:kern w:val="0"/>
          <w:lang w:val="zh-CN"/>
        </w:rPr>
        <w:t>投标供应商响应采购需求应具体、明确，应以招标项目参数要求为基本投标要求，对超出或不满足招标项目参数要求的指标需列出“</w:t>
      </w:r>
      <w:r>
        <w:rPr>
          <w:rFonts w:ascii="宋体" w:hAnsi="Cambria" w:cs="宋体"/>
          <w:kern w:val="0"/>
          <w:lang w:val="zh-CN"/>
        </w:rPr>
        <w:t>+</w:t>
      </w:r>
      <w:r>
        <w:rPr>
          <w:rFonts w:hint="eastAsia" w:ascii="宋体" w:hAnsi="Cambria" w:cs="宋体"/>
          <w:kern w:val="0"/>
          <w:lang w:val="zh-CN"/>
        </w:rPr>
        <w:t>、-”偏差，并做出详细说明；如果只注明“</w:t>
      </w:r>
      <w:r>
        <w:rPr>
          <w:rFonts w:ascii="宋体" w:hAnsi="Cambria" w:cs="宋体"/>
          <w:kern w:val="0"/>
          <w:lang w:val="zh-CN"/>
        </w:rPr>
        <w:t>+</w:t>
      </w:r>
      <w:r>
        <w:rPr>
          <w:rFonts w:hint="eastAsia" w:ascii="宋体" w:hAnsi="Cambria" w:cs="宋体"/>
          <w:kern w:val="0"/>
          <w:lang w:val="zh-CN"/>
        </w:rPr>
        <w:t>”、“-”或未填写，将视为该项指标不响应。</w:t>
      </w:r>
    </w:p>
    <w:p w14:paraId="7DD073D7">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4. </w:t>
      </w:r>
      <w:r>
        <w:rPr>
          <w:rFonts w:hint="eastAsia" w:ascii="宋体" w:hAnsi="Cambria" w:cs="宋体"/>
          <w:kern w:val="0"/>
          <w:lang w:val="zh-CN"/>
        </w:rPr>
        <w:t>投标供应商应按投标产品实际情况填写，不得照抄、复制磋商文件技术参数要求。</w:t>
      </w:r>
    </w:p>
    <w:p w14:paraId="5C7A12E8">
      <w:pPr>
        <w:autoSpaceDE w:val="0"/>
        <w:autoSpaceDN w:val="0"/>
        <w:adjustRightInd w:val="0"/>
        <w:spacing w:line="360" w:lineRule="auto"/>
        <w:ind w:firstLine="480"/>
        <w:rPr>
          <w:rFonts w:ascii="宋体" w:hAnsi="Cambria" w:cs="宋体"/>
          <w:b/>
          <w:bCs/>
          <w:kern w:val="0"/>
          <w:lang w:val="zh-CN"/>
        </w:rPr>
      </w:pPr>
      <w:r>
        <w:rPr>
          <w:rFonts w:ascii="宋体" w:hAnsi="Cambria" w:cs="宋体"/>
          <w:kern w:val="0"/>
          <w:lang w:val="zh-CN"/>
        </w:rPr>
        <w:t xml:space="preserve">5. </w:t>
      </w:r>
      <w:r>
        <w:rPr>
          <w:rFonts w:hint="eastAsia" w:ascii="宋体" w:hAnsi="Cambria" w:cs="宋体"/>
          <w:kern w:val="0"/>
          <w:lang w:val="zh-CN"/>
        </w:rPr>
        <w:t>投标供应商响应采购需求应具体、明确，含糊不清、不确切或伪造、编造证明材料的，按照实质性不响应处理。对伪造、编造证明材料的，将报送采购监管部门查处。</w:t>
      </w:r>
    </w:p>
    <w:p w14:paraId="0687B3D4">
      <w:pPr>
        <w:autoSpaceDE w:val="0"/>
        <w:autoSpaceDN w:val="0"/>
        <w:adjustRightInd w:val="0"/>
        <w:spacing w:line="360" w:lineRule="auto"/>
        <w:ind w:firstLine="4453" w:firstLineChars="1848"/>
        <w:rPr>
          <w:rFonts w:ascii="宋体" w:hAnsi="Cambria" w:cs="宋体"/>
          <w:b/>
          <w:bCs/>
          <w:kern w:val="0"/>
          <w:lang w:val="zh-CN"/>
        </w:rPr>
      </w:pPr>
    </w:p>
    <w:p w14:paraId="75F20C79">
      <w:pPr>
        <w:autoSpaceDE w:val="0"/>
        <w:autoSpaceDN w:val="0"/>
        <w:adjustRightInd w:val="0"/>
        <w:spacing w:line="360" w:lineRule="auto"/>
        <w:ind w:firstLine="2891" w:firstLineChars="1200"/>
        <w:rPr>
          <w:rFonts w:ascii="宋体" w:hAnsi="Cambria" w:cs="宋体"/>
          <w:b/>
          <w:bCs/>
          <w:kern w:val="0"/>
          <w:lang w:val="zh-CN"/>
        </w:rPr>
      </w:pPr>
      <w:r>
        <w:rPr>
          <w:rFonts w:hint="eastAsia" w:ascii="宋体" w:hAnsi="Cambria" w:cs="宋体"/>
          <w:b/>
          <w:bCs/>
          <w:kern w:val="0"/>
          <w:lang w:val="zh-CN"/>
        </w:rPr>
        <w:t>投标供应商：</w:t>
      </w:r>
      <w:r>
        <w:rPr>
          <w:rFonts w:ascii="宋体" w:hAnsi="Cambria" w:cs="宋体"/>
          <w:b/>
          <w:bCs/>
          <w:kern w:val="0"/>
          <w:u w:val="single"/>
          <w:lang w:val="zh-CN"/>
        </w:rPr>
        <w:t xml:space="preserve">        </w:t>
      </w:r>
      <w:r>
        <w:rPr>
          <w:rFonts w:hint="eastAsia" w:ascii="宋体" w:hAnsi="Cambria" w:cs="宋体"/>
          <w:b/>
          <w:bCs/>
          <w:kern w:val="0"/>
          <w:u w:val="single"/>
        </w:rPr>
        <w:t xml:space="preserve">                 </w:t>
      </w:r>
      <w:r>
        <w:rPr>
          <w:rFonts w:ascii="宋体" w:hAnsi="Cambria" w:cs="宋体"/>
          <w:b/>
          <w:bCs/>
          <w:kern w:val="0"/>
          <w:u w:val="single"/>
          <w:lang w:val="zh-CN"/>
        </w:rPr>
        <w:t xml:space="preserve">   </w:t>
      </w:r>
      <w:r>
        <w:rPr>
          <w:rFonts w:hint="eastAsia" w:ascii="宋体" w:hAnsi="Cambria" w:cs="宋体"/>
          <w:b/>
          <w:bCs/>
          <w:kern w:val="0"/>
          <w:lang w:val="zh-CN"/>
        </w:rPr>
        <w:t>（公章）</w:t>
      </w:r>
    </w:p>
    <w:p w14:paraId="73498D8B">
      <w:pPr>
        <w:autoSpaceDE w:val="0"/>
        <w:autoSpaceDN w:val="0"/>
        <w:adjustRightInd w:val="0"/>
        <w:spacing w:line="360" w:lineRule="auto"/>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u w:val="single"/>
          <w:lang w:val="zh-CN"/>
        </w:rPr>
        <w:t xml:space="preserve">  </w:t>
      </w:r>
      <w:r>
        <w:rPr>
          <w:rFonts w:hint="eastAsia" w:ascii="宋体" w:hAnsi="宋体"/>
          <w:b/>
        </w:rPr>
        <w:t>（签字或盖章）</w:t>
      </w:r>
    </w:p>
    <w:p w14:paraId="23AD3B7C">
      <w:pPr>
        <w:autoSpaceDE w:val="0"/>
        <w:autoSpaceDN w:val="0"/>
        <w:adjustRightInd w:val="0"/>
        <w:spacing w:line="360" w:lineRule="auto"/>
        <w:ind w:firstLine="482"/>
        <w:rPr>
          <w:rFonts w:ascii="宋体" w:hAnsi="Cambria" w:cs="宋体"/>
          <w:kern w:val="0"/>
          <w:lang w:val="zh-CN"/>
        </w:rPr>
      </w:pPr>
      <w:r>
        <w:rPr>
          <w:rFonts w:ascii="宋体" w:hAnsi="Cambria" w:cs="宋体"/>
          <w:b/>
          <w:bCs/>
          <w:kern w:val="0"/>
          <w:lang w:val="zh-CN"/>
        </w:rPr>
        <w:t xml:space="preserve">                                         </w:t>
      </w:r>
      <w:r>
        <w:rPr>
          <w:rFonts w:hint="eastAsia" w:ascii="宋体" w:hAnsi="Cambria" w:cs="宋体"/>
          <w:b/>
          <w:bCs/>
          <w:kern w:val="0"/>
          <w:lang w:val="zh-CN"/>
        </w:rPr>
        <w:t>年</w:t>
      </w:r>
      <w:r>
        <w:rPr>
          <w:rFonts w:ascii="宋体" w:hAnsi="Cambria" w:cs="宋体"/>
          <w:b/>
          <w:bCs/>
          <w:kern w:val="0"/>
          <w:lang w:val="zh-CN"/>
        </w:rPr>
        <w:t xml:space="preserve">   </w:t>
      </w:r>
      <w:r>
        <w:rPr>
          <w:rFonts w:hint="eastAsia" w:ascii="宋体" w:hAnsi="Cambria" w:cs="宋体"/>
          <w:b/>
          <w:bCs/>
          <w:kern w:val="0"/>
          <w:lang w:val="zh-CN"/>
        </w:rPr>
        <w:t>月</w:t>
      </w:r>
      <w:r>
        <w:rPr>
          <w:rFonts w:ascii="宋体" w:hAnsi="Cambria" w:cs="宋体"/>
          <w:b/>
          <w:bCs/>
          <w:kern w:val="0"/>
          <w:lang w:val="zh-CN"/>
        </w:rPr>
        <w:t xml:space="preserve">   </w:t>
      </w:r>
      <w:r>
        <w:rPr>
          <w:rFonts w:hint="eastAsia" w:ascii="宋体" w:hAnsi="Cambria" w:cs="宋体"/>
          <w:b/>
          <w:bCs/>
          <w:kern w:val="0"/>
          <w:lang w:val="zh-CN"/>
        </w:rPr>
        <w:t>日</w:t>
      </w:r>
    </w:p>
    <w:p w14:paraId="5097410F">
      <w:pPr>
        <w:pStyle w:val="55"/>
        <w:spacing w:line="360" w:lineRule="auto"/>
        <w:ind w:firstLine="0" w:firstLineChars="0"/>
        <w:outlineLvl w:val="1"/>
        <w:rPr>
          <w:rFonts w:ascii="宋体"/>
          <w:b/>
          <w:smallCaps w:val="0"/>
          <w:sz w:val="28"/>
          <w:szCs w:val="28"/>
          <w:lang w:val="zh-CN"/>
        </w:rPr>
      </w:pPr>
      <w:bookmarkStart w:id="568" w:name="_Toc9713"/>
      <w:bookmarkStart w:id="569" w:name="_Toc28339"/>
      <w:bookmarkStart w:id="570" w:name="_Toc30926_WPSOffice_Level2"/>
      <w:r>
        <w:rPr>
          <w:rFonts w:hint="eastAsia" w:ascii="宋体"/>
          <w:b/>
          <w:smallCaps w:val="0"/>
          <w:sz w:val="28"/>
          <w:szCs w:val="28"/>
          <w:lang w:val="zh-CN"/>
        </w:rPr>
        <w:t>附件</w:t>
      </w:r>
      <w:bookmarkStart w:id="571" w:name="_Toc376936774"/>
      <w:bookmarkStart w:id="572" w:name="_Toc325726043"/>
      <w:bookmarkStart w:id="573" w:name="_Toc376936773"/>
      <w:bookmarkStart w:id="574" w:name="_Toc325726042"/>
      <w:r>
        <w:rPr>
          <w:rFonts w:hint="eastAsia" w:ascii="宋体"/>
          <w:b/>
          <w:smallCaps w:val="0"/>
          <w:sz w:val="28"/>
          <w:szCs w:val="28"/>
        </w:rPr>
        <w:t>5</w:t>
      </w:r>
      <w:r>
        <w:rPr>
          <w:rFonts w:hint="eastAsia" w:ascii="宋体"/>
          <w:b/>
          <w:smallCaps w:val="0"/>
          <w:sz w:val="28"/>
          <w:szCs w:val="28"/>
          <w:lang w:val="zh-CN"/>
        </w:rPr>
        <w:t>：法定代表人证明书</w:t>
      </w:r>
      <w:bookmarkEnd w:id="568"/>
      <w:bookmarkEnd w:id="569"/>
      <w:bookmarkEnd w:id="570"/>
      <w:bookmarkEnd w:id="571"/>
      <w:bookmarkEnd w:id="572"/>
    </w:p>
    <w:p w14:paraId="3276FD21">
      <w:pPr>
        <w:spacing w:line="360" w:lineRule="auto"/>
        <w:ind w:firstLine="723"/>
        <w:jc w:val="center"/>
        <w:rPr>
          <w:rFonts w:ascii="宋体" w:hAnsi="宋体"/>
          <w:b/>
          <w:bCs/>
          <w:sz w:val="36"/>
          <w:szCs w:val="36"/>
        </w:rPr>
      </w:pPr>
    </w:p>
    <w:p w14:paraId="44CC4EA7">
      <w:pPr>
        <w:spacing w:line="360" w:lineRule="auto"/>
        <w:ind w:firstLine="723"/>
        <w:jc w:val="center"/>
        <w:outlineLvl w:val="2"/>
        <w:rPr>
          <w:rFonts w:ascii="宋体" w:hAnsi="宋体"/>
          <w:b/>
          <w:bCs/>
          <w:sz w:val="36"/>
          <w:szCs w:val="36"/>
        </w:rPr>
      </w:pPr>
      <w:bookmarkStart w:id="575" w:name="_Toc10313"/>
      <w:bookmarkStart w:id="576" w:name="_Toc5562_WPSOffice_Level3"/>
      <w:bookmarkStart w:id="577" w:name="_Toc32159_WPSOffice_Level3"/>
      <w:r>
        <w:rPr>
          <w:rFonts w:hint="eastAsia" w:ascii="宋体" w:hAnsi="宋体"/>
          <w:b/>
          <w:bCs/>
          <w:sz w:val="36"/>
          <w:szCs w:val="36"/>
        </w:rPr>
        <w:t>法定代表人证明书</w:t>
      </w:r>
      <w:bookmarkEnd w:id="575"/>
      <w:bookmarkEnd w:id="576"/>
      <w:bookmarkEnd w:id="577"/>
    </w:p>
    <w:p w14:paraId="102CE603">
      <w:pPr>
        <w:spacing w:line="360" w:lineRule="auto"/>
        <w:ind w:firstLine="0" w:firstLineChars="0"/>
        <w:rPr>
          <w:rFonts w:ascii="宋体" w:hAnsi="宋体"/>
          <w:b/>
          <w:bCs/>
        </w:rPr>
      </w:pPr>
    </w:p>
    <w:p w14:paraId="4D2A70B7">
      <w:pPr>
        <w:spacing w:line="360" w:lineRule="auto"/>
        <w:ind w:firstLine="0" w:firstLineChars="0"/>
        <w:rPr>
          <w:rFonts w:ascii="宋体" w:hAnsi="宋体"/>
          <w:b/>
          <w:bCs/>
        </w:rPr>
      </w:pPr>
      <w:r>
        <w:rPr>
          <w:rFonts w:hint="eastAsia" w:ascii="宋体" w:hAnsi="宋体"/>
          <w:b/>
          <w:bCs/>
        </w:rPr>
        <w:t>致：青海旺利欣项目咨询管理有限公司</w:t>
      </w:r>
    </w:p>
    <w:p w14:paraId="60BFF56C">
      <w:pPr>
        <w:autoSpaceDE w:val="0"/>
        <w:autoSpaceDN w:val="0"/>
        <w:adjustRightInd w:val="0"/>
        <w:spacing w:line="360" w:lineRule="auto"/>
        <w:ind w:firstLine="480"/>
        <w:jc w:val="left"/>
        <w:rPr>
          <w:rFonts w:ascii="宋体" w:hAnsi="宋体" w:cs="宋体"/>
          <w:kern w:val="0"/>
        </w:rPr>
      </w:pPr>
    </w:p>
    <w:p w14:paraId="26A2A866">
      <w:pPr>
        <w:autoSpaceDE w:val="0"/>
        <w:autoSpaceDN w:val="0"/>
        <w:adjustRightInd w:val="0"/>
        <w:spacing w:line="360" w:lineRule="auto"/>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C8852E7">
      <w:pPr>
        <w:autoSpaceDE w:val="0"/>
        <w:autoSpaceDN w:val="0"/>
        <w:adjustRightInd w:val="0"/>
        <w:spacing w:line="360" w:lineRule="auto"/>
        <w:ind w:firstLine="480"/>
        <w:jc w:val="left"/>
        <w:rPr>
          <w:rFonts w:ascii="宋体" w:hAnsi="宋体"/>
        </w:rPr>
      </w:pPr>
    </w:p>
    <w:p w14:paraId="2DE71683">
      <w:pPr>
        <w:autoSpaceDE w:val="0"/>
        <w:autoSpaceDN w:val="0"/>
        <w:adjustRightInd w:val="0"/>
        <w:spacing w:line="360" w:lineRule="auto"/>
        <w:ind w:firstLine="480"/>
        <w:jc w:val="left"/>
        <w:rPr>
          <w:rFonts w:ascii="宋体" w:hAnsi="宋体" w:cs="宋体"/>
          <w:kern w:val="0"/>
        </w:rPr>
      </w:pPr>
      <w:r>
        <w:rPr>
          <w:rFonts w:hint="eastAsia" w:ascii="宋体" w:hAnsi="宋体"/>
        </w:rPr>
        <w:t>法定代表人基本情况：</w:t>
      </w:r>
    </w:p>
    <w:p w14:paraId="77D8870B">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618F311F">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14:paraId="54DC473F">
      <w:pPr>
        <w:autoSpaceDE w:val="0"/>
        <w:autoSpaceDN w:val="0"/>
        <w:adjustRightInd w:val="0"/>
        <w:spacing w:line="360" w:lineRule="auto"/>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14:paraId="01FA7A7F">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附法定代表人第二代身份证双面扫描（或复印）件</w:t>
      </w:r>
    </w:p>
    <w:p w14:paraId="1DFD993D">
      <w:pPr>
        <w:autoSpaceDE w:val="0"/>
        <w:autoSpaceDN w:val="0"/>
        <w:adjustRightInd w:val="0"/>
        <w:spacing w:line="360" w:lineRule="auto"/>
        <w:ind w:firstLine="480"/>
        <w:jc w:val="left"/>
        <w:rPr>
          <w:rFonts w:ascii="宋体" w:hAnsi="宋体" w:cs="宋体"/>
          <w:kern w:val="0"/>
        </w:rPr>
      </w:pPr>
    </w:p>
    <w:p w14:paraId="7E67FBF8">
      <w:pPr>
        <w:autoSpaceDE w:val="0"/>
        <w:autoSpaceDN w:val="0"/>
        <w:adjustRightInd w:val="0"/>
        <w:spacing w:line="360" w:lineRule="auto"/>
        <w:ind w:firstLine="480"/>
        <w:jc w:val="left"/>
        <w:rPr>
          <w:rFonts w:ascii="宋体" w:hAnsi="宋体" w:cs="宋体"/>
          <w:kern w:val="0"/>
        </w:rPr>
      </w:pPr>
    </w:p>
    <w:p w14:paraId="0623DE3C">
      <w:pPr>
        <w:autoSpaceDE w:val="0"/>
        <w:autoSpaceDN w:val="0"/>
        <w:adjustRightInd w:val="0"/>
        <w:spacing w:line="360" w:lineRule="auto"/>
        <w:ind w:firstLine="480"/>
        <w:jc w:val="left"/>
        <w:rPr>
          <w:rFonts w:ascii="宋体" w:hAnsi="宋体" w:cs="宋体"/>
          <w:kern w:val="0"/>
        </w:rPr>
      </w:pPr>
    </w:p>
    <w:p w14:paraId="4CF907E6">
      <w:pPr>
        <w:autoSpaceDE w:val="0"/>
        <w:autoSpaceDN w:val="0"/>
        <w:adjustRightInd w:val="0"/>
        <w:spacing w:line="360" w:lineRule="auto"/>
        <w:ind w:firstLine="480"/>
        <w:jc w:val="left"/>
        <w:rPr>
          <w:rFonts w:ascii="宋体" w:hAnsi="宋体" w:cs="宋体"/>
          <w:kern w:val="0"/>
        </w:rPr>
      </w:pPr>
    </w:p>
    <w:p w14:paraId="197DE2EE">
      <w:pPr>
        <w:autoSpaceDE w:val="0"/>
        <w:autoSpaceDN w:val="0"/>
        <w:adjustRightInd w:val="0"/>
        <w:spacing w:line="360" w:lineRule="auto"/>
        <w:ind w:firstLine="480"/>
        <w:jc w:val="left"/>
        <w:rPr>
          <w:rFonts w:ascii="宋体" w:hAnsi="宋体" w:cs="宋体"/>
          <w:kern w:val="0"/>
        </w:rPr>
      </w:pPr>
    </w:p>
    <w:p w14:paraId="29235961">
      <w:pPr>
        <w:autoSpaceDE w:val="0"/>
        <w:autoSpaceDN w:val="0"/>
        <w:adjustRightInd w:val="0"/>
        <w:spacing w:line="360" w:lineRule="auto"/>
        <w:ind w:firstLine="480"/>
        <w:jc w:val="left"/>
        <w:rPr>
          <w:rFonts w:ascii="宋体" w:hAnsi="宋体" w:cs="宋体"/>
          <w:kern w:val="0"/>
        </w:rPr>
      </w:pPr>
    </w:p>
    <w:p w14:paraId="1BF92596">
      <w:pPr>
        <w:autoSpaceDE w:val="0"/>
        <w:autoSpaceDN w:val="0"/>
        <w:adjustRightInd w:val="0"/>
        <w:spacing w:line="360" w:lineRule="auto"/>
        <w:ind w:firstLine="480"/>
        <w:jc w:val="left"/>
        <w:rPr>
          <w:rFonts w:ascii="宋体" w:hAnsi="宋体" w:cs="宋体"/>
          <w:kern w:val="0"/>
        </w:rPr>
      </w:pPr>
    </w:p>
    <w:p w14:paraId="42516587">
      <w:pPr>
        <w:autoSpaceDE w:val="0"/>
        <w:autoSpaceDN w:val="0"/>
        <w:adjustRightInd w:val="0"/>
        <w:spacing w:line="360" w:lineRule="auto"/>
        <w:ind w:firstLine="480"/>
        <w:jc w:val="left"/>
        <w:rPr>
          <w:rFonts w:ascii="宋体" w:hAnsi="宋体" w:cs="宋体"/>
          <w:kern w:val="0"/>
        </w:rPr>
      </w:pPr>
    </w:p>
    <w:p w14:paraId="79FCBDC8">
      <w:pPr>
        <w:autoSpaceDE w:val="0"/>
        <w:autoSpaceDN w:val="0"/>
        <w:adjustRightInd w:val="0"/>
        <w:spacing w:line="360" w:lineRule="auto"/>
        <w:ind w:firstLine="0" w:firstLineChars="0"/>
        <w:jc w:val="left"/>
        <w:rPr>
          <w:rFonts w:ascii="宋体" w:hAnsi="宋体" w:cs="宋体"/>
          <w:kern w:val="0"/>
        </w:rPr>
      </w:pPr>
    </w:p>
    <w:p w14:paraId="6EAC3639">
      <w:pPr>
        <w:autoSpaceDE w:val="0"/>
        <w:autoSpaceDN w:val="0"/>
        <w:adjustRightInd w:val="0"/>
        <w:spacing w:line="360" w:lineRule="auto"/>
        <w:ind w:firstLine="480"/>
        <w:jc w:val="left"/>
        <w:rPr>
          <w:rFonts w:ascii="宋体" w:hAnsi="宋体" w:cs="宋体"/>
          <w:kern w:val="0"/>
        </w:rPr>
      </w:pPr>
    </w:p>
    <w:p w14:paraId="45059C56">
      <w:pPr>
        <w:spacing w:line="360" w:lineRule="auto"/>
        <w:ind w:firstLine="3614" w:firstLineChars="1500"/>
        <w:rPr>
          <w:rFonts w:ascii="宋体" w:hAnsi="宋体"/>
          <w:b/>
        </w:rPr>
      </w:pPr>
      <w:r>
        <w:rPr>
          <w:rFonts w:hint="eastAsia" w:ascii="宋体" w:hAnsi="宋体"/>
          <w:b/>
        </w:rPr>
        <w:t>投标供应商：</w:t>
      </w:r>
      <w:r>
        <w:rPr>
          <w:rFonts w:hint="eastAsia" w:ascii="宋体" w:hAnsi="宋体" w:cs="宋体"/>
          <w:kern w:val="0"/>
          <w:u w:val="single"/>
        </w:rPr>
        <w:t xml:space="preserve">           </w:t>
      </w:r>
      <w:r>
        <w:rPr>
          <w:rFonts w:hint="eastAsia" w:ascii="宋体" w:hAnsi="宋体"/>
          <w:b/>
        </w:rPr>
        <w:t>（公章）</w:t>
      </w:r>
    </w:p>
    <w:p w14:paraId="27A447DA">
      <w:pPr>
        <w:spacing w:line="360" w:lineRule="auto"/>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25BDF155">
      <w:pPr>
        <w:spacing w:line="360" w:lineRule="auto"/>
        <w:ind w:firstLine="482"/>
        <w:jc w:val="center"/>
        <w:rPr>
          <w:rFonts w:ascii="宋体" w:hAnsi="宋体"/>
          <w:b/>
        </w:rPr>
      </w:pPr>
      <w:r>
        <w:rPr>
          <w:rFonts w:hint="eastAsia" w:ascii="宋体" w:hAnsi="宋体"/>
          <w:b/>
        </w:rPr>
        <w:t xml:space="preserve">               年   月   日</w:t>
      </w:r>
    </w:p>
    <w:bookmarkEnd w:id="573"/>
    <w:bookmarkEnd w:id="574"/>
    <w:p w14:paraId="0B531F52">
      <w:pPr>
        <w:ind w:firstLine="562"/>
        <w:rPr>
          <w:rFonts w:ascii="宋体"/>
          <w:b/>
          <w:sz w:val="28"/>
          <w:szCs w:val="28"/>
          <w:lang w:val="zh-CN"/>
        </w:rPr>
      </w:pPr>
      <w:bookmarkStart w:id="578" w:name="_Toc324756736"/>
      <w:bookmarkStart w:id="579" w:name="_Toc201287639"/>
      <w:bookmarkStart w:id="580" w:name="_Toc3591"/>
      <w:bookmarkStart w:id="581" w:name="_Toc31630_WPSOffice_Level2"/>
      <w:bookmarkStart w:id="582" w:name="_Toc4471"/>
      <w:r>
        <w:rPr>
          <w:rFonts w:hint="eastAsia" w:ascii="宋体"/>
          <w:b/>
          <w:sz w:val="28"/>
          <w:szCs w:val="28"/>
          <w:lang w:val="zh-CN"/>
        </w:rPr>
        <w:br w:type="page"/>
      </w:r>
    </w:p>
    <w:p w14:paraId="00964824">
      <w:pPr>
        <w:pStyle w:val="55"/>
        <w:spacing w:line="360" w:lineRule="auto"/>
        <w:ind w:firstLine="0" w:firstLineChars="0"/>
        <w:outlineLvl w:val="1"/>
        <w:rPr>
          <w:rFonts w:ascii="宋体"/>
          <w:b/>
          <w:smallCaps w:val="0"/>
          <w:sz w:val="28"/>
          <w:szCs w:val="28"/>
          <w:lang w:val="zh-CN"/>
        </w:rPr>
      </w:pPr>
      <w:r>
        <w:rPr>
          <w:rFonts w:hint="eastAsia" w:ascii="宋体"/>
          <w:b/>
          <w:smallCaps w:val="0"/>
          <w:sz w:val="28"/>
          <w:szCs w:val="28"/>
          <w:lang w:val="zh-CN"/>
        </w:rPr>
        <w:t>附件</w:t>
      </w:r>
      <w:bookmarkEnd w:id="578"/>
      <w:bookmarkEnd w:id="579"/>
      <w:r>
        <w:rPr>
          <w:rFonts w:hint="eastAsia" w:ascii="宋体"/>
          <w:b/>
          <w:smallCaps w:val="0"/>
          <w:sz w:val="28"/>
          <w:szCs w:val="28"/>
        </w:rPr>
        <w:t>6</w:t>
      </w:r>
      <w:r>
        <w:rPr>
          <w:rFonts w:hint="eastAsia" w:ascii="宋体"/>
          <w:b/>
          <w:smallCaps w:val="0"/>
          <w:sz w:val="28"/>
          <w:szCs w:val="28"/>
          <w:lang w:val="zh-CN"/>
        </w:rPr>
        <w:t>：法定代表人授权书</w:t>
      </w:r>
      <w:bookmarkEnd w:id="580"/>
      <w:bookmarkEnd w:id="581"/>
      <w:bookmarkEnd w:id="582"/>
    </w:p>
    <w:p w14:paraId="4A00A4C0">
      <w:pPr>
        <w:spacing w:line="360" w:lineRule="auto"/>
        <w:ind w:firstLine="3813" w:firstLineChars="1055"/>
        <w:rPr>
          <w:rFonts w:ascii="宋体" w:hAnsi="宋体"/>
          <w:b/>
          <w:sz w:val="36"/>
          <w:szCs w:val="36"/>
        </w:rPr>
      </w:pPr>
    </w:p>
    <w:p w14:paraId="73A3AFAB">
      <w:pPr>
        <w:autoSpaceDE w:val="0"/>
        <w:autoSpaceDN w:val="0"/>
        <w:spacing w:line="360" w:lineRule="auto"/>
        <w:ind w:firstLine="562"/>
        <w:jc w:val="center"/>
        <w:outlineLvl w:val="1"/>
        <w:rPr>
          <w:rFonts w:ascii="宋体" w:hAnsi="宋体" w:cs="宋体"/>
          <w:b/>
          <w:bCs/>
          <w:color w:val="000000"/>
          <w:kern w:val="0"/>
          <w:sz w:val="36"/>
          <w:szCs w:val="36"/>
          <w:lang w:val="zh-CN"/>
        </w:rPr>
      </w:pPr>
      <w:bookmarkStart w:id="583" w:name="_Toc26604"/>
      <w:bookmarkStart w:id="584" w:name="_Toc32653_WPSOffice_Level2"/>
      <w:bookmarkStart w:id="585" w:name="_Toc25891"/>
      <w:bookmarkStart w:id="586" w:name="_Toc4307_WPSOffice_Level2"/>
      <w:r>
        <w:rPr>
          <w:rFonts w:hint="eastAsia" w:ascii="宋体" w:hAnsi="宋体" w:cs="宋体"/>
          <w:b/>
          <w:bCs/>
          <w:color w:val="000000"/>
          <w:kern w:val="0"/>
          <w:sz w:val="28"/>
          <w:szCs w:val="28"/>
          <w:lang w:val="zh-CN"/>
        </w:rPr>
        <w:t>法定代表人授权书</w:t>
      </w:r>
      <w:bookmarkEnd w:id="583"/>
      <w:bookmarkEnd w:id="584"/>
      <w:bookmarkEnd w:id="585"/>
      <w:bookmarkEnd w:id="586"/>
    </w:p>
    <w:p w14:paraId="6E5750BB">
      <w:pPr>
        <w:autoSpaceDE w:val="0"/>
        <w:autoSpaceDN w:val="0"/>
        <w:spacing w:line="360" w:lineRule="auto"/>
        <w:ind w:firstLine="562"/>
        <w:rPr>
          <w:rFonts w:ascii="宋体" w:hAnsi="宋体" w:cs="宋体"/>
          <w:b/>
          <w:bCs/>
          <w:color w:val="000000"/>
          <w:kern w:val="0"/>
          <w:sz w:val="28"/>
          <w:szCs w:val="28"/>
          <w:lang w:val="zh-CN"/>
        </w:rPr>
      </w:pPr>
    </w:p>
    <w:p w14:paraId="462C9CED">
      <w:pPr>
        <w:autoSpaceDE w:val="0"/>
        <w:autoSpaceDN w:val="0"/>
        <w:spacing w:line="360" w:lineRule="auto"/>
        <w:ind w:firstLine="482"/>
        <w:outlineLvl w:val="1"/>
        <w:rPr>
          <w:rFonts w:ascii="宋体" w:hAnsi="宋体" w:cs="宋体"/>
          <w:b/>
          <w:bCs/>
          <w:color w:val="000000"/>
          <w:kern w:val="0"/>
          <w:lang w:val="zh-CN"/>
        </w:rPr>
      </w:pPr>
      <w:bookmarkStart w:id="587" w:name="_Toc2561_WPSOffice_Level2"/>
      <w:bookmarkStart w:id="588" w:name="_Toc1167"/>
      <w:bookmarkStart w:id="589" w:name="_Toc5028"/>
      <w:bookmarkStart w:id="590" w:name="_Toc18237_WPSOffice_Level2"/>
      <w:r>
        <w:rPr>
          <w:rFonts w:hint="eastAsia" w:ascii="宋体" w:hAnsi="宋体" w:cs="宋体"/>
          <w:b/>
          <w:bCs/>
          <w:color w:val="000000"/>
          <w:kern w:val="0"/>
          <w:lang w:val="zh-CN"/>
        </w:rPr>
        <w:t>致：</w:t>
      </w:r>
      <w:bookmarkEnd w:id="587"/>
      <w:bookmarkEnd w:id="588"/>
      <w:bookmarkEnd w:id="589"/>
      <w:bookmarkEnd w:id="590"/>
      <w:r>
        <w:rPr>
          <w:rFonts w:hint="eastAsia" w:ascii="宋体" w:hAnsi="宋体" w:cs="宋体"/>
          <w:b/>
          <w:bCs/>
          <w:color w:val="000000"/>
          <w:kern w:val="0"/>
          <w:lang w:val="zh-CN"/>
        </w:rPr>
        <w:t>青海旺利欣项目咨询管理有限公司</w:t>
      </w:r>
    </w:p>
    <w:p w14:paraId="3CA1FA9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（投标供应商名称）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1D793D5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0DDBB44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136427D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2D013805">
      <w:pPr>
        <w:autoSpaceDE w:val="0"/>
        <w:autoSpaceDN w:val="0"/>
        <w:spacing w:line="360" w:lineRule="auto"/>
        <w:ind w:firstLine="480"/>
        <w:rPr>
          <w:rFonts w:ascii="宋体" w:hAnsi="宋体" w:cs="宋体"/>
          <w:color w:val="000000"/>
          <w:kern w:val="0"/>
          <w:u w:val="single"/>
        </w:rPr>
      </w:pPr>
      <w:r>
        <w:rPr>
          <w:rFonts w:hint="eastAsia" w:ascii="宋体" w:hAnsi="宋体" w:cs="宋体"/>
          <w:color w:val="000000"/>
          <w:kern w:val="0"/>
          <w:lang w:val="zh-CN"/>
        </w:rPr>
        <w:t>被授权人联系电话：</w:t>
      </w:r>
      <w:r>
        <w:rPr>
          <w:rFonts w:hint="eastAsia" w:ascii="宋体" w:hAnsi="宋体" w:cs="宋体"/>
          <w:color w:val="000000"/>
          <w:kern w:val="0"/>
          <w:u w:val="single"/>
        </w:rPr>
        <w:t xml:space="preserve">          </w:t>
      </w:r>
    </w:p>
    <w:p w14:paraId="040B21A2">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14:paraId="3567265F">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14:paraId="64DA79D9">
      <w:pPr>
        <w:autoSpaceDE w:val="0"/>
        <w:autoSpaceDN w:val="0"/>
        <w:spacing w:line="360" w:lineRule="auto"/>
        <w:ind w:firstLine="480"/>
        <w:rPr>
          <w:rFonts w:ascii="宋体" w:hAnsi="宋体" w:cs="宋体"/>
          <w:color w:val="000000"/>
          <w:kern w:val="0"/>
          <w:lang w:val="zh-CN"/>
        </w:rPr>
      </w:pPr>
    </w:p>
    <w:p w14:paraId="3D8014E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123B2FCF">
      <w:pPr>
        <w:autoSpaceDE w:val="0"/>
        <w:autoSpaceDN w:val="0"/>
        <w:spacing w:line="360" w:lineRule="auto"/>
        <w:ind w:firstLine="480"/>
        <w:rPr>
          <w:rFonts w:ascii="宋体" w:hAnsi="宋体" w:cs="宋体"/>
          <w:color w:val="000000"/>
          <w:kern w:val="0"/>
          <w:lang w:val="zh-CN"/>
        </w:rPr>
      </w:pPr>
    </w:p>
    <w:p w14:paraId="58C72226">
      <w:pPr>
        <w:autoSpaceDE w:val="0"/>
        <w:autoSpaceDN w:val="0"/>
        <w:spacing w:line="360" w:lineRule="auto"/>
        <w:ind w:firstLine="480"/>
        <w:rPr>
          <w:rFonts w:ascii="宋体" w:hAnsi="宋体" w:cs="宋体"/>
          <w:color w:val="000000"/>
          <w:kern w:val="0"/>
          <w:lang w:val="zh-CN"/>
        </w:rPr>
      </w:pPr>
    </w:p>
    <w:p w14:paraId="51358B71">
      <w:pPr>
        <w:autoSpaceDE w:val="0"/>
        <w:autoSpaceDN w:val="0"/>
        <w:spacing w:line="360" w:lineRule="auto"/>
        <w:ind w:firstLine="480"/>
        <w:rPr>
          <w:rFonts w:ascii="宋体" w:hAnsi="宋体" w:cs="宋体"/>
          <w:color w:val="000000"/>
          <w:kern w:val="0"/>
          <w:lang w:val="zh-CN"/>
        </w:rPr>
      </w:pPr>
    </w:p>
    <w:p w14:paraId="0867F881">
      <w:pPr>
        <w:autoSpaceDE w:val="0"/>
        <w:autoSpaceDN w:val="0"/>
        <w:spacing w:line="360" w:lineRule="auto"/>
        <w:ind w:firstLine="480"/>
        <w:rPr>
          <w:rFonts w:ascii="宋体" w:hAnsi="宋体" w:cs="宋体"/>
          <w:color w:val="000000"/>
          <w:kern w:val="0"/>
          <w:lang w:val="zh-CN"/>
        </w:rPr>
      </w:pPr>
    </w:p>
    <w:p w14:paraId="17E38F2B">
      <w:pPr>
        <w:autoSpaceDE w:val="0"/>
        <w:autoSpaceDN w:val="0"/>
        <w:spacing w:line="360" w:lineRule="auto"/>
        <w:ind w:firstLine="482"/>
        <w:jc w:val="center"/>
        <w:outlineLvl w:val="2"/>
        <w:rPr>
          <w:rFonts w:ascii="宋体" w:hAnsi="宋体" w:cs="宋体"/>
          <w:b/>
          <w:bCs/>
          <w:color w:val="000000"/>
          <w:kern w:val="0"/>
          <w:lang w:val="zh-CN"/>
        </w:rPr>
      </w:pPr>
      <w:bookmarkStart w:id="591" w:name="_Toc17071_WPSOffice_Level3"/>
      <w:bookmarkStart w:id="592" w:name="_Toc5889_WPSOffice_Level3"/>
      <w:bookmarkStart w:id="593" w:name="_Toc3230"/>
      <w:r>
        <w:rPr>
          <w:rFonts w:hint="eastAsia" w:ascii="宋体" w:hAnsi="宋体" w:cs="宋体"/>
          <w:b/>
          <w:bCs/>
          <w:color w:val="000000"/>
          <w:kern w:val="0"/>
          <w:lang w:val="zh-CN"/>
        </w:rPr>
        <w:t xml:space="preserve">投标供应商： </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bookmarkEnd w:id="591"/>
      <w:bookmarkEnd w:id="592"/>
      <w:bookmarkEnd w:id="593"/>
    </w:p>
    <w:p w14:paraId="3F0B1A3F">
      <w:pPr>
        <w:autoSpaceDE w:val="0"/>
        <w:autoSpaceDN w:val="0"/>
        <w:spacing w:line="360" w:lineRule="auto"/>
        <w:ind w:firstLine="482"/>
        <w:jc w:val="center"/>
        <w:outlineLvl w:val="2"/>
        <w:rPr>
          <w:rFonts w:ascii="宋体" w:hAnsi="宋体" w:cs="宋体"/>
          <w:b/>
          <w:bCs/>
          <w:color w:val="000000"/>
          <w:kern w:val="0"/>
          <w:lang w:val="zh-CN"/>
        </w:rPr>
      </w:pPr>
      <w:bookmarkStart w:id="594" w:name="_Toc952"/>
      <w:bookmarkStart w:id="595" w:name="_Toc3486_WPSOffice_Level3"/>
      <w:bookmarkStart w:id="596" w:name="_Toc3123_WPSOffice_Level3"/>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594"/>
      <w:bookmarkEnd w:id="595"/>
      <w:bookmarkEnd w:id="596"/>
    </w:p>
    <w:p w14:paraId="20A25353">
      <w:pPr>
        <w:widowControl/>
        <w:snapToGrid w:val="0"/>
        <w:spacing w:line="360" w:lineRule="auto"/>
        <w:ind w:firstLine="0" w:firstLineChars="0"/>
        <w:rPr>
          <w:rFonts w:ascii="宋体"/>
          <w:b/>
          <w:sz w:val="28"/>
          <w:szCs w:val="28"/>
        </w:rPr>
      </w:pPr>
    </w:p>
    <w:p w14:paraId="3A8F1791">
      <w:pPr>
        <w:widowControl/>
        <w:snapToGrid w:val="0"/>
        <w:spacing w:line="360" w:lineRule="auto"/>
        <w:ind w:firstLine="0" w:firstLineChars="0"/>
        <w:rPr>
          <w:rFonts w:ascii="宋体"/>
          <w:b/>
          <w:sz w:val="28"/>
          <w:szCs w:val="28"/>
        </w:rPr>
      </w:pPr>
    </w:p>
    <w:p w14:paraId="762D215C">
      <w:pPr>
        <w:widowControl/>
        <w:snapToGrid w:val="0"/>
        <w:spacing w:line="360" w:lineRule="auto"/>
        <w:ind w:firstLine="0" w:firstLineChars="0"/>
        <w:rPr>
          <w:rFonts w:ascii="宋体"/>
          <w:b/>
          <w:sz w:val="28"/>
          <w:szCs w:val="28"/>
        </w:rPr>
      </w:pPr>
    </w:p>
    <w:p w14:paraId="54DB27F7">
      <w:pPr>
        <w:widowControl/>
        <w:snapToGrid w:val="0"/>
        <w:spacing w:line="360" w:lineRule="auto"/>
        <w:ind w:firstLine="0" w:firstLineChars="0"/>
        <w:rPr>
          <w:rFonts w:ascii="宋体"/>
          <w:b/>
          <w:sz w:val="28"/>
          <w:szCs w:val="28"/>
        </w:rPr>
      </w:pPr>
    </w:p>
    <w:p w14:paraId="7C45B528">
      <w:pPr>
        <w:widowControl/>
        <w:snapToGrid w:val="0"/>
        <w:spacing w:line="360" w:lineRule="auto"/>
        <w:ind w:firstLine="0" w:firstLineChars="0"/>
        <w:rPr>
          <w:rFonts w:ascii="宋体"/>
          <w:b/>
          <w:sz w:val="28"/>
          <w:szCs w:val="28"/>
        </w:rPr>
      </w:pPr>
    </w:p>
    <w:p w14:paraId="361F9CDC">
      <w:pPr>
        <w:widowControl/>
        <w:snapToGrid w:val="0"/>
        <w:spacing w:line="360" w:lineRule="auto"/>
        <w:ind w:firstLine="0" w:firstLineChars="0"/>
        <w:outlineLvl w:val="1"/>
        <w:rPr>
          <w:rFonts w:ascii="宋体"/>
          <w:b/>
          <w:sz w:val="28"/>
          <w:szCs w:val="28"/>
        </w:rPr>
      </w:pPr>
      <w:bookmarkStart w:id="597" w:name="_Toc13577"/>
      <w:bookmarkStart w:id="598" w:name="_Toc13119"/>
      <w:bookmarkStart w:id="599" w:name="_Toc31588"/>
      <w:bookmarkStart w:id="600" w:name="_Toc31553_WPSOffice_Level2"/>
      <w:bookmarkStart w:id="601" w:name="_Toc15125"/>
      <w:r>
        <w:rPr>
          <w:rFonts w:hint="eastAsia" w:ascii="宋体"/>
          <w:b/>
          <w:sz w:val="28"/>
          <w:szCs w:val="28"/>
        </w:rPr>
        <w:t>附件7：投标供应商承诺函</w:t>
      </w:r>
      <w:bookmarkEnd w:id="597"/>
      <w:bookmarkEnd w:id="598"/>
      <w:bookmarkEnd w:id="599"/>
      <w:bookmarkEnd w:id="600"/>
      <w:bookmarkEnd w:id="601"/>
    </w:p>
    <w:p w14:paraId="6CB26EE9">
      <w:pPr>
        <w:spacing w:line="360" w:lineRule="auto"/>
        <w:ind w:firstLine="723"/>
        <w:jc w:val="center"/>
        <w:rPr>
          <w:rFonts w:ascii="宋体" w:hAnsi="宋体"/>
          <w:b/>
          <w:bCs/>
          <w:sz w:val="36"/>
          <w:szCs w:val="36"/>
        </w:rPr>
      </w:pPr>
    </w:p>
    <w:p w14:paraId="1D11C31F">
      <w:pPr>
        <w:spacing w:line="360" w:lineRule="auto"/>
        <w:ind w:firstLine="3253" w:firstLineChars="900"/>
        <w:outlineLvl w:val="2"/>
        <w:rPr>
          <w:rFonts w:ascii="宋体" w:hAnsi="宋体"/>
          <w:b/>
          <w:bCs/>
          <w:sz w:val="36"/>
          <w:szCs w:val="36"/>
        </w:rPr>
      </w:pPr>
      <w:bookmarkStart w:id="602" w:name="_Toc20463"/>
      <w:bookmarkStart w:id="603" w:name="_Toc29781_WPSOffice_Level3"/>
      <w:bookmarkStart w:id="604" w:name="_Toc25379_WPSOffice_Level3"/>
      <w:r>
        <w:rPr>
          <w:rFonts w:hint="eastAsia" w:ascii="宋体" w:hAnsi="宋体"/>
          <w:b/>
          <w:bCs/>
          <w:sz w:val="36"/>
          <w:szCs w:val="36"/>
        </w:rPr>
        <w:t>投标供应商承诺函</w:t>
      </w:r>
      <w:bookmarkEnd w:id="602"/>
      <w:bookmarkEnd w:id="603"/>
      <w:bookmarkEnd w:id="604"/>
    </w:p>
    <w:p w14:paraId="1E9D03FF">
      <w:pPr>
        <w:spacing w:line="360" w:lineRule="auto"/>
        <w:ind w:firstLine="0" w:firstLineChars="0"/>
        <w:rPr>
          <w:rFonts w:ascii="宋体" w:hAnsi="宋体"/>
          <w:b/>
          <w:bCs/>
        </w:rPr>
      </w:pPr>
    </w:p>
    <w:p w14:paraId="7A6F6951">
      <w:pPr>
        <w:spacing w:line="360" w:lineRule="auto"/>
        <w:ind w:firstLine="0" w:firstLineChars="0"/>
        <w:rPr>
          <w:rFonts w:ascii="宋体" w:hAnsi="宋体"/>
          <w:b/>
          <w:bCs/>
        </w:rPr>
      </w:pPr>
      <w:r>
        <w:rPr>
          <w:rFonts w:hint="eastAsia" w:ascii="宋体" w:hAnsi="宋体"/>
          <w:b/>
          <w:bCs/>
        </w:rPr>
        <w:t>致：青海旺利欣项目咨询管理有限公司</w:t>
      </w:r>
    </w:p>
    <w:p w14:paraId="09EE4B66">
      <w:pPr>
        <w:spacing w:line="360" w:lineRule="auto"/>
        <w:ind w:firstLine="480"/>
        <w:rPr>
          <w:rFonts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采购项目，本签字人愿意参加磋商，提供采购项目货物要求的所有货物，并证实提交的所有资料是准确的和真实的。同时，我代表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128FC0E1">
      <w:pPr>
        <w:spacing w:line="360" w:lineRule="auto"/>
        <w:ind w:firstLine="480"/>
        <w:rPr>
          <w:rFonts w:ascii="宋体" w:hAnsi="宋体"/>
        </w:rPr>
      </w:pPr>
      <w:r>
        <w:rPr>
          <w:rFonts w:hint="eastAsia" w:ascii="宋体" w:hAnsi="宋体"/>
        </w:rPr>
        <w:t xml:space="preserve">  1、完全理解和接受磋商文件的一切规定和要求；</w:t>
      </w:r>
    </w:p>
    <w:p w14:paraId="06847249">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货物。如果在合同执行过程中，发现货物质量、数量出现问题，我方一定尽快完善，并承担相应的经济责任；</w:t>
      </w:r>
    </w:p>
    <w:p w14:paraId="41F70475">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14:paraId="5BAC7AAD">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14:paraId="4E553D78">
      <w:pPr>
        <w:spacing w:line="360" w:lineRule="auto"/>
        <w:ind w:firstLine="480"/>
        <w:rPr>
          <w:rFonts w:ascii="宋体" w:hAnsi="宋体"/>
        </w:rPr>
      </w:pPr>
    </w:p>
    <w:p w14:paraId="23D984C6">
      <w:pPr>
        <w:spacing w:line="360" w:lineRule="auto"/>
        <w:ind w:firstLine="480"/>
        <w:rPr>
          <w:rFonts w:ascii="宋体" w:hAnsi="宋体"/>
        </w:rPr>
      </w:pPr>
    </w:p>
    <w:p w14:paraId="42373CDD">
      <w:pPr>
        <w:spacing w:line="360" w:lineRule="auto"/>
        <w:ind w:firstLine="480"/>
        <w:rPr>
          <w:rFonts w:ascii="宋体" w:hAnsi="宋体"/>
        </w:rPr>
      </w:pPr>
    </w:p>
    <w:p w14:paraId="7BCC73AB">
      <w:pPr>
        <w:spacing w:line="360" w:lineRule="auto"/>
        <w:ind w:firstLine="480"/>
        <w:rPr>
          <w:rFonts w:ascii="宋体" w:hAnsi="宋体"/>
        </w:rPr>
      </w:pPr>
    </w:p>
    <w:p w14:paraId="341EC5B2">
      <w:pPr>
        <w:spacing w:line="360" w:lineRule="auto"/>
        <w:ind w:firstLine="0" w:firstLineChars="0"/>
        <w:rPr>
          <w:rFonts w:ascii="宋体" w:hAnsi="宋体"/>
        </w:rPr>
      </w:pPr>
    </w:p>
    <w:p w14:paraId="6C62621B">
      <w:pPr>
        <w:spacing w:line="360" w:lineRule="auto"/>
        <w:ind w:firstLine="0" w:firstLineChars="0"/>
        <w:rPr>
          <w:rFonts w:ascii="宋体" w:hAnsi="宋体"/>
        </w:rPr>
      </w:pPr>
    </w:p>
    <w:p w14:paraId="42CB81B1">
      <w:pPr>
        <w:spacing w:line="360" w:lineRule="auto"/>
        <w:ind w:firstLine="480"/>
        <w:jc w:val="right"/>
        <w:rPr>
          <w:rFonts w:ascii="宋体" w:hAnsi="宋体"/>
        </w:rPr>
      </w:pPr>
    </w:p>
    <w:p w14:paraId="5DBCC2C4">
      <w:pPr>
        <w:spacing w:line="360" w:lineRule="auto"/>
        <w:ind w:firstLine="3132" w:firstLineChars="1300"/>
        <w:jc w:val="right"/>
        <w:rPr>
          <w:rFonts w:ascii="宋体" w:hAnsi="宋体"/>
          <w:b/>
        </w:rPr>
      </w:pPr>
      <w:r>
        <w:rPr>
          <w:rFonts w:hint="eastAsia" w:ascii="宋体" w:hAnsi="宋体"/>
          <w:b/>
        </w:rPr>
        <w:t>投标供应商：</w:t>
      </w:r>
      <w:r>
        <w:rPr>
          <w:rFonts w:hint="eastAsia" w:ascii="宋体" w:hAnsi="宋体" w:cs="宋体"/>
          <w:kern w:val="0"/>
          <w:u w:val="single"/>
        </w:rPr>
        <w:t xml:space="preserve">                         </w:t>
      </w:r>
      <w:r>
        <w:rPr>
          <w:rFonts w:hint="eastAsia" w:ascii="宋体" w:hAnsi="宋体"/>
          <w:b/>
        </w:rPr>
        <w:t>（公章）</w:t>
      </w:r>
    </w:p>
    <w:p w14:paraId="0C654979">
      <w:pPr>
        <w:spacing w:line="360" w:lineRule="auto"/>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6F5E4C91">
      <w:pPr>
        <w:spacing w:line="360" w:lineRule="auto"/>
        <w:ind w:firstLine="482"/>
        <w:jc w:val="center"/>
        <w:rPr>
          <w:rFonts w:ascii="宋体" w:hAnsi="宋体"/>
          <w:b/>
        </w:rPr>
      </w:pPr>
      <w:r>
        <w:rPr>
          <w:rFonts w:hint="eastAsia" w:ascii="宋体" w:hAnsi="宋体"/>
          <w:b/>
        </w:rPr>
        <w:t xml:space="preserve">               年   月  日</w:t>
      </w:r>
    </w:p>
    <w:p w14:paraId="247B99C8">
      <w:pPr>
        <w:ind w:firstLine="562"/>
        <w:rPr>
          <w:rFonts w:ascii="宋体"/>
          <w:b/>
          <w:sz w:val="28"/>
          <w:szCs w:val="28"/>
        </w:rPr>
      </w:pPr>
      <w:bookmarkStart w:id="605" w:name="_Toc23849"/>
      <w:bookmarkStart w:id="606" w:name="_Toc7174"/>
      <w:bookmarkStart w:id="607" w:name="_Toc5020"/>
      <w:bookmarkStart w:id="608" w:name="_Toc23201"/>
      <w:bookmarkStart w:id="609" w:name="_Toc24523_WPSOffice_Level2"/>
      <w:r>
        <w:rPr>
          <w:rFonts w:hint="eastAsia" w:ascii="宋体"/>
          <w:b/>
          <w:sz w:val="28"/>
          <w:szCs w:val="28"/>
        </w:rPr>
        <w:br w:type="page"/>
      </w:r>
    </w:p>
    <w:p w14:paraId="0F618391">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610" w:name="_Toc376936779"/>
      <w:bookmarkStart w:id="611" w:name="_Toc365019584"/>
      <w:bookmarkStart w:id="612" w:name="_Toc351475542"/>
      <w:r>
        <w:rPr>
          <w:rFonts w:hint="eastAsia" w:ascii="宋体"/>
          <w:b/>
          <w:sz w:val="28"/>
          <w:szCs w:val="28"/>
        </w:rPr>
        <w:t>8：供应商诚信承诺书</w:t>
      </w:r>
      <w:bookmarkEnd w:id="605"/>
      <w:bookmarkEnd w:id="606"/>
      <w:bookmarkEnd w:id="607"/>
      <w:bookmarkEnd w:id="608"/>
      <w:bookmarkEnd w:id="609"/>
      <w:bookmarkEnd w:id="610"/>
      <w:bookmarkEnd w:id="611"/>
      <w:bookmarkEnd w:id="612"/>
    </w:p>
    <w:p w14:paraId="76A735CB">
      <w:pPr>
        <w:widowControl/>
        <w:snapToGrid w:val="0"/>
        <w:spacing w:line="360" w:lineRule="auto"/>
        <w:ind w:firstLine="0" w:firstLineChars="0"/>
        <w:rPr>
          <w:rFonts w:ascii="宋体"/>
          <w:b/>
          <w:sz w:val="28"/>
          <w:szCs w:val="28"/>
        </w:rPr>
      </w:pPr>
    </w:p>
    <w:p w14:paraId="1681ACA6">
      <w:pPr>
        <w:spacing w:line="360" w:lineRule="auto"/>
        <w:ind w:firstLine="2729" w:firstLineChars="755"/>
        <w:outlineLvl w:val="2"/>
        <w:rPr>
          <w:rFonts w:ascii="宋体" w:hAnsi="宋体"/>
          <w:b/>
          <w:sz w:val="36"/>
          <w:szCs w:val="36"/>
        </w:rPr>
      </w:pPr>
      <w:bookmarkStart w:id="613" w:name="_Toc12430"/>
      <w:bookmarkStart w:id="614" w:name="_Toc838_WPSOffice_Level3"/>
      <w:bookmarkStart w:id="615" w:name="_Toc10929_WPSOffice_Level3"/>
      <w:r>
        <w:rPr>
          <w:rFonts w:hint="eastAsia" w:ascii="宋体" w:hAnsi="宋体"/>
          <w:b/>
          <w:sz w:val="36"/>
          <w:szCs w:val="36"/>
        </w:rPr>
        <w:t>供应商诚信承诺书</w:t>
      </w:r>
      <w:bookmarkEnd w:id="613"/>
      <w:bookmarkEnd w:id="614"/>
      <w:bookmarkEnd w:id="615"/>
    </w:p>
    <w:p w14:paraId="15E0A1B3">
      <w:pPr>
        <w:spacing w:line="360" w:lineRule="auto"/>
        <w:ind w:firstLine="2729" w:firstLineChars="755"/>
        <w:rPr>
          <w:rFonts w:ascii="宋体" w:hAnsi="宋体"/>
          <w:b/>
          <w:sz w:val="36"/>
          <w:szCs w:val="36"/>
        </w:rPr>
      </w:pPr>
    </w:p>
    <w:p w14:paraId="03B9797B">
      <w:pPr>
        <w:spacing w:after="120" w:afterLines="50" w:line="360" w:lineRule="auto"/>
        <w:ind w:firstLine="0" w:firstLineChars="0"/>
        <w:rPr>
          <w:rFonts w:ascii="宋体" w:hAnsi="宋体"/>
          <w:b/>
          <w:bCs/>
        </w:rPr>
      </w:pPr>
      <w:r>
        <w:rPr>
          <w:rFonts w:hint="eastAsia" w:ascii="宋体" w:hAnsi="宋体"/>
          <w:b/>
          <w:bCs/>
        </w:rPr>
        <w:t>致：青海旺利欣项目咨询管理有限公司</w:t>
      </w:r>
    </w:p>
    <w:p w14:paraId="6E57AA65">
      <w:pPr>
        <w:spacing w:line="360" w:lineRule="auto"/>
        <w:ind w:firstLine="480"/>
        <w:rPr>
          <w:rFonts w:ascii="宋体" w:hAnsi="宋体"/>
        </w:rPr>
      </w:pPr>
      <w:r>
        <w:rPr>
          <w:rFonts w:hint="eastAsia" w:ascii="宋体" w:hAnsi="宋体"/>
        </w:rPr>
        <w:t>为了诚实、客观、有序地参与青海省政府采购活动，愿就以下内容作出承诺：</w:t>
      </w:r>
    </w:p>
    <w:p w14:paraId="703FDB4F">
      <w:pPr>
        <w:spacing w:line="360" w:lineRule="auto"/>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41219025">
      <w:pPr>
        <w:spacing w:line="360" w:lineRule="auto"/>
        <w:ind w:firstLine="480"/>
        <w:rPr>
          <w:rFonts w:ascii="宋体" w:hAnsi="宋体"/>
        </w:rPr>
      </w:pPr>
      <w:r>
        <w:rPr>
          <w:rFonts w:hint="eastAsia" w:ascii="宋体" w:hAnsi="宋体"/>
        </w:rPr>
        <w:t>二、参加青海旺利欣项目咨询管理有限公司组织的政府采购活动时，严格按照磋商文件的规定和要求提供所需的相关材料，并对所提供的各类资料的真实性负责，不虚假应标，不虚列业绩。</w:t>
      </w:r>
    </w:p>
    <w:p w14:paraId="447C74EE">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14:paraId="6A3158BD">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14:paraId="7CC9C560">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5ADEEA3F">
      <w:pPr>
        <w:spacing w:line="360" w:lineRule="auto"/>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28250979">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07000856">
      <w:pPr>
        <w:spacing w:line="360" w:lineRule="auto"/>
        <w:ind w:firstLine="480"/>
        <w:rPr>
          <w:rFonts w:ascii="宋体" w:hAnsi="宋体"/>
        </w:rPr>
      </w:pPr>
      <w:r>
        <w:rPr>
          <w:rFonts w:hint="eastAsia" w:ascii="宋体" w:hAnsi="宋体"/>
        </w:rPr>
        <w:t>本承诺是采购项目磋商响应文件的组成部分。</w:t>
      </w:r>
    </w:p>
    <w:p w14:paraId="41C77ABA">
      <w:pPr>
        <w:spacing w:line="360" w:lineRule="auto"/>
        <w:ind w:firstLine="0" w:firstLineChars="0"/>
        <w:rPr>
          <w:rFonts w:ascii="宋体" w:hAnsi="宋体"/>
          <w:b/>
        </w:rPr>
      </w:pPr>
    </w:p>
    <w:p w14:paraId="264CCE1F">
      <w:pPr>
        <w:spacing w:line="360" w:lineRule="auto"/>
        <w:ind w:firstLine="1928" w:firstLineChars="800"/>
        <w:jc w:val="right"/>
        <w:rPr>
          <w:rFonts w:ascii="宋体" w:hAnsi="宋体"/>
          <w:b/>
        </w:rPr>
      </w:pPr>
      <w:r>
        <w:rPr>
          <w:rFonts w:hint="eastAsia" w:ascii="宋体" w:hAnsi="宋体"/>
          <w:b/>
        </w:rPr>
        <w:t>投标供应商：</w:t>
      </w:r>
      <w:r>
        <w:rPr>
          <w:rFonts w:hint="eastAsia" w:ascii="仿宋_GB2312" w:eastAsia="仿宋_GB2312" w:cs="宋体"/>
          <w:kern w:val="0"/>
          <w:sz w:val="28"/>
          <w:szCs w:val="28"/>
          <w:u w:val="single"/>
        </w:rPr>
        <w:t xml:space="preserve">                      </w:t>
      </w:r>
      <w:r>
        <w:rPr>
          <w:rFonts w:hint="eastAsia" w:ascii="宋体" w:hAnsi="宋体"/>
          <w:b/>
        </w:rPr>
        <w:t>（公章）</w:t>
      </w:r>
    </w:p>
    <w:p w14:paraId="6AF6AB87">
      <w:pPr>
        <w:spacing w:line="360" w:lineRule="auto"/>
        <w:ind w:firstLine="482"/>
        <w:jc w:val="right"/>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9A19046">
      <w:pPr>
        <w:spacing w:line="360" w:lineRule="auto"/>
        <w:ind w:firstLine="482"/>
        <w:jc w:val="center"/>
        <w:rPr>
          <w:rFonts w:ascii="宋体" w:hAnsi="宋体"/>
          <w:b/>
        </w:rPr>
      </w:pPr>
      <w:r>
        <w:rPr>
          <w:rFonts w:hint="eastAsia" w:ascii="宋体" w:hAnsi="宋体"/>
          <w:b/>
        </w:rPr>
        <w:t xml:space="preserve">              年   月  日</w:t>
      </w:r>
    </w:p>
    <w:p w14:paraId="52950D39">
      <w:pPr>
        <w:ind w:firstLine="562"/>
        <w:rPr>
          <w:rFonts w:ascii="宋体"/>
          <w:b/>
          <w:sz w:val="28"/>
          <w:szCs w:val="28"/>
        </w:rPr>
      </w:pPr>
      <w:bookmarkStart w:id="616" w:name="_Toc2979"/>
      <w:bookmarkStart w:id="617" w:name="_Toc26996_WPSOffice_Level2"/>
      <w:bookmarkStart w:id="618" w:name="_Toc28700"/>
      <w:bookmarkStart w:id="619" w:name="_Toc29742"/>
      <w:bookmarkStart w:id="620" w:name="_Toc13916"/>
      <w:r>
        <w:rPr>
          <w:rFonts w:hint="eastAsia" w:ascii="宋体"/>
          <w:b/>
          <w:sz w:val="28"/>
          <w:szCs w:val="28"/>
        </w:rPr>
        <w:br w:type="page"/>
      </w:r>
    </w:p>
    <w:p w14:paraId="1B53712A">
      <w:pPr>
        <w:widowControl/>
        <w:snapToGrid w:val="0"/>
        <w:spacing w:line="360" w:lineRule="auto"/>
        <w:ind w:firstLine="0" w:firstLineChars="0"/>
        <w:outlineLvl w:val="1"/>
        <w:rPr>
          <w:rFonts w:ascii="宋体"/>
          <w:b/>
          <w:sz w:val="28"/>
          <w:szCs w:val="28"/>
        </w:rPr>
      </w:pPr>
      <w:r>
        <w:rPr>
          <w:rFonts w:hint="eastAsia" w:ascii="宋体"/>
          <w:b/>
          <w:sz w:val="28"/>
          <w:szCs w:val="28"/>
        </w:rPr>
        <w:t>附件9：资格证明材料</w:t>
      </w:r>
      <w:bookmarkEnd w:id="616"/>
      <w:bookmarkEnd w:id="617"/>
      <w:bookmarkEnd w:id="618"/>
      <w:bookmarkEnd w:id="619"/>
      <w:bookmarkEnd w:id="620"/>
    </w:p>
    <w:p w14:paraId="6C2B13C2">
      <w:pPr>
        <w:widowControl/>
        <w:snapToGrid w:val="0"/>
        <w:spacing w:line="360" w:lineRule="auto"/>
        <w:ind w:firstLine="0" w:firstLineChars="0"/>
        <w:rPr>
          <w:rFonts w:ascii="宋体"/>
          <w:b/>
          <w:sz w:val="28"/>
          <w:szCs w:val="28"/>
        </w:rPr>
      </w:pPr>
    </w:p>
    <w:p w14:paraId="34F26734">
      <w:pPr>
        <w:spacing w:line="360" w:lineRule="auto"/>
        <w:ind w:firstLine="2729" w:firstLineChars="755"/>
        <w:outlineLvl w:val="2"/>
        <w:rPr>
          <w:rFonts w:ascii="宋体" w:hAnsi="宋体"/>
          <w:b/>
          <w:sz w:val="36"/>
          <w:szCs w:val="36"/>
        </w:rPr>
      </w:pPr>
      <w:bookmarkStart w:id="621" w:name="_Toc8906"/>
      <w:bookmarkStart w:id="622" w:name="_Toc32378_WPSOffice_Level3"/>
      <w:bookmarkStart w:id="623" w:name="_Toc28969_WPSOffice_Level3"/>
      <w:r>
        <w:rPr>
          <w:rFonts w:hint="eastAsia" w:ascii="宋体" w:hAnsi="宋体"/>
          <w:b/>
          <w:sz w:val="36"/>
          <w:szCs w:val="36"/>
        </w:rPr>
        <w:t>资格证明材料</w:t>
      </w:r>
      <w:bookmarkEnd w:id="621"/>
      <w:bookmarkEnd w:id="622"/>
      <w:bookmarkEnd w:id="623"/>
    </w:p>
    <w:p w14:paraId="4E285D1B">
      <w:pPr>
        <w:autoSpaceDE w:val="0"/>
        <w:autoSpaceDN w:val="0"/>
        <w:spacing w:line="360" w:lineRule="auto"/>
        <w:ind w:firstLine="560"/>
        <w:rPr>
          <w:rFonts w:ascii="宋体" w:hAnsi="宋体" w:cs="宋体"/>
          <w:color w:val="000000"/>
          <w:kern w:val="0"/>
          <w:sz w:val="28"/>
          <w:szCs w:val="28"/>
          <w:lang w:val="zh-CN"/>
        </w:rPr>
      </w:pPr>
    </w:p>
    <w:p w14:paraId="0978CEE8">
      <w:pPr>
        <w:spacing w:line="360" w:lineRule="auto"/>
        <w:ind w:firstLine="480"/>
        <w:rPr>
          <w:rFonts w:ascii="宋体" w:hAnsi="宋体" w:cs="宋体"/>
          <w:color w:val="000000"/>
        </w:rPr>
      </w:pPr>
      <w:r>
        <w:rPr>
          <w:rFonts w:hint="eastAsia" w:ascii="宋体" w:hAnsi="宋体" w:cs="宋体"/>
          <w:color w:val="000000"/>
        </w:rPr>
        <w:t>资格证明材料包括：</w:t>
      </w:r>
    </w:p>
    <w:p w14:paraId="5CC61A4C">
      <w:pPr>
        <w:numPr>
          <w:ilvl w:val="0"/>
          <w:numId w:val="2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59B432AA">
      <w:pPr>
        <w:spacing w:line="360" w:lineRule="auto"/>
        <w:ind w:firstLine="480"/>
        <w:rPr>
          <w:rFonts w:ascii="宋体" w:hAnsi="宋体" w:cs="宋体"/>
          <w:color w:val="000000"/>
        </w:rPr>
      </w:pPr>
      <w:r>
        <w:rPr>
          <w:rFonts w:hint="eastAsia" w:ascii="宋体" w:hAnsi="宋体" w:cs="宋体"/>
          <w:color w:val="000000"/>
        </w:rPr>
        <w:t>（2）磋商文件规定的有关资格证书、许可证书、认证等；</w:t>
      </w:r>
    </w:p>
    <w:p w14:paraId="4B83B83A">
      <w:pPr>
        <w:spacing w:line="360" w:lineRule="auto"/>
        <w:ind w:firstLine="480"/>
        <w:rPr>
          <w:rFonts w:ascii="宋体" w:hAnsi="宋体" w:cs="宋体"/>
          <w:color w:val="000000"/>
        </w:rPr>
      </w:pPr>
      <w:r>
        <w:rPr>
          <w:rFonts w:hint="eastAsia" w:ascii="宋体" w:hAnsi="宋体" w:cs="宋体"/>
          <w:color w:val="000000"/>
        </w:rPr>
        <w:t>（3）投标供应商认为有必要提供的其他资格证明文件。</w:t>
      </w:r>
    </w:p>
    <w:p w14:paraId="667FE1AF">
      <w:pPr>
        <w:widowControl/>
        <w:snapToGrid w:val="0"/>
        <w:spacing w:line="360" w:lineRule="auto"/>
        <w:ind w:firstLine="0" w:firstLineChars="0"/>
        <w:rPr>
          <w:rFonts w:ascii="宋体"/>
          <w:b/>
          <w:sz w:val="28"/>
          <w:szCs w:val="28"/>
        </w:rPr>
      </w:pPr>
    </w:p>
    <w:p w14:paraId="06E1C395">
      <w:pPr>
        <w:widowControl/>
        <w:snapToGrid w:val="0"/>
        <w:spacing w:line="360" w:lineRule="auto"/>
        <w:ind w:firstLine="0" w:firstLineChars="0"/>
        <w:rPr>
          <w:rFonts w:ascii="宋体"/>
          <w:b/>
          <w:sz w:val="28"/>
          <w:szCs w:val="28"/>
        </w:rPr>
      </w:pPr>
    </w:p>
    <w:p w14:paraId="525BADE3">
      <w:pPr>
        <w:widowControl/>
        <w:snapToGrid w:val="0"/>
        <w:spacing w:line="360" w:lineRule="auto"/>
        <w:ind w:firstLine="0" w:firstLineChars="0"/>
        <w:rPr>
          <w:rFonts w:ascii="宋体"/>
          <w:b/>
          <w:sz w:val="28"/>
          <w:szCs w:val="28"/>
        </w:rPr>
      </w:pPr>
    </w:p>
    <w:p w14:paraId="59709578">
      <w:pPr>
        <w:pStyle w:val="67"/>
        <w:rPr>
          <w:rFonts w:ascii="宋体"/>
          <w:b/>
          <w:sz w:val="28"/>
          <w:szCs w:val="28"/>
        </w:rPr>
      </w:pPr>
    </w:p>
    <w:p w14:paraId="710FE472">
      <w:pPr>
        <w:pStyle w:val="67"/>
        <w:rPr>
          <w:rFonts w:ascii="宋体"/>
          <w:b/>
          <w:sz w:val="28"/>
          <w:szCs w:val="28"/>
        </w:rPr>
      </w:pPr>
    </w:p>
    <w:p w14:paraId="66F46590">
      <w:pPr>
        <w:pStyle w:val="67"/>
        <w:rPr>
          <w:rFonts w:ascii="宋体"/>
          <w:b/>
          <w:sz w:val="28"/>
          <w:szCs w:val="28"/>
        </w:rPr>
      </w:pPr>
    </w:p>
    <w:p w14:paraId="26116431">
      <w:pPr>
        <w:widowControl/>
        <w:snapToGrid w:val="0"/>
        <w:spacing w:line="360" w:lineRule="auto"/>
        <w:ind w:firstLine="0" w:firstLineChars="0"/>
        <w:rPr>
          <w:rFonts w:ascii="宋体"/>
          <w:b/>
          <w:sz w:val="28"/>
          <w:szCs w:val="28"/>
        </w:rPr>
      </w:pPr>
    </w:p>
    <w:p w14:paraId="65BF3D4A">
      <w:pPr>
        <w:widowControl/>
        <w:snapToGrid w:val="0"/>
        <w:spacing w:line="360" w:lineRule="auto"/>
        <w:ind w:firstLine="0" w:firstLineChars="0"/>
        <w:rPr>
          <w:rFonts w:ascii="宋体"/>
          <w:b/>
          <w:sz w:val="28"/>
          <w:szCs w:val="28"/>
        </w:rPr>
      </w:pPr>
    </w:p>
    <w:p w14:paraId="4C9B3603">
      <w:pPr>
        <w:widowControl/>
        <w:snapToGrid w:val="0"/>
        <w:spacing w:line="360" w:lineRule="auto"/>
        <w:ind w:firstLine="0" w:firstLineChars="0"/>
        <w:rPr>
          <w:rFonts w:ascii="宋体"/>
          <w:b/>
          <w:sz w:val="28"/>
          <w:szCs w:val="28"/>
        </w:rPr>
      </w:pPr>
    </w:p>
    <w:p w14:paraId="6336C6B0">
      <w:pPr>
        <w:widowControl/>
        <w:snapToGrid w:val="0"/>
        <w:spacing w:line="360" w:lineRule="auto"/>
        <w:ind w:firstLine="0" w:firstLineChars="0"/>
        <w:rPr>
          <w:rFonts w:ascii="宋体"/>
          <w:b/>
          <w:sz w:val="28"/>
          <w:szCs w:val="28"/>
        </w:rPr>
      </w:pPr>
    </w:p>
    <w:p w14:paraId="28AB7A28">
      <w:pPr>
        <w:widowControl/>
        <w:snapToGrid w:val="0"/>
        <w:spacing w:line="360" w:lineRule="auto"/>
        <w:ind w:firstLine="0" w:firstLineChars="0"/>
        <w:rPr>
          <w:rFonts w:ascii="宋体"/>
          <w:b/>
          <w:sz w:val="28"/>
          <w:szCs w:val="28"/>
        </w:rPr>
      </w:pPr>
    </w:p>
    <w:p w14:paraId="2B7EDF95">
      <w:pPr>
        <w:ind w:left="0" w:leftChars="0" w:firstLine="0" w:firstLineChars="0"/>
        <w:rPr>
          <w:rFonts w:ascii="宋体"/>
          <w:b/>
          <w:sz w:val="28"/>
          <w:szCs w:val="28"/>
        </w:rPr>
      </w:pPr>
      <w:bookmarkStart w:id="624" w:name="_Toc22798"/>
      <w:bookmarkStart w:id="625" w:name="_Toc26640"/>
      <w:bookmarkStart w:id="626" w:name="_Toc12035"/>
      <w:bookmarkStart w:id="627" w:name="_Toc3441"/>
      <w:bookmarkStart w:id="628" w:name="_Toc31845_WPSOffice_Level2"/>
    </w:p>
    <w:p w14:paraId="4DC867A9">
      <w:pPr>
        <w:ind w:left="0" w:leftChars="0" w:firstLine="0" w:firstLineChars="0"/>
        <w:rPr>
          <w:rFonts w:ascii="宋体"/>
          <w:b/>
          <w:sz w:val="28"/>
          <w:szCs w:val="28"/>
        </w:rPr>
      </w:pPr>
    </w:p>
    <w:p w14:paraId="5B02FABB">
      <w:pPr>
        <w:widowControl/>
        <w:snapToGrid w:val="0"/>
        <w:spacing w:line="360" w:lineRule="auto"/>
        <w:ind w:firstLine="0" w:firstLineChars="0"/>
        <w:outlineLvl w:val="1"/>
        <w:rPr>
          <w:rFonts w:hint="eastAsia" w:ascii="宋体"/>
          <w:b/>
          <w:sz w:val="28"/>
          <w:szCs w:val="28"/>
        </w:rPr>
      </w:pPr>
    </w:p>
    <w:p w14:paraId="6C0984F0">
      <w:pPr>
        <w:widowControl/>
        <w:snapToGrid w:val="0"/>
        <w:spacing w:line="360" w:lineRule="auto"/>
        <w:ind w:firstLine="0" w:firstLineChars="0"/>
        <w:outlineLvl w:val="1"/>
        <w:rPr>
          <w:rFonts w:hint="eastAsia" w:ascii="宋体"/>
          <w:b/>
          <w:sz w:val="28"/>
          <w:szCs w:val="28"/>
        </w:rPr>
      </w:pPr>
    </w:p>
    <w:p w14:paraId="28F97201">
      <w:pPr>
        <w:widowControl/>
        <w:snapToGrid w:val="0"/>
        <w:spacing w:line="360" w:lineRule="auto"/>
        <w:ind w:firstLine="0" w:firstLineChars="0"/>
        <w:outlineLvl w:val="1"/>
        <w:rPr>
          <w:rFonts w:hint="eastAsia" w:ascii="宋体"/>
          <w:b/>
          <w:sz w:val="28"/>
          <w:szCs w:val="28"/>
        </w:rPr>
      </w:pPr>
    </w:p>
    <w:p w14:paraId="5B7B124C">
      <w:pPr>
        <w:widowControl/>
        <w:snapToGrid w:val="0"/>
        <w:spacing w:line="360" w:lineRule="auto"/>
        <w:ind w:firstLine="0" w:firstLineChars="0"/>
        <w:outlineLvl w:val="1"/>
        <w:rPr>
          <w:rFonts w:ascii="宋体"/>
          <w:b/>
          <w:sz w:val="28"/>
          <w:szCs w:val="28"/>
        </w:rPr>
      </w:pPr>
      <w:r>
        <w:rPr>
          <w:rFonts w:hint="eastAsia" w:ascii="宋体"/>
          <w:b/>
          <w:sz w:val="28"/>
          <w:szCs w:val="28"/>
        </w:rPr>
        <w:t>附件10：财务状况、缴纳税收和社会保障资金证明</w:t>
      </w:r>
      <w:bookmarkEnd w:id="624"/>
      <w:bookmarkEnd w:id="625"/>
      <w:bookmarkEnd w:id="626"/>
      <w:bookmarkEnd w:id="627"/>
      <w:bookmarkEnd w:id="628"/>
    </w:p>
    <w:p w14:paraId="152B7CC3">
      <w:pPr>
        <w:autoSpaceDE w:val="0"/>
        <w:autoSpaceDN w:val="0"/>
        <w:adjustRightInd w:val="0"/>
        <w:spacing w:line="360" w:lineRule="auto"/>
        <w:ind w:firstLine="904" w:firstLineChars="250"/>
        <w:jc w:val="center"/>
        <w:rPr>
          <w:rFonts w:ascii="宋体" w:hAnsi="宋体"/>
          <w:b/>
          <w:sz w:val="36"/>
          <w:szCs w:val="36"/>
        </w:rPr>
      </w:pPr>
    </w:p>
    <w:p w14:paraId="61A2550E">
      <w:pPr>
        <w:autoSpaceDE w:val="0"/>
        <w:autoSpaceDN w:val="0"/>
        <w:adjustRightInd w:val="0"/>
        <w:spacing w:line="360" w:lineRule="auto"/>
        <w:ind w:firstLine="904" w:firstLineChars="250"/>
        <w:outlineLvl w:val="2"/>
        <w:rPr>
          <w:rFonts w:ascii="宋体" w:hAnsi="宋体"/>
          <w:b/>
          <w:sz w:val="36"/>
          <w:szCs w:val="36"/>
        </w:rPr>
      </w:pPr>
      <w:bookmarkStart w:id="629" w:name="_Toc313"/>
      <w:bookmarkStart w:id="630" w:name="_Toc20638_WPSOffice_Level3"/>
      <w:bookmarkStart w:id="631" w:name="_Toc1626_WPSOffice_Level3"/>
      <w:r>
        <w:rPr>
          <w:rFonts w:hint="eastAsia" w:ascii="宋体" w:hAnsi="宋体"/>
          <w:b/>
          <w:sz w:val="36"/>
          <w:szCs w:val="36"/>
        </w:rPr>
        <w:t>财务状况、缴纳税收和社会保障资金证明</w:t>
      </w:r>
      <w:bookmarkEnd w:id="629"/>
      <w:bookmarkEnd w:id="630"/>
      <w:bookmarkEnd w:id="631"/>
    </w:p>
    <w:p w14:paraId="49CBBD8A">
      <w:pPr>
        <w:autoSpaceDE w:val="0"/>
        <w:autoSpaceDN w:val="0"/>
        <w:adjustRightInd w:val="0"/>
        <w:spacing w:line="360" w:lineRule="auto"/>
        <w:ind w:firstLine="904" w:firstLineChars="250"/>
        <w:jc w:val="center"/>
        <w:rPr>
          <w:rFonts w:ascii="宋体" w:hAnsi="宋体"/>
          <w:b/>
          <w:sz w:val="36"/>
          <w:szCs w:val="36"/>
        </w:rPr>
      </w:pPr>
    </w:p>
    <w:p w14:paraId="0C3D8CD3">
      <w:pPr>
        <w:autoSpaceDE w:val="0"/>
        <w:autoSpaceDN w:val="0"/>
        <w:adjustRightInd w:val="0"/>
        <w:spacing w:line="360" w:lineRule="auto"/>
        <w:ind w:firstLine="480"/>
        <w:rPr>
          <w:rFonts w:cs="宋体"/>
          <w:kern w:val="0"/>
          <w:lang w:val="zh-CN"/>
        </w:rPr>
      </w:pPr>
    </w:p>
    <w:p w14:paraId="618B511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按照磋商文件第2.2款（1）中第&lt;2&gt;条规定提供以下相关材料。</w:t>
      </w:r>
    </w:p>
    <w:p w14:paraId="6D3E9FCA">
      <w:pPr>
        <w:widowControl/>
        <w:numPr>
          <w:ilvl w:val="0"/>
          <w:numId w:val="24"/>
        </w:numPr>
        <w:spacing w:line="360" w:lineRule="auto"/>
        <w:ind w:firstLine="480"/>
        <w:jc w:val="left"/>
        <w:rPr>
          <w:rFonts w:ascii="宋体"/>
        </w:rPr>
      </w:pPr>
      <w:bookmarkStart w:id="632" w:name="_Toc15855"/>
      <w:bookmarkStart w:id="633" w:name="_Toc29145"/>
      <w:r>
        <w:rPr>
          <w:rFonts w:hint="eastAsia" w:ascii="宋体"/>
        </w:rPr>
        <w:t>供应商是法人的，提供基本开户银行</w:t>
      </w:r>
      <w:r>
        <w:rPr>
          <w:rFonts w:hint="eastAsia" w:ascii="宋体" w:hAnsi="宋体" w:cs="宋体"/>
          <w:color w:val="000000"/>
          <w:kern w:val="0"/>
        </w:rPr>
        <w:t>近三个月内</w:t>
      </w:r>
      <w:r>
        <w:rPr>
          <w:rFonts w:hint="eastAsia" w:ascii="宋体"/>
        </w:rPr>
        <w:t>出具的资信证明（同时提供基本存款账户开户许可证）或202</w:t>
      </w:r>
      <w:r>
        <w:rPr>
          <w:rFonts w:hint="eastAsia" w:ascii="宋体"/>
          <w:lang w:val="en-US" w:eastAsia="zh-CN"/>
        </w:rPr>
        <w:t>4</w:t>
      </w:r>
      <w:r>
        <w:rPr>
          <w:rFonts w:hint="eastAsia" w:ascii="宋体"/>
        </w:rPr>
        <w:t>年度经审计的完整的财务状况报告（包括资产负债表、利润表、现金流量表及其附注）；供应商是其他组织和自然人，没有经审计的财务报告，可以提供基本开户银行出具的资信证明（同时提供基本存款账户开户许可证）。</w:t>
      </w:r>
      <w:bookmarkEnd w:id="632"/>
    </w:p>
    <w:p w14:paraId="575A7C72">
      <w:pPr>
        <w:pStyle w:val="61"/>
        <w:spacing w:line="360" w:lineRule="auto"/>
        <w:ind w:firstLine="0" w:firstLineChars="0"/>
      </w:pPr>
    </w:p>
    <w:p w14:paraId="6D70A9C6">
      <w:pPr>
        <w:widowControl/>
        <w:snapToGrid w:val="0"/>
        <w:spacing w:line="360" w:lineRule="auto"/>
        <w:ind w:firstLine="480"/>
        <w:outlineLvl w:val="1"/>
        <w:rPr>
          <w:rFonts w:ascii="宋体"/>
        </w:rPr>
      </w:pPr>
      <w:bookmarkStart w:id="634" w:name="_Toc13578"/>
      <w:r>
        <w:rPr>
          <w:rFonts w:hint="eastAsia" w:ascii="宋体"/>
        </w:rPr>
        <w:t>2、</w:t>
      </w:r>
      <w:r>
        <w:rPr>
          <w:rFonts w:hint="eastAsia" w:ascii="宋体" w:hAnsi="宋体" w:cs="宋体"/>
          <w:color w:val="auto"/>
          <w:kern w:val="0"/>
        </w:rPr>
        <w:t>提供</w:t>
      </w:r>
      <w:r>
        <w:rPr>
          <w:rFonts w:hint="eastAsia" w:ascii="宋体" w:hAnsi="宋体" w:cs="宋体"/>
          <w:color w:val="auto"/>
          <w:kern w:val="0"/>
          <w:lang w:val="zh-CN"/>
        </w:rPr>
        <w:t>近半年内任意</w:t>
      </w:r>
      <w:r>
        <w:rPr>
          <w:rFonts w:hint="eastAsia" w:ascii="宋体"/>
          <w:color w:val="auto"/>
          <w:lang w:val="en-US" w:eastAsia="zh-CN"/>
        </w:rPr>
        <w:t>一</w:t>
      </w:r>
      <w:r>
        <w:rPr>
          <w:rFonts w:hint="eastAsia" w:ascii="宋体"/>
          <w:color w:val="auto"/>
          <w:lang w:val="zh-CN"/>
        </w:rPr>
        <w:t>个月的依法缴纳</w:t>
      </w:r>
      <w:r>
        <w:rPr>
          <w:rFonts w:hint="eastAsia" w:ascii="宋体"/>
          <w:lang w:val="zh-CN"/>
        </w:rPr>
        <w:t>税收和社会保障资金记录的证明材料；</w:t>
      </w:r>
      <w:r>
        <w:rPr>
          <w:rFonts w:hint="eastAsia" w:ascii="宋体"/>
        </w:rPr>
        <w:t>依法免税或不需要缴纳社会保障资金的供应商，应提供相应文件证明其依法免税或不需要缴纳社会保障资金；成立不足三个月的新公司无需提供依法缴纳税收和社会保障资金记录的证明材料（提供情况说明即可，格式自拟）。</w:t>
      </w:r>
      <w:bookmarkEnd w:id="634"/>
    </w:p>
    <w:p w14:paraId="467763A6">
      <w:pPr>
        <w:widowControl/>
        <w:snapToGrid w:val="0"/>
        <w:spacing w:line="360" w:lineRule="auto"/>
        <w:ind w:firstLine="0" w:firstLineChars="0"/>
        <w:rPr>
          <w:rFonts w:ascii="宋体"/>
          <w:b/>
          <w:sz w:val="28"/>
          <w:szCs w:val="28"/>
        </w:rPr>
      </w:pPr>
    </w:p>
    <w:p w14:paraId="493D9FCD">
      <w:pPr>
        <w:widowControl/>
        <w:snapToGrid w:val="0"/>
        <w:spacing w:line="360" w:lineRule="auto"/>
        <w:ind w:firstLine="0" w:firstLineChars="0"/>
        <w:rPr>
          <w:rFonts w:ascii="宋体"/>
          <w:b/>
          <w:sz w:val="28"/>
          <w:szCs w:val="28"/>
        </w:rPr>
      </w:pPr>
    </w:p>
    <w:p w14:paraId="53D404CD">
      <w:pPr>
        <w:widowControl/>
        <w:snapToGrid w:val="0"/>
        <w:spacing w:line="360" w:lineRule="auto"/>
        <w:ind w:firstLine="0" w:firstLineChars="0"/>
        <w:rPr>
          <w:rFonts w:ascii="宋体"/>
          <w:b/>
          <w:sz w:val="28"/>
          <w:szCs w:val="28"/>
        </w:rPr>
      </w:pPr>
    </w:p>
    <w:p w14:paraId="105858FD">
      <w:pPr>
        <w:widowControl/>
        <w:snapToGrid w:val="0"/>
        <w:spacing w:line="360" w:lineRule="auto"/>
        <w:ind w:firstLine="0" w:firstLineChars="0"/>
        <w:rPr>
          <w:rFonts w:ascii="宋体"/>
          <w:b/>
          <w:sz w:val="28"/>
          <w:szCs w:val="28"/>
        </w:rPr>
      </w:pPr>
    </w:p>
    <w:p w14:paraId="2827E0CF">
      <w:pPr>
        <w:widowControl/>
        <w:snapToGrid w:val="0"/>
        <w:spacing w:line="360" w:lineRule="auto"/>
        <w:ind w:firstLine="0" w:firstLineChars="0"/>
        <w:rPr>
          <w:rFonts w:ascii="宋体"/>
          <w:b/>
          <w:sz w:val="28"/>
          <w:szCs w:val="28"/>
        </w:rPr>
      </w:pPr>
    </w:p>
    <w:p w14:paraId="33279A56">
      <w:pPr>
        <w:widowControl/>
        <w:snapToGrid w:val="0"/>
        <w:spacing w:line="360" w:lineRule="auto"/>
        <w:ind w:firstLine="0" w:firstLineChars="0"/>
        <w:rPr>
          <w:rFonts w:ascii="宋体"/>
          <w:b/>
          <w:sz w:val="28"/>
          <w:szCs w:val="28"/>
        </w:rPr>
      </w:pPr>
    </w:p>
    <w:p w14:paraId="183D919C">
      <w:pPr>
        <w:widowControl/>
        <w:snapToGrid w:val="0"/>
        <w:spacing w:line="360" w:lineRule="auto"/>
        <w:ind w:firstLine="0" w:firstLineChars="0"/>
        <w:rPr>
          <w:rFonts w:ascii="宋体"/>
          <w:b/>
          <w:sz w:val="28"/>
          <w:szCs w:val="28"/>
        </w:rPr>
      </w:pPr>
    </w:p>
    <w:p w14:paraId="7B6BBD8E">
      <w:pPr>
        <w:widowControl/>
        <w:snapToGrid w:val="0"/>
        <w:spacing w:line="360" w:lineRule="auto"/>
        <w:ind w:firstLine="0" w:firstLineChars="0"/>
        <w:rPr>
          <w:rFonts w:ascii="宋体"/>
          <w:b/>
          <w:sz w:val="28"/>
          <w:szCs w:val="28"/>
        </w:rPr>
      </w:pPr>
    </w:p>
    <w:p w14:paraId="4CE66D0D">
      <w:pPr>
        <w:widowControl/>
        <w:snapToGrid w:val="0"/>
        <w:spacing w:line="360" w:lineRule="auto"/>
        <w:ind w:firstLine="0" w:firstLineChars="0"/>
        <w:rPr>
          <w:rFonts w:ascii="宋体"/>
          <w:b/>
          <w:sz w:val="28"/>
          <w:szCs w:val="28"/>
        </w:rPr>
      </w:pPr>
    </w:p>
    <w:p w14:paraId="7AB77E31">
      <w:pPr>
        <w:widowControl/>
        <w:snapToGrid w:val="0"/>
        <w:spacing w:line="360" w:lineRule="auto"/>
        <w:ind w:firstLine="0" w:firstLineChars="0"/>
        <w:rPr>
          <w:rFonts w:ascii="宋体"/>
          <w:b/>
          <w:sz w:val="28"/>
          <w:szCs w:val="28"/>
        </w:rPr>
      </w:pPr>
    </w:p>
    <w:p w14:paraId="4BDAA830">
      <w:pPr>
        <w:widowControl/>
        <w:snapToGrid w:val="0"/>
        <w:spacing w:line="360" w:lineRule="auto"/>
        <w:ind w:firstLine="0" w:firstLineChars="0"/>
        <w:outlineLvl w:val="1"/>
        <w:rPr>
          <w:rFonts w:ascii="宋体"/>
          <w:b/>
          <w:sz w:val="28"/>
          <w:szCs w:val="28"/>
        </w:rPr>
      </w:pPr>
      <w:bookmarkStart w:id="635" w:name="_Toc12716"/>
      <w:bookmarkStart w:id="636" w:name="_Toc12426"/>
      <w:bookmarkStart w:id="637" w:name="_Toc6964_WPSOffice_Level2"/>
      <w:bookmarkStart w:id="638" w:name="_Toc32076"/>
      <w:bookmarkStart w:id="639" w:name="_Toc1309"/>
      <w:r>
        <w:rPr>
          <w:rFonts w:hint="eastAsia" w:ascii="宋体"/>
          <w:b/>
          <w:sz w:val="28"/>
          <w:szCs w:val="28"/>
        </w:rPr>
        <w:t>附件11：具备履行合同所必须的设备和专业技术能力证明</w:t>
      </w:r>
      <w:bookmarkEnd w:id="633"/>
      <w:bookmarkEnd w:id="635"/>
      <w:bookmarkEnd w:id="636"/>
      <w:bookmarkEnd w:id="637"/>
      <w:bookmarkEnd w:id="638"/>
      <w:bookmarkEnd w:id="639"/>
    </w:p>
    <w:p w14:paraId="06F91223">
      <w:pPr>
        <w:spacing w:line="360" w:lineRule="auto"/>
        <w:ind w:firstLine="2909" w:firstLineChars="805"/>
        <w:rPr>
          <w:rFonts w:ascii="宋体" w:hAnsi="宋体"/>
          <w:b/>
          <w:sz w:val="36"/>
          <w:szCs w:val="36"/>
        </w:rPr>
      </w:pPr>
    </w:p>
    <w:p w14:paraId="2E08EE45">
      <w:pPr>
        <w:spacing w:line="360" w:lineRule="auto"/>
        <w:ind w:left="0" w:leftChars="0" w:firstLine="0" w:firstLineChars="0"/>
        <w:outlineLvl w:val="2"/>
        <w:rPr>
          <w:rFonts w:ascii="宋体" w:hAnsi="宋体"/>
          <w:b/>
          <w:sz w:val="36"/>
          <w:szCs w:val="36"/>
        </w:rPr>
      </w:pPr>
      <w:bookmarkStart w:id="640" w:name="_Toc11370"/>
      <w:bookmarkStart w:id="641" w:name="_Toc8246_WPSOffice_Level3"/>
      <w:bookmarkStart w:id="642" w:name="_Toc4641_WPSOffice_Level3"/>
      <w:r>
        <w:rPr>
          <w:rFonts w:hint="eastAsia" w:ascii="宋体" w:hAnsi="宋体"/>
          <w:b/>
          <w:sz w:val="36"/>
          <w:szCs w:val="36"/>
        </w:rPr>
        <w:t>具备履行合同所必须的设备和专业技术能力证明</w:t>
      </w:r>
      <w:bookmarkEnd w:id="640"/>
      <w:bookmarkEnd w:id="641"/>
      <w:bookmarkEnd w:id="642"/>
    </w:p>
    <w:p w14:paraId="04715264">
      <w:pPr>
        <w:spacing w:line="360" w:lineRule="auto"/>
        <w:ind w:firstLine="723"/>
        <w:rPr>
          <w:rFonts w:ascii="宋体" w:hAnsi="宋体"/>
          <w:b/>
          <w:sz w:val="36"/>
          <w:szCs w:val="36"/>
        </w:rPr>
      </w:pPr>
    </w:p>
    <w:p w14:paraId="2CE7A38C">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为保证本项目合同的顺利履行，投标供应商必须具备履行合同的设备和专业技术能力，须提供必须具备履行合同的设备和专业技术能力的承诺函（格式自拟），并提供相关设备的购置发票或相关人员的职称证书</w:t>
      </w:r>
      <w:r>
        <w:rPr>
          <w:rFonts w:hint="eastAsia" w:ascii="宋体" w:hAnsi="宋体" w:cs="宋体"/>
          <w:kern w:val="0"/>
          <w:lang w:val="en-US" w:eastAsia="zh-CN"/>
        </w:rPr>
        <w:t>或人员</w:t>
      </w:r>
      <w:r>
        <w:rPr>
          <w:rFonts w:hint="eastAsia" w:ascii="宋体" w:hAnsi="宋体" w:cs="宋体"/>
          <w:kern w:val="0"/>
          <w:lang w:val="zh-CN"/>
        </w:rPr>
        <w:t>用工合同等证明材料。</w:t>
      </w:r>
    </w:p>
    <w:p w14:paraId="7208C1E9">
      <w:pPr>
        <w:adjustRightInd w:val="0"/>
        <w:spacing w:line="360" w:lineRule="auto"/>
        <w:ind w:firstLine="480"/>
        <w:textAlignment w:val="baseline"/>
        <w:rPr>
          <w:rFonts w:ascii="宋体" w:hAnsi="宋体"/>
        </w:rPr>
      </w:pPr>
    </w:p>
    <w:p w14:paraId="3366D808">
      <w:pPr>
        <w:tabs>
          <w:tab w:val="left" w:pos="168"/>
        </w:tabs>
        <w:adjustRightInd w:val="0"/>
        <w:spacing w:line="360" w:lineRule="auto"/>
        <w:ind w:firstLine="0" w:firstLineChars="0"/>
        <w:textAlignment w:val="baseline"/>
        <w:rPr>
          <w:rFonts w:ascii="宋体" w:hAnsi="宋体"/>
        </w:rPr>
      </w:pPr>
    </w:p>
    <w:p w14:paraId="05D158A3">
      <w:pPr>
        <w:tabs>
          <w:tab w:val="left" w:pos="168"/>
        </w:tabs>
        <w:adjustRightInd w:val="0"/>
        <w:spacing w:line="360" w:lineRule="auto"/>
        <w:ind w:firstLine="0" w:firstLineChars="0"/>
        <w:textAlignment w:val="baseline"/>
        <w:rPr>
          <w:rFonts w:ascii="宋体" w:hAnsi="宋体"/>
          <w:b/>
          <w:bCs/>
        </w:rPr>
      </w:pPr>
    </w:p>
    <w:p w14:paraId="5FEF8366">
      <w:pPr>
        <w:tabs>
          <w:tab w:val="left" w:pos="168"/>
        </w:tabs>
        <w:adjustRightInd w:val="0"/>
        <w:spacing w:line="360" w:lineRule="auto"/>
        <w:ind w:firstLine="0" w:firstLineChars="0"/>
        <w:textAlignment w:val="baseline"/>
        <w:rPr>
          <w:rFonts w:ascii="宋体" w:hAnsi="宋体"/>
          <w:b/>
          <w:bCs/>
        </w:rPr>
      </w:pPr>
    </w:p>
    <w:p w14:paraId="481B0429">
      <w:pPr>
        <w:widowControl/>
        <w:snapToGrid w:val="0"/>
        <w:spacing w:line="360" w:lineRule="auto"/>
        <w:ind w:firstLine="0" w:firstLineChars="0"/>
        <w:rPr>
          <w:rFonts w:ascii="宋体" w:hAnsi="宋体"/>
          <w:bCs/>
        </w:rPr>
      </w:pPr>
    </w:p>
    <w:p w14:paraId="2DC7E98D">
      <w:pPr>
        <w:spacing w:line="360" w:lineRule="auto"/>
        <w:ind w:firstLine="470" w:firstLineChars="196"/>
        <w:rPr>
          <w:rFonts w:ascii="宋体" w:hAnsi="宋体"/>
          <w:bCs/>
        </w:rPr>
      </w:pPr>
    </w:p>
    <w:p w14:paraId="4032610A">
      <w:pPr>
        <w:spacing w:line="360" w:lineRule="auto"/>
        <w:ind w:firstLine="480"/>
        <w:rPr>
          <w:rFonts w:ascii="宋体" w:hAnsi="宋体"/>
          <w:bCs/>
        </w:rPr>
      </w:pPr>
    </w:p>
    <w:p w14:paraId="1DABD53B">
      <w:pPr>
        <w:spacing w:line="360" w:lineRule="auto"/>
        <w:ind w:firstLine="482"/>
        <w:rPr>
          <w:rFonts w:ascii="宋体" w:hAnsi="宋体"/>
          <w:b/>
        </w:rPr>
      </w:pPr>
    </w:p>
    <w:p w14:paraId="36FEA60C">
      <w:pPr>
        <w:spacing w:line="360" w:lineRule="auto"/>
        <w:ind w:firstLine="482"/>
        <w:rPr>
          <w:rFonts w:ascii="宋体" w:hAnsi="宋体"/>
          <w:b/>
        </w:rPr>
      </w:pPr>
    </w:p>
    <w:p w14:paraId="77698E6B">
      <w:pPr>
        <w:spacing w:line="360" w:lineRule="auto"/>
        <w:ind w:firstLine="482"/>
        <w:rPr>
          <w:rFonts w:ascii="宋体" w:hAnsi="宋体"/>
          <w:b/>
        </w:rPr>
      </w:pPr>
    </w:p>
    <w:p w14:paraId="6F3705CE">
      <w:pPr>
        <w:spacing w:line="360" w:lineRule="auto"/>
        <w:ind w:firstLine="482"/>
        <w:rPr>
          <w:rFonts w:ascii="宋体" w:hAnsi="宋体"/>
          <w:b/>
        </w:rPr>
      </w:pPr>
    </w:p>
    <w:p w14:paraId="5F3D0871">
      <w:pPr>
        <w:spacing w:line="360" w:lineRule="auto"/>
        <w:ind w:firstLine="482"/>
        <w:rPr>
          <w:rFonts w:ascii="宋体" w:hAnsi="宋体"/>
          <w:b/>
        </w:rPr>
      </w:pPr>
    </w:p>
    <w:p w14:paraId="32D20D16">
      <w:pPr>
        <w:spacing w:line="360" w:lineRule="auto"/>
        <w:ind w:firstLine="482"/>
        <w:rPr>
          <w:rFonts w:ascii="宋体" w:hAnsi="宋体"/>
          <w:b/>
        </w:rPr>
      </w:pPr>
    </w:p>
    <w:p w14:paraId="09533FA8">
      <w:pPr>
        <w:tabs>
          <w:tab w:val="left" w:pos="168"/>
        </w:tabs>
        <w:adjustRightInd w:val="0"/>
        <w:spacing w:line="360" w:lineRule="auto"/>
        <w:ind w:firstLine="0" w:firstLineChars="0"/>
        <w:textAlignment w:val="baseline"/>
        <w:rPr>
          <w:rFonts w:ascii="宋体" w:hAnsi="宋体"/>
          <w:b/>
          <w:bCs/>
        </w:rPr>
      </w:pPr>
    </w:p>
    <w:p w14:paraId="68CF1750">
      <w:pPr>
        <w:tabs>
          <w:tab w:val="left" w:pos="168"/>
        </w:tabs>
        <w:adjustRightInd w:val="0"/>
        <w:spacing w:line="360" w:lineRule="auto"/>
        <w:ind w:firstLine="0" w:firstLineChars="0"/>
        <w:textAlignment w:val="baseline"/>
        <w:rPr>
          <w:rFonts w:ascii="宋体" w:hAnsi="宋体"/>
          <w:b/>
          <w:bCs/>
        </w:rPr>
      </w:pPr>
    </w:p>
    <w:p w14:paraId="149A8024">
      <w:pPr>
        <w:tabs>
          <w:tab w:val="left" w:pos="168"/>
        </w:tabs>
        <w:adjustRightInd w:val="0"/>
        <w:spacing w:line="360" w:lineRule="auto"/>
        <w:ind w:firstLine="0" w:firstLineChars="0"/>
        <w:textAlignment w:val="baseline"/>
        <w:rPr>
          <w:rFonts w:ascii="宋体" w:hAnsi="宋体"/>
          <w:b/>
          <w:bCs/>
        </w:rPr>
      </w:pPr>
    </w:p>
    <w:p w14:paraId="51BAFD82">
      <w:pPr>
        <w:tabs>
          <w:tab w:val="left" w:pos="168"/>
        </w:tabs>
        <w:adjustRightInd w:val="0"/>
        <w:spacing w:line="360" w:lineRule="auto"/>
        <w:ind w:firstLine="0" w:firstLineChars="0"/>
        <w:textAlignment w:val="baseline"/>
        <w:rPr>
          <w:rFonts w:ascii="宋体" w:hAnsi="宋体"/>
          <w:b/>
          <w:bCs/>
        </w:rPr>
      </w:pPr>
    </w:p>
    <w:p w14:paraId="23122203">
      <w:pPr>
        <w:tabs>
          <w:tab w:val="left" w:pos="168"/>
        </w:tabs>
        <w:adjustRightInd w:val="0"/>
        <w:spacing w:line="360" w:lineRule="auto"/>
        <w:ind w:firstLine="0" w:firstLineChars="0"/>
        <w:textAlignment w:val="baseline"/>
        <w:rPr>
          <w:rFonts w:ascii="宋体" w:hAnsi="宋体"/>
          <w:b/>
          <w:bCs/>
        </w:rPr>
      </w:pPr>
    </w:p>
    <w:p w14:paraId="58C06337">
      <w:pPr>
        <w:tabs>
          <w:tab w:val="left" w:pos="168"/>
        </w:tabs>
        <w:adjustRightInd w:val="0"/>
        <w:spacing w:line="360" w:lineRule="auto"/>
        <w:ind w:firstLine="0" w:firstLineChars="0"/>
        <w:textAlignment w:val="baseline"/>
        <w:rPr>
          <w:rFonts w:ascii="宋体" w:hAnsi="宋体"/>
          <w:b/>
          <w:bCs/>
        </w:rPr>
      </w:pPr>
    </w:p>
    <w:p w14:paraId="4F0FB635">
      <w:pPr>
        <w:rPr>
          <w:rFonts w:hint="eastAsia" w:ascii="宋体"/>
          <w:b/>
          <w:sz w:val="28"/>
          <w:szCs w:val="28"/>
        </w:rPr>
      </w:pPr>
      <w:bookmarkStart w:id="643" w:name="_Toc25598_WPSOffice_Level2"/>
      <w:bookmarkStart w:id="644" w:name="_Toc31760"/>
      <w:bookmarkStart w:id="645" w:name="_Toc14275"/>
      <w:bookmarkStart w:id="646" w:name="_Toc1860"/>
      <w:bookmarkStart w:id="647" w:name="_Toc17363"/>
      <w:bookmarkStart w:id="648" w:name="_Toc27524"/>
      <w:r>
        <w:rPr>
          <w:rFonts w:hint="eastAsia" w:ascii="宋体"/>
          <w:b/>
          <w:sz w:val="28"/>
          <w:szCs w:val="28"/>
        </w:rPr>
        <w:br w:type="page"/>
      </w:r>
    </w:p>
    <w:p w14:paraId="13C49A59">
      <w:pPr>
        <w:widowControl/>
        <w:snapToGrid w:val="0"/>
        <w:spacing w:line="360" w:lineRule="auto"/>
        <w:ind w:firstLine="0" w:firstLineChars="0"/>
        <w:outlineLvl w:val="1"/>
        <w:rPr>
          <w:rFonts w:ascii="宋体"/>
          <w:b/>
          <w:sz w:val="28"/>
          <w:szCs w:val="28"/>
        </w:rPr>
      </w:pPr>
      <w:r>
        <w:rPr>
          <w:rFonts w:hint="eastAsia" w:ascii="宋体"/>
          <w:b/>
          <w:sz w:val="28"/>
          <w:szCs w:val="28"/>
        </w:rPr>
        <w:t>附件12</w:t>
      </w:r>
      <w:r>
        <w:rPr>
          <w:rFonts w:hint="eastAsia" w:ascii="宋体"/>
          <w:b/>
          <w:sz w:val="28"/>
          <w:szCs w:val="28"/>
          <w:lang w:val="zh-CN"/>
        </w:rPr>
        <w:t>：投标产品相关资料</w:t>
      </w:r>
      <w:bookmarkEnd w:id="643"/>
      <w:bookmarkEnd w:id="644"/>
      <w:bookmarkEnd w:id="645"/>
      <w:bookmarkEnd w:id="646"/>
      <w:bookmarkEnd w:id="647"/>
      <w:bookmarkEnd w:id="648"/>
    </w:p>
    <w:p w14:paraId="2106F8C9">
      <w:pPr>
        <w:autoSpaceDE w:val="0"/>
        <w:autoSpaceDN w:val="0"/>
        <w:adjustRightInd w:val="0"/>
        <w:spacing w:line="360" w:lineRule="auto"/>
        <w:ind w:firstLine="480"/>
        <w:rPr>
          <w:rFonts w:cs="宋体"/>
          <w:kern w:val="0"/>
          <w:lang w:val="zh-CN"/>
        </w:rPr>
      </w:pPr>
      <w:r>
        <w:rPr>
          <w:rFonts w:cs="宋体"/>
          <w:kern w:val="0"/>
          <w:lang w:val="zh-CN"/>
        </w:rPr>
        <w:t xml:space="preserve"> </w:t>
      </w:r>
    </w:p>
    <w:p w14:paraId="0B3E9DB1">
      <w:pPr>
        <w:autoSpaceDE w:val="0"/>
        <w:autoSpaceDN w:val="0"/>
        <w:adjustRightInd w:val="0"/>
        <w:spacing w:line="360" w:lineRule="auto"/>
        <w:ind w:firstLine="723"/>
        <w:jc w:val="center"/>
        <w:outlineLvl w:val="2"/>
        <w:rPr>
          <w:rFonts w:cs="宋体"/>
          <w:b/>
          <w:bCs/>
          <w:kern w:val="0"/>
          <w:sz w:val="36"/>
          <w:szCs w:val="36"/>
          <w:lang w:val="zh-CN"/>
        </w:rPr>
      </w:pPr>
      <w:bookmarkStart w:id="649" w:name="_Toc23147_WPSOffice_Level3"/>
      <w:bookmarkStart w:id="650" w:name="_Toc25960"/>
      <w:bookmarkStart w:id="651" w:name="_Toc27021_WPSOffice_Level3"/>
      <w:r>
        <w:rPr>
          <w:rFonts w:hint="eastAsia" w:cs="宋体"/>
          <w:b/>
          <w:bCs/>
          <w:kern w:val="0"/>
          <w:sz w:val="36"/>
          <w:szCs w:val="36"/>
          <w:lang w:val="zh-CN"/>
        </w:rPr>
        <w:t>投标产品相关资料</w:t>
      </w:r>
      <w:bookmarkEnd w:id="649"/>
      <w:bookmarkEnd w:id="650"/>
      <w:bookmarkEnd w:id="651"/>
    </w:p>
    <w:p w14:paraId="26B57925">
      <w:pPr>
        <w:autoSpaceDE w:val="0"/>
        <w:autoSpaceDN w:val="0"/>
        <w:adjustRightInd w:val="0"/>
        <w:spacing w:line="360" w:lineRule="auto"/>
        <w:ind w:firstLine="480"/>
        <w:rPr>
          <w:rFonts w:cs="宋体"/>
          <w:kern w:val="0"/>
          <w:lang w:val="zh-CN"/>
        </w:rPr>
      </w:pPr>
      <w:r>
        <w:rPr>
          <w:rFonts w:cs="宋体"/>
          <w:kern w:val="0"/>
          <w:lang w:val="zh-CN"/>
        </w:rPr>
        <w:t xml:space="preserve"> </w:t>
      </w:r>
    </w:p>
    <w:p w14:paraId="0CDDD941">
      <w:pPr>
        <w:tabs>
          <w:tab w:val="left" w:pos="168"/>
        </w:tabs>
        <w:adjustRightInd w:val="0"/>
        <w:spacing w:line="360" w:lineRule="auto"/>
        <w:ind w:firstLine="480"/>
        <w:textAlignment w:val="baseline"/>
        <w:rPr>
          <w:rFonts w:ascii="宋体" w:hAnsi="宋体"/>
          <w:color w:val="000000"/>
          <w:lang w:val="zh-CN"/>
        </w:rPr>
      </w:pPr>
      <w:r>
        <w:rPr>
          <w:rFonts w:hint="eastAsia" w:ascii="宋体" w:hAnsi="宋体"/>
          <w:color w:val="000000"/>
          <w:lang w:val="zh-CN"/>
        </w:rPr>
        <w:t>根据采购项目内容，投标时提供投标产品</w:t>
      </w:r>
      <w:r>
        <w:rPr>
          <w:rFonts w:hint="eastAsia" w:ascii="宋体" w:hAnsi="宋体"/>
          <w:color w:val="000000"/>
        </w:rPr>
        <w:t>相关</w:t>
      </w:r>
      <w:r>
        <w:rPr>
          <w:rFonts w:hint="eastAsia" w:ascii="宋体" w:hAnsi="宋体"/>
          <w:color w:val="000000"/>
          <w:lang w:val="zh-CN"/>
        </w:rPr>
        <w:t>检验报告</w:t>
      </w:r>
      <w:r>
        <w:rPr>
          <w:rFonts w:hint="eastAsia" w:ascii="宋体" w:hAnsi="宋体"/>
          <w:bCs/>
          <w:kern w:val="0"/>
          <w:szCs w:val="20"/>
        </w:rPr>
        <w:t>或提供能够</w:t>
      </w:r>
      <w:r>
        <w:rPr>
          <w:rFonts w:hint="eastAsia" w:ascii="宋体" w:hAnsi="宋体"/>
          <w:color w:val="000000"/>
          <w:lang w:val="zh-CN"/>
        </w:rPr>
        <w:t>证明技术参数响应的相关资料。</w:t>
      </w:r>
    </w:p>
    <w:p w14:paraId="2D892965">
      <w:pPr>
        <w:widowControl/>
        <w:snapToGrid w:val="0"/>
        <w:spacing w:line="360" w:lineRule="auto"/>
        <w:ind w:firstLine="0" w:firstLineChars="0"/>
        <w:rPr>
          <w:rFonts w:cs="宋体"/>
          <w:kern w:val="0"/>
          <w:lang w:val="zh-CN"/>
        </w:rPr>
      </w:pPr>
    </w:p>
    <w:p w14:paraId="13D62F4B">
      <w:pPr>
        <w:widowControl/>
        <w:snapToGrid w:val="0"/>
        <w:spacing w:line="360" w:lineRule="auto"/>
        <w:ind w:firstLine="0" w:firstLineChars="0"/>
        <w:rPr>
          <w:rFonts w:cs="宋体"/>
          <w:kern w:val="0"/>
          <w:lang w:val="zh-CN"/>
        </w:rPr>
      </w:pPr>
    </w:p>
    <w:p w14:paraId="11DB142A">
      <w:pPr>
        <w:widowControl/>
        <w:snapToGrid w:val="0"/>
        <w:spacing w:line="360" w:lineRule="auto"/>
        <w:ind w:firstLine="0" w:firstLineChars="0"/>
        <w:rPr>
          <w:rFonts w:cs="宋体"/>
          <w:kern w:val="0"/>
          <w:lang w:val="zh-CN"/>
        </w:rPr>
      </w:pPr>
    </w:p>
    <w:p w14:paraId="66142FC8">
      <w:pPr>
        <w:widowControl/>
        <w:snapToGrid w:val="0"/>
        <w:spacing w:line="360" w:lineRule="auto"/>
        <w:ind w:firstLine="0" w:firstLineChars="0"/>
        <w:rPr>
          <w:rFonts w:cs="宋体"/>
          <w:kern w:val="0"/>
          <w:lang w:val="zh-CN"/>
        </w:rPr>
      </w:pPr>
    </w:p>
    <w:p w14:paraId="3B88FFA6">
      <w:pPr>
        <w:widowControl/>
        <w:snapToGrid w:val="0"/>
        <w:spacing w:line="360" w:lineRule="auto"/>
        <w:ind w:firstLine="0" w:firstLineChars="0"/>
        <w:rPr>
          <w:rFonts w:cs="宋体"/>
          <w:kern w:val="0"/>
          <w:lang w:val="zh-CN"/>
        </w:rPr>
      </w:pPr>
    </w:p>
    <w:p w14:paraId="1E529BF6">
      <w:pPr>
        <w:widowControl/>
        <w:snapToGrid w:val="0"/>
        <w:spacing w:line="360" w:lineRule="auto"/>
        <w:ind w:firstLine="0" w:firstLineChars="0"/>
        <w:rPr>
          <w:rFonts w:cs="宋体"/>
          <w:kern w:val="0"/>
          <w:lang w:val="zh-CN"/>
        </w:rPr>
      </w:pPr>
    </w:p>
    <w:p w14:paraId="6B928451">
      <w:pPr>
        <w:widowControl/>
        <w:snapToGrid w:val="0"/>
        <w:spacing w:line="360" w:lineRule="auto"/>
        <w:ind w:firstLine="0" w:firstLineChars="0"/>
        <w:rPr>
          <w:rFonts w:cs="宋体"/>
          <w:kern w:val="0"/>
          <w:lang w:val="zh-CN"/>
        </w:rPr>
      </w:pPr>
    </w:p>
    <w:p w14:paraId="150E4BC8">
      <w:pPr>
        <w:widowControl/>
        <w:snapToGrid w:val="0"/>
        <w:spacing w:line="360" w:lineRule="auto"/>
        <w:ind w:firstLine="0" w:firstLineChars="0"/>
        <w:rPr>
          <w:rFonts w:cs="宋体"/>
          <w:kern w:val="0"/>
          <w:lang w:val="zh-CN"/>
        </w:rPr>
      </w:pPr>
    </w:p>
    <w:p w14:paraId="2A5BE796">
      <w:pPr>
        <w:widowControl/>
        <w:snapToGrid w:val="0"/>
        <w:spacing w:line="360" w:lineRule="auto"/>
        <w:ind w:firstLine="0" w:firstLineChars="0"/>
        <w:rPr>
          <w:rFonts w:cs="宋体"/>
          <w:kern w:val="0"/>
          <w:lang w:val="zh-CN"/>
        </w:rPr>
      </w:pPr>
    </w:p>
    <w:p w14:paraId="08439BBC">
      <w:pPr>
        <w:widowControl/>
        <w:snapToGrid w:val="0"/>
        <w:spacing w:line="360" w:lineRule="auto"/>
        <w:ind w:firstLine="0" w:firstLineChars="0"/>
        <w:rPr>
          <w:rFonts w:cs="宋体"/>
          <w:kern w:val="0"/>
          <w:lang w:val="zh-CN"/>
        </w:rPr>
      </w:pPr>
    </w:p>
    <w:p w14:paraId="0ABF1570">
      <w:pPr>
        <w:widowControl/>
        <w:snapToGrid w:val="0"/>
        <w:spacing w:line="360" w:lineRule="auto"/>
        <w:ind w:firstLine="0" w:firstLineChars="0"/>
        <w:rPr>
          <w:rFonts w:cs="宋体"/>
          <w:kern w:val="0"/>
          <w:lang w:val="zh-CN"/>
        </w:rPr>
      </w:pPr>
    </w:p>
    <w:p w14:paraId="2579799B">
      <w:pPr>
        <w:widowControl/>
        <w:snapToGrid w:val="0"/>
        <w:spacing w:line="360" w:lineRule="auto"/>
        <w:ind w:firstLine="0" w:firstLineChars="0"/>
        <w:rPr>
          <w:rFonts w:cs="宋体"/>
          <w:kern w:val="0"/>
          <w:lang w:val="zh-CN"/>
        </w:rPr>
      </w:pPr>
    </w:p>
    <w:p w14:paraId="7911DF78">
      <w:pPr>
        <w:widowControl/>
        <w:snapToGrid w:val="0"/>
        <w:spacing w:line="360" w:lineRule="auto"/>
        <w:ind w:firstLine="0" w:firstLineChars="0"/>
        <w:rPr>
          <w:rFonts w:cs="宋体"/>
          <w:kern w:val="0"/>
          <w:lang w:val="zh-CN"/>
        </w:rPr>
      </w:pPr>
    </w:p>
    <w:p w14:paraId="19F2FEFA">
      <w:pPr>
        <w:widowControl/>
        <w:snapToGrid w:val="0"/>
        <w:spacing w:line="360" w:lineRule="auto"/>
        <w:ind w:firstLine="0" w:firstLineChars="0"/>
        <w:rPr>
          <w:rFonts w:cs="宋体"/>
          <w:kern w:val="0"/>
          <w:lang w:val="zh-CN"/>
        </w:rPr>
      </w:pPr>
    </w:p>
    <w:p w14:paraId="2A69287C">
      <w:pPr>
        <w:widowControl/>
        <w:snapToGrid w:val="0"/>
        <w:spacing w:line="360" w:lineRule="auto"/>
        <w:ind w:firstLine="0" w:firstLineChars="0"/>
        <w:rPr>
          <w:rFonts w:cs="宋体"/>
          <w:kern w:val="0"/>
          <w:lang w:val="zh-CN"/>
        </w:rPr>
      </w:pPr>
    </w:p>
    <w:p w14:paraId="3F16DFBC">
      <w:pPr>
        <w:widowControl/>
        <w:snapToGrid w:val="0"/>
        <w:spacing w:line="360" w:lineRule="auto"/>
        <w:ind w:firstLine="0" w:firstLineChars="0"/>
        <w:rPr>
          <w:rFonts w:cs="宋体"/>
          <w:kern w:val="0"/>
          <w:lang w:val="zh-CN"/>
        </w:rPr>
      </w:pPr>
    </w:p>
    <w:p w14:paraId="29ACF646">
      <w:pPr>
        <w:widowControl/>
        <w:snapToGrid w:val="0"/>
        <w:spacing w:line="360" w:lineRule="auto"/>
        <w:ind w:firstLine="0" w:firstLineChars="0"/>
        <w:rPr>
          <w:rFonts w:cs="宋体"/>
          <w:kern w:val="0"/>
          <w:lang w:val="zh-CN"/>
        </w:rPr>
      </w:pPr>
    </w:p>
    <w:p w14:paraId="4E934A19">
      <w:pPr>
        <w:widowControl/>
        <w:snapToGrid w:val="0"/>
        <w:spacing w:line="360" w:lineRule="auto"/>
        <w:ind w:firstLine="0" w:firstLineChars="0"/>
        <w:rPr>
          <w:rFonts w:cs="宋体"/>
          <w:kern w:val="0"/>
          <w:lang w:val="zh-CN"/>
        </w:rPr>
      </w:pPr>
    </w:p>
    <w:p w14:paraId="5F957DF5">
      <w:pPr>
        <w:widowControl/>
        <w:snapToGrid w:val="0"/>
        <w:spacing w:line="360" w:lineRule="auto"/>
        <w:ind w:firstLine="0" w:firstLineChars="0"/>
        <w:rPr>
          <w:rFonts w:cs="宋体"/>
          <w:kern w:val="0"/>
          <w:lang w:val="zh-CN"/>
        </w:rPr>
      </w:pPr>
    </w:p>
    <w:p w14:paraId="0306B1C0">
      <w:pPr>
        <w:widowControl/>
        <w:snapToGrid w:val="0"/>
        <w:spacing w:line="360" w:lineRule="auto"/>
        <w:ind w:firstLine="0" w:firstLineChars="0"/>
        <w:rPr>
          <w:rFonts w:cs="宋体"/>
          <w:kern w:val="0"/>
          <w:lang w:val="zh-CN"/>
        </w:rPr>
      </w:pPr>
    </w:p>
    <w:p w14:paraId="2A773FB8">
      <w:pPr>
        <w:widowControl/>
        <w:snapToGrid w:val="0"/>
        <w:spacing w:line="360" w:lineRule="auto"/>
        <w:ind w:firstLine="0" w:firstLineChars="0"/>
        <w:rPr>
          <w:rFonts w:cs="宋体"/>
          <w:kern w:val="0"/>
          <w:lang w:val="zh-CN"/>
        </w:rPr>
      </w:pPr>
    </w:p>
    <w:p w14:paraId="20154765">
      <w:pPr>
        <w:widowControl/>
        <w:snapToGrid w:val="0"/>
        <w:spacing w:line="360" w:lineRule="auto"/>
        <w:ind w:firstLine="0" w:firstLineChars="0"/>
        <w:rPr>
          <w:rFonts w:cs="宋体"/>
          <w:kern w:val="0"/>
          <w:lang w:val="zh-CN"/>
        </w:rPr>
      </w:pPr>
    </w:p>
    <w:p w14:paraId="005951C2">
      <w:pPr>
        <w:widowControl/>
        <w:snapToGrid w:val="0"/>
        <w:spacing w:line="360" w:lineRule="auto"/>
        <w:ind w:firstLine="0" w:firstLineChars="0"/>
        <w:rPr>
          <w:rFonts w:cs="宋体"/>
          <w:kern w:val="0"/>
          <w:lang w:val="zh-CN"/>
        </w:rPr>
      </w:pPr>
    </w:p>
    <w:p w14:paraId="7FB860ED">
      <w:pPr>
        <w:widowControl/>
        <w:snapToGrid w:val="0"/>
        <w:spacing w:line="360" w:lineRule="auto"/>
        <w:ind w:firstLine="0" w:firstLineChars="0"/>
        <w:rPr>
          <w:rFonts w:cs="宋体"/>
          <w:kern w:val="0"/>
          <w:lang w:val="zh-CN"/>
        </w:rPr>
      </w:pPr>
    </w:p>
    <w:p w14:paraId="51CE882C">
      <w:pPr>
        <w:widowControl/>
        <w:snapToGrid w:val="0"/>
        <w:spacing w:line="360" w:lineRule="auto"/>
        <w:ind w:firstLine="0" w:firstLineChars="0"/>
        <w:outlineLvl w:val="1"/>
        <w:rPr>
          <w:rFonts w:ascii="宋体"/>
          <w:b/>
          <w:sz w:val="28"/>
          <w:szCs w:val="28"/>
        </w:rPr>
      </w:pPr>
      <w:bookmarkStart w:id="652" w:name="_Toc15867"/>
      <w:bookmarkStart w:id="653" w:name="_Toc12687"/>
      <w:bookmarkStart w:id="654" w:name="_Toc3993"/>
      <w:bookmarkStart w:id="655" w:name="_Toc2419"/>
      <w:bookmarkStart w:id="656" w:name="_Toc17218_WPSOffice_Level2"/>
    </w:p>
    <w:p w14:paraId="17492816">
      <w:pPr>
        <w:widowControl/>
        <w:snapToGrid w:val="0"/>
        <w:spacing w:line="360" w:lineRule="auto"/>
        <w:ind w:firstLine="0" w:firstLineChars="0"/>
        <w:outlineLvl w:val="1"/>
        <w:rPr>
          <w:rFonts w:ascii="宋体"/>
          <w:b/>
          <w:sz w:val="28"/>
          <w:szCs w:val="28"/>
        </w:rPr>
      </w:pPr>
      <w:r>
        <w:rPr>
          <w:rFonts w:hint="eastAsia" w:ascii="宋体"/>
          <w:b/>
          <w:sz w:val="28"/>
          <w:szCs w:val="28"/>
        </w:rPr>
        <w:t>附件13：无重大违法记录声明</w:t>
      </w:r>
      <w:bookmarkEnd w:id="652"/>
      <w:bookmarkEnd w:id="653"/>
      <w:bookmarkEnd w:id="654"/>
      <w:bookmarkEnd w:id="655"/>
      <w:bookmarkEnd w:id="656"/>
    </w:p>
    <w:p w14:paraId="3FFE26C5">
      <w:pPr>
        <w:spacing w:line="360" w:lineRule="auto"/>
        <w:ind w:firstLine="2909" w:firstLineChars="805"/>
        <w:rPr>
          <w:rFonts w:ascii="宋体" w:hAnsi="宋体"/>
          <w:b/>
          <w:sz w:val="36"/>
          <w:szCs w:val="36"/>
        </w:rPr>
      </w:pPr>
    </w:p>
    <w:p w14:paraId="56A16651">
      <w:pPr>
        <w:spacing w:line="360" w:lineRule="auto"/>
        <w:ind w:firstLine="2909" w:firstLineChars="805"/>
        <w:outlineLvl w:val="2"/>
        <w:rPr>
          <w:rFonts w:ascii="宋体" w:hAnsi="宋体"/>
          <w:b/>
          <w:sz w:val="36"/>
          <w:szCs w:val="36"/>
        </w:rPr>
      </w:pPr>
      <w:bookmarkStart w:id="657" w:name="_Toc13270_WPSOffice_Level3"/>
      <w:bookmarkStart w:id="658" w:name="_Toc20762"/>
      <w:bookmarkStart w:id="659" w:name="_Toc29613_WPSOffice_Level3"/>
      <w:r>
        <w:rPr>
          <w:rFonts w:hint="eastAsia" w:ascii="宋体" w:hAnsi="宋体"/>
          <w:b/>
          <w:sz w:val="36"/>
          <w:szCs w:val="36"/>
        </w:rPr>
        <w:t>无重大违法记录声明</w:t>
      </w:r>
      <w:bookmarkEnd w:id="657"/>
      <w:bookmarkEnd w:id="658"/>
      <w:bookmarkEnd w:id="659"/>
    </w:p>
    <w:p w14:paraId="34869265">
      <w:pPr>
        <w:tabs>
          <w:tab w:val="left" w:pos="168"/>
        </w:tabs>
        <w:adjustRightInd w:val="0"/>
        <w:spacing w:line="360" w:lineRule="auto"/>
        <w:ind w:firstLine="2530" w:firstLineChars="700"/>
        <w:textAlignment w:val="baseline"/>
        <w:rPr>
          <w:rFonts w:ascii="宋体"/>
          <w:b/>
          <w:sz w:val="36"/>
          <w:szCs w:val="36"/>
        </w:rPr>
      </w:pPr>
    </w:p>
    <w:p w14:paraId="7EBDD629">
      <w:pPr>
        <w:spacing w:line="360" w:lineRule="auto"/>
        <w:ind w:firstLine="482"/>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青海旺利欣项目咨询管理有限公司</w:t>
      </w:r>
    </w:p>
    <w:p w14:paraId="216C9CB1">
      <w:pPr>
        <w:spacing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36A47019">
      <w:pPr>
        <w:spacing w:line="360" w:lineRule="auto"/>
        <w:ind w:firstLine="480"/>
        <w:rPr>
          <w:rFonts w:ascii="宋体" w:hAnsi="宋体" w:cs="宋体"/>
          <w:color w:val="000000"/>
        </w:rPr>
      </w:pPr>
      <w:r>
        <w:rPr>
          <w:rFonts w:hint="eastAsia" w:ascii="宋体" w:hAnsi="宋体" w:cs="宋体"/>
          <w:color w:val="000000"/>
        </w:rPr>
        <w:t>特此声明。</w:t>
      </w:r>
    </w:p>
    <w:p w14:paraId="3FC0F6C6">
      <w:pPr>
        <w:autoSpaceDE w:val="0"/>
        <w:autoSpaceDN w:val="0"/>
        <w:spacing w:line="360" w:lineRule="auto"/>
        <w:ind w:firstLine="480"/>
        <w:jc w:val="left"/>
        <w:rPr>
          <w:rFonts w:ascii="宋体" w:hAnsi="宋体" w:cs="宋体"/>
          <w:color w:val="000000"/>
          <w:kern w:val="0"/>
          <w:lang w:val="zh-CN"/>
        </w:rPr>
      </w:pPr>
    </w:p>
    <w:p w14:paraId="00E546BE">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14:paraId="1F7AB254">
      <w:pPr>
        <w:autoSpaceDE w:val="0"/>
        <w:autoSpaceDN w:val="0"/>
        <w:spacing w:line="360" w:lineRule="auto"/>
        <w:ind w:firstLine="480"/>
        <w:jc w:val="left"/>
        <w:rPr>
          <w:rFonts w:ascii="宋体" w:hAnsi="宋体" w:cs="宋体"/>
          <w:color w:val="000000"/>
          <w:kern w:val="0"/>
          <w:lang w:val="zh-CN"/>
        </w:rPr>
      </w:pPr>
    </w:p>
    <w:p w14:paraId="0DC68F11">
      <w:pPr>
        <w:autoSpaceDE w:val="0"/>
        <w:autoSpaceDN w:val="0"/>
        <w:spacing w:line="360" w:lineRule="auto"/>
        <w:ind w:firstLine="480"/>
        <w:jc w:val="left"/>
        <w:rPr>
          <w:rFonts w:ascii="宋体" w:hAnsi="宋体" w:cs="宋体"/>
          <w:color w:val="000000"/>
          <w:kern w:val="0"/>
          <w:lang w:val="zh-CN"/>
        </w:rPr>
      </w:pPr>
    </w:p>
    <w:p w14:paraId="1B803CA3">
      <w:pPr>
        <w:autoSpaceDE w:val="0"/>
        <w:autoSpaceDN w:val="0"/>
        <w:spacing w:line="360" w:lineRule="auto"/>
        <w:ind w:firstLine="480"/>
        <w:jc w:val="left"/>
        <w:rPr>
          <w:rFonts w:ascii="宋体" w:hAnsi="宋体" w:cs="宋体"/>
          <w:color w:val="000000"/>
          <w:kern w:val="0"/>
          <w:lang w:val="zh-CN"/>
        </w:rPr>
      </w:pPr>
    </w:p>
    <w:p w14:paraId="7ED2F771">
      <w:pPr>
        <w:autoSpaceDE w:val="0"/>
        <w:autoSpaceDN w:val="0"/>
        <w:spacing w:line="360" w:lineRule="auto"/>
        <w:ind w:firstLine="480"/>
        <w:jc w:val="left"/>
        <w:rPr>
          <w:rFonts w:ascii="宋体" w:hAnsi="宋体" w:cs="宋体"/>
          <w:color w:val="000000"/>
          <w:kern w:val="0"/>
          <w:lang w:val="zh-CN"/>
        </w:rPr>
      </w:pPr>
    </w:p>
    <w:p w14:paraId="3A46484F">
      <w:pPr>
        <w:autoSpaceDE w:val="0"/>
        <w:autoSpaceDN w:val="0"/>
        <w:spacing w:line="360" w:lineRule="auto"/>
        <w:ind w:firstLine="480"/>
        <w:jc w:val="left"/>
        <w:rPr>
          <w:rFonts w:ascii="宋体" w:hAnsi="宋体" w:cs="宋体"/>
          <w:color w:val="000000"/>
          <w:kern w:val="0"/>
          <w:lang w:val="zh-CN"/>
        </w:rPr>
      </w:pPr>
    </w:p>
    <w:p w14:paraId="6AE74B28">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投标供应商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6FA821F6">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545B8681">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A467634">
      <w:pPr>
        <w:tabs>
          <w:tab w:val="left" w:pos="168"/>
        </w:tabs>
        <w:adjustRightInd w:val="0"/>
        <w:spacing w:line="360" w:lineRule="auto"/>
        <w:ind w:firstLine="0" w:firstLineChars="0"/>
        <w:textAlignment w:val="baseline"/>
        <w:rPr>
          <w:rFonts w:ascii="宋体" w:hAnsi="宋体"/>
          <w:b/>
          <w:bCs/>
        </w:rPr>
      </w:pPr>
    </w:p>
    <w:p w14:paraId="6AB90841">
      <w:pPr>
        <w:pStyle w:val="23"/>
        <w:spacing w:line="360" w:lineRule="auto"/>
        <w:ind w:firstLine="422"/>
        <w:rPr>
          <w:rFonts w:ascii="宋体" w:hAnsi="宋体"/>
          <w:b/>
          <w:bCs/>
        </w:rPr>
      </w:pPr>
    </w:p>
    <w:p w14:paraId="7EAF4D40">
      <w:pPr>
        <w:pStyle w:val="23"/>
        <w:spacing w:line="360" w:lineRule="auto"/>
        <w:ind w:firstLine="422"/>
        <w:rPr>
          <w:rFonts w:ascii="宋体" w:hAnsi="宋体"/>
          <w:b/>
          <w:bCs/>
        </w:rPr>
      </w:pPr>
    </w:p>
    <w:p w14:paraId="3823C6A2">
      <w:pPr>
        <w:pStyle w:val="23"/>
        <w:spacing w:line="360" w:lineRule="auto"/>
        <w:ind w:firstLine="422"/>
        <w:rPr>
          <w:rFonts w:ascii="宋体" w:hAnsi="宋体"/>
          <w:b/>
          <w:bCs/>
        </w:rPr>
      </w:pPr>
    </w:p>
    <w:p w14:paraId="062BDA44">
      <w:pPr>
        <w:pStyle w:val="23"/>
        <w:spacing w:line="360" w:lineRule="auto"/>
        <w:ind w:firstLine="422"/>
        <w:rPr>
          <w:rFonts w:ascii="宋体" w:hAnsi="宋体"/>
          <w:b/>
          <w:bCs/>
        </w:rPr>
      </w:pPr>
    </w:p>
    <w:p w14:paraId="475962FF">
      <w:pPr>
        <w:tabs>
          <w:tab w:val="left" w:pos="168"/>
        </w:tabs>
        <w:adjustRightInd w:val="0"/>
        <w:spacing w:line="360" w:lineRule="auto"/>
        <w:ind w:firstLine="0" w:firstLineChars="0"/>
        <w:textAlignment w:val="baseline"/>
        <w:rPr>
          <w:rFonts w:ascii="宋体" w:hAnsi="宋体"/>
          <w:b/>
          <w:bCs/>
        </w:rPr>
      </w:pPr>
    </w:p>
    <w:p w14:paraId="2CF6CB92">
      <w:pPr>
        <w:tabs>
          <w:tab w:val="left" w:pos="168"/>
        </w:tabs>
        <w:adjustRightInd w:val="0"/>
        <w:spacing w:line="360" w:lineRule="auto"/>
        <w:ind w:firstLine="0" w:firstLineChars="0"/>
        <w:textAlignment w:val="baseline"/>
        <w:rPr>
          <w:rFonts w:ascii="宋体" w:hAnsi="宋体"/>
          <w:b/>
          <w:bCs/>
        </w:rPr>
      </w:pPr>
    </w:p>
    <w:p w14:paraId="45147710">
      <w:pPr>
        <w:tabs>
          <w:tab w:val="left" w:pos="168"/>
        </w:tabs>
        <w:adjustRightInd w:val="0"/>
        <w:spacing w:line="360" w:lineRule="auto"/>
        <w:ind w:firstLine="0" w:firstLineChars="0"/>
        <w:textAlignment w:val="baseline"/>
        <w:rPr>
          <w:rFonts w:ascii="宋体" w:hAnsi="宋体"/>
          <w:b/>
          <w:bCs/>
        </w:rPr>
      </w:pPr>
    </w:p>
    <w:p w14:paraId="167B7D81">
      <w:pPr>
        <w:widowControl/>
        <w:snapToGrid w:val="0"/>
        <w:spacing w:line="360" w:lineRule="auto"/>
        <w:ind w:firstLine="0" w:firstLineChars="0"/>
        <w:outlineLvl w:val="1"/>
        <w:rPr>
          <w:rFonts w:ascii="宋体"/>
          <w:b/>
          <w:sz w:val="28"/>
          <w:szCs w:val="28"/>
        </w:rPr>
      </w:pPr>
      <w:bookmarkStart w:id="660" w:name="_Toc28726"/>
      <w:bookmarkStart w:id="661" w:name="_Toc18667_WPSOffice_Level2"/>
      <w:bookmarkStart w:id="662" w:name="_Toc16908"/>
      <w:bookmarkStart w:id="663" w:name="_Toc7261"/>
      <w:bookmarkStart w:id="664" w:name="_Toc1831"/>
      <w:bookmarkStart w:id="665" w:name="_Toc21280"/>
      <w:r>
        <w:rPr>
          <w:rFonts w:hint="eastAsia" w:ascii="宋体"/>
          <w:b/>
          <w:sz w:val="28"/>
          <w:szCs w:val="28"/>
        </w:rPr>
        <w:t>附件14：投标供应商的类似业绩证明材料</w:t>
      </w:r>
      <w:bookmarkEnd w:id="660"/>
      <w:bookmarkEnd w:id="661"/>
      <w:bookmarkEnd w:id="662"/>
      <w:bookmarkEnd w:id="663"/>
      <w:bookmarkEnd w:id="664"/>
      <w:bookmarkEnd w:id="665"/>
    </w:p>
    <w:p w14:paraId="20FE2DB4">
      <w:pPr>
        <w:spacing w:line="360" w:lineRule="auto"/>
        <w:ind w:firstLine="2909" w:firstLineChars="805"/>
        <w:rPr>
          <w:rFonts w:ascii="宋体" w:hAnsi="宋体"/>
          <w:b/>
          <w:sz w:val="36"/>
          <w:szCs w:val="36"/>
        </w:rPr>
      </w:pPr>
    </w:p>
    <w:p w14:paraId="78C594C4">
      <w:pPr>
        <w:spacing w:line="360" w:lineRule="auto"/>
        <w:ind w:firstLine="199" w:firstLineChars="55"/>
        <w:jc w:val="center"/>
        <w:outlineLvl w:val="2"/>
        <w:rPr>
          <w:rFonts w:ascii="宋体" w:hAnsi="宋体"/>
          <w:b/>
          <w:sz w:val="36"/>
          <w:szCs w:val="36"/>
        </w:rPr>
      </w:pPr>
      <w:bookmarkStart w:id="666" w:name="_Toc19332_WPSOffice_Level3"/>
      <w:bookmarkStart w:id="667" w:name="_Toc7751_WPSOffice_Level3"/>
      <w:bookmarkStart w:id="668" w:name="_Toc11995"/>
      <w:r>
        <w:rPr>
          <w:rFonts w:hint="eastAsia" w:ascii="宋体" w:hAnsi="宋体"/>
          <w:b/>
          <w:sz w:val="36"/>
          <w:szCs w:val="36"/>
        </w:rPr>
        <w:t>投标供应商的类似业绩证明材料</w:t>
      </w:r>
      <w:bookmarkEnd w:id="666"/>
      <w:bookmarkEnd w:id="667"/>
      <w:bookmarkEnd w:id="668"/>
    </w:p>
    <w:p w14:paraId="30530483">
      <w:pPr>
        <w:tabs>
          <w:tab w:val="left" w:pos="168"/>
        </w:tabs>
        <w:adjustRightInd w:val="0"/>
        <w:spacing w:line="360" w:lineRule="auto"/>
        <w:ind w:firstLine="2530" w:firstLineChars="700"/>
        <w:textAlignment w:val="baseline"/>
        <w:rPr>
          <w:rFonts w:ascii="宋体"/>
          <w:b/>
          <w:sz w:val="36"/>
          <w:szCs w:val="36"/>
        </w:rPr>
      </w:pPr>
    </w:p>
    <w:p w14:paraId="09A6265A">
      <w:pPr>
        <w:widowControl/>
        <w:snapToGrid w:val="0"/>
        <w:spacing w:line="360" w:lineRule="auto"/>
        <w:ind w:firstLine="480"/>
        <w:rPr>
          <w:rFonts w:ascii="宋体" w:hAnsi="宋体"/>
          <w:b/>
        </w:rPr>
      </w:pPr>
      <w:r>
        <w:rPr>
          <w:rFonts w:hint="eastAsia" w:ascii="宋体" w:hAnsi="宋体" w:cs="宋体"/>
          <w:kern w:val="0"/>
        </w:rPr>
        <w:t>按要求提供</w:t>
      </w:r>
      <w:r>
        <w:rPr>
          <w:rFonts w:hint="eastAsia" w:ascii="宋体" w:hAnsi="宋体" w:cs="宋体"/>
          <w:kern w:val="0"/>
          <w:lang w:val="en-US" w:eastAsia="zh-CN"/>
        </w:rPr>
        <w:t>2022年以来</w:t>
      </w:r>
      <w:r>
        <w:rPr>
          <w:rFonts w:hint="eastAsia" w:ascii="宋体" w:hAnsi="宋体" w:cs="宋体"/>
          <w:kern w:val="0"/>
          <w:lang w:val="zh-CN"/>
        </w:rPr>
        <w:t>类似业绩证明材料。</w:t>
      </w:r>
      <w:r>
        <w:rPr>
          <w:rFonts w:cs="宋体"/>
          <w:lang w:val="zh-CN"/>
        </w:rPr>
        <w:t>需提供</w:t>
      </w:r>
      <w:r>
        <w:rPr>
          <w:rFonts w:hint="eastAsia" w:cs="宋体"/>
          <w:lang w:val="zh-CN"/>
        </w:rPr>
        <w:t>中标通知书</w:t>
      </w:r>
      <w:r>
        <w:rPr>
          <w:rFonts w:hint="eastAsia" w:cs="宋体"/>
        </w:rPr>
        <w:t>和</w:t>
      </w:r>
      <w:r>
        <w:rPr>
          <w:rFonts w:cs="宋体"/>
          <w:lang w:val="zh-CN"/>
        </w:rPr>
        <w:t>合同</w:t>
      </w:r>
      <w:r>
        <w:rPr>
          <w:rFonts w:hint="eastAsia" w:cs="宋体"/>
          <w:lang w:val="zh-CN"/>
        </w:rPr>
        <w:t>（</w:t>
      </w:r>
      <w:r>
        <w:rPr>
          <w:rFonts w:hint="eastAsia" w:cs="宋体"/>
        </w:rPr>
        <w:t>合同包含</w:t>
      </w:r>
      <w:r>
        <w:rPr>
          <w:rFonts w:cs="宋体"/>
          <w:lang w:val="zh-CN"/>
        </w:rPr>
        <w:t>首页、标的及金额所在页、供货合同签字盖章页</w:t>
      </w:r>
      <w:r>
        <w:rPr>
          <w:rFonts w:hint="eastAsia" w:cs="宋体"/>
          <w:lang w:val="zh-CN"/>
        </w:rPr>
        <w:t>）</w:t>
      </w:r>
      <w:r>
        <w:rPr>
          <w:rFonts w:hint="eastAsia" w:ascii="宋体" w:hAnsi="宋体" w:cs="宋体"/>
        </w:rPr>
        <w:t>。</w:t>
      </w:r>
    </w:p>
    <w:p w14:paraId="32AB97BE">
      <w:pPr>
        <w:widowControl/>
        <w:snapToGrid w:val="0"/>
        <w:spacing w:line="360" w:lineRule="auto"/>
        <w:ind w:firstLine="0" w:firstLineChars="0"/>
        <w:rPr>
          <w:rFonts w:ascii="宋体"/>
          <w:b/>
          <w:sz w:val="28"/>
          <w:szCs w:val="28"/>
        </w:rPr>
      </w:pPr>
    </w:p>
    <w:p w14:paraId="49ECA054">
      <w:pPr>
        <w:widowControl/>
        <w:snapToGrid w:val="0"/>
        <w:spacing w:line="360" w:lineRule="auto"/>
        <w:ind w:firstLine="0" w:firstLineChars="0"/>
        <w:rPr>
          <w:rFonts w:ascii="宋体"/>
          <w:b/>
          <w:sz w:val="28"/>
          <w:szCs w:val="28"/>
        </w:rPr>
      </w:pPr>
    </w:p>
    <w:p w14:paraId="6499ADFD">
      <w:pPr>
        <w:widowControl/>
        <w:snapToGrid w:val="0"/>
        <w:spacing w:line="360" w:lineRule="auto"/>
        <w:ind w:firstLine="0" w:firstLineChars="0"/>
        <w:rPr>
          <w:rFonts w:ascii="宋体"/>
          <w:b/>
          <w:sz w:val="28"/>
          <w:szCs w:val="28"/>
        </w:rPr>
      </w:pPr>
    </w:p>
    <w:p w14:paraId="2AF8527F">
      <w:pPr>
        <w:widowControl/>
        <w:snapToGrid w:val="0"/>
        <w:spacing w:line="360" w:lineRule="auto"/>
        <w:ind w:firstLine="0" w:firstLineChars="0"/>
        <w:rPr>
          <w:rFonts w:ascii="宋体"/>
          <w:b/>
          <w:sz w:val="28"/>
          <w:szCs w:val="28"/>
        </w:rPr>
      </w:pPr>
    </w:p>
    <w:p w14:paraId="41FD8BB9">
      <w:pPr>
        <w:widowControl/>
        <w:snapToGrid w:val="0"/>
        <w:spacing w:line="360" w:lineRule="auto"/>
        <w:ind w:firstLine="0" w:firstLineChars="0"/>
        <w:rPr>
          <w:rFonts w:ascii="宋体"/>
          <w:b/>
          <w:sz w:val="28"/>
          <w:szCs w:val="28"/>
        </w:rPr>
      </w:pPr>
    </w:p>
    <w:p w14:paraId="49DE06E6">
      <w:pPr>
        <w:widowControl/>
        <w:snapToGrid w:val="0"/>
        <w:spacing w:line="360" w:lineRule="auto"/>
        <w:ind w:firstLine="0" w:firstLineChars="0"/>
        <w:rPr>
          <w:rFonts w:ascii="宋体"/>
          <w:b/>
          <w:sz w:val="28"/>
          <w:szCs w:val="28"/>
        </w:rPr>
      </w:pPr>
    </w:p>
    <w:p w14:paraId="17FE6391">
      <w:pPr>
        <w:widowControl/>
        <w:snapToGrid w:val="0"/>
        <w:spacing w:line="360" w:lineRule="auto"/>
        <w:ind w:firstLine="0" w:firstLineChars="0"/>
        <w:rPr>
          <w:rFonts w:ascii="宋体"/>
          <w:b/>
          <w:sz w:val="28"/>
          <w:szCs w:val="28"/>
        </w:rPr>
      </w:pPr>
    </w:p>
    <w:p w14:paraId="725452AB">
      <w:pPr>
        <w:widowControl/>
        <w:snapToGrid w:val="0"/>
        <w:spacing w:line="360" w:lineRule="auto"/>
        <w:ind w:firstLine="0" w:firstLineChars="0"/>
        <w:rPr>
          <w:rFonts w:ascii="宋体"/>
          <w:b/>
          <w:sz w:val="28"/>
          <w:szCs w:val="28"/>
        </w:rPr>
      </w:pPr>
    </w:p>
    <w:p w14:paraId="66E22EA9">
      <w:pPr>
        <w:widowControl/>
        <w:snapToGrid w:val="0"/>
        <w:spacing w:line="360" w:lineRule="auto"/>
        <w:ind w:firstLine="0" w:firstLineChars="0"/>
        <w:rPr>
          <w:rFonts w:ascii="宋体"/>
          <w:b/>
          <w:sz w:val="28"/>
          <w:szCs w:val="28"/>
        </w:rPr>
      </w:pPr>
    </w:p>
    <w:p w14:paraId="4EF381DB">
      <w:pPr>
        <w:widowControl/>
        <w:snapToGrid w:val="0"/>
        <w:spacing w:line="360" w:lineRule="auto"/>
        <w:ind w:firstLine="0" w:firstLineChars="0"/>
        <w:rPr>
          <w:rFonts w:ascii="宋体"/>
          <w:b/>
          <w:sz w:val="28"/>
          <w:szCs w:val="28"/>
        </w:rPr>
      </w:pPr>
    </w:p>
    <w:p w14:paraId="3591077E">
      <w:pPr>
        <w:widowControl/>
        <w:snapToGrid w:val="0"/>
        <w:spacing w:line="360" w:lineRule="auto"/>
        <w:ind w:firstLine="0" w:firstLineChars="0"/>
        <w:rPr>
          <w:rFonts w:ascii="宋体"/>
          <w:b/>
          <w:sz w:val="28"/>
          <w:szCs w:val="28"/>
        </w:rPr>
      </w:pPr>
    </w:p>
    <w:p w14:paraId="226FB107">
      <w:pPr>
        <w:widowControl/>
        <w:snapToGrid w:val="0"/>
        <w:spacing w:line="360" w:lineRule="auto"/>
        <w:ind w:firstLine="0" w:firstLineChars="0"/>
        <w:rPr>
          <w:rFonts w:ascii="宋体"/>
          <w:b/>
          <w:sz w:val="28"/>
          <w:szCs w:val="28"/>
        </w:rPr>
      </w:pPr>
    </w:p>
    <w:p w14:paraId="6E19E372">
      <w:pPr>
        <w:widowControl/>
        <w:snapToGrid w:val="0"/>
        <w:spacing w:line="360" w:lineRule="auto"/>
        <w:ind w:firstLine="0" w:firstLineChars="0"/>
        <w:rPr>
          <w:rFonts w:ascii="宋体"/>
          <w:b/>
          <w:sz w:val="28"/>
          <w:szCs w:val="28"/>
        </w:rPr>
      </w:pPr>
    </w:p>
    <w:p w14:paraId="4717FC05">
      <w:pPr>
        <w:widowControl/>
        <w:snapToGrid w:val="0"/>
        <w:spacing w:line="360" w:lineRule="auto"/>
        <w:ind w:firstLine="0" w:firstLineChars="0"/>
        <w:rPr>
          <w:rFonts w:ascii="宋体"/>
          <w:b/>
          <w:sz w:val="28"/>
          <w:szCs w:val="28"/>
        </w:rPr>
      </w:pPr>
    </w:p>
    <w:p w14:paraId="4F00D56A">
      <w:pPr>
        <w:widowControl/>
        <w:snapToGrid w:val="0"/>
        <w:spacing w:line="360" w:lineRule="auto"/>
        <w:ind w:firstLine="0" w:firstLineChars="0"/>
        <w:rPr>
          <w:rFonts w:ascii="宋体"/>
          <w:b/>
          <w:sz w:val="28"/>
          <w:szCs w:val="28"/>
        </w:rPr>
      </w:pPr>
    </w:p>
    <w:p w14:paraId="3FB86720">
      <w:pPr>
        <w:widowControl/>
        <w:snapToGrid w:val="0"/>
        <w:spacing w:line="360" w:lineRule="auto"/>
        <w:ind w:firstLine="0" w:firstLineChars="0"/>
        <w:rPr>
          <w:rFonts w:ascii="宋体"/>
          <w:b/>
          <w:sz w:val="28"/>
          <w:szCs w:val="28"/>
        </w:rPr>
      </w:pPr>
    </w:p>
    <w:p w14:paraId="28565F5B">
      <w:pPr>
        <w:widowControl/>
        <w:snapToGrid w:val="0"/>
        <w:spacing w:line="360" w:lineRule="auto"/>
        <w:ind w:firstLine="0" w:firstLineChars="0"/>
        <w:rPr>
          <w:rFonts w:ascii="宋体"/>
          <w:b/>
          <w:sz w:val="28"/>
          <w:szCs w:val="28"/>
        </w:rPr>
      </w:pPr>
    </w:p>
    <w:p w14:paraId="5A257241">
      <w:pPr>
        <w:ind w:firstLine="562"/>
        <w:rPr>
          <w:rFonts w:ascii="宋体"/>
          <w:b/>
          <w:sz w:val="28"/>
          <w:szCs w:val="28"/>
        </w:rPr>
      </w:pPr>
      <w:bookmarkStart w:id="669" w:name="_Toc13751"/>
      <w:bookmarkStart w:id="670" w:name="_Toc22205_WPSOffice_Level2"/>
      <w:bookmarkStart w:id="671" w:name="_Toc9994"/>
      <w:bookmarkStart w:id="672" w:name="_Toc14398"/>
      <w:bookmarkStart w:id="673" w:name="_Toc5110"/>
      <w:bookmarkStart w:id="674" w:name="_Toc7253"/>
      <w:r>
        <w:rPr>
          <w:rFonts w:hint="eastAsia" w:ascii="宋体"/>
          <w:b/>
          <w:sz w:val="28"/>
          <w:szCs w:val="28"/>
        </w:rPr>
        <w:br w:type="page"/>
      </w:r>
    </w:p>
    <w:p w14:paraId="36D29CC8">
      <w:pPr>
        <w:widowControl/>
        <w:snapToGrid w:val="0"/>
        <w:spacing w:line="360" w:lineRule="auto"/>
        <w:ind w:firstLine="0" w:firstLineChars="0"/>
        <w:outlineLvl w:val="1"/>
        <w:rPr>
          <w:rFonts w:ascii="宋体"/>
          <w:b/>
          <w:sz w:val="28"/>
          <w:szCs w:val="28"/>
        </w:rPr>
      </w:pPr>
      <w:r>
        <w:rPr>
          <w:rFonts w:hint="eastAsia" w:ascii="宋体"/>
          <w:b/>
          <w:sz w:val="28"/>
          <w:szCs w:val="28"/>
        </w:rPr>
        <w:t>附件15：磋商保证金</w:t>
      </w:r>
    </w:p>
    <w:p w14:paraId="119867B9">
      <w:pPr>
        <w:widowControl/>
        <w:snapToGrid w:val="0"/>
        <w:spacing w:line="360" w:lineRule="auto"/>
        <w:ind w:firstLine="0" w:firstLineChars="0"/>
        <w:outlineLvl w:val="1"/>
        <w:rPr>
          <w:rFonts w:ascii="宋体"/>
          <w:b/>
          <w:sz w:val="28"/>
          <w:szCs w:val="28"/>
        </w:rPr>
      </w:pPr>
    </w:p>
    <w:p w14:paraId="1DBEE470">
      <w:pPr>
        <w:spacing w:line="360" w:lineRule="auto"/>
        <w:ind w:firstLine="3451" w:firstLineChars="955"/>
        <w:rPr>
          <w:rFonts w:ascii="宋体" w:hAnsi="宋体"/>
          <w:b/>
          <w:sz w:val="36"/>
          <w:szCs w:val="36"/>
        </w:rPr>
      </w:pPr>
      <w:r>
        <w:rPr>
          <w:rFonts w:hint="eastAsia" w:ascii="宋体" w:hAnsi="宋体"/>
          <w:b/>
          <w:sz w:val="36"/>
          <w:szCs w:val="36"/>
        </w:rPr>
        <w:t>磋商保证金</w:t>
      </w:r>
    </w:p>
    <w:p w14:paraId="67266966">
      <w:pPr>
        <w:spacing w:line="360" w:lineRule="auto"/>
        <w:ind w:firstLine="2367" w:firstLineChars="655"/>
        <w:rPr>
          <w:rFonts w:ascii="宋体" w:hAnsi="宋体"/>
          <w:b/>
          <w:sz w:val="36"/>
          <w:szCs w:val="36"/>
        </w:rPr>
      </w:pPr>
    </w:p>
    <w:p w14:paraId="45815039">
      <w:pPr>
        <w:tabs>
          <w:tab w:val="left" w:pos="168"/>
        </w:tabs>
        <w:adjustRightInd w:val="0"/>
        <w:spacing w:line="360" w:lineRule="auto"/>
        <w:ind w:firstLine="590" w:firstLineChars="246"/>
        <w:textAlignment w:val="baseline"/>
        <w:rPr>
          <w:rFonts w:ascii="宋体" w:hAnsi="宋体"/>
          <w:color w:val="FF0000"/>
        </w:rPr>
      </w:pPr>
      <w:r>
        <w:rPr>
          <w:rFonts w:hint="eastAsia" w:ascii="宋体" w:hAnsi="宋体"/>
          <w:bCs/>
        </w:rPr>
        <w:t>将银行出具的针对本项目投标的磋商保证金交款证明扫描（或复印）件粘贴后加盖公章）。</w:t>
      </w:r>
    </w:p>
    <w:p w14:paraId="1FC4E4CE">
      <w:pPr>
        <w:pStyle w:val="23"/>
        <w:spacing w:line="360" w:lineRule="auto"/>
        <w:ind w:firstLine="0" w:firstLineChars="0"/>
      </w:pPr>
    </w:p>
    <w:p w14:paraId="16432906">
      <w:pPr>
        <w:widowControl/>
        <w:snapToGrid w:val="0"/>
        <w:spacing w:line="360" w:lineRule="auto"/>
        <w:ind w:firstLine="0" w:firstLineChars="0"/>
        <w:outlineLvl w:val="1"/>
        <w:rPr>
          <w:rFonts w:ascii="宋体"/>
          <w:b/>
          <w:sz w:val="28"/>
          <w:szCs w:val="28"/>
        </w:rPr>
      </w:pPr>
    </w:p>
    <w:p w14:paraId="09B77339">
      <w:pPr>
        <w:widowControl/>
        <w:snapToGrid w:val="0"/>
        <w:spacing w:line="360" w:lineRule="auto"/>
        <w:ind w:firstLine="0" w:firstLineChars="0"/>
        <w:outlineLvl w:val="1"/>
        <w:rPr>
          <w:rFonts w:ascii="宋体"/>
          <w:b/>
          <w:sz w:val="28"/>
          <w:szCs w:val="28"/>
        </w:rPr>
      </w:pPr>
    </w:p>
    <w:p w14:paraId="58057AF1">
      <w:pPr>
        <w:widowControl/>
        <w:snapToGrid w:val="0"/>
        <w:spacing w:line="360" w:lineRule="auto"/>
        <w:ind w:firstLine="0" w:firstLineChars="0"/>
        <w:outlineLvl w:val="1"/>
        <w:rPr>
          <w:rFonts w:ascii="宋体"/>
          <w:b/>
          <w:sz w:val="28"/>
          <w:szCs w:val="28"/>
        </w:rPr>
      </w:pPr>
    </w:p>
    <w:p w14:paraId="32B7D5AB">
      <w:pPr>
        <w:widowControl/>
        <w:snapToGrid w:val="0"/>
        <w:spacing w:line="360" w:lineRule="auto"/>
        <w:ind w:firstLine="0" w:firstLineChars="0"/>
        <w:outlineLvl w:val="1"/>
        <w:rPr>
          <w:rFonts w:ascii="宋体"/>
          <w:b/>
          <w:sz w:val="28"/>
          <w:szCs w:val="28"/>
        </w:rPr>
      </w:pPr>
    </w:p>
    <w:p w14:paraId="0928F0C0">
      <w:pPr>
        <w:widowControl/>
        <w:snapToGrid w:val="0"/>
        <w:spacing w:line="360" w:lineRule="auto"/>
        <w:ind w:firstLine="0" w:firstLineChars="0"/>
        <w:outlineLvl w:val="1"/>
        <w:rPr>
          <w:rFonts w:ascii="宋体"/>
          <w:b/>
          <w:sz w:val="28"/>
          <w:szCs w:val="28"/>
        </w:rPr>
      </w:pPr>
    </w:p>
    <w:p w14:paraId="066310BA">
      <w:pPr>
        <w:widowControl/>
        <w:snapToGrid w:val="0"/>
        <w:spacing w:line="360" w:lineRule="auto"/>
        <w:ind w:firstLine="0" w:firstLineChars="0"/>
        <w:outlineLvl w:val="1"/>
        <w:rPr>
          <w:rFonts w:ascii="宋体"/>
          <w:b/>
          <w:sz w:val="28"/>
          <w:szCs w:val="28"/>
        </w:rPr>
      </w:pPr>
    </w:p>
    <w:p w14:paraId="2DC3F5B7">
      <w:pPr>
        <w:widowControl/>
        <w:snapToGrid w:val="0"/>
        <w:spacing w:line="360" w:lineRule="auto"/>
        <w:ind w:firstLine="0" w:firstLineChars="0"/>
        <w:outlineLvl w:val="1"/>
        <w:rPr>
          <w:rFonts w:ascii="宋体"/>
          <w:b/>
          <w:sz w:val="28"/>
          <w:szCs w:val="28"/>
        </w:rPr>
      </w:pPr>
    </w:p>
    <w:p w14:paraId="150BBD6B">
      <w:pPr>
        <w:widowControl/>
        <w:snapToGrid w:val="0"/>
        <w:spacing w:line="360" w:lineRule="auto"/>
        <w:ind w:firstLine="0" w:firstLineChars="0"/>
        <w:outlineLvl w:val="1"/>
        <w:rPr>
          <w:rFonts w:ascii="宋体"/>
          <w:b/>
          <w:sz w:val="28"/>
          <w:szCs w:val="28"/>
        </w:rPr>
      </w:pPr>
    </w:p>
    <w:p w14:paraId="52C487D1">
      <w:pPr>
        <w:widowControl/>
        <w:snapToGrid w:val="0"/>
        <w:spacing w:line="360" w:lineRule="auto"/>
        <w:ind w:firstLine="0" w:firstLineChars="0"/>
        <w:outlineLvl w:val="1"/>
        <w:rPr>
          <w:rFonts w:ascii="宋体"/>
          <w:b/>
          <w:sz w:val="28"/>
          <w:szCs w:val="28"/>
        </w:rPr>
      </w:pPr>
    </w:p>
    <w:p w14:paraId="3D9FBA9F">
      <w:pPr>
        <w:widowControl/>
        <w:snapToGrid w:val="0"/>
        <w:spacing w:line="360" w:lineRule="auto"/>
        <w:ind w:firstLine="0" w:firstLineChars="0"/>
        <w:outlineLvl w:val="1"/>
        <w:rPr>
          <w:rFonts w:ascii="宋体"/>
          <w:b/>
          <w:sz w:val="28"/>
          <w:szCs w:val="28"/>
        </w:rPr>
      </w:pPr>
    </w:p>
    <w:p w14:paraId="4E51E151">
      <w:pPr>
        <w:widowControl/>
        <w:snapToGrid w:val="0"/>
        <w:spacing w:line="360" w:lineRule="auto"/>
        <w:ind w:firstLine="0" w:firstLineChars="0"/>
        <w:outlineLvl w:val="1"/>
        <w:rPr>
          <w:rFonts w:ascii="宋体"/>
          <w:b/>
          <w:sz w:val="28"/>
          <w:szCs w:val="28"/>
        </w:rPr>
      </w:pPr>
    </w:p>
    <w:p w14:paraId="2FF67F35">
      <w:pPr>
        <w:widowControl/>
        <w:snapToGrid w:val="0"/>
        <w:spacing w:line="360" w:lineRule="auto"/>
        <w:ind w:firstLine="0" w:firstLineChars="0"/>
        <w:outlineLvl w:val="1"/>
        <w:rPr>
          <w:rFonts w:ascii="宋体"/>
          <w:b/>
          <w:sz w:val="28"/>
          <w:szCs w:val="28"/>
        </w:rPr>
      </w:pPr>
    </w:p>
    <w:p w14:paraId="598FE2CF">
      <w:pPr>
        <w:widowControl/>
        <w:snapToGrid w:val="0"/>
        <w:spacing w:line="360" w:lineRule="auto"/>
        <w:ind w:firstLine="0" w:firstLineChars="0"/>
        <w:outlineLvl w:val="1"/>
        <w:rPr>
          <w:rFonts w:ascii="宋体"/>
          <w:b/>
          <w:sz w:val="28"/>
          <w:szCs w:val="28"/>
        </w:rPr>
      </w:pPr>
    </w:p>
    <w:p w14:paraId="6617C93D">
      <w:pPr>
        <w:widowControl/>
        <w:snapToGrid w:val="0"/>
        <w:spacing w:line="360" w:lineRule="auto"/>
        <w:ind w:firstLine="0" w:firstLineChars="0"/>
        <w:outlineLvl w:val="1"/>
        <w:rPr>
          <w:rFonts w:ascii="宋体"/>
          <w:b/>
          <w:sz w:val="28"/>
          <w:szCs w:val="28"/>
        </w:rPr>
      </w:pPr>
    </w:p>
    <w:p w14:paraId="5AD48F9C">
      <w:pPr>
        <w:widowControl/>
        <w:snapToGrid w:val="0"/>
        <w:spacing w:line="360" w:lineRule="auto"/>
        <w:ind w:firstLine="0" w:firstLineChars="0"/>
        <w:outlineLvl w:val="1"/>
        <w:rPr>
          <w:rFonts w:ascii="宋体"/>
          <w:b/>
          <w:sz w:val="28"/>
          <w:szCs w:val="28"/>
        </w:rPr>
      </w:pPr>
    </w:p>
    <w:p w14:paraId="5C1FFB94">
      <w:pPr>
        <w:widowControl/>
        <w:snapToGrid w:val="0"/>
        <w:spacing w:line="360" w:lineRule="auto"/>
        <w:ind w:firstLine="0" w:firstLineChars="0"/>
        <w:outlineLvl w:val="1"/>
        <w:rPr>
          <w:rFonts w:ascii="宋体"/>
          <w:b/>
          <w:sz w:val="28"/>
          <w:szCs w:val="28"/>
        </w:rPr>
      </w:pPr>
    </w:p>
    <w:p w14:paraId="0823FB72">
      <w:pPr>
        <w:widowControl/>
        <w:snapToGrid w:val="0"/>
        <w:spacing w:line="360" w:lineRule="auto"/>
        <w:ind w:firstLine="0" w:firstLineChars="0"/>
        <w:outlineLvl w:val="1"/>
        <w:rPr>
          <w:rFonts w:ascii="宋体"/>
          <w:b/>
          <w:sz w:val="28"/>
          <w:szCs w:val="28"/>
        </w:rPr>
      </w:pPr>
    </w:p>
    <w:p w14:paraId="03E19DB9">
      <w:pPr>
        <w:rPr>
          <w:rFonts w:hint="eastAsia" w:ascii="宋体"/>
          <w:b/>
          <w:sz w:val="28"/>
          <w:szCs w:val="28"/>
        </w:rPr>
      </w:pPr>
      <w:r>
        <w:rPr>
          <w:rFonts w:hint="eastAsia" w:ascii="宋体"/>
          <w:b/>
          <w:sz w:val="28"/>
          <w:szCs w:val="28"/>
        </w:rPr>
        <w:br w:type="page"/>
      </w:r>
    </w:p>
    <w:p w14:paraId="45E3A69A">
      <w:pPr>
        <w:widowControl/>
        <w:snapToGrid w:val="0"/>
        <w:spacing w:line="360" w:lineRule="auto"/>
        <w:ind w:firstLine="0" w:firstLineChars="0"/>
        <w:outlineLvl w:val="1"/>
        <w:rPr>
          <w:rFonts w:ascii="宋体"/>
          <w:b/>
          <w:sz w:val="36"/>
          <w:szCs w:val="36"/>
        </w:rPr>
      </w:pPr>
      <w:r>
        <w:rPr>
          <w:rFonts w:hint="eastAsia" w:ascii="宋体"/>
          <w:b/>
          <w:sz w:val="28"/>
          <w:szCs w:val="28"/>
        </w:rPr>
        <w:t>附件16：中小企业声明函</w:t>
      </w:r>
      <w:bookmarkEnd w:id="669"/>
      <w:bookmarkEnd w:id="670"/>
      <w:bookmarkEnd w:id="671"/>
      <w:bookmarkEnd w:id="672"/>
      <w:bookmarkEnd w:id="673"/>
      <w:bookmarkEnd w:id="674"/>
      <w:r>
        <w:rPr>
          <w:rFonts w:hint="eastAsia" w:ascii="宋体"/>
          <w:b/>
          <w:sz w:val="28"/>
          <w:szCs w:val="28"/>
        </w:rPr>
        <w:t>、残疾人福利性单位声明函</w:t>
      </w:r>
    </w:p>
    <w:p w14:paraId="7DD727AA">
      <w:pPr>
        <w:spacing w:line="360" w:lineRule="auto"/>
        <w:ind w:firstLine="0" w:firstLineChars="0"/>
        <w:jc w:val="center"/>
        <w:outlineLvl w:val="2"/>
        <w:rPr>
          <w:rFonts w:ascii="宋体" w:hAnsi="宋体"/>
          <w:b/>
          <w:sz w:val="36"/>
          <w:szCs w:val="36"/>
        </w:rPr>
      </w:pPr>
      <w:bookmarkStart w:id="675" w:name="_Toc21705"/>
      <w:bookmarkStart w:id="676" w:name="_Toc256_WPSOffice_Level3"/>
      <w:bookmarkStart w:id="677" w:name="_Toc29171_WPSOffice_Level3"/>
      <w:r>
        <w:rPr>
          <w:rFonts w:hint="eastAsia" w:ascii="宋体" w:hAnsi="宋体"/>
          <w:b/>
          <w:sz w:val="36"/>
          <w:szCs w:val="36"/>
        </w:rPr>
        <w:t>（一）中小企业声明函</w:t>
      </w:r>
      <w:bookmarkEnd w:id="675"/>
      <w:bookmarkEnd w:id="676"/>
      <w:bookmarkEnd w:id="677"/>
    </w:p>
    <w:p w14:paraId="4AE6E25A">
      <w:pPr>
        <w:spacing w:after="120" w:afterLines="50" w:line="360" w:lineRule="auto"/>
        <w:ind w:firstLine="0" w:firstLineChars="0"/>
        <w:rPr>
          <w:rFonts w:ascii="宋体" w:hAnsi="宋体"/>
          <w:b/>
          <w:bCs/>
        </w:rPr>
      </w:pPr>
      <w:r>
        <w:rPr>
          <w:rFonts w:hint="eastAsia" w:ascii="宋体" w:hAnsi="宋体"/>
          <w:b/>
          <w:bCs/>
        </w:rPr>
        <w:t>致：青海旺利欣项目咨询管理有限公司</w:t>
      </w:r>
    </w:p>
    <w:p w14:paraId="6F3F1EC6">
      <w:pPr>
        <w:pStyle w:val="61"/>
        <w:spacing w:line="360" w:lineRule="auto"/>
        <w:ind w:firstLine="480"/>
      </w:pPr>
    </w:p>
    <w:p w14:paraId="556D0C02">
      <w:pPr>
        <w:spacing w:line="360" w:lineRule="auto"/>
        <w:ind w:firstLine="480"/>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5BEB8D3E">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w:t>
      </w:r>
      <w:r>
        <w:rPr>
          <w:rFonts w:hint="eastAsia"/>
          <w:u w:val="single"/>
          <w:lang w:val="en-US" w:eastAsia="zh-CN"/>
        </w:rPr>
        <w:t>制造业</w:t>
      </w:r>
      <w:r>
        <w:rPr>
          <w:rFonts w:hint="eastAsia"/>
          <w:u w:val="single"/>
        </w:rPr>
        <w:t xml:space="preserve">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B2A91DD">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w:t>
      </w:r>
      <w:r>
        <w:rPr>
          <w:rFonts w:hint="eastAsia"/>
          <w:u w:val="single"/>
          <w:lang w:val="en-US" w:eastAsia="zh-CN"/>
        </w:rPr>
        <w:t>制造业</w:t>
      </w:r>
      <w:r>
        <w:rPr>
          <w:rFonts w:hint="eastAsia"/>
          <w:u w:val="single"/>
        </w:rPr>
        <w:t xml:space="preserve">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0D255C0F">
      <w:pPr>
        <w:spacing w:line="360" w:lineRule="auto"/>
        <w:ind w:firstLine="480"/>
      </w:pPr>
      <w:r>
        <w:rPr>
          <w:rFonts w:hint="eastAsia"/>
        </w:rPr>
        <w:t>……</w:t>
      </w:r>
    </w:p>
    <w:p w14:paraId="35A58233">
      <w:pPr>
        <w:spacing w:line="360" w:lineRule="auto"/>
        <w:ind w:firstLine="480"/>
      </w:pPr>
      <w:r>
        <w:rPr>
          <w:rFonts w:hint="eastAsia"/>
        </w:rPr>
        <w:t>以上企业，不属于大企业的分支机构， 不存在控股股东为大企业的情形， 也不存在与大企业的负责人为同一人的情形。</w:t>
      </w:r>
    </w:p>
    <w:p w14:paraId="3C37A965">
      <w:pPr>
        <w:spacing w:line="360" w:lineRule="auto"/>
        <w:ind w:firstLine="480"/>
      </w:pPr>
      <w:r>
        <w:rPr>
          <w:rFonts w:hint="eastAsia"/>
        </w:rPr>
        <w:t>本企业对上述声明内容的真实性负责。 如有虚假， 将依法承担相应责任。</w:t>
      </w:r>
    </w:p>
    <w:p w14:paraId="354333CF">
      <w:pPr>
        <w:spacing w:line="360" w:lineRule="auto"/>
        <w:ind w:firstLine="480"/>
      </w:pPr>
    </w:p>
    <w:p w14:paraId="2A7AD886">
      <w:pPr>
        <w:spacing w:line="360" w:lineRule="auto"/>
        <w:ind w:firstLine="0" w:firstLineChars="0"/>
      </w:pPr>
      <w:r>
        <w:rPr>
          <w:rFonts w:hint="eastAsia"/>
        </w:rPr>
        <w:t>注：1、从业人员、营业收入、资产总额填报上一年度数据，无上一年度数据的新成立企业可不填报。</w:t>
      </w:r>
    </w:p>
    <w:p w14:paraId="3E7E0BAA">
      <w:pPr>
        <w:spacing w:line="360" w:lineRule="auto"/>
        <w:ind w:firstLine="480"/>
      </w:pPr>
      <w:r>
        <w:rPr>
          <w:rFonts w:hint="eastAsia"/>
        </w:rPr>
        <w:t>2、</w:t>
      </w:r>
      <w:r>
        <w:rPr>
          <w:rFonts w:hint="eastAsia" w:ascii="宋体" w:hAnsi="宋体"/>
        </w:rPr>
        <w:t>若无此项内容，可不提供此函。</w:t>
      </w:r>
    </w:p>
    <w:p w14:paraId="27655412">
      <w:pPr>
        <w:spacing w:line="360" w:lineRule="auto"/>
        <w:ind w:right="146"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0451E3C">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4BD0ABAE">
      <w:pPr>
        <w:spacing w:line="360" w:lineRule="auto"/>
        <w:ind w:right="480" w:firstLine="6023" w:firstLineChars="2500"/>
        <w:rPr>
          <w:rFonts w:ascii="宋体" w:hAnsi="宋体"/>
          <w:b/>
        </w:rPr>
      </w:pPr>
      <w:r>
        <w:rPr>
          <w:rFonts w:hint="eastAsia" w:ascii="宋体" w:hAnsi="宋体"/>
          <w:b/>
        </w:rPr>
        <w:t>年  月  日</w:t>
      </w:r>
    </w:p>
    <w:p w14:paraId="27634928">
      <w:pPr>
        <w:pStyle w:val="61"/>
        <w:spacing w:line="360" w:lineRule="auto"/>
        <w:ind w:firstLine="480"/>
      </w:pPr>
    </w:p>
    <w:p w14:paraId="33150E67">
      <w:pPr>
        <w:rPr>
          <w:rFonts w:hint="eastAsia" w:ascii="宋体" w:hAnsi="宋体"/>
          <w:b/>
          <w:sz w:val="36"/>
          <w:szCs w:val="36"/>
        </w:rPr>
      </w:pPr>
      <w:r>
        <w:rPr>
          <w:rFonts w:hint="eastAsia" w:ascii="宋体" w:hAnsi="宋体"/>
          <w:b/>
          <w:sz w:val="36"/>
          <w:szCs w:val="36"/>
        </w:rPr>
        <w:br w:type="page"/>
      </w:r>
    </w:p>
    <w:p w14:paraId="7603198D">
      <w:pPr>
        <w:spacing w:line="360" w:lineRule="auto"/>
        <w:ind w:firstLine="0" w:firstLineChars="0"/>
        <w:jc w:val="center"/>
        <w:rPr>
          <w:rFonts w:ascii="宋体" w:hAnsi="宋体"/>
          <w:b/>
          <w:sz w:val="36"/>
          <w:szCs w:val="36"/>
        </w:rPr>
      </w:pPr>
      <w:r>
        <w:rPr>
          <w:rFonts w:hint="eastAsia" w:ascii="宋体" w:hAnsi="宋体"/>
          <w:b/>
          <w:sz w:val="36"/>
          <w:szCs w:val="36"/>
        </w:rPr>
        <w:t>（二）残疾人福利性单位声明函</w:t>
      </w:r>
    </w:p>
    <w:p w14:paraId="1B3E26E0">
      <w:pPr>
        <w:widowControl/>
        <w:snapToGrid w:val="0"/>
        <w:spacing w:line="360" w:lineRule="auto"/>
        <w:ind w:firstLine="0" w:firstLineChars="0"/>
        <w:rPr>
          <w:rFonts w:ascii="宋体"/>
          <w:b/>
          <w:sz w:val="28"/>
          <w:szCs w:val="28"/>
        </w:rPr>
      </w:pPr>
    </w:p>
    <w:p w14:paraId="6FFC28CB">
      <w:pPr>
        <w:spacing w:after="120" w:afterLines="50" w:line="360" w:lineRule="auto"/>
        <w:ind w:firstLine="0" w:firstLineChars="0"/>
        <w:rPr>
          <w:rFonts w:ascii="宋体" w:hAnsi="宋体"/>
          <w:b/>
          <w:bCs/>
        </w:rPr>
      </w:pPr>
      <w:bookmarkStart w:id="678" w:name="_Toc416363470"/>
      <w:r>
        <w:rPr>
          <w:rFonts w:hint="eastAsia" w:ascii="宋体" w:hAnsi="宋体"/>
          <w:b/>
          <w:bCs/>
        </w:rPr>
        <w:t>致：青海旺利欣项目咨询管理有限公司</w:t>
      </w:r>
    </w:p>
    <w:p w14:paraId="5BA3B6AA">
      <w:pPr>
        <w:pStyle w:val="61"/>
        <w:spacing w:line="360" w:lineRule="auto"/>
        <w:ind w:firstLine="480"/>
      </w:pPr>
    </w:p>
    <w:p w14:paraId="59422240">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46E72A85">
      <w:pPr>
        <w:spacing w:line="360" w:lineRule="auto"/>
        <w:ind w:firstLine="480"/>
      </w:pPr>
      <w:r>
        <w:rPr>
          <w:rFonts w:hint="eastAsia"/>
        </w:rPr>
        <w:t>本公司对上述声明的真实性负责。如有虚假，将依法承担相应责任。</w:t>
      </w:r>
    </w:p>
    <w:p w14:paraId="3EDAC2F7">
      <w:pPr>
        <w:spacing w:line="360" w:lineRule="auto"/>
        <w:ind w:firstLine="480"/>
      </w:pPr>
    </w:p>
    <w:p w14:paraId="5F9FF522">
      <w:pPr>
        <w:spacing w:line="360" w:lineRule="auto"/>
        <w:ind w:firstLine="0" w:firstLineChars="0"/>
      </w:pPr>
      <w:r>
        <w:rPr>
          <w:rFonts w:hint="eastAsia"/>
        </w:rPr>
        <w:t>注：</w:t>
      </w:r>
      <w:r>
        <w:rPr>
          <w:rFonts w:hint="eastAsia" w:ascii="宋体" w:hAnsi="宋体"/>
        </w:rPr>
        <w:t>若无此项内容，可不提供此函。</w:t>
      </w:r>
    </w:p>
    <w:p w14:paraId="1D1ADE0E">
      <w:pPr>
        <w:spacing w:line="360" w:lineRule="auto"/>
        <w:ind w:firstLine="0" w:firstLineChars="0"/>
      </w:pPr>
    </w:p>
    <w:p w14:paraId="4685C74E">
      <w:pPr>
        <w:spacing w:line="360" w:lineRule="auto"/>
        <w:ind w:firstLine="0" w:firstLineChars="0"/>
      </w:pPr>
    </w:p>
    <w:p w14:paraId="461A75FA">
      <w:pPr>
        <w:spacing w:line="360" w:lineRule="auto"/>
        <w:ind w:firstLine="0" w:firstLineChars="0"/>
      </w:pPr>
    </w:p>
    <w:p w14:paraId="79D4DEF4">
      <w:pPr>
        <w:spacing w:line="360" w:lineRule="auto"/>
        <w:ind w:firstLine="0" w:firstLineChars="0"/>
      </w:pPr>
    </w:p>
    <w:p w14:paraId="11BAC051">
      <w:pPr>
        <w:spacing w:line="360" w:lineRule="auto"/>
        <w:ind w:firstLine="0" w:firstLineChars="0"/>
      </w:pPr>
    </w:p>
    <w:p w14:paraId="1FBBD3A6">
      <w:pPr>
        <w:spacing w:line="360" w:lineRule="auto"/>
        <w:ind w:firstLine="0" w:firstLineChars="0"/>
      </w:pPr>
    </w:p>
    <w:p w14:paraId="09109068">
      <w:pPr>
        <w:spacing w:line="360" w:lineRule="auto"/>
        <w:ind w:firstLine="0" w:firstLineChars="0"/>
      </w:pPr>
    </w:p>
    <w:p w14:paraId="48B25629">
      <w:pPr>
        <w:spacing w:line="360" w:lineRule="auto"/>
        <w:ind w:firstLine="0" w:firstLineChars="0"/>
      </w:pPr>
    </w:p>
    <w:p w14:paraId="1A6D9496">
      <w:pPr>
        <w:spacing w:line="360" w:lineRule="auto"/>
        <w:ind w:firstLine="0" w:firstLineChars="0"/>
      </w:pPr>
    </w:p>
    <w:p w14:paraId="09D547CC">
      <w:pPr>
        <w:spacing w:line="360" w:lineRule="auto"/>
        <w:ind w:firstLine="0" w:firstLineChars="0"/>
      </w:pPr>
    </w:p>
    <w:p w14:paraId="6656D4BC">
      <w:pPr>
        <w:spacing w:line="360" w:lineRule="auto"/>
        <w:ind w:firstLine="0" w:firstLineChars="0"/>
      </w:pPr>
    </w:p>
    <w:p w14:paraId="1CEACC60">
      <w:pPr>
        <w:spacing w:line="360" w:lineRule="auto"/>
        <w:ind w:right="146"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CE4FB14">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49931C2">
      <w:pPr>
        <w:spacing w:line="360" w:lineRule="auto"/>
        <w:ind w:right="480" w:firstLine="6023" w:firstLineChars="2500"/>
        <w:rPr>
          <w:rFonts w:ascii="宋体" w:hAnsi="宋体"/>
          <w:b/>
        </w:rPr>
      </w:pPr>
      <w:r>
        <w:rPr>
          <w:rFonts w:hint="eastAsia" w:ascii="宋体" w:hAnsi="宋体"/>
          <w:b/>
        </w:rPr>
        <w:t>年  月  日</w:t>
      </w:r>
    </w:p>
    <w:p w14:paraId="37E393C6">
      <w:pPr>
        <w:widowControl/>
        <w:snapToGrid w:val="0"/>
        <w:spacing w:line="360" w:lineRule="auto"/>
        <w:ind w:firstLine="0" w:firstLineChars="0"/>
        <w:outlineLvl w:val="1"/>
        <w:rPr>
          <w:rFonts w:ascii="宋体"/>
          <w:b/>
          <w:sz w:val="28"/>
          <w:szCs w:val="28"/>
        </w:rPr>
      </w:pPr>
      <w:bookmarkStart w:id="679" w:name="_Toc12101"/>
      <w:bookmarkStart w:id="680" w:name="_Toc18396_WPSOffice_Level2"/>
      <w:bookmarkStart w:id="681" w:name="_Toc25921"/>
      <w:bookmarkStart w:id="682" w:name="_Toc7186"/>
      <w:bookmarkStart w:id="683" w:name="_Toc29344"/>
    </w:p>
    <w:bookmarkEnd w:id="678"/>
    <w:bookmarkEnd w:id="679"/>
    <w:bookmarkEnd w:id="680"/>
    <w:bookmarkEnd w:id="681"/>
    <w:bookmarkEnd w:id="682"/>
    <w:bookmarkEnd w:id="683"/>
    <w:p w14:paraId="23EBDE1E">
      <w:pPr>
        <w:widowControl/>
        <w:snapToGrid w:val="0"/>
        <w:spacing w:line="360" w:lineRule="auto"/>
        <w:outlineLvl w:val="1"/>
        <w:rPr>
          <w:rFonts w:hint="eastAsia" w:ascii="宋体" w:hAnsi="宋体" w:cs="宋体"/>
          <w:b/>
          <w:color w:val="auto"/>
          <w:sz w:val="28"/>
          <w:szCs w:val="28"/>
        </w:rPr>
      </w:pPr>
      <w:bookmarkStart w:id="684" w:name="_Toc12719"/>
      <w:bookmarkStart w:id="685" w:name="_Toc325726051"/>
      <w:bookmarkStart w:id="686" w:name="_Toc376936782"/>
      <w:r>
        <w:rPr>
          <w:rFonts w:hint="eastAsia" w:ascii="宋体" w:hAnsi="宋体" w:cs="宋体"/>
          <w:b/>
          <w:color w:val="auto"/>
          <w:sz w:val="28"/>
          <w:szCs w:val="28"/>
        </w:rPr>
        <w:t>附件1</w:t>
      </w:r>
      <w:r>
        <w:rPr>
          <w:rFonts w:hint="eastAsia" w:ascii="宋体" w:hAnsi="宋体" w:cs="宋体"/>
          <w:b/>
          <w:color w:val="auto"/>
          <w:sz w:val="28"/>
          <w:szCs w:val="28"/>
          <w:lang w:val="en-US" w:eastAsia="zh-CN"/>
        </w:rPr>
        <w:t>7</w:t>
      </w:r>
      <w:r>
        <w:rPr>
          <w:rFonts w:hint="eastAsia" w:ascii="宋体" w:hAnsi="宋体" w:cs="宋体"/>
          <w:b/>
          <w:color w:val="auto"/>
          <w:sz w:val="28"/>
          <w:szCs w:val="28"/>
        </w:rPr>
        <w:t>：磋商最终报价</w:t>
      </w:r>
      <w:bookmarkEnd w:id="684"/>
    </w:p>
    <w:p w14:paraId="61C660BE">
      <w:pPr>
        <w:ind w:firstLine="2367" w:firstLineChars="655"/>
        <w:rPr>
          <w:rFonts w:hint="eastAsia" w:ascii="宋体" w:hAnsi="宋体" w:cs="宋体"/>
          <w:b/>
          <w:color w:val="auto"/>
          <w:sz w:val="36"/>
          <w:szCs w:val="36"/>
        </w:rPr>
      </w:pPr>
    </w:p>
    <w:p w14:paraId="22363E8B">
      <w:pPr>
        <w:jc w:val="center"/>
        <w:rPr>
          <w:rFonts w:hint="eastAsia" w:ascii="宋体" w:hAnsi="宋体" w:cs="宋体"/>
          <w:b/>
          <w:color w:val="auto"/>
          <w:sz w:val="36"/>
          <w:szCs w:val="36"/>
        </w:rPr>
      </w:pPr>
      <w:r>
        <w:rPr>
          <w:rFonts w:hint="eastAsia" w:ascii="宋体" w:hAnsi="宋体" w:cs="宋体"/>
          <w:b/>
          <w:color w:val="auto"/>
          <w:sz w:val="36"/>
          <w:szCs w:val="36"/>
        </w:rPr>
        <w:t>磋商最终报价</w:t>
      </w:r>
    </w:p>
    <w:p w14:paraId="2104F8C8">
      <w:pPr>
        <w:pStyle w:val="129"/>
        <w:rPr>
          <w:rFonts w:hint="eastAsia" w:ascii="宋体" w:hAnsi="宋体" w:cs="宋体"/>
          <w:b/>
          <w:color w:val="auto"/>
          <w:sz w:val="36"/>
          <w:szCs w:val="36"/>
        </w:rPr>
      </w:pPr>
    </w:p>
    <w:p w14:paraId="6DA81584">
      <w:pPr>
        <w:widowControl/>
        <w:ind w:firstLine="480"/>
        <w:jc w:val="left"/>
        <w:rPr>
          <w:rFonts w:ascii="宋体" w:hAnsi="宋体"/>
          <w:color w:val="auto"/>
          <w:sz w:val="24"/>
          <w:szCs w:val="24"/>
          <w:highlight w:val="none"/>
        </w:rPr>
      </w:pPr>
      <w:r>
        <w:rPr>
          <w:rFonts w:hint="eastAsia" w:ascii="宋体" w:hAnsi="宋体" w:cs="宋体"/>
          <w:color w:val="auto"/>
          <w:kern w:val="0"/>
          <w:sz w:val="24"/>
          <w:szCs w:val="24"/>
          <w:highlight w:val="none"/>
          <w:lang w:val="en-US" w:eastAsia="zh-CN"/>
        </w:rPr>
        <w:t>此附件无需放入磋商响应文件中，</w:t>
      </w:r>
      <w:r>
        <w:rPr>
          <w:rFonts w:hint="eastAsia" w:ascii="宋体" w:hAnsi="宋体" w:cs="宋体"/>
          <w:color w:val="auto"/>
          <w:kern w:val="0"/>
          <w:sz w:val="24"/>
          <w:szCs w:val="24"/>
          <w:highlight w:val="none"/>
        </w:rPr>
        <w:t>初审阶段，通过资格审查和</w:t>
      </w:r>
      <w:r>
        <w:rPr>
          <w:rFonts w:hint="eastAsia" w:ascii="宋体" w:hAnsi="宋体" w:cs="宋体"/>
          <w:color w:val="auto"/>
          <w:kern w:val="0"/>
          <w:sz w:val="24"/>
          <w:szCs w:val="24"/>
          <w:highlight w:val="none"/>
          <w:lang w:val="en-US" w:eastAsia="zh-CN"/>
        </w:rPr>
        <w:t>符合</w:t>
      </w:r>
      <w:r>
        <w:rPr>
          <w:rFonts w:hint="eastAsia" w:ascii="宋体" w:hAnsi="宋体" w:cs="宋体"/>
          <w:color w:val="auto"/>
          <w:kern w:val="0"/>
          <w:sz w:val="24"/>
          <w:szCs w:val="24"/>
          <w:highlight w:val="none"/>
        </w:rPr>
        <w:t>性审查的供应商在</w:t>
      </w:r>
      <w:r>
        <w:rPr>
          <w:rFonts w:hint="eastAsia" w:ascii="宋体" w:hAnsi="宋体"/>
          <w:color w:val="auto"/>
          <w:sz w:val="24"/>
          <w:szCs w:val="24"/>
          <w:highlight w:val="none"/>
        </w:rPr>
        <w:t>政采云平台进行最终报价并盖章。</w:t>
      </w:r>
    </w:p>
    <w:p w14:paraId="3E30D011">
      <w:pPr>
        <w:ind w:firstLine="480"/>
        <w:rPr>
          <w:rFonts w:hint="eastAsia" w:ascii="宋体" w:hAnsi="宋体" w:cs="宋体"/>
          <w:color w:val="auto"/>
        </w:rPr>
      </w:pPr>
    </w:p>
    <w:p w14:paraId="135FF3D8">
      <w:pPr>
        <w:spacing w:line="360" w:lineRule="auto"/>
        <w:ind w:firstLine="480"/>
      </w:pPr>
    </w:p>
    <w:p w14:paraId="30A0D910">
      <w:pPr>
        <w:keepNext/>
        <w:keepLines/>
        <w:widowControl/>
        <w:snapToGrid w:val="0"/>
        <w:spacing w:line="360" w:lineRule="auto"/>
        <w:ind w:firstLine="0" w:firstLineChars="0"/>
        <w:jc w:val="center"/>
        <w:outlineLvl w:val="0"/>
        <w:rPr>
          <w:rFonts w:hint="eastAsia" w:ascii="宋体"/>
          <w:b/>
          <w:kern w:val="28"/>
          <w:sz w:val="36"/>
          <w:szCs w:val="20"/>
        </w:rPr>
      </w:pPr>
      <w:bookmarkStart w:id="687" w:name="_Toc4386"/>
      <w:bookmarkStart w:id="688" w:name="_Toc27264"/>
      <w:bookmarkStart w:id="689" w:name="_Toc30063_WPSOffice_Level1"/>
      <w:bookmarkStart w:id="690" w:name="_Toc28306"/>
      <w:bookmarkStart w:id="691" w:name="_Toc18944"/>
    </w:p>
    <w:p w14:paraId="6415C6FD">
      <w:pPr>
        <w:keepNext/>
        <w:keepLines/>
        <w:widowControl/>
        <w:snapToGrid w:val="0"/>
        <w:spacing w:line="360" w:lineRule="auto"/>
        <w:ind w:firstLine="0" w:firstLineChars="0"/>
        <w:jc w:val="center"/>
        <w:outlineLvl w:val="0"/>
        <w:rPr>
          <w:rFonts w:hint="eastAsia" w:ascii="宋体"/>
          <w:b/>
          <w:kern w:val="28"/>
          <w:sz w:val="36"/>
          <w:szCs w:val="20"/>
        </w:rPr>
      </w:pPr>
    </w:p>
    <w:p w14:paraId="3ED53583">
      <w:pPr>
        <w:keepNext/>
        <w:keepLines/>
        <w:widowControl/>
        <w:snapToGrid w:val="0"/>
        <w:spacing w:line="360" w:lineRule="auto"/>
        <w:ind w:firstLine="0" w:firstLineChars="0"/>
        <w:jc w:val="center"/>
        <w:outlineLvl w:val="0"/>
        <w:rPr>
          <w:rFonts w:hint="eastAsia" w:ascii="宋体"/>
          <w:b/>
          <w:kern w:val="28"/>
          <w:sz w:val="36"/>
          <w:szCs w:val="20"/>
        </w:rPr>
      </w:pPr>
    </w:p>
    <w:p w14:paraId="16AD8683">
      <w:pPr>
        <w:keepNext/>
        <w:keepLines/>
        <w:widowControl/>
        <w:snapToGrid w:val="0"/>
        <w:spacing w:line="360" w:lineRule="auto"/>
        <w:ind w:firstLine="0" w:firstLineChars="0"/>
        <w:jc w:val="center"/>
        <w:outlineLvl w:val="0"/>
        <w:rPr>
          <w:rFonts w:hint="eastAsia" w:ascii="宋体"/>
          <w:b/>
          <w:kern w:val="28"/>
          <w:sz w:val="36"/>
          <w:szCs w:val="20"/>
        </w:rPr>
      </w:pPr>
    </w:p>
    <w:p w14:paraId="34E26695">
      <w:pPr>
        <w:keepNext/>
        <w:keepLines/>
        <w:widowControl/>
        <w:snapToGrid w:val="0"/>
        <w:spacing w:line="360" w:lineRule="auto"/>
        <w:ind w:firstLine="0" w:firstLineChars="0"/>
        <w:jc w:val="center"/>
        <w:outlineLvl w:val="0"/>
        <w:rPr>
          <w:rFonts w:hint="eastAsia" w:ascii="宋体"/>
          <w:b/>
          <w:kern w:val="28"/>
          <w:sz w:val="36"/>
          <w:szCs w:val="20"/>
        </w:rPr>
      </w:pPr>
    </w:p>
    <w:p w14:paraId="430E71FE">
      <w:pPr>
        <w:keepNext/>
        <w:keepLines/>
        <w:widowControl/>
        <w:snapToGrid w:val="0"/>
        <w:spacing w:line="360" w:lineRule="auto"/>
        <w:ind w:firstLine="0" w:firstLineChars="0"/>
        <w:jc w:val="center"/>
        <w:outlineLvl w:val="0"/>
        <w:rPr>
          <w:rFonts w:hint="eastAsia" w:ascii="宋体"/>
          <w:b/>
          <w:kern w:val="28"/>
          <w:sz w:val="36"/>
          <w:szCs w:val="20"/>
        </w:rPr>
      </w:pPr>
    </w:p>
    <w:p w14:paraId="7CF07FB9">
      <w:pPr>
        <w:keepNext/>
        <w:keepLines/>
        <w:widowControl/>
        <w:snapToGrid w:val="0"/>
        <w:spacing w:line="360" w:lineRule="auto"/>
        <w:ind w:firstLine="0" w:firstLineChars="0"/>
        <w:jc w:val="center"/>
        <w:outlineLvl w:val="0"/>
        <w:rPr>
          <w:rFonts w:hint="eastAsia" w:ascii="宋体"/>
          <w:b/>
          <w:kern w:val="28"/>
          <w:sz w:val="36"/>
          <w:szCs w:val="20"/>
        </w:rPr>
      </w:pPr>
    </w:p>
    <w:p w14:paraId="48392CC6">
      <w:pPr>
        <w:keepNext/>
        <w:keepLines/>
        <w:widowControl/>
        <w:snapToGrid w:val="0"/>
        <w:spacing w:line="360" w:lineRule="auto"/>
        <w:ind w:firstLine="0" w:firstLineChars="0"/>
        <w:jc w:val="center"/>
        <w:outlineLvl w:val="0"/>
        <w:rPr>
          <w:rFonts w:hint="eastAsia" w:ascii="宋体"/>
          <w:b/>
          <w:kern w:val="28"/>
          <w:sz w:val="36"/>
          <w:szCs w:val="20"/>
        </w:rPr>
      </w:pPr>
    </w:p>
    <w:p w14:paraId="789D0CAF">
      <w:pPr>
        <w:keepNext/>
        <w:keepLines/>
        <w:widowControl/>
        <w:snapToGrid w:val="0"/>
        <w:spacing w:line="360" w:lineRule="auto"/>
        <w:ind w:firstLine="0" w:firstLineChars="0"/>
        <w:jc w:val="center"/>
        <w:outlineLvl w:val="0"/>
        <w:rPr>
          <w:rFonts w:hint="eastAsia" w:ascii="宋体"/>
          <w:b/>
          <w:kern w:val="28"/>
          <w:sz w:val="36"/>
          <w:szCs w:val="20"/>
        </w:rPr>
      </w:pPr>
    </w:p>
    <w:p w14:paraId="19EC6990">
      <w:pPr>
        <w:keepNext/>
        <w:keepLines/>
        <w:widowControl/>
        <w:snapToGrid w:val="0"/>
        <w:spacing w:line="360" w:lineRule="auto"/>
        <w:ind w:firstLine="0" w:firstLineChars="0"/>
        <w:jc w:val="center"/>
        <w:outlineLvl w:val="0"/>
        <w:rPr>
          <w:rFonts w:hint="eastAsia" w:ascii="宋体"/>
          <w:b/>
          <w:kern w:val="28"/>
          <w:sz w:val="36"/>
          <w:szCs w:val="20"/>
        </w:rPr>
      </w:pPr>
    </w:p>
    <w:p w14:paraId="030718B4">
      <w:pPr>
        <w:keepNext/>
        <w:keepLines/>
        <w:widowControl/>
        <w:snapToGrid w:val="0"/>
        <w:spacing w:line="360" w:lineRule="auto"/>
        <w:ind w:firstLine="0" w:firstLineChars="0"/>
        <w:jc w:val="center"/>
        <w:outlineLvl w:val="0"/>
        <w:rPr>
          <w:rFonts w:hint="eastAsia" w:ascii="宋体"/>
          <w:b/>
          <w:kern w:val="28"/>
          <w:sz w:val="36"/>
          <w:szCs w:val="20"/>
        </w:rPr>
      </w:pPr>
    </w:p>
    <w:p w14:paraId="279D5A86">
      <w:pPr>
        <w:keepNext/>
        <w:keepLines/>
        <w:widowControl/>
        <w:snapToGrid w:val="0"/>
        <w:spacing w:line="360" w:lineRule="auto"/>
        <w:ind w:firstLine="0" w:firstLineChars="0"/>
        <w:jc w:val="both"/>
        <w:outlineLvl w:val="0"/>
        <w:rPr>
          <w:rFonts w:hint="eastAsia" w:ascii="宋体"/>
          <w:b/>
          <w:kern w:val="28"/>
          <w:sz w:val="36"/>
          <w:szCs w:val="20"/>
        </w:rPr>
      </w:pPr>
    </w:p>
    <w:bookmarkEnd w:id="685"/>
    <w:bookmarkEnd w:id="686"/>
    <w:bookmarkEnd w:id="687"/>
    <w:bookmarkEnd w:id="688"/>
    <w:bookmarkEnd w:id="689"/>
    <w:bookmarkEnd w:id="690"/>
    <w:bookmarkEnd w:id="691"/>
    <w:p w14:paraId="12903909">
      <w:pPr>
        <w:keepNext/>
        <w:keepLines/>
        <w:widowControl/>
        <w:snapToGrid w:val="0"/>
        <w:spacing w:line="360" w:lineRule="auto"/>
        <w:ind w:firstLine="0" w:firstLineChars="0"/>
        <w:jc w:val="both"/>
        <w:outlineLvl w:val="0"/>
        <w:rPr>
          <w:rFonts w:ascii="宋体"/>
          <w:b/>
          <w:kern w:val="28"/>
          <w:sz w:val="36"/>
          <w:szCs w:val="20"/>
        </w:rPr>
      </w:pPr>
      <w:bookmarkStart w:id="692" w:name="_Toc14546_WPSOffice_Level3"/>
      <w:bookmarkStart w:id="693" w:name="_Toc21515"/>
      <w:bookmarkStart w:id="694" w:name="_Toc14568_WPSOffice_Level3"/>
      <w:bookmarkStart w:id="695" w:name="_Toc4588"/>
      <w:bookmarkStart w:id="696" w:name="_Toc24973"/>
      <w:bookmarkStart w:id="697" w:name="_Toc4601"/>
      <w:bookmarkStart w:id="698" w:name="_Toc6146"/>
    </w:p>
    <w:p w14:paraId="5DDBDD7E">
      <w:pPr>
        <w:spacing w:line="360" w:lineRule="auto"/>
        <w:ind w:left="0" w:leftChars="0" w:firstLine="0" w:firstLineChars="0"/>
        <w:jc w:val="both"/>
        <w:outlineLvl w:val="1"/>
        <w:rPr>
          <w:rFonts w:ascii="宋体"/>
          <w:b/>
          <w:kern w:val="28"/>
          <w:sz w:val="36"/>
          <w:szCs w:val="20"/>
        </w:rPr>
      </w:pPr>
    </w:p>
    <w:p w14:paraId="6FF85ECE">
      <w:pPr>
        <w:keepNext/>
        <w:keepLines/>
        <w:widowControl/>
        <w:snapToGrid w:val="0"/>
        <w:spacing w:line="360" w:lineRule="auto"/>
        <w:ind w:firstLine="0" w:firstLineChars="0"/>
        <w:jc w:val="both"/>
        <w:outlineLvl w:val="0"/>
        <w:rPr>
          <w:rFonts w:ascii="宋体"/>
          <w:b/>
          <w:kern w:val="28"/>
          <w:sz w:val="36"/>
          <w:szCs w:val="20"/>
        </w:rPr>
      </w:pPr>
      <w:r>
        <w:rPr>
          <w:rFonts w:hint="eastAsia" w:ascii="宋体"/>
          <w:b/>
          <w:kern w:val="28"/>
          <w:sz w:val="36"/>
          <w:szCs w:val="20"/>
        </w:rPr>
        <w:t>第六部分  磋商及采购项目货物要求</w:t>
      </w:r>
    </w:p>
    <w:p w14:paraId="3B5DAAAE">
      <w:pPr>
        <w:spacing w:line="360" w:lineRule="auto"/>
        <w:ind w:firstLine="723"/>
        <w:jc w:val="center"/>
        <w:outlineLvl w:val="1"/>
        <w:rPr>
          <w:rFonts w:ascii="宋体"/>
          <w:b/>
          <w:kern w:val="28"/>
          <w:sz w:val="36"/>
          <w:szCs w:val="20"/>
        </w:rPr>
      </w:pPr>
      <w:r>
        <w:rPr>
          <w:rFonts w:hint="eastAsia" w:ascii="宋体"/>
          <w:b/>
          <w:kern w:val="28"/>
          <w:sz w:val="36"/>
          <w:szCs w:val="20"/>
        </w:rPr>
        <w:t>一、磋商要求</w:t>
      </w:r>
    </w:p>
    <w:p w14:paraId="436BEEBC">
      <w:pPr>
        <w:pStyle w:val="64"/>
        <w:spacing w:after="0"/>
        <w:ind w:left="0" w:leftChars="0" w:firstLine="0" w:firstLineChars="0"/>
        <w:jc w:val="left"/>
        <w:outlineLvl w:val="2"/>
        <w:rPr>
          <w:rFonts w:hint="eastAsia" w:ascii="宋体" w:hAnsi="宋体" w:cs="宋体"/>
          <w:color w:val="000000"/>
          <w:sz w:val="28"/>
          <w:szCs w:val="28"/>
          <w:lang w:val="zh-CN" w:eastAsia="zh-CN"/>
        </w:rPr>
      </w:pPr>
    </w:p>
    <w:p w14:paraId="688CB4C1">
      <w:pPr>
        <w:pStyle w:val="64"/>
        <w:spacing w:after="0"/>
        <w:ind w:left="0" w:leftChars="0" w:firstLine="0" w:firstLineChars="0"/>
        <w:jc w:val="left"/>
        <w:outlineLvl w:val="2"/>
        <w:rPr>
          <w:rFonts w:hint="eastAsia" w:ascii="宋体" w:hAnsi="宋体" w:cs="宋体"/>
          <w:color w:val="000000"/>
          <w:sz w:val="28"/>
          <w:szCs w:val="28"/>
          <w:lang w:val="zh-CN" w:eastAsia="zh-CN"/>
        </w:rPr>
      </w:pPr>
    </w:p>
    <w:p w14:paraId="6DA5A7F5">
      <w:pPr>
        <w:pStyle w:val="64"/>
        <w:spacing w:after="0"/>
        <w:ind w:left="0" w:leftChars="0" w:firstLine="0" w:firstLineChars="0"/>
        <w:jc w:val="left"/>
        <w:outlineLvl w:val="2"/>
        <w:rPr>
          <w:rFonts w:ascii="宋体" w:hAnsi="宋体" w:cs="宋体"/>
          <w:color w:val="000000"/>
          <w:lang w:val="zh-CN" w:eastAsia="zh-CN"/>
        </w:rPr>
      </w:pPr>
      <w:r>
        <w:rPr>
          <w:rFonts w:hint="eastAsia" w:ascii="宋体" w:hAnsi="宋体" w:cs="宋体"/>
          <w:color w:val="000000"/>
          <w:sz w:val="28"/>
          <w:szCs w:val="28"/>
          <w:lang w:val="zh-CN" w:eastAsia="zh-CN"/>
        </w:rPr>
        <w:t>1.投标说明</w:t>
      </w:r>
      <w:bookmarkEnd w:id="692"/>
      <w:bookmarkEnd w:id="693"/>
      <w:bookmarkEnd w:id="694"/>
      <w:bookmarkEnd w:id="695"/>
      <w:bookmarkEnd w:id="696"/>
      <w:bookmarkEnd w:id="697"/>
      <w:bookmarkEnd w:id="698"/>
    </w:p>
    <w:p w14:paraId="5E99909D">
      <w:pPr>
        <w:autoSpaceDE w:val="0"/>
        <w:autoSpaceDN w:val="0"/>
        <w:spacing w:line="360" w:lineRule="auto"/>
        <w:ind w:left="0" w:leftChars="0" w:firstLine="240" w:firstLineChars="100"/>
        <w:rPr>
          <w:rFonts w:ascii="宋体" w:hAnsi="宋体" w:cs="宋体"/>
          <w:color w:val="000000"/>
          <w:kern w:val="0"/>
          <w:lang w:val="zh-CN"/>
        </w:rPr>
      </w:pPr>
      <w:bookmarkStart w:id="699" w:name="_Toc26125"/>
      <w:bookmarkStart w:id="700" w:name="_Toc5979_WPSOffice_Level3"/>
      <w:bookmarkStart w:id="701" w:name="_Toc28184"/>
      <w:bookmarkStart w:id="702" w:name="_Toc29345_WPSOffice_Level3"/>
      <w:bookmarkStart w:id="703" w:name="_Toc13436"/>
      <w:bookmarkStart w:id="704" w:name="_Toc5635"/>
      <w:bookmarkStart w:id="705" w:name="_Toc8089"/>
      <w:r>
        <w:rPr>
          <w:rFonts w:hint="eastAsia" w:ascii="宋体" w:hAnsi="宋体" w:cs="宋体"/>
          <w:color w:val="000000"/>
          <w:kern w:val="0"/>
          <w:lang w:val="zh-CN"/>
        </w:rPr>
        <w:t>1.1</w:t>
      </w:r>
      <w:r>
        <w:rPr>
          <w:rFonts w:hint="eastAsia" w:ascii="宋体" w:hAnsi="宋体" w:cs="宋体"/>
          <w:color w:val="000000"/>
          <w:kern w:val="0"/>
        </w:rPr>
        <w:t>、</w:t>
      </w:r>
      <w:r>
        <w:rPr>
          <w:rFonts w:hint="eastAsia" w:ascii="宋体" w:hAnsi="宋体" w:cs="宋体"/>
          <w:color w:val="000000"/>
          <w:kern w:val="0"/>
          <w:lang w:val="zh-CN"/>
        </w:rPr>
        <w:t>投标供应商可以按照磋商文件规定的包号选择投标，但必须对所投包号中的所有内容作为一个整体进行投标，不能拆分或少报。否则，投标无效。</w:t>
      </w:r>
    </w:p>
    <w:p w14:paraId="4107A2EA">
      <w:pPr>
        <w:autoSpaceDE w:val="0"/>
        <w:autoSpaceDN w:val="0"/>
        <w:spacing w:line="360" w:lineRule="auto"/>
        <w:ind w:left="0" w:leftChars="0" w:firstLine="240" w:firstLineChars="1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w:t>
      </w:r>
      <w:r>
        <w:rPr>
          <w:rFonts w:hint="eastAsia" w:ascii="宋体" w:hAnsi="宋体" w:cs="宋体"/>
          <w:color w:val="000000"/>
          <w:kern w:val="0"/>
          <w:lang w:val="zh-CN"/>
        </w:rPr>
        <w:t>投标供应商必须如实填写“技术规格响应表”，在“投标产品技术参数、指标”栏中列出所投产品的具体技术参数、指标；以采购人需求为最低指标要求，投标供应商对超出或不满足最低指标要求的指标需列出“＋、-”偏差。</w:t>
      </w:r>
    </w:p>
    <w:p w14:paraId="54067CAE">
      <w:pPr>
        <w:autoSpaceDE w:val="0"/>
        <w:autoSpaceDN w:val="0"/>
        <w:spacing w:line="360" w:lineRule="auto"/>
        <w:ind w:left="0" w:leftChars="0" w:firstLine="240" w:firstLineChars="100"/>
        <w:rPr>
          <w:rFonts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cs="宋体"/>
          <w:color w:val="000000"/>
          <w:kern w:val="0"/>
        </w:rPr>
        <w:t>、</w:t>
      </w:r>
      <w:r>
        <w:rPr>
          <w:rFonts w:hint="eastAsia" w:ascii="宋体" w:hAnsi="宋体"/>
        </w:rPr>
        <w:t>所投产品或其任何一部分不得侵犯专利权、著作权、商标权和工业设计权等知识产权。</w:t>
      </w:r>
    </w:p>
    <w:p w14:paraId="18EC256A">
      <w:pPr>
        <w:autoSpaceDE w:val="0"/>
        <w:autoSpaceDN w:val="0"/>
        <w:spacing w:line="360" w:lineRule="auto"/>
        <w:ind w:left="0" w:leftChars="0" w:firstLine="240" w:firstLineChars="10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color w:val="000000"/>
          <w:kern w:val="0"/>
        </w:rPr>
        <w:t>、项目中标后分包情况：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14:paraId="7EA1536C">
      <w:pPr>
        <w:pStyle w:val="64"/>
        <w:spacing w:after="0"/>
        <w:ind w:left="0" w:leftChars="0" w:firstLine="0" w:firstLineChars="0"/>
        <w:jc w:val="left"/>
        <w:outlineLvl w:val="2"/>
        <w:rPr>
          <w:rFonts w:ascii="宋体" w:hAnsi="宋体" w:cs="宋体"/>
          <w:color w:val="000000"/>
          <w:lang w:val="zh-CN" w:eastAsia="zh-CN"/>
        </w:rPr>
      </w:pPr>
      <w:r>
        <w:rPr>
          <w:rFonts w:hint="eastAsia" w:ascii="宋体" w:hAnsi="宋体" w:cs="宋体"/>
          <w:color w:val="000000"/>
          <w:sz w:val="28"/>
          <w:szCs w:val="28"/>
          <w:lang w:eastAsia="zh-CN"/>
        </w:rPr>
        <w:t>2.</w:t>
      </w:r>
      <w:bookmarkEnd w:id="699"/>
      <w:bookmarkStart w:id="706" w:name="_Toc1475"/>
      <w:r>
        <w:rPr>
          <w:rFonts w:hint="eastAsia" w:ascii="宋体" w:hAnsi="宋体" w:cs="宋体"/>
          <w:color w:val="000000"/>
          <w:sz w:val="28"/>
          <w:szCs w:val="28"/>
          <w:lang w:val="zh-CN" w:eastAsia="zh-CN"/>
        </w:rPr>
        <w:t>重要指标</w:t>
      </w:r>
      <w:bookmarkEnd w:id="700"/>
      <w:bookmarkEnd w:id="701"/>
      <w:bookmarkEnd w:id="702"/>
      <w:bookmarkEnd w:id="703"/>
      <w:bookmarkEnd w:id="704"/>
      <w:bookmarkEnd w:id="705"/>
      <w:bookmarkEnd w:id="706"/>
    </w:p>
    <w:p w14:paraId="244814CD">
      <w:pPr>
        <w:autoSpaceDE w:val="0"/>
        <w:autoSpaceDN w:val="0"/>
        <w:spacing w:line="360" w:lineRule="auto"/>
        <w:ind w:left="0" w:leftChars="0" w:firstLine="240" w:firstLineChars="100"/>
        <w:rPr>
          <w:rFonts w:ascii="宋体" w:hAnsi="宋体" w:cs="宋体"/>
          <w:color w:val="000000"/>
          <w:kern w:val="0"/>
          <w:lang w:val="zh-CN"/>
        </w:rPr>
      </w:pPr>
      <w:bookmarkStart w:id="707" w:name="_Toc18880"/>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磋商文件中凡需与原有设备、系统并机、兼容、匹配等要求的，请主动和采购人联系，取得原有设备、系统相关资料。若有磋商文件未提及或变更内容的，请及时与采购代理机构联系。</w:t>
      </w:r>
    </w:p>
    <w:p w14:paraId="2BDEF057">
      <w:pPr>
        <w:autoSpaceDE w:val="0"/>
        <w:autoSpaceDN w:val="0"/>
        <w:spacing w:line="360" w:lineRule="auto"/>
        <w:ind w:left="0" w:leftChars="0" w:firstLine="240" w:firstLineChars="100"/>
        <w:rPr>
          <w:rFonts w:hint="eastAsia" w:ascii="宋体" w:hAnsi="宋体"/>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rPr>
        <w:t>技术参数中除注明签订合同时提供的相关授权、服务承诺等资料以外，其余相关资料在磋商时须附在磋商响应文件中。</w:t>
      </w:r>
    </w:p>
    <w:p w14:paraId="013FB17D">
      <w:pPr>
        <w:autoSpaceDE w:val="0"/>
        <w:autoSpaceDN w:val="0"/>
        <w:spacing w:line="360" w:lineRule="auto"/>
        <w:ind w:left="0" w:leftChars="0" w:firstLine="240" w:firstLineChars="1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rPr>
        <w:t>、所投各产品的总价不得超过磋商文件要求的产品分</w:t>
      </w:r>
      <w:r>
        <w:rPr>
          <w:rFonts w:hint="eastAsia" w:ascii="宋体" w:hAnsi="宋体" w:cs="宋体"/>
          <w:color w:val="000000"/>
          <w:kern w:val="0"/>
          <w:lang w:val="en-US" w:eastAsia="zh-CN"/>
        </w:rPr>
        <w:t>最高限价，</w:t>
      </w:r>
      <w:r>
        <w:rPr>
          <w:rFonts w:hint="eastAsia" w:ascii="宋体" w:hAnsi="宋体" w:cs="宋体"/>
          <w:color w:val="000000"/>
          <w:kern w:val="0"/>
        </w:rPr>
        <w:t>否则按无效投标处理。</w:t>
      </w:r>
    </w:p>
    <w:p w14:paraId="259C970B">
      <w:pPr>
        <w:pStyle w:val="64"/>
        <w:spacing w:after="0"/>
        <w:ind w:left="0" w:leftChars="0" w:firstLine="0" w:firstLineChars="0"/>
        <w:jc w:val="left"/>
        <w:outlineLvl w:val="2"/>
        <w:rPr>
          <w:rFonts w:ascii="宋体" w:hAnsi="宋体" w:cs="宋体"/>
          <w:color w:val="000000"/>
          <w:lang w:val="zh-CN" w:eastAsia="zh-CN"/>
        </w:rPr>
      </w:pPr>
      <w:bookmarkStart w:id="708" w:name="_Toc26507_WPSOffice_Level3"/>
      <w:bookmarkStart w:id="709" w:name="_Toc7142"/>
      <w:bookmarkStart w:id="710" w:name="_Toc28565"/>
      <w:bookmarkStart w:id="711" w:name="_Toc29012"/>
      <w:bookmarkStart w:id="712" w:name="_Toc338"/>
      <w:bookmarkStart w:id="713" w:name="_Toc11645_WPSOffice_Level3"/>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707"/>
      <w:bookmarkEnd w:id="708"/>
      <w:bookmarkEnd w:id="709"/>
      <w:bookmarkEnd w:id="710"/>
      <w:bookmarkEnd w:id="711"/>
      <w:bookmarkEnd w:id="712"/>
      <w:bookmarkEnd w:id="713"/>
    </w:p>
    <w:p w14:paraId="6915ECDB">
      <w:pPr>
        <w:autoSpaceDE w:val="0"/>
        <w:autoSpaceDN w:val="0"/>
        <w:spacing w:line="360" w:lineRule="auto"/>
        <w:ind w:left="0" w:leftChars="0" w:firstLine="240" w:firstLineChars="100"/>
        <w:rPr>
          <w:rFonts w:hint="eastAsia" w:ascii="宋体" w:hAnsi="宋体" w:cs="宋体"/>
          <w:highlight w:val="none"/>
          <w:lang w:val="en-US" w:eastAsia="zh-CN"/>
        </w:rPr>
      </w:pPr>
      <w:r>
        <w:rPr>
          <w:rFonts w:hint="eastAsia" w:ascii="宋体" w:hAnsi="宋体" w:cs="宋体"/>
          <w:color w:val="000000"/>
          <w:kern w:val="0"/>
          <w:lang w:val="zh-CN"/>
        </w:rPr>
        <w:t>3.1.</w:t>
      </w:r>
      <w:r>
        <w:rPr>
          <w:rFonts w:hint="eastAsia" w:ascii="宋体" w:hAnsi="宋体" w:cs="宋体"/>
          <w:kern w:val="0"/>
          <w:lang w:val="zh-CN"/>
        </w:rPr>
        <w:t>交货期：</w:t>
      </w:r>
      <w:r>
        <w:rPr>
          <w:rFonts w:hint="eastAsia" w:ascii="宋体" w:hAnsi="宋体" w:cs="宋体"/>
          <w:highlight w:val="none"/>
        </w:rPr>
        <w:t>合同签订后</w:t>
      </w:r>
      <w:r>
        <w:rPr>
          <w:rFonts w:hint="eastAsia" w:ascii="宋体" w:hAnsi="宋体" w:cs="宋体"/>
          <w:highlight w:val="none"/>
          <w:lang w:val="en-US" w:eastAsia="zh-CN"/>
        </w:rPr>
        <w:t>30天</w:t>
      </w:r>
    </w:p>
    <w:p w14:paraId="358A5432">
      <w:pPr>
        <w:spacing w:line="360" w:lineRule="auto"/>
        <w:ind w:left="0" w:leftChars="0" w:firstLine="240" w:firstLineChars="100"/>
        <w:rPr>
          <w:rFonts w:hint="eastAsia" w:ascii="宋体" w:hAnsi="宋体" w:cs="宋体"/>
          <w:kern w:val="0"/>
          <w:lang w:val="en-US" w:eastAsia="zh-CN"/>
        </w:rPr>
      </w:pPr>
      <w:r>
        <w:rPr>
          <w:rFonts w:hint="eastAsia" w:ascii="宋体" w:hAnsi="宋体" w:cs="宋体"/>
          <w:kern w:val="0"/>
          <w:lang w:val="zh-CN"/>
        </w:rPr>
        <w:t>3.2.交货地点：</w:t>
      </w:r>
      <w:r>
        <w:rPr>
          <w:rFonts w:hint="eastAsia" w:ascii="宋体" w:hAnsi="宋体" w:cs="宋体"/>
          <w:kern w:val="0"/>
          <w:lang w:val="en-US" w:eastAsia="zh-CN"/>
        </w:rPr>
        <w:t>共和县中医院</w:t>
      </w:r>
    </w:p>
    <w:p w14:paraId="7D2AEC8D">
      <w:pPr>
        <w:spacing w:line="360" w:lineRule="auto"/>
        <w:ind w:left="0" w:leftChars="0" w:firstLine="240" w:firstLineChars="100"/>
        <w:rPr>
          <w:rFonts w:ascii="宋体" w:hAnsi="宋体" w:cs="宋体"/>
          <w:kern w:val="0"/>
          <w:lang w:val="zh-CN"/>
        </w:rPr>
      </w:pPr>
      <w:r>
        <w:rPr>
          <w:rFonts w:hint="eastAsia" w:ascii="宋体" w:hAnsi="宋体" w:cs="宋体"/>
          <w:kern w:val="0"/>
          <w:lang w:val="zh-CN"/>
        </w:rPr>
        <w:t>3.3.付款方式：按合同约定执行</w:t>
      </w:r>
    </w:p>
    <w:p w14:paraId="4291DCA5">
      <w:pPr>
        <w:autoSpaceDE w:val="0"/>
        <w:autoSpaceDN w:val="0"/>
        <w:spacing w:line="360" w:lineRule="auto"/>
        <w:ind w:left="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kern w:val="0"/>
          <w:lang w:val="zh-CN"/>
        </w:rPr>
        <w:t>3.4.免费质保期：</w:t>
      </w:r>
      <w:r>
        <w:rPr>
          <w:rFonts w:hint="eastAsia" w:ascii="宋体" w:hAnsi="宋体" w:cs="宋体"/>
          <w:color w:val="auto"/>
          <w:kern w:val="0"/>
          <w:lang w:val="en-US" w:eastAsia="zh-CN"/>
        </w:rPr>
        <w:t>5</w:t>
      </w:r>
      <w:r>
        <w:rPr>
          <w:rFonts w:hint="eastAsia" w:ascii="宋体" w:hAnsi="宋体" w:cs="宋体"/>
          <w:color w:val="auto"/>
          <w:sz w:val="24"/>
          <w:szCs w:val="24"/>
          <w:highlight w:val="none"/>
          <w:lang w:val="en-US" w:eastAsia="zh-CN"/>
        </w:rPr>
        <w:t>年</w:t>
      </w:r>
    </w:p>
    <w:p w14:paraId="479635BE">
      <w:pPr>
        <w:autoSpaceDE w:val="0"/>
        <w:autoSpaceDN w:val="0"/>
        <w:spacing w:line="360" w:lineRule="auto"/>
        <w:ind w:left="0" w:leftChars="0" w:firstLine="240" w:firstLineChars="100"/>
        <w:rPr>
          <w:rFonts w:hint="eastAsia" w:ascii="宋体" w:hAnsi="宋体" w:cs="宋体"/>
          <w:color w:val="0000FF"/>
          <w:sz w:val="24"/>
          <w:szCs w:val="24"/>
          <w:highlight w:val="none"/>
          <w:lang w:val="en-US" w:eastAsia="zh-CN"/>
        </w:rPr>
      </w:pPr>
    </w:p>
    <w:p w14:paraId="60C24F28">
      <w:pPr>
        <w:ind w:left="0" w:leftChars="0" w:firstLine="0" w:firstLineChars="0"/>
        <w:rPr>
          <w:rFonts w:hint="eastAsia" w:ascii="黑体" w:hAnsi="黑体" w:eastAsia="黑体" w:cs="黑体"/>
          <w:i w:val="0"/>
          <w:iCs w:val="0"/>
          <w:color w:val="000000"/>
          <w:kern w:val="0"/>
          <w:sz w:val="32"/>
          <w:szCs w:val="32"/>
          <w:u w:val="none"/>
          <w:lang w:val="en-US" w:eastAsia="zh-CN" w:bidi="ar"/>
        </w:rPr>
      </w:pPr>
    </w:p>
    <w:p w14:paraId="6A79B487">
      <w:pPr>
        <w:pStyle w:val="64"/>
        <w:spacing w:after="0"/>
        <w:ind w:firstLine="1807" w:firstLineChars="500"/>
        <w:jc w:val="both"/>
        <w:outlineLvl w:val="1"/>
        <w:rPr>
          <w:rFonts w:hint="eastAsia" w:ascii="黑体" w:hAnsi="黑体" w:eastAsia="黑体" w:cs="黑体"/>
          <w:i w:val="0"/>
          <w:iCs w:val="0"/>
          <w:color w:val="000000"/>
          <w:kern w:val="0"/>
          <w:sz w:val="32"/>
          <w:szCs w:val="32"/>
          <w:u w:val="none"/>
          <w:lang w:val="en-US" w:eastAsia="zh-CN" w:bidi="ar"/>
        </w:rPr>
      </w:pPr>
      <w:bookmarkStart w:id="714" w:name="_Toc18918"/>
      <w:bookmarkStart w:id="715" w:name="_Toc13560"/>
      <w:bookmarkStart w:id="716" w:name="_Toc2896_WPSOffice_Level3"/>
      <w:r>
        <w:rPr>
          <w:rFonts w:hint="eastAsia" w:ascii="宋体" w:hAnsi="宋体" w:cs="宋体"/>
          <w:color w:val="000000"/>
          <w:lang w:eastAsia="zh-CN"/>
        </w:rPr>
        <w:t>二、</w:t>
      </w:r>
      <w:r>
        <w:rPr>
          <w:rFonts w:hint="eastAsia" w:ascii="宋体" w:hAnsi="宋体" w:cs="宋体"/>
          <w:color w:val="000000"/>
          <w:lang w:val="zh-CN" w:eastAsia="zh-CN"/>
        </w:rPr>
        <w:t>项目概况及技术参数</w:t>
      </w:r>
      <w:bookmarkEnd w:id="714"/>
      <w:bookmarkEnd w:id="715"/>
      <w:bookmarkEnd w:id="716"/>
    </w:p>
    <w:p w14:paraId="3A7CA4F4">
      <w:pPr>
        <w:rPr>
          <w:rFonts w:hint="eastAsia" w:ascii="黑体" w:hAnsi="黑体" w:eastAsia="黑体" w:cs="黑体"/>
          <w:i w:val="0"/>
          <w:iCs w:val="0"/>
          <w:color w:val="000000"/>
          <w:kern w:val="0"/>
          <w:sz w:val="32"/>
          <w:szCs w:val="32"/>
          <w:u w:val="none"/>
          <w:lang w:val="en-US" w:eastAsia="zh-CN" w:bidi="ar"/>
        </w:rPr>
      </w:pPr>
    </w:p>
    <w:p w14:paraId="50F0D8B8">
      <w:pPr>
        <w:ind w:left="0" w:leftChars="0" w:firstLine="0" w:firstLineChars="0"/>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 xml:space="preserve">1.疼痛治疗仪照射(红外热辐射治疗仪) </w:t>
      </w:r>
      <w:r>
        <w:rPr>
          <w:rFonts w:hint="eastAsia" w:ascii="黑体" w:hAnsi="黑体" w:eastAsia="黑体" w:cs="黑体"/>
          <w:i w:val="0"/>
          <w:iCs w:val="0"/>
          <w:color w:val="0000FF"/>
          <w:kern w:val="0"/>
          <w:sz w:val="32"/>
          <w:szCs w:val="32"/>
          <w:u w:val="none"/>
          <w:lang w:val="en-US" w:eastAsia="zh-CN" w:bidi="ar"/>
        </w:rPr>
        <w:t xml:space="preserve"> </w:t>
      </w:r>
      <w:r>
        <w:rPr>
          <w:rFonts w:hint="eastAsia" w:ascii="黑体" w:hAnsi="黑体" w:eastAsia="黑体" w:cs="黑体"/>
          <w:i w:val="0"/>
          <w:iCs w:val="0"/>
          <w:color w:val="000000"/>
          <w:kern w:val="0"/>
          <w:sz w:val="32"/>
          <w:szCs w:val="32"/>
          <w:u w:val="none"/>
          <w:lang w:val="en-US" w:eastAsia="zh-CN" w:bidi="ar"/>
        </w:rPr>
        <w:t xml:space="preserve">  2台</w:t>
      </w:r>
    </w:p>
    <w:p w14:paraId="04FB06E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1、额定电压：AC 220V。额定频率：50Hz。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2、额定输入功率：≥900VA。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3、屏幕尺寸：≥5吋，操作方式：电容触摸。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4、工作模式：连续模式、脉冲模式。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5、治疗时间：1～99分钟可调。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6、能量调节方式：五级能量调节。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7、波长范围：560nm～1400nm。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8、光功率密度：最大能量≥4000mW/cm²(距离光杯口表面)。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9、光功率密度：最大能量≥260mW/cm²(距离光杯口25cm)。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10、有效辐照面积：≥850cm²(距离光杯口25cm)。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11、出光口面积：≥70cm²。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12、治疗方案：≥5种自定义存储方案。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13、升降功能：电动升降，高度≥400mm。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14、光学透镜：反光杯聚光以及液体过滤系统。</w:t>
      </w:r>
      <w:r>
        <w:rPr>
          <w:rFonts w:hint="eastAsia" w:ascii="宋体" w:hAnsi="宋体" w:eastAsia="宋体" w:cs="宋体"/>
          <w:i w:val="0"/>
          <w:iCs w:val="0"/>
          <w:color w:val="000000"/>
          <w:kern w:val="0"/>
          <w:sz w:val="24"/>
          <w:szCs w:val="24"/>
          <w:u w:val="none"/>
          <w:lang w:val="en-US" w:eastAsia="zh-CN" w:bidi="ar"/>
        </w:rPr>
        <w:br w:type="textWrapping"/>
      </w:r>
    </w:p>
    <w:p w14:paraId="5CE34CB2">
      <w:pPr>
        <w:ind w:left="0" w:leftChars="0" w:firstLine="0" w:firstLineChars="0"/>
        <w:rPr>
          <w:rFonts w:hint="eastAsia" w:ascii="宋体" w:hAnsi="宋体" w:eastAsia="宋体" w:cs="宋体"/>
          <w:i w:val="0"/>
          <w:iCs w:val="0"/>
          <w:color w:val="000000"/>
          <w:kern w:val="0"/>
          <w:sz w:val="22"/>
          <w:szCs w:val="22"/>
          <w:u w:val="none"/>
          <w:lang w:val="en-US" w:eastAsia="zh-CN" w:bidi="ar"/>
        </w:rPr>
      </w:pPr>
    </w:p>
    <w:p w14:paraId="6591FD29">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2.神经肌肉电刺激（神经肌肉低频电刺激仪）  2台</w:t>
      </w:r>
    </w:p>
    <w:p w14:paraId="120217E9">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1、操作显示：≥12英寸液晶触摸屏。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2、输出通道：六通道脉冲输出（每个通道分两路输出）。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3、输出波形：双向对称方波。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4、输出脉冲频率范围：0Hz～999Hz可调，步进1Hz，允差±15%。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5、输出脉冲宽度：0.1～10ms，允差±20%。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6、刺激仪在500Ω的负载电阻下，幅值最大40V，允差±15%。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7、治疗时间：0～99min可调，允差±10%，刺激仪治疗时间结束有蜂鸣器提示声，并停止输出。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8、负压装置吸附负压范围：0～-40kPa可调，步进-10kPa，允差±10%。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9、输出模式：≥7个自动程序、≥1个手动模式、≥1个间歇模式。</w:t>
      </w:r>
    </w:p>
    <w:p w14:paraId="051CC1A7">
      <w:pPr>
        <w:numPr>
          <w:ilvl w:val="0"/>
          <w:numId w:val="0"/>
        </w:numPr>
        <w:rPr>
          <w:rFonts w:hint="eastAsia" w:ascii="宋体" w:hAnsi="宋体" w:eastAsia="宋体" w:cs="宋体"/>
          <w:i w:val="0"/>
          <w:iCs w:val="0"/>
          <w:color w:val="000000"/>
          <w:kern w:val="0"/>
          <w:sz w:val="24"/>
          <w:szCs w:val="24"/>
          <w:u w:val="none"/>
          <w:lang w:val="en-US" w:eastAsia="zh-CN" w:bidi="ar"/>
        </w:rPr>
      </w:pPr>
    </w:p>
    <w:p w14:paraId="035E3697">
      <w:pPr>
        <w:numPr>
          <w:ilvl w:val="0"/>
          <w:numId w:val="0"/>
        </w:numPr>
        <w:rPr>
          <w:rFonts w:hint="eastAsia" w:ascii="宋体" w:hAnsi="宋体" w:eastAsia="宋体" w:cs="宋体"/>
          <w:i w:val="0"/>
          <w:iCs w:val="0"/>
          <w:color w:val="000000"/>
          <w:kern w:val="0"/>
          <w:sz w:val="22"/>
          <w:szCs w:val="22"/>
          <w:u w:val="none"/>
          <w:lang w:val="en-US" w:eastAsia="zh-CN" w:bidi="ar"/>
        </w:rPr>
      </w:pPr>
    </w:p>
    <w:p w14:paraId="7CC4A9B6">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3.空气压力波（套袖式）      1台</w:t>
      </w:r>
    </w:p>
    <w:p w14:paraId="5428D165">
      <w:pPr>
        <w:bidi w:val="0"/>
        <w:ind w:firstLine="480" w:firstLineChars="200"/>
        <w:jc w:val="both"/>
        <w:rPr>
          <w:rFonts w:hint="eastAsia"/>
        </w:rPr>
      </w:pPr>
      <w:r>
        <w:rPr>
          <w:rFonts w:hint="eastAsia"/>
        </w:rPr>
        <w:t>技术参数</w:t>
      </w:r>
    </w:p>
    <w:p w14:paraId="27E0F546">
      <w:pPr>
        <w:bidi w:val="0"/>
        <w:jc w:val="both"/>
        <w:rPr>
          <w:rFonts w:hint="eastAsia"/>
        </w:rPr>
      </w:pPr>
      <w:r>
        <w:rPr>
          <w:rFonts w:hint="eastAsia"/>
        </w:rPr>
        <w:t>1、治疗时间：1min--99min，可调节；</w:t>
      </w:r>
    </w:p>
    <w:p w14:paraId="1EC15541">
      <w:pPr>
        <w:bidi w:val="0"/>
        <w:jc w:val="both"/>
        <w:rPr>
          <w:rFonts w:hint="eastAsia"/>
        </w:rPr>
      </w:pPr>
      <w:r>
        <w:rPr>
          <w:rFonts w:hint="eastAsia"/>
        </w:rPr>
        <w:t>2、压力范围：40--200mmHg,可调节；</w:t>
      </w:r>
    </w:p>
    <w:p w14:paraId="2AA5D783">
      <w:pPr>
        <w:bidi w:val="0"/>
        <w:jc w:val="both"/>
        <w:rPr>
          <w:rFonts w:hint="eastAsia"/>
        </w:rPr>
      </w:pPr>
      <w:r>
        <w:rPr>
          <w:rFonts w:hint="eastAsia"/>
        </w:rPr>
        <w:t>3、压力保持时间：1s--6s，可调节；</w:t>
      </w:r>
    </w:p>
    <w:p w14:paraId="78912685">
      <w:pPr>
        <w:bidi w:val="0"/>
        <w:jc w:val="both"/>
        <w:rPr>
          <w:rFonts w:hint="eastAsia"/>
        </w:rPr>
      </w:pPr>
      <w:r>
        <w:rPr>
          <w:rFonts w:hint="eastAsia"/>
        </w:rPr>
        <w:t>4、循环间隔时间：1s--20s，可调节；</w:t>
      </w:r>
    </w:p>
    <w:p w14:paraId="71B28905">
      <w:pPr>
        <w:bidi w:val="0"/>
        <w:jc w:val="both"/>
        <w:rPr>
          <w:rFonts w:hint="eastAsia"/>
        </w:rPr>
      </w:pPr>
      <w:r>
        <w:rPr>
          <w:rFonts w:hint="eastAsia"/>
        </w:rPr>
        <w:t>5、电源电压：AC220v/50HZ  功率：75VA；</w:t>
      </w:r>
    </w:p>
    <w:p w14:paraId="00110F61">
      <w:pPr>
        <w:bidi w:val="0"/>
        <w:jc w:val="both"/>
        <w:rPr>
          <w:rFonts w:hint="eastAsia"/>
        </w:rPr>
      </w:pPr>
      <w:r>
        <w:rPr>
          <w:rFonts w:hint="eastAsia"/>
        </w:rPr>
        <w:t xml:space="preserve">6、显示方式：7寸彩色全触摸屏显示;         </w:t>
      </w:r>
      <w:r>
        <w:rPr>
          <w:rFonts w:hint="eastAsia"/>
          <w:lang w:val="en-US" w:eastAsia="zh-CN"/>
        </w:rPr>
        <w:t xml:space="preserve">  </w:t>
      </w:r>
      <w:r>
        <w:rPr>
          <w:rFonts w:hint="eastAsia"/>
        </w:rPr>
        <w:t xml:space="preserve">     </w:t>
      </w:r>
    </w:p>
    <w:p w14:paraId="78ECFE01">
      <w:pPr>
        <w:bidi w:val="0"/>
        <w:jc w:val="both"/>
        <w:rPr>
          <w:rFonts w:hint="eastAsia"/>
        </w:rPr>
      </w:pPr>
      <w:r>
        <w:rPr>
          <w:rFonts w:hint="eastAsia"/>
        </w:rPr>
        <w:t>7、治疗模式:预防深静脉血栓模式/水肿模式/动脉模式共8种标准治疗模式，可任意</w:t>
      </w:r>
      <w:r>
        <w:rPr>
          <w:rFonts w:hint="eastAsia"/>
          <w:lang w:val="en-US" w:eastAsia="zh-CN"/>
        </w:rPr>
        <w:t>≥</w:t>
      </w:r>
      <w:r>
        <w:rPr>
          <w:rFonts w:hint="eastAsia"/>
        </w:rPr>
        <w:t>30种治疗模式；</w:t>
      </w:r>
    </w:p>
    <w:p w14:paraId="7AD777B5">
      <w:pPr>
        <w:bidi w:val="0"/>
        <w:jc w:val="both"/>
        <w:rPr>
          <w:rFonts w:hint="eastAsia"/>
        </w:rPr>
      </w:pPr>
      <w:r>
        <w:rPr>
          <w:rFonts w:hint="eastAsia"/>
        </w:rPr>
        <w:t>8、连接套筒：可同时连接2个6腔套筒，同时治疗2个肢体；</w:t>
      </w:r>
    </w:p>
    <w:p w14:paraId="2D2C7A52">
      <w:pPr>
        <w:bidi w:val="0"/>
        <w:jc w:val="both"/>
        <w:rPr>
          <w:rFonts w:hint="eastAsia"/>
        </w:rPr>
      </w:pPr>
      <w:r>
        <w:rPr>
          <w:rFonts w:hint="eastAsia"/>
        </w:rPr>
        <w:t>9、梯度压力功能：防止静脉逆流，有效增加静脉血回流；</w:t>
      </w:r>
    </w:p>
    <w:p w14:paraId="5A727E2C">
      <w:pPr>
        <w:bidi w:val="0"/>
        <w:jc w:val="both"/>
        <w:rPr>
          <w:rFonts w:hint="eastAsia"/>
        </w:rPr>
      </w:pPr>
      <w:r>
        <w:rPr>
          <w:rFonts w:hint="eastAsia"/>
        </w:rPr>
        <w:t>1</w:t>
      </w:r>
      <w:r>
        <w:rPr>
          <w:rFonts w:hint="eastAsia"/>
          <w:lang w:val="en-US" w:eastAsia="zh-CN"/>
        </w:rPr>
        <w:t>0</w:t>
      </w:r>
      <w:r>
        <w:rPr>
          <w:rFonts w:hint="eastAsia"/>
        </w:rPr>
        <w:t>、有单腔工作模式：各腔压力可单独调节；</w:t>
      </w:r>
    </w:p>
    <w:p w14:paraId="26C7DBD4">
      <w:pPr>
        <w:bidi w:val="0"/>
        <w:jc w:val="both"/>
        <w:rPr>
          <w:rFonts w:hint="eastAsia"/>
        </w:rPr>
      </w:pPr>
      <w:r>
        <w:rPr>
          <w:rFonts w:hint="eastAsia"/>
        </w:rPr>
        <w:t>1</w:t>
      </w:r>
      <w:r>
        <w:rPr>
          <w:rFonts w:hint="eastAsia"/>
          <w:lang w:val="en-US" w:eastAsia="zh-CN"/>
        </w:rPr>
        <w:t>1</w:t>
      </w:r>
      <w:r>
        <w:rPr>
          <w:rFonts w:hint="eastAsia"/>
        </w:rPr>
        <w:t>、报警功能：实时压力监测，漏气自动报警；</w:t>
      </w:r>
    </w:p>
    <w:p w14:paraId="50CA7735">
      <w:pPr>
        <w:bidi w:val="0"/>
        <w:jc w:val="both"/>
        <w:rPr>
          <w:rFonts w:hint="eastAsia"/>
        </w:rPr>
      </w:pPr>
      <w:r>
        <w:rPr>
          <w:rFonts w:hint="eastAsia"/>
        </w:rPr>
        <w:t>1</w:t>
      </w:r>
      <w:r>
        <w:rPr>
          <w:rFonts w:hint="eastAsia"/>
          <w:lang w:val="en-US" w:eastAsia="zh-CN"/>
        </w:rPr>
        <w:t>2</w:t>
      </w:r>
      <w:r>
        <w:rPr>
          <w:rFonts w:hint="eastAsia"/>
        </w:rPr>
        <w:t>、配置医用小推车；</w:t>
      </w:r>
    </w:p>
    <w:p w14:paraId="1BBF4A54">
      <w:pPr>
        <w:bidi w:val="0"/>
        <w:jc w:val="both"/>
        <w:rPr>
          <w:rFonts w:hint="eastAsia"/>
        </w:rPr>
      </w:pPr>
      <w:r>
        <w:rPr>
          <w:rFonts w:hint="eastAsia"/>
        </w:rPr>
        <w:t>1</w:t>
      </w:r>
      <w:r>
        <w:rPr>
          <w:rFonts w:hint="eastAsia"/>
          <w:lang w:val="en-US" w:eastAsia="zh-CN"/>
        </w:rPr>
        <w:t>3</w:t>
      </w:r>
      <w:r>
        <w:rPr>
          <w:rFonts w:hint="eastAsia"/>
        </w:rPr>
        <w:t>、记忆功能：设备断电后自动存储上次设定参数；</w:t>
      </w:r>
    </w:p>
    <w:p w14:paraId="345CD227">
      <w:pPr>
        <w:bidi w:val="0"/>
        <w:jc w:val="both"/>
        <w:rPr>
          <w:rFonts w:hint="eastAsia"/>
        </w:rPr>
      </w:pPr>
      <w:r>
        <w:rPr>
          <w:rFonts w:hint="eastAsia"/>
        </w:rPr>
        <w:t>1</w:t>
      </w:r>
      <w:r>
        <w:rPr>
          <w:rFonts w:hint="eastAsia"/>
          <w:lang w:val="en-US" w:eastAsia="zh-CN"/>
        </w:rPr>
        <w:t>4</w:t>
      </w:r>
      <w:r>
        <w:rPr>
          <w:rFonts w:hint="eastAsia"/>
        </w:rPr>
        <w:t>、实时显示：治疗状态、治疗部位，组合模式，剩余时间，每腔的真实压力， 充气速度等参数；</w:t>
      </w:r>
    </w:p>
    <w:p w14:paraId="2389E48F">
      <w:pPr>
        <w:bidi w:val="0"/>
        <w:jc w:val="both"/>
        <w:rPr>
          <w:rFonts w:hint="eastAsia"/>
        </w:rPr>
      </w:pPr>
      <w:r>
        <w:rPr>
          <w:rFonts w:hint="eastAsia"/>
        </w:rPr>
        <w:t>1</w:t>
      </w:r>
      <w:r>
        <w:rPr>
          <w:rFonts w:hint="eastAsia"/>
          <w:lang w:val="en-US" w:eastAsia="zh-CN"/>
        </w:rPr>
        <w:t>5</w:t>
      </w:r>
      <w:r>
        <w:rPr>
          <w:rFonts w:hint="eastAsia"/>
        </w:rPr>
        <w:t>、连续加压：有效促进肢体血液的静脉排空，确保血液流速稳定在较高的水平，传感器实时测定套筒真实压力；</w:t>
      </w:r>
    </w:p>
    <w:p w14:paraId="1BABFCF8">
      <w:pPr>
        <w:bidi w:val="0"/>
        <w:jc w:val="both"/>
        <w:rPr>
          <w:rFonts w:hint="eastAsia"/>
        </w:rPr>
      </w:pPr>
      <w:r>
        <w:rPr>
          <w:rFonts w:hint="eastAsia"/>
        </w:rPr>
        <w:t>1</w:t>
      </w:r>
      <w:r>
        <w:rPr>
          <w:rFonts w:hint="eastAsia"/>
          <w:lang w:val="en-US" w:eastAsia="zh-CN"/>
        </w:rPr>
        <w:t>6</w:t>
      </w:r>
      <w:r>
        <w:rPr>
          <w:rFonts w:hint="eastAsia"/>
        </w:rPr>
        <w:t>、套筒内胆：为医用级TPU材料，超强抗压气囊，不易破损，均为圆周压力设计，带内衬布可拆洗；</w:t>
      </w:r>
    </w:p>
    <w:p w14:paraId="350F6763">
      <w:pPr>
        <w:numPr>
          <w:ilvl w:val="0"/>
          <w:numId w:val="0"/>
        </w:numPr>
        <w:rPr>
          <w:rFonts w:hint="default" w:ascii="宋体" w:hAnsi="宋体" w:eastAsia="宋体" w:cs="宋体"/>
          <w:i w:val="0"/>
          <w:iCs w:val="0"/>
          <w:color w:val="000000"/>
          <w:kern w:val="0"/>
          <w:sz w:val="22"/>
          <w:szCs w:val="22"/>
          <w:u w:val="none"/>
          <w:lang w:val="en-US" w:eastAsia="zh-CN" w:bidi="ar"/>
        </w:rPr>
      </w:pPr>
    </w:p>
    <w:p w14:paraId="7B3925FF">
      <w:pPr>
        <w:numPr>
          <w:ilvl w:val="0"/>
          <w:numId w:val="0"/>
        </w:numPr>
        <w:rPr>
          <w:rFonts w:hint="default" w:ascii="黑体" w:hAnsi="黑体" w:eastAsia="黑体" w:cs="黑体"/>
          <w:i w:val="0"/>
          <w:iCs w:val="0"/>
          <w:color w:val="000000"/>
          <w:kern w:val="0"/>
          <w:sz w:val="32"/>
          <w:szCs w:val="32"/>
          <w:u w:val="none"/>
          <w:lang w:val="en-US" w:eastAsia="zh-CN" w:bidi="ar"/>
        </w:rPr>
      </w:pPr>
      <w:bookmarkStart w:id="717" w:name="_Toc587"/>
      <w:bookmarkStart w:id="718" w:name="_Toc16534"/>
      <w:r>
        <w:rPr>
          <w:rFonts w:hint="eastAsia" w:ascii="黑体" w:hAnsi="黑体" w:eastAsia="黑体" w:cs="黑体"/>
          <w:i w:val="0"/>
          <w:iCs w:val="0"/>
          <w:color w:val="000000"/>
          <w:kern w:val="0"/>
          <w:sz w:val="32"/>
          <w:szCs w:val="32"/>
          <w:u w:val="none"/>
          <w:lang w:val="en-US" w:eastAsia="zh-CN" w:bidi="ar"/>
        </w:rPr>
        <w:t>4.</w:t>
      </w:r>
      <w:r>
        <w:rPr>
          <w:rFonts w:hint="default" w:ascii="黑体" w:hAnsi="黑体" w:eastAsia="黑体" w:cs="黑体"/>
          <w:i w:val="0"/>
          <w:iCs w:val="0"/>
          <w:color w:val="000000"/>
          <w:kern w:val="0"/>
          <w:sz w:val="32"/>
          <w:szCs w:val="32"/>
          <w:u w:val="none"/>
          <w:lang w:val="en-US" w:eastAsia="zh-CN" w:bidi="ar"/>
        </w:rPr>
        <w:t>可升降0T 桌</w:t>
      </w:r>
      <w:bookmarkEnd w:id="717"/>
      <w:bookmarkEnd w:id="718"/>
      <w:r>
        <w:rPr>
          <w:rFonts w:hint="eastAsia" w:ascii="黑体" w:hAnsi="黑体" w:eastAsia="黑体" w:cs="黑体"/>
          <w:i w:val="0"/>
          <w:iCs w:val="0"/>
          <w:color w:val="000000"/>
          <w:kern w:val="0"/>
          <w:sz w:val="32"/>
          <w:szCs w:val="32"/>
          <w:u w:val="none"/>
          <w:lang w:val="en-US" w:eastAsia="zh-CN" w:bidi="ar"/>
        </w:rPr>
        <w:t xml:space="preserve">                4张</w:t>
      </w:r>
    </w:p>
    <w:p w14:paraId="195B3157">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桌面升架范围mm:620~850</w:t>
      </w:r>
    </w:p>
    <w:p w14:paraId="3B9F3D5E">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手柄转动力距mm:10</w:t>
      </w:r>
    </w:p>
    <w:p w14:paraId="139AA5FE">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桌面额定载荷</w:t>
      </w:r>
      <w:r>
        <w:rPr>
          <w:rFonts w:hint="eastAsia" w:asciiTheme="minorEastAsia" w:hAnsi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kg:50</w:t>
      </w:r>
    </w:p>
    <w:p w14:paraId="7142005E">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桌面尺寸(长X宽)m</w:t>
      </w:r>
      <w:r>
        <w:rPr>
          <w:rFonts w:hint="eastAsia" w:asciiTheme="minorEastAsia" w:hAnsiTheme="minorEastAsia" w:cstheme="minorEastAsia"/>
          <w:sz w:val="24"/>
          <w:szCs w:val="24"/>
          <w:lang w:val="en-US" w:eastAsia="zh-CN"/>
        </w:rPr>
        <w:t>m</w:t>
      </w:r>
      <w:r>
        <w:rPr>
          <w:rFonts w:hint="default" w:asciiTheme="minorEastAsia" w:hAnsiTheme="minorEastAsia" w:eastAsiaTheme="minorEastAsia" w:cstheme="minorEastAsia"/>
          <w:sz w:val="24"/>
          <w:szCs w:val="24"/>
          <w:lang w:val="en-US" w:eastAsia="zh-CN"/>
        </w:rPr>
        <w:t>:1500X800</w:t>
      </w:r>
      <w:r>
        <w:rPr>
          <w:rFonts w:hint="eastAsia" w:asciiTheme="minorEastAsia" w:hAnsiTheme="minorEastAsia" w:cstheme="minorEastAsia"/>
          <w:sz w:val="24"/>
          <w:szCs w:val="24"/>
          <w:lang w:val="en-US" w:eastAsia="zh-CN"/>
        </w:rPr>
        <w:t>±10mm</w:t>
      </w:r>
    </w:p>
    <w:p w14:paraId="558587F9">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用途:作业训练用桌，桌面高度可调节</w:t>
      </w:r>
    </w:p>
    <w:p w14:paraId="5BDBCE1B">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材质:型材、多层板、不锈钢</w:t>
      </w:r>
    </w:p>
    <w:p w14:paraId="6FA20CC5">
      <w:pPr>
        <w:rPr>
          <w:rFonts w:hint="default" w:asciiTheme="minorEastAsia" w:hAnsiTheme="minorEastAsia" w:eastAsiaTheme="minorEastAsia" w:cstheme="minorEastAsia"/>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heme="minorEastAsia" w:hAnsiTheme="minorEastAsia" w:eastAsiaTheme="minorEastAsia" w:cstheme="minorEastAsia"/>
          <w:sz w:val="24"/>
          <w:szCs w:val="24"/>
          <w:lang w:val="en-US" w:eastAsia="zh-CN"/>
        </w:rPr>
        <w:t>结构形式:底座、升降部分、摇把、桌面、脚垫</w:t>
      </w:r>
    </w:p>
    <w:p w14:paraId="2F1B25F8">
      <w:pPr>
        <w:numPr>
          <w:ilvl w:val="0"/>
          <w:numId w:val="0"/>
        </w:numPr>
        <w:rPr>
          <w:rFonts w:hint="default" w:ascii="宋体" w:hAnsi="宋体" w:eastAsia="宋体" w:cs="宋体"/>
          <w:i w:val="0"/>
          <w:iCs w:val="0"/>
          <w:color w:val="000000"/>
          <w:kern w:val="0"/>
          <w:sz w:val="22"/>
          <w:szCs w:val="22"/>
          <w:u w:val="none"/>
          <w:lang w:val="en-US" w:eastAsia="zh-CN" w:bidi="ar"/>
        </w:rPr>
      </w:pPr>
    </w:p>
    <w:p w14:paraId="79033891">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5.体操棒与抛接球              2个</w:t>
      </w:r>
    </w:p>
    <w:p w14:paraId="20C5E707">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1、体操棒规格：φ29×1000mm，允差±20%，体操棒数量：5个；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2、抛接球直径：≥φ250mm，抛接球数量：4个；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3、用途：通过带棒做操和抛接球活动，改善上肢活动范围；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4、材质：多层板、实木、绒布；结构形式：支撑架、训练棒、抛接球；</w:t>
      </w:r>
    </w:p>
    <w:p w14:paraId="5F935E4D">
      <w:pPr>
        <w:numPr>
          <w:ilvl w:val="0"/>
          <w:numId w:val="0"/>
        </w:numPr>
        <w:rPr>
          <w:rFonts w:hint="eastAsia" w:ascii="宋体" w:hAnsi="宋体" w:eastAsia="宋体" w:cs="宋体"/>
          <w:i w:val="0"/>
          <w:iCs w:val="0"/>
          <w:color w:val="000000"/>
          <w:kern w:val="0"/>
          <w:sz w:val="22"/>
          <w:szCs w:val="22"/>
          <w:u w:val="none"/>
          <w:lang w:val="en-US" w:eastAsia="zh-CN" w:bidi="ar"/>
        </w:rPr>
      </w:pPr>
    </w:p>
    <w:p w14:paraId="201C1642">
      <w:pPr>
        <w:numPr>
          <w:ilvl w:val="0"/>
          <w:numId w:val="0"/>
        </w:numPr>
        <w:rPr>
          <w:rFonts w:hint="eastAsia" w:ascii="宋体" w:hAnsi="宋体" w:eastAsia="宋体" w:cs="宋体"/>
          <w:i w:val="0"/>
          <w:iCs w:val="0"/>
          <w:color w:val="000000"/>
          <w:kern w:val="0"/>
          <w:sz w:val="22"/>
          <w:szCs w:val="22"/>
          <w:u w:val="none"/>
          <w:lang w:val="en-US" w:eastAsia="zh-CN" w:bidi="ar"/>
        </w:rPr>
      </w:pPr>
    </w:p>
    <w:p w14:paraId="215B0DA5">
      <w:pPr>
        <w:numPr>
          <w:ilvl w:val="0"/>
          <w:numId w:val="0"/>
        </w:numPr>
        <w:rPr>
          <w:rFonts w:hint="eastAsia" w:ascii="宋体" w:hAnsi="宋体" w:eastAsia="宋体" w:cs="宋体"/>
          <w:i w:val="0"/>
          <w:iCs w:val="0"/>
          <w:color w:val="000000"/>
          <w:kern w:val="0"/>
          <w:sz w:val="22"/>
          <w:szCs w:val="22"/>
          <w:u w:val="none"/>
          <w:lang w:val="en-US" w:eastAsia="zh-CN" w:bidi="ar"/>
        </w:rPr>
      </w:pPr>
    </w:p>
    <w:p w14:paraId="78AB9532">
      <w:pPr>
        <w:numPr>
          <w:ilvl w:val="0"/>
          <w:numId w:val="0"/>
        </w:numPr>
        <w:rPr>
          <w:rFonts w:hint="eastAsia" w:ascii="黑体" w:hAnsi="黑体" w:eastAsia="黑体" w:cs="黑体"/>
          <w:i w:val="0"/>
          <w:iCs w:val="0"/>
          <w:color w:val="000000"/>
          <w:kern w:val="0"/>
          <w:sz w:val="32"/>
          <w:szCs w:val="32"/>
          <w:u w:val="none"/>
          <w:lang w:val="en-US" w:eastAsia="zh-CN" w:bidi="ar"/>
        </w:rPr>
      </w:pPr>
      <w:bookmarkStart w:id="719" w:name="_Toc10910"/>
      <w:bookmarkStart w:id="720" w:name="_Toc9474"/>
      <w:r>
        <w:rPr>
          <w:rFonts w:hint="eastAsia" w:ascii="黑体" w:hAnsi="黑体" w:eastAsia="黑体" w:cs="黑体"/>
          <w:i w:val="0"/>
          <w:iCs w:val="0"/>
          <w:color w:val="000000"/>
          <w:kern w:val="0"/>
          <w:sz w:val="32"/>
          <w:szCs w:val="32"/>
          <w:u w:val="none"/>
          <w:lang w:val="en-US" w:eastAsia="zh-CN" w:bidi="ar"/>
        </w:rPr>
        <w:t>6.</w:t>
      </w:r>
      <w:r>
        <w:rPr>
          <w:rFonts w:hint="default" w:ascii="黑体" w:hAnsi="黑体" w:eastAsia="黑体" w:cs="黑体"/>
          <w:i w:val="0"/>
          <w:iCs w:val="0"/>
          <w:color w:val="000000"/>
          <w:kern w:val="0"/>
          <w:sz w:val="32"/>
          <w:szCs w:val="32"/>
          <w:u w:val="none"/>
          <w:lang w:val="en-US" w:eastAsia="zh-CN" w:bidi="ar"/>
        </w:rPr>
        <w:t>上肢推举训练器</w:t>
      </w:r>
      <w:bookmarkEnd w:id="719"/>
      <w:bookmarkEnd w:id="720"/>
      <w:r>
        <w:rPr>
          <w:rFonts w:hint="eastAsia" w:ascii="黑体" w:hAnsi="黑体" w:eastAsia="黑体" w:cs="黑体"/>
          <w:i w:val="0"/>
          <w:iCs w:val="0"/>
          <w:color w:val="000000"/>
          <w:kern w:val="0"/>
          <w:sz w:val="32"/>
          <w:szCs w:val="32"/>
          <w:u w:val="none"/>
          <w:lang w:val="en-US" w:eastAsia="zh-CN" w:bidi="ar"/>
        </w:rPr>
        <w:t>技术           2个</w:t>
      </w:r>
    </w:p>
    <w:p w14:paraId="2D1C0986">
      <w:pPr>
        <w:numPr>
          <w:ilvl w:val="0"/>
          <w:numId w:val="0"/>
        </w:numPr>
        <w:ind w:firstLine="480" w:firstLineChars="200"/>
        <w:rPr>
          <w:rFonts w:hint="eastAsia" w:asciiTheme="minorHAnsi" w:hAnsiTheme="minorHAnsi" w:eastAsiaTheme="minorEastAsia" w:cstheme="minorBidi"/>
          <w:b/>
          <w:kern w:val="44"/>
          <w:sz w:val="24"/>
          <w:szCs w:val="16"/>
          <w:lang w:val="en-US" w:eastAsia="zh-CN" w:bidi="ar-SA"/>
        </w:rPr>
      </w:pPr>
      <w:r>
        <w:rPr>
          <w:rFonts w:hint="eastAsia" w:ascii="宋体" w:hAnsi="宋体" w:eastAsia="宋体" w:cs="宋体"/>
          <w:i w:val="0"/>
          <w:iCs w:val="0"/>
          <w:color w:val="000000"/>
          <w:kern w:val="0"/>
          <w:sz w:val="24"/>
          <w:szCs w:val="24"/>
          <w:u w:val="none"/>
          <w:lang w:val="en-US" w:eastAsia="zh-CN" w:bidi="ar"/>
        </w:rPr>
        <w:t>技术参数</w:t>
      </w:r>
    </w:p>
    <w:p w14:paraId="62991071">
      <w:pPr>
        <w:rPr>
          <w:rFonts w:hint="default" w:asciiTheme="minorEastAsia" w:hAnsi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规格(mm)：780mm×500mm×490mm</w:t>
      </w:r>
      <w:r>
        <w:rPr>
          <w:rFonts w:hint="eastAsia" w:asciiTheme="minorEastAsia" w:hAnsiTheme="minorEastAsia" w:cstheme="minorEastAsia"/>
          <w:sz w:val="24"/>
          <w:szCs w:val="24"/>
          <w:lang w:val="en-US" w:eastAsia="zh-CN"/>
        </w:rPr>
        <w:t>±15mm</w:t>
      </w:r>
    </w:p>
    <w:p w14:paraId="2E8C8B32">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推拉范围（mm）：360</w:t>
      </w:r>
      <w:r>
        <w:rPr>
          <w:rFonts w:hint="eastAsia" w:asciiTheme="minorEastAsia" w:hAnsiTheme="minorEastAsia" w:cstheme="minorEastAsia"/>
          <w:sz w:val="24"/>
          <w:szCs w:val="24"/>
          <w:lang w:val="en-US" w:eastAsia="zh-CN"/>
        </w:rPr>
        <w:t>-340</w:t>
      </w:r>
    </w:p>
    <w:p w14:paraId="757A2B20">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底盘与底座板角度调节范围：30</w:t>
      </w:r>
      <w:r>
        <w:rPr>
          <w:rFonts w:hint="eastAsia" w:asciiTheme="minorEastAsia" w:hAnsiTheme="minorEastAsia" w:cstheme="minorEastAsia"/>
          <w:sz w:val="24"/>
          <w:szCs w:val="24"/>
          <w:lang w:val="en-US" w:eastAsia="zh-CN"/>
        </w:rPr>
        <w:t>°— 50</w:t>
      </w:r>
      <w:r>
        <w:rPr>
          <w:rFonts w:hint="default" w:asciiTheme="minorEastAsia" w:hAnsiTheme="minorEastAsia" w:eastAsiaTheme="minorEastAsia" w:cstheme="minorEastAsia"/>
          <w:sz w:val="24"/>
          <w:szCs w:val="24"/>
          <w:lang w:val="en-US" w:eastAsia="zh-CN"/>
        </w:rPr>
        <w:t>°</w:t>
      </w:r>
    </w:p>
    <w:p w14:paraId="7326C432">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用途：上肢肌力协调活动能力和关节活动度的作业训练</w:t>
      </w:r>
    </w:p>
    <w:p w14:paraId="7BBF44E6">
      <w:pPr>
        <w:rPr>
          <w:rFonts w:hint="default" w:asciiTheme="minorEastAsia" w:hAnsiTheme="minorEastAsia" w:eastAsiaTheme="minorEastAsia" w:cstheme="minorEastAsia"/>
          <w:sz w:val="28"/>
          <w:szCs w:val="36"/>
          <w:lang w:val="en-US" w:eastAsia="zh-CN"/>
        </w:rPr>
      </w:pPr>
    </w:p>
    <w:p w14:paraId="224F6B34">
      <w:pPr>
        <w:rPr>
          <w:rFonts w:hint="default" w:asciiTheme="minorEastAsia" w:hAnsiTheme="minorEastAsia" w:eastAsiaTheme="minorEastAsia" w:cstheme="minorEastAsia"/>
          <w:sz w:val="28"/>
          <w:szCs w:val="36"/>
          <w:lang w:val="en-US" w:eastAsia="zh-CN"/>
        </w:rPr>
      </w:pPr>
    </w:p>
    <w:p w14:paraId="3F86804C">
      <w:pPr>
        <w:rPr>
          <w:rFonts w:hint="default" w:asciiTheme="minorEastAsia" w:hAnsiTheme="minorEastAsia" w:eastAsiaTheme="minorEastAsia" w:cstheme="minorEastAsia"/>
          <w:sz w:val="28"/>
          <w:szCs w:val="36"/>
          <w:lang w:val="en-US" w:eastAsia="zh-CN"/>
        </w:rPr>
      </w:pPr>
    </w:p>
    <w:p w14:paraId="1A543AE6">
      <w:pPr>
        <w:numPr>
          <w:ilvl w:val="0"/>
          <w:numId w:val="0"/>
        </w:numP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7.肩抬举训练器                   2个</w:t>
      </w:r>
    </w:p>
    <w:p w14:paraId="7ABC16E0">
      <w:pPr>
        <w:widowControl w:val="0"/>
        <w:numPr>
          <w:ilvl w:val="0"/>
          <w:numId w:val="0"/>
        </w:numPr>
        <w:tabs>
          <w:tab w:val="left" w:pos="312"/>
        </w:tabs>
        <w:jc w:val="both"/>
        <w:rPr>
          <w:rFonts w:hint="eastAsia" w:ascii="黑体" w:hAnsi="黑体" w:eastAsia="黑体" w:cs="黑体"/>
          <w:i w:val="0"/>
          <w:iCs w:val="0"/>
          <w:color w:val="000000"/>
          <w:kern w:val="0"/>
          <w:sz w:val="32"/>
          <w:szCs w:val="32"/>
          <w:u w:val="none"/>
          <w:lang w:val="en-US" w:eastAsia="zh-CN" w:bidi="ar"/>
        </w:rPr>
      </w:pPr>
    </w:p>
    <w:p w14:paraId="0F5212AD">
      <w:pPr>
        <w:widowControl w:val="0"/>
        <w:numPr>
          <w:ilvl w:val="0"/>
          <w:numId w:val="0"/>
        </w:numPr>
        <w:tabs>
          <w:tab w:val="left" w:pos="312"/>
        </w:tabs>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1、支架角度调节数：≥7。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2、木棒尺寸：≥φ29×920mm。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3、支架规格：≥920×560×190mm。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4、搁架角度可调，可放在桌上使用。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5、用途：通过将棍棒置放于不同高度训练上肢抬举功能。可在棍棒两端悬挂沙袋，以增加抗阻力。</w:t>
      </w:r>
    </w:p>
    <w:p w14:paraId="3FA4A63F">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4631596A">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1F25A396">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52E4690C">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7AB398DE">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007A3B56">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281D2076">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31CA8800">
      <w:pPr>
        <w:numPr>
          <w:ilvl w:val="0"/>
          <w:numId w:val="0"/>
        </w:numP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8.分指板（手指固定带合滑轮）         10个</w:t>
      </w:r>
    </w:p>
    <w:p w14:paraId="359CBC43">
      <w:pPr>
        <w:widowControl w:val="0"/>
        <w:numPr>
          <w:ilvl w:val="0"/>
          <w:numId w:val="0"/>
        </w:numPr>
        <w:tabs>
          <w:tab w:val="left" w:pos="312"/>
        </w:tabs>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1、操作显示：≥3.5英寸液晶触摸屏；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2、中频治疗处方：≥20个；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3、工作频率：2kHz～6kHz，调制频率：0～150Hz，允差±10%；中频载波波形：双向方波；中频载波脉冲宽度：83μs～250μs，允差±10%；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4、调制波形：正弦波、方波、三角波、指数波、锯齿波、等幅波、尖波等更多波形；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5、调幅度：0%、25%、50%、75%、100%，允差±5%；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6、输出电流：最大输出电流≤55mA；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7、治疗时间：1min～60min可调，治疗时间结束后，停止输出，并发出声响提示；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8、输出强度等级：0～99级可调，输出幅度：≤30V；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9、输出电流稳定度：不同负载下的输出电流变化率≤10%；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10、透热温度：加热区域温度为37℃，具有两路独立的温度保护设置；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11、治疗模式：连续电刺激、≥5种断续电刺激；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12、有分指功能训练，支持左右手切换使用，具有电刺激、透热、分指功能，可同时电刺激5根手指；具有三档滑块调节功能，适配不同患者进行分指训练；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13、配备拇指外侧电极片、外侧分指块电极片、中间分指块电极片。</w:t>
      </w:r>
    </w:p>
    <w:p w14:paraId="1BC212AA">
      <w:pPr>
        <w:widowControl w:val="0"/>
        <w:numPr>
          <w:ilvl w:val="0"/>
          <w:numId w:val="0"/>
        </w:numPr>
        <w:tabs>
          <w:tab w:val="left" w:pos="312"/>
        </w:tabs>
        <w:jc w:val="both"/>
        <w:rPr>
          <w:rFonts w:hint="eastAsia" w:ascii="宋体" w:hAnsi="宋体" w:eastAsia="宋体" w:cs="宋体"/>
          <w:i w:val="0"/>
          <w:iCs w:val="0"/>
          <w:color w:val="000000"/>
          <w:kern w:val="0"/>
          <w:sz w:val="24"/>
          <w:szCs w:val="24"/>
          <w:u w:val="none"/>
          <w:lang w:val="en-US" w:eastAsia="zh-CN" w:bidi="ar"/>
        </w:rPr>
      </w:pPr>
    </w:p>
    <w:p w14:paraId="0B3A2760">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62D2A63A">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361C3392">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0A87B75A">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9.爬行垫                      20个</w:t>
      </w:r>
    </w:p>
    <w:p w14:paraId="3F1F048F">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1、内层：软垫内层采用软质泡沫聚合材料。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2、规格：≥1800×1200×60mm。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3、用途：各种垫上运动，关节活动度、坐位平衡、卧位医疗体操及卧位训练。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4、材质：人造革、海绵。结构形式：支撑垫。</w:t>
      </w:r>
    </w:p>
    <w:p w14:paraId="0D14D492">
      <w:pPr>
        <w:numPr>
          <w:ilvl w:val="0"/>
          <w:numId w:val="0"/>
        </w:numPr>
        <w:rPr>
          <w:rFonts w:hint="eastAsia" w:ascii="宋体" w:hAnsi="宋体" w:eastAsia="宋体" w:cs="宋体"/>
          <w:i w:val="0"/>
          <w:iCs w:val="0"/>
          <w:color w:val="000000"/>
          <w:kern w:val="0"/>
          <w:sz w:val="24"/>
          <w:szCs w:val="24"/>
          <w:u w:val="none"/>
          <w:lang w:val="en-US" w:eastAsia="zh-CN" w:bidi="ar"/>
        </w:rPr>
      </w:pPr>
    </w:p>
    <w:p w14:paraId="3B4FA1DB">
      <w:pPr>
        <w:numPr>
          <w:ilvl w:val="0"/>
          <w:numId w:val="0"/>
        </w:numPr>
        <w:rPr>
          <w:rFonts w:hint="eastAsia" w:ascii="宋体" w:hAnsi="宋体" w:eastAsia="宋体" w:cs="宋体"/>
          <w:i w:val="0"/>
          <w:iCs w:val="0"/>
          <w:color w:val="000000"/>
          <w:kern w:val="0"/>
          <w:sz w:val="22"/>
          <w:szCs w:val="22"/>
          <w:u w:val="none"/>
          <w:lang w:val="en-US" w:eastAsia="zh-CN" w:bidi="ar"/>
        </w:rPr>
      </w:pPr>
    </w:p>
    <w:p w14:paraId="5D62759F">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10.功能性电刺激助行仪          1台</w:t>
      </w:r>
    </w:p>
    <w:p w14:paraId="7E27E67C">
      <w:pPr>
        <w:bidi w:val="0"/>
        <w:jc w:val="both"/>
        <w:rPr>
          <w:rFonts w:hint="eastAsia"/>
        </w:rPr>
      </w:pPr>
      <w:r>
        <w:rPr>
          <w:rFonts w:hint="eastAsia"/>
        </w:rPr>
        <w:t>主要技术参数与性能指标：</w:t>
      </w:r>
    </w:p>
    <w:p w14:paraId="3A6C4CB7">
      <w:pPr>
        <w:bidi w:val="0"/>
        <w:jc w:val="both"/>
        <w:rPr>
          <w:rFonts w:hint="eastAsia"/>
        </w:rPr>
      </w:pPr>
      <w:r>
        <w:rPr>
          <w:rFonts w:hint="eastAsia"/>
        </w:rPr>
        <w:t>(1)无线可穿戴多通道联动功能性电刺激系统，编程工作站协调控制，通过对各肌肉群的有序刺激，帮助脑卒中或其他中枢神经损伤的患者完成各种目标动作。改善步态，阻止或延缓废用性萎缩，促进肌肉再训练。</w:t>
      </w:r>
    </w:p>
    <w:p w14:paraId="2C08258A">
      <w:pPr>
        <w:bidi w:val="0"/>
        <w:jc w:val="both"/>
        <w:rPr>
          <w:rFonts w:hint="eastAsia"/>
        </w:rPr>
      </w:pPr>
      <w:r>
        <w:rPr>
          <w:rFonts w:hint="eastAsia"/>
        </w:rPr>
        <w:t>(2)步行模式和3种锻炼模式。</w:t>
      </w:r>
    </w:p>
    <w:p w14:paraId="2F858961">
      <w:pPr>
        <w:bidi w:val="0"/>
        <w:jc w:val="both"/>
        <w:rPr>
          <w:rFonts w:hint="eastAsia"/>
        </w:rPr>
      </w:pPr>
      <w:r>
        <w:rPr>
          <w:rFonts w:hint="eastAsia"/>
        </w:rPr>
        <w:t>(3)脉冲宽度范围分50、100、200、300 us。</w:t>
      </w:r>
    </w:p>
    <w:p w14:paraId="0B0A61DD">
      <w:pPr>
        <w:bidi w:val="0"/>
        <w:jc w:val="both"/>
        <w:rPr>
          <w:rFonts w:hint="eastAsia"/>
        </w:rPr>
      </w:pPr>
      <w:r>
        <w:rPr>
          <w:rFonts w:hint="eastAsia"/>
        </w:rPr>
        <w:t>(4)脉冲重复频率20-45Hz可调。</w:t>
      </w:r>
    </w:p>
    <w:p w14:paraId="77F50923">
      <w:pPr>
        <w:bidi w:val="0"/>
        <w:jc w:val="both"/>
        <w:rPr>
          <w:rFonts w:hint="eastAsia"/>
        </w:rPr>
      </w:pPr>
      <w:r>
        <w:rPr>
          <w:rFonts w:hint="eastAsia"/>
        </w:rPr>
        <w:t>(5)最大电流80mAp</w:t>
      </w:r>
    </w:p>
    <w:p w14:paraId="20150DAD">
      <w:pPr>
        <w:bidi w:val="0"/>
        <w:jc w:val="both"/>
        <w:rPr>
          <w:rFonts w:hint="eastAsia"/>
        </w:rPr>
      </w:pPr>
      <w:r>
        <w:rPr>
          <w:rFonts w:hint="eastAsia"/>
        </w:rPr>
        <w:t>(6)最大输出脉冲电压 130Vp</w:t>
      </w:r>
    </w:p>
    <w:p w14:paraId="16FA5E1F">
      <w:pPr>
        <w:bidi w:val="0"/>
        <w:jc w:val="both"/>
        <w:rPr>
          <w:rFonts w:hint="eastAsia"/>
        </w:rPr>
      </w:pPr>
      <w:r>
        <w:rPr>
          <w:rFonts w:hint="eastAsia"/>
        </w:rPr>
        <w:t>(7)刺激波形采用双相波输出及等效双通道技术</w:t>
      </w:r>
    </w:p>
    <w:p w14:paraId="6E55D18D">
      <w:pPr>
        <w:bidi w:val="0"/>
        <w:jc w:val="both"/>
        <w:rPr>
          <w:rFonts w:hint="eastAsia"/>
        </w:rPr>
      </w:pPr>
      <w:r>
        <w:rPr>
          <w:rFonts w:hint="eastAsia"/>
        </w:rPr>
        <w:t>(8)刺激器可单次触发或者循环输出电刺激。不同时序满足不同场景。</w:t>
      </w:r>
    </w:p>
    <w:p w14:paraId="20C594C2">
      <w:pPr>
        <w:bidi w:val="0"/>
        <w:jc w:val="both"/>
        <w:rPr>
          <w:rFonts w:hint="eastAsia"/>
        </w:rPr>
      </w:pPr>
      <w:r>
        <w:rPr>
          <w:rFonts w:hint="eastAsia"/>
        </w:rPr>
        <w:t>(9)刺激触发源为倾角传感器，在步态模式下，最大刺激时间≥10s；在锻炼模式下，最大刺激时间≥20s。</w:t>
      </w:r>
    </w:p>
    <w:p w14:paraId="2D79BFDC">
      <w:pPr>
        <w:bidi w:val="0"/>
        <w:jc w:val="both"/>
        <w:rPr>
          <w:rFonts w:hint="eastAsia"/>
        </w:rPr>
      </w:pPr>
      <w:r>
        <w:rPr>
          <w:rFonts w:hint="eastAsia"/>
        </w:rPr>
        <w:t>(10)锻炼时间：≥60min。</w:t>
      </w:r>
    </w:p>
    <w:p w14:paraId="596FA4C6">
      <w:pPr>
        <w:bidi w:val="0"/>
        <w:jc w:val="both"/>
        <w:rPr>
          <w:rFonts w:hint="eastAsia"/>
        </w:rPr>
      </w:pPr>
      <w:r>
        <w:rPr>
          <w:rFonts w:hint="eastAsia"/>
        </w:rPr>
        <w:t>(11)每个刺激器锻炼周期允许1至4组刺激和间歇时序。 刺激时间0-20秒范围内可调，间歇时间0-20秒范围内可调，步阶均为0.1秒。</w:t>
      </w:r>
    </w:p>
    <w:p w14:paraId="5A847441">
      <w:pPr>
        <w:bidi w:val="0"/>
        <w:jc w:val="both"/>
        <w:rPr>
          <w:rFonts w:hint="eastAsia"/>
        </w:rPr>
      </w:pPr>
      <w:r>
        <w:rPr>
          <w:rFonts w:hint="eastAsia"/>
        </w:rPr>
        <w:t>(12)专用电极座，拿取方便</w:t>
      </w:r>
    </w:p>
    <w:p w14:paraId="1A13F58A">
      <w:pPr>
        <w:bidi w:val="0"/>
        <w:jc w:val="both"/>
        <w:rPr>
          <w:rFonts w:hint="eastAsia"/>
        </w:rPr>
      </w:pPr>
      <w:r>
        <w:rPr>
          <w:rFonts w:hint="eastAsia"/>
        </w:rPr>
        <w:t>(13)仪器具有同时定位神经电极和肌肉电极位置的功能。</w:t>
      </w:r>
    </w:p>
    <w:p w14:paraId="1A205572">
      <w:pPr>
        <w:bidi w:val="0"/>
        <w:jc w:val="both"/>
        <w:rPr>
          <w:rFonts w:hint="eastAsia"/>
        </w:rPr>
      </w:pPr>
      <w:r>
        <w:rPr>
          <w:rFonts w:hint="eastAsia"/>
        </w:rPr>
        <w:t>(14)步行时具有自动分析步态、数据采集功能。</w:t>
      </w:r>
    </w:p>
    <w:p w14:paraId="465E2F7C">
      <w:pPr>
        <w:bidi w:val="0"/>
        <w:jc w:val="both"/>
        <w:rPr>
          <w:rFonts w:hint="eastAsia"/>
        </w:rPr>
      </w:pPr>
      <w:r>
        <w:rPr>
          <w:rFonts w:hint="eastAsia"/>
        </w:rPr>
        <w:t>(15)具有自适应控制刺激开始和停止步态控制功能。</w:t>
      </w:r>
    </w:p>
    <w:p w14:paraId="641097F2">
      <w:pPr>
        <w:bidi w:val="0"/>
        <w:jc w:val="both"/>
        <w:rPr>
          <w:rFonts w:hint="eastAsia"/>
        </w:rPr>
      </w:pPr>
      <w:r>
        <w:rPr>
          <w:rFonts w:hint="eastAsia"/>
        </w:rPr>
        <w:t>(16)编程器分为手持编程器、编程工作站，可以单独使用也可配合使用，可以实现在不同环境下操作使用。</w:t>
      </w:r>
    </w:p>
    <w:p w14:paraId="5701E57B">
      <w:pPr>
        <w:bidi w:val="0"/>
        <w:jc w:val="both"/>
        <w:rPr>
          <w:rFonts w:hint="eastAsia"/>
        </w:rPr>
      </w:pPr>
      <w:r>
        <w:rPr>
          <w:rFonts w:hint="eastAsia"/>
        </w:rPr>
        <w:t>(17)使用滑块任意设置每个刺激器的刺激时间。拖动可以调整刺激强度，也可点击滑块旁边的按键来精确设置</w:t>
      </w:r>
    </w:p>
    <w:p w14:paraId="319C2168">
      <w:pPr>
        <w:bidi w:val="0"/>
        <w:jc w:val="both"/>
        <w:rPr>
          <w:rFonts w:hint="eastAsia"/>
        </w:rPr>
      </w:pPr>
      <w:r>
        <w:rPr>
          <w:rFonts w:hint="eastAsia"/>
        </w:rPr>
        <w:t>(18)具有电池电量指示、电极脱落、低电压等报警检测功能。</w:t>
      </w:r>
    </w:p>
    <w:p w14:paraId="2D486482">
      <w:pPr>
        <w:bidi w:val="0"/>
        <w:jc w:val="both"/>
        <w:rPr>
          <w:rFonts w:hint="eastAsia"/>
        </w:rPr>
      </w:pPr>
      <w:r>
        <w:rPr>
          <w:rFonts w:hint="eastAsia"/>
        </w:rPr>
        <w:t>(19)上升时间设置、下降时间设置、扩展时间设置、最长刺激时间等参数可根据实际治疗需求进行设置。</w:t>
      </w:r>
    </w:p>
    <w:p w14:paraId="20C61DEB">
      <w:pPr>
        <w:bidi w:val="0"/>
        <w:jc w:val="both"/>
        <w:rPr>
          <w:rFonts w:hint="eastAsia"/>
        </w:rPr>
      </w:pPr>
      <w:r>
        <w:rPr>
          <w:rFonts w:hint="eastAsia"/>
        </w:rPr>
        <w:t>(20)坐站训练，按需刺激股四头肌，稳定膝关节，完成坐-站转移。</w:t>
      </w:r>
    </w:p>
    <w:p w14:paraId="136E152A">
      <w:pPr>
        <w:bidi w:val="0"/>
        <w:jc w:val="both"/>
        <w:rPr>
          <w:rFonts w:hint="eastAsia"/>
        </w:rPr>
      </w:pPr>
      <w:r>
        <w:rPr>
          <w:rFonts w:hint="eastAsia"/>
        </w:rPr>
        <w:t>(21)产品通过无线联网协作，接受编程工作站协调控制，通过对各肌肉群的有序刺激和运动反馈，辅助患者肢体完成各种目标动作。</w:t>
      </w:r>
    </w:p>
    <w:p w14:paraId="3E330CF1">
      <w:pPr>
        <w:bidi w:val="0"/>
        <w:jc w:val="both"/>
        <w:rPr>
          <w:rFonts w:hint="eastAsia"/>
        </w:rPr>
      </w:pPr>
      <w:r>
        <w:rPr>
          <w:rFonts w:hint="eastAsia"/>
        </w:rPr>
        <w:t>(22)图形化编程，数据库管理。</w:t>
      </w:r>
    </w:p>
    <w:p w14:paraId="1E834D9D">
      <w:pPr>
        <w:bidi w:val="0"/>
        <w:jc w:val="both"/>
        <w:rPr>
          <w:rFonts w:hint="eastAsia"/>
        </w:rPr>
      </w:pPr>
      <w:r>
        <w:rPr>
          <w:rFonts w:hint="eastAsia"/>
        </w:rPr>
        <w:t>(23)可实时保存患者使用数据，并自动生产打印报告。</w:t>
      </w:r>
    </w:p>
    <w:p w14:paraId="3770C9F6">
      <w:pPr>
        <w:bidi w:val="0"/>
        <w:jc w:val="both"/>
        <w:rPr>
          <w:rFonts w:hint="eastAsia"/>
        </w:rPr>
      </w:pPr>
      <w:r>
        <w:rPr>
          <w:rFonts w:hint="eastAsia"/>
        </w:rPr>
        <w:t>(24)内置三维运动传感器使步态跟随更加灵敏准确。</w:t>
      </w:r>
    </w:p>
    <w:p w14:paraId="500D9580">
      <w:pPr>
        <w:bidi w:val="0"/>
        <w:jc w:val="both"/>
        <w:rPr>
          <w:rFonts w:hint="eastAsia"/>
        </w:rPr>
      </w:pPr>
    </w:p>
    <w:p w14:paraId="222FA39F">
      <w:pPr>
        <w:bidi w:val="0"/>
        <w:jc w:val="both"/>
        <w:rPr>
          <w:rFonts w:hint="eastAsia"/>
        </w:rPr>
      </w:pPr>
    </w:p>
    <w:p w14:paraId="4C3CC15E">
      <w:pPr>
        <w:numPr>
          <w:ilvl w:val="0"/>
          <w:numId w:val="0"/>
        </w:numP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11.训练用阶梯（抽屉式）                 2个</w:t>
      </w:r>
    </w:p>
    <w:p w14:paraId="7AF857F0">
      <w:pPr>
        <w:jc w:val="both"/>
        <w:rPr>
          <w:rFonts w:hint="eastAsia"/>
        </w:rPr>
      </w:pPr>
      <w:r>
        <w:rPr>
          <w:rFonts w:hint="eastAsia"/>
        </w:rPr>
        <w:t>规格(mm)：330～1200×600×400</w:t>
      </w:r>
    </w:p>
    <w:p w14:paraId="78FF9508">
      <w:pPr>
        <w:jc w:val="both"/>
        <w:rPr>
          <w:rFonts w:hint="eastAsia"/>
        </w:rPr>
      </w:pPr>
      <w:r>
        <w:rPr>
          <w:rFonts w:hint="eastAsia"/>
        </w:rPr>
        <w:t>用途：除可作为不同高度坐具外，亦可当简易的训练阶梯使用。 阶梯差100mm</w:t>
      </w:r>
    </w:p>
    <w:p w14:paraId="13300B1B">
      <w:pPr>
        <w:jc w:val="both"/>
        <w:rPr>
          <w:rFonts w:hint="eastAsia"/>
        </w:rPr>
      </w:pPr>
      <w:r>
        <w:rPr>
          <w:rFonts w:hint="eastAsia"/>
        </w:rPr>
        <w:t>材质：多层板</w:t>
      </w:r>
    </w:p>
    <w:p w14:paraId="77CF4142">
      <w:pPr>
        <w:numPr>
          <w:ilvl w:val="0"/>
          <w:numId w:val="0"/>
        </w:numPr>
        <w:rPr>
          <w:rFonts w:hint="eastAsia"/>
        </w:rPr>
      </w:pPr>
      <w:r>
        <w:rPr>
          <w:rFonts w:hint="eastAsia"/>
        </w:rPr>
        <w:t>结构形式：抽屉式阶梯</w:t>
      </w:r>
    </w:p>
    <w:p w14:paraId="11DB6CB2">
      <w:pPr>
        <w:numPr>
          <w:ilvl w:val="0"/>
          <w:numId w:val="0"/>
        </w:numPr>
        <w:rPr>
          <w:rFonts w:hint="eastAsia"/>
        </w:rPr>
      </w:pPr>
    </w:p>
    <w:p w14:paraId="356CD36E">
      <w:pPr>
        <w:numPr>
          <w:ilvl w:val="0"/>
          <w:numId w:val="0"/>
        </w:numPr>
        <w:rPr>
          <w:rFonts w:hint="eastAsia"/>
        </w:rPr>
      </w:pPr>
    </w:p>
    <w:p w14:paraId="7601AD7B">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12.系列沙袋（绑式、提式）                4个</w:t>
      </w:r>
    </w:p>
    <w:p w14:paraId="23325E48">
      <w:pPr>
        <w:numPr>
          <w:ilvl w:val="0"/>
          <w:numId w:val="0"/>
        </w:numPr>
        <w:rPr>
          <w:rFonts w:hint="eastAsia" w:ascii="宋体" w:hAnsi="宋体" w:eastAsia="宋体" w:cs="宋体"/>
          <w:i w:val="0"/>
          <w:iCs w:val="0"/>
          <w:color w:val="000000"/>
          <w:kern w:val="0"/>
          <w:sz w:val="22"/>
          <w:szCs w:val="22"/>
          <w:u w:val="none"/>
          <w:lang w:val="en-US" w:eastAsia="zh-CN" w:bidi="ar"/>
        </w:rPr>
      </w:pPr>
    </w:p>
    <w:p w14:paraId="742D8824">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(绑式）技术参数</w:t>
      </w:r>
    </w:p>
    <w:p w14:paraId="25AE3EA2">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1、沙袋规格数量：≥0.5kg，≥0.75kg，≥1.0kg，≥1.5kg，≥2kg，≥2.5kg各两件；</w:t>
      </w:r>
    </w:p>
    <w:p w14:paraId="5D54976F">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2、规格：≥640×380×710mm；</w:t>
      </w:r>
    </w:p>
    <w:p w14:paraId="21BE8A70">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3、用途：肌力训练、关节活动度训练、关节屈伸训练。</w:t>
      </w:r>
    </w:p>
    <w:p w14:paraId="5DCCEF9C">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(提式）技术参数</w:t>
      </w:r>
    </w:p>
    <w:p w14:paraId="03DFE010">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1、沙袋规格数量：1.5kg，2.5kg，3.5k，各两件 ； 5kg，1件</w:t>
      </w:r>
    </w:p>
    <w:p w14:paraId="28E1866F">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2、规格(mm)：630×380×710</w:t>
      </w:r>
    </w:p>
    <w:p w14:paraId="15AB60C7">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3、用途：肌力训练、关节牵引</w:t>
      </w:r>
    </w:p>
    <w:p w14:paraId="0DBB5380">
      <w:pPr>
        <w:numPr>
          <w:ilvl w:val="0"/>
          <w:numId w:val="0"/>
        </w:numPr>
        <w:rPr>
          <w:rFonts w:hint="eastAsia" w:ascii="宋体" w:hAnsi="宋体" w:eastAsia="宋体" w:cs="宋体"/>
          <w:i w:val="0"/>
          <w:iCs w:val="0"/>
          <w:color w:val="000000"/>
          <w:kern w:val="0"/>
          <w:sz w:val="24"/>
          <w:szCs w:val="24"/>
          <w:u w:val="none"/>
          <w:lang w:val="en-US" w:eastAsia="zh-CN" w:bidi="ar"/>
        </w:rPr>
      </w:pPr>
    </w:p>
    <w:p w14:paraId="40EB21B3">
      <w:pPr>
        <w:numPr>
          <w:ilvl w:val="0"/>
          <w:numId w:val="0"/>
        </w:numPr>
        <w:rPr>
          <w:rFonts w:hint="eastAsia" w:ascii="宋体" w:hAnsi="宋体" w:eastAsia="宋体" w:cs="宋体"/>
          <w:i w:val="0"/>
          <w:iCs w:val="0"/>
          <w:color w:val="000000"/>
          <w:kern w:val="0"/>
          <w:sz w:val="22"/>
          <w:szCs w:val="22"/>
          <w:u w:val="none"/>
          <w:lang w:val="en-US" w:eastAsia="zh-CN" w:bidi="ar"/>
        </w:rPr>
      </w:pPr>
    </w:p>
    <w:p w14:paraId="25084996">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 xml:space="preserve">13.肌力训练弹力带 </w:t>
      </w:r>
      <w:r>
        <w:rPr>
          <w:rFonts w:hint="eastAsia" w:ascii="黑体" w:hAnsi="黑体" w:eastAsia="黑体" w:cs="黑体"/>
          <w:i w:val="0"/>
          <w:iCs w:val="0"/>
          <w:color w:val="0000FF"/>
          <w:kern w:val="0"/>
          <w:sz w:val="32"/>
          <w:szCs w:val="32"/>
          <w:u w:val="none"/>
          <w:lang w:val="en-US" w:eastAsia="zh-CN" w:bidi="ar"/>
        </w:rPr>
        <w:t xml:space="preserve">            </w:t>
      </w:r>
      <w:r>
        <w:rPr>
          <w:rFonts w:hint="eastAsia" w:ascii="黑体" w:hAnsi="黑体" w:eastAsia="黑体" w:cs="黑体"/>
          <w:i w:val="0"/>
          <w:iCs w:val="0"/>
          <w:color w:val="000000"/>
          <w:kern w:val="0"/>
          <w:sz w:val="32"/>
          <w:szCs w:val="32"/>
          <w:u w:val="none"/>
          <w:lang w:val="en-US" w:eastAsia="zh-CN" w:bidi="ar"/>
        </w:rPr>
        <w:t xml:space="preserve">      20个</w:t>
      </w:r>
    </w:p>
    <w:p w14:paraId="17FB48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技术参数</w:t>
      </w:r>
    </w:p>
    <w:p w14:paraId="3A394D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1、材质：天然乳胶。</w:t>
      </w:r>
    </w:p>
    <w:p w14:paraId="6C9D3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2、10磅、15磅、20磅、25磅，允差±5%。</w:t>
      </w:r>
    </w:p>
    <w:p w14:paraId="70B00382">
      <w:pPr>
        <w:numPr>
          <w:ilvl w:val="0"/>
          <w:numId w:val="0"/>
        </w:numPr>
        <w:ind w:firstLine="480" w:firstLineChars="200"/>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用途：全身各主要肌肉力量训练训练者可以跟据患者肌力的实际状况选择合适的弹力带进行练习；</w:t>
      </w:r>
    </w:p>
    <w:p w14:paraId="659DE167">
      <w:pPr>
        <w:widowControl w:val="0"/>
        <w:numPr>
          <w:ilvl w:val="0"/>
          <w:numId w:val="0"/>
        </w:numPr>
        <w:jc w:val="both"/>
        <w:rPr>
          <w:rFonts w:hint="eastAsia" w:ascii="宋体" w:hAnsi="宋体" w:eastAsia="宋体" w:cs="宋体"/>
          <w:i w:val="0"/>
          <w:iCs w:val="0"/>
          <w:color w:val="000000"/>
          <w:sz w:val="22"/>
          <w:szCs w:val="22"/>
          <w:u w:val="none"/>
          <w:lang w:val="en-US" w:eastAsia="zh-CN"/>
        </w:rPr>
      </w:pPr>
    </w:p>
    <w:p w14:paraId="4CB270F8">
      <w:pPr>
        <w:widowControl w:val="0"/>
        <w:numPr>
          <w:ilvl w:val="0"/>
          <w:numId w:val="0"/>
        </w:numPr>
        <w:jc w:val="both"/>
        <w:rPr>
          <w:rFonts w:hint="eastAsia" w:ascii="宋体" w:hAnsi="宋体" w:eastAsia="宋体" w:cs="宋体"/>
          <w:i w:val="0"/>
          <w:iCs w:val="0"/>
          <w:color w:val="000000"/>
          <w:sz w:val="22"/>
          <w:szCs w:val="22"/>
          <w:u w:val="none"/>
          <w:lang w:val="en-US" w:eastAsia="zh-CN"/>
        </w:rPr>
      </w:pPr>
    </w:p>
    <w:p w14:paraId="5D53951E">
      <w:pPr>
        <w:widowControl w:val="0"/>
        <w:numPr>
          <w:ilvl w:val="0"/>
          <w:numId w:val="0"/>
        </w:numPr>
        <w:jc w:val="both"/>
        <w:rPr>
          <w:rFonts w:hint="eastAsia" w:ascii="宋体" w:hAnsi="宋体" w:eastAsia="宋体" w:cs="宋体"/>
          <w:i w:val="0"/>
          <w:iCs w:val="0"/>
          <w:color w:val="000000"/>
          <w:sz w:val="22"/>
          <w:szCs w:val="22"/>
          <w:u w:val="none"/>
          <w:lang w:val="en-US" w:eastAsia="zh-CN"/>
        </w:rPr>
      </w:pPr>
    </w:p>
    <w:p w14:paraId="42777A29">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14.可升降PT床                     5台</w:t>
      </w:r>
    </w:p>
    <w:p w14:paraId="3A657962">
      <w:pPr>
        <w:widowControl w:val="0"/>
        <w:numPr>
          <w:ilvl w:val="0"/>
          <w:numId w:val="0"/>
        </w:numPr>
        <w:tabs>
          <w:tab w:val="left" w:pos="312"/>
        </w:tabs>
        <w:jc w:val="both"/>
        <w:rPr>
          <w:rFonts w:hint="eastAsia" w:ascii="黑体" w:hAnsi="黑体" w:eastAsia="黑体" w:cs="黑体"/>
          <w:i w:val="0"/>
          <w:iCs w:val="0"/>
          <w:color w:val="000000"/>
          <w:kern w:val="0"/>
          <w:sz w:val="32"/>
          <w:szCs w:val="32"/>
          <w:u w:val="none"/>
          <w:lang w:val="en-US" w:eastAsia="zh-CN" w:bidi="ar"/>
        </w:rPr>
      </w:pPr>
    </w:p>
    <w:p w14:paraId="4B50A743">
      <w:pPr>
        <w:widowControl w:val="0"/>
        <w:numPr>
          <w:ilvl w:val="0"/>
          <w:numId w:val="0"/>
        </w:numPr>
        <w:tabs>
          <w:tab w:val="left" w:pos="312"/>
        </w:tabs>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1、电源：AC220V±10V，频率：50Hz±1Hz，额定输入功率：≥240VA。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2、尺寸：2100×1200×500～1000mm，允差±5%。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3、床面升降行程：0～500mm，背板尺寸：≥750×1200mm，坐板尺寸：≥1360×1200mm。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4、床体最大安全载荷：≥200kg。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5、头部段面功能：相对水平面调节角度：0°～85°连续可调，允差±5°。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6、控制方式：手柄开关和脚踏开关。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7、电机最大推力：≥8000N。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8、配备脚踏四联动装置锁定，压下脚踏四联动装置床面上升，四个脚轮着地，升起脚踏四联动装置床面下降，四个脚轮升起锁止。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9、配备支腿调节地脚，方便对床体进行调整。</w:t>
      </w:r>
    </w:p>
    <w:p w14:paraId="77F4F7E8">
      <w:pPr>
        <w:widowControl w:val="0"/>
        <w:numPr>
          <w:ilvl w:val="0"/>
          <w:numId w:val="0"/>
        </w:numPr>
        <w:tabs>
          <w:tab w:val="left" w:pos="312"/>
        </w:tabs>
        <w:jc w:val="both"/>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10、每台PT床各配套一台PT凳。</w:t>
      </w:r>
    </w:p>
    <w:p w14:paraId="23456581">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67F33A29">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20C40063">
      <w:pPr>
        <w:widowControl w:val="0"/>
        <w:numPr>
          <w:ilvl w:val="0"/>
          <w:numId w:val="0"/>
        </w:numPr>
        <w:tabs>
          <w:tab w:val="left" w:pos="312"/>
        </w:tabs>
        <w:jc w:val="both"/>
        <w:rPr>
          <w:rFonts w:hint="eastAsia" w:ascii="宋体" w:hAnsi="宋体" w:eastAsia="宋体" w:cs="宋体"/>
          <w:i w:val="0"/>
          <w:iCs w:val="0"/>
          <w:color w:val="000000"/>
          <w:kern w:val="0"/>
          <w:sz w:val="22"/>
          <w:szCs w:val="22"/>
          <w:u w:val="none"/>
          <w:lang w:val="en-US" w:eastAsia="zh-CN" w:bidi="ar"/>
        </w:rPr>
      </w:pPr>
    </w:p>
    <w:p w14:paraId="41919080">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 xml:space="preserve">15.吞咽生物反馈刺激仪 </w:t>
      </w:r>
      <w:r>
        <w:rPr>
          <w:rFonts w:hint="eastAsia" w:ascii="黑体" w:hAnsi="黑体" w:eastAsia="黑体" w:cs="黑体"/>
          <w:i w:val="0"/>
          <w:iCs w:val="0"/>
          <w:color w:val="0000FF"/>
          <w:kern w:val="0"/>
          <w:sz w:val="32"/>
          <w:szCs w:val="32"/>
          <w:u w:val="none"/>
          <w:lang w:val="en-US" w:eastAsia="zh-CN" w:bidi="ar"/>
        </w:rPr>
        <w:t xml:space="preserve">           </w:t>
      </w:r>
      <w:r>
        <w:rPr>
          <w:rFonts w:hint="eastAsia" w:ascii="黑体" w:hAnsi="黑体" w:eastAsia="黑体" w:cs="黑体"/>
          <w:i w:val="0"/>
          <w:iCs w:val="0"/>
          <w:color w:val="000000"/>
          <w:kern w:val="0"/>
          <w:sz w:val="32"/>
          <w:szCs w:val="32"/>
          <w:u w:val="none"/>
          <w:lang w:val="en-US" w:eastAsia="zh-CN" w:bidi="ar"/>
        </w:rPr>
        <w:t xml:space="preserve">        1台</w:t>
      </w:r>
    </w:p>
    <w:p w14:paraId="6DE9CF29">
      <w:pP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default" w:asciiTheme="minorEastAsia" w:hAnsiTheme="minorEastAsia" w:eastAsiaTheme="minorEastAsia" w:cstheme="minorEastAsia"/>
          <w:sz w:val="24"/>
          <w:szCs w:val="24"/>
          <w:lang w:val="en-US" w:eastAsia="zh-CN"/>
        </w:rPr>
        <w:t>、电极线：1300mm，允差±50mm；</w:t>
      </w:r>
    </w:p>
    <w:p w14:paraId="4F6CA242">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1</w:t>
      </w:r>
      <w:r>
        <w:rPr>
          <w:rFonts w:hint="default" w:asciiTheme="minorEastAsia" w:hAnsiTheme="minorEastAsia" w:eastAsiaTheme="minorEastAsia" w:cstheme="minorEastAsia"/>
          <w:sz w:val="24"/>
          <w:szCs w:val="24"/>
          <w:lang w:val="en-US" w:eastAsia="zh-CN"/>
        </w:rPr>
        <w:t>、电极片：</w:t>
      </w:r>
    </w:p>
    <w:p w14:paraId="2C6CCA68">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a）方形电极片：长40mm，宽40mm，允差±5%；</w:t>
      </w:r>
    </w:p>
    <w:p w14:paraId="6A38651F">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b）圆形电极片：Ф25mm，允差±3%。</w:t>
      </w:r>
    </w:p>
    <w:p w14:paraId="4D0D122D">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、治疗模式：连续脉冲治疗模式。</w:t>
      </w:r>
    </w:p>
    <w:p w14:paraId="7132045C">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2、GAME模式具有力量训练、耐力训练、协调性训练三种主动肌电反馈训练程序，并在软件程序上有显示。</w:t>
      </w:r>
    </w:p>
    <w:p w14:paraId="6D45C711">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3、电极分离技术：EMG和NMES模式使用1电极电缆。</w:t>
      </w:r>
    </w:p>
    <w:p w14:paraId="0E39ADF6">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4、低电池报警提示功能。</w:t>
      </w:r>
    </w:p>
    <w:p w14:paraId="241B6144">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5、具有输出保护功能，任何单一组件具有短路保护</w:t>
      </w:r>
      <w:r>
        <w:rPr>
          <w:rFonts w:hint="eastAsia" w:asciiTheme="minorEastAsia" w:hAnsiTheme="minorEastAsia" w:cstheme="minorEastAsia"/>
          <w:sz w:val="24"/>
          <w:szCs w:val="24"/>
          <w:lang w:val="en-US" w:eastAsia="zh-CN"/>
        </w:rPr>
        <w:t>。</w:t>
      </w:r>
    </w:p>
    <w:p w14:paraId="7FF608B6">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6、充电式锂离子聚合电池+微型USB充电端口。</w:t>
      </w:r>
    </w:p>
    <w:p w14:paraId="0DDFE155">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7、软件控制程序具有数据存储功能。</w:t>
      </w:r>
    </w:p>
    <w:p w14:paraId="4A8E7E94">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8、主机仪器中储存的数据信息可通过蓝牙传输下载到iPad上。</w:t>
      </w:r>
    </w:p>
    <w:p w14:paraId="7B7B7F80">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9、最大使用电流限制保护功能：主机以及软件程序均具有电流安全保护程序，软件程序可控制主机进行二次电流限制保护。防止患者不慎触碰电流调节程序，增大电流到最大限制电流，主机提示电流已达到最大。</w:t>
      </w:r>
    </w:p>
    <w:p w14:paraId="64CA6EA9">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10、反馈阈值：10μV～1000μV。</w:t>
      </w:r>
    </w:p>
    <w:p w14:paraId="14A3FF85">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11、分辨率(测量灵敏度)：1μV。</w:t>
      </w:r>
    </w:p>
    <w:p w14:paraId="118F8528">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12、通频带20Hz～500Hz(-3dB)(不包括陷波波段)。</w:t>
      </w:r>
    </w:p>
    <w:p w14:paraId="5B30BAD9">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3</w:t>
      </w:r>
      <w:r>
        <w:rPr>
          <w:rFonts w:hint="default" w:asciiTheme="minorEastAsia" w:hAnsiTheme="minorEastAsia" w:eastAsiaTheme="minorEastAsia" w:cstheme="minorEastAsia"/>
          <w:sz w:val="24"/>
          <w:szCs w:val="24"/>
          <w:lang w:val="en-US" w:eastAsia="zh-CN"/>
        </w:rPr>
        <w:t>、工频陷波器</w:t>
      </w:r>
      <w:r>
        <w:rPr>
          <w:rFonts w:hint="eastAsia" w:asciiTheme="minorEastAsia" w:hAnsi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刺激仪应有50Hz陷波滤波器，衰减后幅值应不大于5uV(峰-谷值)。</w:t>
      </w:r>
    </w:p>
    <w:p w14:paraId="484F001B">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4</w:t>
      </w:r>
      <w:r>
        <w:rPr>
          <w:rFonts w:hint="default" w:asciiTheme="minorEastAsia" w:hAnsiTheme="minorEastAsia" w:eastAsiaTheme="minorEastAsia" w:cstheme="minorEastAsia"/>
          <w:sz w:val="24"/>
          <w:szCs w:val="24"/>
          <w:lang w:val="en-US" w:eastAsia="zh-CN"/>
        </w:rPr>
        <w:t>、 ETS（触发电刺激）模式性能：a) 频率(FQ)：2Hz～100Hz可调，2Hz～5Hz级差1Hz；5Hz～100Hz级差5Hz，允差±0.5Hz或±10%取大值；</w:t>
      </w:r>
    </w:p>
    <w:p w14:paraId="5E640D51">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 xml:space="preserve">b) 输出波形：双向方波；  </w:t>
      </w:r>
    </w:p>
    <w:p w14:paraId="08B5AADB">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c) 阈值（HTR）：10μV～1000μV可调，级差10μV，允差±2μV或±10%取较大值；</w:t>
      </w:r>
    </w:p>
    <w:p w14:paraId="24E7B711">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d) 触发后延时输出时间（WT）：0.1s～4.0s可调，级差0.1s，允差±0.05s或允差±10%取较大值；</w:t>
      </w:r>
    </w:p>
    <w:p w14:paraId="0B4866D9">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e) 启动后输出持续时间（TD）：0.0～4.0s可调，级差0.1s，允差±0.05s或允差±10%取较大值；</w:t>
      </w:r>
    </w:p>
    <w:p w14:paraId="54EDE9A5">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f) 脉冲宽度：200μs，允差±10%；</w:t>
      </w:r>
    </w:p>
    <w:p w14:paraId="4A2C0532">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g) 输出峰值电流：0～60mA可调，0～5mA，级差1mA；5mA～21mA,级差0.5mA；21mA～60mA；级差0.1mA；允差±2mA或±10%取较大值。</w:t>
      </w:r>
    </w:p>
    <w:p w14:paraId="486A68E0">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5</w:t>
      </w:r>
      <w:r>
        <w:rPr>
          <w:rFonts w:hint="default" w:asciiTheme="minorEastAsia" w:hAnsiTheme="minorEastAsia" w:eastAsiaTheme="minorEastAsia" w:cstheme="minorEastAsia"/>
          <w:sz w:val="24"/>
          <w:szCs w:val="24"/>
          <w:lang w:val="en-US" w:eastAsia="zh-CN"/>
        </w:rPr>
        <w:t>、NMES模式性能</w:t>
      </w:r>
    </w:p>
    <w:p w14:paraId="2AA4FABE">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a）输出波形：双向平衡波；</w:t>
      </w:r>
    </w:p>
    <w:p w14:paraId="2D89EEFE">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b）机内共有4个固定处方，1个自定义处方，自定义可设定参数如下：</w:t>
      </w:r>
    </w:p>
    <w:p w14:paraId="00189BB7">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c）频率（FQ)2Hz～100Hz，级差1Hz,允差±0.5Hz或±10%取较大值;</w:t>
      </w:r>
    </w:p>
    <w:p w14:paraId="4552685A">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1）单个脉冲持续时间(PD)50μs～450μs可调，级差50μs，允差±10%;</w:t>
      </w:r>
    </w:p>
    <w:p w14:paraId="3CE88D9C">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2）脉冲串持续时间（WT）1s～100s，级差1s,允差±10%;</w:t>
      </w:r>
    </w:p>
    <w:p w14:paraId="742A0035">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3）脉冲串间隔时间（RT）1s～100s，级差1s,允差±10%；</w:t>
      </w:r>
    </w:p>
    <w:p w14:paraId="11B572C7">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4）上升时间（RU）与下降时间（RD）之和不大于脉冲串持续时间，允差±10%；</w:t>
      </w:r>
    </w:p>
    <w:p w14:paraId="6373C38A">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5）治疗时间（Time）：1min～120min可调，步进为1min，允差为±30s。</w:t>
      </w:r>
    </w:p>
    <w:p w14:paraId="2C60EB21">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d）输出峰值电流：0～60mA可调，0～5mA，级差1mA；5mA～21mA,级差0.5mA。21～60mA；级差0.1mA；允差±2mA或±10%取较大值。</w:t>
      </w:r>
    </w:p>
    <w:p w14:paraId="739B839A">
      <w:pPr>
        <w:rPr>
          <w:rFonts w:hint="default" w:asciiTheme="minorEastAsia" w:hAnsiTheme="minorEastAsia" w:eastAsiaTheme="minorEastAsia" w:cstheme="minorEastAsia"/>
          <w:sz w:val="28"/>
          <w:szCs w:val="28"/>
          <w:lang w:val="en-US" w:eastAsia="zh-CN"/>
        </w:rPr>
      </w:pPr>
    </w:p>
    <w:p w14:paraId="68DA7710">
      <w:pPr>
        <w:numPr>
          <w:ilvl w:val="0"/>
          <w:numId w:val="0"/>
        </w:numPr>
        <w:rPr>
          <w:rFonts w:hint="eastAsia" w:asciiTheme="minorHAnsi" w:hAnsiTheme="minorHAnsi" w:eastAsiaTheme="minorEastAsia" w:cstheme="minorBidi"/>
          <w:b/>
          <w:kern w:val="44"/>
          <w:sz w:val="28"/>
          <w:szCs w:val="28"/>
          <w:lang w:val="en-US" w:eastAsia="zh-CN" w:bidi="ar-SA"/>
        </w:rPr>
      </w:pPr>
      <w:r>
        <w:rPr>
          <w:rFonts w:hint="eastAsia" w:ascii="黑体" w:hAnsi="黑体" w:eastAsia="黑体" w:cs="黑体"/>
          <w:i w:val="0"/>
          <w:iCs w:val="0"/>
          <w:color w:val="000000"/>
          <w:kern w:val="0"/>
          <w:sz w:val="32"/>
          <w:szCs w:val="32"/>
          <w:u w:val="none"/>
          <w:lang w:val="en-US" w:eastAsia="zh-CN" w:bidi="ar"/>
        </w:rPr>
        <w:t xml:space="preserve">16.超声波治疗仪           </w:t>
      </w:r>
      <w:r>
        <w:rPr>
          <w:rFonts w:hint="eastAsia" w:ascii="黑体" w:hAnsi="黑体" w:eastAsia="黑体" w:cs="黑体"/>
          <w:i w:val="0"/>
          <w:iCs w:val="0"/>
          <w:color w:val="0000FF"/>
          <w:kern w:val="0"/>
          <w:sz w:val="32"/>
          <w:szCs w:val="32"/>
          <w:u w:val="none"/>
          <w:lang w:val="en-US" w:eastAsia="zh-CN" w:bidi="ar"/>
        </w:rPr>
        <w:t xml:space="preserve"> </w:t>
      </w:r>
      <w:r>
        <w:rPr>
          <w:rFonts w:hint="eastAsia" w:ascii="黑体" w:hAnsi="黑体" w:eastAsia="黑体" w:cs="黑体"/>
          <w:i w:val="0"/>
          <w:iCs w:val="0"/>
          <w:color w:val="000000"/>
          <w:kern w:val="0"/>
          <w:sz w:val="32"/>
          <w:szCs w:val="32"/>
          <w:u w:val="none"/>
          <w:lang w:val="en-US" w:eastAsia="zh-CN" w:bidi="ar"/>
        </w:rPr>
        <w:t xml:space="preserve">         3台</w:t>
      </w:r>
    </w:p>
    <w:p w14:paraId="5574CDCF">
      <w:pPr>
        <w:numPr>
          <w:ilvl w:val="0"/>
          <w:numId w:val="0"/>
        </w:numPr>
        <w:rPr>
          <w:rFonts w:hint="eastAsia" w:asciiTheme="minorHAnsi" w:hAnsiTheme="minorHAnsi" w:eastAsiaTheme="minorEastAsia" w:cstheme="minorBidi"/>
          <w:b/>
          <w:kern w:val="44"/>
          <w:sz w:val="28"/>
          <w:szCs w:val="28"/>
          <w:lang w:val="en-US" w:eastAsia="zh-CN" w:bidi="ar-SA"/>
        </w:rPr>
      </w:pPr>
    </w:p>
    <w:p w14:paraId="20E7BA8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default" w:asciiTheme="minorEastAsia" w:hAnsiTheme="minorEastAsia" w:eastAsiaTheme="minorEastAsia" w:cstheme="minorEastAsia"/>
          <w:sz w:val="24"/>
          <w:szCs w:val="24"/>
          <w:lang w:val="en-US" w:eastAsia="zh-CN"/>
        </w:rPr>
        <w:t>、输出通道：双通道输出，可同时使用。</w:t>
      </w:r>
    </w:p>
    <w:p w14:paraId="556776F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、显示方式：</w:t>
      </w:r>
      <w:r>
        <w:rPr>
          <w:rFonts w:hint="eastAsia" w:asciiTheme="minorEastAsia" w:hAnsi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5寸液晶显示。</w:t>
      </w:r>
    </w:p>
    <w:p w14:paraId="3BDE281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default" w:asciiTheme="minorEastAsia" w:hAnsiTheme="minorEastAsia" w:eastAsiaTheme="minorEastAsia" w:cstheme="minorEastAsia"/>
          <w:sz w:val="24"/>
          <w:szCs w:val="24"/>
          <w:lang w:val="en-US" w:eastAsia="zh-CN"/>
        </w:rPr>
        <w:t>、声工作频率：1路1MHz，2路3MHz，允差±10%；</w:t>
      </w:r>
    </w:p>
    <w:p w14:paraId="77A0CE4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default" w:asciiTheme="minorEastAsia" w:hAnsiTheme="minorEastAsia" w:eastAsiaTheme="minorEastAsia" w:cstheme="minorEastAsia"/>
          <w:sz w:val="24"/>
          <w:szCs w:val="24"/>
          <w:lang w:val="en-US" w:eastAsia="zh-CN"/>
        </w:rPr>
        <w:t>、1路额定输出功率6W，2路额定输出功率3W；</w:t>
      </w:r>
    </w:p>
    <w:p w14:paraId="399F03A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default" w:asciiTheme="minorEastAsia" w:hAnsiTheme="minorEastAsia" w:eastAsiaTheme="minorEastAsia" w:cstheme="minorEastAsia"/>
          <w:sz w:val="24"/>
          <w:szCs w:val="24"/>
          <w:lang w:val="en-US" w:eastAsia="zh-CN"/>
        </w:rPr>
        <w:t>、输出模式：</w:t>
      </w:r>
    </w:p>
    <w:p w14:paraId="2D0F89B1">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a)连续输出；</w:t>
      </w:r>
    </w:p>
    <w:p w14:paraId="4B999A6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b)断续1：输出1s，间歇1s；</w:t>
      </w:r>
    </w:p>
    <w:p w14:paraId="309170A0">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c)断续2：输出0.45s，间歇0.6s；</w:t>
      </w:r>
    </w:p>
    <w:p w14:paraId="7AF469B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d)断续3：输出0.25s，间歇0.4s；</w:t>
      </w:r>
    </w:p>
    <w:p w14:paraId="351BCE6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default" w:asciiTheme="minorEastAsia" w:hAnsiTheme="minorEastAsia" w:eastAsiaTheme="minorEastAsia" w:cstheme="minorEastAsia"/>
          <w:sz w:val="24"/>
          <w:szCs w:val="24"/>
          <w:lang w:val="en-US" w:eastAsia="zh-CN"/>
        </w:rPr>
        <w:t>、有效声强：1路0W/cm²～1.5W/cm²，步进0.15W/cm²；2路0W/cm²～1.5W/cm²，步进0.3W/cm²。</w:t>
      </w:r>
    </w:p>
    <w:p w14:paraId="015E9DD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r>
        <w:rPr>
          <w:rFonts w:hint="default" w:asciiTheme="minorEastAsia" w:hAnsiTheme="minorEastAsia" w:eastAsiaTheme="minorEastAsia" w:cstheme="minorEastAsia"/>
          <w:sz w:val="24"/>
          <w:szCs w:val="24"/>
          <w:lang w:val="en-US" w:eastAsia="zh-CN"/>
        </w:rPr>
        <w:t>、定时:1min～30min，步进1min；＜10min，允差±10%，≥10min，允差±1min。</w:t>
      </w:r>
    </w:p>
    <w:p w14:paraId="30DBE8E7">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r>
        <w:rPr>
          <w:rFonts w:hint="default" w:asciiTheme="minorEastAsia" w:hAnsiTheme="minorEastAsia" w:eastAsiaTheme="minorEastAsia" w:cstheme="minorEastAsia"/>
          <w:sz w:val="24"/>
          <w:szCs w:val="24"/>
          <w:lang w:val="en-US" w:eastAsia="zh-CN"/>
        </w:rPr>
        <w:t>、波束不均匀性系数RBN：不超过8.0。</w:t>
      </w:r>
    </w:p>
    <w:p w14:paraId="4FAE2AC9">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9</w:t>
      </w:r>
      <w:r>
        <w:rPr>
          <w:rFonts w:hint="default" w:asciiTheme="minorEastAsia" w:hAnsiTheme="minorEastAsia" w:eastAsiaTheme="minorEastAsia" w:cstheme="minorEastAsia"/>
          <w:sz w:val="24"/>
          <w:szCs w:val="24"/>
          <w:lang w:val="en-US" w:eastAsia="zh-CN"/>
        </w:rPr>
        <w:t>、波束类型：准直型。</w:t>
      </w:r>
    </w:p>
    <w:p w14:paraId="1E31122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0</w:t>
      </w:r>
      <w:r>
        <w:rPr>
          <w:rFonts w:hint="default" w:asciiTheme="minorEastAsia" w:hAnsiTheme="minorEastAsia" w:eastAsiaTheme="minorEastAsia" w:cstheme="minorEastAsia"/>
          <w:sz w:val="24"/>
          <w:szCs w:val="24"/>
          <w:lang w:val="en-US" w:eastAsia="zh-CN"/>
        </w:rPr>
        <w:t>、1路有效辐射面积：4cm²，2路有效辐射面积：2cm²，允差±20%。</w:t>
      </w:r>
    </w:p>
    <w:p w14:paraId="425FF9D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1</w:t>
      </w:r>
      <w:r>
        <w:rPr>
          <w:rFonts w:hint="default" w:asciiTheme="minorEastAsia" w:hAnsiTheme="minorEastAsia" w:eastAsiaTheme="minorEastAsia" w:cstheme="minorEastAsia"/>
          <w:sz w:val="24"/>
          <w:szCs w:val="24"/>
          <w:lang w:val="en-US" w:eastAsia="zh-CN"/>
        </w:rPr>
        <w:t>、治疗头连接提示功能。</w:t>
      </w:r>
    </w:p>
    <w:p w14:paraId="60CA537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w:t>
      </w:r>
      <w:r>
        <w:rPr>
          <w:rFonts w:hint="eastAsia" w:asciiTheme="minorEastAsia" w:hAnsi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、有超温保护功能，当温度超过41℃时，治疗头停止输出。</w:t>
      </w:r>
    </w:p>
    <w:p w14:paraId="7EAD18F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heme="minorEastAsia" w:hAnsiTheme="minorEastAsia" w:eastAsiaTheme="minorEastAsia" w:cstheme="minorEastAsia"/>
          <w:sz w:val="28"/>
          <w:szCs w:val="28"/>
          <w:lang w:val="en-US" w:eastAsia="zh-CN"/>
        </w:rPr>
      </w:pPr>
    </w:p>
    <w:p w14:paraId="45F6B00C">
      <w:pPr>
        <w:numPr>
          <w:ilvl w:val="0"/>
          <w:numId w:val="0"/>
        </w:numP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 xml:space="preserve">17.电针仪           </w:t>
      </w:r>
      <w:r>
        <w:rPr>
          <w:rFonts w:hint="eastAsia" w:ascii="黑体" w:hAnsi="黑体" w:eastAsia="黑体" w:cs="黑体"/>
          <w:i w:val="0"/>
          <w:iCs w:val="0"/>
          <w:color w:val="0000FF"/>
          <w:kern w:val="0"/>
          <w:sz w:val="32"/>
          <w:szCs w:val="32"/>
          <w:u w:val="none"/>
          <w:lang w:val="en-US" w:eastAsia="zh-CN" w:bidi="ar"/>
        </w:rPr>
        <w:t xml:space="preserve"> </w:t>
      </w:r>
      <w:r>
        <w:rPr>
          <w:rFonts w:hint="eastAsia" w:ascii="黑体" w:hAnsi="黑体" w:eastAsia="黑体" w:cs="黑体"/>
          <w:i w:val="0"/>
          <w:iCs w:val="0"/>
          <w:color w:val="000000"/>
          <w:kern w:val="0"/>
          <w:sz w:val="32"/>
          <w:szCs w:val="32"/>
          <w:u w:val="none"/>
          <w:lang w:val="en-US" w:eastAsia="zh-CN" w:bidi="ar"/>
        </w:rPr>
        <w:t xml:space="preserve">         50台</w:t>
      </w:r>
    </w:p>
    <w:p w14:paraId="196A5C93">
      <w:pP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 xml:space="preserve">电源：内部电源 DC9V </w:t>
      </w:r>
    </w:p>
    <w:p w14:paraId="30659A14">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电源适配器（输入 AC220V±22V 50Hz±1Hz, 输出 DC9V）</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输入功率：10.0VA</w:t>
      </w:r>
    </w:p>
    <w:p w14:paraId="5F43633C">
      <w:pP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输出脉冲波形：非对称双向脉冲波</w:t>
      </w:r>
    </w:p>
    <w:p w14:paraId="1972D0C2">
      <w:pP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输出脉冲路数：六路输出</w:t>
      </w:r>
    </w:p>
    <w:p w14:paraId="10AC4692">
      <w:pP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最大输出功率：0.3VA</w:t>
      </w:r>
    </w:p>
    <w:p w14:paraId="64B697C1">
      <w:pP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工作模式：</w:t>
      </w:r>
    </w:p>
    <w:p w14:paraId="153047A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①连续波工作模式：连续</w:t>
      </w:r>
    </w:p>
    <w:p w14:paraId="29F6C0C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②断续波工作模式：工作 15S，停 5S</w:t>
      </w:r>
    </w:p>
    <w:p w14:paraId="750FECB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③疏密波工作模式：疏波频率与密波频率之比是 1:5，疏波工作 5S，密波工作 10S </w:t>
      </w:r>
    </w:p>
    <w:p w14:paraId="4A1A27F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(断续波、疏密波时间允差为 ±10%）</w:t>
      </w:r>
    </w:p>
    <w:p w14:paraId="735AFEF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输出电流有效值：≤ 10mA</w:t>
      </w:r>
    </w:p>
    <w:p w14:paraId="3730B2C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输出脉冲宽度：0.2</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lang w:val="en-US" w:eastAsia="zh-CN"/>
        </w:rPr>
        <w:t>ms±</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lang w:val="en-US" w:eastAsia="zh-CN"/>
        </w:rPr>
        <w:t>%（EMC 检测基本性能）</w:t>
      </w:r>
    </w:p>
    <w:p w14:paraId="5614C91F">
      <w:pPr>
        <w:rPr>
          <w:rFonts w:hint="eastAsia" w:asciiTheme="minorEastAsia" w:hAnsiTheme="minorEastAsia" w:eastAsiaTheme="minorEastAsia" w:cstheme="minorEastAsia"/>
          <w:sz w:val="28"/>
          <w:szCs w:val="28"/>
          <w:lang w:val="en-US" w:eastAsia="zh-CN"/>
        </w:rPr>
      </w:pPr>
    </w:p>
    <w:p w14:paraId="56BFD6F1">
      <w:pPr>
        <w:numPr>
          <w:ilvl w:val="0"/>
          <w:numId w:val="0"/>
        </w:numPr>
        <w:rPr>
          <w:rFonts w:hint="default"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18.内热针                   4台</w:t>
      </w:r>
    </w:p>
    <w:p w14:paraId="4330A95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一、基本参数</w:t>
      </w:r>
    </w:p>
    <w:p w14:paraId="348A15D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1.交流电源AC220V</w:t>
      </w:r>
    </w:p>
    <w:p w14:paraId="55175F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2.输入频率50Hz</w:t>
      </w:r>
    </w:p>
    <w:p w14:paraId="0DBD574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3.额定功率200VA</w:t>
      </w:r>
    </w:p>
    <w:p w14:paraId="77E4947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4.工作环境温度5℃~40℃</w:t>
      </w:r>
    </w:p>
    <w:p w14:paraId="60CFA14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5.储存温度0℃~55℃</w:t>
      </w:r>
    </w:p>
    <w:p w14:paraId="0DAABC9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6.工作环境湿度30%～80%（无冷凝）</w:t>
      </w:r>
    </w:p>
    <w:p w14:paraId="462BA7C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7.大气压力760hPa～1060hPa</w:t>
      </w:r>
    </w:p>
    <w:p w14:paraId="4139B19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8.温度设置准确性：精度为±1.5℃</w:t>
      </w:r>
    </w:p>
    <w:p w14:paraId="67460D7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9.温度设置范围38℃~50℃</w:t>
      </w:r>
    </w:p>
    <w:p w14:paraId="4A1F3EA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10.治疗时间设置准确性：治疗时间设置误差：±5s。</w:t>
      </w:r>
    </w:p>
    <w:p w14:paraId="305ACEA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11.治疗时间0~120分钟。</w:t>
      </w:r>
    </w:p>
    <w:p w14:paraId="201781F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w:t>
      </w:r>
    </w:p>
    <w:p w14:paraId="24B4482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（1）40路治疗接口，设备具有8个连接通道，每通道5束连接线。   </w:t>
      </w:r>
    </w:p>
    <w:p w14:paraId="5634C3C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7寸彩色触摸屏，中文实时显示，触摸屏幕调节治疗温度及时间操作简单方便</w:t>
      </w:r>
      <w:r>
        <w:rPr>
          <w:rFonts w:hint="eastAsia" w:asciiTheme="minorEastAsia" w:hAnsiTheme="minorEastAsia" w:cstheme="minorEastAsia"/>
          <w:sz w:val="24"/>
          <w:szCs w:val="24"/>
          <w:lang w:val="en-US" w:eastAsia="zh-CN"/>
        </w:rPr>
        <w:t>。</w:t>
      </w:r>
    </w:p>
    <w:p w14:paraId="432E915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显示治疗温度及治疗时间，针体在治疗过程中可通过显示屏显示工作状态，恒温加热并且实时保持设置好的温度，对深层浅层病痛区域都可兼顾治疗，医生可根据显示屏实时观察温度设置情况，酌情增加或减少治疗时间、提高或降低治疗温度。</w:t>
      </w:r>
    </w:p>
    <w:p w14:paraId="333B7C0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（4）显示室内环境温度，可随时通过治疗界面的室温显示，调整室内温度。</w:t>
      </w:r>
    </w:p>
    <w:p w14:paraId="7937DA6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cstheme="minorEastAsia"/>
          <w:sz w:val="24"/>
          <w:szCs w:val="24"/>
          <w:lang w:val="en-US" w:eastAsia="zh-CN"/>
        </w:rPr>
        <w:t>有</w:t>
      </w:r>
      <w:r>
        <w:rPr>
          <w:rFonts w:hint="eastAsia" w:asciiTheme="minorEastAsia" w:hAnsiTheme="minorEastAsia" w:eastAsiaTheme="minorEastAsia" w:cstheme="minorEastAsia"/>
          <w:sz w:val="24"/>
          <w:szCs w:val="24"/>
          <w:lang w:val="en-US" w:eastAsia="zh-CN"/>
        </w:rPr>
        <w:t>温度补偿功能，设备会持续监测室温/环境温度，当设备工作的室温/环境温度低于20℃时，设备会根据室温/环境温度的降低程度，自动调整内热针加热方式，使内热针的加热温度更加稳定。</w:t>
      </w:r>
    </w:p>
    <w:p w14:paraId="2706552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（6）有超温保护报警功能，超出设置治疗温度5℃自动停止加热。</w:t>
      </w:r>
    </w:p>
    <w:p w14:paraId="01B354A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（7）设置治疗时间结束后，治疗仪通常会自动停止加热并发出提示音。</w:t>
      </w:r>
    </w:p>
    <w:p w14:paraId="20F67D1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（8）配50支钛合金内热针（反复使用），规格1.1*80mm(加针柄总长120mm)50支（反复使用），规格0.7*80mm(加针柄总长120mm)50支，内热针针体内电热丝抗氧化，耐1000度高温。</w:t>
      </w:r>
    </w:p>
    <w:p w14:paraId="4D63BB0A">
      <w:pPr>
        <w:rPr>
          <w:rFonts w:hint="eastAsia" w:eastAsia="宋体"/>
          <w:i/>
          <w:iCs/>
          <w:lang w:val="en-US" w:eastAsia="zh-CN"/>
        </w:rPr>
      </w:pPr>
      <w:r>
        <w:rPr>
          <w:rFonts w:hint="eastAsia" w:asciiTheme="minorEastAsia" w:hAnsiTheme="minorEastAsia" w:cstheme="minorEastAsia"/>
          <w:sz w:val="24"/>
          <w:szCs w:val="24"/>
          <w:highlight w:val="none"/>
          <w:lang w:val="en-US" w:eastAsia="zh-CN"/>
        </w:rPr>
        <w:t>三、每台内热针需配备800针。</w:t>
      </w:r>
    </w:p>
    <w:sectPr>
      <w:footerReference r:id="rId12" w:type="default"/>
      <w:pgSz w:w="11906" w:h="16838"/>
      <w:pgMar w:top="1800" w:right="1440" w:bottom="1800" w:left="1440" w:header="1021" w:footer="867"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黑体"/>
    <w:panose1 w:val="020B0400000000000000"/>
    <w:charset w:val="86"/>
    <w:family w:val="swiss"/>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FD5B">
    <w:pPr>
      <w:pStyle w:val="40"/>
      <w:ind w:firstLine="480"/>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CEFE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BCEFE8">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14:paraId="61AC4E43">
    <w:pPr>
      <w:pStyle w:val="40"/>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FB92">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5A37">
    <w:pPr>
      <w:pStyle w:val="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A0161">
    <w:pPr>
      <w:pStyle w:val="40"/>
      <w:ind w:firstLine="480"/>
      <w:jc w:val="cente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D61E9">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DD61E9">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14:paraId="6AA419AF">
    <w:pPr>
      <w:pStyle w:val="40"/>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CF81">
    <w:pPr>
      <w:pStyle w:val="40"/>
      <w:ind w:firstLine="480"/>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5765">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C5765">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14:paraId="75695B5E">
    <w:pPr>
      <w:pStyle w:val="40"/>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C171">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6538">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AF22A">
    <w:pPr>
      <w:pStyle w:val="4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83C21"/>
    <w:multiLevelType w:val="singleLevel"/>
    <w:tmpl w:val="A9F83C21"/>
    <w:lvl w:ilvl="0" w:tentative="0">
      <w:start w:val="1"/>
      <w:numFmt w:val="decimal"/>
      <w:suff w:val="nothing"/>
      <w:lvlText w:val="%1、"/>
      <w:lvlJc w:val="left"/>
    </w:lvl>
  </w:abstractNum>
  <w:abstractNum w:abstractNumId="1">
    <w:nsid w:val="CE9BC3EA"/>
    <w:multiLevelType w:val="singleLevel"/>
    <w:tmpl w:val="CE9BC3EA"/>
    <w:lvl w:ilvl="0" w:tentative="0">
      <w:start w:val="11"/>
      <w:numFmt w:val="chineseCounting"/>
      <w:suff w:val="nothing"/>
      <w:lvlText w:val="%1、"/>
      <w:lvlJc w:val="left"/>
      <w:rPr>
        <w:rFonts w:hint="eastAsia"/>
      </w:rPr>
    </w:lvl>
  </w:abstractNum>
  <w:abstractNum w:abstractNumId="2">
    <w:nsid w:val="055F402C"/>
    <w:multiLevelType w:val="multilevel"/>
    <w:tmpl w:val="055F402C"/>
    <w:lvl w:ilvl="0" w:tentative="0">
      <w:start w:val="1"/>
      <w:numFmt w:val="decimal"/>
      <w:pStyle w:val="2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724F5B"/>
    <w:multiLevelType w:val="multilevel"/>
    <w:tmpl w:val="07724F5B"/>
    <w:lvl w:ilvl="0" w:tentative="0">
      <w:start w:val="1"/>
      <w:numFmt w:val="decimal"/>
      <w:pStyle w:val="16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50"/>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DB33CEE"/>
    <w:multiLevelType w:val="multilevel"/>
    <w:tmpl w:val="0DB33CEE"/>
    <w:lvl w:ilvl="0" w:tentative="0">
      <w:start w:val="1"/>
      <w:numFmt w:val="decimal"/>
      <w:pStyle w:val="3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7DA37AD"/>
    <w:multiLevelType w:val="multilevel"/>
    <w:tmpl w:val="17DA37AD"/>
    <w:lvl w:ilvl="0" w:tentative="0">
      <w:start w:val="1"/>
      <w:numFmt w:val="decimal"/>
      <w:pStyle w:val="2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BA491D"/>
    <w:multiLevelType w:val="multilevel"/>
    <w:tmpl w:val="2BBA491D"/>
    <w:lvl w:ilvl="0" w:tentative="0">
      <w:start w:val="1"/>
      <w:numFmt w:val="decimal"/>
      <w:pStyle w:val="2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24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40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0CF13D4"/>
    <w:multiLevelType w:val="multilevel"/>
    <w:tmpl w:val="40CF13D4"/>
    <w:lvl w:ilvl="0" w:tentative="0">
      <w:start w:val="1"/>
      <w:numFmt w:val="decimal"/>
      <w:pStyle w:val="170"/>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80"/>
      <w:lvlText w:val="%1.%2.%3."/>
      <w:lvlJc w:val="left"/>
      <w:pPr>
        <w:tabs>
          <w:tab w:val="left" w:pos="709"/>
        </w:tabs>
        <w:ind w:left="709" w:hanging="709"/>
      </w:pPr>
      <w:rPr>
        <w:rFonts w:hint="eastAsia"/>
      </w:rPr>
    </w:lvl>
    <w:lvl w:ilvl="3" w:tentative="0">
      <w:start w:val="1"/>
      <w:numFmt w:val="decimal"/>
      <w:pStyle w:val="45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2">
    <w:nsid w:val="42E45F04"/>
    <w:multiLevelType w:val="multilevel"/>
    <w:tmpl w:val="42E45F04"/>
    <w:lvl w:ilvl="0" w:tentative="0">
      <w:start w:val="1"/>
      <w:numFmt w:val="decimal"/>
      <w:pStyle w:val="4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174DE5"/>
    <w:multiLevelType w:val="multilevel"/>
    <w:tmpl w:val="48174DE5"/>
    <w:lvl w:ilvl="0" w:tentative="0">
      <w:start w:val="1"/>
      <w:numFmt w:val="decimal"/>
      <w:pStyle w:val="267"/>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B9D13A2"/>
    <w:multiLevelType w:val="multilevel"/>
    <w:tmpl w:val="4B9D13A2"/>
    <w:lvl w:ilvl="0" w:tentative="0">
      <w:start w:val="1"/>
      <w:numFmt w:val="bullet"/>
      <w:pStyle w:val="36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2CC104B"/>
    <w:multiLevelType w:val="multilevel"/>
    <w:tmpl w:val="52CC104B"/>
    <w:lvl w:ilvl="0" w:tentative="0">
      <w:start w:val="1"/>
      <w:numFmt w:val="decimal"/>
      <w:pStyle w:val="31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8ABF3A8"/>
    <w:multiLevelType w:val="singleLevel"/>
    <w:tmpl w:val="58ABF3A8"/>
    <w:lvl w:ilvl="0" w:tentative="0">
      <w:start w:val="26"/>
      <w:numFmt w:val="decimal"/>
      <w:suff w:val="nothing"/>
      <w:lvlText w:val="%1."/>
      <w:lvlJc w:val="left"/>
    </w:lvl>
  </w:abstractNum>
  <w:abstractNum w:abstractNumId="17">
    <w:nsid w:val="59B11739"/>
    <w:multiLevelType w:val="singleLevel"/>
    <w:tmpl w:val="59B11739"/>
    <w:lvl w:ilvl="0" w:tentative="0">
      <w:start w:val="1"/>
      <w:numFmt w:val="decimal"/>
      <w:suff w:val="nothing"/>
      <w:lvlText w:val="（%1）"/>
      <w:lvlJc w:val="left"/>
    </w:lvl>
  </w:abstractNum>
  <w:abstractNum w:abstractNumId="18">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25"/>
      <w:suff w:val="nothing"/>
      <w:lvlText w:val="%1%2　"/>
      <w:lvlJc w:val="left"/>
      <w:rPr>
        <w:rFonts w:hint="eastAsia" w:ascii="黑体" w:hAnsi="Times New Roman" w:eastAsia="黑体" w:cs="Times New Roman"/>
        <w:b w:val="0"/>
        <w:i w:val="0"/>
        <w:sz w:val="21"/>
      </w:rPr>
    </w:lvl>
    <w:lvl w:ilvl="2" w:tentative="0">
      <w:start w:val="1"/>
      <w:numFmt w:val="decimal"/>
      <w:pStyle w:val="24"/>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9">
    <w:nsid w:val="6D1D48D6"/>
    <w:multiLevelType w:val="multilevel"/>
    <w:tmpl w:val="6D1D48D6"/>
    <w:lvl w:ilvl="0" w:tentative="0">
      <w:start w:val="1"/>
      <w:numFmt w:val="decimal"/>
      <w:pStyle w:val="10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2143A3"/>
    <w:multiLevelType w:val="multilevel"/>
    <w:tmpl w:val="6E2143A3"/>
    <w:lvl w:ilvl="0" w:tentative="0">
      <w:start w:val="1"/>
      <w:numFmt w:val="bullet"/>
      <w:pStyle w:val="23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1">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3">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7"/>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2"/>
  </w:num>
  <w:num w:numId="2">
    <w:abstractNumId w:val="11"/>
  </w:num>
  <w:num w:numId="3">
    <w:abstractNumId w:val="8"/>
  </w:num>
  <w:num w:numId="4">
    <w:abstractNumId w:val="21"/>
  </w:num>
  <w:num w:numId="5">
    <w:abstractNumId w:val="18"/>
  </w:num>
  <w:num w:numId="6">
    <w:abstractNumId w:val="2"/>
  </w:num>
  <w:num w:numId="7">
    <w:abstractNumId w:val="4"/>
  </w:num>
  <w:num w:numId="8">
    <w:abstractNumId w:val="19"/>
  </w:num>
  <w:num w:numId="9">
    <w:abstractNumId w:val="3"/>
  </w:num>
  <w:num w:numId="10">
    <w:abstractNumId w:val="6"/>
  </w:num>
  <w:num w:numId="11">
    <w:abstractNumId w:val="20"/>
  </w:num>
  <w:num w:numId="12">
    <w:abstractNumId w:val="5"/>
  </w:num>
  <w:num w:numId="13">
    <w:abstractNumId w:val="7"/>
  </w:num>
  <w:num w:numId="14">
    <w:abstractNumId w:val="13"/>
  </w:num>
  <w:num w:numId="15">
    <w:abstractNumId w:val="15"/>
  </w:num>
  <w:num w:numId="16">
    <w:abstractNumId w:val="23"/>
  </w:num>
  <w:num w:numId="17">
    <w:abstractNumId w:val="14"/>
  </w:num>
  <w:num w:numId="18">
    <w:abstractNumId w:val="9"/>
  </w:num>
  <w:num w:numId="19">
    <w:abstractNumId w:val="12"/>
  </w:num>
  <w:num w:numId="20">
    <w:abstractNumId w:val="10"/>
  </w:num>
  <w:num w:numId="21">
    <w:abstractNumId w:val="1"/>
  </w:num>
  <w:num w:numId="22">
    <w:abstractNumId w:val="16"/>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50"/>
  <w:drawingGridHorizontalSpacing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MGU4ZmNmNzhmNDAwNmM1NTJlN2Q3NTEzY2Q0MWUifQ=="/>
    <w:docVar w:name="KSO_WPS_MARK_KEY" w:val="9fe2aa1e-2f70-44fd-acef-0b8da3909733"/>
  </w:docVars>
  <w:rsids>
    <w:rsidRoot w:val="00682C7F"/>
    <w:rsid w:val="002C267A"/>
    <w:rsid w:val="00427697"/>
    <w:rsid w:val="004D14F9"/>
    <w:rsid w:val="005B392D"/>
    <w:rsid w:val="00682C7F"/>
    <w:rsid w:val="006B1EE8"/>
    <w:rsid w:val="009C15CF"/>
    <w:rsid w:val="00AE3178"/>
    <w:rsid w:val="00C00CCE"/>
    <w:rsid w:val="00C56D0F"/>
    <w:rsid w:val="00C74BB6"/>
    <w:rsid w:val="02713661"/>
    <w:rsid w:val="02DC2156"/>
    <w:rsid w:val="034026E5"/>
    <w:rsid w:val="0349751E"/>
    <w:rsid w:val="034E62D6"/>
    <w:rsid w:val="039F1C19"/>
    <w:rsid w:val="03E31DFC"/>
    <w:rsid w:val="048A5D61"/>
    <w:rsid w:val="05433040"/>
    <w:rsid w:val="063B51DC"/>
    <w:rsid w:val="06935222"/>
    <w:rsid w:val="06AE18A5"/>
    <w:rsid w:val="071F0864"/>
    <w:rsid w:val="07AF6F0D"/>
    <w:rsid w:val="07E93767"/>
    <w:rsid w:val="08105258"/>
    <w:rsid w:val="086E0145"/>
    <w:rsid w:val="087321B0"/>
    <w:rsid w:val="09540C99"/>
    <w:rsid w:val="09AF2DDC"/>
    <w:rsid w:val="09C32744"/>
    <w:rsid w:val="0A56459C"/>
    <w:rsid w:val="0A723133"/>
    <w:rsid w:val="0BA81DC8"/>
    <w:rsid w:val="0BDA2FAB"/>
    <w:rsid w:val="0C4C1587"/>
    <w:rsid w:val="0D264206"/>
    <w:rsid w:val="0D8F0713"/>
    <w:rsid w:val="0DB00467"/>
    <w:rsid w:val="0E395B6A"/>
    <w:rsid w:val="0E4806A0"/>
    <w:rsid w:val="0ECE0172"/>
    <w:rsid w:val="10BE10ED"/>
    <w:rsid w:val="113E6C69"/>
    <w:rsid w:val="12520248"/>
    <w:rsid w:val="1318085E"/>
    <w:rsid w:val="13C3481F"/>
    <w:rsid w:val="149A1D47"/>
    <w:rsid w:val="1560796F"/>
    <w:rsid w:val="15C06F9C"/>
    <w:rsid w:val="15E70A5F"/>
    <w:rsid w:val="16157A01"/>
    <w:rsid w:val="172B1F95"/>
    <w:rsid w:val="178E6C9A"/>
    <w:rsid w:val="1909787F"/>
    <w:rsid w:val="192C4241"/>
    <w:rsid w:val="19563B03"/>
    <w:rsid w:val="19D60C8F"/>
    <w:rsid w:val="1AAB5A7A"/>
    <w:rsid w:val="1AF67C84"/>
    <w:rsid w:val="1C477E98"/>
    <w:rsid w:val="1CCA3B59"/>
    <w:rsid w:val="1CCE0BBC"/>
    <w:rsid w:val="1D0165EA"/>
    <w:rsid w:val="1DED3012"/>
    <w:rsid w:val="1E470974"/>
    <w:rsid w:val="1E831A8C"/>
    <w:rsid w:val="1EC036A1"/>
    <w:rsid w:val="1FA86C08"/>
    <w:rsid w:val="20C30E4D"/>
    <w:rsid w:val="21521164"/>
    <w:rsid w:val="21DB0B92"/>
    <w:rsid w:val="22192627"/>
    <w:rsid w:val="22924924"/>
    <w:rsid w:val="22CE3412"/>
    <w:rsid w:val="23C63508"/>
    <w:rsid w:val="242A28CA"/>
    <w:rsid w:val="24F9742A"/>
    <w:rsid w:val="25380436"/>
    <w:rsid w:val="25516E2D"/>
    <w:rsid w:val="257E7A15"/>
    <w:rsid w:val="260158AC"/>
    <w:rsid w:val="26C64400"/>
    <w:rsid w:val="26F31699"/>
    <w:rsid w:val="27181100"/>
    <w:rsid w:val="277E732D"/>
    <w:rsid w:val="27BB1A8B"/>
    <w:rsid w:val="29272D44"/>
    <w:rsid w:val="29D405E3"/>
    <w:rsid w:val="29E90B31"/>
    <w:rsid w:val="29F242BB"/>
    <w:rsid w:val="2A667BB0"/>
    <w:rsid w:val="2AA90B20"/>
    <w:rsid w:val="2B3109E2"/>
    <w:rsid w:val="2B65068C"/>
    <w:rsid w:val="2BDA05E8"/>
    <w:rsid w:val="2CA7529B"/>
    <w:rsid w:val="2D064EED"/>
    <w:rsid w:val="2D4A7B39"/>
    <w:rsid w:val="2DC3480D"/>
    <w:rsid w:val="2EE57C2D"/>
    <w:rsid w:val="2F300FB0"/>
    <w:rsid w:val="2F3C50F1"/>
    <w:rsid w:val="2F46052B"/>
    <w:rsid w:val="2FB93ED1"/>
    <w:rsid w:val="2FDC08AF"/>
    <w:rsid w:val="303E3CD7"/>
    <w:rsid w:val="3070511D"/>
    <w:rsid w:val="30CC6AB7"/>
    <w:rsid w:val="31A46D01"/>
    <w:rsid w:val="31C0486E"/>
    <w:rsid w:val="325E7202"/>
    <w:rsid w:val="331665A0"/>
    <w:rsid w:val="33C31831"/>
    <w:rsid w:val="34D7695F"/>
    <w:rsid w:val="34E940DB"/>
    <w:rsid w:val="35A40002"/>
    <w:rsid w:val="35D27AA4"/>
    <w:rsid w:val="37185DB7"/>
    <w:rsid w:val="379E414E"/>
    <w:rsid w:val="387E0FDF"/>
    <w:rsid w:val="388B0C24"/>
    <w:rsid w:val="38966D15"/>
    <w:rsid w:val="39E036C9"/>
    <w:rsid w:val="3AFB5C77"/>
    <w:rsid w:val="3B0C1B66"/>
    <w:rsid w:val="3C794420"/>
    <w:rsid w:val="3CE04016"/>
    <w:rsid w:val="3D37175C"/>
    <w:rsid w:val="3DE6740A"/>
    <w:rsid w:val="3F3E3970"/>
    <w:rsid w:val="3FE45BCB"/>
    <w:rsid w:val="40BD5A58"/>
    <w:rsid w:val="410244B2"/>
    <w:rsid w:val="416D3534"/>
    <w:rsid w:val="41EA4FEF"/>
    <w:rsid w:val="42093410"/>
    <w:rsid w:val="420A487E"/>
    <w:rsid w:val="42874239"/>
    <w:rsid w:val="42C61A5F"/>
    <w:rsid w:val="43397DF1"/>
    <w:rsid w:val="445334E8"/>
    <w:rsid w:val="446D7BA8"/>
    <w:rsid w:val="44E1092B"/>
    <w:rsid w:val="45667082"/>
    <w:rsid w:val="456B63BF"/>
    <w:rsid w:val="45AF7A6C"/>
    <w:rsid w:val="4789020B"/>
    <w:rsid w:val="47EF335F"/>
    <w:rsid w:val="47F6293F"/>
    <w:rsid w:val="48821360"/>
    <w:rsid w:val="489579D2"/>
    <w:rsid w:val="49176ED8"/>
    <w:rsid w:val="49721F7E"/>
    <w:rsid w:val="49973CAE"/>
    <w:rsid w:val="49E405E1"/>
    <w:rsid w:val="4AFB39D1"/>
    <w:rsid w:val="4B3511DC"/>
    <w:rsid w:val="4B985ABC"/>
    <w:rsid w:val="4C150AB7"/>
    <w:rsid w:val="4DA50438"/>
    <w:rsid w:val="4DA846DC"/>
    <w:rsid w:val="4DB43081"/>
    <w:rsid w:val="4DDF43AA"/>
    <w:rsid w:val="4DED50BF"/>
    <w:rsid w:val="4E3275AF"/>
    <w:rsid w:val="4E6A373F"/>
    <w:rsid w:val="4E6B4968"/>
    <w:rsid w:val="4EC13B39"/>
    <w:rsid w:val="4F1C2505"/>
    <w:rsid w:val="4F1D5FF3"/>
    <w:rsid w:val="51752B27"/>
    <w:rsid w:val="52053FBF"/>
    <w:rsid w:val="521E4DAC"/>
    <w:rsid w:val="524A78FB"/>
    <w:rsid w:val="52636E23"/>
    <w:rsid w:val="536B3120"/>
    <w:rsid w:val="53E3201C"/>
    <w:rsid w:val="545839B7"/>
    <w:rsid w:val="54DB5397"/>
    <w:rsid w:val="551E1C8F"/>
    <w:rsid w:val="556C4B2C"/>
    <w:rsid w:val="557354DA"/>
    <w:rsid w:val="558621F3"/>
    <w:rsid w:val="56E711C5"/>
    <w:rsid w:val="570B34CE"/>
    <w:rsid w:val="57551E0F"/>
    <w:rsid w:val="57E24C8E"/>
    <w:rsid w:val="59036C6A"/>
    <w:rsid w:val="59047C17"/>
    <w:rsid w:val="593B4656"/>
    <w:rsid w:val="5A2911DD"/>
    <w:rsid w:val="5A631708"/>
    <w:rsid w:val="5C5B500F"/>
    <w:rsid w:val="5CFF599B"/>
    <w:rsid w:val="5D44541F"/>
    <w:rsid w:val="5D743696"/>
    <w:rsid w:val="5E2649DE"/>
    <w:rsid w:val="5E3E6996"/>
    <w:rsid w:val="5EAE2A0B"/>
    <w:rsid w:val="5F3D09FC"/>
    <w:rsid w:val="5FED2422"/>
    <w:rsid w:val="60534AE4"/>
    <w:rsid w:val="612F67F6"/>
    <w:rsid w:val="621A0F4E"/>
    <w:rsid w:val="62206ADF"/>
    <w:rsid w:val="62B66AFB"/>
    <w:rsid w:val="631F4700"/>
    <w:rsid w:val="638906B4"/>
    <w:rsid w:val="64416899"/>
    <w:rsid w:val="64FA11B2"/>
    <w:rsid w:val="64FD6C64"/>
    <w:rsid w:val="65182A5F"/>
    <w:rsid w:val="66815BB8"/>
    <w:rsid w:val="675A65EF"/>
    <w:rsid w:val="68354966"/>
    <w:rsid w:val="68600FEA"/>
    <w:rsid w:val="68A31E4D"/>
    <w:rsid w:val="691759F8"/>
    <w:rsid w:val="6985191D"/>
    <w:rsid w:val="69DF4B8A"/>
    <w:rsid w:val="6A0171F6"/>
    <w:rsid w:val="6A7554EE"/>
    <w:rsid w:val="6B833C3B"/>
    <w:rsid w:val="6C2C6080"/>
    <w:rsid w:val="6C343988"/>
    <w:rsid w:val="6CFC3CA5"/>
    <w:rsid w:val="6D68758C"/>
    <w:rsid w:val="6E600263"/>
    <w:rsid w:val="6EFB5810"/>
    <w:rsid w:val="6F2B1ECE"/>
    <w:rsid w:val="6FB75E3F"/>
    <w:rsid w:val="6FE44F96"/>
    <w:rsid w:val="70487446"/>
    <w:rsid w:val="70B30B1E"/>
    <w:rsid w:val="70D029E4"/>
    <w:rsid w:val="7129443C"/>
    <w:rsid w:val="713D3223"/>
    <w:rsid w:val="716A5D27"/>
    <w:rsid w:val="738E641F"/>
    <w:rsid w:val="73F72F62"/>
    <w:rsid w:val="746A5998"/>
    <w:rsid w:val="74DA7C37"/>
    <w:rsid w:val="75DB4D9F"/>
    <w:rsid w:val="7604153F"/>
    <w:rsid w:val="76205CB7"/>
    <w:rsid w:val="77234F60"/>
    <w:rsid w:val="77685CFA"/>
    <w:rsid w:val="778944B8"/>
    <w:rsid w:val="77CA451A"/>
    <w:rsid w:val="78003D51"/>
    <w:rsid w:val="78315DF6"/>
    <w:rsid w:val="78906DE1"/>
    <w:rsid w:val="78CF6F68"/>
    <w:rsid w:val="78E92083"/>
    <w:rsid w:val="791D56CF"/>
    <w:rsid w:val="79FD6086"/>
    <w:rsid w:val="7A4B626B"/>
    <w:rsid w:val="7B890DF9"/>
    <w:rsid w:val="7BB72A58"/>
    <w:rsid w:val="7BC97448"/>
    <w:rsid w:val="7C9C4B5C"/>
    <w:rsid w:val="7CB65C1E"/>
    <w:rsid w:val="7DB81E38"/>
    <w:rsid w:val="7E105802"/>
    <w:rsid w:val="7E61605D"/>
    <w:rsid w:val="7E747B3F"/>
    <w:rsid w:val="7E84330F"/>
    <w:rsid w:val="7F1B445E"/>
    <w:rsid w:val="7F91094F"/>
    <w:rsid w:val="7FE2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1"/>
    <w:qFormat/>
    <w:uiPriority w:val="0"/>
    <w:pPr>
      <w:keepNext/>
      <w:keepLines/>
      <w:snapToGrid w:val="0"/>
      <w:spacing w:line="400" w:lineRule="atLeast"/>
      <w:jc w:val="center"/>
      <w:outlineLvl w:val="0"/>
    </w:pPr>
    <w:rPr>
      <w:rFonts w:ascii="宋体"/>
      <w:b/>
      <w:kern w:val="28"/>
      <w:sz w:val="36"/>
    </w:rPr>
  </w:style>
  <w:style w:type="paragraph" w:styleId="3">
    <w:name w:val="heading 2"/>
    <w:next w:val="1"/>
    <w:link w:val="578"/>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4">
    <w:name w:val="heading 3"/>
    <w:basedOn w:val="1"/>
    <w:next w:val="1"/>
    <w:link w:val="566"/>
    <w:qFormat/>
    <w:uiPriority w:val="0"/>
    <w:pPr>
      <w:outlineLvl w:val="2"/>
    </w:pPr>
    <w:rPr>
      <w:rFonts w:ascii="宋体"/>
      <w:b/>
    </w:rPr>
  </w:style>
  <w:style w:type="paragraph" w:styleId="5">
    <w:name w:val="heading 4"/>
    <w:basedOn w:val="1"/>
    <w:next w:val="1"/>
    <w:link w:val="6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98"/>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641"/>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515"/>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0">
    <w:name w:val="heading 8"/>
    <w:basedOn w:val="1"/>
    <w:next w:val="1"/>
    <w:link w:val="631"/>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592"/>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70">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634"/>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544"/>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549"/>
    <w:qFormat/>
    <w:uiPriority w:val="0"/>
    <w:pPr>
      <w:shd w:val="clear" w:color="auto" w:fill="000080"/>
    </w:pPr>
    <w:rPr>
      <w:sz w:val="21"/>
    </w:rPr>
  </w:style>
  <w:style w:type="paragraph" w:styleId="20">
    <w:name w:val="annotation text"/>
    <w:basedOn w:val="1"/>
    <w:link w:val="615"/>
    <w:qFormat/>
    <w:uiPriority w:val="0"/>
    <w:pPr>
      <w:jc w:val="left"/>
    </w:pPr>
    <w:rPr>
      <w:sz w:val="21"/>
    </w:rPr>
  </w:style>
  <w:style w:type="paragraph" w:styleId="21">
    <w:name w:val="Body Text 3"/>
    <w:basedOn w:val="1"/>
    <w:link w:val="562"/>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507"/>
    <w:qFormat/>
    <w:uiPriority w:val="0"/>
    <w:pPr>
      <w:spacing w:after="120"/>
    </w:pPr>
    <w:rPr>
      <w:sz w:val="21"/>
    </w:rPr>
  </w:style>
  <w:style w:type="paragraph" w:customStyle="1" w:styleId="24">
    <w:name w:val="一级条标题"/>
    <w:basedOn w:val="25"/>
    <w:next w:val="26"/>
    <w:qFormat/>
    <w:uiPriority w:val="99"/>
    <w:pPr>
      <w:numPr>
        <w:ilvl w:val="2"/>
      </w:numPr>
      <w:outlineLvl w:val="2"/>
    </w:pPr>
  </w:style>
  <w:style w:type="paragraph" w:customStyle="1" w:styleId="25">
    <w:name w:val="章标题"/>
    <w:next w:val="1"/>
    <w:qFormat/>
    <w:uiPriority w:val="0"/>
    <w:pPr>
      <w:numPr>
        <w:ilvl w:val="1"/>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7">
    <w:name w:val="Body Text Indent"/>
    <w:basedOn w:val="1"/>
    <w:link w:val="550"/>
    <w:qFormat/>
    <w:uiPriority w:val="0"/>
    <w:pPr>
      <w:tabs>
        <w:tab w:val="left" w:pos="2160"/>
      </w:tabs>
      <w:ind w:left="2159" w:leftChars="1028" w:firstLine="1"/>
    </w:pPr>
    <w:rPr>
      <w:rFonts w:ascii="宋体" w:hAnsi="宋体"/>
      <w:sz w:val="21"/>
      <w:szCs w:val="21"/>
    </w:rPr>
  </w:style>
  <w:style w:type="paragraph" w:styleId="28">
    <w:name w:val="List Number 3"/>
    <w:basedOn w:val="1"/>
    <w:qFormat/>
    <w:uiPriority w:val="0"/>
    <w:pPr>
      <w:numPr>
        <w:ilvl w:val="0"/>
        <w:numId w:val="6"/>
      </w:numPr>
      <w:tabs>
        <w:tab w:val="left" w:pos="840"/>
        <w:tab w:val="clear" w:pos="360"/>
      </w:tabs>
      <w:adjustRightInd w:val="0"/>
      <w:snapToGrid w:val="0"/>
      <w:spacing w:line="360" w:lineRule="auto"/>
      <w:ind w:firstLine="0" w:firstLineChars="0"/>
    </w:pPr>
  </w:style>
  <w:style w:type="paragraph" w:styleId="29">
    <w:name w:val="List 2"/>
    <w:basedOn w:val="1"/>
    <w:qFormat/>
    <w:uiPriority w:val="0"/>
    <w:pPr>
      <w:ind w:left="100" w:leftChars="200" w:hanging="200" w:hangingChars="200"/>
    </w:pPr>
    <w:rPr>
      <w:szCs w:val="20"/>
    </w:rPr>
  </w:style>
  <w:style w:type="paragraph" w:styleId="30">
    <w:name w:val="List Continue"/>
    <w:basedOn w:val="1"/>
    <w:qFormat/>
    <w:uiPriority w:val="0"/>
    <w:pPr>
      <w:adjustRightInd w:val="0"/>
      <w:snapToGrid w:val="0"/>
      <w:spacing w:after="120" w:line="360" w:lineRule="auto"/>
      <w:ind w:left="420" w:leftChars="200" w:firstLine="0" w:firstLineChars="0"/>
    </w:pPr>
    <w:rPr>
      <w:szCs w:val="20"/>
    </w:rPr>
  </w:style>
  <w:style w:type="paragraph" w:styleId="31">
    <w:name w:val="List Bullet 2"/>
    <w:basedOn w:val="1"/>
    <w:qFormat/>
    <w:uiPriority w:val="0"/>
    <w:pPr>
      <w:numPr>
        <w:ilvl w:val="0"/>
        <w:numId w:val="7"/>
      </w:numPr>
      <w:tabs>
        <w:tab w:val="left" w:pos="780"/>
        <w:tab w:val="clear" w:pos="360"/>
      </w:tabs>
      <w:adjustRightInd w:val="0"/>
      <w:snapToGrid w:val="0"/>
      <w:spacing w:line="360" w:lineRule="auto"/>
      <w:ind w:firstLine="0" w:firstLineChars="0"/>
    </w:pPr>
    <w:rPr>
      <w:szCs w:val="20"/>
    </w:rPr>
  </w:style>
  <w:style w:type="paragraph" w:styleId="32">
    <w:name w:val="toc 5"/>
    <w:basedOn w:val="1"/>
    <w:next w:val="1"/>
    <w:qFormat/>
    <w:uiPriority w:val="39"/>
    <w:pPr>
      <w:ind w:left="960"/>
      <w:jc w:val="left"/>
    </w:pPr>
    <w:rPr>
      <w:rFonts w:ascii="Calibri" w:hAnsi="Calibri"/>
      <w:sz w:val="18"/>
      <w:szCs w:val="18"/>
    </w:rPr>
  </w:style>
  <w:style w:type="paragraph" w:styleId="33">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4">
    <w:name w:val="Plain Text"/>
    <w:basedOn w:val="1"/>
    <w:link w:val="619"/>
    <w:qFormat/>
    <w:uiPriority w:val="0"/>
    <w:rPr>
      <w:rFonts w:ascii="宋体" w:hAnsi="Courier New"/>
      <w:szCs w:val="20"/>
    </w:rPr>
  </w:style>
  <w:style w:type="paragraph" w:styleId="35">
    <w:name w:val="toc 8"/>
    <w:basedOn w:val="1"/>
    <w:next w:val="1"/>
    <w:qFormat/>
    <w:uiPriority w:val="39"/>
    <w:pPr>
      <w:ind w:left="1680"/>
      <w:jc w:val="left"/>
    </w:pPr>
    <w:rPr>
      <w:rFonts w:ascii="Calibri" w:hAnsi="Calibri"/>
      <w:sz w:val="18"/>
      <w:szCs w:val="18"/>
    </w:rPr>
  </w:style>
  <w:style w:type="paragraph" w:styleId="36">
    <w:name w:val="Date"/>
    <w:basedOn w:val="1"/>
    <w:next w:val="1"/>
    <w:link w:val="599"/>
    <w:qFormat/>
    <w:uiPriority w:val="0"/>
    <w:rPr>
      <w:rFonts w:ascii="宋体"/>
      <w:szCs w:val="20"/>
    </w:rPr>
  </w:style>
  <w:style w:type="paragraph" w:styleId="37">
    <w:name w:val="Body Text Indent 2"/>
    <w:basedOn w:val="1"/>
    <w:link w:val="645"/>
    <w:qFormat/>
    <w:uiPriority w:val="0"/>
    <w:pPr>
      <w:spacing w:after="120" w:line="480" w:lineRule="auto"/>
      <w:ind w:left="420" w:leftChars="200"/>
    </w:pPr>
    <w:rPr>
      <w:sz w:val="21"/>
      <w:szCs w:val="20"/>
    </w:rPr>
  </w:style>
  <w:style w:type="paragraph" w:styleId="38">
    <w:name w:val="endnote text"/>
    <w:basedOn w:val="1"/>
    <w:link w:val="563"/>
    <w:unhideWhenUsed/>
    <w:qFormat/>
    <w:uiPriority w:val="99"/>
    <w:pPr>
      <w:snapToGrid w:val="0"/>
      <w:spacing w:line="240" w:lineRule="auto"/>
      <w:ind w:firstLine="0" w:firstLineChars="0"/>
      <w:jc w:val="left"/>
    </w:pPr>
    <w:rPr>
      <w:sz w:val="21"/>
    </w:rPr>
  </w:style>
  <w:style w:type="paragraph" w:styleId="39">
    <w:name w:val="Balloon Text"/>
    <w:basedOn w:val="1"/>
    <w:link w:val="543"/>
    <w:qFormat/>
    <w:uiPriority w:val="0"/>
    <w:rPr>
      <w:sz w:val="18"/>
      <w:szCs w:val="18"/>
    </w:rPr>
  </w:style>
  <w:style w:type="paragraph" w:styleId="40">
    <w:name w:val="footer"/>
    <w:basedOn w:val="1"/>
    <w:link w:val="652"/>
    <w:qFormat/>
    <w:uiPriority w:val="0"/>
    <w:pPr>
      <w:tabs>
        <w:tab w:val="center" w:pos="4153"/>
        <w:tab w:val="right" w:pos="8306"/>
      </w:tabs>
      <w:snapToGrid w:val="0"/>
      <w:jc w:val="left"/>
    </w:pPr>
    <w:rPr>
      <w:sz w:val="18"/>
      <w:szCs w:val="20"/>
    </w:rPr>
  </w:style>
  <w:style w:type="paragraph" w:styleId="41">
    <w:name w:val="envelope return"/>
    <w:basedOn w:val="1"/>
    <w:qFormat/>
    <w:uiPriority w:val="0"/>
    <w:pPr>
      <w:snapToGrid w:val="0"/>
    </w:pPr>
    <w:rPr>
      <w:rFonts w:ascii="Arial" w:hAnsi="Arial"/>
    </w:rPr>
  </w:style>
  <w:style w:type="paragraph" w:styleId="42">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spacing w:before="120" w:after="120"/>
      <w:jc w:val="left"/>
    </w:pPr>
    <w:rPr>
      <w:rFonts w:ascii="Calibri" w:hAnsi="Calibri"/>
      <w:b/>
      <w:bCs/>
      <w:caps/>
      <w:sz w:val="20"/>
      <w:szCs w:val="20"/>
    </w:rPr>
  </w:style>
  <w:style w:type="paragraph" w:styleId="44">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5">
    <w:name w:val="toc 4"/>
    <w:basedOn w:val="1"/>
    <w:next w:val="1"/>
    <w:qFormat/>
    <w:uiPriority w:val="39"/>
    <w:pPr>
      <w:ind w:left="720"/>
      <w:jc w:val="left"/>
    </w:pPr>
    <w:rPr>
      <w:rFonts w:ascii="Calibri" w:hAnsi="Calibri"/>
      <w:sz w:val="18"/>
      <w:szCs w:val="18"/>
    </w:rPr>
  </w:style>
  <w:style w:type="paragraph" w:styleId="46">
    <w:name w:val="index heading"/>
    <w:basedOn w:val="1"/>
    <w:next w:val="47"/>
    <w:qFormat/>
    <w:uiPriority w:val="0"/>
    <w:pPr>
      <w:spacing w:line="240" w:lineRule="auto"/>
      <w:ind w:firstLine="0" w:firstLineChars="0"/>
    </w:pPr>
    <w:rPr>
      <w:sz w:val="21"/>
      <w:szCs w:val="20"/>
    </w:rPr>
  </w:style>
  <w:style w:type="paragraph" w:styleId="47">
    <w:name w:val="index 1"/>
    <w:basedOn w:val="1"/>
    <w:next w:val="1"/>
    <w:qFormat/>
    <w:uiPriority w:val="0"/>
    <w:rPr>
      <w:szCs w:val="20"/>
    </w:rPr>
  </w:style>
  <w:style w:type="paragraph" w:styleId="48">
    <w:name w:val="Subtitle"/>
    <w:basedOn w:val="1"/>
    <w:next w:val="1"/>
    <w:link w:val="589"/>
    <w:qFormat/>
    <w:uiPriority w:val="0"/>
    <w:pPr>
      <w:spacing w:before="240" w:after="60" w:line="312" w:lineRule="auto"/>
      <w:jc w:val="center"/>
      <w:outlineLvl w:val="1"/>
    </w:pPr>
    <w:rPr>
      <w:rFonts w:ascii="Cambria" w:hAnsi="Cambria"/>
      <w:b/>
      <w:bCs/>
      <w:kern w:val="28"/>
      <w:sz w:val="32"/>
      <w:szCs w:val="32"/>
    </w:rPr>
  </w:style>
  <w:style w:type="paragraph" w:styleId="49">
    <w:name w:val="List"/>
    <w:basedOn w:val="1"/>
    <w:qFormat/>
    <w:uiPriority w:val="0"/>
    <w:pPr>
      <w:spacing w:line="240" w:lineRule="auto"/>
      <w:ind w:left="200" w:hanging="200" w:hangingChars="200"/>
    </w:pPr>
    <w:rPr>
      <w:sz w:val="21"/>
      <w:szCs w:val="20"/>
    </w:rPr>
  </w:style>
  <w:style w:type="paragraph" w:styleId="50">
    <w:name w:val="footnote text"/>
    <w:basedOn w:val="1"/>
    <w:link w:val="505"/>
    <w:qFormat/>
    <w:uiPriority w:val="0"/>
    <w:pPr>
      <w:spacing w:line="360" w:lineRule="auto"/>
      <w:ind w:firstLine="0" w:firstLineChars="0"/>
    </w:pPr>
    <w:rPr>
      <w:sz w:val="18"/>
    </w:rPr>
  </w:style>
  <w:style w:type="paragraph" w:styleId="51">
    <w:name w:val="toc 6"/>
    <w:basedOn w:val="1"/>
    <w:next w:val="1"/>
    <w:qFormat/>
    <w:uiPriority w:val="39"/>
    <w:pPr>
      <w:ind w:left="1200"/>
      <w:jc w:val="left"/>
    </w:pPr>
    <w:rPr>
      <w:rFonts w:ascii="Calibri" w:hAnsi="Calibri"/>
      <w:sz w:val="18"/>
      <w:szCs w:val="18"/>
    </w:rPr>
  </w:style>
  <w:style w:type="paragraph" w:styleId="52">
    <w:name w:val="List 5"/>
    <w:basedOn w:val="1"/>
    <w:qFormat/>
    <w:uiPriority w:val="0"/>
    <w:pPr>
      <w:adjustRightInd w:val="0"/>
      <w:snapToGrid w:val="0"/>
      <w:spacing w:line="360" w:lineRule="auto"/>
      <w:ind w:left="100" w:leftChars="800" w:hanging="200" w:hangingChars="200"/>
    </w:pPr>
    <w:rPr>
      <w:szCs w:val="20"/>
    </w:rPr>
  </w:style>
  <w:style w:type="paragraph" w:styleId="53">
    <w:name w:val="Body Text Indent 3"/>
    <w:basedOn w:val="1"/>
    <w:link w:val="625"/>
    <w:qFormat/>
    <w:uiPriority w:val="0"/>
    <w:pPr>
      <w:spacing w:after="120"/>
      <w:ind w:left="420" w:leftChars="200"/>
    </w:pPr>
    <w:rPr>
      <w:sz w:val="16"/>
      <w:szCs w:val="20"/>
    </w:rPr>
  </w:style>
  <w:style w:type="paragraph" w:styleId="54">
    <w:name w:val="table of figures"/>
    <w:basedOn w:val="1"/>
    <w:next w:val="1"/>
    <w:qFormat/>
    <w:uiPriority w:val="0"/>
    <w:pPr>
      <w:tabs>
        <w:tab w:val="right" w:leader="dot" w:pos="8640"/>
      </w:tabs>
      <w:spacing w:line="360" w:lineRule="auto"/>
      <w:ind w:left="400" w:hanging="400" w:firstLineChars="0"/>
    </w:pPr>
  </w:style>
  <w:style w:type="paragraph" w:styleId="55">
    <w:name w:val="toc 2"/>
    <w:basedOn w:val="1"/>
    <w:next w:val="1"/>
    <w:link w:val="533"/>
    <w:qFormat/>
    <w:uiPriority w:val="39"/>
    <w:pPr>
      <w:tabs>
        <w:tab w:val="right" w:leader="dot" w:pos="8777"/>
      </w:tabs>
      <w:ind w:firstLine="566" w:firstLineChars="236"/>
      <w:jc w:val="left"/>
    </w:pPr>
    <w:rPr>
      <w:smallCaps/>
      <w:kern w:val="0"/>
      <w:sz w:val="20"/>
      <w:szCs w:val="20"/>
    </w:rPr>
  </w:style>
  <w:style w:type="paragraph" w:styleId="56">
    <w:name w:val="toc 9"/>
    <w:basedOn w:val="1"/>
    <w:next w:val="1"/>
    <w:qFormat/>
    <w:uiPriority w:val="39"/>
    <w:pPr>
      <w:ind w:left="1920"/>
      <w:jc w:val="left"/>
    </w:pPr>
    <w:rPr>
      <w:rFonts w:ascii="Calibri" w:hAnsi="Calibri"/>
      <w:sz w:val="18"/>
      <w:szCs w:val="18"/>
    </w:rPr>
  </w:style>
  <w:style w:type="paragraph" w:styleId="57">
    <w:name w:val="Body Text 2"/>
    <w:basedOn w:val="1"/>
    <w:link w:val="593"/>
    <w:qFormat/>
    <w:uiPriority w:val="0"/>
    <w:pPr>
      <w:spacing w:after="120" w:line="480" w:lineRule="auto"/>
    </w:pPr>
    <w:rPr>
      <w:sz w:val="21"/>
      <w:szCs w:val="20"/>
    </w:rPr>
  </w:style>
  <w:style w:type="paragraph" w:styleId="58">
    <w:name w:val="List 4"/>
    <w:basedOn w:val="1"/>
    <w:qFormat/>
    <w:uiPriority w:val="0"/>
    <w:pPr>
      <w:adjustRightInd w:val="0"/>
      <w:snapToGrid w:val="0"/>
      <w:spacing w:line="360" w:lineRule="auto"/>
      <w:ind w:left="100" w:leftChars="600" w:hanging="200" w:hangingChars="200"/>
    </w:pPr>
    <w:rPr>
      <w:szCs w:val="20"/>
    </w:rPr>
  </w:style>
  <w:style w:type="paragraph" w:styleId="59">
    <w:name w:val="List Continue 2"/>
    <w:basedOn w:val="1"/>
    <w:qFormat/>
    <w:uiPriority w:val="0"/>
    <w:pPr>
      <w:adjustRightInd w:val="0"/>
      <w:snapToGrid w:val="0"/>
      <w:spacing w:after="120" w:line="360" w:lineRule="auto"/>
      <w:ind w:left="840" w:leftChars="400" w:firstLine="0" w:firstLineChars="0"/>
    </w:pPr>
    <w:rPr>
      <w:szCs w:val="20"/>
    </w:rPr>
  </w:style>
  <w:style w:type="paragraph" w:styleId="6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61">
    <w:name w:val="HTML Preformatted"/>
    <w:basedOn w:val="1"/>
    <w:link w:val="6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2">
    <w:name w:val="Normal (Web)"/>
    <w:basedOn w:val="1"/>
    <w:qFormat/>
    <w:uiPriority w:val="0"/>
    <w:pPr>
      <w:jc w:val="left"/>
    </w:pPr>
    <w:rPr>
      <w:color w:val="333333"/>
      <w:kern w:val="0"/>
    </w:rPr>
  </w:style>
  <w:style w:type="paragraph" w:styleId="63">
    <w:name w:val="List Continue 3"/>
    <w:basedOn w:val="1"/>
    <w:qFormat/>
    <w:uiPriority w:val="0"/>
    <w:pPr>
      <w:spacing w:after="120"/>
      <w:ind w:left="1260" w:leftChars="600"/>
    </w:pPr>
    <w:rPr>
      <w:szCs w:val="20"/>
    </w:rPr>
  </w:style>
  <w:style w:type="paragraph" w:styleId="64">
    <w:name w:val="Title"/>
    <w:basedOn w:val="1"/>
    <w:next w:val="1"/>
    <w:link w:val="536"/>
    <w:qFormat/>
    <w:uiPriority w:val="0"/>
    <w:pPr>
      <w:widowControl/>
      <w:spacing w:after="240" w:line="360" w:lineRule="auto"/>
      <w:jc w:val="center"/>
    </w:pPr>
    <w:rPr>
      <w:rFonts w:ascii="Arial" w:hAnsi="Arial"/>
      <w:b/>
      <w:smallCaps/>
      <w:kern w:val="28"/>
      <w:sz w:val="36"/>
      <w:szCs w:val="20"/>
      <w:lang w:eastAsia="en-US"/>
    </w:rPr>
  </w:style>
  <w:style w:type="paragraph" w:styleId="65">
    <w:name w:val="annotation subject"/>
    <w:basedOn w:val="20"/>
    <w:next w:val="20"/>
    <w:link w:val="523"/>
    <w:qFormat/>
    <w:uiPriority w:val="0"/>
    <w:rPr>
      <w:b/>
      <w:bCs/>
    </w:rPr>
  </w:style>
  <w:style w:type="paragraph" w:styleId="66">
    <w:name w:val="Body Text First Indent"/>
    <w:basedOn w:val="23"/>
    <w:link w:val="642"/>
    <w:qFormat/>
    <w:uiPriority w:val="0"/>
    <w:pPr>
      <w:ind w:firstLine="420" w:firstLineChars="100"/>
    </w:pPr>
  </w:style>
  <w:style w:type="paragraph" w:styleId="67">
    <w:name w:val="Body Text First Indent 2"/>
    <w:basedOn w:val="27"/>
    <w:link w:val="539"/>
    <w:qFormat/>
    <w:uiPriority w:val="0"/>
    <w:pPr>
      <w:spacing w:after="120" w:line="480" w:lineRule="auto"/>
      <w:ind w:left="418" w:leftChars="0" w:firstLine="216"/>
    </w:pPr>
    <w:rPr>
      <w:rFonts w:eastAsia="仿宋_GB2312"/>
      <w:sz w:val="24"/>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1">
    <w:name w:val="Strong"/>
    <w:qFormat/>
    <w:uiPriority w:val="0"/>
    <w:rPr>
      <w:b/>
      <w:bCs/>
    </w:rPr>
  </w:style>
  <w:style w:type="character" w:styleId="72">
    <w:name w:val="endnote reference"/>
    <w:unhideWhenUsed/>
    <w:qFormat/>
    <w:uiPriority w:val="99"/>
    <w:rPr>
      <w:vertAlign w:val="superscript"/>
    </w:rPr>
  </w:style>
  <w:style w:type="character" w:styleId="73">
    <w:name w:val="page number"/>
    <w:basedOn w:val="70"/>
    <w:qFormat/>
    <w:uiPriority w:val="0"/>
  </w:style>
  <w:style w:type="character" w:styleId="74">
    <w:name w:val="FollowedHyperlink"/>
    <w:qFormat/>
    <w:uiPriority w:val="0"/>
    <w:rPr>
      <w:color w:val="0000FF"/>
      <w:u w:val="single"/>
    </w:rPr>
  </w:style>
  <w:style w:type="character" w:styleId="75">
    <w:name w:val="Emphasis"/>
    <w:qFormat/>
    <w:uiPriority w:val="0"/>
    <w:rPr>
      <w:i/>
    </w:rPr>
  </w:style>
  <w:style w:type="character" w:styleId="76">
    <w:name w:val="HTML Definition"/>
    <w:qFormat/>
    <w:uiPriority w:val="0"/>
    <w:rPr>
      <w:i/>
    </w:rPr>
  </w:style>
  <w:style w:type="character" w:styleId="77">
    <w:name w:val="Hyperlink"/>
    <w:qFormat/>
    <w:uiPriority w:val="99"/>
    <w:rPr>
      <w:color w:val="000099"/>
      <w:u w:val="none"/>
    </w:rPr>
  </w:style>
  <w:style w:type="character" w:styleId="78">
    <w:name w:val="HTML Code"/>
    <w:qFormat/>
    <w:uiPriority w:val="0"/>
    <w:rPr>
      <w:rFonts w:hint="default" w:ascii="Consolas" w:hAnsi="Consolas" w:eastAsia="Consolas" w:cs="Consolas"/>
      <w:color w:val="C7254E"/>
      <w:sz w:val="21"/>
      <w:szCs w:val="21"/>
      <w:shd w:val="clear" w:color="auto" w:fill="F9F2F4"/>
    </w:rPr>
  </w:style>
  <w:style w:type="character" w:styleId="79">
    <w:name w:val="annotation reference"/>
    <w:qFormat/>
    <w:uiPriority w:val="0"/>
    <w:rPr>
      <w:sz w:val="21"/>
      <w:szCs w:val="21"/>
    </w:rPr>
  </w:style>
  <w:style w:type="character" w:styleId="80">
    <w:name w:val="footnote reference"/>
    <w:qFormat/>
    <w:uiPriority w:val="0"/>
    <w:rPr>
      <w:position w:val="6"/>
      <w:sz w:val="14"/>
      <w:vertAlign w:val="superscript"/>
    </w:rPr>
  </w:style>
  <w:style w:type="character" w:styleId="81">
    <w:name w:val="HTML Keyboard"/>
    <w:qFormat/>
    <w:uiPriority w:val="0"/>
    <w:rPr>
      <w:rFonts w:ascii="Consolas" w:hAnsi="Consolas" w:eastAsia="Consolas" w:cs="Consolas"/>
      <w:color w:val="FFFFFF"/>
      <w:sz w:val="21"/>
      <w:szCs w:val="21"/>
      <w:shd w:val="clear" w:color="auto" w:fill="333333"/>
    </w:rPr>
  </w:style>
  <w:style w:type="character" w:styleId="82">
    <w:name w:val="HTML Sample"/>
    <w:qFormat/>
    <w:uiPriority w:val="0"/>
    <w:rPr>
      <w:rFonts w:hint="default" w:ascii="Consolas" w:hAnsi="Consolas" w:eastAsia="Consolas" w:cs="Consolas"/>
      <w:sz w:val="21"/>
      <w:szCs w:val="21"/>
    </w:rPr>
  </w:style>
  <w:style w:type="paragraph" w:customStyle="1" w:styleId="83">
    <w:name w:val="表格文字"/>
    <w:basedOn w:val="84"/>
    <w:qFormat/>
    <w:uiPriority w:val="0"/>
  </w:style>
  <w:style w:type="paragraph" w:customStyle="1" w:styleId="84">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customStyle="1" w:styleId="85">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6">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87">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8">
    <w:name w:val="首行缩进2小四1"/>
    <w:basedOn w:val="1"/>
    <w:next w:val="1"/>
    <w:qFormat/>
    <w:uiPriority w:val="0"/>
    <w:pPr>
      <w:ind w:firstLine="480"/>
    </w:pPr>
    <w:rPr>
      <w:rFonts w:ascii="Verdana" w:hAnsi="Verdana" w:eastAsia="华文细黑" w:cs="宋体"/>
      <w:szCs w:val="20"/>
    </w:rPr>
  </w:style>
  <w:style w:type="paragraph" w:customStyle="1" w:styleId="89">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9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4">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95">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9">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2">
    <w:name w:val="Item List"/>
    <w:qFormat/>
    <w:uiPriority w:val="0"/>
    <w:pPr>
      <w:numPr>
        <w:ilvl w:val="0"/>
        <w:numId w:val="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103">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4">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5">
    <w:name w:val="正文表格"/>
    <w:basedOn w:val="1"/>
    <w:qFormat/>
    <w:uiPriority w:val="0"/>
    <w:pPr>
      <w:adjustRightInd w:val="0"/>
      <w:spacing w:before="40" w:after="40" w:line="240" w:lineRule="auto"/>
      <w:ind w:firstLine="0" w:firstLineChars="0"/>
    </w:pPr>
    <w:rPr>
      <w:szCs w:val="20"/>
    </w:rPr>
  </w:style>
  <w:style w:type="paragraph" w:customStyle="1" w:styleId="1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8">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9">
    <w:name w:val="页眉 New New"/>
    <w:basedOn w:val="110"/>
    <w:qFormat/>
    <w:uiPriority w:val="0"/>
    <w:pPr>
      <w:pBdr>
        <w:bottom w:val="single" w:color="auto" w:sz="6" w:space="1"/>
      </w:pBdr>
      <w:tabs>
        <w:tab w:val="center" w:pos="4153"/>
        <w:tab w:val="right" w:pos="8306"/>
      </w:tabs>
      <w:snapToGrid w:val="0"/>
      <w:jc w:val="center"/>
    </w:pPr>
    <w:rPr>
      <w:sz w:val="18"/>
      <w:szCs w:val="18"/>
    </w:rPr>
  </w:style>
  <w:style w:type="paragraph" w:customStyle="1" w:styleId="1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2">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1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4">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15">
    <w:name w:val="Char1"/>
    <w:basedOn w:val="1"/>
    <w:qFormat/>
    <w:uiPriority w:val="0"/>
    <w:pPr>
      <w:adjustRightInd w:val="0"/>
      <w:spacing w:line="360" w:lineRule="auto"/>
    </w:pPr>
    <w:rPr>
      <w:kern w:val="0"/>
      <w:szCs w:val="20"/>
    </w:rPr>
  </w:style>
  <w:style w:type="paragraph" w:customStyle="1" w:styleId="116">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样式 标题 3列表编号3h33rd level + 段前: 1 行"/>
    <w:basedOn w:val="4"/>
    <w:qFormat/>
    <w:uiPriority w:val="0"/>
    <w:pPr>
      <w:adjustRightInd w:val="0"/>
      <w:snapToGrid w:val="0"/>
      <w:spacing w:before="240" w:after="120" w:line="240" w:lineRule="atLeast"/>
      <w:ind w:left="-540" w:leftChars="-257"/>
    </w:pPr>
    <w:rPr>
      <w:kern w:val="0"/>
      <w:sz w:val="28"/>
      <w:szCs w:val="28"/>
    </w:rPr>
  </w:style>
  <w:style w:type="paragraph" w:customStyle="1" w:styleId="118">
    <w:name w:val="黑方框"/>
    <w:basedOn w:val="1"/>
    <w:qFormat/>
    <w:uiPriority w:val="0"/>
    <w:pPr>
      <w:spacing w:before="60" w:after="60" w:line="288" w:lineRule="auto"/>
      <w:ind w:firstLine="0" w:firstLineChars="0"/>
    </w:pPr>
    <w:rPr>
      <w:rFonts w:cs="宋体"/>
      <w:sz w:val="21"/>
      <w:szCs w:val="21"/>
    </w:rPr>
  </w:style>
  <w:style w:type="paragraph" w:customStyle="1" w:styleId="119">
    <w:name w:val="自定义正文"/>
    <w:basedOn w:val="1"/>
    <w:link w:val="551"/>
    <w:qFormat/>
    <w:uiPriority w:val="0"/>
    <w:pPr>
      <w:spacing w:before="120" w:after="60"/>
      <w:jc w:val="left"/>
    </w:pPr>
    <w:rPr>
      <w:rFonts w:ascii="仿宋_GB2312" w:eastAsia="仿宋_GB2312"/>
    </w:rPr>
  </w:style>
  <w:style w:type="paragraph" w:customStyle="1" w:styleId="120">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21">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3">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4">
    <w:name w:val="p15"/>
    <w:basedOn w:val="1"/>
    <w:qFormat/>
    <w:uiPriority w:val="0"/>
    <w:pPr>
      <w:widowControl/>
      <w:ind w:firstLine="420"/>
    </w:pPr>
    <w:rPr>
      <w:kern w:val="0"/>
      <w:szCs w:val="21"/>
    </w:rPr>
  </w:style>
  <w:style w:type="paragraph" w:customStyle="1" w:styleId="125">
    <w:name w:val="@"/>
    <w:basedOn w:val="1"/>
    <w:qFormat/>
    <w:uiPriority w:val="0"/>
    <w:pPr>
      <w:tabs>
        <w:tab w:val="left" w:pos="360"/>
      </w:tabs>
      <w:spacing w:afterLines="50" w:line="360" w:lineRule="auto"/>
      <w:ind w:left="360" w:hanging="360" w:firstLineChars="0"/>
    </w:pPr>
  </w:style>
  <w:style w:type="paragraph" w:customStyle="1" w:styleId="12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7">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8">
    <w:name w:val="样式3"/>
    <w:basedOn w:val="129"/>
    <w:qFormat/>
    <w:uiPriority w:val="0"/>
    <w:pPr>
      <w:ind w:firstLine="2080"/>
    </w:pPr>
    <w:rPr>
      <w:szCs w:val="72"/>
    </w:rPr>
  </w:style>
  <w:style w:type="paragraph" w:customStyle="1" w:styleId="129">
    <w:name w:val="样式1"/>
    <w:basedOn w:val="34"/>
    <w:qFormat/>
    <w:uiPriority w:val="0"/>
    <w:pPr>
      <w:ind w:firstLine="1958" w:firstLineChars="650"/>
    </w:pPr>
    <w:rPr>
      <w:rFonts w:ascii="仿宋_GB2312" w:hAnsi="仿宋_GB2312" w:eastAsia="仿宋_GB2312"/>
      <w:sz w:val="32"/>
    </w:rPr>
  </w:style>
  <w:style w:type="paragraph" w:customStyle="1" w:styleId="13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3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2">
    <w:name w:val="正文编号2"/>
    <w:basedOn w:val="1"/>
    <w:qFormat/>
    <w:uiPriority w:val="0"/>
    <w:pPr>
      <w:spacing w:line="240" w:lineRule="auto"/>
      <w:ind w:firstLine="0" w:firstLineChars="0"/>
    </w:pPr>
    <w:rPr>
      <w:rFonts w:eastAsia="楷体_GB2312"/>
      <w:kern w:val="0"/>
      <w:sz w:val="28"/>
    </w:rPr>
  </w:style>
  <w:style w:type="paragraph" w:customStyle="1" w:styleId="133">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4">
    <w:name w:val="首行缩进 1"/>
    <w:basedOn w:val="1"/>
    <w:qFormat/>
    <w:uiPriority w:val="0"/>
    <w:pPr>
      <w:spacing w:after="120" w:line="360" w:lineRule="auto"/>
    </w:pPr>
  </w:style>
  <w:style w:type="paragraph" w:customStyle="1" w:styleId="135">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3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7">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9">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40">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41">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42">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43">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4">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Char Char Char"/>
    <w:basedOn w:val="1"/>
    <w:qFormat/>
    <w:uiPriority w:val="0"/>
    <w:rPr>
      <w:rFonts w:ascii="Tahoma" w:hAnsi="Tahoma"/>
      <w:szCs w:val="20"/>
    </w:rPr>
  </w:style>
  <w:style w:type="paragraph" w:customStyle="1" w:styleId="146">
    <w:name w:val="Title - Revision"/>
    <w:basedOn w:val="64"/>
    <w:qFormat/>
    <w:uiPriority w:val="0"/>
    <w:pPr>
      <w:spacing w:before="720"/>
      <w:ind w:firstLine="0" w:firstLineChars="0"/>
    </w:pPr>
    <w:rPr>
      <w:rFonts w:eastAsia="Times New Roman"/>
    </w:rPr>
  </w:style>
  <w:style w:type="paragraph" w:customStyle="1" w:styleId="147">
    <w:name w:val="列出段落1"/>
    <w:basedOn w:val="1"/>
    <w:qFormat/>
    <w:uiPriority w:val="0"/>
    <w:pPr>
      <w:spacing w:line="240" w:lineRule="auto"/>
      <w:ind w:firstLine="420"/>
    </w:pPr>
    <w:rPr>
      <w:rFonts w:ascii="Calibri" w:hAnsi="Calibri"/>
      <w:sz w:val="21"/>
      <w:szCs w:val="22"/>
    </w:rPr>
  </w:style>
  <w:style w:type="paragraph" w:customStyle="1" w:styleId="148">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9">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0">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51">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152">
    <w:name w:val="正文内容"/>
    <w:basedOn w:val="1"/>
    <w:link w:val="582"/>
    <w:qFormat/>
    <w:uiPriority w:val="0"/>
    <w:pPr>
      <w:spacing w:beforeLines="50" w:afterLines="50" w:line="360" w:lineRule="auto"/>
      <w:ind w:firstLine="480"/>
    </w:pPr>
    <w:rPr>
      <w:szCs w:val="20"/>
    </w:rPr>
  </w:style>
  <w:style w:type="paragraph" w:customStyle="1" w:styleId="153">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4">
    <w:name w:val="Char2"/>
    <w:basedOn w:val="1"/>
    <w:qFormat/>
    <w:uiPriority w:val="0"/>
    <w:pPr>
      <w:adjustRightInd w:val="0"/>
      <w:spacing w:line="360" w:lineRule="auto"/>
    </w:pPr>
    <w:rPr>
      <w:kern w:val="0"/>
      <w:szCs w:val="20"/>
    </w:rPr>
  </w:style>
  <w:style w:type="paragraph" w:customStyle="1" w:styleId="15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6">
    <w:name w:val="Char Char Char1"/>
    <w:basedOn w:val="1"/>
    <w:qFormat/>
    <w:uiPriority w:val="0"/>
    <w:rPr>
      <w:rFonts w:ascii="Tahoma" w:hAnsi="Tahoma"/>
      <w:szCs w:val="20"/>
    </w:rPr>
  </w:style>
  <w:style w:type="paragraph" w:customStyle="1" w:styleId="157">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8">
    <w:name w:val="Char21"/>
    <w:basedOn w:val="1"/>
    <w:qFormat/>
    <w:uiPriority w:val="0"/>
    <w:pPr>
      <w:adjustRightInd w:val="0"/>
      <w:spacing w:line="360" w:lineRule="auto"/>
    </w:pPr>
    <w:rPr>
      <w:kern w:val="0"/>
      <w:szCs w:val="20"/>
    </w:rPr>
  </w:style>
  <w:style w:type="paragraph" w:customStyle="1" w:styleId="1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60">
    <w:name w:val="标题11"/>
    <w:basedOn w:val="2"/>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61">
    <w:name w:val="Body"/>
    <w:basedOn w:val="1"/>
    <w:link w:val="525"/>
    <w:qFormat/>
    <w:uiPriority w:val="0"/>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62">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3">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5">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6">
    <w:name w:val="正文编码"/>
    <w:basedOn w:val="66"/>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8">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9">
    <w:name w:val="样式 正文文本缩进 + 段前: 2 字符"/>
    <w:basedOn w:val="1"/>
    <w:qFormat/>
    <w:uiPriority w:val="0"/>
    <w:pPr>
      <w:ind w:left="420" w:leftChars="200"/>
      <w:jc w:val="left"/>
    </w:pPr>
    <w:rPr>
      <w:sz w:val="28"/>
      <w:lang w:eastAsia="zh-TW"/>
    </w:rPr>
  </w:style>
  <w:style w:type="paragraph" w:customStyle="1" w:styleId="170">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71">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72">
    <w:name w:val="Char11"/>
    <w:basedOn w:val="1"/>
    <w:qFormat/>
    <w:uiPriority w:val="0"/>
    <w:pPr>
      <w:adjustRightInd w:val="0"/>
      <w:spacing w:line="360" w:lineRule="auto"/>
    </w:pPr>
    <w:rPr>
      <w:kern w:val="0"/>
      <w:szCs w:val="20"/>
    </w:rPr>
  </w:style>
  <w:style w:type="paragraph" w:customStyle="1" w:styleId="17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4">
    <w:name w:val="Table Heading Char"/>
    <w:link w:val="53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6">
    <w:name w:val="明显引用1"/>
    <w:basedOn w:val="1"/>
    <w:next w:val="1"/>
    <w:link w:val="518"/>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9">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80">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81">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8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4">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87">
    <w:name w:val="DAS正文"/>
    <w:basedOn w:val="1"/>
    <w:link w:val="638"/>
    <w:qFormat/>
    <w:uiPriority w:val="0"/>
    <w:pPr>
      <w:spacing w:line="240" w:lineRule="auto"/>
      <w:ind w:right="-2" w:firstLine="360"/>
    </w:pPr>
    <w:rPr>
      <w:rFonts w:ascii="Verdana" w:hAnsi="Verdana"/>
      <w:sz w:val="21"/>
      <w:szCs w:val="21"/>
    </w:rPr>
  </w:style>
  <w:style w:type="paragraph" w:customStyle="1" w:styleId="1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90">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9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2">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93">
    <w:name w:val="TOC 标题1"/>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4">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rPr>
  </w:style>
  <w:style w:type="paragraph" w:customStyle="1" w:styleId="195">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6">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7">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98">
    <w:name w:val="Char Char Char2"/>
    <w:basedOn w:val="1"/>
    <w:qFormat/>
    <w:uiPriority w:val="0"/>
    <w:rPr>
      <w:rFonts w:ascii="Tahoma" w:hAnsi="Tahoma"/>
      <w:szCs w:val="20"/>
    </w:rPr>
  </w:style>
  <w:style w:type="paragraph" w:customStyle="1" w:styleId="19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00">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0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3">
    <w:name w:val="Char Char Char Char Char1"/>
    <w:basedOn w:val="1"/>
    <w:qFormat/>
    <w:uiPriority w:val="0"/>
  </w:style>
  <w:style w:type="paragraph" w:customStyle="1" w:styleId="204">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6">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11">
    <w:name w:val="Char Char Char Char Char Char Char Char Char Char Char Char Char Char"/>
    <w:basedOn w:val="1"/>
    <w:qFormat/>
    <w:uiPriority w:val="0"/>
    <w:rPr>
      <w:rFonts w:ascii="Tahoma" w:hAnsi="Tahoma"/>
      <w:szCs w:val="20"/>
    </w:rPr>
  </w:style>
  <w:style w:type="paragraph" w:customStyle="1" w:styleId="21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3">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214">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5">
    <w:name w:val="列出段落2"/>
    <w:basedOn w:val="1"/>
    <w:link w:val="511"/>
    <w:qFormat/>
    <w:uiPriority w:val="0"/>
    <w:pPr>
      <w:ind w:firstLine="420"/>
    </w:pPr>
  </w:style>
  <w:style w:type="paragraph" w:customStyle="1" w:styleId="216">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7">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8">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9">
    <w:name w:val="标题2"/>
    <w:basedOn w:val="3"/>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20">
    <w:name w:val="样式 普通正文 + 五号 首行缩进:  2 字符"/>
    <w:basedOn w:val="1"/>
    <w:qFormat/>
    <w:uiPriority w:val="0"/>
    <w:pPr>
      <w:spacing w:line="360" w:lineRule="auto"/>
      <w:ind w:firstLine="420"/>
    </w:pPr>
    <w:rPr>
      <w:rFonts w:cs="宋体"/>
      <w:sz w:val="21"/>
      <w:szCs w:val="20"/>
    </w:rPr>
  </w:style>
  <w:style w:type="paragraph" w:customStyle="1" w:styleId="221">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2">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3">
    <w:name w:val="正文首行缩进两字符"/>
    <w:basedOn w:val="1"/>
    <w:qFormat/>
    <w:uiPriority w:val="0"/>
    <w:pPr>
      <w:spacing w:line="360" w:lineRule="auto"/>
    </w:pPr>
    <w:rPr>
      <w:sz w:val="21"/>
    </w:rPr>
  </w:style>
  <w:style w:type="paragraph" w:customStyle="1" w:styleId="224">
    <w:name w:val="样式 首行缩进:  0.74 厘米"/>
    <w:basedOn w:val="1"/>
    <w:qFormat/>
    <w:uiPriority w:val="0"/>
    <w:pPr>
      <w:spacing w:line="360" w:lineRule="auto"/>
      <w:ind w:firstLine="420" w:firstLineChars="0"/>
    </w:pPr>
    <w:rPr>
      <w:szCs w:val="20"/>
    </w:rPr>
  </w:style>
  <w:style w:type="paragraph" w:customStyle="1" w:styleId="225">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6">
    <w:name w:val="简单回函地址"/>
    <w:basedOn w:val="1"/>
    <w:qFormat/>
    <w:uiPriority w:val="0"/>
    <w:pPr>
      <w:adjustRightInd w:val="0"/>
      <w:snapToGrid w:val="0"/>
      <w:spacing w:line="360" w:lineRule="auto"/>
      <w:ind w:firstLine="0" w:firstLineChars="0"/>
    </w:pPr>
    <w:rPr>
      <w:szCs w:val="20"/>
    </w:rPr>
  </w:style>
  <w:style w:type="paragraph" w:customStyle="1" w:styleId="22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8">
    <w:name w:val="样式 正文首行缩进 2 + 首行缩进:  2 字符"/>
    <w:basedOn w:val="1"/>
    <w:qFormat/>
    <w:uiPriority w:val="0"/>
    <w:pPr>
      <w:numPr>
        <w:ilvl w:val="0"/>
        <w:numId w:val="10"/>
      </w:numPr>
      <w:tabs>
        <w:tab w:val="left" w:pos="987"/>
        <w:tab w:val="clear" w:pos="360"/>
      </w:tabs>
      <w:adjustRightInd w:val="0"/>
      <w:snapToGrid w:val="0"/>
      <w:spacing w:line="360" w:lineRule="auto"/>
      <w:ind w:firstLine="0" w:firstLineChars="0"/>
    </w:pPr>
    <w:rPr>
      <w:rFonts w:ascii="Arial" w:hAnsi="Arial"/>
      <w:b/>
      <w:bCs/>
    </w:rPr>
  </w:style>
  <w:style w:type="paragraph" w:customStyle="1" w:styleId="229">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0">
    <w:name w:val="关键词"/>
    <w:basedOn w:val="1"/>
    <w:next w:val="1"/>
    <w:qFormat/>
    <w:uiPriority w:val="0"/>
    <w:pPr>
      <w:spacing w:line="360" w:lineRule="auto"/>
      <w:ind w:firstLine="0" w:firstLineChars="0"/>
    </w:pPr>
    <w:rPr>
      <w:rFonts w:eastAsia="黑体"/>
      <w:sz w:val="20"/>
    </w:rPr>
  </w:style>
  <w:style w:type="paragraph" w:customStyle="1" w:styleId="23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2">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3">
    <w:name w:val="样式 标题 2 + 首行缩进:  2 字符"/>
    <w:basedOn w:val="3"/>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4">
    <w:name w:val="样式 行距: 1.5 倍行距1"/>
    <w:basedOn w:val="1"/>
    <w:qFormat/>
    <w:uiPriority w:val="0"/>
    <w:pPr>
      <w:snapToGrid w:val="0"/>
      <w:spacing w:line="240" w:lineRule="auto"/>
      <w:ind w:firstLine="0" w:firstLineChars="0"/>
    </w:pPr>
    <w:rPr>
      <w:rFonts w:cs="宋体"/>
      <w:sz w:val="21"/>
      <w:szCs w:val="21"/>
    </w:rPr>
  </w:style>
  <w:style w:type="paragraph" w:customStyle="1" w:styleId="23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6">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7">
    <w:name w:val="DOT Text"/>
    <w:basedOn w:val="7"/>
    <w:qFormat/>
    <w:uiPriority w:val="0"/>
    <w:pPr>
      <w:numPr>
        <w:ilvl w:val="0"/>
        <w:numId w:val="11"/>
      </w:numPr>
      <w:tabs>
        <w:tab w:val="left" w:pos="1680"/>
        <w:tab w:val="clear" w:pos="840"/>
        <w:tab w:val="clear" w:pos="1260"/>
      </w:tabs>
      <w:spacing w:beforeLines="25" w:afterLines="25"/>
      <w:ind w:firstLine="0" w:firstLineChars="0"/>
    </w:pPr>
  </w:style>
  <w:style w:type="paragraph" w:customStyle="1" w:styleId="238">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40">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241">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4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3">
    <w:name w:val="标题无"/>
    <w:basedOn w:val="1"/>
    <w:qFormat/>
    <w:uiPriority w:val="0"/>
    <w:pPr>
      <w:spacing w:line="360" w:lineRule="auto"/>
      <w:ind w:firstLine="0" w:firstLineChars="0"/>
    </w:pPr>
  </w:style>
  <w:style w:type="paragraph" w:customStyle="1" w:styleId="244">
    <w:name w:val="表头文本"/>
    <w:qFormat/>
    <w:uiPriority w:val="0"/>
    <w:pPr>
      <w:jc w:val="center"/>
    </w:pPr>
    <w:rPr>
      <w:rFonts w:ascii="Arial" w:hAnsi="Arial" w:eastAsia="宋体" w:cs="Times New Roman"/>
      <w:b/>
      <w:sz w:val="21"/>
      <w:szCs w:val="21"/>
      <w:lang w:val="en-US" w:eastAsia="zh-CN" w:bidi="ar-SA"/>
    </w:rPr>
  </w:style>
  <w:style w:type="paragraph" w:customStyle="1" w:styleId="245">
    <w:name w:val="默认段落字体 Para Char Char Char Char Char Char Char"/>
    <w:basedOn w:val="1"/>
    <w:qFormat/>
    <w:uiPriority w:val="0"/>
    <w:rPr>
      <w:rFonts w:ascii="Tahoma" w:hAnsi="Tahoma"/>
      <w:b/>
      <w:szCs w:val="20"/>
    </w:rPr>
  </w:style>
  <w:style w:type="paragraph" w:customStyle="1" w:styleId="246">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7">
    <w:name w:val="项目"/>
    <w:basedOn w:val="1"/>
    <w:qFormat/>
    <w:uiPriority w:val="0"/>
    <w:pPr>
      <w:numPr>
        <w:ilvl w:val="0"/>
        <w:numId w:val="12"/>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9">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250">
    <w:name w:val="编号正文"/>
    <w:basedOn w:val="251"/>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5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2">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段落正文"/>
    <w:basedOn w:val="1"/>
    <w:qFormat/>
    <w:uiPriority w:val="0"/>
    <w:pPr>
      <w:spacing w:beforeLines="50" w:line="360" w:lineRule="auto"/>
    </w:pPr>
    <w:rPr>
      <w:spacing w:val="2"/>
    </w:rPr>
  </w:style>
  <w:style w:type="paragraph" w:customStyle="1" w:styleId="255">
    <w:name w:val="Char Char Char Char"/>
    <w:basedOn w:val="19"/>
    <w:qFormat/>
    <w:uiPriority w:val="0"/>
    <w:rPr>
      <w:szCs w:val="20"/>
    </w:rPr>
  </w:style>
  <w:style w:type="paragraph" w:customStyle="1" w:styleId="25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7">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8">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9">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60">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2">
    <w:name w:val="Char Char Char Char Char11"/>
    <w:basedOn w:val="1"/>
    <w:qFormat/>
    <w:uiPriority w:val="0"/>
  </w:style>
  <w:style w:type="paragraph" w:customStyle="1" w:styleId="26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4">
    <w:name w:val="标题5"/>
    <w:basedOn w:val="1"/>
    <w:link w:val="555"/>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5">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6">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7">
    <w:name w:val="样式4"/>
    <w:basedOn w:val="1"/>
    <w:qFormat/>
    <w:uiPriority w:val="0"/>
    <w:pPr>
      <w:keepNext/>
      <w:keepLines/>
      <w:numPr>
        <w:ilvl w:val="0"/>
        <w:numId w:val="14"/>
      </w:numPr>
      <w:spacing w:line="360" w:lineRule="auto"/>
      <w:ind w:left="0" w:firstLine="601"/>
      <w:outlineLvl w:val="1"/>
    </w:pPr>
    <w:rPr>
      <w:rFonts w:ascii="宋体" w:hAnsi="宋体"/>
      <w:b/>
      <w:bCs/>
      <w:sz w:val="30"/>
      <w:szCs w:val="30"/>
    </w:rPr>
  </w:style>
  <w:style w:type="paragraph" w:customStyle="1" w:styleId="268">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9">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70">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71">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5">
    <w:name w:val="WPSOffice手动目录 1"/>
    <w:qFormat/>
    <w:uiPriority w:val="0"/>
    <w:rPr>
      <w:rFonts w:ascii="Times New Roman" w:hAnsi="Times New Roman" w:eastAsia="宋体" w:cs="Times New Roman"/>
      <w:lang w:val="en-US" w:eastAsia="zh-CN" w:bidi="ar-SA"/>
    </w:rPr>
  </w:style>
  <w:style w:type="paragraph" w:customStyle="1" w:styleId="276">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7">
    <w:name w:val="Char Char Char Char Char2 Char2"/>
    <w:basedOn w:val="1"/>
    <w:qFormat/>
    <w:uiPriority w:val="0"/>
    <w:pPr>
      <w:spacing w:line="240" w:lineRule="auto"/>
      <w:ind w:firstLine="0" w:firstLineChars="0"/>
    </w:pPr>
    <w:rPr>
      <w:sz w:val="21"/>
      <w:szCs w:val="20"/>
    </w:rPr>
  </w:style>
  <w:style w:type="paragraph" w:customStyle="1" w:styleId="27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9">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8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1">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2">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8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8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6">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7">
    <w:name w:val="正文-1"/>
    <w:basedOn w:val="1"/>
    <w:link w:val="585"/>
    <w:qFormat/>
    <w:uiPriority w:val="0"/>
    <w:pPr>
      <w:spacing w:line="360" w:lineRule="auto"/>
      <w:ind w:firstLine="560"/>
    </w:pPr>
    <w:rPr>
      <w:rFonts w:eastAsia="仿宋_GB2312"/>
      <w:sz w:val="28"/>
      <w:szCs w:val="28"/>
    </w:rPr>
  </w:style>
  <w:style w:type="paragraph" w:customStyle="1" w:styleId="28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9">
    <w:name w:val="!BECC正文"/>
    <w:basedOn w:val="1"/>
    <w:qFormat/>
    <w:uiPriority w:val="0"/>
    <w:pPr>
      <w:tabs>
        <w:tab w:val="left" w:pos="0"/>
      </w:tabs>
      <w:spacing w:beforeLines="50" w:afterLines="50" w:line="360" w:lineRule="auto"/>
    </w:pPr>
  </w:style>
  <w:style w:type="paragraph" w:customStyle="1" w:styleId="290">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9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2">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4">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6">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7">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8">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0">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01">
    <w:name w:val="p0"/>
    <w:basedOn w:val="1"/>
    <w:qFormat/>
    <w:uiPriority w:val="0"/>
    <w:pPr>
      <w:widowControl/>
    </w:pPr>
    <w:rPr>
      <w:kern w:val="0"/>
      <w:szCs w:val="21"/>
    </w:rPr>
  </w:style>
  <w:style w:type="paragraph" w:customStyle="1" w:styleId="302">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3">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4">
    <w:name w:val="样式 正文文本缩进正文文字首行缩进HD正文1特点标题上海中望标准PI正文普通文字正文小标题正文文字缩进 + 首行..."/>
    <w:basedOn w:val="27"/>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5">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6">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8">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1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1">
    <w:name w:val="Char Char Char Char2"/>
    <w:basedOn w:val="19"/>
    <w:qFormat/>
    <w:uiPriority w:val="0"/>
    <w:rPr>
      <w:szCs w:val="20"/>
    </w:rPr>
  </w:style>
  <w:style w:type="paragraph" w:customStyle="1" w:styleId="312">
    <w:name w:val="text1"/>
    <w:basedOn w:val="1"/>
    <w:qFormat/>
    <w:uiPriority w:val="0"/>
    <w:pPr>
      <w:widowControl/>
      <w:spacing w:before="100" w:beforeAutospacing="1" w:after="100" w:afterAutospacing="1"/>
      <w:jc w:val="left"/>
    </w:pPr>
    <w:rPr>
      <w:rFonts w:ascii="宋体" w:hAnsi="宋体"/>
      <w:kern w:val="0"/>
    </w:rPr>
  </w:style>
  <w:style w:type="paragraph" w:customStyle="1" w:styleId="313">
    <w:name w:val="图标"/>
    <w:basedOn w:val="1"/>
    <w:next w:val="1"/>
    <w:qFormat/>
    <w:uiPriority w:val="0"/>
    <w:pPr>
      <w:numPr>
        <w:ilvl w:val="0"/>
        <w:numId w:val="15"/>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4">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7">
    <w:name w:val="（符号）三标题1.1"/>
    <w:basedOn w:val="1"/>
    <w:qFormat/>
    <w:uiPriority w:val="0"/>
    <w:pPr>
      <w:numPr>
        <w:ilvl w:val="1"/>
        <w:numId w:val="16"/>
      </w:numPr>
      <w:tabs>
        <w:tab w:val="left" w:pos="0"/>
      </w:tabs>
      <w:spacing w:line="500" w:lineRule="exact"/>
      <w:ind w:firstLine="0" w:firstLineChars="0"/>
    </w:pPr>
    <w:rPr>
      <w:rFonts w:ascii="宋体" w:hAnsi="宋体"/>
    </w:rPr>
  </w:style>
  <w:style w:type="paragraph" w:customStyle="1" w:styleId="318">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9">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20">
    <w:name w:val="Title - Date"/>
    <w:basedOn w:val="64"/>
    <w:next w:val="1"/>
    <w:qFormat/>
    <w:uiPriority w:val="0"/>
    <w:pPr>
      <w:spacing w:before="240" w:after="720"/>
      <w:ind w:firstLine="0" w:firstLineChars="0"/>
    </w:pPr>
    <w:rPr>
      <w:rFonts w:eastAsia="Times New Roman"/>
      <w:sz w:val="28"/>
    </w:rPr>
  </w:style>
  <w:style w:type="paragraph" w:customStyle="1" w:styleId="32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2">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3">
    <w:name w:val="È±Ê¡ÎÄ±¾"/>
    <w:basedOn w:val="1"/>
    <w:qFormat/>
    <w:uiPriority w:val="0"/>
    <w:pPr>
      <w:widowControl/>
      <w:overflowPunct w:val="0"/>
      <w:autoSpaceDE w:val="0"/>
      <w:autoSpaceDN w:val="0"/>
      <w:adjustRightInd w:val="0"/>
      <w:jc w:val="left"/>
    </w:pPr>
    <w:rPr>
      <w:kern w:val="0"/>
      <w:szCs w:val="20"/>
    </w:rPr>
  </w:style>
  <w:style w:type="paragraph" w:customStyle="1" w:styleId="32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5">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7">
    <w:name w:val="删除"/>
    <w:basedOn w:val="328"/>
    <w:qFormat/>
    <w:uiPriority w:val="0"/>
    <w:pPr>
      <w:widowControl w:val="0"/>
      <w:tabs>
        <w:tab w:val="decimal" w:pos="0"/>
      </w:tabs>
      <w:adjustRightInd/>
      <w:snapToGrid w:val="0"/>
      <w:jc w:val="left"/>
    </w:pPr>
    <w:rPr>
      <w:rFonts w:cs="Arial"/>
      <w:strike/>
      <w:color w:val="0000FF"/>
      <w:szCs w:val="18"/>
    </w:rPr>
  </w:style>
  <w:style w:type="paragraph" w:customStyle="1" w:styleId="328">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30">
    <w:name w:val="目录标题"/>
    <w:basedOn w:val="1"/>
    <w:qFormat/>
    <w:uiPriority w:val="0"/>
    <w:pPr>
      <w:spacing w:before="120" w:after="120" w:line="320" w:lineRule="atLeast"/>
      <w:jc w:val="center"/>
    </w:pPr>
    <w:rPr>
      <w:b/>
      <w:sz w:val="32"/>
    </w:rPr>
  </w:style>
  <w:style w:type="paragraph" w:customStyle="1" w:styleId="33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3">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4">
    <w:name w:val="样式 小四 行距: 1.5 倍行距 首行缩进:  2 字符"/>
    <w:basedOn w:val="1"/>
    <w:qFormat/>
    <w:uiPriority w:val="0"/>
    <w:pPr>
      <w:spacing w:line="360" w:lineRule="auto"/>
      <w:ind w:firstLine="480"/>
    </w:pPr>
    <w:rPr>
      <w:rFonts w:cs="宋体"/>
      <w:szCs w:val="20"/>
    </w:rPr>
  </w:style>
  <w:style w:type="paragraph" w:customStyle="1" w:styleId="33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7">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8">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40">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41">
    <w:name w:val="默认段落字体 Para Char Char"/>
    <w:basedOn w:val="1"/>
    <w:qFormat/>
    <w:uiPriority w:val="0"/>
    <w:pPr>
      <w:spacing w:line="360" w:lineRule="auto"/>
    </w:pPr>
    <w:rPr>
      <w:color w:val="000000"/>
      <w:sz w:val="21"/>
      <w:szCs w:val="20"/>
    </w:rPr>
  </w:style>
  <w:style w:type="paragraph" w:customStyle="1" w:styleId="342">
    <w:name w:val="正文2"/>
    <w:basedOn w:val="1"/>
    <w:qFormat/>
    <w:uiPriority w:val="0"/>
    <w:pPr>
      <w:spacing w:before="156" w:line="360" w:lineRule="auto"/>
      <w:ind w:firstLine="510"/>
    </w:pPr>
    <w:rPr>
      <w:szCs w:val="20"/>
    </w:rPr>
  </w:style>
  <w:style w:type="paragraph" w:customStyle="1" w:styleId="343">
    <w:name w:val="标题3"/>
    <w:basedOn w:val="4"/>
    <w:qFormat/>
    <w:uiPriority w:val="0"/>
    <w:pPr>
      <w:keepNext/>
      <w:keepLines/>
      <w:tabs>
        <w:tab w:val="left" w:pos="113"/>
        <w:tab w:val="left" w:pos="1230"/>
      </w:tabs>
      <w:spacing w:beforeLines="100" w:afterLines="50" w:line="300" w:lineRule="auto"/>
      <w:ind w:firstLine="510"/>
      <w:outlineLvl w:val="9"/>
    </w:pPr>
    <w:rPr>
      <w:rFonts w:ascii="Arial" w:eastAsia="黑体"/>
      <w:b w:val="0"/>
      <w:spacing w:val="6"/>
      <w:kern w:val="0"/>
    </w:rPr>
  </w:style>
  <w:style w:type="paragraph" w:customStyle="1" w:styleId="344">
    <w:name w:val="Char12"/>
    <w:basedOn w:val="1"/>
    <w:qFormat/>
    <w:uiPriority w:val="0"/>
    <w:pPr>
      <w:adjustRightInd w:val="0"/>
      <w:spacing w:line="360" w:lineRule="auto"/>
    </w:pPr>
    <w:rPr>
      <w:kern w:val="0"/>
      <w:szCs w:val="20"/>
    </w:rPr>
  </w:style>
  <w:style w:type="paragraph" w:customStyle="1" w:styleId="34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7">
    <w:name w:val="无间隔1"/>
    <w:basedOn w:val="1"/>
    <w:link w:val="588"/>
    <w:qFormat/>
    <w:uiPriority w:val="0"/>
    <w:pPr>
      <w:widowControl/>
      <w:spacing w:line="240" w:lineRule="auto"/>
      <w:ind w:firstLine="0" w:firstLineChars="0"/>
      <w:jc w:val="left"/>
    </w:pPr>
    <w:rPr>
      <w:kern w:val="0"/>
      <w:szCs w:val="32"/>
      <w:lang w:eastAsia="en-US" w:bidi="en-US"/>
    </w:rPr>
  </w:style>
  <w:style w:type="paragraph" w:customStyle="1" w:styleId="348">
    <w:name w:val="表格标题"/>
    <w:basedOn w:val="349"/>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9">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50">
    <w:name w:val="样式2"/>
    <w:basedOn w:val="1"/>
    <w:next w:val="1"/>
    <w:qFormat/>
    <w:uiPriority w:val="0"/>
    <w:rPr>
      <w:sz w:val="28"/>
    </w:rPr>
  </w:style>
  <w:style w:type="paragraph" w:customStyle="1" w:styleId="35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2">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5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4">
    <w:name w:val="WPS Plain"/>
    <w:qFormat/>
    <w:uiPriority w:val="0"/>
    <w:rPr>
      <w:rFonts w:ascii="Times New Roman" w:hAnsi="Times New Roman" w:eastAsia="宋体" w:cs="Times New Roman"/>
      <w:lang w:val="en-US" w:eastAsia="zh-CN" w:bidi="ar-SA"/>
    </w:rPr>
  </w:style>
  <w:style w:type="paragraph" w:customStyle="1" w:styleId="35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7">
    <w:name w:val="没有缩进（为图形使用）"/>
    <w:basedOn w:val="1"/>
    <w:qFormat/>
    <w:uiPriority w:val="0"/>
    <w:pPr>
      <w:spacing w:before="120" w:after="120" w:line="360" w:lineRule="auto"/>
      <w:ind w:firstLine="0" w:firstLineChars="0"/>
    </w:pPr>
    <w:rPr>
      <w:szCs w:val="20"/>
    </w:rPr>
  </w:style>
  <w:style w:type="paragraph" w:customStyle="1" w:styleId="358">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59">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60">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61">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6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5">
    <w:name w:val="样式5"/>
    <w:basedOn w:val="366"/>
    <w:qFormat/>
    <w:uiPriority w:val="0"/>
    <w:pPr>
      <w:tabs>
        <w:tab w:val="left" w:pos="1152"/>
      </w:tabs>
    </w:pPr>
  </w:style>
  <w:style w:type="paragraph" w:customStyle="1" w:styleId="366">
    <w:name w:val="样式 标题 6第五层条 + 三号 段前: 0.5 行"/>
    <w:basedOn w:val="8"/>
    <w:link w:val="553"/>
    <w:qFormat/>
    <w:uiPriority w:val="0"/>
    <w:pPr>
      <w:widowControl/>
      <w:numPr>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8">
    <w:name w:val="样式 正文首行缩进 2 + 行距: 2 倍行距"/>
    <w:basedOn w:val="67"/>
    <w:qFormat/>
    <w:uiPriority w:val="0"/>
    <w:pPr>
      <w:spacing w:after="0" w:line="360" w:lineRule="auto"/>
      <w:ind w:left="200" w:leftChars="200" w:firstLine="200"/>
    </w:pPr>
    <w:rPr>
      <w:rFonts w:eastAsia="宋体"/>
      <w:sz w:val="21"/>
      <w:szCs w:val="24"/>
    </w:rPr>
  </w:style>
  <w:style w:type="paragraph" w:customStyle="1" w:styleId="369">
    <w:name w:val="列表内容"/>
    <w:basedOn w:val="1"/>
    <w:next w:val="1"/>
    <w:qFormat/>
    <w:uiPriority w:val="0"/>
    <w:pPr>
      <w:widowControl/>
      <w:numPr>
        <w:ilvl w:val="0"/>
        <w:numId w:val="17"/>
      </w:numPr>
      <w:jc w:val="left"/>
    </w:pPr>
    <w:rPr>
      <w:kern w:val="0"/>
      <w:sz w:val="18"/>
    </w:rPr>
  </w:style>
  <w:style w:type="paragraph" w:customStyle="1" w:styleId="370">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71">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2">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4">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5">
    <w:name w:val="列出段落11"/>
    <w:basedOn w:val="1"/>
    <w:qFormat/>
    <w:uiPriority w:val="0"/>
    <w:pPr>
      <w:spacing w:line="240" w:lineRule="auto"/>
      <w:ind w:firstLine="420"/>
    </w:pPr>
    <w:rPr>
      <w:rFonts w:ascii="Calibri" w:hAnsi="Calibri"/>
      <w:sz w:val="21"/>
      <w:szCs w:val="22"/>
    </w:rPr>
  </w:style>
  <w:style w:type="paragraph" w:customStyle="1" w:styleId="376">
    <w:name w:val="about_main1"/>
    <w:basedOn w:val="1"/>
    <w:qFormat/>
    <w:uiPriority w:val="0"/>
    <w:pPr>
      <w:widowControl/>
      <w:spacing w:before="30" w:after="100" w:afterAutospacing="1"/>
      <w:jc w:val="left"/>
    </w:pPr>
    <w:rPr>
      <w:rFonts w:ascii="宋体" w:hAnsi="宋体" w:cs="宋体"/>
      <w:kern w:val="0"/>
    </w:rPr>
  </w:style>
  <w:style w:type="paragraph" w:customStyle="1" w:styleId="377">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9">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80">
    <w:name w:val="缺省文本"/>
    <w:basedOn w:val="1"/>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8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82">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3">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4">
    <w:name w:val="(符号)标书正文"/>
    <w:basedOn w:val="1"/>
    <w:qFormat/>
    <w:uiPriority w:val="0"/>
    <w:pPr>
      <w:spacing w:line="420" w:lineRule="exact"/>
      <w:ind w:firstLine="480"/>
      <w:jc w:val="left"/>
    </w:pPr>
    <w:rPr>
      <w:rFonts w:ascii="宋体" w:hAnsi="宋体" w:cs="宋体"/>
      <w:color w:val="000000"/>
    </w:rPr>
  </w:style>
  <w:style w:type="paragraph" w:customStyle="1" w:styleId="385">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6">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7">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388">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90">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1">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2">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3">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94">
    <w:name w:val="Char4"/>
    <w:basedOn w:val="19"/>
    <w:qFormat/>
    <w:uiPriority w:val="0"/>
    <w:rPr>
      <w:rFonts w:ascii="Tahoma" w:hAnsi="Tahoma"/>
      <w:sz w:val="24"/>
    </w:rPr>
  </w:style>
  <w:style w:type="paragraph" w:customStyle="1" w:styleId="39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6">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7">
    <w:name w:val="标准正文1"/>
    <w:basedOn w:val="1"/>
    <w:qFormat/>
    <w:uiPriority w:val="0"/>
    <w:pPr>
      <w:spacing w:beforeLines="30" w:afterLines="30" w:line="288" w:lineRule="auto"/>
      <w:ind w:firstLine="420"/>
    </w:pPr>
    <w:rPr>
      <w:rFonts w:cs="宋体"/>
      <w:sz w:val="21"/>
      <w:szCs w:val="20"/>
    </w:rPr>
  </w:style>
  <w:style w:type="paragraph" w:customStyle="1" w:styleId="398">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9">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01">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02">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03">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404">
    <w:name w:val="文字"/>
    <w:basedOn w:val="1"/>
    <w:link w:val="647"/>
    <w:qFormat/>
    <w:uiPriority w:val="0"/>
    <w:pPr>
      <w:tabs>
        <w:tab w:val="left" w:pos="8520"/>
      </w:tabs>
      <w:spacing w:line="312" w:lineRule="auto"/>
      <w:ind w:right="-210" w:firstLine="556" w:firstLineChars="0"/>
    </w:pPr>
    <w:rPr>
      <w:rFonts w:ascii="宋体" w:hAnsi="宋体"/>
      <w:sz w:val="28"/>
      <w:szCs w:val="20"/>
    </w:rPr>
  </w:style>
  <w:style w:type="paragraph" w:customStyle="1" w:styleId="405">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6">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07">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8">
    <w:name w:val="DAS列表二"/>
    <w:basedOn w:val="187"/>
    <w:next w:val="187"/>
    <w:qFormat/>
    <w:uiPriority w:val="0"/>
    <w:pPr>
      <w:numPr>
        <w:ilvl w:val="0"/>
        <w:numId w:val="18"/>
      </w:numPr>
      <w:ind w:firstLine="0" w:firstLineChars="0"/>
    </w:pPr>
  </w:style>
  <w:style w:type="paragraph" w:customStyle="1" w:styleId="409">
    <w:name w:val="正文样式 首行缩进:  0.74 厘米"/>
    <w:basedOn w:val="1"/>
    <w:qFormat/>
    <w:uiPriority w:val="0"/>
    <w:pPr>
      <w:widowControl/>
      <w:tabs>
        <w:tab w:val="right" w:pos="8640"/>
      </w:tabs>
      <w:spacing w:beforeLines="50" w:line="360" w:lineRule="auto"/>
      <w:ind w:firstLine="420" w:firstLineChars="0"/>
    </w:pPr>
    <w:rPr>
      <w:kern w:val="0"/>
      <w:szCs w:val="20"/>
    </w:rPr>
  </w:style>
  <w:style w:type="paragraph" w:customStyle="1" w:styleId="41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1">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2">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3">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4">
    <w:name w:val="操作步骤"/>
    <w:basedOn w:val="1"/>
    <w:qFormat/>
    <w:uiPriority w:val="0"/>
    <w:pPr>
      <w:numPr>
        <w:ilvl w:val="0"/>
        <w:numId w:val="19"/>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5">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9">
    <w:name w:val="_"/>
    <w:basedOn w:val="1"/>
    <w:qFormat/>
    <w:uiPriority w:val="0"/>
    <w:pPr>
      <w:adjustRightInd w:val="0"/>
      <w:spacing w:line="360" w:lineRule="auto"/>
      <w:ind w:left="480"/>
      <w:textAlignment w:val="baseline"/>
    </w:pPr>
    <w:rPr>
      <w:kern w:val="0"/>
      <w:szCs w:val="20"/>
    </w:rPr>
  </w:style>
  <w:style w:type="paragraph" w:customStyle="1" w:styleId="42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21">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2">
    <w:name w:val="正文段"/>
    <w:basedOn w:val="1"/>
    <w:qFormat/>
    <w:uiPriority w:val="0"/>
    <w:pPr>
      <w:spacing w:line="312" w:lineRule="auto"/>
      <w:ind w:firstLine="560" w:firstLineChars="0"/>
    </w:pPr>
    <w:rPr>
      <w:sz w:val="28"/>
      <w:szCs w:val="28"/>
    </w:rPr>
  </w:style>
  <w:style w:type="paragraph" w:customStyle="1" w:styleId="423">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4">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5">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6">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9">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2">
    <w:name w:val="内容正文"/>
    <w:basedOn w:val="1"/>
    <w:qFormat/>
    <w:uiPriority w:val="0"/>
    <w:pPr>
      <w:spacing w:line="300" w:lineRule="auto"/>
      <w:ind w:firstLine="482" w:firstLineChars="0"/>
    </w:pPr>
    <w:rPr>
      <w:rFonts w:ascii="Georgia" w:hAnsi="Georgia"/>
      <w:szCs w:val="20"/>
    </w:rPr>
  </w:style>
  <w:style w:type="paragraph" w:customStyle="1" w:styleId="433">
    <w:name w:val="正文字缩2字"/>
    <w:basedOn w:val="1"/>
    <w:qFormat/>
    <w:uiPriority w:val="0"/>
    <w:pPr>
      <w:spacing w:before="60" w:after="60" w:line="360" w:lineRule="auto"/>
      <w:ind w:left="200" w:leftChars="200"/>
    </w:pPr>
  </w:style>
  <w:style w:type="paragraph" w:customStyle="1" w:styleId="434">
    <w:name w:val="IN Feature"/>
    <w:next w:val="297"/>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5">
    <w:name w:val="标题3——2"/>
    <w:basedOn w:val="4"/>
    <w:next w:val="66"/>
    <w:qFormat/>
    <w:uiPriority w:val="0"/>
    <w:pPr>
      <w:keepNext/>
      <w:keepLines/>
      <w:tabs>
        <w:tab w:val="left" w:pos="425"/>
        <w:tab w:val="right" w:leader="dot" w:pos="8777"/>
      </w:tabs>
      <w:spacing w:beforeLines="100"/>
      <w:ind w:left="851" w:hanging="851"/>
      <w:outlineLvl w:val="9"/>
    </w:pPr>
    <w:rPr>
      <w:rFonts w:ascii="黑体" w:hAnsi="宋体" w:eastAsia="黑体"/>
      <w:bCs/>
      <w:sz w:val="30"/>
      <w:szCs w:val="30"/>
    </w:rPr>
  </w:style>
  <w:style w:type="paragraph" w:customStyle="1" w:styleId="436">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7">
    <w:name w:val="表格内文字"/>
    <w:basedOn w:val="34"/>
    <w:qFormat/>
    <w:uiPriority w:val="0"/>
    <w:pPr>
      <w:adjustRightInd w:val="0"/>
      <w:spacing w:line="240" w:lineRule="auto"/>
      <w:ind w:firstLine="0" w:firstLineChars="0"/>
    </w:pPr>
    <w:rPr>
      <w:rFonts w:eastAsia="Times New Roman" w:cs="Courier New"/>
      <w:color w:val="000000"/>
      <w:sz w:val="21"/>
      <w:szCs w:val="21"/>
    </w:rPr>
  </w:style>
  <w:style w:type="paragraph" w:customStyle="1" w:styleId="438">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9">
    <w:name w:val="二级列表"/>
    <w:basedOn w:val="254"/>
    <w:next w:val="254"/>
    <w:qFormat/>
    <w:uiPriority w:val="0"/>
    <w:pPr>
      <w:tabs>
        <w:tab w:val="left" w:pos="360"/>
        <w:tab w:val="left" w:pos="840"/>
      </w:tabs>
      <w:ind w:firstLine="0" w:firstLineChars="0"/>
    </w:pPr>
    <w:rPr>
      <w:b/>
    </w:rPr>
  </w:style>
  <w:style w:type="paragraph" w:customStyle="1" w:styleId="4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1">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3">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7">
    <w:name w:val="表项"/>
    <w:next w:val="26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9">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50">
    <w:name w:val="font11"/>
    <w:basedOn w:val="1"/>
    <w:qFormat/>
    <w:uiPriority w:val="0"/>
    <w:pPr>
      <w:widowControl/>
      <w:numPr>
        <w:ilvl w:val="3"/>
        <w:numId w:val="9"/>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51">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2">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3">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4">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6">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7">
    <w:name w:val="正文 + 三号"/>
    <w:basedOn w:val="1"/>
    <w:link w:val="554"/>
    <w:qFormat/>
    <w:uiPriority w:val="0"/>
    <w:pPr>
      <w:spacing w:line="240" w:lineRule="auto"/>
      <w:ind w:firstLine="0" w:firstLineChars="0"/>
    </w:pPr>
    <w:rPr>
      <w:sz w:val="21"/>
    </w:rPr>
  </w:style>
  <w:style w:type="paragraph" w:customStyle="1" w:styleId="458">
    <w:name w:val="标四"/>
    <w:next w:val="1"/>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9">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0">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1">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5">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6">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6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8">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70">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47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4">
    <w:name w:val="CSS1级正文 Char"/>
    <w:basedOn w:val="23"/>
    <w:qFormat/>
    <w:uiPriority w:val="0"/>
    <w:pPr>
      <w:adjustRightInd w:val="0"/>
      <w:snapToGrid w:val="0"/>
      <w:spacing w:after="0" w:line="360" w:lineRule="auto"/>
      <w:ind w:firstLine="480" w:firstLineChars="0"/>
    </w:pPr>
    <w:rPr>
      <w:rFonts w:eastAsia="Times New Roman"/>
    </w:rPr>
  </w:style>
  <w:style w:type="paragraph" w:customStyle="1" w:styleId="4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6">
    <w:name w:val="图片文字"/>
    <w:basedOn w:val="1"/>
    <w:qFormat/>
    <w:uiPriority w:val="0"/>
    <w:pPr>
      <w:spacing w:line="240" w:lineRule="atLeast"/>
      <w:ind w:firstLine="0" w:firstLineChars="0"/>
      <w:jc w:val="center"/>
    </w:pPr>
    <w:rPr>
      <w:sz w:val="21"/>
      <w:szCs w:val="21"/>
    </w:rPr>
  </w:style>
  <w:style w:type="paragraph" w:customStyle="1" w:styleId="477">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9">
    <w:name w:val="Char Char Char Char Char Char Char"/>
    <w:basedOn w:val="1"/>
    <w:qFormat/>
    <w:uiPriority w:val="0"/>
    <w:rPr>
      <w:szCs w:val="20"/>
    </w:rPr>
  </w:style>
  <w:style w:type="paragraph" w:customStyle="1" w:styleId="48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1">
    <w:name w:val="摘要"/>
    <w:basedOn w:val="1"/>
    <w:next w:val="3"/>
    <w:qFormat/>
    <w:uiPriority w:val="0"/>
    <w:pPr>
      <w:spacing w:line="360" w:lineRule="auto"/>
      <w:ind w:firstLine="0" w:firstLineChars="0"/>
    </w:pPr>
    <w:rPr>
      <w:rFonts w:eastAsia="黑体"/>
      <w:sz w:val="20"/>
    </w:rPr>
  </w:style>
  <w:style w:type="paragraph" w:customStyle="1" w:styleId="482">
    <w:name w:val="默认段落字体 Para Char Char Char Char Char Char Char Char Char1 Char"/>
    <w:basedOn w:val="1"/>
    <w:qFormat/>
    <w:uiPriority w:val="0"/>
    <w:rPr>
      <w:rFonts w:ascii="Tahoma" w:hAnsi="Tahoma"/>
      <w:szCs w:val="20"/>
    </w:rPr>
  </w:style>
  <w:style w:type="paragraph" w:customStyle="1" w:styleId="483">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4">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5">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8">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9">
    <w:name w:val="样式 标题 2h2sect 1.2H2UNDERRUBRIK 1-2hhHeading TwoProphead 2..."/>
    <w:basedOn w:val="3"/>
    <w:qFormat/>
    <w:uiPriority w:val="0"/>
    <w:pPr>
      <w:keepLines/>
      <w:widowControl w:val="0"/>
      <w:numPr>
        <w:ilvl w:val="1"/>
        <w:numId w:val="20"/>
      </w:numPr>
      <w:tabs>
        <w:tab w:val="left" w:pos="360"/>
      </w:tabs>
      <w:snapToGrid/>
      <w:spacing w:before="312" w:after="312"/>
      <w:jc w:val="left"/>
    </w:pPr>
    <w:rPr>
      <w:rFonts w:ascii="黑体" w:hAnsi="宋体" w:eastAsia="黑体"/>
      <w:bCs/>
      <w:sz w:val="30"/>
      <w:szCs w:val="30"/>
    </w:rPr>
  </w:style>
  <w:style w:type="paragraph" w:customStyle="1" w:styleId="490">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1">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92">
    <w:name w:val="Char Char Char Char1"/>
    <w:basedOn w:val="19"/>
    <w:qFormat/>
    <w:uiPriority w:val="0"/>
    <w:rPr>
      <w:szCs w:val="20"/>
    </w:rPr>
  </w:style>
  <w:style w:type="paragraph" w:customStyle="1" w:styleId="493">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4">
    <w:name w:val="列出段落4"/>
    <w:basedOn w:val="1"/>
    <w:qFormat/>
    <w:uiPriority w:val="0"/>
    <w:pPr>
      <w:ind w:firstLine="420"/>
    </w:pPr>
    <w:rPr>
      <w:szCs w:val="20"/>
    </w:rPr>
  </w:style>
  <w:style w:type="paragraph" w:customStyle="1" w:styleId="49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6">
    <w:name w:val="标准文本"/>
    <w:basedOn w:val="1"/>
    <w:link w:val="627"/>
    <w:qFormat/>
    <w:uiPriority w:val="0"/>
    <w:pPr>
      <w:spacing w:line="360" w:lineRule="auto"/>
      <w:ind w:firstLine="480"/>
    </w:pPr>
    <w:rPr>
      <w:rFonts w:eastAsia="仿宋_GB2312"/>
      <w:szCs w:val="20"/>
    </w:rPr>
  </w:style>
  <w:style w:type="paragraph" w:customStyle="1" w:styleId="497">
    <w:name w:val="Normal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8">
    <w:name w:val="TOC 标题1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9">
    <w:name w:val="hover4"/>
    <w:qFormat/>
    <w:uiPriority w:val="0"/>
    <w:rPr>
      <w:color w:val="999999"/>
    </w:rPr>
  </w:style>
  <w:style w:type="character" w:customStyle="1" w:styleId="500">
    <w:name w:val="不用 Char2"/>
    <w:qFormat/>
    <w:uiPriority w:val="0"/>
    <w:rPr>
      <w:b/>
      <w:kern w:val="2"/>
      <w:sz w:val="24"/>
    </w:rPr>
  </w:style>
  <w:style w:type="character" w:customStyle="1" w:styleId="501">
    <w:name w:val="消息标题标签"/>
    <w:qFormat/>
    <w:uiPriority w:val="0"/>
    <w:rPr>
      <w:rFonts w:ascii="Arial" w:hAnsi="Arial"/>
      <w:b/>
      <w:spacing w:val="-4"/>
      <w:sz w:val="18"/>
      <w:lang w:eastAsia="zh-CN"/>
    </w:rPr>
  </w:style>
  <w:style w:type="character" w:customStyle="1" w:styleId="502">
    <w:name w:val="crowed11"/>
    <w:qFormat/>
    <w:uiPriority w:val="0"/>
    <w:rPr>
      <w:rFonts w:hint="default"/>
      <w:sz w:val="24"/>
      <w:szCs w:val="24"/>
    </w:rPr>
  </w:style>
  <w:style w:type="character" w:customStyle="1" w:styleId="503">
    <w:name w:val="font1"/>
    <w:qFormat/>
    <w:uiPriority w:val="0"/>
    <w:rPr>
      <w:color w:val="000000"/>
      <w:sz w:val="18"/>
      <w:szCs w:val="18"/>
    </w:rPr>
  </w:style>
  <w:style w:type="character" w:customStyle="1" w:styleId="504">
    <w:name w:val="Char Char61"/>
    <w:qFormat/>
    <w:uiPriority w:val="0"/>
    <w:rPr>
      <w:rFonts w:ascii="Arial" w:hAnsi="Arial" w:eastAsia="黑体"/>
      <w:b/>
      <w:bCs/>
      <w:kern w:val="2"/>
      <w:sz w:val="32"/>
      <w:szCs w:val="32"/>
      <w:lang w:val="en-US" w:eastAsia="zh-CN" w:bidi="ar-SA"/>
    </w:rPr>
  </w:style>
  <w:style w:type="character" w:customStyle="1" w:styleId="505">
    <w:name w:val="脚注文本 字符"/>
    <w:link w:val="50"/>
    <w:qFormat/>
    <w:uiPriority w:val="0"/>
    <w:rPr>
      <w:kern w:val="2"/>
      <w:sz w:val="18"/>
      <w:szCs w:val="24"/>
      <w:lang w:bidi="ar-SA"/>
    </w:rPr>
  </w:style>
  <w:style w:type="character" w:customStyle="1" w:styleId="506">
    <w:name w:val="正文首行缩进 Char1"/>
    <w:semiHidden/>
    <w:qFormat/>
    <w:uiPriority w:val="0"/>
    <w:rPr>
      <w:kern w:val="2"/>
      <w:sz w:val="21"/>
      <w:szCs w:val="24"/>
    </w:rPr>
  </w:style>
  <w:style w:type="character" w:customStyle="1" w:styleId="507">
    <w:name w:val="正文文本 字符"/>
    <w:link w:val="23"/>
    <w:qFormat/>
    <w:uiPriority w:val="0"/>
    <w:rPr>
      <w:kern w:val="2"/>
      <w:sz w:val="21"/>
      <w:szCs w:val="24"/>
    </w:rPr>
  </w:style>
  <w:style w:type="character" w:customStyle="1" w:styleId="508">
    <w:name w:val="v151"/>
    <w:qFormat/>
    <w:uiPriority w:val="0"/>
    <w:rPr>
      <w:sz w:val="18"/>
    </w:rPr>
  </w:style>
  <w:style w:type="character" w:customStyle="1" w:styleId="509">
    <w:name w:val="font51"/>
    <w:qFormat/>
    <w:uiPriority w:val="0"/>
    <w:rPr>
      <w:rFonts w:hint="default" w:ascii="Arial" w:hAnsi="Arial" w:cs="Arial"/>
      <w:color w:val="000000"/>
      <w:sz w:val="20"/>
      <w:szCs w:val="20"/>
      <w:u w:val="none"/>
    </w:rPr>
  </w:style>
  <w:style w:type="character" w:customStyle="1" w:styleId="510">
    <w:name w:val="Footer Char"/>
    <w:qFormat/>
    <w:uiPriority w:val="0"/>
    <w:rPr>
      <w:rFonts w:ascii="Calibri" w:hAnsi="Calibri" w:eastAsia="宋体"/>
      <w:sz w:val="18"/>
      <w:szCs w:val="18"/>
      <w:lang w:val="en-US" w:eastAsia="zh-CN" w:bidi="ar-SA"/>
    </w:rPr>
  </w:style>
  <w:style w:type="character" w:customStyle="1" w:styleId="511">
    <w:name w:val="列表段落 字符"/>
    <w:link w:val="215"/>
    <w:qFormat/>
    <w:uiPriority w:val="0"/>
    <w:rPr>
      <w:kern w:val="2"/>
      <w:sz w:val="24"/>
      <w:szCs w:val="24"/>
    </w:rPr>
  </w:style>
  <w:style w:type="character" w:customStyle="1" w:styleId="512">
    <w:name w:val="正文首行缩进 Char"/>
    <w:qFormat/>
    <w:uiPriority w:val="0"/>
    <w:rPr>
      <w:rFonts w:eastAsia="宋体"/>
      <w:kern w:val="2"/>
      <w:sz w:val="21"/>
      <w:szCs w:val="24"/>
      <w:lang w:val="en-US" w:eastAsia="zh-CN" w:bidi="ar-SA"/>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h Char Char1"/>
    <w:qFormat/>
    <w:uiPriority w:val="0"/>
    <w:rPr>
      <w:kern w:val="2"/>
      <w:sz w:val="18"/>
      <w:szCs w:val="18"/>
    </w:rPr>
  </w:style>
  <w:style w:type="character" w:customStyle="1" w:styleId="515">
    <w:name w:val="标题 7 字符"/>
    <w:link w:val="9"/>
    <w:qFormat/>
    <w:uiPriority w:val="0"/>
    <w:rPr>
      <w:b/>
      <w:kern w:val="2"/>
      <w:sz w:val="24"/>
    </w:rPr>
  </w:style>
  <w:style w:type="character" w:customStyle="1" w:styleId="516">
    <w:name w:val="三级标题 Char2"/>
    <w:qFormat/>
    <w:uiPriority w:val="0"/>
    <w:rPr>
      <w:rFonts w:ascii="Arial" w:hAnsi="Arial" w:eastAsia="黑体"/>
      <w:kern w:val="2"/>
      <w:sz w:val="24"/>
    </w:rPr>
  </w:style>
  <w:style w:type="character" w:customStyle="1" w:styleId="517">
    <w:name w:val="标题 8 Char"/>
    <w:qFormat/>
    <w:uiPriority w:val="0"/>
    <w:rPr>
      <w:rFonts w:ascii="Arial" w:hAnsi="Arial" w:eastAsia="黑体"/>
      <w:kern w:val="2"/>
      <w:sz w:val="24"/>
      <w:szCs w:val="24"/>
      <w:lang w:val="en-US" w:eastAsia="zh-CN" w:bidi="ar-SA"/>
    </w:rPr>
  </w:style>
  <w:style w:type="character" w:customStyle="1" w:styleId="518">
    <w:name w:val="明显引用 字符"/>
    <w:link w:val="176"/>
    <w:qFormat/>
    <w:uiPriority w:val="0"/>
    <w:rPr>
      <w:rFonts w:ascii="Calibri" w:hAnsi="Calibri"/>
      <w:b/>
      <w:bCs/>
      <w:i/>
      <w:iCs/>
      <w:sz w:val="22"/>
      <w:szCs w:val="22"/>
      <w:lang w:eastAsia="en-US" w:bidi="en-US"/>
    </w:rPr>
  </w:style>
  <w:style w:type="character" w:customStyle="1" w:styleId="519">
    <w:name w:val="页眉 字符"/>
    <w:link w:val="42"/>
    <w:qFormat/>
    <w:uiPriority w:val="99"/>
    <w:rPr>
      <w:kern w:val="2"/>
      <w:sz w:val="18"/>
      <w:szCs w:val="18"/>
    </w:rPr>
  </w:style>
  <w:style w:type="character" w:customStyle="1" w:styleId="520">
    <w:name w:val="grame"/>
    <w:basedOn w:val="70"/>
    <w:qFormat/>
    <w:uiPriority w:val="0"/>
  </w:style>
  <w:style w:type="character" w:customStyle="1" w:styleId="521">
    <w:name w:val="ca-22"/>
    <w:basedOn w:val="70"/>
    <w:qFormat/>
    <w:uiPriority w:val="0"/>
  </w:style>
  <w:style w:type="character" w:customStyle="1" w:styleId="522">
    <w:name w:val="日期 Char"/>
    <w:qFormat/>
    <w:uiPriority w:val="0"/>
    <w:rPr>
      <w:rFonts w:ascii="宋体"/>
      <w:kern w:val="2"/>
      <w:sz w:val="24"/>
      <w:lang w:bidi="ar-SA"/>
    </w:rPr>
  </w:style>
  <w:style w:type="character" w:customStyle="1" w:styleId="523">
    <w:name w:val="批注主题 字符"/>
    <w:link w:val="65"/>
    <w:qFormat/>
    <w:uiPriority w:val="0"/>
    <w:rPr>
      <w:b/>
      <w:bCs/>
      <w:kern w:val="2"/>
      <w:sz w:val="21"/>
      <w:szCs w:val="24"/>
    </w:rPr>
  </w:style>
  <w:style w:type="character" w:customStyle="1" w:styleId="524">
    <w:name w:val="正文文本 2 Char"/>
    <w:qFormat/>
    <w:uiPriority w:val="0"/>
    <w:rPr>
      <w:kern w:val="2"/>
      <w:sz w:val="21"/>
      <w:lang w:bidi="ar-SA"/>
    </w:rPr>
  </w:style>
  <w:style w:type="character" w:customStyle="1" w:styleId="525">
    <w:name w:val="Body Char"/>
    <w:link w:val="161"/>
    <w:qFormat/>
    <w:uiPriority w:val="0"/>
    <w:rPr>
      <w:rFonts w:ascii="宋体" w:hAnsi="宋体"/>
      <w:sz w:val="21"/>
      <w:szCs w:val="21"/>
    </w:rPr>
  </w:style>
  <w:style w:type="character" w:customStyle="1" w:styleId="526">
    <w:name w:val="批注框文本 Char"/>
    <w:qFormat/>
    <w:uiPriority w:val="99"/>
    <w:rPr>
      <w:kern w:val="2"/>
      <w:sz w:val="18"/>
      <w:szCs w:val="18"/>
      <w:lang w:bidi="ar-SA"/>
    </w:rPr>
  </w:style>
  <w:style w:type="character" w:customStyle="1" w:styleId="527">
    <w:name w:val="正文首行缩进 Char Char Char Char Char3"/>
    <w:qFormat/>
    <w:uiPriority w:val="0"/>
    <w:rPr>
      <w:rFonts w:eastAsia="宋体"/>
      <w:kern w:val="2"/>
      <w:sz w:val="21"/>
      <w:szCs w:val="24"/>
      <w:lang w:val="en-US" w:eastAsia="zh-CN" w:bidi="ar-SA"/>
    </w:rPr>
  </w:style>
  <w:style w:type="character" w:customStyle="1" w:styleId="528">
    <w:name w:val="不明显强调1"/>
    <w:qFormat/>
    <w:uiPriority w:val="0"/>
    <w:rPr>
      <w:i/>
      <w:iCs/>
      <w:color w:val="808080"/>
    </w:rPr>
  </w:style>
  <w:style w:type="character" w:customStyle="1" w:styleId="529">
    <w:name w:val="正文文本缩进 3 Char"/>
    <w:qFormat/>
    <w:uiPriority w:val="0"/>
    <w:rPr>
      <w:kern w:val="2"/>
      <w:sz w:val="16"/>
      <w:lang w:bidi="ar-SA"/>
    </w:rPr>
  </w:style>
  <w:style w:type="character" w:customStyle="1" w:styleId="530">
    <w:name w:val="marklong"/>
    <w:qFormat/>
    <w:uiPriority w:val="0"/>
    <w:rPr>
      <w:rFonts w:ascii="宋体" w:hAnsi="宋体" w:eastAsia="宋体"/>
      <w:kern w:val="2"/>
      <w:sz w:val="28"/>
      <w:szCs w:val="28"/>
      <w:lang w:val="en-US" w:eastAsia="zh-CN" w:bidi="ar-SA"/>
    </w:rPr>
  </w:style>
  <w:style w:type="character" w:customStyle="1" w:styleId="531">
    <w:name w:val="Char Char2"/>
    <w:qFormat/>
    <w:uiPriority w:val="0"/>
    <w:rPr>
      <w:rFonts w:eastAsia="宋体"/>
      <w:kern w:val="2"/>
      <w:sz w:val="18"/>
      <w:szCs w:val="18"/>
      <w:lang w:val="en-US" w:eastAsia="zh-CN" w:bidi="ar-SA"/>
    </w:rPr>
  </w:style>
  <w:style w:type="character" w:customStyle="1" w:styleId="532">
    <w:name w:val="正文文本 Char"/>
    <w:qFormat/>
    <w:uiPriority w:val="0"/>
    <w:rPr>
      <w:kern w:val="2"/>
      <w:sz w:val="21"/>
      <w:szCs w:val="24"/>
      <w:lang w:bidi="ar-SA"/>
    </w:rPr>
  </w:style>
  <w:style w:type="character" w:customStyle="1" w:styleId="533">
    <w:name w:val="TOC 2 字符"/>
    <w:link w:val="55"/>
    <w:qFormat/>
    <w:uiPriority w:val="39"/>
    <w:rPr>
      <w:rFonts w:ascii="Calibri" w:hAnsi="Calibri"/>
      <w:smallCaps/>
      <w:sz w:val="20"/>
      <w:szCs w:val="20"/>
    </w:rPr>
  </w:style>
  <w:style w:type="character" w:customStyle="1" w:styleId="534">
    <w:name w:val="正文文本缩进 2 Char"/>
    <w:qFormat/>
    <w:uiPriority w:val="0"/>
    <w:rPr>
      <w:kern w:val="2"/>
      <w:sz w:val="21"/>
      <w:lang w:bidi="ar-SA"/>
    </w:rPr>
  </w:style>
  <w:style w:type="character" w:customStyle="1" w:styleId="535">
    <w:name w:val="Footer-Even Char1"/>
    <w:qFormat/>
    <w:uiPriority w:val="0"/>
    <w:rPr>
      <w:rFonts w:eastAsia="宋体"/>
      <w:kern w:val="2"/>
      <w:sz w:val="18"/>
      <w:lang w:val="en-US" w:eastAsia="zh-CN" w:bidi="ar-SA"/>
    </w:rPr>
  </w:style>
  <w:style w:type="character" w:customStyle="1" w:styleId="536">
    <w:name w:val="标题 字符"/>
    <w:link w:val="64"/>
    <w:qFormat/>
    <w:uiPriority w:val="0"/>
    <w:rPr>
      <w:rFonts w:ascii="Arial" w:hAnsi="Arial"/>
      <w:b/>
      <w:smallCaps/>
      <w:kern w:val="28"/>
      <w:sz w:val="36"/>
      <w:lang w:eastAsia="en-US"/>
    </w:rPr>
  </w:style>
  <w:style w:type="character" w:customStyle="1" w:styleId="537">
    <w:name w:val="Table Text Char1"/>
    <w:qFormat/>
    <w:uiPriority w:val="0"/>
    <w:rPr>
      <w:rFonts w:ascii="Arial" w:hAnsi="Arial" w:eastAsia="宋体" w:cs="Arial"/>
      <w:sz w:val="18"/>
      <w:szCs w:val="18"/>
      <w:lang w:val="en-US" w:eastAsia="zh-CN" w:bidi="ar-SA"/>
    </w:rPr>
  </w:style>
  <w:style w:type="character" w:customStyle="1" w:styleId="538">
    <w:name w:val="Table Heading Char Char"/>
    <w:link w:val="174"/>
    <w:qFormat/>
    <w:uiPriority w:val="0"/>
    <w:rPr>
      <w:rFonts w:ascii="Arial" w:hAnsi="Arial" w:eastAsia="黑体"/>
      <w:kern w:val="2"/>
      <w:sz w:val="18"/>
      <w:szCs w:val="18"/>
      <w:lang w:val="en-US" w:eastAsia="zh-CN" w:bidi="ar-SA"/>
    </w:rPr>
  </w:style>
  <w:style w:type="character" w:customStyle="1" w:styleId="539">
    <w:name w:val="正文文本首行缩进 2 字符"/>
    <w:link w:val="67"/>
    <w:qFormat/>
    <w:uiPriority w:val="0"/>
    <w:rPr>
      <w:rFonts w:ascii="宋体" w:hAnsi="宋体" w:eastAsia="仿宋_GB2312"/>
      <w:kern w:val="2"/>
      <w:sz w:val="24"/>
      <w:szCs w:val="21"/>
    </w:rPr>
  </w:style>
  <w:style w:type="character" w:customStyle="1" w:styleId="540">
    <w:name w:val="H2 Char1"/>
    <w:qFormat/>
    <w:uiPriority w:val="0"/>
    <w:rPr>
      <w:rFonts w:ascii="Arial" w:hAnsi="Arial" w:eastAsia="黑体"/>
      <w:b/>
      <w:bCs/>
      <w:kern w:val="2"/>
      <w:sz w:val="32"/>
      <w:szCs w:val="32"/>
      <w:lang w:val="en-US" w:eastAsia="zh-CN" w:bidi="ar-SA"/>
    </w:rPr>
  </w:style>
  <w:style w:type="character" w:customStyle="1" w:styleId="541">
    <w:name w:val="h Char Char2"/>
    <w:qFormat/>
    <w:uiPriority w:val="0"/>
    <w:rPr>
      <w:kern w:val="2"/>
      <w:sz w:val="18"/>
      <w:szCs w:val="18"/>
    </w:rPr>
  </w:style>
  <w:style w:type="character" w:customStyle="1" w:styleId="542">
    <w:name w:val="三级标题 Char1"/>
    <w:qFormat/>
    <w:uiPriority w:val="0"/>
    <w:rPr>
      <w:rFonts w:ascii="Arial" w:hAnsi="Arial" w:eastAsia="黑体"/>
      <w:kern w:val="2"/>
      <w:sz w:val="21"/>
    </w:rPr>
  </w:style>
  <w:style w:type="character" w:customStyle="1" w:styleId="543">
    <w:name w:val="批注框文本 字符"/>
    <w:link w:val="39"/>
    <w:qFormat/>
    <w:uiPriority w:val="0"/>
    <w:rPr>
      <w:kern w:val="2"/>
      <w:sz w:val="18"/>
      <w:szCs w:val="18"/>
    </w:rPr>
  </w:style>
  <w:style w:type="character" w:customStyle="1" w:styleId="544">
    <w:name w:val="正文缩进 字符"/>
    <w:link w:val="16"/>
    <w:qFormat/>
    <w:uiPriority w:val="0"/>
    <w:rPr>
      <w:kern w:val="2"/>
      <w:sz w:val="21"/>
      <w:szCs w:val="24"/>
    </w:rPr>
  </w:style>
  <w:style w:type="character" w:customStyle="1" w:styleId="545">
    <w:name w:val="font31"/>
    <w:basedOn w:val="70"/>
    <w:qFormat/>
    <w:uiPriority w:val="0"/>
    <w:rPr>
      <w:rFonts w:hint="eastAsia" w:ascii="宋体" w:hAnsi="宋体" w:eastAsia="宋体" w:cs="宋体"/>
      <w:b/>
      <w:color w:val="000000"/>
      <w:sz w:val="20"/>
      <w:szCs w:val="20"/>
      <w:u w:val="none"/>
    </w:rPr>
  </w:style>
  <w:style w:type="character" w:customStyle="1" w:styleId="546">
    <w:name w:val="fy21"/>
    <w:qFormat/>
    <w:uiPriority w:val="0"/>
    <w:rPr>
      <w:rFonts w:hint="default" w:ascii="Verdana" w:hAnsi="Verdana"/>
      <w:color w:val="0063C7"/>
      <w:sz w:val="18"/>
      <w:szCs w:val="18"/>
    </w:rPr>
  </w:style>
  <w:style w:type="character" w:customStyle="1" w:styleId="547">
    <w:name w:val="top-det1"/>
    <w:qFormat/>
    <w:uiPriority w:val="0"/>
    <w:rPr>
      <w:b/>
      <w:bCs/>
      <w:color w:val="000000"/>
    </w:rPr>
  </w:style>
  <w:style w:type="character" w:customStyle="1" w:styleId="548">
    <w:name w:val="市检方案标题3 Char1"/>
    <w:qFormat/>
    <w:uiPriority w:val="0"/>
    <w:rPr>
      <w:rFonts w:ascii="宋体"/>
      <w:b/>
      <w:kern w:val="2"/>
      <w:sz w:val="24"/>
      <w:lang w:val="en-US" w:eastAsia="zh-CN" w:bidi="ar-SA"/>
    </w:rPr>
  </w:style>
  <w:style w:type="character" w:customStyle="1" w:styleId="549">
    <w:name w:val="文档结构图 字符"/>
    <w:link w:val="19"/>
    <w:qFormat/>
    <w:uiPriority w:val="0"/>
    <w:rPr>
      <w:kern w:val="2"/>
      <w:sz w:val="21"/>
      <w:szCs w:val="24"/>
      <w:shd w:val="clear" w:color="auto" w:fill="000080"/>
    </w:rPr>
  </w:style>
  <w:style w:type="character" w:customStyle="1" w:styleId="550">
    <w:name w:val="正文文本缩进 字符"/>
    <w:link w:val="27"/>
    <w:qFormat/>
    <w:uiPriority w:val="0"/>
    <w:rPr>
      <w:rFonts w:ascii="宋体" w:hAnsi="宋体"/>
      <w:kern w:val="2"/>
      <w:sz w:val="21"/>
      <w:szCs w:val="21"/>
    </w:rPr>
  </w:style>
  <w:style w:type="character" w:customStyle="1" w:styleId="551">
    <w:name w:val="自定义正文 Char"/>
    <w:link w:val="119"/>
    <w:qFormat/>
    <w:uiPriority w:val="0"/>
    <w:rPr>
      <w:rFonts w:ascii="仿宋_GB2312" w:eastAsia="仿宋_GB2312"/>
      <w:kern w:val="2"/>
      <w:sz w:val="24"/>
      <w:szCs w:val="24"/>
      <w:lang w:bidi="ar-SA"/>
    </w:rPr>
  </w:style>
  <w:style w:type="character" w:customStyle="1" w:styleId="552">
    <w:name w:val="textcontents"/>
    <w:basedOn w:val="70"/>
    <w:qFormat/>
    <w:uiPriority w:val="0"/>
  </w:style>
  <w:style w:type="character" w:customStyle="1" w:styleId="553">
    <w:name w:val="样式 标题 6第五层条 + 三号 段前: 0.5 行 Char"/>
    <w:link w:val="366"/>
    <w:qFormat/>
    <w:uiPriority w:val="0"/>
    <w:rPr>
      <w:rFonts w:ascii="Arial" w:hAnsi="Arial" w:eastAsia="黑体" w:cs="宋体"/>
      <w:b/>
      <w:bCs/>
      <w:snapToGrid w:val="0"/>
      <w:kern w:val="24"/>
      <w:sz w:val="28"/>
      <w:szCs w:val="24"/>
      <w:lang w:val="en-US" w:eastAsia="zh-CN" w:bidi="ar-SA"/>
    </w:rPr>
  </w:style>
  <w:style w:type="character" w:customStyle="1" w:styleId="554">
    <w:name w:val="正文 + 三号 Char"/>
    <w:link w:val="457"/>
    <w:qFormat/>
    <w:uiPriority w:val="0"/>
    <w:rPr>
      <w:kern w:val="2"/>
      <w:sz w:val="21"/>
      <w:szCs w:val="24"/>
      <w:lang w:bidi="ar-SA"/>
    </w:rPr>
  </w:style>
  <w:style w:type="character" w:customStyle="1" w:styleId="555">
    <w:name w:val="标题5 Char"/>
    <w:link w:val="264"/>
    <w:qFormat/>
    <w:uiPriority w:val="0"/>
    <w:rPr>
      <w:rFonts w:ascii="宋体"/>
      <w:sz w:val="21"/>
      <w:szCs w:val="21"/>
      <w:lang w:bidi="ar-SA"/>
    </w:rPr>
  </w:style>
  <w:style w:type="character" w:customStyle="1" w:styleId="556">
    <w:name w:val="gray121"/>
    <w:qFormat/>
    <w:uiPriority w:val="0"/>
    <w:rPr>
      <w:color w:val="666666"/>
      <w:sz w:val="18"/>
      <w:szCs w:val="18"/>
    </w:rPr>
  </w:style>
  <w:style w:type="character" w:customStyle="1" w:styleId="557">
    <w:name w:val="font61"/>
    <w:basedOn w:val="70"/>
    <w:qFormat/>
    <w:uiPriority w:val="0"/>
    <w:rPr>
      <w:rFonts w:hint="eastAsia" w:ascii="宋体" w:hAnsi="宋体" w:eastAsia="宋体" w:cs="宋体"/>
      <w:b/>
      <w:color w:val="000000"/>
      <w:sz w:val="24"/>
      <w:szCs w:val="24"/>
      <w:u w:val="none"/>
    </w:rPr>
  </w:style>
  <w:style w:type="character" w:customStyle="1" w:styleId="558">
    <w:name w:val="占位符文本1"/>
    <w:semiHidden/>
    <w:qFormat/>
    <w:uiPriority w:val="0"/>
    <w:rPr>
      <w:color w:val="808080"/>
    </w:rPr>
  </w:style>
  <w:style w:type="character" w:customStyle="1" w:styleId="559">
    <w:name w:val="PIM 6 Char2"/>
    <w:qFormat/>
    <w:uiPriority w:val="0"/>
    <w:rPr>
      <w:rFonts w:ascii="Arial" w:hAnsi="Arial" w:eastAsia="黑体"/>
      <w:b/>
      <w:kern w:val="2"/>
      <w:sz w:val="24"/>
    </w:rPr>
  </w:style>
  <w:style w:type="character" w:customStyle="1" w:styleId="560">
    <w:name w:val="纯文本 Char1"/>
    <w:qFormat/>
    <w:uiPriority w:val="0"/>
    <w:rPr>
      <w:rFonts w:ascii="宋体" w:hAnsi="Courier New"/>
      <w:kern w:val="2"/>
      <w:sz w:val="24"/>
    </w:rPr>
  </w:style>
  <w:style w:type="character" w:customStyle="1" w:styleId="561">
    <w:name w:val="页脚 Char"/>
    <w:qFormat/>
    <w:uiPriority w:val="99"/>
    <w:rPr>
      <w:rFonts w:eastAsia="宋体"/>
      <w:kern w:val="2"/>
      <w:sz w:val="18"/>
      <w:lang w:val="en-US" w:eastAsia="zh-CN" w:bidi="ar-SA"/>
    </w:rPr>
  </w:style>
  <w:style w:type="character" w:customStyle="1" w:styleId="562">
    <w:name w:val="正文文本 3 字符"/>
    <w:link w:val="21"/>
    <w:qFormat/>
    <w:uiPriority w:val="0"/>
    <w:rPr>
      <w:kern w:val="2"/>
      <w:sz w:val="18"/>
    </w:rPr>
  </w:style>
  <w:style w:type="character" w:customStyle="1" w:styleId="563">
    <w:name w:val="尾注文本 字符"/>
    <w:link w:val="38"/>
    <w:qFormat/>
    <w:uiPriority w:val="99"/>
    <w:rPr>
      <w:kern w:val="2"/>
      <w:sz w:val="21"/>
      <w:szCs w:val="24"/>
    </w:rPr>
  </w:style>
  <w:style w:type="character" w:customStyle="1" w:styleId="564">
    <w:name w:val="apple-style-span"/>
    <w:basedOn w:val="70"/>
    <w:qFormat/>
    <w:uiPriority w:val="0"/>
  </w:style>
  <w:style w:type="character" w:customStyle="1" w:styleId="565">
    <w:name w:val="Table Text Char"/>
    <w:qFormat/>
    <w:uiPriority w:val="0"/>
    <w:rPr>
      <w:rFonts w:ascii="Arial" w:hAnsi="Arial" w:eastAsia="宋体"/>
      <w:sz w:val="18"/>
      <w:lang w:val="en-US" w:eastAsia="zh-CN" w:bidi="ar-SA"/>
    </w:rPr>
  </w:style>
  <w:style w:type="character" w:customStyle="1" w:styleId="566">
    <w:name w:val="标题 3 字符"/>
    <w:link w:val="4"/>
    <w:qFormat/>
    <w:uiPriority w:val="0"/>
    <w:rPr>
      <w:rFonts w:ascii="宋体"/>
      <w:b/>
      <w:kern w:val="2"/>
      <w:sz w:val="24"/>
      <w:lang w:val="en-US" w:eastAsia="zh-CN" w:bidi="ar-SA"/>
    </w:rPr>
  </w:style>
  <w:style w:type="character" w:customStyle="1" w:styleId="567">
    <w:name w:val="mode1"/>
    <w:qFormat/>
    <w:uiPriority w:val="0"/>
    <w:rPr>
      <w:color w:val="444444"/>
      <w:sz w:val="18"/>
      <w:szCs w:val="18"/>
    </w:rPr>
  </w:style>
  <w:style w:type="character" w:customStyle="1" w:styleId="568">
    <w:name w:val="font81"/>
    <w:qFormat/>
    <w:uiPriority w:val="0"/>
    <w:rPr>
      <w:rFonts w:hint="eastAsia" w:ascii="宋体" w:hAnsi="宋体" w:eastAsia="宋体" w:cs="宋体"/>
      <w:color w:val="000000"/>
      <w:sz w:val="20"/>
      <w:szCs w:val="20"/>
      <w:u w:val="none"/>
    </w:rPr>
  </w:style>
  <w:style w:type="character" w:customStyle="1" w:styleId="569">
    <w:name w:val="正文文字 Char2"/>
    <w:qFormat/>
    <w:uiPriority w:val="0"/>
    <w:rPr>
      <w:kern w:val="2"/>
      <w:sz w:val="21"/>
      <w:szCs w:val="24"/>
    </w:rPr>
  </w:style>
  <w:style w:type="character" w:customStyle="1" w:styleId="570">
    <w:name w:val="批注主题 Char"/>
    <w:qFormat/>
    <w:uiPriority w:val="0"/>
    <w:rPr>
      <w:rFonts w:eastAsia="宋体"/>
      <w:b/>
      <w:bCs/>
      <w:kern w:val="2"/>
      <w:sz w:val="21"/>
      <w:szCs w:val="24"/>
      <w:lang w:val="en-US" w:eastAsia="zh-CN" w:bidi="ar-SA"/>
    </w:rPr>
  </w:style>
  <w:style w:type="character" w:customStyle="1" w:styleId="571">
    <w:name w:val="Footer-Even Char2"/>
    <w:qFormat/>
    <w:uiPriority w:val="0"/>
    <w:rPr>
      <w:rFonts w:eastAsia="宋体"/>
      <w:kern w:val="2"/>
      <w:sz w:val="18"/>
      <w:lang w:val="en-US" w:eastAsia="zh-CN" w:bidi="ar-SA"/>
    </w:rPr>
  </w:style>
  <w:style w:type="character" w:customStyle="1" w:styleId="572">
    <w:name w:val="副标题 Char"/>
    <w:qFormat/>
    <w:uiPriority w:val="0"/>
    <w:rPr>
      <w:rFonts w:ascii="Cambria" w:hAnsi="Cambria"/>
      <w:b/>
      <w:bCs/>
      <w:kern w:val="28"/>
      <w:sz w:val="32"/>
      <w:szCs w:val="32"/>
      <w:lang w:bidi="ar-SA"/>
    </w:rPr>
  </w:style>
  <w:style w:type="character" w:customStyle="1" w:styleId="573">
    <w:name w:val="不用8 Char1"/>
    <w:qFormat/>
    <w:uiPriority w:val="0"/>
    <w:rPr>
      <w:rFonts w:ascii="Arial" w:hAnsi="Arial" w:eastAsia="黑体"/>
      <w:kern w:val="2"/>
      <w:sz w:val="24"/>
    </w:rPr>
  </w:style>
  <w:style w:type="character" w:customStyle="1" w:styleId="574">
    <w:name w:val="Table Text Char Char Char"/>
    <w:qFormat/>
    <w:uiPriority w:val="0"/>
    <w:rPr>
      <w:rFonts w:ascii="Arial" w:hAnsi="Arial" w:eastAsia="宋体" w:cs="Arial"/>
      <w:sz w:val="18"/>
      <w:szCs w:val="18"/>
      <w:lang w:val="en-US" w:eastAsia="zh-CN" w:bidi="ar-SA"/>
    </w:rPr>
  </w:style>
  <w:style w:type="character" w:customStyle="1" w:styleId="575">
    <w:name w:val="PIM 6 Char1"/>
    <w:qFormat/>
    <w:uiPriority w:val="0"/>
    <w:rPr>
      <w:rFonts w:ascii="Arial" w:hAnsi="Arial" w:eastAsia="黑体"/>
      <w:b/>
      <w:kern w:val="2"/>
      <w:sz w:val="24"/>
    </w:rPr>
  </w:style>
  <w:style w:type="character" w:customStyle="1" w:styleId="576">
    <w:name w:val="页脚 Char1"/>
    <w:qFormat/>
    <w:uiPriority w:val="99"/>
    <w:rPr>
      <w:kern w:val="2"/>
      <w:sz w:val="18"/>
      <w:szCs w:val="18"/>
    </w:rPr>
  </w:style>
  <w:style w:type="character" w:customStyle="1" w:styleId="577">
    <w:name w:val="H3 Char1"/>
    <w:qFormat/>
    <w:uiPriority w:val="0"/>
    <w:rPr>
      <w:rFonts w:eastAsia="宋体"/>
      <w:b/>
      <w:bCs/>
      <w:kern w:val="2"/>
      <w:sz w:val="21"/>
      <w:szCs w:val="32"/>
      <w:lang w:val="en-US" w:eastAsia="zh-CN" w:bidi="ar-SA"/>
    </w:rPr>
  </w:style>
  <w:style w:type="character" w:customStyle="1" w:styleId="578">
    <w:name w:val="标题 2 字符"/>
    <w:link w:val="3"/>
    <w:qFormat/>
    <w:uiPriority w:val="0"/>
    <w:rPr>
      <w:rFonts w:ascii="宋体"/>
      <w:b/>
      <w:kern w:val="2"/>
      <w:sz w:val="28"/>
      <w:lang w:val="en-US" w:eastAsia="zh-CN" w:bidi="ar-SA"/>
    </w:rPr>
  </w:style>
  <w:style w:type="character" w:customStyle="1" w:styleId="579">
    <w:name w:val="正文首行缩进 2 Char"/>
    <w:qFormat/>
    <w:uiPriority w:val="0"/>
    <w:rPr>
      <w:rFonts w:ascii="宋体" w:hAnsi="宋体" w:eastAsia="仿宋_GB2312"/>
      <w:kern w:val="2"/>
      <w:sz w:val="24"/>
      <w:szCs w:val="21"/>
      <w:lang w:bidi="ar-SA"/>
    </w:rPr>
  </w:style>
  <w:style w:type="character" w:customStyle="1" w:styleId="580">
    <w:name w:val="ca-31"/>
    <w:qFormat/>
    <w:uiPriority w:val="0"/>
    <w:rPr>
      <w:rFonts w:hint="default" w:ascii="??" w:hAnsi="??"/>
      <w:sz w:val="24"/>
      <w:szCs w:val="24"/>
    </w:rPr>
  </w:style>
  <w:style w:type="character" w:customStyle="1" w:styleId="581">
    <w:name w:val="Document Map Char"/>
    <w:qFormat/>
    <w:uiPriority w:val="0"/>
    <w:rPr>
      <w:rFonts w:ascii="宋体" w:hAnsi="Calibri" w:eastAsia="宋体"/>
      <w:kern w:val="2"/>
      <w:sz w:val="18"/>
      <w:szCs w:val="18"/>
      <w:lang w:val="en-US" w:eastAsia="zh-CN" w:bidi="ar-SA"/>
    </w:rPr>
  </w:style>
  <w:style w:type="character" w:customStyle="1" w:styleId="582">
    <w:name w:val="正文内容 Char"/>
    <w:link w:val="152"/>
    <w:qFormat/>
    <w:uiPriority w:val="0"/>
    <w:rPr>
      <w:kern w:val="2"/>
      <w:sz w:val="24"/>
      <w:lang w:bidi="ar-SA"/>
    </w:rPr>
  </w:style>
  <w:style w:type="character" w:customStyle="1" w:styleId="583">
    <w:name w:val="正文文本 3 Char"/>
    <w:qFormat/>
    <w:uiPriority w:val="0"/>
    <w:rPr>
      <w:kern w:val="2"/>
      <w:sz w:val="18"/>
      <w:lang w:bidi="ar-SA"/>
    </w:rPr>
  </w:style>
  <w:style w:type="character" w:customStyle="1" w:styleId="584">
    <w:name w:val="Char Char23"/>
    <w:qFormat/>
    <w:uiPriority w:val="0"/>
    <w:rPr>
      <w:rFonts w:eastAsia="宋体"/>
      <w:kern w:val="2"/>
      <w:sz w:val="18"/>
      <w:szCs w:val="18"/>
      <w:lang w:val="en-US" w:eastAsia="zh-CN" w:bidi="ar-SA"/>
    </w:rPr>
  </w:style>
  <w:style w:type="character" w:customStyle="1" w:styleId="585">
    <w:name w:val="正文-1 Char"/>
    <w:link w:val="287"/>
    <w:qFormat/>
    <w:uiPriority w:val="0"/>
    <w:rPr>
      <w:rFonts w:eastAsia="仿宋_GB2312"/>
      <w:kern w:val="2"/>
      <w:sz w:val="28"/>
      <w:szCs w:val="28"/>
      <w:lang w:bidi="ar-SA"/>
    </w:rPr>
  </w:style>
  <w:style w:type="character" w:customStyle="1" w:styleId="586">
    <w:name w:val="style21"/>
    <w:qFormat/>
    <w:uiPriority w:val="0"/>
    <w:rPr>
      <w:sz w:val="21"/>
      <w:szCs w:val="21"/>
    </w:rPr>
  </w:style>
  <w:style w:type="character" w:customStyle="1" w:styleId="587">
    <w:name w:val="hei16b"/>
    <w:basedOn w:val="70"/>
    <w:qFormat/>
    <w:uiPriority w:val="0"/>
  </w:style>
  <w:style w:type="character" w:customStyle="1" w:styleId="588">
    <w:name w:val="无间隔 字符"/>
    <w:link w:val="347"/>
    <w:qFormat/>
    <w:uiPriority w:val="0"/>
    <w:rPr>
      <w:rFonts w:ascii="Calibri" w:hAnsi="Calibri"/>
      <w:sz w:val="24"/>
      <w:szCs w:val="32"/>
      <w:lang w:eastAsia="en-US" w:bidi="en-US"/>
    </w:rPr>
  </w:style>
  <w:style w:type="character" w:customStyle="1" w:styleId="589">
    <w:name w:val="副标题 字符"/>
    <w:link w:val="48"/>
    <w:qFormat/>
    <w:uiPriority w:val="0"/>
    <w:rPr>
      <w:rFonts w:ascii="Cambria" w:hAnsi="Cambria"/>
      <w:b/>
      <w:bCs/>
      <w:kern w:val="28"/>
      <w:sz w:val="32"/>
      <w:szCs w:val="32"/>
    </w:rPr>
  </w:style>
  <w:style w:type="character" w:customStyle="1" w:styleId="590">
    <w:name w:val="Char Char20"/>
    <w:qFormat/>
    <w:locked/>
    <w:uiPriority w:val="0"/>
    <w:rPr>
      <w:rFonts w:ascii="宋体" w:hAnsi="Courier New" w:eastAsia="宋体"/>
      <w:kern w:val="2"/>
      <w:sz w:val="24"/>
      <w:szCs w:val="28"/>
      <w:lang w:val="en-US" w:eastAsia="zh-CN" w:bidi="ar-SA"/>
    </w:rPr>
  </w:style>
  <w:style w:type="character" w:customStyle="1" w:styleId="591">
    <w:name w:val="标题 6 Char"/>
    <w:qFormat/>
    <w:uiPriority w:val="0"/>
    <w:rPr>
      <w:rFonts w:ascii="Arial" w:hAnsi="Arial" w:eastAsia="黑体"/>
      <w:b/>
      <w:kern w:val="2"/>
      <w:sz w:val="24"/>
      <w:szCs w:val="24"/>
      <w:lang w:val="en-US" w:eastAsia="zh-CN" w:bidi="ar-SA"/>
    </w:rPr>
  </w:style>
  <w:style w:type="character" w:customStyle="1" w:styleId="592">
    <w:name w:val="标题 9 字符"/>
    <w:link w:val="11"/>
    <w:qFormat/>
    <w:uiPriority w:val="0"/>
    <w:rPr>
      <w:rFonts w:ascii="Arial" w:hAnsi="Arial" w:eastAsia="黑体"/>
      <w:kern w:val="2"/>
      <w:sz w:val="24"/>
    </w:rPr>
  </w:style>
  <w:style w:type="character" w:customStyle="1" w:styleId="593">
    <w:name w:val="正文文本 2 字符"/>
    <w:link w:val="57"/>
    <w:qFormat/>
    <w:uiPriority w:val="0"/>
    <w:rPr>
      <w:kern w:val="2"/>
      <w:sz w:val="21"/>
    </w:rPr>
  </w:style>
  <w:style w:type="character" w:customStyle="1" w:styleId="594">
    <w:name w:val="Char Char21"/>
    <w:qFormat/>
    <w:locked/>
    <w:uiPriority w:val="0"/>
    <w:rPr>
      <w:rFonts w:ascii="宋体" w:hAnsi="Courier New" w:eastAsia="宋体"/>
      <w:kern w:val="2"/>
      <w:sz w:val="24"/>
      <w:lang w:val="en-US" w:eastAsia="zh-CN" w:bidi="ar-SA"/>
    </w:rPr>
  </w:style>
  <w:style w:type="character" w:customStyle="1" w:styleId="595">
    <w:name w:val="第三层条 Char"/>
    <w:qFormat/>
    <w:uiPriority w:val="0"/>
    <w:rPr>
      <w:rFonts w:ascii="Arial" w:hAnsi="Arial" w:eastAsia="黑体"/>
      <w:b/>
      <w:bCs/>
      <w:kern w:val="2"/>
      <w:sz w:val="28"/>
      <w:szCs w:val="28"/>
      <w:lang w:val="en-US" w:eastAsia="zh-CN" w:bidi="ar-SA"/>
    </w:rPr>
  </w:style>
  <w:style w:type="character" w:customStyle="1" w:styleId="596">
    <w:name w:val="标题 2 Char2"/>
    <w:qFormat/>
    <w:uiPriority w:val="0"/>
    <w:rPr>
      <w:rFonts w:ascii="宋体"/>
      <w:kern w:val="2"/>
      <w:sz w:val="28"/>
    </w:rPr>
  </w:style>
  <w:style w:type="character" w:customStyle="1" w:styleId="597">
    <w:name w:val="批注文字 Char"/>
    <w:qFormat/>
    <w:uiPriority w:val="0"/>
    <w:rPr>
      <w:rFonts w:eastAsia="宋体"/>
      <w:kern w:val="2"/>
      <w:sz w:val="21"/>
      <w:szCs w:val="24"/>
      <w:lang w:val="en-US" w:eastAsia="zh-CN" w:bidi="ar-SA"/>
    </w:rPr>
  </w:style>
  <w:style w:type="character" w:customStyle="1" w:styleId="598">
    <w:name w:val="标题 5 字符"/>
    <w:link w:val="6"/>
    <w:qFormat/>
    <w:uiPriority w:val="9"/>
    <w:rPr>
      <w:rFonts w:ascii="Arial" w:hAnsi="Arial" w:eastAsia="楷体_GB2312"/>
      <w:b/>
      <w:sz w:val="24"/>
      <w:szCs w:val="24"/>
    </w:rPr>
  </w:style>
  <w:style w:type="character" w:customStyle="1" w:styleId="599">
    <w:name w:val="日期 字符"/>
    <w:link w:val="36"/>
    <w:qFormat/>
    <w:uiPriority w:val="0"/>
    <w:rPr>
      <w:rFonts w:ascii="宋体"/>
      <w:kern w:val="2"/>
      <w:sz w:val="24"/>
    </w:rPr>
  </w:style>
  <w:style w:type="character" w:customStyle="1" w:styleId="600">
    <w:name w:val="newsbg"/>
    <w:basedOn w:val="70"/>
    <w:qFormat/>
    <w:uiPriority w:val="0"/>
  </w:style>
  <w:style w:type="character" w:customStyle="1" w:styleId="601">
    <w:name w:val="font21"/>
    <w:qFormat/>
    <w:uiPriority w:val="0"/>
    <w:rPr>
      <w:rFonts w:hint="eastAsia" w:ascii="宋体" w:hAnsi="宋体" w:eastAsia="宋体" w:cs="宋体"/>
      <w:color w:val="000000"/>
      <w:sz w:val="20"/>
      <w:szCs w:val="20"/>
      <w:u w:val="none"/>
    </w:rPr>
  </w:style>
  <w:style w:type="character" w:customStyle="1" w:styleId="602">
    <w:name w:val="标题 9 Char"/>
    <w:qFormat/>
    <w:uiPriority w:val="0"/>
    <w:rPr>
      <w:rFonts w:ascii="Arial" w:hAnsi="Arial" w:eastAsia="黑体"/>
      <w:kern w:val="2"/>
      <w:sz w:val="21"/>
      <w:szCs w:val="24"/>
      <w:lang w:val="en-US" w:eastAsia="zh-CN" w:bidi="ar-SA"/>
    </w:rPr>
  </w:style>
  <w:style w:type="character" w:customStyle="1" w:styleId="603">
    <w:name w:val="纯文本 Char"/>
    <w:qFormat/>
    <w:uiPriority w:val="0"/>
    <w:rPr>
      <w:rFonts w:ascii="宋体" w:hAnsi="Courier New" w:eastAsia="宋体"/>
      <w:kern w:val="2"/>
      <w:sz w:val="21"/>
      <w:szCs w:val="28"/>
      <w:lang w:val="en-US" w:eastAsia="zh-CN" w:bidi="ar-SA"/>
    </w:rPr>
  </w:style>
  <w:style w:type="character" w:customStyle="1" w:styleId="604">
    <w:name w:val="标题 2 Char Char Char Char"/>
    <w:qFormat/>
    <w:uiPriority w:val="0"/>
    <w:rPr>
      <w:rFonts w:hint="eastAsia" w:ascii="黑体" w:hAnsi="Arial" w:eastAsia="黑体"/>
      <w:b/>
      <w:sz w:val="30"/>
      <w:szCs w:val="30"/>
      <w:lang w:val="en-US" w:eastAsia="zh-CN" w:bidi="ar-SA"/>
    </w:rPr>
  </w:style>
  <w:style w:type="character" w:customStyle="1" w:styleId="605">
    <w:name w:val="章节 Char1"/>
    <w:qFormat/>
    <w:uiPriority w:val="0"/>
    <w:rPr>
      <w:rFonts w:ascii="宋体"/>
      <w:b/>
      <w:kern w:val="28"/>
      <w:sz w:val="36"/>
      <w:lang w:val="en-US" w:eastAsia="zh-CN" w:bidi="ar-SA"/>
    </w:rPr>
  </w:style>
  <w:style w:type="character" w:customStyle="1" w:styleId="606">
    <w:name w:val="正文文字 Char1"/>
    <w:qFormat/>
    <w:uiPriority w:val="0"/>
    <w:rPr>
      <w:kern w:val="2"/>
      <w:sz w:val="21"/>
      <w:szCs w:val="24"/>
    </w:rPr>
  </w:style>
  <w:style w:type="character" w:customStyle="1" w:styleId="607">
    <w:name w:val="标题 1 Char"/>
    <w:qFormat/>
    <w:uiPriority w:val="0"/>
    <w:rPr>
      <w:rFonts w:ascii="宋体" w:eastAsia="黑体"/>
      <w:kern w:val="28"/>
      <w:sz w:val="28"/>
    </w:rPr>
  </w:style>
  <w:style w:type="character" w:customStyle="1" w:styleId="608">
    <w:name w:val="页脚 Char2"/>
    <w:qFormat/>
    <w:uiPriority w:val="0"/>
    <w:rPr>
      <w:rFonts w:eastAsia="宋体"/>
      <w:kern w:val="2"/>
      <w:sz w:val="18"/>
      <w:lang w:val="en-US" w:eastAsia="zh-CN" w:bidi="ar-SA"/>
    </w:rPr>
  </w:style>
  <w:style w:type="character" w:customStyle="1" w:styleId="609">
    <w:name w:val="HTML 预设格式 Char"/>
    <w:qFormat/>
    <w:uiPriority w:val="0"/>
    <w:rPr>
      <w:rFonts w:ascii="宋体" w:hAnsi="宋体"/>
      <w:sz w:val="24"/>
      <w:szCs w:val="24"/>
      <w:lang w:bidi="ar-SA"/>
    </w:rPr>
  </w:style>
  <w:style w:type="character" w:customStyle="1" w:styleId="610">
    <w:name w:val="Table Text Char Char Char Char"/>
    <w:qFormat/>
    <w:uiPriority w:val="0"/>
    <w:rPr>
      <w:rFonts w:ascii="Arial" w:hAnsi="Arial" w:cs="Arial"/>
      <w:kern w:val="2"/>
      <w:sz w:val="18"/>
      <w:szCs w:val="18"/>
      <w:lang w:val="en-US" w:eastAsia="zh-CN" w:bidi="ar-SA"/>
    </w:rPr>
  </w:style>
  <w:style w:type="character" w:customStyle="1" w:styleId="611">
    <w:name w:val="标题 4 字符"/>
    <w:link w:val="5"/>
    <w:qFormat/>
    <w:uiPriority w:val="0"/>
    <w:rPr>
      <w:rFonts w:ascii="Arial" w:hAnsi="Arial" w:eastAsia="黑体"/>
      <w:b/>
      <w:bCs/>
      <w:kern w:val="2"/>
      <w:sz w:val="28"/>
      <w:szCs w:val="28"/>
    </w:rPr>
  </w:style>
  <w:style w:type="character" w:customStyle="1" w:styleId="612">
    <w:name w:val="Header Char"/>
    <w:qFormat/>
    <w:uiPriority w:val="0"/>
    <w:rPr>
      <w:rFonts w:ascii="Calibri" w:hAnsi="Calibri" w:eastAsia="宋体"/>
      <w:sz w:val="18"/>
      <w:szCs w:val="18"/>
      <w:lang w:val="en-US" w:eastAsia="zh-CN" w:bidi="ar-SA"/>
    </w:rPr>
  </w:style>
  <w:style w:type="character" w:customStyle="1" w:styleId="613">
    <w:name w:val="ca-21"/>
    <w:qFormat/>
    <w:uiPriority w:val="0"/>
    <w:rPr>
      <w:rFonts w:hint="eastAsia" w:ascii="宋体" w:hAnsi="宋体" w:eastAsia="宋体"/>
      <w:sz w:val="24"/>
      <w:szCs w:val="24"/>
    </w:rPr>
  </w:style>
  <w:style w:type="character" w:customStyle="1" w:styleId="614">
    <w:name w:val="日期 Char1"/>
    <w:qFormat/>
    <w:uiPriority w:val="0"/>
    <w:rPr>
      <w:rFonts w:ascii="宋体"/>
      <w:kern w:val="2"/>
      <w:sz w:val="24"/>
    </w:rPr>
  </w:style>
  <w:style w:type="character" w:customStyle="1" w:styleId="615">
    <w:name w:val="批注文字 字符"/>
    <w:link w:val="20"/>
    <w:qFormat/>
    <w:uiPriority w:val="0"/>
    <w:rPr>
      <w:kern w:val="2"/>
      <w:sz w:val="21"/>
      <w:szCs w:val="24"/>
    </w:rPr>
  </w:style>
  <w:style w:type="character" w:customStyle="1" w:styleId="616">
    <w:name w:val="style81"/>
    <w:qFormat/>
    <w:uiPriority w:val="0"/>
    <w:rPr>
      <w:sz w:val="21"/>
      <w:szCs w:val="21"/>
    </w:rPr>
  </w:style>
  <w:style w:type="character" w:customStyle="1" w:styleId="617">
    <w:name w:val="ca-82"/>
    <w:basedOn w:val="70"/>
    <w:qFormat/>
    <w:uiPriority w:val="0"/>
  </w:style>
  <w:style w:type="character" w:customStyle="1" w:styleId="618">
    <w:name w:val="content-white1"/>
    <w:qFormat/>
    <w:uiPriority w:val="0"/>
    <w:rPr>
      <w:color w:val="auto"/>
      <w:sz w:val="18"/>
      <w:szCs w:val="18"/>
      <w:u w:val="none"/>
    </w:rPr>
  </w:style>
  <w:style w:type="character" w:customStyle="1" w:styleId="619">
    <w:name w:val="纯文本 字符"/>
    <w:link w:val="34"/>
    <w:qFormat/>
    <w:uiPriority w:val="0"/>
    <w:rPr>
      <w:rFonts w:ascii="宋体" w:hAnsi="Courier New"/>
      <w:kern w:val="2"/>
      <w:sz w:val="24"/>
    </w:rPr>
  </w:style>
  <w:style w:type="character" w:customStyle="1" w:styleId="620">
    <w:name w:val="content1"/>
    <w:qFormat/>
    <w:uiPriority w:val="0"/>
    <w:rPr>
      <w:sz w:val="18"/>
      <w:szCs w:val="18"/>
    </w:rPr>
  </w:style>
  <w:style w:type="character" w:customStyle="1" w:styleId="621">
    <w:name w:val="标题 1 字符"/>
    <w:link w:val="2"/>
    <w:qFormat/>
    <w:uiPriority w:val="0"/>
    <w:rPr>
      <w:rFonts w:ascii="宋体"/>
      <w:b/>
      <w:kern w:val="28"/>
      <w:sz w:val="36"/>
      <w:lang w:val="en-US" w:eastAsia="zh-CN" w:bidi="ar-SA"/>
    </w:rPr>
  </w:style>
  <w:style w:type="character" w:customStyle="1" w:styleId="622">
    <w:name w:val="font141"/>
    <w:qFormat/>
    <w:uiPriority w:val="0"/>
  </w:style>
  <w:style w:type="character" w:customStyle="1" w:styleId="623">
    <w:name w:val="标题 3 Char"/>
    <w:qFormat/>
    <w:uiPriority w:val="0"/>
    <w:rPr>
      <w:rFonts w:ascii="宋体" w:eastAsia="宋体"/>
      <w:kern w:val="2"/>
      <w:sz w:val="28"/>
      <w:szCs w:val="24"/>
      <w:lang w:val="en-US" w:eastAsia="zh-CN" w:bidi="ar-SA"/>
    </w:rPr>
  </w:style>
  <w:style w:type="character" w:customStyle="1" w:styleId="624">
    <w:name w:val="orange_blod1"/>
    <w:qFormat/>
    <w:uiPriority w:val="0"/>
    <w:rPr>
      <w:rFonts w:hint="default" w:ascii="Verdana" w:hAnsi="Verdana"/>
      <w:b/>
      <w:bCs/>
      <w:color w:val="FF6600"/>
      <w:sz w:val="17"/>
      <w:szCs w:val="17"/>
      <w:u w:val="none"/>
    </w:rPr>
  </w:style>
  <w:style w:type="character" w:customStyle="1" w:styleId="625">
    <w:name w:val="正文文本缩进 3 字符"/>
    <w:link w:val="53"/>
    <w:qFormat/>
    <w:uiPriority w:val="0"/>
    <w:rPr>
      <w:kern w:val="2"/>
      <w:sz w:val="16"/>
    </w:rPr>
  </w:style>
  <w:style w:type="character" w:customStyle="1" w:styleId="626">
    <w:name w:val="Char Char6"/>
    <w:qFormat/>
    <w:uiPriority w:val="0"/>
    <w:rPr>
      <w:rFonts w:ascii="Arial" w:hAnsi="Arial" w:eastAsia="黑体"/>
      <w:b/>
      <w:bCs/>
      <w:kern w:val="2"/>
      <w:sz w:val="32"/>
      <w:szCs w:val="32"/>
      <w:lang w:val="en-US" w:eastAsia="zh-CN" w:bidi="ar-SA"/>
    </w:rPr>
  </w:style>
  <w:style w:type="character" w:customStyle="1" w:styleId="627">
    <w:name w:val="标准文本 Char"/>
    <w:link w:val="496"/>
    <w:qFormat/>
    <w:uiPriority w:val="0"/>
    <w:rPr>
      <w:rFonts w:ascii="Calibri" w:hAnsi="Calibri" w:eastAsia="仿宋_GB2312"/>
      <w:kern w:val="2"/>
      <w:sz w:val="24"/>
    </w:rPr>
  </w:style>
  <w:style w:type="character" w:customStyle="1" w:styleId="628">
    <w:name w:val="标题1"/>
    <w:basedOn w:val="70"/>
    <w:qFormat/>
    <w:uiPriority w:val="0"/>
  </w:style>
  <w:style w:type="character" w:customStyle="1" w:styleId="629">
    <w:name w:val="font71"/>
    <w:qFormat/>
    <w:uiPriority w:val="0"/>
    <w:rPr>
      <w:rFonts w:hint="default" w:ascii="Arial" w:hAnsi="Arial" w:cs="Arial"/>
      <w:color w:val="000000"/>
      <w:sz w:val="20"/>
      <w:szCs w:val="20"/>
      <w:u w:val="none"/>
    </w:rPr>
  </w:style>
  <w:style w:type="character" w:customStyle="1" w:styleId="630">
    <w:name w:val="HTML 预设格式 字符"/>
    <w:link w:val="61"/>
    <w:qFormat/>
    <w:uiPriority w:val="0"/>
    <w:rPr>
      <w:rFonts w:ascii="宋体" w:hAnsi="宋体" w:cs="宋体"/>
      <w:sz w:val="24"/>
      <w:szCs w:val="24"/>
    </w:rPr>
  </w:style>
  <w:style w:type="character" w:customStyle="1" w:styleId="631">
    <w:name w:val="标题 8 字符"/>
    <w:link w:val="10"/>
    <w:qFormat/>
    <w:uiPriority w:val="0"/>
    <w:rPr>
      <w:rFonts w:ascii="Arial" w:hAnsi="Arial" w:eastAsia="黑体"/>
      <w:kern w:val="2"/>
      <w:sz w:val="24"/>
    </w:rPr>
  </w:style>
  <w:style w:type="character" w:customStyle="1" w:styleId="632">
    <w:name w:val="line"/>
    <w:basedOn w:val="70"/>
    <w:qFormat/>
    <w:uiPriority w:val="0"/>
  </w:style>
  <w:style w:type="character" w:customStyle="1" w:styleId="633">
    <w:name w:val="Char Char22"/>
    <w:qFormat/>
    <w:uiPriority w:val="0"/>
    <w:rPr>
      <w:rFonts w:eastAsia="宋体"/>
      <w:kern w:val="2"/>
      <w:sz w:val="18"/>
      <w:szCs w:val="18"/>
      <w:lang w:val="en-US" w:eastAsia="zh-CN" w:bidi="ar-SA"/>
    </w:rPr>
  </w:style>
  <w:style w:type="character" w:customStyle="1" w:styleId="634">
    <w:name w:val="注释标题 字符"/>
    <w:link w:val="14"/>
    <w:qFormat/>
    <w:uiPriority w:val="0"/>
    <w:rPr>
      <w:kern w:val="2"/>
      <w:sz w:val="21"/>
      <w:szCs w:val="24"/>
      <w:lang w:bidi="ar-SA"/>
    </w:rPr>
  </w:style>
  <w:style w:type="character" w:customStyle="1" w:styleId="635">
    <w:name w:val="不用8 Char2"/>
    <w:qFormat/>
    <w:uiPriority w:val="0"/>
    <w:rPr>
      <w:rFonts w:ascii="Arial" w:hAnsi="Arial" w:eastAsia="黑体"/>
      <w:kern w:val="2"/>
      <w:sz w:val="24"/>
    </w:rPr>
  </w:style>
  <w:style w:type="character" w:customStyle="1" w:styleId="636">
    <w:name w:val="卷标题 Char1"/>
    <w:qFormat/>
    <w:uiPriority w:val="0"/>
    <w:rPr>
      <w:rFonts w:eastAsia="宋体"/>
      <w:b/>
      <w:bCs/>
      <w:kern w:val="44"/>
      <w:sz w:val="44"/>
      <w:szCs w:val="44"/>
      <w:lang w:val="en-US" w:eastAsia="zh-CN" w:bidi="ar-SA"/>
    </w:rPr>
  </w:style>
  <w:style w:type="character" w:customStyle="1" w:styleId="637">
    <w:name w:val="apple-converted-space"/>
    <w:basedOn w:val="70"/>
    <w:qFormat/>
    <w:uiPriority w:val="0"/>
  </w:style>
  <w:style w:type="character" w:customStyle="1" w:styleId="638">
    <w:name w:val="DAS正文 Char"/>
    <w:link w:val="187"/>
    <w:qFormat/>
    <w:uiPriority w:val="0"/>
    <w:rPr>
      <w:rFonts w:ascii="Verdana" w:hAnsi="Verdana"/>
      <w:kern w:val="2"/>
      <w:sz w:val="21"/>
      <w:szCs w:val="21"/>
      <w:lang w:bidi="ar-SA"/>
    </w:rPr>
  </w:style>
  <w:style w:type="character" w:customStyle="1" w:styleId="639">
    <w:name w:val="文档结构图 Char"/>
    <w:qFormat/>
    <w:uiPriority w:val="0"/>
    <w:rPr>
      <w:kern w:val="2"/>
      <w:sz w:val="21"/>
      <w:szCs w:val="24"/>
      <w:shd w:val="clear" w:color="auto" w:fill="000080"/>
      <w:lang w:bidi="ar-SA"/>
    </w:rPr>
  </w:style>
  <w:style w:type="character" w:customStyle="1" w:styleId="640">
    <w:name w:val="Char Char62"/>
    <w:qFormat/>
    <w:uiPriority w:val="0"/>
    <w:rPr>
      <w:rFonts w:ascii="Arial" w:hAnsi="Arial" w:eastAsia="黑体"/>
      <w:b/>
      <w:bCs/>
      <w:kern w:val="2"/>
      <w:sz w:val="32"/>
      <w:szCs w:val="32"/>
      <w:lang w:val="en-US" w:eastAsia="zh-CN" w:bidi="ar-SA"/>
    </w:rPr>
  </w:style>
  <w:style w:type="character" w:customStyle="1" w:styleId="641">
    <w:name w:val="标题 6 字符"/>
    <w:link w:val="8"/>
    <w:qFormat/>
    <w:uiPriority w:val="0"/>
    <w:rPr>
      <w:rFonts w:ascii="Arial" w:hAnsi="Arial" w:eastAsia="黑体"/>
      <w:b/>
      <w:kern w:val="2"/>
      <w:sz w:val="24"/>
    </w:rPr>
  </w:style>
  <w:style w:type="character" w:customStyle="1" w:styleId="642">
    <w:name w:val="正文文本首行缩进 字符"/>
    <w:link w:val="66"/>
    <w:qFormat/>
    <w:uiPriority w:val="0"/>
    <w:rPr>
      <w:rFonts w:eastAsia="宋体"/>
      <w:kern w:val="2"/>
      <w:sz w:val="21"/>
      <w:szCs w:val="24"/>
      <w:lang w:val="en-US" w:eastAsia="zh-CN" w:bidi="ar-SA"/>
    </w:rPr>
  </w:style>
  <w:style w:type="character" w:customStyle="1" w:styleId="643">
    <w:name w:val="biaolan_12"/>
    <w:qFormat/>
    <w:uiPriority w:val="0"/>
  </w:style>
  <w:style w:type="character" w:customStyle="1" w:styleId="644">
    <w:name w:val="未命名11"/>
    <w:qFormat/>
    <w:uiPriority w:val="0"/>
    <w:rPr>
      <w:color w:val="77FFFF"/>
      <w:sz w:val="24"/>
      <w:szCs w:val="24"/>
    </w:rPr>
  </w:style>
  <w:style w:type="character" w:customStyle="1" w:styleId="645">
    <w:name w:val="正文文本缩进 2 字符"/>
    <w:link w:val="37"/>
    <w:qFormat/>
    <w:uiPriority w:val="0"/>
    <w:rPr>
      <w:kern w:val="2"/>
      <w:sz w:val="21"/>
    </w:rPr>
  </w:style>
  <w:style w:type="character" w:customStyle="1" w:styleId="646">
    <w:name w:val="h Char Char"/>
    <w:qFormat/>
    <w:uiPriority w:val="0"/>
    <w:rPr>
      <w:kern w:val="2"/>
      <w:sz w:val="18"/>
      <w:szCs w:val="18"/>
    </w:rPr>
  </w:style>
  <w:style w:type="character" w:customStyle="1" w:styleId="647">
    <w:name w:val="文字 Char"/>
    <w:link w:val="404"/>
    <w:qFormat/>
    <w:uiPriority w:val="0"/>
    <w:rPr>
      <w:rFonts w:ascii="宋体" w:hAnsi="宋体"/>
      <w:kern w:val="2"/>
      <w:sz w:val="28"/>
      <w:lang w:bidi="ar-SA"/>
    </w:rPr>
  </w:style>
  <w:style w:type="character" w:customStyle="1" w:styleId="648">
    <w:name w:val="标题 7 Char"/>
    <w:qFormat/>
    <w:uiPriority w:val="0"/>
    <w:rPr>
      <w:rFonts w:eastAsia="宋体"/>
      <w:b/>
      <w:kern w:val="2"/>
      <w:sz w:val="24"/>
      <w:szCs w:val="24"/>
      <w:lang w:val="en-US" w:eastAsia="zh-CN" w:bidi="ar-SA"/>
    </w:rPr>
  </w:style>
  <w:style w:type="character" w:customStyle="1" w:styleId="649">
    <w:name w:val="标题 Char"/>
    <w:qFormat/>
    <w:uiPriority w:val="0"/>
    <w:rPr>
      <w:rFonts w:ascii="Arial" w:hAnsi="Arial"/>
      <w:b/>
      <w:smallCaps/>
      <w:kern w:val="28"/>
      <w:sz w:val="36"/>
      <w:lang w:eastAsia="en-US" w:bidi="ar-SA"/>
    </w:rPr>
  </w:style>
  <w:style w:type="character" w:customStyle="1" w:styleId="650">
    <w:name w:val="protextfont"/>
    <w:basedOn w:val="70"/>
    <w:qFormat/>
    <w:uiPriority w:val="0"/>
  </w:style>
  <w:style w:type="character" w:customStyle="1" w:styleId="651">
    <w:name w:val="不用 Char1"/>
    <w:qFormat/>
    <w:uiPriority w:val="0"/>
    <w:rPr>
      <w:b/>
      <w:kern w:val="2"/>
      <w:sz w:val="24"/>
    </w:rPr>
  </w:style>
  <w:style w:type="character" w:customStyle="1" w:styleId="652">
    <w:name w:val="页脚 字符"/>
    <w:link w:val="40"/>
    <w:qFormat/>
    <w:uiPriority w:val="0"/>
    <w:rPr>
      <w:rFonts w:eastAsia="宋体"/>
      <w:kern w:val="2"/>
      <w:sz w:val="18"/>
      <w:lang w:val="en-US" w:eastAsia="zh-CN" w:bidi="ar-SA"/>
    </w:rPr>
  </w:style>
  <w:style w:type="character" w:customStyle="1" w:styleId="653">
    <w:name w:val="blacklink_text1"/>
    <w:qFormat/>
    <w:uiPriority w:val="0"/>
    <w:rPr>
      <w:color w:val="0E0E0E"/>
      <w:sz w:val="18"/>
      <w:szCs w:val="18"/>
    </w:rPr>
  </w:style>
  <w:style w:type="character" w:customStyle="1" w:styleId="654">
    <w:name w:val="页眉 Char"/>
    <w:qFormat/>
    <w:uiPriority w:val="99"/>
    <w:rPr>
      <w:kern w:val="2"/>
      <w:sz w:val="18"/>
      <w:szCs w:val="18"/>
      <w:lang w:bidi="ar-SA"/>
    </w:rPr>
  </w:style>
  <w:style w:type="character" w:customStyle="1" w:styleId="655">
    <w:name w:val="141"/>
    <w:qFormat/>
    <w:uiPriority w:val="0"/>
    <w:rPr>
      <w:color w:val="333333"/>
      <w:sz w:val="21"/>
      <w:szCs w:val="21"/>
      <w:u w:val="none"/>
    </w:rPr>
  </w:style>
  <w:style w:type="paragraph" w:styleId="656">
    <w:name w:val="List Paragraph"/>
    <w:basedOn w:val="1"/>
    <w:qFormat/>
    <w:uiPriority w:val="34"/>
    <w:pPr>
      <w:ind w:firstLine="420"/>
    </w:pPr>
  </w:style>
  <w:style w:type="character" w:customStyle="1" w:styleId="657">
    <w:name w:val="font91"/>
    <w:basedOn w:val="70"/>
    <w:qFormat/>
    <w:uiPriority w:val="0"/>
    <w:rPr>
      <w:rFonts w:hint="eastAsia" w:ascii="宋体" w:hAnsi="宋体" w:eastAsia="宋体" w:cs="宋体"/>
      <w:color w:val="000000"/>
      <w:sz w:val="20"/>
      <w:szCs w:val="20"/>
      <w:u w:val="none"/>
    </w:rPr>
  </w:style>
  <w:style w:type="character" w:customStyle="1" w:styleId="658">
    <w:name w:val="font101"/>
    <w:basedOn w:val="70"/>
    <w:qFormat/>
    <w:uiPriority w:val="0"/>
    <w:rPr>
      <w:rFonts w:hint="default" w:ascii="Times New Roman" w:hAnsi="Times New Roman" w:cs="Times New Roman"/>
      <w:color w:val="000000"/>
      <w:sz w:val="20"/>
      <w:szCs w:val="20"/>
      <w:u w:val="none"/>
    </w:rPr>
  </w:style>
  <w:style w:type="character" w:customStyle="1" w:styleId="659">
    <w:name w:val="font121"/>
    <w:basedOn w:val="70"/>
    <w:qFormat/>
    <w:uiPriority w:val="0"/>
    <w:rPr>
      <w:rFonts w:ascii="Calibri" w:hAnsi="Calibri" w:cs="Calibri"/>
      <w:color w:val="000000"/>
      <w:sz w:val="16"/>
      <w:szCs w:val="16"/>
      <w:u w:val="none"/>
    </w:rPr>
  </w:style>
  <w:style w:type="character" w:customStyle="1" w:styleId="660">
    <w:name w:val="fontstyle01"/>
    <w:basedOn w:val="70"/>
    <w:qFormat/>
    <w:uiPriority w:val="0"/>
    <w:rPr>
      <w:rFonts w:ascii="宋体" w:hAnsi="宋体" w:eastAsia="宋体" w:cs="宋体"/>
      <w:color w:val="000000"/>
      <w:sz w:val="24"/>
      <w:szCs w:val="24"/>
    </w:rPr>
  </w:style>
  <w:style w:type="character" w:customStyle="1" w:styleId="661">
    <w:name w:val="font41"/>
    <w:basedOn w:val="7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64</Pages>
  <Words>10006</Words>
  <Characters>10636</Characters>
  <Lines>251</Lines>
  <Paragraphs>70</Paragraphs>
  <TotalTime>269</TotalTime>
  <ScaleCrop>false</ScaleCrop>
  <LinksUpToDate>false</LinksUpToDate>
  <CharactersWithSpaces>11230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2024-04-12T03:08:00Z</dcterms:created>
  <dc:creator>lixd</dc:creator>
  <cp:lastModifiedBy>郭姝彤</cp:lastModifiedBy>
  <cp:lastPrinted>2022-02-17T06:34:00Z</cp:lastPrinted>
  <dcterms:modified xsi:type="dcterms:W3CDTF">2025-06-17T07:02:08Z</dcterms:modified>
  <dc:title>青海省政府采购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D83F9C4B9EBF471F97F9845EC72EF52C_13</vt:lpwstr>
  </property>
  <property fmtid="{D5CDD505-2E9C-101B-9397-08002B2CF9AE}" pid="4" name="KSOTemplateDocerSaveRecord">
    <vt:lpwstr>eyJoZGlkIjoiM2Y0YTYzZGViMmM5MGU5YjIzMTcwODAwNDM2ZDcxZWQiLCJ1c2VySWQiOiIzOTc0MzY2NTIifQ==</vt:lpwstr>
  </property>
</Properties>
</file>