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3836E">
      <w:pPr>
        <w:jc w:val="center"/>
        <w:rPr>
          <w:b/>
          <w:bCs/>
          <w:color w:val="000000"/>
          <w:sz w:val="48"/>
          <w:szCs w:val="48"/>
        </w:rPr>
      </w:pPr>
      <w:bookmarkStart w:id="0" w:name="_Toc449568588"/>
      <w:bookmarkStart w:id="1" w:name="_Toc530748923"/>
      <w:bookmarkStart w:id="2" w:name="_Toc12184"/>
      <w:bookmarkStart w:id="3" w:name="_Toc22578"/>
      <w:bookmarkStart w:id="4" w:name="_Toc29503"/>
      <w:bookmarkStart w:id="5" w:name="_Toc518981530"/>
      <w:bookmarkStart w:id="6" w:name="_Toc1875"/>
      <w:bookmarkStart w:id="7" w:name="_Toc1714"/>
      <w:bookmarkStart w:id="8" w:name="_Toc3078"/>
      <w:bookmarkStart w:id="9" w:name="_Toc530746098"/>
    </w:p>
    <w:bookmarkEnd w:id="0"/>
    <w:bookmarkEnd w:id="1"/>
    <w:bookmarkEnd w:id="2"/>
    <w:bookmarkEnd w:id="3"/>
    <w:bookmarkEnd w:id="4"/>
    <w:bookmarkEnd w:id="5"/>
    <w:bookmarkEnd w:id="6"/>
    <w:bookmarkEnd w:id="7"/>
    <w:bookmarkEnd w:id="8"/>
    <w:bookmarkEnd w:id="9"/>
    <w:p w14:paraId="74C8CEAE">
      <w:pPr>
        <w:autoSpaceDE w:val="0"/>
        <w:autoSpaceDN w:val="0"/>
        <w:adjustRightInd w:val="0"/>
        <w:jc w:val="center"/>
        <w:rPr>
          <w:lang w:val="zh-CN"/>
        </w:rPr>
      </w:pPr>
      <w:r>
        <w:rPr>
          <w:rFonts w:hint="eastAsia" w:ascii="宋体" w:hAnsi="宋体" w:cs="宋体"/>
          <w:b/>
          <w:bCs/>
          <w:color w:val="000000"/>
          <w:kern w:val="0"/>
          <w:sz w:val="48"/>
          <w:szCs w:val="48"/>
          <w:lang w:val="zh-CN"/>
        </w:rPr>
        <w:t xml:space="preserve">湟源县17座农村污水处理站运维服务 </w:t>
      </w:r>
      <w:r>
        <w:rPr>
          <w:rFonts w:hint="eastAsia" w:ascii="宋体" w:hAnsi="宋体" w:cs="宋体"/>
          <w:b/>
          <w:bCs/>
          <w:color w:val="000000"/>
          <w:kern w:val="0"/>
          <w:sz w:val="52"/>
          <w:szCs w:val="52"/>
          <w:lang w:val="zh-CN"/>
        </w:rPr>
        <w:t xml:space="preserve"> </w:t>
      </w:r>
      <w:r>
        <w:rPr>
          <w:rFonts w:hint="eastAsia" w:ascii="宋体" w:hAnsi="宋体" w:cs="宋体"/>
          <w:b/>
          <w:bCs/>
          <w:color w:val="000000"/>
          <w:kern w:val="0"/>
          <w:sz w:val="52"/>
          <w:szCs w:val="52"/>
          <w:lang w:val="zh-CN"/>
        </w:rPr>
        <w:br w:type="textWrapping"/>
      </w:r>
      <w:r>
        <w:rPr>
          <w:rFonts w:hint="eastAsia" w:ascii="宋体" w:hAnsi="宋体" w:cs="宋体"/>
          <w:b/>
          <w:bCs/>
          <w:color w:val="000000"/>
          <w:kern w:val="0"/>
          <w:sz w:val="52"/>
          <w:szCs w:val="52"/>
          <w:lang w:val="zh-CN"/>
        </w:rPr>
        <w:br w:type="textWrapping"/>
      </w:r>
    </w:p>
    <w:p w14:paraId="7550D068">
      <w:pPr>
        <w:autoSpaceDE w:val="0"/>
        <w:autoSpaceDN w:val="0"/>
        <w:adjustRightInd w:val="0"/>
        <w:jc w:val="center"/>
      </w:pPr>
      <w:r>
        <w:rPr>
          <w:rFonts w:hint="eastAsia" w:ascii="宋体" w:hAnsi="宋体" w:cs="宋体"/>
          <w:b/>
          <w:bCs/>
          <w:color w:val="000000"/>
          <w:kern w:val="0"/>
          <w:sz w:val="48"/>
          <w:szCs w:val="48"/>
          <w:lang w:val="zh-CN"/>
        </w:rPr>
        <w:t>竞争性磋商文件</w:t>
      </w:r>
      <w:r>
        <w:rPr>
          <w:rFonts w:hint="eastAsia" w:ascii="宋体" w:hAnsi="宋体" w:cs="宋体"/>
          <w:b/>
          <w:bCs/>
          <w:color w:val="000000"/>
          <w:kern w:val="0"/>
          <w:sz w:val="48"/>
          <w:szCs w:val="48"/>
          <w:lang w:val="zh-CN"/>
        </w:rPr>
        <w:br w:type="textWrapping"/>
      </w:r>
      <w:r>
        <w:rPr>
          <w:rFonts w:hint="eastAsia" w:ascii="宋体" w:hAnsi="宋体" w:cs="宋体"/>
          <w:b/>
          <w:bCs/>
          <w:color w:val="000000"/>
          <w:kern w:val="0"/>
          <w:sz w:val="48"/>
          <w:szCs w:val="48"/>
          <w:lang w:val="zh-CN"/>
        </w:rPr>
        <w:br w:type="textWrapping"/>
      </w:r>
    </w:p>
    <w:p w14:paraId="66F01A8A">
      <w:pPr>
        <w:rPr>
          <w:rFonts w:ascii="宋体" w:hAnsi="宋体"/>
          <w:b/>
          <w:color w:val="000000"/>
          <w:sz w:val="32"/>
          <w:szCs w:val="32"/>
        </w:rPr>
      </w:pPr>
    </w:p>
    <w:p w14:paraId="2571FEC3">
      <w:pPr>
        <w:keepNext w:val="0"/>
        <w:keepLines w:val="0"/>
        <w:pageBreakBefore w:val="0"/>
        <w:widowControl w:val="0"/>
        <w:kinsoku/>
        <w:wordWrap/>
        <w:overflowPunct/>
        <w:topLinePunct w:val="0"/>
        <w:autoSpaceDE/>
        <w:autoSpaceDN/>
        <w:bidi w:val="0"/>
        <w:adjustRightInd/>
        <w:snapToGrid/>
        <w:ind w:left="360" w:leftChars="150" w:firstLine="321" w:firstLineChars="100"/>
        <w:jc w:val="both"/>
        <w:textAlignment w:val="auto"/>
        <w:rPr>
          <w:rFonts w:ascii="宋体" w:hAnsi="宋体"/>
          <w:b/>
          <w:color w:val="000000"/>
          <w:sz w:val="32"/>
          <w:szCs w:val="32"/>
        </w:rPr>
      </w:pPr>
      <w:r>
        <w:rPr>
          <w:rFonts w:hint="eastAsia" w:ascii="宋体" w:hAnsi="宋体"/>
          <w:b/>
          <w:color w:val="000000"/>
          <w:sz w:val="32"/>
          <w:szCs w:val="32"/>
        </w:rPr>
        <w:t>采购</w:t>
      </w:r>
      <w:r>
        <w:rPr>
          <w:rFonts w:hint="eastAsia" w:ascii="宋体" w:hAnsi="宋体"/>
          <w:b/>
          <w:color w:val="000000"/>
          <w:sz w:val="32"/>
          <w:szCs w:val="32"/>
          <w:lang w:val="zh-CN"/>
        </w:rPr>
        <w:t>项目编号：青海鹏杰竞磋（服务）2025-017</w:t>
      </w:r>
    </w:p>
    <w:p w14:paraId="2B00BFE7">
      <w:pPr>
        <w:keepNext w:val="0"/>
        <w:keepLines w:val="0"/>
        <w:pageBreakBefore w:val="0"/>
        <w:widowControl w:val="0"/>
        <w:kinsoku/>
        <w:wordWrap/>
        <w:overflowPunct/>
        <w:topLinePunct w:val="0"/>
        <w:autoSpaceDE/>
        <w:autoSpaceDN/>
        <w:bidi w:val="0"/>
        <w:adjustRightInd/>
        <w:snapToGrid/>
        <w:ind w:left="2288" w:leftChars="150" w:hanging="1928" w:hangingChars="600"/>
        <w:jc w:val="both"/>
        <w:textAlignment w:val="auto"/>
        <w:rPr>
          <w:rFonts w:ascii="宋体" w:hAnsi="宋体"/>
          <w:b/>
          <w:color w:val="000000"/>
          <w:sz w:val="32"/>
          <w:szCs w:val="32"/>
        </w:rPr>
      </w:pPr>
      <w:r>
        <w:rPr>
          <w:rFonts w:hint="eastAsia" w:ascii="宋体" w:hAnsi="宋体"/>
          <w:b/>
          <w:color w:val="000000"/>
          <w:sz w:val="32"/>
          <w:szCs w:val="32"/>
          <w:lang w:val="en-US" w:eastAsia="zh-CN"/>
        </w:rPr>
        <w:t xml:space="preserve">  </w:t>
      </w:r>
      <w:r>
        <w:rPr>
          <w:rFonts w:hint="eastAsia" w:ascii="宋体" w:hAnsi="宋体"/>
          <w:b/>
          <w:color w:val="000000"/>
          <w:sz w:val="32"/>
          <w:szCs w:val="32"/>
        </w:rPr>
        <w:t>采购</w:t>
      </w:r>
      <w:r>
        <w:rPr>
          <w:rFonts w:hint="eastAsia" w:ascii="宋体" w:hAnsi="宋体"/>
          <w:b/>
          <w:color w:val="000000"/>
          <w:sz w:val="32"/>
          <w:szCs w:val="32"/>
          <w:lang w:val="zh-CN"/>
        </w:rPr>
        <w:t xml:space="preserve">名称：湟源县17座农村污水处理站运维服务  </w:t>
      </w:r>
    </w:p>
    <w:p w14:paraId="7D4D5145">
      <w:pPr>
        <w:keepNext w:val="0"/>
        <w:keepLines w:val="0"/>
        <w:pageBreakBefore w:val="0"/>
        <w:widowControl w:val="0"/>
        <w:kinsoku/>
        <w:wordWrap/>
        <w:overflowPunct/>
        <w:topLinePunct w:val="0"/>
        <w:autoSpaceDE/>
        <w:autoSpaceDN/>
        <w:bidi w:val="0"/>
        <w:adjustRightInd/>
        <w:snapToGrid/>
        <w:ind w:left="360" w:leftChars="150" w:firstLine="321" w:firstLineChars="100"/>
        <w:jc w:val="both"/>
        <w:textAlignment w:val="auto"/>
        <w:rPr>
          <w:rFonts w:ascii="宋体" w:hAnsi="宋体"/>
          <w:b/>
          <w:color w:val="FF0000"/>
          <w:sz w:val="32"/>
          <w:szCs w:val="32"/>
        </w:rPr>
      </w:pPr>
      <w:r>
        <w:rPr>
          <w:rFonts w:hint="eastAsia" w:ascii="宋体" w:hAnsi="宋体"/>
          <w:b/>
          <w:color w:val="000000"/>
          <w:sz w:val="32"/>
          <w:szCs w:val="32"/>
          <w:lang w:val="zh-CN"/>
        </w:rPr>
        <w:t>采购人：湟源县水利局</w:t>
      </w:r>
    </w:p>
    <w:p w14:paraId="402686AE">
      <w:pPr>
        <w:keepNext w:val="0"/>
        <w:keepLines w:val="0"/>
        <w:pageBreakBefore w:val="0"/>
        <w:widowControl w:val="0"/>
        <w:kinsoku/>
        <w:wordWrap/>
        <w:overflowPunct/>
        <w:topLinePunct w:val="0"/>
        <w:autoSpaceDE/>
        <w:autoSpaceDN/>
        <w:bidi w:val="0"/>
        <w:adjustRightInd/>
        <w:snapToGrid/>
        <w:ind w:left="360" w:leftChars="150" w:firstLine="321" w:firstLineChars="100"/>
        <w:jc w:val="both"/>
        <w:textAlignment w:val="auto"/>
        <w:rPr>
          <w:rFonts w:ascii="宋体" w:hAnsi="宋体"/>
          <w:b/>
          <w:color w:val="000000"/>
          <w:sz w:val="32"/>
          <w:szCs w:val="32"/>
          <w:lang w:val="zh-CN"/>
        </w:rPr>
      </w:pPr>
      <w:r>
        <w:rPr>
          <w:rFonts w:hint="eastAsia" w:ascii="宋体" w:hAnsi="宋体"/>
          <w:b/>
          <w:color w:val="000000"/>
          <w:sz w:val="32"/>
          <w:szCs w:val="32"/>
          <w:lang w:val="zh-CN"/>
        </w:rPr>
        <w:t>代理机构：青海鹏杰工程项目管理有限公司</w:t>
      </w:r>
    </w:p>
    <w:p w14:paraId="38378159">
      <w:pPr>
        <w:pStyle w:val="155"/>
        <w:rPr>
          <w:lang w:val="zh-CN" w:eastAsia="zh-CN"/>
        </w:rPr>
      </w:pPr>
    </w:p>
    <w:p w14:paraId="5026A0D5">
      <w:pPr>
        <w:pStyle w:val="155"/>
        <w:rPr>
          <w:lang w:val="zh-CN" w:eastAsia="zh-CN"/>
        </w:rPr>
      </w:pPr>
    </w:p>
    <w:p w14:paraId="1C8B2173">
      <w:pPr>
        <w:pStyle w:val="155"/>
        <w:rPr>
          <w:lang w:val="zh-CN" w:eastAsia="zh-CN"/>
        </w:rPr>
      </w:pPr>
    </w:p>
    <w:p w14:paraId="1EA5800F">
      <w:pPr>
        <w:pStyle w:val="155"/>
        <w:rPr>
          <w:lang w:val="zh-CN" w:eastAsia="zh-CN"/>
        </w:rPr>
      </w:pPr>
    </w:p>
    <w:p w14:paraId="1E799D42">
      <w:pPr>
        <w:jc w:val="center"/>
        <w:rPr>
          <w:rFonts w:ascii="宋体" w:hAnsi="宋体" w:cs="宋体"/>
          <w:b/>
          <w:color w:val="000000"/>
          <w:sz w:val="40"/>
          <w:szCs w:val="30"/>
        </w:rPr>
        <w:sectPr>
          <w:pgSz w:w="11910" w:h="16850"/>
          <w:pgMar w:top="1440" w:right="1800" w:bottom="1440" w:left="1800" w:header="911" w:footer="0" w:gutter="0"/>
          <w:pgBorders>
            <w:top w:val="none" w:sz="0" w:space="0"/>
            <w:left w:val="none" w:sz="0" w:space="0"/>
            <w:bottom w:val="none" w:sz="0" w:space="0"/>
            <w:right w:val="none" w:sz="0" w:space="0"/>
          </w:pgBorders>
          <w:pgNumType w:fmt="decimal"/>
          <w:cols w:space="720" w:num="1"/>
        </w:sectPr>
      </w:pPr>
    </w:p>
    <w:p w14:paraId="4D50E114">
      <w:pPr>
        <w:tabs>
          <w:tab w:val="right" w:leader="dot" w:pos="8296"/>
        </w:tabs>
        <w:jc w:val="both"/>
        <w:rPr>
          <w:rFonts w:hint="eastAsia" w:ascii="宋体" w:hAnsi="宋体" w:cs="宋体"/>
          <w:b/>
          <w:bCs/>
          <w:color w:val="000000"/>
          <w:sz w:val="32"/>
          <w:szCs w:val="32"/>
        </w:rPr>
      </w:pPr>
    </w:p>
    <w:sdt>
      <w:sdtPr>
        <w:rPr>
          <w:rFonts w:ascii="宋体" w:hAnsi="宋体" w:eastAsia="宋体" w:cs="Times New Roman"/>
          <w:kern w:val="2"/>
          <w:sz w:val="21"/>
          <w:szCs w:val="24"/>
          <w:lang w:val="en-US" w:eastAsia="zh-CN" w:bidi="ar-SA"/>
        </w:rPr>
        <w:id w:val="147453870"/>
        <w15:color w:val="DBDBDB"/>
        <w:docPartObj>
          <w:docPartGallery w:val="Table of Contents"/>
          <w:docPartUnique/>
        </w:docPartObj>
      </w:sdtPr>
      <w:sdtEndPr>
        <w:rPr>
          <w:rFonts w:ascii="宋体" w:hAnsi="宋体" w:eastAsia="宋体" w:cs="Times New Roman"/>
          <w:kern w:val="2"/>
          <w:sz w:val="28"/>
          <w:szCs w:val="28"/>
          <w:lang w:val="en-US" w:eastAsia="zh-CN" w:bidi="ar-SA"/>
        </w:rPr>
      </w:sdtEndPr>
      <w:sdtContent>
        <w:p w14:paraId="384D6B75">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sz w:val="28"/>
              <w:szCs w:val="28"/>
            </w:rPr>
          </w:pPr>
          <w:r>
            <w:rPr>
              <w:rFonts w:ascii="宋体" w:hAnsi="宋体" w:eastAsia="宋体"/>
              <w:sz w:val="28"/>
              <w:szCs w:val="28"/>
            </w:rPr>
            <w:t>目录</w:t>
          </w:r>
        </w:p>
        <w:p w14:paraId="4E43C4CB">
          <w:pPr>
            <w:keepNext w:val="0"/>
            <w:keepLines w:val="0"/>
            <w:pageBreakBefore w:val="0"/>
            <w:kinsoku/>
            <w:wordWrap/>
            <w:overflowPunct/>
            <w:topLinePunct w:val="0"/>
            <w:autoSpaceDE/>
            <w:autoSpaceDN/>
            <w:bidi w:val="0"/>
            <w:adjustRightInd/>
            <w:snapToGrid/>
            <w:spacing w:line="360" w:lineRule="auto"/>
            <w:textAlignment w:val="auto"/>
            <w:rPr>
              <w:sz w:val="28"/>
              <w:szCs w:val="28"/>
            </w:rPr>
          </w:pPr>
        </w:p>
      </w:sdtContent>
    </w:sdt>
    <w:p w14:paraId="1C73C227">
      <w:pPr>
        <w:pStyle w:val="22"/>
        <w:keepNext w:val="0"/>
        <w:keepLines w:val="0"/>
        <w:pageBreakBefore w:val="0"/>
        <w:tabs>
          <w:tab w:val="right" w:leader="dot" w:pos="9746"/>
          <w:tab w:val="clear" w:pos="829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TOC \o "1-3" \h \z \u </w:instrText>
      </w:r>
      <w:r>
        <w:rPr>
          <w:rFonts w:hint="eastAsia" w:ascii="宋体" w:hAnsi="宋体" w:cs="宋体"/>
          <w:color w:val="000000"/>
          <w:sz w:val="28"/>
          <w:szCs w:val="28"/>
        </w:rPr>
        <w:fldChar w:fldCharType="separate"/>
      </w: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_Toc3034 </w:instrText>
      </w:r>
      <w:r>
        <w:rPr>
          <w:rFonts w:hint="eastAsia" w:ascii="宋体" w:hAnsi="宋体" w:cs="宋体"/>
          <w:sz w:val="28"/>
          <w:szCs w:val="28"/>
        </w:rPr>
        <w:fldChar w:fldCharType="separate"/>
      </w:r>
      <w:r>
        <w:rPr>
          <w:rFonts w:hint="eastAsia" w:ascii="宋体" w:hAnsi="宋体" w:cs="宋体"/>
          <w:sz w:val="28"/>
          <w:szCs w:val="28"/>
        </w:rPr>
        <w:t>第一部分  磋商邀请</w:t>
      </w:r>
      <w:r>
        <w:rPr>
          <w:sz w:val="28"/>
          <w:szCs w:val="28"/>
        </w:rPr>
        <w:tab/>
      </w:r>
      <w:r>
        <w:rPr>
          <w:sz w:val="28"/>
          <w:szCs w:val="28"/>
        </w:rPr>
        <w:fldChar w:fldCharType="begin"/>
      </w:r>
      <w:r>
        <w:rPr>
          <w:sz w:val="28"/>
          <w:szCs w:val="28"/>
        </w:rPr>
        <w:instrText xml:space="preserve"> PAGEREF _Toc3034 \h </w:instrText>
      </w:r>
      <w:r>
        <w:rPr>
          <w:sz w:val="28"/>
          <w:szCs w:val="28"/>
        </w:rPr>
        <w:fldChar w:fldCharType="separate"/>
      </w:r>
      <w:r>
        <w:rPr>
          <w:sz w:val="28"/>
          <w:szCs w:val="28"/>
        </w:rPr>
        <w:t>1</w:t>
      </w:r>
      <w:r>
        <w:rPr>
          <w:sz w:val="28"/>
          <w:szCs w:val="28"/>
        </w:rPr>
        <w:fldChar w:fldCharType="end"/>
      </w:r>
      <w:r>
        <w:rPr>
          <w:rFonts w:hint="eastAsia" w:ascii="宋体" w:hAnsi="宋体" w:cs="宋体"/>
          <w:color w:val="000000"/>
          <w:sz w:val="28"/>
          <w:szCs w:val="28"/>
        </w:rPr>
        <w:fldChar w:fldCharType="end"/>
      </w:r>
    </w:p>
    <w:p w14:paraId="48FDB9F9">
      <w:pPr>
        <w:pStyle w:val="22"/>
        <w:keepNext w:val="0"/>
        <w:keepLines w:val="0"/>
        <w:pageBreakBefore w:val="0"/>
        <w:tabs>
          <w:tab w:val="right" w:leader="dot" w:pos="9746"/>
          <w:tab w:val="clear" w:pos="829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_Toc2004 </w:instrText>
      </w:r>
      <w:r>
        <w:rPr>
          <w:rFonts w:hint="eastAsia" w:ascii="宋体" w:hAnsi="宋体" w:cs="宋体"/>
          <w:sz w:val="28"/>
          <w:szCs w:val="28"/>
        </w:rPr>
        <w:fldChar w:fldCharType="separate"/>
      </w:r>
      <w:r>
        <w:rPr>
          <w:rFonts w:hint="eastAsia" w:ascii="宋体" w:hAnsi="宋体" w:cs="宋体"/>
          <w:sz w:val="28"/>
          <w:szCs w:val="28"/>
        </w:rPr>
        <w:t>第二部分  供应商须知前附表</w:t>
      </w:r>
      <w:r>
        <w:rPr>
          <w:sz w:val="28"/>
          <w:szCs w:val="28"/>
        </w:rPr>
        <w:tab/>
      </w:r>
      <w:r>
        <w:rPr>
          <w:sz w:val="28"/>
          <w:szCs w:val="28"/>
        </w:rPr>
        <w:fldChar w:fldCharType="begin"/>
      </w:r>
      <w:r>
        <w:rPr>
          <w:sz w:val="28"/>
          <w:szCs w:val="28"/>
        </w:rPr>
        <w:instrText xml:space="preserve"> PAGEREF _Toc2004 \h </w:instrText>
      </w:r>
      <w:r>
        <w:rPr>
          <w:sz w:val="28"/>
          <w:szCs w:val="28"/>
        </w:rPr>
        <w:fldChar w:fldCharType="separate"/>
      </w:r>
      <w:r>
        <w:rPr>
          <w:sz w:val="28"/>
          <w:szCs w:val="28"/>
        </w:rPr>
        <w:t>5</w:t>
      </w:r>
      <w:r>
        <w:rPr>
          <w:sz w:val="28"/>
          <w:szCs w:val="28"/>
        </w:rPr>
        <w:fldChar w:fldCharType="end"/>
      </w:r>
      <w:r>
        <w:rPr>
          <w:rFonts w:hint="eastAsia" w:ascii="宋体" w:hAnsi="宋体" w:cs="宋体"/>
          <w:color w:val="000000"/>
          <w:sz w:val="28"/>
          <w:szCs w:val="28"/>
        </w:rPr>
        <w:fldChar w:fldCharType="end"/>
      </w:r>
    </w:p>
    <w:p w14:paraId="76860802">
      <w:pPr>
        <w:pStyle w:val="22"/>
        <w:keepNext w:val="0"/>
        <w:keepLines w:val="0"/>
        <w:pageBreakBefore w:val="0"/>
        <w:tabs>
          <w:tab w:val="right" w:leader="dot" w:pos="9746"/>
          <w:tab w:val="clear" w:pos="829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_Toc21422 </w:instrText>
      </w:r>
      <w:r>
        <w:rPr>
          <w:rFonts w:hint="eastAsia" w:ascii="宋体" w:hAnsi="宋体" w:cs="宋体"/>
          <w:sz w:val="28"/>
          <w:szCs w:val="28"/>
        </w:rPr>
        <w:fldChar w:fldCharType="separate"/>
      </w:r>
      <w:r>
        <w:rPr>
          <w:rFonts w:hint="eastAsia" w:ascii="宋体" w:hAnsi="宋体" w:cs="宋体"/>
          <w:sz w:val="28"/>
          <w:szCs w:val="28"/>
        </w:rPr>
        <w:t>第三部分  供应商须知</w:t>
      </w:r>
      <w:bookmarkStart w:id="259" w:name="_GoBack"/>
      <w:bookmarkEnd w:id="259"/>
      <w:r>
        <w:rPr>
          <w:sz w:val="28"/>
          <w:szCs w:val="28"/>
        </w:rPr>
        <w:tab/>
      </w:r>
      <w:r>
        <w:rPr>
          <w:sz w:val="28"/>
          <w:szCs w:val="28"/>
        </w:rPr>
        <w:fldChar w:fldCharType="begin"/>
      </w:r>
      <w:r>
        <w:rPr>
          <w:sz w:val="28"/>
          <w:szCs w:val="28"/>
        </w:rPr>
        <w:instrText xml:space="preserve"> PAGEREF _Toc21422 \h </w:instrText>
      </w:r>
      <w:r>
        <w:rPr>
          <w:sz w:val="28"/>
          <w:szCs w:val="28"/>
        </w:rPr>
        <w:fldChar w:fldCharType="separate"/>
      </w:r>
      <w:r>
        <w:rPr>
          <w:sz w:val="28"/>
          <w:szCs w:val="28"/>
        </w:rPr>
        <w:t>9</w:t>
      </w:r>
      <w:r>
        <w:rPr>
          <w:sz w:val="28"/>
          <w:szCs w:val="28"/>
        </w:rPr>
        <w:fldChar w:fldCharType="end"/>
      </w:r>
      <w:r>
        <w:rPr>
          <w:rFonts w:hint="eastAsia" w:ascii="宋体" w:hAnsi="宋体" w:cs="宋体"/>
          <w:color w:val="000000"/>
          <w:sz w:val="28"/>
          <w:szCs w:val="28"/>
        </w:rPr>
        <w:fldChar w:fldCharType="end"/>
      </w:r>
    </w:p>
    <w:p w14:paraId="449A4277">
      <w:pPr>
        <w:pStyle w:val="22"/>
        <w:keepNext w:val="0"/>
        <w:keepLines w:val="0"/>
        <w:pageBreakBefore w:val="0"/>
        <w:tabs>
          <w:tab w:val="right" w:leader="dot" w:pos="9746"/>
          <w:tab w:val="clear" w:pos="829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_Toc8635 </w:instrText>
      </w:r>
      <w:r>
        <w:rPr>
          <w:rFonts w:hint="eastAsia" w:ascii="宋体" w:hAnsi="宋体" w:cs="宋体"/>
          <w:sz w:val="28"/>
          <w:szCs w:val="28"/>
        </w:rPr>
        <w:fldChar w:fldCharType="separate"/>
      </w:r>
      <w:r>
        <w:rPr>
          <w:rFonts w:hint="eastAsia" w:ascii="宋体" w:hAnsi="宋体" w:cs="宋体"/>
          <w:sz w:val="28"/>
          <w:szCs w:val="28"/>
        </w:rPr>
        <w:t>第四部分  采购项目合同书</w:t>
      </w:r>
      <w:r>
        <w:rPr>
          <w:sz w:val="28"/>
          <w:szCs w:val="28"/>
        </w:rPr>
        <w:tab/>
      </w:r>
      <w:r>
        <w:rPr>
          <w:sz w:val="28"/>
          <w:szCs w:val="28"/>
        </w:rPr>
        <w:fldChar w:fldCharType="begin"/>
      </w:r>
      <w:r>
        <w:rPr>
          <w:sz w:val="28"/>
          <w:szCs w:val="28"/>
        </w:rPr>
        <w:instrText xml:space="preserve"> PAGEREF _Toc8635 \h </w:instrText>
      </w:r>
      <w:r>
        <w:rPr>
          <w:sz w:val="28"/>
          <w:szCs w:val="28"/>
        </w:rPr>
        <w:fldChar w:fldCharType="separate"/>
      </w:r>
      <w:r>
        <w:rPr>
          <w:sz w:val="28"/>
          <w:szCs w:val="28"/>
        </w:rPr>
        <w:t>24</w:t>
      </w:r>
      <w:r>
        <w:rPr>
          <w:sz w:val="28"/>
          <w:szCs w:val="28"/>
        </w:rPr>
        <w:fldChar w:fldCharType="end"/>
      </w:r>
      <w:r>
        <w:rPr>
          <w:rFonts w:hint="eastAsia" w:ascii="宋体" w:hAnsi="宋体" w:cs="宋体"/>
          <w:color w:val="000000"/>
          <w:sz w:val="28"/>
          <w:szCs w:val="28"/>
        </w:rPr>
        <w:fldChar w:fldCharType="end"/>
      </w:r>
    </w:p>
    <w:p w14:paraId="433E441C">
      <w:pPr>
        <w:pStyle w:val="22"/>
        <w:keepNext w:val="0"/>
        <w:keepLines w:val="0"/>
        <w:pageBreakBefore w:val="0"/>
        <w:tabs>
          <w:tab w:val="right" w:leader="dot" w:pos="9746"/>
          <w:tab w:val="clear" w:pos="829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_Toc4088 </w:instrText>
      </w:r>
      <w:r>
        <w:rPr>
          <w:rFonts w:hint="eastAsia" w:ascii="宋体" w:hAnsi="宋体" w:cs="宋体"/>
          <w:sz w:val="28"/>
          <w:szCs w:val="28"/>
        </w:rPr>
        <w:fldChar w:fldCharType="separate"/>
      </w:r>
      <w:r>
        <w:rPr>
          <w:rFonts w:hint="eastAsia" w:ascii="宋体" w:hAnsi="宋体" w:cs="宋体"/>
          <w:sz w:val="28"/>
          <w:szCs w:val="28"/>
        </w:rPr>
        <w:t>第五部分   磋商响应文件格式</w:t>
      </w:r>
      <w:r>
        <w:rPr>
          <w:sz w:val="28"/>
          <w:szCs w:val="28"/>
        </w:rPr>
        <w:tab/>
      </w:r>
      <w:r>
        <w:rPr>
          <w:sz w:val="28"/>
          <w:szCs w:val="28"/>
        </w:rPr>
        <w:fldChar w:fldCharType="begin"/>
      </w:r>
      <w:r>
        <w:rPr>
          <w:sz w:val="28"/>
          <w:szCs w:val="28"/>
        </w:rPr>
        <w:instrText xml:space="preserve"> PAGEREF _Toc4088 \h </w:instrText>
      </w:r>
      <w:r>
        <w:rPr>
          <w:sz w:val="28"/>
          <w:szCs w:val="28"/>
        </w:rPr>
        <w:fldChar w:fldCharType="separate"/>
      </w:r>
      <w:r>
        <w:rPr>
          <w:sz w:val="28"/>
          <w:szCs w:val="28"/>
        </w:rPr>
        <w:t>40</w:t>
      </w:r>
      <w:r>
        <w:rPr>
          <w:sz w:val="28"/>
          <w:szCs w:val="28"/>
        </w:rPr>
        <w:fldChar w:fldCharType="end"/>
      </w:r>
      <w:r>
        <w:rPr>
          <w:rFonts w:hint="eastAsia" w:ascii="宋体" w:hAnsi="宋体" w:cs="宋体"/>
          <w:color w:val="000000"/>
          <w:sz w:val="28"/>
          <w:szCs w:val="28"/>
        </w:rPr>
        <w:fldChar w:fldCharType="end"/>
      </w:r>
    </w:p>
    <w:p w14:paraId="3F1C3E35">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_Toc13446 </w:instrText>
      </w:r>
      <w:r>
        <w:rPr>
          <w:rFonts w:hint="eastAsia" w:ascii="宋体" w:hAnsi="宋体" w:cs="宋体"/>
          <w:sz w:val="28"/>
          <w:szCs w:val="28"/>
        </w:rPr>
        <w:fldChar w:fldCharType="separate"/>
      </w:r>
      <w:r>
        <w:rPr>
          <w:rFonts w:hint="eastAsia" w:ascii="宋体" w:hAnsi="宋体" w:cs="宋体"/>
          <w:bCs/>
          <w:sz w:val="28"/>
          <w:szCs w:val="28"/>
        </w:rPr>
        <w:t>（1）磋商函</w:t>
      </w:r>
      <w:r>
        <w:rPr>
          <w:sz w:val="28"/>
          <w:szCs w:val="28"/>
        </w:rPr>
        <w:tab/>
      </w:r>
      <w:r>
        <w:rPr>
          <w:sz w:val="28"/>
          <w:szCs w:val="28"/>
        </w:rPr>
        <w:fldChar w:fldCharType="begin"/>
      </w:r>
      <w:r>
        <w:rPr>
          <w:sz w:val="28"/>
          <w:szCs w:val="28"/>
        </w:rPr>
        <w:instrText xml:space="preserve"> PAGEREF _Toc13446 \h </w:instrText>
      </w:r>
      <w:r>
        <w:rPr>
          <w:sz w:val="28"/>
          <w:szCs w:val="28"/>
        </w:rPr>
        <w:fldChar w:fldCharType="separate"/>
      </w:r>
      <w:r>
        <w:rPr>
          <w:sz w:val="28"/>
          <w:szCs w:val="28"/>
        </w:rPr>
        <w:t>43</w:t>
      </w:r>
      <w:r>
        <w:rPr>
          <w:sz w:val="28"/>
          <w:szCs w:val="28"/>
        </w:rPr>
        <w:fldChar w:fldCharType="end"/>
      </w:r>
      <w:r>
        <w:rPr>
          <w:rFonts w:hint="eastAsia" w:ascii="宋体" w:hAnsi="宋体" w:cs="宋体"/>
          <w:color w:val="000000"/>
          <w:sz w:val="28"/>
          <w:szCs w:val="28"/>
        </w:rPr>
        <w:fldChar w:fldCharType="end"/>
      </w:r>
    </w:p>
    <w:p w14:paraId="182661AB">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_Toc20411 </w:instrText>
      </w:r>
      <w:r>
        <w:rPr>
          <w:rFonts w:hint="eastAsia" w:ascii="宋体" w:hAnsi="宋体" w:cs="宋体"/>
          <w:sz w:val="28"/>
          <w:szCs w:val="28"/>
        </w:rPr>
        <w:fldChar w:fldCharType="separate"/>
      </w:r>
      <w:r>
        <w:rPr>
          <w:rFonts w:hint="eastAsia" w:ascii="宋体" w:hAnsi="宋体" w:cs="宋体"/>
          <w:bCs/>
          <w:sz w:val="28"/>
          <w:szCs w:val="28"/>
          <w:lang w:val="zh-CN"/>
        </w:rPr>
        <w:t>（</w:t>
      </w:r>
      <w:r>
        <w:rPr>
          <w:rFonts w:hint="eastAsia" w:ascii="宋体" w:hAnsi="宋体" w:cs="宋体"/>
          <w:bCs/>
          <w:sz w:val="28"/>
          <w:szCs w:val="28"/>
        </w:rPr>
        <w:t>2</w:t>
      </w:r>
      <w:r>
        <w:rPr>
          <w:rFonts w:hint="eastAsia" w:ascii="宋体" w:hAnsi="宋体" w:cs="宋体"/>
          <w:bCs/>
          <w:sz w:val="28"/>
          <w:szCs w:val="28"/>
          <w:lang w:val="zh-CN"/>
        </w:rPr>
        <w:t>）</w:t>
      </w:r>
      <w:r>
        <w:rPr>
          <w:rFonts w:hint="eastAsia" w:ascii="宋体" w:hAnsi="宋体" w:cs="宋体"/>
          <w:bCs/>
          <w:sz w:val="28"/>
          <w:szCs w:val="28"/>
        </w:rPr>
        <w:t>法定代表人（非法人组织负责人）证明书</w:t>
      </w:r>
      <w:r>
        <w:rPr>
          <w:sz w:val="28"/>
          <w:szCs w:val="28"/>
        </w:rPr>
        <w:tab/>
      </w:r>
      <w:r>
        <w:rPr>
          <w:sz w:val="28"/>
          <w:szCs w:val="28"/>
        </w:rPr>
        <w:fldChar w:fldCharType="begin"/>
      </w:r>
      <w:r>
        <w:rPr>
          <w:sz w:val="28"/>
          <w:szCs w:val="28"/>
        </w:rPr>
        <w:instrText xml:space="preserve"> PAGEREF _Toc20411 \h </w:instrText>
      </w:r>
      <w:r>
        <w:rPr>
          <w:sz w:val="28"/>
          <w:szCs w:val="28"/>
        </w:rPr>
        <w:fldChar w:fldCharType="separate"/>
      </w:r>
      <w:r>
        <w:rPr>
          <w:sz w:val="28"/>
          <w:szCs w:val="28"/>
        </w:rPr>
        <w:t>44</w:t>
      </w:r>
      <w:r>
        <w:rPr>
          <w:sz w:val="28"/>
          <w:szCs w:val="28"/>
        </w:rPr>
        <w:fldChar w:fldCharType="end"/>
      </w:r>
      <w:r>
        <w:rPr>
          <w:rFonts w:hint="eastAsia" w:ascii="宋体" w:hAnsi="宋体" w:cs="宋体"/>
          <w:color w:val="000000"/>
          <w:sz w:val="28"/>
          <w:szCs w:val="28"/>
        </w:rPr>
        <w:fldChar w:fldCharType="end"/>
      </w:r>
    </w:p>
    <w:p w14:paraId="3B34B20E">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_Toc8049 </w:instrText>
      </w:r>
      <w:r>
        <w:rPr>
          <w:rFonts w:hint="eastAsia" w:ascii="宋体" w:hAnsi="宋体" w:cs="宋体"/>
          <w:sz w:val="28"/>
          <w:szCs w:val="28"/>
        </w:rPr>
        <w:fldChar w:fldCharType="separate"/>
      </w:r>
      <w:r>
        <w:rPr>
          <w:rFonts w:hint="eastAsia"/>
          <w:bCs/>
          <w:sz w:val="28"/>
          <w:szCs w:val="28"/>
        </w:rPr>
        <w:t>（3）法定代表人（非法人组织负责人）授权书</w:t>
      </w:r>
      <w:r>
        <w:rPr>
          <w:sz w:val="28"/>
          <w:szCs w:val="28"/>
        </w:rPr>
        <w:tab/>
      </w:r>
      <w:r>
        <w:rPr>
          <w:sz w:val="28"/>
          <w:szCs w:val="28"/>
        </w:rPr>
        <w:fldChar w:fldCharType="begin"/>
      </w:r>
      <w:r>
        <w:rPr>
          <w:sz w:val="28"/>
          <w:szCs w:val="28"/>
        </w:rPr>
        <w:instrText xml:space="preserve"> PAGEREF _Toc8049 \h </w:instrText>
      </w:r>
      <w:r>
        <w:rPr>
          <w:sz w:val="28"/>
          <w:szCs w:val="28"/>
        </w:rPr>
        <w:fldChar w:fldCharType="separate"/>
      </w:r>
      <w:r>
        <w:rPr>
          <w:sz w:val="28"/>
          <w:szCs w:val="28"/>
        </w:rPr>
        <w:t>45</w:t>
      </w:r>
      <w:r>
        <w:rPr>
          <w:sz w:val="28"/>
          <w:szCs w:val="28"/>
        </w:rPr>
        <w:fldChar w:fldCharType="end"/>
      </w:r>
      <w:r>
        <w:rPr>
          <w:rFonts w:hint="eastAsia" w:ascii="宋体" w:hAnsi="宋体" w:cs="宋体"/>
          <w:color w:val="000000"/>
          <w:sz w:val="28"/>
          <w:szCs w:val="28"/>
        </w:rPr>
        <w:fldChar w:fldCharType="end"/>
      </w:r>
    </w:p>
    <w:p w14:paraId="42EE31B4">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_Toc22653 </w:instrText>
      </w:r>
      <w:r>
        <w:rPr>
          <w:rFonts w:hint="eastAsia" w:ascii="宋体" w:hAnsi="宋体" w:cs="宋体"/>
          <w:sz w:val="28"/>
          <w:szCs w:val="28"/>
        </w:rPr>
        <w:fldChar w:fldCharType="separate"/>
      </w:r>
      <w:r>
        <w:rPr>
          <w:rFonts w:hint="eastAsia"/>
          <w:bCs/>
          <w:sz w:val="28"/>
          <w:szCs w:val="28"/>
        </w:rPr>
        <w:t>（4）</w:t>
      </w:r>
      <w:r>
        <w:rPr>
          <w:rFonts w:hint="eastAsia"/>
          <w:bCs/>
          <w:sz w:val="28"/>
          <w:szCs w:val="28"/>
          <w:lang w:val="zh-CN"/>
        </w:rPr>
        <w:t>投标人承诺函</w:t>
      </w:r>
      <w:r>
        <w:rPr>
          <w:sz w:val="28"/>
          <w:szCs w:val="28"/>
        </w:rPr>
        <w:tab/>
      </w:r>
      <w:r>
        <w:rPr>
          <w:sz w:val="28"/>
          <w:szCs w:val="28"/>
        </w:rPr>
        <w:fldChar w:fldCharType="begin"/>
      </w:r>
      <w:r>
        <w:rPr>
          <w:sz w:val="28"/>
          <w:szCs w:val="28"/>
        </w:rPr>
        <w:instrText xml:space="preserve"> PAGEREF _Toc22653 \h </w:instrText>
      </w:r>
      <w:r>
        <w:rPr>
          <w:sz w:val="28"/>
          <w:szCs w:val="28"/>
        </w:rPr>
        <w:fldChar w:fldCharType="separate"/>
      </w:r>
      <w:r>
        <w:rPr>
          <w:sz w:val="28"/>
          <w:szCs w:val="28"/>
        </w:rPr>
        <w:t>46</w:t>
      </w:r>
      <w:r>
        <w:rPr>
          <w:sz w:val="28"/>
          <w:szCs w:val="28"/>
        </w:rPr>
        <w:fldChar w:fldCharType="end"/>
      </w:r>
      <w:r>
        <w:rPr>
          <w:rFonts w:hint="eastAsia" w:ascii="宋体" w:hAnsi="宋体" w:cs="宋体"/>
          <w:color w:val="000000"/>
          <w:sz w:val="28"/>
          <w:szCs w:val="28"/>
        </w:rPr>
        <w:fldChar w:fldCharType="end"/>
      </w:r>
    </w:p>
    <w:p w14:paraId="2D251A92">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_Toc20537 </w:instrText>
      </w:r>
      <w:r>
        <w:rPr>
          <w:rFonts w:hint="eastAsia" w:ascii="宋体" w:hAnsi="宋体" w:cs="宋体"/>
          <w:sz w:val="28"/>
          <w:szCs w:val="28"/>
        </w:rPr>
        <w:fldChar w:fldCharType="separate"/>
      </w:r>
      <w:r>
        <w:rPr>
          <w:rFonts w:hint="eastAsia"/>
          <w:bCs/>
          <w:sz w:val="28"/>
          <w:szCs w:val="28"/>
        </w:rPr>
        <w:t>（5）</w:t>
      </w:r>
      <w:r>
        <w:rPr>
          <w:rFonts w:hint="eastAsia"/>
          <w:bCs/>
          <w:sz w:val="28"/>
          <w:szCs w:val="28"/>
          <w:lang w:val="zh-CN"/>
        </w:rPr>
        <w:t>投标人诚信承诺书</w:t>
      </w:r>
      <w:r>
        <w:rPr>
          <w:sz w:val="28"/>
          <w:szCs w:val="28"/>
        </w:rPr>
        <w:tab/>
      </w:r>
      <w:r>
        <w:rPr>
          <w:sz w:val="28"/>
          <w:szCs w:val="28"/>
        </w:rPr>
        <w:fldChar w:fldCharType="begin"/>
      </w:r>
      <w:r>
        <w:rPr>
          <w:sz w:val="28"/>
          <w:szCs w:val="28"/>
        </w:rPr>
        <w:instrText xml:space="preserve"> PAGEREF _Toc20537 \h </w:instrText>
      </w:r>
      <w:r>
        <w:rPr>
          <w:sz w:val="28"/>
          <w:szCs w:val="28"/>
        </w:rPr>
        <w:fldChar w:fldCharType="separate"/>
      </w:r>
      <w:r>
        <w:rPr>
          <w:sz w:val="28"/>
          <w:szCs w:val="28"/>
        </w:rPr>
        <w:t>47</w:t>
      </w:r>
      <w:r>
        <w:rPr>
          <w:sz w:val="28"/>
          <w:szCs w:val="28"/>
        </w:rPr>
        <w:fldChar w:fldCharType="end"/>
      </w:r>
      <w:r>
        <w:rPr>
          <w:rFonts w:hint="eastAsia" w:ascii="宋体" w:hAnsi="宋体" w:cs="宋体"/>
          <w:color w:val="000000"/>
          <w:sz w:val="28"/>
          <w:szCs w:val="28"/>
        </w:rPr>
        <w:fldChar w:fldCharType="end"/>
      </w:r>
    </w:p>
    <w:p w14:paraId="2184D6E8">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_Toc28183 </w:instrText>
      </w:r>
      <w:r>
        <w:rPr>
          <w:rFonts w:hint="eastAsia" w:ascii="宋体" w:hAnsi="宋体" w:cs="宋体"/>
          <w:sz w:val="28"/>
          <w:szCs w:val="28"/>
        </w:rPr>
        <w:fldChar w:fldCharType="separate"/>
      </w:r>
      <w:r>
        <w:rPr>
          <w:rFonts w:hint="eastAsia"/>
          <w:bCs/>
          <w:sz w:val="28"/>
          <w:szCs w:val="28"/>
        </w:rPr>
        <w:t>（6）</w:t>
      </w:r>
      <w:r>
        <w:rPr>
          <w:rFonts w:hint="eastAsia"/>
          <w:bCs/>
          <w:sz w:val="28"/>
          <w:szCs w:val="28"/>
          <w:lang w:val="zh-CN"/>
        </w:rPr>
        <w:t>资格证明材料</w:t>
      </w:r>
      <w:r>
        <w:rPr>
          <w:sz w:val="28"/>
          <w:szCs w:val="28"/>
        </w:rPr>
        <w:tab/>
      </w:r>
      <w:r>
        <w:rPr>
          <w:sz w:val="28"/>
          <w:szCs w:val="28"/>
        </w:rPr>
        <w:fldChar w:fldCharType="begin"/>
      </w:r>
      <w:r>
        <w:rPr>
          <w:sz w:val="28"/>
          <w:szCs w:val="28"/>
        </w:rPr>
        <w:instrText xml:space="preserve"> PAGEREF _Toc28183 \h </w:instrText>
      </w:r>
      <w:r>
        <w:rPr>
          <w:sz w:val="28"/>
          <w:szCs w:val="28"/>
        </w:rPr>
        <w:fldChar w:fldCharType="separate"/>
      </w:r>
      <w:r>
        <w:rPr>
          <w:sz w:val="28"/>
          <w:szCs w:val="28"/>
        </w:rPr>
        <w:t>48</w:t>
      </w:r>
      <w:r>
        <w:rPr>
          <w:sz w:val="28"/>
          <w:szCs w:val="28"/>
        </w:rPr>
        <w:fldChar w:fldCharType="end"/>
      </w:r>
      <w:r>
        <w:rPr>
          <w:rFonts w:hint="eastAsia" w:ascii="宋体" w:hAnsi="宋体" w:cs="宋体"/>
          <w:color w:val="000000"/>
          <w:sz w:val="28"/>
          <w:szCs w:val="28"/>
        </w:rPr>
        <w:fldChar w:fldCharType="end"/>
      </w:r>
    </w:p>
    <w:p w14:paraId="3C28F7A4">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_Toc31803 </w:instrText>
      </w:r>
      <w:r>
        <w:rPr>
          <w:rFonts w:hint="eastAsia" w:ascii="宋体" w:hAnsi="宋体" w:cs="宋体"/>
          <w:sz w:val="28"/>
          <w:szCs w:val="28"/>
        </w:rPr>
        <w:fldChar w:fldCharType="separate"/>
      </w:r>
      <w:r>
        <w:rPr>
          <w:rFonts w:hint="eastAsia"/>
          <w:bCs/>
          <w:sz w:val="28"/>
          <w:szCs w:val="28"/>
        </w:rPr>
        <w:t>（7）</w:t>
      </w:r>
      <w:r>
        <w:rPr>
          <w:rFonts w:hint="eastAsia"/>
          <w:bCs/>
          <w:sz w:val="28"/>
          <w:szCs w:val="28"/>
          <w:lang w:val="zh-CN"/>
        </w:rPr>
        <w:t>财务状况报告，依法缴纳税收和社会保障资金的相关材料</w:t>
      </w:r>
      <w:r>
        <w:rPr>
          <w:sz w:val="28"/>
          <w:szCs w:val="28"/>
        </w:rPr>
        <w:tab/>
      </w:r>
      <w:r>
        <w:rPr>
          <w:sz w:val="28"/>
          <w:szCs w:val="28"/>
        </w:rPr>
        <w:fldChar w:fldCharType="begin"/>
      </w:r>
      <w:r>
        <w:rPr>
          <w:sz w:val="28"/>
          <w:szCs w:val="28"/>
        </w:rPr>
        <w:instrText xml:space="preserve"> PAGEREF _Toc31803 \h </w:instrText>
      </w:r>
      <w:r>
        <w:rPr>
          <w:sz w:val="28"/>
          <w:szCs w:val="28"/>
        </w:rPr>
        <w:fldChar w:fldCharType="separate"/>
      </w:r>
      <w:r>
        <w:rPr>
          <w:sz w:val="28"/>
          <w:szCs w:val="28"/>
        </w:rPr>
        <w:t>49</w:t>
      </w:r>
      <w:r>
        <w:rPr>
          <w:sz w:val="28"/>
          <w:szCs w:val="28"/>
        </w:rPr>
        <w:fldChar w:fldCharType="end"/>
      </w:r>
      <w:r>
        <w:rPr>
          <w:rFonts w:hint="eastAsia" w:ascii="宋体" w:hAnsi="宋体" w:cs="宋体"/>
          <w:color w:val="000000"/>
          <w:sz w:val="28"/>
          <w:szCs w:val="28"/>
        </w:rPr>
        <w:fldChar w:fldCharType="end"/>
      </w:r>
    </w:p>
    <w:p w14:paraId="1438EFC5">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_Toc30153 </w:instrText>
      </w:r>
      <w:r>
        <w:rPr>
          <w:rFonts w:hint="eastAsia" w:ascii="宋体" w:hAnsi="宋体" w:cs="宋体"/>
          <w:sz w:val="28"/>
          <w:szCs w:val="28"/>
        </w:rPr>
        <w:fldChar w:fldCharType="separate"/>
      </w:r>
      <w:r>
        <w:rPr>
          <w:rFonts w:hint="eastAsia"/>
          <w:bCs/>
          <w:sz w:val="28"/>
          <w:szCs w:val="28"/>
        </w:rPr>
        <w:t>（8）</w:t>
      </w:r>
      <w:r>
        <w:rPr>
          <w:rFonts w:hint="eastAsia"/>
          <w:bCs/>
          <w:sz w:val="28"/>
          <w:szCs w:val="28"/>
          <w:lang w:val="zh-CN"/>
        </w:rPr>
        <w:t>具备履行合同所必需的设备和专业技术能力的证明材料</w:t>
      </w:r>
      <w:r>
        <w:rPr>
          <w:sz w:val="28"/>
          <w:szCs w:val="28"/>
        </w:rPr>
        <w:tab/>
      </w:r>
      <w:r>
        <w:rPr>
          <w:sz w:val="28"/>
          <w:szCs w:val="28"/>
        </w:rPr>
        <w:fldChar w:fldCharType="begin"/>
      </w:r>
      <w:r>
        <w:rPr>
          <w:sz w:val="28"/>
          <w:szCs w:val="28"/>
        </w:rPr>
        <w:instrText xml:space="preserve"> PAGEREF _Toc30153 \h </w:instrText>
      </w:r>
      <w:r>
        <w:rPr>
          <w:sz w:val="28"/>
          <w:szCs w:val="28"/>
        </w:rPr>
        <w:fldChar w:fldCharType="separate"/>
      </w:r>
      <w:r>
        <w:rPr>
          <w:sz w:val="28"/>
          <w:szCs w:val="28"/>
        </w:rPr>
        <w:t>50</w:t>
      </w:r>
      <w:r>
        <w:rPr>
          <w:sz w:val="28"/>
          <w:szCs w:val="28"/>
        </w:rPr>
        <w:fldChar w:fldCharType="end"/>
      </w:r>
      <w:r>
        <w:rPr>
          <w:rFonts w:hint="eastAsia" w:ascii="宋体" w:hAnsi="宋体" w:cs="宋体"/>
          <w:color w:val="000000"/>
          <w:sz w:val="28"/>
          <w:szCs w:val="28"/>
        </w:rPr>
        <w:fldChar w:fldCharType="end"/>
      </w:r>
    </w:p>
    <w:p w14:paraId="487F7C2D">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_Toc19364 </w:instrText>
      </w:r>
      <w:r>
        <w:rPr>
          <w:rFonts w:hint="eastAsia" w:ascii="宋体" w:hAnsi="宋体" w:cs="宋体"/>
          <w:sz w:val="28"/>
          <w:szCs w:val="28"/>
        </w:rPr>
        <w:fldChar w:fldCharType="separate"/>
      </w:r>
      <w:r>
        <w:rPr>
          <w:rFonts w:hint="eastAsia"/>
          <w:bCs/>
          <w:sz w:val="28"/>
          <w:szCs w:val="28"/>
        </w:rPr>
        <w:t>（9）</w:t>
      </w:r>
      <w:r>
        <w:rPr>
          <w:rFonts w:hint="eastAsia"/>
          <w:bCs/>
          <w:sz w:val="28"/>
          <w:szCs w:val="28"/>
          <w:lang w:val="zh-CN"/>
        </w:rPr>
        <w:t>无重大违法记录声明</w:t>
      </w:r>
      <w:r>
        <w:rPr>
          <w:sz w:val="28"/>
          <w:szCs w:val="28"/>
        </w:rPr>
        <w:tab/>
      </w:r>
      <w:r>
        <w:rPr>
          <w:sz w:val="28"/>
          <w:szCs w:val="28"/>
        </w:rPr>
        <w:fldChar w:fldCharType="begin"/>
      </w:r>
      <w:r>
        <w:rPr>
          <w:sz w:val="28"/>
          <w:szCs w:val="28"/>
        </w:rPr>
        <w:instrText xml:space="preserve"> PAGEREF _Toc19364 \h </w:instrText>
      </w:r>
      <w:r>
        <w:rPr>
          <w:sz w:val="28"/>
          <w:szCs w:val="28"/>
        </w:rPr>
        <w:fldChar w:fldCharType="separate"/>
      </w:r>
      <w:r>
        <w:rPr>
          <w:sz w:val="28"/>
          <w:szCs w:val="28"/>
        </w:rPr>
        <w:t>51</w:t>
      </w:r>
      <w:r>
        <w:rPr>
          <w:sz w:val="28"/>
          <w:szCs w:val="28"/>
        </w:rPr>
        <w:fldChar w:fldCharType="end"/>
      </w:r>
      <w:r>
        <w:rPr>
          <w:rFonts w:hint="eastAsia" w:ascii="宋体" w:hAnsi="宋体" w:cs="宋体"/>
          <w:color w:val="000000"/>
          <w:sz w:val="28"/>
          <w:szCs w:val="28"/>
        </w:rPr>
        <w:fldChar w:fldCharType="end"/>
      </w:r>
    </w:p>
    <w:p w14:paraId="53BD8ED9">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_Toc14131 </w:instrText>
      </w:r>
      <w:r>
        <w:rPr>
          <w:rFonts w:hint="eastAsia" w:ascii="宋体" w:hAnsi="宋体" w:cs="宋体"/>
          <w:sz w:val="28"/>
          <w:szCs w:val="28"/>
        </w:rPr>
        <w:fldChar w:fldCharType="separate"/>
      </w:r>
      <w:r>
        <w:rPr>
          <w:rFonts w:hint="eastAsia"/>
          <w:bCs/>
          <w:sz w:val="28"/>
          <w:szCs w:val="28"/>
        </w:rPr>
        <w:t>（10）</w:t>
      </w:r>
      <w:r>
        <w:rPr>
          <w:rFonts w:hint="eastAsia"/>
          <w:bCs/>
          <w:sz w:val="28"/>
          <w:szCs w:val="28"/>
          <w:lang w:val="zh-CN"/>
        </w:rPr>
        <w:t>磋商保证金证明（</w:t>
      </w:r>
      <w:r>
        <w:rPr>
          <w:rFonts w:hint="eastAsia"/>
          <w:bCs/>
          <w:sz w:val="28"/>
          <w:szCs w:val="28"/>
          <w:lang w:val="en-US" w:eastAsia="zh-CN"/>
        </w:rPr>
        <w:t>本项目不适用</w:t>
      </w:r>
      <w:r>
        <w:rPr>
          <w:rFonts w:hint="eastAsia"/>
          <w:bCs/>
          <w:sz w:val="28"/>
          <w:szCs w:val="28"/>
          <w:lang w:val="zh-CN"/>
        </w:rPr>
        <w:t>）</w:t>
      </w:r>
      <w:r>
        <w:rPr>
          <w:sz w:val="28"/>
          <w:szCs w:val="28"/>
        </w:rPr>
        <w:tab/>
      </w:r>
      <w:r>
        <w:rPr>
          <w:sz w:val="28"/>
          <w:szCs w:val="28"/>
        </w:rPr>
        <w:fldChar w:fldCharType="begin"/>
      </w:r>
      <w:r>
        <w:rPr>
          <w:sz w:val="28"/>
          <w:szCs w:val="28"/>
        </w:rPr>
        <w:instrText xml:space="preserve"> PAGEREF _Toc14131 \h </w:instrText>
      </w:r>
      <w:r>
        <w:rPr>
          <w:sz w:val="28"/>
          <w:szCs w:val="28"/>
        </w:rPr>
        <w:fldChar w:fldCharType="separate"/>
      </w:r>
      <w:r>
        <w:rPr>
          <w:sz w:val="28"/>
          <w:szCs w:val="28"/>
        </w:rPr>
        <w:t>52</w:t>
      </w:r>
      <w:r>
        <w:rPr>
          <w:sz w:val="28"/>
          <w:szCs w:val="28"/>
        </w:rPr>
        <w:fldChar w:fldCharType="end"/>
      </w:r>
      <w:r>
        <w:rPr>
          <w:rFonts w:hint="eastAsia" w:ascii="宋体" w:hAnsi="宋体" w:cs="宋体"/>
          <w:color w:val="000000"/>
          <w:sz w:val="28"/>
          <w:szCs w:val="28"/>
        </w:rPr>
        <w:fldChar w:fldCharType="end"/>
      </w:r>
    </w:p>
    <w:p w14:paraId="2C7B3824">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_Toc20247 </w:instrText>
      </w:r>
      <w:r>
        <w:rPr>
          <w:rFonts w:hint="eastAsia" w:ascii="宋体" w:hAnsi="宋体" w:cs="宋体"/>
          <w:sz w:val="28"/>
          <w:szCs w:val="28"/>
        </w:rPr>
        <w:fldChar w:fldCharType="separate"/>
      </w:r>
      <w:r>
        <w:rPr>
          <w:rFonts w:hint="eastAsia"/>
          <w:bCs/>
          <w:sz w:val="28"/>
          <w:szCs w:val="28"/>
        </w:rPr>
        <w:t>（11）竞争性磋商首次报价表</w:t>
      </w:r>
      <w:r>
        <w:rPr>
          <w:sz w:val="28"/>
          <w:szCs w:val="28"/>
        </w:rPr>
        <w:tab/>
      </w:r>
      <w:r>
        <w:rPr>
          <w:sz w:val="28"/>
          <w:szCs w:val="28"/>
        </w:rPr>
        <w:fldChar w:fldCharType="begin"/>
      </w:r>
      <w:r>
        <w:rPr>
          <w:sz w:val="28"/>
          <w:szCs w:val="28"/>
        </w:rPr>
        <w:instrText xml:space="preserve"> PAGEREF _Toc20247 \h </w:instrText>
      </w:r>
      <w:r>
        <w:rPr>
          <w:sz w:val="28"/>
          <w:szCs w:val="28"/>
        </w:rPr>
        <w:fldChar w:fldCharType="separate"/>
      </w:r>
      <w:r>
        <w:rPr>
          <w:sz w:val="28"/>
          <w:szCs w:val="28"/>
        </w:rPr>
        <w:t>54</w:t>
      </w:r>
      <w:r>
        <w:rPr>
          <w:sz w:val="28"/>
          <w:szCs w:val="28"/>
        </w:rPr>
        <w:fldChar w:fldCharType="end"/>
      </w:r>
      <w:r>
        <w:rPr>
          <w:rFonts w:hint="eastAsia" w:ascii="宋体" w:hAnsi="宋体" w:cs="宋体"/>
          <w:color w:val="000000"/>
          <w:sz w:val="28"/>
          <w:szCs w:val="28"/>
        </w:rPr>
        <w:fldChar w:fldCharType="end"/>
      </w:r>
    </w:p>
    <w:p w14:paraId="6E485278">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_Toc20968 </w:instrText>
      </w:r>
      <w:r>
        <w:rPr>
          <w:rFonts w:hint="eastAsia" w:ascii="宋体" w:hAnsi="宋体" w:cs="宋体"/>
          <w:sz w:val="28"/>
          <w:szCs w:val="28"/>
        </w:rPr>
        <w:fldChar w:fldCharType="separate"/>
      </w:r>
      <w:r>
        <w:rPr>
          <w:rFonts w:hint="eastAsia"/>
          <w:bCs/>
          <w:sz w:val="28"/>
          <w:szCs w:val="28"/>
        </w:rPr>
        <w:t>（12）分项报价表</w:t>
      </w:r>
      <w:r>
        <w:rPr>
          <w:sz w:val="28"/>
          <w:szCs w:val="28"/>
        </w:rPr>
        <w:tab/>
      </w:r>
      <w:r>
        <w:rPr>
          <w:sz w:val="28"/>
          <w:szCs w:val="28"/>
        </w:rPr>
        <w:fldChar w:fldCharType="begin"/>
      </w:r>
      <w:r>
        <w:rPr>
          <w:sz w:val="28"/>
          <w:szCs w:val="28"/>
        </w:rPr>
        <w:instrText xml:space="preserve"> PAGEREF _Toc20968 \h </w:instrText>
      </w:r>
      <w:r>
        <w:rPr>
          <w:sz w:val="28"/>
          <w:szCs w:val="28"/>
        </w:rPr>
        <w:fldChar w:fldCharType="separate"/>
      </w:r>
      <w:r>
        <w:rPr>
          <w:sz w:val="28"/>
          <w:szCs w:val="28"/>
        </w:rPr>
        <w:t>55</w:t>
      </w:r>
      <w:r>
        <w:rPr>
          <w:sz w:val="28"/>
          <w:szCs w:val="28"/>
        </w:rPr>
        <w:fldChar w:fldCharType="end"/>
      </w:r>
      <w:r>
        <w:rPr>
          <w:rFonts w:hint="eastAsia" w:ascii="宋体" w:hAnsi="宋体" w:cs="宋体"/>
          <w:color w:val="000000"/>
          <w:sz w:val="28"/>
          <w:szCs w:val="28"/>
        </w:rPr>
        <w:fldChar w:fldCharType="end"/>
      </w:r>
    </w:p>
    <w:p w14:paraId="421F3FD2">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_Toc7018 </w:instrText>
      </w:r>
      <w:r>
        <w:rPr>
          <w:rFonts w:hint="eastAsia" w:ascii="宋体" w:hAnsi="宋体" w:cs="宋体"/>
          <w:sz w:val="28"/>
          <w:szCs w:val="28"/>
        </w:rPr>
        <w:fldChar w:fldCharType="separate"/>
      </w:r>
      <w:r>
        <w:rPr>
          <w:rFonts w:hint="eastAsia"/>
          <w:bCs/>
          <w:sz w:val="28"/>
          <w:szCs w:val="28"/>
        </w:rPr>
        <w:t>（13）供应商类似业绩证明材料</w:t>
      </w:r>
      <w:r>
        <w:rPr>
          <w:sz w:val="28"/>
          <w:szCs w:val="28"/>
        </w:rPr>
        <w:tab/>
      </w:r>
      <w:r>
        <w:rPr>
          <w:sz w:val="28"/>
          <w:szCs w:val="28"/>
        </w:rPr>
        <w:fldChar w:fldCharType="begin"/>
      </w:r>
      <w:r>
        <w:rPr>
          <w:sz w:val="28"/>
          <w:szCs w:val="28"/>
        </w:rPr>
        <w:instrText xml:space="preserve"> PAGEREF _Toc7018 \h </w:instrText>
      </w:r>
      <w:r>
        <w:rPr>
          <w:sz w:val="28"/>
          <w:szCs w:val="28"/>
        </w:rPr>
        <w:fldChar w:fldCharType="separate"/>
      </w:r>
      <w:r>
        <w:rPr>
          <w:sz w:val="28"/>
          <w:szCs w:val="28"/>
        </w:rPr>
        <w:t>56</w:t>
      </w:r>
      <w:r>
        <w:rPr>
          <w:sz w:val="28"/>
          <w:szCs w:val="28"/>
        </w:rPr>
        <w:fldChar w:fldCharType="end"/>
      </w:r>
      <w:r>
        <w:rPr>
          <w:rFonts w:hint="eastAsia" w:ascii="宋体" w:hAnsi="宋体" w:cs="宋体"/>
          <w:color w:val="000000"/>
          <w:sz w:val="28"/>
          <w:szCs w:val="28"/>
        </w:rPr>
        <w:fldChar w:fldCharType="end"/>
      </w:r>
    </w:p>
    <w:p w14:paraId="49D8E702">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_Toc29872 </w:instrText>
      </w:r>
      <w:r>
        <w:rPr>
          <w:rFonts w:hint="eastAsia" w:ascii="宋体" w:hAnsi="宋体" w:cs="宋体"/>
          <w:sz w:val="28"/>
          <w:szCs w:val="28"/>
        </w:rPr>
        <w:fldChar w:fldCharType="separate"/>
      </w:r>
      <w:r>
        <w:rPr>
          <w:rFonts w:hint="eastAsia"/>
          <w:bCs/>
          <w:sz w:val="28"/>
          <w:szCs w:val="28"/>
        </w:rPr>
        <w:t>（14）拟委任的主要人员汇总表</w:t>
      </w:r>
      <w:r>
        <w:rPr>
          <w:sz w:val="28"/>
          <w:szCs w:val="28"/>
        </w:rPr>
        <w:tab/>
      </w:r>
      <w:r>
        <w:rPr>
          <w:sz w:val="28"/>
          <w:szCs w:val="28"/>
        </w:rPr>
        <w:fldChar w:fldCharType="begin"/>
      </w:r>
      <w:r>
        <w:rPr>
          <w:sz w:val="28"/>
          <w:szCs w:val="28"/>
        </w:rPr>
        <w:instrText xml:space="preserve"> PAGEREF _Toc29872 \h </w:instrText>
      </w:r>
      <w:r>
        <w:rPr>
          <w:sz w:val="28"/>
          <w:szCs w:val="28"/>
        </w:rPr>
        <w:fldChar w:fldCharType="separate"/>
      </w:r>
      <w:r>
        <w:rPr>
          <w:sz w:val="28"/>
          <w:szCs w:val="28"/>
        </w:rPr>
        <w:t>57</w:t>
      </w:r>
      <w:r>
        <w:rPr>
          <w:sz w:val="28"/>
          <w:szCs w:val="28"/>
        </w:rPr>
        <w:fldChar w:fldCharType="end"/>
      </w:r>
      <w:r>
        <w:rPr>
          <w:rFonts w:hint="eastAsia" w:ascii="宋体" w:hAnsi="宋体" w:cs="宋体"/>
          <w:color w:val="000000"/>
          <w:sz w:val="28"/>
          <w:szCs w:val="28"/>
        </w:rPr>
        <w:fldChar w:fldCharType="end"/>
      </w:r>
    </w:p>
    <w:p w14:paraId="494D8812">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_Toc1135 </w:instrText>
      </w:r>
      <w:r>
        <w:rPr>
          <w:rFonts w:hint="eastAsia" w:ascii="宋体" w:hAnsi="宋体" w:cs="宋体"/>
          <w:sz w:val="28"/>
          <w:szCs w:val="28"/>
        </w:rPr>
        <w:fldChar w:fldCharType="separate"/>
      </w:r>
      <w:r>
        <w:rPr>
          <w:rFonts w:hint="eastAsia"/>
          <w:bCs/>
          <w:sz w:val="28"/>
          <w:szCs w:val="28"/>
        </w:rPr>
        <w:t>（15）主要人员简历表</w:t>
      </w:r>
      <w:r>
        <w:rPr>
          <w:sz w:val="28"/>
          <w:szCs w:val="28"/>
        </w:rPr>
        <w:tab/>
      </w:r>
      <w:r>
        <w:rPr>
          <w:sz w:val="28"/>
          <w:szCs w:val="28"/>
        </w:rPr>
        <w:fldChar w:fldCharType="begin"/>
      </w:r>
      <w:r>
        <w:rPr>
          <w:sz w:val="28"/>
          <w:szCs w:val="28"/>
        </w:rPr>
        <w:instrText xml:space="preserve"> PAGEREF _Toc1135 \h </w:instrText>
      </w:r>
      <w:r>
        <w:rPr>
          <w:sz w:val="28"/>
          <w:szCs w:val="28"/>
        </w:rPr>
        <w:fldChar w:fldCharType="separate"/>
      </w:r>
      <w:r>
        <w:rPr>
          <w:sz w:val="28"/>
          <w:szCs w:val="28"/>
        </w:rPr>
        <w:t>58</w:t>
      </w:r>
      <w:r>
        <w:rPr>
          <w:sz w:val="28"/>
          <w:szCs w:val="28"/>
        </w:rPr>
        <w:fldChar w:fldCharType="end"/>
      </w:r>
      <w:r>
        <w:rPr>
          <w:rFonts w:hint="eastAsia" w:ascii="宋体" w:hAnsi="宋体" w:cs="宋体"/>
          <w:color w:val="000000"/>
          <w:sz w:val="28"/>
          <w:szCs w:val="28"/>
        </w:rPr>
        <w:fldChar w:fldCharType="end"/>
      </w:r>
    </w:p>
    <w:p w14:paraId="65C786CF">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_Toc2991 </w:instrText>
      </w:r>
      <w:r>
        <w:rPr>
          <w:rFonts w:hint="eastAsia" w:ascii="宋体" w:hAnsi="宋体" w:cs="宋体"/>
          <w:sz w:val="28"/>
          <w:szCs w:val="28"/>
        </w:rPr>
        <w:fldChar w:fldCharType="separate"/>
      </w:r>
      <w:r>
        <w:rPr>
          <w:rFonts w:hint="eastAsia"/>
          <w:bCs/>
          <w:sz w:val="28"/>
          <w:szCs w:val="28"/>
        </w:rPr>
        <w:t>（16）服务方案</w:t>
      </w:r>
      <w:r>
        <w:rPr>
          <w:sz w:val="28"/>
          <w:szCs w:val="28"/>
        </w:rPr>
        <w:tab/>
      </w:r>
      <w:r>
        <w:rPr>
          <w:sz w:val="28"/>
          <w:szCs w:val="28"/>
        </w:rPr>
        <w:fldChar w:fldCharType="begin"/>
      </w:r>
      <w:r>
        <w:rPr>
          <w:sz w:val="28"/>
          <w:szCs w:val="28"/>
        </w:rPr>
        <w:instrText xml:space="preserve"> PAGEREF _Toc2991 \h </w:instrText>
      </w:r>
      <w:r>
        <w:rPr>
          <w:sz w:val="28"/>
          <w:szCs w:val="28"/>
        </w:rPr>
        <w:fldChar w:fldCharType="separate"/>
      </w:r>
      <w:r>
        <w:rPr>
          <w:sz w:val="28"/>
          <w:szCs w:val="28"/>
        </w:rPr>
        <w:t>59</w:t>
      </w:r>
      <w:r>
        <w:rPr>
          <w:sz w:val="28"/>
          <w:szCs w:val="28"/>
        </w:rPr>
        <w:fldChar w:fldCharType="end"/>
      </w:r>
      <w:r>
        <w:rPr>
          <w:rFonts w:hint="eastAsia" w:ascii="宋体" w:hAnsi="宋体" w:cs="宋体"/>
          <w:color w:val="000000"/>
          <w:sz w:val="28"/>
          <w:szCs w:val="28"/>
        </w:rPr>
        <w:fldChar w:fldCharType="end"/>
      </w:r>
    </w:p>
    <w:p w14:paraId="67F0ED05">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_Toc30436 </w:instrText>
      </w:r>
      <w:r>
        <w:rPr>
          <w:rFonts w:hint="eastAsia" w:ascii="宋体" w:hAnsi="宋体" w:cs="宋体"/>
          <w:sz w:val="28"/>
          <w:szCs w:val="28"/>
        </w:rPr>
        <w:fldChar w:fldCharType="separate"/>
      </w:r>
      <w:r>
        <w:rPr>
          <w:rFonts w:hint="eastAsia"/>
          <w:bCs/>
          <w:sz w:val="28"/>
          <w:szCs w:val="28"/>
        </w:rPr>
        <w:t>（17）享受政府采购政策优惠的证明资料</w:t>
      </w:r>
      <w:r>
        <w:rPr>
          <w:sz w:val="28"/>
          <w:szCs w:val="28"/>
        </w:rPr>
        <w:tab/>
      </w:r>
      <w:r>
        <w:rPr>
          <w:sz w:val="28"/>
          <w:szCs w:val="28"/>
        </w:rPr>
        <w:fldChar w:fldCharType="begin"/>
      </w:r>
      <w:r>
        <w:rPr>
          <w:sz w:val="28"/>
          <w:szCs w:val="28"/>
        </w:rPr>
        <w:instrText xml:space="preserve"> PAGEREF _Toc30436 \h </w:instrText>
      </w:r>
      <w:r>
        <w:rPr>
          <w:sz w:val="28"/>
          <w:szCs w:val="28"/>
        </w:rPr>
        <w:fldChar w:fldCharType="separate"/>
      </w:r>
      <w:r>
        <w:rPr>
          <w:sz w:val="28"/>
          <w:szCs w:val="28"/>
        </w:rPr>
        <w:t>60</w:t>
      </w:r>
      <w:r>
        <w:rPr>
          <w:sz w:val="28"/>
          <w:szCs w:val="28"/>
        </w:rPr>
        <w:fldChar w:fldCharType="end"/>
      </w:r>
      <w:r>
        <w:rPr>
          <w:rFonts w:hint="eastAsia" w:ascii="宋体" w:hAnsi="宋体" w:cs="宋体"/>
          <w:color w:val="000000"/>
          <w:sz w:val="28"/>
          <w:szCs w:val="28"/>
        </w:rPr>
        <w:fldChar w:fldCharType="end"/>
      </w:r>
    </w:p>
    <w:p w14:paraId="4C2B0CDB">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_Toc1303 </w:instrText>
      </w:r>
      <w:r>
        <w:rPr>
          <w:rFonts w:hint="eastAsia" w:ascii="宋体" w:hAnsi="宋体" w:cs="宋体"/>
          <w:sz w:val="28"/>
          <w:szCs w:val="28"/>
        </w:rPr>
        <w:fldChar w:fldCharType="separate"/>
      </w:r>
      <w:r>
        <w:rPr>
          <w:rFonts w:hint="eastAsia"/>
          <w:bCs/>
          <w:sz w:val="28"/>
          <w:szCs w:val="28"/>
          <w:lang w:eastAsia="zh-CN"/>
        </w:rPr>
        <w:t>（</w:t>
      </w:r>
      <w:r>
        <w:rPr>
          <w:rFonts w:hint="eastAsia"/>
          <w:bCs/>
          <w:sz w:val="28"/>
          <w:szCs w:val="28"/>
          <w:lang w:val="en-US" w:eastAsia="zh-CN"/>
        </w:rPr>
        <w:t>18</w:t>
      </w:r>
      <w:r>
        <w:rPr>
          <w:rFonts w:hint="eastAsia"/>
          <w:bCs/>
          <w:sz w:val="28"/>
          <w:szCs w:val="28"/>
          <w:lang w:eastAsia="zh-CN"/>
        </w:rPr>
        <w:t>）</w:t>
      </w:r>
      <w:r>
        <w:rPr>
          <w:rFonts w:hint="eastAsia"/>
          <w:bCs/>
          <w:sz w:val="28"/>
          <w:szCs w:val="28"/>
        </w:rPr>
        <w:t>供应商认为在其他方面有必要说明的事项</w:t>
      </w:r>
      <w:r>
        <w:rPr>
          <w:sz w:val="28"/>
          <w:szCs w:val="28"/>
        </w:rPr>
        <w:tab/>
      </w:r>
      <w:r>
        <w:rPr>
          <w:sz w:val="28"/>
          <w:szCs w:val="28"/>
        </w:rPr>
        <w:fldChar w:fldCharType="begin"/>
      </w:r>
      <w:r>
        <w:rPr>
          <w:sz w:val="28"/>
          <w:szCs w:val="28"/>
        </w:rPr>
        <w:instrText xml:space="preserve"> PAGEREF _Toc1303 \h </w:instrText>
      </w:r>
      <w:r>
        <w:rPr>
          <w:sz w:val="28"/>
          <w:szCs w:val="28"/>
        </w:rPr>
        <w:fldChar w:fldCharType="separate"/>
      </w:r>
      <w:r>
        <w:rPr>
          <w:sz w:val="28"/>
          <w:szCs w:val="28"/>
        </w:rPr>
        <w:t>64</w:t>
      </w:r>
      <w:r>
        <w:rPr>
          <w:sz w:val="28"/>
          <w:szCs w:val="28"/>
        </w:rPr>
        <w:fldChar w:fldCharType="end"/>
      </w:r>
      <w:r>
        <w:rPr>
          <w:rFonts w:hint="eastAsia" w:ascii="宋体" w:hAnsi="宋体" w:cs="宋体"/>
          <w:color w:val="000000"/>
          <w:sz w:val="28"/>
          <w:szCs w:val="28"/>
        </w:rPr>
        <w:fldChar w:fldCharType="end"/>
      </w:r>
    </w:p>
    <w:p w14:paraId="7C4FFBE5">
      <w:pPr>
        <w:pStyle w:val="27"/>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_Toc13051 </w:instrText>
      </w:r>
      <w:r>
        <w:rPr>
          <w:rFonts w:hint="eastAsia" w:ascii="宋体" w:hAnsi="宋体" w:cs="宋体"/>
          <w:sz w:val="28"/>
          <w:szCs w:val="28"/>
        </w:rPr>
        <w:fldChar w:fldCharType="separate"/>
      </w:r>
      <w:r>
        <w:rPr>
          <w:rFonts w:hint="eastAsia"/>
          <w:bCs/>
          <w:sz w:val="28"/>
          <w:szCs w:val="28"/>
          <w:lang w:eastAsia="zh-CN"/>
        </w:rPr>
        <w:t>（</w:t>
      </w:r>
      <w:r>
        <w:rPr>
          <w:rFonts w:hint="eastAsia"/>
          <w:bCs/>
          <w:sz w:val="28"/>
          <w:szCs w:val="28"/>
          <w:lang w:val="en-US" w:eastAsia="zh-CN"/>
        </w:rPr>
        <w:t>19</w:t>
      </w:r>
      <w:r>
        <w:rPr>
          <w:rFonts w:hint="eastAsia"/>
          <w:bCs/>
          <w:sz w:val="28"/>
          <w:szCs w:val="28"/>
          <w:lang w:eastAsia="zh-CN"/>
        </w:rPr>
        <w:t>）</w:t>
      </w:r>
      <w:r>
        <w:rPr>
          <w:rFonts w:hint="eastAsia"/>
          <w:bCs/>
          <w:sz w:val="28"/>
          <w:szCs w:val="28"/>
        </w:rPr>
        <w:t>供应商最终报价表</w:t>
      </w:r>
      <w:r>
        <w:rPr>
          <w:sz w:val="28"/>
          <w:szCs w:val="28"/>
        </w:rPr>
        <w:tab/>
      </w:r>
      <w:r>
        <w:rPr>
          <w:sz w:val="28"/>
          <w:szCs w:val="28"/>
        </w:rPr>
        <w:fldChar w:fldCharType="begin"/>
      </w:r>
      <w:r>
        <w:rPr>
          <w:sz w:val="28"/>
          <w:szCs w:val="28"/>
        </w:rPr>
        <w:instrText xml:space="preserve"> PAGEREF _Toc13051 \h </w:instrText>
      </w:r>
      <w:r>
        <w:rPr>
          <w:sz w:val="28"/>
          <w:szCs w:val="28"/>
        </w:rPr>
        <w:fldChar w:fldCharType="separate"/>
      </w:r>
      <w:r>
        <w:rPr>
          <w:sz w:val="28"/>
          <w:szCs w:val="28"/>
        </w:rPr>
        <w:t>65</w:t>
      </w:r>
      <w:r>
        <w:rPr>
          <w:sz w:val="28"/>
          <w:szCs w:val="28"/>
        </w:rPr>
        <w:fldChar w:fldCharType="end"/>
      </w:r>
      <w:r>
        <w:rPr>
          <w:rFonts w:hint="eastAsia" w:ascii="宋体" w:hAnsi="宋体" w:cs="宋体"/>
          <w:color w:val="000000"/>
          <w:sz w:val="28"/>
          <w:szCs w:val="28"/>
        </w:rPr>
        <w:fldChar w:fldCharType="end"/>
      </w:r>
    </w:p>
    <w:p w14:paraId="02685C3D">
      <w:pPr>
        <w:pStyle w:val="22"/>
        <w:keepNext w:val="0"/>
        <w:keepLines w:val="0"/>
        <w:pageBreakBefore w:val="0"/>
        <w:tabs>
          <w:tab w:val="right" w:leader="dot" w:pos="9746"/>
          <w:tab w:val="clear" w:pos="829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_Toc2056 </w:instrText>
      </w:r>
      <w:r>
        <w:rPr>
          <w:rFonts w:hint="eastAsia" w:ascii="宋体" w:hAnsi="宋体" w:cs="宋体"/>
          <w:sz w:val="28"/>
          <w:szCs w:val="28"/>
        </w:rPr>
        <w:fldChar w:fldCharType="separate"/>
      </w:r>
      <w:r>
        <w:rPr>
          <w:rFonts w:hint="eastAsia" w:hAnsi="宋体" w:cs="宋体"/>
          <w:bCs/>
          <w:kern w:val="28"/>
          <w:sz w:val="28"/>
          <w:szCs w:val="28"/>
        </w:rPr>
        <w:t>第六部分 采购项目要求及服务内容</w:t>
      </w:r>
      <w:r>
        <w:rPr>
          <w:sz w:val="28"/>
          <w:szCs w:val="28"/>
        </w:rPr>
        <w:tab/>
      </w:r>
      <w:r>
        <w:rPr>
          <w:sz w:val="28"/>
          <w:szCs w:val="28"/>
        </w:rPr>
        <w:fldChar w:fldCharType="begin"/>
      </w:r>
      <w:r>
        <w:rPr>
          <w:sz w:val="28"/>
          <w:szCs w:val="28"/>
        </w:rPr>
        <w:instrText xml:space="preserve"> PAGEREF _Toc2056 \h </w:instrText>
      </w:r>
      <w:r>
        <w:rPr>
          <w:sz w:val="28"/>
          <w:szCs w:val="28"/>
        </w:rPr>
        <w:fldChar w:fldCharType="separate"/>
      </w:r>
      <w:r>
        <w:rPr>
          <w:sz w:val="28"/>
          <w:szCs w:val="28"/>
        </w:rPr>
        <w:t>66</w:t>
      </w:r>
      <w:r>
        <w:rPr>
          <w:sz w:val="28"/>
          <w:szCs w:val="28"/>
        </w:rPr>
        <w:fldChar w:fldCharType="end"/>
      </w:r>
      <w:r>
        <w:rPr>
          <w:rFonts w:hint="eastAsia" w:ascii="宋体" w:hAnsi="宋体" w:cs="宋体"/>
          <w:color w:val="000000"/>
          <w:sz w:val="28"/>
          <w:szCs w:val="28"/>
        </w:rPr>
        <w:fldChar w:fldCharType="end"/>
      </w:r>
    </w:p>
    <w:p w14:paraId="36E6C304">
      <w:pPr>
        <w:pStyle w:val="16"/>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_Toc29729 </w:instrText>
      </w:r>
      <w:r>
        <w:rPr>
          <w:rFonts w:hint="eastAsia" w:ascii="宋体" w:hAnsi="宋体" w:cs="宋体"/>
          <w:sz w:val="28"/>
          <w:szCs w:val="28"/>
        </w:rPr>
        <w:fldChar w:fldCharType="separate"/>
      </w:r>
      <w:r>
        <w:rPr>
          <w:rFonts w:hint="eastAsia" w:ascii="宋体" w:hAnsi="宋体"/>
          <w:bCs/>
          <w:kern w:val="0"/>
          <w:sz w:val="28"/>
          <w:szCs w:val="28"/>
        </w:rPr>
        <w:t>一、磋商要求</w:t>
      </w:r>
      <w:r>
        <w:rPr>
          <w:sz w:val="28"/>
          <w:szCs w:val="28"/>
        </w:rPr>
        <w:tab/>
      </w:r>
      <w:r>
        <w:rPr>
          <w:sz w:val="28"/>
          <w:szCs w:val="28"/>
        </w:rPr>
        <w:fldChar w:fldCharType="begin"/>
      </w:r>
      <w:r>
        <w:rPr>
          <w:sz w:val="28"/>
          <w:szCs w:val="28"/>
        </w:rPr>
        <w:instrText xml:space="preserve"> PAGEREF _Toc29729 \h </w:instrText>
      </w:r>
      <w:r>
        <w:rPr>
          <w:sz w:val="28"/>
          <w:szCs w:val="28"/>
        </w:rPr>
        <w:fldChar w:fldCharType="separate"/>
      </w:r>
      <w:r>
        <w:rPr>
          <w:sz w:val="28"/>
          <w:szCs w:val="28"/>
        </w:rPr>
        <w:t>66</w:t>
      </w:r>
      <w:r>
        <w:rPr>
          <w:sz w:val="28"/>
          <w:szCs w:val="28"/>
        </w:rPr>
        <w:fldChar w:fldCharType="end"/>
      </w:r>
      <w:r>
        <w:rPr>
          <w:rFonts w:hint="eastAsia" w:ascii="宋体" w:hAnsi="宋体" w:cs="宋体"/>
          <w:color w:val="000000"/>
          <w:sz w:val="28"/>
          <w:szCs w:val="28"/>
        </w:rPr>
        <w:fldChar w:fldCharType="end"/>
      </w:r>
    </w:p>
    <w:p w14:paraId="7A31A1E7">
      <w:pPr>
        <w:pStyle w:val="16"/>
        <w:keepNext w:val="0"/>
        <w:keepLines w:val="0"/>
        <w:pageBreakBefore w:val="0"/>
        <w:tabs>
          <w:tab w:val="right" w:leader="dot" w:pos="974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_Toc6090 </w:instrText>
      </w:r>
      <w:r>
        <w:rPr>
          <w:rFonts w:hint="eastAsia" w:ascii="宋体" w:hAnsi="宋体" w:cs="宋体"/>
          <w:sz w:val="28"/>
          <w:szCs w:val="28"/>
        </w:rPr>
        <w:fldChar w:fldCharType="separate"/>
      </w:r>
      <w:r>
        <w:rPr>
          <w:rFonts w:hint="eastAsia" w:ascii="宋体" w:hAnsi="宋体" w:cs="宋体"/>
          <w:bCs/>
          <w:kern w:val="0"/>
          <w:sz w:val="28"/>
          <w:szCs w:val="28"/>
          <w:lang w:val="en-US" w:eastAsia="zh-CN" w:bidi="ar"/>
        </w:rPr>
        <w:t>二、服务</w:t>
      </w:r>
      <w:r>
        <w:rPr>
          <w:rFonts w:hint="eastAsia" w:ascii="宋体" w:hAnsi="宋体" w:cs="宋体"/>
          <w:bCs/>
          <w:kern w:val="0"/>
          <w:sz w:val="28"/>
          <w:szCs w:val="28"/>
          <w:lang w:eastAsia="zh-CN" w:bidi="ar"/>
        </w:rPr>
        <w:t>内容</w:t>
      </w:r>
      <w:r>
        <w:rPr>
          <w:sz w:val="28"/>
          <w:szCs w:val="28"/>
        </w:rPr>
        <w:tab/>
      </w:r>
      <w:r>
        <w:rPr>
          <w:sz w:val="28"/>
          <w:szCs w:val="28"/>
        </w:rPr>
        <w:fldChar w:fldCharType="begin"/>
      </w:r>
      <w:r>
        <w:rPr>
          <w:sz w:val="28"/>
          <w:szCs w:val="28"/>
        </w:rPr>
        <w:instrText xml:space="preserve"> PAGEREF _Toc6090 \h </w:instrText>
      </w:r>
      <w:r>
        <w:rPr>
          <w:sz w:val="28"/>
          <w:szCs w:val="28"/>
        </w:rPr>
        <w:fldChar w:fldCharType="separate"/>
      </w:r>
      <w:r>
        <w:rPr>
          <w:sz w:val="28"/>
          <w:szCs w:val="28"/>
        </w:rPr>
        <w:t>68</w:t>
      </w:r>
      <w:r>
        <w:rPr>
          <w:sz w:val="28"/>
          <w:szCs w:val="28"/>
        </w:rPr>
        <w:fldChar w:fldCharType="end"/>
      </w:r>
      <w:r>
        <w:rPr>
          <w:rFonts w:hint="eastAsia" w:ascii="宋体" w:hAnsi="宋体" w:cs="宋体"/>
          <w:color w:val="000000"/>
          <w:sz w:val="28"/>
          <w:szCs w:val="28"/>
        </w:rPr>
        <w:fldChar w:fldCharType="end"/>
      </w:r>
    </w:p>
    <w:p w14:paraId="79BE7A6B">
      <w:pPr>
        <w:pStyle w:val="22"/>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color w:val="000000"/>
        </w:rPr>
      </w:pPr>
      <w:r>
        <w:rPr>
          <w:rFonts w:hint="eastAsia" w:ascii="宋体" w:hAnsi="宋体" w:cs="宋体"/>
          <w:color w:val="000000"/>
          <w:sz w:val="28"/>
          <w:szCs w:val="28"/>
        </w:rPr>
        <w:fldChar w:fldCharType="end"/>
      </w:r>
    </w:p>
    <w:p w14:paraId="0C74C48C">
      <w:pPr>
        <w:pStyle w:val="25"/>
        <w:spacing w:before="0" w:after="0" w:line="360" w:lineRule="auto"/>
        <w:ind w:firstLine="2617" w:firstLineChars="543"/>
        <w:jc w:val="both"/>
        <w:outlineLvl w:val="0"/>
        <w:rPr>
          <w:rFonts w:ascii="宋体" w:hAnsi="宋体" w:cs="宋体"/>
          <w:color w:val="000000"/>
          <w:sz w:val="48"/>
        </w:rPr>
        <w:sectPr>
          <w:headerReference r:id="rId6" w:type="first"/>
          <w:footerReference r:id="rId8" w:type="first"/>
          <w:headerReference r:id="rId5" w:type="default"/>
          <w:footerReference r:id="rId7" w:type="default"/>
          <w:pgSz w:w="11906" w:h="16838"/>
          <w:pgMar w:top="1383" w:right="1080" w:bottom="1440" w:left="1080" w:header="851" w:footer="850" w:gutter="0"/>
          <w:pgBorders>
            <w:top w:val="none" w:sz="0" w:space="0"/>
            <w:left w:val="none" w:sz="0" w:space="0"/>
            <w:bottom w:val="none" w:sz="0" w:space="0"/>
            <w:right w:val="none" w:sz="0" w:space="0"/>
          </w:pgBorders>
          <w:pgNumType w:fmt="decimal" w:start="1"/>
          <w:cols w:space="720" w:num="1"/>
          <w:titlePg/>
          <w:docGrid w:linePitch="312" w:charSpace="0"/>
        </w:sectPr>
      </w:pPr>
      <w:bookmarkStart w:id="10" w:name="_Toc17799"/>
      <w:bookmarkStart w:id="11" w:name="_Toc444715732"/>
    </w:p>
    <w:p w14:paraId="765DBA14">
      <w:pPr>
        <w:pStyle w:val="25"/>
        <w:spacing w:before="0" w:after="0" w:line="360" w:lineRule="auto"/>
        <w:ind w:firstLine="2617" w:firstLineChars="543"/>
        <w:jc w:val="both"/>
        <w:outlineLvl w:val="0"/>
        <w:rPr>
          <w:rFonts w:ascii="宋体" w:hAnsi="宋体" w:cs="宋体"/>
          <w:color w:val="000000"/>
          <w:sz w:val="48"/>
        </w:rPr>
      </w:pPr>
      <w:bookmarkStart w:id="12" w:name="_Toc105"/>
      <w:bookmarkStart w:id="13" w:name="_Toc3034"/>
      <w:r>
        <w:rPr>
          <w:rFonts w:hint="eastAsia" w:ascii="宋体" w:hAnsi="宋体" w:cs="宋体"/>
          <w:color w:val="000000"/>
          <w:sz w:val="48"/>
        </w:rPr>
        <w:t>第一部分  磋商邀请</w:t>
      </w:r>
      <w:bookmarkEnd w:id="10"/>
      <w:bookmarkEnd w:id="11"/>
      <w:bookmarkEnd w:id="12"/>
      <w:bookmarkEnd w:id="13"/>
    </w:p>
    <w:p w14:paraId="5DF591A5">
      <w:pPr>
        <w:ind w:firstLine="480" w:firstLineChars="200"/>
        <w:textAlignment w:val="baseline"/>
        <w:rPr>
          <w:rFonts w:ascii="宋体" w:hAnsi="宋体" w:cs="宋体"/>
          <w:color w:val="000000"/>
        </w:rPr>
      </w:pPr>
      <w:r>
        <w:rPr>
          <w:rFonts w:hint="eastAsia" w:ascii="宋体" w:hAnsi="宋体" w:cs="宋体"/>
          <w:color w:val="000000"/>
          <w:lang w:eastAsia="zh-CN"/>
        </w:rPr>
        <w:t>青海鹏杰工程项目管理有限公司</w:t>
      </w:r>
      <w:r>
        <w:rPr>
          <w:rFonts w:hint="eastAsia" w:ascii="宋体" w:hAnsi="宋体" w:cs="宋体"/>
          <w:color w:val="000000"/>
        </w:rPr>
        <w:t>（以下均简称“采购代理机构”）受</w:t>
      </w:r>
      <w:r>
        <w:rPr>
          <w:rFonts w:hint="eastAsia" w:ascii="宋体" w:hAnsi="宋体" w:cs="宋体"/>
          <w:color w:val="000000"/>
          <w:lang w:eastAsia="zh-CN"/>
        </w:rPr>
        <w:t>湟源县水利局</w:t>
      </w:r>
      <w:r>
        <w:rPr>
          <w:rFonts w:hint="eastAsia" w:ascii="宋体" w:hAnsi="宋体" w:cs="宋体"/>
          <w:color w:val="000000"/>
        </w:rPr>
        <w:t>（以下均简称“采购人”）委托，拟对“</w:t>
      </w:r>
      <w:r>
        <w:rPr>
          <w:rFonts w:hint="eastAsia" w:ascii="宋体" w:hAnsi="宋体" w:cs="宋体"/>
          <w:color w:val="000000"/>
          <w:lang w:eastAsia="zh-CN"/>
        </w:rPr>
        <w:t xml:space="preserve">湟源县17座农村污水处理站运维服务  </w:t>
      </w:r>
      <w:r>
        <w:rPr>
          <w:rFonts w:hint="eastAsia" w:ascii="宋体" w:hAnsi="宋体" w:cs="宋体"/>
          <w:color w:val="000000"/>
        </w:rPr>
        <w:t>（采购项目编号：</w:t>
      </w:r>
      <w:r>
        <w:rPr>
          <w:rFonts w:hint="eastAsia" w:ascii="宋体" w:hAnsi="宋体" w:cs="宋体"/>
          <w:color w:val="000000"/>
          <w:lang w:eastAsia="zh-CN"/>
        </w:rPr>
        <w:t>青海鹏杰竞磋（服务）2025-017</w:t>
      </w:r>
      <w:r>
        <w:rPr>
          <w:rFonts w:hint="eastAsia" w:ascii="宋体" w:hAnsi="宋体" w:cs="宋体"/>
          <w:color w:val="000000"/>
        </w:rPr>
        <w:t>）”进行国内竞争性磋商采购，现予以公告，欢迎符合条件的竞争性磋商响应人前来参加投标。</w:t>
      </w:r>
    </w:p>
    <w:tbl>
      <w:tblPr>
        <w:tblStyle w:val="35"/>
        <w:tblW w:w="10603"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361"/>
        <w:gridCol w:w="8242"/>
      </w:tblGrid>
      <w:tr w14:paraId="2D963B4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1DD2254A">
            <w:pPr>
              <w:pStyle w:val="98"/>
              <w:spacing w:line="360" w:lineRule="auto"/>
              <w:jc w:val="center"/>
              <w:rPr>
                <w:rFonts w:ascii="宋体" w:hAnsi="宋体" w:cs="宋体"/>
                <w:color w:val="000000"/>
                <w:kern w:val="0"/>
                <w:sz w:val="24"/>
              </w:rPr>
            </w:pPr>
            <w:r>
              <w:rPr>
                <w:rFonts w:hint="eastAsia" w:ascii="宋体" w:hAnsi="宋体" w:cs="宋体"/>
                <w:color w:val="000000"/>
                <w:kern w:val="0"/>
                <w:sz w:val="24"/>
              </w:rPr>
              <w:t>采购项目编号</w:t>
            </w:r>
            <w:r>
              <w:rPr>
                <w:rFonts w:hint="eastAsia" w:ascii="宋体" w:hAnsi="宋体" w:cs="宋体"/>
                <w:sz w:val="24"/>
              </w:rPr>
              <w:t>/包号</w:t>
            </w:r>
          </w:p>
        </w:tc>
        <w:tc>
          <w:tcPr>
            <w:tcW w:w="8242" w:type="dxa"/>
            <w:tcBorders>
              <w:top w:val="outset" w:color="000000" w:sz="6" w:space="0"/>
              <w:left w:val="outset" w:color="000000" w:sz="6" w:space="0"/>
              <w:bottom w:val="outset" w:color="000000" w:sz="6" w:space="0"/>
              <w:right w:val="outset" w:color="000000" w:sz="6" w:space="0"/>
            </w:tcBorders>
            <w:vAlign w:val="center"/>
          </w:tcPr>
          <w:p w14:paraId="36BE4089">
            <w:pPr>
              <w:rPr>
                <w:rFonts w:hint="eastAsia" w:ascii="宋体" w:hAnsi="宋体" w:eastAsia="宋体" w:cs="宋体"/>
                <w:color w:val="000000"/>
                <w:lang w:eastAsia="zh-CN"/>
              </w:rPr>
            </w:pPr>
            <w:r>
              <w:rPr>
                <w:rFonts w:hint="eastAsia" w:ascii="宋体" w:hAnsi="宋体" w:cs="宋体"/>
                <w:color w:val="000000"/>
                <w:lang w:eastAsia="zh-CN"/>
              </w:rPr>
              <w:t>青海鹏杰竞磋（服务）2025-017</w:t>
            </w:r>
          </w:p>
        </w:tc>
      </w:tr>
      <w:tr w14:paraId="0387D30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4DA23B35">
            <w:pPr>
              <w:pStyle w:val="98"/>
              <w:spacing w:line="360" w:lineRule="auto"/>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备案编号</w:t>
            </w:r>
          </w:p>
        </w:tc>
        <w:tc>
          <w:tcPr>
            <w:tcW w:w="8242" w:type="dxa"/>
            <w:tcBorders>
              <w:top w:val="outset" w:color="000000" w:sz="6" w:space="0"/>
              <w:left w:val="outset" w:color="000000" w:sz="6" w:space="0"/>
              <w:bottom w:val="outset" w:color="000000" w:sz="6" w:space="0"/>
              <w:right w:val="outset" w:color="000000" w:sz="6" w:space="0"/>
            </w:tcBorders>
            <w:vAlign w:val="center"/>
          </w:tcPr>
          <w:p w14:paraId="07E5E5F2">
            <w:pPr>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BUYPLANSP[2025]00152</w:t>
            </w:r>
          </w:p>
        </w:tc>
      </w:tr>
      <w:tr w14:paraId="3EE1EFA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079ED658">
            <w:pPr>
              <w:pStyle w:val="98"/>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采购项目名称</w:t>
            </w:r>
          </w:p>
        </w:tc>
        <w:tc>
          <w:tcPr>
            <w:tcW w:w="8242" w:type="dxa"/>
            <w:tcBorders>
              <w:top w:val="outset" w:color="000000" w:sz="6" w:space="0"/>
              <w:left w:val="outset" w:color="000000" w:sz="6" w:space="0"/>
              <w:bottom w:val="outset" w:color="000000" w:sz="6" w:space="0"/>
              <w:right w:val="outset" w:color="000000" w:sz="6" w:space="0"/>
            </w:tcBorders>
            <w:vAlign w:val="center"/>
          </w:tcPr>
          <w:p w14:paraId="174DE824">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bCs/>
                <w:color w:val="000000" w:themeColor="text1"/>
                <w:lang w:eastAsia="zh-CN"/>
                <w14:textFill>
                  <w14:solidFill>
                    <w14:schemeClr w14:val="tx1"/>
                  </w14:solidFill>
                </w14:textFill>
              </w:rPr>
              <w:t xml:space="preserve">湟源县17座农村污水处理站运维服务  </w:t>
            </w:r>
          </w:p>
        </w:tc>
      </w:tr>
      <w:tr w14:paraId="5BB8B13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78B0436D">
            <w:pPr>
              <w:pStyle w:val="98"/>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采购方式</w:t>
            </w:r>
          </w:p>
        </w:tc>
        <w:tc>
          <w:tcPr>
            <w:tcW w:w="8242" w:type="dxa"/>
            <w:tcBorders>
              <w:top w:val="outset" w:color="000000" w:sz="6" w:space="0"/>
              <w:left w:val="outset" w:color="000000" w:sz="6" w:space="0"/>
              <w:bottom w:val="outset" w:color="000000" w:sz="6" w:space="0"/>
              <w:right w:val="outset" w:color="000000" w:sz="6" w:space="0"/>
            </w:tcBorders>
            <w:vAlign w:val="center"/>
          </w:tcPr>
          <w:p w14:paraId="2B7163F0">
            <w:pPr>
              <w:rPr>
                <w:rFonts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竞争性磋商</w:t>
            </w:r>
          </w:p>
        </w:tc>
      </w:tr>
      <w:tr w14:paraId="30C37A9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22FC81A2">
            <w:pPr>
              <w:pStyle w:val="98"/>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采购预算控制额度</w:t>
            </w:r>
          </w:p>
        </w:tc>
        <w:tc>
          <w:tcPr>
            <w:tcW w:w="8242" w:type="dxa"/>
            <w:tcBorders>
              <w:top w:val="outset" w:color="000000" w:sz="6" w:space="0"/>
              <w:left w:val="outset" w:color="000000" w:sz="6" w:space="0"/>
              <w:bottom w:val="outset" w:color="000000" w:sz="6" w:space="0"/>
              <w:right w:val="outset" w:color="000000" w:sz="6" w:space="0"/>
            </w:tcBorders>
            <w:vAlign w:val="center"/>
          </w:tcPr>
          <w:p w14:paraId="5A15FD0F">
            <w:pPr>
              <w:tabs>
                <w:tab w:val="left" w:pos="5485"/>
              </w:tabs>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580000</w:t>
            </w:r>
            <w:r>
              <w:rPr>
                <w:rFonts w:hint="eastAsia" w:ascii="宋体" w:hAnsi="宋体" w:cs="宋体"/>
                <w:color w:val="000000" w:themeColor="text1"/>
                <w:kern w:val="0"/>
                <w:lang w:val="zh-CN"/>
                <w14:textFill>
                  <w14:solidFill>
                    <w14:schemeClr w14:val="tx1"/>
                  </w14:solidFill>
                </w14:textFill>
              </w:rPr>
              <w:t>元</w:t>
            </w:r>
            <w:r>
              <w:rPr>
                <w:rFonts w:hint="eastAsia" w:ascii="宋体" w:hAnsi="宋体" w:cs="宋体"/>
                <w:color w:val="000000" w:themeColor="text1"/>
                <w:kern w:val="0"/>
                <w14:textFill>
                  <w14:solidFill>
                    <w14:schemeClr w14:val="tx1"/>
                  </w14:solidFill>
                </w14:textFill>
              </w:rPr>
              <w:t xml:space="preserve"> </w:t>
            </w:r>
          </w:p>
        </w:tc>
      </w:tr>
      <w:tr w14:paraId="1C07178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1FC10F5A">
            <w:pPr>
              <w:pStyle w:val="98"/>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最高限价</w:t>
            </w:r>
          </w:p>
        </w:tc>
        <w:tc>
          <w:tcPr>
            <w:tcW w:w="8242" w:type="dxa"/>
            <w:tcBorders>
              <w:top w:val="outset" w:color="000000" w:sz="6" w:space="0"/>
              <w:left w:val="outset" w:color="000000" w:sz="6" w:space="0"/>
              <w:bottom w:val="outset" w:color="000000" w:sz="6" w:space="0"/>
              <w:right w:val="outset" w:color="000000" w:sz="6" w:space="0"/>
            </w:tcBorders>
            <w:vAlign w:val="center"/>
          </w:tcPr>
          <w:p w14:paraId="719AEB59">
            <w:pPr>
              <w:tabs>
                <w:tab w:val="left" w:pos="5485"/>
              </w:tabs>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580000</w:t>
            </w:r>
            <w:r>
              <w:rPr>
                <w:rFonts w:hint="eastAsia" w:ascii="宋体" w:hAnsi="宋体" w:cs="宋体"/>
                <w:color w:val="000000" w:themeColor="text1"/>
                <w:kern w:val="0"/>
                <w:lang w:val="zh-CN"/>
                <w14:textFill>
                  <w14:solidFill>
                    <w14:schemeClr w14:val="tx1"/>
                  </w14:solidFill>
                </w14:textFill>
              </w:rPr>
              <w:t>元</w:t>
            </w:r>
          </w:p>
        </w:tc>
      </w:tr>
      <w:tr w14:paraId="34C28E9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189FC5AF">
            <w:pPr>
              <w:pStyle w:val="98"/>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项目分包个数</w:t>
            </w:r>
          </w:p>
        </w:tc>
        <w:tc>
          <w:tcPr>
            <w:tcW w:w="8242" w:type="dxa"/>
            <w:tcBorders>
              <w:top w:val="outset" w:color="000000" w:sz="6" w:space="0"/>
              <w:left w:val="outset" w:color="000000" w:sz="6" w:space="0"/>
              <w:bottom w:val="outset" w:color="000000" w:sz="6" w:space="0"/>
              <w:right w:val="outset" w:color="000000" w:sz="6" w:space="0"/>
            </w:tcBorders>
            <w:vAlign w:val="center"/>
          </w:tcPr>
          <w:p w14:paraId="77A60C33">
            <w:pPr>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个</w:t>
            </w:r>
          </w:p>
        </w:tc>
      </w:tr>
      <w:tr w14:paraId="62B2E57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361" w:type="dxa"/>
            <w:tcBorders>
              <w:top w:val="outset" w:color="000000" w:sz="6" w:space="0"/>
              <w:left w:val="outset" w:color="000000" w:sz="6" w:space="0"/>
              <w:right w:val="outset" w:color="000000" w:sz="6" w:space="0"/>
            </w:tcBorders>
            <w:vAlign w:val="center"/>
          </w:tcPr>
          <w:p w14:paraId="4BC4BD12">
            <w:pPr>
              <w:pStyle w:val="98"/>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采购要求</w:t>
            </w:r>
          </w:p>
        </w:tc>
        <w:tc>
          <w:tcPr>
            <w:tcW w:w="8242" w:type="dxa"/>
            <w:tcBorders>
              <w:top w:val="outset" w:color="000000" w:sz="6" w:space="0"/>
              <w:left w:val="outset" w:color="000000" w:sz="6" w:space="0"/>
              <w:right w:val="outset" w:color="000000" w:sz="6" w:space="0"/>
            </w:tcBorders>
            <w:vAlign w:val="center"/>
          </w:tcPr>
          <w:p w14:paraId="01F7A78D">
            <w:pPr>
              <w:pStyle w:val="20"/>
              <w:numPr>
                <w:ilvl w:val="0"/>
                <w:numId w:val="0"/>
              </w:numPr>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对湟源县1</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座农村污水处理站的污水处理设施的运行和维护服务工作，</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其中</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14座农村污水处理站</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峡乡灰条口村污水处理站、东峡乡新民村污水处理站、东峡乡灰条沟村污水处理站、东峡乡下脖项村污水处理站、东峡乡下脖项村果米滩污水处理站、日月乡前滩村污水处理站、日月乡尕庄村污水处理站、日月乡日月山村吊庄污水处理站、日月乡日月山村尕南湾污水处理站、日月乡哈城村污水处理站、日月乡兔尔干村污水处理站、日月乡若药堂村污水处理站、和平乡茶曲村污水处理站、巴燕乡巴燕峡村污水处理站</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运维服务内容包括：日常运行监管，实现</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《农村生活污水处理水污染排放标准》一级标准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要求达标排放，健全运维记录台账等</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；另外3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座农村污水处理站</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（日月乡本炕村污水处理站、巴燕乡下寺村污水处理站、巴燕乡上浪湾村污水处理站）的</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运维服务内容包括：</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调试运行至《农村生活污水处理水污染排放标准》一级标准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要求达标排放，健全运维记录台账等。</w:t>
            </w:r>
          </w:p>
        </w:tc>
      </w:tr>
      <w:tr w14:paraId="6ABD49D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4EEB1055">
            <w:pPr>
              <w:jc w:val="center"/>
              <w:rPr>
                <w:rFonts w:ascii="宋体" w:hAnsi="宋体" w:cs="宋体"/>
                <w:color w:val="000000"/>
              </w:rPr>
            </w:pPr>
            <w:r>
              <w:rPr>
                <w:rFonts w:hint="eastAsia" w:ascii="宋体" w:hAnsi="宋体" w:cs="宋体"/>
                <w:color w:val="000000"/>
              </w:rPr>
              <w:t>竞争性磋商响应人资格条件</w:t>
            </w:r>
          </w:p>
        </w:tc>
        <w:tc>
          <w:tcPr>
            <w:tcW w:w="8242" w:type="dxa"/>
            <w:tcBorders>
              <w:top w:val="outset" w:color="000000" w:sz="6" w:space="0"/>
              <w:left w:val="outset" w:color="000000" w:sz="6" w:space="0"/>
              <w:bottom w:val="outset" w:color="000000" w:sz="6" w:space="0"/>
              <w:right w:val="outset" w:color="000000" w:sz="6" w:space="0"/>
            </w:tcBorders>
            <w:vAlign w:val="center"/>
          </w:tcPr>
          <w:p w14:paraId="0EFD6286">
            <w:pPr>
              <w:jc w:val="left"/>
              <w:rPr>
                <w:lang w:val="zh-CN"/>
              </w:rPr>
            </w:pPr>
            <w:r>
              <w:rPr>
                <w:rFonts w:hint="eastAsia"/>
              </w:rPr>
              <w:t>(</w:t>
            </w:r>
            <w:r>
              <w:rPr>
                <w:rFonts w:hint="eastAsia"/>
                <w:lang w:val="zh-CN"/>
              </w:rPr>
              <w:t>1) 符合《政府采购法》第22条条件，并提供下列材料：</w:t>
            </w:r>
          </w:p>
          <w:p w14:paraId="7492304C">
            <w:pPr>
              <w:jc w:val="left"/>
              <w:rPr>
                <w:lang w:val="zh-CN"/>
              </w:rPr>
            </w:pPr>
            <w:r>
              <w:rPr>
                <w:rFonts w:hint="eastAsia"/>
                <w:lang w:val="zh-CN"/>
              </w:rPr>
              <w:t>①投标人的营业执照等证明文件，自然人的身份证明。</w:t>
            </w:r>
          </w:p>
          <w:p w14:paraId="4B620CCC">
            <w:pPr>
              <w:jc w:val="left"/>
              <w:rPr>
                <w:lang w:val="zh-CN"/>
              </w:rPr>
            </w:pPr>
            <w:r>
              <w:rPr>
                <w:rFonts w:hint="eastAsia"/>
                <w:lang w:val="zh-CN"/>
              </w:rPr>
              <w:t>②财务状况报告，依法缴纳税收和社会保障资金的相关材料。</w:t>
            </w:r>
          </w:p>
          <w:p w14:paraId="753457E7">
            <w:pPr>
              <w:jc w:val="left"/>
              <w:rPr>
                <w:lang w:val="zh-CN"/>
              </w:rPr>
            </w:pPr>
            <w:r>
              <w:rPr>
                <w:rFonts w:hint="eastAsia"/>
                <w:lang w:val="zh-CN"/>
              </w:rPr>
              <w:t>③具备履行合同所必需的设备和专业技术能力的证明材料。</w:t>
            </w:r>
          </w:p>
          <w:p w14:paraId="774E0E3E">
            <w:pPr>
              <w:jc w:val="left"/>
              <w:rPr>
                <w:lang w:val="zh-CN"/>
              </w:rPr>
            </w:pPr>
            <w:r>
              <w:rPr>
                <w:rFonts w:hint="eastAsia"/>
                <w:lang w:val="zh-CN"/>
              </w:rPr>
              <w:t>④参加政府采购活动前3年内在经营活动中没有重大违法记录的书面声明。</w:t>
            </w:r>
          </w:p>
          <w:p w14:paraId="04745DEF">
            <w:pPr>
              <w:jc w:val="left"/>
              <w:rPr>
                <w:lang w:val="zh-CN"/>
              </w:rPr>
            </w:pPr>
            <w:r>
              <w:rPr>
                <w:rFonts w:hint="eastAsia"/>
                <w:lang w:val="zh-CN"/>
              </w:rPr>
              <w:t>⑤具备法律、行政法规规定的其他条件的证明材料。</w:t>
            </w:r>
          </w:p>
          <w:p w14:paraId="02D2A18A">
            <w:pPr>
              <w:jc w:val="left"/>
              <w:rPr>
                <w:lang w:val="zh-CN"/>
              </w:rPr>
            </w:pPr>
            <w:r>
              <w:rPr>
                <w:rFonts w:hint="eastAsia"/>
                <w:lang w:val="zh-CN"/>
              </w:rPr>
              <w:t>(2) 单位负责人为同一人或者存在直接控股、管理关系的不同投标人，不得参加同一合同项下的政府采购活动。否则，皆取消投标资格；</w:t>
            </w:r>
          </w:p>
          <w:p w14:paraId="219B83DE">
            <w:pPr>
              <w:jc w:val="left"/>
              <w:rPr>
                <w:lang w:val="zh-CN"/>
              </w:rPr>
            </w:pPr>
            <w:r>
              <w:rPr>
                <w:rFonts w:hint="eastAsia"/>
                <w:lang w:val="zh-CN"/>
              </w:rPr>
              <w:t>(3) 为本采购项目提供整体设计、规范编制或者项目管理、监理、检测等服务的投标人，不得再参加该采购项目的其他采购活动；</w:t>
            </w:r>
          </w:p>
          <w:p w14:paraId="6757A3E9">
            <w:pPr>
              <w:jc w:val="left"/>
              <w:rPr>
                <w:lang w:val="zh-CN"/>
              </w:rPr>
            </w:pPr>
            <w:r>
              <w:rPr>
                <w:rFonts w:hint="eastAsia"/>
                <w:lang w:val="zh-CN"/>
              </w:rPr>
              <w:t>(4) 本项目不接受投标人以联合体方式进行投标；</w:t>
            </w:r>
          </w:p>
          <w:p w14:paraId="372404EA">
            <w:pPr>
              <w:jc w:val="left"/>
              <w:rPr>
                <w:lang w:val="zh-CN"/>
              </w:rPr>
            </w:pPr>
            <w:r>
              <w:rPr>
                <w:rFonts w:hint="eastAsia"/>
                <w:lang w:val="zh-CN"/>
              </w:rPr>
              <w:t>(5) 经信用中国（www.creditchina.gov.cn）、中国政府采购网（www.ccgp.gov.cn）等渠道查询后，列入失信被执行人、重大税收违法失信主体、政府采购严重违法失信行为记录名单的，取消投标资格。（提供“信用中国和中国政府采购网”网站无任何不良记录的查询截图，时间为投标截止时间前</w:t>
            </w:r>
            <w:r>
              <w:rPr>
                <w:rFonts w:hint="eastAsia"/>
              </w:rPr>
              <w:t>10</w:t>
            </w:r>
            <w:r>
              <w:rPr>
                <w:rFonts w:hint="eastAsia"/>
                <w:lang w:val="zh-CN"/>
              </w:rPr>
              <w:t>天内）；</w:t>
            </w:r>
          </w:p>
          <w:p w14:paraId="49DA205F">
            <w:pPr>
              <w:jc w:val="left"/>
              <w:rPr>
                <w:rFonts w:hint="default" w:eastAsia="宋体"/>
                <w:lang w:val="en-US" w:eastAsia="zh-CN"/>
              </w:rPr>
            </w:pPr>
            <w:r>
              <w:rPr>
                <w:rFonts w:hint="eastAsia"/>
                <w:lang w:val="zh-CN"/>
              </w:rPr>
              <w:t>（</w:t>
            </w:r>
            <w:r>
              <w:rPr>
                <w:rFonts w:hint="eastAsia"/>
              </w:rPr>
              <w:t>6</w:t>
            </w:r>
            <w:r>
              <w:rPr>
                <w:rFonts w:hint="eastAsia"/>
                <w:lang w:val="zh-CN"/>
              </w:rPr>
              <w:t>）</w:t>
            </w:r>
            <w:r>
              <w:rPr>
                <w:rFonts w:hint="eastAsia"/>
                <w:highlight w:val="none"/>
              </w:rPr>
              <w:t>其他资质条件</w:t>
            </w:r>
            <w:r>
              <w:rPr>
                <w:rFonts w:hint="eastAsia"/>
                <w:highlight w:val="none"/>
                <w:lang w:val="en-US" w:eastAsia="zh-CN"/>
              </w:rPr>
              <w:t>:</w:t>
            </w:r>
            <w:r>
              <w:rPr>
                <w:rFonts w:hint="eastAsia"/>
                <w:lang w:val="zh-CN"/>
              </w:rPr>
              <w:t>本项目专门面向中小企业采购。供应商须提供《中小企业声明函》或《残疾人福利性单位声明函》或《监狱企业证明资料》。</w:t>
            </w:r>
          </w:p>
        </w:tc>
      </w:tr>
      <w:tr w14:paraId="1FA86DD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1867A746">
            <w:pPr>
              <w:autoSpaceDE w:val="0"/>
              <w:autoSpaceDN w:val="0"/>
              <w:rPr>
                <w:rFonts w:ascii="宋体" w:hAnsi="宋体" w:cs="宋体"/>
                <w:color w:val="000000"/>
                <w:lang w:val="zh-CN"/>
              </w:rPr>
            </w:pPr>
            <w:r>
              <w:rPr>
                <w:rFonts w:hint="eastAsia" w:ascii="宋体" w:hAnsi="宋体" w:cs="宋体"/>
                <w:color w:val="000000"/>
                <w:lang w:val="zh-CN"/>
              </w:rPr>
              <w:t>公告发布时间</w:t>
            </w:r>
          </w:p>
        </w:tc>
        <w:tc>
          <w:tcPr>
            <w:tcW w:w="8242" w:type="dxa"/>
            <w:tcBorders>
              <w:top w:val="outset" w:color="000000" w:sz="6" w:space="0"/>
              <w:left w:val="outset" w:color="000000" w:sz="6" w:space="0"/>
              <w:bottom w:val="outset" w:color="000000" w:sz="6" w:space="0"/>
              <w:right w:val="outset" w:color="000000" w:sz="6" w:space="0"/>
            </w:tcBorders>
            <w:vAlign w:val="center"/>
          </w:tcPr>
          <w:p w14:paraId="6B962D01">
            <w:pPr>
              <w:rPr>
                <w:rFonts w:ascii="宋体" w:hAnsi="宋体" w:cs="宋体"/>
                <w:color w:val="FF0000"/>
                <w:lang w:val="zh-CN"/>
              </w:rPr>
            </w:pPr>
            <w:r>
              <w:rPr>
                <w:rFonts w:hint="eastAsia" w:ascii="Arial" w:hAnsi="Arial" w:cs="Arial"/>
                <w:lang w:val="zh-CN"/>
              </w:rPr>
              <w:t>202</w:t>
            </w:r>
            <w:r>
              <w:rPr>
                <w:rFonts w:hint="eastAsia" w:ascii="Arial" w:hAnsi="Arial" w:cs="Arial"/>
                <w:lang w:val="en-US" w:eastAsia="zh-CN"/>
              </w:rPr>
              <w:t>5</w:t>
            </w:r>
            <w:r>
              <w:rPr>
                <w:rFonts w:hint="eastAsia" w:ascii="Arial" w:hAnsi="Arial" w:cs="Arial"/>
                <w:lang w:val="zh-CN"/>
              </w:rPr>
              <w:t>年</w:t>
            </w:r>
            <w:r>
              <w:rPr>
                <w:rFonts w:hint="eastAsia" w:ascii="Arial" w:hAnsi="Arial" w:cs="Arial"/>
                <w:lang w:val="en-US" w:eastAsia="zh-CN"/>
              </w:rPr>
              <w:t>06</w:t>
            </w:r>
            <w:r>
              <w:rPr>
                <w:rFonts w:hint="eastAsia" w:ascii="Arial" w:hAnsi="Arial" w:cs="Arial"/>
                <w:lang w:val="zh-CN"/>
              </w:rPr>
              <w:t>月</w:t>
            </w:r>
            <w:r>
              <w:rPr>
                <w:rFonts w:hint="eastAsia" w:ascii="Arial" w:hAnsi="Arial" w:cs="Arial"/>
                <w:lang w:val="en-US" w:eastAsia="zh-CN"/>
              </w:rPr>
              <w:t>30</w:t>
            </w:r>
            <w:r>
              <w:rPr>
                <w:rFonts w:hint="eastAsia" w:ascii="Arial" w:hAnsi="Arial" w:cs="Arial"/>
                <w:lang w:val="zh-CN"/>
              </w:rPr>
              <w:t>日</w:t>
            </w:r>
          </w:p>
        </w:tc>
      </w:tr>
      <w:tr w14:paraId="1099F15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679670DE">
            <w:pPr>
              <w:jc w:val="left"/>
              <w:rPr>
                <w:rFonts w:ascii="Arial" w:hAnsi="Arial" w:cs="Arial"/>
                <w:lang w:val="zh-CN"/>
              </w:rPr>
            </w:pPr>
            <w:r>
              <w:rPr>
                <w:rFonts w:hint="eastAsia" w:ascii="Arial" w:hAnsi="Arial" w:cs="Arial"/>
                <w:lang w:val="zh-CN"/>
              </w:rPr>
              <w:t>获取磋商文件的时间期限</w:t>
            </w:r>
          </w:p>
        </w:tc>
        <w:tc>
          <w:tcPr>
            <w:tcW w:w="8242" w:type="dxa"/>
            <w:tcBorders>
              <w:top w:val="outset" w:color="000000" w:sz="6" w:space="0"/>
              <w:left w:val="outset" w:color="000000" w:sz="6" w:space="0"/>
              <w:bottom w:val="outset" w:color="000000" w:sz="6" w:space="0"/>
              <w:right w:val="outset" w:color="000000" w:sz="6" w:space="0"/>
            </w:tcBorders>
            <w:vAlign w:val="center"/>
          </w:tcPr>
          <w:p w14:paraId="46441758">
            <w:pPr>
              <w:jc w:val="left"/>
              <w:rPr>
                <w:rFonts w:ascii="Arial" w:hAnsi="Arial" w:cs="Arial"/>
                <w:lang w:val="zh-CN"/>
              </w:rPr>
            </w:pPr>
            <w:r>
              <w:rPr>
                <w:rFonts w:hint="eastAsia" w:ascii="Arial" w:hAnsi="Arial" w:cs="Arial"/>
                <w:lang w:val="zh-CN"/>
              </w:rPr>
              <w:t>202</w:t>
            </w:r>
            <w:r>
              <w:rPr>
                <w:rFonts w:hint="eastAsia" w:ascii="Arial" w:hAnsi="Arial" w:cs="Arial"/>
                <w:lang w:val="en-US" w:eastAsia="zh-CN"/>
              </w:rPr>
              <w:t>5</w:t>
            </w:r>
            <w:r>
              <w:rPr>
                <w:rFonts w:hint="eastAsia" w:ascii="Arial" w:hAnsi="Arial" w:cs="Arial"/>
                <w:lang w:val="zh-CN"/>
              </w:rPr>
              <w:t>年</w:t>
            </w:r>
            <w:r>
              <w:rPr>
                <w:rFonts w:hint="eastAsia" w:ascii="Arial" w:hAnsi="Arial" w:cs="Arial"/>
                <w:lang w:val="en-US" w:eastAsia="zh-CN"/>
              </w:rPr>
              <w:t>07</w:t>
            </w:r>
            <w:r>
              <w:rPr>
                <w:rFonts w:hint="eastAsia" w:ascii="Arial" w:hAnsi="Arial" w:cs="Arial"/>
                <w:lang w:val="zh-CN"/>
              </w:rPr>
              <w:t>月</w:t>
            </w:r>
            <w:r>
              <w:rPr>
                <w:rFonts w:hint="eastAsia" w:ascii="Arial" w:hAnsi="Arial" w:cs="Arial"/>
                <w:lang w:val="en-US" w:eastAsia="zh-CN"/>
              </w:rPr>
              <w:t>01</w:t>
            </w:r>
            <w:r>
              <w:rPr>
                <w:rFonts w:hint="eastAsia" w:ascii="Arial" w:hAnsi="Arial" w:cs="Arial"/>
                <w:lang w:val="zh-CN"/>
              </w:rPr>
              <w:t>日至202</w:t>
            </w:r>
            <w:r>
              <w:rPr>
                <w:rFonts w:hint="eastAsia" w:ascii="Arial" w:hAnsi="Arial" w:cs="Arial"/>
                <w:lang w:val="en-US" w:eastAsia="zh-CN"/>
              </w:rPr>
              <w:t>5</w:t>
            </w:r>
            <w:r>
              <w:rPr>
                <w:rFonts w:hint="eastAsia" w:ascii="Arial" w:hAnsi="Arial" w:cs="Arial"/>
                <w:lang w:val="zh-CN"/>
              </w:rPr>
              <w:t>年</w:t>
            </w:r>
            <w:r>
              <w:rPr>
                <w:rFonts w:hint="eastAsia" w:ascii="Arial" w:hAnsi="Arial" w:cs="Arial"/>
                <w:lang w:val="en-US" w:eastAsia="zh-CN"/>
              </w:rPr>
              <w:t>07</w:t>
            </w:r>
            <w:r>
              <w:rPr>
                <w:rFonts w:hint="eastAsia" w:ascii="Arial" w:hAnsi="Arial" w:cs="Arial"/>
                <w:lang w:val="zh-CN"/>
              </w:rPr>
              <w:t>月</w:t>
            </w:r>
            <w:r>
              <w:rPr>
                <w:rFonts w:hint="eastAsia" w:ascii="Arial" w:hAnsi="Arial" w:cs="Arial"/>
                <w:lang w:val="en-US" w:eastAsia="zh-CN"/>
              </w:rPr>
              <w:t>07</w:t>
            </w:r>
            <w:r>
              <w:rPr>
                <w:rFonts w:hint="eastAsia" w:ascii="Arial" w:hAnsi="Arial" w:cs="Arial"/>
                <w:lang w:val="zh-CN"/>
              </w:rPr>
              <w:t>日（上午09:00-12:00，下午12:00-23:59，休息日和节假日除外）</w:t>
            </w:r>
          </w:p>
        </w:tc>
      </w:tr>
      <w:tr w14:paraId="3C5086F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43C36F6C">
            <w:pPr>
              <w:autoSpaceDE w:val="0"/>
              <w:autoSpaceDN w:val="0"/>
              <w:rPr>
                <w:rFonts w:ascii="宋体" w:hAnsi="宋体" w:cs="宋体"/>
                <w:color w:val="000000"/>
                <w:lang w:val="zh-CN"/>
              </w:rPr>
            </w:pPr>
            <w:r>
              <w:rPr>
                <w:rFonts w:hint="eastAsia" w:ascii="宋体" w:hAnsi="宋体" w:cs="宋体"/>
                <w:color w:val="000000"/>
                <w:lang w:val="zh-CN"/>
              </w:rPr>
              <w:t>获取磋商文件方式</w:t>
            </w:r>
          </w:p>
        </w:tc>
        <w:tc>
          <w:tcPr>
            <w:tcW w:w="8242" w:type="dxa"/>
            <w:tcBorders>
              <w:top w:val="outset" w:color="000000" w:sz="6" w:space="0"/>
              <w:left w:val="outset" w:color="000000" w:sz="6" w:space="0"/>
              <w:bottom w:val="outset" w:color="000000" w:sz="6" w:space="0"/>
              <w:right w:val="outset" w:color="000000" w:sz="6" w:space="0"/>
            </w:tcBorders>
            <w:vAlign w:val="center"/>
          </w:tcPr>
          <w:p w14:paraId="38DBE790">
            <w:pPr>
              <w:pStyle w:val="11"/>
              <w:spacing w:line="360" w:lineRule="auto"/>
              <w:jc w:val="both"/>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政采云投标客户端</w:t>
            </w:r>
          </w:p>
          <w:p w14:paraId="3E07D035">
            <w:pPr>
              <w:jc w:val="left"/>
              <w:rPr>
                <w:rFonts w:ascii="宋体" w:hAnsi="宋体" w:cs="宋体"/>
                <w:color w:val="000000"/>
              </w:rPr>
            </w:pPr>
            <w:r>
              <w:rPr>
                <w:rFonts w:hint="eastAsia" w:ascii="宋体" w:hAnsi="宋体" w:eastAsia="宋体" w:cs="宋体"/>
                <w:color w:val="000000"/>
                <w:kern w:val="0"/>
                <w:sz w:val="24"/>
                <w:szCs w:val="24"/>
                <w:lang w:val="en-US" w:eastAsia="zh-CN" w:bidi="ar-SA"/>
              </w:rPr>
              <w:t>备注：</w:t>
            </w:r>
            <w:r>
              <w:rPr>
                <w:rFonts w:hint="eastAsia" w:ascii="宋体" w:hAnsi="宋体" w:eastAsia="宋体" w:cs="宋体"/>
                <w:color w:val="000000"/>
                <w:kern w:val="0"/>
                <w:sz w:val="24"/>
                <w:szCs w:val="24"/>
                <w:lang w:val="zh-CN" w:eastAsia="zh-CN" w:bidi="ar-SA"/>
              </w:rPr>
              <w:t>投标人登录政采云平台https://www.zcygov.cn/在线申请获取采购文件（进入“项目采购”应用，在获取采购文件菜单中选择项目，申请获取采购文件），具体方式请咨询线上电子化交易系统：咨询电话：政采云</w:t>
            </w:r>
            <w:r>
              <w:rPr>
                <w:rFonts w:hint="eastAsia" w:ascii="宋体" w:hAnsi="宋体" w:eastAsia="宋体" w:cs="宋体"/>
                <w:color w:val="000000"/>
                <w:kern w:val="0"/>
                <w:sz w:val="24"/>
                <w:szCs w:val="24"/>
                <w:lang w:val="en-US" w:eastAsia="zh-CN" w:bidi="ar-SA"/>
              </w:rPr>
              <w:t>95763</w:t>
            </w:r>
            <w:r>
              <w:rPr>
                <w:rFonts w:hint="eastAsia" w:ascii="宋体" w:hAnsi="宋体" w:eastAsia="宋体" w:cs="宋体"/>
                <w:color w:val="000000"/>
                <w:kern w:val="0"/>
                <w:sz w:val="24"/>
                <w:szCs w:val="24"/>
                <w:lang w:val="zh-CN" w:eastAsia="zh-CN" w:bidi="ar-SA"/>
              </w:rPr>
              <w:t>。《青海省政府采购网》下载招标文件。（提示：请潜在投标人报名前务必完成网上企业注册及CA锁办理等手续；具体操作详见附件操作指南）</w:t>
            </w:r>
          </w:p>
        </w:tc>
      </w:tr>
      <w:tr w14:paraId="47F3460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74FAAF78">
            <w:pPr>
              <w:autoSpaceDE w:val="0"/>
              <w:autoSpaceDN w:val="0"/>
              <w:rPr>
                <w:rFonts w:ascii="宋体" w:hAnsi="宋体" w:cs="宋体"/>
                <w:color w:val="000000"/>
                <w:lang w:val="zh-CN"/>
              </w:rPr>
            </w:pPr>
            <w:r>
              <w:rPr>
                <w:rFonts w:hint="eastAsia" w:ascii="宋体" w:hAnsi="宋体" w:cs="宋体"/>
                <w:color w:val="000000"/>
                <w:lang w:val="zh-CN"/>
              </w:rPr>
              <w:t>磋商文件售价</w:t>
            </w:r>
          </w:p>
        </w:tc>
        <w:tc>
          <w:tcPr>
            <w:tcW w:w="8242" w:type="dxa"/>
            <w:tcBorders>
              <w:top w:val="outset" w:color="000000" w:sz="6" w:space="0"/>
              <w:left w:val="outset" w:color="000000" w:sz="6" w:space="0"/>
              <w:bottom w:val="outset" w:color="000000" w:sz="6" w:space="0"/>
              <w:right w:val="outset" w:color="000000" w:sz="6" w:space="0"/>
            </w:tcBorders>
            <w:vAlign w:val="center"/>
          </w:tcPr>
          <w:p w14:paraId="189C682A">
            <w:pPr>
              <w:jc w:val="left"/>
              <w:rPr>
                <w:rFonts w:ascii="宋体" w:hAnsi="宋体" w:cs="宋体"/>
                <w:color w:val="000000"/>
                <w:lang w:val="zh-CN"/>
              </w:rPr>
            </w:pPr>
            <w:r>
              <w:rPr>
                <w:rFonts w:ascii="Arial" w:hAnsi="Arial" w:cs="Arial"/>
              </w:rPr>
              <w:t>人民币</w:t>
            </w:r>
            <w:r>
              <w:rPr>
                <w:rFonts w:hint="eastAsia" w:ascii="Arial" w:hAnsi="Arial" w:cs="Arial"/>
              </w:rPr>
              <w:t>0</w:t>
            </w:r>
            <w:r>
              <w:rPr>
                <w:rFonts w:ascii="Arial" w:hAnsi="Arial" w:cs="Arial"/>
                <w:lang w:val="zh-CN"/>
              </w:rPr>
              <w:t>元（磋商文件售后不退，投标资格不能转让）</w:t>
            </w:r>
          </w:p>
        </w:tc>
      </w:tr>
      <w:tr w14:paraId="5D8C7CE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52585C15">
            <w:pPr>
              <w:autoSpaceDE w:val="0"/>
              <w:autoSpaceDN w:val="0"/>
              <w:rPr>
                <w:rFonts w:ascii="宋体" w:hAnsi="宋体" w:cs="宋体"/>
                <w:color w:val="000000"/>
                <w:lang w:val="zh-CN"/>
              </w:rPr>
            </w:pPr>
            <w:r>
              <w:rPr>
                <w:rFonts w:hint="eastAsia" w:ascii="宋体" w:hAnsi="宋体" w:cs="宋体"/>
                <w:color w:val="000000"/>
                <w:lang w:val="zh-CN"/>
              </w:rPr>
              <w:t>获取</w:t>
            </w:r>
            <w:r>
              <w:rPr>
                <w:rFonts w:hint="eastAsia" w:ascii="宋体" w:hAnsi="宋体" w:cs="宋体"/>
                <w:lang w:val="zh-CN"/>
              </w:rPr>
              <w:t>磋商</w:t>
            </w:r>
            <w:r>
              <w:rPr>
                <w:rFonts w:hint="eastAsia" w:ascii="宋体" w:hAnsi="宋体" w:cs="宋体"/>
                <w:color w:val="000000"/>
                <w:lang w:val="zh-CN"/>
              </w:rPr>
              <w:t>文件地点</w:t>
            </w:r>
          </w:p>
        </w:tc>
        <w:tc>
          <w:tcPr>
            <w:tcW w:w="8242" w:type="dxa"/>
            <w:tcBorders>
              <w:top w:val="outset" w:color="000000" w:sz="6" w:space="0"/>
              <w:left w:val="outset" w:color="000000" w:sz="6" w:space="0"/>
              <w:bottom w:val="outset" w:color="000000" w:sz="6" w:space="0"/>
              <w:right w:val="outset" w:color="000000" w:sz="6" w:space="0"/>
            </w:tcBorders>
            <w:vAlign w:val="center"/>
          </w:tcPr>
          <w:p w14:paraId="4A80E7A5">
            <w:pPr>
              <w:autoSpaceDE w:val="0"/>
              <w:autoSpaceDN w:val="0"/>
              <w:jc w:val="left"/>
              <w:rPr>
                <w:rFonts w:ascii="宋体" w:hAnsi="宋体" w:cs="宋体"/>
                <w:color w:val="000000"/>
                <w:lang w:val="zh-CN"/>
              </w:rPr>
            </w:pPr>
            <w:r>
              <w:rPr>
                <w:rFonts w:hint="eastAsia" w:ascii="宋体" w:hAnsi="宋体" w:cs="宋体"/>
                <w:b/>
                <w:color w:val="000000"/>
                <w:kern w:val="0"/>
              </w:rPr>
              <w:t>政采云平https://www.zcygov.cn/在线上获取</w:t>
            </w:r>
          </w:p>
        </w:tc>
      </w:tr>
      <w:tr w14:paraId="02033A6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25E249F9">
            <w:pPr>
              <w:autoSpaceDE w:val="0"/>
              <w:autoSpaceDN w:val="0"/>
              <w:rPr>
                <w:rFonts w:ascii="宋体" w:hAnsi="宋体" w:cs="宋体"/>
                <w:color w:val="000000"/>
                <w:lang w:val="zh-CN"/>
              </w:rPr>
            </w:pPr>
            <w:r>
              <w:rPr>
                <w:rFonts w:hint="eastAsia" w:ascii="宋体" w:hAnsi="宋体" w:cs="宋体"/>
                <w:color w:val="000000"/>
                <w:lang w:val="zh-CN"/>
              </w:rPr>
              <w:t>购买磋商文件时应提供材料</w:t>
            </w:r>
          </w:p>
        </w:tc>
        <w:tc>
          <w:tcPr>
            <w:tcW w:w="8242" w:type="dxa"/>
            <w:tcBorders>
              <w:top w:val="outset" w:color="000000" w:sz="6" w:space="0"/>
              <w:left w:val="outset" w:color="000000" w:sz="6" w:space="0"/>
              <w:bottom w:val="outset" w:color="000000" w:sz="6" w:space="0"/>
              <w:right w:val="outset" w:color="000000" w:sz="6" w:space="0"/>
            </w:tcBorders>
            <w:vAlign w:val="center"/>
          </w:tcPr>
          <w:p w14:paraId="41E42AB5">
            <w:pPr>
              <w:pStyle w:val="12"/>
              <w:rPr>
                <w:lang w:val="zh-CN"/>
              </w:rPr>
            </w:pPr>
            <w:r>
              <w:rPr>
                <w:rFonts w:hint="eastAsia" w:ascii="宋体" w:hAnsi="宋体" w:cs="宋体"/>
                <w:color w:val="000000"/>
                <w:kern w:val="2"/>
                <w:sz w:val="24"/>
                <w:lang w:val="zh-CN"/>
              </w:rPr>
              <w:t>营业执照副本复印件（加盖单位公章）、法定代表人证明书（含法定代表人身份证复印件）、法定代表人授权书（含委托代理人身份证复印件）（参考</w:t>
            </w:r>
            <w:r>
              <w:rPr>
                <w:rFonts w:hint="eastAsia" w:ascii="宋体" w:hAnsi="宋体" w:cs="宋体"/>
                <w:kern w:val="2"/>
                <w:sz w:val="24"/>
                <w:lang w:val="zh-CN"/>
              </w:rPr>
              <w:t>磋商</w:t>
            </w:r>
            <w:r>
              <w:rPr>
                <w:rFonts w:hint="eastAsia" w:ascii="宋体" w:hAnsi="宋体" w:cs="宋体"/>
                <w:color w:val="000000"/>
                <w:kern w:val="2"/>
                <w:sz w:val="24"/>
                <w:lang w:val="zh-CN"/>
              </w:rPr>
              <w:t>文件格式（2、3））</w:t>
            </w:r>
            <w:r>
              <w:rPr>
                <w:rFonts w:hint="eastAsia" w:ascii="宋体" w:hAnsi="宋体" w:cs="宋体"/>
                <w:b/>
                <w:bCs/>
                <w:color w:val="000000"/>
                <w:sz w:val="24"/>
                <w:lang w:val="zh-CN"/>
              </w:rPr>
              <w:t>请在政采云平台报名时，将以上内容作为附件上传。</w:t>
            </w:r>
          </w:p>
        </w:tc>
      </w:tr>
      <w:tr w14:paraId="57C664E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0E7D0343">
            <w:pPr>
              <w:autoSpaceDE w:val="0"/>
              <w:autoSpaceDN w:val="0"/>
              <w:jc w:val="center"/>
              <w:rPr>
                <w:rFonts w:ascii="宋体" w:hAnsi="宋体" w:cs="宋体"/>
                <w:color w:val="000000"/>
                <w:lang w:val="zh-CN"/>
              </w:rPr>
            </w:pPr>
            <w:r>
              <w:rPr>
                <w:rFonts w:hint="eastAsia" w:ascii="宋体" w:hAnsi="宋体" w:cs="宋体"/>
                <w:color w:val="000000"/>
                <w:lang w:val="zh-CN"/>
              </w:rPr>
              <w:t>投标截止</w:t>
            </w:r>
            <w:r>
              <w:rPr>
                <w:rFonts w:hint="eastAsia" w:ascii="宋体" w:hAnsi="宋体" w:cs="宋体"/>
                <w:color w:val="000000"/>
              </w:rPr>
              <w:t>及</w:t>
            </w:r>
            <w:r>
              <w:rPr>
                <w:rFonts w:hint="eastAsia" w:ascii="宋体" w:hAnsi="宋体" w:cs="宋体"/>
                <w:color w:val="000000"/>
                <w:lang w:val="zh-CN"/>
              </w:rPr>
              <w:t>开标时间</w:t>
            </w:r>
          </w:p>
        </w:tc>
        <w:tc>
          <w:tcPr>
            <w:tcW w:w="8242" w:type="dxa"/>
            <w:tcBorders>
              <w:top w:val="outset" w:color="000000" w:sz="6" w:space="0"/>
              <w:left w:val="outset" w:color="000000" w:sz="6" w:space="0"/>
              <w:bottom w:val="outset" w:color="000000" w:sz="6" w:space="0"/>
              <w:right w:val="outset" w:color="000000" w:sz="6" w:space="0"/>
            </w:tcBorders>
            <w:vAlign w:val="center"/>
          </w:tcPr>
          <w:p w14:paraId="4839A437">
            <w:pPr>
              <w:autoSpaceDE w:val="0"/>
              <w:autoSpaceDN w:val="0"/>
              <w:rPr>
                <w:rFonts w:ascii="宋体" w:hAnsi="宋体" w:cs="宋体"/>
                <w:color w:val="000000"/>
              </w:rPr>
            </w:pPr>
            <w:r>
              <w:rPr>
                <w:rFonts w:hint="eastAsia" w:ascii="宋体" w:hAnsi="宋体" w:cs="宋体"/>
                <w:color w:val="000000"/>
                <w:lang w:val="zh-CN"/>
              </w:rPr>
              <w:t>202</w:t>
            </w:r>
            <w:r>
              <w:rPr>
                <w:rFonts w:hint="eastAsia" w:ascii="宋体" w:hAnsi="宋体" w:cs="宋体"/>
                <w:color w:val="000000"/>
                <w:lang w:val="en-US" w:eastAsia="zh-CN"/>
              </w:rPr>
              <w:t>5</w:t>
            </w:r>
            <w:r>
              <w:rPr>
                <w:rFonts w:hint="eastAsia" w:ascii="宋体" w:hAnsi="宋体" w:cs="宋体"/>
                <w:color w:val="000000"/>
                <w:lang w:val="zh-CN"/>
              </w:rPr>
              <w:t>年</w:t>
            </w:r>
            <w:r>
              <w:rPr>
                <w:rFonts w:hint="eastAsia" w:ascii="宋体" w:hAnsi="宋体" w:cs="宋体"/>
                <w:color w:val="000000"/>
                <w:lang w:val="en-US" w:eastAsia="zh-CN"/>
              </w:rPr>
              <w:t>07月11日上午09</w:t>
            </w:r>
            <w:r>
              <w:rPr>
                <w:rFonts w:hint="eastAsia" w:ascii="宋体" w:hAnsi="宋体" w:cs="宋体"/>
                <w:color w:val="000000"/>
                <w:lang w:val="zh-CN"/>
              </w:rPr>
              <w:t>时</w:t>
            </w:r>
            <w:r>
              <w:rPr>
                <w:rFonts w:hint="eastAsia" w:ascii="宋体" w:hAnsi="宋体" w:cs="宋体"/>
                <w:color w:val="000000"/>
                <w:lang w:val="en-US" w:eastAsia="zh-CN"/>
              </w:rPr>
              <w:t>0</w:t>
            </w:r>
            <w:r>
              <w:rPr>
                <w:rFonts w:hint="eastAsia" w:ascii="宋体" w:hAnsi="宋体" w:cs="宋体"/>
                <w:color w:val="000000"/>
                <w:lang w:val="zh-CN"/>
              </w:rPr>
              <w:t>0分（北京时间）</w:t>
            </w:r>
          </w:p>
        </w:tc>
      </w:tr>
      <w:tr w14:paraId="7EDA0D5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4A244914">
            <w:pPr>
              <w:autoSpaceDE w:val="0"/>
              <w:autoSpaceDN w:val="0"/>
              <w:ind w:firstLine="240" w:firstLineChars="100"/>
              <w:rPr>
                <w:rFonts w:ascii="宋体" w:hAnsi="宋体" w:cs="宋体"/>
                <w:color w:val="000000"/>
                <w:lang w:val="zh-CN"/>
              </w:rPr>
            </w:pPr>
            <w:r>
              <w:rPr>
                <w:rFonts w:hint="eastAsia" w:ascii="宋体" w:hAnsi="宋体" w:cs="宋体"/>
                <w:color w:val="000000"/>
                <w:lang w:val="zh-CN"/>
              </w:rPr>
              <w:t>磋商及开标地点</w:t>
            </w:r>
          </w:p>
        </w:tc>
        <w:tc>
          <w:tcPr>
            <w:tcW w:w="8242" w:type="dxa"/>
            <w:tcBorders>
              <w:top w:val="outset" w:color="000000" w:sz="6" w:space="0"/>
              <w:left w:val="outset" w:color="000000" w:sz="6" w:space="0"/>
              <w:bottom w:val="outset" w:color="000000" w:sz="6" w:space="0"/>
              <w:right w:val="outset" w:color="000000" w:sz="6" w:space="0"/>
            </w:tcBorders>
            <w:vAlign w:val="center"/>
          </w:tcPr>
          <w:p w14:paraId="37A942B1">
            <w:pPr>
              <w:autoSpaceDE w:val="0"/>
              <w:autoSpaceDN w:val="0"/>
              <w:spacing w:line="360" w:lineRule="auto"/>
              <w:rPr>
                <w:rFonts w:hint="eastAsia"/>
                <w:lang w:val="en-US" w:eastAsia="zh-CN"/>
              </w:rPr>
            </w:pPr>
            <w:r>
              <w:rPr>
                <w:rFonts w:hint="eastAsia"/>
                <w:lang w:val="en-US" w:eastAsia="zh-CN"/>
              </w:rPr>
              <w:t>1、投标地址：供应商应在投标截止时间前按招标文件要求使用政采云电子投标客户端制作上传电子投标文件，并在开标后30分钟内远程解密投标文件。</w:t>
            </w:r>
          </w:p>
          <w:p w14:paraId="593C7A1E">
            <w:pPr>
              <w:autoSpaceDE w:val="0"/>
              <w:autoSpaceDN w:val="0"/>
              <w:spacing w:line="360" w:lineRule="auto"/>
              <w:rPr>
                <w:rFonts w:hint="eastAsia"/>
                <w:lang w:val="en-US" w:eastAsia="zh-CN"/>
              </w:rPr>
            </w:pPr>
            <w:r>
              <w:rPr>
                <w:rFonts w:hint="eastAsia"/>
                <w:lang w:val="en-US" w:eastAsia="zh-CN"/>
              </w:rPr>
              <w:t>2、开标地点：青海省西宁市城西区西川南路76号1号写字楼16楼11613室</w:t>
            </w:r>
            <w:r>
              <w:rPr>
                <w:rFonts w:hint="eastAsia" w:ascii="Arial" w:hAnsi="Arial" w:cs="Arial"/>
                <w:color w:val="000000"/>
                <w:lang w:val="en-US" w:eastAsia="zh-CN"/>
              </w:rPr>
              <w:t xml:space="preserve">  </w:t>
            </w:r>
            <w:r>
              <w:rPr>
                <w:rFonts w:hint="eastAsia" w:ascii="Arial" w:hAnsi="Arial" w:cs="Arial"/>
                <w:color w:val="000000"/>
                <w:lang w:val="zh-CN"/>
              </w:rPr>
              <w:t>（投标：政采云服务平台）</w:t>
            </w:r>
          </w:p>
          <w:p w14:paraId="7E70CC9F">
            <w:pPr>
              <w:rPr>
                <w:rFonts w:ascii="宋体" w:hAnsi="宋体" w:cs="宋体"/>
                <w:color w:val="000000"/>
              </w:rPr>
            </w:pPr>
            <w:r>
              <w:rPr>
                <w:rFonts w:hint="eastAsia" w:ascii="Times New Roman" w:hAnsi="Times New Roman" w:eastAsia="宋体" w:cs="Times New Roman"/>
                <w:lang w:val="en-US" w:eastAsia="zh-CN"/>
              </w:rPr>
              <w:t>注：如非系统原因造成无法解密的或非系统原因加密文件上传不成功的或没办理 CA 锁而造成加密文件无法解密、 加密文件无法上传的视为无效投标。</w:t>
            </w:r>
          </w:p>
        </w:tc>
      </w:tr>
      <w:tr w14:paraId="7AC903A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22D933F1">
            <w:pPr>
              <w:autoSpaceDE w:val="0"/>
              <w:autoSpaceDN w:val="0"/>
              <w:rPr>
                <w:rFonts w:ascii="宋体" w:hAnsi="宋体" w:cs="宋体"/>
                <w:color w:val="000000"/>
                <w:lang w:val="zh-CN"/>
              </w:rPr>
            </w:pPr>
            <w:r>
              <w:rPr>
                <w:rFonts w:hint="eastAsia" w:ascii="宋体" w:hAnsi="宋体" w:cs="宋体"/>
                <w:color w:val="000000"/>
                <w:lang w:val="zh-CN"/>
              </w:rPr>
              <w:t>采购人及联系人</w:t>
            </w:r>
          </w:p>
        </w:tc>
        <w:tc>
          <w:tcPr>
            <w:tcW w:w="8242" w:type="dxa"/>
            <w:tcBorders>
              <w:top w:val="outset" w:color="000000" w:sz="6" w:space="0"/>
              <w:left w:val="outset" w:color="000000" w:sz="6" w:space="0"/>
              <w:bottom w:val="outset" w:color="000000" w:sz="6" w:space="0"/>
              <w:right w:val="outset" w:color="000000" w:sz="6" w:space="0"/>
            </w:tcBorders>
            <w:vAlign w:val="center"/>
          </w:tcPr>
          <w:p w14:paraId="5102C51D">
            <w:pPr>
              <w:rPr>
                <w:rStyle w:val="100"/>
                <w:rFonts w:hint="eastAsia" w:ascii="宋体" w:hAnsi="宋体" w:eastAsia="宋体" w:cs="宋体"/>
                <w:color w:val="000000"/>
                <w:shd w:val="clear" w:color="auto" w:fill="FFFFFF"/>
                <w:lang w:eastAsia="zh-CN"/>
              </w:rPr>
            </w:pPr>
            <w:r>
              <w:rPr>
                <w:rFonts w:hint="eastAsia" w:ascii="宋体" w:hAnsi="宋体" w:cs="宋体"/>
                <w:color w:val="000000"/>
              </w:rPr>
              <w:t>采购人：</w:t>
            </w:r>
            <w:r>
              <w:rPr>
                <w:rFonts w:hint="eastAsia" w:ascii="宋体" w:hAnsi="宋体" w:cs="宋体"/>
                <w:color w:val="000000"/>
                <w:lang w:eastAsia="zh-CN"/>
              </w:rPr>
              <w:t>湟源县水利局</w:t>
            </w:r>
          </w:p>
          <w:p w14:paraId="0A05526F">
            <w:pPr>
              <w:rPr>
                <w:rFonts w:hint="default" w:ascii="宋体" w:hAnsi="宋体" w:eastAsia="宋体" w:cs="宋体"/>
                <w:color w:val="FF0000"/>
                <w:lang w:val="en-US" w:eastAsia="zh-CN"/>
              </w:rPr>
            </w:pPr>
            <w:r>
              <w:rPr>
                <w:rFonts w:hint="eastAsia" w:ascii="宋体" w:hAnsi="宋体" w:cs="宋体"/>
                <w:color w:val="000000"/>
              </w:rPr>
              <w:t>联系人：</w:t>
            </w:r>
            <w:r>
              <w:rPr>
                <w:rFonts w:hint="eastAsia" w:ascii="Arial" w:hAnsi="Arial" w:cs="Arial"/>
                <w:color w:val="000000"/>
                <w:lang w:val="en-US" w:eastAsia="zh-CN"/>
              </w:rPr>
              <w:t>祁女士</w:t>
            </w:r>
          </w:p>
          <w:p w14:paraId="688F91B5">
            <w:pPr>
              <w:rPr>
                <w:rFonts w:hint="eastAsia" w:ascii="宋体" w:hAnsi="宋体" w:cs="宋体"/>
                <w:color w:val="000000"/>
                <w:lang w:val="en-US" w:eastAsia="zh-CN"/>
              </w:rPr>
            </w:pPr>
            <w:r>
              <w:rPr>
                <w:rFonts w:hint="eastAsia" w:ascii="宋体" w:hAnsi="宋体" w:cs="宋体"/>
                <w:color w:val="000000"/>
              </w:rPr>
              <w:t>联系电话：</w:t>
            </w:r>
            <w:r>
              <w:rPr>
                <w:rFonts w:hint="eastAsia" w:ascii="宋体" w:hAnsi="宋体" w:cs="宋体"/>
                <w:color w:val="000000"/>
                <w:lang w:val="en-US" w:eastAsia="zh-CN"/>
              </w:rPr>
              <w:t>0971-2432178</w:t>
            </w:r>
          </w:p>
          <w:p w14:paraId="3D956035">
            <w:pPr>
              <w:rPr>
                <w:rFonts w:hint="eastAsia" w:ascii="宋体" w:hAnsi="宋体" w:eastAsia="宋体" w:cs="宋体"/>
                <w:color w:val="000000"/>
                <w:lang w:eastAsia="zh-CN"/>
              </w:rPr>
            </w:pPr>
            <w:r>
              <w:rPr>
                <w:rFonts w:hint="eastAsia" w:ascii="宋体" w:hAnsi="宋体" w:cs="宋体"/>
                <w:color w:val="000000"/>
              </w:rPr>
              <w:t>联系地址：</w:t>
            </w:r>
            <w:r>
              <w:rPr>
                <w:rFonts w:hint="eastAsia" w:ascii="宋体" w:hAnsi="宋体" w:cs="宋体"/>
                <w:color w:val="000000"/>
                <w:lang w:val="en-US" w:eastAsia="zh-CN"/>
              </w:rPr>
              <w:t>湟源县城关镇水利路12号</w:t>
            </w:r>
          </w:p>
        </w:tc>
      </w:tr>
      <w:tr w14:paraId="2DCB9AA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171" w:hRule="atLeast"/>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051FECC9">
            <w:pPr>
              <w:autoSpaceDE w:val="0"/>
              <w:autoSpaceDN w:val="0"/>
              <w:rPr>
                <w:rFonts w:ascii="宋体" w:hAnsi="宋体" w:cs="宋体"/>
                <w:color w:val="000000"/>
                <w:lang w:val="zh-CN"/>
              </w:rPr>
            </w:pPr>
            <w:r>
              <w:rPr>
                <w:rFonts w:hint="eastAsia" w:ascii="宋体" w:hAnsi="宋体" w:cs="宋体"/>
                <w:color w:val="000000"/>
                <w:lang w:val="zh-CN"/>
              </w:rPr>
              <w:t>采购代理机构及</w:t>
            </w:r>
          </w:p>
          <w:p w14:paraId="15B14F59">
            <w:pPr>
              <w:autoSpaceDE w:val="0"/>
              <w:autoSpaceDN w:val="0"/>
              <w:rPr>
                <w:rFonts w:ascii="宋体" w:hAnsi="宋体" w:cs="宋体"/>
                <w:color w:val="000000"/>
                <w:lang w:val="zh-CN"/>
              </w:rPr>
            </w:pPr>
            <w:r>
              <w:rPr>
                <w:rFonts w:hint="eastAsia" w:ascii="宋体" w:hAnsi="宋体" w:cs="宋体"/>
                <w:color w:val="000000"/>
                <w:lang w:val="zh-CN"/>
              </w:rPr>
              <w:t>联系人电话</w:t>
            </w:r>
          </w:p>
        </w:tc>
        <w:tc>
          <w:tcPr>
            <w:tcW w:w="8242" w:type="dxa"/>
            <w:tcBorders>
              <w:top w:val="outset" w:color="000000" w:sz="6" w:space="0"/>
              <w:left w:val="outset" w:color="000000" w:sz="6" w:space="0"/>
              <w:bottom w:val="outset" w:color="000000" w:sz="6" w:space="0"/>
              <w:right w:val="outset" w:color="000000" w:sz="6" w:space="0"/>
            </w:tcBorders>
            <w:vAlign w:val="center"/>
          </w:tcPr>
          <w:p w14:paraId="286218A5">
            <w:pPr>
              <w:rPr>
                <w:rFonts w:hint="eastAsia" w:ascii="Arial" w:hAnsi="Arial" w:eastAsia="宋体" w:cs="Arial"/>
                <w:color w:val="000000"/>
                <w:lang w:eastAsia="zh-CN"/>
              </w:rPr>
            </w:pPr>
            <w:r>
              <w:rPr>
                <w:rFonts w:ascii="Arial" w:hAnsi="Arial" w:cs="Arial"/>
                <w:color w:val="000000"/>
              </w:rPr>
              <w:t>采购代理机构：</w:t>
            </w:r>
            <w:r>
              <w:rPr>
                <w:rFonts w:hint="eastAsia" w:ascii="Arial" w:hAnsi="Arial" w:cs="Arial"/>
                <w:color w:val="000000"/>
                <w:lang w:eastAsia="zh-CN"/>
              </w:rPr>
              <w:t>青海鹏杰工程项目管理有限公司</w:t>
            </w:r>
          </w:p>
          <w:p w14:paraId="4D8F8CD6">
            <w:pPr>
              <w:rPr>
                <w:rFonts w:hint="eastAsia" w:ascii="Arial" w:hAnsi="Arial" w:cs="Arial"/>
                <w:color w:val="000000"/>
                <w:lang w:eastAsia="zh-CN"/>
              </w:rPr>
            </w:pPr>
            <w:r>
              <w:rPr>
                <w:rFonts w:ascii="Arial" w:hAnsi="Arial" w:cs="Arial"/>
                <w:color w:val="000000"/>
              </w:rPr>
              <w:t>联 系 人：</w:t>
            </w:r>
            <w:r>
              <w:rPr>
                <w:rFonts w:hint="eastAsia" w:ascii="Arial" w:hAnsi="Arial" w:cs="Arial"/>
                <w:color w:val="000000"/>
                <w:lang w:val="en-US" w:eastAsia="zh-CN"/>
              </w:rPr>
              <w:t>吉女士</w:t>
            </w:r>
          </w:p>
          <w:p w14:paraId="6F56CF66">
            <w:pPr>
              <w:rPr>
                <w:rFonts w:hint="eastAsia" w:ascii="Arial" w:hAnsi="Arial" w:cs="Arial"/>
                <w:color w:val="000000"/>
                <w:lang w:eastAsia="zh-CN"/>
              </w:rPr>
            </w:pPr>
            <w:r>
              <w:rPr>
                <w:rFonts w:ascii="Arial" w:hAnsi="Arial" w:cs="Arial"/>
                <w:color w:val="000000"/>
              </w:rPr>
              <w:t>联系电话：</w:t>
            </w:r>
            <w:r>
              <w:rPr>
                <w:rFonts w:hint="eastAsia" w:ascii="Arial" w:hAnsi="Arial" w:cs="Arial"/>
                <w:color w:val="000000"/>
                <w:lang w:eastAsia="zh-CN"/>
              </w:rPr>
              <w:t>15620614676</w:t>
            </w:r>
          </w:p>
          <w:p w14:paraId="56F89623">
            <w:pPr>
              <w:rPr>
                <w:rFonts w:ascii="Arial" w:hAnsi="Arial" w:cs="Arial"/>
                <w:color w:val="000000"/>
              </w:rPr>
            </w:pPr>
            <w:r>
              <w:rPr>
                <w:rFonts w:ascii="Arial" w:hAnsi="Arial" w:cs="Arial"/>
                <w:color w:val="000000"/>
              </w:rPr>
              <w:t>邮箱地址：</w:t>
            </w:r>
            <w:r>
              <w:rPr>
                <w:rFonts w:hint="eastAsia" w:ascii="Arial" w:hAnsi="Arial" w:cs="Arial"/>
                <w:color w:val="000000"/>
                <w:lang w:val="en-US" w:eastAsia="zh-CN"/>
              </w:rPr>
              <w:t>qhpj</w:t>
            </w:r>
            <w:r>
              <w:rPr>
                <w:rFonts w:hint="eastAsia" w:ascii="Arial" w:hAnsi="Arial" w:cs="Arial"/>
                <w:color w:val="000000"/>
              </w:rPr>
              <w:t>888@126.com</w:t>
            </w:r>
          </w:p>
          <w:p w14:paraId="4C5297A5">
            <w:pPr>
              <w:rPr>
                <w:rFonts w:hint="default" w:ascii="宋体" w:hAnsi="宋体" w:eastAsia="宋体" w:cs="宋体"/>
                <w:color w:val="000000"/>
                <w:lang w:val="en-US" w:eastAsia="zh-CN"/>
              </w:rPr>
            </w:pPr>
            <w:r>
              <w:rPr>
                <w:rFonts w:ascii="Arial" w:hAnsi="Arial" w:cs="Arial"/>
                <w:color w:val="000000"/>
              </w:rPr>
              <w:t>联系地址：</w:t>
            </w:r>
            <w:r>
              <w:rPr>
                <w:rFonts w:hint="eastAsia" w:ascii="Arial" w:hAnsi="Arial" w:cs="Arial"/>
                <w:color w:val="000000"/>
                <w:lang w:eastAsia="zh-CN"/>
              </w:rPr>
              <w:t>青海省西宁市城西区西川南路76号1号写字楼16楼11613室</w:t>
            </w:r>
            <w:r>
              <w:rPr>
                <w:rFonts w:hint="eastAsia" w:ascii="Arial" w:hAnsi="Arial" w:cs="Arial"/>
                <w:color w:val="000000"/>
                <w:lang w:val="en-US" w:eastAsia="zh-CN"/>
              </w:rPr>
              <w:t xml:space="preserve">    </w:t>
            </w:r>
          </w:p>
        </w:tc>
      </w:tr>
      <w:tr w14:paraId="4FD6ED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37EB7E89">
            <w:pPr>
              <w:autoSpaceDE w:val="0"/>
              <w:autoSpaceDN w:val="0"/>
              <w:rPr>
                <w:rFonts w:ascii="宋体" w:hAnsi="宋体" w:cs="宋体"/>
                <w:color w:val="000000"/>
                <w:lang w:val="zh-CN"/>
              </w:rPr>
            </w:pPr>
            <w:r>
              <w:rPr>
                <w:rFonts w:hint="eastAsia" w:ascii="宋体" w:hAnsi="宋体" w:cs="宋体"/>
                <w:color w:val="000000"/>
                <w:lang w:val="zh-CN"/>
              </w:rPr>
              <w:t>采购代理机构开户银行</w:t>
            </w:r>
          </w:p>
        </w:tc>
        <w:tc>
          <w:tcPr>
            <w:tcW w:w="8242" w:type="dxa"/>
            <w:tcBorders>
              <w:top w:val="outset" w:color="000000" w:sz="6" w:space="0"/>
              <w:left w:val="outset" w:color="000000" w:sz="6" w:space="0"/>
              <w:bottom w:val="outset" w:color="000000" w:sz="6" w:space="0"/>
              <w:right w:val="outset" w:color="000000" w:sz="6" w:space="0"/>
            </w:tcBorders>
            <w:vAlign w:val="center"/>
          </w:tcPr>
          <w:p w14:paraId="3D0E19B7">
            <w:pPr>
              <w:rPr>
                <w:rFonts w:ascii="宋体" w:hAnsi="宋体" w:cs="宋体"/>
                <w:color w:val="000000"/>
                <w:lang w:val="zh-CN"/>
              </w:rPr>
            </w:pPr>
            <w:r>
              <w:rPr>
                <w:rFonts w:hint="eastAsia" w:ascii="Arial" w:hAnsi="Arial" w:cs="Arial"/>
                <w:color w:val="000000"/>
                <w:lang w:eastAsia="zh-CN"/>
              </w:rPr>
              <w:t>中国工商银行股份有限公司西宁文汇路支行</w:t>
            </w:r>
          </w:p>
        </w:tc>
      </w:tr>
      <w:tr w14:paraId="207FECB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00953550">
            <w:pPr>
              <w:autoSpaceDE w:val="0"/>
              <w:autoSpaceDN w:val="0"/>
              <w:rPr>
                <w:rFonts w:ascii="宋体" w:hAnsi="宋体" w:cs="宋体"/>
                <w:color w:val="000000"/>
                <w:lang w:val="zh-CN"/>
              </w:rPr>
            </w:pPr>
            <w:r>
              <w:rPr>
                <w:rFonts w:hint="eastAsia" w:ascii="宋体" w:hAnsi="宋体" w:cs="宋体"/>
                <w:color w:val="000000"/>
                <w:lang w:val="zh-CN"/>
              </w:rPr>
              <w:t>收款人</w:t>
            </w:r>
          </w:p>
        </w:tc>
        <w:tc>
          <w:tcPr>
            <w:tcW w:w="8242" w:type="dxa"/>
            <w:tcBorders>
              <w:top w:val="outset" w:color="000000" w:sz="6" w:space="0"/>
              <w:left w:val="outset" w:color="000000" w:sz="6" w:space="0"/>
              <w:bottom w:val="outset" w:color="000000" w:sz="6" w:space="0"/>
              <w:right w:val="outset" w:color="000000" w:sz="6" w:space="0"/>
            </w:tcBorders>
            <w:vAlign w:val="center"/>
          </w:tcPr>
          <w:p w14:paraId="4A064FA5">
            <w:pPr>
              <w:rPr>
                <w:rFonts w:hint="eastAsia" w:ascii="宋体" w:hAnsi="宋体" w:eastAsia="宋体" w:cs="宋体"/>
                <w:color w:val="000000"/>
                <w:lang w:val="zh-CN" w:eastAsia="zh-CN"/>
              </w:rPr>
            </w:pPr>
            <w:r>
              <w:rPr>
                <w:rFonts w:hint="eastAsia" w:ascii="Arial" w:hAnsi="Arial" w:cs="Arial"/>
                <w:color w:val="000000"/>
                <w:lang w:eastAsia="zh-CN"/>
              </w:rPr>
              <w:t>青海鹏杰工程项目管理有限公司</w:t>
            </w:r>
          </w:p>
        </w:tc>
      </w:tr>
      <w:tr w14:paraId="4C26C5F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474F0620">
            <w:pPr>
              <w:autoSpaceDE w:val="0"/>
              <w:autoSpaceDN w:val="0"/>
              <w:rPr>
                <w:rFonts w:ascii="宋体" w:hAnsi="宋体" w:cs="宋体"/>
                <w:color w:val="000000"/>
                <w:lang w:val="zh-CN"/>
              </w:rPr>
            </w:pPr>
            <w:r>
              <w:rPr>
                <w:rFonts w:hint="eastAsia" w:ascii="宋体" w:hAnsi="宋体" w:cs="宋体"/>
                <w:color w:val="000000"/>
                <w:lang w:val="zh-CN"/>
              </w:rPr>
              <w:t>银行账号</w:t>
            </w:r>
          </w:p>
        </w:tc>
        <w:tc>
          <w:tcPr>
            <w:tcW w:w="8242" w:type="dxa"/>
            <w:tcBorders>
              <w:top w:val="outset" w:color="000000" w:sz="6" w:space="0"/>
              <w:left w:val="outset" w:color="000000" w:sz="6" w:space="0"/>
              <w:bottom w:val="outset" w:color="000000" w:sz="6" w:space="0"/>
              <w:right w:val="outset" w:color="000000" w:sz="6" w:space="0"/>
            </w:tcBorders>
            <w:vAlign w:val="center"/>
          </w:tcPr>
          <w:p w14:paraId="5CC2AE57">
            <w:pPr>
              <w:pStyle w:val="30"/>
              <w:spacing w:before="0" w:beforeAutospacing="0" w:after="0" w:afterAutospacing="0"/>
              <w:rPr>
                <w:color w:val="000000"/>
                <w:lang w:val="zh-CN"/>
              </w:rPr>
            </w:pPr>
            <w:r>
              <w:rPr>
                <w:rFonts w:hint="eastAsia"/>
                <w:color w:val="000000"/>
                <w:lang w:val="zh-CN" w:eastAsia="zh-CN"/>
              </w:rPr>
              <w:t>2806027909100025994</w:t>
            </w:r>
          </w:p>
        </w:tc>
      </w:tr>
      <w:tr w14:paraId="5493B40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688EF71A">
            <w:pPr>
              <w:autoSpaceDE w:val="0"/>
              <w:autoSpaceDN w:val="0"/>
              <w:rPr>
                <w:rFonts w:ascii="宋体" w:hAnsi="宋体" w:cs="宋体"/>
                <w:color w:val="000000"/>
                <w:lang w:val="zh-CN"/>
              </w:rPr>
            </w:pPr>
            <w:r>
              <w:rPr>
                <w:rFonts w:hint="eastAsia" w:ascii="宋体" w:hAnsi="宋体" w:cs="宋体"/>
                <w:color w:val="000000"/>
                <w:lang w:val="zh-CN"/>
              </w:rPr>
              <w:t>其他事项</w:t>
            </w:r>
          </w:p>
        </w:tc>
        <w:tc>
          <w:tcPr>
            <w:tcW w:w="8242" w:type="dxa"/>
            <w:tcBorders>
              <w:top w:val="outset" w:color="000000" w:sz="6" w:space="0"/>
              <w:left w:val="outset" w:color="000000" w:sz="6" w:space="0"/>
              <w:bottom w:val="outset" w:color="000000" w:sz="6" w:space="0"/>
              <w:right w:val="outset" w:color="000000" w:sz="6" w:space="0"/>
            </w:tcBorders>
            <w:vAlign w:val="center"/>
          </w:tcPr>
          <w:p w14:paraId="6EAA90BC">
            <w:pPr>
              <w:rPr>
                <w:rFonts w:hint="default" w:ascii="宋体" w:hAnsi="宋体" w:eastAsia="宋体" w:cs="宋体"/>
                <w:color w:val="000000"/>
                <w:lang w:val="en-US" w:eastAsia="zh-CN"/>
              </w:rPr>
            </w:pPr>
            <w:r>
              <w:rPr>
                <w:rFonts w:hint="eastAsia" w:ascii="宋体" w:hAnsi="宋体" w:cs="宋体"/>
                <w:color w:val="000000"/>
                <w:lang w:val="en-US" w:eastAsia="zh-CN"/>
              </w:rPr>
              <w:t>1、</w:t>
            </w:r>
            <w:r>
              <w:rPr>
                <w:rFonts w:hint="eastAsia" w:ascii="宋体" w:hAnsi="宋体" w:cs="宋体"/>
                <w:color w:val="000000"/>
                <w:lang w:val="zh-C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ascii="宋体" w:hAnsi="宋体" w:cs="宋体"/>
                <w:color w:val="000000"/>
                <w:lang w:val="en-US" w:eastAsia="zh-CN"/>
              </w:rPr>
              <w:t>,解密时间为30分钟。</w:t>
            </w:r>
          </w:p>
          <w:p w14:paraId="6C8B66AA">
            <w:pPr>
              <w:rPr>
                <w:rFonts w:hint="eastAsia" w:ascii="宋体" w:hAnsi="宋体" w:cs="宋体"/>
                <w:color w:val="000000"/>
                <w:lang w:val="zh-CN"/>
              </w:rPr>
            </w:pPr>
            <w:r>
              <w:rPr>
                <w:rFonts w:hint="eastAsia" w:ascii="宋体" w:hAnsi="宋体" w:cs="宋体"/>
                <w:color w:val="000000"/>
                <w:lang w:val="zh-CN"/>
              </w:rPr>
              <w:t>2、线上电子化开评标系统操作及办理CA锁等相关事宜请咨询政采云：咨询电话：</w:t>
            </w:r>
            <w:r>
              <w:rPr>
                <w:rFonts w:hint="eastAsia" w:ascii="宋体" w:hAnsi="宋体" w:cs="宋体"/>
                <w:color w:val="000000"/>
                <w:lang w:val="zh-CN" w:eastAsia="zh-CN"/>
              </w:rPr>
              <w:t>政采云95763</w:t>
            </w:r>
            <w:r>
              <w:rPr>
                <w:rFonts w:hint="eastAsia" w:ascii="宋体" w:hAnsi="宋体" w:cs="宋体"/>
                <w:color w:val="000000"/>
                <w:lang w:val="zh-CN"/>
              </w:rPr>
              <w:t>。</w:t>
            </w:r>
          </w:p>
          <w:p w14:paraId="187AB751">
            <w:pPr>
              <w:rPr>
                <w:rFonts w:hint="eastAsia" w:ascii="宋体" w:hAnsi="宋体" w:cs="宋体"/>
                <w:color w:val="000000"/>
                <w:lang w:val="zh-CN"/>
              </w:rPr>
            </w:pPr>
            <w:r>
              <w:rPr>
                <w:rFonts w:hint="eastAsia" w:ascii="宋体" w:hAnsi="宋体" w:cs="宋体"/>
                <w:color w:val="000000"/>
                <w:lang w:val="zh-CN"/>
              </w:rPr>
              <w:t>3、线上CA：PC咨询网址（可及时反馈问题截图，让客服快速定位问题）:http://tseal.cn/k.html，咨询电话：</w:t>
            </w:r>
            <w:r>
              <w:rPr>
                <w:rFonts w:hint="eastAsia" w:ascii="宋体" w:hAnsi="宋体" w:cs="宋体"/>
                <w:color w:val="000000"/>
                <w:lang w:val="zh-CN" w:eastAsia="zh-CN"/>
              </w:rPr>
              <w:t>95763</w:t>
            </w:r>
            <w:r>
              <w:rPr>
                <w:rFonts w:hint="eastAsia" w:ascii="宋体" w:hAnsi="宋体" w:cs="宋体"/>
                <w:color w:val="000000"/>
                <w:lang w:val="zh-CN"/>
              </w:rPr>
              <w:t>。</w:t>
            </w:r>
          </w:p>
          <w:p w14:paraId="416B7256">
            <w:pPr>
              <w:rPr>
                <w:rFonts w:hint="eastAsia" w:ascii="宋体" w:hAnsi="宋体" w:cs="宋体"/>
                <w:color w:val="000000"/>
                <w:lang w:val="zh-CN" w:eastAsia="zh-CN"/>
              </w:rPr>
            </w:pPr>
            <w:r>
              <w:rPr>
                <w:rFonts w:hint="eastAsia" w:ascii="宋体" w:hAnsi="宋体" w:cs="宋体"/>
                <w:color w:val="000000"/>
                <w:lang w:val="en-US" w:eastAsia="zh-CN"/>
              </w:rPr>
              <w:t>4、</w:t>
            </w:r>
            <w:r>
              <w:rPr>
                <w:rFonts w:hint="eastAsia" w:ascii="宋体" w:hAnsi="宋体" w:cs="宋体"/>
                <w:color w:val="000000"/>
                <w:lang w:val="zh-CN" w:eastAsia="zh-CN"/>
              </w:rPr>
              <w:t>成交供应商领取成交通知书时应提交纸质响应文件（1份 正本、2份副本和相应的电子文档（U盘）1份），纸质响应文件应与上传至政府采购云平台加密的电子响应文件一致，书脊处打上项目名称。每份响应文件都必须清楚地标明“正本 ”或“副本 ”字样。响应文件统一使用A4幅面的纸张印制，必须胶装成册并编码，鼓励采用双面打印。</w:t>
            </w:r>
          </w:p>
          <w:p w14:paraId="5B7E1973">
            <w:pPr>
              <w:rPr>
                <w:rFonts w:hint="eastAsia" w:ascii="宋体" w:hAnsi="宋体" w:cs="宋体"/>
                <w:color w:val="000000"/>
                <w:lang w:val="zh-CN"/>
              </w:rPr>
            </w:pPr>
            <w:r>
              <w:rPr>
                <w:rFonts w:hint="eastAsia" w:ascii="宋体" w:hAnsi="宋体" w:cs="宋体"/>
                <w:color w:val="000000"/>
                <w:lang w:val="en-US" w:eastAsia="zh-CN"/>
              </w:rPr>
              <w:t>5、</w:t>
            </w:r>
            <w:r>
              <w:rPr>
                <w:rFonts w:hint="eastAsia" w:ascii="宋体" w:hAnsi="宋体" w:cs="宋体"/>
                <w:color w:val="000000"/>
                <w:lang w:val="zh-CN"/>
              </w:rPr>
              <w:t>本项目招标公告在《青海省政府采购网》、《青海省电子招标投标公共服务平台》同时发布，</w:t>
            </w:r>
            <w:r>
              <w:rPr>
                <w:rFonts w:hint="eastAsia" w:ascii="宋体" w:hAnsi="宋体" w:cs="宋体"/>
                <w:color w:val="000000"/>
                <w:lang w:val="zh-CN" w:eastAsia="zh-CN"/>
              </w:rPr>
              <w:t>以</w:t>
            </w:r>
            <w:r>
              <w:rPr>
                <w:rFonts w:hint="eastAsia" w:ascii="宋体" w:hAnsi="宋体" w:cs="宋体"/>
                <w:color w:val="000000"/>
                <w:lang w:val="zh-CN"/>
              </w:rPr>
              <w:t>《青海省政府采购网》</w:t>
            </w:r>
            <w:r>
              <w:rPr>
                <w:rFonts w:hint="eastAsia" w:ascii="宋体" w:hAnsi="宋体" w:cs="宋体"/>
                <w:color w:val="000000"/>
                <w:lang w:val="zh-CN" w:eastAsia="zh-CN"/>
              </w:rPr>
              <w:t>为主。</w:t>
            </w:r>
          </w:p>
          <w:p w14:paraId="172692D5">
            <w:pPr>
              <w:rPr>
                <w:rFonts w:ascii="宋体" w:hAnsi="宋体" w:cs="宋体"/>
                <w:color w:val="000000"/>
                <w:lang w:val="zh-CN"/>
              </w:rPr>
            </w:pPr>
            <w:r>
              <w:rPr>
                <w:rFonts w:hint="eastAsia" w:ascii="宋体" w:hAnsi="宋体" w:cs="宋体"/>
                <w:color w:val="000000"/>
                <w:lang w:val="en-US" w:eastAsia="zh-CN"/>
              </w:rPr>
              <w:t>6、</w:t>
            </w:r>
            <w:r>
              <w:rPr>
                <w:rFonts w:hint="eastAsia" w:ascii="宋体" w:hAnsi="宋体" w:cs="宋体"/>
                <w:color w:val="000000"/>
                <w:lang w:val="zh-CN"/>
              </w:rPr>
              <w:t>公告期限：自发布之日起5个工作日。</w:t>
            </w:r>
          </w:p>
        </w:tc>
      </w:tr>
      <w:tr w14:paraId="01347A3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96" w:hRule="atLeast"/>
          <w:jc w:val="center"/>
        </w:trPr>
        <w:tc>
          <w:tcPr>
            <w:tcW w:w="2361" w:type="dxa"/>
            <w:tcBorders>
              <w:top w:val="outset" w:color="000000" w:sz="6" w:space="0"/>
              <w:left w:val="outset" w:color="000000" w:sz="6" w:space="0"/>
              <w:bottom w:val="outset" w:color="000000" w:sz="6" w:space="0"/>
              <w:right w:val="outset" w:color="000000" w:sz="6" w:space="0"/>
            </w:tcBorders>
            <w:vAlign w:val="center"/>
          </w:tcPr>
          <w:p w14:paraId="00E7BD7F">
            <w:pPr>
              <w:autoSpaceDE w:val="0"/>
              <w:autoSpaceDN w:val="0"/>
              <w:rPr>
                <w:rFonts w:ascii="宋体" w:hAnsi="宋体" w:cs="宋体"/>
                <w:color w:val="000000"/>
                <w:lang w:val="zh-CN"/>
              </w:rPr>
            </w:pPr>
            <w:r>
              <w:rPr>
                <w:rFonts w:hint="eastAsia" w:ascii="宋体" w:hAnsi="宋体" w:cs="宋体"/>
                <w:color w:val="000000"/>
                <w:lang w:val="zh-CN"/>
              </w:rPr>
              <w:t>财政部门监督电话</w:t>
            </w:r>
          </w:p>
        </w:tc>
        <w:tc>
          <w:tcPr>
            <w:tcW w:w="8242" w:type="dxa"/>
            <w:tcBorders>
              <w:top w:val="outset" w:color="000000" w:sz="6" w:space="0"/>
              <w:left w:val="outset" w:color="000000" w:sz="6" w:space="0"/>
              <w:bottom w:val="outset" w:color="000000" w:sz="6" w:space="0"/>
              <w:right w:val="outset" w:color="000000" w:sz="6" w:space="0"/>
            </w:tcBorders>
            <w:vAlign w:val="center"/>
          </w:tcPr>
          <w:p w14:paraId="74694F14">
            <w:pPr>
              <w:widowControl/>
              <w:jc w:val="left"/>
              <w:rPr>
                <w:rFonts w:hint="eastAsia" w:ascii="宋体" w:hAnsi="宋体" w:cs="Arial"/>
                <w:color w:val="000000"/>
                <w:lang w:val="en-US"/>
              </w:rPr>
            </w:pPr>
            <w:r>
              <w:rPr>
                <w:rFonts w:hint="eastAsia" w:ascii="宋体" w:hAnsi="宋体" w:cs="Arial"/>
                <w:color w:val="000000"/>
              </w:rPr>
              <w:t>监督单位：</w:t>
            </w:r>
            <w:r>
              <w:rPr>
                <w:rFonts w:hint="eastAsia" w:ascii="宋体" w:hAnsi="宋体" w:cs="Arial"/>
                <w:color w:val="000000"/>
                <w:lang w:val="en-US" w:eastAsia="zh-CN"/>
              </w:rPr>
              <w:t>湟源县财政局</w:t>
            </w:r>
          </w:p>
          <w:p w14:paraId="2262217A">
            <w:pPr>
              <w:widowControl/>
              <w:jc w:val="left"/>
              <w:rPr>
                <w:rFonts w:hint="eastAsia" w:ascii="宋体" w:hAnsi="宋体" w:eastAsia="宋体" w:cs="宋体"/>
                <w:color w:val="000000"/>
                <w:lang w:eastAsia="zh-CN"/>
              </w:rPr>
            </w:pPr>
            <w:r>
              <w:rPr>
                <w:rFonts w:hint="eastAsia" w:ascii="宋体" w:hAnsi="宋体" w:cs="Arial"/>
                <w:color w:val="000000"/>
              </w:rPr>
              <w:t>联系电话</w:t>
            </w:r>
            <w:r>
              <w:rPr>
                <w:rFonts w:hint="eastAsia" w:ascii="宋体" w:hAnsi="宋体" w:cs="Arial"/>
                <w:color w:val="000000"/>
                <w:lang w:val="en-US" w:eastAsia="zh-CN"/>
              </w:rPr>
              <w:t>：0971-2480721</w:t>
            </w:r>
          </w:p>
        </w:tc>
      </w:tr>
    </w:tbl>
    <w:p w14:paraId="7420F1CA">
      <w:pPr>
        <w:adjustRightInd w:val="0"/>
        <w:jc w:val="right"/>
        <w:textAlignment w:val="baseline"/>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青海鹏杰工程项目管理有限公司</w:t>
      </w:r>
    </w:p>
    <w:p w14:paraId="0F5552D0">
      <w:pPr>
        <w:pStyle w:val="12"/>
        <w:jc w:val="center"/>
        <w:rPr>
          <w:rFonts w:hint="default"/>
          <w:sz w:val="24"/>
          <w:szCs w:val="24"/>
          <w:lang w:val="en-US" w:eastAsia="zh-CN"/>
        </w:rPr>
      </w:pPr>
      <w:r>
        <w:rPr>
          <w:rFonts w:hint="eastAsia" w:ascii="宋体" w:hAnsi="宋体" w:cs="宋体"/>
          <w:color w:val="000000"/>
          <w:sz w:val="24"/>
          <w:szCs w:val="24"/>
          <w:lang w:val="en-US" w:eastAsia="zh-CN"/>
        </w:rPr>
        <w:t xml:space="preserve">                                                 2025年06月30日</w:t>
      </w:r>
    </w:p>
    <w:p w14:paraId="466318FA">
      <w:pPr>
        <w:pStyle w:val="25"/>
        <w:spacing w:before="0" w:after="0" w:line="360" w:lineRule="auto"/>
        <w:jc w:val="both"/>
        <w:outlineLvl w:val="0"/>
        <w:rPr>
          <w:rFonts w:ascii="宋体" w:hAnsi="宋体" w:cs="宋体"/>
          <w:color w:val="000000"/>
          <w:sz w:val="24"/>
        </w:rPr>
        <w:sectPr>
          <w:footerReference r:id="rId10" w:type="first"/>
          <w:footerReference r:id="rId9" w:type="default"/>
          <w:pgSz w:w="11906" w:h="16838"/>
          <w:pgMar w:top="1440" w:right="1080" w:bottom="1440" w:left="1080" w:header="851" w:footer="850" w:gutter="0"/>
          <w:pgBorders>
            <w:top w:val="none" w:sz="0" w:space="0"/>
            <w:left w:val="none" w:sz="0" w:space="0"/>
            <w:bottom w:val="none" w:sz="0" w:space="0"/>
            <w:right w:val="none" w:sz="0" w:space="0"/>
          </w:pgBorders>
          <w:pgNumType w:fmt="decimal" w:start="1"/>
          <w:cols w:space="720" w:num="1"/>
          <w:titlePg/>
          <w:docGrid w:linePitch="312" w:charSpace="0"/>
        </w:sectPr>
      </w:pPr>
    </w:p>
    <w:p w14:paraId="10973C12">
      <w:pPr>
        <w:pStyle w:val="25"/>
        <w:spacing w:before="0" w:after="0" w:line="360" w:lineRule="auto"/>
        <w:ind w:firstLine="2617" w:firstLineChars="543"/>
        <w:jc w:val="both"/>
        <w:outlineLvl w:val="0"/>
        <w:rPr>
          <w:rFonts w:hint="eastAsia" w:ascii="宋体" w:hAnsi="宋体" w:cs="宋体"/>
          <w:color w:val="000000"/>
          <w:sz w:val="48"/>
          <w:lang w:val="zh-CN"/>
        </w:rPr>
      </w:pPr>
      <w:bookmarkStart w:id="14" w:name="_Toc16727"/>
      <w:bookmarkStart w:id="15" w:name="_Toc2004"/>
      <w:bookmarkStart w:id="16" w:name="_Toc444715733"/>
      <w:r>
        <w:rPr>
          <w:rFonts w:hint="eastAsia" w:ascii="宋体" w:hAnsi="宋体" w:cs="宋体"/>
          <w:color w:val="000000"/>
          <w:sz w:val="48"/>
        </w:rPr>
        <w:t>第二部分  供应商须知前附表</w:t>
      </w:r>
      <w:bookmarkEnd w:id="14"/>
      <w:bookmarkEnd w:id="15"/>
      <w:bookmarkEnd w:id="16"/>
    </w:p>
    <w:tbl>
      <w:tblPr>
        <w:tblStyle w:val="35"/>
        <w:tblW w:w="10570" w:type="dxa"/>
        <w:jc w:val="center"/>
        <w:tblLayout w:type="fixed"/>
        <w:tblCellMar>
          <w:top w:w="0" w:type="dxa"/>
          <w:left w:w="57" w:type="dxa"/>
          <w:bottom w:w="0" w:type="dxa"/>
          <w:right w:w="57" w:type="dxa"/>
        </w:tblCellMar>
      </w:tblPr>
      <w:tblGrid>
        <w:gridCol w:w="653"/>
        <w:gridCol w:w="2080"/>
        <w:gridCol w:w="7837"/>
      </w:tblGrid>
      <w:tr w14:paraId="1195205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D2AF83">
            <w:pPr>
              <w:autoSpaceDE w:val="0"/>
              <w:autoSpaceDN w:val="0"/>
              <w:jc w:val="center"/>
              <w:rPr>
                <w:rFonts w:ascii="宋体" w:hAnsi="宋体" w:cs="宋体"/>
                <w:kern w:val="0"/>
                <w:lang w:val="zh-CN"/>
              </w:rPr>
            </w:pPr>
            <w:r>
              <w:rPr>
                <w:rFonts w:hint="eastAsia" w:ascii="宋体" w:hAnsi="宋体" w:cs="宋体"/>
                <w:bCs/>
                <w:kern w:val="0"/>
                <w:lang w:val="zh-CN"/>
              </w:rPr>
              <w:t>序号</w:t>
            </w:r>
          </w:p>
        </w:tc>
        <w:tc>
          <w:tcPr>
            <w:tcW w:w="9917"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1CAA0DD0">
            <w:pPr>
              <w:autoSpaceDE w:val="0"/>
              <w:autoSpaceDN w:val="0"/>
              <w:jc w:val="center"/>
              <w:rPr>
                <w:rFonts w:ascii="宋体" w:hAnsi="宋体" w:cs="宋体"/>
                <w:kern w:val="0"/>
                <w:lang w:val="zh-CN"/>
              </w:rPr>
            </w:pPr>
            <w:r>
              <w:rPr>
                <w:rFonts w:hint="eastAsia" w:ascii="宋体" w:hAnsi="宋体" w:cs="宋体"/>
                <w:bCs/>
                <w:kern w:val="0"/>
                <w:lang w:val="zh-CN"/>
              </w:rPr>
              <w:t>内容</w:t>
            </w:r>
          </w:p>
        </w:tc>
      </w:tr>
      <w:tr w14:paraId="12D9003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A3DC4B">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1DEC1D">
            <w:pPr>
              <w:autoSpaceDE w:val="0"/>
              <w:autoSpaceDN w:val="0"/>
              <w:jc w:val="center"/>
              <w:rPr>
                <w:rFonts w:ascii="宋体" w:hAnsi="宋体" w:cs="宋体"/>
                <w:bCs/>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采购项目编号/包号</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422969">
            <w:pPr>
              <w:autoSpaceDE w:val="0"/>
              <w:autoSpaceDN w:val="0"/>
              <w:jc w:val="left"/>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青海鹏杰竞磋（服务）2025-017</w:t>
            </w:r>
          </w:p>
        </w:tc>
      </w:tr>
      <w:tr w14:paraId="44C2B07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74F811">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38FB8A">
            <w:pPr>
              <w:autoSpaceDE w:val="0"/>
              <w:autoSpaceDN w:val="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备案编号</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tcPr>
          <w:p w14:paraId="51CCD756">
            <w:pPr>
              <w:autoSpaceDE w:val="0"/>
              <w:autoSpaceDN w:val="0"/>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BUYPLANSP[2025]00152</w:t>
            </w:r>
          </w:p>
        </w:tc>
      </w:tr>
      <w:tr w14:paraId="031A10C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4BE87B">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4E5A5">
            <w:pPr>
              <w:autoSpaceDE w:val="0"/>
              <w:autoSpaceDN w:val="0"/>
              <w:jc w:val="center"/>
              <w:rPr>
                <w:rFonts w:ascii="宋体" w:hAnsi="宋体" w:cs="宋体"/>
                <w:bCs/>
                <w:kern w:val="0"/>
                <w:lang w:val="zh-CN"/>
              </w:rPr>
            </w:pPr>
            <w:r>
              <w:rPr>
                <w:rFonts w:hint="eastAsia" w:ascii="宋体" w:hAnsi="宋体" w:cs="宋体"/>
              </w:rPr>
              <w:t>采购项目名称</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tcPr>
          <w:p w14:paraId="0394DF27">
            <w:pPr>
              <w:autoSpaceDE w:val="0"/>
              <w:autoSpaceDN w:val="0"/>
              <w:rPr>
                <w:rFonts w:hint="eastAsia" w:ascii="宋体" w:hAnsi="宋体" w:eastAsia="宋体" w:cs="宋体"/>
                <w:kern w:val="0"/>
                <w:lang w:val="zh-CN" w:eastAsia="zh-CN"/>
              </w:rPr>
            </w:pPr>
            <w:r>
              <w:rPr>
                <w:rFonts w:hint="eastAsia" w:ascii="宋体" w:hAnsi="宋体" w:cs="宋体"/>
                <w:bCs/>
                <w:color w:val="000000"/>
                <w:lang w:eastAsia="zh-CN"/>
              </w:rPr>
              <w:t xml:space="preserve">湟源县17座农村污水处理站运维服务  </w:t>
            </w:r>
          </w:p>
        </w:tc>
      </w:tr>
      <w:tr w14:paraId="73FC8E8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DE7FBC">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CE234F">
            <w:pPr>
              <w:autoSpaceDE w:val="0"/>
              <w:autoSpaceDN w:val="0"/>
              <w:jc w:val="center"/>
              <w:rPr>
                <w:rFonts w:ascii="宋体" w:hAnsi="宋体" w:cs="宋体"/>
                <w:bCs/>
                <w:kern w:val="0"/>
                <w:lang w:val="zh-CN"/>
              </w:rPr>
            </w:pPr>
            <w:r>
              <w:rPr>
                <w:rFonts w:hint="eastAsia" w:ascii="宋体" w:hAnsi="宋体" w:cs="宋体"/>
              </w:rPr>
              <w:t>采购人</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tcPr>
          <w:p w14:paraId="47B5A60F">
            <w:pPr>
              <w:autoSpaceDE w:val="0"/>
              <w:autoSpaceDN w:val="0"/>
              <w:rPr>
                <w:rFonts w:hint="eastAsia" w:ascii="宋体" w:hAnsi="宋体" w:eastAsia="宋体" w:cs="宋体"/>
                <w:kern w:val="0"/>
                <w:lang w:val="zh-CN" w:eastAsia="zh-CN"/>
              </w:rPr>
            </w:pPr>
            <w:r>
              <w:rPr>
                <w:rFonts w:hint="eastAsia" w:ascii="宋体" w:hAnsi="宋体" w:cs="宋体"/>
                <w:color w:val="000000"/>
                <w:lang w:eastAsia="zh-CN"/>
              </w:rPr>
              <w:t>湟源县水利局</w:t>
            </w:r>
          </w:p>
        </w:tc>
      </w:tr>
      <w:tr w14:paraId="7FA582A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9BF7D5">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24EE5A">
            <w:pPr>
              <w:autoSpaceDE w:val="0"/>
              <w:autoSpaceDN w:val="0"/>
              <w:jc w:val="center"/>
              <w:rPr>
                <w:rFonts w:ascii="宋体" w:hAnsi="宋体" w:cs="宋体"/>
                <w:bCs/>
                <w:kern w:val="0"/>
                <w:lang w:val="zh-CN"/>
              </w:rPr>
            </w:pPr>
            <w:r>
              <w:rPr>
                <w:rFonts w:hint="eastAsia" w:ascii="宋体" w:hAnsi="宋体" w:cs="宋体"/>
              </w:rPr>
              <w:t>采购代理机构</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tcPr>
          <w:p w14:paraId="070A9ACE">
            <w:pPr>
              <w:autoSpaceDE w:val="0"/>
              <w:autoSpaceDN w:val="0"/>
              <w:rPr>
                <w:rFonts w:hint="eastAsia" w:ascii="宋体" w:hAnsi="宋体" w:eastAsia="宋体" w:cs="宋体"/>
                <w:kern w:val="0"/>
                <w:lang w:val="zh-CN" w:eastAsia="zh-CN"/>
              </w:rPr>
            </w:pPr>
            <w:r>
              <w:rPr>
                <w:rFonts w:hint="eastAsia" w:ascii="宋体" w:hAnsi="宋体" w:cs="宋体"/>
                <w:lang w:eastAsia="zh-CN"/>
              </w:rPr>
              <w:t>青海鹏杰工程项目管理有限公司</w:t>
            </w:r>
          </w:p>
        </w:tc>
      </w:tr>
      <w:tr w14:paraId="1CEC00C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420E5F">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D65C3A">
            <w:pPr>
              <w:autoSpaceDE w:val="0"/>
              <w:autoSpaceDN w:val="0"/>
              <w:jc w:val="center"/>
              <w:rPr>
                <w:rFonts w:ascii="宋体" w:hAnsi="宋体" w:cs="宋体"/>
                <w:bCs/>
                <w:kern w:val="0"/>
                <w:lang w:val="zh-CN"/>
              </w:rPr>
            </w:pPr>
            <w:r>
              <w:rPr>
                <w:rFonts w:hint="eastAsia" w:ascii="宋体" w:hAnsi="宋体" w:cs="宋体"/>
              </w:rPr>
              <w:t>采购方式</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tcPr>
          <w:p w14:paraId="1390DE5A">
            <w:pPr>
              <w:autoSpaceDE w:val="0"/>
              <w:autoSpaceDN w:val="0"/>
              <w:rPr>
                <w:rFonts w:ascii="宋体" w:hAnsi="宋体" w:cs="宋体"/>
                <w:kern w:val="0"/>
                <w:lang w:val="zh-CN"/>
              </w:rPr>
            </w:pPr>
            <w:r>
              <w:rPr>
                <w:rFonts w:hint="eastAsia" w:ascii="宋体" w:hAnsi="宋体" w:cs="宋体"/>
              </w:rPr>
              <w:t>竞争性磋商</w:t>
            </w:r>
          </w:p>
        </w:tc>
      </w:tr>
      <w:tr w14:paraId="5ACF396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688FA0">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2A8C82">
            <w:pPr>
              <w:autoSpaceDE w:val="0"/>
              <w:autoSpaceDN w:val="0"/>
              <w:jc w:val="center"/>
              <w:rPr>
                <w:rFonts w:ascii="宋体" w:hAnsi="宋体" w:cs="宋体"/>
                <w:bCs/>
                <w:kern w:val="0"/>
                <w:lang w:val="zh-CN"/>
              </w:rPr>
            </w:pPr>
            <w:r>
              <w:rPr>
                <w:rFonts w:hint="eastAsia" w:ascii="宋体" w:hAnsi="宋体" w:cs="宋体"/>
              </w:rPr>
              <w:t>评分办法</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tcPr>
          <w:p w14:paraId="4C1FBAE0">
            <w:pPr>
              <w:autoSpaceDE w:val="0"/>
              <w:autoSpaceDN w:val="0"/>
              <w:rPr>
                <w:rFonts w:ascii="宋体" w:hAnsi="宋体" w:cs="宋体"/>
                <w:kern w:val="0"/>
                <w:lang w:val="zh-CN"/>
              </w:rPr>
            </w:pPr>
            <w:r>
              <w:rPr>
                <w:rFonts w:hint="eastAsia" w:ascii="宋体" w:hAnsi="宋体" w:cs="宋体"/>
              </w:rPr>
              <w:t>综合评分法</w:t>
            </w:r>
          </w:p>
        </w:tc>
      </w:tr>
      <w:tr w14:paraId="74FC394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F0E911">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AC87A3">
            <w:pPr>
              <w:autoSpaceDE w:val="0"/>
              <w:autoSpaceDN w:val="0"/>
              <w:jc w:val="center"/>
              <w:rPr>
                <w:rFonts w:ascii="宋体" w:hAnsi="宋体" w:cs="宋体"/>
                <w:bCs/>
                <w:kern w:val="0"/>
                <w:lang w:val="zh-CN"/>
              </w:rPr>
            </w:pPr>
            <w:r>
              <w:rPr>
                <w:rFonts w:hint="eastAsia" w:ascii="宋体" w:hAnsi="宋体" w:cs="宋体"/>
              </w:rPr>
              <w:t>采购预算控制额度</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9F648E">
            <w:pPr>
              <w:tabs>
                <w:tab w:val="left" w:pos="5485"/>
              </w:tabs>
              <w:rPr>
                <w:rFonts w:hint="eastAsia" w:ascii="宋体" w:hAnsi="宋体" w:cs="宋体"/>
                <w:color w:val="000000"/>
                <w:kern w:val="0"/>
                <w:lang w:val="zh-CN"/>
              </w:rPr>
            </w:pPr>
            <w:r>
              <w:rPr>
                <w:rFonts w:hint="eastAsia" w:ascii="宋体" w:hAnsi="宋体" w:cs="宋体"/>
                <w:color w:val="000000"/>
                <w:kern w:val="0"/>
                <w:lang w:val="en-US" w:eastAsia="zh-CN"/>
              </w:rPr>
              <w:t>580000</w:t>
            </w:r>
            <w:r>
              <w:rPr>
                <w:rFonts w:hint="eastAsia" w:ascii="宋体" w:hAnsi="宋体" w:cs="宋体"/>
                <w:color w:val="000000"/>
                <w:kern w:val="0"/>
                <w:lang w:val="zh-CN"/>
              </w:rPr>
              <w:t>元</w:t>
            </w:r>
            <w:r>
              <w:rPr>
                <w:rFonts w:hint="eastAsia" w:ascii="宋体" w:hAnsi="宋体" w:cs="宋体"/>
                <w:color w:val="000000"/>
                <w:kern w:val="0"/>
              </w:rPr>
              <w:t xml:space="preserve"> </w:t>
            </w:r>
          </w:p>
        </w:tc>
      </w:tr>
      <w:tr w14:paraId="545D2D5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592E8B">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F2C3B4">
            <w:pPr>
              <w:pStyle w:val="98"/>
              <w:spacing w:line="360" w:lineRule="auto"/>
              <w:jc w:val="center"/>
              <w:rPr>
                <w:rFonts w:ascii="宋体" w:hAnsi="宋体" w:cs="宋体"/>
                <w:sz w:val="24"/>
              </w:rPr>
            </w:pPr>
            <w:r>
              <w:rPr>
                <w:rFonts w:hint="eastAsia" w:ascii="宋体" w:hAnsi="宋体" w:cs="宋体"/>
                <w:color w:val="000000"/>
                <w:kern w:val="0"/>
                <w:sz w:val="24"/>
              </w:rPr>
              <w:t>最高限价</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52620D">
            <w:pPr>
              <w:tabs>
                <w:tab w:val="left" w:pos="5485"/>
              </w:tabs>
              <w:rPr>
                <w:rFonts w:ascii="宋体" w:hAnsi="宋体" w:cs="宋体"/>
                <w:color w:val="000000"/>
                <w:kern w:val="0"/>
                <w:lang w:val="zh-CN"/>
              </w:rPr>
            </w:pPr>
            <w:r>
              <w:rPr>
                <w:rFonts w:hint="eastAsia" w:ascii="宋体" w:hAnsi="宋体" w:cs="宋体"/>
                <w:color w:val="000000"/>
                <w:kern w:val="0"/>
                <w:lang w:val="en-US" w:eastAsia="zh-CN"/>
              </w:rPr>
              <w:t>580000</w:t>
            </w:r>
            <w:r>
              <w:rPr>
                <w:rFonts w:hint="eastAsia" w:ascii="宋体" w:hAnsi="宋体" w:cs="宋体"/>
                <w:color w:val="000000"/>
                <w:kern w:val="0"/>
                <w:lang w:val="zh-CN"/>
              </w:rPr>
              <w:t>元</w:t>
            </w:r>
          </w:p>
        </w:tc>
      </w:tr>
      <w:tr w14:paraId="46A17AE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3E548F">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9996AD">
            <w:pPr>
              <w:autoSpaceDE w:val="0"/>
              <w:autoSpaceDN w:val="0"/>
              <w:jc w:val="center"/>
              <w:rPr>
                <w:rFonts w:ascii="宋体" w:hAnsi="宋体" w:cs="宋体"/>
                <w:bCs/>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项目分包个数</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BF523C">
            <w:pP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个</w:t>
            </w:r>
          </w:p>
        </w:tc>
      </w:tr>
      <w:tr w14:paraId="218F2A7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F67E8E">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F0CF27">
            <w:pPr>
              <w:autoSpaceDE w:val="0"/>
              <w:autoSpaceDN w:val="0"/>
              <w:jc w:val="center"/>
              <w:rPr>
                <w:rFonts w:ascii="宋体" w:hAnsi="宋体" w:cs="宋体"/>
                <w:bCs/>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采购要求</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740A1B">
            <w:pPr>
              <w:autoSpaceDE w:val="0"/>
              <w:autoSpaceDN w:val="0"/>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对湟源县1</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座农村污水处理站的污水处理设施的运行和维护服务工作，</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其中</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14座农村污水处理站</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峡乡灰条口村污水处理站、东峡乡新民村污水处理站、东峡乡灰条沟村污水处理站、东峡乡下脖项村污水处理站、东峡乡下脖项村果米滩污水处理站、日月乡前滩村污水处理站、日月乡尕庄村污水处理站、日月乡日月山村吊庄污水处理站、日月乡日月山村尕南湾污水处理站、日月乡哈城村污水处理站、日月乡兔尔干村污水处理站、日月乡若药堂村污水处理站、和平乡茶曲村污水处理站、巴燕乡巴燕峡村污水处理站</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运维服务内容包括：日常运行监管，实现</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《农村生活污水处理水污染排放标准》一级标准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要求达标排放，健全运维记录台账等</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；另外3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座农村污水处理站</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（日月乡本炕村污水处理站、巴燕乡下寺村污水处理站、巴燕乡上浪湾村污水处理站）的</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运维服务内容包括：</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调试运行至《农村生活污水处理水污染排放标准》一级标准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要求达标排放，健全运维记录台账等。</w:t>
            </w:r>
          </w:p>
        </w:tc>
      </w:tr>
      <w:tr w14:paraId="722A3B36">
        <w:tblPrEx>
          <w:tblCellMar>
            <w:top w:w="0" w:type="dxa"/>
            <w:left w:w="57" w:type="dxa"/>
            <w:bottom w:w="0" w:type="dxa"/>
            <w:right w:w="57" w:type="dxa"/>
          </w:tblCellMar>
        </w:tblPrEx>
        <w:trPr>
          <w:trHeight w:val="1366"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8A3A85">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F6F6A9">
            <w:pPr>
              <w:autoSpaceDE w:val="0"/>
              <w:autoSpaceDN w:val="0"/>
              <w:jc w:val="center"/>
              <w:rPr>
                <w:rFonts w:ascii="宋体" w:hAnsi="宋体" w:cs="宋体"/>
                <w:bCs/>
                <w:kern w:val="0"/>
                <w:lang w:val="zh-CN"/>
              </w:rPr>
            </w:pPr>
            <w:r>
              <w:rPr>
                <w:rFonts w:hint="eastAsia" w:ascii="宋体" w:hAnsi="宋体" w:cs="宋体"/>
              </w:rPr>
              <w:t>供应商资格条件</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15B64A">
            <w:pPr>
              <w:jc w:val="left"/>
              <w:rPr>
                <w:lang w:val="zh-CN"/>
              </w:rPr>
            </w:pPr>
            <w:r>
              <w:rPr>
                <w:rFonts w:hint="eastAsia"/>
              </w:rPr>
              <w:t>(</w:t>
            </w:r>
            <w:r>
              <w:rPr>
                <w:rFonts w:hint="eastAsia"/>
                <w:lang w:val="zh-CN"/>
              </w:rPr>
              <w:t>1) 符合《政府采购法》第22条条件，并提供下列材料：</w:t>
            </w:r>
          </w:p>
          <w:p w14:paraId="0B1A17C7">
            <w:pPr>
              <w:jc w:val="left"/>
              <w:rPr>
                <w:lang w:val="zh-CN"/>
              </w:rPr>
            </w:pPr>
            <w:r>
              <w:rPr>
                <w:rFonts w:hint="eastAsia"/>
                <w:lang w:val="zh-CN"/>
              </w:rPr>
              <w:t>①投标人的营业执照等证明文件，自然人的身份证明。</w:t>
            </w:r>
          </w:p>
          <w:p w14:paraId="2F78535F">
            <w:pPr>
              <w:jc w:val="left"/>
              <w:rPr>
                <w:lang w:val="zh-CN"/>
              </w:rPr>
            </w:pPr>
            <w:r>
              <w:rPr>
                <w:rFonts w:hint="eastAsia"/>
                <w:lang w:val="zh-CN"/>
              </w:rPr>
              <w:t>②财务状况报告，依法缴纳税收和社会保障资金的相关材料。</w:t>
            </w:r>
          </w:p>
          <w:p w14:paraId="4F4A853B">
            <w:pPr>
              <w:jc w:val="left"/>
              <w:rPr>
                <w:lang w:val="zh-CN"/>
              </w:rPr>
            </w:pPr>
            <w:r>
              <w:rPr>
                <w:rFonts w:hint="eastAsia"/>
                <w:lang w:val="zh-CN"/>
              </w:rPr>
              <w:t>③具备履行合同所必需的设备和专业技术能力的证明材料。</w:t>
            </w:r>
          </w:p>
          <w:p w14:paraId="2FE6B0B0">
            <w:pPr>
              <w:jc w:val="left"/>
              <w:rPr>
                <w:lang w:val="zh-CN"/>
              </w:rPr>
            </w:pPr>
            <w:r>
              <w:rPr>
                <w:rFonts w:hint="eastAsia"/>
                <w:lang w:val="zh-CN"/>
              </w:rPr>
              <w:t>④参加政府采购活动前3年内在经营活动中没有重大违法记录的书面声明。</w:t>
            </w:r>
          </w:p>
          <w:p w14:paraId="42A72426">
            <w:pPr>
              <w:jc w:val="left"/>
              <w:rPr>
                <w:lang w:val="zh-CN"/>
              </w:rPr>
            </w:pPr>
            <w:r>
              <w:rPr>
                <w:rFonts w:hint="eastAsia"/>
                <w:lang w:val="zh-CN"/>
              </w:rPr>
              <w:t>⑤具备法律、行政法规规定的其他条件的证明材料。</w:t>
            </w:r>
          </w:p>
          <w:p w14:paraId="04ED38B2">
            <w:pPr>
              <w:jc w:val="left"/>
              <w:rPr>
                <w:lang w:val="zh-CN"/>
              </w:rPr>
            </w:pPr>
            <w:r>
              <w:rPr>
                <w:rFonts w:hint="eastAsia"/>
                <w:lang w:val="zh-CN"/>
              </w:rPr>
              <w:t>(2) 单位负责人为同一人或者存在直接控股、管理关系的不同投标人，不得参加同一合同项下的政府采购活动。否则，皆取消投标资格；</w:t>
            </w:r>
          </w:p>
          <w:p w14:paraId="0AD830F8">
            <w:pPr>
              <w:jc w:val="left"/>
              <w:rPr>
                <w:lang w:val="zh-CN"/>
              </w:rPr>
            </w:pPr>
            <w:r>
              <w:rPr>
                <w:rFonts w:hint="eastAsia"/>
                <w:lang w:val="zh-CN"/>
              </w:rPr>
              <w:t>(3) 为本采购项目提供整体设计、规范编制或者项目管理、监理、检测等服务的投标人，不得再参加该采购项目的其他采购活动；</w:t>
            </w:r>
          </w:p>
          <w:p w14:paraId="7D91E3F3">
            <w:pPr>
              <w:jc w:val="left"/>
              <w:rPr>
                <w:lang w:val="zh-CN"/>
              </w:rPr>
            </w:pPr>
            <w:r>
              <w:rPr>
                <w:rFonts w:hint="eastAsia"/>
                <w:lang w:val="zh-CN"/>
              </w:rPr>
              <w:t>(4) 本项目不接受投标人以联合体方式进行投标；</w:t>
            </w:r>
          </w:p>
          <w:p w14:paraId="24A1AB58">
            <w:pPr>
              <w:jc w:val="left"/>
              <w:rPr>
                <w:lang w:val="zh-CN"/>
              </w:rPr>
            </w:pPr>
            <w:r>
              <w:rPr>
                <w:rFonts w:hint="eastAsia"/>
                <w:lang w:val="zh-CN"/>
              </w:rPr>
              <w:t>(5) 经信用中国（www.creditchina.gov.cn）、中国政府采购网（www.ccgp.gov.cn）等渠道查询后，列入失信被执行人、重大税收违法失信主体、政府采购严重违法失信行为记录名单的，取消投标资格。（提供“信用中国和中国政府采购网”网站无任何不良记录的查询截图，时间为投标截止时间前</w:t>
            </w:r>
            <w:r>
              <w:rPr>
                <w:rFonts w:hint="eastAsia"/>
              </w:rPr>
              <w:t>1</w:t>
            </w:r>
            <w:r>
              <w:rPr>
                <w:rFonts w:hint="eastAsia"/>
                <w:lang w:val="zh-CN"/>
              </w:rPr>
              <w:t>0天内）；</w:t>
            </w:r>
          </w:p>
          <w:p w14:paraId="1362FB68">
            <w:pPr>
              <w:pStyle w:val="12"/>
              <w:spacing w:line="360" w:lineRule="auto"/>
              <w:rPr>
                <w:rFonts w:hint="default"/>
                <w:lang w:val="en-US"/>
              </w:rPr>
            </w:pPr>
            <w:r>
              <w:rPr>
                <w:rFonts w:hint="eastAsia" w:ascii="Times New Roman" w:hAnsi="Times New Roman" w:eastAsia="宋体" w:cs="Times New Roman"/>
                <w:kern w:val="2"/>
                <w:sz w:val="24"/>
                <w:szCs w:val="24"/>
                <w:lang w:val="zh-CN" w:eastAsia="zh-CN" w:bidi="ar-SA"/>
              </w:rPr>
              <w:t>（6）其他资质条件</w:t>
            </w:r>
            <w:r>
              <w:rPr>
                <w:rFonts w:hint="eastAsia" w:cs="Times New Roman"/>
                <w:kern w:val="2"/>
                <w:sz w:val="24"/>
                <w:szCs w:val="24"/>
                <w:lang w:val="zh-CN" w:eastAsia="zh-CN" w:bidi="ar-SA"/>
              </w:rPr>
              <w:t>：本项目专门面向中小企业采购。供应商须提供《中小企业声明函》或《残疾人福利性单位声明函》或《监狱企业证明资料》。</w:t>
            </w:r>
          </w:p>
        </w:tc>
      </w:tr>
      <w:tr w14:paraId="643C3A89">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vAlign w:val="center"/>
          </w:tcPr>
          <w:p w14:paraId="3CFAC3DA">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right w:val="single" w:color="000000" w:sz="6" w:space="0"/>
            </w:tcBorders>
            <w:shd w:val="clear" w:color="000000" w:fill="FFFFFF"/>
            <w:vAlign w:val="center"/>
          </w:tcPr>
          <w:p w14:paraId="4E74397C">
            <w:pPr>
              <w:autoSpaceDE w:val="0"/>
              <w:autoSpaceDN w:val="0"/>
              <w:jc w:val="center"/>
              <w:rPr>
                <w:rFonts w:ascii="宋体" w:hAnsi="宋体" w:cs="宋体"/>
                <w:bCs/>
                <w:kern w:val="0"/>
                <w:lang w:val="zh-CN"/>
              </w:rPr>
            </w:pPr>
            <w:r>
              <w:rPr>
                <w:rFonts w:hint="eastAsia" w:ascii="宋体" w:hAnsi="宋体" w:cs="宋体"/>
              </w:rPr>
              <w:t>磋商保证金</w:t>
            </w:r>
          </w:p>
        </w:tc>
        <w:tc>
          <w:tcPr>
            <w:tcW w:w="7837" w:type="dxa"/>
            <w:tcBorders>
              <w:top w:val="single" w:color="000000" w:sz="6" w:space="0"/>
              <w:left w:val="single" w:color="000000" w:sz="6" w:space="0"/>
              <w:right w:val="single" w:color="000000" w:sz="6" w:space="0"/>
            </w:tcBorders>
            <w:shd w:val="clear" w:color="000000" w:fill="FFFFFF"/>
            <w:vAlign w:val="center"/>
          </w:tcPr>
          <w:p w14:paraId="02090640">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各磋商响应人须在磋商响应文件递交截止时间前，缴纳磋商保证金（磋商保证金应当从其基本账户汇出，磋商响应文件中须附基本账户开户许可证或</w:t>
            </w:r>
            <w:r>
              <w:rPr>
                <w:rFonts w:hint="eastAsia" w:ascii="Arial" w:hAnsi="Arial" w:cs="Arial"/>
                <w:color w:val="000000" w:themeColor="text1"/>
                <w14:textFill>
                  <w14:solidFill>
                    <w14:schemeClr w14:val="tx1"/>
                  </w14:solidFill>
                </w14:textFill>
              </w:rPr>
              <w:t>基本账户开户信息</w:t>
            </w:r>
            <w:r>
              <w:rPr>
                <w:rFonts w:hint="eastAsia" w:ascii="宋体" w:hAnsi="宋体" w:cs="宋体"/>
                <w:color w:val="000000" w:themeColor="text1"/>
                <w14:textFill>
                  <w14:solidFill>
                    <w14:schemeClr w14:val="tx1"/>
                  </w14:solidFill>
                </w14:textFill>
              </w:rPr>
              <w:t>）。</w:t>
            </w:r>
          </w:p>
          <w:p w14:paraId="4203F36D">
            <w:pPr>
              <w:rPr>
                <w:rFonts w:hint="default" w:ascii="宋体" w:hAnsi="宋体" w:cs="宋体"/>
                <w:b/>
                <w:bCs/>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磋商保证金金额：</w:t>
            </w:r>
            <w:r>
              <w:rPr>
                <w:rFonts w:hint="eastAsia" w:ascii="宋体" w:hAnsi="宋体" w:cs="宋体"/>
                <w:b/>
                <w:bCs/>
                <w:color w:val="000000"/>
                <w:lang w:val="en-US" w:eastAsia="zh-CN"/>
              </w:rPr>
              <w:t>无</w:t>
            </w:r>
            <w:r>
              <w:rPr>
                <w:rFonts w:hint="eastAsia" w:ascii="宋体" w:hAnsi="宋体" w:cs="宋体"/>
                <w:b/>
                <w:bCs/>
                <w:color w:val="000000" w:themeColor="text1"/>
                <w:lang w:val="en-US" w:eastAsia="zh-CN"/>
                <w14:textFill>
                  <w14:solidFill>
                    <w14:schemeClr w14:val="tx1"/>
                  </w14:solidFill>
                </w14:textFill>
              </w:rPr>
              <w:t>。</w:t>
            </w:r>
          </w:p>
          <w:p w14:paraId="25AB1D82">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缴纳磋商保证金时须注明此次项目编号/包号及项目名称（可简写）</w:t>
            </w:r>
          </w:p>
          <w:p w14:paraId="2867CAC5">
            <w:pPr>
              <w:rPr>
                <w:rFonts w:hint="eastAsia"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账户名：</w:t>
            </w:r>
            <w:r>
              <w:rPr>
                <w:rFonts w:hint="eastAsia" w:ascii="Arial" w:hAnsi="Arial" w:cs="Arial"/>
                <w:b/>
                <w:bCs/>
                <w:color w:val="000000" w:themeColor="text1"/>
                <w:lang w:eastAsia="zh-CN"/>
                <w14:textFill>
                  <w14:solidFill>
                    <w14:schemeClr w14:val="tx1"/>
                  </w14:solidFill>
                </w14:textFill>
              </w:rPr>
              <w:t>青海鹏杰工程项目管理有限公司</w:t>
            </w:r>
          </w:p>
          <w:p w14:paraId="6F9A3D65">
            <w:pPr>
              <w:rPr>
                <w:rFonts w:hint="eastAsia" w:ascii="Arial" w:hAnsi="Arial" w:cs="Arial"/>
                <w:b/>
                <w:bCs/>
                <w:color w:val="000000" w:themeColor="text1"/>
                <w:lang w:eastAsia="zh-CN"/>
                <w14:textFill>
                  <w14:solidFill>
                    <w14:schemeClr w14:val="tx1"/>
                  </w14:solidFill>
                </w14:textFill>
              </w:rPr>
            </w:pPr>
            <w:r>
              <w:rPr>
                <w:rFonts w:ascii="Arial" w:hAnsi="Arial" w:cs="Arial"/>
                <w:b/>
                <w:bCs/>
                <w:color w:val="000000" w:themeColor="text1"/>
                <w14:textFill>
                  <w14:solidFill>
                    <w14:schemeClr w14:val="tx1"/>
                  </w14:solidFill>
                </w14:textFill>
              </w:rPr>
              <w:t>开户行：</w:t>
            </w:r>
            <w:r>
              <w:rPr>
                <w:rFonts w:hint="eastAsia" w:ascii="Arial" w:hAnsi="Arial" w:cs="Arial"/>
                <w:b/>
                <w:bCs/>
                <w:color w:val="000000" w:themeColor="text1"/>
                <w:lang w:eastAsia="zh-CN"/>
                <w14:textFill>
                  <w14:solidFill>
                    <w14:schemeClr w14:val="tx1"/>
                  </w14:solidFill>
                </w14:textFill>
              </w:rPr>
              <w:t>中国工商银行股份有限公司西宁文汇路支行</w:t>
            </w:r>
          </w:p>
          <w:p w14:paraId="7A53B314">
            <w:pPr>
              <w:rPr>
                <w:rFonts w:hint="eastAsia" w:ascii="Arial" w:hAnsi="Arial" w:cs="Arial"/>
                <w:b/>
                <w:bCs/>
                <w:color w:val="000000" w:themeColor="text1"/>
                <w:lang w:eastAsia="zh-CN"/>
                <w14:textFill>
                  <w14:solidFill>
                    <w14:schemeClr w14:val="tx1"/>
                  </w14:solidFill>
                </w14:textFill>
              </w:rPr>
            </w:pPr>
            <w:r>
              <w:rPr>
                <w:rFonts w:ascii="Arial" w:hAnsi="Arial" w:cs="Arial"/>
                <w:b/>
                <w:bCs/>
                <w:color w:val="000000" w:themeColor="text1"/>
                <w14:textFill>
                  <w14:solidFill>
                    <w14:schemeClr w14:val="tx1"/>
                  </w14:solidFill>
                </w14:textFill>
              </w:rPr>
              <w:t>账 号：</w:t>
            </w:r>
            <w:r>
              <w:rPr>
                <w:rFonts w:hint="eastAsia" w:ascii="Arial" w:hAnsi="Arial" w:cs="Arial"/>
                <w:b/>
                <w:bCs/>
                <w:color w:val="000000" w:themeColor="text1"/>
                <w:lang w:eastAsia="zh-CN"/>
                <w14:textFill>
                  <w14:solidFill>
                    <w14:schemeClr w14:val="tx1"/>
                  </w14:solidFill>
                </w14:textFill>
              </w:rPr>
              <w:t>2806027909100025994</w:t>
            </w:r>
          </w:p>
          <w:p w14:paraId="4A6F7614">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交纳时间：</w:t>
            </w:r>
            <w:r>
              <w:rPr>
                <w:rFonts w:hint="eastAsia" w:ascii="宋体" w:hAnsi="宋体" w:cs="宋体"/>
                <w:b/>
                <w:bCs/>
                <w:color w:val="000000" w:themeColor="text1"/>
                <w:lang w:val="zh-CN"/>
                <w14:textFill>
                  <w14:solidFill>
                    <w14:schemeClr w14:val="tx1"/>
                  </w14:solidFill>
                </w14:textFill>
              </w:rPr>
              <w:t>202</w:t>
            </w:r>
            <w:r>
              <w:rPr>
                <w:rFonts w:hint="eastAsia" w:ascii="宋体" w:hAnsi="宋体" w:cs="宋体"/>
                <w:b/>
                <w:bCs/>
                <w:color w:val="000000" w:themeColor="text1"/>
                <w:lang w:val="en-US" w:eastAsia="zh-CN"/>
                <w14:textFill>
                  <w14:solidFill>
                    <w14:schemeClr w14:val="tx1"/>
                  </w14:solidFill>
                </w14:textFill>
              </w:rPr>
              <w:t>5</w:t>
            </w:r>
            <w:r>
              <w:rPr>
                <w:rFonts w:hint="eastAsia" w:ascii="宋体" w:hAnsi="宋体" w:cs="宋体"/>
                <w:b/>
                <w:bCs/>
                <w:color w:val="000000" w:themeColor="text1"/>
                <w:lang w:val="zh-CN"/>
                <w14:textFill>
                  <w14:solidFill>
                    <w14:schemeClr w14:val="tx1"/>
                  </w14:solidFill>
                </w14:textFill>
              </w:rPr>
              <w:t>年</w:t>
            </w:r>
            <w:r>
              <w:rPr>
                <w:rFonts w:hint="eastAsia" w:ascii="宋体" w:hAnsi="宋体" w:cs="宋体"/>
                <w:b/>
                <w:bCs/>
                <w:color w:val="000000" w:themeColor="text1"/>
                <w:lang w:val="en-US" w:eastAsia="zh-CN"/>
                <w14:textFill>
                  <w14:solidFill>
                    <w14:schemeClr w14:val="tx1"/>
                  </w14:solidFill>
                </w14:textFill>
              </w:rPr>
              <w:t>07月11日上午09</w:t>
            </w:r>
            <w:r>
              <w:rPr>
                <w:rFonts w:hint="eastAsia" w:ascii="宋体" w:hAnsi="宋体" w:cs="宋体"/>
                <w:b/>
                <w:bCs/>
                <w:color w:val="000000" w:themeColor="text1"/>
                <w:lang w:val="zh-CN"/>
                <w14:textFill>
                  <w14:solidFill>
                    <w14:schemeClr w14:val="tx1"/>
                  </w14:solidFill>
                </w14:textFill>
              </w:rPr>
              <w:t>时</w:t>
            </w:r>
            <w:r>
              <w:rPr>
                <w:rFonts w:hint="eastAsia" w:ascii="宋体" w:hAnsi="宋体" w:cs="宋体"/>
                <w:b/>
                <w:bCs/>
                <w:color w:val="000000" w:themeColor="text1"/>
                <w:lang w:val="en-US" w:eastAsia="zh-CN"/>
                <w14:textFill>
                  <w14:solidFill>
                    <w14:schemeClr w14:val="tx1"/>
                  </w14:solidFill>
                </w14:textFill>
              </w:rPr>
              <w:t>0</w:t>
            </w:r>
            <w:r>
              <w:rPr>
                <w:rFonts w:hint="eastAsia" w:ascii="宋体" w:hAnsi="宋体" w:cs="宋体"/>
                <w:b/>
                <w:bCs/>
                <w:color w:val="000000" w:themeColor="text1"/>
                <w:lang w:val="zh-CN"/>
                <w14:textFill>
                  <w14:solidFill>
                    <w14:schemeClr w14:val="tx1"/>
                  </w14:solidFill>
                </w14:textFill>
              </w:rPr>
              <w:t>0分（北京时间）前</w:t>
            </w:r>
            <w:r>
              <w:rPr>
                <w:rFonts w:hint="eastAsia" w:ascii="宋体" w:hAnsi="宋体" w:cs="宋体"/>
                <w:color w:val="000000" w:themeColor="text1"/>
                <w14:textFill>
                  <w14:solidFill>
                    <w14:schemeClr w14:val="tx1"/>
                  </w14:solidFill>
                </w14:textFill>
              </w:rPr>
              <w:t>，以银行到账时间为准</w:t>
            </w:r>
          </w:p>
          <w:p w14:paraId="57696B0E">
            <w:pPr>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t>不接受个人名义或现金形式递交的保证金，磋商供应商应该单独提交磋商保证金；磋商保证金必须从基本账户中支付，磋商响应文件中须附开户许可证</w:t>
            </w:r>
            <w:r>
              <w:rPr>
                <w:rFonts w:hint="eastAsia" w:ascii="Arial" w:hAnsi="Arial" w:cs="Arial"/>
                <w:color w:val="000000" w:themeColor="text1"/>
                <w14:textFill>
                  <w14:solidFill>
                    <w14:schemeClr w14:val="tx1"/>
                  </w14:solidFill>
                </w14:textFill>
              </w:rPr>
              <w:t>或基本账户开户信息。</w:t>
            </w:r>
          </w:p>
          <w:p w14:paraId="327214CA">
            <w:pPr>
              <w:snapToGrid w:val="0"/>
              <w:textAlignment w:val="baseline"/>
              <w:rPr>
                <w:rFonts w:ascii="Arial" w:hAnsi="Arial" w:cs="Arial"/>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w:t>
            </w:r>
            <w:r>
              <w:rPr>
                <w:rFonts w:hint="eastAsia" w:ascii="Arial" w:hAnsi="Arial" w:cs="Arial"/>
                <w:color w:val="000000" w:themeColor="text1"/>
                <w14:textFill>
                  <w14:solidFill>
                    <w14:schemeClr w14:val="tx1"/>
                  </w14:solidFill>
                </w14:textFill>
              </w:rPr>
              <w:t>投标保证金应当以支票、汇票、本票或者金融机构、担保机构出具的保函、保函等非现金形式提交。通过银行转账的，必须由投标人从其基本账户（包括开户许可证复印件或基本账户开户信息）汇（转）至磋商文件规定账户；</w:t>
            </w:r>
          </w:p>
          <w:p w14:paraId="0C950BC7">
            <w:pPr>
              <w:snapToGrid w:val="0"/>
              <w:textAlignment w:val="baseline"/>
              <w:rPr>
                <w:rFonts w:ascii="Arial" w:hAnsi="Arial" w:cs="Arial"/>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磋商保证金必须从基本账户中支付，磋商响应文件中须附基本账户信息。</w:t>
            </w:r>
            <w:r>
              <w:rPr>
                <w:rFonts w:ascii="Arial" w:hAnsi="Arial" w:cs="Arial"/>
                <w:color w:val="000000" w:themeColor="text1"/>
                <w14:textFill>
                  <w14:solidFill>
                    <w14:schemeClr w14:val="tx1"/>
                  </w14:solidFill>
                </w14:textFill>
              </w:rPr>
              <w:t xml:space="preserve"> </w:t>
            </w:r>
          </w:p>
          <w:p w14:paraId="0C0B82EB">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（3）磋商供应商未按磋商文件要求交纳磋商保证金的，招标代理机构将拒绝接收磋商供应商的磋商响应文件。</w:t>
            </w:r>
          </w:p>
          <w:p w14:paraId="6CBBFA3C">
            <w:pPr>
              <w:rPr>
                <w:rFonts w:ascii="宋体" w:hAnsi="宋体" w:cs="宋体"/>
                <w:color w:val="000000" w:themeColor="text1"/>
                <w:kern w:val="0"/>
                <w:lang w:val="zh-CN"/>
                <w14:textFill>
                  <w14:solidFill>
                    <w14:schemeClr w14:val="tx1"/>
                  </w14:solidFill>
                </w14:textFill>
              </w:rPr>
            </w:pPr>
            <w:r>
              <w:rPr>
                <w:rFonts w:ascii="Arial" w:hAnsi="Arial" w:cs="Arial"/>
                <w:color w:val="000000" w:themeColor="text1"/>
                <w14:textFill>
                  <w14:solidFill>
                    <w14:schemeClr w14:val="tx1"/>
                  </w14:solidFill>
                </w14:textFill>
              </w:rPr>
              <w:t>（4）磋商保证金退还日期：未成交磋商供应商的磋商保证金自成交通知书发出之日起5个工作日内退还（不退现金）；成交单位的成交保证金，自合同签订之日起5个工作日内退还（不退现金）。</w:t>
            </w:r>
          </w:p>
        </w:tc>
      </w:tr>
      <w:tr w14:paraId="46CDD7D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5CDC9B">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2C804D">
            <w:pPr>
              <w:jc w:val="center"/>
              <w:rPr>
                <w:rFonts w:ascii="宋体" w:hAnsi="宋体" w:cs="宋体"/>
                <w:bCs/>
                <w:kern w:val="0"/>
                <w:lang w:val="zh-CN"/>
              </w:rPr>
            </w:pPr>
            <w:r>
              <w:rPr>
                <w:rFonts w:hint="eastAsia" w:ascii="宋体" w:hAnsi="宋体" w:cs="宋体"/>
              </w:rPr>
              <w:t>磋商保证金退还</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CF20A0">
            <w:pP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未成交响应人的磋商保证金自成交通知书发出之日起5个工作日内退还（不退现金）；成交人的磋商保证金，自政府采购合同签订之日起5个工作日内退还（不退现金）。</w:t>
            </w:r>
          </w:p>
        </w:tc>
      </w:tr>
      <w:tr w14:paraId="3A1B4DC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F7CEBF">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0CFA38">
            <w:pPr>
              <w:autoSpaceDE w:val="0"/>
              <w:autoSpaceDN w:val="0"/>
              <w:jc w:val="center"/>
              <w:rPr>
                <w:rFonts w:ascii="宋体" w:hAnsi="宋体" w:cs="宋体"/>
                <w:bCs/>
                <w:kern w:val="0"/>
                <w:lang w:val="zh-CN"/>
              </w:rPr>
            </w:pPr>
            <w:r>
              <w:rPr>
                <w:rFonts w:hint="eastAsia" w:ascii="宋体" w:hAnsi="宋体" w:cs="宋体"/>
                <w:bCs/>
                <w:kern w:val="0"/>
                <w:lang w:val="zh-CN"/>
              </w:rPr>
              <w:t>磋商文件编制要求</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tcPr>
          <w:p w14:paraId="163B9DF4">
            <w:pPr>
              <w:autoSpaceDE w:val="0"/>
              <w:autoSpaceDN w:val="0"/>
              <w:adjustRightInd w:val="0"/>
              <w:spacing w:line="400" w:lineRule="exact"/>
              <w:rPr>
                <w:rFonts w:ascii="宋体" w:hAnsi="宋体" w:cs="宋体"/>
                <w:kern w:val="0"/>
                <w:lang w:val="zh-CN"/>
              </w:rPr>
            </w:pPr>
            <w:r>
              <w:rPr>
                <w:rFonts w:hint="eastAsia" w:ascii="宋体" w:hAnsi="宋体" w:cs="宋体"/>
                <w:kern w:val="0"/>
                <w:lang w:val="zh-CN"/>
              </w:rPr>
              <w:t>供应商应按照磋商文件所提供的响应文件格式，分别填写磋商文件第五部分的内容，并由法定代表人或委托代理人按要求签字、加盖公章。</w:t>
            </w:r>
          </w:p>
        </w:tc>
      </w:tr>
      <w:tr w14:paraId="6FA27E49">
        <w:tblPrEx>
          <w:tblCellMar>
            <w:top w:w="0" w:type="dxa"/>
            <w:left w:w="57" w:type="dxa"/>
            <w:bottom w:w="0" w:type="dxa"/>
            <w:right w:w="57" w:type="dxa"/>
          </w:tblCellMar>
        </w:tblPrEx>
        <w:trPr>
          <w:trHeight w:val="54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FDC2A9">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99C44C">
            <w:pPr>
              <w:autoSpaceDE w:val="0"/>
              <w:autoSpaceDN w:val="0"/>
              <w:jc w:val="center"/>
              <w:rPr>
                <w:rFonts w:ascii="宋体" w:hAnsi="宋体" w:cs="宋体"/>
                <w:bCs/>
                <w:kern w:val="0"/>
                <w:lang w:val="zh-CN"/>
              </w:rPr>
            </w:pPr>
            <w:r>
              <w:rPr>
                <w:rFonts w:hint="eastAsia" w:ascii="宋体" w:hAnsi="宋体" w:cs="宋体"/>
              </w:rPr>
              <w:t>递交响应文件方式</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A75CB3">
            <w:pPr>
              <w:autoSpaceDE w:val="0"/>
              <w:autoSpaceDN w:val="0"/>
              <w:rPr>
                <w:rFonts w:ascii="宋体" w:hAnsi="宋体" w:cs="宋体"/>
                <w:kern w:val="0"/>
                <w:lang w:val="zh-CN"/>
              </w:rPr>
            </w:pPr>
            <w:r>
              <w:rPr>
                <w:rFonts w:hint="eastAsia" w:ascii="宋体" w:hAnsi="宋体" w:cs="宋体"/>
                <w:color w:val="000000"/>
                <w:kern w:val="0"/>
                <w:lang w:bidi="ar"/>
              </w:rPr>
              <w:t>通过政采云投标客户端上传</w:t>
            </w:r>
          </w:p>
        </w:tc>
      </w:tr>
      <w:tr w14:paraId="31A2050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90DA1A">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1D75FE">
            <w:pPr>
              <w:jc w:val="center"/>
              <w:rPr>
                <w:rFonts w:ascii="宋体" w:hAnsi="宋体" w:cs="宋体"/>
                <w:bCs/>
                <w:kern w:val="0"/>
                <w:lang w:val="zh-CN"/>
              </w:rPr>
            </w:pPr>
            <w:r>
              <w:rPr>
                <w:rFonts w:hint="eastAsia" w:ascii="宋体" w:hAnsi="宋体" w:cs="宋体"/>
              </w:rPr>
              <w:t>提交响应文件截止时间</w:t>
            </w:r>
          </w:p>
        </w:tc>
        <w:tc>
          <w:tcPr>
            <w:tcW w:w="7837" w:type="dxa"/>
            <w:tcBorders>
              <w:top w:val="outset" w:color="000000" w:sz="6" w:space="0"/>
              <w:left w:val="outset" w:color="000000" w:sz="6" w:space="0"/>
              <w:bottom w:val="outset" w:color="000000" w:sz="6" w:space="0"/>
              <w:right w:val="outset" w:color="000000" w:sz="6" w:space="0"/>
            </w:tcBorders>
            <w:shd w:val="clear" w:color="000000" w:fill="FFFFFF"/>
            <w:vAlign w:val="center"/>
          </w:tcPr>
          <w:p w14:paraId="5BFA709F">
            <w:pPr>
              <w:jc w:val="left"/>
              <w:rPr>
                <w:rFonts w:ascii="宋体" w:hAnsi="宋体" w:cs="宋体"/>
              </w:rPr>
            </w:pPr>
            <w:r>
              <w:rPr>
                <w:rFonts w:hint="eastAsia" w:ascii="宋体" w:hAnsi="宋体" w:cs="宋体"/>
                <w:lang w:val="zh-CN"/>
              </w:rPr>
              <w:t>202</w:t>
            </w:r>
            <w:r>
              <w:rPr>
                <w:rFonts w:hint="eastAsia" w:ascii="宋体" w:hAnsi="宋体" w:cs="宋体"/>
                <w:lang w:val="en-US" w:eastAsia="zh-CN"/>
              </w:rPr>
              <w:t>5</w:t>
            </w:r>
            <w:r>
              <w:rPr>
                <w:rFonts w:hint="eastAsia" w:ascii="宋体" w:hAnsi="宋体" w:cs="宋体"/>
                <w:lang w:val="zh-CN"/>
              </w:rPr>
              <w:t>年</w:t>
            </w:r>
            <w:r>
              <w:rPr>
                <w:rFonts w:hint="eastAsia" w:ascii="宋体" w:hAnsi="宋体" w:cs="宋体"/>
                <w:lang w:val="en-US" w:eastAsia="zh-CN"/>
              </w:rPr>
              <w:t>07月11日上午09时00分</w:t>
            </w:r>
            <w:r>
              <w:rPr>
                <w:rFonts w:hint="eastAsia" w:ascii="宋体" w:hAnsi="宋体" w:cs="宋体"/>
                <w:lang w:val="zh-CN"/>
              </w:rPr>
              <w:t>（北京时间）</w:t>
            </w:r>
          </w:p>
        </w:tc>
      </w:tr>
      <w:tr w14:paraId="14A016F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17367D">
            <w:pPr>
              <w:numPr>
                <w:ilvl w:val="0"/>
                <w:numId w:val="5"/>
              </w:numPr>
              <w:autoSpaceDE w:val="0"/>
              <w:autoSpaceDN w:val="0"/>
              <w:jc w:val="center"/>
              <w:rPr>
                <w:rFonts w:ascii="宋体" w:hAnsi="宋体" w:cs="宋体"/>
                <w:bCs/>
                <w:kern w:val="0"/>
                <w:lang w:val="zh-CN"/>
              </w:rPr>
            </w:pPr>
            <w:r>
              <w:rPr>
                <w:rFonts w:ascii="宋体" w:hAnsi="宋体" w:cs="宋体"/>
              </w:rPr>
              <w:pict>
                <v:shape id="_x0000_s1027" o:spid="_x0000_s1027" o:spt="136" type="#_x0000_t136" style="position:absolute;left:0pt;margin-left:-51.95pt;margin-top:225.5pt;height:132.7pt;width:530.85pt;mso-position-horizontal-relative:margin;mso-position-vertical-relative:margin;rotation:-2949120f;z-index:-251657216;mso-width-relative:page;mso-height-relative:page;" fillcolor="#F2F2F2" filled="t" stroked="f" coordsize="21600,21600" o:allowincell="f">
                  <v:path/>
                  <v:fill on="t" focussize="0,0"/>
                  <v:stroke on="f"/>
                  <v:imagedata o:title=""/>
                  <o:lock v:ext="edit"/>
                  <v:textpath on="t" fitshape="t" fitpath="t" trim="t" xscale="f" string="容基招标" style="font-family:宋体;font-size:8pt;v-text-align:center;"/>
                </v:shape>
              </w:pict>
            </w: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8DF8ED">
            <w:pPr>
              <w:jc w:val="center"/>
              <w:rPr>
                <w:rFonts w:ascii="宋体" w:hAnsi="宋体" w:cs="宋体"/>
                <w:bCs/>
                <w:kern w:val="0"/>
                <w:lang w:val="zh-CN"/>
              </w:rPr>
            </w:pPr>
            <w:r>
              <w:rPr>
                <w:rFonts w:hint="eastAsia" w:ascii="宋体" w:hAnsi="宋体" w:cs="宋体"/>
              </w:rPr>
              <w:t>响应文件开启时间</w:t>
            </w:r>
          </w:p>
        </w:tc>
        <w:tc>
          <w:tcPr>
            <w:tcW w:w="7837" w:type="dxa"/>
            <w:tcBorders>
              <w:top w:val="outset" w:color="000000" w:sz="6" w:space="0"/>
              <w:left w:val="outset" w:color="000000" w:sz="6" w:space="0"/>
              <w:bottom w:val="outset" w:color="000000" w:sz="6" w:space="0"/>
              <w:right w:val="outset" w:color="000000" w:sz="6" w:space="0"/>
            </w:tcBorders>
            <w:shd w:val="clear" w:color="000000" w:fill="FFFFFF"/>
          </w:tcPr>
          <w:p w14:paraId="70DF582A">
            <w:pPr>
              <w:rPr>
                <w:rFonts w:ascii="宋体" w:hAnsi="宋体" w:cs="宋体"/>
              </w:rPr>
            </w:pPr>
            <w:r>
              <w:rPr>
                <w:rFonts w:hint="eastAsia" w:ascii="宋体" w:hAnsi="宋体" w:cs="宋体"/>
                <w:lang w:val="zh-CN"/>
              </w:rPr>
              <w:t>202</w:t>
            </w:r>
            <w:r>
              <w:rPr>
                <w:rFonts w:hint="eastAsia" w:ascii="宋体" w:hAnsi="宋体" w:cs="宋体"/>
                <w:lang w:val="en-US" w:eastAsia="zh-CN"/>
              </w:rPr>
              <w:t>5</w:t>
            </w:r>
            <w:r>
              <w:rPr>
                <w:rFonts w:hint="eastAsia" w:ascii="宋体" w:hAnsi="宋体" w:cs="宋体"/>
                <w:lang w:val="zh-CN"/>
              </w:rPr>
              <w:t>年</w:t>
            </w:r>
            <w:r>
              <w:rPr>
                <w:rFonts w:hint="eastAsia" w:ascii="宋体" w:hAnsi="宋体" w:cs="宋体"/>
                <w:lang w:val="en-US" w:eastAsia="zh-CN"/>
              </w:rPr>
              <w:t>07月11日上午09时00分</w:t>
            </w:r>
            <w:r>
              <w:rPr>
                <w:rFonts w:hint="eastAsia" w:ascii="宋体" w:hAnsi="宋体" w:cs="宋体"/>
                <w:lang w:val="zh-CN"/>
              </w:rPr>
              <w:t>（北京时间）</w:t>
            </w:r>
          </w:p>
        </w:tc>
      </w:tr>
      <w:tr w14:paraId="7EC5C83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D0ECC5">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E0A77C">
            <w:pPr>
              <w:jc w:val="center"/>
              <w:rPr>
                <w:rFonts w:ascii="宋体" w:hAnsi="宋体" w:cs="宋体"/>
              </w:rPr>
            </w:pPr>
            <w:r>
              <w:rPr>
                <w:rFonts w:hint="eastAsia" w:ascii="宋体" w:hAnsi="宋体" w:cs="宋体"/>
              </w:rPr>
              <w:t>提交响应文件及</w:t>
            </w:r>
          </w:p>
          <w:p w14:paraId="5A1A1DE8">
            <w:pPr>
              <w:jc w:val="center"/>
              <w:rPr>
                <w:rFonts w:ascii="宋体" w:hAnsi="宋体" w:cs="宋体"/>
                <w:bCs/>
                <w:kern w:val="0"/>
                <w:lang w:val="zh-CN"/>
              </w:rPr>
            </w:pPr>
            <w:r>
              <w:rPr>
                <w:rFonts w:hint="eastAsia" w:ascii="宋体" w:hAnsi="宋体" w:cs="宋体"/>
              </w:rPr>
              <w:t>开标地点</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E96F86">
            <w:pPr>
              <w:autoSpaceDE w:val="0"/>
              <w:autoSpaceDN w:val="0"/>
              <w:spacing w:line="360" w:lineRule="auto"/>
              <w:rPr>
                <w:rFonts w:hint="eastAsia"/>
                <w:lang w:val="en-US" w:eastAsia="zh-CN"/>
              </w:rPr>
            </w:pPr>
            <w:r>
              <w:rPr>
                <w:rFonts w:hint="eastAsia"/>
                <w:lang w:val="en-US" w:eastAsia="zh-CN"/>
              </w:rPr>
              <w:t>1、投标地址：供应商应在投标截止时间前按招标文件要求使用政采云电子投标客户端制作上传电子投标文件，并在开标后30分钟内远程解密投标文件。</w:t>
            </w:r>
          </w:p>
          <w:p w14:paraId="31BD3E4B">
            <w:pPr>
              <w:autoSpaceDE w:val="0"/>
              <w:autoSpaceDN w:val="0"/>
              <w:spacing w:line="360" w:lineRule="auto"/>
              <w:rPr>
                <w:rFonts w:hint="eastAsia" w:eastAsia="宋体"/>
                <w:lang w:val="en-US" w:eastAsia="zh-CN"/>
              </w:rPr>
            </w:pPr>
            <w:r>
              <w:rPr>
                <w:rFonts w:hint="eastAsia"/>
                <w:lang w:val="en-US" w:eastAsia="zh-CN"/>
              </w:rPr>
              <w:t>2、开标地点：青海省西宁市城西区西川南路76号1号写字楼16楼11613室</w:t>
            </w:r>
            <w:r>
              <w:rPr>
                <w:rFonts w:hint="eastAsia" w:ascii="Arial" w:hAnsi="Arial" w:cs="Arial"/>
                <w:color w:val="000000"/>
                <w:lang w:val="en-US" w:eastAsia="zh-CN"/>
              </w:rPr>
              <w:t xml:space="preserve"> </w:t>
            </w:r>
          </w:p>
          <w:p w14:paraId="1397E81D">
            <w:pPr>
              <w:rPr>
                <w:rFonts w:ascii="宋体" w:hAnsi="宋体" w:cs="宋体"/>
                <w:kern w:val="0"/>
                <w:lang w:val="zh-CN"/>
              </w:rPr>
            </w:pPr>
            <w:r>
              <w:rPr>
                <w:rFonts w:hint="eastAsia" w:ascii="Times New Roman" w:hAnsi="Times New Roman" w:eastAsia="宋体" w:cs="Times New Roman"/>
                <w:lang w:val="en-US" w:eastAsia="zh-CN"/>
              </w:rPr>
              <w:t>注：如非系统原因造成无法解密的或非系统原因加密文件上传不成功的或没办理 CA 锁而造成加密文件无法解密、 加密文件无法上传的视为无效投标。</w:t>
            </w:r>
          </w:p>
        </w:tc>
      </w:tr>
      <w:tr w14:paraId="3D3E4E1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45038E">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2AE3DA">
            <w:pPr>
              <w:autoSpaceDE w:val="0"/>
              <w:autoSpaceDN w:val="0"/>
              <w:jc w:val="center"/>
              <w:rPr>
                <w:rFonts w:ascii="宋体" w:hAnsi="宋体" w:cs="宋体"/>
                <w:bCs/>
                <w:kern w:val="0"/>
                <w:lang w:val="zh-CN"/>
              </w:rPr>
            </w:pPr>
            <w:r>
              <w:rPr>
                <w:rFonts w:hint="eastAsia" w:ascii="宋体" w:hAnsi="宋体" w:cs="宋体"/>
              </w:rPr>
              <w:t>答疑澄清方式</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tcPr>
          <w:p w14:paraId="6AA517D7">
            <w:pPr>
              <w:widowControl/>
              <w:jc w:val="left"/>
              <w:rPr>
                <w:rFonts w:ascii="宋体" w:hAnsi="宋体" w:cs="宋体"/>
                <w:color w:val="000000"/>
                <w:kern w:val="0"/>
                <w:lang w:val="zh-CN" w:bidi="ar"/>
              </w:rPr>
            </w:pPr>
            <w:r>
              <w:rPr>
                <w:rFonts w:hint="eastAsia" w:ascii="宋体" w:hAnsi="宋体" w:cs="宋体"/>
                <w:color w:val="000000"/>
                <w:kern w:val="0"/>
                <w:lang w:val="zh-CN" w:bidi="ar"/>
              </w:rPr>
              <w:t>线上答疑，应在规定的时间内通过政采云平台进行答疑澄清，如在</w:t>
            </w:r>
          </w:p>
          <w:p w14:paraId="2F5543CF">
            <w:pPr>
              <w:autoSpaceDE w:val="0"/>
              <w:autoSpaceDN w:val="0"/>
              <w:rPr>
                <w:rFonts w:ascii="宋体" w:hAnsi="宋体" w:cs="宋体"/>
                <w:kern w:val="0"/>
                <w:lang w:val="zh-CN"/>
              </w:rPr>
            </w:pPr>
            <w:r>
              <w:rPr>
                <w:rFonts w:hint="eastAsia" w:ascii="宋体" w:hAnsi="宋体" w:cs="宋体"/>
                <w:color w:val="000000"/>
                <w:kern w:val="0"/>
                <w:lang w:val="zh-CN" w:bidi="ar"/>
              </w:rPr>
              <w:t>规定的时间内未按要求进行澄清，视同放弃答疑。</w:t>
            </w:r>
          </w:p>
        </w:tc>
      </w:tr>
      <w:tr w14:paraId="7053EA0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D430BF">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3C85AB">
            <w:pPr>
              <w:autoSpaceDE w:val="0"/>
              <w:autoSpaceDN w:val="0"/>
              <w:jc w:val="center"/>
              <w:rPr>
                <w:rFonts w:ascii="宋体" w:hAnsi="宋体" w:cs="宋体"/>
                <w:kern w:val="0"/>
                <w:lang w:val="zh-CN"/>
              </w:rPr>
            </w:pPr>
            <w:r>
              <w:rPr>
                <w:rFonts w:hint="eastAsia" w:ascii="宋体" w:hAnsi="宋体" w:cs="宋体"/>
              </w:rPr>
              <w:t>代理服务费收取</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tcPr>
          <w:p w14:paraId="2A950125">
            <w:pPr>
              <w:widowControl/>
              <w:jc w:val="left"/>
              <w:rPr>
                <w:rFonts w:ascii="宋体" w:hAnsi="宋体" w:cs="宋体"/>
                <w:color w:val="000000" w:themeColor="text1"/>
                <w:kern w:val="0"/>
                <w:lang w:bidi="ar"/>
                <w14:textFill>
                  <w14:solidFill>
                    <w14:schemeClr w14:val="tx1"/>
                  </w14:solidFill>
                </w14:textFill>
              </w:rPr>
            </w:pPr>
            <w:r>
              <w:rPr>
                <w:rFonts w:hint="eastAsia" w:ascii="宋体" w:hAnsi="宋体" w:cs="宋体"/>
                <w:color w:val="000000"/>
                <w:kern w:val="0"/>
                <w:lang w:bidi="ar"/>
              </w:rPr>
              <w:t>收取对象：</w:t>
            </w:r>
            <w:r>
              <w:rPr>
                <w:rFonts w:hint="eastAsia" w:ascii="宋体" w:hAnsi="宋体" w:cs="宋体"/>
                <w:color w:val="000000" w:themeColor="text1"/>
                <w:kern w:val="0"/>
                <w:highlight w:val="none"/>
                <w:lang w:val="en-US" w:eastAsia="zh-CN" w:bidi="ar"/>
                <w14:textFill>
                  <w14:solidFill>
                    <w14:schemeClr w14:val="tx1"/>
                  </w14:solidFill>
                </w14:textFill>
              </w:rPr>
              <w:t>成交供应商</w:t>
            </w:r>
            <w:r>
              <w:rPr>
                <w:rFonts w:hint="eastAsia" w:ascii="宋体" w:hAnsi="宋体" w:cs="宋体"/>
                <w:color w:val="000000" w:themeColor="text1"/>
                <w:kern w:val="0"/>
                <w:highlight w:val="none"/>
                <w:lang w:bidi="ar"/>
                <w14:textFill>
                  <w14:solidFill>
                    <w14:schemeClr w14:val="tx1"/>
                  </w14:solidFill>
                </w14:textFill>
              </w:rPr>
              <w:t xml:space="preserve"> </w:t>
            </w:r>
          </w:p>
          <w:p w14:paraId="583599CE">
            <w:pPr>
              <w:widowControl/>
              <w:jc w:val="left"/>
              <w:rPr>
                <w:rFonts w:ascii="宋体" w:hAnsi="宋体" w:cs="宋体"/>
                <w:color w:val="000000"/>
                <w:kern w:val="0"/>
                <w:lang w:bidi="ar"/>
              </w:rPr>
            </w:pPr>
            <w:r>
              <w:rPr>
                <w:rFonts w:hint="eastAsia" w:ascii="宋体" w:hAnsi="宋体" w:cs="宋体"/>
                <w:color w:val="000000"/>
                <w:kern w:val="0"/>
                <w:lang w:bidi="ar"/>
              </w:rPr>
              <w:t>收费标准：以中标金额作为计算基数，《关于进一步放开建设项</w:t>
            </w:r>
          </w:p>
          <w:p w14:paraId="0DE09780">
            <w:pPr>
              <w:widowControl/>
              <w:jc w:val="left"/>
              <w:rPr>
                <w:rFonts w:ascii="宋体" w:hAnsi="宋体" w:cs="宋体"/>
                <w:color w:val="000000"/>
                <w:kern w:val="0"/>
                <w:lang w:bidi="ar"/>
              </w:rPr>
            </w:pPr>
            <w:r>
              <w:rPr>
                <w:rFonts w:hint="eastAsia" w:ascii="宋体" w:hAnsi="宋体" w:cs="宋体"/>
                <w:color w:val="000000"/>
                <w:kern w:val="0"/>
                <w:lang w:bidi="ar"/>
              </w:rPr>
              <w:t xml:space="preserve">目专项业务服务价格的通知》（发改价格[2015]299 号）规定执行。 </w:t>
            </w:r>
          </w:p>
          <w:p w14:paraId="26C6594A">
            <w:pPr>
              <w:widowControl/>
              <w:jc w:val="left"/>
              <w:rPr>
                <w:rFonts w:ascii="宋体" w:hAnsi="宋体" w:cs="宋体"/>
                <w:color w:val="000000"/>
                <w:kern w:val="0"/>
                <w:lang w:bidi="ar"/>
              </w:rPr>
            </w:pPr>
            <w:r>
              <w:rPr>
                <w:rFonts w:hint="eastAsia" w:ascii="宋体" w:hAnsi="宋体" w:cs="宋体"/>
                <w:color w:val="000000"/>
                <w:kern w:val="0"/>
                <w:lang w:bidi="ar"/>
              </w:rPr>
              <w:t xml:space="preserve">招标服务费的支付形式：电汇、支票。 </w:t>
            </w:r>
          </w:p>
          <w:p w14:paraId="47BFE0DE">
            <w:pPr>
              <w:widowControl/>
              <w:jc w:val="left"/>
              <w:rPr>
                <w:rFonts w:hint="eastAsia" w:ascii="宋体" w:hAnsi="宋体" w:cs="宋体"/>
                <w:color w:val="000000"/>
                <w:kern w:val="0"/>
                <w:lang w:bidi="ar"/>
              </w:rPr>
            </w:pPr>
            <w:r>
              <w:rPr>
                <w:rFonts w:hint="eastAsia" w:ascii="宋体" w:hAnsi="宋体" w:cs="宋体"/>
                <w:color w:val="000000"/>
                <w:kern w:val="0"/>
                <w:lang w:bidi="ar"/>
              </w:rPr>
              <w:t>账户名：</w:t>
            </w:r>
            <w:r>
              <w:rPr>
                <w:rFonts w:hint="eastAsia" w:ascii="宋体" w:hAnsi="宋体" w:cs="宋体"/>
                <w:color w:val="000000"/>
                <w:kern w:val="0"/>
                <w:lang w:eastAsia="zh-CN" w:bidi="ar"/>
              </w:rPr>
              <w:t>青海鹏杰工程项目管理有限公司</w:t>
            </w:r>
          </w:p>
          <w:p w14:paraId="32924FC6">
            <w:pPr>
              <w:widowControl/>
              <w:jc w:val="left"/>
              <w:rPr>
                <w:rFonts w:hint="eastAsia" w:ascii="宋体" w:hAnsi="宋体" w:cs="宋体"/>
                <w:color w:val="000000"/>
                <w:kern w:val="0"/>
                <w:lang w:eastAsia="zh-CN" w:bidi="ar"/>
              </w:rPr>
            </w:pPr>
            <w:r>
              <w:rPr>
                <w:rFonts w:hint="eastAsia" w:ascii="宋体" w:hAnsi="宋体" w:cs="宋体"/>
                <w:color w:val="000000"/>
                <w:kern w:val="0"/>
                <w:lang w:bidi="ar"/>
              </w:rPr>
              <w:t>开户行：</w:t>
            </w:r>
            <w:r>
              <w:rPr>
                <w:rFonts w:hint="eastAsia" w:ascii="宋体" w:hAnsi="宋体" w:cs="宋体"/>
                <w:color w:val="000000"/>
                <w:kern w:val="0"/>
                <w:lang w:eastAsia="zh-CN" w:bidi="ar"/>
              </w:rPr>
              <w:t>中国工商银行股份有限公司西宁文汇路支行</w:t>
            </w:r>
          </w:p>
          <w:p w14:paraId="0B5F9215">
            <w:pPr>
              <w:widowControl/>
              <w:jc w:val="left"/>
              <w:rPr>
                <w:rFonts w:hint="eastAsia" w:ascii="宋体" w:hAnsi="宋体" w:cs="宋体"/>
                <w:color w:val="000000"/>
                <w:kern w:val="0"/>
                <w:lang w:eastAsia="zh-CN" w:bidi="ar"/>
              </w:rPr>
            </w:pPr>
            <w:r>
              <w:rPr>
                <w:rFonts w:hint="eastAsia" w:ascii="宋体" w:hAnsi="宋体" w:cs="宋体"/>
                <w:color w:val="000000"/>
                <w:kern w:val="0"/>
                <w:lang w:bidi="ar"/>
              </w:rPr>
              <w:t>账 号：</w:t>
            </w:r>
            <w:r>
              <w:rPr>
                <w:rFonts w:hint="eastAsia" w:ascii="宋体" w:hAnsi="宋体" w:cs="宋体"/>
                <w:color w:val="000000"/>
                <w:kern w:val="0"/>
                <w:lang w:eastAsia="zh-CN" w:bidi="ar"/>
              </w:rPr>
              <w:t>2806027909100025994</w:t>
            </w:r>
          </w:p>
          <w:p w14:paraId="1D5051EE">
            <w:pPr>
              <w:widowControl/>
              <w:jc w:val="left"/>
              <w:rPr>
                <w:rFonts w:ascii="宋体" w:hAnsi="宋体" w:cs="宋体"/>
                <w:color w:val="000000"/>
                <w:kern w:val="0"/>
                <w:lang w:bidi="ar"/>
              </w:rPr>
            </w:pPr>
            <w:r>
              <w:rPr>
                <w:rFonts w:hint="eastAsia" w:ascii="宋体" w:hAnsi="宋体" w:cs="宋体"/>
                <w:color w:val="000000"/>
                <w:kern w:val="0"/>
                <w:lang w:bidi="ar"/>
              </w:rPr>
              <w:t xml:space="preserve">成交服务费以人民币支付。 </w:t>
            </w:r>
          </w:p>
          <w:p w14:paraId="585F54C1">
            <w:pPr>
              <w:widowControl/>
              <w:jc w:val="left"/>
              <w:rPr>
                <w:rFonts w:ascii="宋体" w:hAnsi="宋体" w:cs="宋体"/>
                <w:color w:val="000000"/>
                <w:kern w:val="0"/>
                <w:lang w:bidi="ar"/>
              </w:rPr>
            </w:pPr>
            <w:r>
              <w:rPr>
                <w:rFonts w:hint="eastAsia" w:ascii="宋体" w:hAnsi="宋体" w:cs="宋体"/>
                <w:color w:val="000000"/>
                <w:kern w:val="0"/>
                <w:lang w:bidi="ar"/>
              </w:rPr>
              <w:t xml:space="preserve">成交服务费支付方式：领取成交通知书时一次性支付全部金额。以电 </w:t>
            </w:r>
          </w:p>
          <w:p w14:paraId="3E183094">
            <w:pPr>
              <w:pStyle w:val="13"/>
              <w:rPr>
                <w:rFonts w:hAnsi="宋体" w:cs="宋体"/>
                <w:sz w:val="24"/>
                <w:szCs w:val="24"/>
                <w:lang w:val="zh-CN"/>
              </w:rPr>
            </w:pPr>
            <w:r>
              <w:rPr>
                <w:rFonts w:hint="eastAsia" w:hAnsi="宋体" w:cs="宋体"/>
                <w:color w:val="000000"/>
                <w:sz w:val="24"/>
                <w:szCs w:val="24"/>
                <w:lang w:bidi="ar"/>
              </w:rPr>
              <w:t>汇、支票等形式支付</w:t>
            </w:r>
          </w:p>
        </w:tc>
      </w:tr>
      <w:tr w14:paraId="7212DCC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5FBCB8">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D8E652">
            <w:pPr>
              <w:autoSpaceDE w:val="0"/>
              <w:autoSpaceDN w:val="0"/>
              <w:jc w:val="center"/>
              <w:rPr>
                <w:rFonts w:ascii="宋体" w:hAnsi="宋体" w:cs="宋体"/>
                <w:bCs/>
                <w:kern w:val="0"/>
                <w:lang w:val="zh-CN"/>
              </w:rPr>
            </w:pPr>
            <w:r>
              <w:rPr>
                <w:rFonts w:hint="eastAsia" w:ascii="宋体" w:hAnsi="宋体" w:cs="宋体"/>
              </w:rPr>
              <w:t>合同签订有效期</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tcPr>
          <w:p w14:paraId="406E0BB1">
            <w:pPr>
              <w:autoSpaceDE w:val="0"/>
              <w:autoSpaceDN w:val="0"/>
              <w:rPr>
                <w:rFonts w:ascii="宋体" w:hAnsi="宋体" w:cs="宋体"/>
                <w:kern w:val="0"/>
                <w:lang w:val="zh-CN"/>
              </w:rPr>
            </w:pPr>
            <w:r>
              <w:rPr>
                <w:rFonts w:hint="eastAsia" w:ascii="宋体" w:hAnsi="宋体" w:cs="宋体"/>
              </w:rPr>
              <w:t>自成交通知书发出之日起30日内与采购人签订合同</w:t>
            </w:r>
          </w:p>
        </w:tc>
      </w:tr>
      <w:tr w14:paraId="6D32A5A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22B2DE">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80F4E3">
            <w:pPr>
              <w:autoSpaceDE w:val="0"/>
              <w:autoSpaceDN w:val="0"/>
              <w:jc w:val="center"/>
              <w:rPr>
                <w:rFonts w:ascii="宋体" w:hAnsi="宋体" w:cs="宋体"/>
                <w:bCs/>
                <w:kern w:val="0"/>
                <w:lang w:val="zh-CN"/>
              </w:rPr>
            </w:pPr>
            <w:r>
              <w:rPr>
                <w:rFonts w:hint="eastAsia" w:ascii="宋体" w:hAnsi="宋体" w:cs="宋体"/>
              </w:rPr>
              <w:t>政府采购合同备案</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tcPr>
          <w:p w14:paraId="3656C26D">
            <w:pPr>
              <w:autoSpaceDE w:val="0"/>
              <w:autoSpaceDN w:val="0"/>
              <w:rPr>
                <w:rFonts w:ascii="宋体" w:hAnsi="宋体" w:cs="宋体"/>
              </w:rPr>
            </w:pPr>
            <w:r>
              <w:rPr>
                <w:rFonts w:hint="eastAsia" w:ascii="宋体" w:hAnsi="宋体" w:cs="宋体"/>
              </w:rPr>
              <w:t>采购合同全数返回采购代理机构鉴证，盖章。</w:t>
            </w:r>
          </w:p>
          <w:p w14:paraId="373AA766">
            <w:pPr>
              <w:autoSpaceDE w:val="0"/>
              <w:autoSpaceDN w:val="0"/>
              <w:rPr>
                <w:rFonts w:ascii="宋体" w:hAnsi="宋体" w:cs="宋体"/>
              </w:rPr>
            </w:pPr>
            <w:r>
              <w:rPr>
                <w:rFonts w:hint="eastAsia" w:ascii="宋体" w:hAnsi="宋体" w:cs="宋体"/>
              </w:rPr>
              <w:t>采购代理机构留存两份原件备案。</w:t>
            </w:r>
          </w:p>
        </w:tc>
      </w:tr>
      <w:tr w14:paraId="781AC58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0E4E58">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84EE0D">
            <w:pPr>
              <w:autoSpaceDE w:val="0"/>
              <w:autoSpaceDN w:val="0"/>
              <w:jc w:val="center"/>
              <w:rPr>
                <w:rFonts w:ascii="宋体" w:hAnsi="宋体" w:cs="宋体"/>
                <w:bCs/>
                <w:kern w:val="0"/>
                <w:lang w:val="zh-CN"/>
              </w:rPr>
            </w:pPr>
            <w:r>
              <w:rPr>
                <w:rFonts w:hint="eastAsia" w:ascii="宋体" w:hAnsi="宋体" w:cs="宋体"/>
              </w:rPr>
              <w:t>磋商有效期</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tcPr>
          <w:p w14:paraId="15ED742F">
            <w:pPr>
              <w:autoSpaceDE w:val="0"/>
              <w:autoSpaceDN w:val="0"/>
              <w:rPr>
                <w:rFonts w:ascii="宋体" w:hAnsi="宋体" w:cs="宋体"/>
                <w:kern w:val="0"/>
                <w:lang w:val="zh-CN"/>
              </w:rPr>
            </w:pPr>
            <w:r>
              <w:rPr>
                <w:rFonts w:hint="eastAsia" w:ascii="宋体" w:hAnsi="宋体" w:cs="宋体"/>
              </w:rPr>
              <w:t>磋商有效期为自磋商开始之日起60日历日</w:t>
            </w:r>
          </w:p>
        </w:tc>
      </w:tr>
      <w:tr w14:paraId="53B8E35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9CE32D">
            <w:pPr>
              <w:numPr>
                <w:ilvl w:val="0"/>
                <w:numId w:val="5"/>
              </w:numPr>
              <w:autoSpaceDE w:val="0"/>
              <w:autoSpaceDN w:val="0"/>
              <w:jc w:val="center"/>
              <w:rPr>
                <w:rFonts w:ascii="宋体" w:hAnsi="宋体" w:cs="宋体"/>
                <w:bCs/>
                <w:kern w:val="0"/>
                <w:lang w:val="zh-CN"/>
              </w:rPr>
            </w:pPr>
          </w:p>
        </w:tc>
        <w:tc>
          <w:tcPr>
            <w:tcW w:w="20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2DE529">
            <w:pPr>
              <w:autoSpaceDE w:val="0"/>
              <w:autoSpaceDN w:val="0"/>
              <w:jc w:val="center"/>
              <w:rPr>
                <w:rFonts w:ascii="宋体" w:hAnsi="宋体" w:cs="宋体"/>
                <w:bCs/>
                <w:kern w:val="0"/>
              </w:rPr>
            </w:pPr>
            <w:r>
              <w:rPr>
                <w:rFonts w:hint="eastAsia" w:ascii="宋体" w:hAnsi="宋体" w:cs="宋体"/>
              </w:rPr>
              <w:t>服务期</w:t>
            </w:r>
          </w:p>
        </w:tc>
        <w:tc>
          <w:tcPr>
            <w:tcW w:w="7837" w:type="dxa"/>
            <w:tcBorders>
              <w:top w:val="single" w:color="000000" w:sz="6" w:space="0"/>
              <w:left w:val="single" w:color="000000" w:sz="6" w:space="0"/>
              <w:bottom w:val="single" w:color="000000" w:sz="6" w:space="0"/>
              <w:right w:val="single" w:color="000000" w:sz="6" w:space="0"/>
            </w:tcBorders>
            <w:shd w:val="clear" w:color="000000" w:fill="FFFFFF"/>
          </w:tcPr>
          <w:p w14:paraId="110E1051">
            <w:pPr>
              <w:autoSpaceDE w:val="0"/>
              <w:autoSpaceDN w:val="0"/>
              <w:rPr>
                <w:rFonts w:hint="default" w:ascii="宋体" w:hAnsi="宋体" w:cs="宋体"/>
                <w:color w:val="000000" w:themeColor="text1"/>
                <w:highlight w:val="red"/>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服务期为半年，自提供运维服务之日起计。服务期结束后对经营方进行考核，双方就运营服务均无异议的情况下，可续签服务合同。</w:t>
            </w:r>
          </w:p>
        </w:tc>
      </w:tr>
    </w:tbl>
    <w:p w14:paraId="48C5FD93">
      <w:pPr>
        <w:pStyle w:val="25"/>
        <w:spacing w:before="0" w:after="0" w:line="360" w:lineRule="auto"/>
        <w:outlineLvl w:val="9"/>
        <w:rPr>
          <w:rFonts w:ascii="宋体" w:hAnsi="宋体" w:cs="宋体"/>
          <w:color w:val="000000"/>
          <w:sz w:val="24"/>
        </w:rPr>
        <w:sectPr>
          <w:pgSz w:w="11906" w:h="16838"/>
          <w:pgMar w:top="1440" w:right="1080" w:bottom="1440" w:left="1080" w:header="851" w:footer="850" w:gutter="0"/>
          <w:pgBorders>
            <w:top w:val="none" w:sz="0" w:space="0"/>
            <w:left w:val="none" w:sz="0" w:space="0"/>
            <w:bottom w:val="none" w:sz="0" w:space="0"/>
            <w:right w:val="none" w:sz="0" w:space="0"/>
          </w:pgBorders>
          <w:pgNumType w:fmt="decimal"/>
          <w:cols w:space="720" w:num="1"/>
          <w:titlePg/>
          <w:docGrid w:linePitch="312" w:charSpace="0"/>
        </w:sectPr>
      </w:pPr>
    </w:p>
    <w:p w14:paraId="1ACD5840">
      <w:pPr>
        <w:pStyle w:val="25"/>
        <w:spacing w:before="0" w:after="0" w:line="360" w:lineRule="auto"/>
        <w:outlineLvl w:val="0"/>
        <w:rPr>
          <w:rFonts w:ascii="宋体" w:hAnsi="宋体" w:cs="宋体"/>
          <w:color w:val="000000"/>
          <w:lang w:val="zh-CN"/>
        </w:rPr>
      </w:pPr>
      <w:bookmarkStart w:id="17" w:name="_Toc20737"/>
      <w:bookmarkStart w:id="18" w:name="_Toc6079"/>
      <w:bookmarkStart w:id="19" w:name="_Toc444715734"/>
      <w:bookmarkStart w:id="20" w:name="_Toc21422"/>
      <w:r>
        <w:rPr>
          <w:rFonts w:hint="eastAsia" w:ascii="宋体" w:hAnsi="宋体" w:cs="宋体"/>
          <w:color w:val="000000"/>
          <w:sz w:val="48"/>
        </w:rPr>
        <w:t>第三部分  供应商须知</w:t>
      </w:r>
      <w:bookmarkEnd w:id="17"/>
      <w:bookmarkEnd w:id="18"/>
      <w:bookmarkEnd w:id="19"/>
      <w:bookmarkEnd w:id="20"/>
    </w:p>
    <w:p w14:paraId="02F01C8C">
      <w:pPr>
        <w:pStyle w:val="5"/>
        <w:tabs>
          <w:tab w:val="left" w:pos="720"/>
        </w:tabs>
        <w:ind w:left="158"/>
        <w:rPr>
          <w:rFonts w:hAnsi="宋体" w:cs="宋体"/>
          <w:color w:val="000000"/>
          <w:kern w:val="0"/>
          <w:sz w:val="28"/>
          <w:szCs w:val="28"/>
        </w:rPr>
      </w:pPr>
      <w:bookmarkStart w:id="21" w:name="_Toc15397"/>
      <w:r>
        <w:rPr>
          <w:rFonts w:hint="eastAsia" w:hAnsi="宋体" w:cs="宋体"/>
          <w:color w:val="000000"/>
          <w:kern w:val="0"/>
          <w:sz w:val="28"/>
          <w:szCs w:val="28"/>
        </w:rPr>
        <w:t>说明</w:t>
      </w:r>
      <w:bookmarkEnd w:id="21"/>
    </w:p>
    <w:p w14:paraId="62A355BF">
      <w:pPr>
        <w:pStyle w:val="6"/>
        <w:numPr>
          <w:ilvl w:val="0"/>
          <w:numId w:val="6"/>
        </w:numPr>
        <w:spacing w:before="0" w:after="0" w:line="360" w:lineRule="auto"/>
        <w:rPr>
          <w:rFonts w:ascii="宋体" w:hAnsi="宋体" w:cs="宋体"/>
          <w:bCs w:val="0"/>
          <w:color w:val="000000"/>
        </w:rPr>
      </w:pPr>
      <w:bookmarkStart w:id="22" w:name="_Toc459377860"/>
      <w:bookmarkStart w:id="23" w:name="_Toc446427794"/>
      <w:bookmarkStart w:id="24" w:name="_Toc488691479"/>
      <w:bookmarkStart w:id="25" w:name="_Toc495570969"/>
      <w:bookmarkStart w:id="26" w:name="_Toc512"/>
      <w:r>
        <w:rPr>
          <w:rFonts w:hint="eastAsia" w:ascii="宋体" w:hAnsi="宋体" w:cs="宋体"/>
          <w:bCs w:val="0"/>
          <w:color w:val="000000"/>
        </w:rPr>
        <w:t>磋商内容及要求</w:t>
      </w:r>
      <w:bookmarkEnd w:id="22"/>
      <w:bookmarkEnd w:id="23"/>
      <w:bookmarkEnd w:id="24"/>
      <w:bookmarkEnd w:id="25"/>
    </w:p>
    <w:p w14:paraId="2A14AF69">
      <w:pPr>
        <w:pStyle w:val="13"/>
        <w:ind w:firstLine="480" w:firstLineChars="200"/>
        <w:rPr>
          <w:rFonts w:hAnsi="宋体" w:cs="宋体"/>
          <w:color w:val="000000"/>
          <w:sz w:val="24"/>
          <w:szCs w:val="24"/>
        </w:rPr>
      </w:pPr>
      <w:r>
        <w:rPr>
          <w:rFonts w:hint="eastAsia" w:hAnsi="宋体" w:cs="宋体"/>
          <w:color w:val="000000"/>
          <w:sz w:val="24"/>
          <w:szCs w:val="24"/>
        </w:rPr>
        <w:t>本次采购依据采购人的采购计划，仅适用于本竞争性磋商文件（以下简称“磋商文件”）中所叙述的项目。</w:t>
      </w:r>
    </w:p>
    <w:p w14:paraId="30295C50">
      <w:pPr>
        <w:pStyle w:val="6"/>
        <w:numPr>
          <w:ilvl w:val="0"/>
          <w:numId w:val="6"/>
        </w:numPr>
        <w:spacing w:before="0" w:after="0" w:line="360" w:lineRule="auto"/>
        <w:rPr>
          <w:rFonts w:ascii="宋体" w:hAnsi="宋体" w:cs="宋体"/>
          <w:bCs w:val="0"/>
          <w:color w:val="000000"/>
        </w:rPr>
      </w:pPr>
      <w:bookmarkStart w:id="27" w:name="_Toc488673614"/>
      <w:r>
        <w:rPr>
          <w:rFonts w:hint="eastAsia" w:ascii="宋体" w:hAnsi="宋体" w:cs="宋体"/>
          <w:bCs w:val="0"/>
          <w:color w:val="000000"/>
        </w:rPr>
        <w:t>采购方式、合格的磋商供应商</w:t>
      </w:r>
      <w:bookmarkEnd w:id="27"/>
    </w:p>
    <w:p w14:paraId="1D2CADD9">
      <w:pPr>
        <w:pStyle w:val="13"/>
        <w:numPr>
          <w:ilvl w:val="1"/>
          <w:numId w:val="7"/>
        </w:numPr>
        <w:rPr>
          <w:rFonts w:hAnsi="宋体" w:cs="宋体"/>
          <w:color w:val="000000"/>
          <w:sz w:val="24"/>
          <w:szCs w:val="24"/>
        </w:rPr>
      </w:pPr>
      <w:r>
        <w:rPr>
          <w:rFonts w:hint="eastAsia" w:hAnsi="宋体" w:cs="宋体"/>
          <w:color w:val="000000"/>
          <w:sz w:val="24"/>
          <w:szCs w:val="24"/>
        </w:rPr>
        <w:t>本次</w:t>
      </w:r>
      <w:r>
        <w:rPr>
          <w:rFonts w:hint="eastAsia" w:hAnsi="宋体" w:cs="宋体"/>
          <w:sz w:val="24"/>
          <w:szCs w:val="24"/>
        </w:rPr>
        <w:t>招标</w:t>
      </w:r>
      <w:r>
        <w:rPr>
          <w:rFonts w:hint="eastAsia" w:hAnsi="宋体" w:cs="宋体"/>
          <w:color w:val="000000"/>
          <w:sz w:val="24"/>
          <w:szCs w:val="24"/>
        </w:rPr>
        <w:t>采取竞争性磋商方式；</w:t>
      </w:r>
    </w:p>
    <w:p w14:paraId="1E571C8E">
      <w:pPr>
        <w:pStyle w:val="13"/>
        <w:numPr>
          <w:ilvl w:val="1"/>
          <w:numId w:val="7"/>
        </w:numPr>
        <w:rPr>
          <w:rFonts w:hAnsi="宋体" w:cs="宋体"/>
          <w:color w:val="000000"/>
          <w:sz w:val="24"/>
          <w:szCs w:val="24"/>
        </w:rPr>
      </w:pPr>
      <w:r>
        <w:rPr>
          <w:rFonts w:hint="eastAsia" w:hAnsi="宋体" w:cs="宋体"/>
          <w:color w:val="000000"/>
          <w:sz w:val="24"/>
          <w:szCs w:val="24"/>
        </w:rPr>
        <w:t>合格的磋商供应商，详见第一部分“竞争性磋商响应人资格条件”</w:t>
      </w:r>
    </w:p>
    <w:p w14:paraId="7372E826">
      <w:pPr>
        <w:pStyle w:val="6"/>
        <w:numPr>
          <w:ilvl w:val="0"/>
          <w:numId w:val="6"/>
        </w:numPr>
        <w:spacing w:before="0" w:after="0" w:line="360" w:lineRule="auto"/>
        <w:rPr>
          <w:rFonts w:ascii="宋体" w:hAnsi="宋体" w:cs="宋体"/>
          <w:bCs w:val="0"/>
          <w:color w:val="000000"/>
        </w:rPr>
      </w:pPr>
      <w:r>
        <w:rPr>
          <w:rFonts w:hint="eastAsia" w:ascii="宋体" w:hAnsi="宋体" w:cs="宋体"/>
          <w:bCs w:val="0"/>
          <w:color w:val="000000"/>
        </w:rPr>
        <w:t>磋商费用</w:t>
      </w:r>
    </w:p>
    <w:p w14:paraId="6D6D129D">
      <w:pPr>
        <w:tabs>
          <w:tab w:val="left" w:pos="840"/>
        </w:tabs>
        <w:ind w:firstLine="480" w:firstLineChars="200"/>
        <w:rPr>
          <w:rFonts w:ascii="宋体" w:hAnsi="宋体" w:cs="宋体"/>
          <w:b/>
          <w:color w:val="000000"/>
        </w:rPr>
      </w:pPr>
      <w:r>
        <w:rPr>
          <w:rFonts w:hint="eastAsia" w:ascii="宋体" w:hAnsi="宋体" w:cs="宋体"/>
          <w:color w:val="000000"/>
        </w:rPr>
        <w:t>供应商应自愿承担与参加本次投标有关的费用。采购代理机构对供应商发生的费用不承担任何责任。</w:t>
      </w:r>
    </w:p>
    <w:p w14:paraId="333A123B">
      <w:pPr>
        <w:pStyle w:val="5"/>
        <w:tabs>
          <w:tab w:val="left" w:pos="720"/>
        </w:tabs>
        <w:ind w:left="158"/>
        <w:rPr>
          <w:rFonts w:hAnsi="宋体" w:cs="宋体"/>
          <w:color w:val="000000"/>
          <w:kern w:val="0"/>
          <w:sz w:val="28"/>
          <w:szCs w:val="28"/>
        </w:rPr>
      </w:pPr>
      <w:r>
        <w:rPr>
          <w:rFonts w:hint="eastAsia" w:hAnsi="宋体" w:cs="宋体"/>
          <w:color w:val="000000"/>
          <w:kern w:val="0"/>
          <w:sz w:val="28"/>
          <w:szCs w:val="28"/>
        </w:rPr>
        <w:t>磋商文件说明</w:t>
      </w:r>
      <w:bookmarkEnd w:id="26"/>
    </w:p>
    <w:p w14:paraId="6D169391">
      <w:pPr>
        <w:pStyle w:val="6"/>
        <w:numPr>
          <w:ilvl w:val="0"/>
          <w:numId w:val="6"/>
        </w:numPr>
        <w:spacing w:before="0" w:after="0" w:line="360" w:lineRule="auto"/>
        <w:rPr>
          <w:rFonts w:ascii="宋体" w:hAnsi="宋体" w:cs="宋体"/>
          <w:bCs w:val="0"/>
          <w:color w:val="000000"/>
        </w:rPr>
      </w:pPr>
      <w:bookmarkStart w:id="28" w:name="_Toc488673617"/>
      <w:r>
        <w:rPr>
          <w:rFonts w:hint="eastAsia" w:ascii="宋体" w:hAnsi="宋体" w:cs="宋体"/>
          <w:bCs w:val="0"/>
          <w:color w:val="000000"/>
        </w:rPr>
        <w:t>磋商文件的构成</w:t>
      </w:r>
      <w:bookmarkEnd w:id="28"/>
    </w:p>
    <w:p w14:paraId="66A4483A">
      <w:pPr>
        <w:pStyle w:val="13"/>
        <w:ind w:left="141"/>
        <w:rPr>
          <w:rFonts w:hAnsi="宋体" w:cs="宋体"/>
          <w:b/>
          <w:bCs/>
          <w:color w:val="000000"/>
          <w:sz w:val="24"/>
          <w:szCs w:val="28"/>
        </w:rPr>
      </w:pPr>
      <w:r>
        <w:rPr>
          <w:rFonts w:hint="eastAsia" w:hAnsi="宋体" w:cs="宋体"/>
          <w:b/>
          <w:bCs/>
          <w:color w:val="000000"/>
          <w:sz w:val="24"/>
          <w:szCs w:val="28"/>
        </w:rPr>
        <w:t>4.1磋商文件包括：</w:t>
      </w:r>
    </w:p>
    <w:p w14:paraId="4A0C4FC5">
      <w:pPr>
        <w:pStyle w:val="13"/>
        <w:numPr>
          <w:ilvl w:val="0"/>
          <w:numId w:val="8"/>
        </w:numPr>
        <w:rPr>
          <w:rFonts w:ascii="Arial" w:hAnsi="Arial" w:cs="Arial"/>
          <w:sz w:val="24"/>
          <w:szCs w:val="24"/>
        </w:rPr>
      </w:pPr>
      <w:r>
        <w:rPr>
          <w:rFonts w:ascii="Arial" w:hAnsi="Arial" w:cs="Arial"/>
          <w:sz w:val="24"/>
          <w:szCs w:val="24"/>
        </w:rPr>
        <w:t>磋商邀请；</w:t>
      </w:r>
    </w:p>
    <w:p w14:paraId="56B57739">
      <w:pPr>
        <w:pStyle w:val="13"/>
        <w:numPr>
          <w:ilvl w:val="0"/>
          <w:numId w:val="8"/>
        </w:numPr>
        <w:rPr>
          <w:rFonts w:ascii="Arial" w:hAnsi="Arial" w:cs="Arial"/>
          <w:sz w:val="24"/>
          <w:szCs w:val="24"/>
        </w:rPr>
      </w:pPr>
      <w:r>
        <w:rPr>
          <w:rFonts w:ascii="Arial" w:hAnsi="Arial" w:cs="Arial"/>
          <w:sz w:val="24"/>
          <w:szCs w:val="24"/>
        </w:rPr>
        <w:t>磋商供应商须知前附表；</w:t>
      </w:r>
    </w:p>
    <w:p w14:paraId="4D83B9E1">
      <w:pPr>
        <w:pStyle w:val="13"/>
        <w:numPr>
          <w:ilvl w:val="0"/>
          <w:numId w:val="8"/>
        </w:numPr>
        <w:rPr>
          <w:rFonts w:ascii="Arial" w:hAnsi="Arial" w:cs="Arial"/>
          <w:sz w:val="24"/>
          <w:szCs w:val="24"/>
        </w:rPr>
      </w:pPr>
      <w:r>
        <w:rPr>
          <w:rFonts w:ascii="Arial" w:hAnsi="Arial" w:cs="Arial"/>
          <w:sz w:val="24"/>
          <w:szCs w:val="24"/>
        </w:rPr>
        <w:t>磋商供应商须知；</w:t>
      </w:r>
    </w:p>
    <w:p w14:paraId="61FC4F94">
      <w:pPr>
        <w:pStyle w:val="13"/>
        <w:numPr>
          <w:ilvl w:val="0"/>
          <w:numId w:val="8"/>
        </w:numPr>
        <w:rPr>
          <w:rFonts w:ascii="Arial" w:hAnsi="Arial" w:cs="Arial"/>
          <w:sz w:val="24"/>
          <w:szCs w:val="24"/>
        </w:rPr>
      </w:pPr>
      <w:r>
        <w:rPr>
          <w:rFonts w:ascii="Arial" w:hAnsi="Arial" w:cs="Arial"/>
          <w:sz w:val="24"/>
          <w:szCs w:val="24"/>
        </w:rPr>
        <w:t>青海省政府采购合同文本样式；</w:t>
      </w:r>
    </w:p>
    <w:p w14:paraId="208F3282">
      <w:pPr>
        <w:pStyle w:val="13"/>
        <w:numPr>
          <w:ilvl w:val="0"/>
          <w:numId w:val="8"/>
        </w:numPr>
        <w:rPr>
          <w:rFonts w:ascii="Arial" w:hAnsi="Arial" w:cs="Arial"/>
          <w:sz w:val="24"/>
          <w:szCs w:val="24"/>
        </w:rPr>
      </w:pPr>
      <w:r>
        <w:rPr>
          <w:rFonts w:ascii="Arial" w:hAnsi="Arial" w:cs="Arial"/>
          <w:sz w:val="24"/>
          <w:szCs w:val="24"/>
        </w:rPr>
        <w:t>磋商响应文件格式；</w:t>
      </w:r>
    </w:p>
    <w:p w14:paraId="27A49D7D">
      <w:pPr>
        <w:pStyle w:val="13"/>
        <w:numPr>
          <w:ilvl w:val="0"/>
          <w:numId w:val="8"/>
        </w:numPr>
        <w:rPr>
          <w:rFonts w:ascii="Arial" w:hAnsi="Arial" w:cs="Arial"/>
          <w:sz w:val="24"/>
          <w:szCs w:val="24"/>
        </w:rPr>
      </w:pPr>
      <w:r>
        <w:rPr>
          <w:rFonts w:ascii="Arial" w:hAnsi="Arial" w:cs="Arial"/>
          <w:sz w:val="24"/>
          <w:szCs w:val="24"/>
        </w:rPr>
        <w:t>采购项目要求及技术参数；</w:t>
      </w:r>
    </w:p>
    <w:p w14:paraId="05F077A1">
      <w:pPr>
        <w:pStyle w:val="13"/>
        <w:numPr>
          <w:ilvl w:val="0"/>
          <w:numId w:val="8"/>
        </w:numPr>
        <w:rPr>
          <w:rFonts w:ascii="Arial" w:hAnsi="Arial" w:cs="Arial"/>
          <w:sz w:val="24"/>
          <w:szCs w:val="24"/>
        </w:rPr>
      </w:pPr>
      <w:r>
        <w:rPr>
          <w:rFonts w:ascii="Arial" w:hAnsi="Arial" w:cs="Arial"/>
          <w:sz w:val="24"/>
          <w:szCs w:val="24"/>
        </w:rPr>
        <w:t>采购过程中发生的澄清、变更和补充文件；</w:t>
      </w:r>
    </w:p>
    <w:p w14:paraId="3B4667D9">
      <w:pPr>
        <w:pStyle w:val="13"/>
        <w:ind w:left="141"/>
        <w:rPr>
          <w:rFonts w:hAnsi="宋体" w:cs="宋体"/>
          <w:color w:val="000000"/>
          <w:sz w:val="24"/>
          <w:szCs w:val="28"/>
        </w:rPr>
      </w:pPr>
      <w:r>
        <w:rPr>
          <w:rFonts w:hint="eastAsia" w:hAnsi="宋体" w:cs="宋体"/>
          <w:color w:val="000000"/>
          <w:sz w:val="24"/>
          <w:szCs w:val="24"/>
        </w:rPr>
        <w:t>4.2磋商供应商应认真阅读磋商文件中列示的事项、格式、条款和要求等内容。如果磋商供应商未按磋商文件要求提交全部资料，或者对磋商文件未作出实质性响应的，根据相关法规要求，此类磋商将被拒绝（视为无效投标）。</w:t>
      </w:r>
    </w:p>
    <w:p w14:paraId="723F3F9E">
      <w:pPr>
        <w:pStyle w:val="6"/>
        <w:numPr>
          <w:ilvl w:val="0"/>
          <w:numId w:val="6"/>
        </w:numPr>
        <w:spacing w:before="0" w:after="0" w:line="360" w:lineRule="auto"/>
        <w:rPr>
          <w:rFonts w:ascii="宋体" w:hAnsi="宋体" w:cs="宋体"/>
          <w:bCs w:val="0"/>
          <w:color w:val="000000"/>
        </w:rPr>
      </w:pPr>
      <w:bookmarkStart w:id="29" w:name="_Toc488673618"/>
      <w:r>
        <w:rPr>
          <w:rFonts w:hint="eastAsia" w:ascii="宋体" w:hAnsi="宋体" w:cs="宋体"/>
          <w:bCs w:val="0"/>
          <w:color w:val="000000"/>
        </w:rPr>
        <w:t>磋商文件的质疑</w:t>
      </w:r>
      <w:bookmarkEnd w:id="29"/>
    </w:p>
    <w:p w14:paraId="562501C2">
      <w:pPr>
        <w:pStyle w:val="13"/>
        <w:ind w:left="141"/>
        <w:rPr>
          <w:rFonts w:hAnsi="宋体" w:cs="宋体"/>
          <w:color w:val="000000"/>
          <w:sz w:val="24"/>
          <w:szCs w:val="28"/>
        </w:rPr>
      </w:pPr>
      <w:r>
        <w:rPr>
          <w:rFonts w:hint="eastAsia" w:hAnsi="宋体" w:cs="宋体"/>
          <w:color w:val="000000"/>
          <w:sz w:val="24"/>
          <w:szCs w:val="28"/>
        </w:rPr>
        <w:t>5.1参加磋商的磋商供应商认为磋商文件、</w:t>
      </w:r>
      <w:r>
        <w:rPr>
          <w:rFonts w:hint="eastAsia" w:hAnsi="宋体" w:cs="宋体"/>
          <w:color w:val="000000"/>
          <w:sz w:val="24"/>
          <w:szCs w:val="24"/>
        </w:rPr>
        <w:t>磋商</w:t>
      </w:r>
      <w:r>
        <w:rPr>
          <w:rFonts w:hint="eastAsia" w:hAnsi="宋体" w:cs="宋体"/>
          <w:color w:val="000000"/>
          <w:sz w:val="24"/>
          <w:szCs w:val="28"/>
        </w:rPr>
        <w:t>活动和成交、成交结果使自己的权益受到损害的，可以在知道或者应知其权益受到损害之日起7个工作日内以书面形式（如信件、传真等）向采购单位或者采购代理机构提出质疑，不接受匿名质疑。采购单位或采购代理机构在收到磋商供应商的书面质疑后7个工作日内予以答复，并将答复事宜在青海政府采购网等媒体上发布公告，告知本项目的所有潜在磋商供应商。</w:t>
      </w:r>
    </w:p>
    <w:p w14:paraId="149DF7A8">
      <w:pPr>
        <w:pStyle w:val="13"/>
        <w:ind w:firstLine="240" w:firstLineChars="100"/>
        <w:rPr>
          <w:rFonts w:hAnsi="宋体" w:cs="宋体"/>
          <w:color w:val="000000"/>
          <w:sz w:val="24"/>
          <w:szCs w:val="28"/>
        </w:rPr>
      </w:pPr>
      <w:r>
        <w:rPr>
          <w:rFonts w:hint="eastAsia" w:hAnsi="宋体" w:cs="宋体"/>
          <w:color w:val="000000"/>
          <w:sz w:val="24"/>
          <w:szCs w:val="28"/>
        </w:rPr>
        <w:t>5.2参与采购活动的磋商人对评审过程或者结果提出质疑的，采购人或采购代理机构可以组织原磋商小组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0D8355EF">
      <w:pPr>
        <w:pStyle w:val="13"/>
        <w:ind w:left="141"/>
        <w:rPr>
          <w:rFonts w:hAnsi="宋体" w:cs="宋体"/>
          <w:color w:val="000000"/>
          <w:sz w:val="24"/>
          <w:szCs w:val="28"/>
        </w:rPr>
      </w:pPr>
      <w:r>
        <w:rPr>
          <w:rFonts w:hint="eastAsia" w:hAnsi="宋体" w:cs="宋体"/>
          <w:color w:val="000000"/>
          <w:sz w:val="24"/>
          <w:szCs w:val="28"/>
        </w:rPr>
        <w:t>5.3质疑时效期间的计算</w:t>
      </w:r>
    </w:p>
    <w:p w14:paraId="3FEDA6B6">
      <w:pPr>
        <w:pStyle w:val="13"/>
        <w:numPr>
          <w:ilvl w:val="0"/>
          <w:numId w:val="9"/>
        </w:numPr>
        <w:ind w:left="139" w:leftChars="0" w:firstLine="3" w:firstLineChars="0"/>
        <w:rPr>
          <w:rFonts w:hAnsi="宋体" w:cs="宋体"/>
          <w:color w:val="000000"/>
          <w:sz w:val="24"/>
          <w:szCs w:val="24"/>
        </w:rPr>
      </w:pPr>
      <w:r>
        <w:rPr>
          <w:rFonts w:hint="eastAsia" w:hAnsi="宋体" w:cs="宋体"/>
          <w:color w:val="000000"/>
          <w:sz w:val="24"/>
          <w:szCs w:val="24"/>
        </w:rPr>
        <w:t>对可以质疑的磋商文件提出质疑的，为收到磋商文件之日或磋商文件公告期限届满之日；</w:t>
      </w:r>
    </w:p>
    <w:p w14:paraId="687FA54A">
      <w:pPr>
        <w:pStyle w:val="13"/>
        <w:numPr>
          <w:ilvl w:val="0"/>
          <w:numId w:val="9"/>
        </w:numPr>
        <w:ind w:left="139" w:leftChars="0" w:firstLine="3" w:firstLineChars="0"/>
        <w:rPr>
          <w:rFonts w:hAnsi="宋体" w:cs="宋体"/>
          <w:color w:val="000000"/>
          <w:sz w:val="24"/>
          <w:szCs w:val="24"/>
        </w:rPr>
      </w:pPr>
      <w:r>
        <w:rPr>
          <w:rFonts w:hint="eastAsia" w:hAnsi="宋体" w:cs="宋体"/>
          <w:color w:val="000000"/>
          <w:sz w:val="24"/>
          <w:szCs w:val="24"/>
        </w:rPr>
        <w:t>对磋商过程提出质疑的，为磋商程序各环节结束之日；</w:t>
      </w:r>
    </w:p>
    <w:p w14:paraId="2E7A0A40">
      <w:pPr>
        <w:pStyle w:val="13"/>
        <w:numPr>
          <w:ilvl w:val="0"/>
          <w:numId w:val="9"/>
        </w:numPr>
        <w:ind w:left="139" w:leftChars="0" w:firstLine="3" w:firstLineChars="0"/>
        <w:rPr>
          <w:rFonts w:hAnsi="宋体" w:cs="宋体"/>
          <w:color w:val="000000"/>
          <w:sz w:val="24"/>
          <w:szCs w:val="24"/>
        </w:rPr>
      </w:pPr>
      <w:r>
        <w:rPr>
          <w:rFonts w:hint="eastAsia" w:hAnsi="宋体" w:cs="宋体"/>
          <w:color w:val="000000"/>
          <w:sz w:val="24"/>
          <w:szCs w:val="24"/>
        </w:rPr>
        <w:t>对成交结果提出质疑的，为成交公告期限届满之日。</w:t>
      </w:r>
    </w:p>
    <w:p w14:paraId="64B2D55B">
      <w:pPr>
        <w:pStyle w:val="6"/>
        <w:numPr>
          <w:ilvl w:val="0"/>
          <w:numId w:val="6"/>
        </w:numPr>
        <w:spacing w:before="0" w:after="0" w:line="360" w:lineRule="auto"/>
        <w:rPr>
          <w:rFonts w:ascii="宋体" w:hAnsi="宋体" w:cs="宋体"/>
          <w:b w:val="0"/>
          <w:color w:val="000000"/>
        </w:rPr>
      </w:pPr>
      <w:r>
        <w:rPr>
          <w:rFonts w:hint="eastAsia" w:ascii="宋体" w:hAnsi="宋体" w:cs="宋体"/>
          <w:color w:val="000000"/>
          <w:szCs w:val="24"/>
        </w:rPr>
        <w:t>磋商文件的澄清、修改</w:t>
      </w:r>
    </w:p>
    <w:p w14:paraId="7EADBC7D">
      <w:pPr>
        <w:pStyle w:val="13"/>
        <w:ind w:left="141"/>
        <w:rPr>
          <w:rFonts w:hAnsi="宋体" w:cs="宋体"/>
          <w:color w:val="000000"/>
          <w:sz w:val="24"/>
          <w:szCs w:val="28"/>
        </w:rPr>
      </w:pPr>
      <w:r>
        <w:rPr>
          <w:rFonts w:hint="eastAsia" w:hAnsi="宋体" w:cs="宋体"/>
          <w:color w:val="000000"/>
          <w:sz w:val="24"/>
          <w:szCs w:val="28"/>
        </w:rPr>
        <w:t>6.1采购代理机构可以对已发出的磋商文件进行必要的澄清或者修改，但不得改变采购标的和资格条件。澄清或者修改应当在原公告发布媒体上发布澄清公告。澄清或者修改的内容为磋商文件的组成部分。</w:t>
      </w:r>
    </w:p>
    <w:p w14:paraId="3BBE2095">
      <w:pPr>
        <w:pStyle w:val="13"/>
        <w:ind w:left="141"/>
        <w:rPr>
          <w:rFonts w:hAnsi="宋体" w:cs="宋体"/>
          <w:color w:val="000000"/>
          <w:sz w:val="24"/>
          <w:szCs w:val="28"/>
        </w:rPr>
      </w:pPr>
      <w:r>
        <w:rPr>
          <w:rFonts w:hint="eastAsia" w:hAnsi="宋体" w:cs="宋体"/>
          <w:color w:val="000000"/>
          <w:sz w:val="24"/>
          <w:szCs w:val="28"/>
        </w:rPr>
        <w:t>6.2采购代理机构对已发出的磋商文件进行必要的澄清或者修改的，澄清或者修改的内容可能影响磋商文件编制的，在磋商文件要求提交磋商响应文件截止时间5日前，在青海政府采购网、青海省电子招标投标公共服务平台等媒体上发布公告。不足5日的，顺延提交磋商文件的截止时间。该澄清或者修改的内容为磋商文件的组成部分；</w:t>
      </w:r>
    </w:p>
    <w:p w14:paraId="7B10F576">
      <w:pPr>
        <w:pStyle w:val="13"/>
        <w:ind w:left="141"/>
        <w:rPr>
          <w:rFonts w:hAnsi="宋体" w:cs="宋体"/>
          <w:color w:val="000000"/>
          <w:sz w:val="24"/>
          <w:szCs w:val="28"/>
        </w:rPr>
      </w:pPr>
      <w:r>
        <w:rPr>
          <w:rFonts w:hint="eastAsia" w:hAnsi="宋体" w:cs="宋体"/>
          <w:color w:val="000000"/>
          <w:sz w:val="24"/>
          <w:szCs w:val="28"/>
        </w:rPr>
        <w:t>6.3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331199A6">
      <w:pPr>
        <w:pStyle w:val="5"/>
        <w:tabs>
          <w:tab w:val="left" w:pos="720"/>
        </w:tabs>
        <w:ind w:left="158"/>
        <w:rPr>
          <w:rFonts w:hAnsi="宋体" w:cs="宋体"/>
          <w:color w:val="000000"/>
          <w:sz w:val="28"/>
          <w:szCs w:val="28"/>
        </w:rPr>
      </w:pPr>
      <w:bookmarkStart w:id="30" w:name="_Toc29003"/>
      <w:r>
        <w:rPr>
          <w:rFonts w:hint="eastAsia" w:hAnsi="宋体" w:cs="宋体"/>
          <w:color w:val="000000"/>
          <w:sz w:val="28"/>
          <w:szCs w:val="28"/>
        </w:rPr>
        <w:t>磋商响应文件的编写</w:t>
      </w:r>
      <w:bookmarkEnd w:id="30"/>
    </w:p>
    <w:p w14:paraId="33D18169">
      <w:pPr>
        <w:pStyle w:val="6"/>
        <w:numPr>
          <w:ilvl w:val="0"/>
          <w:numId w:val="6"/>
        </w:numPr>
        <w:spacing w:before="0" w:after="0" w:line="360" w:lineRule="auto"/>
        <w:rPr>
          <w:rFonts w:ascii="宋体" w:hAnsi="宋体" w:cs="宋体"/>
          <w:bCs w:val="0"/>
          <w:color w:val="000000"/>
          <w:sz w:val="24"/>
          <w:szCs w:val="24"/>
        </w:rPr>
      </w:pPr>
      <w:bookmarkStart w:id="31" w:name="_Toc488673621"/>
      <w:r>
        <w:rPr>
          <w:rFonts w:hint="eastAsia" w:ascii="宋体" w:hAnsi="宋体" w:cs="宋体"/>
          <w:bCs w:val="0"/>
          <w:color w:val="000000"/>
          <w:sz w:val="24"/>
          <w:szCs w:val="24"/>
        </w:rPr>
        <w:t>磋商响应文件的语言及度量衡单位</w:t>
      </w:r>
      <w:bookmarkEnd w:id="31"/>
    </w:p>
    <w:p w14:paraId="2AF9A65E">
      <w:pPr>
        <w:pStyle w:val="13"/>
        <w:rPr>
          <w:rFonts w:hAnsi="宋体" w:cs="宋体"/>
          <w:color w:val="000000"/>
          <w:sz w:val="24"/>
          <w:szCs w:val="28"/>
        </w:rPr>
      </w:pPr>
      <w:r>
        <w:rPr>
          <w:rFonts w:hint="eastAsia" w:hAnsi="宋体" w:cs="宋体"/>
          <w:color w:val="000000"/>
          <w:sz w:val="24"/>
          <w:szCs w:val="28"/>
        </w:rPr>
        <w:t>7.1磋商供应商提交的磋商响应文件以及磋商供应商与采购代理机构就此磋商发生的所有来往函电均应使用简体中文；</w:t>
      </w:r>
    </w:p>
    <w:p w14:paraId="452F5069">
      <w:pPr>
        <w:pStyle w:val="13"/>
        <w:rPr>
          <w:rFonts w:hAnsi="宋体" w:cs="宋体"/>
          <w:color w:val="000000"/>
          <w:sz w:val="24"/>
          <w:szCs w:val="28"/>
        </w:rPr>
      </w:pPr>
      <w:r>
        <w:rPr>
          <w:rFonts w:hint="eastAsia" w:hAnsi="宋体" w:cs="宋体"/>
          <w:color w:val="000000"/>
          <w:sz w:val="24"/>
          <w:szCs w:val="28"/>
        </w:rPr>
        <w:t>7.2除磋商文件中另有规定外，磋商文件所使用的度量衡单位，均须采用国家法定计量单位；</w:t>
      </w:r>
    </w:p>
    <w:p w14:paraId="617C39E8">
      <w:pPr>
        <w:pStyle w:val="13"/>
        <w:rPr>
          <w:rFonts w:hAnsi="宋体" w:cs="宋体"/>
          <w:color w:val="000000"/>
          <w:sz w:val="24"/>
          <w:szCs w:val="28"/>
        </w:rPr>
      </w:pPr>
      <w:r>
        <w:rPr>
          <w:rFonts w:hint="eastAsia" w:hAnsi="宋体" w:cs="宋体"/>
          <w:color w:val="000000"/>
          <w:sz w:val="24"/>
          <w:szCs w:val="28"/>
        </w:rPr>
        <w:t>7.3附有外文资料的须翻译成中文，并加盖磋商供应商公章，如果翻译的中文资料与外文资料出现差异与矛盾时，以中文为准，其准确性由磋商供应商负责。</w:t>
      </w:r>
    </w:p>
    <w:p w14:paraId="63572E7C">
      <w:pPr>
        <w:pStyle w:val="6"/>
        <w:numPr>
          <w:ilvl w:val="0"/>
          <w:numId w:val="6"/>
        </w:numPr>
        <w:spacing w:before="0" w:after="0" w:line="360" w:lineRule="auto"/>
        <w:rPr>
          <w:rFonts w:ascii="宋体" w:hAnsi="宋体" w:cs="宋体"/>
          <w:bCs w:val="0"/>
          <w:color w:val="000000"/>
        </w:rPr>
      </w:pPr>
      <w:bookmarkStart w:id="32" w:name="_Toc488673622"/>
      <w:r>
        <w:rPr>
          <w:rFonts w:hint="eastAsia" w:ascii="宋体" w:hAnsi="宋体" w:cs="宋体"/>
          <w:bCs w:val="0"/>
          <w:color w:val="000000"/>
        </w:rPr>
        <w:t>磋商报价及币种</w:t>
      </w:r>
      <w:bookmarkEnd w:id="32"/>
    </w:p>
    <w:p w14:paraId="51E6E1A9">
      <w:pPr>
        <w:ind w:firstLine="240" w:firstLineChars="100"/>
        <w:rPr>
          <w:rFonts w:hAnsi="宋体" w:cs="宋体"/>
          <w:szCs w:val="28"/>
        </w:rPr>
      </w:pPr>
      <w:r>
        <w:rPr>
          <w:rFonts w:hint="eastAsia" w:hAnsi="宋体" w:cs="宋体"/>
          <w:color w:val="000000"/>
          <w:szCs w:val="28"/>
        </w:rPr>
        <w:t>8.1磋商报价为磋商总价。</w:t>
      </w:r>
      <w:r>
        <w:rPr>
          <w:rFonts w:hint="eastAsia" w:hAnsi="宋体" w:cs="宋体"/>
          <w:szCs w:val="28"/>
        </w:rPr>
        <w:t>磋商报价必须包括：</w:t>
      </w:r>
      <w:r>
        <w:rPr>
          <w:rFonts w:hint="eastAsia" w:hAnsi="宋体" w:cs="宋体"/>
          <w:szCs w:val="28"/>
          <w:lang w:eastAsia="zh-CN"/>
        </w:rPr>
        <w:t>人员工资、保险、电费、 水费、药剂费、污泥处置及外用费、设备维护保养费、维修及更换零配件费、办公耗材费、 网络通讯费、化验费、取暖费、税收、招标代理费以及所有有关的管理成本和其他不可预见费等全部费用</w:t>
      </w:r>
      <w:r>
        <w:rPr>
          <w:rFonts w:hint="eastAsia" w:hAnsi="宋体" w:cs="宋体"/>
          <w:szCs w:val="28"/>
        </w:rPr>
        <w:t>；磋商报价应注明有效期，有效期应与磋商有效期一致；</w:t>
      </w:r>
    </w:p>
    <w:p w14:paraId="25772ED2">
      <w:pPr>
        <w:pStyle w:val="13"/>
        <w:ind w:firstLine="240" w:firstLineChars="100"/>
        <w:rPr>
          <w:rFonts w:hAnsi="宋体" w:cs="宋体"/>
          <w:color w:val="000000"/>
          <w:sz w:val="24"/>
          <w:szCs w:val="28"/>
        </w:rPr>
      </w:pPr>
      <w:r>
        <w:rPr>
          <w:rFonts w:hint="eastAsia" w:hAnsi="宋体" w:cs="宋体"/>
          <w:color w:val="000000"/>
          <w:sz w:val="24"/>
          <w:szCs w:val="28"/>
        </w:rPr>
        <w:t>8.2磋商供应商应根据磋商文件规定的格式完整填写所有内容，并保证所提供的全部资料真实可靠，自愿承担相应责任；</w:t>
      </w:r>
    </w:p>
    <w:p w14:paraId="26AC5AC8">
      <w:pPr>
        <w:pStyle w:val="13"/>
        <w:ind w:firstLine="240" w:firstLineChars="100"/>
        <w:rPr>
          <w:rFonts w:hAnsi="宋体" w:cs="宋体"/>
          <w:color w:val="000000"/>
          <w:sz w:val="24"/>
          <w:szCs w:val="28"/>
        </w:rPr>
      </w:pPr>
      <w:r>
        <w:rPr>
          <w:rFonts w:hint="eastAsia" w:hAnsi="宋体" w:cs="宋体"/>
          <w:color w:val="000000"/>
          <w:sz w:val="24"/>
          <w:szCs w:val="28"/>
        </w:rPr>
        <w:t>8.3磋商报价有效期与磋商有效期一致。</w:t>
      </w:r>
    </w:p>
    <w:p w14:paraId="56876F2F">
      <w:pPr>
        <w:pStyle w:val="13"/>
        <w:ind w:firstLine="240" w:firstLineChars="100"/>
        <w:rPr>
          <w:rFonts w:hAnsi="宋体" w:cs="宋体"/>
          <w:color w:val="000000"/>
          <w:sz w:val="24"/>
          <w:szCs w:val="28"/>
        </w:rPr>
      </w:pPr>
      <w:r>
        <w:rPr>
          <w:rFonts w:hint="eastAsia" w:hAnsi="宋体" w:cs="宋体"/>
          <w:color w:val="000000"/>
          <w:sz w:val="24"/>
          <w:szCs w:val="28"/>
        </w:rPr>
        <w:t>8.4磋商报价为闭口价，即成交后在合同有效期内价格不变；</w:t>
      </w:r>
    </w:p>
    <w:p w14:paraId="63326AB8">
      <w:pPr>
        <w:pStyle w:val="13"/>
        <w:ind w:firstLine="240" w:firstLineChars="100"/>
        <w:rPr>
          <w:rFonts w:hAnsi="宋体" w:cs="宋体"/>
          <w:color w:val="000000"/>
          <w:sz w:val="24"/>
          <w:szCs w:val="28"/>
        </w:rPr>
      </w:pPr>
      <w:r>
        <w:rPr>
          <w:rFonts w:hint="eastAsia" w:hAnsi="宋体" w:cs="宋体"/>
          <w:color w:val="000000"/>
          <w:sz w:val="24"/>
          <w:szCs w:val="28"/>
        </w:rPr>
        <w:t>8.5磋商币种为人民币。</w:t>
      </w:r>
    </w:p>
    <w:p w14:paraId="19C6BD1A">
      <w:pPr>
        <w:pStyle w:val="6"/>
        <w:spacing w:before="0" w:after="0" w:line="360" w:lineRule="auto"/>
        <w:rPr>
          <w:rFonts w:ascii="Arial" w:hAnsi="Arial" w:cs="Arial"/>
          <w:bCs w:val="0"/>
        </w:rPr>
      </w:pPr>
      <w:r>
        <w:rPr>
          <w:rFonts w:hint="eastAsia" w:ascii="宋体" w:hAnsi="宋体" w:cs="宋体"/>
          <w:bCs w:val="0"/>
          <w:color w:val="000000"/>
        </w:rPr>
        <w:t>9、</w:t>
      </w:r>
      <w:r>
        <w:rPr>
          <w:rFonts w:ascii="Arial" w:hAnsi="Arial" w:cs="Arial"/>
          <w:bCs w:val="0"/>
        </w:rPr>
        <w:t>磋商响应文件的编制要求</w:t>
      </w:r>
    </w:p>
    <w:p w14:paraId="106CD276">
      <w:r>
        <w:rPr>
          <w:rFonts w:hint="eastAsia" w:ascii="Arial" w:hAnsi="Arial" w:cs="Arial"/>
          <w:kern w:val="0"/>
          <w:lang w:val="zh-CN"/>
        </w:rPr>
        <w:t>9.1.供应商应按照磋商文件所提供的响应文件格式，分别填写磋商文件第五部分的内容，并由法定代表人或委托代理人按要求签字、加盖公章。</w:t>
      </w:r>
    </w:p>
    <w:p w14:paraId="7BD1689E">
      <w:pPr>
        <w:pStyle w:val="6"/>
        <w:spacing w:before="0" w:after="0" w:line="360" w:lineRule="auto"/>
        <w:rPr>
          <w:rFonts w:ascii="宋体" w:hAnsi="宋体" w:cs="宋体"/>
          <w:bCs w:val="0"/>
          <w:color w:val="000000"/>
          <w:sz w:val="24"/>
          <w:szCs w:val="24"/>
        </w:rPr>
      </w:pPr>
      <w:bookmarkStart w:id="33" w:name="_Toc488673623"/>
      <w:r>
        <w:rPr>
          <w:rFonts w:hint="eastAsia" w:ascii="宋体" w:hAnsi="宋体" w:cs="宋体"/>
          <w:bCs w:val="0"/>
          <w:color w:val="000000"/>
          <w:sz w:val="24"/>
          <w:szCs w:val="24"/>
        </w:rPr>
        <w:t>10、磋商保证金</w:t>
      </w:r>
      <w:bookmarkEnd w:id="33"/>
    </w:p>
    <w:p w14:paraId="1C6FAEC2">
      <w:pPr>
        <w:pStyle w:val="13"/>
        <w:ind w:firstLine="240" w:firstLineChars="100"/>
        <w:rPr>
          <w:rFonts w:hAnsi="宋体" w:cs="宋体"/>
          <w:color w:val="000000"/>
          <w:sz w:val="24"/>
          <w:szCs w:val="24"/>
        </w:rPr>
      </w:pPr>
      <w:r>
        <w:rPr>
          <w:rFonts w:hint="eastAsia" w:hAnsi="宋体" w:cs="宋体"/>
          <w:color w:val="000000"/>
          <w:sz w:val="24"/>
          <w:szCs w:val="24"/>
        </w:rPr>
        <w:t>10.1磋商供应商应将磋商保证金缴纳证明作为磋商文件的内容一并提供。缴纳的磋商保证金用于因磋商供应商的行为使本次磋商活动受到损失的抵项；</w:t>
      </w:r>
    </w:p>
    <w:p w14:paraId="4A9D0163">
      <w:pPr>
        <w:pStyle w:val="13"/>
        <w:ind w:left="141" w:firstLine="240" w:firstLineChars="100"/>
        <w:rPr>
          <w:rFonts w:hAnsi="宋体" w:cs="宋体"/>
          <w:color w:val="000000"/>
          <w:sz w:val="24"/>
          <w:szCs w:val="24"/>
        </w:rPr>
      </w:pPr>
      <w:r>
        <w:rPr>
          <w:rFonts w:hint="eastAsia" w:hAnsi="宋体" w:cs="宋体"/>
          <w:color w:val="000000"/>
          <w:sz w:val="24"/>
          <w:szCs w:val="24"/>
        </w:rPr>
        <w:t>10.2磋商人须在磋商截止期前按以下要求交纳磋商保证金（磋商保证金应当从其基本账户汇出，磋商响应文件中须附基本账户</w:t>
      </w:r>
      <w:r>
        <w:rPr>
          <w:rFonts w:hint="eastAsia" w:ascii="Arial" w:hAnsi="Arial" w:cs="Arial"/>
          <w:color w:val="000000"/>
          <w:sz w:val="24"/>
        </w:rPr>
        <w:t>信息</w:t>
      </w:r>
      <w:r>
        <w:rPr>
          <w:rFonts w:hint="eastAsia" w:hAnsi="宋体" w:cs="宋体"/>
          <w:color w:val="000000"/>
          <w:sz w:val="24"/>
          <w:szCs w:val="24"/>
        </w:rPr>
        <w:t>）：</w:t>
      </w:r>
    </w:p>
    <w:p w14:paraId="79D7D5D2">
      <w:pPr>
        <w:rPr>
          <w:rFonts w:hint="eastAsia" w:ascii="宋体" w:hAnsi="宋体" w:cs="宋体"/>
          <w:b/>
          <w:bCs/>
          <w:color w:val="000000"/>
          <w:lang w:val="en-US" w:eastAsia="zh-CN"/>
        </w:rPr>
      </w:pPr>
      <w:r>
        <w:rPr>
          <w:rFonts w:hint="eastAsia" w:ascii="宋体" w:hAnsi="宋体" w:cs="宋体"/>
          <w:color w:val="000000"/>
        </w:rPr>
        <w:t>磋商保证金金额：</w:t>
      </w:r>
      <w:r>
        <w:rPr>
          <w:rFonts w:hint="eastAsia" w:ascii="宋体" w:hAnsi="宋体" w:cs="宋体"/>
          <w:b/>
          <w:bCs/>
          <w:color w:val="000000"/>
          <w:lang w:val="en-US" w:eastAsia="zh-CN"/>
        </w:rPr>
        <w:t>无。</w:t>
      </w:r>
    </w:p>
    <w:p w14:paraId="1439A53A">
      <w:pPr>
        <w:rPr>
          <w:rFonts w:ascii="宋体" w:hAnsi="宋体" w:cs="宋体"/>
          <w:bCs/>
          <w:color w:val="000000"/>
        </w:rPr>
      </w:pPr>
      <w:r>
        <w:rPr>
          <w:rFonts w:hint="eastAsia" w:ascii="宋体" w:hAnsi="宋体" w:cs="宋体"/>
          <w:bCs/>
          <w:color w:val="000000"/>
        </w:rPr>
        <w:t>缴纳磋商保证金时须注明此次项目编号及项目名称（可简写）</w:t>
      </w:r>
    </w:p>
    <w:p w14:paraId="0179F718">
      <w:pPr>
        <w:rPr>
          <w:rFonts w:hint="eastAsia" w:ascii="Arial" w:hAnsi="Arial" w:cs="Arial"/>
          <w:b/>
          <w:bCs/>
          <w:color w:val="000000"/>
        </w:rPr>
      </w:pPr>
      <w:r>
        <w:rPr>
          <w:rFonts w:hint="eastAsia" w:ascii="Arial" w:hAnsi="Arial" w:cs="Arial"/>
          <w:b/>
          <w:bCs/>
          <w:color w:val="000000"/>
        </w:rPr>
        <w:t>账户名：</w:t>
      </w:r>
      <w:r>
        <w:rPr>
          <w:rFonts w:hint="eastAsia" w:ascii="Arial" w:hAnsi="Arial" w:cs="Arial"/>
          <w:b/>
          <w:bCs/>
          <w:color w:val="000000"/>
          <w:lang w:eastAsia="zh-CN"/>
        </w:rPr>
        <w:t>青海鹏杰工程项目管理有限公司</w:t>
      </w:r>
    </w:p>
    <w:p w14:paraId="617EA21C">
      <w:pPr>
        <w:rPr>
          <w:rFonts w:hint="eastAsia" w:ascii="Arial" w:hAnsi="Arial" w:cs="Arial"/>
          <w:b/>
          <w:bCs/>
          <w:color w:val="000000"/>
          <w:lang w:eastAsia="zh-CN"/>
        </w:rPr>
      </w:pPr>
      <w:r>
        <w:rPr>
          <w:rFonts w:hint="eastAsia" w:ascii="Arial" w:hAnsi="Arial" w:cs="Arial"/>
          <w:b/>
          <w:bCs/>
          <w:color w:val="000000"/>
        </w:rPr>
        <w:t>开户行：</w:t>
      </w:r>
      <w:r>
        <w:rPr>
          <w:rFonts w:hint="eastAsia" w:ascii="Arial" w:hAnsi="Arial" w:cs="Arial"/>
          <w:b/>
          <w:bCs/>
          <w:color w:val="000000"/>
          <w:lang w:eastAsia="zh-CN"/>
        </w:rPr>
        <w:t>中国工商银行股份有限公司西宁文汇路支行</w:t>
      </w:r>
    </w:p>
    <w:p w14:paraId="0FA21870">
      <w:pPr>
        <w:rPr>
          <w:rFonts w:hint="eastAsia" w:ascii="Arial" w:hAnsi="Arial" w:cs="Arial"/>
          <w:b/>
          <w:bCs/>
          <w:color w:val="000000"/>
          <w:lang w:eastAsia="zh-CN"/>
        </w:rPr>
      </w:pPr>
      <w:r>
        <w:rPr>
          <w:rFonts w:hint="eastAsia" w:ascii="Arial" w:hAnsi="Arial" w:cs="Arial"/>
          <w:b/>
          <w:bCs/>
          <w:color w:val="000000"/>
        </w:rPr>
        <w:t>账 号：</w:t>
      </w:r>
      <w:r>
        <w:rPr>
          <w:rFonts w:hint="eastAsia" w:ascii="Arial" w:hAnsi="Arial" w:cs="Arial"/>
          <w:b/>
          <w:bCs/>
          <w:color w:val="000000"/>
          <w:lang w:eastAsia="zh-CN"/>
        </w:rPr>
        <w:t>2806027909100025994</w:t>
      </w:r>
    </w:p>
    <w:p w14:paraId="1B0BC9FA">
      <w:pPr>
        <w:rPr>
          <w:rFonts w:ascii="Arial" w:hAnsi="Arial" w:cs="Arial"/>
          <w:color w:val="000000"/>
        </w:rPr>
      </w:pPr>
      <w:r>
        <w:rPr>
          <w:rFonts w:ascii="Arial" w:hAnsi="Arial" w:cs="Arial"/>
          <w:color w:val="000000"/>
        </w:rPr>
        <w:t>交纳时间：</w:t>
      </w:r>
      <w:r>
        <w:rPr>
          <w:rFonts w:hint="eastAsia" w:ascii="宋体" w:hAnsi="宋体" w:cs="宋体"/>
          <w:b/>
          <w:bCs/>
          <w:color w:val="000000"/>
          <w:u w:val="single"/>
        </w:rPr>
        <w:t>至规定的投标截止时间之前</w:t>
      </w:r>
      <w:r>
        <w:rPr>
          <w:rFonts w:ascii="Arial" w:hAnsi="Arial" w:cs="Arial"/>
          <w:color w:val="000000"/>
        </w:rPr>
        <w:t>，以银行到账时间为准</w:t>
      </w:r>
    </w:p>
    <w:p w14:paraId="423DB7F9">
      <w:pPr>
        <w:ind w:left="240"/>
        <w:rPr>
          <w:rFonts w:ascii="Arial" w:hAnsi="Arial" w:cs="Arial"/>
        </w:rPr>
      </w:pPr>
      <w:r>
        <w:rPr>
          <w:rFonts w:hint="eastAsia" w:ascii="Arial" w:hAnsi="Arial" w:cs="Arial"/>
        </w:rPr>
        <w:t>（1）</w:t>
      </w:r>
      <w:r>
        <w:rPr>
          <w:rFonts w:ascii="Arial" w:hAnsi="Arial" w:cs="Arial"/>
        </w:rPr>
        <w:t>不接受个人名义或现金形式递交的保证金，磋商供应商应该单独提交磋商保证金；磋商保证金必须从基本账户中支付，磋商响应文件中须附开户许可证</w:t>
      </w:r>
      <w:r>
        <w:rPr>
          <w:rFonts w:hint="eastAsia" w:ascii="Arial" w:hAnsi="Arial" w:cs="Arial"/>
        </w:rPr>
        <w:t>或基本账户开户信息。</w:t>
      </w:r>
    </w:p>
    <w:p w14:paraId="5D3BBEF9">
      <w:pPr>
        <w:snapToGrid w:val="0"/>
        <w:textAlignment w:val="baseline"/>
        <w:rPr>
          <w:rFonts w:ascii="宋体" w:hAnsi="宋体" w:cs="宋体"/>
          <w:bCs/>
        </w:rPr>
      </w:pPr>
      <w:r>
        <w:rPr>
          <w:rFonts w:hint="eastAsia" w:ascii="宋体" w:hAnsi="宋体" w:cs="宋体"/>
          <w:bCs/>
        </w:rPr>
        <w:t>（2）投标保证金应当以支票、汇票、本票或者金融机构、担保机构出具的保函、保单等非现金形式提交。通过银行转账的，必须由投标人从其基本账户（包括开户许可证复印件或基本账户开户信息）汇（转）至磋商文件规定账户；</w:t>
      </w:r>
    </w:p>
    <w:p w14:paraId="62DA6C8C">
      <w:pPr>
        <w:snapToGrid w:val="0"/>
        <w:textAlignment w:val="baseline"/>
        <w:rPr>
          <w:rFonts w:ascii="Arial" w:hAnsi="Arial" w:cs="Arial"/>
        </w:rPr>
      </w:pPr>
      <w:r>
        <w:rPr>
          <w:rFonts w:hint="eastAsia" w:ascii="宋体" w:hAnsi="宋体" w:cs="宋体"/>
          <w:bCs/>
        </w:rPr>
        <w:t>磋商保证金必须从基本账户中支付，磋商响应文件中须附基本账户信息。</w:t>
      </w:r>
      <w:r>
        <w:rPr>
          <w:rFonts w:ascii="Arial" w:hAnsi="Arial" w:cs="Arial"/>
        </w:rPr>
        <w:t xml:space="preserve"> </w:t>
      </w:r>
    </w:p>
    <w:p w14:paraId="0FE4E575">
      <w:pPr>
        <w:rPr>
          <w:rFonts w:ascii="Arial" w:hAnsi="Arial" w:cs="Arial"/>
        </w:rPr>
      </w:pPr>
      <w:r>
        <w:rPr>
          <w:rFonts w:ascii="Arial" w:hAnsi="Arial" w:cs="Arial"/>
        </w:rPr>
        <w:t>（3）磋商供应商未按磋商文件要求交纳磋商保证金的，招标代理机构将拒绝接收磋商供应商的磋商响应文件。</w:t>
      </w:r>
    </w:p>
    <w:p w14:paraId="0129EA20">
      <w:pPr>
        <w:rPr>
          <w:rFonts w:ascii="Arial" w:hAnsi="Arial" w:cs="Arial"/>
        </w:rPr>
      </w:pPr>
      <w:r>
        <w:rPr>
          <w:rFonts w:ascii="Arial" w:hAnsi="Arial" w:cs="Arial"/>
        </w:rPr>
        <w:t>（4）磋商保证金退还日期：未成交磋商供应商的磋商保证金自成交通知书发出之日起5个工作日内退还（不退现金）；成交单位的成交保证金，自合同签订之日起5个工作日内退还（不退现金）。</w:t>
      </w:r>
    </w:p>
    <w:p w14:paraId="724D0505">
      <w:pPr>
        <w:rPr>
          <w:rFonts w:ascii="Arial" w:hAnsi="Arial" w:cs="Arial"/>
        </w:rPr>
      </w:pPr>
      <w:r>
        <w:rPr>
          <w:rFonts w:ascii="Arial" w:hAnsi="Arial" w:cs="Arial"/>
        </w:rPr>
        <w:t>磋商供应商未按照磋商文件要求提交磋商保证金的，投标无效。</w:t>
      </w:r>
    </w:p>
    <w:p w14:paraId="10A1FB36">
      <w:pPr>
        <w:pStyle w:val="13"/>
        <w:rPr>
          <w:rFonts w:ascii="Arial" w:hAnsi="Arial" w:cs="Arial"/>
          <w:sz w:val="24"/>
        </w:rPr>
      </w:pPr>
      <w:r>
        <w:rPr>
          <w:rFonts w:ascii="Arial" w:hAnsi="Arial" w:cs="Arial"/>
          <w:sz w:val="24"/>
        </w:rPr>
        <w:t>磋商供应商须自行查询保证金到账情况</w:t>
      </w:r>
      <w:r>
        <w:rPr>
          <w:rFonts w:hint="eastAsia" w:ascii="Arial" w:hAnsi="Arial" w:cs="Arial"/>
          <w:sz w:val="24"/>
        </w:rPr>
        <w:t>。</w:t>
      </w:r>
    </w:p>
    <w:p w14:paraId="0FC7BFAC">
      <w:pPr>
        <w:pStyle w:val="13"/>
        <w:ind w:firstLine="480" w:firstLineChars="200"/>
        <w:rPr>
          <w:rFonts w:hAnsi="宋体" w:cs="宋体"/>
          <w:color w:val="000000"/>
          <w:sz w:val="24"/>
          <w:szCs w:val="24"/>
        </w:rPr>
      </w:pPr>
      <w:r>
        <w:rPr>
          <w:rFonts w:hint="eastAsia" w:hAnsi="宋体" w:cs="宋体"/>
          <w:color w:val="000000"/>
          <w:sz w:val="24"/>
          <w:szCs w:val="24"/>
        </w:rPr>
        <w:t>逾期退还磋商保证金的，除应当退还磋商保证金本金外，还应当按中国人民银行同期贷款基准利率上浮20％后的利率支付超期资金占用费，但因投标人自身原因导致无法及时退还的除外。</w:t>
      </w:r>
    </w:p>
    <w:p w14:paraId="119F942F">
      <w:pPr>
        <w:pStyle w:val="13"/>
        <w:ind w:left="141"/>
        <w:rPr>
          <w:rFonts w:hAnsi="宋体" w:cs="宋体"/>
          <w:color w:val="000000"/>
          <w:sz w:val="24"/>
          <w:szCs w:val="24"/>
        </w:rPr>
      </w:pPr>
      <w:r>
        <w:rPr>
          <w:rFonts w:hint="eastAsia" w:hAnsi="宋体" w:cs="宋体"/>
          <w:color w:val="000000"/>
          <w:sz w:val="24"/>
          <w:szCs w:val="24"/>
        </w:rPr>
        <w:t>10.3下列任何情况发生时，磋商保证金将不予退还：</w:t>
      </w:r>
    </w:p>
    <w:p w14:paraId="34F49701">
      <w:pPr>
        <w:pStyle w:val="13"/>
        <w:numPr>
          <w:ilvl w:val="0"/>
          <w:numId w:val="10"/>
        </w:numPr>
        <w:ind w:left="845" w:leftChars="0" w:hanging="420" w:firstLineChars="0"/>
        <w:rPr>
          <w:rFonts w:hAnsi="宋体" w:cs="宋体"/>
          <w:color w:val="000000"/>
          <w:sz w:val="24"/>
          <w:szCs w:val="24"/>
        </w:rPr>
      </w:pPr>
      <w:r>
        <w:rPr>
          <w:rFonts w:hint="eastAsia" w:hAnsi="宋体" w:cs="宋体"/>
          <w:color w:val="000000"/>
          <w:sz w:val="24"/>
          <w:szCs w:val="24"/>
        </w:rPr>
        <w:t>磋商供应商在递交磋商响应文件的截止时间前未到达现场并且没有以书面形式如信函、传真等告知采购代理机构要撤其磋商的；</w:t>
      </w:r>
    </w:p>
    <w:p w14:paraId="669AF207">
      <w:pPr>
        <w:pStyle w:val="13"/>
        <w:numPr>
          <w:ilvl w:val="0"/>
          <w:numId w:val="10"/>
        </w:numPr>
        <w:ind w:left="845" w:leftChars="0" w:hanging="420" w:firstLineChars="0"/>
        <w:rPr>
          <w:rFonts w:hAnsi="宋体" w:cs="宋体"/>
          <w:color w:val="000000"/>
          <w:sz w:val="24"/>
          <w:szCs w:val="24"/>
        </w:rPr>
      </w:pPr>
      <w:r>
        <w:rPr>
          <w:rFonts w:hint="eastAsia" w:hAnsi="宋体" w:cs="宋体"/>
          <w:color w:val="000000"/>
          <w:sz w:val="24"/>
          <w:szCs w:val="24"/>
        </w:rPr>
        <w:t>成交磋商供应商在规定期限内未能按规定签订合同或未按规定缴纳成交服务费；</w:t>
      </w:r>
    </w:p>
    <w:p w14:paraId="1366141D">
      <w:pPr>
        <w:pStyle w:val="13"/>
        <w:numPr>
          <w:ilvl w:val="0"/>
          <w:numId w:val="10"/>
        </w:numPr>
        <w:ind w:left="845" w:leftChars="0" w:hanging="420" w:firstLineChars="0"/>
        <w:rPr>
          <w:rFonts w:hAnsi="宋体" w:cs="宋体"/>
          <w:color w:val="000000"/>
          <w:sz w:val="24"/>
          <w:szCs w:val="24"/>
        </w:rPr>
      </w:pPr>
      <w:r>
        <w:rPr>
          <w:rFonts w:hint="eastAsia" w:hAnsi="宋体" w:cs="宋体"/>
          <w:color w:val="000000"/>
          <w:sz w:val="24"/>
          <w:szCs w:val="24"/>
        </w:rPr>
        <w:t>提供虚假材料谋取成交的；</w:t>
      </w:r>
    </w:p>
    <w:p w14:paraId="125DB88F">
      <w:pPr>
        <w:pStyle w:val="13"/>
        <w:numPr>
          <w:ilvl w:val="0"/>
          <w:numId w:val="10"/>
        </w:numPr>
        <w:ind w:left="845" w:leftChars="0" w:hanging="420" w:firstLineChars="0"/>
        <w:rPr>
          <w:rFonts w:hAnsi="宋体" w:cs="宋体"/>
          <w:color w:val="000000"/>
          <w:sz w:val="24"/>
          <w:szCs w:val="24"/>
        </w:rPr>
      </w:pPr>
      <w:r>
        <w:rPr>
          <w:rFonts w:hint="eastAsia" w:hAnsi="宋体" w:cs="宋体"/>
          <w:color w:val="000000"/>
          <w:sz w:val="24"/>
          <w:szCs w:val="24"/>
        </w:rPr>
        <w:t>将成交项目转让给他人，或者在磋商响应文件中未说明，将成交项目分包给他人的；</w:t>
      </w:r>
    </w:p>
    <w:p w14:paraId="09968EB0">
      <w:pPr>
        <w:pStyle w:val="13"/>
        <w:numPr>
          <w:ilvl w:val="0"/>
          <w:numId w:val="10"/>
        </w:numPr>
        <w:ind w:left="845" w:leftChars="0" w:hanging="420" w:firstLineChars="0"/>
        <w:rPr>
          <w:rFonts w:hAnsi="宋体" w:cs="宋体"/>
          <w:color w:val="000000"/>
          <w:sz w:val="24"/>
          <w:szCs w:val="24"/>
        </w:rPr>
      </w:pPr>
      <w:r>
        <w:rPr>
          <w:rFonts w:hint="eastAsia" w:hAnsi="宋体" w:cs="宋体"/>
          <w:color w:val="000000"/>
          <w:sz w:val="24"/>
          <w:szCs w:val="24"/>
        </w:rPr>
        <w:t>拒绝履行合同义务的；</w:t>
      </w:r>
    </w:p>
    <w:p w14:paraId="484B3D46">
      <w:pPr>
        <w:pStyle w:val="13"/>
        <w:numPr>
          <w:ilvl w:val="0"/>
          <w:numId w:val="10"/>
        </w:numPr>
        <w:ind w:left="845" w:leftChars="0" w:hanging="420" w:firstLineChars="0"/>
        <w:rPr>
          <w:rFonts w:hAnsi="宋体" w:cs="宋体"/>
          <w:color w:val="000000"/>
          <w:sz w:val="24"/>
          <w:szCs w:val="24"/>
        </w:rPr>
      </w:pPr>
      <w:r>
        <w:rPr>
          <w:rFonts w:hint="eastAsia" w:hAnsi="宋体" w:cs="宋体"/>
          <w:color w:val="000000"/>
          <w:sz w:val="24"/>
          <w:szCs w:val="24"/>
        </w:rPr>
        <w:t>法律、法规规定的其他情形。</w:t>
      </w:r>
    </w:p>
    <w:p w14:paraId="62C26A04">
      <w:pPr>
        <w:pStyle w:val="6"/>
        <w:spacing w:before="0" w:after="0" w:line="360" w:lineRule="auto"/>
        <w:rPr>
          <w:rFonts w:ascii="宋体" w:hAnsi="宋体" w:cs="宋体"/>
          <w:bCs w:val="0"/>
          <w:color w:val="000000"/>
        </w:rPr>
      </w:pPr>
      <w:bookmarkStart w:id="34" w:name="_Toc488673624"/>
      <w:r>
        <w:rPr>
          <w:rFonts w:hint="eastAsia" w:ascii="宋体" w:hAnsi="宋体" w:cs="宋体"/>
          <w:bCs w:val="0"/>
          <w:color w:val="000000"/>
        </w:rPr>
        <w:t>11、磋商有效期</w:t>
      </w:r>
      <w:bookmarkEnd w:id="34"/>
    </w:p>
    <w:p w14:paraId="07EDB193">
      <w:pPr>
        <w:pStyle w:val="13"/>
        <w:ind w:firstLine="480" w:firstLineChars="200"/>
        <w:rPr>
          <w:rFonts w:ascii="Arial" w:hAnsi="Arial" w:cs="Arial"/>
          <w:b/>
          <w:sz w:val="24"/>
          <w:szCs w:val="28"/>
        </w:rPr>
      </w:pPr>
      <w:bookmarkStart w:id="35" w:name="_Toc488673625"/>
      <w:r>
        <w:rPr>
          <w:rFonts w:ascii="Arial" w:hAnsi="Arial" w:cs="Arial"/>
          <w:sz w:val="24"/>
          <w:szCs w:val="24"/>
        </w:rPr>
        <w:t>本次磋商有效期为自磋商之日起</w:t>
      </w:r>
      <w:r>
        <w:rPr>
          <w:rFonts w:hint="eastAsia" w:ascii="Arial" w:hAnsi="Arial" w:cs="Arial"/>
          <w:sz w:val="24"/>
          <w:szCs w:val="24"/>
        </w:rPr>
        <w:t>60</w:t>
      </w:r>
      <w:r>
        <w:rPr>
          <w:rFonts w:ascii="Arial" w:hAnsi="Arial" w:cs="Arial"/>
          <w:sz w:val="24"/>
          <w:szCs w:val="24"/>
        </w:rPr>
        <w:t>个</w:t>
      </w:r>
      <w:r>
        <w:rPr>
          <w:rFonts w:hint="eastAsia" w:ascii="Arial" w:hAnsi="Arial" w:cs="Arial"/>
          <w:sz w:val="24"/>
          <w:szCs w:val="24"/>
        </w:rPr>
        <w:t>日历日</w:t>
      </w:r>
      <w:r>
        <w:rPr>
          <w:rFonts w:ascii="Arial" w:hAnsi="Arial" w:cs="Arial"/>
          <w:sz w:val="24"/>
          <w:szCs w:val="24"/>
        </w:rPr>
        <w:t>。</w:t>
      </w:r>
    </w:p>
    <w:p w14:paraId="55382B3A">
      <w:pPr>
        <w:pStyle w:val="6"/>
        <w:spacing w:before="0" w:after="0" w:line="360" w:lineRule="auto"/>
        <w:rPr>
          <w:rFonts w:ascii="宋体" w:hAnsi="宋体" w:cs="宋体"/>
          <w:bCs w:val="0"/>
          <w:color w:val="000000"/>
        </w:rPr>
      </w:pPr>
      <w:r>
        <w:rPr>
          <w:rFonts w:hint="eastAsia" w:ascii="宋体" w:hAnsi="宋体" w:cs="宋体"/>
          <w:bCs w:val="0"/>
          <w:color w:val="000000"/>
        </w:rPr>
        <w:t>12、磋商响应文件的构成</w:t>
      </w:r>
      <w:bookmarkEnd w:id="35"/>
    </w:p>
    <w:p w14:paraId="171973A6">
      <w:pPr>
        <w:pStyle w:val="13"/>
        <w:ind w:firstLine="240" w:firstLineChars="100"/>
        <w:rPr>
          <w:rFonts w:hAnsi="宋体" w:cs="宋体"/>
          <w:color w:val="000000"/>
          <w:sz w:val="24"/>
          <w:szCs w:val="28"/>
        </w:rPr>
      </w:pPr>
      <w:r>
        <w:rPr>
          <w:rFonts w:hint="eastAsia" w:hAnsi="宋体" w:cs="宋体"/>
          <w:color w:val="000000"/>
          <w:sz w:val="24"/>
          <w:szCs w:val="28"/>
        </w:rPr>
        <w:t>12.1磋商供应商应提交相关证明材料，作为其参加磋商和成交后有能力履行合同的证明。编写的磋商响应文件须包括以下内容（格式见磋商文件“第五部分  磋商响应文件格式”）：</w:t>
      </w:r>
    </w:p>
    <w:p w14:paraId="72D8A4DD">
      <w:pPr>
        <w:autoSpaceDE w:val="0"/>
        <w:autoSpaceDN w:val="0"/>
        <w:ind w:firstLine="482" w:firstLineChars="200"/>
        <w:rPr>
          <w:rFonts w:ascii="宋体" w:cs="宋体"/>
        </w:rPr>
      </w:pPr>
      <w:r>
        <w:rPr>
          <w:rFonts w:hint="eastAsia" w:ascii="宋体" w:hAnsi="宋体" w:cs="宋体"/>
          <w:b/>
          <w:bCs/>
          <w:kern w:val="0"/>
        </w:rPr>
        <w:t>12.1</w:t>
      </w:r>
      <w:r>
        <w:rPr>
          <w:rFonts w:hint="eastAsia" w:ascii="宋体" w:hAnsi="宋体" w:cs="宋体"/>
          <w:b/>
          <w:bCs/>
          <w:kern w:val="0"/>
          <w:lang w:val="zh-CN"/>
        </w:rPr>
        <w:t>磋商响应文件（上册）（资格审查）</w:t>
      </w:r>
    </w:p>
    <w:p w14:paraId="52E83646">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磋商函</w:t>
      </w:r>
    </w:p>
    <w:p w14:paraId="5EA09FBF">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rPr>
        <w:t>法定代表人（非法人组织负责人）证明书</w:t>
      </w:r>
    </w:p>
    <w:p w14:paraId="3C91D24E">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rPr>
        <w:t>法定代表人（非法人组织负责人）授权书</w:t>
      </w:r>
    </w:p>
    <w:p w14:paraId="43829BE7">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14:paraId="0E6D6AB7">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14:paraId="4926D5B1">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14:paraId="79483A12">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14:paraId="78E6746E">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14:paraId="4D51E175">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14:paraId="369C4A77">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磋商保证金证明（</w:t>
      </w:r>
      <w:r>
        <w:rPr>
          <w:rFonts w:hint="eastAsia" w:ascii="宋体" w:hAnsi="宋体" w:cs="宋体"/>
          <w:color w:val="000000"/>
          <w:kern w:val="0"/>
          <w:lang w:val="en-US" w:eastAsia="zh-CN"/>
        </w:rPr>
        <w:t>本项目不适用</w:t>
      </w:r>
      <w:r>
        <w:rPr>
          <w:rFonts w:hint="eastAsia" w:ascii="宋体" w:hAnsi="宋体" w:cs="宋体"/>
          <w:color w:val="000000"/>
          <w:kern w:val="0"/>
          <w:lang w:val="zh-CN"/>
        </w:rPr>
        <w:t>）</w:t>
      </w:r>
    </w:p>
    <w:p w14:paraId="64DED054">
      <w:pPr>
        <w:autoSpaceDE w:val="0"/>
        <w:autoSpaceDN w:val="0"/>
        <w:ind w:firstLine="482" w:firstLineChars="200"/>
        <w:rPr>
          <w:rFonts w:ascii="宋体" w:cs="宋体"/>
          <w:kern w:val="0"/>
          <w:lang w:val="zh-CN"/>
        </w:rPr>
      </w:pPr>
      <w:r>
        <w:rPr>
          <w:rFonts w:ascii="宋体" w:hAnsi="宋体" w:cs="宋体"/>
          <w:b/>
          <w:bCs/>
          <w:kern w:val="0"/>
        </w:rPr>
        <w:t>1</w:t>
      </w:r>
      <w:r>
        <w:rPr>
          <w:rFonts w:hint="eastAsia" w:ascii="宋体" w:hAnsi="宋体" w:cs="宋体"/>
          <w:b/>
          <w:bCs/>
          <w:kern w:val="0"/>
        </w:rPr>
        <w:t>2</w:t>
      </w:r>
      <w:r>
        <w:rPr>
          <w:rFonts w:ascii="宋体" w:hAnsi="宋体" w:cs="宋体"/>
          <w:b/>
          <w:bCs/>
          <w:kern w:val="0"/>
        </w:rPr>
        <w:t xml:space="preserve">.2 </w:t>
      </w:r>
      <w:r>
        <w:rPr>
          <w:rFonts w:hint="eastAsia" w:ascii="宋体" w:hAnsi="宋体" w:cs="宋体"/>
          <w:b/>
          <w:bCs/>
          <w:kern w:val="0"/>
          <w:lang w:val="zh-CN"/>
        </w:rPr>
        <w:t>磋商响应文件（下册）（符合性审查）</w:t>
      </w:r>
    </w:p>
    <w:p w14:paraId="5FB6FB0D">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竞争性磋商首次报价表</w:t>
      </w:r>
    </w:p>
    <w:p w14:paraId="27E83634">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14:paraId="598F688B">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供应商类似业绩证明材料</w:t>
      </w:r>
    </w:p>
    <w:p w14:paraId="3CF30CD1">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拟委任的主要人员汇总表</w:t>
      </w:r>
    </w:p>
    <w:p w14:paraId="014C4E8C">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主要人员简历表</w:t>
      </w:r>
    </w:p>
    <w:p w14:paraId="04B097F7">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服务方案</w:t>
      </w:r>
    </w:p>
    <w:p w14:paraId="2581518D">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享受政府采购政策优惠的证明资料</w:t>
      </w:r>
    </w:p>
    <w:p w14:paraId="0C919B27">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供应商认为在其他方面有必要说明的事项</w:t>
      </w:r>
    </w:p>
    <w:p w14:paraId="4B758BA3">
      <w:pPr>
        <w:numPr>
          <w:ilvl w:val="0"/>
          <w:numId w:val="11"/>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供应商最终报价表</w:t>
      </w:r>
    </w:p>
    <w:p w14:paraId="71236BAD">
      <w:pPr>
        <w:pStyle w:val="13"/>
        <w:ind w:left="845"/>
        <w:rPr>
          <w:lang w:val="zh-CN"/>
        </w:rPr>
      </w:pPr>
      <w:r>
        <w:rPr>
          <w:rFonts w:hint="eastAsia" w:hAnsi="宋体" w:cs="宋体"/>
          <w:color w:val="000000"/>
          <w:sz w:val="24"/>
          <w:szCs w:val="24"/>
        </w:rPr>
        <w:t>注：磋商人须按上述内容、顺序和格式编制磋商响应文件，并按要求编制目录、页码，并保证所提供的全部资料真实可信，自愿承担相应责任。</w:t>
      </w:r>
      <w:bookmarkStart w:id="36" w:name="_Toc7360"/>
    </w:p>
    <w:p w14:paraId="7AE0DCB2">
      <w:pPr>
        <w:pStyle w:val="5"/>
        <w:tabs>
          <w:tab w:val="left" w:pos="720"/>
        </w:tabs>
        <w:ind w:left="158"/>
        <w:rPr>
          <w:rFonts w:hAnsi="宋体" w:cs="宋体"/>
          <w:color w:val="000000"/>
          <w:sz w:val="28"/>
          <w:szCs w:val="28"/>
        </w:rPr>
      </w:pPr>
      <w:r>
        <w:rPr>
          <w:rFonts w:hint="eastAsia" w:hAnsi="宋体" w:cs="宋体"/>
          <w:color w:val="000000"/>
          <w:sz w:val="28"/>
          <w:szCs w:val="28"/>
        </w:rPr>
        <w:t>磋商响应文件的递交</w:t>
      </w:r>
      <w:bookmarkEnd w:id="36"/>
    </w:p>
    <w:p w14:paraId="0C85512C">
      <w:pPr>
        <w:pStyle w:val="6"/>
        <w:spacing w:before="0" w:after="0" w:line="360" w:lineRule="auto"/>
        <w:rPr>
          <w:rFonts w:ascii="宋体" w:hAnsi="宋体" w:cs="宋体"/>
          <w:bCs w:val="0"/>
          <w:color w:val="000000"/>
        </w:rPr>
      </w:pPr>
      <w:bookmarkStart w:id="37" w:name="_Toc488673628"/>
      <w:r>
        <w:rPr>
          <w:rFonts w:hint="eastAsia" w:ascii="宋体" w:hAnsi="宋体" w:cs="宋体"/>
          <w:bCs w:val="0"/>
          <w:color w:val="000000"/>
        </w:rPr>
        <w:t>13、磋商响应文件的</w:t>
      </w:r>
      <w:bookmarkEnd w:id="37"/>
      <w:r>
        <w:rPr>
          <w:rFonts w:hint="eastAsia" w:ascii="宋体" w:hAnsi="宋体" w:cs="宋体"/>
          <w:bCs w:val="0"/>
          <w:color w:val="000000"/>
        </w:rPr>
        <w:t>递交</w:t>
      </w:r>
    </w:p>
    <w:p w14:paraId="7C9EA54A">
      <w:pPr>
        <w:autoSpaceDE w:val="0"/>
        <w:autoSpaceDN w:val="0"/>
        <w:spacing w:line="360" w:lineRule="auto"/>
        <w:ind w:firstLine="480" w:firstLineChars="200"/>
        <w:rPr>
          <w:rFonts w:hint="eastAsia" w:ascii="宋体" w:hAnsi="宋体" w:eastAsia="宋体" w:cs="宋体"/>
          <w:color w:val="000000"/>
          <w:kern w:val="0"/>
          <w:lang w:val="en-US" w:eastAsia="zh-CN"/>
        </w:rPr>
      </w:pPr>
      <w:bookmarkStart w:id="38" w:name="_Toc488673629"/>
      <w:r>
        <w:rPr>
          <w:rFonts w:hint="eastAsia" w:ascii="宋体" w:hAnsi="宋体" w:eastAsia="宋体" w:cs="宋体"/>
          <w:color w:val="000000"/>
          <w:kern w:val="0"/>
          <w:lang w:val="en-US" w:eastAsia="zh-CN"/>
        </w:rPr>
        <w:t>1</w:t>
      </w:r>
      <w:r>
        <w:rPr>
          <w:rFonts w:hint="eastAsia" w:ascii="宋体" w:hAnsi="宋体" w:cs="宋体"/>
          <w:color w:val="000000"/>
          <w:kern w:val="0"/>
          <w:lang w:val="en-US" w:eastAsia="zh-CN"/>
        </w:rPr>
        <w:t>3</w:t>
      </w:r>
      <w:r>
        <w:rPr>
          <w:rFonts w:hint="eastAsia" w:ascii="宋体" w:hAnsi="宋体" w:eastAsia="宋体" w:cs="宋体"/>
          <w:color w:val="000000"/>
          <w:kern w:val="0"/>
          <w:lang w:val="en-US" w:eastAsia="zh-CN"/>
        </w:rPr>
        <w:t>.1 投标人按照政府采购云平台投标客户端（投标人应在投标截止时间前按公开招标文件要求使用政府采购云平台电子投标客户端制作上传加密的电子投标文件。）</w:t>
      </w:r>
    </w:p>
    <w:p w14:paraId="6F3B104C">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w:t>
      </w:r>
      <w:r>
        <w:rPr>
          <w:rFonts w:hint="eastAsia" w:ascii="宋体" w:hAnsi="宋体" w:cs="宋体"/>
          <w:color w:val="000000"/>
          <w:kern w:val="0"/>
          <w:lang w:val="en-US" w:eastAsia="zh-CN"/>
        </w:rPr>
        <w:t>3</w:t>
      </w:r>
      <w:r>
        <w:rPr>
          <w:rFonts w:hint="eastAsia" w:ascii="宋体" w:hAnsi="宋体" w:eastAsia="宋体" w:cs="宋体"/>
          <w:color w:val="000000"/>
          <w:kern w:val="0"/>
          <w:lang w:val="en-US" w:eastAsia="zh-CN"/>
        </w:rPr>
        <w:t xml:space="preserve">.2 本项目为全流程线上投标。 </w:t>
      </w:r>
    </w:p>
    <w:p w14:paraId="7F81EF5B">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w:t>
      </w:r>
      <w:r>
        <w:rPr>
          <w:rFonts w:hint="eastAsia" w:ascii="宋体" w:hAnsi="宋体" w:cs="宋体"/>
          <w:color w:val="000000"/>
          <w:kern w:val="0"/>
          <w:lang w:val="en-US" w:eastAsia="zh-CN"/>
        </w:rPr>
        <w:t>3</w:t>
      </w:r>
      <w:r>
        <w:rPr>
          <w:rFonts w:hint="eastAsia" w:ascii="宋体" w:hAnsi="宋体" w:eastAsia="宋体" w:cs="宋体"/>
          <w:color w:val="000000"/>
          <w:kern w:val="0"/>
          <w:lang w:val="en-US" w:eastAsia="zh-CN"/>
        </w:rPr>
        <w:t>.3 递交地点：</w:t>
      </w:r>
      <w:r>
        <w:rPr>
          <w:rFonts w:hint="eastAsia" w:ascii="宋体" w:hAnsi="宋体" w:cs="宋体"/>
          <w:color w:val="000000"/>
          <w:kern w:val="0"/>
          <w:lang w:val="en-US" w:eastAsia="zh-CN"/>
        </w:rPr>
        <w:t>青海省西宁市城西区西川南路76号1号写字楼16楼11613室</w:t>
      </w:r>
      <w:r>
        <w:rPr>
          <w:rFonts w:hint="eastAsia" w:ascii="宋体" w:hAnsi="宋体" w:eastAsia="宋体" w:cs="宋体"/>
          <w:color w:val="000000"/>
          <w:kern w:val="0"/>
          <w:lang w:val="en-US" w:eastAsia="zh-CN"/>
        </w:rPr>
        <w:t xml:space="preserve">                             （投标：政采云服务平台）组织远程解密、远程不见面线上解密，投标人须在截止时间前将加密的投标文件上传到政府采购云平台 (https://www.zcygov.cn)。 </w:t>
      </w:r>
    </w:p>
    <w:p w14:paraId="72138E7A">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w:t>
      </w:r>
      <w:r>
        <w:rPr>
          <w:rFonts w:hint="eastAsia" w:ascii="宋体" w:hAnsi="宋体" w:cs="宋体"/>
          <w:color w:val="000000"/>
          <w:kern w:val="0"/>
          <w:lang w:val="en-US" w:eastAsia="zh-CN"/>
        </w:rPr>
        <w:t>3</w:t>
      </w:r>
      <w:r>
        <w:rPr>
          <w:rFonts w:hint="eastAsia" w:ascii="宋体" w:hAnsi="宋体" w:eastAsia="宋体" w:cs="宋体"/>
          <w:color w:val="000000"/>
          <w:kern w:val="0"/>
          <w:lang w:val="en-US" w:eastAsia="zh-CN"/>
        </w:rPr>
        <w:t>.4 本采购项目只接受投标人上传至“政府采购云平台”加密的投标文件</w:t>
      </w:r>
      <w:r>
        <w:rPr>
          <w:rFonts w:hint="eastAsia" w:ascii="宋体" w:hAnsi="宋体" w:cs="宋体"/>
          <w:color w:val="000000"/>
          <w:kern w:val="0"/>
          <w:lang w:val="en-US" w:eastAsia="zh-CN"/>
        </w:rPr>
        <w:t>，</w:t>
      </w:r>
      <w:r>
        <w:rPr>
          <w:rFonts w:hint="eastAsia" w:ascii="宋体" w:hAnsi="宋体" w:eastAsia="宋体" w:cs="宋体"/>
          <w:color w:val="000000"/>
          <w:kern w:val="0"/>
          <w:lang w:val="en-US" w:eastAsia="zh-CN"/>
        </w:rPr>
        <w:t xml:space="preserve">投标人如投多个包，投标文件每包分别按公开招标文件规定上传。 </w:t>
      </w:r>
    </w:p>
    <w:p w14:paraId="14354293">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w:t>
      </w:r>
      <w:r>
        <w:rPr>
          <w:rFonts w:hint="eastAsia" w:ascii="宋体" w:hAnsi="宋体" w:cs="宋体"/>
          <w:color w:val="000000"/>
          <w:kern w:val="0"/>
          <w:lang w:val="en-US" w:eastAsia="zh-CN"/>
        </w:rPr>
        <w:t>3</w:t>
      </w:r>
      <w:r>
        <w:rPr>
          <w:rFonts w:hint="eastAsia" w:ascii="宋体" w:hAnsi="宋体" w:eastAsia="宋体" w:cs="宋体"/>
          <w:color w:val="000000"/>
          <w:kern w:val="0"/>
          <w:lang w:val="en-US" w:eastAsia="zh-CN"/>
        </w:rPr>
        <w:t xml:space="preserve">.5 投标人以电报、电话、传真、现场形式参加招标活动的，采购代理机构概不接受。 </w:t>
      </w:r>
    </w:p>
    <w:p w14:paraId="4D143EC8">
      <w:pPr>
        <w:pStyle w:val="12"/>
        <w:rPr>
          <w:lang w:val="zh-CN"/>
        </w:rPr>
      </w:pPr>
    </w:p>
    <w:p w14:paraId="3A71CE44">
      <w:pPr>
        <w:pStyle w:val="6"/>
        <w:spacing w:before="0" w:after="0" w:line="360" w:lineRule="auto"/>
        <w:rPr>
          <w:rFonts w:ascii="宋体" w:hAnsi="宋体" w:cs="宋体"/>
          <w:bCs w:val="0"/>
          <w:color w:val="000000"/>
        </w:rPr>
      </w:pPr>
      <w:r>
        <w:rPr>
          <w:rFonts w:hint="eastAsia" w:ascii="宋体" w:hAnsi="宋体" w:cs="宋体"/>
          <w:bCs w:val="0"/>
          <w:color w:val="000000"/>
        </w:rPr>
        <w:t>14、递交磋商响应文件的地点、截止时间</w:t>
      </w:r>
      <w:bookmarkEnd w:id="38"/>
    </w:p>
    <w:p w14:paraId="2C5B6B80">
      <w:pPr>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14.1  投标</w:t>
      </w:r>
      <w:r>
        <w:rPr>
          <w:rFonts w:hint="eastAsia" w:ascii="宋体" w:hAnsi="宋体" w:cs="宋体"/>
          <w:kern w:val="0"/>
        </w:rPr>
        <w:t>供应商</w:t>
      </w:r>
      <w:r>
        <w:rPr>
          <w:rFonts w:hint="eastAsia" w:ascii="宋体" w:hAnsi="宋体" w:cs="宋体"/>
          <w:kern w:val="0"/>
          <w:lang w:val="zh-CN"/>
        </w:rPr>
        <w:t>应当在</w:t>
      </w:r>
      <w:r>
        <w:rPr>
          <w:rFonts w:hint="eastAsia" w:ascii="宋体" w:hAnsi="宋体" w:cs="宋体"/>
          <w:kern w:val="0"/>
        </w:rPr>
        <w:t>采购</w:t>
      </w:r>
      <w:r>
        <w:rPr>
          <w:rFonts w:hint="eastAsia" w:ascii="宋体" w:hAnsi="宋体" w:cs="宋体"/>
          <w:kern w:val="0"/>
          <w:lang w:val="zh-CN"/>
        </w:rPr>
        <w:t>文件要求提交磋商响应文件的截止时间前，</w:t>
      </w:r>
      <w:r>
        <w:rPr>
          <w:rFonts w:hint="eastAsia" w:ascii="宋体" w:hAnsi="宋体" w:cs="宋体"/>
          <w:kern w:val="0"/>
        </w:rPr>
        <w:t>将磋商响应文件上传至</w:t>
      </w:r>
      <w:r>
        <w:rPr>
          <w:rFonts w:hint="eastAsia" w:ascii="宋体" w:hAnsi="宋体" w:cs="宋体"/>
          <w:kern w:val="0"/>
          <w:lang w:val="zh-CN"/>
        </w:rPr>
        <w:t>政采云投标客户端。</w:t>
      </w:r>
    </w:p>
    <w:p w14:paraId="6ABDC5AF">
      <w:pPr>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14.2 投标</w:t>
      </w:r>
      <w:r>
        <w:rPr>
          <w:rFonts w:hint="eastAsia" w:ascii="宋体" w:hAnsi="宋体" w:cs="宋体"/>
          <w:kern w:val="0"/>
        </w:rPr>
        <w:t>供应商</w:t>
      </w:r>
      <w:r>
        <w:rPr>
          <w:rFonts w:hint="eastAsia" w:ascii="宋体" w:hAnsi="宋体" w:cs="宋体"/>
          <w:kern w:val="0"/>
          <w:lang w:val="zh-CN"/>
        </w:rPr>
        <w:t>在</w:t>
      </w:r>
      <w:r>
        <w:rPr>
          <w:rFonts w:hint="eastAsia" w:ascii="宋体" w:hAnsi="宋体" w:cs="宋体"/>
          <w:kern w:val="0"/>
        </w:rPr>
        <w:t>采购</w:t>
      </w:r>
      <w:r>
        <w:rPr>
          <w:rFonts w:hint="eastAsia" w:ascii="宋体" w:hAnsi="宋体" w:cs="宋体"/>
          <w:kern w:val="0"/>
          <w:lang w:val="zh-CN"/>
        </w:rPr>
        <w:t>文件要求提交磋商响应文件的截止时间</w:t>
      </w:r>
      <w:r>
        <w:rPr>
          <w:rFonts w:hint="eastAsia" w:ascii="宋体" w:hAnsi="宋体" w:cs="宋体"/>
          <w:kern w:val="0"/>
        </w:rPr>
        <w:t>及开标时间</w:t>
      </w:r>
      <w:r>
        <w:rPr>
          <w:rFonts w:hint="eastAsia" w:ascii="宋体" w:hAnsi="宋体" w:cs="宋体"/>
          <w:kern w:val="0"/>
          <w:lang w:val="zh-CN"/>
        </w:rPr>
        <w:t>前，</w:t>
      </w:r>
      <w:r>
        <w:rPr>
          <w:rFonts w:hint="eastAsia" w:ascii="宋体" w:hAnsi="宋体" w:cs="宋体"/>
          <w:kern w:val="0"/>
        </w:rPr>
        <w:t>未将磋商响应文件上传至</w:t>
      </w:r>
      <w:r>
        <w:rPr>
          <w:rFonts w:hint="eastAsia" w:ascii="宋体" w:hAnsi="宋体" w:cs="宋体"/>
          <w:kern w:val="0"/>
          <w:lang w:val="zh-CN"/>
        </w:rPr>
        <w:t>政采云投标客户端、</w:t>
      </w:r>
      <w:r>
        <w:rPr>
          <w:rFonts w:hint="eastAsia" w:ascii="宋体" w:hAnsi="宋体" w:cs="宋体"/>
          <w:kern w:val="0"/>
        </w:rPr>
        <w:t>或文件解密失败的，视为无效投标</w:t>
      </w:r>
      <w:r>
        <w:rPr>
          <w:rFonts w:hint="eastAsia" w:ascii="宋体" w:hAnsi="宋体" w:cs="宋体"/>
          <w:kern w:val="0"/>
          <w:lang w:val="zh-CN"/>
        </w:rPr>
        <w:t>。</w:t>
      </w:r>
    </w:p>
    <w:p w14:paraId="2C2CCF68">
      <w:pPr>
        <w:pStyle w:val="13"/>
        <w:rPr>
          <w:rFonts w:hAnsi="宋体" w:cs="宋体"/>
          <w:color w:val="000000"/>
          <w:sz w:val="24"/>
          <w:szCs w:val="28"/>
        </w:rPr>
      </w:pPr>
    </w:p>
    <w:p w14:paraId="086F2C7B">
      <w:pPr>
        <w:pStyle w:val="6"/>
        <w:spacing w:before="0" w:after="0" w:line="360" w:lineRule="auto"/>
        <w:rPr>
          <w:rFonts w:ascii="宋体" w:hAnsi="宋体" w:cs="宋体"/>
          <w:bCs w:val="0"/>
          <w:color w:val="000000"/>
        </w:rPr>
      </w:pPr>
      <w:bookmarkStart w:id="39" w:name="_Toc488673630"/>
      <w:r>
        <w:rPr>
          <w:rFonts w:hint="eastAsia" w:ascii="宋体" w:hAnsi="宋体" w:cs="宋体"/>
          <w:bCs w:val="0"/>
          <w:color w:val="000000"/>
        </w:rPr>
        <w:t>15、磋商响应文件的撤回和修改</w:t>
      </w:r>
      <w:bookmarkEnd w:id="39"/>
    </w:p>
    <w:p w14:paraId="5180254B">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cs="宋体"/>
          <w:kern w:val="0"/>
          <w:lang w:val="zh-CN"/>
        </w:rPr>
        <w:t xml:space="preserve"> </w:t>
      </w:r>
      <w:r>
        <w:rPr>
          <w:rFonts w:hint="eastAsia" w:ascii="宋体" w:hAnsi="宋体" w:eastAsia="宋体" w:cs="宋体"/>
          <w:color w:val="000000"/>
          <w:kern w:val="0"/>
          <w:lang w:val="en-US" w:eastAsia="zh-CN"/>
        </w:rPr>
        <w:t>1</w:t>
      </w:r>
      <w:r>
        <w:rPr>
          <w:rFonts w:hint="eastAsia" w:ascii="宋体" w:hAnsi="宋体" w:cs="宋体"/>
          <w:color w:val="000000"/>
          <w:kern w:val="0"/>
          <w:lang w:val="en-US" w:eastAsia="zh-CN"/>
        </w:rPr>
        <w:t>5</w:t>
      </w:r>
      <w:r>
        <w:rPr>
          <w:rFonts w:hint="eastAsia" w:ascii="宋体" w:hAnsi="宋体" w:eastAsia="宋体" w:cs="宋体"/>
          <w:color w:val="000000"/>
          <w:kern w:val="0"/>
          <w:lang w:val="en-US" w:eastAsia="zh-CN"/>
        </w:rPr>
        <w:t>.1 投标人在投标截止时间前，可以对所递交的投标文件进行补充、修改或者撤回，补充或者修改投标文件的，应当先行撤回已递交的投标文件，在“政采云投标客户端”补充、修改投标文件并加密后重新递交。撤回投标文件进行补充、修改，在投标截止时间前未重新递交的，视为撤回投标文件</w:t>
      </w:r>
      <w:r>
        <w:rPr>
          <w:rFonts w:hint="eastAsia" w:ascii="宋体" w:hAnsi="宋体" w:cs="宋体"/>
          <w:color w:val="000000"/>
          <w:kern w:val="0"/>
          <w:lang w:val="en-US" w:eastAsia="zh-CN"/>
        </w:rPr>
        <w:t>，</w:t>
      </w:r>
      <w:r>
        <w:rPr>
          <w:rFonts w:hint="eastAsia" w:ascii="宋体" w:hAnsi="宋体" w:cs="宋体"/>
          <w:color w:val="000000"/>
          <w:kern w:val="0"/>
        </w:rPr>
        <w:t>但投标截止时间后不得撤回其投标，否则其缴纳的投标保证金将不予退还。</w:t>
      </w:r>
      <w:r>
        <w:rPr>
          <w:rFonts w:hint="eastAsia" w:ascii="宋体" w:hAnsi="宋体" w:eastAsia="宋体" w:cs="宋体"/>
          <w:color w:val="000000"/>
          <w:kern w:val="0"/>
          <w:lang w:val="en-US" w:eastAsia="zh-CN"/>
        </w:rPr>
        <w:t xml:space="preserve"> </w:t>
      </w:r>
    </w:p>
    <w:p w14:paraId="25C3F56C">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w:t>
      </w:r>
      <w:r>
        <w:rPr>
          <w:rFonts w:hint="eastAsia" w:ascii="宋体" w:hAnsi="宋体" w:cs="宋体"/>
          <w:color w:val="000000"/>
          <w:kern w:val="0"/>
          <w:lang w:val="en-US" w:eastAsia="zh-CN"/>
        </w:rPr>
        <w:t>5</w:t>
      </w:r>
      <w:r>
        <w:rPr>
          <w:rFonts w:hint="eastAsia" w:ascii="宋体" w:hAnsi="宋体" w:eastAsia="宋体" w:cs="宋体"/>
          <w:color w:val="000000"/>
          <w:kern w:val="0"/>
          <w:lang w:val="en-US" w:eastAsia="zh-CN"/>
        </w:rPr>
        <w:t>.2 投标截止时间后，投标人不得对其递交的投标文件做任何补充、修改。</w:t>
      </w:r>
    </w:p>
    <w:p w14:paraId="14D1C606">
      <w:pPr>
        <w:autoSpaceDE w:val="0"/>
        <w:autoSpaceDN w:val="0"/>
        <w:spacing w:line="360" w:lineRule="auto"/>
        <w:ind w:firstLine="480" w:firstLineChars="200"/>
        <w:rPr>
          <w:rFonts w:ascii="宋体" w:hAnsi="宋体" w:cs="宋体"/>
          <w:kern w:val="0"/>
          <w:lang w:val="zh-CN"/>
        </w:rPr>
      </w:pPr>
      <w:r>
        <w:rPr>
          <w:rFonts w:hint="eastAsia" w:ascii="宋体" w:hAnsi="宋体" w:eastAsia="宋体" w:cs="宋体"/>
          <w:color w:val="000000"/>
          <w:kern w:val="0"/>
          <w:sz w:val="24"/>
          <w:szCs w:val="24"/>
          <w:lang w:val="en-US" w:eastAsia="zh-CN" w:bidi="ar-SA"/>
        </w:rPr>
        <w:t>1</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 xml:space="preserve">.3 </w:t>
      </w:r>
      <w:r>
        <w:rPr>
          <w:rFonts w:hint="eastAsia" w:ascii="宋体" w:hAnsi="宋体" w:cs="宋体"/>
          <w:color w:val="000000"/>
          <w:kern w:val="0"/>
        </w:rPr>
        <w:t>允许投标人在投标截止时间前声明撤回投标文件（须以书面形式通知采购</w:t>
      </w:r>
      <w:r>
        <w:rPr>
          <w:rFonts w:hint="eastAsia" w:ascii="宋体" w:hAnsi="宋体" w:cs="宋体"/>
          <w:color w:val="000000"/>
          <w:kern w:val="0"/>
          <w:lang w:val="en-US" w:eastAsia="zh-CN"/>
        </w:rPr>
        <w:t>代理</w:t>
      </w:r>
      <w:r>
        <w:rPr>
          <w:rFonts w:hint="eastAsia" w:ascii="宋体" w:hAnsi="宋体" w:cs="宋体"/>
          <w:color w:val="000000"/>
          <w:kern w:val="0"/>
        </w:rPr>
        <w:t>机构），但投标截止时间后不得撤回其投标，否则其缴纳的投标保证金将不予退还。</w:t>
      </w:r>
    </w:p>
    <w:p w14:paraId="57455B80">
      <w:pPr>
        <w:pStyle w:val="12"/>
        <w:rPr>
          <w:lang w:val="zh-CN"/>
        </w:rPr>
      </w:pPr>
    </w:p>
    <w:p w14:paraId="2BA0AB67">
      <w:pPr>
        <w:pStyle w:val="6"/>
        <w:spacing w:before="0" w:after="0" w:line="360" w:lineRule="auto"/>
        <w:rPr>
          <w:rFonts w:ascii="宋体" w:hAnsi="宋体" w:cs="宋体"/>
          <w:bCs w:val="0"/>
          <w:color w:val="000000"/>
        </w:rPr>
      </w:pPr>
      <w:r>
        <w:rPr>
          <w:rFonts w:hint="eastAsia" w:ascii="宋体" w:hAnsi="宋体" w:cs="宋体"/>
          <w:bCs w:val="0"/>
          <w:color w:val="000000"/>
        </w:rPr>
        <w:t>五、磋商过程</w:t>
      </w:r>
    </w:p>
    <w:p w14:paraId="7211EF8B">
      <w:pPr>
        <w:pStyle w:val="138"/>
        <w:numPr>
          <w:ilvl w:val="0"/>
          <w:numId w:val="12"/>
        </w:numPr>
        <w:ind w:left="420" w:hanging="420" w:firstLineChars="0"/>
        <w:jc w:val="left"/>
        <w:rPr>
          <w:rFonts w:ascii="宋体" w:hAnsi="宋体" w:cs="宋体"/>
          <w:color w:val="000000"/>
        </w:rPr>
      </w:pPr>
      <w:r>
        <w:rPr>
          <w:rFonts w:hint="eastAsia" w:ascii="宋体" w:hAnsi="宋体" w:cs="宋体"/>
          <w:color w:val="000000"/>
        </w:rPr>
        <w:t>采购代理机构按本磋商文件中确定的时间和地点组织本项目的磋商活动。供应商应由其委托代理人参加。</w:t>
      </w:r>
    </w:p>
    <w:p w14:paraId="0F64702F">
      <w:pPr>
        <w:pStyle w:val="138"/>
        <w:numPr>
          <w:ilvl w:val="0"/>
          <w:numId w:val="12"/>
        </w:numPr>
        <w:ind w:left="420" w:hanging="420" w:firstLineChars="0"/>
        <w:jc w:val="left"/>
        <w:rPr>
          <w:rFonts w:ascii="宋体" w:hAnsi="宋体" w:cs="宋体"/>
          <w:color w:val="000000"/>
        </w:rPr>
      </w:pPr>
      <w:r>
        <w:rPr>
          <w:rFonts w:hint="eastAsia" w:ascii="宋体" w:hAnsi="宋体" w:cs="宋体"/>
          <w:color w:val="000000"/>
        </w:rPr>
        <w:t>磋商时，对不同文字文本响应文件的解释发生异议的，以中文文本为准。</w:t>
      </w:r>
    </w:p>
    <w:p w14:paraId="4C8454F0">
      <w:pPr>
        <w:pStyle w:val="138"/>
        <w:numPr>
          <w:ilvl w:val="0"/>
          <w:numId w:val="12"/>
        </w:numPr>
        <w:ind w:left="420" w:hanging="420" w:firstLineChars="0"/>
        <w:jc w:val="left"/>
        <w:rPr>
          <w:rFonts w:ascii="宋体" w:hAnsi="宋体" w:cs="宋体"/>
          <w:color w:val="000000"/>
        </w:rPr>
      </w:pPr>
      <w:r>
        <w:rPr>
          <w:rFonts w:hint="eastAsia" w:ascii="宋体" w:hAnsi="宋体" w:cs="宋体"/>
          <w:color w:val="000000"/>
        </w:rPr>
        <w:t>磋商工作由采购代理机构组织，采购单位、采购监管、纪检监察等有关方面代表可根据采购项目的具体情况列席。</w:t>
      </w:r>
    </w:p>
    <w:p w14:paraId="119BF0ED">
      <w:pPr>
        <w:pStyle w:val="138"/>
        <w:numPr>
          <w:ilvl w:val="0"/>
          <w:numId w:val="12"/>
        </w:numPr>
        <w:ind w:left="420" w:hanging="420" w:firstLineChars="0"/>
        <w:jc w:val="left"/>
        <w:rPr>
          <w:rFonts w:ascii="宋体" w:hAnsi="宋体" w:cs="宋体"/>
          <w:color w:val="000000"/>
        </w:rPr>
      </w:pPr>
      <w:r>
        <w:rPr>
          <w:rFonts w:hint="eastAsia" w:ascii="宋体" w:hAnsi="宋体" w:cs="宋体"/>
          <w:color w:val="000000"/>
        </w:rPr>
        <w:t>磋商过程有专人记录，并存档备查</w:t>
      </w:r>
    </w:p>
    <w:p w14:paraId="076E76E6">
      <w:pPr>
        <w:pStyle w:val="138"/>
        <w:numPr>
          <w:ilvl w:val="0"/>
          <w:numId w:val="12"/>
        </w:numPr>
        <w:ind w:left="420" w:hanging="420" w:firstLineChars="0"/>
        <w:jc w:val="left"/>
        <w:rPr>
          <w:rFonts w:ascii="宋体" w:hAnsi="宋体" w:cs="宋体"/>
          <w:color w:val="000000"/>
        </w:rPr>
      </w:pPr>
      <w:r>
        <w:rPr>
          <w:rFonts w:hint="eastAsia" w:ascii="宋体" w:hAnsi="宋体" w:cs="宋体"/>
          <w:color w:val="000000"/>
        </w:rPr>
        <w:t>采购人或者采购代理机构应当依法对磋商人的资格进行审查。</w:t>
      </w:r>
    </w:p>
    <w:p w14:paraId="45FD2CA0">
      <w:pPr>
        <w:pStyle w:val="6"/>
        <w:spacing w:before="0" w:after="0" w:line="360" w:lineRule="auto"/>
        <w:rPr>
          <w:rFonts w:ascii="宋体" w:hAnsi="宋体" w:cs="宋体"/>
          <w:bCs w:val="0"/>
          <w:color w:val="000000"/>
        </w:rPr>
      </w:pPr>
      <w:bookmarkStart w:id="40" w:name="_Toc14994"/>
      <w:r>
        <w:rPr>
          <w:rFonts w:hint="eastAsia" w:ascii="宋体" w:hAnsi="宋体" w:cs="宋体"/>
          <w:bCs w:val="0"/>
          <w:color w:val="000000"/>
        </w:rPr>
        <w:t>六、资格审查程序</w:t>
      </w:r>
      <w:bookmarkEnd w:id="40"/>
    </w:p>
    <w:p w14:paraId="75D38ADA">
      <w:pPr>
        <w:rPr>
          <w:rFonts w:ascii="宋体" w:hAnsi="宋体" w:cs="宋体"/>
          <w:color w:val="000000"/>
          <w:sz w:val="28"/>
          <w:szCs w:val="28"/>
        </w:rPr>
      </w:pPr>
      <w:r>
        <w:rPr>
          <w:rFonts w:hint="eastAsia" w:ascii="宋体" w:hAnsi="宋体" w:cs="宋体"/>
          <w:color w:val="000000"/>
        </w:rPr>
        <w:t xml:space="preserve">     </w:t>
      </w:r>
      <w:r>
        <w:rPr>
          <w:rFonts w:hint="eastAsia" w:ascii="宋体" w:hAnsi="宋体" w:cs="宋体"/>
          <w:color w:val="000000"/>
          <w:sz w:val="28"/>
          <w:szCs w:val="28"/>
        </w:rPr>
        <w:t>资格审查</w:t>
      </w:r>
    </w:p>
    <w:p w14:paraId="6C13690E">
      <w:pPr>
        <w:pStyle w:val="138"/>
        <w:numPr>
          <w:ilvl w:val="0"/>
          <w:numId w:val="13"/>
        </w:numPr>
        <w:ind w:left="420" w:hanging="420" w:firstLineChars="0"/>
        <w:jc w:val="left"/>
        <w:rPr>
          <w:rFonts w:ascii="宋体" w:hAnsi="宋体" w:cs="宋体"/>
          <w:color w:val="000000"/>
        </w:rPr>
      </w:pPr>
      <w:r>
        <w:rPr>
          <w:rFonts w:hint="eastAsia" w:ascii="宋体" w:hAnsi="宋体" w:cs="宋体"/>
          <w:color w:val="000000"/>
        </w:rPr>
        <w:t>递交首次磋商响应文件截止时间后，由采购人、采购</w:t>
      </w:r>
      <w:r>
        <w:rPr>
          <w:rFonts w:hint="eastAsia" w:ascii="宋体" w:hAnsi="宋体" w:cs="宋体"/>
          <w:color w:val="000000"/>
          <w:lang w:val="en-US" w:eastAsia="zh-CN"/>
        </w:rPr>
        <w:t>代理</w:t>
      </w:r>
      <w:r>
        <w:rPr>
          <w:rFonts w:hint="eastAsia" w:ascii="宋体" w:hAnsi="宋体" w:cs="宋体"/>
          <w:color w:val="000000"/>
        </w:rPr>
        <w:t>机构依法对供应商的资格进行审查。</w:t>
      </w:r>
    </w:p>
    <w:p w14:paraId="4BD182BF">
      <w:pPr>
        <w:pStyle w:val="138"/>
        <w:numPr>
          <w:ilvl w:val="0"/>
          <w:numId w:val="13"/>
        </w:numPr>
        <w:ind w:left="420" w:hanging="420" w:firstLineChars="0"/>
        <w:jc w:val="left"/>
        <w:rPr>
          <w:rFonts w:ascii="宋体" w:hAnsi="宋体" w:cs="宋体"/>
          <w:color w:val="000000"/>
        </w:rPr>
      </w:pPr>
      <w:r>
        <w:rPr>
          <w:rFonts w:hint="eastAsia" w:ascii="宋体" w:hAnsi="宋体" w:cs="宋体"/>
          <w:color w:val="000000"/>
        </w:rPr>
        <w:t>供应商数量不满足相关规定的，不得评审。</w:t>
      </w:r>
    </w:p>
    <w:p w14:paraId="7E6DC7AD">
      <w:pPr>
        <w:pStyle w:val="138"/>
        <w:numPr>
          <w:ilvl w:val="0"/>
          <w:numId w:val="13"/>
        </w:numPr>
        <w:ind w:left="420" w:hanging="420" w:firstLineChars="0"/>
        <w:jc w:val="left"/>
        <w:rPr>
          <w:rFonts w:ascii="宋体" w:hAnsi="宋体" w:cs="宋体"/>
          <w:color w:val="000000"/>
        </w:rPr>
      </w:pPr>
      <w:r>
        <w:rPr>
          <w:rFonts w:hint="eastAsia" w:ascii="宋体" w:hAnsi="宋体" w:cs="宋体"/>
          <w:color w:val="000000"/>
        </w:rPr>
        <w:t>资格审查时，投标人存在下列情况之一的，按无效投标处理：</w:t>
      </w:r>
    </w:p>
    <w:p w14:paraId="10AC7AD6">
      <w:pPr>
        <w:pStyle w:val="138"/>
        <w:ind w:firstLine="0" w:firstLineChars="0"/>
        <w:jc w:val="left"/>
        <w:rPr>
          <w:rFonts w:ascii="宋体" w:hAnsi="宋体" w:cs="宋体"/>
        </w:rPr>
      </w:pPr>
      <w:bookmarkStart w:id="41" w:name="_Toc7164"/>
      <w:r>
        <w:rPr>
          <w:rFonts w:hint="eastAsia" w:ascii="宋体" w:hAnsi="宋体" w:cs="宋体"/>
        </w:rPr>
        <w:t>（1）不具备第一部分“投标邀请”中投标人资格要求的；</w:t>
      </w:r>
    </w:p>
    <w:p w14:paraId="525A494A">
      <w:pPr>
        <w:pStyle w:val="138"/>
        <w:ind w:firstLine="0" w:firstLineChars="0"/>
        <w:jc w:val="left"/>
        <w:rPr>
          <w:rFonts w:ascii="宋体" w:hAnsi="宋体" w:cs="宋体"/>
        </w:rPr>
      </w:pPr>
      <w:r>
        <w:rPr>
          <w:rFonts w:hint="eastAsia" w:ascii="宋体" w:hAnsi="宋体" w:cs="宋体"/>
        </w:rPr>
        <w:t>（2）未按磋商文件要求缴纳或未足额缴纳投标保证金的；</w:t>
      </w:r>
    </w:p>
    <w:p w14:paraId="571033E7">
      <w:pPr>
        <w:pStyle w:val="138"/>
        <w:ind w:firstLine="0" w:firstLineChars="0"/>
        <w:jc w:val="left"/>
        <w:rPr>
          <w:rFonts w:ascii="宋体" w:hAnsi="宋体" w:cs="宋体"/>
        </w:rPr>
      </w:pPr>
      <w:r>
        <w:rPr>
          <w:rFonts w:hint="eastAsia" w:ascii="宋体" w:hAnsi="宋体" w:cs="宋体"/>
        </w:rPr>
        <w:t>（3）未按第12.1（1-</w:t>
      </w:r>
      <w:r>
        <w:rPr>
          <w:rFonts w:hint="eastAsia" w:ascii="宋体" w:hAnsi="宋体" w:cs="宋体"/>
          <w:lang w:val="en-US" w:eastAsia="zh-CN"/>
        </w:rPr>
        <w:t>10</w:t>
      </w:r>
      <w:r>
        <w:rPr>
          <w:rFonts w:hint="eastAsia" w:ascii="宋体" w:hAnsi="宋体" w:cs="宋体"/>
        </w:rPr>
        <w:t>）要求提供相关资料的；</w:t>
      </w:r>
    </w:p>
    <w:p w14:paraId="353B214A">
      <w:pPr>
        <w:pStyle w:val="138"/>
        <w:ind w:firstLine="0" w:firstLineChars="0"/>
        <w:jc w:val="left"/>
        <w:rPr>
          <w:rFonts w:ascii="宋体" w:hAnsi="宋体" w:cs="宋体"/>
        </w:rPr>
      </w:pPr>
      <w:r>
        <w:rPr>
          <w:rFonts w:hint="eastAsia" w:ascii="宋体" w:hAnsi="宋体" w:cs="宋体"/>
        </w:rPr>
        <w:t>（4）未按第</w:t>
      </w:r>
      <w:r>
        <w:rPr>
          <w:rFonts w:hint="eastAsia" w:ascii="宋体" w:hAnsi="宋体" w:cs="宋体"/>
          <w:lang w:val="en-US" w:eastAsia="zh-CN"/>
        </w:rPr>
        <w:t>九</w:t>
      </w:r>
      <w:r>
        <w:rPr>
          <w:rFonts w:hint="eastAsia" w:ascii="宋体" w:hAnsi="宋体" w:cs="宋体"/>
        </w:rPr>
        <w:t>款要求编制响应文件的；</w:t>
      </w:r>
    </w:p>
    <w:p w14:paraId="50CD447B">
      <w:pPr>
        <w:pStyle w:val="138"/>
        <w:ind w:firstLine="0" w:firstLineChars="0"/>
        <w:jc w:val="left"/>
        <w:rPr>
          <w:rFonts w:ascii="宋体" w:hAnsi="宋体" w:cs="宋体"/>
        </w:rPr>
      </w:pPr>
      <w:r>
        <w:rPr>
          <w:rFonts w:hint="eastAsia" w:ascii="宋体" w:hAnsi="宋体" w:cs="宋体"/>
        </w:rPr>
        <w:t>（5）资格性审查文件未按磋商文件规定和要求签字、盖章的；</w:t>
      </w:r>
    </w:p>
    <w:p w14:paraId="0EDE5B16">
      <w:pPr>
        <w:pStyle w:val="138"/>
        <w:ind w:firstLine="0" w:firstLineChars="0"/>
        <w:jc w:val="left"/>
        <w:rPr>
          <w:rFonts w:ascii="宋体" w:hAnsi="宋体" w:cs="宋体"/>
        </w:rPr>
      </w:pPr>
      <w:r>
        <w:rPr>
          <w:rFonts w:hint="eastAsia" w:ascii="宋体" w:hAnsi="宋体" w:cs="宋体"/>
        </w:rPr>
        <w:t>（6）磋商有效期不能满足磋商文件要求的；</w:t>
      </w:r>
    </w:p>
    <w:p w14:paraId="00FE10DD">
      <w:pPr>
        <w:pStyle w:val="138"/>
        <w:ind w:firstLine="0" w:firstLineChars="0"/>
        <w:jc w:val="left"/>
        <w:rPr>
          <w:rFonts w:ascii="宋体" w:hAnsi="宋体" w:cs="宋体"/>
        </w:rPr>
      </w:pPr>
      <w:r>
        <w:rPr>
          <w:rFonts w:hint="eastAsia" w:ascii="宋体" w:hAnsi="宋体" w:cs="宋体"/>
        </w:rPr>
        <w:t>（7）未按磋商文件要求提供电子文档；</w:t>
      </w:r>
    </w:p>
    <w:p w14:paraId="6AB65BD5">
      <w:pPr>
        <w:pStyle w:val="138"/>
        <w:ind w:firstLine="0" w:firstLineChars="0"/>
        <w:jc w:val="left"/>
        <w:rPr>
          <w:rFonts w:ascii="宋体" w:hAnsi="宋体" w:cs="宋体"/>
        </w:rPr>
      </w:pPr>
      <w:r>
        <w:rPr>
          <w:rFonts w:hint="eastAsia" w:ascii="宋体" w:hAnsi="宋体" w:cs="宋体"/>
        </w:rPr>
        <w:t>（8）报价超过磋商文件中规定的预算金额或者最高限价的。</w:t>
      </w:r>
    </w:p>
    <w:p w14:paraId="089DCC24">
      <w:pPr>
        <w:pStyle w:val="5"/>
        <w:numPr>
          <w:ilvl w:val="2"/>
          <w:numId w:val="0"/>
        </w:numPr>
        <w:tabs>
          <w:tab w:val="left" w:pos="720"/>
        </w:tabs>
        <w:ind w:left="240"/>
        <w:rPr>
          <w:rFonts w:hAnsi="宋体" w:cs="宋体"/>
          <w:color w:val="000000"/>
          <w:sz w:val="28"/>
          <w:szCs w:val="28"/>
        </w:rPr>
      </w:pPr>
      <w:r>
        <w:rPr>
          <w:rFonts w:hint="eastAsia" w:hAnsi="宋体" w:cs="宋体"/>
          <w:bCs/>
          <w:color w:val="000000"/>
          <w:sz w:val="28"/>
          <w:szCs w:val="28"/>
        </w:rPr>
        <w:t>七、确定成交供应商</w:t>
      </w:r>
      <w:bookmarkEnd w:id="41"/>
    </w:p>
    <w:p w14:paraId="241877BB">
      <w:pPr>
        <w:pStyle w:val="6"/>
        <w:spacing w:before="0" w:after="0" w:line="360" w:lineRule="auto"/>
        <w:rPr>
          <w:rFonts w:ascii="宋体" w:hAnsi="宋体" w:cs="宋体"/>
          <w:bCs w:val="0"/>
          <w:color w:val="000000"/>
        </w:rPr>
      </w:pPr>
      <w:bookmarkStart w:id="42" w:name="_Toc488673637"/>
      <w:r>
        <w:rPr>
          <w:rFonts w:hint="eastAsia" w:ascii="宋体" w:hAnsi="宋体" w:cs="宋体"/>
          <w:bCs w:val="0"/>
          <w:color w:val="000000"/>
        </w:rPr>
        <w:t>15、推荐并确定成交供应商</w:t>
      </w:r>
      <w:bookmarkEnd w:id="42"/>
    </w:p>
    <w:p w14:paraId="0D0A6AEA">
      <w:pPr>
        <w:pStyle w:val="13"/>
        <w:ind w:left="141"/>
        <w:jc w:val="left"/>
        <w:rPr>
          <w:rFonts w:hAnsi="宋体" w:cs="宋体"/>
          <w:color w:val="000000"/>
          <w:sz w:val="24"/>
          <w:szCs w:val="24"/>
        </w:rPr>
      </w:pPr>
      <w:r>
        <w:rPr>
          <w:rFonts w:hint="eastAsia" w:hAnsi="宋体" w:cs="宋体"/>
          <w:color w:val="000000"/>
          <w:sz w:val="24"/>
          <w:szCs w:val="24"/>
        </w:rPr>
        <w:t>15.1采用综合评分法的，</w:t>
      </w:r>
      <w:r>
        <w:rPr>
          <w:rFonts w:hint="eastAsia" w:hAnsi="宋体" w:cs="宋体"/>
          <w:color w:val="000000"/>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成交候选人。</w:t>
      </w:r>
    </w:p>
    <w:p w14:paraId="1D7015CA">
      <w:pPr>
        <w:pStyle w:val="13"/>
        <w:ind w:left="141"/>
        <w:jc w:val="left"/>
        <w:rPr>
          <w:rFonts w:hAnsi="宋体" w:cs="宋体"/>
          <w:color w:val="000000"/>
          <w:sz w:val="24"/>
          <w:szCs w:val="28"/>
        </w:rPr>
      </w:pPr>
      <w:r>
        <w:rPr>
          <w:rFonts w:hint="eastAsia" w:hAnsi="宋体" w:cs="宋体"/>
          <w:color w:val="000000"/>
          <w:sz w:val="24"/>
          <w:szCs w:val="28"/>
        </w:rPr>
        <w:t>15.2成交供应商因不可抗力或自身原因不能履行合同时，采购单位可以按照评审报告推荐的预成交候选磋商供应商名单排序，确定下一候选磋商供应商为成交供应商，也可重新开展政府采购活动。</w:t>
      </w:r>
    </w:p>
    <w:p w14:paraId="20546FB4">
      <w:pPr>
        <w:pStyle w:val="13"/>
        <w:ind w:left="141"/>
        <w:jc w:val="left"/>
        <w:rPr>
          <w:rFonts w:hAnsi="宋体" w:cs="宋体"/>
          <w:color w:val="000000"/>
          <w:sz w:val="24"/>
          <w:szCs w:val="24"/>
        </w:rPr>
      </w:pPr>
      <w:r>
        <w:rPr>
          <w:rFonts w:hint="eastAsia" w:hAnsi="宋体" w:cs="宋体"/>
          <w:color w:val="000000"/>
          <w:sz w:val="24"/>
          <w:szCs w:val="24"/>
          <w:shd w:val="clear" w:color="auto" w:fill="FFFFFF"/>
        </w:rPr>
        <w:t>15.3评标结果汇总完成后，除下列情形外，任何人不得修改评标结果：</w:t>
      </w:r>
    </w:p>
    <w:p w14:paraId="6F1D3A71">
      <w:pPr>
        <w:pStyle w:val="13"/>
        <w:numPr>
          <w:ilvl w:val="0"/>
          <w:numId w:val="14"/>
        </w:numPr>
        <w:jc w:val="left"/>
        <w:rPr>
          <w:rFonts w:hAnsi="宋体" w:cs="宋体"/>
          <w:color w:val="000000"/>
          <w:sz w:val="24"/>
          <w:szCs w:val="24"/>
        </w:rPr>
      </w:pPr>
      <w:r>
        <w:rPr>
          <w:rFonts w:hint="eastAsia" w:hAnsi="宋体" w:cs="宋体"/>
          <w:color w:val="000000"/>
          <w:sz w:val="24"/>
          <w:szCs w:val="24"/>
          <w:shd w:val="clear" w:color="auto" w:fill="FFFFFF"/>
        </w:rPr>
        <w:t>分值汇总计算错误的；</w:t>
      </w:r>
    </w:p>
    <w:p w14:paraId="380D5192">
      <w:pPr>
        <w:pStyle w:val="13"/>
        <w:numPr>
          <w:ilvl w:val="0"/>
          <w:numId w:val="14"/>
        </w:numPr>
        <w:jc w:val="left"/>
        <w:rPr>
          <w:rFonts w:hAnsi="宋体" w:cs="宋体"/>
          <w:color w:val="000000"/>
          <w:sz w:val="24"/>
          <w:szCs w:val="24"/>
        </w:rPr>
      </w:pPr>
      <w:r>
        <w:rPr>
          <w:rFonts w:hint="eastAsia" w:hAnsi="宋体" w:cs="宋体"/>
          <w:color w:val="000000"/>
          <w:sz w:val="24"/>
          <w:szCs w:val="24"/>
          <w:shd w:val="clear" w:color="auto" w:fill="FFFFFF"/>
        </w:rPr>
        <w:t>分项评分超出评分标准范围的；</w:t>
      </w:r>
    </w:p>
    <w:p w14:paraId="67CC708F">
      <w:pPr>
        <w:pStyle w:val="13"/>
        <w:numPr>
          <w:ilvl w:val="0"/>
          <w:numId w:val="14"/>
        </w:numPr>
        <w:jc w:val="left"/>
        <w:rPr>
          <w:rFonts w:hAnsi="宋体" w:cs="宋体"/>
          <w:color w:val="000000"/>
          <w:sz w:val="24"/>
          <w:szCs w:val="24"/>
        </w:rPr>
      </w:pPr>
      <w:r>
        <w:rPr>
          <w:rFonts w:hint="eastAsia" w:hAnsi="宋体" w:cs="宋体"/>
          <w:color w:val="000000"/>
          <w:sz w:val="24"/>
          <w:szCs w:val="24"/>
          <w:shd w:val="clear" w:color="auto" w:fill="FFFFFF"/>
        </w:rPr>
        <w:t>磋商小组成员对客观评审因素评分不一致的；</w:t>
      </w:r>
    </w:p>
    <w:p w14:paraId="20BD15F9">
      <w:pPr>
        <w:pStyle w:val="13"/>
        <w:numPr>
          <w:ilvl w:val="0"/>
          <w:numId w:val="14"/>
        </w:numPr>
        <w:jc w:val="left"/>
        <w:rPr>
          <w:rFonts w:hAnsi="宋体" w:cs="宋体"/>
          <w:color w:val="000000"/>
          <w:sz w:val="24"/>
          <w:szCs w:val="24"/>
        </w:rPr>
      </w:pPr>
      <w:r>
        <w:rPr>
          <w:rFonts w:hint="eastAsia" w:hAnsi="宋体" w:cs="宋体"/>
          <w:color w:val="000000"/>
          <w:sz w:val="24"/>
          <w:szCs w:val="24"/>
          <w:shd w:val="clear" w:color="auto" w:fill="FFFFFF"/>
        </w:rPr>
        <w:t>经磋商小组认定评分畸高、畸低的。</w:t>
      </w:r>
    </w:p>
    <w:p w14:paraId="24B41AD7">
      <w:pPr>
        <w:autoSpaceDE w:val="0"/>
        <w:autoSpaceDN w:val="0"/>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39D7AEE7">
      <w:pPr>
        <w:pStyle w:val="13"/>
        <w:ind w:firstLine="480" w:firstLineChars="200"/>
        <w:rPr>
          <w:rFonts w:hAnsi="宋体" w:cs="宋体"/>
          <w:color w:val="000000"/>
          <w:sz w:val="24"/>
          <w:szCs w:val="24"/>
        </w:rPr>
      </w:pPr>
      <w:r>
        <w:rPr>
          <w:rFonts w:hint="eastAsia" w:hAnsi="宋体" w:cs="宋体"/>
          <w:color w:val="000000"/>
          <w:sz w:val="24"/>
          <w:szCs w:val="24"/>
          <w:shd w:val="clear" w:color="auto" w:fill="FFFFFF"/>
        </w:rPr>
        <w:t>磋商响应人对以上情形提出质疑的，采购人或者采购代理机构可以组织原磋商小组进行重新评审，重新评审改变评标结果的，应当书面报告本级财政部门。</w:t>
      </w:r>
    </w:p>
    <w:p w14:paraId="6641C666">
      <w:pPr>
        <w:pStyle w:val="6"/>
        <w:spacing w:before="0" w:after="0" w:line="360" w:lineRule="auto"/>
        <w:rPr>
          <w:rFonts w:ascii="宋体" w:hAnsi="宋体" w:cs="宋体"/>
          <w:bCs w:val="0"/>
          <w:color w:val="000000"/>
        </w:rPr>
      </w:pPr>
      <w:bookmarkStart w:id="43" w:name="_Toc488673634"/>
      <w:bookmarkStart w:id="44" w:name="_Toc30421"/>
      <w:r>
        <w:rPr>
          <w:rFonts w:hint="eastAsia" w:ascii="宋体" w:hAnsi="宋体" w:cs="宋体"/>
          <w:bCs w:val="0"/>
          <w:color w:val="000000"/>
        </w:rPr>
        <w:t>16、磋商程序</w:t>
      </w:r>
      <w:bookmarkEnd w:id="43"/>
    </w:p>
    <w:p w14:paraId="161967B8">
      <w:pPr>
        <w:pStyle w:val="13"/>
        <w:ind w:left="141"/>
        <w:rPr>
          <w:rFonts w:hAnsi="宋体" w:cs="宋体"/>
          <w:sz w:val="24"/>
          <w:szCs w:val="24"/>
        </w:rPr>
      </w:pPr>
      <w:bookmarkStart w:id="45" w:name="_Toc488673635"/>
      <w:r>
        <w:rPr>
          <w:rFonts w:hint="eastAsia" w:hAnsi="宋体" w:cs="宋体"/>
          <w:sz w:val="24"/>
          <w:szCs w:val="24"/>
          <w:lang w:val="zh-CN"/>
        </w:rPr>
        <w:t>16.1磋商小组应当对符合资格的磋商人的磋商响应文件进行符合性审查，以确定其是否满足磋商文件的实质性要求。</w:t>
      </w:r>
    </w:p>
    <w:p w14:paraId="38D13645">
      <w:pPr>
        <w:pStyle w:val="13"/>
        <w:ind w:left="425"/>
        <w:rPr>
          <w:rFonts w:hAnsi="宋体" w:cs="宋体"/>
          <w:sz w:val="24"/>
          <w:szCs w:val="24"/>
        </w:rPr>
      </w:pPr>
      <w:r>
        <w:rPr>
          <w:rFonts w:hint="eastAsia" w:hAnsi="宋体" w:cs="宋体"/>
          <w:sz w:val="24"/>
          <w:szCs w:val="24"/>
        </w:rPr>
        <w:t>（1）本次综合评分的主要因素是：磋商报价、技术响应、业绩证明等。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561B100">
      <w:pPr>
        <w:pStyle w:val="13"/>
        <w:ind w:firstLine="480" w:firstLineChars="200"/>
        <w:rPr>
          <w:rFonts w:hAnsi="宋体" w:cs="宋体"/>
          <w:sz w:val="24"/>
          <w:szCs w:val="24"/>
          <w:lang w:val="zh-CN"/>
        </w:rPr>
      </w:pPr>
      <w:r>
        <w:rPr>
          <w:rFonts w:hint="eastAsia" w:hAnsi="宋体" w:cs="宋体"/>
          <w:sz w:val="24"/>
          <w:szCs w:val="24"/>
          <w:lang w:val="zh-CN"/>
        </w:rPr>
        <w:t>根据《政府采购促进中小企业发展管理办法》，属小型、微型企业制造/服务的货物/服务（产品），投标人须提供该制造/服务（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0EA52C54">
      <w:pPr>
        <w:pStyle w:val="13"/>
        <w:ind w:firstLine="480" w:firstLineChars="200"/>
        <w:rPr>
          <w:rFonts w:hint="eastAsia" w:hAnsi="宋体" w:cs="宋体"/>
          <w:color w:val="000000" w:themeColor="text1"/>
          <w:sz w:val="24"/>
          <w:szCs w:val="24"/>
          <w:lang w:val="zh-CN"/>
          <w14:textFill>
            <w14:solidFill>
              <w14:schemeClr w14:val="tx1"/>
            </w14:solidFill>
          </w14:textFill>
        </w:rPr>
      </w:pPr>
      <w:r>
        <w:rPr>
          <w:rFonts w:hint="eastAsia" w:hAnsi="宋体" w:cs="宋体"/>
          <w:sz w:val="24"/>
          <w:szCs w:val="24"/>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hAnsi="宋体" w:cs="宋体"/>
          <w:sz w:val="24"/>
          <w:szCs w:val="24"/>
        </w:rPr>
        <w:t>20</w:t>
      </w:r>
      <w:r>
        <w:rPr>
          <w:rFonts w:hint="eastAsia" w:hAnsi="宋体" w:cs="宋体"/>
          <w:sz w:val="24"/>
          <w:szCs w:val="24"/>
          <w:lang w:val="zh-CN"/>
        </w:rPr>
        <w:t>），并由投标人加盖公章，残疾人福利性单位视同小型、微型企业，享受预留份额、评标中价格扣除等促进中小企业发展的政府采购政策。向残疾人福利性单位采购的金额</w:t>
      </w:r>
      <w:r>
        <w:rPr>
          <w:rFonts w:hint="eastAsia" w:hAnsi="宋体" w:cs="宋体"/>
          <w:color w:val="000000" w:themeColor="text1"/>
          <w:sz w:val="24"/>
          <w:szCs w:val="24"/>
          <w:lang w:val="zh-CN"/>
          <w14:textFill>
            <w14:solidFill>
              <w14:schemeClr w14:val="tx1"/>
            </w14:solidFill>
          </w14:textFill>
        </w:rPr>
        <w:t>，计入面向中小企业采购的统计数据。投标人提供的《残疾人福利性单位声明函》资料必须真实，否则，按照有关规定予以处理。</w:t>
      </w:r>
    </w:p>
    <w:p w14:paraId="65491056">
      <w:pPr>
        <w:pStyle w:val="13"/>
        <w:ind w:left="425"/>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本项目所属行业：其他未列明行业</w:t>
      </w:r>
    </w:p>
    <w:p w14:paraId="19E35D02">
      <w:pPr>
        <w:pStyle w:val="13"/>
        <w:ind w:left="425"/>
        <w:rPr>
          <w:rFonts w:hAnsi="宋体" w:cs="宋体"/>
          <w:sz w:val="24"/>
          <w:szCs w:val="24"/>
        </w:rPr>
      </w:pPr>
      <w:r>
        <w:rPr>
          <w:rFonts w:hint="eastAsia" w:hAnsi="宋体" w:cs="宋体"/>
          <w:color w:val="000000" w:themeColor="text1"/>
          <w:sz w:val="24"/>
          <w:szCs w:val="24"/>
          <w14:textFill>
            <w14:solidFill>
              <w14:schemeClr w14:val="tx1"/>
            </w14:solidFill>
          </w14:textFill>
        </w:rPr>
        <w:t>（2）除磋商价格因素外，磋商小</w:t>
      </w:r>
      <w:r>
        <w:rPr>
          <w:rFonts w:hint="eastAsia" w:hAnsi="宋体" w:cs="宋体"/>
          <w:sz w:val="24"/>
          <w:szCs w:val="24"/>
        </w:rPr>
        <w:t>组应依据磋商文件规定的评审方法和评审标准对其他因素进行客观评审；</w:t>
      </w:r>
    </w:p>
    <w:p w14:paraId="6B393EB3">
      <w:pPr>
        <w:pStyle w:val="13"/>
        <w:rPr>
          <w:rFonts w:hAnsi="宋体" w:cs="宋体"/>
          <w:sz w:val="24"/>
          <w:szCs w:val="24"/>
        </w:rPr>
      </w:pPr>
      <w:r>
        <w:rPr>
          <w:rFonts w:hint="eastAsia" w:hAnsi="宋体" w:cs="宋体"/>
          <w:sz w:val="24"/>
          <w:szCs w:val="24"/>
          <w:lang w:val="zh-CN"/>
        </w:rPr>
        <w:t>16.2磋商响应文件中含义不明确、同类问题表述不一致或者有明显文字和计算错误的内容，磋商小组应当以书面形式要求磋商人作出必要的澄清、说明或者补正。</w:t>
      </w:r>
    </w:p>
    <w:p w14:paraId="4C73BB52">
      <w:pPr>
        <w:pStyle w:val="13"/>
        <w:ind w:firstLine="480" w:firstLineChars="200"/>
        <w:rPr>
          <w:rFonts w:hAnsi="宋体" w:cs="宋体"/>
          <w:sz w:val="24"/>
          <w:szCs w:val="24"/>
        </w:rPr>
      </w:pPr>
      <w:r>
        <w:rPr>
          <w:rFonts w:hint="eastAsia" w:hAnsi="宋体" w:cs="宋体"/>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14:paraId="420DCD9D">
      <w:pPr>
        <w:pStyle w:val="13"/>
        <w:rPr>
          <w:rFonts w:hAnsi="宋体" w:cs="宋体"/>
          <w:sz w:val="24"/>
          <w:szCs w:val="24"/>
        </w:rPr>
      </w:pPr>
      <w:r>
        <w:rPr>
          <w:rFonts w:hint="eastAsia" w:hAnsi="宋体" w:cs="宋体"/>
          <w:sz w:val="24"/>
          <w:szCs w:val="24"/>
        </w:rPr>
        <w:t>（1）磋商人存在下列情况之一的，按无效投标处理</w:t>
      </w:r>
      <w:r>
        <w:rPr>
          <w:rFonts w:hint="eastAsia" w:hAnsi="宋体" w:cs="宋体"/>
          <w:sz w:val="24"/>
          <w:szCs w:val="24"/>
          <w:lang w:val="zh-CN"/>
        </w:rPr>
        <w:t>:</w:t>
      </w:r>
    </w:p>
    <w:p w14:paraId="49E1F3D7">
      <w:pPr>
        <w:pStyle w:val="13"/>
        <w:ind w:left="425"/>
        <w:rPr>
          <w:rFonts w:hAnsi="宋体" w:cs="宋体"/>
          <w:sz w:val="24"/>
          <w:szCs w:val="24"/>
        </w:rPr>
      </w:pPr>
      <w:r>
        <w:rPr>
          <w:rFonts w:hint="eastAsia" w:hAnsi="宋体" w:cs="宋体"/>
          <w:sz w:val="24"/>
          <w:szCs w:val="24"/>
        </w:rPr>
        <w:t>1）符合性审查文件未按磋商文件要求签署、盖章的；</w:t>
      </w:r>
    </w:p>
    <w:p w14:paraId="485A7FFE">
      <w:pPr>
        <w:pStyle w:val="13"/>
        <w:ind w:left="425"/>
        <w:rPr>
          <w:rFonts w:hAnsi="宋体" w:cs="宋体"/>
          <w:sz w:val="24"/>
          <w:szCs w:val="24"/>
        </w:rPr>
      </w:pPr>
      <w:r>
        <w:rPr>
          <w:rFonts w:hint="eastAsia" w:hAnsi="宋体" w:cs="宋体"/>
          <w:sz w:val="24"/>
          <w:szCs w:val="24"/>
        </w:rPr>
        <w:t>2）未按第12.2款（格式11-12）要求提供相关资料的（格式另有规定的除外）；</w:t>
      </w:r>
    </w:p>
    <w:p w14:paraId="579DE364">
      <w:pPr>
        <w:pStyle w:val="13"/>
        <w:ind w:left="425"/>
        <w:rPr>
          <w:rFonts w:hAnsi="宋体" w:cs="宋体"/>
          <w:sz w:val="24"/>
          <w:szCs w:val="24"/>
        </w:rPr>
      </w:pPr>
      <w:r>
        <w:rPr>
          <w:rFonts w:hint="eastAsia" w:hAnsi="宋体" w:cs="宋体"/>
          <w:sz w:val="24"/>
          <w:szCs w:val="24"/>
        </w:rPr>
        <w:t>3）未按第</w:t>
      </w:r>
      <w:r>
        <w:rPr>
          <w:rFonts w:hint="eastAsia" w:hAnsi="宋体" w:cs="宋体"/>
          <w:sz w:val="24"/>
          <w:szCs w:val="24"/>
          <w:lang w:val="en-US" w:eastAsia="zh-CN"/>
        </w:rPr>
        <w:t>九</w:t>
      </w:r>
      <w:r>
        <w:rPr>
          <w:rFonts w:hint="eastAsia" w:hAnsi="宋体" w:cs="宋体"/>
          <w:sz w:val="24"/>
          <w:szCs w:val="24"/>
        </w:rPr>
        <w:t>款编制要求提供响应文件的；</w:t>
      </w:r>
    </w:p>
    <w:p w14:paraId="3B3C180E">
      <w:pPr>
        <w:pStyle w:val="13"/>
        <w:ind w:left="425"/>
      </w:pPr>
      <w:r>
        <w:rPr>
          <w:rFonts w:hint="eastAsia" w:hAnsi="宋体" w:cs="宋体"/>
          <w:sz w:val="24"/>
          <w:szCs w:val="24"/>
        </w:rPr>
        <w:t>4）磋商响应文件中含有采购单位不能接受的条件的；</w:t>
      </w:r>
    </w:p>
    <w:p w14:paraId="22185410">
      <w:pPr>
        <w:pStyle w:val="13"/>
        <w:ind w:left="425"/>
        <w:rPr>
          <w:rFonts w:hAnsi="宋体" w:cs="宋体"/>
          <w:sz w:val="24"/>
          <w:szCs w:val="24"/>
        </w:rPr>
      </w:pPr>
      <w:r>
        <w:rPr>
          <w:rFonts w:hint="eastAsia" w:hAnsi="宋体" w:cs="宋体"/>
          <w:sz w:val="24"/>
          <w:szCs w:val="24"/>
        </w:rPr>
        <w:t>5</w:t>
      </w:r>
      <w:r>
        <w:rPr>
          <w:rFonts w:hint="eastAsia" w:hAnsi="宋体" w:cs="宋体"/>
          <w:sz w:val="24"/>
          <w:szCs w:val="24"/>
          <w:lang w:val="zh-CN"/>
        </w:rPr>
        <w:t>）服务期不能满足磋商文件要求的。</w:t>
      </w:r>
    </w:p>
    <w:p w14:paraId="71C14CBB">
      <w:pPr>
        <w:pStyle w:val="13"/>
        <w:ind w:left="425"/>
        <w:rPr>
          <w:rFonts w:hAnsi="宋体" w:cs="宋体"/>
          <w:sz w:val="24"/>
          <w:szCs w:val="24"/>
        </w:rPr>
      </w:pPr>
      <w:r>
        <w:rPr>
          <w:rFonts w:hint="eastAsia" w:hAnsi="宋体" w:cs="宋体"/>
          <w:sz w:val="24"/>
          <w:szCs w:val="24"/>
        </w:rPr>
        <w:t>6）报价超过磋商文件中规定的预算金额或者最高限价的；</w:t>
      </w:r>
    </w:p>
    <w:p w14:paraId="283418D4">
      <w:pPr>
        <w:pStyle w:val="13"/>
        <w:ind w:left="425"/>
        <w:rPr>
          <w:rFonts w:hAnsi="宋体" w:cs="宋体"/>
          <w:sz w:val="24"/>
          <w:szCs w:val="24"/>
        </w:rPr>
      </w:pPr>
      <w:r>
        <w:rPr>
          <w:rFonts w:hint="eastAsia" w:hAnsi="宋体" w:cs="宋体"/>
          <w:sz w:val="24"/>
          <w:szCs w:val="24"/>
        </w:rPr>
        <w:t>7）存在串通投标行为；</w:t>
      </w:r>
    </w:p>
    <w:p w14:paraId="2D021173">
      <w:pPr>
        <w:pStyle w:val="13"/>
        <w:ind w:left="425"/>
        <w:rPr>
          <w:rFonts w:ascii="Arial" w:hAnsi="Arial"/>
          <w:sz w:val="24"/>
          <w:szCs w:val="22"/>
        </w:rPr>
      </w:pPr>
      <w:r>
        <w:rPr>
          <w:rFonts w:hint="eastAsia" w:hAnsi="宋体" w:cs="宋体"/>
          <w:sz w:val="24"/>
          <w:szCs w:val="24"/>
        </w:rPr>
        <w:t>8）法律、</w:t>
      </w:r>
      <w:r>
        <w:rPr>
          <w:rFonts w:ascii="Arial" w:hAnsi="Arial"/>
          <w:sz w:val="24"/>
          <w:szCs w:val="22"/>
        </w:rPr>
        <w:t>法规和磋商文件规定的其他无效情形。</w:t>
      </w:r>
    </w:p>
    <w:p w14:paraId="3623D2DC">
      <w:pPr>
        <w:pStyle w:val="13"/>
        <w:rPr>
          <w:rFonts w:hAnsi="宋体" w:cs="宋体"/>
          <w:sz w:val="24"/>
          <w:szCs w:val="24"/>
        </w:rPr>
      </w:pPr>
      <w:r>
        <w:rPr>
          <w:rFonts w:hint="eastAsia" w:hAnsi="宋体" w:cs="宋体"/>
          <w:sz w:val="24"/>
          <w:szCs w:val="24"/>
        </w:rPr>
        <w:t>（2）磋商响应文件报价出现前后不一致的，按照下列规定修正：</w:t>
      </w:r>
    </w:p>
    <w:p w14:paraId="3332531E">
      <w:pPr>
        <w:pStyle w:val="13"/>
        <w:numPr>
          <w:ilvl w:val="0"/>
          <w:numId w:val="15"/>
        </w:numPr>
        <w:rPr>
          <w:rFonts w:hAnsi="宋体" w:cs="宋体"/>
          <w:sz w:val="24"/>
          <w:szCs w:val="24"/>
        </w:rPr>
      </w:pPr>
      <w:r>
        <w:rPr>
          <w:rFonts w:hint="eastAsia" w:hAnsi="宋体" w:cs="宋体"/>
          <w:sz w:val="24"/>
          <w:szCs w:val="24"/>
        </w:rPr>
        <w:t>磋商响应文件中响应报价表内容与磋商响应文件中相应内容不一致的，以响应报价表为准；</w:t>
      </w:r>
    </w:p>
    <w:p w14:paraId="67AF693D">
      <w:pPr>
        <w:pStyle w:val="13"/>
        <w:numPr>
          <w:ilvl w:val="0"/>
          <w:numId w:val="15"/>
        </w:numPr>
        <w:rPr>
          <w:rFonts w:hAnsi="宋体" w:cs="宋体"/>
          <w:sz w:val="24"/>
          <w:szCs w:val="24"/>
        </w:rPr>
      </w:pPr>
      <w:r>
        <w:rPr>
          <w:rFonts w:hint="eastAsia" w:hAnsi="宋体" w:cs="宋体"/>
          <w:sz w:val="24"/>
          <w:szCs w:val="24"/>
        </w:rPr>
        <w:t>大写金额和小写金额不一致的，以大写金额为准；</w:t>
      </w:r>
    </w:p>
    <w:p w14:paraId="7BA50BC1">
      <w:pPr>
        <w:pStyle w:val="13"/>
        <w:numPr>
          <w:ilvl w:val="0"/>
          <w:numId w:val="15"/>
        </w:numPr>
        <w:rPr>
          <w:rFonts w:hAnsi="宋体" w:cs="宋体"/>
          <w:sz w:val="24"/>
          <w:szCs w:val="24"/>
        </w:rPr>
      </w:pPr>
      <w:r>
        <w:rPr>
          <w:rFonts w:hint="eastAsia" w:hAnsi="宋体" w:cs="宋体"/>
          <w:sz w:val="24"/>
          <w:szCs w:val="24"/>
        </w:rPr>
        <w:t>单价金额小数点或者百分比有明显错位的，以响应报价表的总价为准，并修改单价；</w:t>
      </w:r>
    </w:p>
    <w:p w14:paraId="063DD253">
      <w:pPr>
        <w:pStyle w:val="13"/>
        <w:numPr>
          <w:ilvl w:val="0"/>
          <w:numId w:val="15"/>
        </w:numPr>
        <w:rPr>
          <w:rFonts w:hAnsi="宋体" w:cs="宋体"/>
          <w:sz w:val="24"/>
          <w:szCs w:val="24"/>
        </w:rPr>
      </w:pPr>
      <w:r>
        <w:rPr>
          <w:rFonts w:hint="eastAsia" w:hAnsi="宋体" w:cs="宋体"/>
          <w:sz w:val="24"/>
          <w:szCs w:val="24"/>
        </w:rPr>
        <w:t>总价金额与按单价汇总金额不一致的，以单价金额计算结果为准。</w:t>
      </w:r>
    </w:p>
    <w:p w14:paraId="28CDBEC0">
      <w:pPr>
        <w:pStyle w:val="13"/>
        <w:ind w:left="1129"/>
        <w:rPr>
          <w:rFonts w:hAnsi="宋体" w:cs="宋体"/>
          <w:sz w:val="24"/>
          <w:szCs w:val="24"/>
        </w:rPr>
      </w:pPr>
      <w:r>
        <w:rPr>
          <w:rFonts w:hint="eastAsia" w:hAnsi="宋体" w:cs="宋体"/>
          <w:sz w:val="24"/>
          <w:szCs w:val="24"/>
        </w:rPr>
        <w:t>同时出现两种以上不一致的，按照前款规定的顺序修正。修正后的报价按17.2第二款的规定经磋商人确认后产生约束力，磋商人不确认的，其投标无效。</w:t>
      </w:r>
    </w:p>
    <w:p w14:paraId="16342923">
      <w:pPr>
        <w:pStyle w:val="13"/>
        <w:rPr>
          <w:rFonts w:hAnsi="宋体" w:cs="宋体"/>
          <w:sz w:val="24"/>
          <w:szCs w:val="24"/>
        </w:rPr>
      </w:pPr>
      <w:r>
        <w:rPr>
          <w:rFonts w:hint="eastAsia" w:hAnsi="宋体" w:cs="宋体"/>
          <w:sz w:val="24"/>
          <w:szCs w:val="24"/>
          <w:lang w:val="zh-CN"/>
        </w:rPr>
        <w:t>16.3在评审过程中，</w:t>
      </w:r>
      <w:r>
        <w:rPr>
          <w:rFonts w:hint="eastAsia" w:hAnsi="宋体" w:cs="宋体"/>
          <w:sz w:val="24"/>
          <w:szCs w:val="24"/>
          <w:shd w:val="clear" w:color="auto" w:fill="FFFFFF"/>
        </w:rPr>
        <w:t>磋商小组成员对需要共同认定的事项存在争议的，应当按照少数服从多数的原则作出结论。持不同意见的磋商小组成员应当在评标报告上签署不同意见及理由，否则视为同意评标报告。</w:t>
      </w:r>
    </w:p>
    <w:p w14:paraId="21C1A5FC">
      <w:pPr>
        <w:pStyle w:val="13"/>
        <w:rPr>
          <w:rFonts w:hAnsi="宋体" w:cs="宋体"/>
          <w:sz w:val="24"/>
          <w:szCs w:val="24"/>
        </w:rPr>
      </w:pPr>
      <w:r>
        <w:rPr>
          <w:rFonts w:hint="eastAsia" w:hAnsi="宋体" w:cs="宋体"/>
          <w:sz w:val="24"/>
          <w:szCs w:val="24"/>
          <w:shd w:val="clear" w:color="auto" w:fill="FFFFFF"/>
        </w:rPr>
        <w:t>16.4磋商小组应当按照磋商文件中规定的评标方法和标准，对符合性审查合格的磋商响应文件进行商务和技术评估，综合比较与评价。</w:t>
      </w:r>
    </w:p>
    <w:p w14:paraId="72A027CA">
      <w:pPr>
        <w:pStyle w:val="13"/>
        <w:rPr>
          <w:rFonts w:hAnsi="宋体" w:cs="宋体"/>
          <w:sz w:val="24"/>
          <w:szCs w:val="24"/>
        </w:rPr>
      </w:pPr>
      <w:r>
        <w:rPr>
          <w:rFonts w:hint="eastAsia" w:hAnsi="宋体" w:cs="宋体"/>
          <w:sz w:val="24"/>
          <w:szCs w:val="24"/>
          <w:shd w:val="clear" w:color="auto" w:fill="FFFFFF"/>
        </w:rPr>
        <w:t>16.5磋商小组认为磋商人的报价明显低于其他通过符合性审查磋商人的报价，有可能影响产品质量或者不能诚信履约的，应当要求其在评标现场合理的时间内提供书面说明，必要时提交相关证明材料；磋商人不能证明其报价合理性的，磋商小组应当将其作为无效投标处理。</w:t>
      </w:r>
    </w:p>
    <w:p w14:paraId="2A1E0771">
      <w:pPr>
        <w:pStyle w:val="13"/>
        <w:ind w:left="141"/>
        <w:rPr>
          <w:rFonts w:hAnsi="宋体" w:cs="宋体"/>
          <w:sz w:val="24"/>
          <w:szCs w:val="24"/>
        </w:rPr>
      </w:pPr>
      <w:r>
        <w:rPr>
          <w:rFonts w:hint="eastAsia" w:hAnsi="宋体" w:cs="宋体"/>
          <w:sz w:val="24"/>
          <w:szCs w:val="24"/>
          <w:shd w:val="clear" w:color="auto" w:fill="FFFFFF"/>
        </w:rPr>
        <w:t>16.6综合评分法的采购项目，提供相同品牌产品且通过资格审查、符合性审查的不同磋商人参加同一合同项下投标的，按一家磋商人计算，评审后得分最高的同品牌磋商人获得成交人推荐资格；评审得分相同的，由采购人或者采购人委托磋商小组按照磋商文件规定的方式确定一个磋商人获得成交人推荐资格，磋商文件未规定的采取随机抽取方式确定，其他同品牌磋商人不作为成交候选人。非单一产品采购项目，采购人应当根据采购项目技术构成、产品价格比重等合理确定核心产品，并在磋商文件中载明。多家磋商人提供的核心产品品牌相同的，按前两款规定处理。</w:t>
      </w:r>
    </w:p>
    <w:p w14:paraId="38E2F0BC">
      <w:pPr>
        <w:pStyle w:val="6"/>
        <w:spacing w:before="0" w:after="0" w:line="360" w:lineRule="auto"/>
        <w:rPr>
          <w:rFonts w:ascii="宋体" w:hAnsi="宋体" w:cs="宋体"/>
          <w:bCs w:val="0"/>
          <w:color w:val="000000"/>
        </w:rPr>
      </w:pPr>
      <w:r>
        <w:rPr>
          <w:rFonts w:hint="eastAsia" w:ascii="宋体" w:hAnsi="宋体" w:cs="宋体"/>
          <w:bCs w:val="0"/>
          <w:color w:val="000000"/>
        </w:rPr>
        <w:t>17、评审办法</w:t>
      </w:r>
      <w:bookmarkEnd w:id="45"/>
    </w:p>
    <w:p w14:paraId="0E22FF82">
      <w:pPr>
        <w:pStyle w:val="13"/>
        <w:ind w:left="141"/>
        <w:jc w:val="left"/>
        <w:rPr>
          <w:rFonts w:hAnsi="宋体" w:cs="宋体"/>
          <w:sz w:val="24"/>
          <w:szCs w:val="28"/>
        </w:rPr>
      </w:pPr>
      <w:r>
        <w:rPr>
          <w:rFonts w:hint="eastAsia" w:hAnsi="宋体" w:cs="宋体"/>
          <w:color w:val="000000"/>
          <w:sz w:val="24"/>
          <w:szCs w:val="28"/>
        </w:rPr>
        <w:t>17.1</w:t>
      </w:r>
      <w:r>
        <w:rPr>
          <w:rFonts w:hint="eastAsia" w:hAnsi="宋体" w:cs="宋体"/>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40E241BC">
      <w:pPr>
        <w:pStyle w:val="13"/>
        <w:ind w:firstLine="480" w:firstLineChars="200"/>
      </w:pPr>
      <w:r>
        <w:rPr>
          <w:rFonts w:hint="eastAsia" w:hAnsi="宋体" w:cs="宋体"/>
          <w:color w:val="000000"/>
          <w:sz w:val="24"/>
          <w:szCs w:val="24"/>
        </w:rPr>
        <w:t>17.2</w:t>
      </w:r>
      <w:r>
        <w:rPr>
          <w:rFonts w:hint="eastAsia" w:hAnsi="宋体" w:cs="宋体"/>
          <w:color w:val="000000"/>
          <w:sz w:val="24"/>
          <w:szCs w:val="24"/>
          <w:lang w:val="zh-CN"/>
        </w:rPr>
        <w:t>本次评审方法采用综合评分法</w:t>
      </w:r>
      <w:r>
        <w:rPr>
          <w:rFonts w:hint="eastAsia" w:hAnsi="宋体" w:cs="宋体"/>
          <w:color w:val="000000"/>
          <w:sz w:val="24"/>
          <w:szCs w:val="24"/>
        </w:rPr>
        <w:t>。</w:t>
      </w:r>
    </w:p>
    <w:tbl>
      <w:tblPr>
        <w:tblStyle w:val="36"/>
        <w:tblW w:w="10251"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8445"/>
      </w:tblGrid>
      <w:tr w14:paraId="6CB3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vAlign w:val="center"/>
          </w:tcPr>
          <w:p w14:paraId="3223C016">
            <w:pPr>
              <w:pStyle w:val="131"/>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报价部分</w:t>
            </w:r>
          </w:p>
          <w:p w14:paraId="5EE38412">
            <w:pPr>
              <w:pStyle w:val="131"/>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pacing w:val="-7"/>
                <w:sz w:val="24"/>
                <w:szCs w:val="24"/>
              </w:rPr>
              <w:t>（10</w:t>
            </w:r>
            <w:r>
              <w:rPr>
                <w:rFonts w:hint="eastAsia" w:asciiTheme="minorEastAsia" w:hAnsiTheme="minorEastAsia" w:eastAsiaTheme="minorEastAsia" w:cstheme="minorEastAsia"/>
                <w:b/>
                <w:bCs/>
                <w:spacing w:val="13"/>
                <w:sz w:val="24"/>
                <w:szCs w:val="24"/>
              </w:rPr>
              <w:t xml:space="preserve"> </w:t>
            </w:r>
            <w:r>
              <w:rPr>
                <w:rFonts w:hint="eastAsia" w:asciiTheme="minorEastAsia" w:hAnsiTheme="minorEastAsia" w:eastAsiaTheme="minorEastAsia" w:cstheme="minorEastAsia"/>
                <w:b/>
                <w:bCs/>
                <w:spacing w:val="-7"/>
                <w:sz w:val="24"/>
                <w:szCs w:val="24"/>
              </w:rPr>
              <w:t>分）</w:t>
            </w:r>
          </w:p>
        </w:tc>
        <w:tc>
          <w:tcPr>
            <w:tcW w:w="8445" w:type="dxa"/>
            <w:vAlign w:val="top"/>
          </w:tcPr>
          <w:p w14:paraId="4A078307">
            <w:pPr>
              <w:pStyle w:val="32"/>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在所有的有效投标报价中，以最低投标报价为基准价，其价格分为满分。其他投标人的报价分统一按下列公式计算：投标报价得分=(评标基准价／投标报价)×价格权值（</w:t>
            </w:r>
            <w:r>
              <w:rPr>
                <w:rFonts w:hint="eastAsia" w:hAnsi="宋体" w:cs="宋体"/>
                <w:b w:val="0"/>
                <w:bCs w:val="0"/>
                <w:color w:val="auto"/>
                <w:sz w:val="24"/>
                <w:szCs w:val="24"/>
                <w:lang w:val="en-US" w:eastAsia="zh-CN"/>
              </w:rPr>
              <w:t>1</w:t>
            </w:r>
            <w:r>
              <w:rPr>
                <w:rFonts w:hint="default" w:hAnsi="宋体" w:eastAsia="宋体" w:cs="宋体"/>
                <w:b w:val="0"/>
                <w:bCs w:val="0"/>
                <w:color w:val="auto"/>
                <w:sz w:val="24"/>
                <w:szCs w:val="24"/>
                <w:lang w:val="en-US" w:eastAsia="zh-CN"/>
              </w:rPr>
              <w:t>0%）×100（四舍五入后保留小数点后两位）。</w:t>
            </w:r>
          </w:p>
          <w:p w14:paraId="6D4B13B7">
            <w:pPr>
              <w:pStyle w:val="131"/>
              <w:keepNext w:val="0"/>
              <w:keepLines w:val="0"/>
              <w:pageBreakBefore w:val="0"/>
              <w:widowControl/>
              <w:kinsoku w:val="0"/>
              <w:wordWrap/>
              <w:overflowPunct/>
              <w:topLinePunct w:val="0"/>
              <w:autoSpaceDE w:val="0"/>
              <w:autoSpaceDN w:val="0"/>
              <w:bidi w:val="0"/>
              <w:adjustRightInd w:val="0"/>
              <w:snapToGrid w:val="0"/>
              <w:spacing w:before="44" w:line="360" w:lineRule="auto"/>
              <w:jc w:val="both"/>
              <w:textAlignment w:val="baseline"/>
              <w:rPr>
                <w:rFonts w:hint="eastAsia" w:asciiTheme="minorEastAsia" w:hAnsiTheme="minorEastAsia" w:eastAsiaTheme="minorEastAsia" w:cstheme="minorEastAsia"/>
                <w:sz w:val="24"/>
                <w:szCs w:val="24"/>
                <w:vertAlign w:val="baseline"/>
              </w:rPr>
            </w:pPr>
            <w:r>
              <w:rPr>
                <w:rFonts w:hint="default" w:hAnsi="宋体" w:eastAsia="宋体" w:cs="宋体"/>
                <w:b w:val="0"/>
                <w:bCs w:val="0"/>
                <w:color w:val="auto"/>
                <w:sz w:val="24"/>
                <w:szCs w:val="24"/>
                <w:lang w:val="en-US" w:eastAsia="zh-CN"/>
              </w:rPr>
              <w:t>注：《关于进一步加大政府采购支持中小企业力度的通知》（财库〔2022〕19号）的规定，对于经主管预算单位统筹后未预留份额专门面向中小企业采购的采购项目，以及预留份额项目中的非预留部分采购包，对符合规定的企业报价给予10%（工程项目3%）的扣除，用扣除后的价格参加评审。用扣除后的价格参与评审（附中小企业声明函及相关证明材料）。</w:t>
            </w:r>
          </w:p>
        </w:tc>
      </w:tr>
      <w:tr w14:paraId="6F34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06" w:type="dxa"/>
            <w:vAlign w:val="center"/>
          </w:tcPr>
          <w:p w14:paraId="5608E75F">
            <w:pPr>
              <w:pStyle w:val="131"/>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企业业绩</w:t>
            </w:r>
          </w:p>
          <w:p w14:paraId="26D7C729">
            <w:pPr>
              <w:pStyle w:val="131"/>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pacing w:val="-9"/>
                <w:sz w:val="24"/>
                <w:szCs w:val="24"/>
              </w:rPr>
              <w:t>（5</w:t>
            </w:r>
            <w:r>
              <w:rPr>
                <w:rFonts w:hint="eastAsia" w:asciiTheme="minorEastAsia" w:hAnsiTheme="minorEastAsia" w:eastAsiaTheme="minorEastAsia" w:cstheme="minorEastAsia"/>
                <w:b/>
                <w:bCs/>
                <w:spacing w:val="-46"/>
                <w:sz w:val="24"/>
                <w:szCs w:val="24"/>
              </w:rPr>
              <w:t xml:space="preserve"> </w:t>
            </w:r>
            <w:r>
              <w:rPr>
                <w:rFonts w:hint="eastAsia" w:asciiTheme="minorEastAsia" w:hAnsiTheme="minorEastAsia" w:eastAsiaTheme="minorEastAsia" w:cstheme="minorEastAsia"/>
                <w:b/>
                <w:bCs/>
                <w:spacing w:val="-9"/>
                <w:sz w:val="24"/>
                <w:szCs w:val="24"/>
              </w:rPr>
              <w:t>分）</w:t>
            </w:r>
          </w:p>
        </w:tc>
        <w:tc>
          <w:tcPr>
            <w:tcW w:w="8445" w:type="dxa"/>
            <w:vAlign w:val="top"/>
          </w:tcPr>
          <w:p w14:paraId="45F33A15">
            <w:pPr>
              <w:pStyle w:val="131"/>
              <w:keepNext w:val="0"/>
              <w:keepLines w:val="0"/>
              <w:pageBreakBefore w:val="0"/>
              <w:widowControl/>
              <w:kinsoku w:val="0"/>
              <w:wordWrap/>
              <w:overflowPunct/>
              <w:topLinePunct w:val="0"/>
              <w:autoSpaceDE w:val="0"/>
              <w:autoSpaceDN w:val="0"/>
              <w:bidi w:val="0"/>
              <w:adjustRightInd w:val="0"/>
              <w:snapToGrid w:val="0"/>
              <w:spacing w:before="36" w:line="360" w:lineRule="auto"/>
              <w:ind w:right="5" w:rightChars="0"/>
              <w:jc w:val="both"/>
              <w:textAlignment w:val="baseline"/>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提供自2022年1月1日以来类似业绩证明</w:t>
            </w:r>
            <w:r>
              <w:rPr>
                <w:rFonts w:hint="eastAsia" w:asciiTheme="minorEastAsia" w:hAnsiTheme="minorEastAsia" w:eastAsiaTheme="minorEastAsia" w:cstheme="minorEastAsia"/>
                <w:spacing w:val="-1"/>
                <w:sz w:val="24"/>
                <w:szCs w:val="24"/>
              </w:rPr>
              <w:t>材料，每提供一个得2.5分，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最高得5分；未提供或其他情况的不得分。</w:t>
            </w:r>
            <w:r>
              <w:rPr>
                <w:rFonts w:hint="eastAsia" w:ascii="宋体" w:hAnsi="宋体" w:eastAsia="宋体" w:cs="宋体"/>
                <w:color w:val="auto"/>
                <w:sz w:val="24"/>
                <w:szCs w:val="28"/>
              </w:rPr>
              <w:t>（需提供包含合同首页、标的及金额所在页、供货合同签字盖章页</w:t>
            </w:r>
            <w:r>
              <w:rPr>
                <w:rFonts w:hint="eastAsia" w:ascii="宋体" w:hAnsi="宋体" w:cs="宋体"/>
                <w:color w:val="auto"/>
                <w:sz w:val="24"/>
                <w:szCs w:val="28"/>
                <w:lang w:val="en-US" w:eastAsia="zh-CN"/>
              </w:rPr>
              <w:t>或</w:t>
            </w:r>
            <w:r>
              <w:rPr>
                <w:rFonts w:hint="eastAsia" w:ascii="宋体" w:hAnsi="宋体" w:eastAsia="宋体" w:cs="宋体"/>
                <w:color w:val="auto"/>
                <w:sz w:val="24"/>
                <w:szCs w:val="28"/>
              </w:rPr>
              <w:t>中标通知或任务书等）</w:t>
            </w:r>
          </w:p>
        </w:tc>
      </w:tr>
      <w:tr w14:paraId="4A29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vMerge w:val="restart"/>
            <w:vAlign w:val="center"/>
          </w:tcPr>
          <w:p w14:paraId="181B28E7">
            <w:pPr>
              <w:pStyle w:val="131"/>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eastAsia" w:asciiTheme="minorEastAsia" w:hAnsiTheme="minorEastAsia" w:eastAsiaTheme="minorEastAsia" w:cstheme="minorEastAsia"/>
                <w:b/>
                <w:bCs/>
                <w:spacing w:val="-5"/>
                <w:sz w:val="24"/>
                <w:szCs w:val="24"/>
              </w:rPr>
            </w:pPr>
            <w:r>
              <w:rPr>
                <w:rFonts w:hint="eastAsia" w:asciiTheme="minorEastAsia" w:hAnsiTheme="minorEastAsia" w:eastAsiaTheme="minorEastAsia" w:cstheme="minorEastAsia"/>
                <w:b/>
                <w:bCs/>
                <w:spacing w:val="-5"/>
                <w:sz w:val="24"/>
                <w:szCs w:val="24"/>
              </w:rPr>
              <w:t>技术部分</w:t>
            </w:r>
          </w:p>
          <w:p w14:paraId="17612CE1">
            <w:pPr>
              <w:pStyle w:val="131"/>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pacing w:val="-9"/>
                <w:sz w:val="24"/>
                <w:szCs w:val="24"/>
              </w:rPr>
              <w:t>（77分）</w:t>
            </w:r>
          </w:p>
        </w:tc>
        <w:tc>
          <w:tcPr>
            <w:tcW w:w="8445" w:type="dxa"/>
            <w:vAlign w:val="top"/>
          </w:tcPr>
          <w:p w14:paraId="02E6697E">
            <w:pPr>
              <w:pStyle w:val="13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360" w:lineRule="auto"/>
              <w:ind w:right="5" w:rightChars="0"/>
              <w:jc w:val="both"/>
              <w:textAlignment w:val="baseline"/>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lang w:val="en-US" w:eastAsia="zh-CN"/>
              </w:rPr>
              <w:t>1、</w:t>
            </w:r>
            <w:r>
              <w:rPr>
                <w:rFonts w:hint="eastAsia" w:asciiTheme="minorEastAsia" w:hAnsiTheme="minorEastAsia" w:eastAsiaTheme="minorEastAsia" w:cstheme="minorEastAsia"/>
                <w:b/>
                <w:bCs/>
                <w:spacing w:val="-2"/>
                <w:sz w:val="24"/>
                <w:szCs w:val="24"/>
              </w:rPr>
              <w:t>人员配置（6 分）</w:t>
            </w:r>
          </w:p>
          <w:p w14:paraId="50CC1087">
            <w:pPr>
              <w:pStyle w:val="13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360" w:lineRule="auto"/>
              <w:ind w:right="5" w:rightChars="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委托运营期间，运营企业计划运行管理人员至少应包括但不限于厂区管理人员、工艺运行人员、机修兼脱泥工、化验员等，具体包含：①人员结构与项目需求的匹配情况；②人员岗位设置、职责分工。以上2项内容完整、实用、符合本项目特点，以上内容每提供一项最高得3分，满分6分；每项内容中有缺陷或不足的，每有一处扣1分，扣完为止，未提供不得分。</w:t>
            </w:r>
          </w:p>
        </w:tc>
      </w:tr>
      <w:tr w14:paraId="3C61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vMerge w:val="continue"/>
            <w:vAlign w:val="center"/>
          </w:tcPr>
          <w:p w14:paraId="005B9C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4"/>
                <w:szCs w:val="24"/>
                <w:vertAlign w:val="baseline"/>
              </w:rPr>
            </w:pPr>
          </w:p>
        </w:tc>
        <w:tc>
          <w:tcPr>
            <w:tcW w:w="8445" w:type="dxa"/>
            <w:vAlign w:val="top"/>
          </w:tcPr>
          <w:p w14:paraId="1999ED1F">
            <w:pPr>
              <w:pStyle w:val="13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360" w:lineRule="auto"/>
              <w:ind w:right="5" w:rightChars="0"/>
              <w:jc w:val="both"/>
              <w:textAlignment w:val="baseline"/>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lang w:val="en-US" w:eastAsia="zh-CN"/>
              </w:rPr>
              <w:t>2、</w:t>
            </w:r>
            <w:r>
              <w:rPr>
                <w:rFonts w:hint="eastAsia" w:asciiTheme="minorEastAsia" w:hAnsiTheme="minorEastAsia" w:eastAsiaTheme="minorEastAsia" w:cstheme="minorEastAsia"/>
                <w:b/>
                <w:bCs/>
                <w:spacing w:val="-2"/>
                <w:sz w:val="24"/>
                <w:szCs w:val="24"/>
              </w:rPr>
              <w:t>运营管理实施方案（20 分）：</w:t>
            </w:r>
          </w:p>
          <w:p w14:paraId="3CE3251A">
            <w:pPr>
              <w:pStyle w:val="13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360" w:lineRule="auto"/>
              <w:ind w:right="5" w:rightChars="0"/>
              <w:jc w:val="both"/>
              <w:textAlignment w:val="baseline"/>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pacing w:val="-2"/>
                <w:sz w:val="24"/>
                <w:szCs w:val="24"/>
              </w:rPr>
              <w:t>要求投标人基于采购需求编写项目整体实施方案，包含：①项目管理机构②项目运营管理实施方案③管理制度④日常巡检运行维护方案⑤项目执行进度安排，以上内容每提供一项最高得4分，满分20分；每项内容中有缺陷或不足的，每有一处扣2分，扣完为止，未提供不得分。</w:t>
            </w:r>
          </w:p>
        </w:tc>
      </w:tr>
      <w:tr w14:paraId="7ED4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vMerge w:val="continue"/>
            <w:vAlign w:val="center"/>
          </w:tcPr>
          <w:p w14:paraId="79DFF0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4"/>
                <w:szCs w:val="24"/>
                <w:vertAlign w:val="baseline"/>
              </w:rPr>
            </w:pPr>
          </w:p>
        </w:tc>
        <w:tc>
          <w:tcPr>
            <w:tcW w:w="8445" w:type="dxa"/>
            <w:vAlign w:val="top"/>
          </w:tcPr>
          <w:p w14:paraId="043D354F">
            <w:pPr>
              <w:pStyle w:val="131"/>
              <w:keepNext w:val="0"/>
              <w:keepLines w:val="0"/>
              <w:pageBreakBefore w:val="0"/>
              <w:widowControl/>
              <w:kinsoku w:val="0"/>
              <w:wordWrap/>
              <w:overflowPunct/>
              <w:topLinePunct w:val="0"/>
              <w:autoSpaceDE w:val="0"/>
              <w:autoSpaceDN w:val="0"/>
              <w:bidi w:val="0"/>
              <w:adjustRightInd w:val="0"/>
              <w:snapToGrid w:val="0"/>
              <w:spacing w:before="36" w:line="360" w:lineRule="auto"/>
              <w:ind w:right="5" w:rightChars="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安全管理措施（12 分）：</w:t>
            </w:r>
          </w:p>
          <w:p w14:paraId="159B9D15">
            <w:pPr>
              <w:pStyle w:val="131"/>
              <w:keepNext w:val="0"/>
              <w:keepLines w:val="0"/>
              <w:pageBreakBefore w:val="0"/>
              <w:widowControl/>
              <w:kinsoku w:val="0"/>
              <w:wordWrap/>
              <w:overflowPunct/>
              <w:topLinePunct w:val="0"/>
              <w:autoSpaceDE w:val="0"/>
              <w:autoSpaceDN w:val="0"/>
              <w:bidi w:val="0"/>
              <w:adjustRightInd w:val="0"/>
              <w:snapToGrid w:val="0"/>
              <w:spacing w:before="36" w:line="360" w:lineRule="auto"/>
              <w:ind w:right="5" w:righ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提供针对本项目的安全及消防管理措施方案，包含：①运营过程中安全目标及安全管理制度②安全措施③安全考核④火灾消防、突发情况等应急方案，以上内容每提供一项最高得3分，满分12分； 每项内容中有缺陷或不足的，每有一处扣1分，扣完为止，未提供不得分。</w:t>
            </w:r>
          </w:p>
        </w:tc>
      </w:tr>
      <w:tr w14:paraId="0578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vMerge w:val="continue"/>
            <w:vAlign w:val="center"/>
          </w:tcPr>
          <w:p w14:paraId="32743684">
            <w:pPr>
              <w:pStyle w:val="131"/>
              <w:keepNext w:val="0"/>
              <w:keepLines w:val="0"/>
              <w:pageBreakBefore w:val="0"/>
              <w:widowControl/>
              <w:kinsoku w:val="0"/>
              <w:wordWrap/>
              <w:overflowPunct/>
              <w:topLinePunct w:val="0"/>
              <w:autoSpaceDE w:val="0"/>
              <w:autoSpaceDN w:val="0"/>
              <w:bidi w:val="0"/>
              <w:adjustRightInd w:val="0"/>
              <w:snapToGrid w:val="0"/>
              <w:spacing w:before="21" w:line="360" w:lineRule="auto"/>
              <w:ind w:left="492" w:leftChars="0"/>
              <w:jc w:val="center"/>
              <w:textAlignment w:val="baseline"/>
              <w:rPr>
                <w:rFonts w:hint="eastAsia" w:asciiTheme="minorEastAsia" w:hAnsiTheme="minorEastAsia" w:eastAsiaTheme="minorEastAsia" w:cstheme="minorEastAsia"/>
                <w:sz w:val="24"/>
                <w:szCs w:val="24"/>
                <w:vertAlign w:val="baseline"/>
              </w:rPr>
            </w:pPr>
          </w:p>
        </w:tc>
        <w:tc>
          <w:tcPr>
            <w:tcW w:w="8445" w:type="dxa"/>
            <w:vAlign w:val="top"/>
          </w:tcPr>
          <w:p w14:paraId="401772E9">
            <w:pPr>
              <w:pStyle w:val="131"/>
              <w:keepNext w:val="0"/>
              <w:keepLines w:val="0"/>
              <w:pageBreakBefore w:val="0"/>
              <w:widowControl/>
              <w:kinsoku w:val="0"/>
              <w:wordWrap/>
              <w:overflowPunct/>
              <w:topLinePunct w:val="0"/>
              <w:autoSpaceDE w:val="0"/>
              <w:autoSpaceDN w:val="0"/>
              <w:bidi w:val="0"/>
              <w:adjustRightInd w:val="0"/>
              <w:snapToGrid w:val="0"/>
              <w:spacing w:before="36" w:line="360" w:lineRule="auto"/>
              <w:ind w:right="5" w:rightChars="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服务保障方案（12 分）：</w:t>
            </w:r>
          </w:p>
          <w:p w14:paraId="1603BD09">
            <w:pPr>
              <w:pStyle w:val="131"/>
              <w:keepNext w:val="0"/>
              <w:keepLines w:val="0"/>
              <w:pageBreakBefore w:val="0"/>
              <w:widowControl/>
              <w:kinsoku w:val="0"/>
              <w:wordWrap/>
              <w:overflowPunct/>
              <w:topLinePunct w:val="0"/>
              <w:autoSpaceDE w:val="0"/>
              <w:autoSpaceDN w:val="0"/>
              <w:bidi w:val="0"/>
              <w:adjustRightInd w:val="0"/>
              <w:snapToGrid w:val="0"/>
              <w:spacing w:before="36" w:line="360" w:lineRule="auto"/>
              <w:ind w:right="5" w:rightChars="0"/>
              <w:jc w:val="both"/>
              <w:textAlignment w:val="baseline"/>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根据本项目实际情况编写服务保障方案，包含：①环境保护措施②服务质量保证措施③质量控制措施，以上内容每提供 一项最高得4分，满分12分；每项内容中有缺陷或不足的，每有一处扣1分，扣完为止，未提供不得分。</w:t>
            </w:r>
          </w:p>
        </w:tc>
      </w:tr>
      <w:tr w14:paraId="762B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vMerge w:val="continue"/>
            <w:vAlign w:val="center"/>
          </w:tcPr>
          <w:p w14:paraId="2E59527F">
            <w:pPr>
              <w:pStyle w:val="131"/>
              <w:keepNext w:val="0"/>
              <w:keepLines w:val="0"/>
              <w:pageBreakBefore w:val="0"/>
              <w:widowControl/>
              <w:kinsoku w:val="0"/>
              <w:wordWrap/>
              <w:overflowPunct/>
              <w:topLinePunct w:val="0"/>
              <w:autoSpaceDE w:val="0"/>
              <w:autoSpaceDN w:val="0"/>
              <w:bidi w:val="0"/>
              <w:adjustRightInd w:val="0"/>
              <w:snapToGrid w:val="0"/>
              <w:spacing w:before="18" w:line="360" w:lineRule="auto"/>
              <w:ind w:left="552" w:leftChars="0"/>
              <w:jc w:val="center"/>
              <w:textAlignment w:val="baseline"/>
              <w:rPr>
                <w:rFonts w:hint="eastAsia" w:asciiTheme="minorEastAsia" w:hAnsiTheme="minorEastAsia" w:eastAsiaTheme="minorEastAsia" w:cstheme="minorEastAsia"/>
                <w:sz w:val="24"/>
                <w:szCs w:val="24"/>
                <w:vertAlign w:val="baseline"/>
              </w:rPr>
            </w:pPr>
          </w:p>
        </w:tc>
        <w:tc>
          <w:tcPr>
            <w:tcW w:w="8445" w:type="dxa"/>
            <w:vAlign w:val="top"/>
          </w:tcPr>
          <w:p w14:paraId="1E06EB0E">
            <w:pPr>
              <w:pStyle w:val="131"/>
              <w:keepNext w:val="0"/>
              <w:keepLines w:val="0"/>
              <w:pageBreakBefore w:val="0"/>
              <w:widowControl/>
              <w:kinsoku w:val="0"/>
              <w:wordWrap/>
              <w:overflowPunct/>
              <w:topLinePunct w:val="0"/>
              <w:autoSpaceDE w:val="0"/>
              <w:autoSpaceDN w:val="0"/>
              <w:bidi w:val="0"/>
              <w:adjustRightInd w:val="0"/>
              <w:snapToGrid w:val="0"/>
              <w:spacing w:before="36" w:line="360" w:lineRule="auto"/>
              <w:ind w:right="5" w:rightChars="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设备维修保养方案（15 分）：</w:t>
            </w:r>
          </w:p>
          <w:p w14:paraId="4B2CE468">
            <w:pPr>
              <w:pStyle w:val="131"/>
              <w:keepNext w:val="0"/>
              <w:keepLines w:val="0"/>
              <w:pageBreakBefore w:val="0"/>
              <w:widowControl/>
              <w:kinsoku w:val="0"/>
              <w:wordWrap/>
              <w:overflowPunct/>
              <w:topLinePunct w:val="0"/>
              <w:autoSpaceDE w:val="0"/>
              <w:autoSpaceDN w:val="0"/>
              <w:bidi w:val="0"/>
              <w:adjustRightInd w:val="0"/>
              <w:snapToGrid w:val="0"/>
              <w:spacing w:before="36" w:line="360" w:lineRule="auto"/>
              <w:ind w:right="5" w:rightChars="0"/>
              <w:jc w:val="both"/>
              <w:textAlignment w:val="baseline"/>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为确保本项目设施长期可靠和安全地运行，制定详细的维修养护方案，包含：</w:t>
            </w:r>
            <w:r>
              <w:rPr>
                <w:rFonts w:hint="default"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rPr>
              <w:t>设备故障报修</w:t>
            </w:r>
            <w:r>
              <w:rPr>
                <w:rFonts w:hint="default" w:asciiTheme="minorEastAsia" w:hAnsiTheme="minorEastAsia" w:eastAsiaTheme="minorEastAsia" w:cstheme="minorEastAsia"/>
                <w:sz w:val="24"/>
                <w:szCs w:val="24"/>
              </w:rPr>
              <w:t>②</w:t>
            </w:r>
            <w:r>
              <w:rPr>
                <w:rFonts w:hint="eastAsia" w:asciiTheme="minorEastAsia" w:hAnsiTheme="minorEastAsia" w:eastAsiaTheme="minorEastAsia" w:cstheme="minorEastAsia"/>
                <w:sz w:val="24"/>
                <w:szCs w:val="24"/>
              </w:rPr>
              <w:t>事故管理</w:t>
            </w:r>
            <w:r>
              <w:rPr>
                <w:rFonts w:hint="default"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rPr>
              <w:t>电气设备、实验设备等的日常  维护保养与检修等。以上内容每提供一项最高得5分，满分15分；每项内容中有缺陷或不足的，每有一处扣2.5分，扣完为止，未提供不得分。</w:t>
            </w:r>
          </w:p>
        </w:tc>
      </w:tr>
      <w:tr w14:paraId="3411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vMerge w:val="continue"/>
            <w:vAlign w:val="center"/>
          </w:tcPr>
          <w:p w14:paraId="4A7117C5">
            <w:pPr>
              <w:pStyle w:val="131"/>
              <w:keepNext w:val="0"/>
              <w:keepLines w:val="0"/>
              <w:pageBreakBefore w:val="0"/>
              <w:widowControl/>
              <w:kinsoku w:val="0"/>
              <w:wordWrap/>
              <w:overflowPunct/>
              <w:topLinePunct w:val="0"/>
              <w:autoSpaceDE w:val="0"/>
              <w:autoSpaceDN w:val="0"/>
              <w:bidi w:val="0"/>
              <w:adjustRightInd w:val="0"/>
              <w:snapToGrid w:val="0"/>
              <w:spacing w:before="74" w:line="360" w:lineRule="auto"/>
              <w:ind w:left="489" w:leftChars="0"/>
              <w:jc w:val="center"/>
              <w:textAlignment w:val="baseline"/>
              <w:rPr>
                <w:rFonts w:hint="eastAsia" w:asciiTheme="minorEastAsia" w:hAnsiTheme="minorEastAsia" w:eastAsiaTheme="minorEastAsia" w:cstheme="minorEastAsia"/>
                <w:sz w:val="24"/>
                <w:szCs w:val="24"/>
                <w:vertAlign w:val="baseline"/>
              </w:rPr>
            </w:pPr>
          </w:p>
        </w:tc>
        <w:tc>
          <w:tcPr>
            <w:tcW w:w="8445" w:type="dxa"/>
            <w:vAlign w:val="top"/>
          </w:tcPr>
          <w:p w14:paraId="7D5064D4">
            <w:pPr>
              <w:pStyle w:val="131"/>
              <w:keepNext w:val="0"/>
              <w:keepLines w:val="0"/>
              <w:pageBreakBefore w:val="0"/>
              <w:widowControl/>
              <w:kinsoku w:val="0"/>
              <w:wordWrap/>
              <w:overflowPunct/>
              <w:topLinePunct w:val="0"/>
              <w:autoSpaceDE w:val="0"/>
              <w:autoSpaceDN w:val="0"/>
              <w:bidi w:val="0"/>
              <w:adjustRightInd w:val="0"/>
              <w:snapToGrid w:val="0"/>
              <w:spacing w:before="36" w:line="360" w:lineRule="auto"/>
              <w:ind w:right="5" w:rightChars="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人员培训和考核（12 分）：</w:t>
            </w:r>
          </w:p>
          <w:p w14:paraId="19536473">
            <w:pPr>
              <w:pStyle w:val="131"/>
              <w:keepNext w:val="0"/>
              <w:keepLines w:val="0"/>
              <w:pageBreakBefore w:val="0"/>
              <w:widowControl/>
              <w:kinsoku w:val="0"/>
              <w:wordWrap/>
              <w:overflowPunct/>
              <w:topLinePunct w:val="0"/>
              <w:autoSpaceDE w:val="0"/>
              <w:autoSpaceDN w:val="0"/>
              <w:bidi w:val="0"/>
              <w:adjustRightInd w:val="0"/>
              <w:snapToGrid w:val="0"/>
              <w:spacing w:before="36" w:line="360" w:lineRule="auto"/>
              <w:ind w:right="5" w:rightChars="0"/>
              <w:jc w:val="both"/>
              <w:textAlignment w:val="baseline"/>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投标人针对本项目运营需求，包含：①各岗位人员进行岗前培训②在岗培训③安全培训等④考核标准制度及方案，以上内容每提供一项最高得</w:t>
            </w:r>
            <w:r>
              <w:rPr>
                <w:rFonts w:hint="eastAsia" w:asciiTheme="minorEastAsia" w:hAnsiTheme="minorEastAsia" w:eastAsiaTheme="minorEastAsia" w:cstheme="minorEastAsia"/>
                <w:sz w:val="24"/>
                <w:szCs w:val="24"/>
                <w:lang w:val="en-US" w:eastAsia="zh-CN"/>
              </w:rPr>
              <w:t>3分</w:t>
            </w:r>
            <w:r>
              <w:rPr>
                <w:rFonts w:hint="eastAsia" w:asciiTheme="minorEastAsia" w:hAnsiTheme="minorEastAsia" w:eastAsiaTheme="minorEastAsia" w:cstheme="minorEastAsia"/>
                <w:sz w:val="24"/>
                <w:szCs w:val="24"/>
              </w:rPr>
              <w:t>，满分12分；每项内容中有缺陷或不足的，每有一处扣1分，扣完为止，未提供不得分。</w:t>
            </w:r>
          </w:p>
        </w:tc>
      </w:tr>
      <w:tr w14:paraId="1577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vAlign w:val="center"/>
          </w:tcPr>
          <w:p w14:paraId="32C2A7C7">
            <w:pPr>
              <w:pStyle w:val="131"/>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eastAsia" w:asciiTheme="minorEastAsia" w:hAnsiTheme="minorEastAsia" w:eastAsiaTheme="minorEastAsia" w:cstheme="minorEastAsia"/>
                <w:b/>
                <w:bCs/>
                <w:spacing w:val="-5"/>
                <w:sz w:val="24"/>
                <w:szCs w:val="24"/>
              </w:rPr>
            </w:pPr>
            <w:r>
              <w:rPr>
                <w:rFonts w:hint="eastAsia" w:asciiTheme="minorEastAsia" w:hAnsiTheme="minorEastAsia" w:eastAsiaTheme="minorEastAsia" w:cstheme="minorEastAsia"/>
                <w:b/>
                <w:bCs/>
                <w:spacing w:val="-5"/>
                <w:sz w:val="24"/>
                <w:szCs w:val="24"/>
              </w:rPr>
              <w:t>服务承诺</w:t>
            </w:r>
          </w:p>
          <w:p w14:paraId="08969946">
            <w:pPr>
              <w:pStyle w:val="131"/>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pacing w:val="7"/>
                <w:sz w:val="24"/>
                <w:szCs w:val="24"/>
              </w:rPr>
              <w:t>（8分）</w:t>
            </w:r>
          </w:p>
        </w:tc>
        <w:tc>
          <w:tcPr>
            <w:tcW w:w="8445" w:type="dxa"/>
            <w:vAlign w:val="top"/>
          </w:tcPr>
          <w:p w14:paraId="2B752336">
            <w:pPr>
              <w:pStyle w:val="131"/>
              <w:keepNext w:val="0"/>
              <w:keepLines w:val="0"/>
              <w:pageBreakBefore w:val="0"/>
              <w:widowControl/>
              <w:kinsoku w:val="0"/>
              <w:wordWrap/>
              <w:overflowPunct/>
              <w:topLinePunct w:val="0"/>
              <w:autoSpaceDE w:val="0"/>
              <w:autoSpaceDN w:val="0"/>
              <w:bidi w:val="0"/>
              <w:adjustRightInd w:val="0"/>
              <w:snapToGrid w:val="0"/>
              <w:spacing w:before="152" w:line="360" w:lineRule="auto"/>
              <w:ind w:right="1" w:rightChars="0"/>
              <w:jc w:val="both"/>
              <w:textAlignment w:val="baseline"/>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pacing w:val="-1"/>
                <w:sz w:val="24"/>
                <w:szCs w:val="24"/>
              </w:rPr>
              <w:t>要求投标人根据本项目实际情况编写服务承诺，包括①服务期限②</w:t>
            </w:r>
            <w:r>
              <w:rPr>
                <w:rFonts w:hint="eastAsia" w:asciiTheme="minorEastAsia" w:hAnsiTheme="minorEastAsia" w:eastAsiaTheme="minorEastAsia" w:cstheme="minorEastAsia"/>
                <w:sz w:val="24"/>
                <w:szCs w:val="24"/>
              </w:rPr>
              <w:t>服务响应时间③解决问题时间④售后服务承诺</w:t>
            </w:r>
            <w:r>
              <w:rPr>
                <w:rFonts w:hint="eastAsia" w:asciiTheme="minorEastAsia" w:hAnsiTheme="minorEastAsia" w:eastAsiaTheme="minorEastAsia" w:cstheme="minorEastAsia"/>
                <w:spacing w:val="-1"/>
                <w:sz w:val="24"/>
                <w:szCs w:val="24"/>
              </w:rPr>
              <w:t>。以上内容每提供一项最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高得</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
                <w:sz w:val="24"/>
                <w:szCs w:val="24"/>
              </w:rPr>
              <w:t>分，满分8</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1"/>
                <w:sz w:val="24"/>
                <w:szCs w:val="24"/>
              </w:rPr>
              <w:t>分；每项内容中有缺陷或不</w:t>
            </w:r>
            <w:r>
              <w:rPr>
                <w:rFonts w:hint="eastAsia" w:asciiTheme="minorEastAsia" w:hAnsiTheme="minorEastAsia" w:eastAsiaTheme="minorEastAsia" w:cstheme="minorEastAsia"/>
                <w:spacing w:val="-2"/>
                <w:sz w:val="24"/>
                <w:szCs w:val="24"/>
              </w:rPr>
              <w:t>足的，每有一处扣1分，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扣完为止，未提供不得分。</w:t>
            </w:r>
          </w:p>
        </w:tc>
      </w:tr>
      <w:tr w14:paraId="050B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1" w:type="dxa"/>
            <w:gridSpan w:val="2"/>
            <w:vAlign w:val="top"/>
          </w:tcPr>
          <w:p w14:paraId="61B9E3C0">
            <w:pPr>
              <w:pStyle w:val="131"/>
              <w:keepNext w:val="0"/>
              <w:keepLines w:val="0"/>
              <w:pageBreakBefore w:val="0"/>
              <w:widowControl/>
              <w:kinsoku w:val="0"/>
              <w:wordWrap/>
              <w:overflowPunct/>
              <w:topLinePunct w:val="0"/>
              <w:autoSpaceDE w:val="0"/>
              <w:autoSpaceDN w:val="0"/>
              <w:bidi w:val="0"/>
              <w:adjustRightInd w:val="0"/>
              <w:snapToGrid w:val="0"/>
              <w:spacing w:before="78" w:line="360" w:lineRule="auto"/>
              <w:ind w:right="7" w:rightChars="0"/>
              <w:jc w:val="both"/>
              <w:textAlignment w:val="baseline"/>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pacing w:val="-2"/>
                <w:sz w:val="24"/>
                <w:szCs w:val="24"/>
              </w:rPr>
              <w:t>注：存在缺陷是指该项内容描述前后不一致或该项内容所阐述的项目信息与项目实际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b/>
                <w:bCs/>
                <w:spacing w:val="-3"/>
                <w:sz w:val="24"/>
                <w:szCs w:val="24"/>
              </w:rPr>
              <w:t>信息不一致或该项内容描述不符合国家相关</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法律法规、规范</w:t>
            </w:r>
            <w:r>
              <w:rPr>
                <w:rFonts w:hint="eastAsia" w:asciiTheme="minorEastAsia" w:hAnsiTheme="minorEastAsia" w:eastAsiaTheme="minorEastAsia" w:cstheme="minorEastAsia"/>
                <w:b/>
                <w:bCs/>
                <w:spacing w:val="-4"/>
                <w:sz w:val="24"/>
                <w:szCs w:val="24"/>
              </w:rPr>
              <w:t>要求或该项内容阐述的方式方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3"/>
                <w:sz w:val="24"/>
                <w:szCs w:val="24"/>
              </w:rPr>
              <w:t>法明显不符合本项目实际情况。</w:t>
            </w:r>
          </w:p>
        </w:tc>
      </w:tr>
    </w:tbl>
    <w:p w14:paraId="3B3A0672">
      <w:pPr>
        <w:pStyle w:val="5"/>
        <w:numPr>
          <w:ilvl w:val="2"/>
          <w:numId w:val="0"/>
        </w:numPr>
        <w:tabs>
          <w:tab w:val="left" w:pos="720"/>
        </w:tabs>
        <w:rPr>
          <w:rFonts w:hAnsi="宋体" w:cs="宋体"/>
          <w:color w:val="000000"/>
          <w:sz w:val="28"/>
          <w:szCs w:val="28"/>
        </w:rPr>
      </w:pPr>
      <w:bookmarkStart w:id="46" w:name="_Toc13520"/>
      <w:bookmarkStart w:id="47" w:name="_Toc530748935"/>
      <w:r>
        <w:rPr>
          <w:rFonts w:hint="eastAsia" w:hAnsi="宋体" w:cs="宋体"/>
          <w:bCs/>
          <w:color w:val="000000"/>
          <w:sz w:val="28"/>
          <w:szCs w:val="28"/>
        </w:rPr>
        <w:t>八、确定成交供应商</w:t>
      </w:r>
      <w:bookmarkEnd w:id="46"/>
      <w:bookmarkEnd w:id="47"/>
    </w:p>
    <w:p w14:paraId="5C4D8820">
      <w:pPr>
        <w:pStyle w:val="6"/>
        <w:spacing w:before="0" w:after="0" w:line="360" w:lineRule="auto"/>
        <w:rPr>
          <w:rFonts w:ascii="宋体" w:hAnsi="宋体" w:cs="宋体"/>
          <w:b w:val="0"/>
          <w:color w:val="000000"/>
        </w:rPr>
      </w:pPr>
      <w:r>
        <w:rPr>
          <w:rFonts w:hint="eastAsia" w:ascii="宋体" w:hAnsi="宋体" w:cs="宋体"/>
          <w:color w:val="000000"/>
          <w:szCs w:val="24"/>
        </w:rPr>
        <w:t>18、成交通知</w:t>
      </w:r>
    </w:p>
    <w:p w14:paraId="00E180B1">
      <w:pPr>
        <w:pStyle w:val="13"/>
        <w:ind w:firstLine="480" w:firstLineChars="200"/>
        <w:rPr>
          <w:rFonts w:hAnsi="宋体" w:cs="宋体"/>
          <w:b/>
          <w:bCs/>
          <w:color w:val="000000"/>
          <w:sz w:val="24"/>
          <w:szCs w:val="24"/>
        </w:rPr>
      </w:pPr>
      <w:r>
        <w:rPr>
          <w:rFonts w:hint="eastAsia" w:hAnsi="宋体" w:cs="宋体"/>
          <w:color w:val="000000"/>
          <w:sz w:val="24"/>
          <w:szCs w:val="24"/>
        </w:rPr>
        <w:t>18.1采购代理机构应当在评标结束后2个工作日内将评标报告送采购人。采购人应当自收到评标报告之日起5个工作日内，在评标报告确定的成交候选人名单中按顺序确定成交人。成交候选人并列的，由采购人或者采购人委托磋商小组按照磋商文件规定的方式确定成交人；磋商文件未规定的，采取随机抽取的方式确定。</w:t>
      </w:r>
    </w:p>
    <w:p w14:paraId="6ABFCF4B">
      <w:pPr>
        <w:pStyle w:val="13"/>
        <w:ind w:firstLine="480" w:firstLineChars="200"/>
        <w:rPr>
          <w:rFonts w:hAnsi="宋体" w:cs="宋体"/>
          <w:b/>
          <w:bCs/>
          <w:color w:val="000000"/>
          <w:sz w:val="24"/>
          <w:szCs w:val="24"/>
        </w:rPr>
      </w:pPr>
      <w:r>
        <w:rPr>
          <w:rFonts w:hint="eastAsia" w:hAnsi="宋体" w:cs="宋体"/>
          <w:color w:val="000000"/>
          <w:sz w:val="24"/>
          <w:szCs w:val="24"/>
        </w:rPr>
        <w:t>18.2采购人在收到评标报告5个工作日内未按评标报告推荐的成交候选人顺序确定成交人，又不能说明合法理由的，视同按评标报告推荐的顺序确定排名第一的成交候选人为成交人。</w:t>
      </w:r>
    </w:p>
    <w:p w14:paraId="33F4F429">
      <w:pPr>
        <w:pStyle w:val="13"/>
        <w:ind w:firstLine="480" w:firstLineChars="200"/>
        <w:rPr>
          <w:rFonts w:hAnsi="宋体" w:cs="宋体"/>
          <w:b/>
          <w:bCs/>
          <w:color w:val="000000"/>
          <w:sz w:val="32"/>
        </w:rPr>
      </w:pPr>
      <w:r>
        <w:rPr>
          <w:rFonts w:hint="eastAsia" w:hAnsi="宋体" w:cs="宋体"/>
          <w:color w:val="000000"/>
          <w:sz w:val="24"/>
          <w:szCs w:val="28"/>
        </w:rPr>
        <w:t>18.3采购代理机构自</w:t>
      </w:r>
      <w:r>
        <w:rPr>
          <w:rFonts w:hint="eastAsia" w:hAnsi="宋体" w:cs="宋体"/>
          <w:color w:val="000000"/>
          <w:sz w:val="24"/>
          <w:szCs w:val="24"/>
        </w:rPr>
        <w:t>成交</w:t>
      </w:r>
      <w:r>
        <w:rPr>
          <w:rFonts w:hint="eastAsia" w:hAnsi="宋体" w:cs="宋体"/>
          <w:color w:val="000000"/>
          <w:sz w:val="24"/>
          <w:szCs w:val="28"/>
        </w:rPr>
        <w:t>磋商供应商确定之日起2个工作日内发出《</w:t>
      </w:r>
      <w:r>
        <w:rPr>
          <w:rFonts w:hint="eastAsia" w:hAnsi="宋体" w:cs="宋体"/>
          <w:color w:val="000000"/>
          <w:sz w:val="24"/>
          <w:szCs w:val="24"/>
        </w:rPr>
        <w:t>成交</w:t>
      </w:r>
      <w:r>
        <w:rPr>
          <w:rFonts w:hint="eastAsia" w:hAnsi="宋体" w:cs="宋体"/>
          <w:color w:val="000000"/>
          <w:sz w:val="24"/>
          <w:szCs w:val="28"/>
        </w:rPr>
        <w:t>通知书》，并在青海政府采购网、</w:t>
      </w:r>
      <w:r>
        <w:rPr>
          <w:rFonts w:hint="eastAsia" w:hAnsi="宋体" w:cs="宋体"/>
          <w:color w:val="000000"/>
          <w:sz w:val="24"/>
        </w:rPr>
        <w:t>青海省电子招标投标公共服务平台</w:t>
      </w:r>
      <w:r>
        <w:rPr>
          <w:rFonts w:hint="eastAsia" w:hAnsi="宋体" w:cs="宋体"/>
          <w:color w:val="000000"/>
          <w:sz w:val="24"/>
          <w:szCs w:val="28"/>
        </w:rPr>
        <w:t>等媒体上公告成交结果。</w:t>
      </w:r>
    </w:p>
    <w:p w14:paraId="74F71C92">
      <w:pPr>
        <w:pStyle w:val="13"/>
        <w:ind w:firstLine="480" w:firstLineChars="200"/>
        <w:rPr>
          <w:rFonts w:hAnsi="宋体" w:cs="宋体"/>
          <w:b/>
          <w:bCs/>
          <w:color w:val="000000"/>
          <w:sz w:val="24"/>
          <w:szCs w:val="24"/>
        </w:rPr>
      </w:pPr>
      <w:r>
        <w:rPr>
          <w:rFonts w:hint="eastAsia" w:hAnsi="宋体" w:cs="宋体"/>
          <w:color w:val="000000"/>
          <w:sz w:val="24"/>
          <w:szCs w:val="24"/>
        </w:rPr>
        <w:t>18.4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14:paraId="282DF402">
      <w:pPr>
        <w:pStyle w:val="13"/>
        <w:ind w:firstLine="480" w:firstLineChars="200"/>
        <w:rPr>
          <w:rFonts w:hAnsi="宋体" w:cs="宋体"/>
          <w:b/>
          <w:bCs/>
          <w:color w:val="000000"/>
          <w:sz w:val="24"/>
          <w:szCs w:val="24"/>
        </w:rPr>
      </w:pPr>
      <w:r>
        <w:rPr>
          <w:rFonts w:hint="eastAsia" w:hAnsi="宋体" w:cs="宋体"/>
          <w:color w:val="000000"/>
          <w:sz w:val="24"/>
          <w:szCs w:val="24"/>
        </w:rPr>
        <w:t>18.5成交公告期限为1个工作日。</w:t>
      </w:r>
    </w:p>
    <w:p w14:paraId="30B7D95E">
      <w:pPr>
        <w:pStyle w:val="13"/>
        <w:ind w:firstLine="480" w:firstLineChars="200"/>
        <w:rPr>
          <w:rFonts w:hAnsi="宋体" w:cs="宋体"/>
          <w:b/>
          <w:bCs/>
          <w:color w:val="000000"/>
          <w:sz w:val="24"/>
          <w:szCs w:val="24"/>
        </w:rPr>
      </w:pPr>
      <w:r>
        <w:rPr>
          <w:rFonts w:hint="eastAsia" w:hAnsi="宋体" w:cs="宋体"/>
          <w:color w:val="000000"/>
          <w:sz w:val="24"/>
          <w:szCs w:val="24"/>
        </w:rPr>
        <w:t>18.6在公告成交结果的同时，</w:t>
      </w:r>
      <w:r>
        <w:rPr>
          <w:rFonts w:hint="eastAsia" w:hAnsi="宋体" w:cs="宋体"/>
          <w:color w:val="000000"/>
          <w:sz w:val="24"/>
          <w:szCs w:val="24"/>
          <w:shd w:val="clear" w:color="auto" w:fill="FFFFFF"/>
        </w:rPr>
        <w:t>采购人或者采购代理机构</w:t>
      </w:r>
      <w:r>
        <w:rPr>
          <w:rFonts w:hint="eastAsia" w:hAnsi="宋体" w:cs="宋体"/>
          <w:color w:val="000000"/>
          <w:sz w:val="24"/>
          <w:szCs w:val="24"/>
        </w:rPr>
        <w:t>应当向成交人发出成交通知书；采用综合评分法评审的，还应当告知未成交人本人的评审得分与排序。</w:t>
      </w:r>
    </w:p>
    <w:p w14:paraId="369B99FA">
      <w:pPr>
        <w:pStyle w:val="13"/>
        <w:ind w:firstLine="480" w:firstLineChars="200"/>
        <w:rPr>
          <w:rFonts w:hAnsi="宋体" w:cs="宋体"/>
          <w:b/>
          <w:bCs/>
          <w:color w:val="000000"/>
          <w:sz w:val="24"/>
          <w:szCs w:val="24"/>
        </w:rPr>
      </w:pPr>
      <w:r>
        <w:rPr>
          <w:rFonts w:hint="eastAsia" w:hAnsi="宋体" w:cs="宋体"/>
          <w:color w:val="000000"/>
          <w:sz w:val="24"/>
          <w:szCs w:val="24"/>
        </w:rPr>
        <w:t>18.7成交通知书发出后，采购人不得违法改变成交结果，成交人无正当理由不得放弃成交。</w:t>
      </w:r>
    </w:p>
    <w:p w14:paraId="3A88E791">
      <w:pPr>
        <w:pStyle w:val="13"/>
        <w:ind w:firstLine="480" w:firstLineChars="200"/>
        <w:rPr>
          <w:rFonts w:hAnsi="宋体" w:cs="宋体"/>
          <w:b/>
          <w:bCs/>
          <w:color w:val="000000"/>
          <w:sz w:val="32"/>
        </w:rPr>
      </w:pPr>
      <w:r>
        <w:rPr>
          <w:rFonts w:hint="eastAsia" w:hAnsi="宋体" w:cs="宋体"/>
          <w:color w:val="000000"/>
          <w:sz w:val="24"/>
          <w:szCs w:val="28"/>
        </w:rPr>
        <w:t>18.8《成交通知书》对采购单位和成交磋商供应商具有同等效力，《成交通知书》发出后，采购单位改变成交结果的，或者成交磋商供应商无正当理由放弃成交项目的，依法承担法律责任。</w:t>
      </w:r>
    </w:p>
    <w:p w14:paraId="539D7582">
      <w:pPr>
        <w:pStyle w:val="5"/>
        <w:numPr>
          <w:ilvl w:val="2"/>
          <w:numId w:val="0"/>
        </w:numPr>
        <w:tabs>
          <w:tab w:val="left" w:pos="720"/>
        </w:tabs>
        <w:ind w:left="240"/>
        <w:rPr>
          <w:rFonts w:hAnsi="宋体" w:cs="宋体"/>
          <w:color w:val="000000"/>
          <w:sz w:val="28"/>
          <w:szCs w:val="28"/>
        </w:rPr>
      </w:pPr>
      <w:bookmarkStart w:id="48" w:name="_Toc530748936"/>
      <w:bookmarkStart w:id="49" w:name="_Toc10769"/>
      <w:r>
        <w:rPr>
          <w:rFonts w:hint="eastAsia" w:hAnsi="宋体" w:cs="宋体"/>
          <w:color w:val="000000"/>
          <w:sz w:val="28"/>
          <w:szCs w:val="28"/>
        </w:rPr>
        <w:t>九、授予合同</w:t>
      </w:r>
      <w:bookmarkEnd w:id="48"/>
      <w:bookmarkEnd w:id="49"/>
    </w:p>
    <w:p w14:paraId="59AD617F">
      <w:pPr>
        <w:pStyle w:val="6"/>
        <w:spacing w:before="0" w:after="0" w:line="360" w:lineRule="auto"/>
        <w:rPr>
          <w:rFonts w:ascii="宋体" w:hAnsi="宋体" w:cs="宋体"/>
          <w:bCs w:val="0"/>
          <w:color w:val="000000"/>
        </w:rPr>
      </w:pPr>
      <w:bookmarkStart w:id="50" w:name="_Toc488673640"/>
      <w:r>
        <w:rPr>
          <w:rFonts w:hint="eastAsia" w:ascii="宋体" w:hAnsi="宋体" w:cs="宋体"/>
          <w:bCs w:val="0"/>
          <w:color w:val="000000"/>
        </w:rPr>
        <w:t>19、签订合同</w:t>
      </w:r>
      <w:bookmarkEnd w:id="50"/>
    </w:p>
    <w:p w14:paraId="6BDFA1A9">
      <w:pPr>
        <w:pStyle w:val="13"/>
        <w:ind w:firstLine="480" w:firstLineChars="200"/>
        <w:rPr>
          <w:rFonts w:hAnsi="宋体" w:cs="宋体"/>
          <w:color w:val="000000"/>
          <w:sz w:val="24"/>
          <w:szCs w:val="28"/>
        </w:rPr>
      </w:pPr>
      <w:r>
        <w:rPr>
          <w:rFonts w:hint="eastAsia" w:hAnsi="宋体" w:cs="宋体"/>
          <w:color w:val="000000"/>
          <w:sz w:val="24"/>
          <w:szCs w:val="28"/>
        </w:rPr>
        <w:t>19.1采购单位与成交磋商供应商双方应当自《成交通知书》发出之日起30日内，签订采购合同，送采购代理机构审核并备案；</w:t>
      </w:r>
    </w:p>
    <w:p w14:paraId="5C514073">
      <w:pPr>
        <w:pStyle w:val="13"/>
        <w:ind w:firstLine="480" w:firstLineChars="200"/>
        <w:rPr>
          <w:rFonts w:hAnsi="宋体" w:cs="宋体"/>
          <w:color w:val="000000"/>
          <w:sz w:val="24"/>
          <w:szCs w:val="28"/>
        </w:rPr>
      </w:pPr>
      <w:r>
        <w:rPr>
          <w:rFonts w:hint="eastAsia" w:hAnsi="宋体" w:cs="宋体"/>
          <w:color w:val="000000"/>
          <w:sz w:val="24"/>
          <w:szCs w:val="28"/>
        </w:rPr>
        <w:t>19.2成交磋商供应商在法定期限内无正当理由拒签合同的，按违约处理。同时，采购代理机构和采购单位可依评标排序重新确定成交磋商供应商，并协调双方签订采购合同，或重新组织采购活动；</w:t>
      </w:r>
    </w:p>
    <w:p w14:paraId="11C9BB3B">
      <w:pPr>
        <w:pStyle w:val="13"/>
        <w:ind w:firstLine="480" w:firstLineChars="200"/>
        <w:rPr>
          <w:rFonts w:hAnsi="宋体" w:cs="宋体"/>
          <w:color w:val="000000"/>
          <w:sz w:val="24"/>
          <w:szCs w:val="28"/>
        </w:rPr>
      </w:pPr>
      <w:r>
        <w:rPr>
          <w:rFonts w:hint="eastAsia" w:hAnsi="宋体" w:cs="宋体"/>
          <w:color w:val="000000"/>
          <w:sz w:val="24"/>
          <w:szCs w:val="28"/>
        </w:rPr>
        <w:t>19.3采购单位不得向成交供应商提出任何不合理的要求作为订立合同的条件，采购单位和成交供应商不得私下订立背离合同实质性内容的协议；</w:t>
      </w:r>
    </w:p>
    <w:p w14:paraId="1909711C">
      <w:pPr>
        <w:pStyle w:val="13"/>
        <w:ind w:firstLine="480" w:firstLineChars="200"/>
        <w:rPr>
          <w:rFonts w:hAnsi="宋体" w:cs="宋体"/>
          <w:color w:val="000000"/>
          <w:sz w:val="24"/>
          <w:szCs w:val="28"/>
        </w:rPr>
      </w:pPr>
      <w:r>
        <w:rPr>
          <w:rFonts w:hint="eastAsia" w:hAnsi="宋体" w:cs="宋体"/>
          <w:color w:val="000000"/>
          <w:sz w:val="24"/>
          <w:szCs w:val="28"/>
        </w:rPr>
        <w:t>19.4磋商文件、成交磋商供应商的磋商响应文件、《成交通知书》及其澄清、说明文件、承诺等，均为签订采购合同的依据，作为采购合同的组成部分；</w:t>
      </w:r>
    </w:p>
    <w:p w14:paraId="1C75D658">
      <w:pPr>
        <w:pStyle w:val="13"/>
        <w:ind w:firstLine="480" w:firstLineChars="200"/>
        <w:rPr>
          <w:rFonts w:hAnsi="宋体" w:cs="宋体"/>
          <w:color w:val="000000"/>
          <w:sz w:val="24"/>
          <w:szCs w:val="28"/>
        </w:rPr>
      </w:pPr>
      <w:r>
        <w:rPr>
          <w:rFonts w:hint="eastAsia" w:hAnsi="宋体" w:cs="宋体"/>
          <w:color w:val="000000"/>
          <w:sz w:val="24"/>
          <w:szCs w:val="28"/>
        </w:rPr>
        <w:t>19.5采购人与成交人应当根据合同的约定依法履行合同义务。政府采购合同的履行、违约责任和解决争议的方法等适用《民法典·合同编》。</w:t>
      </w:r>
    </w:p>
    <w:p w14:paraId="32E69A1B">
      <w:pPr>
        <w:pStyle w:val="13"/>
        <w:ind w:firstLine="480" w:firstLineChars="200"/>
        <w:rPr>
          <w:rFonts w:hAnsi="宋体" w:cs="宋体"/>
          <w:color w:val="000000"/>
          <w:sz w:val="24"/>
          <w:szCs w:val="28"/>
        </w:rPr>
      </w:pPr>
      <w:r>
        <w:rPr>
          <w:rFonts w:hint="eastAsia" w:hAnsi="宋体" w:cs="宋体"/>
          <w:color w:val="000000"/>
          <w:sz w:val="24"/>
          <w:szCs w:val="28"/>
        </w:rPr>
        <w:t>19.6采购人应当及时对采购项目进行验收。采购人可以邀请参加本项目的其他磋商人或者第三方机构参与验收。参与验收的磋商人或者第三方机构的意见作为验收书的参考资料一并存档。</w:t>
      </w:r>
    </w:p>
    <w:p w14:paraId="5D603CFF">
      <w:pPr>
        <w:pStyle w:val="13"/>
        <w:ind w:firstLine="480" w:firstLineChars="200"/>
        <w:rPr>
          <w:rFonts w:hAnsi="宋体" w:cs="宋体"/>
          <w:color w:val="000000"/>
          <w:sz w:val="24"/>
          <w:szCs w:val="28"/>
        </w:rPr>
      </w:pPr>
      <w:r>
        <w:rPr>
          <w:rFonts w:hint="eastAsia" w:hAnsi="宋体" w:cs="宋体"/>
          <w:color w:val="000000"/>
          <w:sz w:val="24"/>
          <w:szCs w:val="28"/>
        </w:rPr>
        <w:t>19.7采购人应当加强对成交人的履约管理，并按照采购合同约定，及时向成交人支付采购资金。对于成交人违反采购合同约定的行为，采购人应当及时处理，依法追究其违约责任。</w:t>
      </w:r>
    </w:p>
    <w:p w14:paraId="05109609">
      <w:pPr>
        <w:pStyle w:val="13"/>
        <w:ind w:firstLine="480" w:firstLineChars="200"/>
        <w:rPr>
          <w:rFonts w:hAnsi="宋体" w:cs="宋体"/>
          <w:color w:val="000000"/>
          <w:sz w:val="24"/>
          <w:szCs w:val="28"/>
        </w:rPr>
      </w:pPr>
      <w:r>
        <w:rPr>
          <w:rFonts w:hint="eastAsia" w:hAnsi="宋体" w:cs="宋体"/>
          <w:color w:val="000000"/>
          <w:sz w:val="24"/>
          <w:szCs w:val="28"/>
        </w:rPr>
        <w:t>19.8采购合同签订之日起2个工作日内，由采购单位将采购合同在青海政府采购网、青海招标投标网等媒体上公告，但采购合同中涉及国家秘密、商业秘密的内容除外。</w:t>
      </w:r>
    </w:p>
    <w:p w14:paraId="67D63F35">
      <w:pPr>
        <w:pStyle w:val="13"/>
        <w:ind w:firstLine="480" w:firstLineChars="200"/>
        <w:rPr>
          <w:rFonts w:hAnsi="宋体" w:cs="宋体"/>
          <w:color w:val="000000"/>
          <w:sz w:val="24"/>
          <w:szCs w:val="28"/>
        </w:rPr>
      </w:pPr>
      <w:r>
        <w:rPr>
          <w:rFonts w:hint="eastAsia" w:hAnsi="宋体" w:cs="宋体"/>
          <w:color w:val="000000"/>
          <w:sz w:val="24"/>
          <w:szCs w:val="28"/>
        </w:rPr>
        <w:t>19.9采购人、采购代理机构应当建立真实完整的磋商采购档案，妥善保存每项采购活动的采购文件。</w:t>
      </w:r>
    </w:p>
    <w:p w14:paraId="40CF68D3">
      <w:pPr>
        <w:pStyle w:val="5"/>
        <w:numPr>
          <w:ilvl w:val="2"/>
          <w:numId w:val="0"/>
        </w:numPr>
        <w:tabs>
          <w:tab w:val="left" w:pos="720"/>
        </w:tabs>
        <w:ind w:left="240"/>
        <w:rPr>
          <w:rFonts w:hAnsi="宋体" w:cs="宋体"/>
          <w:color w:val="000000"/>
          <w:sz w:val="28"/>
          <w:szCs w:val="28"/>
        </w:rPr>
      </w:pPr>
      <w:bookmarkStart w:id="51" w:name="_Toc530748937"/>
      <w:bookmarkStart w:id="52" w:name="_Toc26181"/>
      <w:r>
        <w:rPr>
          <w:rFonts w:hint="eastAsia" w:hAnsi="宋体" w:cs="宋体"/>
          <w:bCs/>
          <w:color w:val="000000"/>
          <w:sz w:val="28"/>
          <w:szCs w:val="28"/>
        </w:rPr>
        <w:t>十、磋商活动终止</w:t>
      </w:r>
      <w:bookmarkEnd w:id="51"/>
      <w:bookmarkEnd w:id="52"/>
    </w:p>
    <w:p w14:paraId="1BDF477E">
      <w:pPr>
        <w:pStyle w:val="6"/>
        <w:spacing w:before="0" w:after="0" w:line="360" w:lineRule="auto"/>
        <w:rPr>
          <w:rFonts w:ascii="宋体" w:hAnsi="宋体" w:cs="宋体"/>
          <w:b w:val="0"/>
          <w:color w:val="000000"/>
        </w:rPr>
      </w:pPr>
      <w:bookmarkStart w:id="53" w:name="_Toc488673642"/>
      <w:r>
        <w:rPr>
          <w:rFonts w:hint="eastAsia" w:ascii="宋体" w:hAnsi="宋体" w:cs="宋体"/>
          <w:color w:val="000000"/>
          <w:szCs w:val="24"/>
        </w:rPr>
        <w:t>20、终止</w:t>
      </w:r>
      <w:r>
        <w:rPr>
          <w:rFonts w:hint="eastAsia" w:ascii="宋体" w:hAnsi="宋体" w:cs="宋体"/>
          <w:bCs w:val="0"/>
          <w:color w:val="000000"/>
        </w:rPr>
        <w:t>情形</w:t>
      </w:r>
      <w:bookmarkEnd w:id="53"/>
    </w:p>
    <w:p w14:paraId="6F32EF9B">
      <w:pPr>
        <w:pStyle w:val="13"/>
        <w:ind w:firstLine="480" w:firstLineChars="200"/>
        <w:rPr>
          <w:rFonts w:hAnsi="宋体" w:cs="宋体"/>
          <w:color w:val="000000"/>
          <w:sz w:val="24"/>
          <w:szCs w:val="28"/>
        </w:rPr>
      </w:pPr>
      <w:r>
        <w:rPr>
          <w:rFonts w:hint="eastAsia" w:hAnsi="宋体" w:cs="宋体"/>
          <w:color w:val="000000"/>
          <w:sz w:val="24"/>
          <w:szCs w:val="24"/>
        </w:rPr>
        <w:t>20.1在磋商采购中，出现下列情形之一的，应予终止：</w:t>
      </w:r>
    </w:p>
    <w:p w14:paraId="7820A50B">
      <w:pPr>
        <w:pStyle w:val="13"/>
        <w:numPr>
          <w:ilvl w:val="0"/>
          <w:numId w:val="16"/>
        </w:numPr>
        <w:ind w:left="0" w:firstLine="480" w:firstLineChars="200"/>
        <w:rPr>
          <w:rFonts w:hAnsi="宋体" w:cs="宋体"/>
          <w:color w:val="000000"/>
          <w:sz w:val="24"/>
          <w:szCs w:val="24"/>
        </w:rPr>
      </w:pPr>
      <w:r>
        <w:rPr>
          <w:rFonts w:hint="eastAsia" w:hAnsi="宋体" w:cs="宋体"/>
          <w:color w:val="000000"/>
          <w:sz w:val="24"/>
          <w:szCs w:val="24"/>
        </w:rPr>
        <w:t>符合磋商条件的磋商供应商或者对磋商文件作出实质性响应的磋商供应商不足三家的；</w:t>
      </w:r>
    </w:p>
    <w:p w14:paraId="3E33B7AC">
      <w:pPr>
        <w:pStyle w:val="13"/>
        <w:numPr>
          <w:ilvl w:val="0"/>
          <w:numId w:val="16"/>
        </w:numPr>
        <w:ind w:left="0" w:firstLine="480" w:firstLineChars="200"/>
        <w:rPr>
          <w:rFonts w:hAnsi="宋体" w:cs="宋体"/>
          <w:color w:val="000000"/>
          <w:sz w:val="24"/>
          <w:szCs w:val="24"/>
        </w:rPr>
      </w:pPr>
      <w:r>
        <w:rPr>
          <w:rFonts w:hint="eastAsia" w:hAnsi="宋体" w:cs="宋体"/>
          <w:color w:val="000000"/>
          <w:sz w:val="24"/>
          <w:szCs w:val="24"/>
        </w:rPr>
        <w:t>出现影响采购活动正常推进的违法、违规行为的；</w:t>
      </w:r>
    </w:p>
    <w:p w14:paraId="6F25AF77">
      <w:pPr>
        <w:pStyle w:val="13"/>
        <w:numPr>
          <w:ilvl w:val="0"/>
          <w:numId w:val="16"/>
        </w:numPr>
        <w:ind w:left="0" w:firstLine="480" w:firstLineChars="200"/>
        <w:rPr>
          <w:rFonts w:hAnsi="宋体" w:cs="宋体"/>
          <w:color w:val="000000"/>
          <w:sz w:val="24"/>
          <w:szCs w:val="24"/>
        </w:rPr>
      </w:pPr>
      <w:r>
        <w:rPr>
          <w:rFonts w:hint="eastAsia" w:hAnsi="宋体" w:cs="宋体"/>
          <w:color w:val="000000"/>
          <w:sz w:val="24"/>
          <w:szCs w:val="24"/>
        </w:rPr>
        <w:t>磋商供应商的报价均超出采购预算额度，采购单位不能支付的；</w:t>
      </w:r>
    </w:p>
    <w:p w14:paraId="1E1A7214">
      <w:pPr>
        <w:pStyle w:val="13"/>
        <w:numPr>
          <w:ilvl w:val="0"/>
          <w:numId w:val="16"/>
        </w:numPr>
        <w:ind w:left="0" w:firstLine="480" w:firstLineChars="200"/>
        <w:rPr>
          <w:rFonts w:hAnsi="宋体" w:cs="宋体"/>
          <w:color w:val="000000"/>
          <w:sz w:val="24"/>
          <w:szCs w:val="24"/>
        </w:rPr>
      </w:pPr>
      <w:r>
        <w:rPr>
          <w:rFonts w:hint="eastAsia" w:hAnsi="宋体" w:cs="宋体"/>
          <w:color w:val="000000"/>
          <w:sz w:val="24"/>
          <w:szCs w:val="24"/>
        </w:rPr>
        <w:t>因重大变故，采购任务取消的。</w:t>
      </w:r>
    </w:p>
    <w:p w14:paraId="7E8A4B5D">
      <w:pPr>
        <w:pStyle w:val="13"/>
        <w:ind w:firstLine="480" w:firstLineChars="200"/>
        <w:rPr>
          <w:rFonts w:hAnsi="宋体" w:cs="宋体"/>
          <w:color w:val="000000"/>
          <w:sz w:val="24"/>
          <w:szCs w:val="24"/>
        </w:rPr>
      </w:pPr>
      <w:r>
        <w:rPr>
          <w:rFonts w:hint="eastAsia" w:hAnsi="宋体" w:cs="宋体"/>
          <w:color w:val="000000"/>
          <w:sz w:val="24"/>
          <w:szCs w:val="24"/>
        </w:rPr>
        <w:t>20.2终止磋商活动后，由采购代理机构发布终止公告并说明原因。</w:t>
      </w:r>
    </w:p>
    <w:p w14:paraId="5C0D3E4E">
      <w:pPr>
        <w:pStyle w:val="5"/>
        <w:numPr>
          <w:ilvl w:val="2"/>
          <w:numId w:val="0"/>
        </w:numPr>
        <w:tabs>
          <w:tab w:val="left" w:pos="720"/>
        </w:tabs>
        <w:snapToGrid/>
        <w:ind w:left="720"/>
        <w:jc w:val="both"/>
        <w:rPr>
          <w:rFonts w:hAnsi="宋体" w:cs="宋体"/>
          <w:color w:val="000000"/>
          <w:sz w:val="28"/>
          <w:szCs w:val="28"/>
        </w:rPr>
      </w:pPr>
      <w:bookmarkStart w:id="54" w:name="_Toc530748938"/>
      <w:bookmarkStart w:id="55" w:name="_Toc3118"/>
      <w:r>
        <w:rPr>
          <w:rFonts w:hint="eastAsia" w:hAnsi="宋体" w:cs="宋体"/>
          <w:color w:val="000000"/>
          <w:sz w:val="28"/>
          <w:szCs w:val="28"/>
        </w:rPr>
        <w:t>十一、其他</w:t>
      </w:r>
      <w:bookmarkEnd w:id="54"/>
      <w:bookmarkEnd w:id="55"/>
    </w:p>
    <w:p w14:paraId="38DA3AE7">
      <w:pPr>
        <w:pStyle w:val="6"/>
        <w:spacing w:before="0" w:after="0" w:line="360" w:lineRule="auto"/>
        <w:rPr>
          <w:rFonts w:ascii="宋体" w:hAnsi="宋体" w:cs="宋体"/>
          <w:b w:val="0"/>
          <w:color w:val="000000"/>
        </w:rPr>
      </w:pPr>
      <w:bookmarkStart w:id="56" w:name="_Toc488673644"/>
      <w:r>
        <w:rPr>
          <w:rFonts w:hint="eastAsia" w:ascii="宋体" w:hAnsi="宋体" w:cs="宋体"/>
          <w:bCs w:val="0"/>
          <w:color w:val="000000"/>
        </w:rPr>
        <w:t>21、串标情形</w:t>
      </w:r>
      <w:bookmarkEnd w:id="56"/>
    </w:p>
    <w:p w14:paraId="4BFA56FA">
      <w:pPr>
        <w:pStyle w:val="13"/>
        <w:ind w:left="480" w:leftChars="200"/>
        <w:rPr>
          <w:rFonts w:hAnsi="宋体" w:cs="宋体"/>
          <w:color w:val="000000"/>
          <w:sz w:val="24"/>
          <w:szCs w:val="24"/>
        </w:rPr>
      </w:pPr>
      <w:r>
        <w:rPr>
          <w:rFonts w:hint="eastAsia" w:hAnsi="宋体" w:cs="宋体"/>
          <w:color w:val="000000"/>
          <w:sz w:val="24"/>
          <w:szCs w:val="24"/>
        </w:rPr>
        <w:t>21.1磋商人应当遵循公平竞争的原则，不得恶意串通，不得妨碍其他磋商人的竞争行为，不得损害采购人或者其他磋商人的合法权益。</w:t>
      </w:r>
    </w:p>
    <w:p w14:paraId="15B10ABA">
      <w:pPr>
        <w:pStyle w:val="13"/>
        <w:ind w:firstLine="480" w:firstLineChars="200"/>
        <w:rPr>
          <w:rFonts w:hAnsi="宋体" w:cs="宋体"/>
          <w:color w:val="000000"/>
          <w:sz w:val="24"/>
          <w:szCs w:val="24"/>
        </w:rPr>
      </w:pPr>
      <w:r>
        <w:rPr>
          <w:rFonts w:hint="eastAsia" w:hAnsi="宋体" w:cs="宋体"/>
          <w:color w:val="000000"/>
          <w:sz w:val="24"/>
          <w:szCs w:val="24"/>
        </w:rPr>
        <w:t>在评标过程中发现磋商人有上述情形的，磋商小组应当认定其投标无效，并书面报告本级财政部门。</w:t>
      </w:r>
    </w:p>
    <w:p w14:paraId="5DA55F7F">
      <w:pPr>
        <w:pStyle w:val="13"/>
        <w:numPr>
          <w:ilvl w:val="0"/>
          <w:numId w:val="17"/>
        </w:numPr>
        <w:ind w:left="0" w:firstLine="480" w:firstLineChars="200"/>
        <w:rPr>
          <w:rFonts w:hAnsi="宋体" w:cs="宋体"/>
          <w:color w:val="000000"/>
          <w:sz w:val="24"/>
          <w:szCs w:val="24"/>
        </w:rPr>
      </w:pPr>
      <w:r>
        <w:rPr>
          <w:rFonts w:hint="eastAsia" w:hAnsi="宋体" w:cs="宋体"/>
          <w:color w:val="000000"/>
          <w:sz w:val="24"/>
          <w:szCs w:val="24"/>
        </w:rPr>
        <w:t>有下列情形之一的，视为磋商人串通投标，其投标无效：</w:t>
      </w:r>
    </w:p>
    <w:p w14:paraId="64736DBC">
      <w:pPr>
        <w:pStyle w:val="13"/>
        <w:numPr>
          <w:ilvl w:val="0"/>
          <w:numId w:val="18"/>
        </w:numPr>
        <w:ind w:left="0" w:firstLine="480" w:firstLineChars="200"/>
        <w:rPr>
          <w:rFonts w:hAnsi="宋体" w:cs="宋体"/>
          <w:color w:val="000000"/>
          <w:sz w:val="24"/>
          <w:szCs w:val="24"/>
        </w:rPr>
      </w:pPr>
      <w:r>
        <w:rPr>
          <w:rFonts w:hint="eastAsia" w:hAnsi="宋体" w:cs="宋体"/>
          <w:color w:val="000000"/>
          <w:sz w:val="24"/>
          <w:szCs w:val="24"/>
        </w:rPr>
        <w:t>不同磋商人的磋商响应文件由同一单位或者个人编制；</w:t>
      </w:r>
    </w:p>
    <w:p w14:paraId="7836CA2B">
      <w:pPr>
        <w:pStyle w:val="13"/>
        <w:numPr>
          <w:ilvl w:val="0"/>
          <w:numId w:val="18"/>
        </w:numPr>
        <w:ind w:left="0" w:firstLine="480" w:firstLineChars="200"/>
        <w:rPr>
          <w:rFonts w:hAnsi="宋体" w:cs="宋体"/>
          <w:color w:val="000000"/>
          <w:sz w:val="24"/>
          <w:szCs w:val="24"/>
        </w:rPr>
      </w:pPr>
      <w:r>
        <w:rPr>
          <w:rFonts w:hint="eastAsia" w:hAnsi="宋体" w:cs="宋体"/>
          <w:color w:val="000000"/>
          <w:sz w:val="24"/>
          <w:szCs w:val="24"/>
        </w:rPr>
        <w:t>不同磋商人委托同一单位或者个人办理投标事宜；</w:t>
      </w:r>
    </w:p>
    <w:p w14:paraId="627ED7FF">
      <w:pPr>
        <w:pStyle w:val="13"/>
        <w:numPr>
          <w:ilvl w:val="0"/>
          <w:numId w:val="18"/>
        </w:numPr>
        <w:ind w:left="0" w:firstLine="480" w:firstLineChars="200"/>
        <w:rPr>
          <w:rFonts w:hAnsi="宋体" w:cs="宋体"/>
          <w:color w:val="000000"/>
          <w:sz w:val="24"/>
          <w:szCs w:val="24"/>
        </w:rPr>
      </w:pPr>
      <w:r>
        <w:rPr>
          <w:rFonts w:hint="eastAsia" w:hAnsi="宋体" w:cs="宋体"/>
          <w:color w:val="000000"/>
          <w:sz w:val="24"/>
          <w:szCs w:val="24"/>
        </w:rPr>
        <w:t>不同磋商人的磋商响应文件载明的项目管理成员或者联系人员为同一人；</w:t>
      </w:r>
    </w:p>
    <w:p w14:paraId="78273CA3">
      <w:pPr>
        <w:pStyle w:val="13"/>
        <w:numPr>
          <w:ilvl w:val="0"/>
          <w:numId w:val="18"/>
        </w:numPr>
        <w:ind w:left="0" w:firstLine="480" w:firstLineChars="200"/>
        <w:rPr>
          <w:rFonts w:hAnsi="宋体" w:cs="宋体"/>
          <w:color w:val="000000"/>
          <w:sz w:val="24"/>
          <w:szCs w:val="24"/>
        </w:rPr>
      </w:pPr>
      <w:r>
        <w:rPr>
          <w:rFonts w:hint="eastAsia" w:hAnsi="宋体" w:cs="宋体"/>
          <w:color w:val="000000"/>
          <w:sz w:val="24"/>
          <w:szCs w:val="24"/>
        </w:rPr>
        <w:t>不同磋商人的磋商响应文件异常一致或者投标报价呈规律性差异；</w:t>
      </w:r>
    </w:p>
    <w:p w14:paraId="24D79521">
      <w:pPr>
        <w:pStyle w:val="13"/>
        <w:numPr>
          <w:ilvl w:val="0"/>
          <w:numId w:val="18"/>
        </w:numPr>
        <w:ind w:left="0" w:firstLine="480" w:firstLineChars="200"/>
        <w:rPr>
          <w:rFonts w:hAnsi="宋体" w:cs="宋体"/>
          <w:color w:val="000000"/>
          <w:sz w:val="24"/>
          <w:szCs w:val="24"/>
        </w:rPr>
      </w:pPr>
      <w:r>
        <w:rPr>
          <w:rFonts w:hint="eastAsia" w:hAnsi="宋体" w:cs="宋体"/>
          <w:color w:val="000000"/>
          <w:sz w:val="24"/>
          <w:szCs w:val="24"/>
        </w:rPr>
        <w:t>不同磋商人的磋商响应文件相互混装；</w:t>
      </w:r>
    </w:p>
    <w:p w14:paraId="1276BAA1">
      <w:pPr>
        <w:pStyle w:val="13"/>
        <w:numPr>
          <w:ilvl w:val="0"/>
          <w:numId w:val="18"/>
        </w:numPr>
        <w:ind w:left="0" w:firstLine="480" w:firstLineChars="200"/>
        <w:rPr>
          <w:rFonts w:hAnsi="宋体" w:cs="宋体"/>
          <w:color w:val="000000"/>
          <w:sz w:val="24"/>
          <w:szCs w:val="24"/>
        </w:rPr>
      </w:pPr>
      <w:r>
        <w:rPr>
          <w:rFonts w:hint="eastAsia" w:hAnsi="宋体" w:cs="宋体"/>
          <w:color w:val="000000"/>
          <w:sz w:val="24"/>
          <w:szCs w:val="24"/>
        </w:rPr>
        <w:t>不同磋商人的投标保证金从同一单位或者个人的账户转出。</w:t>
      </w:r>
    </w:p>
    <w:p w14:paraId="16A07152">
      <w:pPr>
        <w:pStyle w:val="13"/>
        <w:ind w:left="480" w:leftChars="200"/>
        <w:rPr>
          <w:rFonts w:hint="eastAsia" w:hAnsi="宋体" w:cs="宋体"/>
          <w:color w:val="000000"/>
          <w:sz w:val="24"/>
          <w:szCs w:val="24"/>
        </w:rPr>
      </w:pPr>
      <w:r>
        <w:rPr>
          <w:rFonts w:hint="eastAsia" w:hAnsi="宋体" w:cs="宋体"/>
          <w:color w:val="000000"/>
          <w:sz w:val="24"/>
          <w:szCs w:val="24"/>
        </w:rPr>
        <w:t>21.2其他未尽事宜，按照《中华人民共和国政府采购法》、《民法典·合同编》、《中华人民共和国政府采购法实施条例》、《政府采购竞争性磋商采购方式管理暂行办法》等法律法规的有关条款执行。</w:t>
      </w:r>
    </w:p>
    <w:p w14:paraId="5CD62DA5">
      <w:pPr>
        <w:pStyle w:val="25"/>
        <w:spacing w:before="0" w:after="0" w:line="360" w:lineRule="auto"/>
        <w:jc w:val="both"/>
        <w:outlineLvl w:val="0"/>
        <w:rPr>
          <w:rFonts w:hint="eastAsia" w:ascii="宋体" w:hAnsi="宋体" w:cs="宋体"/>
          <w:color w:val="000000"/>
          <w:sz w:val="48"/>
        </w:rPr>
      </w:pPr>
      <w:r>
        <w:rPr>
          <w:rFonts w:hint="eastAsia" w:hAnsi="宋体" w:cs="宋体"/>
          <w:color w:val="000000"/>
          <w:sz w:val="24"/>
          <w:szCs w:val="24"/>
        </w:rPr>
        <w:br w:type="page"/>
      </w:r>
      <w:bookmarkStart w:id="57" w:name="_Toc8635"/>
      <w:r>
        <w:rPr>
          <w:rFonts w:hint="eastAsia" w:ascii="宋体" w:hAnsi="宋体" w:cs="宋体"/>
          <w:color w:val="000000"/>
          <w:sz w:val="48"/>
        </w:rPr>
        <w:t>第四部分  采购项目合同书</w:t>
      </w:r>
      <w:bookmarkEnd w:id="44"/>
      <w:bookmarkEnd w:id="57"/>
    </w:p>
    <w:p w14:paraId="36849C23">
      <w:pPr>
        <w:jc w:val="center"/>
        <w:rPr>
          <w:rFonts w:ascii="宋体" w:hAnsi="宋体" w:cs="宋体"/>
          <w:color w:val="000000"/>
          <w:kern w:val="0"/>
        </w:rPr>
      </w:pPr>
      <w:bookmarkStart w:id="58" w:name="_Toc375576842"/>
      <w:bookmarkStart w:id="59" w:name="_Toc373954603"/>
      <w:bookmarkStart w:id="60" w:name="_Toc373936315"/>
    </w:p>
    <w:bookmarkEnd w:id="58"/>
    <w:bookmarkEnd w:id="59"/>
    <w:bookmarkEnd w:id="60"/>
    <w:p w14:paraId="70B5BF47">
      <w:pPr>
        <w:bidi w:val="0"/>
        <w:jc w:val="center"/>
        <w:rPr>
          <w:sz w:val="36"/>
          <w:szCs w:val="36"/>
          <w:lang w:val="zh-CN"/>
        </w:rPr>
      </w:pPr>
      <w:bookmarkStart w:id="61" w:name="_Toc27135"/>
      <w:r>
        <w:rPr>
          <w:rFonts w:hint="eastAsia"/>
          <w:sz w:val="36"/>
          <w:szCs w:val="36"/>
          <w:lang w:val="zh-CN"/>
        </w:rPr>
        <w:t>青海省政府采购项目合同书</w:t>
      </w:r>
      <w:bookmarkEnd w:id="61"/>
    </w:p>
    <w:p w14:paraId="62CA2FB7">
      <w:pPr>
        <w:pStyle w:val="12"/>
        <w:jc w:val="center"/>
      </w:pPr>
      <w:r>
        <w:rPr>
          <w:rFonts w:hint="eastAsia" w:ascii="宋体" w:hAnsi="宋体" w:cs="宋体"/>
          <w:bCs/>
          <w:color w:val="000000"/>
          <w:sz w:val="36"/>
          <w:szCs w:val="36"/>
          <w:lang w:val="zh-CN"/>
        </w:rPr>
        <w:t>（服务类）</w:t>
      </w:r>
    </w:p>
    <w:p w14:paraId="41B02579">
      <w:pPr>
        <w:autoSpaceDE w:val="0"/>
        <w:autoSpaceDN w:val="0"/>
        <w:ind w:firstLine="640"/>
        <w:rPr>
          <w:rFonts w:ascii="宋体" w:hAnsi="宋体" w:cs="宋体"/>
          <w:color w:val="000000"/>
          <w:sz w:val="32"/>
          <w:szCs w:val="32"/>
        </w:rPr>
      </w:pPr>
      <w:r>
        <w:rPr>
          <w:rFonts w:hint="eastAsia" w:ascii="宋体" w:hAnsi="宋体" w:cs="宋体"/>
          <w:color w:val="000000"/>
          <w:sz w:val="32"/>
          <w:szCs w:val="32"/>
        </w:rPr>
        <w:t xml:space="preserve"> </w:t>
      </w:r>
    </w:p>
    <w:p w14:paraId="22F37686">
      <w:pPr>
        <w:autoSpaceDE w:val="0"/>
        <w:autoSpaceDN w:val="0"/>
        <w:ind w:firstLine="640"/>
        <w:rPr>
          <w:rFonts w:ascii="宋体" w:hAnsi="宋体" w:cs="宋体"/>
          <w:color w:val="000000"/>
          <w:sz w:val="32"/>
          <w:szCs w:val="32"/>
        </w:rPr>
      </w:pPr>
      <w:r>
        <w:rPr>
          <w:rFonts w:hint="eastAsia" w:ascii="宋体" w:hAnsi="宋体" w:cs="宋体"/>
          <w:color w:val="000000"/>
          <w:sz w:val="32"/>
          <w:szCs w:val="32"/>
        </w:rPr>
        <w:t xml:space="preserve"> </w:t>
      </w:r>
    </w:p>
    <w:p w14:paraId="61EBFDA1">
      <w:pPr>
        <w:autoSpaceDE w:val="0"/>
        <w:autoSpaceDN w:val="0"/>
        <w:ind w:firstLine="640"/>
        <w:rPr>
          <w:rFonts w:ascii="宋体" w:hAnsi="宋体" w:cs="宋体"/>
          <w:color w:val="000000"/>
          <w:sz w:val="32"/>
          <w:szCs w:val="32"/>
        </w:rPr>
      </w:pPr>
      <w:r>
        <w:rPr>
          <w:rFonts w:hint="eastAsia" w:ascii="宋体" w:hAnsi="宋体" w:cs="宋体"/>
          <w:color w:val="000000"/>
          <w:sz w:val="32"/>
          <w:szCs w:val="32"/>
        </w:rPr>
        <w:t xml:space="preserve">  </w:t>
      </w:r>
    </w:p>
    <w:p w14:paraId="5E2FBA1E">
      <w:pPr>
        <w:autoSpaceDE w:val="0"/>
        <w:autoSpaceDN w:val="0"/>
        <w:ind w:firstLine="720"/>
        <w:jc w:val="center"/>
        <w:rPr>
          <w:rFonts w:ascii="宋体" w:hAnsi="宋体" w:cs="宋体"/>
          <w:bCs/>
          <w:sz w:val="36"/>
          <w:szCs w:val="36"/>
        </w:rPr>
      </w:pPr>
      <w:r>
        <w:rPr>
          <w:rFonts w:hint="eastAsia" w:ascii="宋体" w:hAnsi="宋体" w:cs="宋体"/>
          <w:b/>
          <w:bCs/>
          <w:color w:val="000000"/>
          <w:kern w:val="0"/>
          <w:sz w:val="48"/>
          <w:szCs w:val="48"/>
          <w:lang w:val="zh-CN"/>
        </w:rPr>
        <w:t>青海省政府采购项目合同书</w:t>
      </w:r>
    </w:p>
    <w:p w14:paraId="28639753">
      <w:pPr>
        <w:autoSpaceDE w:val="0"/>
        <w:autoSpaceDN w:val="0"/>
        <w:ind w:firstLine="640"/>
        <w:jc w:val="center"/>
        <w:rPr>
          <w:rFonts w:ascii="宋体" w:hAnsi="宋体" w:cs="宋体"/>
          <w:b/>
          <w:bCs/>
          <w:sz w:val="32"/>
          <w:szCs w:val="32"/>
        </w:rPr>
      </w:pPr>
      <w:r>
        <w:rPr>
          <w:rFonts w:hint="eastAsia" w:ascii="宋体" w:hAnsi="宋体" w:cs="宋体"/>
          <w:b/>
          <w:bCs/>
          <w:sz w:val="32"/>
          <w:szCs w:val="32"/>
        </w:rPr>
        <w:t>（具体以最终签订的合同为准）</w:t>
      </w:r>
    </w:p>
    <w:p w14:paraId="1D1FD2F6">
      <w:pPr>
        <w:autoSpaceDE w:val="0"/>
        <w:autoSpaceDN w:val="0"/>
        <w:ind w:firstLine="640"/>
        <w:rPr>
          <w:rFonts w:ascii="宋体" w:hAnsi="宋体" w:cs="宋体"/>
          <w:color w:val="000000"/>
          <w:sz w:val="32"/>
          <w:szCs w:val="32"/>
        </w:rPr>
      </w:pPr>
    </w:p>
    <w:p w14:paraId="30340D89">
      <w:pPr>
        <w:autoSpaceDE w:val="0"/>
        <w:autoSpaceDN w:val="0"/>
        <w:rPr>
          <w:rFonts w:ascii="宋体" w:hAnsi="宋体" w:cs="宋体"/>
          <w:color w:val="000000"/>
          <w:sz w:val="32"/>
          <w:szCs w:val="32"/>
        </w:rPr>
      </w:pPr>
    </w:p>
    <w:p w14:paraId="38476C9B">
      <w:pPr>
        <w:autoSpaceDE w:val="0"/>
        <w:autoSpaceDN w:val="0"/>
        <w:ind w:firstLine="640"/>
        <w:rPr>
          <w:rFonts w:ascii="宋体" w:hAnsi="宋体" w:cs="宋体"/>
          <w:color w:val="000000"/>
          <w:sz w:val="32"/>
          <w:szCs w:val="32"/>
        </w:rPr>
      </w:pPr>
      <w:r>
        <w:rPr>
          <w:rFonts w:hint="eastAsia" w:ascii="宋体" w:hAnsi="宋体" w:cs="宋体"/>
          <w:color w:val="000000"/>
          <w:sz w:val="32"/>
          <w:szCs w:val="32"/>
        </w:rPr>
        <w:t xml:space="preserve"> </w:t>
      </w:r>
    </w:p>
    <w:p w14:paraId="6F40BA5F">
      <w:pPr>
        <w:autoSpaceDE w:val="0"/>
        <w:autoSpaceDN w:val="0"/>
        <w:ind w:left="2100" w:hanging="2100" w:hangingChars="700"/>
        <w:rPr>
          <w:rFonts w:hint="eastAsia" w:ascii="宋体" w:hAnsi="宋体" w:eastAsia="宋体" w:cs="宋体"/>
          <w:bCs/>
          <w:color w:val="000000"/>
          <w:sz w:val="30"/>
          <w:szCs w:val="30"/>
          <w:u w:val="single"/>
          <w:lang w:eastAsia="zh-CN"/>
        </w:rPr>
      </w:pPr>
      <w:r>
        <w:rPr>
          <w:rFonts w:hint="eastAsia" w:ascii="宋体" w:hAnsi="宋体" w:cs="宋体"/>
          <w:bCs/>
          <w:color w:val="000000"/>
          <w:sz w:val="30"/>
          <w:szCs w:val="30"/>
          <w:lang w:val="zh-CN"/>
        </w:rPr>
        <w:t>采购项目编号/包号：</w:t>
      </w:r>
      <w:r>
        <w:rPr>
          <w:rFonts w:hint="eastAsia" w:ascii="宋体" w:hAnsi="宋体" w:cs="宋体"/>
          <w:bCs/>
          <w:color w:val="000000"/>
          <w:sz w:val="30"/>
          <w:szCs w:val="30"/>
          <w:u w:val="single"/>
          <w:lang w:eastAsia="zh-CN"/>
        </w:rPr>
        <w:t>青海鹏杰竞磋（服务）2025-017</w:t>
      </w:r>
    </w:p>
    <w:p w14:paraId="11337203">
      <w:pPr>
        <w:autoSpaceDE w:val="0"/>
        <w:autoSpaceDN w:val="0"/>
        <w:ind w:left="2100" w:hanging="2100" w:hangingChars="700"/>
        <w:rPr>
          <w:rFonts w:hint="eastAsia" w:ascii="宋体" w:hAnsi="宋体" w:eastAsia="宋体" w:cs="宋体"/>
          <w:bCs/>
          <w:sz w:val="30"/>
          <w:szCs w:val="30"/>
          <w:lang w:eastAsia="zh-CN"/>
        </w:rPr>
      </w:pPr>
      <w:r>
        <w:rPr>
          <w:rFonts w:hint="eastAsia" w:ascii="宋体" w:hAnsi="宋体" w:cs="宋体"/>
          <w:bCs/>
          <w:color w:val="000000"/>
          <w:sz w:val="30"/>
          <w:szCs w:val="30"/>
          <w:lang w:val="zh-CN"/>
        </w:rPr>
        <w:t>采购项目名称/包号：</w:t>
      </w:r>
      <w:r>
        <w:rPr>
          <w:rFonts w:hint="eastAsia" w:ascii="宋体" w:hAnsi="宋体" w:cs="宋体"/>
          <w:bCs/>
          <w:color w:val="000000"/>
          <w:sz w:val="30"/>
          <w:szCs w:val="30"/>
          <w:u w:val="single"/>
          <w:lang w:eastAsia="zh-CN"/>
        </w:rPr>
        <w:t xml:space="preserve">湟源县17座农村污水处理站运维服务  </w:t>
      </w:r>
    </w:p>
    <w:p w14:paraId="0EFA41AD">
      <w:pPr>
        <w:autoSpaceDE w:val="0"/>
        <w:autoSpaceDN w:val="0"/>
        <w:rPr>
          <w:rFonts w:hint="default" w:ascii="宋体" w:hAnsi="宋体" w:eastAsia="宋体" w:cs="宋体"/>
          <w:bCs/>
          <w:sz w:val="30"/>
          <w:szCs w:val="30"/>
          <w:lang w:val="en-US" w:eastAsia="zh-CN"/>
        </w:rPr>
      </w:pPr>
      <w:r>
        <w:rPr>
          <w:rFonts w:hint="eastAsia" w:ascii="宋体" w:hAnsi="宋体" w:cs="宋体"/>
          <w:bCs/>
          <w:color w:val="000000"/>
          <w:sz w:val="30"/>
          <w:szCs w:val="30"/>
          <w:lang w:val="zh-CN"/>
        </w:rPr>
        <w:t>采购合同编号/包号：</w:t>
      </w:r>
      <w:r>
        <w:rPr>
          <w:rFonts w:hint="eastAsia" w:ascii="宋体" w:hAnsi="宋体" w:cs="宋体"/>
          <w:bCs/>
          <w:color w:val="000000"/>
          <w:sz w:val="30"/>
          <w:szCs w:val="30"/>
          <w:u w:val="single"/>
        </w:rPr>
        <w:t>QH</w:t>
      </w:r>
      <w:r>
        <w:rPr>
          <w:rFonts w:hint="eastAsia" w:ascii="宋体" w:hAnsi="宋体" w:cs="宋体"/>
          <w:bCs/>
          <w:color w:val="000000"/>
          <w:sz w:val="30"/>
          <w:szCs w:val="30"/>
          <w:u w:val="single"/>
          <w:lang w:val="en-US" w:eastAsia="zh-CN"/>
        </w:rPr>
        <w:t>PJ</w:t>
      </w:r>
      <w:r>
        <w:rPr>
          <w:rFonts w:hint="eastAsia" w:ascii="宋体" w:hAnsi="宋体" w:cs="宋体"/>
          <w:bCs/>
          <w:color w:val="000000"/>
          <w:sz w:val="30"/>
          <w:szCs w:val="30"/>
          <w:u w:val="single"/>
        </w:rPr>
        <w:t>JC(FW）-20</w:t>
      </w:r>
      <w:r>
        <w:rPr>
          <w:rFonts w:hint="eastAsia" w:ascii="宋体" w:hAnsi="宋体" w:cs="宋体"/>
          <w:bCs/>
          <w:color w:val="000000"/>
          <w:sz w:val="30"/>
          <w:szCs w:val="30"/>
          <w:u w:val="single"/>
          <w:lang w:val="en-US" w:eastAsia="zh-CN"/>
        </w:rPr>
        <w:t>25-017</w:t>
      </w:r>
    </w:p>
    <w:p w14:paraId="298CB961">
      <w:pPr>
        <w:autoSpaceDE w:val="0"/>
        <w:autoSpaceDN w:val="0"/>
        <w:rPr>
          <w:rFonts w:ascii="宋体" w:hAnsi="宋体" w:cs="宋体"/>
          <w:bCs/>
          <w:color w:val="000000"/>
          <w:sz w:val="30"/>
          <w:szCs w:val="30"/>
          <w:u w:val="single"/>
        </w:rPr>
      </w:pPr>
      <w:r>
        <w:rPr>
          <w:rFonts w:hint="eastAsia" w:ascii="宋体" w:hAnsi="宋体" w:cs="宋体"/>
          <w:bCs/>
          <w:color w:val="000000"/>
          <w:sz w:val="30"/>
          <w:szCs w:val="30"/>
          <w:lang w:val="zh-CN"/>
        </w:rPr>
        <w:t>合同金额（人民币）：</w:t>
      </w:r>
      <w:r>
        <w:rPr>
          <w:rFonts w:hint="eastAsia" w:ascii="宋体" w:hAnsi="宋体" w:cs="宋体"/>
          <w:bCs/>
          <w:color w:val="000000"/>
          <w:sz w:val="30"/>
          <w:szCs w:val="30"/>
          <w:u w:val="single"/>
          <w:lang w:val="zh-CN"/>
        </w:rPr>
        <w:t xml:space="preserve">              </w:t>
      </w:r>
      <w:r>
        <w:rPr>
          <w:rFonts w:hint="eastAsia" w:ascii="宋体" w:hAnsi="宋体" w:cs="宋体"/>
          <w:bCs/>
          <w:color w:val="000000"/>
          <w:sz w:val="30"/>
          <w:szCs w:val="30"/>
          <w:u w:val="single"/>
        </w:rPr>
        <w:t xml:space="preserve">           </w:t>
      </w:r>
    </w:p>
    <w:p w14:paraId="0D46C993">
      <w:pPr>
        <w:pStyle w:val="12"/>
        <w:rPr>
          <w:rFonts w:ascii="宋体" w:hAnsi="宋体" w:cs="宋体"/>
          <w:bCs/>
          <w:color w:val="000000"/>
          <w:kern w:val="2"/>
          <w:sz w:val="30"/>
          <w:szCs w:val="30"/>
          <w:u w:val="single"/>
        </w:rPr>
      </w:pPr>
      <w:r>
        <w:rPr>
          <w:rFonts w:hint="eastAsia" w:ascii="宋体" w:hAnsi="宋体" w:cs="宋体"/>
          <w:bCs/>
          <w:color w:val="000000"/>
          <w:kern w:val="2"/>
          <w:sz w:val="30"/>
          <w:szCs w:val="30"/>
          <w:lang w:val="zh-CN"/>
        </w:rPr>
        <w:t>采购人（甲方）：</w:t>
      </w:r>
      <w:r>
        <w:rPr>
          <w:rFonts w:hint="eastAsia" w:ascii="宋体" w:hAnsi="宋体" w:cs="宋体"/>
          <w:bCs/>
          <w:color w:val="000000"/>
          <w:kern w:val="2"/>
          <w:sz w:val="30"/>
          <w:szCs w:val="30"/>
          <w:u w:val="single"/>
        </w:rPr>
        <w:t xml:space="preserve">                           </w:t>
      </w:r>
    </w:p>
    <w:p w14:paraId="01388483">
      <w:pPr>
        <w:autoSpaceDE w:val="0"/>
        <w:autoSpaceDN w:val="0"/>
        <w:rPr>
          <w:rFonts w:ascii="宋体" w:hAnsi="宋体" w:cs="宋体"/>
          <w:bCs/>
          <w:color w:val="000000"/>
          <w:sz w:val="30"/>
          <w:szCs w:val="30"/>
          <w:u w:val="single"/>
          <w:lang w:val="zh-CN"/>
        </w:rPr>
      </w:pPr>
      <w:r>
        <w:rPr>
          <w:rFonts w:hint="eastAsia" w:ascii="宋体" w:hAnsi="宋体" w:cs="宋体"/>
          <w:bCs/>
          <w:color w:val="000000"/>
          <w:sz w:val="30"/>
          <w:szCs w:val="30"/>
          <w:lang w:val="zh-CN"/>
        </w:rPr>
        <w:t>成交人（乙方）：</w:t>
      </w:r>
      <w:r>
        <w:rPr>
          <w:rFonts w:hint="eastAsia" w:ascii="宋体" w:hAnsi="宋体" w:cs="宋体"/>
          <w:bCs/>
          <w:color w:val="000000"/>
          <w:sz w:val="30"/>
          <w:szCs w:val="30"/>
          <w:u w:val="single"/>
        </w:rPr>
        <w:t xml:space="preserve">                           </w:t>
      </w:r>
    </w:p>
    <w:p w14:paraId="149D5186">
      <w:pPr>
        <w:autoSpaceDE w:val="0"/>
        <w:autoSpaceDN w:val="0"/>
        <w:rPr>
          <w:rFonts w:ascii="宋体" w:hAnsi="宋体" w:cs="宋体"/>
          <w:bCs/>
          <w:color w:val="000000"/>
        </w:rPr>
      </w:pPr>
      <w:r>
        <w:rPr>
          <w:rFonts w:hint="eastAsia" w:ascii="宋体" w:hAnsi="宋体" w:cs="宋体"/>
          <w:bCs/>
          <w:color w:val="000000"/>
          <w:sz w:val="30"/>
          <w:szCs w:val="30"/>
          <w:lang w:val="zh-CN"/>
        </w:rPr>
        <w:t>采购日期：</w:t>
      </w:r>
      <w:r>
        <w:rPr>
          <w:rFonts w:hint="eastAsia" w:ascii="宋体" w:hAnsi="宋体" w:cs="宋体"/>
          <w:bCs/>
          <w:color w:val="000000"/>
          <w:sz w:val="30"/>
          <w:szCs w:val="30"/>
          <w:u w:val="single"/>
        </w:rPr>
        <w:t xml:space="preserve">        年      月      日       </w:t>
      </w:r>
    </w:p>
    <w:p w14:paraId="43C377D6">
      <w:pPr>
        <w:autoSpaceDE w:val="0"/>
        <w:autoSpaceDN w:val="0"/>
        <w:ind w:firstLine="480" w:firstLineChars="200"/>
        <w:rPr>
          <w:rFonts w:ascii="宋体" w:hAnsi="宋体" w:cs="宋体"/>
          <w:bCs/>
          <w:color w:val="000000"/>
        </w:rPr>
      </w:pPr>
    </w:p>
    <w:p w14:paraId="6D42C14E">
      <w:pPr>
        <w:pStyle w:val="12"/>
        <w:rPr>
          <w:rFonts w:ascii="宋体" w:hAnsi="宋体" w:cs="宋体"/>
          <w:bCs/>
          <w:color w:val="000000"/>
          <w:sz w:val="24"/>
        </w:rPr>
      </w:pPr>
    </w:p>
    <w:p w14:paraId="3C467518">
      <w:pPr>
        <w:widowControl/>
        <w:jc w:val="left"/>
        <w:rPr>
          <w:rFonts w:ascii="宋体" w:hAnsi="宋体" w:cs="宋体"/>
          <w:b/>
          <w:bCs/>
          <w:color w:val="000000"/>
          <w:kern w:val="0"/>
          <w:sz w:val="28"/>
          <w:szCs w:val="28"/>
          <w:lang w:bidi="ar"/>
        </w:rPr>
      </w:pPr>
    </w:p>
    <w:p w14:paraId="50BDC869">
      <w:pPr>
        <w:widowControl/>
        <w:jc w:val="left"/>
      </w:pPr>
      <w:r>
        <w:rPr>
          <w:rFonts w:hint="eastAsia" w:ascii="宋体" w:hAnsi="宋体" w:cs="宋体"/>
          <w:b/>
          <w:bCs/>
          <w:color w:val="000000"/>
          <w:kern w:val="0"/>
          <w:sz w:val="28"/>
          <w:szCs w:val="28"/>
          <w:lang w:bidi="ar"/>
        </w:rPr>
        <w:t xml:space="preserve">采 购 人（以下简称甲方）： </w:t>
      </w:r>
    </w:p>
    <w:p w14:paraId="3E6DF334">
      <w:pPr>
        <w:widowControl/>
        <w:jc w:val="left"/>
      </w:pPr>
      <w:r>
        <w:rPr>
          <w:rFonts w:hint="eastAsia" w:ascii="宋体" w:hAnsi="宋体" w:cs="宋体"/>
          <w:b/>
          <w:bCs/>
          <w:color w:val="000000"/>
          <w:kern w:val="0"/>
          <w:sz w:val="28"/>
          <w:szCs w:val="28"/>
          <w:lang w:bidi="ar"/>
        </w:rPr>
        <w:t xml:space="preserve">供应商（以下简称乙方）： </w:t>
      </w:r>
    </w:p>
    <w:p w14:paraId="59AC92BD">
      <w:pPr>
        <w:widowControl/>
        <w:ind w:firstLine="480" w:firstLineChars="200"/>
        <w:jc w:val="left"/>
      </w:pPr>
      <w:r>
        <w:rPr>
          <w:rFonts w:hint="eastAsia" w:ascii="宋体" w:hAnsi="宋体" w:cs="宋体"/>
          <w:color w:val="000000"/>
          <w:kern w:val="0"/>
          <w:u w:val="single"/>
          <w:lang w:bidi="ar"/>
        </w:rPr>
        <w:t>甲、乙双方根据XXXX年XX月XX日（</w:t>
      </w:r>
      <w:r>
        <w:rPr>
          <w:rFonts w:hint="eastAsia" w:ascii="宋体" w:hAnsi="宋体" w:cs="宋体"/>
          <w:color w:val="000000"/>
          <w:kern w:val="0"/>
          <w:u w:val="single"/>
          <w:lang w:eastAsia="zh-CN" w:bidi="ar"/>
        </w:rPr>
        <w:t>湟源县17座农村污水处理站运维服务</w:t>
      </w:r>
      <w:r>
        <w:rPr>
          <w:rFonts w:hint="eastAsia" w:ascii="宋体" w:hAnsi="宋体" w:cs="宋体"/>
          <w:color w:val="000000"/>
          <w:kern w:val="0"/>
          <w:u w:val="single"/>
          <w:lang w:bidi="ar"/>
        </w:rPr>
        <w:t>）采购项目（</w:t>
      </w:r>
      <w:r>
        <w:rPr>
          <w:rFonts w:hint="eastAsia" w:ascii="宋体" w:hAnsi="宋体" w:cs="宋体"/>
          <w:color w:val="000000"/>
          <w:kern w:val="0"/>
          <w:u w:val="single"/>
          <w:lang w:eastAsia="zh-CN" w:bidi="ar"/>
        </w:rPr>
        <w:t>青海鹏杰竞磋（服务）2025-017</w:t>
      </w:r>
      <w:r>
        <w:rPr>
          <w:rFonts w:hint="eastAsia" w:ascii="宋体" w:hAnsi="宋体" w:cs="宋体"/>
          <w:color w:val="000000"/>
          <w:kern w:val="0"/>
          <w:u w:val="single"/>
          <w:lang w:bidi="ar"/>
        </w:rPr>
        <w:t>）</w:t>
      </w:r>
      <w:r>
        <w:rPr>
          <w:rFonts w:hint="eastAsia" w:ascii="宋体" w:hAnsi="宋体" w:cs="宋体"/>
          <w:color w:val="000000"/>
          <w:kern w:val="0"/>
          <w:lang w:bidi="ar"/>
        </w:rPr>
        <w:t>的磋商文件要求和采购代理机构出具的《成交通知书》，并经双方协商一致，签订本合同协议书。</w:t>
      </w:r>
    </w:p>
    <w:p w14:paraId="08A238AB">
      <w:pPr>
        <w:widowControl/>
        <w:jc w:val="left"/>
      </w:pPr>
      <w:r>
        <w:rPr>
          <w:rFonts w:hint="eastAsia" w:ascii="宋体" w:hAnsi="宋体" w:cs="宋体"/>
          <w:color w:val="000000"/>
          <w:kern w:val="0"/>
          <w:lang w:bidi="ar"/>
        </w:rPr>
        <w:t xml:space="preserve">一、签订本政府采购合同的依据 </w:t>
      </w:r>
    </w:p>
    <w:p w14:paraId="5255A7B2">
      <w:pPr>
        <w:widowControl/>
        <w:jc w:val="left"/>
      </w:pPr>
      <w:r>
        <w:rPr>
          <w:rFonts w:hint="eastAsia" w:ascii="宋体" w:hAnsi="宋体" w:cs="宋体"/>
          <w:color w:val="000000"/>
          <w:kern w:val="0"/>
          <w:lang w:bidi="ar"/>
        </w:rPr>
        <w:t xml:space="preserve">本政府采购合同所附下列文件是构成本政府采购合同不可分割的部分： </w:t>
      </w:r>
    </w:p>
    <w:p w14:paraId="23EA59BD">
      <w:pPr>
        <w:widowControl/>
        <w:ind w:firstLine="480" w:firstLineChars="200"/>
        <w:jc w:val="left"/>
      </w:pPr>
      <w:r>
        <w:rPr>
          <w:rFonts w:hint="eastAsia" w:ascii="宋体" w:hAnsi="宋体" w:cs="宋体"/>
          <w:color w:val="000000"/>
          <w:kern w:val="0"/>
          <w:lang w:bidi="ar"/>
        </w:rPr>
        <w:t xml:space="preserve">1.磋商文件； </w:t>
      </w:r>
    </w:p>
    <w:p w14:paraId="0E624C47">
      <w:pPr>
        <w:widowControl/>
        <w:ind w:firstLine="480" w:firstLineChars="200"/>
        <w:jc w:val="left"/>
      </w:pPr>
      <w:r>
        <w:rPr>
          <w:rFonts w:hint="eastAsia" w:ascii="宋体" w:hAnsi="宋体" w:cs="宋体"/>
          <w:color w:val="000000"/>
          <w:kern w:val="0"/>
          <w:lang w:bidi="ar"/>
        </w:rPr>
        <w:t xml:space="preserve">2.磋商文件的更正、变更公告； </w:t>
      </w:r>
    </w:p>
    <w:p w14:paraId="6ADDE3FA">
      <w:pPr>
        <w:widowControl/>
        <w:ind w:firstLine="480" w:firstLineChars="200"/>
        <w:jc w:val="left"/>
      </w:pPr>
      <w:r>
        <w:rPr>
          <w:rFonts w:hint="eastAsia" w:ascii="宋体" w:hAnsi="宋体" w:cs="宋体"/>
          <w:color w:val="000000"/>
          <w:kern w:val="0"/>
          <w:lang w:bidi="ar"/>
        </w:rPr>
        <w:t xml:space="preserve">3.成交人提交的磋商响应文件； </w:t>
      </w:r>
    </w:p>
    <w:p w14:paraId="3F65868D">
      <w:pPr>
        <w:widowControl/>
        <w:ind w:firstLine="480" w:firstLineChars="200"/>
        <w:jc w:val="left"/>
      </w:pPr>
      <w:r>
        <w:rPr>
          <w:rFonts w:hint="eastAsia" w:ascii="宋体" w:hAnsi="宋体" w:cs="宋体"/>
          <w:color w:val="000000"/>
          <w:kern w:val="0"/>
          <w:lang w:bidi="ar"/>
        </w:rPr>
        <w:t xml:space="preserve">4.磋商文件中规定的政府采购合同通用条款； </w:t>
      </w:r>
    </w:p>
    <w:p w14:paraId="27B73448">
      <w:pPr>
        <w:widowControl/>
        <w:ind w:firstLine="480" w:firstLineChars="200"/>
        <w:jc w:val="left"/>
      </w:pPr>
      <w:r>
        <w:rPr>
          <w:rFonts w:hint="eastAsia" w:ascii="宋体" w:hAnsi="宋体" w:cs="宋体"/>
          <w:color w:val="000000"/>
          <w:kern w:val="0"/>
          <w:lang w:bidi="ar"/>
        </w:rPr>
        <w:t xml:space="preserve">5.成交通知书。 </w:t>
      </w:r>
    </w:p>
    <w:p w14:paraId="7BAF4A0F">
      <w:pPr>
        <w:widowControl/>
        <w:jc w:val="left"/>
        <w:rPr>
          <w:rFonts w:ascii="宋体" w:hAnsi="宋体" w:cs="宋体"/>
          <w:color w:val="000000"/>
          <w:kern w:val="0"/>
          <w:lang w:bidi="ar"/>
        </w:rPr>
      </w:pPr>
      <w:r>
        <w:rPr>
          <w:rFonts w:hint="eastAsia" w:ascii="宋体" w:hAnsi="宋体" w:cs="宋体"/>
          <w:color w:val="000000"/>
          <w:kern w:val="0"/>
          <w:lang w:bidi="ar"/>
        </w:rPr>
        <w:t xml:space="preserve">二 、合同标的及金额                                                 </w:t>
      </w:r>
      <w:r>
        <w:rPr>
          <w:rFonts w:hint="eastAsia" w:ascii="宋体" w:hAnsi="宋体" w:cs="宋体"/>
          <w:color w:val="000000"/>
          <w:kern w:val="0"/>
          <w:lang w:val="zh-CN"/>
        </w:rPr>
        <w:t>单位：元</w:t>
      </w:r>
    </w:p>
    <w:tbl>
      <w:tblPr>
        <w:tblStyle w:val="35"/>
        <w:tblW w:w="0" w:type="auto"/>
        <w:jc w:val="center"/>
        <w:tblLayout w:type="fixed"/>
        <w:tblCellMar>
          <w:top w:w="0" w:type="dxa"/>
          <w:left w:w="108" w:type="dxa"/>
          <w:bottom w:w="0" w:type="dxa"/>
          <w:right w:w="108" w:type="dxa"/>
        </w:tblCellMar>
      </w:tblPr>
      <w:tblGrid>
        <w:gridCol w:w="770"/>
        <w:gridCol w:w="2393"/>
        <w:gridCol w:w="2001"/>
        <w:gridCol w:w="1044"/>
        <w:gridCol w:w="995"/>
        <w:gridCol w:w="1075"/>
        <w:gridCol w:w="802"/>
      </w:tblGrid>
      <w:tr w14:paraId="323ACDA4">
        <w:tblPrEx>
          <w:tblCellMar>
            <w:top w:w="0" w:type="dxa"/>
            <w:left w:w="108" w:type="dxa"/>
            <w:bottom w:w="0" w:type="dxa"/>
            <w:right w:w="108" w:type="dxa"/>
          </w:tblCellMar>
        </w:tblPrEx>
        <w:trPr>
          <w:cantSplit/>
          <w:trHeight w:val="31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5000116">
            <w:pPr>
              <w:rPr>
                <w:rFonts w:ascii="宋体" w:hAnsi="宋体" w:cs="宋体"/>
                <w:color w:val="000000"/>
                <w:lang w:val="zh-CN"/>
              </w:rPr>
            </w:pPr>
            <w:r>
              <w:rPr>
                <w:rFonts w:hint="eastAsia" w:ascii="宋体" w:hAnsi="宋体" w:cs="宋体"/>
                <w:color w:val="000000"/>
                <w:lang w:val="zh-CN"/>
              </w:rPr>
              <w:t>序号</w:t>
            </w:r>
          </w:p>
        </w:tc>
        <w:tc>
          <w:tcPr>
            <w:tcW w:w="2393" w:type="dxa"/>
            <w:tcBorders>
              <w:top w:val="single" w:color="auto" w:sz="4" w:space="0"/>
              <w:left w:val="single" w:color="auto" w:sz="4" w:space="0"/>
              <w:bottom w:val="single" w:color="auto" w:sz="4" w:space="0"/>
              <w:right w:val="single" w:color="auto" w:sz="4" w:space="0"/>
            </w:tcBorders>
            <w:vAlign w:val="center"/>
          </w:tcPr>
          <w:p w14:paraId="64098FD7">
            <w:pPr>
              <w:rPr>
                <w:rFonts w:ascii="宋体" w:hAnsi="宋体" w:cs="宋体"/>
                <w:color w:val="000000"/>
                <w:lang w:val="zh-CN"/>
              </w:rPr>
            </w:pPr>
            <w:r>
              <w:rPr>
                <w:rFonts w:hint="eastAsia" w:ascii="宋体" w:hAnsi="宋体" w:cs="宋体"/>
                <w:color w:val="000000"/>
                <w:lang w:val="zh-CN"/>
              </w:rPr>
              <w:t>标的名称</w:t>
            </w:r>
          </w:p>
        </w:tc>
        <w:tc>
          <w:tcPr>
            <w:tcW w:w="2001" w:type="dxa"/>
            <w:tcBorders>
              <w:top w:val="single" w:color="auto" w:sz="4" w:space="0"/>
              <w:left w:val="single" w:color="auto" w:sz="4" w:space="0"/>
              <w:bottom w:val="single" w:color="auto" w:sz="4" w:space="0"/>
              <w:right w:val="single" w:color="auto" w:sz="4" w:space="0"/>
            </w:tcBorders>
            <w:vAlign w:val="center"/>
          </w:tcPr>
          <w:p w14:paraId="059A34AF">
            <w:pPr>
              <w:rPr>
                <w:rFonts w:ascii="宋体" w:hAnsi="宋体" w:cs="宋体"/>
                <w:color w:val="000000"/>
                <w:lang w:val="zh-CN"/>
              </w:rPr>
            </w:pPr>
            <w:r>
              <w:rPr>
                <w:rFonts w:hint="eastAsia" w:ascii="宋体" w:hAnsi="宋体" w:cs="宋体"/>
                <w:color w:val="000000"/>
                <w:lang w:val="zh-CN"/>
              </w:rPr>
              <w:t>服务要求</w:t>
            </w:r>
          </w:p>
        </w:tc>
        <w:tc>
          <w:tcPr>
            <w:tcW w:w="1044" w:type="dxa"/>
            <w:tcBorders>
              <w:top w:val="single" w:color="auto" w:sz="4" w:space="0"/>
              <w:left w:val="single" w:color="auto" w:sz="4" w:space="0"/>
              <w:bottom w:val="single" w:color="auto" w:sz="4" w:space="0"/>
              <w:right w:val="single" w:color="auto" w:sz="4" w:space="0"/>
            </w:tcBorders>
            <w:vAlign w:val="center"/>
          </w:tcPr>
          <w:p w14:paraId="3E27C90F">
            <w:pPr>
              <w:rPr>
                <w:rFonts w:ascii="宋体" w:hAnsi="宋体" w:cs="宋体"/>
                <w:color w:val="000000"/>
                <w:lang w:val="zh-CN"/>
              </w:rPr>
            </w:pPr>
            <w:r>
              <w:rPr>
                <w:rFonts w:hint="eastAsia" w:ascii="宋体" w:hAnsi="宋体" w:cs="宋体"/>
                <w:color w:val="000000"/>
                <w:lang w:val="zh-CN"/>
              </w:rPr>
              <w:t>数量</w:t>
            </w:r>
          </w:p>
        </w:tc>
        <w:tc>
          <w:tcPr>
            <w:tcW w:w="995" w:type="dxa"/>
            <w:tcBorders>
              <w:top w:val="single" w:color="auto" w:sz="4" w:space="0"/>
              <w:left w:val="single" w:color="auto" w:sz="4" w:space="0"/>
              <w:bottom w:val="single" w:color="auto" w:sz="4" w:space="0"/>
              <w:right w:val="single" w:color="auto" w:sz="4" w:space="0"/>
            </w:tcBorders>
            <w:vAlign w:val="center"/>
          </w:tcPr>
          <w:p w14:paraId="0778F8BD">
            <w:pPr>
              <w:rPr>
                <w:rFonts w:ascii="宋体" w:hAnsi="宋体" w:cs="宋体"/>
                <w:color w:val="000000"/>
                <w:lang w:val="zh-CN"/>
              </w:rPr>
            </w:pPr>
            <w:r>
              <w:rPr>
                <w:rFonts w:hint="eastAsia" w:ascii="宋体" w:hAnsi="宋体" w:cs="宋体"/>
                <w:color w:val="000000"/>
                <w:lang w:val="zh-CN"/>
              </w:rPr>
              <w:t>单价</w:t>
            </w:r>
          </w:p>
        </w:tc>
        <w:tc>
          <w:tcPr>
            <w:tcW w:w="1075" w:type="dxa"/>
            <w:tcBorders>
              <w:top w:val="single" w:color="auto" w:sz="4" w:space="0"/>
              <w:left w:val="single" w:color="auto" w:sz="4" w:space="0"/>
              <w:bottom w:val="single" w:color="auto" w:sz="4" w:space="0"/>
              <w:right w:val="single" w:color="auto" w:sz="4" w:space="0"/>
            </w:tcBorders>
            <w:vAlign w:val="center"/>
          </w:tcPr>
          <w:p w14:paraId="63ADDB1A">
            <w:pPr>
              <w:rPr>
                <w:rFonts w:ascii="宋体" w:hAnsi="宋体" w:cs="宋体"/>
                <w:color w:val="000000"/>
                <w:lang w:val="zh-CN"/>
              </w:rPr>
            </w:pPr>
            <w:r>
              <w:rPr>
                <w:rFonts w:hint="eastAsia" w:ascii="宋体" w:hAnsi="宋体" w:cs="宋体"/>
                <w:color w:val="000000"/>
                <w:lang w:val="zh-CN"/>
              </w:rPr>
              <w:t>总价</w:t>
            </w:r>
          </w:p>
        </w:tc>
        <w:tc>
          <w:tcPr>
            <w:tcW w:w="802" w:type="dxa"/>
            <w:tcBorders>
              <w:top w:val="single" w:color="auto" w:sz="4" w:space="0"/>
              <w:left w:val="single" w:color="auto" w:sz="4" w:space="0"/>
              <w:bottom w:val="single" w:color="auto" w:sz="4" w:space="0"/>
              <w:right w:val="single" w:color="auto" w:sz="4" w:space="0"/>
            </w:tcBorders>
            <w:vAlign w:val="center"/>
          </w:tcPr>
          <w:p w14:paraId="05470F04">
            <w:pPr>
              <w:rPr>
                <w:rFonts w:ascii="宋体" w:hAnsi="宋体" w:cs="宋体"/>
                <w:color w:val="000000"/>
                <w:lang w:val="zh-CN"/>
              </w:rPr>
            </w:pPr>
            <w:r>
              <w:rPr>
                <w:rFonts w:hint="eastAsia" w:ascii="宋体" w:hAnsi="宋体" w:cs="宋体"/>
                <w:color w:val="000000"/>
                <w:lang w:val="zh-CN"/>
              </w:rPr>
              <w:t>备注</w:t>
            </w:r>
          </w:p>
        </w:tc>
      </w:tr>
      <w:tr w14:paraId="6249AE99">
        <w:tblPrEx>
          <w:tblCellMar>
            <w:top w:w="0" w:type="dxa"/>
            <w:left w:w="108" w:type="dxa"/>
            <w:bottom w:w="0" w:type="dxa"/>
            <w:right w:w="108" w:type="dxa"/>
          </w:tblCellMar>
        </w:tblPrEx>
        <w:trPr>
          <w:cantSplit/>
          <w:trHeight w:val="279"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0E537E5">
            <w:pPr>
              <w:autoSpaceDE w:val="0"/>
              <w:autoSpaceDN w:val="0"/>
              <w:ind w:firstLine="480" w:firstLineChars="200"/>
              <w:jc w:val="center"/>
              <w:rPr>
                <w:rFonts w:ascii="宋体" w:hAnsi="宋体" w:cs="宋体"/>
                <w:color w:val="000000"/>
                <w:kern w:val="0"/>
                <w:lang w:val="zh-CN"/>
              </w:rPr>
            </w:pPr>
          </w:p>
        </w:tc>
        <w:tc>
          <w:tcPr>
            <w:tcW w:w="2393" w:type="dxa"/>
            <w:tcBorders>
              <w:top w:val="single" w:color="auto" w:sz="4" w:space="0"/>
              <w:left w:val="single" w:color="auto" w:sz="4" w:space="0"/>
              <w:bottom w:val="single" w:color="auto" w:sz="4" w:space="0"/>
              <w:right w:val="single" w:color="auto" w:sz="4" w:space="0"/>
            </w:tcBorders>
            <w:vAlign w:val="center"/>
          </w:tcPr>
          <w:p w14:paraId="5D30237D">
            <w:pPr>
              <w:autoSpaceDE w:val="0"/>
              <w:autoSpaceDN w:val="0"/>
              <w:ind w:firstLine="480" w:firstLineChars="200"/>
              <w:jc w:val="center"/>
              <w:rPr>
                <w:rFonts w:ascii="宋体" w:hAnsi="宋体" w:cs="宋体"/>
                <w:color w:val="000000"/>
                <w:kern w:val="0"/>
                <w:lang w:val="zh-CN"/>
              </w:rPr>
            </w:pPr>
          </w:p>
        </w:tc>
        <w:tc>
          <w:tcPr>
            <w:tcW w:w="2001" w:type="dxa"/>
            <w:tcBorders>
              <w:top w:val="single" w:color="auto" w:sz="4" w:space="0"/>
              <w:left w:val="single" w:color="auto" w:sz="4" w:space="0"/>
              <w:bottom w:val="single" w:color="auto" w:sz="4" w:space="0"/>
              <w:right w:val="single" w:color="auto" w:sz="4" w:space="0"/>
            </w:tcBorders>
            <w:vAlign w:val="center"/>
          </w:tcPr>
          <w:p w14:paraId="4ADE3ABA">
            <w:pPr>
              <w:autoSpaceDE w:val="0"/>
              <w:autoSpaceDN w:val="0"/>
              <w:ind w:firstLine="480" w:firstLineChars="200"/>
              <w:jc w:val="center"/>
              <w:rPr>
                <w:rFonts w:ascii="宋体" w:hAnsi="宋体" w:cs="宋体"/>
                <w:color w:val="000000"/>
                <w:kern w:val="0"/>
                <w:lang w:val="zh-CN"/>
              </w:rPr>
            </w:pPr>
          </w:p>
        </w:tc>
        <w:tc>
          <w:tcPr>
            <w:tcW w:w="1044" w:type="dxa"/>
            <w:tcBorders>
              <w:top w:val="single" w:color="auto" w:sz="4" w:space="0"/>
              <w:left w:val="single" w:color="auto" w:sz="4" w:space="0"/>
              <w:bottom w:val="single" w:color="auto" w:sz="4" w:space="0"/>
              <w:right w:val="single" w:color="auto" w:sz="4" w:space="0"/>
            </w:tcBorders>
            <w:vAlign w:val="center"/>
          </w:tcPr>
          <w:p w14:paraId="4CCC3415">
            <w:pPr>
              <w:autoSpaceDE w:val="0"/>
              <w:autoSpaceDN w:val="0"/>
              <w:ind w:firstLine="480" w:firstLineChars="200"/>
              <w:jc w:val="center"/>
              <w:rPr>
                <w:rFonts w:ascii="宋体" w:hAnsi="宋体" w:cs="宋体"/>
                <w:color w:val="000000"/>
                <w:kern w:val="0"/>
                <w:lang w:val="zh-CN"/>
              </w:rPr>
            </w:pPr>
          </w:p>
        </w:tc>
        <w:tc>
          <w:tcPr>
            <w:tcW w:w="995" w:type="dxa"/>
            <w:tcBorders>
              <w:top w:val="single" w:color="auto" w:sz="4" w:space="0"/>
              <w:left w:val="single" w:color="auto" w:sz="4" w:space="0"/>
              <w:bottom w:val="single" w:color="auto" w:sz="4" w:space="0"/>
              <w:right w:val="single" w:color="auto" w:sz="4" w:space="0"/>
            </w:tcBorders>
            <w:vAlign w:val="center"/>
          </w:tcPr>
          <w:p w14:paraId="5F522CB7">
            <w:pPr>
              <w:autoSpaceDE w:val="0"/>
              <w:autoSpaceDN w:val="0"/>
              <w:ind w:firstLine="480" w:firstLineChars="200"/>
              <w:jc w:val="center"/>
              <w:rPr>
                <w:rFonts w:ascii="宋体" w:hAnsi="宋体" w:cs="宋体"/>
                <w:color w:val="000000"/>
                <w:kern w:val="0"/>
                <w:lang w:val="zh-CN"/>
              </w:rPr>
            </w:pPr>
          </w:p>
        </w:tc>
        <w:tc>
          <w:tcPr>
            <w:tcW w:w="1075" w:type="dxa"/>
            <w:tcBorders>
              <w:top w:val="single" w:color="auto" w:sz="4" w:space="0"/>
              <w:left w:val="single" w:color="auto" w:sz="4" w:space="0"/>
              <w:bottom w:val="single" w:color="auto" w:sz="4" w:space="0"/>
              <w:right w:val="single" w:color="auto" w:sz="4" w:space="0"/>
            </w:tcBorders>
            <w:vAlign w:val="center"/>
          </w:tcPr>
          <w:p w14:paraId="66CBA43C">
            <w:pPr>
              <w:autoSpaceDE w:val="0"/>
              <w:autoSpaceDN w:val="0"/>
              <w:ind w:firstLine="480" w:firstLineChars="200"/>
              <w:jc w:val="center"/>
              <w:rPr>
                <w:rFonts w:ascii="宋体" w:hAnsi="宋体" w:cs="宋体"/>
                <w:color w:val="000000"/>
                <w:kern w:val="0"/>
                <w:lang w:val="zh-CN"/>
              </w:rPr>
            </w:pPr>
          </w:p>
        </w:tc>
        <w:tc>
          <w:tcPr>
            <w:tcW w:w="802" w:type="dxa"/>
            <w:tcBorders>
              <w:top w:val="single" w:color="auto" w:sz="4" w:space="0"/>
              <w:left w:val="single" w:color="auto" w:sz="4" w:space="0"/>
              <w:bottom w:val="single" w:color="auto" w:sz="4" w:space="0"/>
              <w:right w:val="single" w:color="auto" w:sz="4" w:space="0"/>
            </w:tcBorders>
            <w:vAlign w:val="center"/>
          </w:tcPr>
          <w:p w14:paraId="17BF48EF">
            <w:pPr>
              <w:autoSpaceDE w:val="0"/>
              <w:autoSpaceDN w:val="0"/>
              <w:ind w:firstLine="480" w:firstLineChars="200"/>
              <w:jc w:val="center"/>
              <w:rPr>
                <w:rFonts w:ascii="宋体" w:hAnsi="宋体" w:cs="宋体"/>
                <w:color w:val="000000"/>
                <w:kern w:val="0"/>
                <w:lang w:val="zh-CN"/>
              </w:rPr>
            </w:pPr>
          </w:p>
        </w:tc>
      </w:tr>
      <w:tr w14:paraId="01E0203A">
        <w:tblPrEx>
          <w:tblCellMar>
            <w:top w:w="0" w:type="dxa"/>
            <w:left w:w="108" w:type="dxa"/>
            <w:bottom w:w="0" w:type="dxa"/>
            <w:right w:w="108" w:type="dxa"/>
          </w:tblCellMar>
        </w:tblPrEx>
        <w:trPr>
          <w:cantSplit/>
          <w:trHeight w:val="279"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390A48C5">
            <w:pPr>
              <w:autoSpaceDE w:val="0"/>
              <w:autoSpaceDN w:val="0"/>
              <w:ind w:firstLine="480" w:firstLineChars="200"/>
              <w:jc w:val="center"/>
              <w:rPr>
                <w:rFonts w:ascii="宋体" w:hAnsi="宋体" w:cs="宋体"/>
                <w:color w:val="000000"/>
                <w:kern w:val="0"/>
                <w:lang w:val="zh-CN"/>
              </w:rPr>
            </w:pPr>
          </w:p>
        </w:tc>
        <w:tc>
          <w:tcPr>
            <w:tcW w:w="2393" w:type="dxa"/>
            <w:tcBorders>
              <w:top w:val="single" w:color="auto" w:sz="4" w:space="0"/>
              <w:left w:val="single" w:color="auto" w:sz="4" w:space="0"/>
              <w:bottom w:val="single" w:color="auto" w:sz="4" w:space="0"/>
              <w:right w:val="single" w:color="auto" w:sz="4" w:space="0"/>
            </w:tcBorders>
            <w:vAlign w:val="center"/>
          </w:tcPr>
          <w:p w14:paraId="6D903C27">
            <w:pPr>
              <w:autoSpaceDE w:val="0"/>
              <w:autoSpaceDN w:val="0"/>
              <w:ind w:firstLine="480" w:firstLineChars="200"/>
              <w:jc w:val="center"/>
              <w:rPr>
                <w:rFonts w:ascii="宋体" w:hAnsi="宋体" w:cs="宋体"/>
                <w:color w:val="000000"/>
                <w:kern w:val="0"/>
                <w:lang w:val="zh-CN"/>
              </w:rPr>
            </w:pPr>
          </w:p>
        </w:tc>
        <w:tc>
          <w:tcPr>
            <w:tcW w:w="2001" w:type="dxa"/>
            <w:tcBorders>
              <w:top w:val="single" w:color="auto" w:sz="4" w:space="0"/>
              <w:left w:val="single" w:color="auto" w:sz="4" w:space="0"/>
              <w:bottom w:val="single" w:color="auto" w:sz="4" w:space="0"/>
              <w:right w:val="single" w:color="auto" w:sz="4" w:space="0"/>
            </w:tcBorders>
            <w:vAlign w:val="center"/>
          </w:tcPr>
          <w:p w14:paraId="07DE75EE">
            <w:pPr>
              <w:autoSpaceDE w:val="0"/>
              <w:autoSpaceDN w:val="0"/>
              <w:ind w:firstLine="480" w:firstLineChars="200"/>
              <w:jc w:val="center"/>
              <w:rPr>
                <w:rFonts w:ascii="宋体" w:hAnsi="宋体" w:cs="宋体"/>
                <w:color w:val="000000"/>
                <w:kern w:val="0"/>
                <w:lang w:val="zh-CN"/>
              </w:rPr>
            </w:pPr>
          </w:p>
        </w:tc>
        <w:tc>
          <w:tcPr>
            <w:tcW w:w="1044" w:type="dxa"/>
            <w:tcBorders>
              <w:top w:val="single" w:color="auto" w:sz="4" w:space="0"/>
              <w:left w:val="single" w:color="auto" w:sz="4" w:space="0"/>
              <w:bottom w:val="single" w:color="auto" w:sz="4" w:space="0"/>
              <w:right w:val="single" w:color="auto" w:sz="4" w:space="0"/>
            </w:tcBorders>
            <w:vAlign w:val="center"/>
          </w:tcPr>
          <w:p w14:paraId="5AC0E804">
            <w:pPr>
              <w:autoSpaceDE w:val="0"/>
              <w:autoSpaceDN w:val="0"/>
              <w:ind w:firstLine="480" w:firstLineChars="200"/>
              <w:jc w:val="center"/>
              <w:rPr>
                <w:rFonts w:ascii="宋体" w:hAnsi="宋体" w:cs="宋体"/>
                <w:color w:val="000000"/>
                <w:kern w:val="0"/>
                <w:lang w:val="zh-CN"/>
              </w:rPr>
            </w:pPr>
          </w:p>
        </w:tc>
        <w:tc>
          <w:tcPr>
            <w:tcW w:w="995" w:type="dxa"/>
            <w:tcBorders>
              <w:top w:val="single" w:color="auto" w:sz="4" w:space="0"/>
              <w:left w:val="single" w:color="auto" w:sz="4" w:space="0"/>
              <w:bottom w:val="single" w:color="auto" w:sz="4" w:space="0"/>
              <w:right w:val="single" w:color="auto" w:sz="4" w:space="0"/>
            </w:tcBorders>
            <w:vAlign w:val="center"/>
          </w:tcPr>
          <w:p w14:paraId="65F1C2EE">
            <w:pPr>
              <w:autoSpaceDE w:val="0"/>
              <w:autoSpaceDN w:val="0"/>
              <w:ind w:firstLine="480" w:firstLineChars="200"/>
              <w:jc w:val="center"/>
              <w:rPr>
                <w:rFonts w:ascii="宋体" w:hAnsi="宋体" w:cs="宋体"/>
                <w:color w:val="000000"/>
                <w:kern w:val="0"/>
                <w:lang w:val="zh-CN"/>
              </w:rPr>
            </w:pPr>
          </w:p>
        </w:tc>
        <w:tc>
          <w:tcPr>
            <w:tcW w:w="1075" w:type="dxa"/>
            <w:tcBorders>
              <w:top w:val="single" w:color="auto" w:sz="4" w:space="0"/>
              <w:left w:val="single" w:color="auto" w:sz="4" w:space="0"/>
              <w:bottom w:val="single" w:color="auto" w:sz="4" w:space="0"/>
              <w:right w:val="single" w:color="auto" w:sz="4" w:space="0"/>
            </w:tcBorders>
            <w:vAlign w:val="center"/>
          </w:tcPr>
          <w:p w14:paraId="0F2E10ED">
            <w:pPr>
              <w:autoSpaceDE w:val="0"/>
              <w:autoSpaceDN w:val="0"/>
              <w:ind w:firstLine="480" w:firstLineChars="200"/>
              <w:jc w:val="center"/>
              <w:rPr>
                <w:rFonts w:ascii="宋体" w:hAnsi="宋体" w:cs="宋体"/>
                <w:color w:val="000000"/>
                <w:kern w:val="0"/>
                <w:lang w:val="zh-CN"/>
              </w:rPr>
            </w:pPr>
          </w:p>
        </w:tc>
        <w:tc>
          <w:tcPr>
            <w:tcW w:w="802" w:type="dxa"/>
            <w:tcBorders>
              <w:top w:val="single" w:color="auto" w:sz="4" w:space="0"/>
              <w:left w:val="single" w:color="auto" w:sz="4" w:space="0"/>
              <w:bottom w:val="single" w:color="auto" w:sz="4" w:space="0"/>
              <w:right w:val="single" w:color="auto" w:sz="4" w:space="0"/>
            </w:tcBorders>
            <w:vAlign w:val="center"/>
          </w:tcPr>
          <w:p w14:paraId="7609C23F">
            <w:pPr>
              <w:autoSpaceDE w:val="0"/>
              <w:autoSpaceDN w:val="0"/>
              <w:ind w:firstLine="480" w:firstLineChars="200"/>
              <w:jc w:val="center"/>
              <w:rPr>
                <w:rFonts w:ascii="宋体" w:hAnsi="宋体" w:cs="宋体"/>
                <w:color w:val="000000"/>
                <w:kern w:val="0"/>
                <w:lang w:val="zh-CN"/>
              </w:rPr>
            </w:pPr>
          </w:p>
        </w:tc>
      </w:tr>
      <w:tr w14:paraId="0CF043B8">
        <w:tblPrEx>
          <w:tblCellMar>
            <w:top w:w="0" w:type="dxa"/>
            <w:left w:w="108" w:type="dxa"/>
            <w:bottom w:w="0" w:type="dxa"/>
            <w:right w:w="108" w:type="dxa"/>
          </w:tblCellMar>
        </w:tblPrEx>
        <w:trPr>
          <w:cantSplit/>
          <w:trHeight w:val="286"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718E2C3F">
            <w:pPr>
              <w:autoSpaceDE w:val="0"/>
              <w:autoSpaceDN w:val="0"/>
              <w:ind w:firstLine="480" w:firstLineChars="200"/>
              <w:jc w:val="center"/>
              <w:rPr>
                <w:rFonts w:ascii="宋体" w:hAnsi="宋体" w:cs="宋体"/>
                <w:color w:val="000000"/>
                <w:kern w:val="0"/>
                <w:lang w:val="zh-CN"/>
              </w:rPr>
            </w:pPr>
          </w:p>
        </w:tc>
        <w:tc>
          <w:tcPr>
            <w:tcW w:w="2393" w:type="dxa"/>
            <w:tcBorders>
              <w:top w:val="single" w:color="auto" w:sz="4" w:space="0"/>
              <w:left w:val="single" w:color="auto" w:sz="4" w:space="0"/>
              <w:bottom w:val="single" w:color="auto" w:sz="4" w:space="0"/>
              <w:right w:val="single" w:color="auto" w:sz="4" w:space="0"/>
            </w:tcBorders>
            <w:vAlign w:val="center"/>
          </w:tcPr>
          <w:p w14:paraId="2CAAFB8B">
            <w:pPr>
              <w:autoSpaceDE w:val="0"/>
              <w:autoSpaceDN w:val="0"/>
              <w:ind w:firstLine="480" w:firstLineChars="200"/>
              <w:jc w:val="center"/>
              <w:rPr>
                <w:rFonts w:ascii="宋体" w:hAnsi="宋体" w:cs="宋体"/>
                <w:color w:val="000000"/>
                <w:kern w:val="0"/>
                <w:lang w:val="zh-CN"/>
              </w:rPr>
            </w:pPr>
          </w:p>
        </w:tc>
        <w:tc>
          <w:tcPr>
            <w:tcW w:w="2001" w:type="dxa"/>
            <w:tcBorders>
              <w:top w:val="single" w:color="auto" w:sz="4" w:space="0"/>
              <w:left w:val="single" w:color="auto" w:sz="4" w:space="0"/>
              <w:bottom w:val="single" w:color="auto" w:sz="4" w:space="0"/>
              <w:right w:val="single" w:color="auto" w:sz="4" w:space="0"/>
            </w:tcBorders>
            <w:vAlign w:val="center"/>
          </w:tcPr>
          <w:p w14:paraId="6BEB5251">
            <w:pPr>
              <w:autoSpaceDE w:val="0"/>
              <w:autoSpaceDN w:val="0"/>
              <w:ind w:firstLine="480" w:firstLineChars="200"/>
              <w:jc w:val="center"/>
              <w:rPr>
                <w:rFonts w:ascii="宋体" w:hAnsi="宋体" w:cs="宋体"/>
                <w:color w:val="000000"/>
                <w:kern w:val="0"/>
                <w:lang w:val="zh-CN"/>
              </w:rPr>
            </w:pPr>
          </w:p>
        </w:tc>
        <w:tc>
          <w:tcPr>
            <w:tcW w:w="1044" w:type="dxa"/>
            <w:tcBorders>
              <w:top w:val="single" w:color="auto" w:sz="4" w:space="0"/>
              <w:left w:val="single" w:color="auto" w:sz="4" w:space="0"/>
              <w:bottom w:val="single" w:color="auto" w:sz="4" w:space="0"/>
              <w:right w:val="single" w:color="auto" w:sz="4" w:space="0"/>
            </w:tcBorders>
            <w:vAlign w:val="center"/>
          </w:tcPr>
          <w:p w14:paraId="10C58D80">
            <w:pPr>
              <w:autoSpaceDE w:val="0"/>
              <w:autoSpaceDN w:val="0"/>
              <w:ind w:firstLine="480" w:firstLineChars="200"/>
              <w:jc w:val="center"/>
              <w:rPr>
                <w:rFonts w:ascii="宋体" w:hAnsi="宋体" w:cs="宋体"/>
                <w:color w:val="000000"/>
                <w:kern w:val="0"/>
                <w:lang w:val="zh-CN"/>
              </w:rPr>
            </w:pPr>
          </w:p>
        </w:tc>
        <w:tc>
          <w:tcPr>
            <w:tcW w:w="995" w:type="dxa"/>
            <w:tcBorders>
              <w:top w:val="single" w:color="auto" w:sz="4" w:space="0"/>
              <w:left w:val="single" w:color="auto" w:sz="4" w:space="0"/>
              <w:bottom w:val="single" w:color="auto" w:sz="4" w:space="0"/>
              <w:right w:val="single" w:color="auto" w:sz="4" w:space="0"/>
            </w:tcBorders>
            <w:vAlign w:val="center"/>
          </w:tcPr>
          <w:p w14:paraId="5E1AEACF">
            <w:pPr>
              <w:autoSpaceDE w:val="0"/>
              <w:autoSpaceDN w:val="0"/>
              <w:ind w:firstLine="480" w:firstLineChars="200"/>
              <w:jc w:val="center"/>
              <w:rPr>
                <w:rFonts w:ascii="宋体" w:hAnsi="宋体" w:cs="宋体"/>
                <w:color w:val="000000"/>
                <w:kern w:val="0"/>
                <w:lang w:val="zh-CN"/>
              </w:rPr>
            </w:pPr>
          </w:p>
        </w:tc>
        <w:tc>
          <w:tcPr>
            <w:tcW w:w="1075" w:type="dxa"/>
            <w:tcBorders>
              <w:top w:val="single" w:color="auto" w:sz="4" w:space="0"/>
              <w:left w:val="single" w:color="auto" w:sz="4" w:space="0"/>
              <w:bottom w:val="single" w:color="auto" w:sz="4" w:space="0"/>
              <w:right w:val="single" w:color="auto" w:sz="4" w:space="0"/>
            </w:tcBorders>
            <w:vAlign w:val="center"/>
          </w:tcPr>
          <w:p w14:paraId="3A581CE6">
            <w:pPr>
              <w:autoSpaceDE w:val="0"/>
              <w:autoSpaceDN w:val="0"/>
              <w:ind w:firstLine="480" w:firstLineChars="200"/>
              <w:jc w:val="center"/>
              <w:rPr>
                <w:rFonts w:ascii="宋体" w:hAnsi="宋体" w:cs="宋体"/>
                <w:color w:val="000000"/>
                <w:kern w:val="0"/>
                <w:lang w:val="zh-CN"/>
              </w:rPr>
            </w:pPr>
          </w:p>
        </w:tc>
        <w:tc>
          <w:tcPr>
            <w:tcW w:w="802" w:type="dxa"/>
            <w:tcBorders>
              <w:top w:val="single" w:color="auto" w:sz="4" w:space="0"/>
              <w:left w:val="single" w:color="auto" w:sz="4" w:space="0"/>
              <w:bottom w:val="single" w:color="auto" w:sz="4" w:space="0"/>
              <w:right w:val="single" w:color="auto" w:sz="4" w:space="0"/>
            </w:tcBorders>
            <w:vAlign w:val="center"/>
          </w:tcPr>
          <w:p w14:paraId="6884532F">
            <w:pPr>
              <w:autoSpaceDE w:val="0"/>
              <w:autoSpaceDN w:val="0"/>
              <w:ind w:firstLine="480" w:firstLineChars="200"/>
              <w:jc w:val="center"/>
              <w:rPr>
                <w:rFonts w:ascii="宋体" w:hAnsi="宋体" w:cs="宋体"/>
                <w:color w:val="000000"/>
                <w:kern w:val="0"/>
                <w:lang w:val="zh-CN"/>
              </w:rPr>
            </w:pPr>
          </w:p>
        </w:tc>
      </w:tr>
    </w:tbl>
    <w:p w14:paraId="7D1925BC">
      <w:pPr>
        <w:pStyle w:val="12"/>
      </w:pPr>
    </w:p>
    <w:p w14:paraId="676BAD2D">
      <w:pPr>
        <w:widowControl/>
        <w:numPr>
          <w:ilvl w:val="0"/>
          <w:numId w:val="19"/>
        </w:numPr>
        <w:ind w:firstLine="480" w:firstLineChars="200"/>
        <w:rPr>
          <w:rFonts w:ascii="宋体" w:hAnsi="宋体" w:cs="宋体"/>
          <w:color w:val="000000"/>
          <w:kern w:val="0"/>
          <w:lang w:bidi="ar"/>
        </w:rPr>
      </w:pPr>
      <w:r>
        <w:rPr>
          <w:rFonts w:hint="eastAsia" w:ascii="宋体" w:hAnsi="宋体" w:cs="宋体"/>
          <w:color w:val="000000"/>
          <w:kern w:val="0"/>
          <w:lang w:bidi="ar"/>
        </w:rPr>
        <w:t>根据上述政府采购合同文件要求，本政府采购合同的总金额为人民币（大写）</w:t>
      </w:r>
      <w:r>
        <w:rPr>
          <w:rFonts w:hint="eastAsia" w:ascii="宋体" w:hAnsi="宋体" w:cs="宋体"/>
          <w:color w:val="000000"/>
          <w:kern w:val="0"/>
          <w:u w:val="single"/>
          <w:lang w:bidi="ar"/>
        </w:rPr>
        <w:t xml:space="preserve">     </w:t>
      </w:r>
      <w:r>
        <w:rPr>
          <w:rFonts w:hint="eastAsia" w:ascii="宋体" w:hAnsi="宋体" w:cs="宋体"/>
          <w:color w:val="000000"/>
          <w:kern w:val="0"/>
          <w:lang w:bidi="ar"/>
        </w:rPr>
        <w:t>元，（小写）</w:t>
      </w:r>
      <w:r>
        <w:rPr>
          <w:rFonts w:hint="eastAsia" w:ascii="宋体" w:hAnsi="宋体" w:cs="宋体"/>
          <w:color w:val="000000"/>
          <w:kern w:val="0"/>
          <w:u w:val="single"/>
          <w:lang w:bidi="ar"/>
        </w:rPr>
        <w:t xml:space="preserve">      </w:t>
      </w:r>
      <w:r>
        <w:rPr>
          <w:rFonts w:hint="eastAsia" w:ascii="宋体" w:hAnsi="宋体" w:cs="宋体"/>
          <w:color w:val="000000"/>
          <w:kern w:val="0"/>
          <w:lang w:bidi="ar"/>
        </w:rPr>
        <w:t>元。其中本政府采购合同中总金额为人民币（大写）</w:t>
      </w:r>
      <w:r>
        <w:rPr>
          <w:rFonts w:hint="eastAsia" w:ascii="宋体" w:hAnsi="宋体" w:cs="宋体"/>
          <w:color w:val="000000"/>
          <w:kern w:val="0"/>
          <w:u w:val="single"/>
          <w:lang w:bidi="ar"/>
        </w:rPr>
        <w:t xml:space="preserve">     </w:t>
      </w:r>
      <w:r>
        <w:rPr>
          <w:rFonts w:hint="eastAsia" w:ascii="宋体" w:hAnsi="宋体" w:cs="宋体"/>
          <w:color w:val="000000"/>
          <w:kern w:val="0"/>
          <w:lang w:bidi="ar"/>
        </w:rPr>
        <w:t>元，（小写）</w:t>
      </w:r>
      <w:r>
        <w:rPr>
          <w:rFonts w:hint="eastAsia" w:ascii="宋体" w:hAnsi="宋体" w:cs="宋体"/>
          <w:color w:val="000000"/>
          <w:kern w:val="0"/>
          <w:u w:val="single"/>
          <w:lang w:bidi="ar"/>
        </w:rPr>
        <w:t xml:space="preserve">      </w:t>
      </w:r>
      <w:r>
        <w:rPr>
          <w:rFonts w:hint="eastAsia" w:ascii="宋体" w:hAnsi="宋体" w:cs="宋体"/>
          <w:color w:val="000000"/>
          <w:kern w:val="0"/>
          <w:lang w:bidi="ar"/>
        </w:rPr>
        <w:t>元；</w:t>
      </w:r>
    </w:p>
    <w:p w14:paraId="1EA4F224">
      <w:pPr>
        <w:widowControl/>
        <w:autoSpaceDE w:val="0"/>
        <w:autoSpaceDN w:val="0"/>
        <w:adjustRightInd w:val="0"/>
        <w:snapToGrid w:val="0"/>
        <w:spacing w:before="100" w:after="100"/>
        <w:ind w:firstLine="480" w:firstLineChars="200"/>
        <w:rPr>
          <w:rFonts w:ascii="宋体" w:hAnsi="宋体" w:cs="宋体"/>
          <w:color w:val="000000"/>
          <w:kern w:val="0"/>
          <w:lang w:bidi="ar"/>
        </w:rPr>
      </w:pPr>
      <w:r>
        <w:rPr>
          <w:rFonts w:hint="eastAsia" w:ascii="宋体" w:hAnsi="宋体" w:cs="宋体"/>
          <w:color w:val="000000"/>
          <w:kern w:val="0"/>
          <w:lang w:bidi="ar"/>
        </w:rPr>
        <w:t>本合同以人民币进行结算，合同总价包括：</w:t>
      </w:r>
      <w:r>
        <w:rPr>
          <w:rFonts w:hint="eastAsia" w:ascii="宋体" w:hAnsi="宋体" w:cs="宋体"/>
          <w:color w:val="000000"/>
          <w:kern w:val="0"/>
          <w:lang w:eastAsia="zh-CN" w:bidi="ar"/>
        </w:rPr>
        <w:t>人员工资、保险、电费、 水费、药剂费、污泥处置及外用费、设备维护保养费、维修及更换零配件费、办公耗材费、 网络通讯费、化验费、取暖费、税收、招标代理费以及所有有关的管理成本和其他不可预见费等全部费用</w:t>
      </w:r>
      <w:r>
        <w:rPr>
          <w:rFonts w:hint="eastAsia" w:ascii="宋体" w:hAnsi="宋体" w:cs="宋体"/>
          <w:color w:val="000000"/>
          <w:kern w:val="0"/>
          <w:lang w:bidi="ar"/>
        </w:rPr>
        <w:t>。</w:t>
      </w:r>
    </w:p>
    <w:p w14:paraId="2BD26A53">
      <w:pPr>
        <w:widowControl/>
        <w:autoSpaceDE w:val="0"/>
        <w:autoSpaceDN w:val="0"/>
        <w:adjustRightInd w:val="0"/>
        <w:snapToGrid w:val="0"/>
        <w:spacing w:before="100" w:after="100"/>
        <w:ind w:firstLine="480" w:firstLineChars="200"/>
        <w:rPr>
          <w:rFonts w:cs="宋体" w:asciiTheme="minorEastAsia" w:hAnsiTheme="minorEastAsia" w:eastAsiaTheme="minorEastAsia"/>
          <w:lang w:val="zh-CN"/>
        </w:rPr>
      </w:pPr>
      <w:r>
        <w:rPr>
          <w:rFonts w:hint="eastAsia" w:ascii="宋体" w:hAnsi="宋体"/>
          <w:color w:val="000000"/>
        </w:rPr>
        <w:t>三、</w:t>
      </w:r>
      <w:r>
        <w:rPr>
          <w:rFonts w:hint="eastAsia" w:cs="宋体" w:asciiTheme="minorEastAsia" w:hAnsiTheme="minorEastAsia" w:eastAsiaTheme="minorEastAsia"/>
        </w:rPr>
        <w:t>服务期限</w:t>
      </w:r>
      <w:r>
        <w:rPr>
          <w:rFonts w:hint="eastAsia" w:cs="宋体" w:asciiTheme="minorEastAsia" w:hAnsiTheme="minorEastAsia" w:eastAsiaTheme="minorEastAsia"/>
          <w:lang w:val="zh-CN"/>
        </w:rPr>
        <w:t>和地点</w:t>
      </w:r>
    </w:p>
    <w:p w14:paraId="184328B6">
      <w:pPr>
        <w:widowControl/>
        <w:autoSpaceDE w:val="0"/>
        <w:autoSpaceDN w:val="0"/>
        <w:adjustRightInd w:val="0"/>
        <w:snapToGrid w:val="0"/>
        <w:ind w:firstLine="480" w:firstLineChars="200"/>
        <w:rPr>
          <w:rFonts w:cs="宋体" w:asciiTheme="minorEastAsia" w:hAnsiTheme="minorEastAsia" w:eastAsiaTheme="minorEastAsia"/>
        </w:rPr>
      </w:pPr>
      <w:r>
        <w:rPr>
          <w:rFonts w:cs="宋体" w:asciiTheme="minorEastAsia" w:hAnsiTheme="minorEastAsia" w:eastAsiaTheme="minorEastAsia"/>
          <w:lang w:val="zh-CN"/>
        </w:rPr>
        <w:t>1</w:t>
      </w:r>
      <w:r>
        <w:rPr>
          <w:rFonts w:hint="eastAsia" w:cs="宋体" w:asciiTheme="minorEastAsia" w:hAnsiTheme="minorEastAsia" w:eastAsiaTheme="minorEastAsia"/>
          <w:lang w:val="zh-CN"/>
        </w:rPr>
        <w:t>、服务期限：</w:t>
      </w:r>
      <w:r>
        <w:rPr>
          <w:rFonts w:hint="eastAsia" w:ascii="宋体" w:hAnsi="宋体" w:cs="宋体" w:eastAsiaTheme="minorEastAsia"/>
          <w:color w:val="000000" w:themeColor="text1"/>
          <w:highlight w:val="none"/>
          <w:lang w:val="en-US" w:eastAsia="zh-CN"/>
          <w14:textFill>
            <w14:solidFill>
              <w14:schemeClr w14:val="tx1"/>
            </w14:solidFill>
          </w14:textFill>
        </w:rPr>
        <w:t>服务期为半年，自提供运维服务之日起计。服务期结束后对经营方进行考核，双方就运营服务均无异议的情况下，可续签服务合同。</w:t>
      </w:r>
    </w:p>
    <w:p w14:paraId="21F6E292">
      <w:pPr>
        <w:ind w:firstLine="420" w:firstLineChars="0"/>
        <w:rPr>
          <w:rFonts w:cs="宋体" w:asciiTheme="minorEastAsia" w:hAnsiTheme="minorEastAsia" w:eastAsiaTheme="minorEastAsia"/>
          <w:lang w:val="zh-CN"/>
        </w:rPr>
      </w:pPr>
      <w:r>
        <w:rPr>
          <w:rFonts w:hint="eastAsia" w:cs="宋体" w:asciiTheme="minorEastAsia" w:hAnsiTheme="minorEastAsia" w:eastAsiaTheme="minorEastAsia"/>
          <w:lang w:val="zh-CN"/>
        </w:rPr>
        <w:t>2、服务地点：</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17</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座农村污水处理站</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分别是：</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峡乡灰条口村污水处理站、东峡乡新民村污水处理站、东峡乡灰条沟村污水处理站、东峡乡下脖项村污水处理站、东峡乡下脖项村果米滩污水处理站、日月乡前滩村污水处理站、日月乡尕庄村污水处理站、日月乡日月山村吊庄污水处理站、日月乡日月山村尕南湾污水处理站、日月乡哈城村污水处理站、日月乡兔尔干村污水处理站、日月乡若药堂村污水处理站、和平乡茶曲村污水处理站、巴燕乡巴燕峡村污水处理站</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、日月乡本炕村污水处理站、巴燕乡下寺村污水处理站、巴燕乡上浪湾村污水处理站</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p w14:paraId="27C5486C">
      <w:pPr>
        <w:ind w:left="1920" w:leftChars="200" w:hanging="1440" w:hangingChars="600"/>
        <w:rPr>
          <w:rFonts w:hint="eastAsia" w:cs="宋体" w:asciiTheme="minorEastAsia" w:hAnsiTheme="minorEastAsia" w:eastAsiaTheme="minorEastAsia"/>
          <w:lang w:val="zh-CN"/>
        </w:rPr>
      </w:pPr>
      <w:r>
        <w:rPr>
          <w:rFonts w:hint="eastAsia" w:cs="宋体" w:asciiTheme="minorEastAsia" w:hAnsiTheme="minorEastAsia" w:eastAsiaTheme="minorEastAsia"/>
          <w:lang w:val="zh-CN"/>
        </w:rPr>
        <w:t>3、服务</w:t>
      </w:r>
      <w:r>
        <w:rPr>
          <w:rFonts w:hint="eastAsia" w:cs="宋体" w:asciiTheme="minorEastAsia" w:hAnsiTheme="minorEastAsia" w:eastAsiaTheme="minorEastAsia"/>
        </w:rPr>
        <w:t>内容</w:t>
      </w:r>
      <w:r>
        <w:rPr>
          <w:rFonts w:hint="eastAsia" w:cs="宋体" w:asciiTheme="minorEastAsia" w:hAnsiTheme="minorEastAsia" w:eastAsiaTheme="minorEastAsia"/>
          <w:lang w:val="zh-CN"/>
        </w:rPr>
        <w:t>：</w:t>
      </w:r>
    </w:p>
    <w:p w14:paraId="7DECC1B8">
      <w:pPr>
        <w:ind w:firstLine="420" w:firstLineChars="0"/>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zh-CN" w:eastAsia="zh-CN" w:bidi="ar"/>
          <w14:textFill>
            <w14:solidFill>
              <w14:schemeClr w14:val="tx1"/>
            </w14:solidFill>
          </w14:textFill>
        </w:rPr>
        <w:t>对湟源县17座农村污水处理站的污水处理设施的运行和维护服务工作，其中14座农村污水处理站（东峡乡灰条口村污水处理站、东峡乡新民村污水处理站、东峡乡灰条沟村污水处理站、东峡乡下脖项村污水处理站、东峡乡下脖项村果米滩污水处理站、日月乡前滩村污水处理站、日月乡尕庄村污水处理站、日月乡日月山村吊庄污水处理站、日月乡日月山村尕南湾污水处理站、日月乡哈城村污水处理站、日月乡兔尔干村污水处理站、日月乡若药堂村污水处理站、和平乡茶曲村污水处理站、巴燕乡巴燕峡村污水处理站）的运维服务内容包括：日常运行监管，实现《农村生活污水处理水污染排放标准》一级标准要求达标排放，健全运维记录台账等；另外3座农村污水处理站（日月乡本炕村污水处理站、巴燕乡下寺村污水处理站、巴燕乡上浪湾村污水处理站）的运维服务内容包括：调试运行至《农村生活污水处理水污染排放标准》一级标准要求达标排放，健全运维记录台账等。</w:t>
      </w:r>
    </w:p>
    <w:p w14:paraId="461934BE">
      <w:r>
        <w:rPr>
          <w:rFonts w:hint="eastAsia"/>
          <w:lang w:val="zh-CN"/>
        </w:rPr>
        <w:t xml:space="preserve"> </w:t>
      </w:r>
      <w:r>
        <w:rPr>
          <w:rFonts w:hint="eastAsia"/>
        </w:rPr>
        <w:t xml:space="preserve">   2.</w:t>
      </w:r>
      <w:r>
        <w:rPr>
          <w:rFonts w:hint="eastAsia"/>
          <w:lang w:val="zh-CN"/>
        </w:rPr>
        <w:t>乙方提供不符合招投标文件和本合同规定的服务，甲方有权拒绝接受。</w:t>
      </w:r>
    </w:p>
    <w:p w14:paraId="2FC7D7EA">
      <w:pPr>
        <w:ind w:firstLine="480" w:firstLineChars="200"/>
      </w:pPr>
      <w:r>
        <w:rPr>
          <w:rFonts w:hint="eastAsia"/>
        </w:rPr>
        <w:t>3.</w:t>
      </w:r>
      <w:r>
        <w:rPr>
          <w:rFonts w:hint="eastAsia"/>
          <w:lang w:val="zh-CN"/>
        </w:rPr>
        <w:t>乙方应将</w:t>
      </w:r>
      <w:r>
        <w:rPr>
          <w:rFonts w:hint="eastAsia"/>
          <w:lang w:val="en-US" w:eastAsia="zh-CN"/>
        </w:rPr>
        <w:t>调查</w:t>
      </w:r>
      <w:r>
        <w:rPr>
          <w:rFonts w:hint="eastAsia"/>
          <w:lang w:val="zh-CN"/>
        </w:rPr>
        <w:t>成果的所有资料（包括电子资料）交付给甲方，如有缺失应及时补齐，否则视为逾期交货。</w:t>
      </w:r>
    </w:p>
    <w:p w14:paraId="0345382C">
      <w:pPr>
        <w:ind w:firstLine="480" w:firstLineChars="200"/>
      </w:pPr>
      <w:r>
        <w:rPr>
          <w:rFonts w:hint="eastAsia"/>
        </w:rPr>
        <w:t>4.</w:t>
      </w:r>
      <w:r>
        <w:rPr>
          <w:rFonts w:hint="eastAsia"/>
          <w:lang w:val="zh-CN"/>
        </w:rPr>
        <w:t>甲方应当在收到服务成果资料后</w:t>
      </w:r>
      <w:r>
        <w:rPr>
          <w:rFonts w:hint="eastAsia"/>
        </w:rPr>
        <w:t xml:space="preserve"> 15 </w:t>
      </w:r>
      <w:r>
        <w:rPr>
          <w:rFonts w:hint="eastAsia"/>
          <w:lang w:val="zh-CN"/>
        </w:rPr>
        <w:t>个工作日内进行验收，逾期不验收的，乙方可视为验收合格。验收合格后，由甲乙双方签署验收单并加盖采购人公章，甲乙双方各执一份。</w:t>
      </w:r>
    </w:p>
    <w:p w14:paraId="2DDC8169">
      <w:pPr>
        <w:ind w:firstLine="480" w:firstLineChars="200"/>
      </w:pPr>
      <w:r>
        <w:rPr>
          <w:rFonts w:hint="eastAsia"/>
        </w:rPr>
        <w:t>5.</w:t>
      </w:r>
      <w:r>
        <w:rPr>
          <w:rFonts w:hint="eastAsia"/>
          <w:lang w:val="zh-CN"/>
        </w:rPr>
        <w:t>甲方应提供该项目验收报告交同级财政监管部门，由财政部门按规定程序抽验后办理资金拨付。</w:t>
      </w:r>
    </w:p>
    <w:p w14:paraId="705EDCF3">
      <w:pPr>
        <w:ind w:firstLine="480" w:firstLineChars="200"/>
      </w:pPr>
      <w:r>
        <w:rPr>
          <w:rFonts w:hint="eastAsia"/>
        </w:rPr>
        <w:t>6.</w:t>
      </w:r>
      <w:r>
        <w:rPr>
          <w:rFonts w:hint="eastAsia"/>
          <w:lang w:val="zh-CN"/>
        </w:rPr>
        <w:t>甲方在验收过程中发现乙方有违约问题，可按招、投标文件的规定要求乙方及时予以解决。</w:t>
      </w:r>
    </w:p>
    <w:p w14:paraId="448A78DF">
      <w:pPr>
        <w:ind w:firstLine="480" w:firstLineChars="200"/>
      </w:pPr>
      <w:r>
        <w:rPr>
          <w:rFonts w:hint="eastAsia"/>
        </w:rPr>
        <w:t>7.</w:t>
      </w:r>
      <w:r>
        <w:rPr>
          <w:rFonts w:hint="eastAsia"/>
          <w:lang w:val="zh-CN"/>
        </w:rPr>
        <w:t>乙方向甲方提供产品相关完税销售发票。</w:t>
      </w:r>
    </w:p>
    <w:p w14:paraId="3F32C1FC">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四、付款方式（参考）</w:t>
      </w:r>
    </w:p>
    <w:p w14:paraId="5B029DBE">
      <w:pPr>
        <w:ind w:firstLine="480" w:firstLineChars="20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分两次支付：合同签订后15日内支付50%，余款在服务期满前付清</w:t>
      </w:r>
      <w:r>
        <w:rPr>
          <w:rFonts w:hint="eastAsia"/>
          <w:color w:val="000000" w:themeColor="text1"/>
          <w:lang w:val="zh-CN" w:eastAsia="zh-CN"/>
          <w14:textFill>
            <w14:solidFill>
              <w14:schemeClr w14:val="tx1"/>
            </w14:solidFill>
          </w14:textFill>
        </w:rPr>
        <w:t>。</w:t>
      </w:r>
    </w:p>
    <w:p w14:paraId="2E76F89D">
      <w:pPr>
        <w:ind w:firstLine="480" w:firstLineChars="200"/>
        <w:rPr>
          <w:rFonts w:hint="eastAsia"/>
          <w:lang w:val="en-US" w:eastAsia="zh-CN"/>
        </w:rPr>
      </w:pPr>
      <w:r>
        <w:rPr>
          <w:rFonts w:hint="eastAsia"/>
          <w:lang w:val="en-US" w:eastAsia="zh-CN"/>
        </w:rPr>
        <w:t>其他条款：</w:t>
      </w:r>
    </w:p>
    <w:p w14:paraId="5583ECC3">
      <w:pPr>
        <w:ind w:firstLine="480" w:firstLineChars="200"/>
        <w:rPr>
          <w:rFonts w:hint="eastAsia"/>
          <w:lang w:val="en-US" w:eastAsia="zh-CN"/>
        </w:rPr>
      </w:pPr>
      <w:r>
        <w:rPr>
          <w:rFonts w:hint="eastAsia"/>
          <w:lang w:val="en-US" w:eastAsia="zh-CN"/>
        </w:rPr>
        <w:t>（一）项目验收</w:t>
      </w:r>
    </w:p>
    <w:p w14:paraId="4EC03409">
      <w:pPr>
        <w:ind w:firstLine="480" w:firstLineChars="200"/>
        <w:rPr>
          <w:rFonts w:hint="eastAsia"/>
          <w:lang w:val="en-US" w:eastAsia="zh-CN"/>
        </w:rPr>
      </w:pPr>
      <w:r>
        <w:rPr>
          <w:rFonts w:hint="eastAsia"/>
          <w:lang w:val="en-US" w:eastAsia="zh-CN"/>
        </w:rPr>
        <w:t>1、省级验收。</w:t>
      </w:r>
    </w:p>
    <w:p w14:paraId="1C8573B8">
      <w:pPr>
        <w:ind w:firstLine="480" w:firstLineChars="200"/>
        <w:rPr>
          <w:rFonts w:hint="eastAsia"/>
          <w:lang w:val="en-US" w:eastAsia="zh-CN"/>
        </w:rPr>
      </w:pPr>
      <w:r>
        <w:rPr>
          <w:rFonts w:hint="eastAsia"/>
          <w:lang w:val="en-US" w:eastAsia="zh-CN"/>
        </w:rPr>
        <w:t>验收不合格不予签字通过，同时不支付整个标段工程款，并要求承包人及时整改，直至验收合格后支付。</w:t>
      </w:r>
    </w:p>
    <w:p w14:paraId="492D5F78">
      <w:pPr>
        <w:ind w:firstLine="480" w:firstLineChars="200"/>
        <w:rPr>
          <w:rFonts w:hint="eastAsia"/>
          <w:lang w:val="en-US" w:eastAsia="zh-CN"/>
        </w:rPr>
      </w:pPr>
      <w:r>
        <w:rPr>
          <w:rFonts w:hint="eastAsia"/>
          <w:lang w:val="en-US" w:eastAsia="zh-CN"/>
        </w:rPr>
        <w:t>2、质量保证期内如发现质量问题，承包人在接到发包人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0FD96BC5">
      <w:pPr>
        <w:ind w:firstLine="480" w:firstLineChars="200"/>
        <w:rPr>
          <w:rFonts w:hint="eastAsia"/>
          <w:lang w:val="en-US" w:eastAsia="zh-CN"/>
        </w:rPr>
      </w:pPr>
      <w:r>
        <w:rPr>
          <w:rFonts w:hint="eastAsia"/>
          <w:lang w:val="en-US" w:eastAsia="zh-CN"/>
        </w:rPr>
        <w:t>3、如承包人在收到发包人通知七天内没有答复，则视为承包人承认其工程质量问题，发包人有权自行处理，承包人承担由此而发生的一切费用。</w:t>
      </w:r>
    </w:p>
    <w:p w14:paraId="2DBFBAE1">
      <w:pPr>
        <w:ind w:firstLine="480" w:firstLineChars="200"/>
        <w:rPr>
          <w:rFonts w:hint="eastAsia"/>
          <w:lang w:val="en-US" w:eastAsia="zh-CN"/>
        </w:rPr>
      </w:pPr>
      <w:r>
        <w:rPr>
          <w:rFonts w:hint="eastAsia"/>
          <w:lang w:val="en-US" w:eastAsia="zh-CN"/>
        </w:rPr>
        <w:t>（二）违约责任</w:t>
      </w:r>
    </w:p>
    <w:p w14:paraId="33AD6EA6">
      <w:pPr>
        <w:ind w:firstLine="480" w:firstLineChars="200"/>
        <w:rPr>
          <w:rFonts w:hint="eastAsia"/>
          <w:lang w:val="en-US" w:eastAsia="zh-CN"/>
        </w:rPr>
      </w:pPr>
      <w:r>
        <w:rPr>
          <w:rFonts w:hint="eastAsia"/>
          <w:lang w:val="en-US" w:eastAsia="zh-CN"/>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5C138271">
      <w:pPr>
        <w:ind w:firstLine="480" w:firstLineChars="200"/>
        <w:rPr>
          <w:rFonts w:hint="eastAsia"/>
          <w:lang w:val="en-US" w:eastAsia="zh-CN"/>
        </w:rPr>
      </w:pPr>
      <w:r>
        <w:rPr>
          <w:rFonts w:hint="eastAsia"/>
          <w:lang w:val="en-US" w:eastAsia="zh-CN"/>
        </w:rPr>
        <w:t>2、当发生合同纠纷时，双方本着友好协商态度解决，当达不成共识时由发包人所在地经济合同仲裁委员会或人民法院仲裁裁决。</w:t>
      </w:r>
    </w:p>
    <w:p w14:paraId="49B1C487">
      <w:pPr>
        <w:ind w:firstLine="480" w:firstLineChars="200"/>
        <w:rPr>
          <w:rFonts w:hint="eastAsia"/>
          <w:lang w:val="en-US" w:eastAsia="zh-CN"/>
        </w:rPr>
      </w:pPr>
      <w:r>
        <w:rPr>
          <w:rFonts w:hint="eastAsia"/>
          <w:lang w:val="en-US" w:eastAsia="zh-CN"/>
        </w:rPr>
        <w:t>（三）为保证服务质量及合同签订，在合同签订前交纳工程价格5%的履约保证金，合同签订后履约保证金转为质量保证金，待竣工验收合格后全额退还。</w:t>
      </w:r>
    </w:p>
    <w:p w14:paraId="03BF698A">
      <w:pPr>
        <w:ind w:firstLine="480" w:firstLineChars="200"/>
        <w:rPr>
          <w:rFonts w:hint="eastAsia"/>
          <w:lang w:val="en-US" w:eastAsia="zh-CN"/>
        </w:rPr>
      </w:pPr>
      <w:r>
        <w:rPr>
          <w:rFonts w:hint="eastAsia"/>
          <w:lang w:val="en-US" w:eastAsia="zh-CN"/>
        </w:rPr>
        <w:t>（四）合同生效及其它</w:t>
      </w:r>
    </w:p>
    <w:p w14:paraId="07B8757C">
      <w:pPr>
        <w:ind w:firstLine="480" w:firstLineChars="200"/>
        <w:rPr>
          <w:rFonts w:hint="eastAsia"/>
          <w:lang w:val="en-US" w:eastAsia="zh-CN"/>
        </w:rPr>
      </w:pPr>
      <w:r>
        <w:rPr>
          <w:rFonts w:hint="eastAsia"/>
          <w:lang w:val="en-US" w:eastAsia="zh-CN"/>
        </w:rPr>
        <w:t>1、本合同经发包人、承包人单位盖章后即生效。</w:t>
      </w:r>
    </w:p>
    <w:p w14:paraId="69DBD9A7">
      <w:pPr>
        <w:ind w:firstLine="480" w:firstLineChars="200"/>
        <w:rPr>
          <w:rFonts w:hint="eastAsia"/>
          <w:lang w:val="en-US" w:eastAsia="zh-CN"/>
        </w:rPr>
      </w:pPr>
      <w:r>
        <w:rPr>
          <w:rFonts w:hint="eastAsia"/>
          <w:lang w:val="en-US" w:eastAsia="zh-CN"/>
        </w:rPr>
        <w:t>2、本合同未尽事宜，双方协商解决或按《经济合同法》执行。</w:t>
      </w:r>
    </w:p>
    <w:p w14:paraId="3AB4882B">
      <w:pPr>
        <w:ind w:firstLine="480" w:firstLineChars="200"/>
        <w:rPr>
          <w:lang w:val="zh-CN"/>
        </w:rPr>
      </w:pPr>
      <w:r>
        <w:rPr>
          <w:rFonts w:hint="eastAsia"/>
          <w:lang w:val="en-US" w:eastAsia="zh-CN"/>
        </w:rPr>
        <w:t>3、本合同一式捌份，甲方执叁份、乙方执叁份、招标代理机构贰份。</w:t>
      </w:r>
    </w:p>
    <w:p w14:paraId="5E995425">
      <w:pPr>
        <w:ind w:firstLine="480" w:firstLineChars="200"/>
        <w:rPr>
          <w:lang w:val="zh-CN"/>
        </w:rPr>
      </w:pPr>
      <w:r>
        <w:rPr>
          <w:rFonts w:hint="eastAsia"/>
          <w:lang w:val="zh-CN"/>
        </w:rPr>
        <w:t>五、合同的变更、终止与转让</w:t>
      </w:r>
    </w:p>
    <w:p w14:paraId="45AD6693">
      <w:pPr>
        <w:ind w:firstLine="480" w:firstLineChars="200"/>
      </w:pPr>
      <w:r>
        <w:rPr>
          <w:rFonts w:hint="eastAsia"/>
        </w:rPr>
        <w:t>1.</w:t>
      </w:r>
      <w:r>
        <w:rPr>
          <w:rFonts w:hint="eastAsia"/>
          <w:lang w:val="zh-CN"/>
        </w:rPr>
        <w:t>除《中华人民共和国政府采购法》第</w:t>
      </w:r>
      <w:r>
        <w:rPr>
          <w:rFonts w:hint="eastAsia"/>
        </w:rPr>
        <w:t>50</w:t>
      </w:r>
      <w:r>
        <w:rPr>
          <w:rFonts w:hint="eastAsia"/>
          <w:lang w:val="zh-CN"/>
        </w:rPr>
        <w:t>条规定的情形外，本合同一经签订，甲乙双方不得擅自变更、中止或终止。</w:t>
      </w:r>
    </w:p>
    <w:p w14:paraId="3FB3D347">
      <w:pPr>
        <w:ind w:firstLine="480" w:firstLineChars="200"/>
      </w:pPr>
      <w:r>
        <w:rPr>
          <w:rFonts w:hint="eastAsia"/>
        </w:rPr>
        <w:t>2.</w:t>
      </w:r>
      <w:r>
        <w:rPr>
          <w:rFonts w:hint="eastAsia"/>
          <w:lang w:val="zh-CN"/>
        </w:rPr>
        <w:t>乙方不得擅自转让其应履行的合同义务。</w:t>
      </w:r>
    </w:p>
    <w:p w14:paraId="0A3CF589">
      <w:pPr>
        <w:ind w:firstLine="480" w:firstLineChars="200"/>
      </w:pPr>
      <w:r>
        <w:rPr>
          <w:rFonts w:hint="eastAsia"/>
          <w:lang w:val="zh-CN"/>
        </w:rPr>
        <w:t>六、违约责任</w:t>
      </w:r>
    </w:p>
    <w:p w14:paraId="43443B10">
      <w:pPr>
        <w:ind w:firstLine="480" w:firstLineChars="200"/>
      </w:pPr>
      <w:r>
        <w:rPr>
          <w:rFonts w:hint="eastAsia"/>
        </w:rPr>
        <w:t>1.</w:t>
      </w:r>
      <w:r>
        <w:rPr>
          <w:rFonts w:hint="eastAsia"/>
          <w:lang w:val="zh-CN"/>
        </w:rPr>
        <w:t>乙方所提供的服务产品，技术质量等不合格的，应及时更换；更换不及时的，按逾期交货处罚；因质量问题甲方不同意接收的，由乙方赔偿由此引起的甲方的一切经济损失。</w:t>
      </w:r>
    </w:p>
    <w:p w14:paraId="62826BE2">
      <w:pPr>
        <w:ind w:firstLine="480" w:firstLineChars="200"/>
      </w:pPr>
      <w:r>
        <w:rPr>
          <w:rFonts w:hint="eastAsia"/>
        </w:rPr>
        <w:t>2.</w:t>
      </w:r>
      <w:r>
        <w:rPr>
          <w:rFonts w:hint="eastAsia"/>
          <w:lang w:val="zh-CN"/>
        </w:rPr>
        <w:t>乙方提供的服务成果如侵犯了第三方权益而引发纠纷或诉讼的，均由乙方负责交涉并承担全部责任。</w:t>
      </w:r>
    </w:p>
    <w:p w14:paraId="7DFFD9F3">
      <w:pPr>
        <w:ind w:firstLine="480" w:firstLineChars="200"/>
      </w:pPr>
      <w:r>
        <w:rPr>
          <w:rFonts w:hint="eastAsia"/>
        </w:rPr>
        <w:t>3.</w:t>
      </w:r>
      <w:r>
        <w:rPr>
          <w:rFonts w:hint="eastAsia"/>
          <w:lang w:val="zh-CN"/>
        </w:rPr>
        <w:t>甲方无故延期接受和乙方逾期交付的，每天应向对方偿付未交服务成果产品价款的</w:t>
      </w:r>
      <w:r>
        <w:rPr>
          <w:rFonts w:hint="eastAsia"/>
        </w:rPr>
        <w:t>3</w:t>
      </w:r>
      <w:r>
        <w:rPr>
          <w:rFonts w:hint="eastAsia"/>
          <w:lang w:val="zh-CN"/>
        </w:rPr>
        <w:t>‰的违约金，但违约金累计不得超过违约货款的</w:t>
      </w:r>
      <w:r>
        <w:rPr>
          <w:rFonts w:hint="eastAsia"/>
        </w:rPr>
        <w:t>5%</w:t>
      </w:r>
      <w:r>
        <w:rPr>
          <w:rFonts w:hint="eastAsia"/>
          <w:lang w:val="zh-CN"/>
        </w:rPr>
        <w:t>，超过</w:t>
      </w:r>
      <w:r>
        <w:rPr>
          <w:rFonts w:hint="eastAsia"/>
        </w:rPr>
        <w:t xml:space="preserve"> 30 </w:t>
      </w:r>
      <w:r>
        <w:rPr>
          <w:rFonts w:hint="eastAsia"/>
          <w:lang w:val="zh-CN"/>
        </w:rPr>
        <w:t>天对方有权解除合同，违约方承担因此给对方造成的经济损失。</w:t>
      </w:r>
    </w:p>
    <w:p w14:paraId="6C61D583">
      <w:pPr>
        <w:ind w:firstLine="480" w:firstLineChars="200"/>
      </w:pPr>
      <w:r>
        <w:rPr>
          <w:rFonts w:hint="eastAsia"/>
        </w:rPr>
        <w:t>4.</w:t>
      </w:r>
      <w:r>
        <w:rPr>
          <w:rFonts w:hint="eastAsia"/>
          <w:lang w:val="zh-CN"/>
        </w:rPr>
        <w:t>乙方未按本合同和投标文件中规定的服务承诺提供售后服务的，乙方应按本合同合计金额的</w:t>
      </w:r>
      <w:r>
        <w:rPr>
          <w:rFonts w:hint="eastAsia"/>
        </w:rPr>
        <w:t>5%</w:t>
      </w:r>
      <w:r>
        <w:rPr>
          <w:rFonts w:hint="eastAsia"/>
          <w:lang w:val="zh-CN"/>
        </w:rPr>
        <w:t>向甲方支付违约金。</w:t>
      </w:r>
    </w:p>
    <w:p w14:paraId="2915A8D8">
      <w:pPr>
        <w:ind w:firstLine="480" w:firstLineChars="200"/>
      </w:pPr>
      <w:r>
        <w:rPr>
          <w:rFonts w:hint="eastAsia"/>
        </w:rPr>
        <w:t>5.</w:t>
      </w:r>
      <w:r>
        <w:rPr>
          <w:rFonts w:hint="eastAsia"/>
          <w:lang w:val="zh-CN"/>
        </w:rPr>
        <w:t>乙方提供的货物在质量保证期内，因设计、工艺或材料的缺陷和其它质量原因造成的问题，由乙方负责，费用从履约保证金中扣除，不足另补。</w:t>
      </w:r>
    </w:p>
    <w:p w14:paraId="43CAFB38">
      <w:pPr>
        <w:ind w:firstLine="480" w:firstLineChars="200"/>
      </w:pPr>
      <w:r>
        <w:rPr>
          <w:rFonts w:hint="eastAsia"/>
        </w:rPr>
        <w:t>6.</w:t>
      </w:r>
      <w:r>
        <w:rPr>
          <w:rFonts w:hint="eastAsia"/>
          <w:lang w:val="zh-CN"/>
        </w:rPr>
        <w:t>其它违约行为按违约货款额</w:t>
      </w:r>
      <w:r>
        <w:rPr>
          <w:rFonts w:hint="eastAsia"/>
        </w:rPr>
        <w:t>5%</w:t>
      </w:r>
      <w:r>
        <w:rPr>
          <w:rFonts w:hint="eastAsia"/>
          <w:lang w:val="zh-CN"/>
        </w:rPr>
        <w:t>收取违约金并赔偿经济损失。</w:t>
      </w:r>
    </w:p>
    <w:p w14:paraId="0E504BE7">
      <w:pPr>
        <w:ind w:firstLine="480" w:firstLineChars="200"/>
      </w:pPr>
      <w:r>
        <w:rPr>
          <w:rFonts w:hint="eastAsia"/>
          <w:lang w:val="zh-CN"/>
        </w:rPr>
        <w:t>七、不可抗力</w:t>
      </w:r>
    </w:p>
    <w:p w14:paraId="264A6EAB">
      <w:pPr>
        <w:ind w:firstLine="480" w:firstLineChars="200"/>
      </w:pPr>
      <w:r>
        <w:rPr>
          <w:rFonts w:hint="eastAsia"/>
          <w:lang w:val="zh-CN"/>
        </w:rPr>
        <w:t>不可抗力使合同的某些内容有变更必要的，双方应通过协商在</w:t>
      </w:r>
      <w:r>
        <w:rPr>
          <w:rFonts w:hint="eastAsia"/>
        </w:rPr>
        <w:t xml:space="preserve"> 30 </w:t>
      </w:r>
      <w:r>
        <w:rPr>
          <w:rFonts w:hint="eastAsia"/>
          <w:lang w:val="zh-CN"/>
        </w:rPr>
        <w:t>天内达成进一步履行合同的协议，因不可抗力致使合同不能履行的，合同终止。</w:t>
      </w:r>
    </w:p>
    <w:p w14:paraId="71A57456">
      <w:pPr>
        <w:ind w:firstLine="480" w:firstLineChars="200"/>
      </w:pPr>
      <w:r>
        <w:rPr>
          <w:rFonts w:hint="eastAsia"/>
          <w:lang w:val="zh-CN"/>
        </w:rPr>
        <w:t>八、知识产权：本项目</w:t>
      </w:r>
      <w:r>
        <w:rPr>
          <w:rFonts w:hint="eastAsia"/>
        </w:rPr>
        <w:t>所产生的数据、结论、论文、成果、专利等知识产权均归甲乙双方共有，</w:t>
      </w:r>
      <w:r>
        <w:rPr>
          <w:rFonts w:hint="eastAsia"/>
          <w:lang w:val="zh-CN"/>
        </w:rPr>
        <w:t>详见合同通用条款。</w:t>
      </w:r>
    </w:p>
    <w:p w14:paraId="25719B2E">
      <w:pPr>
        <w:ind w:firstLine="480" w:firstLineChars="200"/>
      </w:pPr>
      <w:r>
        <w:rPr>
          <w:rFonts w:hint="eastAsia"/>
          <w:lang w:val="en-US" w:eastAsia="zh-CN"/>
        </w:rPr>
        <w:t>九</w:t>
      </w:r>
      <w:r>
        <w:rPr>
          <w:rFonts w:hint="eastAsia"/>
          <w:lang w:val="zh-CN"/>
        </w:rPr>
        <w:t>、合同争议解决</w:t>
      </w:r>
    </w:p>
    <w:p w14:paraId="61D42D58">
      <w:pPr>
        <w:ind w:firstLine="480" w:firstLineChars="200"/>
      </w:pPr>
      <w:r>
        <w:rPr>
          <w:rFonts w:hint="eastAsia"/>
        </w:rPr>
        <w:t>1.</w:t>
      </w:r>
      <w:r>
        <w:rPr>
          <w:rFonts w:hint="eastAsia"/>
          <w:lang w:val="zh-CN"/>
        </w:rPr>
        <w:t>因服务质量问题发生争议的，应邀请国家认可的第三方检测机构进行鉴定。符合标准的，鉴定费由甲方承担；不符合标准的，鉴定费由乙方承担。</w:t>
      </w:r>
    </w:p>
    <w:p w14:paraId="62CC773D">
      <w:pPr>
        <w:ind w:firstLine="480" w:firstLineChars="200"/>
      </w:pPr>
      <w:r>
        <w:rPr>
          <w:rFonts w:hint="eastAsia"/>
        </w:rPr>
        <w:t>2.</w:t>
      </w:r>
      <w:r>
        <w:rPr>
          <w:rFonts w:hint="eastAsia"/>
          <w:lang w:val="zh-CN"/>
        </w:rPr>
        <w:t>因履行本合同引起的或与本合同有关的争议，甲乙双方应首先通过友好协商解决，如果协商不能解决，可向甲方所在地仲裁委员会申请仲裁或向甲方所在地人民法院提起诉讼。</w:t>
      </w:r>
    </w:p>
    <w:p w14:paraId="1171BEF0">
      <w:pPr>
        <w:ind w:firstLine="480" w:firstLineChars="200"/>
      </w:pPr>
      <w:r>
        <w:rPr>
          <w:rFonts w:hint="eastAsia"/>
        </w:rPr>
        <w:t>3.</w:t>
      </w:r>
      <w:r>
        <w:rPr>
          <w:rFonts w:hint="eastAsia"/>
          <w:lang w:val="zh-CN"/>
        </w:rPr>
        <w:t>诉讼期间，本合同继续履行。</w:t>
      </w:r>
    </w:p>
    <w:p w14:paraId="109A0501">
      <w:pPr>
        <w:ind w:firstLine="480" w:firstLineChars="200"/>
      </w:pPr>
      <w:r>
        <w:rPr>
          <w:rFonts w:hint="eastAsia"/>
          <w:lang w:val="en-US" w:eastAsia="zh-CN"/>
        </w:rPr>
        <w:t>十</w:t>
      </w:r>
      <w:r>
        <w:rPr>
          <w:rFonts w:hint="eastAsia"/>
          <w:lang w:val="zh-CN"/>
        </w:rPr>
        <w:t>、合同生效及其它</w:t>
      </w:r>
      <w:r>
        <w:rPr>
          <w:rFonts w:hint="eastAsia"/>
        </w:rPr>
        <w:t>：</w:t>
      </w:r>
    </w:p>
    <w:p w14:paraId="05292D92">
      <w:pPr>
        <w:autoSpaceDE w:val="0"/>
        <w:autoSpaceDN w:val="0"/>
        <w:adjustRightInd w:val="0"/>
        <w:snapToGrid w:val="0"/>
        <w:ind w:firstLine="480" w:firstLineChars="200"/>
        <w:rPr>
          <w:rFonts w:ascii="宋体" w:hAnsi="宋体" w:cs="宋体"/>
          <w:color w:val="000000"/>
          <w:lang w:val="zh-CN"/>
        </w:rPr>
      </w:pPr>
      <w:r>
        <w:rPr>
          <w:rFonts w:hint="eastAsia" w:ascii="宋体" w:hAnsi="宋体" w:cs="宋体"/>
          <w:color w:val="000000"/>
        </w:rPr>
        <w:t>1、</w:t>
      </w:r>
      <w:r>
        <w:rPr>
          <w:rFonts w:hint="eastAsia" w:ascii="宋体" w:hAnsi="宋体" w:cs="宋体"/>
          <w:color w:val="000000"/>
          <w:lang w:val="zh-CN"/>
        </w:rPr>
        <w:t>本合同经甲、乙方双方单位盖章后生效。</w:t>
      </w:r>
      <w:r>
        <w:rPr>
          <w:rFonts w:hint="eastAsia" w:cs="宋体" w:asciiTheme="minorEastAsia" w:hAnsiTheme="minorEastAsia" w:eastAsiaTheme="minorEastAsia"/>
          <w:lang w:val="zh-CN"/>
        </w:rPr>
        <w:t>经双方法定代表人或委托代理人签字并加盖公章即为生效，委托代理人签署的，应提供授权委托书。</w:t>
      </w:r>
    </w:p>
    <w:p w14:paraId="1F979E6F">
      <w:pPr>
        <w:autoSpaceDE w:val="0"/>
        <w:autoSpaceDN w:val="0"/>
        <w:adjustRightInd w:val="0"/>
        <w:snapToGrid w:val="0"/>
        <w:ind w:firstLine="480" w:firstLineChars="200"/>
        <w:rPr>
          <w:rFonts w:cs="宋体" w:asciiTheme="minorEastAsia" w:hAnsiTheme="minorEastAsia" w:eastAsiaTheme="minorEastAsia"/>
          <w:lang w:val="zh-CN"/>
        </w:rPr>
      </w:pPr>
      <w:r>
        <w:rPr>
          <w:rFonts w:hint="eastAsia" w:cs="宋体" w:asciiTheme="minorEastAsia" w:hAnsiTheme="minorEastAsia" w:eastAsiaTheme="minorEastAsia"/>
        </w:rPr>
        <w:t>2、</w:t>
      </w:r>
      <w:r>
        <w:rPr>
          <w:rFonts w:hint="eastAsia" w:cs="宋体" w:asciiTheme="minorEastAsia" w:hAnsiTheme="minorEastAsia" w:eastAsiaTheme="minorEastAsia"/>
          <w:lang w:val="zh-CN" w:eastAsia="zh-CN"/>
        </w:rPr>
        <w:t>本合同一式捌份，甲方执</w:t>
      </w:r>
      <w:r>
        <w:rPr>
          <w:rFonts w:hint="eastAsia" w:cs="宋体" w:asciiTheme="minorEastAsia" w:hAnsiTheme="minorEastAsia" w:eastAsiaTheme="minorEastAsia"/>
          <w:lang w:val="en-US" w:eastAsia="zh-CN"/>
        </w:rPr>
        <w:t>叁</w:t>
      </w:r>
      <w:r>
        <w:rPr>
          <w:rFonts w:hint="eastAsia" w:cs="宋体" w:asciiTheme="minorEastAsia" w:hAnsiTheme="minorEastAsia" w:eastAsiaTheme="minorEastAsia"/>
          <w:lang w:val="zh-CN" w:eastAsia="zh-CN"/>
        </w:rPr>
        <w:t>份、乙方执</w:t>
      </w:r>
      <w:r>
        <w:rPr>
          <w:rFonts w:hint="eastAsia" w:cs="宋体" w:asciiTheme="minorEastAsia" w:hAnsiTheme="minorEastAsia" w:eastAsiaTheme="minorEastAsia"/>
          <w:lang w:val="en-US" w:eastAsia="zh-CN"/>
        </w:rPr>
        <w:t>叁</w:t>
      </w:r>
      <w:r>
        <w:rPr>
          <w:rFonts w:hint="eastAsia" w:cs="宋体" w:asciiTheme="minorEastAsia" w:hAnsiTheme="minorEastAsia" w:eastAsiaTheme="minorEastAsia"/>
          <w:lang w:val="zh-CN" w:eastAsia="zh-CN"/>
        </w:rPr>
        <w:t>份、招标代理机构贰份。</w:t>
      </w:r>
    </w:p>
    <w:p w14:paraId="7576AD8D">
      <w:pPr>
        <w:widowControl/>
        <w:autoSpaceDE w:val="0"/>
        <w:autoSpaceDN w:val="0"/>
        <w:adjustRightInd w:val="0"/>
        <w:snapToGrid w:val="0"/>
        <w:ind w:firstLine="480" w:firstLineChars="200"/>
        <w:rPr>
          <w:rFonts w:cs="宋体" w:asciiTheme="minorEastAsia" w:hAnsiTheme="minorEastAsia" w:eastAsiaTheme="minorEastAsia"/>
          <w:lang w:val="zh-CN"/>
        </w:rPr>
      </w:pPr>
      <w:r>
        <w:rPr>
          <w:rFonts w:hint="eastAsia" w:cs="宋体" w:asciiTheme="minorEastAsia" w:hAnsiTheme="minorEastAsia" w:eastAsiaTheme="minorEastAsia"/>
        </w:rPr>
        <w:t>3</w:t>
      </w:r>
      <w:r>
        <w:rPr>
          <w:rFonts w:hint="eastAsia" w:cs="宋体" w:asciiTheme="minorEastAsia" w:hAnsiTheme="minorEastAsia" w:eastAsiaTheme="minorEastAsia"/>
          <w:lang w:val="zh-CN"/>
        </w:rPr>
        <w:t>、本合同未尽事宜，按《中华人民共和国民法典》有关规定处理。</w:t>
      </w:r>
    </w:p>
    <w:p w14:paraId="4B2A4A47">
      <w:pPr>
        <w:pStyle w:val="18"/>
        <w:adjustRightInd w:val="0"/>
        <w:snapToGrid w:val="0"/>
        <w:ind w:firstLine="480" w:firstLineChars="200"/>
        <w:rPr>
          <w:lang w:val="zh-CN"/>
        </w:rPr>
      </w:pPr>
      <w:r>
        <w:rPr>
          <w:rFonts w:hint="eastAsia" w:cs="宋体" w:asciiTheme="minorEastAsia" w:hAnsiTheme="minorEastAsia" w:eastAsiaTheme="minorEastAsia"/>
          <w:b w:val="0"/>
          <w:bCs/>
          <w:sz w:val="24"/>
        </w:rPr>
        <w:t>4、本合同未尽事宜，由双方协商解决</w:t>
      </w:r>
    </w:p>
    <w:p w14:paraId="2C96DEF1">
      <w:pPr>
        <w:ind w:firstLine="480" w:firstLineChars="200"/>
      </w:pPr>
      <w:r>
        <w:rPr>
          <w:rFonts w:hint="eastAsia"/>
          <w:lang w:val="zh-CN"/>
        </w:rPr>
        <w:t>甲方（盖章）：</w:t>
      </w:r>
      <w:r>
        <w:rPr>
          <w:rFonts w:hint="eastAsia"/>
        </w:rPr>
        <w:t xml:space="preserve">                         </w:t>
      </w:r>
      <w:r>
        <w:rPr>
          <w:rFonts w:hint="eastAsia"/>
          <w:lang w:val="zh-CN"/>
        </w:rPr>
        <w:t>乙方（盖章）：</w:t>
      </w:r>
    </w:p>
    <w:p w14:paraId="73B8B394">
      <w:pPr>
        <w:ind w:firstLine="480" w:firstLineChars="200"/>
      </w:pPr>
      <w:r>
        <w:rPr>
          <w:rFonts w:hint="eastAsia"/>
          <w:lang w:val="zh-CN"/>
        </w:rPr>
        <w:t>法定代表人或委托代理人</w:t>
      </w:r>
      <w:r>
        <w:rPr>
          <w:rFonts w:hint="eastAsia"/>
        </w:rPr>
        <w:t xml:space="preserve">：               </w:t>
      </w:r>
      <w:r>
        <w:rPr>
          <w:rFonts w:hint="eastAsia"/>
          <w:lang w:val="zh-CN"/>
        </w:rPr>
        <w:t>法定代表人或委托代理人</w:t>
      </w:r>
    </w:p>
    <w:p w14:paraId="504CD7ED">
      <w:pPr>
        <w:ind w:firstLine="480" w:firstLineChars="20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lang w:val="zh-CN"/>
        </w:rPr>
        <w:t>开户银行：</w:t>
      </w:r>
    </w:p>
    <w:p w14:paraId="632E527F">
      <w:pPr>
        <w:ind w:firstLine="480" w:firstLineChars="200"/>
        <w:rPr>
          <w:lang w:val="zh-CN"/>
        </w:rPr>
      </w:pPr>
      <w:r>
        <w:rPr>
          <w:rFonts w:hint="eastAsia"/>
        </w:rPr>
        <w:t xml:space="preserve">                                       </w:t>
      </w:r>
      <w:r>
        <w:rPr>
          <w:rFonts w:hint="eastAsia"/>
          <w:lang w:val="zh-CN"/>
        </w:rPr>
        <w:t>账号：</w:t>
      </w:r>
    </w:p>
    <w:p w14:paraId="315FAC39">
      <w:pPr>
        <w:ind w:firstLine="480" w:firstLineChars="200"/>
        <w:rPr>
          <w:lang w:val="zh-CN"/>
        </w:rPr>
      </w:pPr>
      <w:r>
        <w:rPr>
          <w:rFonts w:hint="eastAsia"/>
          <w:lang w:val="zh-CN"/>
        </w:rPr>
        <w:t>地址：</w:t>
      </w:r>
      <w:r>
        <w:rPr>
          <w:rFonts w:hint="eastAsia"/>
        </w:rPr>
        <w:t xml:space="preserve">                                 </w:t>
      </w:r>
      <w:r>
        <w:rPr>
          <w:rFonts w:hint="eastAsia"/>
          <w:lang w:val="zh-CN"/>
        </w:rPr>
        <w:t>地址：</w:t>
      </w:r>
    </w:p>
    <w:p w14:paraId="56E4AD2D">
      <w:pPr>
        <w:ind w:firstLine="480" w:firstLineChars="200"/>
      </w:pPr>
      <w:r>
        <w:rPr>
          <w:rFonts w:hint="eastAsia"/>
          <w:lang w:val="zh-CN"/>
        </w:rPr>
        <w:t>联系电话：</w:t>
      </w:r>
      <w:r>
        <w:rPr>
          <w:rFonts w:hint="eastAsia"/>
        </w:rPr>
        <w:t xml:space="preserve">                             </w:t>
      </w:r>
      <w:r>
        <w:rPr>
          <w:rFonts w:hint="eastAsia"/>
          <w:lang w:val="zh-CN"/>
        </w:rPr>
        <w:t>联系电话：</w:t>
      </w:r>
    </w:p>
    <w:p w14:paraId="6819988D">
      <w:pPr>
        <w:ind w:firstLine="480" w:firstLineChars="200"/>
      </w:pPr>
      <w:r>
        <w:rPr>
          <w:rFonts w:hint="eastAsia"/>
          <w:lang w:val="zh-CN"/>
        </w:rPr>
        <w:t xml:space="preserve">                           签约时间：</w:t>
      </w:r>
      <w:r>
        <w:rPr>
          <w:rFonts w:hint="eastAsia"/>
        </w:rPr>
        <w:t xml:space="preserve">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w:t>
      </w:r>
    </w:p>
    <w:p w14:paraId="669D0419">
      <w:pPr>
        <w:ind w:firstLine="480" w:firstLineChars="200"/>
        <w:rPr>
          <w:lang w:val="zh-CN"/>
        </w:rPr>
      </w:pPr>
    </w:p>
    <w:p w14:paraId="20AD9BF3">
      <w:pPr>
        <w:ind w:firstLine="480" w:firstLineChars="200"/>
      </w:pPr>
      <w:r>
        <w:rPr>
          <w:rFonts w:hint="eastAsia"/>
          <w:lang w:val="zh-CN"/>
        </w:rPr>
        <w:t>采购代理机构：</w:t>
      </w:r>
    </w:p>
    <w:p w14:paraId="3E61AC48">
      <w:pPr>
        <w:ind w:firstLine="480" w:firstLineChars="200"/>
      </w:pPr>
      <w:r>
        <w:rPr>
          <w:rFonts w:hint="eastAsia"/>
          <w:lang w:val="zh-CN"/>
        </w:rPr>
        <w:t>负责人或经办人：</w:t>
      </w:r>
    </w:p>
    <w:p w14:paraId="7E0A1E73">
      <w:pPr>
        <w:ind w:firstLine="480" w:firstLineChars="200"/>
      </w:pPr>
      <w:r>
        <w:rPr>
          <w:rFonts w:hint="eastAsia"/>
          <w:lang w:val="zh-CN"/>
        </w:rPr>
        <w:t xml:space="preserve">                           时间：</w:t>
      </w:r>
      <w:r>
        <w:rPr>
          <w:rFonts w:hint="eastAsia"/>
        </w:rPr>
        <w:t xml:space="preserve">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w:t>
      </w:r>
    </w:p>
    <w:p w14:paraId="7A43EE4C">
      <w:pPr>
        <w:ind w:firstLine="480" w:firstLineChars="200"/>
      </w:pPr>
    </w:p>
    <w:p w14:paraId="75C1C2D0">
      <w:pPr>
        <w:ind w:firstLine="480" w:firstLineChars="200"/>
      </w:pPr>
    </w:p>
    <w:p w14:paraId="4EADBB72"/>
    <w:p w14:paraId="1BB5C455">
      <w:pPr>
        <w:widowControl/>
        <w:spacing w:line="520" w:lineRule="exact"/>
        <w:jc w:val="center"/>
        <w:rPr>
          <w:rFonts w:hint="eastAsia" w:ascii="宋体" w:hAnsi="宋体" w:cs="宋体"/>
          <w:b/>
          <w:bCs/>
          <w:color w:val="000000"/>
          <w:kern w:val="0"/>
          <w:sz w:val="28"/>
          <w:szCs w:val="28"/>
          <w:lang w:val="zh-CN"/>
        </w:rPr>
      </w:pPr>
      <w:bookmarkStart w:id="62" w:name="_Toc16275"/>
    </w:p>
    <w:p w14:paraId="161452F5">
      <w:pPr>
        <w:widowControl/>
        <w:spacing w:line="520" w:lineRule="exact"/>
        <w:jc w:val="center"/>
        <w:rPr>
          <w:rFonts w:hint="eastAsia" w:ascii="宋体" w:hAnsi="宋体" w:cs="宋体"/>
          <w:b/>
          <w:bCs/>
          <w:color w:val="000000"/>
          <w:kern w:val="0"/>
          <w:sz w:val="28"/>
          <w:szCs w:val="28"/>
          <w:lang w:val="zh-CN"/>
        </w:rPr>
      </w:pPr>
    </w:p>
    <w:p w14:paraId="6C3544E7">
      <w:pPr>
        <w:widowControl/>
        <w:spacing w:line="520" w:lineRule="exact"/>
        <w:jc w:val="center"/>
        <w:rPr>
          <w:rFonts w:hint="eastAsia" w:ascii="宋体" w:hAnsi="宋体" w:cs="宋体"/>
          <w:b/>
          <w:bCs/>
          <w:color w:val="000000"/>
          <w:kern w:val="0"/>
          <w:sz w:val="28"/>
          <w:szCs w:val="28"/>
          <w:lang w:val="zh-CN"/>
        </w:rPr>
      </w:pPr>
    </w:p>
    <w:p w14:paraId="3FA3525C">
      <w:pPr>
        <w:rPr>
          <w:rFonts w:hint="eastAsia"/>
          <w:lang w:val="zh-CN"/>
        </w:rPr>
      </w:pPr>
      <w:r>
        <w:rPr>
          <w:rFonts w:hint="eastAsia"/>
          <w:lang w:val="zh-CN"/>
        </w:rPr>
        <w:br w:type="page"/>
      </w:r>
    </w:p>
    <w:p w14:paraId="6DB1B2C1">
      <w:pPr>
        <w:widowControl/>
        <w:spacing w:line="52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lang w:val="zh-CN"/>
        </w:rPr>
        <w:t>合同通用条款</w:t>
      </w:r>
    </w:p>
    <w:p w14:paraId="0CDC8DE2">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根据《中华人民共和国</w:t>
      </w:r>
      <w:r>
        <w:rPr>
          <w:rFonts w:hint="eastAsia" w:ascii="宋体" w:hAnsi="宋体" w:cs="宋体"/>
          <w:color w:val="000000"/>
          <w:kern w:val="0"/>
        </w:rPr>
        <w:t>民法典</w:t>
      </w:r>
      <w:r>
        <w:rPr>
          <w:rFonts w:hint="eastAsia" w:ascii="宋体" w:hAnsi="宋体" w:cs="宋体"/>
          <w:color w:val="000000"/>
          <w:kern w:val="0"/>
          <w:lang w:val="zh-CN"/>
        </w:rPr>
        <w:t>》、《中华人民共和国政府采购法》的规定，合同双方经协商达成一致，自愿订立本合同，遵循公平原则明确双方的权利、义务，确保双方诚实守信地履行合同。</w:t>
      </w:r>
    </w:p>
    <w:p w14:paraId="2827F429">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14:paraId="33864B24">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本合同中的下列术语应解释为：</w:t>
      </w:r>
    </w:p>
    <w:p w14:paraId="62CF3A55">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14:paraId="7FA8C586">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14:paraId="1F49E995">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14:paraId="6E2EE93D">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14:paraId="1EEE8FC7">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14:paraId="60C5F21F">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14:paraId="375B0FBA">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14:paraId="5EEAC318">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14:paraId="18B31DBC">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14:paraId="4F044D3F">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42CDEFE3">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14:paraId="6B78D2E3">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14:paraId="1EC48E10">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14:paraId="745B4110">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359F3A1B">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14:paraId="640801A7">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14:paraId="4FF16E17">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14:paraId="400A9770">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1C6BEC3">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14:paraId="518DE9E0">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874EC65">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14:paraId="74BFAD08">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14:paraId="2BDE4035">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5BA882A">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14:paraId="066D21E3">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14:paraId="50FCDEE8">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14:paraId="18056E5A">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5D1B8623">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14:paraId="118BEBE3">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961FAE1">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14:paraId="2E1765CB">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1BC6078">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14:paraId="502F0FBD">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14:paraId="3181C82D">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14:paraId="04F48D02">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任何对方的技术秘密或专有知识、文件、报告、数据、客户软件、流程图、数据库、发明、知识、贸易秘密。</w:t>
      </w:r>
    </w:p>
    <w:p w14:paraId="28355785">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14:paraId="74EFB750">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14:paraId="3EEC3E04">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14:paraId="7F105972">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14:paraId="7F29AF3A">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DC42546">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0B41E68">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B4FC27D">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14:paraId="4162D49A">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14:paraId="59C479D5">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94F2D8E">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599E7CB9">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14:paraId="07249C95">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14:paraId="20B0FCF7">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5558E91">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14:paraId="6C320636">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14:paraId="46B1EC07">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14:paraId="6AB6AAC3">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14:paraId="022B44A2">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CD5A40D">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14:paraId="3A879F5A">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14:paraId="16BC4E29">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14:paraId="50632406">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14:paraId="278F768F">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甲方检验人员已到卖方所在地，测试无法依照合同进行，而引起甲方人员延长逗留时间，所有由此产生的包括甲方人员在内的直接费用及成本由乙方承担。</w:t>
      </w:r>
    </w:p>
    <w:p w14:paraId="5FB1EC0B">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14:paraId="223B29E9">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14:paraId="5BDB870B">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14:paraId="1061ED9C">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14:paraId="5AE5A3EC">
      <w:pPr>
        <w:autoSpaceDE w:val="0"/>
        <w:autoSpaceDN w:val="0"/>
        <w:spacing w:line="520" w:lineRule="exact"/>
        <w:rPr>
          <w:rFonts w:ascii="宋体" w:hAnsi="宋体" w:cs="宋体"/>
          <w:color w:val="000000"/>
          <w:kern w:val="0"/>
          <w:lang w:val="zh-CN"/>
        </w:rPr>
      </w:pPr>
      <w:r>
        <w:rPr>
          <w:rFonts w:hint="eastAsia" w:ascii="宋体" w:hAnsi="宋体" w:cs="宋体"/>
          <w:b/>
          <w:bCs/>
          <w:color w:val="000000"/>
          <w:kern w:val="0"/>
          <w:lang w:val="zh-CN"/>
        </w:rPr>
        <w:t>11.检验和验收</w:t>
      </w:r>
    </w:p>
    <w:p w14:paraId="35ED1AFD">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14:paraId="01646A11">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14:paraId="58F5BAAB">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7585FE6">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B837A7A">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14:paraId="356FBC5F">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40925BC4">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14:paraId="54A7E7A0">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14:paraId="1C6FC7E1">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14:paraId="236FE6D0">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14:paraId="1A334913">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14:paraId="6777FD4C">
      <w:pPr>
        <w:autoSpaceDE w:val="0"/>
        <w:autoSpaceDN w:val="0"/>
        <w:spacing w:line="520" w:lineRule="exact"/>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14:paraId="68A1526F">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14:paraId="5C045E3F">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FF48AE7">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14:paraId="1DBE7F96">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14:paraId="2779EBFB">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14:paraId="50ADA7C6">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14:paraId="5C6AB697">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14:paraId="502B0EA2">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14:paraId="193183B4">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14:paraId="597B5CA5">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14:paraId="7E25629F">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14:paraId="75E7F2E0">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14:paraId="49326213">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14:paraId="2F351814">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2B4269E">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14:paraId="7963845E">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D647F34">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5FA54A87">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224A2CD">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14:paraId="1B89E919">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14:paraId="6BC3AFE0">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14:paraId="7A17C44F">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14:paraId="015C6261">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EADE8DE">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14:paraId="14AA53D2">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14:paraId="0378C328">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14:paraId="616FC644">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14:paraId="321C99FA">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14:paraId="1D06B61B">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14:paraId="1633C85C">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14:paraId="30572917">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14:paraId="15038CDB">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14:paraId="4609ECBE">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14:paraId="1AE5F39D">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14:paraId="1DCF3488">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14:paraId="1D786BBB">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14:paraId="20A2822A">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14:paraId="5C304146">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14:paraId="03F8CBD5">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14:paraId="5FB03E91">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614C1F9">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14:paraId="065B7B63">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525D64CC">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14:paraId="62B63733">
      <w:pPr>
        <w:autoSpaceDE w:val="0"/>
        <w:autoSpaceDN w:val="0"/>
        <w:spacing w:line="520" w:lineRule="exact"/>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14:paraId="3321A09D">
      <w:pPr>
        <w:autoSpaceDE w:val="0"/>
        <w:autoSpaceDN w:val="0"/>
        <w:spacing w:line="520" w:lineRule="exact"/>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4ED4A63">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14:paraId="452F393E">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14:paraId="3AC2D0E5">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14:paraId="16146FE6">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0A21E814">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14:paraId="20856764">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14:paraId="7638D479">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14:paraId="2F7F4303">
      <w:pPr>
        <w:autoSpaceDE w:val="0"/>
        <w:autoSpaceDN w:val="0"/>
        <w:spacing w:line="520" w:lineRule="exact"/>
        <w:ind w:firstLine="480"/>
        <w:rPr>
          <w:rFonts w:hint="eastAsia" w:ascii="宋体" w:hAnsi="宋体" w:cs="宋体"/>
          <w:color w:val="000000"/>
          <w:kern w:val="0"/>
          <w:lang w:val="zh-CN"/>
        </w:rPr>
      </w:pPr>
      <w:r>
        <w:rPr>
          <w:rFonts w:hint="eastAsia" w:ascii="宋体" w:hAnsi="宋体" w:cs="宋体"/>
          <w:color w:val="000000"/>
          <w:kern w:val="0"/>
          <w:lang w:val="zh-CN"/>
        </w:rPr>
        <w:t>本合同按照中华人民共和国的相关法律进行解释。</w:t>
      </w:r>
    </w:p>
    <w:p w14:paraId="7451FC5E">
      <w:pPr>
        <w:rPr>
          <w:rFonts w:hint="eastAsia" w:ascii="宋体" w:hAnsi="宋体" w:cs="宋体"/>
          <w:color w:val="000000"/>
          <w:kern w:val="0"/>
          <w:lang w:val="zh-CN"/>
        </w:rPr>
      </w:pPr>
      <w:r>
        <w:rPr>
          <w:rFonts w:hint="eastAsia" w:ascii="宋体" w:hAnsi="宋体" w:cs="宋体"/>
          <w:color w:val="000000"/>
          <w:kern w:val="0"/>
          <w:lang w:val="zh-CN"/>
        </w:rPr>
        <w:br w:type="page"/>
      </w:r>
    </w:p>
    <w:p w14:paraId="5918C0B4">
      <w:pPr>
        <w:autoSpaceDE w:val="0"/>
        <w:autoSpaceDN w:val="0"/>
        <w:spacing w:line="520" w:lineRule="exact"/>
        <w:ind w:firstLine="480"/>
        <w:rPr>
          <w:rFonts w:hint="eastAsia" w:ascii="宋体" w:hAnsi="宋体" w:cs="宋体"/>
          <w:color w:val="000000"/>
          <w:kern w:val="0"/>
          <w:lang w:val="zh-CN"/>
        </w:rPr>
      </w:pPr>
    </w:p>
    <w:p w14:paraId="6ECAAEAB">
      <w:pPr>
        <w:pStyle w:val="88"/>
        <w:jc w:val="center"/>
        <w:outlineLvl w:val="0"/>
        <w:rPr>
          <w:rFonts w:ascii="宋体" w:hAnsi="宋体" w:cs="宋体"/>
          <w:color w:val="000000"/>
        </w:rPr>
      </w:pPr>
      <w:bookmarkStart w:id="63" w:name="_Toc8234"/>
      <w:bookmarkStart w:id="64" w:name="_Toc4088"/>
      <w:r>
        <w:rPr>
          <w:rFonts w:hint="eastAsia" w:ascii="宋体" w:hAnsi="宋体" w:cs="宋体"/>
          <w:color w:val="000000"/>
          <w:sz w:val="48"/>
        </w:rPr>
        <w:t>第五部分   磋商响应文件格式</w:t>
      </w:r>
      <w:bookmarkEnd w:id="62"/>
      <w:bookmarkEnd w:id="63"/>
      <w:bookmarkEnd w:id="64"/>
    </w:p>
    <w:p w14:paraId="35B20828">
      <w:pPr>
        <w:rPr>
          <w:rFonts w:ascii="宋体" w:hAnsi="宋体" w:cs="宋体"/>
          <w:color w:val="000000"/>
          <w:sz w:val="32"/>
        </w:rPr>
      </w:pPr>
    </w:p>
    <w:p w14:paraId="5162C17D">
      <w:pPr>
        <w:widowControl/>
        <w:ind w:firstLine="537" w:firstLineChars="224"/>
        <w:rPr>
          <w:rFonts w:ascii="宋体" w:hAnsi="宋体" w:cs="宋体"/>
          <w:color w:val="000000"/>
          <w:kern w:val="0"/>
          <w:lang w:val="zh-CN"/>
        </w:rPr>
      </w:pPr>
      <w:r>
        <w:rPr>
          <w:rFonts w:hint="eastAsia" w:ascii="宋体" w:hAnsi="宋体" w:cs="宋体"/>
          <w:color w:val="000000"/>
          <w:kern w:val="0"/>
          <w:lang w:val="zh-CN"/>
        </w:rPr>
        <w:t>磋商供应商应严格按照本格式要求编制磋商响应文件，否则其磋商响应文件将不予接受。</w:t>
      </w:r>
    </w:p>
    <w:p w14:paraId="65915F1F">
      <w:pPr>
        <w:bidi w:val="0"/>
        <w:jc w:val="center"/>
        <w:rPr>
          <w:b/>
          <w:bCs/>
          <w:sz w:val="36"/>
          <w:szCs w:val="36"/>
        </w:rPr>
      </w:pPr>
      <w:r>
        <w:rPr>
          <w:rFonts w:hint="eastAsia" w:hAnsi="宋体" w:cs="宋体"/>
          <w:color w:val="000000"/>
          <w:kern w:val="0"/>
          <w:szCs w:val="28"/>
          <w:lang w:val="zh-CN"/>
        </w:rPr>
        <w:br w:type="page"/>
      </w:r>
      <w:bookmarkStart w:id="65" w:name="_Toc496626234"/>
      <w:bookmarkStart w:id="66" w:name="_Toc6951"/>
      <w:bookmarkStart w:id="67" w:name="_Toc496004029"/>
      <w:bookmarkStart w:id="68" w:name="_Toc29345"/>
      <w:bookmarkStart w:id="69" w:name="_Toc26070"/>
      <w:bookmarkStart w:id="70" w:name="_Toc26113"/>
      <w:bookmarkStart w:id="71" w:name="_Toc27157"/>
      <w:bookmarkStart w:id="72" w:name="_Toc2710"/>
      <w:bookmarkStart w:id="73" w:name="_Toc18872"/>
      <w:r>
        <w:rPr>
          <w:rFonts w:hint="eastAsia"/>
          <w:b/>
          <w:bCs/>
          <w:sz w:val="36"/>
          <w:szCs w:val="36"/>
        </w:rPr>
        <w:t>磋商响应文件的组成</w:t>
      </w:r>
      <w:bookmarkEnd w:id="65"/>
      <w:bookmarkEnd w:id="66"/>
      <w:bookmarkEnd w:id="67"/>
      <w:bookmarkEnd w:id="68"/>
      <w:bookmarkEnd w:id="69"/>
      <w:bookmarkEnd w:id="70"/>
      <w:bookmarkEnd w:id="71"/>
      <w:bookmarkEnd w:id="72"/>
    </w:p>
    <w:p w14:paraId="24DF9B3D">
      <w:pPr>
        <w:spacing w:line="500" w:lineRule="exact"/>
        <w:ind w:firstLine="480"/>
        <w:rPr>
          <w:rFonts w:ascii="宋体"/>
        </w:rPr>
      </w:pPr>
      <w:r>
        <w:rPr>
          <w:rFonts w:hint="eastAsia" w:ascii="宋体" w:hAnsi="宋体"/>
        </w:rPr>
        <w:t>（一）资格审查文件</w:t>
      </w:r>
    </w:p>
    <w:p w14:paraId="699B59C4">
      <w:pPr>
        <w:pStyle w:val="138"/>
        <w:numPr>
          <w:ilvl w:val="0"/>
          <w:numId w:val="20"/>
        </w:numPr>
        <w:spacing w:line="500" w:lineRule="exact"/>
        <w:ind w:firstLineChars="0"/>
        <w:rPr>
          <w:rFonts w:ascii="宋体"/>
        </w:rPr>
      </w:pPr>
      <w:r>
        <w:rPr>
          <w:rFonts w:hint="eastAsia" w:ascii="宋体" w:hAnsi="宋体"/>
        </w:rPr>
        <w:t>磋商函………………………………………………………………（</w:t>
      </w:r>
      <w:r>
        <w:rPr>
          <w:rFonts w:ascii="宋体" w:hAnsi="宋体"/>
        </w:rPr>
        <w:t>1</w:t>
      </w:r>
      <w:r>
        <w:rPr>
          <w:rFonts w:hint="eastAsia" w:ascii="宋体" w:hAnsi="宋体"/>
        </w:rPr>
        <w:t>）</w:t>
      </w:r>
    </w:p>
    <w:p w14:paraId="5BDF80DA">
      <w:pPr>
        <w:pStyle w:val="138"/>
        <w:numPr>
          <w:ilvl w:val="0"/>
          <w:numId w:val="20"/>
        </w:numPr>
        <w:spacing w:line="500" w:lineRule="exact"/>
        <w:ind w:firstLineChars="0"/>
        <w:rPr>
          <w:rFonts w:ascii="宋体" w:hAnsi="宋体"/>
        </w:rPr>
      </w:pPr>
      <w:r>
        <w:rPr>
          <w:rFonts w:hint="eastAsia" w:ascii="宋体" w:hAnsi="宋体"/>
        </w:rPr>
        <w:t>法定代表人（非法人组织负责人）证明书………………………（</w:t>
      </w:r>
      <w:r>
        <w:rPr>
          <w:rFonts w:ascii="宋体" w:hAnsi="宋体"/>
        </w:rPr>
        <w:t>2</w:t>
      </w:r>
      <w:r>
        <w:rPr>
          <w:rFonts w:hint="eastAsia" w:ascii="宋体" w:hAnsi="宋体"/>
        </w:rPr>
        <w:t>）</w:t>
      </w:r>
    </w:p>
    <w:p w14:paraId="1F671B8E">
      <w:pPr>
        <w:pStyle w:val="138"/>
        <w:numPr>
          <w:ilvl w:val="0"/>
          <w:numId w:val="20"/>
        </w:numPr>
        <w:spacing w:line="500" w:lineRule="exact"/>
        <w:ind w:firstLineChars="0"/>
        <w:rPr>
          <w:rFonts w:ascii="宋体" w:hAnsi="宋体"/>
        </w:rPr>
      </w:pPr>
      <w:r>
        <w:rPr>
          <w:rFonts w:hint="eastAsia" w:ascii="宋体" w:hAnsi="宋体"/>
        </w:rPr>
        <w:t>法定代表人（非法人组织负责人）授权书………………………（</w:t>
      </w:r>
      <w:r>
        <w:rPr>
          <w:rFonts w:ascii="宋体" w:hAnsi="宋体"/>
        </w:rPr>
        <w:t>3</w:t>
      </w:r>
      <w:r>
        <w:rPr>
          <w:rFonts w:hint="eastAsia" w:ascii="宋体" w:hAnsi="宋体"/>
        </w:rPr>
        <w:t>）</w:t>
      </w:r>
    </w:p>
    <w:p w14:paraId="0135C228">
      <w:pPr>
        <w:pStyle w:val="138"/>
        <w:numPr>
          <w:ilvl w:val="0"/>
          <w:numId w:val="20"/>
        </w:numPr>
        <w:spacing w:line="500" w:lineRule="exact"/>
        <w:ind w:firstLineChars="0"/>
        <w:rPr>
          <w:rFonts w:ascii="宋体" w:hAnsi="宋体"/>
        </w:rPr>
      </w:pPr>
      <w:r>
        <w:rPr>
          <w:rFonts w:hint="eastAsia" w:ascii="宋体" w:hAnsi="宋体"/>
        </w:rPr>
        <w:t>投标人承诺函………………………………………………………（</w:t>
      </w:r>
      <w:r>
        <w:rPr>
          <w:rFonts w:ascii="宋体" w:hAnsi="宋体"/>
        </w:rPr>
        <w:t>4</w:t>
      </w:r>
      <w:r>
        <w:rPr>
          <w:rFonts w:hint="eastAsia" w:ascii="宋体" w:hAnsi="宋体"/>
        </w:rPr>
        <w:t>）</w:t>
      </w:r>
    </w:p>
    <w:p w14:paraId="1EA65CC2">
      <w:pPr>
        <w:pStyle w:val="138"/>
        <w:numPr>
          <w:ilvl w:val="0"/>
          <w:numId w:val="20"/>
        </w:numPr>
        <w:spacing w:line="500" w:lineRule="exact"/>
        <w:ind w:firstLineChars="0"/>
        <w:rPr>
          <w:rFonts w:ascii="宋体" w:hAnsi="宋体"/>
        </w:rPr>
      </w:pPr>
      <w:r>
        <w:rPr>
          <w:rFonts w:hint="eastAsia" w:ascii="宋体" w:hAnsi="宋体"/>
        </w:rPr>
        <w:t>投标人诚信承诺书…………………………………………………（</w:t>
      </w:r>
      <w:r>
        <w:rPr>
          <w:rFonts w:ascii="宋体" w:hAnsi="宋体"/>
        </w:rPr>
        <w:t>5</w:t>
      </w:r>
      <w:r>
        <w:rPr>
          <w:rFonts w:hint="eastAsia" w:ascii="宋体" w:hAnsi="宋体"/>
        </w:rPr>
        <w:t>）</w:t>
      </w:r>
    </w:p>
    <w:p w14:paraId="2D24FD3B">
      <w:pPr>
        <w:pStyle w:val="138"/>
        <w:numPr>
          <w:ilvl w:val="0"/>
          <w:numId w:val="20"/>
        </w:numPr>
        <w:spacing w:line="500" w:lineRule="exact"/>
        <w:ind w:firstLineChars="0"/>
        <w:rPr>
          <w:rFonts w:ascii="宋体" w:hAnsi="宋体"/>
        </w:rPr>
      </w:pPr>
      <w:r>
        <w:rPr>
          <w:rFonts w:hint="eastAsia" w:ascii="宋体" w:hAnsi="宋体"/>
        </w:rPr>
        <w:t>供应商资格证明文件………………………………………………（</w:t>
      </w:r>
      <w:r>
        <w:rPr>
          <w:rFonts w:ascii="宋体" w:hAnsi="宋体"/>
        </w:rPr>
        <w:t>6</w:t>
      </w:r>
      <w:r>
        <w:rPr>
          <w:rFonts w:hint="eastAsia" w:ascii="宋体" w:hAnsi="宋体"/>
        </w:rPr>
        <w:t>）</w:t>
      </w:r>
    </w:p>
    <w:p w14:paraId="7FE22CEE">
      <w:pPr>
        <w:pStyle w:val="138"/>
        <w:numPr>
          <w:ilvl w:val="0"/>
          <w:numId w:val="20"/>
        </w:numPr>
        <w:spacing w:line="500" w:lineRule="exact"/>
        <w:ind w:firstLineChars="0"/>
        <w:rPr>
          <w:rFonts w:ascii="宋体" w:hAnsi="宋体"/>
        </w:rPr>
      </w:pPr>
      <w:r>
        <w:rPr>
          <w:rFonts w:hint="eastAsia" w:ascii="宋体" w:hAnsi="宋体"/>
        </w:rPr>
        <w:t>财务状况、缴纳税收和社会保障资金证明………………………（</w:t>
      </w:r>
      <w:r>
        <w:rPr>
          <w:rFonts w:ascii="宋体" w:hAnsi="宋体"/>
        </w:rPr>
        <w:t>7</w:t>
      </w:r>
      <w:r>
        <w:rPr>
          <w:rFonts w:hint="eastAsia" w:ascii="宋体" w:hAnsi="宋体"/>
        </w:rPr>
        <w:t>）</w:t>
      </w:r>
    </w:p>
    <w:p w14:paraId="0C49012D">
      <w:pPr>
        <w:pStyle w:val="138"/>
        <w:numPr>
          <w:ilvl w:val="0"/>
          <w:numId w:val="20"/>
        </w:numPr>
        <w:spacing w:line="500" w:lineRule="exact"/>
        <w:ind w:firstLineChars="0"/>
        <w:rPr>
          <w:rFonts w:ascii="宋体" w:hAnsi="宋体"/>
        </w:rPr>
      </w:pPr>
      <w:r>
        <w:rPr>
          <w:rFonts w:hint="eastAsia" w:ascii="宋体" w:hAnsi="宋体"/>
        </w:rPr>
        <w:t>具备履行合同所必需的设备和专业技术能力的证明材料………（8）</w:t>
      </w:r>
    </w:p>
    <w:p w14:paraId="52B705D3">
      <w:pPr>
        <w:pStyle w:val="138"/>
        <w:numPr>
          <w:ilvl w:val="0"/>
          <w:numId w:val="20"/>
        </w:numPr>
        <w:spacing w:line="500" w:lineRule="exact"/>
        <w:ind w:firstLineChars="0"/>
        <w:rPr>
          <w:rFonts w:ascii="宋体" w:hAnsi="宋体"/>
        </w:rPr>
      </w:pPr>
      <w:r>
        <w:rPr>
          <w:rFonts w:hint="eastAsia" w:ascii="宋体" w:hAnsi="宋体"/>
        </w:rPr>
        <w:t>无重大违法记录声明………………………………………………（9）</w:t>
      </w:r>
    </w:p>
    <w:p w14:paraId="1D3AC406">
      <w:pPr>
        <w:pStyle w:val="138"/>
        <w:numPr>
          <w:ilvl w:val="0"/>
          <w:numId w:val="20"/>
        </w:numPr>
        <w:spacing w:line="500" w:lineRule="exact"/>
        <w:ind w:firstLineChars="0"/>
        <w:rPr>
          <w:rFonts w:ascii="宋体" w:hAnsi="宋体"/>
        </w:rPr>
      </w:pPr>
      <w:r>
        <w:rPr>
          <w:rFonts w:hint="eastAsia" w:ascii="宋体" w:hAnsi="宋体"/>
        </w:rPr>
        <w:t>磋商保证金证明</w:t>
      </w:r>
      <w:r>
        <w:rPr>
          <w:rFonts w:hint="eastAsia" w:ascii="宋体" w:hAnsi="宋体" w:cs="宋体"/>
          <w:color w:val="000000"/>
          <w:kern w:val="0"/>
          <w:lang w:val="zh-CN"/>
        </w:rPr>
        <w:t>（</w:t>
      </w:r>
      <w:r>
        <w:rPr>
          <w:rFonts w:hint="eastAsia" w:ascii="宋体" w:hAnsi="宋体" w:cs="宋体"/>
          <w:color w:val="000000"/>
          <w:kern w:val="0"/>
          <w:lang w:val="en-US" w:eastAsia="zh-CN"/>
        </w:rPr>
        <w:t>本项目不适用</w:t>
      </w:r>
      <w:r>
        <w:rPr>
          <w:rFonts w:hint="eastAsia" w:ascii="宋体" w:hAnsi="宋体" w:cs="宋体"/>
          <w:color w:val="000000"/>
          <w:kern w:val="0"/>
          <w:lang w:val="zh-CN"/>
        </w:rPr>
        <w:t>）</w:t>
      </w:r>
      <w:r>
        <w:rPr>
          <w:rFonts w:hint="eastAsia" w:ascii="宋体" w:hAnsi="宋体"/>
        </w:rPr>
        <w:t>………………………………（10）</w:t>
      </w:r>
    </w:p>
    <w:p w14:paraId="32E3D807">
      <w:pPr>
        <w:pStyle w:val="138"/>
        <w:spacing w:line="500" w:lineRule="exact"/>
        <w:ind w:left="840" w:firstLine="0" w:firstLineChars="0"/>
        <w:rPr>
          <w:rFonts w:ascii="宋体" w:hAnsi="宋体"/>
        </w:rPr>
      </w:pPr>
      <w:r>
        <w:rPr>
          <w:rFonts w:hint="eastAsia" w:ascii="宋体" w:hAnsi="宋体"/>
        </w:rPr>
        <w:t>（二）符合性审查文件</w:t>
      </w:r>
    </w:p>
    <w:p w14:paraId="7ABCBC33">
      <w:pPr>
        <w:pStyle w:val="138"/>
        <w:numPr>
          <w:ilvl w:val="0"/>
          <w:numId w:val="20"/>
        </w:numPr>
        <w:spacing w:line="500" w:lineRule="exact"/>
        <w:ind w:firstLineChars="0"/>
        <w:rPr>
          <w:rFonts w:ascii="宋体" w:hAnsi="宋体"/>
        </w:rPr>
      </w:pPr>
      <w:r>
        <w:rPr>
          <w:rFonts w:hint="eastAsia" w:ascii="宋体" w:hAnsi="宋体"/>
        </w:rPr>
        <w:t>竞争性磋商首次报价表…………………………………………（11）</w:t>
      </w:r>
    </w:p>
    <w:p w14:paraId="1570FCE4">
      <w:pPr>
        <w:pStyle w:val="138"/>
        <w:numPr>
          <w:ilvl w:val="0"/>
          <w:numId w:val="20"/>
        </w:numPr>
        <w:spacing w:line="500" w:lineRule="exact"/>
        <w:ind w:firstLineChars="0"/>
        <w:rPr>
          <w:rFonts w:ascii="宋体" w:hAnsi="宋体"/>
        </w:rPr>
      </w:pPr>
      <w:r>
        <w:rPr>
          <w:rFonts w:hint="eastAsia" w:ascii="宋体" w:hAnsi="宋体"/>
        </w:rPr>
        <w:t>分项报价表………………………………………………………（12）</w:t>
      </w:r>
    </w:p>
    <w:p w14:paraId="5200FE9A">
      <w:pPr>
        <w:pStyle w:val="138"/>
        <w:numPr>
          <w:ilvl w:val="0"/>
          <w:numId w:val="20"/>
        </w:numPr>
        <w:spacing w:line="500" w:lineRule="exact"/>
        <w:ind w:firstLineChars="0"/>
        <w:rPr>
          <w:rFonts w:ascii="宋体" w:hAnsi="宋体"/>
        </w:rPr>
      </w:pPr>
      <w:r>
        <w:rPr>
          <w:rFonts w:hint="eastAsia" w:ascii="宋体" w:hAnsi="宋体"/>
        </w:rPr>
        <w:t>供应商类似业绩证明材料………………………………………（13）</w:t>
      </w:r>
    </w:p>
    <w:p w14:paraId="2DED6F60">
      <w:pPr>
        <w:pStyle w:val="138"/>
        <w:numPr>
          <w:ilvl w:val="0"/>
          <w:numId w:val="20"/>
        </w:numPr>
        <w:spacing w:line="500" w:lineRule="exact"/>
        <w:ind w:firstLineChars="0"/>
        <w:rPr>
          <w:rFonts w:ascii="宋体" w:hAnsi="宋体"/>
        </w:rPr>
      </w:pPr>
      <w:r>
        <w:rPr>
          <w:rFonts w:hint="eastAsia" w:ascii="宋体" w:hAnsi="宋体"/>
        </w:rPr>
        <w:t>拟委任的主要人员汇总表………………………………………（14）</w:t>
      </w:r>
    </w:p>
    <w:p w14:paraId="0E880E88">
      <w:pPr>
        <w:pStyle w:val="138"/>
        <w:numPr>
          <w:ilvl w:val="0"/>
          <w:numId w:val="20"/>
        </w:numPr>
        <w:spacing w:line="500" w:lineRule="exact"/>
        <w:ind w:firstLineChars="0"/>
        <w:rPr>
          <w:rFonts w:ascii="宋体" w:hAnsi="宋体"/>
        </w:rPr>
      </w:pPr>
      <w:r>
        <w:rPr>
          <w:rFonts w:hint="eastAsia" w:ascii="宋体" w:hAnsi="宋体"/>
        </w:rPr>
        <w:t>主要人员简历表…………………………………………………（15）</w:t>
      </w:r>
    </w:p>
    <w:p w14:paraId="20DCA720">
      <w:pPr>
        <w:pStyle w:val="138"/>
        <w:numPr>
          <w:ilvl w:val="0"/>
          <w:numId w:val="20"/>
        </w:numPr>
        <w:spacing w:line="500" w:lineRule="exact"/>
        <w:ind w:firstLineChars="0"/>
        <w:rPr>
          <w:rFonts w:ascii="宋体" w:hAnsi="宋体"/>
        </w:rPr>
      </w:pPr>
      <w:r>
        <w:rPr>
          <w:rFonts w:hint="eastAsia" w:ascii="宋体" w:hAnsi="宋体"/>
        </w:rPr>
        <w:t>服务方案…………………………………………………………（16）</w:t>
      </w:r>
    </w:p>
    <w:p w14:paraId="1FFE038E">
      <w:pPr>
        <w:pStyle w:val="138"/>
        <w:numPr>
          <w:ilvl w:val="0"/>
          <w:numId w:val="20"/>
        </w:numPr>
        <w:spacing w:line="500" w:lineRule="exact"/>
        <w:ind w:firstLineChars="0"/>
        <w:rPr>
          <w:rFonts w:ascii="宋体" w:hAnsi="宋体"/>
        </w:rPr>
      </w:pPr>
      <w:r>
        <w:rPr>
          <w:rFonts w:hint="eastAsia" w:ascii="宋体" w:hAnsi="宋体"/>
        </w:rPr>
        <w:t>享受政府采购政策优惠的证明资料……………………………（17）</w:t>
      </w:r>
    </w:p>
    <w:p w14:paraId="311C1DBD">
      <w:pPr>
        <w:pStyle w:val="138"/>
        <w:numPr>
          <w:ilvl w:val="0"/>
          <w:numId w:val="20"/>
        </w:numPr>
        <w:spacing w:line="500" w:lineRule="exact"/>
        <w:ind w:firstLineChars="0"/>
        <w:rPr>
          <w:rFonts w:ascii="宋体" w:hAnsi="宋体"/>
        </w:rPr>
      </w:pPr>
      <w:r>
        <w:rPr>
          <w:rFonts w:hint="eastAsia" w:ascii="宋体" w:hAnsi="宋体"/>
        </w:rPr>
        <w:t>供应商认为在其他方面有必要说明的事项……………………（</w:t>
      </w:r>
      <w:r>
        <w:rPr>
          <w:rFonts w:ascii="宋体" w:hAnsi="宋体"/>
        </w:rPr>
        <w:t>1</w:t>
      </w:r>
      <w:r>
        <w:rPr>
          <w:rFonts w:hint="eastAsia" w:ascii="宋体" w:hAnsi="宋体"/>
        </w:rPr>
        <w:t>8）</w:t>
      </w:r>
    </w:p>
    <w:p w14:paraId="3C8D10C9">
      <w:pPr>
        <w:ind w:firstLine="199" w:firstLineChars="83"/>
        <w:rPr>
          <w:b/>
        </w:rPr>
      </w:pPr>
      <w:r>
        <w:rPr>
          <w:rFonts w:hAnsi="宋体"/>
        </w:rPr>
        <w:br w:type="page"/>
      </w:r>
      <w:r>
        <w:rPr>
          <w:rFonts w:hint="eastAsia"/>
          <w:b/>
        </w:rPr>
        <w:t>（磋商响应文件封面）</w:t>
      </w:r>
    </w:p>
    <w:p w14:paraId="26BD0625">
      <w:pPr>
        <w:ind w:firstLine="2088" w:firstLineChars="400"/>
        <w:rPr>
          <w:rFonts w:ascii="仿宋_GB2312" w:hAnsi="宋体" w:eastAsia="仿宋_GB2312"/>
          <w:b/>
          <w:sz w:val="52"/>
          <w:szCs w:val="52"/>
        </w:rPr>
      </w:pPr>
    </w:p>
    <w:p w14:paraId="0115E483">
      <w:pPr>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56370430">
      <w:pPr>
        <w:ind w:firstLine="944" w:firstLineChars="392"/>
        <w:rPr>
          <w:rFonts w:ascii="宋体"/>
          <w:b/>
          <w:szCs w:val="21"/>
        </w:rPr>
      </w:pPr>
    </w:p>
    <w:p w14:paraId="71348763">
      <w:pPr>
        <w:ind w:firstLine="2364" w:firstLineChars="327"/>
        <w:rPr>
          <w:rFonts w:ascii="宋体"/>
          <w:b/>
          <w:sz w:val="72"/>
          <w:szCs w:val="72"/>
        </w:rPr>
      </w:pPr>
    </w:p>
    <w:p w14:paraId="15E54508">
      <w:pPr>
        <w:ind w:firstLine="2364" w:firstLineChars="327"/>
        <w:rPr>
          <w:rFonts w:ascii="宋体"/>
          <w:b/>
          <w:sz w:val="72"/>
          <w:szCs w:val="72"/>
        </w:rPr>
      </w:pPr>
      <w:r>
        <w:rPr>
          <w:rFonts w:hint="eastAsia" w:ascii="宋体" w:hAnsi="宋体"/>
          <w:b/>
          <w:sz w:val="72"/>
          <w:szCs w:val="72"/>
        </w:rPr>
        <w:t>磋商响应文件</w:t>
      </w:r>
    </w:p>
    <w:p w14:paraId="287AFA1D">
      <w:pPr>
        <w:adjustRightInd w:val="0"/>
        <w:jc w:val="center"/>
        <w:textAlignment w:val="baseline"/>
        <w:rPr>
          <w:rFonts w:ascii="宋体"/>
          <w:b/>
          <w:bCs/>
          <w:sz w:val="36"/>
          <w:szCs w:val="36"/>
        </w:rPr>
      </w:pPr>
      <w:r>
        <w:rPr>
          <w:rFonts w:hint="eastAsia" w:ascii="宋体" w:hAnsi="宋体"/>
          <w:b/>
          <w:bCs/>
          <w:sz w:val="36"/>
          <w:szCs w:val="36"/>
        </w:rPr>
        <w:t>（资格审查文件）</w:t>
      </w:r>
    </w:p>
    <w:p w14:paraId="1D2260E8">
      <w:pPr>
        <w:ind w:firstLine="788" w:firstLineChars="327"/>
        <w:rPr>
          <w:rFonts w:ascii="宋体"/>
          <w:b/>
        </w:rPr>
      </w:pPr>
    </w:p>
    <w:p w14:paraId="0CA0EEEC">
      <w:pPr>
        <w:adjustRightInd w:val="0"/>
        <w:textAlignment w:val="baseline"/>
        <w:rPr>
          <w:rFonts w:ascii="宋体"/>
          <w:b/>
          <w:bCs/>
          <w:sz w:val="32"/>
        </w:rPr>
      </w:pPr>
    </w:p>
    <w:p w14:paraId="40D13845">
      <w:pPr>
        <w:adjustRightInd w:val="0"/>
        <w:textAlignment w:val="baseline"/>
        <w:rPr>
          <w:rFonts w:hint="eastAsia" w:asci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青海鹏杰竞磋（服务）2025-017</w:t>
      </w:r>
    </w:p>
    <w:p w14:paraId="1C5165E3">
      <w:pPr>
        <w:adjustRightInd w:val="0"/>
        <w:ind w:left="2512" w:right="-283" w:rightChars="-118" w:hanging="2512" w:hangingChars="695"/>
        <w:textAlignment w:val="baseline"/>
        <w:rPr>
          <w:rFonts w:hint="eastAsia" w:ascii="宋体" w:hAnsi="宋体"/>
          <w:b/>
          <w:sz w:val="36"/>
          <w:szCs w:val="36"/>
          <w:lang w:eastAsia="zh-CN"/>
        </w:rPr>
      </w:pPr>
      <w:r>
        <w:rPr>
          <w:rFonts w:hint="eastAsia" w:ascii="宋体" w:hAnsi="宋体"/>
          <w:b/>
          <w:bCs/>
          <w:sz w:val="36"/>
          <w:szCs w:val="36"/>
        </w:rPr>
        <w:t>采购项目名称</w:t>
      </w:r>
      <w:r>
        <w:rPr>
          <w:rFonts w:ascii="宋体" w:hAnsi="宋体"/>
          <w:b/>
          <w:bCs/>
          <w:sz w:val="36"/>
          <w:szCs w:val="36"/>
        </w:rPr>
        <w:t xml:space="preserve">: </w:t>
      </w:r>
      <w:r>
        <w:rPr>
          <w:rFonts w:hint="eastAsia" w:ascii="宋体" w:hAnsi="宋体"/>
          <w:b/>
          <w:sz w:val="36"/>
          <w:szCs w:val="36"/>
          <w:lang w:eastAsia="zh-CN"/>
        </w:rPr>
        <w:t xml:space="preserve">湟源县17座农村污水处理站运维服务  </w:t>
      </w:r>
    </w:p>
    <w:p w14:paraId="74B86C03">
      <w:pPr>
        <w:adjustRightInd w:val="0"/>
        <w:ind w:left="2512" w:right="-283" w:rightChars="-118" w:hanging="2512" w:hangingChars="695"/>
        <w:textAlignment w:val="baseline"/>
        <w:rPr>
          <w:rFonts w:hint="eastAsia" w:ascii="宋体" w:hAnsi="宋体"/>
          <w:b/>
          <w:sz w:val="36"/>
          <w:szCs w:val="36"/>
          <w:lang w:eastAsia="zh-CN"/>
        </w:rPr>
      </w:pPr>
      <w:r>
        <w:rPr>
          <w:rFonts w:hint="eastAsia" w:ascii="宋体" w:hAnsi="宋体"/>
          <w:b/>
          <w:sz w:val="36"/>
          <w:szCs w:val="36"/>
          <w:lang w:val="en-US" w:eastAsia="zh-CN"/>
        </w:rPr>
        <w:t>采购项目包号：</w:t>
      </w:r>
      <w:r>
        <w:rPr>
          <w:rFonts w:hint="eastAsia" w:ascii="宋体" w:hAnsi="宋体"/>
          <w:b/>
          <w:sz w:val="36"/>
          <w:szCs w:val="36"/>
          <w:lang w:eastAsia="zh-CN"/>
        </w:rPr>
        <w:t xml:space="preserve">  </w:t>
      </w:r>
    </w:p>
    <w:p w14:paraId="2AF0B445">
      <w:pPr>
        <w:adjustRightInd w:val="0"/>
        <w:ind w:right="-283" w:rightChars="-118"/>
        <w:textAlignment w:val="baseline"/>
        <w:rPr>
          <w:rFonts w:ascii="宋体"/>
          <w:b/>
          <w:bCs/>
          <w:sz w:val="36"/>
          <w:szCs w:val="36"/>
        </w:rPr>
      </w:pPr>
    </w:p>
    <w:p w14:paraId="2DBFE548">
      <w:pPr>
        <w:bidi w:val="0"/>
        <w:jc w:val="right"/>
        <w:rPr>
          <w:b/>
          <w:bCs/>
          <w:sz w:val="28"/>
          <w:szCs w:val="28"/>
        </w:rPr>
      </w:pPr>
      <w:bookmarkStart w:id="74" w:name="_Toc18508"/>
      <w:r>
        <w:rPr>
          <w:rFonts w:hint="eastAsia"/>
          <w:b/>
          <w:bCs/>
          <w:sz w:val="28"/>
          <w:szCs w:val="28"/>
        </w:rPr>
        <w:t>磋商供应商：                         （公章）</w:t>
      </w:r>
      <w:bookmarkEnd w:id="74"/>
    </w:p>
    <w:p w14:paraId="12162F97">
      <w:pPr>
        <w:bidi w:val="0"/>
        <w:jc w:val="right"/>
        <w:rPr>
          <w:b/>
          <w:bCs/>
          <w:sz w:val="28"/>
          <w:szCs w:val="28"/>
        </w:rPr>
      </w:pPr>
      <w:bookmarkStart w:id="75" w:name="_Toc32246"/>
      <w:r>
        <w:rPr>
          <w:rFonts w:hint="eastAsia"/>
          <w:b/>
          <w:bCs/>
          <w:sz w:val="28"/>
          <w:szCs w:val="28"/>
        </w:rPr>
        <w:t>法定代表人（非法人组织的负责人）或委托代理人：        （签字或盖章）</w:t>
      </w:r>
      <w:bookmarkEnd w:id="75"/>
    </w:p>
    <w:p w14:paraId="77EF33D4">
      <w:pPr>
        <w:bidi w:val="0"/>
        <w:jc w:val="center"/>
        <w:rPr>
          <w:b/>
          <w:bCs/>
          <w:sz w:val="28"/>
          <w:szCs w:val="28"/>
        </w:rPr>
      </w:pPr>
      <w:r>
        <w:rPr>
          <w:rFonts w:hint="eastAsia"/>
          <w:b/>
          <w:bCs/>
          <w:sz w:val="28"/>
          <w:szCs w:val="28"/>
        </w:rPr>
        <w:t>年</w:t>
      </w:r>
      <w:r>
        <w:rPr>
          <w:b/>
          <w:bCs/>
          <w:sz w:val="28"/>
          <w:szCs w:val="28"/>
        </w:rPr>
        <w:t xml:space="preserve">  </w:t>
      </w:r>
      <w:r>
        <w:rPr>
          <w:rFonts w:hint="eastAsia"/>
          <w:b/>
          <w:bCs/>
          <w:sz w:val="28"/>
          <w:szCs w:val="28"/>
        </w:rPr>
        <w:t>月</w:t>
      </w:r>
      <w:r>
        <w:rPr>
          <w:b/>
          <w:bCs/>
          <w:sz w:val="28"/>
          <w:szCs w:val="28"/>
        </w:rPr>
        <w:t xml:space="preserve">  </w:t>
      </w:r>
      <w:r>
        <w:rPr>
          <w:rFonts w:hint="eastAsia"/>
          <w:b/>
          <w:bCs/>
          <w:sz w:val="28"/>
          <w:szCs w:val="28"/>
        </w:rPr>
        <w:t>日</w:t>
      </w:r>
    </w:p>
    <w:p w14:paraId="5D051AA9">
      <w:pPr>
        <w:autoSpaceDE w:val="0"/>
        <w:autoSpaceDN w:val="0"/>
        <w:outlineLvl w:val="1"/>
        <w:rPr>
          <w:rFonts w:ascii="宋体"/>
          <w:b/>
          <w:sz w:val="28"/>
          <w:szCs w:val="28"/>
        </w:rPr>
      </w:pPr>
      <w:r>
        <w:rPr>
          <w:rFonts w:ascii="宋体"/>
          <w:b/>
          <w:sz w:val="28"/>
          <w:szCs w:val="28"/>
        </w:rPr>
        <w:br w:type="page"/>
      </w:r>
      <w:bookmarkStart w:id="76" w:name="_Toc496626235"/>
      <w:bookmarkStart w:id="77" w:name="_Toc16810"/>
      <w:bookmarkStart w:id="78" w:name="_Toc13769"/>
      <w:bookmarkStart w:id="79" w:name="_Toc13446"/>
      <w:bookmarkStart w:id="80" w:name="_Toc376936768"/>
      <w:bookmarkStart w:id="81" w:name="_Toc325726037"/>
      <w:r>
        <w:rPr>
          <w:rFonts w:hint="eastAsia" w:ascii="宋体" w:hAnsi="宋体" w:cs="宋体"/>
          <w:b/>
          <w:bCs/>
          <w:color w:val="000000"/>
          <w:sz w:val="24"/>
          <w:szCs w:val="24"/>
        </w:rPr>
        <w:t>（1）磋商函</w:t>
      </w:r>
      <w:bookmarkEnd w:id="76"/>
      <w:bookmarkEnd w:id="77"/>
      <w:bookmarkEnd w:id="78"/>
      <w:bookmarkEnd w:id="79"/>
      <w:bookmarkEnd w:id="80"/>
      <w:bookmarkEnd w:id="81"/>
    </w:p>
    <w:p w14:paraId="3A680895">
      <w:pPr>
        <w:ind w:firstLine="3813" w:firstLineChars="1055"/>
        <w:rPr>
          <w:rFonts w:ascii="宋体"/>
          <w:b/>
          <w:sz w:val="36"/>
          <w:szCs w:val="36"/>
        </w:rPr>
      </w:pPr>
    </w:p>
    <w:p w14:paraId="19FE8CD7">
      <w:pPr>
        <w:ind w:firstLine="3813" w:firstLineChars="1055"/>
        <w:rPr>
          <w:rFonts w:ascii="宋体"/>
          <w:b/>
          <w:sz w:val="36"/>
          <w:szCs w:val="36"/>
        </w:rPr>
      </w:pPr>
      <w:r>
        <w:rPr>
          <w:rFonts w:hint="eastAsia" w:ascii="宋体" w:hAnsi="宋体"/>
          <w:b/>
          <w:sz w:val="36"/>
          <w:szCs w:val="36"/>
        </w:rPr>
        <w:t>磋商函</w:t>
      </w:r>
    </w:p>
    <w:p w14:paraId="5A42E416">
      <w:pPr>
        <w:adjustRightInd w:val="0"/>
        <w:textAlignment w:val="baseline"/>
        <w:rPr>
          <w:rFonts w:ascii="宋体"/>
          <w:b/>
        </w:rPr>
      </w:pPr>
    </w:p>
    <w:p w14:paraId="75184CD7">
      <w:pPr>
        <w:adjustRightInd w:val="0"/>
        <w:textAlignment w:val="baseline"/>
        <w:rPr>
          <w:rFonts w:hint="eastAsia" w:ascii="宋体" w:eastAsia="宋体"/>
          <w:b/>
          <w:lang w:eastAsia="zh-CN"/>
        </w:rPr>
      </w:pPr>
      <w:r>
        <w:rPr>
          <w:rFonts w:hint="eastAsia" w:ascii="宋体" w:hAnsi="宋体"/>
          <w:b/>
        </w:rPr>
        <w:t>致：</w:t>
      </w:r>
      <w:r>
        <w:rPr>
          <w:rFonts w:hint="eastAsia" w:ascii="宋体" w:hAnsi="宋体"/>
          <w:b/>
          <w:lang w:eastAsia="zh-CN"/>
        </w:rPr>
        <w:t>青海鹏杰工程项目管理有限公司</w:t>
      </w:r>
    </w:p>
    <w:p w14:paraId="15F3EA66">
      <w:pPr>
        <w:adjustRightInd w:val="0"/>
        <w:ind w:firstLine="480"/>
        <w:textAlignment w:val="baseline"/>
        <w:rPr>
          <w:rFonts w:ascii="宋体"/>
        </w:rPr>
      </w:pPr>
    </w:p>
    <w:p w14:paraId="3E4A5566">
      <w:pPr>
        <w:adjustRightInd w:val="0"/>
        <w:ind w:firstLine="480"/>
        <w:textAlignment w:val="baseline"/>
        <w:rPr>
          <w:rFonts w:ascii="宋体"/>
        </w:rPr>
      </w:pPr>
      <w:r>
        <w:rPr>
          <w:rFonts w:hint="eastAsia" w:ascii="宋体" w:hAnsi="宋体"/>
        </w:rPr>
        <w:t>我们收到</w:t>
      </w:r>
      <w:r>
        <w:rPr>
          <w:rFonts w:hint="eastAsia" w:ascii="宋体" w:hAnsi="宋体"/>
          <w:lang w:eastAsia="zh-CN"/>
        </w:rPr>
        <w:t>青海鹏杰竞磋（服务）2025-017</w:t>
      </w:r>
      <w:r>
        <w:rPr>
          <w:rFonts w:hint="eastAsia" w:ascii="宋体" w:hAnsi="宋体"/>
        </w:rPr>
        <w:t>磋商文件，经研究，法定代表人（姓名、职务）正式授权（委托代理人姓名、职务）代表供应商（供应商名称、地址）提交磋商响应文件。</w:t>
      </w:r>
      <w:r>
        <w:rPr>
          <w:rFonts w:ascii="宋体" w:hAnsi="宋体"/>
        </w:rPr>
        <w:t xml:space="preserve">    </w:t>
      </w:r>
    </w:p>
    <w:p w14:paraId="4EC62664">
      <w:pPr>
        <w:adjustRightInd w:val="0"/>
        <w:ind w:firstLine="424" w:firstLineChars="177"/>
        <w:textAlignment w:val="baseline"/>
        <w:rPr>
          <w:rFonts w:ascii="宋体"/>
        </w:rPr>
      </w:pPr>
      <w:r>
        <w:rPr>
          <w:rFonts w:hint="eastAsia" w:ascii="宋体" w:hAnsi="宋体"/>
        </w:rPr>
        <w:t>据此函，签字代表宣布同意如下：</w:t>
      </w:r>
    </w:p>
    <w:p w14:paraId="58E66C95">
      <w:pPr>
        <w:adjustRightInd w:val="0"/>
        <w:ind w:firstLine="424" w:firstLineChars="177"/>
        <w:textAlignment w:val="baseline"/>
        <w:rPr>
          <w:rFonts w:ascii="宋体"/>
        </w:rPr>
      </w:pPr>
      <w:r>
        <w:rPr>
          <w:rFonts w:ascii="宋体" w:hAnsi="宋体"/>
        </w:rPr>
        <w:t>1</w:t>
      </w:r>
      <w:r>
        <w:rPr>
          <w:rFonts w:hint="eastAsia" w:ascii="宋体" w:hAnsi="宋体"/>
        </w:rPr>
        <w:t>、我方已详阅磋商文件的全部内容，包括澄清、修改条款等有关附件，承诺对其完全理解并接受。</w:t>
      </w:r>
    </w:p>
    <w:p w14:paraId="3969571E">
      <w:pPr>
        <w:adjustRightInd w:val="0"/>
        <w:ind w:firstLine="424" w:firstLineChars="177"/>
        <w:textAlignment w:val="baseline"/>
        <w:rPr>
          <w:rFonts w:ascii="宋体"/>
        </w:rPr>
      </w:pPr>
      <w:r>
        <w:rPr>
          <w:rFonts w:ascii="宋体" w:hAnsi="宋体"/>
        </w:rPr>
        <w:t>2</w:t>
      </w:r>
      <w:r>
        <w:rPr>
          <w:rFonts w:hint="eastAsia" w:ascii="宋体" w:hAnsi="宋体"/>
        </w:rPr>
        <w:t>、磋商有效期自开标之日起</w:t>
      </w:r>
      <w:r>
        <w:rPr>
          <w:rFonts w:ascii="宋体" w:hAnsi="宋体"/>
        </w:rPr>
        <w:t>60</w:t>
      </w:r>
      <w:r>
        <w:rPr>
          <w:rFonts w:hint="eastAsia" w:ascii="宋体" w:hAnsi="宋体"/>
        </w:rPr>
        <w:t>天内有效。如果在规定的磋商时间后，我方在磋商有效期内撤回投标或成交后不签约的，磋商保证金将被贵方没收。</w:t>
      </w:r>
    </w:p>
    <w:p w14:paraId="28E2E133">
      <w:pPr>
        <w:adjustRightInd w:val="0"/>
        <w:ind w:firstLine="424" w:firstLineChars="177"/>
        <w:textAlignment w:val="baseline"/>
        <w:rPr>
          <w:rFonts w:ascii="宋体"/>
        </w:rPr>
      </w:pPr>
      <w:r>
        <w:rPr>
          <w:rFonts w:ascii="宋体" w:hAnsi="宋体"/>
        </w:rPr>
        <w:t>3</w:t>
      </w:r>
      <w:r>
        <w:rPr>
          <w:rFonts w:hint="eastAsia" w:ascii="宋体" w:hAnsi="宋体"/>
        </w:rPr>
        <w:t>、我方同意按照贵方要求提供与磋商有关的一切数据或资料，理解并接受贵方制定的评标办法。</w:t>
      </w:r>
    </w:p>
    <w:p w14:paraId="2C1F8D34">
      <w:pPr>
        <w:adjustRightInd w:val="0"/>
        <w:ind w:firstLine="424" w:firstLineChars="177"/>
        <w:textAlignment w:val="baseline"/>
        <w:rPr>
          <w:rFonts w:ascii="宋体"/>
        </w:rPr>
      </w:pPr>
      <w:r>
        <w:rPr>
          <w:rFonts w:ascii="宋体" w:hAnsi="宋体"/>
        </w:rPr>
        <w:t>4</w:t>
      </w:r>
      <w:r>
        <w:rPr>
          <w:rFonts w:hint="eastAsia" w:ascii="宋体" w:hAnsi="宋体"/>
        </w:rPr>
        <w:t>、与本磋商有关的一切正式往来通讯请寄：</w:t>
      </w:r>
    </w:p>
    <w:p w14:paraId="43515A2B">
      <w:pPr>
        <w:adjustRightInd w:val="0"/>
        <w:ind w:firstLine="424" w:firstLineChars="177"/>
        <w:textAlignment w:val="baseline"/>
        <w:rPr>
          <w:rFonts w:ascii="宋体"/>
        </w:rPr>
      </w:pPr>
      <w:r>
        <w:rPr>
          <w:rFonts w:hint="eastAsia" w:ascii="宋体" w:hAnsi="宋体"/>
        </w:rPr>
        <w:t>地址：</w:t>
      </w:r>
      <w:r>
        <w:rPr>
          <w:rFonts w:ascii="宋体" w:hAnsi="宋体"/>
        </w:rPr>
        <w:t xml:space="preserve">_______________   </w:t>
      </w:r>
      <w:r>
        <w:rPr>
          <w:rFonts w:hint="eastAsia" w:ascii="宋体" w:hAnsi="宋体"/>
        </w:rPr>
        <w:t>邮编：</w:t>
      </w:r>
      <w:r>
        <w:rPr>
          <w:rFonts w:ascii="宋体" w:hAnsi="宋体"/>
        </w:rPr>
        <w:t>______________</w:t>
      </w:r>
    </w:p>
    <w:p w14:paraId="759DB592">
      <w:pPr>
        <w:adjustRightInd w:val="0"/>
        <w:ind w:firstLine="424" w:firstLineChars="177"/>
        <w:textAlignment w:val="baseline"/>
        <w:rPr>
          <w:rFonts w:ascii="宋体"/>
        </w:rPr>
      </w:pPr>
      <w:r>
        <w:rPr>
          <w:rFonts w:hint="eastAsia" w:ascii="宋体" w:hAnsi="宋体"/>
        </w:rPr>
        <w:t>电话：</w:t>
      </w:r>
      <w:r>
        <w:rPr>
          <w:rFonts w:ascii="宋体" w:hAnsi="宋体"/>
        </w:rPr>
        <w:t xml:space="preserve">_______________   </w:t>
      </w:r>
      <w:r>
        <w:rPr>
          <w:rFonts w:hint="eastAsia" w:ascii="宋体" w:hAnsi="宋体"/>
        </w:rPr>
        <w:t>传真：</w:t>
      </w:r>
      <w:r>
        <w:rPr>
          <w:rFonts w:ascii="宋体" w:hAnsi="宋体"/>
        </w:rPr>
        <w:t>______________</w:t>
      </w:r>
    </w:p>
    <w:p w14:paraId="7BCEC3C8">
      <w:pPr>
        <w:adjustRightInd w:val="0"/>
        <w:ind w:firstLine="424" w:firstLineChars="177"/>
        <w:textAlignment w:val="baseline"/>
        <w:rPr>
          <w:rFonts w:ascii="宋体"/>
        </w:rPr>
      </w:pPr>
      <w:r>
        <w:rPr>
          <w:rFonts w:hint="eastAsia" w:ascii="宋体" w:hAnsi="宋体"/>
        </w:rPr>
        <w:t>法定代表人姓名：</w:t>
      </w:r>
      <w:r>
        <w:rPr>
          <w:rFonts w:ascii="宋体" w:hAnsi="宋体"/>
        </w:rPr>
        <w:t xml:space="preserve"> ___________ </w:t>
      </w:r>
      <w:r>
        <w:rPr>
          <w:rFonts w:hint="eastAsia" w:ascii="宋体" w:hAnsi="宋体"/>
        </w:rPr>
        <w:t>职务：</w:t>
      </w:r>
      <w:r>
        <w:rPr>
          <w:rFonts w:ascii="宋体" w:hAnsi="宋体"/>
        </w:rPr>
        <w:t>____________</w:t>
      </w:r>
    </w:p>
    <w:p w14:paraId="4E6716DA">
      <w:pPr>
        <w:adjustRightInd w:val="0"/>
        <w:ind w:firstLine="480"/>
        <w:textAlignment w:val="baseline"/>
        <w:rPr>
          <w:rFonts w:ascii="宋体"/>
        </w:rPr>
      </w:pPr>
    </w:p>
    <w:p w14:paraId="1146DF83">
      <w:pPr>
        <w:ind w:firstLine="480"/>
        <w:jc w:val="center"/>
        <w:rPr>
          <w:rFonts w:ascii="宋体"/>
        </w:rPr>
      </w:pPr>
    </w:p>
    <w:p w14:paraId="1860DCFA">
      <w:pPr>
        <w:ind w:firstLine="480"/>
        <w:jc w:val="center"/>
        <w:rPr>
          <w:rFonts w:ascii="宋体"/>
        </w:rPr>
      </w:pPr>
    </w:p>
    <w:p w14:paraId="19CC8421">
      <w:pPr>
        <w:adjustRightInd w:val="0"/>
        <w:ind w:firstLine="560"/>
        <w:textAlignment w:val="baseline"/>
        <w:rPr>
          <w:rFonts w:ascii="仿宋_GB2312" w:hAnsi="宋体" w:eastAsia="仿宋_GB2312"/>
          <w:sz w:val="28"/>
          <w:szCs w:val="28"/>
        </w:rPr>
      </w:pPr>
    </w:p>
    <w:p w14:paraId="53204328">
      <w:pPr>
        <w:adjustRightInd w:val="0"/>
        <w:textAlignment w:val="baseline"/>
        <w:rPr>
          <w:rFonts w:ascii="仿宋_GB2312" w:hAnsi="宋体" w:eastAsia="仿宋_GB2312"/>
          <w:sz w:val="28"/>
          <w:szCs w:val="28"/>
        </w:rPr>
      </w:pPr>
    </w:p>
    <w:p w14:paraId="4766A968">
      <w:pPr>
        <w:ind w:firstLine="560"/>
        <w:jc w:val="center"/>
        <w:rPr>
          <w:rFonts w:ascii="宋体"/>
          <w:b/>
        </w:rPr>
      </w:pPr>
      <w:r>
        <w:rPr>
          <w:rFonts w:ascii="仿宋_GB2312" w:hAnsi="宋体" w:eastAsia="仿宋_GB2312"/>
          <w:sz w:val="28"/>
          <w:szCs w:val="28"/>
        </w:rPr>
        <w:t xml:space="preserve">           </w:t>
      </w:r>
      <w:r>
        <w:rPr>
          <w:rFonts w:hint="eastAsia" w:ascii="宋体" w:hAnsi="宋体" w:cs="宋体"/>
          <w:b/>
          <w:bCs/>
          <w:color w:val="000000"/>
          <w:kern w:val="0"/>
          <w:lang w:val="zh-CN"/>
        </w:rPr>
        <w:t>供应商</w:t>
      </w:r>
      <w:r>
        <w:rPr>
          <w:rFonts w:hint="eastAsia" w:ascii="宋体" w:hAnsi="宋体"/>
          <w:b/>
        </w:rPr>
        <w:t>：</w:t>
      </w:r>
      <w:r>
        <w:rPr>
          <w:rFonts w:ascii="仿宋_GB2312" w:eastAsia="仿宋_GB2312" w:cs="宋体"/>
          <w:kern w:val="0"/>
          <w:u w:val="single"/>
        </w:rPr>
        <w:t xml:space="preserve">       </w:t>
      </w:r>
      <w:r>
        <w:rPr>
          <w:rFonts w:hint="eastAsia" w:ascii="宋体" w:hAnsi="宋体"/>
          <w:b/>
        </w:rPr>
        <w:t>（公章）</w:t>
      </w:r>
    </w:p>
    <w:p w14:paraId="326A507E">
      <w:pPr>
        <w:ind w:firstLine="482"/>
        <w:jc w:val="center"/>
        <w:rPr>
          <w:rFonts w:ascii="宋体"/>
          <w:b/>
        </w:rPr>
      </w:pPr>
      <w:r>
        <w:rPr>
          <w:rFonts w:ascii="宋体" w:hAnsi="宋体"/>
          <w:b/>
        </w:rPr>
        <w:t xml:space="preserve">        </w:t>
      </w:r>
      <w:r>
        <w:rPr>
          <w:rFonts w:hint="eastAsia" w:ascii="宋体" w:hAnsi="宋体" w:cs="宋体"/>
          <w:b/>
          <w:color w:val="000000"/>
        </w:rPr>
        <w:t>法定代表人（非法人组织的负责人）或委托代理人</w:t>
      </w:r>
      <w:r>
        <w:rPr>
          <w:rFonts w:hint="eastAsia" w:ascii="宋体" w:hAnsi="宋体"/>
          <w:b/>
        </w:rPr>
        <w:t>：</w:t>
      </w:r>
      <w:r>
        <w:rPr>
          <w:rFonts w:ascii="仿宋_GB2312" w:eastAsia="仿宋_GB2312" w:cs="宋体"/>
          <w:kern w:val="0"/>
          <w:u w:val="single"/>
        </w:rPr>
        <w:t xml:space="preserve">       </w:t>
      </w:r>
      <w:r>
        <w:rPr>
          <w:rFonts w:hint="eastAsia" w:ascii="宋体" w:hAnsi="宋体"/>
          <w:b/>
        </w:rPr>
        <w:t>（签字或盖章）</w:t>
      </w:r>
    </w:p>
    <w:p w14:paraId="2F929439">
      <w:pPr>
        <w:ind w:firstLine="480"/>
        <w:jc w:val="center"/>
        <w:rPr>
          <w:b/>
        </w:rPr>
      </w:pPr>
      <w:r>
        <w:t xml:space="preserve">              </w:t>
      </w: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50373A99">
      <w:pPr>
        <w:jc w:val="both"/>
        <w:rPr>
          <w:rFonts w:ascii="宋体"/>
          <w:b/>
        </w:rPr>
      </w:pPr>
    </w:p>
    <w:p w14:paraId="4A98BE77">
      <w:pPr>
        <w:autoSpaceDE w:val="0"/>
        <w:autoSpaceDN w:val="0"/>
        <w:outlineLvl w:val="1"/>
        <w:rPr>
          <w:rFonts w:hint="eastAsia" w:ascii="宋体" w:hAnsi="宋体" w:cs="宋体"/>
          <w:b/>
          <w:bCs/>
          <w:color w:val="000000"/>
          <w:sz w:val="24"/>
          <w:szCs w:val="24"/>
        </w:rPr>
      </w:pPr>
      <w:bookmarkStart w:id="82" w:name="_Toc28268"/>
      <w:bookmarkStart w:id="83" w:name="_Toc32754"/>
      <w:bookmarkStart w:id="84" w:name="_Toc20411"/>
      <w:bookmarkStart w:id="85" w:name="_Toc29944"/>
      <w:bookmarkStart w:id="86" w:name="_Toc28726"/>
      <w:r>
        <w:rPr>
          <w:rFonts w:hint="eastAsia" w:ascii="宋体" w:hAnsi="宋体" w:cs="宋体"/>
          <w:b/>
          <w:bCs/>
          <w:color w:val="000000"/>
          <w:sz w:val="24"/>
          <w:szCs w:val="24"/>
          <w:lang w:val="zh-CN"/>
        </w:rPr>
        <w:t>（</w:t>
      </w:r>
      <w:r>
        <w:rPr>
          <w:rFonts w:hint="eastAsia" w:ascii="宋体" w:hAnsi="宋体" w:cs="宋体"/>
          <w:b/>
          <w:bCs/>
          <w:color w:val="000000"/>
          <w:sz w:val="24"/>
          <w:szCs w:val="24"/>
        </w:rPr>
        <w:t>2</w:t>
      </w:r>
      <w:r>
        <w:rPr>
          <w:rFonts w:hint="eastAsia" w:ascii="宋体" w:hAnsi="宋体" w:cs="宋体"/>
          <w:b/>
          <w:bCs/>
          <w:color w:val="000000"/>
          <w:sz w:val="24"/>
          <w:szCs w:val="24"/>
          <w:lang w:val="zh-CN"/>
        </w:rPr>
        <w:t>）</w:t>
      </w:r>
      <w:r>
        <w:rPr>
          <w:rFonts w:hint="eastAsia" w:ascii="宋体" w:hAnsi="宋体" w:cs="宋体"/>
          <w:b/>
          <w:bCs/>
          <w:color w:val="000000"/>
          <w:sz w:val="24"/>
          <w:szCs w:val="24"/>
        </w:rPr>
        <w:t>法定代表人（非法人组织负责人）证明书</w:t>
      </w:r>
      <w:bookmarkEnd w:id="82"/>
      <w:bookmarkEnd w:id="83"/>
      <w:bookmarkEnd w:id="84"/>
    </w:p>
    <w:p w14:paraId="0E1D6DFD">
      <w:pPr>
        <w:jc w:val="center"/>
        <w:rPr>
          <w:rFonts w:ascii="宋体" w:hAnsi="宋体" w:cs="宋体"/>
          <w:b/>
          <w:bCs/>
          <w:color w:val="000000"/>
        </w:rPr>
      </w:pPr>
    </w:p>
    <w:p w14:paraId="77F68947">
      <w:pPr>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法定代表人（非法人组织负责人）证明书</w:t>
      </w:r>
    </w:p>
    <w:p w14:paraId="713A2381">
      <w:pPr>
        <w:spacing w:line="520" w:lineRule="exact"/>
        <w:rPr>
          <w:rFonts w:ascii="宋体" w:hAnsi="宋体" w:cs="宋体"/>
          <w:b/>
          <w:bCs/>
          <w:color w:val="000000"/>
        </w:rPr>
      </w:pPr>
    </w:p>
    <w:p w14:paraId="4A830AFF">
      <w:pPr>
        <w:autoSpaceDE w:val="0"/>
        <w:autoSpaceDN w:val="0"/>
        <w:spacing w:line="520" w:lineRule="exact"/>
        <w:ind w:firstLine="482"/>
        <w:rPr>
          <w:rFonts w:hint="eastAsia" w:ascii="宋体" w:hAnsi="宋体" w:eastAsia="宋体" w:cs="宋体"/>
          <w:b/>
          <w:bCs/>
          <w:color w:val="000000"/>
          <w:lang w:eastAsia="zh-CN"/>
        </w:rPr>
      </w:pPr>
      <w:r>
        <w:rPr>
          <w:rFonts w:hint="eastAsia" w:ascii="宋体" w:hAnsi="宋体" w:cs="宋体"/>
          <w:b/>
          <w:bCs/>
          <w:color w:val="000000"/>
          <w:lang w:val="zh-CN"/>
        </w:rPr>
        <w:t>致：</w:t>
      </w:r>
      <w:r>
        <w:rPr>
          <w:rFonts w:hint="eastAsia" w:ascii="宋体" w:hAnsi="宋体" w:cs="宋体"/>
          <w:b/>
          <w:bCs/>
          <w:color w:val="000000"/>
          <w:lang w:eastAsia="zh-CN"/>
        </w:rPr>
        <w:t>青海鹏杰工程项目管理有限公司</w:t>
      </w:r>
    </w:p>
    <w:p w14:paraId="5908D8D0">
      <w:pPr>
        <w:autoSpaceDE w:val="0"/>
        <w:autoSpaceDN w:val="0"/>
        <w:spacing w:line="520" w:lineRule="exact"/>
        <w:ind w:firstLine="480"/>
        <w:rPr>
          <w:rFonts w:ascii="宋体" w:hAnsi="宋体" w:cs="宋体"/>
          <w:color w:val="000000"/>
          <w:lang w:val="zh-CN"/>
        </w:rPr>
      </w:pPr>
    </w:p>
    <w:p w14:paraId="7E1A25C6">
      <w:pPr>
        <w:autoSpaceDE w:val="0"/>
        <w:autoSpaceDN w:val="0"/>
        <w:spacing w:line="520" w:lineRule="exact"/>
        <w:ind w:firstLine="480"/>
        <w:rPr>
          <w:rFonts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u w:val="single"/>
          <w:lang w:val="zh-CN"/>
        </w:rPr>
        <w:t xml:space="preserve">   法定代表人（非法人组织负责人）姓名</w:t>
      </w:r>
      <w:r>
        <w:rPr>
          <w:rFonts w:hint="eastAsia" w:ascii="宋体" w:hAnsi="宋体" w:cs="宋体"/>
          <w:color w:val="000000"/>
          <w:lang w:val="zh-CN"/>
        </w:rPr>
        <w:t>现任我单位</w:t>
      </w:r>
      <w:r>
        <w:rPr>
          <w:rFonts w:hint="eastAsia" w:ascii="宋体" w:hAnsi="宋体" w:cs="宋体"/>
          <w:color w:val="000000"/>
          <w:u w:val="single"/>
          <w:lang w:val="zh-CN"/>
        </w:rPr>
        <w:t xml:space="preserve">      </w:t>
      </w:r>
      <w:r>
        <w:rPr>
          <w:rFonts w:hint="eastAsia" w:ascii="宋体" w:hAnsi="宋体" w:cs="宋体"/>
          <w:color w:val="000000"/>
          <w:lang w:val="zh-CN"/>
        </w:rPr>
        <w:t>职务，为法定代表人（非法人组织的负责人），特此证明。</w:t>
      </w:r>
    </w:p>
    <w:p w14:paraId="029510D4">
      <w:pPr>
        <w:autoSpaceDE w:val="0"/>
        <w:autoSpaceDN w:val="0"/>
        <w:spacing w:line="520" w:lineRule="exact"/>
        <w:ind w:firstLine="480"/>
        <w:rPr>
          <w:rFonts w:ascii="宋体" w:hAnsi="宋体" w:cs="宋体"/>
          <w:color w:val="000000"/>
          <w:lang w:val="zh-CN"/>
        </w:rPr>
      </w:pPr>
    </w:p>
    <w:p w14:paraId="0E644369">
      <w:pPr>
        <w:autoSpaceDE w:val="0"/>
        <w:autoSpaceDN w:val="0"/>
        <w:spacing w:line="520" w:lineRule="exact"/>
        <w:ind w:firstLine="480"/>
        <w:rPr>
          <w:rFonts w:ascii="宋体" w:hAnsi="宋体" w:cs="宋体"/>
          <w:color w:val="000000"/>
          <w:lang w:val="zh-CN"/>
        </w:rPr>
      </w:pPr>
      <w:r>
        <w:rPr>
          <w:rFonts w:hint="eastAsia" w:ascii="宋体" w:hAnsi="宋体" w:cs="宋体"/>
          <w:color w:val="000000"/>
          <w:lang w:val="zh-CN"/>
        </w:rPr>
        <w:t>法定代表人（非法人组织的负责人）基本情况：</w:t>
      </w:r>
    </w:p>
    <w:p w14:paraId="03197D31">
      <w:pPr>
        <w:autoSpaceDE w:val="0"/>
        <w:autoSpaceDN w:val="0"/>
        <w:spacing w:line="520" w:lineRule="exact"/>
        <w:ind w:firstLine="480"/>
        <w:rPr>
          <w:rFonts w:ascii="宋体" w:hAnsi="宋体" w:cs="宋体"/>
          <w:color w:val="000000"/>
          <w:u w:val="single"/>
          <w:lang w:val="zh-CN"/>
        </w:rPr>
      </w:pPr>
      <w:r>
        <w:rPr>
          <w:rFonts w:hint="eastAsia" w:ascii="宋体" w:hAnsi="宋体" w:cs="宋体"/>
          <w:color w:val="000000"/>
          <w:lang w:val="zh-CN"/>
        </w:rPr>
        <w:t>性别：</w:t>
      </w:r>
      <w:r>
        <w:rPr>
          <w:rFonts w:hint="eastAsia" w:ascii="宋体" w:hAnsi="宋体" w:cs="宋体"/>
          <w:color w:val="000000"/>
          <w:u w:val="single"/>
          <w:lang w:val="zh-CN"/>
        </w:rPr>
        <w:t xml:space="preserve">           </w:t>
      </w:r>
      <w:r>
        <w:rPr>
          <w:rFonts w:hint="eastAsia" w:ascii="宋体" w:hAnsi="宋体" w:cs="宋体"/>
          <w:color w:val="000000"/>
          <w:lang w:val="zh-CN"/>
        </w:rPr>
        <w:t>年龄：</w:t>
      </w:r>
      <w:r>
        <w:rPr>
          <w:rFonts w:hint="eastAsia" w:ascii="宋体" w:hAnsi="宋体" w:cs="宋体"/>
          <w:color w:val="000000"/>
          <w:u w:val="single"/>
          <w:lang w:val="zh-CN"/>
        </w:rPr>
        <w:t xml:space="preserve">           </w:t>
      </w:r>
      <w:r>
        <w:rPr>
          <w:rFonts w:hint="eastAsia" w:ascii="宋体" w:hAnsi="宋体" w:cs="宋体"/>
          <w:color w:val="000000"/>
          <w:lang w:val="zh-CN"/>
        </w:rPr>
        <w:t xml:space="preserve"> 民族：</w:t>
      </w:r>
      <w:r>
        <w:rPr>
          <w:rFonts w:hint="eastAsia" w:ascii="宋体" w:hAnsi="宋体" w:cs="宋体"/>
          <w:color w:val="000000"/>
          <w:u w:val="single"/>
          <w:lang w:val="zh-CN"/>
        </w:rPr>
        <w:t xml:space="preserve">         </w:t>
      </w:r>
    </w:p>
    <w:p w14:paraId="74A55666">
      <w:pPr>
        <w:autoSpaceDE w:val="0"/>
        <w:autoSpaceDN w:val="0"/>
        <w:spacing w:line="520" w:lineRule="exact"/>
        <w:ind w:firstLine="480"/>
        <w:rPr>
          <w:rFonts w:ascii="宋体" w:hAnsi="宋体" w:cs="宋体"/>
          <w:color w:val="000000"/>
          <w:u w:val="single"/>
          <w:lang w:val="zh-CN"/>
        </w:rPr>
      </w:pPr>
      <w:r>
        <w:rPr>
          <w:rFonts w:hint="eastAsia" w:ascii="宋体" w:hAnsi="宋体" w:cs="宋体"/>
          <w:color w:val="000000"/>
          <w:lang w:val="zh-CN"/>
        </w:rPr>
        <w:t>地址：</w:t>
      </w:r>
      <w:r>
        <w:rPr>
          <w:rFonts w:hint="eastAsia" w:ascii="宋体" w:hAnsi="宋体" w:cs="宋体"/>
          <w:color w:val="000000"/>
          <w:u w:val="single"/>
          <w:lang w:val="zh-CN"/>
        </w:rPr>
        <w:t xml:space="preserve">                                            </w:t>
      </w:r>
    </w:p>
    <w:p w14:paraId="5812AA13">
      <w:pPr>
        <w:autoSpaceDE w:val="0"/>
        <w:autoSpaceDN w:val="0"/>
        <w:spacing w:line="520" w:lineRule="exact"/>
        <w:ind w:firstLine="480"/>
        <w:rPr>
          <w:rFonts w:ascii="宋体" w:hAnsi="宋体" w:cs="宋体"/>
          <w:color w:val="000000"/>
          <w:lang w:val="zh-CN"/>
        </w:rPr>
      </w:pPr>
      <w:r>
        <w:rPr>
          <w:rFonts w:hint="eastAsia" w:ascii="宋体" w:hAnsi="宋体" w:cs="宋体"/>
          <w:color w:val="000000"/>
          <w:lang w:val="zh-CN"/>
        </w:rPr>
        <w:t>身份证号码：</w:t>
      </w:r>
      <w:r>
        <w:rPr>
          <w:rFonts w:hint="eastAsia" w:ascii="宋体" w:hAnsi="宋体" w:cs="宋体"/>
          <w:color w:val="000000"/>
          <w:u w:val="single"/>
          <w:lang w:val="zh-CN"/>
        </w:rPr>
        <w:t xml:space="preserve">                                      </w:t>
      </w:r>
    </w:p>
    <w:p w14:paraId="5DBABA96">
      <w:pPr>
        <w:autoSpaceDE w:val="0"/>
        <w:autoSpaceDN w:val="0"/>
        <w:spacing w:line="520" w:lineRule="exact"/>
        <w:ind w:firstLine="480"/>
        <w:rPr>
          <w:rFonts w:ascii="宋体" w:hAnsi="宋体" w:cs="宋体"/>
          <w:color w:val="000000"/>
          <w:lang w:val="zh-CN"/>
        </w:rPr>
      </w:pPr>
    </w:p>
    <w:p w14:paraId="4426A288">
      <w:pPr>
        <w:autoSpaceDE w:val="0"/>
        <w:autoSpaceDN w:val="0"/>
        <w:spacing w:line="520" w:lineRule="exact"/>
        <w:ind w:firstLine="480"/>
        <w:rPr>
          <w:rFonts w:ascii="宋体" w:hAnsi="宋体" w:cs="宋体"/>
          <w:color w:val="000000"/>
          <w:lang w:val="zh-CN"/>
        </w:rPr>
      </w:pPr>
      <w:r>
        <w:rPr>
          <w:rFonts w:hint="eastAsia" w:ascii="宋体" w:hAnsi="宋体" w:cs="宋体"/>
          <w:color w:val="000000"/>
          <w:lang w:val="zh-CN"/>
        </w:rPr>
        <w:t>附法定代表人第二代身份证双面扫描（或复印）件</w:t>
      </w:r>
    </w:p>
    <w:p w14:paraId="557F5768">
      <w:pPr>
        <w:autoSpaceDE w:val="0"/>
        <w:autoSpaceDN w:val="0"/>
        <w:jc w:val="left"/>
        <w:rPr>
          <w:rFonts w:ascii="宋体" w:hAnsi="宋体" w:cs="宋体"/>
          <w:color w:val="000000"/>
        </w:rPr>
      </w:pPr>
    </w:p>
    <w:p w14:paraId="6AEE4E61">
      <w:pPr>
        <w:autoSpaceDE w:val="0"/>
        <w:autoSpaceDN w:val="0"/>
        <w:jc w:val="left"/>
        <w:rPr>
          <w:rFonts w:ascii="宋体" w:hAnsi="宋体" w:cs="宋体"/>
          <w:color w:val="000000"/>
        </w:rPr>
      </w:pPr>
    </w:p>
    <w:p w14:paraId="161F04A3">
      <w:pPr>
        <w:jc w:val="center"/>
        <w:rPr>
          <w:rFonts w:ascii="宋体" w:hAnsi="宋体" w:cs="宋体"/>
          <w:b/>
          <w:color w:val="000000"/>
        </w:rPr>
      </w:pPr>
    </w:p>
    <w:p w14:paraId="01625A6B">
      <w:pPr>
        <w:jc w:val="center"/>
        <w:rPr>
          <w:rFonts w:ascii="宋体" w:hAnsi="宋体" w:cs="宋体"/>
          <w:b/>
          <w:color w:val="000000"/>
        </w:rPr>
      </w:pPr>
      <w:r>
        <w:rPr>
          <w:rFonts w:hint="eastAsia" w:ascii="宋体" w:hAnsi="宋体" w:cs="宋体"/>
          <w:b/>
          <w:color w:val="000000"/>
        </w:rPr>
        <w:t xml:space="preserve">                               供应商：          （公章）</w:t>
      </w:r>
    </w:p>
    <w:p w14:paraId="7754D597">
      <w:pPr>
        <w:jc w:val="center"/>
        <w:rPr>
          <w:rFonts w:ascii="宋体" w:hAnsi="宋体" w:cs="宋体"/>
          <w:b/>
          <w:color w:val="000000"/>
        </w:rPr>
      </w:pPr>
      <w:r>
        <w:rPr>
          <w:rFonts w:hint="eastAsia" w:ascii="宋体" w:hAnsi="宋体" w:cs="宋体"/>
          <w:b/>
          <w:color w:val="000000"/>
        </w:rPr>
        <w:t>法定代表人（非法人组织的负责人）或委托代理人：         （签字或盖章）</w:t>
      </w:r>
    </w:p>
    <w:p w14:paraId="1C8350D8">
      <w:pPr>
        <w:jc w:val="center"/>
        <w:rPr>
          <w:rFonts w:ascii="宋体" w:hAnsi="宋体" w:cs="宋体"/>
          <w:b/>
          <w:color w:val="000000"/>
          <w:lang w:val="zh-CN"/>
        </w:rPr>
      </w:pPr>
      <w:r>
        <w:rPr>
          <w:rFonts w:hint="eastAsia" w:ascii="宋体" w:hAnsi="宋体" w:cs="宋体"/>
          <w:b/>
          <w:color w:val="000000"/>
        </w:rPr>
        <w:t xml:space="preserve">                                    </w:t>
      </w:r>
      <w:bookmarkStart w:id="87" w:name="_Toc26760"/>
      <w:bookmarkStart w:id="88" w:name="_Toc25025"/>
      <w:bookmarkStart w:id="89" w:name="_Toc25155"/>
      <w:bookmarkStart w:id="90" w:name="_Toc76659133"/>
      <w:bookmarkStart w:id="91" w:name="_Toc26461"/>
      <w:r>
        <w:rPr>
          <w:rFonts w:hint="eastAsia" w:ascii="宋体" w:hAnsi="宋体" w:cs="宋体"/>
          <w:b/>
          <w:color w:val="000000"/>
        </w:rPr>
        <w:t>年   月   日</w:t>
      </w:r>
      <w:bookmarkEnd w:id="87"/>
      <w:bookmarkEnd w:id="88"/>
      <w:bookmarkEnd w:id="89"/>
      <w:bookmarkEnd w:id="90"/>
      <w:bookmarkEnd w:id="91"/>
    </w:p>
    <w:p w14:paraId="204870C4">
      <w:pPr>
        <w:wordWrap w:val="0"/>
        <w:outlineLvl w:val="1"/>
        <w:rPr>
          <w:b/>
          <w:bCs/>
        </w:rPr>
      </w:pPr>
      <w:r>
        <w:rPr>
          <w:rFonts w:hint="eastAsia" w:ascii="宋体" w:hAnsi="宋体" w:cs="宋体"/>
          <w:color w:val="000000"/>
          <w:lang w:val="zh-CN"/>
        </w:rPr>
        <w:br w:type="page"/>
      </w:r>
      <w:bookmarkEnd w:id="85"/>
      <w:bookmarkStart w:id="92" w:name="_Toc2650"/>
      <w:bookmarkStart w:id="93" w:name="_Toc8049"/>
      <w:bookmarkStart w:id="94" w:name="_Toc20156"/>
      <w:bookmarkStart w:id="95" w:name="_Toc17284"/>
      <w:r>
        <w:rPr>
          <w:rFonts w:hint="eastAsia"/>
          <w:b/>
          <w:bCs/>
        </w:rPr>
        <w:t>（3）法定代表人（非法人组织负责人）授权书</w:t>
      </w:r>
      <w:bookmarkEnd w:id="92"/>
      <w:bookmarkEnd w:id="93"/>
      <w:bookmarkEnd w:id="94"/>
    </w:p>
    <w:p w14:paraId="5B1F1BB2">
      <w:pPr>
        <w:rPr>
          <w:rFonts w:ascii="宋体" w:hAnsi="宋体" w:cs="宋体"/>
          <w:b/>
          <w:color w:val="000000"/>
        </w:rPr>
      </w:pPr>
    </w:p>
    <w:p w14:paraId="3FA29FBB">
      <w:pPr>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法定代表人（非法人组织负责人）授权书</w:t>
      </w:r>
    </w:p>
    <w:p w14:paraId="589E0B3E">
      <w:pPr>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青海鹏杰工程项目管理有限公司</w:t>
      </w:r>
    </w:p>
    <w:p w14:paraId="1EC6E5AD">
      <w:pPr>
        <w:rPr>
          <w:rFonts w:ascii="宋体" w:hAnsi="宋体" w:cs="宋体"/>
          <w:color w:val="000000"/>
          <w:u w:val="single"/>
        </w:rPr>
      </w:pPr>
    </w:p>
    <w:p w14:paraId="3385DD03">
      <w:pPr>
        <w:autoSpaceDE w:val="0"/>
        <w:autoSpaceDN w:val="0"/>
        <w:spacing w:line="560" w:lineRule="exact"/>
        <w:ind w:firstLine="480"/>
        <w:rPr>
          <w:rFonts w:ascii="宋体" w:hAnsi="宋体" w:cs="宋体"/>
          <w:color w:val="000000"/>
          <w:lang w:val="zh-CN"/>
        </w:rPr>
      </w:pPr>
      <w:r>
        <w:rPr>
          <w:rFonts w:hint="eastAsia" w:ascii="宋体" w:hAnsi="宋体" w:cs="宋体"/>
          <w:color w:val="000000"/>
          <w:u w:val="single"/>
          <w:lang w:val="zh-CN"/>
        </w:rPr>
        <w:t>（供应商名称）</w:t>
      </w:r>
      <w:r>
        <w:rPr>
          <w:rFonts w:hint="eastAsia" w:ascii="宋体" w:hAnsi="宋体" w:cs="宋体"/>
          <w:color w:val="000000"/>
          <w:lang w:val="zh-CN"/>
        </w:rPr>
        <w:t>系中华人民共和国合法企业，法定地址</w:t>
      </w:r>
      <w:r>
        <w:rPr>
          <w:rFonts w:hint="eastAsia" w:ascii="宋体" w:hAnsi="宋体" w:cs="宋体"/>
          <w:color w:val="000000"/>
          <w:u w:val="single"/>
          <w:lang w:val="zh-CN"/>
        </w:rPr>
        <w:t xml:space="preserve">              </w:t>
      </w:r>
      <w:r>
        <w:rPr>
          <w:rFonts w:hint="eastAsia" w:ascii="宋体" w:hAnsi="宋体" w:cs="宋体"/>
          <w:color w:val="000000"/>
          <w:lang w:val="zh-CN"/>
        </w:rPr>
        <w:t>。</w:t>
      </w:r>
    </w:p>
    <w:p w14:paraId="596F014F">
      <w:pPr>
        <w:autoSpaceDE w:val="0"/>
        <w:autoSpaceDN w:val="0"/>
        <w:spacing w:line="560" w:lineRule="exact"/>
        <w:ind w:firstLine="480"/>
        <w:rPr>
          <w:rFonts w:ascii="宋体" w:hAnsi="宋体" w:cs="宋体"/>
          <w:color w:val="000000"/>
          <w:lang w:val="zh-CN"/>
        </w:rPr>
      </w:pPr>
      <w:r>
        <w:rPr>
          <w:rFonts w:hint="eastAsia" w:ascii="宋体" w:hAnsi="宋体" w:cs="宋体"/>
          <w:color w:val="000000"/>
          <w:u w:val="single"/>
        </w:rPr>
        <w:t xml:space="preserve">    </w:t>
      </w:r>
      <w:r>
        <w:rPr>
          <w:rFonts w:hint="eastAsia" w:ascii="宋体" w:hAnsi="宋体" w:cs="宋体"/>
          <w:color w:val="000000"/>
          <w:u w:val="single"/>
          <w:lang w:val="zh-CN"/>
        </w:rPr>
        <w:t>法定代表人</w:t>
      </w:r>
      <w:r>
        <w:rPr>
          <w:rFonts w:hint="eastAsia" w:ascii="宋体" w:hAnsi="宋体" w:cs="宋体"/>
          <w:bCs/>
          <w:color w:val="000000"/>
          <w:u w:val="single"/>
        </w:rPr>
        <w:t>（非法人组织负责人）</w:t>
      </w:r>
      <w:r>
        <w:rPr>
          <w:rFonts w:hint="eastAsia" w:ascii="宋体" w:hAnsi="宋体" w:cs="宋体"/>
          <w:color w:val="000000"/>
          <w:u w:val="single"/>
          <w:lang w:val="zh-CN"/>
        </w:rPr>
        <w:t xml:space="preserve">姓名   </w:t>
      </w:r>
      <w:r>
        <w:rPr>
          <w:rFonts w:hint="eastAsia" w:ascii="宋体" w:hAnsi="宋体" w:cs="宋体"/>
          <w:color w:val="000000"/>
          <w:lang w:val="zh-CN"/>
        </w:rPr>
        <w:t>特授权</w:t>
      </w:r>
      <w:r>
        <w:rPr>
          <w:rFonts w:hint="eastAsia" w:ascii="宋体" w:hAnsi="宋体" w:cs="宋体"/>
          <w:color w:val="000000"/>
          <w:u w:val="single"/>
          <w:lang w:val="zh-CN"/>
        </w:rPr>
        <w:t>（委托代理人姓名）</w:t>
      </w:r>
      <w:r>
        <w:rPr>
          <w:rFonts w:hint="eastAsia" w:ascii="宋体" w:hAnsi="宋体" w:cs="宋体"/>
          <w:color w:val="000000"/>
          <w:lang w:val="zh-CN"/>
        </w:rPr>
        <w:t>代表我单位全权办理</w:t>
      </w:r>
      <w:r>
        <w:rPr>
          <w:rFonts w:hint="eastAsia" w:ascii="宋体" w:hAnsi="宋体" w:cs="宋体"/>
          <w:color w:val="000000"/>
          <w:u w:val="single"/>
          <w:lang w:val="zh-CN"/>
        </w:rPr>
        <w:t xml:space="preserve">                         </w:t>
      </w:r>
      <w:r>
        <w:rPr>
          <w:rFonts w:hint="eastAsia" w:ascii="宋体" w:hAnsi="宋体" w:cs="宋体"/>
          <w:color w:val="000000"/>
          <w:lang w:val="zh-CN"/>
        </w:rPr>
        <w:t>项目的磋商、答疑等具体工作，并签署全部有关的文件、资料。</w:t>
      </w:r>
    </w:p>
    <w:p w14:paraId="7F77184B">
      <w:pPr>
        <w:autoSpaceDE w:val="0"/>
        <w:autoSpaceDN w:val="0"/>
        <w:spacing w:line="560" w:lineRule="exact"/>
        <w:ind w:firstLine="480"/>
        <w:rPr>
          <w:rFonts w:ascii="宋体" w:hAnsi="宋体" w:cs="宋体"/>
          <w:color w:val="000000"/>
          <w:lang w:val="zh-CN"/>
        </w:rPr>
      </w:pPr>
      <w:r>
        <w:rPr>
          <w:rFonts w:hint="eastAsia" w:ascii="宋体" w:hAnsi="宋体" w:cs="宋体"/>
          <w:color w:val="000000"/>
          <w:lang w:val="zh-CN"/>
        </w:rPr>
        <w:t>我单位对被授权人的签名负全部责任。</w:t>
      </w:r>
    </w:p>
    <w:p w14:paraId="54C4288D">
      <w:pPr>
        <w:autoSpaceDE w:val="0"/>
        <w:autoSpaceDN w:val="0"/>
        <w:spacing w:line="560" w:lineRule="exact"/>
        <w:ind w:firstLine="480"/>
        <w:rPr>
          <w:rFonts w:ascii="宋体" w:hAnsi="宋体" w:cs="宋体"/>
          <w:color w:val="000000"/>
          <w:u w:val="single"/>
          <w:lang w:val="zh-CN"/>
        </w:rPr>
      </w:pPr>
      <w:r>
        <w:rPr>
          <w:rFonts w:hint="eastAsia" w:ascii="宋体" w:hAnsi="宋体" w:cs="宋体"/>
          <w:color w:val="000000"/>
          <w:lang w:val="zh-CN"/>
        </w:rPr>
        <w:t xml:space="preserve">被授权人联系电话： </w:t>
      </w:r>
      <w:r>
        <w:rPr>
          <w:rFonts w:hint="eastAsia" w:ascii="宋体" w:hAnsi="宋体" w:cs="宋体"/>
          <w:color w:val="000000"/>
          <w:u w:val="single"/>
          <w:lang w:val="zh-CN"/>
        </w:rPr>
        <w:t xml:space="preserve">                  </w:t>
      </w:r>
    </w:p>
    <w:p w14:paraId="746F4406">
      <w:pPr>
        <w:autoSpaceDE w:val="0"/>
        <w:autoSpaceDN w:val="0"/>
        <w:spacing w:line="560" w:lineRule="exact"/>
        <w:ind w:firstLine="480"/>
        <w:rPr>
          <w:rFonts w:ascii="宋体" w:hAnsi="宋体" w:cs="宋体"/>
          <w:color w:val="000000"/>
          <w:lang w:val="zh-CN"/>
        </w:rPr>
      </w:pPr>
      <w:r>
        <w:rPr>
          <w:rFonts w:hint="eastAsia" w:ascii="宋体" w:hAnsi="宋体" w:cs="宋体"/>
          <w:color w:val="000000"/>
          <w:lang w:val="zh-CN"/>
        </w:rPr>
        <w:t>被授权人（委托代理人）签字：</w:t>
      </w:r>
      <w:r>
        <w:rPr>
          <w:rFonts w:hint="eastAsia" w:ascii="宋体" w:hAnsi="宋体" w:cs="宋体"/>
          <w:color w:val="000000"/>
          <w:u w:val="single"/>
          <w:lang w:val="zh-CN"/>
        </w:rPr>
        <w:t xml:space="preserve">        </w:t>
      </w:r>
      <w:r>
        <w:rPr>
          <w:rFonts w:hint="eastAsia" w:ascii="宋体" w:hAnsi="宋体" w:cs="宋体"/>
          <w:color w:val="000000"/>
          <w:lang w:val="zh-CN"/>
        </w:rPr>
        <w:t xml:space="preserve">  </w:t>
      </w:r>
    </w:p>
    <w:p w14:paraId="58DE011D">
      <w:pPr>
        <w:autoSpaceDE w:val="0"/>
        <w:autoSpaceDN w:val="0"/>
        <w:spacing w:line="560" w:lineRule="exact"/>
        <w:ind w:firstLine="480"/>
        <w:rPr>
          <w:rFonts w:ascii="宋体" w:hAnsi="宋体" w:cs="宋体"/>
          <w:color w:val="000000"/>
          <w:lang w:val="zh-CN"/>
        </w:rPr>
      </w:pPr>
      <w:r>
        <w:rPr>
          <w:rFonts w:hint="eastAsia" w:ascii="宋体" w:hAnsi="宋体" w:cs="宋体"/>
          <w:color w:val="000000"/>
          <w:lang w:val="zh-CN"/>
        </w:rPr>
        <w:t>职务：</w:t>
      </w:r>
      <w:r>
        <w:rPr>
          <w:rFonts w:hint="eastAsia" w:ascii="宋体" w:hAnsi="宋体" w:cs="宋体"/>
          <w:color w:val="000000"/>
          <w:u w:val="single"/>
          <w:lang w:val="zh-CN"/>
        </w:rPr>
        <w:t xml:space="preserve">                             </w:t>
      </w:r>
      <w:r>
        <w:rPr>
          <w:rFonts w:hint="eastAsia" w:ascii="宋体" w:hAnsi="宋体" w:cs="宋体"/>
          <w:color w:val="000000"/>
          <w:lang w:val="zh-CN"/>
        </w:rPr>
        <w:t xml:space="preserve">  </w:t>
      </w:r>
    </w:p>
    <w:p w14:paraId="78ABD3B4">
      <w:pPr>
        <w:autoSpaceDE w:val="0"/>
        <w:autoSpaceDN w:val="0"/>
        <w:spacing w:line="560" w:lineRule="exact"/>
        <w:ind w:firstLine="480"/>
        <w:rPr>
          <w:rFonts w:ascii="宋体" w:hAnsi="宋体" w:cs="宋体"/>
          <w:color w:val="000000"/>
          <w:u w:val="single"/>
          <w:lang w:val="zh-CN"/>
        </w:rPr>
      </w:pPr>
      <w:r>
        <w:rPr>
          <w:rFonts w:hint="eastAsia" w:ascii="宋体" w:hAnsi="宋体" w:cs="宋体"/>
          <w:color w:val="000000"/>
          <w:lang w:val="zh-CN"/>
        </w:rPr>
        <w:t>授权人（法定代表人或非法人组织的负责人）签字：</w:t>
      </w:r>
      <w:r>
        <w:rPr>
          <w:rFonts w:hint="eastAsia" w:ascii="宋体" w:hAnsi="宋体" w:cs="宋体"/>
          <w:color w:val="000000"/>
          <w:u w:val="single"/>
          <w:lang w:val="zh-CN"/>
        </w:rPr>
        <w:t xml:space="preserve">             </w:t>
      </w:r>
    </w:p>
    <w:p w14:paraId="3FCD0D62">
      <w:pPr>
        <w:autoSpaceDE w:val="0"/>
        <w:autoSpaceDN w:val="0"/>
        <w:spacing w:line="560" w:lineRule="exact"/>
        <w:ind w:firstLine="480"/>
        <w:rPr>
          <w:rFonts w:ascii="宋体" w:hAnsi="宋体" w:cs="宋体"/>
          <w:color w:val="000000"/>
          <w:u w:val="single"/>
          <w:lang w:val="zh-CN"/>
        </w:rPr>
      </w:pPr>
      <w:r>
        <w:rPr>
          <w:rFonts w:hint="eastAsia" w:ascii="宋体" w:hAnsi="宋体" w:cs="宋体"/>
          <w:color w:val="000000"/>
          <w:lang w:val="zh-CN"/>
        </w:rPr>
        <w:t>职务：</w:t>
      </w:r>
      <w:r>
        <w:rPr>
          <w:rFonts w:hint="eastAsia" w:ascii="宋体" w:hAnsi="宋体" w:cs="宋体"/>
          <w:color w:val="000000"/>
          <w:u w:val="single"/>
          <w:lang w:val="zh-CN"/>
        </w:rPr>
        <w:t xml:space="preserve">                             </w:t>
      </w:r>
      <w:r>
        <w:rPr>
          <w:rFonts w:hint="eastAsia" w:ascii="宋体" w:hAnsi="宋体" w:cs="宋体"/>
          <w:color w:val="000000"/>
          <w:lang w:val="zh-CN"/>
        </w:rPr>
        <w:t xml:space="preserve">  </w:t>
      </w:r>
    </w:p>
    <w:p w14:paraId="117E46A7">
      <w:pPr>
        <w:autoSpaceDE w:val="0"/>
        <w:autoSpaceDN w:val="0"/>
        <w:spacing w:line="560" w:lineRule="exact"/>
        <w:ind w:firstLine="480"/>
        <w:rPr>
          <w:rFonts w:ascii="宋体" w:hAnsi="宋体" w:cs="宋体"/>
          <w:color w:val="000000"/>
          <w:lang w:val="zh-CN"/>
        </w:rPr>
      </w:pPr>
    </w:p>
    <w:p w14:paraId="1F0EE8DC">
      <w:pPr>
        <w:autoSpaceDE w:val="0"/>
        <w:autoSpaceDN w:val="0"/>
        <w:spacing w:line="560" w:lineRule="exact"/>
        <w:ind w:firstLine="480"/>
        <w:rPr>
          <w:rFonts w:ascii="宋体" w:hAnsi="宋体" w:cs="宋体"/>
          <w:color w:val="000000"/>
          <w:lang w:val="zh-CN"/>
        </w:rPr>
      </w:pPr>
      <w:r>
        <w:rPr>
          <w:rFonts w:hint="eastAsia" w:ascii="宋体" w:hAnsi="宋体" w:cs="宋体"/>
          <w:color w:val="000000"/>
          <w:lang w:val="zh-CN"/>
        </w:rPr>
        <w:t>附被授权人第二代身份证双面扫描（或复印）件</w:t>
      </w:r>
    </w:p>
    <w:p w14:paraId="6C135202">
      <w:pPr>
        <w:autoSpaceDE w:val="0"/>
        <w:autoSpaceDN w:val="0"/>
        <w:ind w:firstLine="420"/>
        <w:rPr>
          <w:rFonts w:ascii="宋体" w:hAnsi="宋体" w:cs="宋体"/>
          <w:color w:val="000000"/>
          <w:lang w:val="zh-CN"/>
        </w:rPr>
      </w:pPr>
    </w:p>
    <w:p w14:paraId="31B6E88E">
      <w:pPr>
        <w:autoSpaceDE w:val="0"/>
        <w:autoSpaceDN w:val="0"/>
        <w:ind w:firstLine="420"/>
        <w:rPr>
          <w:rFonts w:ascii="宋体" w:hAnsi="宋体" w:cs="宋体"/>
          <w:color w:val="000000"/>
          <w:lang w:val="zh-CN"/>
        </w:rPr>
      </w:pPr>
    </w:p>
    <w:p w14:paraId="0A25037D">
      <w:pPr>
        <w:rPr>
          <w:rFonts w:ascii="宋体" w:hAnsi="宋体" w:cs="宋体"/>
          <w:color w:val="000000"/>
        </w:rPr>
      </w:pPr>
    </w:p>
    <w:p w14:paraId="2813B590">
      <w:pPr>
        <w:rPr>
          <w:rFonts w:ascii="宋体" w:hAnsi="宋体" w:cs="宋体"/>
          <w:color w:val="000000"/>
        </w:rPr>
      </w:pPr>
    </w:p>
    <w:p w14:paraId="5A6A9321">
      <w:pPr>
        <w:rPr>
          <w:rFonts w:ascii="宋体" w:hAnsi="宋体" w:cs="宋体"/>
          <w:color w:val="000000"/>
        </w:rPr>
      </w:pPr>
    </w:p>
    <w:p w14:paraId="6DF3597F">
      <w:pPr>
        <w:jc w:val="center"/>
        <w:rPr>
          <w:rFonts w:ascii="宋体" w:hAnsi="宋体" w:cs="宋体"/>
          <w:b/>
          <w:color w:val="000000"/>
        </w:rPr>
      </w:pPr>
      <w:r>
        <w:rPr>
          <w:rFonts w:hint="eastAsia" w:ascii="宋体" w:hAnsi="宋体" w:cs="宋体"/>
          <w:b/>
          <w:color w:val="000000"/>
        </w:rPr>
        <w:t xml:space="preserve">                                  供应商：</w:t>
      </w:r>
      <w:r>
        <w:rPr>
          <w:rFonts w:ascii="宋体" w:hAnsi="宋体" w:cs="宋体"/>
          <w:color w:val="000000"/>
          <w:u w:val="single"/>
        </w:rPr>
        <w:t xml:space="preserve">   </w:t>
      </w:r>
      <w:r>
        <w:rPr>
          <w:rFonts w:hint="eastAsia" w:ascii="宋体" w:hAnsi="宋体" w:cs="宋体"/>
          <w:color w:val="000000"/>
          <w:u w:val="single"/>
        </w:rPr>
        <w:t xml:space="preserve">   </w:t>
      </w:r>
      <w:r>
        <w:rPr>
          <w:rFonts w:ascii="宋体" w:hAnsi="宋体" w:cs="宋体"/>
          <w:color w:val="000000"/>
          <w:u w:val="single"/>
        </w:rPr>
        <w:t xml:space="preserve">    </w:t>
      </w:r>
      <w:r>
        <w:rPr>
          <w:rFonts w:hint="eastAsia" w:ascii="宋体" w:hAnsi="宋体" w:cs="宋体"/>
          <w:b/>
          <w:color w:val="000000"/>
        </w:rPr>
        <w:t>（公章）</w:t>
      </w:r>
    </w:p>
    <w:p w14:paraId="4B68263A">
      <w:pPr>
        <w:autoSpaceDE w:val="0"/>
        <w:autoSpaceDN w:val="0"/>
        <w:rPr>
          <w:rFonts w:ascii="宋体" w:hAnsi="宋体" w:cs="宋体"/>
          <w:color w:val="000000"/>
          <w:kern w:val="0"/>
          <w:lang w:val="zh-CN"/>
        </w:rPr>
      </w:pPr>
      <w:r>
        <w:rPr>
          <w:rFonts w:hint="eastAsia" w:ascii="宋体" w:hAnsi="宋体" w:cs="宋体"/>
          <w:b/>
          <w:color w:val="000000"/>
        </w:rPr>
        <w:t xml:space="preserve">                                               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 xml:space="preserve"> </w:t>
      </w:r>
      <w:r>
        <w:rPr>
          <w:rFonts w:ascii="宋体" w:hAnsi="宋体" w:cs="宋体"/>
          <w:b/>
          <w:color w:val="000000"/>
        </w:rPr>
        <w:t xml:space="preserve"> </w:t>
      </w:r>
      <w:r>
        <w:rPr>
          <w:rFonts w:hint="eastAsia" w:ascii="宋体" w:hAnsi="宋体" w:cs="宋体"/>
          <w:b/>
          <w:color w:val="000000"/>
        </w:rPr>
        <w:t>日</w:t>
      </w:r>
    </w:p>
    <w:p w14:paraId="204EE014">
      <w:pPr>
        <w:wordWrap w:val="0"/>
        <w:outlineLvl w:val="1"/>
        <w:rPr>
          <w:rFonts w:ascii="宋体" w:hAnsi="宋体" w:cs="宋体"/>
          <w:color w:val="000000"/>
          <w:lang w:val="zh-CN"/>
        </w:rPr>
      </w:pPr>
      <w:r>
        <w:rPr>
          <w:rFonts w:hint="eastAsia" w:ascii="宋体" w:hAnsi="宋体" w:cs="宋体"/>
          <w:color w:val="000000"/>
          <w:lang w:val="zh-CN"/>
        </w:rPr>
        <w:br w:type="page"/>
      </w:r>
      <w:bookmarkStart w:id="96" w:name="_Toc17592"/>
      <w:bookmarkStart w:id="97" w:name="_Toc76659134"/>
      <w:bookmarkStart w:id="98" w:name="_Toc7786"/>
      <w:bookmarkStart w:id="99" w:name="_Toc13428"/>
      <w:bookmarkStart w:id="100" w:name="_Toc22653"/>
      <w:bookmarkStart w:id="101" w:name="_Toc14588"/>
      <w:bookmarkStart w:id="102" w:name="_Toc20343"/>
      <w:r>
        <w:rPr>
          <w:rFonts w:hint="eastAsia"/>
          <w:b/>
          <w:bCs/>
        </w:rPr>
        <w:t>（4）</w:t>
      </w:r>
      <w:r>
        <w:rPr>
          <w:rFonts w:hint="eastAsia"/>
          <w:b/>
          <w:bCs/>
          <w:lang w:val="zh-CN"/>
        </w:rPr>
        <w:t>投标人承诺函</w:t>
      </w:r>
      <w:bookmarkEnd w:id="96"/>
      <w:bookmarkEnd w:id="97"/>
      <w:bookmarkEnd w:id="98"/>
      <w:bookmarkEnd w:id="99"/>
      <w:bookmarkEnd w:id="100"/>
      <w:bookmarkEnd w:id="101"/>
      <w:bookmarkEnd w:id="102"/>
    </w:p>
    <w:p w14:paraId="6A0139F5">
      <w:pPr>
        <w:autoSpaceDE w:val="0"/>
        <w:autoSpaceDN w:val="0"/>
        <w:spacing w:line="520" w:lineRule="exact"/>
        <w:rPr>
          <w:rFonts w:ascii="宋体" w:hAnsi="宋体" w:cs="宋体"/>
          <w:color w:val="000000"/>
          <w:kern w:val="0"/>
          <w:sz w:val="28"/>
          <w:szCs w:val="28"/>
          <w:lang w:val="zh-CN"/>
        </w:rPr>
      </w:pPr>
    </w:p>
    <w:p w14:paraId="31284504">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14:paraId="21EDDCBD">
      <w:pPr>
        <w:autoSpaceDE w:val="0"/>
        <w:autoSpaceDN w:val="0"/>
        <w:spacing w:line="520" w:lineRule="exact"/>
        <w:rPr>
          <w:rFonts w:ascii="宋体" w:hAnsi="宋体" w:cs="宋体"/>
          <w:b/>
          <w:bCs/>
          <w:color w:val="000000"/>
          <w:kern w:val="0"/>
          <w:lang w:val="zh-CN"/>
        </w:rPr>
      </w:pPr>
      <w:r>
        <w:rPr>
          <w:rFonts w:hint="eastAsia" w:ascii="宋体" w:hAnsi="宋体" w:cs="宋体"/>
          <w:b/>
          <w:bCs/>
          <w:color w:val="000000"/>
          <w:kern w:val="0"/>
          <w:lang w:val="zh-CN"/>
        </w:rPr>
        <w:t>致：采购人或者采购代理机构</w:t>
      </w:r>
    </w:p>
    <w:p w14:paraId="1FF471CE">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关于贵方202</w:t>
      </w:r>
      <w:r>
        <w:rPr>
          <w:rFonts w:hint="eastAsia" w:ascii="宋体" w:hAnsi="宋体" w:cs="宋体"/>
          <w:color w:val="000000"/>
          <w:kern w:val="0"/>
          <w:lang w:val="en-US" w:eastAsia="zh-CN"/>
        </w:rPr>
        <w:t>5</w:t>
      </w:r>
      <w:r>
        <w:rPr>
          <w:rFonts w:hint="eastAsia" w:ascii="宋体" w:hAnsi="宋体" w:cs="宋体"/>
          <w:color w:val="000000"/>
          <w:kern w:val="0"/>
          <w:lang w:val="zh-CN"/>
        </w:rPr>
        <w:t>年</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月</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日          (项目名称)采购项目，本签字人愿意参加投标，提供采购一览表中要求的所有产品，并证实提交的所有资料是准确的和真实的。同时，我代表（投标人名称），在此作如下承诺：</w:t>
      </w:r>
    </w:p>
    <w:p w14:paraId="72529352">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14:paraId="7E1DADA5">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11E16F1A">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14:paraId="2E858F62">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14:paraId="3454D878">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14:paraId="42B8D7A7">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14:paraId="1967D0C5">
      <w:pPr>
        <w:autoSpaceDE w:val="0"/>
        <w:autoSpaceDN w:val="0"/>
        <w:spacing w:line="520" w:lineRule="exact"/>
        <w:rPr>
          <w:rFonts w:ascii="宋体" w:hAnsi="宋体" w:cs="宋体"/>
          <w:color w:val="000000"/>
          <w:kern w:val="0"/>
          <w:lang w:val="zh-CN"/>
        </w:rPr>
      </w:pPr>
    </w:p>
    <w:p w14:paraId="08C303DC">
      <w:pPr>
        <w:autoSpaceDE w:val="0"/>
        <w:autoSpaceDN w:val="0"/>
        <w:spacing w:line="520" w:lineRule="exact"/>
        <w:jc w:val="center"/>
        <w:rPr>
          <w:rFonts w:ascii="宋体" w:hAnsi="宋体" w:cs="宋体"/>
          <w:b/>
          <w:bCs/>
          <w:color w:val="000000"/>
          <w:kern w:val="0"/>
          <w:lang w:val="zh-CN"/>
        </w:rPr>
      </w:pPr>
      <w:r>
        <w:rPr>
          <w:rFonts w:hint="eastAsia" w:ascii="宋体" w:hAnsi="宋体" w:cs="宋体"/>
          <w:b/>
          <w:color w:val="000000"/>
        </w:rPr>
        <w:t>供应商</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7038E79">
      <w:pPr>
        <w:autoSpaceDE w:val="0"/>
        <w:autoSpaceDN w:val="0"/>
        <w:spacing w:line="520" w:lineRule="exact"/>
        <w:jc w:val="center"/>
        <w:rPr>
          <w:rFonts w:ascii="宋体" w:hAnsi="宋体" w:cs="宋体"/>
          <w:b/>
          <w:bCs/>
          <w:color w:val="000000"/>
          <w:kern w:val="0"/>
          <w:lang w:val="zh-CN"/>
        </w:rPr>
      </w:pPr>
      <w:r>
        <w:rPr>
          <w:rFonts w:hint="eastAsia" w:ascii="宋体" w:hAnsi="宋体" w:cs="宋体"/>
          <w:b/>
          <w:color w:val="000000"/>
        </w:rPr>
        <w:t>法定代表人（非法人组织的负责人）或委托代理人</w:t>
      </w:r>
      <w:r>
        <w:rPr>
          <w:rFonts w:hint="eastAsia" w:ascii="宋体" w:hAnsi="宋体" w:cs="宋体"/>
          <w:b/>
          <w:bCs/>
          <w:color w:val="000000"/>
          <w:kern w:val="0"/>
          <w:lang w:val="zh-CN"/>
        </w:rPr>
        <w:t>：        （签字或盖章）</w:t>
      </w:r>
    </w:p>
    <w:p w14:paraId="5EE695C1">
      <w:pPr>
        <w:autoSpaceDE w:val="0"/>
        <w:autoSpaceDN w:val="0"/>
        <w:spacing w:line="520" w:lineRule="exact"/>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Start w:id="103" w:name="_Toc16017"/>
      <w:bookmarkStart w:id="104" w:name="_Toc3955"/>
      <w:bookmarkStart w:id="105" w:name="_Toc76659135"/>
      <w:bookmarkStart w:id="106" w:name="_Toc3549"/>
      <w:bookmarkStart w:id="107" w:name="_Toc19035"/>
    </w:p>
    <w:p w14:paraId="0C132E6B">
      <w:pPr>
        <w:rPr>
          <w:rFonts w:hint="eastAsia" w:ascii="宋体" w:hAnsi="宋体" w:cs="宋体"/>
          <w:b/>
          <w:bCs/>
          <w:color w:val="000000"/>
          <w:kern w:val="0"/>
          <w:lang w:val="zh-CN"/>
        </w:rPr>
      </w:pPr>
      <w:r>
        <w:rPr>
          <w:rFonts w:hint="eastAsia" w:ascii="宋体" w:hAnsi="宋体" w:cs="宋体"/>
          <w:b/>
          <w:bCs/>
          <w:color w:val="000000"/>
          <w:kern w:val="0"/>
          <w:lang w:val="zh-CN"/>
        </w:rPr>
        <w:br w:type="page"/>
      </w:r>
    </w:p>
    <w:p w14:paraId="33A98C99">
      <w:pPr>
        <w:wordWrap w:val="0"/>
        <w:outlineLvl w:val="1"/>
        <w:rPr>
          <w:rFonts w:hint="eastAsia"/>
          <w:b/>
          <w:bCs/>
          <w:lang w:val="zh-CN"/>
        </w:rPr>
      </w:pPr>
      <w:bookmarkStart w:id="108" w:name="_Toc10225"/>
      <w:bookmarkStart w:id="109" w:name="_Toc20537"/>
      <w:r>
        <w:rPr>
          <w:rFonts w:hint="eastAsia"/>
          <w:b/>
          <w:bCs/>
        </w:rPr>
        <w:t>（5）</w:t>
      </w:r>
      <w:r>
        <w:rPr>
          <w:rFonts w:hint="eastAsia"/>
          <w:b/>
          <w:bCs/>
          <w:lang w:val="zh-CN"/>
        </w:rPr>
        <w:t>投标人诚信承诺书</w:t>
      </w:r>
      <w:bookmarkEnd w:id="103"/>
      <w:bookmarkEnd w:id="104"/>
      <w:bookmarkEnd w:id="105"/>
      <w:bookmarkEnd w:id="106"/>
      <w:bookmarkEnd w:id="107"/>
      <w:bookmarkEnd w:id="108"/>
      <w:bookmarkEnd w:id="109"/>
    </w:p>
    <w:p w14:paraId="38B7B8E9">
      <w:pPr>
        <w:spacing w:line="520" w:lineRule="exact"/>
        <w:rPr>
          <w:rFonts w:ascii="宋体" w:hAnsi="宋体" w:cs="宋体"/>
          <w:color w:val="000000"/>
          <w:sz w:val="28"/>
          <w:szCs w:val="28"/>
          <w:lang w:val="zh-CN"/>
        </w:rPr>
      </w:pPr>
    </w:p>
    <w:p w14:paraId="7284548E">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14:paraId="56C91572">
      <w:pPr>
        <w:autoSpaceDE w:val="0"/>
        <w:autoSpaceDN w:val="0"/>
        <w:spacing w:line="520" w:lineRule="exact"/>
        <w:rPr>
          <w:rFonts w:ascii="宋体" w:hAnsi="宋体" w:cs="宋体"/>
          <w:color w:val="000000"/>
          <w:kern w:val="0"/>
          <w:lang w:val="zh-CN"/>
        </w:rPr>
      </w:pPr>
      <w:r>
        <w:rPr>
          <w:rFonts w:hint="eastAsia" w:ascii="宋体" w:hAnsi="宋体" w:cs="宋体"/>
          <w:b/>
          <w:bCs/>
          <w:color w:val="000000"/>
          <w:kern w:val="0"/>
          <w:lang w:val="zh-CN"/>
        </w:rPr>
        <w:t>致：采购人或者采购代理机构</w:t>
      </w:r>
    </w:p>
    <w:p w14:paraId="54DD4AD2">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14:paraId="0021D3B7">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14:paraId="1ADE5E73">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14:paraId="52D14E2A">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2D190B02">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1FF95AA6">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0B227757">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14:paraId="0A328FAA">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14:paraId="2B9FD3A6">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488F20A4">
      <w:pPr>
        <w:autoSpaceDE w:val="0"/>
        <w:autoSpaceDN w:val="0"/>
        <w:spacing w:line="520" w:lineRule="exact"/>
        <w:jc w:val="center"/>
        <w:rPr>
          <w:rFonts w:hint="eastAsia" w:ascii="宋体" w:hAnsi="宋体" w:cs="宋体"/>
          <w:b/>
          <w:color w:val="000000"/>
        </w:rPr>
      </w:pPr>
    </w:p>
    <w:p w14:paraId="6A510C7E">
      <w:pPr>
        <w:autoSpaceDE w:val="0"/>
        <w:autoSpaceDN w:val="0"/>
        <w:spacing w:line="520" w:lineRule="exact"/>
        <w:jc w:val="center"/>
        <w:rPr>
          <w:rFonts w:ascii="宋体" w:hAnsi="宋体" w:cs="宋体"/>
          <w:b/>
          <w:bCs/>
          <w:color w:val="000000"/>
          <w:kern w:val="0"/>
          <w:lang w:val="zh-CN"/>
        </w:rPr>
      </w:pPr>
      <w:r>
        <w:rPr>
          <w:rFonts w:hint="eastAsia" w:ascii="宋体" w:hAnsi="宋体" w:cs="宋体"/>
          <w:b/>
          <w:color w:val="000000"/>
        </w:rPr>
        <w:t>供应商</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A12BBEC">
      <w:pPr>
        <w:autoSpaceDE w:val="0"/>
        <w:autoSpaceDN w:val="0"/>
        <w:spacing w:line="520" w:lineRule="exact"/>
        <w:jc w:val="center"/>
        <w:rPr>
          <w:rFonts w:ascii="宋体" w:hAnsi="宋体" w:cs="宋体"/>
          <w:b/>
          <w:bCs/>
          <w:color w:val="000000"/>
          <w:kern w:val="0"/>
          <w:lang w:val="zh-CN"/>
        </w:rPr>
      </w:pPr>
      <w:r>
        <w:rPr>
          <w:rFonts w:hint="eastAsia" w:ascii="宋体" w:hAnsi="宋体" w:cs="宋体"/>
          <w:b/>
          <w:color w:val="000000"/>
        </w:rPr>
        <w:t>法定代表人（非法人组织的负责人）或委托代理人</w:t>
      </w:r>
      <w:r>
        <w:rPr>
          <w:rFonts w:hint="eastAsia" w:ascii="宋体" w:hAnsi="宋体" w:cs="宋体"/>
          <w:b/>
          <w:bCs/>
          <w:color w:val="000000"/>
          <w:kern w:val="0"/>
          <w:lang w:val="zh-CN"/>
        </w:rPr>
        <w:t>：        （签字或盖章）</w:t>
      </w:r>
    </w:p>
    <w:p w14:paraId="4801E037">
      <w:pPr>
        <w:autoSpaceDE w:val="0"/>
        <w:autoSpaceDN w:val="0"/>
        <w:spacing w:line="520" w:lineRule="exact"/>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ED33864">
      <w:pPr>
        <w:wordWrap w:val="0"/>
        <w:outlineLvl w:val="1"/>
        <w:rPr>
          <w:rFonts w:ascii="宋体" w:hAnsi="宋体" w:cs="宋体"/>
          <w:color w:val="000000"/>
          <w:lang w:val="zh-CN"/>
        </w:rPr>
      </w:pPr>
      <w:r>
        <w:rPr>
          <w:rFonts w:hint="eastAsia" w:ascii="宋体" w:hAnsi="宋体" w:cs="宋体"/>
          <w:color w:val="000000"/>
          <w:sz w:val="24"/>
          <w:lang w:val="zh-CN"/>
        </w:rPr>
        <w:br w:type="page"/>
      </w:r>
      <w:bookmarkEnd w:id="95"/>
      <w:bookmarkStart w:id="110" w:name="_Toc15658"/>
      <w:bookmarkStart w:id="111" w:name="_Toc31381"/>
      <w:bookmarkStart w:id="112" w:name="_Toc28183"/>
      <w:bookmarkStart w:id="113" w:name="_Toc19600"/>
      <w:bookmarkStart w:id="114" w:name="_Toc48"/>
      <w:bookmarkStart w:id="115" w:name="_Toc76659136"/>
      <w:bookmarkStart w:id="116" w:name="_Toc3954"/>
      <w:bookmarkStart w:id="117" w:name="_Toc8344"/>
      <w:r>
        <w:rPr>
          <w:rFonts w:hint="eastAsia"/>
          <w:b/>
          <w:bCs/>
        </w:rPr>
        <w:t>（6）</w:t>
      </w:r>
      <w:r>
        <w:rPr>
          <w:rFonts w:hint="eastAsia"/>
          <w:b/>
          <w:bCs/>
          <w:lang w:val="zh-CN"/>
        </w:rPr>
        <w:t>资格证明材料</w:t>
      </w:r>
      <w:bookmarkEnd w:id="110"/>
      <w:bookmarkEnd w:id="111"/>
      <w:bookmarkEnd w:id="112"/>
      <w:bookmarkEnd w:id="113"/>
      <w:bookmarkEnd w:id="114"/>
      <w:bookmarkEnd w:id="115"/>
      <w:bookmarkEnd w:id="116"/>
    </w:p>
    <w:p w14:paraId="3D203774">
      <w:pPr>
        <w:spacing w:line="520" w:lineRule="exact"/>
        <w:rPr>
          <w:rFonts w:ascii="宋体" w:hAnsi="宋体" w:cs="宋体"/>
          <w:color w:val="000000"/>
          <w:sz w:val="28"/>
          <w:szCs w:val="28"/>
          <w:lang w:val="zh-CN"/>
        </w:rPr>
      </w:pPr>
    </w:p>
    <w:p w14:paraId="33E02F63">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14:paraId="01F5E821">
      <w:pPr>
        <w:spacing w:line="520" w:lineRule="exact"/>
        <w:ind w:firstLine="480" w:firstLineChars="200"/>
        <w:rPr>
          <w:rFonts w:ascii="宋体" w:hAnsi="宋体" w:cs="宋体"/>
          <w:color w:val="000000"/>
        </w:rPr>
      </w:pPr>
      <w:r>
        <w:rPr>
          <w:rFonts w:hint="eastAsia" w:ascii="宋体" w:hAnsi="宋体" w:cs="宋体"/>
          <w:color w:val="000000"/>
        </w:rPr>
        <w:t>资格证明材料包括：</w:t>
      </w:r>
    </w:p>
    <w:p w14:paraId="57E458F0">
      <w:pPr>
        <w:numPr>
          <w:ilvl w:val="0"/>
          <w:numId w:val="21"/>
        </w:numPr>
        <w:spacing w:line="520" w:lineRule="exact"/>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1A5D4E33">
      <w:pPr>
        <w:spacing w:line="520" w:lineRule="exact"/>
        <w:ind w:firstLine="480" w:firstLineChars="200"/>
        <w:rPr>
          <w:rFonts w:ascii="宋体" w:hAnsi="宋体" w:cs="宋体"/>
          <w:color w:val="000000"/>
        </w:rPr>
      </w:pPr>
      <w:r>
        <w:rPr>
          <w:rFonts w:hint="eastAsia" w:ascii="宋体" w:hAnsi="宋体"/>
          <w:color w:val="000000"/>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BD05B94">
      <w:pPr>
        <w:spacing w:line="520" w:lineRule="exact"/>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14:paraId="6E47CE3E">
      <w:pPr>
        <w:spacing w:line="520" w:lineRule="exact"/>
        <w:ind w:firstLine="480" w:firstLineChars="200"/>
        <w:rPr>
          <w:rFonts w:ascii="宋体" w:hAnsi="宋体" w:cs="宋体"/>
          <w:color w:val="000000"/>
        </w:rPr>
      </w:pPr>
      <w:r>
        <w:rPr>
          <w:rFonts w:hint="eastAsia" w:ascii="宋体" w:hAnsi="宋体" w:cs="宋体"/>
          <w:color w:val="000000"/>
        </w:rPr>
        <w:t>（3）投标人认为有必要提供的其他资格证明文件。</w:t>
      </w:r>
    </w:p>
    <w:p w14:paraId="2B12A2FD">
      <w:pPr>
        <w:wordWrap w:val="0"/>
        <w:outlineLvl w:val="1"/>
        <w:rPr>
          <w:rFonts w:ascii="宋体" w:hAnsi="宋体" w:cs="宋体"/>
          <w:color w:val="000000"/>
        </w:rPr>
      </w:pPr>
      <w:r>
        <w:rPr>
          <w:rFonts w:hint="eastAsia" w:ascii="宋体" w:hAnsi="宋体" w:cs="宋体"/>
          <w:color w:val="000000"/>
          <w:sz w:val="24"/>
          <w:lang w:val="zh-CN"/>
        </w:rPr>
        <w:br w:type="page"/>
      </w:r>
      <w:bookmarkStart w:id="118" w:name="_Toc17237"/>
      <w:bookmarkStart w:id="119" w:name="_Toc14152"/>
      <w:bookmarkStart w:id="120" w:name="_Toc76659137"/>
      <w:bookmarkStart w:id="121" w:name="_Toc5308"/>
      <w:bookmarkStart w:id="122" w:name="_Toc31803"/>
      <w:bookmarkStart w:id="123" w:name="_Toc11203"/>
      <w:bookmarkStart w:id="124" w:name="_Toc22189"/>
      <w:r>
        <w:rPr>
          <w:rFonts w:hint="eastAsia"/>
          <w:b/>
          <w:bCs/>
        </w:rPr>
        <w:t>（7）</w:t>
      </w:r>
      <w:r>
        <w:rPr>
          <w:rFonts w:hint="eastAsia"/>
          <w:b/>
          <w:bCs/>
          <w:lang w:val="zh-CN"/>
        </w:rPr>
        <w:t>财务状况报告，依法缴纳税收和社会保障资金的相关材料</w:t>
      </w:r>
      <w:bookmarkEnd w:id="118"/>
      <w:bookmarkEnd w:id="119"/>
      <w:bookmarkEnd w:id="120"/>
      <w:bookmarkEnd w:id="121"/>
      <w:bookmarkEnd w:id="122"/>
      <w:bookmarkEnd w:id="123"/>
      <w:bookmarkEnd w:id="124"/>
    </w:p>
    <w:p w14:paraId="238CDAF7">
      <w:pPr>
        <w:autoSpaceDE w:val="0"/>
        <w:autoSpaceDN w:val="0"/>
        <w:spacing w:line="520" w:lineRule="exact"/>
        <w:rPr>
          <w:rFonts w:ascii="宋体" w:hAnsi="宋体" w:cs="宋体"/>
          <w:color w:val="000000"/>
          <w:kern w:val="0"/>
          <w:sz w:val="28"/>
          <w:szCs w:val="28"/>
          <w:lang w:val="zh-CN"/>
        </w:rPr>
      </w:pPr>
    </w:p>
    <w:p w14:paraId="45BD7699">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14:paraId="52DD6A81">
      <w:pPr>
        <w:autoSpaceDE w:val="0"/>
        <w:autoSpaceDN w:val="0"/>
        <w:spacing w:line="520" w:lineRule="exact"/>
        <w:rPr>
          <w:rFonts w:ascii="宋体" w:hAnsi="宋体" w:cs="宋体"/>
          <w:color w:val="000000"/>
          <w:kern w:val="0"/>
          <w:sz w:val="28"/>
          <w:szCs w:val="28"/>
          <w:lang w:val="zh-CN"/>
        </w:rPr>
      </w:pPr>
    </w:p>
    <w:p w14:paraId="66EBE7E3">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14:paraId="35666893">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基本开户银行近三个月内出具的资信证明或</w:t>
      </w:r>
      <w:r>
        <w:rPr>
          <w:rFonts w:hint="eastAsia" w:ascii="宋体" w:hAnsi="宋体" w:cs="宋体"/>
          <w:color w:val="auto"/>
          <w:kern w:val="0"/>
        </w:rPr>
        <w:t>202</w:t>
      </w:r>
      <w:r>
        <w:rPr>
          <w:rFonts w:hint="eastAsia" w:ascii="宋体" w:hAnsi="宋体" w:cs="宋体"/>
          <w:color w:val="auto"/>
          <w:kern w:val="0"/>
          <w:lang w:val="en-US" w:eastAsia="zh-CN"/>
        </w:rPr>
        <w:t>3</w:t>
      </w:r>
      <w:r>
        <w:rPr>
          <w:rFonts w:hint="eastAsia" w:ascii="宋体" w:hAnsi="宋体" w:cs="宋体"/>
          <w:color w:val="auto"/>
          <w:kern w:val="0"/>
        </w:rPr>
        <w:t>年度</w:t>
      </w:r>
      <w:r>
        <w:rPr>
          <w:rFonts w:hint="eastAsia" w:ascii="宋体" w:hAnsi="宋体" w:cs="宋体"/>
          <w:color w:val="auto"/>
          <w:kern w:val="0"/>
          <w:lang w:eastAsia="zh-CN"/>
        </w:rPr>
        <w:t>（</w:t>
      </w:r>
      <w:r>
        <w:rPr>
          <w:rFonts w:hint="eastAsia" w:ascii="宋体" w:hAnsi="宋体" w:cs="宋体"/>
          <w:color w:val="auto"/>
          <w:kern w:val="0"/>
          <w:lang w:val="en-US" w:eastAsia="zh-CN"/>
        </w:rPr>
        <w:t>或2024年度</w:t>
      </w:r>
      <w:r>
        <w:rPr>
          <w:rFonts w:hint="eastAsia" w:ascii="宋体" w:hAnsi="宋体" w:cs="宋体"/>
          <w:color w:val="auto"/>
          <w:kern w:val="0"/>
          <w:lang w:eastAsia="zh-CN"/>
        </w:rPr>
        <w:t>）</w:t>
      </w:r>
      <w:r>
        <w:rPr>
          <w:rFonts w:hint="eastAsia" w:ascii="宋体" w:hAnsi="宋体"/>
          <w:color w:val="000000"/>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olor w:val="000000"/>
        </w:rPr>
        <w:t>投标人是其他组织和自然人，没有经审计的财务报告，可以提供基本开户银行出具的资信证明。</w:t>
      </w:r>
    </w:p>
    <w:p w14:paraId="2A7FDD60">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2、近半年内任意一个月的依法缴纳税收和社会保障资金记录的证明材料；依法免税或不需要缴纳社会保障资金的投标人须提供相应文件证明其依法免税或不需要缴纳社会保障资金。</w:t>
      </w:r>
    </w:p>
    <w:p w14:paraId="34F1A892">
      <w:pPr>
        <w:wordWrap w:val="0"/>
        <w:outlineLvl w:val="1"/>
        <w:rPr>
          <w:rFonts w:ascii="宋体" w:hAnsi="宋体" w:cs="宋体"/>
          <w:color w:val="000000"/>
        </w:rPr>
      </w:pPr>
      <w:r>
        <w:rPr>
          <w:rFonts w:hint="eastAsia" w:ascii="宋体" w:hAnsi="宋体" w:cs="宋体"/>
          <w:color w:val="000000"/>
          <w:sz w:val="24"/>
          <w:lang w:val="zh-CN"/>
        </w:rPr>
        <w:br w:type="page"/>
      </w:r>
      <w:bookmarkEnd w:id="117"/>
      <w:bookmarkStart w:id="125" w:name="_Toc76659138"/>
      <w:bookmarkStart w:id="126" w:name="_Toc22255"/>
      <w:bookmarkStart w:id="127" w:name="_Toc30153"/>
      <w:bookmarkStart w:id="128" w:name="_Toc30559"/>
      <w:bookmarkStart w:id="129" w:name="_Toc24853"/>
      <w:bookmarkStart w:id="130" w:name="_Toc28901"/>
      <w:bookmarkStart w:id="131" w:name="_Toc28536"/>
      <w:bookmarkStart w:id="132" w:name="_Toc21530"/>
      <w:r>
        <w:rPr>
          <w:rFonts w:hint="eastAsia"/>
          <w:b/>
          <w:bCs/>
        </w:rPr>
        <w:t>（8）</w:t>
      </w:r>
      <w:r>
        <w:rPr>
          <w:rFonts w:hint="eastAsia"/>
          <w:b/>
          <w:bCs/>
          <w:lang w:val="zh-CN"/>
        </w:rPr>
        <w:t>具备履行合同所必需的设备和专业技术能力的证明材料</w:t>
      </w:r>
      <w:bookmarkEnd w:id="125"/>
      <w:bookmarkEnd w:id="126"/>
      <w:bookmarkEnd w:id="127"/>
      <w:bookmarkEnd w:id="128"/>
      <w:bookmarkEnd w:id="129"/>
      <w:bookmarkEnd w:id="130"/>
      <w:bookmarkEnd w:id="131"/>
    </w:p>
    <w:p w14:paraId="16A678BF">
      <w:pPr>
        <w:autoSpaceDE w:val="0"/>
        <w:autoSpaceDN w:val="0"/>
        <w:spacing w:line="520" w:lineRule="exact"/>
        <w:rPr>
          <w:rFonts w:ascii="宋体" w:hAnsi="宋体" w:cs="宋体"/>
          <w:color w:val="000000"/>
          <w:kern w:val="0"/>
          <w:sz w:val="28"/>
          <w:szCs w:val="28"/>
          <w:lang w:val="zh-CN"/>
        </w:rPr>
      </w:pPr>
    </w:p>
    <w:p w14:paraId="74364C18">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14:paraId="50F0E576">
      <w:pPr>
        <w:autoSpaceDE w:val="0"/>
        <w:autoSpaceDN w:val="0"/>
        <w:spacing w:line="520" w:lineRule="exact"/>
        <w:ind w:firstLine="480"/>
        <w:rPr>
          <w:rFonts w:ascii="宋体" w:hAnsi="宋体" w:cs="宋体"/>
          <w:color w:val="000000"/>
          <w:kern w:val="0"/>
          <w:lang w:val="zh-CN"/>
        </w:rPr>
      </w:pPr>
    </w:p>
    <w:p w14:paraId="28C3D05E">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w:t>
      </w:r>
      <w:r>
        <w:rPr>
          <w:rFonts w:hint="eastAsia" w:ascii="宋体" w:hAnsi="宋体" w:cs="宋体"/>
          <w:color w:val="000000"/>
          <w:kern w:val="0"/>
          <w:lang w:val="en-US" w:eastAsia="zh-CN"/>
        </w:rPr>
        <w:t>或</w:t>
      </w:r>
      <w:r>
        <w:rPr>
          <w:rFonts w:hint="eastAsia" w:ascii="宋体" w:hAnsi="宋体" w:cs="宋体"/>
          <w:color w:val="000000"/>
          <w:kern w:val="0"/>
          <w:lang w:val="zh-CN"/>
        </w:rPr>
        <w:t>用工合同等证明材料</w:t>
      </w:r>
    </w:p>
    <w:p w14:paraId="7C622AE8">
      <w:pPr>
        <w:wordWrap w:val="0"/>
        <w:outlineLvl w:val="1"/>
        <w:rPr>
          <w:rFonts w:hint="eastAsia"/>
          <w:b/>
          <w:bCs/>
        </w:rPr>
      </w:pPr>
      <w:r>
        <w:rPr>
          <w:rFonts w:hint="eastAsia" w:ascii="宋体" w:hAnsi="宋体" w:cs="宋体"/>
          <w:color w:val="000000"/>
          <w:sz w:val="24"/>
          <w:lang w:val="zh-CN"/>
        </w:rPr>
        <w:br w:type="page"/>
      </w:r>
      <w:bookmarkStart w:id="133" w:name="_Toc76659139"/>
      <w:bookmarkStart w:id="134" w:name="_Toc12526"/>
      <w:bookmarkStart w:id="135" w:name="_Toc61"/>
      <w:bookmarkStart w:id="136" w:name="_Toc14528"/>
      <w:bookmarkStart w:id="137" w:name="_Toc6637"/>
      <w:bookmarkStart w:id="138" w:name="_Toc19364"/>
      <w:bookmarkStart w:id="139" w:name="_Toc13112"/>
      <w:r>
        <w:rPr>
          <w:rFonts w:hint="eastAsia"/>
          <w:b/>
          <w:bCs/>
        </w:rPr>
        <w:t>（9）</w:t>
      </w:r>
      <w:r>
        <w:rPr>
          <w:rFonts w:hint="eastAsia"/>
          <w:b/>
          <w:bCs/>
          <w:lang w:val="zh-CN"/>
        </w:rPr>
        <w:t>无重大违法记录声明</w:t>
      </w:r>
      <w:bookmarkEnd w:id="133"/>
      <w:bookmarkEnd w:id="134"/>
      <w:bookmarkEnd w:id="135"/>
      <w:bookmarkEnd w:id="136"/>
      <w:bookmarkEnd w:id="137"/>
      <w:bookmarkEnd w:id="138"/>
      <w:bookmarkEnd w:id="139"/>
    </w:p>
    <w:p w14:paraId="6D64B88E">
      <w:pPr>
        <w:autoSpaceDE w:val="0"/>
        <w:autoSpaceDN w:val="0"/>
        <w:spacing w:line="520" w:lineRule="exact"/>
        <w:rPr>
          <w:rFonts w:ascii="宋体" w:hAnsi="宋体" w:cs="宋体"/>
          <w:color w:val="000000"/>
          <w:kern w:val="0"/>
          <w:sz w:val="28"/>
          <w:szCs w:val="28"/>
          <w:lang w:val="zh-CN"/>
        </w:rPr>
      </w:pPr>
    </w:p>
    <w:p w14:paraId="139EDD3F">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14:paraId="6DD11686">
      <w:pPr>
        <w:spacing w:line="520" w:lineRule="exact"/>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采购人或者采购代理机构</w:t>
      </w:r>
    </w:p>
    <w:p w14:paraId="2CD22EEF">
      <w:pPr>
        <w:spacing w:line="520" w:lineRule="exact"/>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38917D58">
      <w:pPr>
        <w:spacing w:line="520" w:lineRule="exact"/>
        <w:ind w:firstLine="480" w:firstLineChars="200"/>
        <w:rPr>
          <w:rFonts w:ascii="宋体" w:hAnsi="宋体" w:cs="宋体"/>
          <w:color w:val="000000"/>
        </w:rPr>
      </w:pPr>
      <w:r>
        <w:rPr>
          <w:rFonts w:hint="eastAsia" w:ascii="宋体" w:hAnsi="宋体" w:cs="宋体"/>
          <w:color w:val="000000"/>
        </w:rPr>
        <w:t>特此声明。</w:t>
      </w:r>
    </w:p>
    <w:p w14:paraId="2DEAC9A0">
      <w:pPr>
        <w:autoSpaceDE w:val="0"/>
        <w:autoSpaceDN w:val="0"/>
        <w:spacing w:line="520" w:lineRule="exact"/>
        <w:jc w:val="left"/>
        <w:rPr>
          <w:rFonts w:ascii="宋体" w:hAnsi="宋体" w:cs="宋体"/>
          <w:color w:val="000000"/>
          <w:kern w:val="0"/>
          <w:lang w:val="zh-CN"/>
        </w:rPr>
      </w:pPr>
    </w:p>
    <w:p w14:paraId="15ECECBB">
      <w:pPr>
        <w:autoSpaceDE w:val="0"/>
        <w:autoSpaceDN w:val="0"/>
        <w:spacing w:line="520" w:lineRule="exact"/>
        <w:ind w:firstLine="480" w:firstLineChars="200"/>
        <w:jc w:val="left"/>
        <w:rPr>
          <w:rFonts w:ascii="宋体" w:hAnsi="宋体" w:cs="宋体"/>
          <w:color w:val="000000"/>
        </w:rPr>
      </w:pPr>
    </w:p>
    <w:p w14:paraId="6A62FCD8">
      <w:pPr>
        <w:autoSpaceDE w:val="0"/>
        <w:autoSpaceDN w:val="0"/>
        <w:spacing w:line="520" w:lineRule="exact"/>
        <w:jc w:val="left"/>
        <w:rPr>
          <w:rFonts w:ascii="宋体" w:hAnsi="宋体" w:cs="宋体"/>
          <w:color w:val="000000"/>
          <w:kern w:val="0"/>
        </w:rPr>
      </w:pPr>
    </w:p>
    <w:p w14:paraId="2BD621E0">
      <w:pPr>
        <w:autoSpaceDE w:val="0"/>
        <w:autoSpaceDN w:val="0"/>
        <w:spacing w:line="520" w:lineRule="exact"/>
        <w:jc w:val="left"/>
        <w:rPr>
          <w:rFonts w:ascii="宋体" w:hAnsi="宋体" w:cs="宋体"/>
          <w:color w:val="000000"/>
          <w:kern w:val="0"/>
        </w:rPr>
      </w:pPr>
    </w:p>
    <w:p w14:paraId="27A3EC5C">
      <w:pPr>
        <w:autoSpaceDE w:val="0"/>
        <w:autoSpaceDN w:val="0"/>
        <w:spacing w:line="520" w:lineRule="exact"/>
        <w:jc w:val="left"/>
        <w:rPr>
          <w:rFonts w:ascii="宋体" w:hAnsi="宋体" w:cs="宋体"/>
          <w:color w:val="000000"/>
          <w:kern w:val="0"/>
        </w:rPr>
      </w:pPr>
    </w:p>
    <w:p w14:paraId="1FF20A9E">
      <w:pPr>
        <w:autoSpaceDE w:val="0"/>
        <w:autoSpaceDN w:val="0"/>
        <w:spacing w:line="520" w:lineRule="exact"/>
        <w:jc w:val="left"/>
        <w:rPr>
          <w:rFonts w:ascii="宋体" w:hAnsi="宋体" w:cs="宋体"/>
          <w:color w:val="000000"/>
          <w:kern w:val="0"/>
        </w:rPr>
      </w:pPr>
    </w:p>
    <w:p w14:paraId="59811128">
      <w:pPr>
        <w:autoSpaceDE w:val="0"/>
        <w:autoSpaceDN w:val="0"/>
        <w:spacing w:line="520" w:lineRule="exact"/>
        <w:jc w:val="center"/>
        <w:rPr>
          <w:rFonts w:ascii="宋体" w:hAnsi="宋体" w:cs="宋体"/>
          <w:b/>
          <w:bCs/>
          <w:color w:val="000000"/>
          <w:kern w:val="0"/>
          <w:lang w:val="zh-CN"/>
        </w:rPr>
      </w:pPr>
      <w:r>
        <w:rPr>
          <w:rFonts w:hint="eastAsia" w:ascii="宋体" w:hAnsi="宋体" w:cs="宋体"/>
          <w:b/>
          <w:color w:val="000000"/>
        </w:rPr>
        <w:t>供应商</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497BFA7">
      <w:pPr>
        <w:autoSpaceDE w:val="0"/>
        <w:autoSpaceDN w:val="0"/>
        <w:spacing w:line="520" w:lineRule="exact"/>
        <w:jc w:val="center"/>
        <w:rPr>
          <w:rFonts w:ascii="宋体" w:hAnsi="宋体" w:cs="宋体"/>
          <w:b/>
          <w:bCs/>
          <w:color w:val="000000"/>
          <w:kern w:val="0"/>
          <w:lang w:val="zh-CN"/>
        </w:rPr>
      </w:pPr>
      <w:r>
        <w:rPr>
          <w:rFonts w:hint="eastAsia" w:ascii="宋体" w:hAnsi="宋体" w:cs="宋体"/>
          <w:b/>
          <w:color w:val="000000"/>
        </w:rPr>
        <w:t>法定代表人（非法人组织的负责人）或委托代理人</w:t>
      </w:r>
      <w:r>
        <w:rPr>
          <w:rFonts w:hint="eastAsia" w:ascii="宋体" w:hAnsi="宋体" w:cs="宋体"/>
          <w:b/>
          <w:bCs/>
          <w:color w:val="000000"/>
          <w:kern w:val="0"/>
          <w:lang w:val="zh-CN"/>
        </w:rPr>
        <w:t>：        （签字或盖章）</w:t>
      </w:r>
    </w:p>
    <w:p w14:paraId="6B93E064">
      <w:pPr>
        <w:autoSpaceDE w:val="0"/>
        <w:autoSpaceDN w:val="0"/>
        <w:spacing w:line="520" w:lineRule="exact"/>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042E4AB">
      <w:pPr>
        <w:wordWrap w:val="0"/>
        <w:outlineLvl w:val="1"/>
        <w:rPr>
          <w:rFonts w:hint="eastAsia" w:ascii="Times New Roman" w:hAnsi="Times New Roman"/>
          <w:kern w:val="2"/>
          <w:sz w:val="21"/>
          <w:szCs w:val="24"/>
          <w:lang w:val="zh-CN"/>
        </w:rPr>
      </w:pPr>
      <w:r>
        <w:rPr>
          <w:rFonts w:hint="eastAsia" w:ascii="宋体" w:hAnsi="宋体" w:cs="宋体"/>
          <w:color w:val="000000"/>
          <w:lang w:val="zh-CN"/>
        </w:rPr>
        <w:br w:type="page"/>
      </w:r>
      <w:bookmarkStart w:id="140" w:name="_Toc22314"/>
      <w:bookmarkStart w:id="141" w:name="_Toc8748"/>
      <w:bookmarkStart w:id="142" w:name="_Toc76659140"/>
      <w:bookmarkStart w:id="143" w:name="_Toc29764"/>
      <w:bookmarkStart w:id="144" w:name="_Toc5317"/>
      <w:bookmarkStart w:id="145" w:name="_Toc26377"/>
      <w:bookmarkStart w:id="146" w:name="_Toc4429"/>
      <w:bookmarkStart w:id="147" w:name="_Toc14131"/>
      <w:r>
        <w:rPr>
          <w:rFonts w:hint="eastAsia"/>
          <w:b/>
          <w:bCs/>
        </w:rPr>
        <w:t>（10）</w:t>
      </w:r>
      <w:r>
        <w:rPr>
          <w:rFonts w:hint="eastAsia"/>
          <w:b/>
          <w:bCs/>
          <w:lang w:val="zh-CN"/>
        </w:rPr>
        <w:t>磋商保证金证明</w:t>
      </w:r>
      <w:bookmarkEnd w:id="140"/>
      <w:bookmarkEnd w:id="141"/>
      <w:bookmarkEnd w:id="142"/>
      <w:bookmarkEnd w:id="143"/>
      <w:bookmarkEnd w:id="144"/>
      <w:bookmarkEnd w:id="145"/>
      <w:bookmarkEnd w:id="146"/>
      <w:r>
        <w:rPr>
          <w:rFonts w:hint="eastAsia"/>
          <w:b/>
          <w:bCs/>
          <w:lang w:val="zh-CN"/>
        </w:rPr>
        <w:t>（</w:t>
      </w:r>
      <w:r>
        <w:rPr>
          <w:rFonts w:hint="eastAsia"/>
          <w:b/>
          <w:bCs/>
          <w:lang w:val="en-US" w:eastAsia="zh-CN"/>
        </w:rPr>
        <w:t>本项目不适用</w:t>
      </w:r>
      <w:r>
        <w:rPr>
          <w:rFonts w:hint="eastAsia"/>
          <w:b/>
          <w:bCs/>
          <w:lang w:val="zh-CN"/>
        </w:rPr>
        <w:t>）</w:t>
      </w:r>
      <w:bookmarkEnd w:id="147"/>
    </w:p>
    <w:p w14:paraId="2573EB4D">
      <w:pPr>
        <w:spacing w:line="520" w:lineRule="exact"/>
        <w:rPr>
          <w:rFonts w:ascii="宋体" w:hAnsi="宋体" w:cs="宋体"/>
          <w:color w:val="000000"/>
          <w:sz w:val="28"/>
          <w:szCs w:val="28"/>
          <w:lang w:val="zh-CN"/>
        </w:rPr>
      </w:pPr>
    </w:p>
    <w:p w14:paraId="056436F7">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磋商保证金证明</w:t>
      </w:r>
    </w:p>
    <w:p w14:paraId="31AA8ACD">
      <w:pPr>
        <w:autoSpaceDE w:val="0"/>
        <w:autoSpaceDN w:val="0"/>
        <w:spacing w:line="520" w:lineRule="exact"/>
        <w:rPr>
          <w:rFonts w:ascii="宋体" w:hAnsi="宋体" w:cs="宋体"/>
          <w:b/>
          <w:bCs/>
          <w:color w:val="000000"/>
          <w:kern w:val="0"/>
          <w:lang w:val="zh-CN"/>
        </w:rPr>
      </w:pPr>
      <w:r>
        <w:rPr>
          <w:rFonts w:hint="eastAsia" w:ascii="宋体" w:hAnsi="宋体" w:cs="宋体"/>
          <w:b/>
          <w:bCs/>
          <w:color w:val="000000"/>
          <w:kern w:val="0"/>
          <w:lang w:val="zh-CN"/>
        </w:rPr>
        <w:t>致：采购人或者采购代理机构</w:t>
      </w:r>
    </w:p>
    <w:p w14:paraId="3C0754AA">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日以转账方式汇入你方账户。</w:t>
      </w:r>
    </w:p>
    <w:p w14:paraId="4AE83258">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14:paraId="0A19C7C5">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32AF53EE">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户    名：</w:t>
      </w:r>
    </w:p>
    <w:p w14:paraId="2F521DF4">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开户银行：</w:t>
      </w:r>
    </w:p>
    <w:p w14:paraId="2743E97A">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开户帐号：</w:t>
      </w:r>
    </w:p>
    <w:p w14:paraId="5FCC70E1">
      <w:pPr>
        <w:autoSpaceDE w:val="0"/>
        <w:autoSpaceDN w:val="0"/>
        <w:spacing w:line="520" w:lineRule="exact"/>
        <w:ind w:firstLine="360"/>
        <w:rPr>
          <w:rFonts w:ascii="宋体" w:hAnsi="宋体" w:cs="宋体"/>
          <w:color w:val="000000"/>
          <w:kern w:val="0"/>
          <w:lang w:val="zh-CN"/>
        </w:rPr>
      </w:pPr>
    </w:p>
    <w:p w14:paraId="18A126AF">
      <w:pPr>
        <w:autoSpaceDE w:val="0"/>
        <w:autoSpaceDN w:val="0"/>
        <w:spacing w:line="520" w:lineRule="exact"/>
        <w:ind w:firstLine="360"/>
        <w:rPr>
          <w:rFonts w:ascii="宋体" w:hAnsi="宋体" w:cs="宋体"/>
          <w:color w:val="000000"/>
          <w:kern w:val="0"/>
          <w:lang w:val="zh-CN"/>
        </w:rPr>
      </w:pPr>
    </w:p>
    <w:p w14:paraId="03673EBB">
      <w:pPr>
        <w:autoSpaceDE w:val="0"/>
        <w:autoSpaceDN w:val="0"/>
        <w:spacing w:line="520" w:lineRule="exact"/>
        <w:ind w:firstLine="360"/>
        <w:rPr>
          <w:rFonts w:ascii="宋体" w:hAnsi="宋体" w:cs="宋体"/>
          <w:color w:val="000000"/>
          <w:kern w:val="0"/>
          <w:lang w:val="zh-CN"/>
        </w:rPr>
      </w:pPr>
    </w:p>
    <w:p w14:paraId="0F19E24D">
      <w:pPr>
        <w:autoSpaceDE w:val="0"/>
        <w:autoSpaceDN w:val="0"/>
        <w:spacing w:line="520" w:lineRule="exact"/>
        <w:jc w:val="center"/>
        <w:rPr>
          <w:rFonts w:ascii="宋体" w:hAnsi="宋体" w:cs="宋体"/>
          <w:b/>
          <w:bCs/>
          <w:color w:val="000000"/>
          <w:kern w:val="0"/>
          <w:lang w:val="zh-CN"/>
        </w:rPr>
      </w:pPr>
      <w:r>
        <w:rPr>
          <w:rFonts w:hint="eastAsia" w:ascii="宋体" w:hAnsi="宋体" w:cs="宋体"/>
          <w:b/>
          <w:color w:val="000000"/>
        </w:rPr>
        <w:t>供应商</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61B2D33">
      <w:pPr>
        <w:autoSpaceDE w:val="0"/>
        <w:autoSpaceDN w:val="0"/>
        <w:spacing w:line="520" w:lineRule="exact"/>
        <w:jc w:val="center"/>
        <w:rPr>
          <w:rFonts w:ascii="宋体" w:hAnsi="宋体" w:cs="宋体"/>
          <w:b/>
          <w:bCs/>
          <w:color w:val="000000"/>
          <w:kern w:val="0"/>
          <w:lang w:val="zh-CN"/>
        </w:rPr>
      </w:pPr>
      <w:r>
        <w:rPr>
          <w:rFonts w:hint="eastAsia" w:ascii="宋体" w:hAnsi="宋体" w:cs="宋体"/>
          <w:b/>
          <w:color w:val="000000"/>
        </w:rPr>
        <w:t>法定代表人（非法人组织的负责人）或委托代理人</w:t>
      </w:r>
      <w:r>
        <w:rPr>
          <w:rFonts w:hint="eastAsia" w:ascii="宋体" w:hAnsi="宋体" w:cs="宋体"/>
          <w:b/>
          <w:bCs/>
          <w:color w:val="000000"/>
          <w:kern w:val="0"/>
          <w:lang w:val="zh-CN"/>
        </w:rPr>
        <w:t>：        （签字或盖章）</w:t>
      </w:r>
    </w:p>
    <w:p w14:paraId="251825BC">
      <w:pPr>
        <w:autoSpaceDE w:val="0"/>
        <w:autoSpaceDN w:val="0"/>
        <w:spacing w:line="520" w:lineRule="exact"/>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500D1CA">
      <w:pPr>
        <w:autoSpaceDE w:val="0"/>
        <w:autoSpaceDN w:val="0"/>
        <w:spacing w:line="520" w:lineRule="exact"/>
        <w:rPr>
          <w:rFonts w:ascii="宋体" w:hAnsi="宋体" w:cs="宋体"/>
          <w:b/>
          <w:bCs/>
          <w:color w:val="000000"/>
          <w:kern w:val="0"/>
          <w:lang w:val="zh-CN"/>
        </w:rPr>
      </w:pPr>
    </w:p>
    <w:p w14:paraId="34998D73">
      <w:pPr>
        <w:autoSpaceDE w:val="0"/>
        <w:autoSpaceDN w:val="0"/>
        <w:spacing w:line="520" w:lineRule="exact"/>
        <w:rPr>
          <w:rFonts w:ascii="宋体" w:hAnsi="宋体" w:cs="宋体"/>
          <w:b/>
          <w:bCs/>
          <w:color w:val="000000"/>
          <w:kern w:val="0"/>
          <w:lang w:val="zh-CN"/>
        </w:rPr>
      </w:pPr>
    </w:p>
    <w:p w14:paraId="3F3E73C3">
      <w:pPr>
        <w:autoSpaceDE w:val="0"/>
        <w:autoSpaceDN w:val="0"/>
        <w:spacing w:line="520" w:lineRule="exact"/>
        <w:rPr>
          <w:rFonts w:ascii="宋体" w:hAnsi="宋体" w:cs="宋体"/>
          <w:b/>
          <w:bCs/>
          <w:color w:val="000000"/>
          <w:kern w:val="0"/>
          <w:lang w:val="zh-CN"/>
        </w:rPr>
      </w:pPr>
    </w:p>
    <w:p w14:paraId="69E40070">
      <w:pPr>
        <w:autoSpaceDE w:val="0"/>
        <w:autoSpaceDN w:val="0"/>
        <w:spacing w:line="520" w:lineRule="exact"/>
        <w:rPr>
          <w:rFonts w:ascii="宋体" w:hAnsi="宋体" w:cs="宋体"/>
          <w:b/>
          <w:bCs/>
          <w:color w:val="000000"/>
          <w:kern w:val="0"/>
          <w:lang w:val="zh-CN"/>
        </w:rPr>
      </w:pPr>
    </w:p>
    <w:p w14:paraId="30E74C4B">
      <w:pPr>
        <w:autoSpaceDE w:val="0"/>
        <w:autoSpaceDN w:val="0"/>
        <w:spacing w:line="520" w:lineRule="exact"/>
        <w:rPr>
          <w:rFonts w:ascii="宋体" w:hAnsi="宋体" w:cs="宋体"/>
          <w:b/>
          <w:bCs/>
          <w:color w:val="000000"/>
          <w:kern w:val="0"/>
          <w:lang w:val="zh-CN"/>
        </w:rPr>
      </w:pPr>
    </w:p>
    <w:bookmarkEnd w:id="132"/>
    <w:p w14:paraId="13149AD7">
      <w:pPr>
        <w:ind w:firstLine="199" w:firstLineChars="83"/>
        <w:rPr>
          <w:b/>
        </w:rPr>
      </w:pPr>
      <w:r>
        <w:rPr>
          <w:rFonts w:hint="eastAsia" w:ascii="宋体" w:hAnsi="宋体"/>
          <w:color w:val="000000"/>
          <w:kern w:val="0"/>
          <w:lang w:val="zh-CN"/>
        </w:rPr>
        <w:br w:type="page"/>
      </w:r>
      <w:r>
        <w:rPr>
          <w:rFonts w:hint="eastAsia"/>
          <w:b/>
        </w:rPr>
        <w:t>（磋商响应文件封面）</w:t>
      </w:r>
    </w:p>
    <w:p w14:paraId="36CC1258">
      <w:pPr>
        <w:ind w:firstLine="2088" w:firstLineChars="400"/>
        <w:rPr>
          <w:rFonts w:ascii="仿宋_GB2312" w:hAnsi="宋体" w:eastAsia="仿宋_GB2312"/>
          <w:b/>
          <w:sz w:val="52"/>
          <w:szCs w:val="52"/>
        </w:rPr>
      </w:pPr>
    </w:p>
    <w:p w14:paraId="20E328C3">
      <w:pPr>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74E7F0D1">
      <w:pPr>
        <w:ind w:firstLine="944" w:firstLineChars="392"/>
        <w:rPr>
          <w:rFonts w:ascii="宋体"/>
          <w:b/>
          <w:szCs w:val="21"/>
        </w:rPr>
      </w:pPr>
    </w:p>
    <w:p w14:paraId="4DA3D972">
      <w:pPr>
        <w:ind w:firstLine="2364" w:firstLineChars="327"/>
        <w:rPr>
          <w:rFonts w:ascii="宋体"/>
          <w:b/>
          <w:sz w:val="72"/>
          <w:szCs w:val="72"/>
        </w:rPr>
      </w:pPr>
    </w:p>
    <w:p w14:paraId="37889A85">
      <w:pPr>
        <w:ind w:firstLine="2364" w:firstLineChars="327"/>
        <w:rPr>
          <w:rFonts w:ascii="宋体"/>
          <w:b/>
          <w:sz w:val="72"/>
          <w:szCs w:val="72"/>
        </w:rPr>
      </w:pPr>
      <w:r>
        <w:rPr>
          <w:rFonts w:hint="eastAsia" w:ascii="宋体" w:hAnsi="宋体"/>
          <w:b/>
          <w:sz w:val="72"/>
          <w:szCs w:val="72"/>
        </w:rPr>
        <w:t>磋商响应文件</w:t>
      </w:r>
    </w:p>
    <w:p w14:paraId="1560F2C2">
      <w:pPr>
        <w:adjustRightInd w:val="0"/>
        <w:jc w:val="center"/>
        <w:textAlignment w:val="baseline"/>
        <w:rPr>
          <w:rFonts w:ascii="宋体"/>
          <w:b/>
          <w:bCs/>
          <w:sz w:val="36"/>
          <w:szCs w:val="36"/>
        </w:rPr>
      </w:pPr>
      <w:r>
        <w:rPr>
          <w:rFonts w:hint="eastAsia" w:ascii="宋体" w:hAnsi="宋体"/>
          <w:b/>
          <w:bCs/>
          <w:sz w:val="36"/>
          <w:szCs w:val="36"/>
        </w:rPr>
        <w:t>（符合性审查文件）</w:t>
      </w:r>
    </w:p>
    <w:p w14:paraId="164398F8">
      <w:pPr>
        <w:ind w:firstLine="788" w:firstLineChars="327"/>
        <w:rPr>
          <w:rFonts w:ascii="宋体"/>
          <w:b/>
        </w:rPr>
      </w:pPr>
    </w:p>
    <w:p w14:paraId="7CC403D0">
      <w:pPr>
        <w:adjustRightInd w:val="0"/>
        <w:textAlignment w:val="baseline"/>
        <w:rPr>
          <w:rFonts w:ascii="宋体"/>
          <w:b/>
          <w:bCs/>
          <w:sz w:val="32"/>
        </w:rPr>
      </w:pPr>
    </w:p>
    <w:p w14:paraId="10354D8A">
      <w:pPr>
        <w:adjustRightInd w:val="0"/>
        <w:textAlignment w:val="baseline"/>
        <w:rPr>
          <w:rFonts w:hint="eastAsia" w:asci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青海鹏杰竞磋（服务）2025-017</w:t>
      </w:r>
    </w:p>
    <w:p w14:paraId="48BD5D44">
      <w:pPr>
        <w:adjustRightInd w:val="0"/>
        <w:ind w:left="2512" w:right="-283" w:rightChars="-118" w:hanging="2512" w:hangingChars="695"/>
        <w:textAlignment w:val="baseline"/>
        <w:rPr>
          <w:rFonts w:hint="eastAsia" w:ascii="宋体" w:hAnsi="宋体"/>
          <w:b/>
          <w:sz w:val="36"/>
          <w:szCs w:val="36"/>
          <w:lang w:eastAsia="zh-CN"/>
        </w:rPr>
      </w:pPr>
      <w:r>
        <w:rPr>
          <w:rFonts w:hint="eastAsia" w:ascii="宋体" w:hAnsi="宋体"/>
          <w:b/>
          <w:bCs/>
          <w:sz w:val="36"/>
          <w:szCs w:val="36"/>
        </w:rPr>
        <w:t>采购项目名</w:t>
      </w:r>
      <w:r>
        <w:rPr>
          <w:rFonts w:hint="eastAsia" w:ascii="宋体" w:hAnsi="宋体"/>
          <w:b/>
          <w:sz w:val="36"/>
          <w:szCs w:val="36"/>
        </w:rPr>
        <w:t>称</w:t>
      </w:r>
      <w:r>
        <w:rPr>
          <w:rFonts w:ascii="宋体" w:hAnsi="宋体"/>
          <w:b/>
          <w:sz w:val="36"/>
          <w:szCs w:val="36"/>
        </w:rPr>
        <w:t xml:space="preserve">: </w:t>
      </w:r>
      <w:r>
        <w:rPr>
          <w:rFonts w:hint="eastAsia" w:ascii="宋体" w:hAnsi="宋体"/>
          <w:b/>
          <w:sz w:val="36"/>
          <w:szCs w:val="36"/>
          <w:lang w:eastAsia="zh-CN"/>
        </w:rPr>
        <w:t>湟源县17座农村污水处理站运维服务</w:t>
      </w:r>
    </w:p>
    <w:p w14:paraId="3C9E00B6">
      <w:pPr>
        <w:adjustRightInd w:val="0"/>
        <w:ind w:left="2512" w:right="-283" w:rightChars="-118" w:hanging="2512" w:hangingChars="695"/>
        <w:textAlignment w:val="baseline"/>
        <w:rPr>
          <w:rFonts w:hint="eastAsia" w:ascii="宋体" w:eastAsia="宋体"/>
          <w:b/>
          <w:sz w:val="36"/>
          <w:szCs w:val="36"/>
          <w:lang w:eastAsia="zh-CN"/>
        </w:rPr>
      </w:pPr>
      <w:r>
        <w:rPr>
          <w:rFonts w:hint="eastAsia" w:ascii="宋体" w:hAnsi="宋体"/>
          <w:b/>
          <w:sz w:val="36"/>
          <w:szCs w:val="36"/>
          <w:lang w:val="en-US" w:eastAsia="zh-CN"/>
        </w:rPr>
        <w:t>采购项目包号：</w:t>
      </w:r>
      <w:r>
        <w:rPr>
          <w:rFonts w:hint="eastAsia" w:ascii="宋体" w:hAnsi="宋体"/>
          <w:b/>
          <w:sz w:val="36"/>
          <w:szCs w:val="36"/>
          <w:lang w:eastAsia="zh-CN"/>
        </w:rPr>
        <w:t xml:space="preserve">  </w:t>
      </w:r>
    </w:p>
    <w:p w14:paraId="0EA326FA">
      <w:pPr>
        <w:adjustRightInd w:val="0"/>
        <w:ind w:right="-283" w:rightChars="-118"/>
        <w:textAlignment w:val="baseline"/>
        <w:rPr>
          <w:rFonts w:ascii="宋体"/>
          <w:b/>
          <w:bCs/>
          <w:sz w:val="36"/>
          <w:szCs w:val="36"/>
        </w:rPr>
      </w:pPr>
    </w:p>
    <w:p w14:paraId="058E66B0">
      <w:pPr>
        <w:adjustRightInd w:val="0"/>
        <w:ind w:right="-283" w:rightChars="-118"/>
        <w:textAlignment w:val="baseline"/>
        <w:rPr>
          <w:rFonts w:ascii="宋体"/>
          <w:b/>
          <w:bCs/>
          <w:sz w:val="36"/>
          <w:szCs w:val="36"/>
        </w:rPr>
      </w:pPr>
    </w:p>
    <w:p w14:paraId="5B587661">
      <w:pPr>
        <w:bidi w:val="0"/>
        <w:ind w:firstLine="2249" w:firstLineChars="800"/>
        <w:rPr>
          <w:b/>
          <w:bCs/>
          <w:sz w:val="28"/>
          <w:szCs w:val="28"/>
        </w:rPr>
      </w:pPr>
      <w:bookmarkStart w:id="148" w:name="_Toc1734"/>
      <w:r>
        <w:rPr>
          <w:rFonts w:hint="eastAsia"/>
          <w:b/>
          <w:bCs/>
          <w:sz w:val="28"/>
          <w:szCs w:val="28"/>
        </w:rPr>
        <w:t>磋商供应商：                         （公章）</w:t>
      </w:r>
      <w:bookmarkEnd w:id="148"/>
    </w:p>
    <w:p w14:paraId="0248BCDA">
      <w:pPr>
        <w:bidi w:val="0"/>
        <w:rPr>
          <w:rFonts w:hint="eastAsia"/>
          <w:b/>
          <w:bCs/>
          <w:sz w:val="28"/>
          <w:szCs w:val="28"/>
        </w:rPr>
      </w:pPr>
      <w:r>
        <w:rPr>
          <w:rFonts w:hint="eastAsia"/>
          <w:b/>
          <w:bCs/>
          <w:sz w:val="28"/>
          <w:szCs w:val="28"/>
        </w:rPr>
        <w:t>法定代表人（非法人组织的负责人）或委托代理人：        （签字或盖章）</w:t>
      </w:r>
    </w:p>
    <w:p w14:paraId="041028FB">
      <w:pPr>
        <w:bidi w:val="0"/>
        <w:ind w:firstLine="3935" w:firstLineChars="1400"/>
        <w:rPr>
          <w:b/>
          <w:bCs/>
          <w:sz w:val="28"/>
          <w:szCs w:val="28"/>
        </w:rPr>
      </w:pPr>
      <w:r>
        <w:rPr>
          <w:rFonts w:hint="eastAsia"/>
          <w:b/>
          <w:bCs/>
          <w:sz w:val="28"/>
          <w:szCs w:val="28"/>
        </w:rPr>
        <w:t>年</w:t>
      </w:r>
      <w:r>
        <w:rPr>
          <w:b/>
          <w:bCs/>
          <w:sz w:val="28"/>
          <w:szCs w:val="28"/>
        </w:rPr>
        <w:t xml:space="preserve">  </w:t>
      </w:r>
      <w:r>
        <w:rPr>
          <w:rFonts w:hint="eastAsia"/>
          <w:b/>
          <w:bCs/>
          <w:sz w:val="28"/>
          <w:szCs w:val="28"/>
        </w:rPr>
        <w:t>月</w:t>
      </w:r>
      <w:r>
        <w:rPr>
          <w:b/>
          <w:bCs/>
          <w:sz w:val="28"/>
          <w:szCs w:val="28"/>
        </w:rPr>
        <w:t xml:space="preserve">  </w:t>
      </w:r>
      <w:r>
        <w:rPr>
          <w:rFonts w:hint="eastAsia"/>
          <w:b/>
          <w:bCs/>
          <w:sz w:val="28"/>
          <w:szCs w:val="28"/>
        </w:rPr>
        <w:t>日</w:t>
      </w:r>
    </w:p>
    <w:p w14:paraId="4FBA8731">
      <w:pPr>
        <w:wordWrap w:val="0"/>
        <w:outlineLvl w:val="1"/>
        <w:rPr>
          <w:rFonts w:ascii="宋体"/>
          <w:b/>
          <w:sz w:val="28"/>
          <w:szCs w:val="28"/>
        </w:rPr>
      </w:pPr>
      <w:r>
        <w:rPr>
          <w:rFonts w:ascii="宋体"/>
          <w:b/>
          <w:sz w:val="28"/>
          <w:szCs w:val="28"/>
        </w:rPr>
        <w:br w:type="page"/>
      </w:r>
      <w:bookmarkStart w:id="149" w:name="_Toc376936769"/>
      <w:bookmarkStart w:id="150" w:name="_Toc325726038"/>
      <w:bookmarkStart w:id="151" w:name="_Toc18129"/>
      <w:bookmarkStart w:id="152" w:name="_Toc14784"/>
      <w:bookmarkStart w:id="153" w:name="_Toc496626244"/>
      <w:bookmarkStart w:id="154" w:name="_Toc20742"/>
      <w:bookmarkStart w:id="155" w:name="_Toc20247"/>
      <w:r>
        <w:rPr>
          <w:rFonts w:hint="eastAsia"/>
          <w:b/>
          <w:bCs/>
        </w:rPr>
        <w:t>（11）</w:t>
      </w:r>
      <w:bookmarkEnd w:id="149"/>
      <w:bookmarkEnd w:id="150"/>
      <w:r>
        <w:rPr>
          <w:rFonts w:hint="eastAsia"/>
          <w:b/>
          <w:bCs/>
        </w:rPr>
        <w:t>竞争性磋商首次报价表</w:t>
      </w:r>
      <w:bookmarkEnd w:id="151"/>
      <w:bookmarkEnd w:id="152"/>
      <w:bookmarkEnd w:id="153"/>
      <w:bookmarkEnd w:id="154"/>
      <w:bookmarkEnd w:id="155"/>
    </w:p>
    <w:p w14:paraId="73FA8794">
      <w:pPr>
        <w:widowControl/>
        <w:snapToGrid w:val="0"/>
        <w:jc w:val="center"/>
        <w:rPr>
          <w:rFonts w:ascii="宋体"/>
          <w:b/>
          <w:sz w:val="36"/>
          <w:szCs w:val="36"/>
        </w:rPr>
      </w:pPr>
    </w:p>
    <w:p w14:paraId="3BFF2AF9">
      <w:pPr>
        <w:ind w:firstLine="2711" w:firstLineChars="750"/>
        <w:rPr>
          <w:rFonts w:ascii="宋体"/>
          <w:b/>
          <w:sz w:val="36"/>
          <w:szCs w:val="36"/>
        </w:rPr>
      </w:pPr>
      <w:r>
        <w:rPr>
          <w:rFonts w:hint="eastAsia" w:ascii="宋体" w:hAnsi="宋体"/>
          <w:b/>
          <w:sz w:val="36"/>
          <w:szCs w:val="36"/>
        </w:rPr>
        <w:t>竞争性磋商首次报价表</w:t>
      </w:r>
    </w:p>
    <w:p w14:paraId="6EFBBF27">
      <w:pPr>
        <w:ind w:firstLine="2711" w:firstLineChars="750"/>
        <w:rPr>
          <w:rFonts w:ascii="宋体"/>
          <w:b/>
          <w:sz w:val="36"/>
          <w:szCs w:val="36"/>
        </w:rPr>
      </w:pPr>
    </w:p>
    <w:p w14:paraId="08A41639">
      <w:pPr>
        <w:autoSpaceDE w:val="0"/>
        <w:autoSpaceDN w:val="0"/>
        <w:rPr>
          <w:rFonts w:hint="default" w:ascii="宋体" w:hAnsi="宋体" w:eastAsia="宋体" w:cs="宋体"/>
          <w:b/>
          <w:bCs/>
          <w:color w:val="000000"/>
          <w:lang w:val="en-US" w:eastAsia="zh-CN"/>
        </w:rPr>
      </w:pPr>
      <w:r>
        <w:rPr>
          <w:rFonts w:hint="eastAsia" w:ascii="宋体" w:hAnsi="宋体" w:cs="宋体"/>
          <w:b/>
          <w:bCs/>
          <w:color w:val="000000"/>
          <w:lang w:val="zh-CN"/>
        </w:rPr>
        <w:t>供应商名称：</w:t>
      </w:r>
      <w:r>
        <w:rPr>
          <w:rFonts w:hint="eastAsia" w:ascii="宋体" w:hAnsi="宋体" w:cs="宋体"/>
          <w:b/>
          <w:bCs/>
          <w:color w:val="000000"/>
          <w:lang w:val="en-US" w:eastAsia="zh-CN"/>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6F5B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3B2A452D">
            <w:pPr>
              <w:pStyle w:val="9"/>
              <w:ind w:firstLine="0" w:firstLineChars="0"/>
              <w:jc w:val="center"/>
              <w:rPr>
                <w:rFonts w:ascii="宋体" w:hAnsi="宋体" w:cs="宋体"/>
                <w:color w:val="000000"/>
              </w:rPr>
            </w:pPr>
            <w:r>
              <w:rPr>
                <w:rFonts w:hint="eastAsia" w:ascii="宋体" w:hAnsi="宋体" w:cs="宋体"/>
                <w:color w:val="000000"/>
              </w:rPr>
              <w:t>项目编号</w:t>
            </w:r>
          </w:p>
        </w:tc>
        <w:tc>
          <w:tcPr>
            <w:tcW w:w="5749" w:type="dxa"/>
            <w:vAlign w:val="center"/>
          </w:tcPr>
          <w:p w14:paraId="353C8BC3">
            <w:pPr>
              <w:pStyle w:val="9"/>
              <w:ind w:firstLine="0" w:firstLineChars="0"/>
              <w:rPr>
                <w:rFonts w:ascii="宋体" w:hAnsi="宋体" w:cs="宋体"/>
                <w:color w:val="000000"/>
              </w:rPr>
            </w:pPr>
          </w:p>
        </w:tc>
      </w:tr>
      <w:tr w14:paraId="3441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3D3834E5">
            <w:pPr>
              <w:pStyle w:val="9"/>
              <w:ind w:firstLine="0" w:firstLineChars="0"/>
              <w:jc w:val="center"/>
              <w:rPr>
                <w:rFonts w:ascii="宋体" w:hAnsi="宋体" w:cs="宋体"/>
                <w:color w:val="000000"/>
              </w:rPr>
            </w:pPr>
            <w:r>
              <w:rPr>
                <w:rFonts w:hint="eastAsia" w:ascii="宋体" w:hAnsi="宋体" w:cs="宋体"/>
                <w:color w:val="000000"/>
              </w:rPr>
              <w:t>项目名称</w:t>
            </w:r>
          </w:p>
        </w:tc>
        <w:tc>
          <w:tcPr>
            <w:tcW w:w="5749" w:type="dxa"/>
            <w:vAlign w:val="center"/>
          </w:tcPr>
          <w:p w14:paraId="6FC48AAE">
            <w:pPr>
              <w:pStyle w:val="9"/>
              <w:ind w:firstLine="0" w:firstLineChars="0"/>
              <w:rPr>
                <w:rFonts w:ascii="宋体" w:hAnsi="宋体" w:cs="宋体"/>
                <w:color w:val="000000"/>
              </w:rPr>
            </w:pPr>
          </w:p>
        </w:tc>
      </w:tr>
      <w:tr w14:paraId="6C1C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C83742C">
            <w:pPr>
              <w:pStyle w:val="9"/>
              <w:ind w:firstLine="0" w:firstLineChars="0"/>
              <w:jc w:val="center"/>
              <w:rPr>
                <w:rFonts w:ascii="宋体" w:hAnsi="宋体" w:cs="宋体"/>
                <w:color w:val="000000"/>
              </w:rPr>
            </w:pPr>
            <w:r>
              <w:rPr>
                <w:rFonts w:hint="eastAsia" w:ascii="宋体" w:hAnsi="宋体" w:cs="宋体"/>
                <w:color w:val="000000"/>
              </w:rPr>
              <w:t>投标报价</w:t>
            </w:r>
          </w:p>
        </w:tc>
        <w:tc>
          <w:tcPr>
            <w:tcW w:w="5749" w:type="dxa"/>
            <w:vAlign w:val="center"/>
          </w:tcPr>
          <w:p w14:paraId="7DC01FC3">
            <w:pPr>
              <w:pStyle w:val="9"/>
              <w:ind w:firstLine="0" w:firstLineChars="0"/>
              <w:rPr>
                <w:rFonts w:ascii="宋体" w:hAnsi="宋体" w:cs="宋体"/>
                <w:color w:val="000000"/>
              </w:rPr>
            </w:pPr>
            <w:r>
              <w:rPr>
                <w:rFonts w:hint="eastAsia" w:ascii="宋体" w:hAnsi="宋体" w:cs="宋体"/>
                <w:color w:val="000000"/>
              </w:rPr>
              <w:t xml:space="preserve">小写：        </w:t>
            </w:r>
          </w:p>
          <w:p w14:paraId="6AB89EE2">
            <w:pPr>
              <w:pStyle w:val="9"/>
              <w:ind w:firstLine="0" w:firstLineChars="0"/>
              <w:rPr>
                <w:rFonts w:ascii="宋体" w:hAnsi="宋体" w:cs="宋体"/>
                <w:color w:val="000000"/>
              </w:rPr>
            </w:pPr>
            <w:r>
              <w:rPr>
                <w:rFonts w:hint="eastAsia" w:ascii="宋体" w:hAnsi="宋体" w:cs="宋体"/>
                <w:color w:val="000000"/>
              </w:rPr>
              <w:t>大写：</w:t>
            </w:r>
          </w:p>
        </w:tc>
      </w:tr>
      <w:tr w14:paraId="0882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15BF64F5">
            <w:pPr>
              <w:pStyle w:val="9"/>
              <w:ind w:firstLine="0" w:firstLineChars="0"/>
              <w:jc w:val="center"/>
              <w:rPr>
                <w:rFonts w:ascii="宋体" w:hAnsi="宋体" w:cs="宋体"/>
                <w:color w:val="000000"/>
              </w:rPr>
            </w:pPr>
            <w:r>
              <w:rPr>
                <w:rFonts w:hint="eastAsia" w:ascii="宋体" w:hAnsi="宋体" w:cs="宋体"/>
                <w:color w:val="000000"/>
              </w:rPr>
              <w:t>服务时间</w:t>
            </w:r>
          </w:p>
        </w:tc>
        <w:tc>
          <w:tcPr>
            <w:tcW w:w="5749" w:type="dxa"/>
            <w:vAlign w:val="center"/>
          </w:tcPr>
          <w:p w14:paraId="1C690AB8">
            <w:pPr>
              <w:pStyle w:val="9"/>
              <w:ind w:firstLine="0" w:firstLineChars="0"/>
              <w:rPr>
                <w:rFonts w:ascii="宋体" w:hAnsi="宋体" w:cs="宋体"/>
                <w:color w:val="000000"/>
              </w:rPr>
            </w:pPr>
          </w:p>
        </w:tc>
      </w:tr>
      <w:tr w14:paraId="26A0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6197751B">
            <w:pPr>
              <w:pStyle w:val="9"/>
              <w:ind w:firstLine="0" w:firstLineChars="0"/>
              <w:rPr>
                <w:rFonts w:ascii="宋体" w:hAnsi="宋体" w:cs="宋体"/>
                <w:color w:val="000000"/>
                <w:lang w:val="zh-CN"/>
              </w:rPr>
            </w:pPr>
            <w:r>
              <w:rPr>
                <w:rFonts w:hint="eastAsia" w:ascii="宋体" w:hAnsi="宋体" w:cs="宋体"/>
                <w:color w:val="000000"/>
                <w:lang w:val="zh-CN"/>
              </w:rPr>
              <w:t>优惠承诺及其他：</w:t>
            </w:r>
          </w:p>
          <w:p w14:paraId="37CC524D">
            <w:pPr>
              <w:pStyle w:val="9"/>
              <w:ind w:firstLine="0" w:firstLineChars="0"/>
              <w:rPr>
                <w:rFonts w:ascii="宋体" w:hAnsi="宋体" w:cs="宋体"/>
                <w:color w:val="000000"/>
                <w:lang w:val="zh-CN"/>
              </w:rPr>
            </w:pPr>
          </w:p>
          <w:p w14:paraId="4DE31465">
            <w:pPr>
              <w:pStyle w:val="9"/>
              <w:ind w:firstLine="0" w:firstLineChars="0"/>
              <w:rPr>
                <w:rFonts w:ascii="宋体" w:hAnsi="宋体" w:cs="宋体"/>
                <w:color w:val="000000"/>
                <w:lang w:val="zh-CN"/>
              </w:rPr>
            </w:pPr>
          </w:p>
        </w:tc>
      </w:tr>
    </w:tbl>
    <w:p w14:paraId="260C92EA">
      <w:pPr>
        <w:rPr>
          <w:rFonts w:ascii="宋体" w:hAnsi="宋体" w:cs="宋体"/>
          <w:lang w:val="zh-CN"/>
        </w:rPr>
      </w:pPr>
    </w:p>
    <w:p w14:paraId="030B7F32">
      <w:pPr>
        <w:ind w:firstLine="480" w:firstLineChars="200"/>
        <w:rPr>
          <w:rFonts w:ascii="宋体" w:hAnsi="宋体" w:cs="宋体"/>
          <w:color w:val="000000"/>
        </w:rPr>
      </w:pPr>
      <w:r>
        <w:rPr>
          <w:rFonts w:hint="eastAsia" w:ascii="宋体" w:hAnsi="宋体" w:cs="宋体"/>
          <w:lang w:val="zh-CN"/>
        </w:rPr>
        <w:t>注：</w:t>
      </w:r>
    </w:p>
    <w:p w14:paraId="33085E9B">
      <w:pPr>
        <w:autoSpaceDE w:val="0"/>
        <w:autoSpaceDN w:val="0"/>
        <w:ind w:firstLine="480" w:firstLineChars="200"/>
        <w:rPr>
          <w:rFonts w:ascii="宋体" w:hAnsi="宋体" w:cs="宋体"/>
          <w:color w:val="000000" w:themeColor="text1"/>
          <w:lang w:val="zh-CN"/>
          <w14:textFill>
            <w14:solidFill>
              <w14:schemeClr w14:val="tx1"/>
            </w14:solidFill>
          </w14:textFill>
        </w:rPr>
      </w:pPr>
      <w:r>
        <w:rPr>
          <w:rFonts w:hint="eastAsia" w:ascii="宋体" w:hAnsi="宋体" w:cs="宋体"/>
        </w:rPr>
        <w:t>1、</w:t>
      </w:r>
      <w:r>
        <w:rPr>
          <w:rFonts w:hint="eastAsia" w:ascii="宋体" w:hAnsi="宋体" w:cs="宋体"/>
          <w:lang w:val="zh-CN"/>
        </w:rPr>
        <w:t>“磋商报价”为磋商总价。</w:t>
      </w:r>
      <w:r>
        <w:rPr>
          <w:rFonts w:hint="eastAsia" w:hAnsi="宋体" w:cs="宋体"/>
          <w:szCs w:val="28"/>
        </w:rPr>
        <w:t>磋商报价必须包括：</w:t>
      </w:r>
      <w:r>
        <w:rPr>
          <w:rFonts w:hint="eastAsia" w:hAnsi="宋体" w:cs="宋体"/>
          <w:szCs w:val="28"/>
          <w:lang w:eastAsia="zh-CN"/>
        </w:rPr>
        <w:t>人员工资、保险、电费、 水费、药剂费、污泥处置及外用费、设备维护保养费、维修及更换零配件费、办公耗材费、 网络通讯费、化验费、取暖费、税收、招标代理费以及所有有关的管理成本和其他不可预见费等全部费用</w:t>
      </w:r>
      <w:r>
        <w:rPr>
          <w:rFonts w:hint="eastAsia" w:hAnsi="宋体" w:cs="宋体"/>
          <w:color w:val="000000" w:themeColor="text1"/>
          <w:szCs w:val="28"/>
          <w14:textFill>
            <w14:solidFill>
              <w14:schemeClr w14:val="tx1"/>
            </w14:solidFill>
          </w14:textFill>
        </w:rPr>
        <w:t>；</w:t>
      </w:r>
    </w:p>
    <w:p w14:paraId="3C2723A7">
      <w:pPr>
        <w:numPr>
          <w:ilvl w:val="0"/>
          <w:numId w:val="22"/>
        </w:numPr>
        <w:autoSpaceDE w:val="0"/>
        <w:autoSpaceDN w:val="0"/>
        <w:ind w:firstLine="480"/>
      </w:pPr>
      <w:r>
        <w:rPr>
          <w:rFonts w:hint="eastAsia" w:ascii="宋体" w:hAnsi="宋体" w:cs="宋体"/>
          <w:color w:val="000000" w:themeColor="text1"/>
          <w:lang w:val="zh-CN"/>
          <w14:textFill>
            <w14:solidFill>
              <w14:schemeClr w14:val="tx1"/>
            </w14:solidFill>
          </w14:textFill>
        </w:rPr>
        <w:t>若报价不能完全包括上述内容，</w:t>
      </w:r>
      <w:r>
        <w:rPr>
          <w:rFonts w:hint="eastAsia" w:ascii="宋体" w:hAnsi="宋体" w:cs="宋体"/>
          <w:lang w:val="zh-CN"/>
        </w:rPr>
        <w:t>该投标将被认为非实质性响应。</w:t>
      </w:r>
    </w:p>
    <w:p w14:paraId="2070103A">
      <w:pPr>
        <w:ind w:firstLine="463" w:firstLineChars="193"/>
        <w:rPr>
          <w:rFonts w:ascii="宋体" w:hAnsi="宋体" w:cs="宋体"/>
          <w:lang w:val="zh-CN"/>
        </w:rPr>
      </w:pPr>
      <w:r>
        <w:rPr>
          <w:rFonts w:hint="eastAsia" w:ascii="宋体" w:hAnsi="宋体" w:cs="宋体"/>
        </w:rPr>
        <w:t>3</w:t>
      </w:r>
      <w:r>
        <w:rPr>
          <w:rFonts w:hint="eastAsia" w:ascii="宋体" w:hAnsi="宋体" w:cs="宋体"/>
          <w:lang w:val="zh-CN"/>
        </w:rPr>
        <w:t>、磋商报价不能有两个或两个以上的报价方案。</w:t>
      </w:r>
    </w:p>
    <w:p w14:paraId="4836B60C">
      <w:pPr>
        <w:textAlignment w:val="baseline"/>
        <w:rPr>
          <w:rFonts w:ascii="宋体" w:hAnsi="宋体" w:cs="宋体"/>
          <w:color w:val="000000"/>
        </w:rPr>
      </w:pPr>
    </w:p>
    <w:p w14:paraId="5EA1DCCC">
      <w:pPr>
        <w:textAlignment w:val="baseline"/>
        <w:rPr>
          <w:rFonts w:ascii="宋体" w:hAnsi="宋体" w:cs="宋体"/>
          <w:color w:val="000000"/>
        </w:rPr>
      </w:pPr>
    </w:p>
    <w:p w14:paraId="79981C71">
      <w:pPr>
        <w:jc w:val="center"/>
        <w:rPr>
          <w:rFonts w:ascii="宋体" w:hAnsi="宋体" w:cs="宋体"/>
          <w:b/>
          <w:color w:val="000000"/>
        </w:rPr>
      </w:pPr>
      <w:r>
        <w:rPr>
          <w:rFonts w:hint="eastAsia" w:ascii="宋体" w:hAnsi="宋体" w:cs="宋体"/>
          <w:b/>
          <w:color w:val="000000"/>
        </w:rPr>
        <w:t>供应商：（公章）</w:t>
      </w:r>
    </w:p>
    <w:p w14:paraId="68677AA5">
      <w:pPr>
        <w:jc w:val="center"/>
        <w:rPr>
          <w:rFonts w:ascii="宋体" w:hAnsi="宋体" w:cs="宋体"/>
          <w:b/>
          <w:color w:val="000000"/>
        </w:rPr>
      </w:pPr>
      <w:r>
        <w:rPr>
          <w:rFonts w:hint="eastAsia" w:ascii="宋体" w:hAnsi="宋体" w:cs="宋体"/>
          <w:b/>
          <w:color w:val="000000"/>
        </w:rPr>
        <w:t>法定代表人（非法人组织的负责人）或委托代理人：（签字或盖章）</w:t>
      </w:r>
    </w:p>
    <w:p w14:paraId="0C7A547A">
      <w:pPr>
        <w:wordWrap w:val="0"/>
        <w:jc w:val="center"/>
        <w:rPr>
          <w:rFonts w:ascii="宋体" w:hAnsi="宋体" w:cs="宋体"/>
          <w:b/>
          <w:color w:val="000000"/>
        </w:rPr>
      </w:pPr>
      <w:r>
        <w:rPr>
          <w:rFonts w:hint="eastAsia" w:ascii="宋体" w:hAnsi="宋体" w:cs="宋体"/>
          <w:b/>
          <w:color w:val="000000"/>
        </w:rPr>
        <w:t>年   月  日</w:t>
      </w:r>
    </w:p>
    <w:p w14:paraId="2405FD18">
      <w:pPr>
        <w:wordWrap w:val="0"/>
        <w:outlineLvl w:val="1"/>
        <w:rPr>
          <w:rFonts w:ascii="宋体"/>
          <w:b/>
          <w:sz w:val="28"/>
          <w:szCs w:val="28"/>
        </w:rPr>
      </w:pPr>
      <w:r>
        <w:rPr>
          <w:rFonts w:ascii="宋体"/>
          <w:b/>
          <w:sz w:val="28"/>
          <w:szCs w:val="28"/>
        </w:rPr>
        <w:br w:type="page"/>
      </w:r>
      <w:bookmarkStart w:id="156" w:name="_Toc9404"/>
      <w:bookmarkStart w:id="157" w:name="_Toc25057"/>
      <w:bookmarkStart w:id="158" w:name="_Toc10053"/>
      <w:bookmarkStart w:id="159" w:name="_Toc496626245"/>
      <w:bookmarkStart w:id="160" w:name="_Toc20968"/>
      <w:r>
        <w:rPr>
          <w:rFonts w:hint="eastAsia"/>
          <w:b/>
          <w:bCs/>
        </w:rPr>
        <w:t>（12）分项报价表</w:t>
      </w:r>
      <w:bookmarkEnd w:id="156"/>
      <w:bookmarkEnd w:id="157"/>
      <w:bookmarkEnd w:id="158"/>
      <w:bookmarkEnd w:id="159"/>
      <w:bookmarkEnd w:id="160"/>
      <w:r>
        <w:rPr>
          <w:rFonts w:hint="eastAsia"/>
          <w:b/>
          <w:bCs/>
        </w:rPr>
        <w:t xml:space="preserve">    </w:t>
      </w:r>
    </w:p>
    <w:p w14:paraId="5CF60DCF">
      <w:pPr>
        <w:ind w:firstLine="3795" w:firstLineChars="1050"/>
        <w:rPr>
          <w:rFonts w:ascii="宋体" w:cs="宋体"/>
          <w:b/>
          <w:sz w:val="36"/>
          <w:szCs w:val="36"/>
        </w:rPr>
      </w:pPr>
      <w:bookmarkStart w:id="161" w:name="_Toc365019575"/>
      <w:bookmarkStart w:id="162" w:name="_Toc325726039"/>
    </w:p>
    <w:p w14:paraId="04F0C7AB">
      <w:pPr>
        <w:ind w:firstLine="3795" w:firstLineChars="1050"/>
        <w:rPr>
          <w:rFonts w:ascii="宋体" w:cs="宋体"/>
          <w:b/>
          <w:sz w:val="36"/>
          <w:szCs w:val="36"/>
        </w:rPr>
      </w:pPr>
      <w:r>
        <w:rPr>
          <w:rFonts w:hint="eastAsia" w:ascii="宋体" w:hAnsi="宋体" w:cs="宋体"/>
          <w:b/>
          <w:sz w:val="36"/>
          <w:szCs w:val="36"/>
        </w:rPr>
        <w:t>分项报价表</w:t>
      </w:r>
      <w:bookmarkEnd w:id="161"/>
      <w:bookmarkEnd w:id="162"/>
    </w:p>
    <w:p w14:paraId="75F2E748">
      <w:pPr>
        <w:rPr>
          <w:rFonts w:ascii="宋体" w:cs="宋体"/>
          <w:b/>
        </w:rPr>
      </w:pPr>
    </w:p>
    <w:p w14:paraId="087E6498">
      <w:pPr>
        <w:autoSpaceDE w:val="0"/>
        <w:autoSpaceDN w:val="0"/>
        <w:rPr>
          <w:rFonts w:ascii="宋体" w:hAnsi="宋体" w:cs="宋体"/>
          <w:color w:val="000000"/>
          <w:lang w:val="zh-CN"/>
        </w:rPr>
      </w:pPr>
      <w:bookmarkStart w:id="163" w:name="_Toc496626246"/>
      <w:bookmarkStart w:id="164" w:name="_Toc427748095"/>
      <w:r>
        <w:rPr>
          <w:rFonts w:hint="eastAsia" w:ascii="宋体" w:hAnsi="宋体" w:cs="宋体"/>
          <w:b/>
          <w:bCs/>
          <w:color w:val="000000"/>
          <w:lang w:val="zh-CN"/>
        </w:rPr>
        <w:t>供应商名称：</w:t>
      </w:r>
      <w:r>
        <w:rPr>
          <w:rFonts w:hint="eastAsia" w:ascii="宋体" w:hAnsi="宋体" w:cs="宋体"/>
          <w:b/>
          <w:bCs/>
          <w:color w:val="000000"/>
          <w:lang w:val="en-US" w:eastAsia="zh-CN"/>
        </w:rPr>
        <w:t xml:space="preserve">                                                         </w:t>
      </w:r>
    </w:p>
    <w:tbl>
      <w:tblPr>
        <w:tblStyle w:val="35"/>
        <w:tblW w:w="0" w:type="auto"/>
        <w:jc w:val="center"/>
        <w:tblLayout w:type="fixed"/>
        <w:tblCellMar>
          <w:top w:w="0" w:type="dxa"/>
          <w:left w:w="28" w:type="dxa"/>
          <w:bottom w:w="0" w:type="dxa"/>
          <w:right w:w="28" w:type="dxa"/>
        </w:tblCellMar>
      </w:tblPr>
      <w:tblGrid>
        <w:gridCol w:w="743"/>
        <w:gridCol w:w="2310"/>
        <w:gridCol w:w="2075"/>
        <w:gridCol w:w="2057"/>
        <w:gridCol w:w="2039"/>
        <w:gridCol w:w="981"/>
      </w:tblGrid>
      <w:tr w14:paraId="0BD32D35">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14:paraId="029B0D6E">
            <w:pPr>
              <w:autoSpaceDE w:val="0"/>
              <w:autoSpaceDN w:val="0"/>
              <w:jc w:val="center"/>
              <w:rPr>
                <w:rFonts w:ascii="宋体" w:hAnsi="宋体" w:cs="宋体"/>
                <w:color w:val="000000"/>
                <w:lang w:val="zh-CN"/>
              </w:rPr>
            </w:pPr>
            <w:r>
              <w:rPr>
                <w:rFonts w:hint="eastAsia" w:ascii="宋体" w:hAnsi="宋体" w:cs="宋体"/>
                <w:color w:val="000000"/>
                <w:lang w:val="zh-CN"/>
              </w:rPr>
              <w:t>序号</w:t>
            </w:r>
          </w:p>
        </w:tc>
        <w:tc>
          <w:tcPr>
            <w:tcW w:w="2310" w:type="dxa"/>
            <w:tcBorders>
              <w:top w:val="single" w:color="000000" w:sz="8" w:space="0"/>
              <w:left w:val="single" w:color="000000" w:sz="6" w:space="0"/>
              <w:bottom w:val="single" w:color="000000" w:sz="6" w:space="0"/>
              <w:right w:val="single" w:color="000000" w:sz="6" w:space="0"/>
            </w:tcBorders>
            <w:vAlign w:val="center"/>
          </w:tcPr>
          <w:p w14:paraId="48E5E1EE">
            <w:pPr>
              <w:autoSpaceDE w:val="0"/>
              <w:autoSpaceDN w:val="0"/>
              <w:jc w:val="center"/>
              <w:rPr>
                <w:rFonts w:ascii="宋体" w:hAnsi="宋体" w:cs="宋体"/>
                <w:color w:val="000000"/>
                <w:lang w:val="zh-CN"/>
              </w:rPr>
            </w:pPr>
            <w:r>
              <w:rPr>
                <w:rFonts w:hint="eastAsia" w:ascii="宋体" w:hAnsi="宋体" w:cs="宋体"/>
                <w:color w:val="000000"/>
                <w:lang w:val="zh-CN"/>
              </w:rPr>
              <w:t>服务内容</w:t>
            </w:r>
          </w:p>
        </w:tc>
        <w:tc>
          <w:tcPr>
            <w:tcW w:w="2075" w:type="dxa"/>
            <w:tcBorders>
              <w:top w:val="single" w:color="000000" w:sz="8" w:space="0"/>
              <w:left w:val="single" w:color="000000" w:sz="6" w:space="0"/>
              <w:bottom w:val="single" w:color="000000" w:sz="6" w:space="0"/>
              <w:right w:val="single" w:color="000000" w:sz="6" w:space="0"/>
            </w:tcBorders>
            <w:vAlign w:val="center"/>
          </w:tcPr>
          <w:p w14:paraId="5961592F">
            <w:pPr>
              <w:autoSpaceDE w:val="0"/>
              <w:autoSpaceDN w:val="0"/>
              <w:jc w:val="center"/>
              <w:rPr>
                <w:rFonts w:ascii="宋体" w:hAnsi="宋体" w:cs="宋体"/>
                <w:color w:val="000000"/>
                <w:lang w:val="zh-CN"/>
              </w:rPr>
            </w:pPr>
            <w:r>
              <w:rPr>
                <w:rFonts w:hint="eastAsia" w:ascii="宋体" w:hAnsi="宋体" w:cs="宋体"/>
                <w:color w:val="000000"/>
                <w:szCs w:val="28"/>
                <w:lang w:val="zh-CN"/>
              </w:rPr>
              <w:t>单位</w:t>
            </w:r>
          </w:p>
        </w:tc>
        <w:tc>
          <w:tcPr>
            <w:tcW w:w="2057" w:type="dxa"/>
            <w:tcBorders>
              <w:top w:val="single" w:color="000000" w:sz="8" w:space="0"/>
              <w:left w:val="single" w:color="000000" w:sz="6" w:space="0"/>
              <w:bottom w:val="single" w:color="000000" w:sz="6" w:space="0"/>
              <w:right w:val="single" w:color="000000" w:sz="6" w:space="0"/>
            </w:tcBorders>
            <w:vAlign w:val="center"/>
          </w:tcPr>
          <w:p w14:paraId="6BC0A986">
            <w:pPr>
              <w:autoSpaceDE w:val="0"/>
              <w:autoSpaceDN w:val="0"/>
              <w:jc w:val="center"/>
              <w:rPr>
                <w:rFonts w:ascii="宋体" w:hAnsi="宋体" w:cs="宋体"/>
                <w:color w:val="000000"/>
                <w:lang w:val="zh-CN"/>
              </w:rPr>
            </w:pPr>
            <w:r>
              <w:rPr>
                <w:rFonts w:hint="eastAsia" w:ascii="宋体" w:hAnsi="宋体" w:cs="宋体"/>
                <w:color w:val="000000"/>
                <w:lang w:val="zh-CN"/>
              </w:rPr>
              <w:t>单价</w:t>
            </w:r>
          </w:p>
        </w:tc>
        <w:tc>
          <w:tcPr>
            <w:tcW w:w="2039" w:type="dxa"/>
            <w:tcBorders>
              <w:top w:val="single" w:color="000000" w:sz="8" w:space="0"/>
              <w:left w:val="single" w:color="000000" w:sz="6" w:space="0"/>
              <w:bottom w:val="single" w:color="000000" w:sz="6" w:space="0"/>
              <w:right w:val="single" w:color="000000" w:sz="6" w:space="0"/>
            </w:tcBorders>
            <w:vAlign w:val="center"/>
          </w:tcPr>
          <w:p w14:paraId="697884B6">
            <w:pPr>
              <w:autoSpaceDE w:val="0"/>
              <w:autoSpaceDN w:val="0"/>
              <w:jc w:val="center"/>
              <w:rPr>
                <w:rFonts w:ascii="宋体" w:hAnsi="宋体" w:cs="宋体"/>
                <w:color w:val="000000"/>
                <w:lang w:val="zh-CN"/>
              </w:rPr>
            </w:pPr>
            <w:r>
              <w:rPr>
                <w:rFonts w:hint="eastAsia" w:ascii="宋体" w:hAnsi="宋体" w:cs="宋体"/>
                <w:color w:val="000000"/>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14:paraId="475ABF5A">
            <w:pPr>
              <w:autoSpaceDE w:val="0"/>
              <w:autoSpaceDN w:val="0"/>
              <w:jc w:val="center"/>
              <w:rPr>
                <w:rFonts w:ascii="宋体" w:hAnsi="宋体" w:cs="宋体"/>
                <w:color w:val="000000"/>
                <w:lang w:val="zh-CN"/>
              </w:rPr>
            </w:pPr>
            <w:r>
              <w:rPr>
                <w:rFonts w:hint="eastAsia" w:ascii="宋体" w:hAnsi="宋体" w:cs="宋体"/>
                <w:color w:val="000000"/>
                <w:lang w:val="zh-CN"/>
              </w:rPr>
              <w:t>备注</w:t>
            </w:r>
          </w:p>
        </w:tc>
      </w:tr>
      <w:tr w14:paraId="73ECC0ED">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6C8E1A33">
            <w:pPr>
              <w:autoSpaceDE w:val="0"/>
              <w:autoSpaceDN w:val="0"/>
              <w:jc w:val="center"/>
              <w:rPr>
                <w:rFonts w:ascii="宋体" w:hAnsi="宋体" w:cs="宋体"/>
                <w:color w:val="000000"/>
                <w:lang w:val="zh-CN"/>
              </w:rPr>
            </w:pPr>
            <w:r>
              <w:rPr>
                <w:rFonts w:hint="eastAsia" w:ascii="宋体" w:hAnsi="宋体" w:cs="宋体"/>
                <w:color w:val="000000"/>
                <w:lang w:val="zh-CN"/>
              </w:rPr>
              <w:t>1</w:t>
            </w:r>
          </w:p>
        </w:tc>
        <w:tc>
          <w:tcPr>
            <w:tcW w:w="2310" w:type="dxa"/>
            <w:tcBorders>
              <w:top w:val="single" w:color="000000" w:sz="6" w:space="0"/>
              <w:left w:val="single" w:color="000000" w:sz="6" w:space="0"/>
              <w:bottom w:val="single" w:color="000000" w:sz="6" w:space="0"/>
              <w:right w:val="single" w:color="000000" w:sz="6" w:space="0"/>
            </w:tcBorders>
            <w:vAlign w:val="center"/>
          </w:tcPr>
          <w:p w14:paraId="757EE5CD">
            <w:pPr>
              <w:autoSpaceDE w:val="0"/>
              <w:autoSpaceDN w:val="0"/>
              <w:jc w:val="center"/>
              <w:rPr>
                <w:rFonts w:ascii="宋体" w:hAnsi="宋体" w:cs="宋体"/>
                <w:color w:val="000000"/>
                <w:lang w:val="zh-CN"/>
              </w:rPr>
            </w:pPr>
          </w:p>
        </w:tc>
        <w:tc>
          <w:tcPr>
            <w:tcW w:w="2075" w:type="dxa"/>
            <w:tcBorders>
              <w:top w:val="single" w:color="000000" w:sz="6" w:space="0"/>
              <w:left w:val="single" w:color="000000" w:sz="6" w:space="0"/>
              <w:bottom w:val="single" w:color="000000" w:sz="6" w:space="0"/>
              <w:right w:val="single" w:color="000000" w:sz="6" w:space="0"/>
            </w:tcBorders>
            <w:vAlign w:val="center"/>
          </w:tcPr>
          <w:p w14:paraId="46DE470E">
            <w:pPr>
              <w:autoSpaceDE w:val="0"/>
              <w:autoSpaceDN w:val="0"/>
              <w:jc w:val="center"/>
              <w:rPr>
                <w:rFonts w:ascii="宋体" w:hAnsi="宋体" w:cs="宋体"/>
                <w:color w:val="000000"/>
                <w:lang w:val="zh-CN"/>
              </w:rPr>
            </w:pPr>
          </w:p>
        </w:tc>
        <w:tc>
          <w:tcPr>
            <w:tcW w:w="2057" w:type="dxa"/>
            <w:tcBorders>
              <w:top w:val="single" w:color="000000" w:sz="6" w:space="0"/>
              <w:left w:val="single" w:color="000000" w:sz="6" w:space="0"/>
              <w:bottom w:val="single" w:color="000000" w:sz="6" w:space="0"/>
              <w:right w:val="single" w:color="000000" w:sz="6" w:space="0"/>
            </w:tcBorders>
            <w:vAlign w:val="center"/>
          </w:tcPr>
          <w:p w14:paraId="4A24CBE6">
            <w:pPr>
              <w:autoSpaceDE w:val="0"/>
              <w:autoSpaceDN w:val="0"/>
              <w:jc w:val="center"/>
              <w:rPr>
                <w:rFonts w:ascii="宋体" w:hAnsi="宋体" w:cs="宋体"/>
                <w:color w:val="000000"/>
                <w:lang w:val="zh-CN"/>
              </w:rPr>
            </w:pPr>
          </w:p>
        </w:tc>
        <w:tc>
          <w:tcPr>
            <w:tcW w:w="2039" w:type="dxa"/>
            <w:tcBorders>
              <w:top w:val="single" w:color="000000" w:sz="6" w:space="0"/>
              <w:left w:val="single" w:color="000000" w:sz="6" w:space="0"/>
              <w:bottom w:val="single" w:color="000000" w:sz="6" w:space="0"/>
              <w:right w:val="single" w:color="000000" w:sz="6" w:space="0"/>
            </w:tcBorders>
            <w:vAlign w:val="center"/>
          </w:tcPr>
          <w:p w14:paraId="26D46012">
            <w:pPr>
              <w:autoSpaceDE w:val="0"/>
              <w:autoSpaceDN w:val="0"/>
              <w:jc w:val="center"/>
              <w:rPr>
                <w:rFonts w:ascii="宋体" w:hAnsi="宋体" w:cs="宋体"/>
                <w:color w:val="000000"/>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4D728741">
            <w:pPr>
              <w:autoSpaceDE w:val="0"/>
              <w:autoSpaceDN w:val="0"/>
              <w:jc w:val="center"/>
              <w:rPr>
                <w:rFonts w:ascii="宋体" w:hAnsi="宋体" w:cs="宋体"/>
                <w:color w:val="000000"/>
                <w:lang w:val="zh-CN"/>
              </w:rPr>
            </w:pPr>
          </w:p>
        </w:tc>
      </w:tr>
      <w:tr w14:paraId="5743B22B">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2BE4CDE5">
            <w:pPr>
              <w:autoSpaceDE w:val="0"/>
              <w:autoSpaceDN w:val="0"/>
              <w:jc w:val="center"/>
              <w:rPr>
                <w:rFonts w:ascii="宋体" w:hAnsi="宋体" w:cs="宋体"/>
                <w:color w:val="000000"/>
                <w:lang w:val="zh-CN"/>
              </w:rPr>
            </w:pPr>
            <w:r>
              <w:rPr>
                <w:rFonts w:hint="eastAsia" w:ascii="宋体" w:hAnsi="宋体" w:cs="宋体"/>
                <w:color w:val="000000"/>
                <w:lang w:val="zh-CN"/>
              </w:rPr>
              <w:t>2</w:t>
            </w:r>
          </w:p>
        </w:tc>
        <w:tc>
          <w:tcPr>
            <w:tcW w:w="2310" w:type="dxa"/>
            <w:tcBorders>
              <w:top w:val="single" w:color="000000" w:sz="6" w:space="0"/>
              <w:left w:val="single" w:color="000000" w:sz="6" w:space="0"/>
              <w:bottom w:val="single" w:color="000000" w:sz="6" w:space="0"/>
              <w:right w:val="single" w:color="000000" w:sz="6" w:space="0"/>
            </w:tcBorders>
            <w:vAlign w:val="center"/>
          </w:tcPr>
          <w:p w14:paraId="42108BED">
            <w:pPr>
              <w:autoSpaceDE w:val="0"/>
              <w:autoSpaceDN w:val="0"/>
              <w:jc w:val="center"/>
              <w:rPr>
                <w:rFonts w:ascii="宋体" w:hAnsi="宋体" w:cs="宋体"/>
                <w:color w:val="000000"/>
                <w:lang w:val="zh-CN"/>
              </w:rPr>
            </w:pPr>
          </w:p>
        </w:tc>
        <w:tc>
          <w:tcPr>
            <w:tcW w:w="2075" w:type="dxa"/>
            <w:tcBorders>
              <w:top w:val="single" w:color="000000" w:sz="6" w:space="0"/>
              <w:left w:val="single" w:color="000000" w:sz="6" w:space="0"/>
              <w:bottom w:val="single" w:color="000000" w:sz="6" w:space="0"/>
              <w:right w:val="single" w:color="000000" w:sz="6" w:space="0"/>
            </w:tcBorders>
            <w:vAlign w:val="center"/>
          </w:tcPr>
          <w:p w14:paraId="30984FCC">
            <w:pPr>
              <w:autoSpaceDE w:val="0"/>
              <w:autoSpaceDN w:val="0"/>
              <w:jc w:val="center"/>
              <w:rPr>
                <w:rFonts w:ascii="宋体" w:hAnsi="宋体" w:cs="宋体"/>
                <w:color w:val="000000"/>
                <w:lang w:val="zh-CN"/>
              </w:rPr>
            </w:pPr>
          </w:p>
        </w:tc>
        <w:tc>
          <w:tcPr>
            <w:tcW w:w="2057" w:type="dxa"/>
            <w:tcBorders>
              <w:top w:val="single" w:color="000000" w:sz="6" w:space="0"/>
              <w:left w:val="single" w:color="000000" w:sz="6" w:space="0"/>
              <w:bottom w:val="single" w:color="000000" w:sz="6" w:space="0"/>
              <w:right w:val="single" w:color="000000" w:sz="6" w:space="0"/>
            </w:tcBorders>
            <w:vAlign w:val="center"/>
          </w:tcPr>
          <w:p w14:paraId="5DBF32EE">
            <w:pPr>
              <w:autoSpaceDE w:val="0"/>
              <w:autoSpaceDN w:val="0"/>
              <w:jc w:val="center"/>
              <w:rPr>
                <w:rFonts w:ascii="宋体" w:hAnsi="宋体" w:cs="宋体"/>
                <w:color w:val="000000"/>
                <w:lang w:val="zh-CN"/>
              </w:rPr>
            </w:pPr>
          </w:p>
        </w:tc>
        <w:tc>
          <w:tcPr>
            <w:tcW w:w="2039" w:type="dxa"/>
            <w:tcBorders>
              <w:top w:val="single" w:color="000000" w:sz="6" w:space="0"/>
              <w:left w:val="single" w:color="000000" w:sz="6" w:space="0"/>
              <w:bottom w:val="single" w:color="000000" w:sz="6" w:space="0"/>
              <w:right w:val="single" w:color="000000" w:sz="6" w:space="0"/>
            </w:tcBorders>
            <w:vAlign w:val="center"/>
          </w:tcPr>
          <w:p w14:paraId="2C2FEB08">
            <w:pPr>
              <w:autoSpaceDE w:val="0"/>
              <w:autoSpaceDN w:val="0"/>
              <w:jc w:val="center"/>
              <w:rPr>
                <w:rFonts w:ascii="宋体" w:hAnsi="宋体" w:cs="宋体"/>
                <w:color w:val="000000"/>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1A6D31F6">
            <w:pPr>
              <w:autoSpaceDE w:val="0"/>
              <w:autoSpaceDN w:val="0"/>
              <w:jc w:val="center"/>
              <w:rPr>
                <w:rFonts w:ascii="宋体" w:hAnsi="宋体" w:cs="宋体"/>
                <w:color w:val="000000"/>
                <w:lang w:val="zh-CN"/>
              </w:rPr>
            </w:pPr>
          </w:p>
        </w:tc>
      </w:tr>
      <w:tr w14:paraId="53CD00FB">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1B503C0D">
            <w:pPr>
              <w:autoSpaceDE w:val="0"/>
              <w:autoSpaceDN w:val="0"/>
              <w:jc w:val="center"/>
              <w:rPr>
                <w:rFonts w:ascii="宋体" w:hAnsi="宋体" w:cs="宋体"/>
                <w:color w:val="000000"/>
                <w:lang w:val="zh-CN"/>
              </w:rPr>
            </w:pPr>
            <w:r>
              <w:rPr>
                <w:rFonts w:hint="eastAsia" w:ascii="宋体" w:hAnsi="宋体" w:cs="宋体"/>
                <w:color w:val="000000"/>
                <w:lang w:val="zh-CN"/>
              </w:rPr>
              <w:t>3</w:t>
            </w:r>
          </w:p>
        </w:tc>
        <w:tc>
          <w:tcPr>
            <w:tcW w:w="2310" w:type="dxa"/>
            <w:tcBorders>
              <w:top w:val="single" w:color="000000" w:sz="6" w:space="0"/>
              <w:left w:val="single" w:color="000000" w:sz="6" w:space="0"/>
              <w:bottom w:val="single" w:color="000000" w:sz="6" w:space="0"/>
              <w:right w:val="single" w:color="000000" w:sz="6" w:space="0"/>
            </w:tcBorders>
            <w:vAlign w:val="center"/>
          </w:tcPr>
          <w:p w14:paraId="05E053AA">
            <w:pPr>
              <w:autoSpaceDE w:val="0"/>
              <w:autoSpaceDN w:val="0"/>
              <w:jc w:val="center"/>
              <w:rPr>
                <w:rFonts w:ascii="宋体" w:hAnsi="宋体" w:cs="宋体"/>
                <w:color w:val="000000"/>
                <w:lang w:val="zh-CN"/>
              </w:rPr>
            </w:pPr>
          </w:p>
        </w:tc>
        <w:tc>
          <w:tcPr>
            <w:tcW w:w="2075" w:type="dxa"/>
            <w:tcBorders>
              <w:top w:val="single" w:color="000000" w:sz="6" w:space="0"/>
              <w:left w:val="single" w:color="000000" w:sz="6" w:space="0"/>
              <w:bottom w:val="single" w:color="000000" w:sz="6" w:space="0"/>
              <w:right w:val="single" w:color="000000" w:sz="6" w:space="0"/>
            </w:tcBorders>
            <w:vAlign w:val="center"/>
          </w:tcPr>
          <w:p w14:paraId="5201F53B">
            <w:pPr>
              <w:autoSpaceDE w:val="0"/>
              <w:autoSpaceDN w:val="0"/>
              <w:jc w:val="center"/>
              <w:rPr>
                <w:rFonts w:ascii="宋体" w:hAnsi="宋体" w:cs="宋体"/>
                <w:color w:val="000000"/>
                <w:lang w:val="zh-CN"/>
              </w:rPr>
            </w:pPr>
          </w:p>
        </w:tc>
        <w:tc>
          <w:tcPr>
            <w:tcW w:w="2057" w:type="dxa"/>
            <w:tcBorders>
              <w:top w:val="single" w:color="000000" w:sz="6" w:space="0"/>
              <w:left w:val="single" w:color="000000" w:sz="6" w:space="0"/>
              <w:bottom w:val="single" w:color="000000" w:sz="6" w:space="0"/>
              <w:right w:val="single" w:color="000000" w:sz="6" w:space="0"/>
            </w:tcBorders>
            <w:vAlign w:val="center"/>
          </w:tcPr>
          <w:p w14:paraId="42A43B6C">
            <w:pPr>
              <w:autoSpaceDE w:val="0"/>
              <w:autoSpaceDN w:val="0"/>
              <w:jc w:val="center"/>
              <w:rPr>
                <w:rFonts w:ascii="宋体" w:hAnsi="宋体" w:cs="宋体"/>
                <w:color w:val="000000"/>
                <w:lang w:val="zh-CN"/>
              </w:rPr>
            </w:pPr>
          </w:p>
        </w:tc>
        <w:tc>
          <w:tcPr>
            <w:tcW w:w="2039" w:type="dxa"/>
            <w:tcBorders>
              <w:top w:val="single" w:color="000000" w:sz="6" w:space="0"/>
              <w:left w:val="single" w:color="000000" w:sz="6" w:space="0"/>
              <w:bottom w:val="single" w:color="000000" w:sz="6" w:space="0"/>
              <w:right w:val="single" w:color="000000" w:sz="6" w:space="0"/>
            </w:tcBorders>
            <w:vAlign w:val="center"/>
          </w:tcPr>
          <w:p w14:paraId="306D10DA">
            <w:pPr>
              <w:autoSpaceDE w:val="0"/>
              <w:autoSpaceDN w:val="0"/>
              <w:jc w:val="center"/>
              <w:rPr>
                <w:rFonts w:ascii="宋体" w:hAnsi="宋体" w:cs="宋体"/>
                <w:color w:val="000000"/>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0203918D">
            <w:pPr>
              <w:autoSpaceDE w:val="0"/>
              <w:autoSpaceDN w:val="0"/>
              <w:jc w:val="center"/>
              <w:rPr>
                <w:rFonts w:ascii="宋体" w:hAnsi="宋体" w:cs="宋体"/>
                <w:color w:val="000000"/>
                <w:lang w:val="zh-CN"/>
              </w:rPr>
            </w:pPr>
          </w:p>
        </w:tc>
      </w:tr>
      <w:tr w14:paraId="32EB8A13">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12FD4898">
            <w:pPr>
              <w:autoSpaceDE w:val="0"/>
              <w:autoSpaceDN w:val="0"/>
              <w:jc w:val="center"/>
              <w:rPr>
                <w:rFonts w:ascii="宋体" w:hAnsi="宋体" w:cs="宋体"/>
                <w:color w:val="000000"/>
                <w:lang w:val="zh-CN"/>
              </w:rPr>
            </w:pPr>
            <w:r>
              <w:rPr>
                <w:rFonts w:hint="eastAsia" w:ascii="宋体" w:hAnsi="宋体" w:cs="宋体"/>
                <w:color w:val="000000"/>
                <w:lang w:val="zh-CN"/>
              </w:rPr>
              <w:t>4</w:t>
            </w:r>
          </w:p>
        </w:tc>
        <w:tc>
          <w:tcPr>
            <w:tcW w:w="2310" w:type="dxa"/>
            <w:tcBorders>
              <w:top w:val="single" w:color="000000" w:sz="6" w:space="0"/>
              <w:left w:val="single" w:color="000000" w:sz="6" w:space="0"/>
              <w:bottom w:val="single" w:color="000000" w:sz="6" w:space="0"/>
              <w:right w:val="single" w:color="000000" w:sz="6" w:space="0"/>
            </w:tcBorders>
            <w:vAlign w:val="center"/>
          </w:tcPr>
          <w:p w14:paraId="7BC3A8D3">
            <w:pPr>
              <w:autoSpaceDE w:val="0"/>
              <w:autoSpaceDN w:val="0"/>
              <w:jc w:val="center"/>
              <w:rPr>
                <w:rFonts w:ascii="宋体" w:hAnsi="宋体" w:cs="宋体"/>
                <w:color w:val="000000"/>
                <w:lang w:val="zh-CN"/>
              </w:rPr>
            </w:pPr>
          </w:p>
        </w:tc>
        <w:tc>
          <w:tcPr>
            <w:tcW w:w="2075" w:type="dxa"/>
            <w:tcBorders>
              <w:top w:val="single" w:color="000000" w:sz="6" w:space="0"/>
              <w:left w:val="single" w:color="000000" w:sz="6" w:space="0"/>
              <w:bottom w:val="single" w:color="000000" w:sz="6" w:space="0"/>
              <w:right w:val="single" w:color="000000" w:sz="6" w:space="0"/>
            </w:tcBorders>
            <w:vAlign w:val="center"/>
          </w:tcPr>
          <w:p w14:paraId="3B9A9712">
            <w:pPr>
              <w:autoSpaceDE w:val="0"/>
              <w:autoSpaceDN w:val="0"/>
              <w:jc w:val="center"/>
              <w:rPr>
                <w:rFonts w:ascii="宋体" w:hAnsi="宋体" w:cs="宋体"/>
                <w:color w:val="000000"/>
                <w:lang w:val="zh-CN"/>
              </w:rPr>
            </w:pPr>
          </w:p>
        </w:tc>
        <w:tc>
          <w:tcPr>
            <w:tcW w:w="2057" w:type="dxa"/>
            <w:tcBorders>
              <w:top w:val="single" w:color="000000" w:sz="6" w:space="0"/>
              <w:left w:val="single" w:color="000000" w:sz="6" w:space="0"/>
              <w:bottom w:val="single" w:color="000000" w:sz="6" w:space="0"/>
              <w:right w:val="single" w:color="000000" w:sz="6" w:space="0"/>
            </w:tcBorders>
            <w:vAlign w:val="center"/>
          </w:tcPr>
          <w:p w14:paraId="45EBEA1E">
            <w:pPr>
              <w:autoSpaceDE w:val="0"/>
              <w:autoSpaceDN w:val="0"/>
              <w:jc w:val="center"/>
              <w:rPr>
                <w:rFonts w:ascii="宋体" w:hAnsi="宋体" w:cs="宋体"/>
                <w:color w:val="000000"/>
                <w:lang w:val="zh-CN"/>
              </w:rPr>
            </w:pPr>
          </w:p>
        </w:tc>
        <w:tc>
          <w:tcPr>
            <w:tcW w:w="2039" w:type="dxa"/>
            <w:tcBorders>
              <w:top w:val="single" w:color="000000" w:sz="6" w:space="0"/>
              <w:left w:val="single" w:color="000000" w:sz="6" w:space="0"/>
              <w:bottom w:val="single" w:color="000000" w:sz="6" w:space="0"/>
              <w:right w:val="single" w:color="000000" w:sz="6" w:space="0"/>
            </w:tcBorders>
            <w:vAlign w:val="center"/>
          </w:tcPr>
          <w:p w14:paraId="3C2C186B">
            <w:pPr>
              <w:autoSpaceDE w:val="0"/>
              <w:autoSpaceDN w:val="0"/>
              <w:jc w:val="center"/>
              <w:rPr>
                <w:rFonts w:ascii="宋体" w:hAnsi="宋体" w:cs="宋体"/>
                <w:color w:val="000000"/>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78872395">
            <w:pPr>
              <w:autoSpaceDE w:val="0"/>
              <w:autoSpaceDN w:val="0"/>
              <w:jc w:val="center"/>
              <w:rPr>
                <w:rFonts w:ascii="宋体" w:hAnsi="宋体" w:cs="宋体"/>
                <w:color w:val="000000"/>
                <w:lang w:val="zh-CN"/>
              </w:rPr>
            </w:pPr>
          </w:p>
        </w:tc>
      </w:tr>
      <w:tr w14:paraId="5E3E5E74">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6E127366">
            <w:pPr>
              <w:autoSpaceDE w:val="0"/>
              <w:autoSpaceDN w:val="0"/>
              <w:jc w:val="center"/>
              <w:rPr>
                <w:rFonts w:ascii="宋体" w:hAnsi="宋体" w:cs="宋体"/>
                <w:color w:val="000000"/>
                <w:lang w:val="zh-CN"/>
              </w:rPr>
            </w:pPr>
            <w:r>
              <w:rPr>
                <w:rFonts w:hint="eastAsia" w:ascii="宋体" w:hAnsi="宋体" w:cs="宋体"/>
                <w:color w:val="000000"/>
                <w:lang w:val="zh-CN"/>
              </w:rPr>
              <w:t>…</w:t>
            </w:r>
          </w:p>
        </w:tc>
        <w:tc>
          <w:tcPr>
            <w:tcW w:w="2310" w:type="dxa"/>
            <w:tcBorders>
              <w:top w:val="single" w:color="000000" w:sz="6" w:space="0"/>
              <w:left w:val="single" w:color="000000" w:sz="6" w:space="0"/>
              <w:bottom w:val="single" w:color="000000" w:sz="6" w:space="0"/>
              <w:right w:val="single" w:color="000000" w:sz="6" w:space="0"/>
            </w:tcBorders>
            <w:vAlign w:val="center"/>
          </w:tcPr>
          <w:p w14:paraId="72B9C059">
            <w:pPr>
              <w:autoSpaceDE w:val="0"/>
              <w:autoSpaceDN w:val="0"/>
              <w:jc w:val="center"/>
              <w:rPr>
                <w:rFonts w:ascii="宋体" w:hAnsi="宋体" w:cs="宋体"/>
                <w:color w:val="000000"/>
                <w:lang w:val="zh-CN"/>
              </w:rPr>
            </w:pPr>
          </w:p>
        </w:tc>
        <w:tc>
          <w:tcPr>
            <w:tcW w:w="2075" w:type="dxa"/>
            <w:tcBorders>
              <w:top w:val="single" w:color="000000" w:sz="6" w:space="0"/>
              <w:left w:val="single" w:color="000000" w:sz="6" w:space="0"/>
              <w:bottom w:val="single" w:color="000000" w:sz="6" w:space="0"/>
              <w:right w:val="single" w:color="000000" w:sz="6" w:space="0"/>
            </w:tcBorders>
            <w:vAlign w:val="center"/>
          </w:tcPr>
          <w:p w14:paraId="73B6A8CF">
            <w:pPr>
              <w:autoSpaceDE w:val="0"/>
              <w:autoSpaceDN w:val="0"/>
              <w:jc w:val="center"/>
              <w:rPr>
                <w:rFonts w:ascii="宋体" w:hAnsi="宋体" w:cs="宋体"/>
                <w:color w:val="000000"/>
                <w:lang w:val="zh-CN"/>
              </w:rPr>
            </w:pPr>
          </w:p>
        </w:tc>
        <w:tc>
          <w:tcPr>
            <w:tcW w:w="2057" w:type="dxa"/>
            <w:tcBorders>
              <w:top w:val="single" w:color="000000" w:sz="6" w:space="0"/>
              <w:left w:val="single" w:color="000000" w:sz="6" w:space="0"/>
              <w:bottom w:val="single" w:color="000000" w:sz="6" w:space="0"/>
              <w:right w:val="single" w:color="000000" w:sz="6" w:space="0"/>
            </w:tcBorders>
            <w:vAlign w:val="center"/>
          </w:tcPr>
          <w:p w14:paraId="7C9025DF">
            <w:pPr>
              <w:autoSpaceDE w:val="0"/>
              <w:autoSpaceDN w:val="0"/>
              <w:jc w:val="center"/>
              <w:rPr>
                <w:rFonts w:ascii="宋体" w:hAnsi="宋体" w:cs="宋体"/>
                <w:color w:val="000000"/>
                <w:lang w:val="zh-CN"/>
              </w:rPr>
            </w:pPr>
          </w:p>
        </w:tc>
        <w:tc>
          <w:tcPr>
            <w:tcW w:w="2039" w:type="dxa"/>
            <w:tcBorders>
              <w:top w:val="single" w:color="000000" w:sz="6" w:space="0"/>
              <w:left w:val="single" w:color="000000" w:sz="6" w:space="0"/>
              <w:bottom w:val="single" w:color="000000" w:sz="6" w:space="0"/>
              <w:right w:val="single" w:color="000000" w:sz="6" w:space="0"/>
            </w:tcBorders>
            <w:vAlign w:val="center"/>
          </w:tcPr>
          <w:p w14:paraId="26D94FFD">
            <w:pPr>
              <w:autoSpaceDE w:val="0"/>
              <w:autoSpaceDN w:val="0"/>
              <w:jc w:val="center"/>
              <w:rPr>
                <w:rFonts w:ascii="宋体" w:hAnsi="宋体" w:cs="宋体"/>
                <w:color w:val="000000"/>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1D23B97F">
            <w:pPr>
              <w:autoSpaceDE w:val="0"/>
              <w:autoSpaceDN w:val="0"/>
              <w:jc w:val="center"/>
              <w:rPr>
                <w:rFonts w:ascii="宋体" w:hAnsi="宋体" w:cs="宋体"/>
                <w:color w:val="000000"/>
                <w:lang w:val="zh-CN"/>
              </w:rPr>
            </w:pPr>
          </w:p>
        </w:tc>
      </w:tr>
      <w:tr w14:paraId="1BC85B0D">
        <w:tblPrEx>
          <w:tblCellMar>
            <w:top w:w="0" w:type="dxa"/>
            <w:left w:w="28" w:type="dxa"/>
            <w:bottom w:w="0" w:type="dxa"/>
            <w:right w:w="28" w:type="dxa"/>
          </w:tblCellMar>
        </w:tblPrEx>
        <w:trPr>
          <w:trHeight w:val="23" w:hRule="atLeast"/>
          <w:jc w:val="center"/>
        </w:trPr>
        <w:tc>
          <w:tcPr>
            <w:tcW w:w="3053" w:type="dxa"/>
            <w:gridSpan w:val="2"/>
            <w:tcBorders>
              <w:top w:val="single" w:color="000000" w:sz="6" w:space="0"/>
              <w:left w:val="single" w:color="000000" w:sz="8" w:space="0"/>
              <w:bottom w:val="single" w:color="000000" w:sz="8" w:space="0"/>
              <w:right w:val="single" w:color="000000" w:sz="6" w:space="0"/>
            </w:tcBorders>
            <w:vAlign w:val="center"/>
          </w:tcPr>
          <w:p w14:paraId="675D42AA">
            <w:pPr>
              <w:autoSpaceDE w:val="0"/>
              <w:autoSpaceDN w:val="0"/>
              <w:rPr>
                <w:rFonts w:ascii="宋体" w:hAnsi="宋体" w:cs="宋体"/>
                <w:color w:val="000000"/>
                <w:lang w:val="zh-CN"/>
              </w:rPr>
            </w:pPr>
            <w:r>
              <w:rPr>
                <w:rFonts w:hint="eastAsia" w:ascii="宋体" w:hAnsi="宋体" w:cs="宋体"/>
                <w:color w:val="000000"/>
                <w:lang w:val="zh-CN"/>
              </w:rPr>
              <w:t>投标总价</w:t>
            </w:r>
          </w:p>
        </w:tc>
        <w:tc>
          <w:tcPr>
            <w:tcW w:w="7152" w:type="dxa"/>
            <w:gridSpan w:val="4"/>
            <w:tcBorders>
              <w:top w:val="single" w:color="000000" w:sz="6" w:space="0"/>
              <w:left w:val="single" w:color="000000" w:sz="6" w:space="0"/>
              <w:bottom w:val="single" w:color="000000" w:sz="8" w:space="0"/>
              <w:right w:val="single" w:color="000000" w:sz="8" w:space="0"/>
            </w:tcBorders>
            <w:vAlign w:val="center"/>
          </w:tcPr>
          <w:p w14:paraId="0D624E72">
            <w:pPr>
              <w:autoSpaceDE w:val="0"/>
              <w:autoSpaceDN w:val="0"/>
              <w:rPr>
                <w:rFonts w:ascii="宋体" w:hAnsi="宋体" w:cs="宋体"/>
                <w:color w:val="000000"/>
                <w:lang w:val="zh-CN"/>
              </w:rPr>
            </w:pPr>
            <w:r>
              <w:rPr>
                <w:rFonts w:hint="eastAsia" w:ascii="宋体" w:hAnsi="宋体" w:cs="宋体"/>
                <w:color w:val="000000"/>
                <w:lang w:val="zh-CN"/>
              </w:rPr>
              <w:t>大写：</w:t>
            </w:r>
          </w:p>
          <w:p w14:paraId="235A4BDE">
            <w:pPr>
              <w:autoSpaceDE w:val="0"/>
              <w:autoSpaceDN w:val="0"/>
              <w:rPr>
                <w:rFonts w:ascii="宋体" w:hAnsi="宋体" w:cs="宋体"/>
                <w:color w:val="000000"/>
                <w:lang w:val="zh-CN"/>
              </w:rPr>
            </w:pPr>
            <w:r>
              <w:rPr>
                <w:rFonts w:hint="eastAsia" w:ascii="宋体" w:hAnsi="宋体" w:cs="宋体"/>
                <w:color w:val="000000"/>
                <w:lang w:val="zh-CN"/>
              </w:rPr>
              <w:t>小写：</w:t>
            </w:r>
          </w:p>
        </w:tc>
      </w:tr>
    </w:tbl>
    <w:p w14:paraId="0C57C138">
      <w:pPr>
        <w:rPr>
          <w:rFonts w:ascii="宋体" w:hAnsi="宋体" w:cs="宋体"/>
          <w:color w:val="000000"/>
        </w:rPr>
      </w:pPr>
    </w:p>
    <w:p w14:paraId="563785B3">
      <w:pPr>
        <w:textAlignment w:val="baseline"/>
        <w:rPr>
          <w:rFonts w:ascii="宋体" w:hAnsi="宋体" w:cs="宋体"/>
          <w:color w:val="000000"/>
        </w:rPr>
      </w:pPr>
    </w:p>
    <w:p w14:paraId="52C44B60">
      <w:pPr>
        <w:textAlignment w:val="baseline"/>
        <w:rPr>
          <w:rFonts w:ascii="宋体" w:hAnsi="宋体" w:cs="宋体"/>
          <w:color w:val="000000"/>
        </w:rPr>
      </w:pPr>
    </w:p>
    <w:p w14:paraId="1C5EF780">
      <w:pPr>
        <w:jc w:val="center"/>
        <w:rPr>
          <w:rFonts w:ascii="宋体" w:hAnsi="宋体" w:cs="宋体"/>
          <w:b/>
          <w:color w:val="000000"/>
        </w:rPr>
      </w:pPr>
      <w:r>
        <w:rPr>
          <w:rFonts w:hint="eastAsia" w:ascii="宋体" w:hAnsi="宋体" w:cs="宋体"/>
          <w:b/>
          <w:color w:val="000000"/>
        </w:rPr>
        <w:t>供应商：（公章）</w:t>
      </w:r>
    </w:p>
    <w:p w14:paraId="23750C64">
      <w:pPr>
        <w:jc w:val="center"/>
        <w:rPr>
          <w:rFonts w:ascii="宋体" w:hAnsi="宋体" w:cs="宋体"/>
          <w:b/>
          <w:color w:val="000000"/>
        </w:rPr>
      </w:pPr>
      <w:r>
        <w:rPr>
          <w:rFonts w:hint="eastAsia" w:ascii="宋体" w:hAnsi="宋体" w:cs="宋体"/>
          <w:b/>
          <w:color w:val="000000"/>
        </w:rPr>
        <w:t>法定代表人（非法人组织的负责人）或委托代理人：（签字或盖章）</w:t>
      </w:r>
    </w:p>
    <w:p w14:paraId="012CA451">
      <w:pPr>
        <w:wordWrap w:val="0"/>
        <w:jc w:val="center"/>
        <w:rPr>
          <w:rFonts w:hint="eastAsia" w:ascii="宋体" w:hAnsi="宋体" w:cs="宋体"/>
          <w:b/>
          <w:color w:val="000000"/>
        </w:rPr>
      </w:pPr>
      <w:r>
        <w:rPr>
          <w:rFonts w:hint="eastAsia" w:ascii="宋体" w:hAnsi="宋体" w:cs="宋体"/>
          <w:b/>
          <w:color w:val="000000"/>
        </w:rPr>
        <w:t>年   月   日</w:t>
      </w:r>
      <w:bookmarkEnd w:id="163"/>
      <w:bookmarkEnd w:id="164"/>
      <w:bookmarkStart w:id="165" w:name="_Toc24428"/>
      <w:bookmarkStart w:id="166" w:name="_Toc31940"/>
    </w:p>
    <w:p w14:paraId="19843F86">
      <w:pPr>
        <w:rPr>
          <w:rFonts w:hint="eastAsia" w:ascii="宋体" w:hAnsi="宋体" w:cs="宋体"/>
          <w:b/>
          <w:color w:val="000000"/>
        </w:rPr>
      </w:pPr>
      <w:r>
        <w:rPr>
          <w:rFonts w:hint="eastAsia" w:ascii="宋体" w:hAnsi="宋体" w:cs="宋体"/>
          <w:b/>
          <w:color w:val="000000"/>
        </w:rPr>
        <w:br w:type="page"/>
      </w:r>
    </w:p>
    <w:p w14:paraId="5F4949B2">
      <w:pPr>
        <w:wordWrap w:val="0"/>
        <w:outlineLvl w:val="1"/>
        <w:rPr>
          <w:rFonts w:hint="eastAsia"/>
          <w:b/>
          <w:bCs/>
        </w:rPr>
      </w:pPr>
      <w:bookmarkStart w:id="167" w:name="_Toc6444"/>
      <w:bookmarkStart w:id="168" w:name="_Toc7018"/>
      <w:r>
        <w:rPr>
          <w:rFonts w:hint="eastAsia"/>
          <w:b/>
          <w:bCs/>
        </w:rPr>
        <w:t>（13）供应商类似业绩证明材料</w:t>
      </w:r>
      <w:bookmarkEnd w:id="165"/>
      <w:bookmarkEnd w:id="166"/>
      <w:bookmarkEnd w:id="167"/>
      <w:bookmarkEnd w:id="168"/>
    </w:p>
    <w:p w14:paraId="47FF7A69">
      <w:pPr>
        <w:jc w:val="center"/>
        <w:rPr>
          <w:rFonts w:ascii="宋体" w:hAnsi="宋体"/>
          <w:color w:val="000000"/>
          <w:sz w:val="23"/>
        </w:rPr>
      </w:pPr>
      <w:bookmarkStart w:id="169" w:name="_Toc496004041"/>
      <w:bookmarkStart w:id="170" w:name="_Toc496626247"/>
      <w:r>
        <w:rPr>
          <w:rFonts w:hint="eastAsia" w:ascii="宋体" w:hAnsi="宋体" w:cs="宋体"/>
          <w:b/>
          <w:color w:val="000000"/>
        </w:rPr>
        <w:t>供应商类似业绩证明材料</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17D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44DCDA27">
            <w:pPr>
              <w:topLinePunct/>
              <w:spacing w:line="440" w:lineRule="exact"/>
              <w:ind w:firstLine="420"/>
              <w:jc w:val="center"/>
              <w:rPr>
                <w:color w:val="000000"/>
              </w:rPr>
            </w:pPr>
            <w:r>
              <w:rPr>
                <w:rFonts w:hint="eastAsia"/>
                <w:color w:val="000000"/>
              </w:rPr>
              <w:t>项目名称</w:t>
            </w:r>
          </w:p>
        </w:tc>
        <w:tc>
          <w:tcPr>
            <w:tcW w:w="6253" w:type="dxa"/>
          </w:tcPr>
          <w:p w14:paraId="134E3DD3">
            <w:pPr>
              <w:topLinePunct/>
              <w:spacing w:line="440" w:lineRule="exact"/>
              <w:ind w:firstLine="420"/>
              <w:rPr>
                <w:color w:val="000000"/>
              </w:rPr>
            </w:pPr>
          </w:p>
        </w:tc>
      </w:tr>
      <w:tr w14:paraId="60B4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7E477BED">
            <w:pPr>
              <w:topLinePunct/>
              <w:spacing w:line="440" w:lineRule="exact"/>
              <w:ind w:firstLine="420"/>
              <w:jc w:val="center"/>
              <w:rPr>
                <w:color w:val="000000"/>
              </w:rPr>
            </w:pPr>
            <w:r>
              <w:rPr>
                <w:rFonts w:hint="eastAsia"/>
                <w:color w:val="000000"/>
              </w:rPr>
              <w:t>项目所在地</w:t>
            </w:r>
          </w:p>
        </w:tc>
        <w:tc>
          <w:tcPr>
            <w:tcW w:w="6253" w:type="dxa"/>
          </w:tcPr>
          <w:p w14:paraId="51808BB9">
            <w:pPr>
              <w:topLinePunct/>
              <w:spacing w:line="440" w:lineRule="exact"/>
              <w:ind w:firstLine="420"/>
              <w:rPr>
                <w:color w:val="000000"/>
              </w:rPr>
            </w:pPr>
          </w:p>
        </w:tc>
      </w:tr>
      <w:tr w14:paraId="69B4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4389EC91">
            <w:pPr>
              <w:tabs>
                <w:tab w:val="left" w:pos="360"/>
              </w:tabs>
              <w:topLinePunct/>
              <w:spacing w:line="440" w:lineRule="exact"/>
              <w:ind w:firstLine="420"/>
              <w:jc w:val="center"/>
              <w:rPr>
                <w:color w:val="000000"/>
              </w:rPr>
            </w:pPr>
            <w:r>
              <w:rPr>
                <w:rFonts w:hint="eastAsia"/>
                <w:color w:val="000000"/>
              </w:rPr>
              <w:t>发包人名称</w:t>
            </w:r>
          </w:p>
        </w:tc>
        <w:tc>
          <w:tcPr>
            <w:tcW w:w="6253" w:type="dxa"/>
          </w:tcPr>
          <w:p w14:paraId="21F700FD">
            <w:pPr>
              <w:topLinePunct/>
              <w:spacing w:line="440" w:lineRule="exact"/>
              <w:ind w:firstLine="420"/>
              <w:rPr>
                <w:color w:val="000000"/>
              </w:rPr>
            </w:pPr>
          </w:p>
        </w:tc>
      </w:tr>
      <w:tr w14:paraId="6889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202A25A0">
            <w:pPr>
              <w:tabs>
                <w:tab w:val="left" w:pos="360"/>
              </w:tabs>
              <w:topLinePunct/>
              <w:spacing w:line="440" w:lineRule="exact"/>
              <w:ind w:firstLine="420"/>
              <w:jc w:val="center"/>
              <w:rPr>
                <w:color w:val="000000"/>
              </w:rPr>
            </w:pPr>
            <w:r>
              <w:rPr>
                <w:rFonts w:hint="eastAsia"/>
                <w:color w:val="000000"/>
              </w:rPr>
              <w:t>发包人地址</w:t>
            </w:r>
          </w:p>
        </w:tc>
        <w:tc>
          <w:tcPr>
            <w:tcW w:w="6253" w:type="dxa"/>
          </w:tcPr>
          <w:p w14:paraId="5F91D049">
            <w:pPr>
              <w:topLinePunct/>
              <w:spacing w:line="440" w:lineRule="exact"/>
              <w:ind w:firstLine="420"/>
              <w:rPr>
                <w:color w:val="000000"/>
              </w:rPr>
            </w:pPr>
          </w:p>
        </w:tc>
      </w:tr>
      <w:tr w14:paraId="2047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4BF7B48C">
            <w:pPr>
              <w:tabs>
                <w:tab w:val="left" w:pos="360"/>
              </w:tabs>
              <w:topLinePunct/>
              <w:spacing w:line="440" w:lineRule="exact"/>
              <w:ind w:firstLine="420"/>
              <w:jc w:val="center"/>
              <w:rPr>
                <w:color w:val="000000"/>
              </w:rPr>
            </w:pPr>
            <w:r>
              <w:rPr>
                <w:rFonts w:hint="eastAsia"/>
                <w:color w:val="000000"/>
              </w:rPr>
              <w:t>发包人电话</w:t>
            </w:r>
          </w:p>
        </w:tc>
        <w:tc>
          <w:tcPr>
            <w:tcW w:w="6253" w:type="dxa"/>
          </w:tcPr>
          <w:p w14:paraId="4BEA1FBB">
            <w:pPr>
              <w:topLinePunct/>
              <w:spacing w:line="440" w:lineRule="exact"/>
              <w:ind w:firstLine="420"/>
              <w:rPr>
                <w:color w:val="000000"/>
              </w:rPr>
            </w:pPr>
          </w:p>
        </w:tc>
      </w:tr>
      <w:tr w14:paraId="75DC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72656093">
            <w:pPr>
              <w:tabs>
                <w:tab w:val="left" w:pos="360"/>
              </w:tabs>
              <w:topLinePunct/>
              <w:spacing w:line="440" w:lineRule="exact"/>
              <w:ind w:firstLine="420"/>
              <w:jc w:val="center"/>
              <w:rPr>
                <w:color w:val="000000"/>
              </w:rPr>
            </w:pPr>
            <w:r>
              <w:rPr>
                <w:rFonts w:hint="eastAsia"/>
                <w:color w:val="000000"/>
              </w:rPr>
              <w:t>合同价格</w:t>
            </w:r>
          </w:p>
        </w:tc>
        <w:tc>
          <w:tcPr>
            <w:tcW w:w="6253" w:type="dxa"/>
          </w:tcPr>
          <w:p w14:paraId="1F9E6E04">
            <w:pPr>
              <w:topLinePunct/>
              <w:spacing w:line="440" w:lineRule="exact"/>
              <w:ind w:firstLine="420"/>
              <w:rPr>
                <w:color w:val="000000"/>
              </w:rPr>
            </w:pPr>
          </w:p>
        </w:tc>
      </w:tr>
      <w:tr w14:paraId="515C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26564DEB">
            <w:pPr>
              <w:tabs>
                <w:tab w:val="left" w:pos="360"/>
              </w:tabs>
              <w:topLinePunct/>
              <w:spacing w:line="440" w:lineRule="exact"/>
              <w:ind w:firstLine="420"/>
              <w:jc w:val="center"/>
              <w:rPr>
                <w:color w:val="000000"/>
              </w:rPr>
            </w:pPr>
            <w:r>
              <w:rPr>
                <w:rFonts w:hint="eastAsia"/>
                <w:color w:val="000000"/>
              </w:rPr>
              <w:t>服务期限</w:t>
            </w:r>
          </w:p>
        </w:tc>
        <w:tc>
          <w:tcPr>
            <w:tcW w:w="6253" w:type="dxa"/>
          </w:tcPr>
          <w:p w14:paraId="2429A6F9">
            <w:pPr>
              <w:topLinePunct/>
              <w:spacing w:line="440" w:lineRule="exact"/>
              <w:ind w:firstLine="420"/>
              <w:rPr>
                <w:color w:val="000000"/>
              </w:rPr>
            </w:pPr>
          </w:p>
        </w:tc>
      </w:tr>
      <w:tr w14:paraId="6C57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5F7910F5">
            <w:pPr>
              <w:tabs>
                <w:tab w:val="left" w:pos="360"/>
              </w:tabs>
              <w:topLinePunct/>
              <w:spacing w:line="440" w:lineRule="exact"/>
              <w:ind w:firstLine="420"/>
              <w:jc w:val="center"/>
              <w:rPr>
                <w:color w:val="000000"/>
              </w:rPr>
            </w:pPr>
            <w:r>
              <w:rPr>
                <w:rFonts w:hint="eastAsia"/>
                <w:color w:val="000000"/>
              </w:rPr>
              <w:t>服务内容</w:t>
            </w:r>
          </w:p>
        </w:tc>
        <w:tc>
          <w:tcPr>
            <w:tcW w:w="6253" w:type="dxa"/>
          </w:tcPr>
          <w:p w14:paraId="6B134A78">
            <w:pPr>
              <w:topLinePunct/>
              <w:spacing w:line="440" w:lineRule="exact"/>
              <w:ind w:firstLine="420"/>
              <w:rPr>
                <w:color w:val="000000"/>
              </w:rPr>
            </w:pPr>
          </w:p>
        </w:tc>
      </w:tr>
      <w:tr w14:paraId="0468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3034BE8D">
            <w:pPr>
              <w:tabs>
                <w:tab w:val="left" w:pos="360"/>
              </w:tabs>
              <w:topLinePunct/>
              <w:spacing w:line="440" w:lineRule="exact"/>
              <w:ind w:firstLine="420"/>
              <w:jc w:val="center"/>
              <w:rPr>
                <w:color w:val="000000"/>
              </w:rPr>
            </w:pPr>
            <w:r>
              <w:rPr>
                <w:rFonts w:hint="eastAsia"/>
                <w:color w:val="000000"/>
              </w:rPr>
              <w:t>项目负责人</w:t>
            </w:r>
          </w:p>
        </w:tc>
        <w:tc>
          <w:tcPr>
            <w:tcW w:w="6253" w:type="dxa"/>
          </w:tcPr>
          <w:p w14:paraId="0E867BF1">
            <w:pPr>
              <w:topLinePunct/>
              <w:spacing w:line="440" w:lineRule="exact"/>
              <w:ind w:firstLine="420"/>
              <w:rPr>
                <w:color w:val="000000"/>
              </w:rPr>
            </w:pPr>
          </w:p>
        </w:tc>
      </w:tr>
      <w:tr w14:paraId="6DAB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29D414C4">
            <w:pPr>
              <w:tabs>
                <w:tab w:val="left" w:pos="360"/>
              </w:tabs>
              <w:topLinePunct/>
              <w:spacing w:line="440" w:lineRule="exact"/>
              <w:ind w:firstLine="420"/>
              <w:jc w:val="center"/>
              <w:rPr>
                <w:color w:val="000000"/>
              </w:rPr>
            </w:pPr>
            <w:r>
              <w:rPr>
                <w:rFonts w:hint="eastAsia"/>
                <w:color w:val="000000"/>
              </w:rPr>
              <w:t>项目描述</w:t>
            </w:r>
          </w:p>
        </w:tc>
        <w:tc>
          <w:tcPr>
            <w:tcW w:w="6253" w:type="dxa"/>
          </w:tcPr>
          <w:p w14:paraId="0CEB99D9">
            <w:pPr>
              <w:topLinePunct/>
              <w:spacing w:line="440" w:lineRule="exact"/>
              <w:ind w:firstLine="420"/>
              <w:rPr>
                <w:color w:val="000000"/>
              </w:rPr>
            </w:pPr>
          </w:p>
          <w:p w14:paraId="1A916064">
            <w:pPr>
              <w:topLinePunct/>
              <w:spacing w:line="440" w:lineRule="exact"/>
              <w:ind w:firstLine="420"/>
              <w:rPr>
                <w:color w:val="000000"/>
              </w:rPr>
            </w:pPr>
          </w:p>
          <w:p w14:paraId="551EB307">
            <w:pPr>
              <w:topLinePunct/>
              <w:spacing w:line="440" w:lineRule="exact"/>
              <w:ind w:firstLine="420"/>
              <w:rPr>
                <w:color w:val="000000"/>
              </w:rPr>
            </w:pPr>
          </w:p>
          <w:p w14:paraId="3CFB068C">
            <w:pPr>
              <w:topLinePunct/>
              <w:spacing w:line="440" w:lineRule="exact"/>
              <w:ind w:firstLine="420"/>
              <w:rPr>
                <w:color w:val="000000"/>
              </w:rPr>
            </w:pPr>
          </w:p>
          <w:p w14:paraId="0CEDCAE1">
            <w:pPr>
              <w:topLinePunct/>
              <w:spacing w:line="440" w:lineRule="exact"/>
              <w:ind w:firstLine="420"/>
              <w:rPr>
                <w:color w:val="000000"/>
              </w:rPr>
            </w:pPr>
          </w:p>
          <w:p w14:paraId="3D5D41F9">
            <w:pPr>
              <w:topLinePunct/>
              <w:spacing w:line="440" w:lineRule="exact"/>
              <w:ind w:firstLine="420"/>
              <w:rPr>
                <w:color w:val="000000"/>
              </w:rPr>
            </w:pPr>
          </w:p>
          <w:p w14:paraId="10C40F73">
            <w:pPr>
              <w:topLinePunct/>
              <w:spacing w:line="440" w:lineRule="exact"/>
              <w:ind w:firstLine="420"/>
              <w:rPr>
                <w:color w:val="000000"/>
              </w:rPr>
            </w:pPr>
          </w:p>
        </w:tc>
      </w:tr>
      <w:tr w14:paraId="49A4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1A97B3E4">
            <w:pPr>
              <w:tabs>
                <w:tab w:val="left" w:pos="360"/>
              </w:tabs>
              <w:topLinePunct/>
              <w:spacing w:line="440" w:lineRule="exact"/>
              <w:ind w:firstLine="420"/>
              <w:jc w:val="center"/>
              <w:rPr>
                <w:color w:val="000000"/>
              </w:rPr>
            </w:pPr>
            <w:r>
              <w:rPr>
                <w:rFonts w:hint="eastAsia"/>
                <w:color w:val="000000"/>
              </w:rPr>
              <w:t>备注</w:t>
            </w:r>
          </w:p>
        </w:tc>
        <w:tc>
          <w:tcPr>
            <w:tcW w:w="6253" w:type="dxa"/>
          </w:tcPr>
          <w:p w14:paraId="53E0CEB0">
            <w:pPr>
              <w:topLinePunct/>
              <w:spacing w:line="440" w:lineRule="exact"/>
              <w:ind w:firstLine="420"/>
              <w:rPr>
                <w:color w:val="000000"/>
              </w:rPr>
            </w:pPr>
          </w:p>
        </w:tc>
      </w:tr>
    </w:tbl>
    <w:p w14:paraId="2E930A46">
      <w:pPr>
        <w:wordWrap w:val="0"/>
        <w:ind w:firstLine="480"/>
        <w:rPr>
          <w:rFonts w:hint="eastAsia" w:ascii="宋体" w:hAnsi="宋体" w:eastAsia="宋体" w:cs="宋体"/>
          <w:bCs/>
          <w:color w:val="000000"/>
          <w:lang w:eastAsia="zh-CN"/>
        </w:rPr>
      </w:pPr>
      <w:r>
        <w:rPr>
          <w:rFonts w:hint="eastAsia" w:ascii="宋体" w:hAnsi="宋体" w:cs="宋体"/>
          <w:bCs/>
          <w:color w:val="000000"/>
        </w:rPr>
        <w:t>注：</w:t>
      </w:r>
      <w:r>
        <w:rPr>
          <w:rFonts w:hint="eastAsia" w:ascii="宋体" w:hAnsi="宋体" w:cs="宋体"/>
          <w:color w:val="000000"/>
          <w:kern w:val="0"/>
          <w:lang w:val="zh-CN"/>
        </w:rPr>
        <w:t>类似业绩是指与采购项目在服务内容等方面相近或相同的项目。</w:t>
      </w:r>
      <w:r>
        <w:rPr>
          <w:rFonts w:hint="eastAsia" w:ascii="宋体" w:hAnsi="宋体" w:cs="宋体"/>
          <w:b w:val="0"/>
          <w:bCs w:val="0"/>
          <w:color w:val="auto"/>
          <w:kern w:val="0"/>
          <w:sz w:val="24"/>
          <w:szCs w:val="24"/>
          <w:highlight w:val="none"/>
          <w:lang w:val="zh-CN" w:eastAsia="zh-CN" w:bidi="ar-SA"/>
        </w:rPr>
        <w:t>提供近</w:t>
      </w:r>
      <w:r>
        <w:rPr>
          <w:rFonts w:hint="default" w:ascii="宋体" w:hAnsi="宋体" w:cs="宋体"/>
          <w:b w:val="0"/>
          <w:bCs w:val="0"/>
          <w:color w:val="auto"/>
          <w:kern w:val="0"/>
          <w:sz w:val="24"/>
          <w:szCs w:val="24"/>
          <w:highlight w:val="none"/>
          <w:lang w:eastAsia="zh-CN" w:bidi="ar-SA"/>
        </w:rPr>
        <w:t>20</w:t>
      </w:r>
      <w:r>
        <w:rPr>
          <w:rFonts w:hint="eastAsia" w:ascii="宋体" w:hAnsi="宋体" w:cs="宋体"/>
          <w:b w:val="0"/>
          <w:bCs w:val="0"/>
          <w:color w:val="auto"/>
          <w:kern w:val="0"/>
          <w:sz w:val="24"/>
          <w:szCs w:val="24"/>
          <w:highlight w:val="none"/>
          <w:lang w:val="en-US" w:eastAsia="zh-CN" w:bidi="ar-SA"/>
        </w:rPr>
        <w:t>22</w:t>
      </w:r>
      <w:r>
        <w:rPr>
          <w:rFonts w:hint="eastAsia" w:ascii="宋体" w:hAnsi="宋体" w:cs="宋体"/>
          <w:b w:val="0"/>
          <w:bCs w:val="0"/>
          <w:color w:val="auto"/>
          <w:kern w:val="0"/>
          <w:sz w:val="24"/>
          <w:szCs w:val="24"/>
          <w:highlight w:val="none"/>
          <w:lang w:val="zh-CN" w:eastAsia="zh-CN" w:bidi="ar-SA"/>
        </w:rPr>
        <w:t>年</w:t>
      </w:r>
      <w:r>
        <w:rPr>
          <w:rFonts w:hint="default" w:ascii="宋体" w:hAnsi="宋体" w:cs="宋体"/>
          <w:b w:val="0"/>
          <w:bCs w:val="0"/>
          <w:color w:val="auto"/>
          <w:kern w:val="0"/>
          <w:sz w:val="24"/>
          <w:szCs w:val="24"/>
          <w:highlight w:val="none"/>
          <w:lang w:eastAsia="zh-CN" w:bidi="ar-SA"/>
        </w:rPr>
        <w:t>01月01日至投标截止之日</w:t>
      </w:r>
      <w:r>
        <w:rPr>
          <w:rFonts w:hint="eastAsia" w:ascii="宋体" w:hAnsi="宋体" w:cs="宋体"/>
          <w:b w:val="0"/>
          <w:bCs w:val="0"/>
          <w:color w:val="auto"/>
          <w:kern w:val="0"/>
          <w:sz w:val="24"/>
          <w:szCs w:val="24"/>
          <w:highlight w:val="none"/>
          <w:lang w:val="zh-CN" w:eastAsia="zh-CN" w:bidi="ar-SA"/>
        </w:rPr>
        <w:t>的类似业绩证明材料；</w:t>
      </w:r>
      <w:r>
        <w:rPr>
          <w:rFonts w:hint="eastAsia" w:ascii="宋体" w:hAnsi="宋体" w:eastAsia="宋体" w:cs="宋体"/>
          <w:color w:val="auto"/>
          <w:sz w:val="24"/>
          <w:szCs w:val="28"/>
        </w:rPr>
        <w:t>（需提供包含合同首页、标的及金额所在页、供货合同签字盖章页</w:t>
      </w:r>
      <w:r>
        <w:rPr>
          <w:rFonts w:hint="eastAsia" w:ascii="宋体" w:hAnsi="宋体" w:cs="宋体"/>
          <w:color w:val="auto"/>
          <w:sz w:val="24"/>
          <w:szCs w:val="28"/>
          <w:lang w:val="en-US" w:eastAsia="zh-CN"/>
        </w:rPr>
        <w:t>或</w:t>
      </w:r>
      <w:r>
        <w:rPr>
          <w:rFonts w:hint="eastAsia" w:ascii="宋体" w:hAnsi="宋体" w:eastAsia="宋体" w:cs="宋体"/>
          <w:color w:val="auto"/>
          <w:sz w:val="24"/>
          <w:szCs w:val="28"/>
        </w:rPr>
        <w:t>中标通知或任务书等）</w:t>
      </w:r>
      <w:r>
        <w:rPr>
          <w:rFonts w:hint="eastAsia" w:ascii="宋体" w:hAnsi="宋体" w:cs="宋体"/>
          <w:sz w:val="24"/>
          <w:szCs w:val="28"/>
          <w:lang w:eastAsia="zh-CN"/>
        </w:rPr>
        <w:t>。</w:t>
      </w:r>
    </w:p>
    <w:p w14:paraId="2268855B">
      <w:pPr>
        <w:widowControl/>
        <w:snapToGrid w:val="0"/>
        <w:outlineLvl w:val="1"/>
        <w:rPr>
          <w:rFonts w:ascii="宋体" w:hAnsi="宋体" w:cs="宋体"/>
          <w:b/>
          <w:color w:val="000000"/>
          <w:sz w:val="28"/>
          <w:szCs w:val="28"/>
        </w:rPr>
      </w:pPr>
      <w:r>
        <w:rPr>
          <w:rFonts w:ascii="宋体" w:hAnsi="宋体" w:cs="宋体"/>
          <w:bCs/>
          <w:color w:val="000000"/>
        </w:rPr>
        <w:br w:type="page"/>
      </w:r>
      <w:bookmarkStart w:id="171" w:name="_Toc76737320"/>
      <w:bookmarkStart w:id="172" w:name="_Toc6233"/>
      <w:bookmarkStart w:id="173" w:name="_Toc16582"/>
      <w:bookmarkStart w:id="174" w:name="_Toc18383"/>
      <w:bookmarkStart w:id="175" w:name="_Toc29872"/>
      <w:r>
        <w:rPr>
          <w:rFonts w:hint="eastAsia"/>
          <w:b/>
          <w:bCs/>
        </w:rPr>
        <w:t>（14）拟委任的主要人员汇总表</w:t>
      </w:r>
      <w:bookmarkEnd w:id="171"/>
      <w:bookmarkEnd w:id="172"/>
      <w:bookmarkEnd w:id="173"/>
      <w:bookmarkEnd w:id="174"/>
      <w:bookmarkEnd w:id="175"/>
    </w:p>
    <w:p w14:paraId="2B85DCD2">
      <w:pPr>
        <w:jc w:val="center"/>
        <w:rPr>
          <w:rFonts w:ascii="宋体" w:hAnsi="宋体"/>
          <w:color w:val="000000"/>
        </w:rPr>
      </w:pPr>
      <w:r>
        <w:rPr>
          <w:rFonts w:hint="eastAsia" w:ascii="宋体" w:hAnsi="宋体"/>
          <w:color w:val="000000"/>
        </w:rPr>
        <w:t>拟委任的主要人员汇总表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567"/>
        <w:gridCol w:w="1055"/>
        <w:gridCol w:w="709"/>
        <w:gridCol w:w="871"/>
        <w:gridCol w:w="1134"/>
      </w:tblGrid>
      <w:tr w14:paraId="5EDB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14:paraId="7CFF40E7">
            <w:pPr>
              <w:spacing w:line="440" w:lineRule="exact"/>
              <w:jc w:val="center"/>
              <w:rPr>
                <w:rFonts w:ascii="宋体" w:hAnsi="宋体"/>
                <w:color w:val="000000"/>
                <w:szCs w:val="20"/>
              </w:rPr>
            </w:pPr>
            <w:r>
              <w:rPr>
                <w:rFonts w:hint="eastAsia" w:ascii="宋体" w:hAnsi="宋体"/>
                <w:color w:val="000000"/>
                <w:szCs w:val="20"/>
              </w:rPr>
              <w:t>序号</w:t>
            </w:r>
          </w:p>
        </w:tc>
        <w:tc>
          <w:tcPr>
            <w:tcW w:w="1275" w:type="dxa"/>
            <w:vMerge w:val="restart"/>
            <w:vAlign w:val="center"/>
          </w:tcPr>
          <w:p w14:paraId="1E623072">
            <w:pPr>
              <w:spacing w:line="440" w:lineRule="exact"/>
              <w:jc w:val="center"/>
              <w:rPr>
                <w:rFonts w:ascii="宋体" w:hAnsi="宋体"/>
                <w:color w:val="000000"/>
                <w:szCs w:val="20"/>
              </w:rPr>
            </w:pPr>
            <w:r>
              <w:rPr>
                <w:rFonts w:hint="eastAsia" w:ascii="宋体" w:hAnsi="宋体"/>
                <w:color w:val="000000"/>
                <w:szCs w:val="20"/>
              </w:rPr>
              <w:t>本项目任职</w:t>
            </w:r>
          </w:p>
        </w:tc>
        <w:tc>
          <w:tcPr>
            <w:tcW w:w="992" w:type="dxa"/>
            <w:vMerge w:val="restart"/>
            <w:vAlign w:val="center"/>
          </w:tcPr>
          <w:p w14:paraId="15E3D96C">
            <w:pPr>
              <w:spacing w:line="440" w:lineRule="exact"/>
              <w:jc w:val="center"/>
              <w:rPr>
                <w:rFonts w:ascii="宋体" w:hAnsi="宋体"/>
                <w:color w:val="000000"/>
                <w:szCs w:val="20"/>
              </w:rPr>
            </w:pPr>
            <w:r>
              <w:rPr>
                <w:rFonts w:hint="eastAsia" w:ascii="宋体" w:hAnsi="宋体"/>
                <w:color w:val="000000"/>
                <w:szCs w:val="20"/>
              </w:rPr>
              <w:t>姓名</w:t>
            </w:r>
          </w:p>
        </w:tc>
        <w:tc>
          <w:tcPr>
            <w:tcW w:w="603" w:type="dxa"/>
            <w:vMerge w:val="restart"/>
            <w:vAlign w:val="center"/>
          </w:tcPr>
          <w:p w14:paraId="19CC259E">
            <w:pPr>
              <w:spacing w:line="440" w:lineRule="exact"/>
              <w:jc w:val="center"/>
              <w:rPr>
                <w:rFonts w:ascii="宋体" w:hAnsi="宋体"/>
                <w:color w:val="000000"/>
                <w:szCs w:val="20"/>
              </w:rPr>
            </w:pPr>
            <w:r>
              <w:rPr>
                <w:rFonts w:hint="eastAsia" w:ascii="宋体" w:hAnsi="宋体"/>
                <w:color w:val="000000"/>
                <w:szCs w:val="20"/>
              </w:rPr>
              <w:t>职称</w:t>
            </w:r>
          </w:p>
        </w:tc>
        <w:tc>
          <w:tcPr>
            <w:tcW w:w="567" w:type="dxa"/>
            <w:vMerge w:val="restart"/>
            <w:vAlign w:val="center"/>
          </w:tcPr>
          <w:p w14:paraId="45E6C071">
            <w:pPr>
              <w:spacing w:line="440" w:lineRule="exact"/>
              <w:jc w:val="center"/>
              <w:rPr>
                <w:rFonts w:ascii="宋体" w:hAnsi="宋体"/>
                <w:color w:val="000000"/>
                <w:szCs w:val="20"/>
              </w:rPr>
            </w:pPr>
            <w:r>
              <w:rPr>
                <w:rFonts w:hint="eastAsia" w:ascii="宋体" w:hAnsi="宋体"/>
                <w:color w:val="000000"/>
                <w:szCs w:val="20"/>
              </w:rPr>
              <w:t>专业</w:t>
            </w:r>
          </w:p>
        </w:tc>
        <w:tc>
          <w:tcPr>
            <w:tcW w:w="2635" w:type="dxa"/>
            <w:gridSpan w:val="3"/>
            <w:vAlign w:val="center"/>
          </w:tcPr>
          <w:p w14:paraId="205D2200">
            <w:pPr>
              <w:spacing w:line="440" w:lineRule="exact"/>
              <w:jc w:val="center"/>
              <w:rPr>
                <w:rFonts w:ascii="宋体" w:hAnsi="宋体"/>
                <w:color w:val="000000"/>
                <w:szCs w:val="20"/>
              </w:rPr>
            </w:pPr>
            <w:r>
              <w:rPr>
                <w:rFonts w:hint="eastAsia" w:ascii="宋体" w:hAnsi="宋体"/>
                <w:color w:val="000000"/>
                <w:szCs w:val="20"/>
              </w:rPr>
              <w:t>执业或职业资格证明</w:t>
            </w:r>
          </w:p>
        </w:tc>
        <w:tc>
          <w:tcPr>
            <w:tcW w:w="1134" w:type="dxa"/>
            <w:vAlign w:val="center"/>
          </w:tcPr>
          <w:p w14:paraId="578140DF">
            <w:pPr>
              <w:spacing w:line="440" w:lineRule="exact"/>
              <w:jc w:val="center"/>
              <w:rPr>
                <w:rFonts w:ascii="宋体" w:hAnsi="宋体"/>
                <w:color w:val="000000"/>
                <w:szCs w:val="20"/>
              </w:rPr>
            </w:pPr>
            <w:r>
              <w:rPr>
                <w:rFonts w:hint="eastAsia" w:ascii="宋体" w:hAnsi="宋体"/>
                <w:color w:val="000000"/>
                <w:szCs w:val="20"/>
              </w:rPr>
              <w:t>备注</w:t>
            </w:r>
          </w:p>
        </w:tc>
      </w:tr>
      <w:tr w14:paraId="5706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14:paraId="099D793F">
            <w:pPr>
              <w:rPr>
                <w:rFonts w:ascii="宋体" w:hAnsi="宋体"/>
                <w:color w:val="000000"/>
                <w:szCs w:val="20"/>
              </w:rPr>
            </w:pPr>
          </w:p>
        </w:tc>
        <w:tc>
          <w:tcPr>
            <w:tcW w:w="1275" w:type="dxa"/>
            <w:vMerge w:val="continue"/>
          </w:tcPr>
          <w:p w14:paraId="7F0E5F25">
            <w:pPr>
              <w:rPr>
                <w:rFonts w:ascii="宋体" w:hAnsi="宋体"/>
                <w:color w:val="000000"/>
                <w:szCs w:val="20"/>
              </w:rPr>
            </w:pPr>
          </w:p>
        </w:tc>
        <w:tc>
          <w:tcPr>
            <w:tcW w:w="992" w:type="dxa"/>
            <w:vMerge w:val="continue"/>
            <w:vAlign w:val="center"/>
          </w:tcPr>
          <w:p w14:paraId="0CA17FDD">
            <w:pPr>
              <w:rPr>
                <w:rFonts w:ascii="宋体" w:hAnsi="宋体"/>
                <w:color w:val="000000"/>
                <w:szCs w:val="20"/>
              </w:rPr>
            </w:pPr>
          </w:p>
        </w:tc>
        <w:tc>
          <w:tcPr>
            <w:tcW w:w="603" w:type="dxa"/>
            <w:vMerge w:val="continue"/>
            <w:vAlign w:val="center"/>
          </w:tcPr>
          <w:p w14:paraId="13E2B3B2">
            <w:pPr>
              <w:rPr>
                <w:rFonts w:ascii="宋体" w:hAnsi="宋体"/>
                <w:color w:val="000000"/>
                <w:szCs w:val="20"/>
              </w:rPr>
            </w:pPr>
          </w:p>
        </w:tc>
        <w:tc>
          <w:tcPr>
            <w:tcW w:w="567" w:type="dxa"/>
            <w:vMerge w:val="continue"/>
            <w:vAlign w:val="center"/>
          </w:tcPr>
          <w:p w14:paraId="1353A9A6">
            <w:pPr>
              <w:spacing w:line="440" w:lineRule="exact"/>
              <w:jc w:val="center"/>
              <w:rPr>
                <w:rFonts w:ascii="宋体" w:hAnsi="宋体"/>
                <w:color w:val="000000"/>
                <w:szCs w:val="20"/>
              </w:rPr>
            </w:pPr>
          </w:p>
        </w:tc>
        <w:tc>
          <w:tcPr>
            <w:tcW w:w="1055" w:type="dxa"/>
            <w:vAlign w:val="center"/>
          </w:tcPr>
          <w:p w14:paraId="7FC31BF0">
            <w:pPr>
              <w:tabs>
                <w:tab w:val="left" w:pos="360"/>
              </w:tabs>
              <w:spacing w:line="440" w:lineRule="exact"/>
              <w:jc w:val="center"/>
              <w:rPr>
                <w:rFonts w:ascii="宋体" w:hAnsi="宋体"/>
                <w:color w:val="000000"/>
                <w:szCs w:val="20"/>
              </w:rPr>
            </w:pPr>
            <w:r>
              <w:rPr>
                <w:rFonts w:hint="eastAsia" w:ascii="宋体" w:hAnsi="宋体"/>
                <w:color w:val="000000"/>
                <w:szCs w:val="20"/>
              </w:rPr>
              <w:t>证书名称</w:t>
            </w:r>
          </w:p>
        </w:tc>
        <w:tc>
          <w:tcPr>
            <w:tcW w:w="709" w:type="dxa"/>
            <w:vAlign w:val="center"/>
          </w:tcPr>
          <w:p w14:paraId="031D5459">
            <w:pPr>
              <w:tabs>
                <w:tab w:val="left" w:pos="360"/>
              </w:tabs>
              <w:spacing w:line="440" w:lineRule="exact"/>
              <w:jc w:val="center"/>
              <w:rPr>
                <w:rFonts w:ascii="宋体" w:hAnsi="宋体"/>
                <w:color w:val="000000"/>
                <w:szCs w:val="20"/>
              </w:rPr>
            </w:pPr>
            <w:r>
              <w:rPr>
                <w:rFonts w:hint="eastAsia" w:ascii="宋体" w:hAnsi="宋体"/>
                <w:color w:val="000000"/>
                <w:szCs w:val="20"/>
              </w:rPr>
              <w:t>级别</w:t>
            </w:r>
          </w:p>
        </w:tc>
        <w:tc>
          <w:tcPr>
            <w:tcW w:w="871" w:type="dxa"/>
            <w:vAlign w:val="center"/>
          </w:tcPr>
          <w:p w14:paraId="212A120C">
            <w:pPr>
              <w:tabs>
                <w:tab w:val="left" w:pos="360"/>
              </w:tabs>
              <w:spacing w:line="440" w:lineRule="exact"/>
              <w:jc w:val="center"/>
              <w:rPr>
                <w:rFonts w:ascii="宋体" w:hAnsi="宋体"/>
                <w:color w:val="000000"/>
                <w:szCs w:val="20"/>
              </w:rPr>
            </w:pPr>
            <w:r>
              <w:rPr>
                <w:rFonts w:hint="eastAsia" w:ascii="宋体" w:hAnsi="宋体"/>
                <w:color w:val="000000"/>
                <w:szCs w:val="20"/>
              </w:rPr>
              <w:t>证号</w:t>
            </w:r>
          </w:p>
        </w:tc>
        <w:tc>
          <w:tcPr>
            <w:tcW w:w="1134" w:type="dxa"/>
            <w:vAlign w:val="center"/>
          </w:tcPr>
          <w:p w14:paraId="2BE6B6A9">
            <w:pPr>
              <w:spacing w:line="440" w:lineRule="exact"/>
              <w:jc w:val="center"/>
              <w:rPr>
                <w:rFonts w:ascii="宋体" w:hAnsi="宋体"/>
                <w:color w:val="000000"/>
                <w:szCs w:val="20"/>
              </w:rPr>
            </w:pPr>
          </w:p>
        </w:tc>
      </w:tr>
      <w:tr w14:paraId="3589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6441AB6A">
            <w:pPr>
              <w:spacing w:line="440" w:lineRule="exact"/>
              <w:jc w:val="center"/>
              <w:rPr>
                <w:rFonts w:ascii="宋体" w:hAnsi="宋体"/>
                <w:color w:val="000000"/>
                <w:szCs w:val="20"/>
              </w:rPr>
            </w:pPr>
          </w:p>
        </w:tc>
        <w:tc>
          <w:tcPr>
            <w:tcW w:w="1275" w:type="dxa"/>
          </w:tcPr>
          <w:p w14:paraId="402A9019">
            <w:pPr>
              <w:spacing w:line="440" w:lineRule="exact"/>
              <w:jc w:val="center"/>
              <w:rPr>
                <w:rFonts w:ascii="宋体" w:hAnsi="宋体"/>
                <w:color w:val="000000"/>
                <w:szCs w:val="20"/>
              </w:rPr>
            </w:pPr>
          </w:p>
        </w:tc>
        <w:tc>
          <w:tcPr>
            <w:tcW w:w="992" w:type="dxa"/>
            <w:vAlign w:val="center"/>
          </w:tcPr>
          <w:p w14:paraId="1CFBB7E7">
            <w:pPr>
              <w:spacing w:line="440" w:lineRule="exact"/>
              <w:jc w:val="center"/>
              <w:rPr>
                <w:rFonts w:ascii="宋体" w:hAnsi="宋体"/>
                <w:color w:val="000000"/>
                <w:szCs w:val="20"/>
              </w:rPr>
            </w:pPr>
          </w:p>
        </w:tc>
        <w:tc>
          <w:tcPr>
            <w:tcW w:w="603" w:type="dxa"/>
            <w:vAlign w:val="center"/>
          </w:tcPr>
          <w:p w14:paraId="668B49A3">
            <w:pPr>
              <w:spacing w:line="440" w:lineRule="exact"/>
              <w:jc w:val="center"/>
              <w:rPr>
                <w:rFonts w:ascii="宋体" w:hAnsi="宋体"/>
                <w:color w:val="000000"/>
                <w:szCs w:val="20"/>
              </w:rPr>
            </w:pPr>
          </w:p>
        </w:tc>
        <w:tc>
          <w:tcPr>
            <w:tcW w:w="567" w:type="dxa"/>
            <w:vAlign w:val="center"/>
          </w:tcPr>
          <w:p w14:paraId="404DBCB7">
            <w:pPr>
              <w:spacing w:line="440" w:lineRule="exact"/>
              <w:jc w:val="center"/>
              <w:rPr>
                <w:rFonts w:ascii="宋体" w:hAnsi="宋体"/>
                <w:color w:val="000000"/>
                <w:szCs w:val="20"/>
              </w:rPr>
            </w:pPr>
          </w:p>
        </w:tc>
        <w:tc>
          <w:tcPr>
            <w:tcW w:w="1055" w:type="dxa"/>
            <w:vAlign w:val="center"/>
          </w:tcPr>
          <w:p w14:paraId="42541EA8">
            <w:pPr>
              <w:spacing w:line="440" w:lineRule="exact"/>
              <w:jc w:val="center"/>
              <w:rPr>
                <w:rFonts w:ascii="宋体" w:hAnsi="宋体"/>
                <w:color w:val="000000"/>
                <w:szCs w:val="20"/>
              </w:rPr>
            </w:pPr>
          </w:p>
        </w:tc>
        <w:tc>
          <w:tcPr>
            <w:tcW w:w="709" w:type="dxa"/>
            <w:vAlign w:val="center"/>
          </w:tcPr>
          <w:p w14:paraId="661F7AC9">
            <w:pPr>
              <w:spacing w:line="440" w:lineRule="exact"/>
              <w:jc w:val="center"/>
              <w:rPr>
                <w:rFonts w:ascii="宋体" w:hAnsi="宋体"/>
                <w:color w:val="000000"/>
                <w:szCs w:val="20"/>
              </w:rPr>
            </w:pPr>
          </w:p>
        </w:tc>
        <w:tc>
          <w:tcPr>
            <w:tcW w:w="871" w:type="dxa"/>
            <w:vAlign w:val="center"/>
          </w:tcPr>
          <w:p w14:paraId="629C82E9">
            <w:pPr>
              <w:spacing w:line="440" w:lineRule="exact"/>
              <w:jc w:val="center"/>
              <w:rPr>
                <w:rFonts w:ascii="宋体" w:hAnsi="宋体"/>
                <w:color w:val="000000"/>
                <w:szCs w:val="20"/>
              </w:rPr>
            </w:pPr>
          </w:p>
        </w:tc>
        <w:tc>
          <w:tcPr>
            <w:tcW w:w="1134" w:type="dxa"/>
            <w:vAlign w:val="center"/>
          </w:tcPr>
          <w:p w14:paraId="504381D1">
            <w:pPr>
              <w:spacing w:line="440" w:lineRule="exact"/>
              <w:jc w:val="center"/>
              <w:rPr>
                <w:rFonts w:ascii="宋体" w:hAnsi="宋体"/>
                <w:color w:val="000000"/>
                <w:szCs w:val="20"/>
              </w:rPr>
            </w:pPr>
          </w:p>
        </w:tc>
      </w:tr>
      <w:tr w14:paraId="7BDB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F4524BF">
            <w:pPr>
              <w:spacing w:line="440" w:lineRule="exact"/>
              <w:jc w:val="center"/>
              <w:rPr>
                <w:rFonts w:ascii="宋体" w:hAnsi="宋体"/>
                <w:color w:val="000000"/>
                <w:szCs w:val="20"/>
              </w:rPr>
            </w:pPr>
          </w:p>
        </w:tc>
        <w:tc>
          <w:tcPr>
            <w:tcW w:w="1275" w:type="dxa"/>
          </w:tcPr>
          <w:p w14:paraId="3ABECA43">
            <w:pPr>
              <w:spacing w:line="440" w:lineRule="exact"/>
              <w:jc w:val="center"/>
              <w:rPr>
                <w:rFonts w:ascii="宋体" w:hAnsi="宋体"/>
                <w:color w:val="000000"/>
                <w:szCs w:val="20"/>
              </w:rPr>
            </w:pPr>
          </w:p>
        </w:tc>
        <w:tc>
          <w:tcPr>
            <w:tcW w:w="992" w:type="dxa"/>
          </w:tcPr>
          <w:p w14:paraId="009A31B2">
            <w:pPr>
              <w:spacing w:line="440" w:lineRule="exact"/>
              <w:jc w:val="center"/>
              <w:rPr>
                <w:rFonts w:ascii="宋体" w:hAnsi="宋体"/>
                <w:color w:val="000000"/>
                <w:szCs w:val="20"/>
              </w:rPr>
            </w:pPr>
          </w:p>
        </w:tc>
        <w:tc>
          <w:tcPr>
            <w:tcW w:w="603" w:type="dxa"/>
          </w:tcPr>
          <w:p w14:paraId="1DACBF9D">
            <w:pPr>
              <w:spacing w:line="440" w:lineRule="exact"/>
              <w:jc w:val="center"/>
              <w:rPr>
                <w:rFonts w:ascii="宋体" w:hAnsi="宋体"/>
                <w:color w:val="000000"/>
                <w:szCs w:val="20"/>
              </w:rPr>
            </w:pPr>
          </w:p>
        </w:tc>
        <w:tc>
          <w:tcPr>
            <w:tcW w:w="567" w:type="dxa"/>
          </w:tcPr>
          <w:p w14:paraId="3C6ACBB3">
            <w:pPr>
              <w:spacing w:line="440" w:lineRule="exact"/>
              <w:jc w:val="center"/>
              <w:rPr>
                <w:rFonts w:ascii="宋体" w:hAnsi="宋体"/>
                <w:color w:val="000000"/>
                <w:szCs w:val="20"/>
              </w:rPr>
            </w:pPr>
          </w:p>
        </w:tc>
        <w:tc>
          <w:tcPr>
            <w:tcW w:w="1055" w:type="dxa"/>
          </w:tcPr>
          <w:p w14:paraId="06E7B23B">
            <w:pPr>
              <w:spacing w:line="440" w:lineRule="exact"/>
              <w:jc w:val="center"/>
              <w:rPr>
                <w:rFonts w:ascii="宋体" w:hAnsi="宋体"/>
                <w:color w:val="000000"/>
                <w:szCs w:val="20"/>
              </w:rPr>
            </w:pPr>
          </w:p>
        </w:tc>
        <w:tc>
          <w:tcPr>
            <w:tcW w:w="709" w:type="dxa"/>
          </w:tcPr>
          <w:p w14:paraId="13AB59F7">
            <w:pPr>
              <w:spacing w:line="440" w:lineRule="exact"/>
              <w:jc w:val="center"/>
              <w:rPr>
                <w:rFonts w:ascii="宋体" w:hAnsi="宋体"/>
                <w:color w:val="000000"/>
                <w:szCs w:val="20"/>
              </w:rPr>
            </w:pPr>
          </w:p>
        </w:tc>
        <w:tc>
          <w:tcPr>
            <w:tcW w:w="871" w:type="dxa"/>
          </w:tcPr>
          <w:p w14:paraId="3D73F8CB">
            <w:pPr>
              <w:spacing w:line="440" w:lineRule="exact"/>
              <w:jc w:val="center"/>
              <w:rPr>
                <w:rFonts w:ascii="宋体" w:hAnsi="宋体"/>
                <w:color w:val="000000"/>
                <w:szCs w:val="20"/>
              </w:rPr>
            </w:pPr>
          </w:p>
        </w:tc>
        <w:tc>
          <w:tcPr>
            <w:tcW w:w="1134" w:type="dxa"/>
          </w:tcPr>
          <w:p w14:paraId="294C88F2">
            <w:pPr>
              <w:spacing w:line="440" w:lineRule="exact"/>
              <w:jc w:val="center"/>
              <w:rPr>
                <w:rFonts w:ascii="宋体" w:hAnsi="宋体"/>
                <w:color w:val="000000"/>
                <w:szCs w:val="20"/>
              </w:rPr>
            </w:pPr>
          </w:p>
        </w:tc>
      </w:tr>
      <w:tr w14:paraId="1F1C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78D95E01">
            <w:pPr>
              <w:spacing w:line="440" w:lineRule="exact"/>
              <w:jc w:val="center"/>
              <w:rPr>
                <w:rFonts w:ascii="宋体" w:hAnsi="宋体"/>
                <w:color w:val="000000"/>
                <w:szCs w:val="20"/>
              </w:rPr>
            </w:pPr>
          </w:p>
        </w:tc>
        <w:tc>
          <w:tcPr>
            <w:tcW w:w="1275" w:type="dxa"/>
          </w:tcPr>
          <w:p w14:paraId="401512B9">
            <w:pPr>
              <w:spacing w:line="440" w:lineRule="exact"/>
              <w:jc w:val="center"/>
              <w:rPr>
                <w:rFonts w:ascii="宋体" w:hAnsi="宋体"/>
                <w:color w:val="000000"/>
                <w:szCs w:val="20"/>
              </w:rPr>
            </w:pPr>
          </w:p>
        </w:tc>
        <w:tc>
          <w:tcPr>
            <w:tcW w:w="992" w:type="dxa"/>
          </w:tcPr>
          <w:p w14:paraId="0B125577">
            <w:pPr>
              <w:spacing w:line="440" w:lineRule="exact"/>
              <w:jc w:val="center"/>
              <w:rPr>
                <w:rFonts w:ascii="宋体" w:hAnsi="宋体"/>
                <w:color w:val="000000"/>
                <w:szCs w:val="20"/>
              </w:rPr>
            </w:pPr>
          </w:p>
        </w:tc>
        <w:tc>
          <w:tcPr>
            <w:tcW w:w="603" w:type="dxa"/>
          </w:tcPr>
          <w:p w14:paraId="4DFC6CB8">
            <w:pPr>
              <w:spacing w:line="440" w:lineRule="exact"/>
              <w:jc w:val="center"/>
              <w:rPr>
                <w:rFonts w:ascii="宋体" w:hAnsi="宋体"/>
                <w:color w:val="000000"/>
                <w:szCs w:val="20"/>
              </w:rPr>
            </w:pPr>
          </w:p>
        </w:tc>
        <w:tc>
          <w:tcPr>
            <w:tcW w:w="567" w:type="dxa"/>
          </w:tcPr>
          <w:p w14:paraId="5E85659E">
            <w:pPr>
              <w:spacing w:line="440" w:lineRule="exact"/>
              <w:jc w:val="center"/>
              <w:rPr>
                <w:rFonts w:ascii="宋体" w:hAnsi="宋体"/>
                <w:color w:val="000000"/>
                <w:szCs w:val="20"/>
              </w:rPr>
            </w:pPr>
          </w:p>
        </w:tc>
        <w:tc>
          <w:tcPr>
            <w:tcW w:w="1055" w:type="dxa"/>
          </w:tcPr>
          <w:p w14:paraId="3D884019">
            <w:pPr>
              <w:spacing w:line="440" w:lineRule="exact"/>
              <w:jc w:val="center"/>
              <w:rPr>
                <w:rFonts w:ascii="宋体" w:hAnsi="宋体"/>
                <w:color w:val="000000"/>
                <w:szCs w:val="20"/>
              </w:rPr>
            </w:pPr>
          </w:p>
        </w:tc>
        <w:tc>
          <w:tcPr>
            <w:tcW w:w="709" w:type="dxa"/>
          </w:tcPr>
          <w:p w14:paraId="7446E5B8">
            <w:pPr>
              <w:spacing w:line="440" w:lineRule="exact"/>
              <w:jc w:val="center"/>
              <w:rPr>
                <w:rFonts w:ascii="宋体" w:hAnsi="宋体"/>
                <w:color w:val="000000"/>
                <w:szCs w:val="20"/>
              </w:rPr>
            </w:pPr>
          </w:p>
        </w:tc>
        <w:tc>
          <w:tcPr>
            <w:tcW w:w="871" w:type="dxa"/>
          </w:tcPr>
          <w:p w14:paraId="26B2DAF5">
            <w:pPr>
              <w:spacing w:line="440" w:lineRule="exact"/>
              <w:jc w:val="center"/>
              <w:rPr>
                <w:rFonts w:ascii="宋体" w:hAnsi="宋体"/>
                <w:color w:val="000000"/>
                <w:szCs w:val="20"/>
              </w:rPr>
            </w:pPr>
          </w:p>
        </w:tc>
        <w:tc>
          <w:tcPr>
            <w:tcW w:w="1134" w:type="dxa"/>
          </w:tcPr>
          <w:p w14:paraId="712585D5">
            <w:pPr>
              <w:spacing w:line="440" w:lineRule="exact"/>
              <w:jc w:val="center"/>
              <w:rPr>
                <w:rFonts w:ascii="宋体" w:hAnsi="宋体"/>
                <w:color w:val="000000"/>
                <w:szCs w:val="20"/>
              </w:rPr>
            </w:pPr>
          </w:p>
        </w:tc>
      </w:tr>
      <w:tr w14:paraId="69A4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7CFE0AE0">
            <w:pPr>
              <w:spacing w:line="440" w:lineRule="exact"/>
              <w:jc w:val="center"/>
              <w:rPr>
                <w:rFonts w:ascii="宋体" w:hAnsi="宋体"/>
                <w:color w:val="000000"/>
                <w:szCs w:val="20"/>
              </w:rPr>
            </w:pPr>
          </w:p>
        </w:tc>
        <w:tc>
          <w:tcPr>
            <w:tcW w:w="1275" w:type="dxa"/>
          </w:tcPr>
          <w:p w14:paraId="1B1AF072">
            <w:pPr>
              <w:spacing w:line="440" w:lineRule="exact"/>
              <w:jc w:val="center"/>
              <w:rPr>
                <w:rFonts w:ascii="宋体" w:hAnsi="宋体"/>
                <w:color w:val="000000"/>
                <w:szCs w:val="20"/>
              </w:rPr>
            </w:pPr>
          </w:p>
        </w:tc>
        <w:tc>
          <w:tcPr>
            <w:tcW w:w="992" w:type="dxa"/>
          </w:tcPr>
          <w:p w14:paraId="0BFA876B">
            <w:pPr>
              <w:spacing w:line="440" w:lineRule="exact"/>
              <w:jc w:val="center"/>
              <w:rPr>
                <w:rFonts w:ascii="宋体" w:hAnsi="宋体"/>
                <w:color w:val="000000"/>
                <w:szCs w:val="20"/>
              </w:rPr>
            </w:pPr>
          </w:p>
        </w:tc>
        <w:tc>
          <w:tcPr>
            <w:tcW w:w="603" w:type="dxa"/>
          </w:tcPr>
          <w:p w14:paraId="5158675F">
            <w:pPr>
              <w:spacing w:line="440" w:lineRule="exact"/>
              <w:jc w:val="center"/>
              <w:rPr>
                <w:rFonts w:ascii="宋体" w:hAnsi="宋体"/>
                <w:color w:val="000000"/>
                <w:szCs w:val="20"/>
              </w:rPr>
            </w:pPr>
          </w:p>
        </w:tc>
        <w:tc>
          <w:tcPr>
            <w:tcW w:w="567" w:type="dxa"/>
          </w:tcPr>
          <w:p w14:paraId="1AEDB418">
            <w:pPr>
              <w:spacing w:line="440" w:lineRule="exact"/>
              <w:jc w:val="center"/>
              <w:rPr>
                <w:rFonts w:ascii="宋体" w:hAnsi="宋体"/>
                <w:color w:val="000000"/>
                <w:szCs w:val="20"/>
              </w:rPr>
            </w:pPr>
          </w:p>
        </w:tc>
        <w:tc>
          <w:tcPr>
            <w:tcW w:w="1055" w:type="dxa"/>
          </w:tcPr>
          <w:p w14:paraId="1B096189">
            <w:pPr>
              <w:spacing w:line="440" w:lineRule="exact"/>
              <w:jc w:val="center"/>
              <w:rPr>
                <w:rFonts w:ascii="宋体" w:hAnsi="宋体"/>
                <w:color w:val="000000"/>
                <w:szCs w:val="20"/>
              </w:rPr>
            </w:pPr>
          </w:p>
        </w:tc>
        <w:tc>
          <w:tcPr>
            <w:tcW w:w="709" w:type="dxa"/>
          </w:tcPr>
          <w:p w14:paraId="1B110410">
            <w:pPr>
              <w:spacing w:line="440" w:lineRule="exact"/>
              <w:jc w:val="center"/>
              <w:rPr>
                <w:rFonts w:ascii="宋体" w:hAnsi="宋体"/>
                <w:color w:val="000000"/>
                <w:szCs w:val="20"/>
              </w:rPr>
            </w:pPr>
          </w:p>
        </w:tc>
        <w:tc>
          <w:tcPr>
            <w:tcW w:w="871" w:type="dxa"/>
          </w:tcPr>
          <w:p w14:paraId="6BEF7330">
            <w:pPr>
              <w:spacing w:line="440" w:lineRule="exact"/>
              <w:jc w:val="center"/>
              <w:rPr>
                <w:rFonts w:ascii="宋体" w:hAnsi="宋体"/>
                <w:color w:val="000000"/>
                <w:szCs w:val="20"/>
              </w:rPr>
            </w:pPr>
          </w:p>
        </w:tc>
        <w:tc>
          <w:tcPr>
            <w:tcW w:w="1134" w:type="dxa"/>
          </w:tcPr>
          <w:p w14:paraId="02397647">
            <w:pPr>
              <w:spacing w:line="440" w:lineRule="exact"/>
              <w:jc w:val="center"/>
              <w:rPr>
                <w:rFonts w:ascii="宋体" w:hAnsi="宋体"/>
                <w:color w:val="000000"/>
                <w:szCs w:val="20"/>
              </w:rPr>
            </w:pPr>
          </w:p>
        </w:tc>
      </w:tr>
      <w:tr w14:paraId="58B9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518D75C">
            <w:pPr>
              <w:spacing w:line="440" w:lineRule="exact"/>
              <w:jc w:val="center"/>
              <w:rPr>
                <w:rFonts w:ascii="宋体" w:hAnsi="宋体"/>
                <w:color w:val="000000"/>
                <w:szCs w:val="20"/>
              </w:rPr>
            </w:pPr>
          </w:p>
        </w:tc>
        <w:tc>
          <w:tcPr>
            <w:tcW w:w="1275" w:type="dxa"/>
          </w:tcPr>
          <w:p w14:paraId="7B3EE4EA">
            <w:pPr>
              <w:spacing w:line="440" w:lineRule="exact"/>
              <w:jc w:val="center"/>
              <w:rPr>
                <w:rFonts w:ascii="宋体" w:hAnsi="宋体"/>
                <w:color w:val="000000"/>
                <w:szCs w:val="20"/>
              </w:rPr>
            </w:pPr>
          </w:p>
        </w:tc>
        <w:tc>
          <w:tcPr>
            <w:tcW w:w="992" w:type="dxa"/>
          </w:tcPr>
          <w:p w14:paraId="452BCFE9">
            <w:pPr>
              <w:spacing w:line="440" w:lineRule="exact"/>
              <w:jc w:val="center"/>
              <w:rPr>
                <w:rFonts w:ascii="宋体" w:hAnsi="宋体"/>
                <w:color w:val="000000"/>
                <w:szCs w:val="20"/>
              </w:rPr>
            </w:pPr>
          </w:p>
        </w:tc>
        <w:tc>
          <w:tcPr>
            <w:tcW w:w="603" w:type="dxa"/>
          </w:tcPr>
          <w:p w14:paraId="270E71CE">
            <w:pPr>
              <w:spacing w:line="440" w:lineRule="exact"/>
              <w:jc w:val="center"/>
              <w:rPr>
                <w:rFonts w:ascii="宋体" w:hAnsi="宋体"/>
                <w:color w:val="000000"/>
                <w:szCs w:val="20"/>
              </w:rPr>
            </w:pPr>
          </w:p>
        </w:tc>
        <w:tc>
          <w:tcPr>
            <w:tcW w:w="567" w:type="dxa"/>
          </w:tcPr>
          <w:p w14:paraId="4D30279B">
            <w:pPr>
              <w:spacing w:line="440" w:lineRule="exact"/>
              <w:jc w:val="center"/>
              <w:rPr>
                <w:rFonts w:ascii="宋体" w:hAnsi="宋体"/>
                <w:color w:val="000000"/>
                <w:szCs w:val="20"/>
              </w:rPr>
            </w:pPr>
          </w:p>
        </w:tc>
        <w:tc>
          <w:tcPr>
            <w:tcW w:w="1055" w:type="dxa"/>
          </w:tcPr>
          <w:p w14:paraId="722D9965">
            <w:pPr>
              <w:spacing w:line="440" w:lineRule="exact"/>
              <w:jc w:val="center"/>
              <w:rPr>
                <w:rFonts w:ascii="宋体" w:hAnsi="宋体"/>
                <w:color w:val="000000"/>
                <w:szCs w:val="20"/>
              </w:rPr>
            </w:pPr>
          </w:p>
        </w:tc>
        <w:tc>
          <w:tcPr>
            <w:tcW w:w="709" w:type="dxa"/>
          </w:tcPr>
          <w:p w14:paraId="71210A70">
            <w:pPr>
              <w:spacing w:line="440" w:lineRule="exact"/>
              <w:jc w:val="center"/>
              <w:rPr>
                <w:rFonts w:ascii="宋体" w:hAnsi="宋体"/>
                <w:color w:val="000000"/>
                <w:szCs w:val="20"/>
              </w:rPr>
            </w:pPr>
          </w:p>
        </w:tc>
        <w:tc>
          <w:tcPr>
            <w:tcW w:w="871" w:type="dxa"/>
          </w:tcPr>
          <w:p w14:paraId="0EC499BA">
            <w:pPr>
              <w:spacing w:line="440" w:lineRule="exact"/>
              <w:jc w:val="center"/>
              <w:rPr>
                <w:rFonts w:ascii="宋体" w:hAnsi="宋体"/>
                <w:color w:val="000000"/>
                <w:szCs w:val="20"/>
              </w:rPr>
            </w:pPr>
          </w:p>
        </w:tc>
        <w:tc>
          <w:tcPr>
            <w:tcW w:w="1134" w:type="dxa"/>
          </w:tcPr>
          <w:p w14:paraId="0472879B">
            <w:pPr>
              <w:spacing w:line="440" w:lineRule="exact"/>
              <w:jc w:val="center"/>
              <w:rPr>
                <w:rFonts w:ascii="宋体" w:hAnsi="宋体"/>
                <w:color w:val="000000"/>
                <w:szCs w:val="20"/>
              </w:rPr>
            </w:pPr>
          </w:p>
        </w:tc>
      </w:tr>
      <w:tr w14:paraId="3D3A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1980BBD6">
            <w:pPr>
              <w:spacing w:line="440" w:lineRule="exact"/>
              <w:jc w:val="center"/>
              <w:rPr>
                <w:rFonts w:ascii="宋体" w:hAnsi="宋体"/>
                <w:color w:val="000000"/>
                <w:szCs w:val="20"/>
              </w:rPr>
            </w:pPr>
          </w:p>
        </w:tc>
        <w:tc>
          <w:tcPr>
            <w:tcW w:w="1275" w:type="dxa"/>
          </w:tcPr>
          <w:p w14:paraId="2EF30E8F">
            <w:pPr>
              <w:spacing w:line="440" w:lineRule="exact"/>
              <w:jc w:val="center"/>
              <w:rPr>
                <w:rFonts w:ascii="宋体" w:hAnsi="宋体"/>
                <w:color w:val="000000"/>
                <w:szCs w:val="20"/>
              </w:rPr>
            </w:pPr>
          </w:p>
        </w:tc>
        <w:tc>
          <w:tcPr>
            <w:tcW w:w="992" w:type="dxa"/>
          </w:tcPr>
          <w:p w14:paraId="63C5B0F2">
            <w:pPr>
              <w:spacing w:line="440" w:lineRule="exact"/>
              <w:jc w:val="center"/>
              <w:rPr>
                <w:rFonts w:ascii="宋体" w:hAnsi="宋体"/>
                <w:color w:val="000000"/>
                <w:szCs w:val="20"/>
              </w:rPr>
            </w:pPr>
          </w:p>
        </w:tc>
        <w:tc>
          <w:tcPr>
            <w:tcW w:w="603" w:type="dxa"/>
          </w:tcPr>
          <w:p w14:paraId="7E9DCC9F">
            <w:pPr>
              <w:spacing w:line="440" w:lineRule="exact"/>
              <w:jc w:val="center"/>
              <w:rPr>
                <w:rFonts w:ascii="宋体" w:hAnsi="宋体"/>
                <w:color w:val="000000"/>
                <w:szCs w:val="20"/>
              </w:rPr>
            </w:pPr>
          </w:p>
        </w:tc>
        <w:tc>
          <w:tcPr>
            <w:tcW w:w="567" w:type="dxa"/>
          </w:tcPr>
          <w:p w14:paraId="32043B87">
            <w:pPr>
              <w:spacing w:line="440" w:lineRule="exact"/>
              <w:jc w:val="center"/>
              <w:rPr>
                <w:rFonts w:ascii="宋体" w:hAnsi="宋体"/>
                <w:color w:val="000000"/>
                <w:szCs w:val="20"/>
              </w:rPr>
            </w:pPr>
          </w:p>
        </w:tc>
        <w:tc>
          <w:tcPr>
            <w:tcW w:w="1055" w:type="dxa"/>
          </w:tcPr>
          <w:p w14:paraId="5BDFA974">
            <w:pPr>
              <w:spacing w:line="440" w:lineRule="exact"/>
              <w:jc w:val="center"/>
              <w:rPr>
                <w:rFonts w:ascii="宋体" w:hAnsi="宋体"/>
                <w:color w:val="000000"/>
                <w:szCs w:val="20"/>
              </w:rPr>
            </w:pPr>
          </w:p>
        </w:tc>
        <w:tc>
          <w:tcPr>
            <w:tcW w:w="709" w:type="dxa"/>
          </w:tcPr>
          <w:p w14:paraId="27D44D08">
            <w:pPr>
              <w:spacing w:line="440" w:lineRule="exact"/>
              <w:jc w:val="center"/>
              <w:rPr>
                <w:rFonts w:ascii="宋体" w:hAnsi="宋体"/>
                <w:color w:val="000000"/>
                <w:szCs w:val="20"/>
              </w:rPr>
            </w:pPr>
          </w:p>
        </w:tc>
        <w:tc>
          <w:tcPr>
            <w:tcW w:w="871" w:type="dxa"/>
          </w:tcPr>
          <w:p w14:paraId="64DFB265">
            <w:pPr>
              <w:spacing w:line="440" w:lineRule="exact"/>
              <w:jc w:val="center"/>
              <w:rPr>
                <w:rFonts w:ascii="宋体" w:hAnsi="宋体"/>
                <w:color w:val="000000"/>
                <w:szCs w:val="20"/>
              </w:rPr>
            </w:pPr>
          </w:p>
        </w:tc>
        <w:tc>
          <w:tcPr>
            <w:tcW w:w="1134" w:type="dxa"/>
          </w:tcPr>
          <w:p w14:paraId="691525FA">
            <w:pPr>
              <w:spacing w:line="440" w:lineRule="exact"/>
              <w:jc w:val="center"/>
              <w:rPr>
                <w:rFonts w:ascii="宋体" w:hAnsi="宋体"/>
                <w:color w:val="000000"/>
                <w:szCs w:val="20"/>
              </w:rPr>
            </w:pPr>
          </w:p>
        </w:tc>
      </w:tr>
      <w:tr w14:paraId="6294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3ED3CB4">
            <w:pPr>
              <w:spacing w:line="440" w:lineRule="exact"/>
              <w:jc w:val="center"/>
              <w:rPr>
                <w:rFonts w:ascii="宋体" w:hAnsi="宋体"/>
                <w:color w:val="000000"/>
                <w:szCs w:val="20"/>
              </w:rPr>
            </w:pPr>
          </w:p>
        </w:tc>
        <w:tc>
          <w:tcPr>
            <w:tcW w:w="1275" w:type="dxa"/>
          </w:tcPr>
          <w:p w14:paraId="26C5E7F1">
            <w:pPr>
              <w:spacing w:line="440" w:lineRule="exact"/>
              <w:jc w:val="center"/>
              <w:rPr>
                <w:rFonts w:ascii="宋体" w:hAnsi="宋体"/>
                <w:color w:val="000000"/>
                <w:szCs w:val="20"/>
              </w:rPr>
            </w:pPr>
          </w:p>
        </w:tc>
        <w:tc>
          <w:tcPr>
            <w:tcW w:w="992" w:type="dxa"/>
          </w:tcPr>
          <w:p w14:paraId="2837AF4B">
            <w:pPr>
              <w:spacing w:line="440" w:lineRule="exact"/>
              <w:jc w:val="center"/>
              <w:rPr>
                <w:rFonts w:ascii="宋体" w:hAnsi="宋体"/>
                <w:color w:val="000000"/>
                <w:szCs w:val="20"/>
              </w:rPr>
            </w:pPr>
          </w:p>
        </w:tc>
        <w:tc>
          <w:tcPr>
            <w:tcW w:w="603" w:type="dxa"/>
          </w:tcPr>
          <w:p w14:paraId="078991FB">
            <w:pPr>
              <w:spacing w:line="440" w:lineRule="exact"/>
              <w:jc w:val="center"/>
              <w:rPr>
                <w:rFonts w:ascii="宋体" w:hAnsi="宋体"/>
                <w:color w:val="000000"/>
                <w:szCs w:val="20"/>
              </w:rPr>
            </w:pPr>
          </w:p>
        </w:tc>
        <w:tc>
          <w:tcPr>
            <w:tcW w:w="567" w:type="dxa"/>
          </w:tcPr>
          <w:p w14:paraId="6CA0743C">
            <w:pPr>
              <w:spacing w:line="440" w:lineRule="exact"/>
              <w:jc w:val="center"/>
              <w:rPr>
                <w:rFonts w:ascii="宋体" w:hAnsi="宋体"/>
                <w:color w:val="000000"/>
                <w:szCs w:val="20"/>
              </w:rPr>
            </w:pPr>
          </w:p>
        </w:tc>
        <w:tc>
          <w:tcPr>
            <w:tcW w:w="1055" w:type="dxa"/>
          </w:tcPr>
          <w:p w14:paraId="05E104B8">
            <w:pPr>
              <w:spacing w:line="440" w:lineRule="exact"/>
              <w:jc w:val="center"/>
              <w:rPr>
                <w:rFonts w:ascii="宋体" w:hAnsi="宋体"/>
                <w:color w:val="000000"/>
                <w:szCs w:val="20"/>
              </w:rPr>
            </w:pPr>
          </w:p>
        </w:tc>
        <w:tc>
          <w:tcPr>
            <w:tcW w:w="709" w:type="dxa"/>
          </w:tcPr>
          <w:p w14:paraId="5D9B6A0C">
            <w:pPr>
              <w:spacing w:line="440" w:lineRule="exact"/>
              <w:jc w:val="center"/>
              <w:rPr>
                <w:rFonts w:ascii="宋体" w:hAnsi="宋体"/>
                <w:color w:val="000000"/>
                <w:szCs w:val="20"/>
              </w:rPr>
            </w:pPr>
          </w:p>
        </w:tc>
        <w:tc>
          <w:tcPr>
            <w:tcW w:w="871" w:type="dxa"/>
          </w:tcPr>
          <w:p w14:paraId="6DDC8744">
            <w:pPr>
              <w:spacing w:line="440" w:lineRule="exact"/>
              <w:jc w:val="center"/>
              <w:rPr>
                <w:rFonts w:ascii="宋体" w:hAnsi="宋体"/>
                <w:color w:val="000000"/>
                <w:szCs w:val="20"/>
              </w:rPr>
            </w:pPr>
          </w:p>
        </w:tc>
        <w:tc>
          <w:tcPr>
            <w:tcW w:w="1134" w:type="dxa"/>
          </w:tcPr>
          <w:p w14:paraId="44DE8D02">
            <w:pPr>
              <w:spacing w:line="440" w:lineRule="exact"/>
              <w:jc w:val="center"/>
              <w:rPr>
                <w:rFonts w:ascii="宋体" w:hAnsi="宋体"/>
                <w:color w:val="000000"/>
                <w:szCs w:val="20"/>
              </w:rPr>
            </w:pPr>
          </w:p>
        </w:tc>
      </w:tr>
      <w:tr w14:paraId="6F4B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F6E74CA">
            <w:pPr>
              <w:spacing w:line="440" w:lineRule="exact"/>
              <w:jc w:val="center"/>
              <w:rPr>
                <w:rFonts w:ascii="宋体" w:hAnsi="宋体"/>
                <w:color w:val="000000"/>
                <w:szCs w:val="20"/>
              </w:rPr>
            </w:pPr>
          </w:p>
        </w:tc>
        <w:tc>
          <w:tcPr>
            <w:tcW w:w="1275" w:type="dxa"/>
          </w:tcPr>
          <w:p w14:paraId="61DB8713">
            <w:pPr>
              <w:spacing w:line="440" w:lineRule="exact"/>
              <w:jc w:val="center"/>
              <w:rPr>
                <w:rFonts w:ascii="宋体" w:hAnsi="宋体"/>
                <w:color w:val="000000"/>
                <w:szCs w:val="20"/>
              </w:rPr>
            </w:pPr>
          </w:p>
        </w:tc>
        <w:tc>
          <w:tcPr>
            <w:tcW w:w="992" w:type="dxa"/>
          </w:tcPr>
          <w:p w14:paraId="64636056">
            <w:pPr>
              <w:spacing w:line="440" w:lineRule="exact"/>
              <w:jc w:val="center"/>
              <w:rPr>
                <w:rFonts w:ascii="宋体" w:hAnsi="宋体"/>
                <w:color w:val="000000"/>
                <w:szCs w:val="20"/>
              </w:rPr>
            </w:pPr>
          </w:p>
        </w:tc>
        <w:tc>
          <w:tcPr>
            <w:tcW w:w="603" w:type="dxa"/>
          </w:tcPr>
          <w:p w14:paraId="2EC928C5">
            <w:pPr>
              <w:spacing w:line="440" w:lineRule="exact"/>
              <w:jc w:val="center"/>
              <w:rPr>
                <w:rFonts w:ascii="宋体" w:hAnsi="宋体"/>
                <w:color w:val="000000"/>
                <w:szCs w:val="20"/>
              </w:rPr>
            </w:pPr>
          </w:p>
        </w:tc>
        <w:tc>
          <w:tcPr>
            <w:tcW w:w="567" w:type="dxa"/>
          </w:tcPr>
          <w:p w14:paraId="3B73158D">
            <w:pPr>
              <w:spacing w:line="440" w:lineRule="exact"/>
              <w:jc w:val="center"/>
              <w:rPr>
                <w:rFonts w:ascii="宋体" w:hAnsi="宋体"/>
                <w:color w:val="000000"/>
                <w:szCs w:val="20"/>
              </w:rPr>
            </w:pPr>
          </w:p>
        </w:tc>
        <w:tc>
          <w:tcPr>
            <w:tcW w:w="1055" w:type="dxa"/>
          </w:tcPr>
          <w:p w14:paraId="37FE4F05">
            <w:pPr>
              <w:spacing w:line="440" w:lineRule="exact"/>
              <w:jc w:val="center"/>
              <w:rPr>
                <w:rFonts w:ascii="宋体" w:hAnsi="宋体"/>
                <w:color w:val="000000"/>
                <w:szCs w:val="20"/>
              </w:rPr>
            </w:pPr>
          </w:p>
        </w:tc>
        <w:tc>
          <w:tcPr>
            <w:tcW w:w="709" w:type="dxa"/>
          </w:tcPr>
          <w:p w14:paraId="228A6536">
            <w:pPr>
              <w:spacing w:line="440" w:lineRule="exact"/>
              <w:jc w:val="center"/>
              <w:rPr>
                <w:rFonts w:ascii="宋体" w:hAnsi="宋体"/>
                <w:color w:val="000000"/>
                <w:szCs w:val="20"/>
              </w:rPr>
            </w:pPr>
          </w:p>
        </w:tc>
        <w:tc>
          <w:tcPr>
            <w:tcW w:w="871" w:type="dxa"/>
          </w:tcPr>
          <w:p w14:paraId="14510023">
            <w:pPr>
              <w:spacing w:line="440" w:lineRule="exact"/>
              <w:jc w:val="center"/>
              <w:rPr>
                <w:rFonts w:ascii="宋体" w:hAnsi="宋体"/>
                <w:color w:val="000000"/>
                <w:szCs w:val="20"/>
              </w:rPr>
            </w:pPr>
          </w:p>
        </w:tc>
        <w:tc>
          <w:tcPr>
            <w:tcW w:w="1134" w:type="dxa"/>
          </w:tcPr>
          <w:p w14:paraId="00DC32B0">
            <w:pPr>
              <w:spacing w:line="440" w:lineRule="exact"/>
              <w:jc w:val="center"/>
              <w:rPr>
                <w:rFonts w:ascii="宋体" w:hAnsi="宋体"/>
                <w:color w:val="000000"/>
                <w:szCs w:val="20"/>
              </w:rPr>
            </w:pPr>
          </w:p>
        </w:tc>
      </w:tr>
      <w:tr w14:paraId="5848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0EAE95E">
            <w:pPr>
              <w:spacing w:line="440" w:lineRule="exact"/>
              <w:jc w:val="center"/>
              <w:rPr>
                <w:rFonts w:ascii="宋体" w:hAnsi="宋体"/>
                <w:color w:val="000000"/>
                <w:szCs w:val="20"/>
              </w:rPr>
            </w:pPr>
          </w:p>
        </w:tc>
        <w:tc>
          <w:tcPr>
            <w:tcW w:w="1275" w:type="dxa"/>
          </w:tcPr>
          <w:p w14:paraId="5A4EC0DC">
            <w:pPr>
              <w:spacing w:line="440" w:lineRule="exact"/>
              <w:jc w:val="center"/>
              <w:rPr>
                <w:rFonts w:ascii="宋体" w:hAnsi="宋体"/>
                <w:color w:val="000000"/>
                <w:szCs w:val="20"/>
              </w:rPr>
            </w:pPr>
          </w:p>
        </w:tc>
        <w:tc>
          <w:tcPr>
            <w:tcW w:w="992" w:type="dxa"/>
          </w:tcPr>
          <w:p w14:paraId="591351F8">
            <w:pPr>
              <w:spacing w:line="440" w:lineRule="exact"/>
              <w:jc w:val="center"/>
              <w:rPr>
                <w:rFonts w:ascii="宋体" w:hAnsi="宋体"/>
                <w:color w:val="000000"/>
                <w:szCs w:val="20"/>
              </w:rPr>
            </w:pPr>
          </w:p>
        </w:tc>
        <w:tc>
          <w:tcPr>
            <w:tcW w:w="603" w:type="dxa"/>
          </w:tcPr>
          <w:p w14:paraId="6FDAA2E0">
            <w:pPr>
              <w:spacing w:line="440" w:lineRule="exact"/>
              <w:jc w:val="center"/>
              <w:rPr>
                <w:rFonts w:ascii="宋体" w:hAnsi="宋体"/>
                <w:color w:val="000000"/>
                <w:szCs w:val="20"/>
              </w:rPr>
            </w:pPr>
          </w:p>
        </w:tc>
        <w:tc>
          <w:tcPr>
            <w:tcW w:w="567" w:type="dxa"/>
          </w:tcPr>
          <w:p w14:paraId="44F0A2C7">
            <w:pPr>
              <w:spacing w:line="440" w:lineRule="exact"/>
              <w:jc w:val="center"/>
              <w:rPr>
                <w:rFonts w:ascii="宋体" w:hAnsi="宋体"/>
                <w:color w:val="000000"/>
                <w:szCs w:val="20"/>
              </w:rPr>
            </w:pPr>
          </w:p>
        </w:tc>
        <w:tc>
          <w:tcPr>
            <w:tcW w:w="1055" w:type="dxa"/>
          </w:tcPr>
          <w:p w14:paraId="461F28F0">
            <w:pPr>
              <w:spacing w:line="440" w:lineRule="exact"/>
              <w:jc w:val="center"/>
              <w:rPr>
                <w:rFonts w:ascii="宋体" w:hAnsi="宋体"/>
                <w:color w:val="000000"/>
                <w:szCs w:val="20"/>
              </w:rPr>
            </w:pPr>
          </w:p>
        </w:tc>
        <w:tc>
          <w:tcPr>
            <w:tcW w:w="709" w:type="dxa"/>
          </w:tcPr>
          <w:p w14:paraId="50A4093F">
            <w:pPr>
              <w:spacing w:line="440" w:lineRule="exact"/>
              <w:jc w:val="center"/>
              <w:rPr>
                <w:rFonts w:ascii="宋体" w:hAnsi="宋体"/>
                <w:color w:val="000000"/>
                <w:szCs w:val="20"/>
              </w:rPr>
            </w:pPr>
          </w:p>
        </w:tc>
        <w:tc>
          <w:tcPr>
            <w:tcW w:w="871" w:type="dxa"/>
          </w:tcPr>
          <w:p w14:paraId="0B466385">
            <w:pPr>
              <w:spacing w:line="440" w:lineRule="exact"/>
              <w:jc w:val="center"/>
              <w:rPr>
                <w:rFonts w:ascii="宋体" w:hAnsi="宋体"/>
                <w:color w:val="000000"/>
                <w:szCs w:val="20"/>
              </w:rPr>
            </w:pPr>
          </w:p>
        </w:tc>
        <w:tc>
          <w:tcPr>
            <w:tcW w:w="1134" w:type="dxa"/>
          </w:tcPr>
          <w:p w14:paraId="1D5F8D5E">
            <w:pPr>
              <w:spacing w:line="440" w:lineRule="exact"/>
              <w:jc w:val="center"/>
              <w:rPr>
                <w:rFonts w:ascii="宋体" w:hAnsi="宋体"/>
                <w:color w:val="000000"/>
                <w:szCs w:val="20"/>
              </w:rPr>
            </w:pPr>
          </w:p>
        </w:tc>
      </w:tr>
      <w:tr w14:paraId="6A83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B83506">
            <w:pPr>
              <w:spacing w:line="440" w:lineRule="exact"/>
              <w:jc w:val="center"/>
              <w:rPr>
                <w:rFonts w:ascii="宋体" w:hAnsi="宋体"/>
                <w:color w:val="000000"/>
                <w:szCs w:val="20"/>
              </w:rPr>
            </w:pPr>
          </w:p>
        </w:tc>
        <w:tc>
          <w:tcPr>
            <w:tcW w:w="1275" w:type="dxa"/>
          </w:tcPr>
          <w:p w14:paraId="1C477CC0">
            <w:pPr>
              <w:spacing w:line="440" w:lineRule="exact"/>
              <w:jc w:val="center"/>
              <w:rPr>
                <w:rFonts w:ascii="宋体" w:hAnsi="宋体"/>
                <w:color w:val="000000"/>
                <w:szCs w:val="20"/>
              </w:rPr>
            </w:pPr>
          </w:p>
        </w:tc>
        <w:tc>
          <w:tcPr>
            <w:tcW w:w="992" w:type="dxa"/>
          </w:tcPr>
          <w:p w14:paraId="55DDC8C7">
            <w:pPr>
              <w:spacing w:line="440" w:lineRule="exact"/>
              <w:jc w:val="center"/>
              <w:rPr>
                <w:rFonts w:ascii="宋体" w:hAnsi="宋体"/>
                <w:color w:val="000000"/>
                <w:szCs w:val="20"/>
              </w:rPr>
            </w:pPr>
          </w:p>
        </w:tc>
        <w:tc>
          <w:tcPr>
            <w:tcW w:w="603" w:type="dxa"/>
          </w:tcPr>
          <w:p w14:paraId="7C783396">
            <w:pPr>
              <w:spacing w:line="440" w:lineRule="exact"/>
              <w:jc w:val="center"/>
              <w:rPr>
                <w:rFonts w:ascii="宋体" w:hAnsi="宋体"/>
                <w:color w:val="000000"/>
                <w:szCs w:val="20"/>
              </w:rPr>
            </w:pPr>
          </w:p>
        </w:tc>
        <w:tc>
          <w:tcPr>
            <w:tcW w:w="567" w:type="dxa"/>
          </w:tcPr>
          <w:p w14:paraId="6A6DCF2A">
            <w:pPr>
              <w:spacing w:line="440" w:lineRule="exact"/>
              <w:jc w:val="center"/>
              <w:rPr>
                <w:rFonts w:ascii="宋体" w:hAnsi="宋体"/>
                <w:color w:val="000000"/>
                <w:szCs w:val="20"/>
              </w:rPr>
            </w:pPr>
          </w:p>
        </w:tc>
        <w:tc>
          <w:tcPr>
            <w:tcW w:w="1055" w:type="dxa"/>
          </w:tcPr>
          <w:p w14:paraId="58054E36">
            <w:pPr>
              <w:spacing w:line="440" w:lineRule="exact"/>
              <w:jc w:val="center"/>
              <w:rPr>
                <w:rFonts w:ascii="宋体" w:hAnsi="宋体"/>
                <w:color w:val="000000"/>
                <w:szCs w:val="20"/>
              </w:rPr>
            </w:pPr>
          </w:p>
        </w:tc>
        <w:tc>
          <w:tcPr>
            <w:tcW w:w="709" w:type="dxa"/>
          </w:tcPr>
          <w:p w14:paraId="76D44A56">
            <w:pPr>
              <w:spacing w:line="440" w:lineRule="exact"/>
              <w:jc w:val="center"/>
              <w:rPr>
                <w:rFonts w:ascii="宋体" w:hAnsi="宋体"/>
                <w:color w:val="000000"/>
                <w:szCs w:val="20"/>
              </w:rPr>
            </w:pPr>
          </w:p>
        </w:tc>
        <w:tc>
          <w:tcPr>
            <w:tcW w:w="871" w:type="dxa"/>
          </w:tcPr>
          <w:p w14:paraId="3A1BA08C">
            <w:pPr>
              <w:spacing w:line="440" w:lineRule="exact"/>
              <w:jc w:val="center"/>
              <w:rPr>
                <w:rFonts w:ascii="宋体" w:hAnsi="宋体"/>
                <w:color w:val="000000"/>
                <w:szCs w:val="20"/>
              </w:rPr>
            </w:pPr>
          </w:p>
        </w:tc>
        <w:tc>
          <w:tcPr>
            <w:tcW w:w="1134" w:type="dxa"/>
          </w:tcPr>
          <w:p w14:paraId="7F56D64A">
            <w:pPr>
              <w:spacing w:line="440" w:lineRule="exact"/>
              <w:jc w:val="center"/>
              <w:rPr>
                <w:rFonts w:ascii="宋体" w:hAnsi="宋体"/>
                <w:color w:val="000000"/>
                <w:szCs w:val="20"/>
              </w:rPr>
            </w:pPr>
          </w:p>
        </w:tc>
      </w:tr>
      <w:tr w14:paraId="1DCF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33C6539">
            <w:pPr>
              <w:spacing w:line="440" w:lineRule="exact"/>
              <w:jc w:val="center"/>
              <w:rPr>
                <w:rFonts w:ascii="宋体" w:hAnsi="宋体"/>
                <w:color w:val="000000"/>
                <w:szCs w:val="20"/>
              </w:rPr>
            </w:pPr>
          </w:p>
        </w:tc>
        <w:tc>
          <w:tcPr>
            <w:tcW w:w="1275" w:type="dxa"/>
          </w:tcPr>
          <w:p w14:paraId="58E6BA23">
            <w:pPr>
              <w:spacing w:line="440" w:lineRule="exact"/>
              <w:jc w:val="center"/>
              <w:rPr>
                <w:rFonts w:ascii="宋体" w:hAnsi="宋体"/>
                <w:color w:val="000000"/>
                <w:szCs w:val="20"/>
              </w:rPr>
            </w:pPr>
          </w:p>
        </w:tc>
        <w:tc>
          <w:tcPr>
            <w:tcW w:w="992" w:type="dxa"/>
          </w:tcPr>
          <w:p w14:paraId="180F27A5">
            <w:pPr>
              <w:spacing w:line="440" w:lineRule="exact"/>
              <w:jc w:val="center"/>
              <w:rPr>
                <w:rFonts w:ascii="宋体" w:hAnsi="宋体"/>
                <w:color w:val="000000"/>
                <w:szCs w:val="20"/>
              </w:rPr>
            </w:pPr>
          </w:p>
        </w:tc>
        <w:tc>
          <w:tcPr>
            <w:tcW w:w="603" w:type="dxa"/>
          </w:tcPr>
          <w:p w14:paraId="2DA8FB63">
            <w:pPr>
              <w:spacing w:line="440" w:lineRule="exact"/>
              <w:jc w:val="center"/>
              <w:rPr>
                <w:rFonts w:ascii="宋体" w:hAnsi="宋体"/>
                <w:color w:val="000000"/>
                <w:szCs w:val="20"/>
              </w:rPr>
            </w:pPr>
          </w:p>
        </w:tc>
        <w:tc>
          <w:tcPr>
            <w:tcW w:w="567" w:type="dxa"/>
          </w:tcPr>
          <w:p w14:paraId="7C1F035E">
            <w:pPr>
              <w:spacing w:line="440" w:lineRule="exact"/>
              <w:jc w:val="center"/>
              <w:rPr>
                <w:rFonts w:ascii="宋体" w:hAnsi="宋体"/>
                <w:color w:val="000000"/>
                <w:szCs w:val="20"/>
              </w:rPr>
            </w:pPr>
          </w:p>
        </w:tc>
        <w:tc>
          <w:tcPr>
            <w:tcW w:w="1055" w:type="dxa"/>
          </w:tcPr>
          <w:p w14:paraId="0FD71433">
            <w:pPr>
              <w:spacing w:line="440" w:lineRule="exact"/>
              <w:jc w:val="center"/>
              <w:rPr>
                <w:rFonts w:ascii="宋体" w:hAnsi="宋体"/>
                <w:color w:val="000000"/>
                <w:szCs w:val="20"/>
              </w:rPr>
            </w:pPr>
          </w:p>
        </w:tc>
        <w:tc>
          <w:tcPr>
            <w:tcW w:w="709" w:type="dxa"/>
          </w:tcPr>
          <w:p w14:paraId="2E287A29">
            <w:pPr>
              <w:spacing w:line="440" w:lineRule="exact"/>
              <w:jc w:val="center"/>
              <w:rPr>
                <w:rFonts w:ascii="宋体" w:hAnsi="宋体"/>
                <w:color w:val="000000"/>
                <w:szCs w:val="20"/>
              </w:rPr>
            </w:pPr>
          </w:p>
        </w:tc>
        <w:tc>
          <w:tcPr>
            <w:tcW w:w="871" w:type="dxa"/>
          </w:tcPr>
          <w:p w14:paraId="46D8DF19">
            <w:pPr>
              <w:spacing w:line="440" w:lineRule="exact"/>
              <w:jc w:val="center"/>
              <w:rPr>
                <w:rFonts w:ascii="宋体" w:hAnsi="宋体"/>
                <w:color w:val="000000"/>
                <w:szCs w:val="20"/>
              </w:rPr>
            </w:pPr>
          </w:p>
        </w:tc>
        <w:tc>
          <w:tcPr>
            <w:tcW w:w="1134" w:type="dxa"/>
          </w:tcPr>
          <w:p w14:paraId="01B6B97C">
            <w:pPr>
              <w:spacing w:line="440" w:lineRule="exact"/>
              <w:jc w:val="center"/>
              <w:rPr>
                <w:rFonts w:ascii="宋体" w:hAnsi="宋体"/>
                <w:color w:val="000000"/>
                <w:szCs w:val="20"/>
              </w:rPr>
            </w:pPr>
          </w:p>
        </w:tc>
      </w:tr>
      <w:tr w14:paraId="692B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77C189A">
            <w:pPr>
              <w:spacing w:line="440" w:lineRule="exact"/>
              <w:jc w:val="center"/>
              <w:rPr>
                <w:rFonts w:ascii="宋体" w:hAnsi="宋体"/>
                <w:color w:val="000000"/>
                <w:szCs w:val="20"/>
              </w:rPr>
            </w:pPr>
          </w:p>
        </w:tc>
        <w:tc>
          <w:tcPr>
            <w:tcW w:w="1275" w:type="dxa"/>
          </w:tcPr>
          <w:p w14:paraId="6AA289DC">
            <w:pPr>
              <w:spacing w:line="440" w:lineRule="exact"/>
              <w:jc w:val="center"/>
              <w:rPr>
                <w:rFonts w:ascii="宋体" w:hAnsi="宋体"/>
                <w:color w:val="000000"/>
                <w:szCs w:val="20"/>
              </w:rPr>
            </w:pPr>
          </w:p>
        </w:tc>
        <w:tc>
          <w:tcPr>
            <w:tcW w:w="992" w:type="dxa"/>
          </w:tcPr>
          <w:p w14:paraId="265F217E">
            <w:pPr>
              <w:spacing w:line="440" w:lineRule="exact"/>
              <w:jc w:val="center"/>
              <w:rPr>
                <w:rFonts w:ascii="宋体" w:hAnsi="宋体"/>
                <w:color w:val="000000"/>
                <w:szCs w:val="20"/>
              </w:rPr>
            </w:pPr>
          </w:p>
        </w:tc>
        <w:tc>
          <w:tcPr>
            <w:tcW w:w="603" w:type="dxa"/>
          </w:tcPr>
          <w:p w14:paraId="466A84B4">
            <w:pPr>
              <w:spacing w:line="440" w:lineRule="exact"/>
              <w:jc w:val="center"/>
              <w:rPr>
                <w:rFonts w:ascii="宋体" w:hAnsi="宋体"/>
                <w:color w:val="000000"/>
                <w:szCs w:val="20"/>
              </w:rPr>
            </w:pPr>
          </w:p>
        </w:tc>
        <w:tc>
          <w:tcPr>
            <w:tcW w:w="567" w:type="dxa"/>
          </w:tcPr>
          <w:p w14:paraId="2F729F05">
            <w:pPr>
              <w:spacing w:line="440" w:lineRule="exact"/>
              <w:jc w:val="center"/>
              <w:rPr>
                <w:rFonts w:ascii="宋体" w:hAnsi="宋体"/>
                <w:color w:val="000000"/>
                <w:szCs w:val="20"/>
              </w:rPr>
            </w:pPr>
          </w:p>
        </w:tc>
        <w:tc>
          <w:tcPr>
            <w:tcW w:w="1055" w:type="dxa"/>
          </w:tcPr>
          <w:p w14:paraId="317C2BF9">
            <w:pPr>
              <w:spacing w:line="440" w:lineRule="exact"/>
              <w:jc w:val="center"/>
              <w:rPr>
                <w:rFonts w:ascii="宋体" w:hAnsi="宋体"/>
                <w:color w:val="000000"/>
                <w:szCs w:val="20"/>
              </w:rPr>
            </w:pPr>
          </w:p>
        </w:tc>
        <w:tc>
          <w:tcPr>
            <w:tcW w:w="709" w:type="dxa"/>
          </w:tcPr>
          <w:p w14:paraId="5968501E">
            <w:pPr>
              <w:spacing w:line="440" w:lineRule="exact"/>
              <w:jc w:val="center"/>
              <w:rPr>
                <w:rFonts w:ascii="宋体" w:hAnsi="宋体"/>
                <w:color w:val="000000"/>
                <w:szCs w:val="20"/>
              </w:rPr>
            </w:pPr>
          </w:p>
        </w:tc>
        <w:tc>
          <w:tcPr>
            <w:tcW w:w="871" w:type="dxa"/>
          </w:tcPr>
          <w:p w14:paraId="52859E2F">
            <w:pPr>
              <w:spacing w:line="440" w:lineRule="exact"/>
              <w:jc w:val="center"/>
              <w:rPr>
                <w:rFonts w:ascii="宋体" w:hAnsi="宋体"/>
                <w:color w:val="000000"/>
                <w:szCs w:val="20"/>
              </w:rPr>
            </w:pPr>
          </w:p>
        </w:tc>
        <w:tc>
          <w:tcPr>
            <w:tcW w:w="1134" w:type="dxa"/>
          </w:tcPr>
          <w:p w14:paraId="08001F54">
            <w:pPr>
              <w:spacing w:line="440" w:lineRule="exact"/>
              <w:jc w:val="center"/>
              <w:rPr>
                <w:rFonts w:ascii="宋体" w:hAnsi="宋体"/>
                <w:color w:val="000000"/>
                <w:szCs w:val="20"/>
              </w:rPr>
            </w:pPr>
          </w:p>
        </w:tc>
      </w:tr>
      <w:tr w14:paraId="02B2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369A6FA">
            <w:pPr>
              <w:spacing w:line="440" w:lineRule="exact"/>
              <w:jc w:val="center"/>
              <w:rPr>
                <w:rFonts w:ascii="宋体" w:hAnsi="宋体"/>
                <w:color w:val="000000"/>
                <w:szCs w:val="20"/>
              </w:rPr>
            </w:pPr>
          </w:p>
        </w:tc>
        <w:tc>
          <w:tcPr>
            <w:tcW w:w="1275" w:type="dxa"/>
          </w:tcPr>
          <w:p w14:paraId="20914221">
            <w:pPr>
              <w:spacing w:line="440" w:lineRule="exact"/>
              <w:jc w:val="center"/>
              <w:rPr>
                <w:rFonts w:ascii="宋体" w:hAnsi="宋体"/>
                <w:color w:val="000000"/>
                <w:szCs w:val="20"/>
              </w:rPr>
            </w:pPr>
          </w:p>
        </w:tc>
        <w:tc>
          <w:tcPr>
            <w:tcW w:w="992" w:type="dxa"/>
          </w:tcPr>
          <w:p w14:paraId="5D8931CA">
            <w:pPr>
              <w:spacing w:line="440" w:lineRule="exact"/>
              <w:jc w:val="center"/>
              <w:rPr>
                <w:rFonts w:ascii="宋体" w:hAnsi="宋体"/>
                <w:color w:val="000000"/>
                <w:szCs w:val="20"/>
              </w:rPr>
            </w:pPr>
          </w:p>
        </w:tc>
        <w:tc>
          <w:tcPr>
            <w:tcW w:w="603" w:type="dxa"/>
          </w:tcPr>
          <w:p w14:paraId="7CEB609F">
            <w:pPr>
              <w:spacing w:line="440" w:lineRule="exact"/>
              <w:jc w:val="center"/>
              <w:rPr>
                <w:rFonts w:ascii="宋体" w:hAnsi="宋体"/>
                <w:color w:val="000000"/>
                <w:szCs w:val="20"/>
              </w:rPr>
            </w:pPr>
          </w:p>
        </w:tc>
        <w:tc>
          <w:tcPr>
            <w:tcW w:w="567" w:type="dxa"/>
          </w:tcPr>
          <w:p w14:paraId="3D13D4F4">
            <w:pPr>
              <w:spacing w:line="440" w:lineRule="exact"/>
              <w:jc w:val="center"/>
              <w:rPr>
                <w:rFonts w:ascii="宋体" w:hAnsi="宋体"/>
                <w:color w:val="000000"/>
                <w:szCs w:val="20"/>
              </w:rPr>
            </w:pPr>
          </w:p>
        </w:tc>
        <w:tc>
          <w:tcPr>
            <w:tcW w:w="1055" w:type="dxa"/>
          </w:tcPr>
          <w:p w14:paraId="2B5AA49B">
            <w:pPr>
              <w:spacing w:line="440" w:lineRule="exact"/>
              <w:jc w:val="center"/>
              <w:rPr>
                <w:rFonts w:ascii="宋体" w:hAnsi="宋体"/>
                <w:color w:val="000000"/>
                <w:szCs w:val="20"/>
              </w:rPr>
            </w:pPr>
          </w:p>
        </w:tc>
        <w:tc>
          <w:tcPr>
            <w:tcW w:w="709" w:type="dxa"/>
          </w:tcPr>
          <w:p w14:paraId="7D3AFC07">
            <w:pPr>
              <w:spacing w:line="440" w:lineRule="exact"/>
              <w:jc w:val="center"/>
              <w:rPr>
                <w:rFonts w:ascii="宋体" w:hAnsi="宋体"/>
                <w:color w:val="000000"/>
                <w:szCs w:val="20"/>
              </w:rPr>
            </w:pPr>
          </w:p>
        </w:tc>
        <w:tc>
          <w:tcPr>
            <w:tcW w:w="871" w:type="dxa"/>
          </w:tcPr>
          <w:p w14:paraId="49260ECA">
            <w:pPr>
              <w:spacing w:line="440" w:lineRule="exact"/>
              <w:jc w:val="center"/>
              <w:rPr>
                <w:rFonts w:ascii="宋体" w:hAnsi="宋体"/>
                <w:color w:val="000000"/>
                <w:szCs w:val="20"/>
              </w:rPr>
            </w:pPr>
          </w:p>
        </w:tc>
        <w:tc>
          <w:tcPr>
            <w:tcW w:w="1134" w:type="dxa"/>
          </w:tcPr>
          <w:p w14:paraId="0CF4BC7E">
            <w:pPr>
              <w:spacing w:line="440" w:lineRule="exact"/>
              <w:jc w:val="center"/>
              <w:rPr>
                <w:rFonts w:ascii="宋体" w:hAnsi="宋体"/>
                <w:color w:val="000000"/>
                <w:szCs w:val="20"/>
              </w:rPr>
            </w:pPr>
          </w:p>
        </w:tc>
      </w:tr>
      <w:tr w14:paraId="437D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C3CEDF2">
            <w:pPr>
              <w:spacing w:line="440" w:lineRule="exact"/>
              <w:jc w:val="center"/>
              <w:rPr>
                <w:rFonts w:ascii="宋体" w:hAnsi="宋体"/>
                <w:color w:val="000000"/>
                <w:szCs w:val="20"/>
              </w:rPr>
            </w:pPr>
          </w:p>
        </w:tc>
        <w:tc>
          <w:tcPr>
            <w:tcW w:w="1275" w:type="dxa"/>
          </w:tcPr>
          <w:p w14:paraId="19F2721C">
            <w:pPr>
              <w:spacing w:line="440" w:lineRule="exact"/>
              <w:jc w:val="center"/>
              <w:rPr>
                <w:rFonts w:ascii="宋体" w:hAnsi="宋体"/>
                <w:color w:val="000000"/>
                <w:szCs w:val="20"/>
              </w:rPr>
            </w:pPr>
          </w:p>
        </w:tc>
        <w:tc>
          <w:tcPr>
            <w:tcW w:w="992" w:type="dxa"/>
          </w:tcPr>
          <w:p w14:paraId="5EDCB6DB">
            <w:pPr>
              <w:spacing w:line="440" w:lineRule="exact"/>
              <w:jc w:val="center"/>
              <w:rPr>
                <w:rFonts w:ascii="宋体" w:hAnsi="宋体"/>
                <w:color w:val="000000"/>
                <w:szCs w:val="20"/>
              </w:rPr>
            </w:pPr>
          </w:p>
        </w:tc>
        <w:tc>
          <w:tcPr>
            <w:tcW w:w="603" w:type="dxa"/>
          </w:tcPr>
          <w:p w14:paraId="4F75AC16">
            <w:pPr>
              <w:spacing w:line="440" w:lineRule="exact"/>
              <w:jc w:val="center"/>
              <w:rPr>
                <w:rFonts w:ascii="宋体" w:hAnsi="宋体"/>
                <w:color w:val="000000"/>
                <w:szCs w:val="20"/>
              </w:rPr>
            </w:pPr>
          </w:p>
        </w:tc>
        <w:tc>
          <w:tcPr>
            <w:tcW w:w="567" w:type="dxa"/>
          </w:tcPr>
          <w:p w14:paraId="613B31B8">
            <w:pPr>
              <w:spacing w:line="440" w:lineRule="exact"/>
              <w:jc w:val="center"/>
              <w:rPr>
                <w:rFonts w:ascii="宋体" w:hAnsi="宋体"/>
                <w:color w:val="000000"/>
                <w:szCs w:val="20"/>
              </w:rPr>
            </w:pPr>
          </w:p>
        </w:tc>
        <w:tc>
          <w:tcPr>
            <w:tcW w:w="1055" w:type="dxa"/>
          </w:tcPr>
          <w:p w14:paraId="62A6A488">
            <w:pPr>
              <w:spacing w:line="440" w:lineRule="exact"/>
              <w:jc w:val="center"/>
              <w:rPr>
                <w:rFonts w:ascii="宋体" w:hAnsi="宋体"/>
                <w:color w:val="000000"/>
                <w:szCs w:val="20"/>
              </w:rPr>
            </w:pPr>
          </w:p>
        </w:tc>
        <w:tc>
          <w:tcPr>
            <w:tcW w:w="709" w:type="dxa"/>
          </w:tcPr>
          <w:p w14:paraId="550F5A06">
            <w:pPr>
              <w:spacing w:line="440" w:lineRule="exact"/>
              <w:jc w:val="center"/>
              <w:rPr>
                <w:rFonts w:ascii="宋体" w:hAnsi="宋体"/>
                <w:color w:val="000000"/>
                <w:szCs w:val="20"/>
              </w:rPr>
            </w:pPr>
          </w:p>
        </w:tc>
        <w:tc>
          <w:tcPr>
            <w:tcW w:w="871" w:type="dxa"/>
          </w:tcPr>
          <w:p w14:paraId="6381D85A">
            <w:pPr>
              <w:spacing w:line="440" w:lineRule="exact"/>
              <w:jc w:val="center"/>
              <w:rPr>
                <w:rFonts w:ascii="宋体" w:hAnsi="宋体"/>
                <w:color w:val="000000"/>
                <w:szCs w:val="20"/>
              </w:rPr>
            </w:pPr>
          </w:p>
        </w:tc>
        <w:tc>
          <w:tcPr>
            <w:tcW w:w="1134" w:type="dxa"/>
          </w:tcPr>
          <w:p w14:paraId="1FB46DFD">
            <w:pPr>
              <w:spacing w:line="440" w:lineRule="exact"/>
              <w:jc w:val="center"/>
              <w:rPr>
                <w:rFonts w:ascii="宋体" w:hAnsi="宋体"/>
                <w:color w:val="000000"/>
                <w:szCs w:val="20"/>
              </w:rPr>
            </w:pPr>
          </w:p>
        </w:tc>
      </w:tr>
      <w:tr w14:paraId="3BA4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0F4E7C2">
            <w:pPr>
              <w:spacing w:line="440" w:lineRule="exact"/>
              <w:jc w:val="center"/>
              <w:rPr>
                <w:rFonts w:ascii="宋体" w:hAnsi="宋体"/>
                <w:color w:val="000000"/>
                <w:szCs w:val="20"/>
              </w:rPr>
            </w:pPr>
          </w:p>
        </w:tc>
        <w:tc>
          <w:tcPr>
            <w:tcW w:w="1275" w:type="dxa"/>
          </w:tcPr>
          <w:p w14:paraId="23AD856A">
            <w:pPr>
              <w:spacing w:line="440" w:lineRule="exact"/>
              <w:jc w:val="center"/>
              <w:rPr>
                <w:rFonts w:ascii="宋体" w:hAnsi="宋体"/>
                <w:color w:val="000000"/>
                <w:szCs w:val="20"/>
              </w:rPr>
            </w:pPr>
          </w:p>
        </w:tc>
        <w:tc>
          <w:tcPr>
            <w:tcW w:w="992" w:type="dxa"/>
          </w:tcPr>
          <w:p w14:paraId="2431F20E">
            <w:pPr>
              <w:spacing w:line="440" w:lineRule="exact"/>
              <w:jc w:val="center"/>
              <w:rPr>
                <w:rFonts w:ascii="宋体" w:hAnsi="宋体"/>
                <w:color w:val="000000"/>
                <w:szCs w:val="20"/>
              </w:rPr>
            </w:pPr>
          </w:p>
        </w:tc>
        <w:tc>
          <w:tcPr>
            <w:tcW w:w="603" w:type="dxa"/>
          </w:tcPr>
          <w:p w14:paraId="7918CEFD">
            <w:pPr>
              <w:spacing w:line="440" w:lineRule="exact"/>
              <w:jc w:val="center"/>
              <w:rPr>
                <w:rFonts w:ascii="宋体" w:hAnsi="宋体"/>
                <w:color w:val="000000"/>
                <w:szCs w:val="20"/>
              </w:rPr>
            </w:pPr>
          </w:p>
        </w:tc>
        <w:tc>
          <w:tcPr>
            <w:tcW w:w="567" w:type="dxa"/>
          </w:tcPr>
          <w:p w14:paraId="6D70B250">
            <w:pPr>
              <w:spacing w:line="440" w:lineRule="exact"/>
              <w:jc w:val="center"/>
              <w:rPr>
                <w:rFonts w:ascii="宋体" w:hAnsi="宋体"/>
                <w:color w:val="000000"/>
                <w:szCs w:val="20"/>
              </w:rPr>
            </w:pPr>
          </w:p>
        </w:tc>
        <w:tc>
          <w:tcPr>
            <w:tcW w:w="1055" w:type="dxa"/>
          </w:tcPr>
          <w:p w14:paraId="66BD1A07">
            <w:pPr>
              <w:spacing w:line="440" w:lineRule="exact"/>
              <w:jc w:val="center"/>
              <w:rPr>
                <w:rFonts w:ascii="宋体" w:hAnsi="宋体"/>
                <w:color w:val="000000"/>
                <w:szCs w:val="20"/>
              </w:rPr>
            </w:pPr>
          </w:p>
        </w:tc>
        <w:tc>
          <w:tcPr>
            <w:tcW w:w="709" w:type="dxa"/>
          </w:tcPr>
          <w:p w14:paraId="735A6FBA">
            <w:pPr>
              <w:spacing w:line="440" w:lineRule="exact"/>
              <w:jc w:val="center"/>
              <w:rPr>
                <w:rFonts w:ascii="宋体" w:hAnsi="宋体"/>
                <w:color w:val="000000"/>
                <w:szCs w:val="20"/>
              </w:rPr>
            </w:pPr>
          </w:p>
        </w:tc>
        <w:tc>
          <w:tcPr>
            <w:tcW w:w="871" w:type="dxa"/>
          </w:tcPr>
          <w:p w14:paraId="29EC3F07">
            <w:pPr>
              <w:spacing w:line="440" w:lineRule="exact"/>
              <w:jc w:val="center"/>
              <w:rPr>
                <w:rFonts w:ascii="宋体" w:hAnsi="宋体"/>
                <w:color w:val="000000"/>
                <w:szCs w:val="20"/>
              </w:rPr>
            </w:pPr>
          </w:p>
        </w:tc>
        <w:tc>
          <w:tcPr>
            <w:tcW w:w="1134" w:type="dxa"/>
          </w:tcPr>
          <w:p w14:paraId="01B5B113">
            <w:pPr>
              <w:spacing w:line="440" w:lineRule="exact"/>
              <w:jc w:val="center"/>
              <w:rPr>
                <w:rFonts w:ascii="宋体" w:hAnsi="宋体"/>
                <w:color w:val="000000"/>
                <w:szCs w:val="20"/>
              </w:rPr>
            </w:pPr>
          </w:p>
        </w:tc>
      </w:tr>
      <w:tr w14:paraId="628E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3C9CA04">
            <w:pPr>
              <w:spacing w:line="440" w:lineRule="exact"/>
              <w:jc w:val="center"/>
              <w:rPr>
                <w:rFonts w:ascii="宋体" w:hAnsi="宋体"/>
                <w:color w:val="000000"/>
                <w:szCs w:val="20"/>
              </w:rPr>
            </w:pPr>
          </w:p>
        </w:tc>
        <w:tc>
          <w:tcPr>
            <w:tcW w:w="1275" w:type="dxa"/>
          </w:tcPr>
          <w:p w14:paraId="4E8ABF5C">
            <w:pPr>
              <w:spacing w:line="440" w:lineRule="exact"/>
              <w:jc w:val="center"/>
              <w:rPr>
                <w:rFonts w:ascii="宋体" w:hAnsi="宋体"/>
                <w:color w:val="000000"/>
                <w:szCs w:val="20"/>
              </w:rPr>
            </w:pPr>
          </w:p>
        </w:tc>
        <w:tc>
          <w:tcPr>
            <w:tcW w:w="992" w:type="dxa"/>
          </w:tcPr>
          <w:p w14:paraId="36848419">
            <w:pPr>
              <w:spacing w:line="440" w:lineRule="exact"/>
              <w:jc w:val="center"/>
              <w:rPr>
                <w:rFonts w:ascii="宋体" w:hAnsi="宋体"/>
                <w:color w:val="000000"/>
                <w:szCs w:val="20"/>
              </w:rPr>
            </w:pPr>
          </w:p>
        </w:tc>
        <w:tc>
          <w:tcPr>
            <w:tcW w:w="603" w:type="dxa"/>
          </w:tcPr>
          <w:p w14:paraId="4E328818">
            <w:pPr>
              <w:spacing w:line="440" w:lineRule="exact"/>
              <w:jc w:val="center"/>
              <w:rPr>
                <w:rFonts w:ascii="宋体" w:hAnsi="宋体"/>
                <w:color w:val="000000"/>
                <w:szCs w:val="20"/>
              </w:rPr>
            </w:pPr>
          </w:p>
        </w:tc>
        <w:tc>
          <w:tcPr>
            <w:tcW w:w="567" w:type="dxa"/>
          </w:tcPr>
          <w:p w14:paraId="249F6F63">
            <w:pPr>
              <w:spacing w:line="440" w:lineRule="exact"/>
              <w:jc w:val="center"/>
              <w:rPr>
                <w:rFonts w:ascii="宋体" w:hAnsi="宋体"/>
                <w:color w:val="000000"/>
                <w:szCs w:val="20"/>
              </w:rPr>
            </w:pPr>
          </w:p>
        </w:tc>
        <w:tc>
          <w:tcPr>
            <w:tcW w:w="1055" w:type="dxa"/>
          </w:tcPr>
          <w:p w14:paraId="7D1300D0">
            <w:pPr>
              <w:spacing w:line="440" w:lineRule="exact"/>
              <w:jc w:val="center"/>
              <w:rPr>
                <w:rFonts w:ascii="宋体" w:hAnsi="宋体"/>
                <w:color w:val="000000"/>
                <w:szCs w:val="20"/>
              </w:rPr>
            </w:pPr>
          </w:p>
        </w:tc>
        <w:tc>
          <w:tcPr>
            <w:tcW w:w="709" w:type="dxa"/>
          </w:tcPr>
          <w:p w14:paraId="087D2518">
            <w:pPr>
              <w:spacing w:line="440" w:lineRule="exact"/>
              <w:jc w:val="center"/>
              <w:rPr>
                <w:rFonts w:ascii="宋体" w:hAnsi="宋体"/>
                <w:color w:val="000000"/>
                <w:szCs w:val="20"/>
              </w:rPr>
            </w:pPr>
          </w:p>
        </w:tc>
        <w:tc>
          <w:tcPr>
            <w:tcW w:w="871" w:type="dxa"/>
          </w:tcPr>
          <w:p w14:paraId="724F630D">
            <w:pPr>
              <w:spacing w:line="440" w:lineRule="exact"/>
              <w:jc w:val="center"/>
              <w:rPr>
                <w:rFonts w:ascii="宋体" w:hAnsi="宋体"/>
                <w:color w:val="000000"/>
                <w:szCs w:val="20"/>
              </w:rPr>
            </w:pPr>
          </w:p>
        </w:tc>
        <w:tc>
          <w:tcPr>
            <w:tcW w:w="1134" w:type="dxa"/>
          </w:tcPr>
          <w:p w14:paraId="50D116FE">
            <w:pPr>
              <w:spacing w:line="440" w:lineRule="exact"/>
              <w:jc w:val="center"/>
              <w:rPr>
                <w:rFonts w:ascii="宋体" w:hAnsi="宋体"/>
                <w:color w:val="000000"/>
                <w:szCs w:val="20"/>
              </w:rPr>
            </w:pPr>
          </w:p>
        </w:tc>
      </w:tr>
      <w:tr w14:paraId="5E02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6467526">
            <w:pPr>
              <w:spacing w:line="440" w:lineRule="exact"/>
              <w:jc w:val="center"/>
              <w:rPr>
                <w:rFonts w:ascii="宋体" w:hAnsi="宋体"/>
                <w:color w:val="000000"/>
                <w:szCs w:val="20"/>
              </w:rPr>
            </w:pPr>
          </w:p>
        </w:tc>
        <w:tc>
          <w:tcPr>
            <w:tcW w:w="1275" w:type="dxa"/>
          </w:tcPr>
          <w:p w14:paraId="7656DB30">
            <w:pPr>
              <w:spacing w:line="440" w:lineRule="exact"/>
              <w:jc w:val="center"/>
              <w:rPr>
                <w:rFonts w:ascii="宋体" w:hAnsi="宋体"/>
                <w:color w:val="000000"/>
                <w:szCs w:val="20"/>
              </w:rPr>
            </w:pPr>
          </w:p>
        </w:tc>
        <w:tc>
          <w:tcPr>
            <w:tcW w:w="992" w:type="dxa"/>
          </w:tcPr>
          <w:p w14:paraId="5F7FD6E1">
            <w:pPr>
              <w:spacing w:line="440" w:lineRule="exact"/>
              <w:jc w:val="center"/>
              <w:rPr>
                <w:rFonts w:ascii="宋体" w:hAnsi="宋体"/>
                <w:color w:val="000000"/>
                <w:szCs w:val="20"/>
              </w:rPr>
            </w:pPr>
          </w:p>
        </w:tc>
        <w:tc>
          <w:tcPr>
            <w:tcW w:w="603" w:type="dxa"/>
          </w:tcPr>
          <w:p w14:paraId="328A6B8D">
            <w:pPr>
              <w:spacing w:line="440" w:lineRule="exact"/>
              <w:jc w:val="center"/>
              <w:rPr>
                <w:rFonts w:ascii="宋体" w:hAnsi="宋体"/>
                <w:color w:val="000000"/>
                <w:szCs w:val="20"/>
              </w:rPr>
            </w:pPr>
          </w:p>
        </w:tc>
        <w:tc>
          <w:tcPr>
            <w:tcW w:w="567" w:type="dxa"/>
          </w:tcPr>
          <w:p w14:paraId="4D4B32D4">
            <w:pPr>
              <w:spacing w:line="440" w:lineRule="exact"/>
              <w:jc w:val="center"/>
              <w:rPr>
                <w:rFonts w:ascii="宋体" w:hAnsi="宋体"/>
                <w:color w:val="000000"/>
                <w:szCs w:val="20"/>
              </w:rPr>
            </w:pPr>
          </w:p>
        </w:tc>
        <w:tc>
          <w:tcPr>
            <w:tcW w:w="1055" w:type="dxa"/>
          </w:tcPr>
          <w:p w14:paraId="1BACE6B8">
            <w:pPr>
              <w:spacing w:line="440" w:lineRule="exact"/>
              <w:jc w:val="center"/>
              <w:rPr>
                <w:rFonts w:ascii="宋体" w:hAnsi="宋体"/>
                <w:color w:val="000000"/>
                <w:szCs w:val="20"/>
              </w:rPr>
            </w:pPr>
          </w:p>
        </w:tc>
        <w:tc>
          <w:tcPr>
            <w:tcW w:w="709" w:type="dxa"/>
          </w:tcPr>
          <w:p w14:paraId="4BC73DC1">
            <w:pPr>
              <w:spacing w:line="440" w:lineRule="exact"/>
              <w:jc w:val="center"/>
              <w:rPr>
                <w:rFonts w:ascii="宋体" w:hAnsi="宋体"/>
                <w:color w:val="000000"/>
                <w:szCs w:val="20"/>
              </w:rPr>
            </w:pPr>
          </w:p>
        </w:tc>
        <w:tc>
          <w:tcPr>
            <w:tcW w:w="871" w:type="dxa"/>
          </w:tcPr>
          <w:p w14:paraId="3478D07E">
            <w:pPr>
              <w:spacing w:line="440" w:lineRule="exact"/>
              <w:jc w:val="center"/>
              <w:rPr>
                <w:rFonts w:ascii="宋体" w:hAnsi="宋体"/>
                <w:color w:val="000000"/>
                <w:szCs w:val="20"/>
              </w:rPr>
            </w:pPr>
          </w:p>
        </w:tc>
        <w:tc>
          <w:tcPr>
            <w:tcW w:w="1134" w:type="dxa"/>
          </w:tcPr>
          <w:p w14:paraId="408AFB01">
            <w:pPr>
              <w:spacing w:line="440" w:lineRule="exact"/>
              <w:jc w:val="center"/>
              <w:rPr>
                <w:rFonts w:ascii="宋体" w:hAnsi="宋体"/>
                <w:color w:val="000000"/>
                <w:szCs w:val="20"/>
              </w:rPr>
            </w:pPr>
          </w:p>
        </w:tc>
      </w:tr>
      <w:tr w14:paraId="1DB9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86BDB3C">
            <w:pPr>
              <w:spacing w:line="440" w:lineRule="exact"/>
              <w:jc w:val="center"/>
              <w:rPr>
                <w:rFonts w:ascii="宋体" w:hAnsi="宋体"/>
                <w:color w:val="000000"/>
                <w:szCs w:val="20"/>
              </w:rPr>
            </w:pPr>
          </w:p>
        </w:tc>
        <w:tc>
          <w:tcPr>
            <w:tcW w:w="1275" w:type="dxa"/>
          </w:tcPr>
          <w:p w14:paraId="7A19128C">
            <w:pPr>
              <w:spacing w:line="440" w:lineRule="exact"/>
              <w:jc w:val="center"/>
              <w:rPr>
                <w:rFonts w:ascii="宋体" w:hAnsi="宋体"/>
                <w:color w:val="000000"/>
                <w:szCs w:val="20"/>
              </w:rPr>
            </w:pPr>
          </w:p>
        </w:tc>
        <w:tc>
          <w:tcPr>
            <w:tcW w:w="992" w:type="dxa"/>
          </w:tcPr>
          <w:p w14:paraId="4F0A8F78">
            <w:pPr>
              <w:spacing w:line="440" w:lineRule="exact"/>
              <w:jc w:val="center"/>
              <w:rPr>
                <w:rFonts w:ascii="宋体" w:hAnsi="宋体"/>
                <w:color w:val="000000"/>
                <w:szCs w:val="20"/>
              </w:rPr>
            </w:pPr>
          </w:p>
        </w:tc>
        <w:tc>
          <w:tcPr>
            <w:tcW w:w="603" w:type="dxa"/>
          </w:tcPr>
          <w:p w14:paraId="1BF63997">
            <w:pPr>
              <w:spacing w:line="440" w:lineRule="exact"/>
              <w:jc w:val="center"/>
              <w:rPr>
                <w:rFonts w:ascii="宋体" w:hAnsi="宋体"/>
                <w:color w:val="000000"/>
                <w:szCs w:val="20"/>
              </w:rPr>
            </w:pPr>
          </w:p>
        </w:tc>
        <w:tc>
          <w:tcPr>
            <w:tcW w:w="567" w:type="dxa"/>
          </w:tcPr>
          <w:p w14:paraId="0AD45E72">
            <w:pPr>
              <w:spacing w:line="440" w:lineRule="exact"/>
              <w:jc w:val="center"/>
              <w:rPr>
                <w:rFonts w:ascii="宋体" w:hAnsi="宋体"/>
                <w:color w:val="000000"/>
                <w:szCs w:val="20"/>
              </w:rPr>
            </w:pPr>
          </w:p>
        </w:tc>
        <w:tc>
          <w:tcPr>
            <w:tcW w:w="1055" w:type="dxa"/>
          </w:tcPr>
          <w:p w14:paraId="655BBE46">
            <w:pPr>
              <w:spacing w:line="440" w:lineRule="exact"/>
              <w:jc w:val="center"/>
              <w:rPr>
                <w:rFonts w:ascii="宋体" w:hAnsi="宋体"/>
                <w:color w:val="000000"/>
                <w:szCs w:val="20"/>
              </w:rPr>
            </w:pPr>
          </w:p>
        </w:tc>
        <w:tc>
          <w:tcPr>
            <w:tcW w:w="709" w:type="dxa"/>
          </w:tcPr>
          <w:p w14:paraId="3F7F28DE">
            <w:pPr>
              <w:spacing w:line="440" w:lineRule="exact"/>
              <w:jc w:val="center"/>
              <w:rPr>
                <w:rFonts w:ascii="宋体" w:hAnsi="宋体"/>
                <w:color w:val="000000"/>
                <w:szCs w:val="20"/>
              </w:rPr>
            </w:pPr>
          </w:p>
        </w:tc>
        <w:tc>
          <w:tcPr>
            <w:tcW w:w="871" w:type="dxa"/>
          </w:tcPr>
          <w:p w14:paraId="37C905CB">
            <w:pPr>
              <w:spacing w:line="440" w:lineRule="exact"/>
              <w:jc w:val="center"/>
              <w:rPr>
                <w:rFonts w:ascii="宋体" w:hAnsi="宋体"/>
                <w:color w:val="000000"/>
                <w:szCs w:val="20"/>
              </w:rPr>
            </w:pPr>
          </w:p>
        </w:tc>
        <w:tc>
          <w:tcPr>
            <w:tcW w:w="1134" w:type="dxa"/>
          </w:tcPr>
          <w:p w14:paraId="05050A81">
            <w:pPr>
              <w:spacing w:line="440" w:lineRule="exact"/>
              <w:jc w:val="center"/>
              <w:rPr>
                <w:rFonts w:ascii="宋体" w:hAnsi="宋体"/>
                <w:color w:val="000000"/>
                <w:szCs w:val="20"/>
              </w:rPr>
            </w:pPr>
          </w:p>
        </w:tc>
      </w:tr>
      <w:tr w14:paraId="1ECE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C10B490">
            <w:pPr>
              <w:spacing w:line="440" w:lineRule="exact"/>
              <w:jc w:val="center"/>
              <w:rPr>
                <w:rFonts w:ascii="宋体" w:hAnsi="宋体"/>
                <w:color w:val="000000"/>
                <w:szCs w:val="20"/>
              </w:rPr>
            </w:pPr>
          </w:p>
        </w:tc>
        <w:tc>
          <w:tcPr>
            <w:tcW w:w="1275" w:type="dxa"/>
          </w:tcPr>
          <w:p w14:paraId="0A1CB4AA">
            <w:pPr>
              <w:spacing w:line="440" w:lineRule="exact"/>
              <w:jc w:val="center"/>
              <w:rPr>
                <w:rFonts w:ascii="宋体" w:hAnsi="宋体"/>
                <w:color w:val="000000"/>
                <w:szCs w:val="20"/>
              </w:rPr>
            </w:pPr>
          </w:p>
        </w:tc>
        <w:tc>
          <w:tcPr>
            <w:tcW w:w="992" w:type="dxa"/>
          </w:tcPr>
          <w:p w14:paraId="1F071269">
            <w:pPr>
              <w:spacing w:line="440" w:lineRule="exact"/>
              <w:jc w:val="center"/>
              <w:rPr>
                <w:rFonts w:ascii="宋体" w:hAnsi="宋体"/>
                <w:color w:val="000000"/>
                <w:szCs w:val="20"/>
              </w:rPr>
            </w:pPr>
          </w:p>
        </w:tc>
        <w:tc>
          <w:tcPr>
            <w:tcW w:w="603" w:type="dxa"/>
          </w:tcPr>
          <w:p w14:paraId="5873978A">
            <w:pPr>
              <w:spacing w:line="440" w:lineRule="exact"/>
              <w:jc w:val="center"/>
              <w:rPr>
                <w:rFonts w:ascii="宋体" w:hAnsi="宋体"/>
                <w:color w:val="000000"/>
                <w:szCs w:val="20"/>
              </w:rPr>
            </w:pPr>
          </w:p>
        </w:tc>
        <w:tc>
          <w:tcPr>
            <w:tcW w:w="567" w:type="dxa"/>
          </w:tcPr>
          <w:p w14:paraId="517E0635">
            <w:pPr>
              <w:spacing w:line="440" w:lineRule="exact"/>
              <w:jc w:val="center"/>
              <w:rPr>
                <w:rFonts w:ascii="宋体" w:hAnsi="宋体"/>
                <w:color w:val="000000"/>
                <w:szCs w:val="20"/>
              </w:rPr>
            </w:pPr>
          </w:p>
        </w:tc>
        <w:tc>
          <w:tcPr>
            <w:tcW w:w="1055" w:type="dxa"/>
          </w:tcPr>
          <w:p w14:paraId="6443788A">
            <w:pPr>
              <w:spacing w:line="440" w:lineRule="exact"/>
              <w:jc w:val="center"/>
              <w:rPr>
                <w:rFonts w:ascii="宋体" w:hAnsi="宋体"/>
                <w:color w:val="000000"/>
                <w:szCs w:val="20"/>
              </w:rPr>
            </w:pPr>
          </w:p>
        </w:tc>
        <w:tc>
          <w:tcPr>
            <w:tcW w:w="709" w:type="dxa"/>
          </w:tcPr>
          <w:p w14:paraId="764E2226">
            <w:pPr>
              <w:spacing w:line="440" w:lineRule="exact"/>
              <w:jc w:val="center"/>
              <w:rPr>
                <w:rFonts w:ascii="宋体" w:hAnsi="宋体"/>
                <w:color w:val="000000"/>
                <w:szCs w:val="20"/>
              </w:rPr>
            </w:pPr>
          </w:p>
        </w:tc>
        <w:tc>
          <w:tcPr>
            <w:tcW w:w="871" w:type="dxa"/>
          </w:tcPr>
          <w:p w14:paraId="2BFFAD96">
            <w:pPr>
              <w:spacing w:line="440" w:lineRule="exact"/>
              <w:jc w:val="center"/>
              <w:rPr>
                <w:rFonts w:ascii="宋体" w:hAnsi="宋体"/>
                <w:color w:val="000000"/>
                <w:szCs w:val="20"/>
              </w:rPr>
            </w:pPr>
          </w:p>
        </w:tc>
        <w:tc>
          <w:tcPr>
            <w:tcW w:w="1134" w:type="dxa"/>
          </w:tcPr>
          <w:p w14:paraId="1367129E">
            <w:pPr>
              <w:spacing w:line="440" w:lineRule="exact"/>
              <w:jc w:val="center"/>
              <w:rPr>
                <w:rFonts w:ascii="宋体" w:hAnsi="宋体"/>
                <w:color w:val="000000"/>
                <w:szCs w:val="20"/>
              </w:rPr>
            </w:pPr>
          </w:p>
        </w:tc>
      </w:tr>
      <w:tr w14:paraId="6D73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7437538">
            <w:pPr>
              <w:spacing w:line="440" w:lineRule="exact"/>
              <w:jc w:val="center"/>
              <w:rPr>
                <w:rFonts w:ascii="宋体" w:hAnsi="宋体"/>
                <w:color w:val="000000"/>
                <w:szCs w:val="20"/>
              </w:rPr>
            </w:pPr>
          </w:p>
        </w:tc>
        <w:tc>
          <w:tcPr>
            <w:tcW w:w="1275" w:type="dxa"/>
          </w:tcPr>
          <w:p w14:paraId="373DA5B0">
            <w:pPr>
              <w:spacing w:line="440" w:lineRule="exact"/>
              <w:jc w:val="center"/>
              <w:rPr>
                <w:rFonts w:ascii="宋体" w:hAnsi="宋体"/>
                <w:color w:val="000000"/>
                <w:szCs w:val="20"/>
              </w:rPr>
            </w:pPr>
          </w:p>
        </w:tc>
        <w:tc>
          <w:tcPr>
            <w:tcW w:w="992" w:type="dxa"/>
          </w:tcPr>
          <w:p w14:paraId="05A1DDAD">
            <w:pPr>
              <w:spacing w:line="440" w:lineRule="exact"/>
              <w:jc w:val="center"/>
              <w:rPr>
                <w:rFonts w:ascii="宋体" w:hAnsi="宋体"/>
                <w:color w:val="000000"/>
                <w:szCs w:val="20"/>
              </w:rPr>
            </w:pPr>
          </w:p>
        </w:tc>
        <w:tc>
          <w:tcPr>
            <w:tcW w:w="603" w:type="dxa"/>
          </w:tcPr>
          <w:p w14:paraId="4C55F16D">
            <w:pPr>
              <w:spacing w:line="440" w:lineRule="exact"/>
              <w:jc w:val="center"/>
              <w:rPr>
                <w:rFonts w:ascii="宋体" w:hAnsi="宋体"/>
                <w:color w:val="000000"/>
                <w:szCs w:val="20"/>
              </w:rPr>
            </w:pPr>
          </w:p>
        </w:tc>
        <w:tc>
          <w:tcPr>
            <w:tcW w:w="567" w:type="dxa"/>
          </w:tcPr>
          <w:p w14:paraId="120D7552">
            <w:pPr>
              <w:spacing w:line="440" w:lineRule="exact"/>
              <w:jc w:val="center"/>
              <w:rPr>
                <w:rFonts w:ascii="宋体" w:hAnsi="宋体"/>
                <w:color w:val="000000"/>
                <w:szCs w:val="20"/>
              </w:rPr>
            </w:pPr>
          </w:p>
        </w:tc>
        <w:tc>
          <w:tcPr>
            <w:tcW w:w="1055" w:type="dxa"/>
          </w:tcPr>
          <w:p w14:paraId="1529FAB3">
            <w:pPr>
              <w:spacing w:line="440" w:lineRule="exact"/>
              <w:jc w:val="center"/>
              <w:rPr>
                <w:rFonts w:ascii="宋体" w:hAnsi="宋体"/>
                <w:color w:val="000000"/>
                <w:szCs w:val="20"/>
              </w:rPr>
            </w:pPr>
          </w:p>
        </w:tc>
        <w:tc>
          <w:tcPr>
            <w:tcW w:w="709" w:type="dxa"/>
          </w:tcPr>
          <w:p w14:paraId="646877BA">
            <w:pPr>
              <w:spacing w:line="440" w:lineRule="exact"/>
              <w:jc w:val="center"/>
              <w:rPr>
                <w:rFonts w:ascii="宋体" w:hAnsi="宋体"/>
                <w:color w:val="000000"/>
                <w:szCs w:val="20"/>
              </w:rPr>
            </w:pPr>
          </w:p>
        </w:tc>
        <w:tc>
          <w:tcPr>
            <w:tcW w:w="871" w:type="dxa"/>
          </w:tcPr>
          <w:p w14:paraId="590EB9EA">
            <w:pPr>
              <w:spacing w:line="440" w:lineRule="exact"/>
              <w:jc w:val="center"/>
              <w:rPr>
                <w:rFonts w:ascii="宋体" w:hAnsi="宋体"/>
                <w:color w:val="000000"/>
                <w:szCs w:val="20"/>
              </w:rPr>
            </w:pPr>
          </w:p>
        </w:tc>
        <w:tc>
          <w:tcPr>
            <w:tcW w:w="1134" w:type="dxa"/>
          </w:tcPr>
          <w:p w14:paraId="6D0625D7">
            <w:pPr>
              <w:spacing w:line="440" w:lineRule="exact"/>
              <w:jc w:val="center"/>
              <w:rPr>
                <w:rFonts w:ascii="宋体" w:hAnsi="宋体"/>
                <w:color w:val="000000"/>
                <w:szCs w:val="20"/>
              </w:rPr>
            </w:pPr>
          </w:p>
        </w:tc>
      </w:tr>
      <w:tr w14:paraId="539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8BF9CE6">
            <w:pPr>
              <w:spacing w:line="440" w:lineRule="exact"/>
              <w:jc w:val="center"/>
              <w:rPr>
                <w:rFonts w:ascii="宋体" w:hAnsi="宋体"/>
                <w:color w:val="000000"/>
                <w:szCs w:val="20"/>
              </w:rPr>
            </w:pPr>
          </w:p>
        </w:tc>
        <w:tc>
          <w:tcPr>
            <w:tcW w:w="1275" w:type="dxa"/>
          </w:tcPr>
          <w:p w14:paraId="7DC1D5A3">
            <w:pPr>
              <w:spacing w:line="440" w:lineRule="exact"/>
              <w:jc w:val="center"/>
              <w:rPr>
                <w:rFonts w:ascii="宋体" w:hAnsi="宋体"/>
                <w:color w:val="000000"/>
                <w:szCs w:val="20"/>
              </w:rPr>
            </w:pPr>
          </w:p>
        </w:tc>
        <w:tc>
          <w:tcPr>
            <w:tcW w:w="992" w:type="dxa"/>
          </w:tcPr>
          <w:p w14:paraId="2958B550">
            <w:pPr>
              <w:spacing w:line="440" w:lineRule="exact"/>
              <w:jc w:val="center"/>
              <w:rPr>
                <w:rFonts w:ascii="宋体" w:hAnsi="宋体"/>
                <w:color w:val="000000"/>
                <w:szCs w:val="20"/>
              </w:rPr>
            </w:pPr>
          </w:p>
        </w:tc>
        <w:tc>
          <w:tcPr>
            <w:tcW w:w="603" w:type="dxa"/>
          </w:tcPr>
          <w:p w14:paraId="37A4E5F3">
            <w:pPr>
              <w:spacing w:line="440" w:lineRule="exact"/>
              <w:jc w:val="center"/>
              <w:rPr>
                <w:rFonts w:ascii="宋体" w:hAnsi="宋体"/>
                <w:color w:val="000000"/>
                <w:szCs w:val="20"/>
              </w:rPr>
            </w:pPr>
          </w:p>
        </w:tc>
        <w:tc>
          <w:tcPr>
            <w:tcW w:w="567" w:type="dxa"/>
          </w:tcPr>
          <w:p w14:paraId="681A5CCB">
            <w:pPr>
              <w:spacing w:line="440" w:lineRule="exact"/>
              <w:jc w:val="center"/>
              <w:rPr>
                <w:rFonts w:ascii="宋体" w:hAnsi="宋体"/>
                <w:color w:val="000000"/>
                <w:szCs w:val="20"/>
              </w:rPr>
            </w:pPr>
          </w:p>
        </w:tc>
        <w:tc>
          <w:tcPr>
            <w:tcW w:w="1055" w:type="dxa"/>
          </w:tcPr>
          <w:p w14:paraId="0F306626">
            <w:pPr>
              <w:spacing w:line="440" w:lineRule="exact"/>
              <w:jc w:val="center"/>
              <w:rPr>
                <w:rFonts w:ascii="宋体" w:hAnsi="宋体"/>
                <w:color w:val="000000"/>
                <w:szCs w:val="20"/>
              </w:rPr>
            </w:pPr>
          </w:p>
        </w:tc>
        <w:tc>
          <w:tcPr>
            <w:tcW w:w="709" w:type="dxa"/>
          </w:tcPr>
          <w:p w14:paraId="05165C7D">
            <w:pPr>
              <w:spacing w:line="440" w:lineRule="exact"/>
              <w:jc w:val="center"/>
              <w:rPr>
                <w:rFonts w:ascii="宋体" w:hAnsi="宋体"/>
                <w:color w:val="000000"/>
                <w:szCs w:val="20"/>
              </w:rPr>
            </w:pPr>
          </w:p>
        </w:tc>
        <w:tc>
          <w:tcPr>
            <w:tcW w:w="871" w:type="dxa"/>
          </w:tcPr>
          <w:p w14:paraId="48252674">
            <w:pPr>
              <w:spacing w:line="440" w:lineRule="exact"/>
              <w:jc w:val="center"/>
              <w:rPr>
                <w:rFonts w:ascii="宋体" w:hAnsi="宋体"/>
                <w:color w:val="000000"/>
                <w:szCs w:val="20"/>
              </w:rPr>
            </w:pPr>
          </w:p>
        </w:tc>
        <w:tc>
          <w:tcPr>
            <w:tcW w:w="1134" w:type="dxa"/>
          </w:tcPr>
          <w:p w14:paraId="691E8C24">
            <w:pPr>
              <w:spacing w:line="440" w:lineRule="exact"/>
              <w:jc w:val="center"/>
              <w:rPr>
                <w:rFonts w:ascii="宋体" w:hAnsi="宋体"/>
                <w:color w:val="000000"/>
                <w:szCs w:val="20"/>
              </w:rPr>
            </w:pPr>
          </w:p>
        </w:tc>
      </w:tr>
    </w:tbl>
    <w:p w14:paraId="486185DF">
      <w:pPr>
        <w:widowControl/>
        <w:snapToGrid w:val="0"/>
        <w:rPr>
          <w:rFonts w:ascii="宋体" w:hAnsi="宋体" w:cs="宋体"/>
          <w:bCs/>
          <w:color w:val="000000"/>
        </w:rPr>
      </w:pPr>
      <w:bookmarkStart w:id="176" w:name="_Toc31796"/>
      <w:r>
        <w:rPr>
          <w:rFonts w:ascii="宋体" w:hAnsi="宋体" w:cs="宋体"/>
          <w:bCs/>
          <w:color w:val="000000"/>
        </w:rPr>
        <w:t>注：提供人员劳动合同。</w:t>
      </w:r>
      <w:bookmarkStart w:id="177" w:name="_Toc76737321"/>
    </w:p>
    <w:p w14:paraId="3CBB99D3">
      <w:pPr>
        <w:rPr>
          <w:b/>
          <w:bCs/>
        </w:rPr>
      </w:pPr>
      <w:bookmarkStart w:id="178" w:name="_Toc21258"/>
      <w:r>
        <w:rPr>
          <w:rFonts w:hint="eastAsia"/>
          <w:b/>
          <w:bCs/>
        </w:rPr>
        <w:br w:type="page"/>
      </w:r>
    </w:p>
    <w:p w14:paraId="39A85364">
      <w:pPr>
        <w:wordWrap w:val="0"/>
        <w:outlineLvl w:val="1"/>
        <w:rPr>
          <w:b/>
          <w:bCs/>
        </w:rPr>
      </w:pPr>
      <w:bookmarkStart w:id="179" w:name="_Toc17355"/>
      <w:bookmarkStart w:id="180" w:name="_Toc1135"/>
      <w:r>
        <w:rPr>
          <w:rFonts w:hint="eastAsia"/>
          <w:b/>
          <w:bCs/>
        </w:rPr>
        <w:t>（15）主要人员简历表</w:t>
      </w:r>
      <w:bookmarkEnd w:id="176"/>
      <w:bookmarkEnd w:id="177"/>
      <w:bookmarkEnd w:id="178"/>
      <w:bookmarkEnd w:id="179"/>
      <w:bookmarkEnd w:id="180"/>
    </w:p>
    <w:p w14:paraId="7C45EB8A">
      <w:pPr>
        <w:jc w:val="center"/>
        <w:rPr>
          <w:rFonts w:ascii="宋体" w:hAnsi="宋体"/>
          <w:color w:val="000000"/>
        </w:rPr>
      </w:pPr>
      <w:r>
        <w:rPr>
          <w:rFonts w:hint="eastAsia" w:ascii="宋体" w:hAnsi="宋体"/>
          <w:color w:val="000000"/>
        </w:rPr>
        <w:t>主要人员简历表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67D7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tcBorders>
              <w:top w:val="single" w:color="auto" w:sz="12" w:space="0"/>
              <w:left w:val="single" w:color="auto" w:sz="12" w:space="0"/>
              <w:bottom w:val="single" w:color="auto" w:sz="6" w:space="0"/>
              <w:right w:val="single" w:color="auto" w:sz="6" w:space="0"/>
            </w:tcBorders>
            <w:vAlign w:val="center"/>
          </w:tcPr>
          <w:p w14:paraId="2A8F62A0">
            <w:pPr>
              <w:spacing w:line="440" w:lineRule="exact"/>
              <w:jc w:val="center"/>
              <w:rPr>
                <w:rFonts w:ascii="宋体" w:hAnsi="宋体"/>
                <w:color w:val="000000"/>
                <w:szCs w:val="20"/>
              </w:rPr>
            </w:pPr>
            <w:r>
              <w:rPr>
                <w:rFonts w:hint="eastAsia" w:ascii="宋体" w:hAnsi="宋体"/>
                <w:color w:val="000000"/>
                <w:szCs w:val="20"/>
              </w:rPr>
              <w:t>姓名</w:t>
            </w:r>
          </w:p>
        </w:tc>
        <w:tc>
          <w:tcPr>
            <w:tcW w:w="1048" w:type="dxa"/>
            <w:gridSpan w:val="2"/>
            <w:tcBorders>
              <w:top w:val="single" w:color="auto" w:sz="12" w:space="0"/>
              <w:left w:val="single" w:color="auto" w:sz="6" w:space="0"/>
              <w:bottom w:val="single" w:color="auto" w:sz="6" w:space="0"/>
              <w:right w:val="single" w:color="auto" w:sz="6" w:space="0"/>
            </w:tcBorders>
            <w:vAlign w:val="center"/>
          </w:tcPr>
          <w:p w14:paraId="7EF31FC1">
            <w:pPr>
              <w:spacing w:line="440" w:lineRule="exact"/>
              <w:jc w:val="center"/>
              <w:rPr>
                <w:rFonts w:ascii="宋体" w:hAnsi="宋体"/>
                <w:color w:val="000000"/>
                <w:szCs w:val="20"/>
              </w:rPr>
            </w:pPr>
          </w:p>
        </w:tc>
        <w:tc>
          <w:tcPr>
            <w:tcW w:w="958" w:type="dxa"/>
            <w:tcBorders>
              <w:top w:val="single" w:color="auto" w:sz="12" w:space="0"/>
              <w:left w:val="single" w:color="auto" w:sz="6" w:space="0"/>
              <w:bottom w:val="single" w:color="auto" w:sz="6" w:space="0"/>
              <w:right w:val="single" w:color="auto" w:sz="6" w:space="0"/>
            </w:tcBorders>
            <w:vAlign w:val="center"/>
          </w:tcPr>
          <w:p w14:paraId="2D519DA8">
            <w:pPr>
              <w:spacing w:line="440" w:lineRule="exact"/>
              <w:jc w:val="center"/>
              <w:rPr>
                <w:rFonts w:ascii="宋体" w:hAnsi="宋体"/>
                <w:color w:val="000000"/>
                <w:szCs w:val="20"/>
              </w:rPr>
            </w:pPr>
            <w:r>
              <w:rPr>
                <w:rFonts w:hint="eastAsia" w:ascii="宋体" w:hAnsi="宋体"/>
                <w:color w:val="000000"/>
                <w:szCs w:val="20"/>
              </w:rPr>
              <w:t>年龄</w:t>
            </w:r>
          </w:p>
        </w:tc>
        <w:tc>
          <w:tcPr>
            <w:tcW w:w="1065" w:type="dxa"/>
            <w:tcBorders>
              <w:top w:val="single" w:color="auto" w:sz="12" w:space="0"/>
              <w:left w:val="single" w:color="auto" w:sz="6" w:space="0"/>
              <w:bottom w:val="single" w:color="auto" w:sz="6" w:space="0"/>
              <w:right w:val="single" w:color="auto" w:sz="6" w:space="0"/>
            </w:tcBorders>
            <w:vAlign w:val="center"/>
          </w:tcPr>
          <w:p w14:paraId="3C5AC512">
            <w:pPr>
              <w:spacing w:line="440" w:lineRule="exact"/>
              <w:jc w:val="center"/>
              <w:rPr>
                <w:rFonts w:ascii="宋体" w:hAnsi="宋体"/>
                <w:color w:val="000000"/>
                <w:szCs w:val="20"/>
              </w:rPr>
            </w:pPr>
          </w:p>
        </w:tc>
        <w:tc>
          <w:tcPr>
            <w:tcW w:w="2368" w:type="dxa"/>
            <w:gridSpan w:val="3"/>
            <w:tcBorders>
              <w:top w:val="single" w:color="auto" w:sz="12" w:space="0"/>
              <w:left w:val="single" w:color="auto" w:sz="6" w:space="0"/>
              <w:bottom w:val="single" w:color="auto" w:sz="6" w:space="0"/>
              <w:right w:val="single" w:color="auto" w:sz="6" w:space="0"/>
            </w:tcBorders>
            <w:vAlign w:val="center"/>
          </w:tcPr>
          <w:p w14:paraId="1C5BA468">
            <w:pPr>
              <w:spacing w:line="440" w:lineRule="exact"/>
              <w:jc w:val="center"/>
              <w:rPr>
                <w:rFonts w:ascii="宋体" w:hAnsi="宋体"/>
                <w:color w:val="000000"/>
                <w:szCs w:val="20"/>
              </w:rPr>
            </w:pPr>
            <w:r>
              <w:rPr>
                <w:rFonts w:hint="eastAsia" w:ascii="宋体" w:hAnsi="宋体"/>
                <w:color w:val="000000"/>
                <w:szCs w:val="20"/>
              </w:rPr>
              <w:t>执业资格证书（或上岗证书）名称</w:t>
            </w:r>
          </w:p>
        </w:tc>
        <w:tc>
          <w:tcPr>
            <w:tcW w:w="1896" w:type="dxa"/>
            <w:tcBorders>
              <w:top w:val="single" w:color="auto" w:sz="12" w:space="0"/>
              <w:left w:val="single" w:color="auto" w:sz="6" w:space="0"/>
              <w:bottom w:val="single" w:color="auto" w:sz="6" w:space="0"/>
              <w:right w:val="single" w:color="auto" w:sz="12" w:space="0"/>
            </w:tcBorders>
            <w:vAlign w:val="center"/>
          </w:tcPr>
          <w:p w14:paraId="0A3264E4">
            <w:pPr>
              <w:spacing w:line="440" w:lineRule="exact"/>
              <w:jc w:val="center"/>
              <w:rPr>
                <w:rFonts w:ascii="宋体" w:hAnsi="宋体"/>
                <w:color w:val="000000"/>
                <w:szCs w:val="20"/>
              </w:rPr>
            </w:pPr>
          </w:p>
        </w:tc>
      </w:tr>
      <w:tr w14:paraId="50CE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14:paraId="237BE6E7">
            <w:pPr>
              <w:spacing w:line="440" w:lineRule="exact"/>
              <w:jc w:val="center"/>
              <w:rPr>
                <w:rFonts w:ascii="宋体" w:hAnsi="宋体"/>
                <w:color w:val="000000"/>
                <w:szCs w:val="20"/>
              </w:rPr>
            </w:pPr>
            <w:r>
              <w:rPr>
                <w:rFonts w:hint="eastAsia" w:ascii="宋体" w:hAnsi="宋体"/>
                <w:color w:val="000000"/>
                <w:szCs w:val="20"/>
              </w:rPr>
              <w:t>职称</w:t>
            </w:r>
          </w:p>
        </w:tc>
        <w:tc>
          <w:tcPr>
            <w:tcW w:w="1048" w:type="dxa"/>
            <w:gridSpan w:val="2"/>
            <w:tcBorders>
              <w:top w:val="single" w:color="auto" w:sz="6" w:space="0"/>
              <w:left w:val="single" w:color="auto" w:sz="6" w:space="0"/>
              <w:bottom w:val="single" w:color="auto" w:sz="6" w:space="0"/>
              <w:right w:val="single" w:color="auto" w:sz="6" w:space="0"/>
            </w:tcBorders>
            <w:vAlign w:val="center"/>
          </w:tcPr>
          <w:p w14:paraId="0442311F">
            <w:pPr>
              <w:spacing w:line="440" w:lineRule="exact"/>
              <w:jc w:val="center"/>
              <w:rPr>
                <w:rFonts w:ascii="宋体" w:hAnsi="宋体"/>
                <w:color w:val="000000"/>
                <w:szCs w:val="20"/>
              </w:rPr>
            </w:pPr>
          </w:p>
        </w:tc>
        <w:tc>
          <w:tcPr>
            <w:tcW w:w="958" w:type="dxa"/>
            <w:tcBorders>
              <w:top w:val="single" w:color="auto" w:sz="6" w:space="0"/>
              <w:left w:val="single" w:color="auto" w:sz="6" w:space="0"/>
              <w:bottom w:val="single" w:color="auto" w:sz="6" w:space="0"/>
              <w:right w:val="single" w:color="auto" w:sz="6" w:space="0"/>
            </w:tcBorders>
            <w:vAlign w:val="center"/>
          </w:tcPr>
          <w:p w14:paraId="72CD7EE6">
            <w:pPr>
              <w:tabs>
                <w:tab w:val="left" w:pos="360"/>
              </w:tabs>
              <w:spacing w:line="440" w:lineRule="exact"/>
              <w:jc w:val="center"/>
              <w:rPr>
                <w:rFonts w:ascii="宋体" w:hAnsi="宋体"/>
                <w:color w:val="000000"/>
                <w:szCs w:val="20"/>
              </w:rPr>
            </w:pPr>
            <w:r>
              <w:rPr>
                <w:rFonts w:hint="eastAsia" w:ascii="宋体" w:hAnsi="宋体"/>
                <w:color w:val="000000"/>
                <w:szCs w:val="20"/>
              </w:rPr>
              <w:t>学历</w:t>
            </w:r>
          </w:p>
        </w:tc>
        <w:tc>
          <w:tcPr>
            <w:tcW w:w="1065" w:type="dxa"/>
            <w:tcBorders>
              <w:top w:val="single" w:color="auto" w:sz="6" w:space="0"/>
              <w:left w:val="single" w:color="auto" w:sz="6" w:space="0"/>
              <w:bottom w:val="single" w:color="auto" w:sz="6" w:space="0"/>
              <w:right w:val="single" w:color="auto" w:sz="6" w:space="0"/>
            </w:tcBorders>
            <w:vAlign w:val="center"/>
          </w:tcPr>
          <w:p w14:paraId="5DB30C84">
            <w:pPr>
              <w:spacing w:line="440" w:lineRule="exact"/>
              <w:jc w:val="center"/>
              <w:rPr>
                <w:rFonts w:ascii="宋体" w:hAnsi="宋体"/>
                <w:color w:val="000000"/>
                <w:szCs w:val="20"/>
              </w:rPr>
            </w:pPr>
          </w:p>
        </w:tc>
        <w:tc>
          <w:tcPr>
            <w:tcW w:w="2368" w:type="dxa"/>
            <w:gridSpan w:val="3"/>
            <w:tcBorders>
              <w:top w:val="single" w:color="auto" w:sz="6" w:space="0"/>
              <w:left w:val="single" w:color="auto" w:sz="6" w:space="0"/>
              <w:bottom w:val="single" w:color="auto" w:sz="6" w:space="0"/>
              <w:right w:val="single" w:color="auto" w:sz="6" w:space="0"/>
            </w:tcBorders>
            <w:vAlign w:val="center"/>
          </w:tcPr>
          <w:p w14:paraId="24821262">
            <w:pPr>
              <w:tabs>
                <w:tab w:val="left" w:pos="360"/>
              </w:tabs>
              <w:spacing w:line="440" w:lineRule="exact"/>
              <w:jc w:val="center"/>
              <w:rPr>
                <w:rFonts w:ascii="宋体" w:hAnsi="宋体"/>
                <w:color w:val="000000"/>
                <w:szCs w:val="20"/>
              </w:rPr>
            </w:pPr>
            <w:r>
              <w:rPr>
                <w:rFonts w:hint="eastAsia" w:ascii="宋体" w:hAnsi="宋体"/>
                <w:color w:val="000000"/>
                <w:szCs w:val="20"/>
              </w:rPr>
              <w:t>拟在本项目任职</w:t>
            </w:r>
          </w:p>
        </w:tc>
        <w:tc>
          <w:tcPr>
            <w:tcW w:w="1896" w:type="dxa"/>
            <w:tcBorders>
              <w:top w:val="single" w:color="auto" w:sz="6" w:space="0"/>
              <w:left w:val="single" w:color="auto" w:sz="6" w:space="0"/>
              <w:bottom w:val="single" w:color="auto" w:sz="6" w:space="0"/>
              <w:right w:val="single" w:color="auto" w:sz="12" w:space="0"/>
            </w:tcBorders>
            <w:vAlign w:val="center"/>
          </w:tcPr>
          <w:p w14:paraId="633E14B4">
            <w:pPr>
              <w:spacing w:line="440" w:lineRule="exact"/>
              <w:jc w:val="center"/>
              <w:rPr>
                <w:rFonts w:ascii="宋体" w:hAnsi="宋体"/>
                <w:color w:val="000000"/>
                <w:szCs w:val="20"/>
              </w:rPr>
            </w:pPr>
          </w:p>
        </w:tc>
      </w:tr>
      <w:tr w14:paraId="0137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14:paraId="1058D219">
            <w:pPr>
              <w:tabs>
                <w:tab w:val="left" w:pos="360"/>
              </w:tabs>
              <w:spacing w:line="440" w:lineRule="exact"/>
              <w:jc w:val="center"/>
              <w:rPr>
                <w:rFonts w:ascii="宋体" w:hAnsi="宋体"/>
                <w:color w:val="000000"/>
                <w:szCs w:val="20"/>
              </w:rPr>
            </w:pPr>
            <w:r>
              <w:rPr>
                <w:rFonts w:hint="eastAsia" w:ascii="宋体" w:hAnsi="宋体"/>
                <w:color w:val="000000"/>
                <w:szCs w:val="20"/>
              </w:rPr>
              <w:t>工作年限</w:t>
            </w:r>
          </w:p>
        </w:tc>
        <w:tc>
          <w:tcPr>
            <w:tcW w:w="3071" w:type="dxa"/>
            <w:gridSpan w:val="4"/>
            <w:tcBorders>
              <w:top w:val="single" w:color="auto" w:sz="6" w:space="0"/>
              <w:left w:val="single" w:color="auto" w:sz="6" w:space="0"/>
              <w:bottom w:val="single" w:color="auto" w:sz="6" w:space="0"/>
              <w:right w:val="single" w:color="auto" w:sz="6" w:space="0"/>
            </w:tcBorders>
            <w:vAlign w:val="center"/>
          </w:tcPr>
          <w:p w14:paraId="7A4AA29B">
            <w:pPr>
              <w:spacing w:line="440" w:lineRule="exact"/>
              <w:jc w:val="center"/>
              <w:rPr>
                <w:rFonts w:ascii="宋体" w:hAnsi="宋体"/>
                <w:color w:val="000000"/>
                <w:szCs w:val="20"/>
              </w:rPr>
            </w:pPr>
          </w:p>
        </w:tc>
        <w:tc>
          <w:tcPr>
            <w:tcW w:w="2368" w:type="dxa"/>
            <w:gridSpan w:val="3"/>
            <w:tcBorders>
              <w:top w:val="single" w:color="auto" w:sz="6" w:space="0"/>
              <w:left w:val="single" w:color="auto" w:sz="6" w:space="0"/>
              <w:bottom w:val="single" w:color="auto" w:sz="6" w:space="0"/>
              <w:right w:val="single" w:color="auto" w:sz="6" w:space="0"/>
            </w:tcBorders>
            <w:vAlign w:val="center"/>
          </w:tcPr>
          <w:p w14:paraId="4CC7241A">
            <w:pPr>
              <w:tabs>
                <w:tab w:val="left" w:pos="360"/>
              </w:tabs>
              <w:spacing w:line="440" w:lineRule="exact"/>
              <w:jc w:val="center"/>
              <w:rPr>
                <w:rFonts w:ascii="宋体" w:hAnsi="宋体"/>
                <w:color w:val="000000"/>
                <w:szCs w:val="20"/>
              </w:rPr>
            </w:pPr>
            <w:r>
              <w:rPr>
                <w:rFonts w:hint="eastAsia" w:ascii="宋体" w:hAnsi="宋体"/>
                <w:color w:val="000000"/>
                <w:szCs w:val="20"/>
              </w:rPr>
              <w:t>从事XX（例如检测）工作年限</w:t>
            </w:r>
          </w:p>
        </w:tc>
        <w:tc>
          <w:tcPr>
            <w:tcW w:w="1896" w:type="dxa"/>
            <w:tcBorders>
              <w:top w:val="single" w:color="auto" w:sz="6" w:space="0"/>
              <w:left w:val="single" w:color="auto" w:sz="6" w:space="0"/>
              <w:bottom w:val="single" w:color="auto" w:sz="6" w:space="0"/>
              <w:right w:val="single" w:color="auto" w:sz="12" w:space="0"/>
            </w:tcBorders>
            <w:vAlign w:val="center"/>
          </w:tcPr>
          <w:p w14:paraId="05B1EDBB">
            <w:pPr>
              <w:spacing w:line="440" w:lineRule="exact"/>
              <w:jc w:val="center"/>
              <w:rPr>
                <w:rFonts w:ascii="宋体" w:hAnsi="宋体"/>
                <w:color w:val="000000"/>
                <w:szCs w:val="20"/>
              </w:rPr>
            </w:pPr>
          </w:p>
        </w:tc>
      </w:tr>
      <w:tr w14:paraId="050E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14:paraId="5ABE234F">
            <w:pPr>
              <w:tabs>
                <w:tab w:val="left" w:pos="360"/>
              </w:tabs>
              <w:spacing w:line="440" w:lineRule="exact"/>
              <w:jc w:val="center"/>
              <w:rPr>
                <w:rFonts w:ascii="宋体" w:hAnsi="宋体"/>
                <w:color w:val="000000"/>
                <w:szCs w:val="20"/>
              </w:rPr>
            </w:pPr>
            <w:r>
              <w:rPr>
                <w:rFonts w:hint="eastAsia" w:ascii="宋体" w:hAnsi="宋体"/>
                <w:color w:val="000000"/>
                <w:szCs w:val="20"/>
              </w:rPr>
              <w:t>毕业学校</w:t>
            </w:r>
          </w:p>
        </w:tc>
        <w:tc>
          <w:tcPr>
            <w:tcW w:w="7335" w:type="dxa"/>
            <w:gridSpan w:val="8"/>
            <w:tcBorders>
              <w:top w:val="single" w:color="auto" w:sz="6" w:space="0"/>
              <w:left w:val="single" w:color="auto" w:sz="6" w:space="0"/>
              <w:bottom w:val="single" w:color="auto" w:sz="6" w:space="0"/>
              <w:right w:val="single" w:color="auto" w:sz="12" w:space="0"/>
            </w:tcBorders>
            <w:vAlign w:val="center"/>
          </w:tcPr>
          <w:p w14:paraId="7CE17021">
            <w:pPr>
              <w:tabs>
                <w:tab w:val="left" w:pos="360"/>
              </w:tabs>
              <w:spacing w:line="440" w:lineRule="exact"/>
              <w:ind w:firstLine="1320" w:firstLineChars="550"/>
              <w:rPr>
                <w:rFonts w:ascii="宋体" w:hAnsi="宋体"/>
                <w:color w:val="000000"/>
                <w:szCs w:val="20"/>
              </w:rPr>
            </w:pPr>
            <w:r>
              <w:rPr>
                <w:rFonts w:hint="eastAsia" w:ascii="宋体" w:hAnsi="宋体"/>
                <w:color w:val="000000"/>
                <w:szCs w:val="20"/>
              </w:rPr>
              <w:t>年毕业于               学校        专业</w:t>
            </w:r>
          </w:p>
        </w:tc>
      </w:tr>
      <w:tr w14:paraId="0318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tcBorders>
              <w:top w:val="single" w:color="auto" w:sz="6" w:space="0"/>
              <w:left w:val="single" w:color="auto" w:sz="12" w:space="0"/>
              <w:bottom w:val="single" w:color="auto" w:sz="6" w:space="0"/>
              <w:right w:val="single" w:color="auto" w:sz="12" w:space="0"/>
            </w:tcBorders>
            <w:vAlign w:val="center"/>
          </w:tcPr>
          <w:p w14:paraId="41C3C577">
            <w:pPr>
              <w:tabs>
                <w:tab w:val="left" w:pos="360"/>
              </w:tabs>
              <w:spacing w:line="440" w:lineRule="exact"/>
              <w:jc w:val="left"/>
              <w:rPr>
                <w:rFonts w:ascii="宋体" w:hAnsi="宋体"/>
                <w:color w:val="000000"/>
                <w:szCs w:val="20"/>
              </w:rPr>
            </w:pPr>
            <w:r>
              <w:rPr>
                <w:rFonts w:hint="eastAsia" w:ascii="宋体" w:hAnsi="宋体"/>
                <w:color w:val="000000"/>
                <w:szCs w:val="20"/>
              </w:rPr>
              <w:t>主要工作经历</w:t>
            </w:r>
          </w:p>
        </w:tc>
      </w:tr>
      <w:tr w14:paraId="7CB7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14:paraId="2FD9D705">
            <w:pPr>
              <w:tabs>
                <w:tab w:val="left" w:pos="360"/>
              </w:tabs>
              <w:spacing w:line="440" w:lineRule="exact"/>
              <w:jc w:val="center"/>
              <w:rPr>
                <w:rFonts w:ascii="宋体" w:hAnsi="宋体"/>
                <w:color w:val="000000"/>
                <w:szCs w:val="20"/>
              </w:rPr>
            </w:pPr>
            <w:r>
              <w:rPr>
                <w:rFonts w:hint="eastAsia" w:ascii="宋体" w:hAnsi="宋体"/>
                <w:color w:val="000000"/>
                <w:szCs w:val="20"/>
              </w:rPr>
              <w:t>时间</w:t>
            </w:r>
          </w:p>
        </w:tc>
        <w:tc>
          <w:tcPr>
            <w:tcW w:w="3420" w:type="dxa"/>
            <w:gridSpan w:val="4"/>
            <w:tcBorders>
              <w:top w:val="single" w:color="auto" w:sz="6" w:space="0"/>
              <w:left w:val="single" w:color="auto" w:sz="6" w:space="0"/>
              <w:bottom w:val="single" w:color="auto" w:sz="6" w:space="0"/>
              <w:right w:val="single" w:color="auto" w:sz="6" w:space="0"/>
            </w:tcBorders>
            <w:vAlign w:val="center"/>
          </w:tcPr>
          <w:p w14:paraId="10724F58">
            <w:pPr>
              <w:tabs>
                <w:tab w:val="left" w:pos="360"/>
              </w:tabs>
              <w:spacing w:line="440" w:lineRule="exact"/>
              <w:jc w:val="center"/>
              <w:rPr>
                <w:rFonts w:ascii="宋体" w:hAnsi="宋体"/>
                <w:color w:val="000000"/>
                <w:szCs w:val="20"/>
              </w:rPr>
            </w:pPr>
            <w:r>
              <w:rPr>
                <w:rFonts w:hint="eastAsia" w:ascii="宋体" w:hAnsi="宋体"/>
                <w:color w:val="000000"/>
                <w:szCs w:val="20"/>
              </w:rPr>
              <w:t>参加过的类似项目</w:t>
            </w:r>
          </w:p>
        </w:tc>
        <w:tc>
          <w:tcPr>
            <w:tcW w:w="1261" w:type="dxa"/>
            <w:tcBorders>
              <w:top w:val="single" w:color="auto" w:sz="6" w:space="0"/>
              <w:left w:val="single" w:color="auto" w:sz="6" w:space="0"/>
              <w:bottom w:val="single" w:color="auto" w:sz="6" w:space="0"/>
              <w:right w:val="single" w:color="auto" w:sz="6" w:space="0"/>
            </w:tcBorders>
            <w:vAlign w:val="center"/>
          </w:tcPr>
          <w:p w14:paraId="31F8D821">
            <w:pPr>
              <w:tabs>
                <w:tab w:val="left" w:pos="360"/>
              </w:tabs>
              <w:spacing w:line="440" w:lineRule="exact"/>
              <w:jc w:val="center"/>
              <w:rPr>
                <w:rFonts w:ascii="宋体" w:hAnsi="宋体"/>
                <w:color w:val="000000"/>
                <w:szCs w:val="20"/>
              </w:rPr>
            </w:pPr>
            <w:r>
              <w:rPr>
                <w:rFonts w:hint="eastAsia" w:ascii="宋体" w:hAnsi="宋体"/>
                <w:color w:val="000000"/>
                <w:szCs w:val="20"/>
              </w:rPr>
              <w:t>担任职务</w:t>
            </w: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65AA5DDB">
            <w:pPr>
              <w:tabs>
                <w:tab w:val="left" w:pos="360"/>
              </w:tabs>
              <w:spacing w:line="440" w:lineRule="exact"/>
              <w:jc w:val="center"/>
              <w:rPr>
                <w:rFonts w:ascii="宋体" w:hAnsi="宋体"/>
                <w:color w:val="000000"/>
                <w:szCs w:val="20"/>
              </w:rPr>
            </w:pPr>
            <w:r>
              <w:rPr>
                <w:rFonts w:hint="eastAsia" w:ascii="宋体" w:hAnsi="宋体"/>
                <w:color w:val="000000"/>
                <w:szCs w:val="20"/>
              </w:rPr>
              <w:t>委托人及联系电话</w:t>
            </w:r>
          </w:p>
        </w:tc>
      </w:tr>
      <w:tr w14:paraId="1CED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tcPr>
          <w:p w14:paraId="4860DAA1">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tcPr>
          <w:p w14:paraId="400DF8E8">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tcPr>
          <w:p w14:paraId="0DB0A7F2">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tcPr>
          <w:p w14:paraId="3AC4D142">
            <w:pPr>
              <w:spacing w:line="440" w:lineRule="exact"/>
              <w:rPr>
                <w:rFonts w:ascii="宋体" w:hAnsi="宋体"/>
                <w:color w:val="000000"/>
                <w:szCs w:val="20"/>
              </w:rPr>
            </w:pPr>
          </w:p>
        </w:tc>
      </w:tr>
      <w:tr w14:paraId="4210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tcPr>
          <w:p w14:paraId="36DFAAFC">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tcPr>
          <w:p w14:paraId="7AE2C8B7">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tcPr>
          <w:p w14:paraId="49F7386F">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tcPr>
          <w:p w14:paraId="7A582067">
            <w:pPr>
              <w:spacing w:line="440" w:lineRule="exact"/>
              <w:rPr>
                <w:rFonts w:ascii="宋体" w:hAnsi="宋体"/>
                <w:color w:val="000000"/>
                <w:szCs w:val="20"/>
              </w:rPr>
            </w:pPr>
          </w:p>
        </w:tc>
      </w:tr>
      <w:tr w14:paraId="4823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tcPr>
          <w:p w14:paraId="24BB5C48">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tcPr>
          <w:p w14:paraId="73244950">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tcPr>
          <w:p w14:paraId="374ACE01">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tcPr>
          <w:p w14:paraId="00812753">
            <w:pPr>
              <w:spacing w:line="440" w:lineRule="exact"/>
              <w:rPr>
                <w:rFonts w:ascii="宋体" w:hAnsi="宋体"/>
                <w:color w:val="000000"/>
                <w:szCs w:val="20"/>
              </w:rPr>
            </w:pPr>
          </w:p>
        </w:tc>
      </w:tr>
      <w:tr w14:paraId="35CF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14:paraId="54BE74A1">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14:paraId="2D127F2C">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vAlign w:val="center"/>
          </w:tcPr>
          <w:p w14:paraId="34AE40EC">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1E72F249">
            <w:pPr>
              <w:spacing w:line="440" w:lineRule="exact"/>
              <w:rPr>
                <w:rFonts w:ascii="宋体" w:hAnsi="宋体"/>
                <w:color w:val="000000"/>
                <w:szCs w:val="20"/>
              </w:rPr>
            </w:pPr>
          </w:p>
        </w:tc>
      </w:tr>
      <w:tr w14:paraId="5D86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14:paraId="6282904D">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14:paraId="1BCDD1BB">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vAlign w:val="center"/>
          </w:tcPr>
          <w:p w14:paraId="33C2A23C">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2B24B74E">
            <w:pPr>
              <w:spacing w:line="440" w:lineRule="exact"/>
              <w:rPr>
                <w:rFonts w:ascii="宋体" w:hAnsi="宋体"/>
                <w:color w:val="000000"/>
                <w:szCs w:val="20"/>
              </w:rPr>
            </w:pPr>
          </w:p>
        </w:tc>
      </w:tr>
      <w:tr w14:paraId="78D6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14:paraId="2C8A6F00">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14:paraId="04119303">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vAlign w:val="center"/>
          </w:tcPr>
          <w:p w14:paraId="3EA18961">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1E41F4ED">
            <w:pPr>
              <w:spacing w:line="440" w:lineRule="exact"/>
              <w:rPr>
                <w:rFonts w:ascii="宋体" w:hAnsi="宋体"/>
                <w:color w:val="000000"/>
                <w:szCs w:val="20"/>
              </w:rPr>
            </w:pPr>
          </w:p>
        </w:tc>
      </w:tr>
      <w:tr w14:paraId="48D7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14:paraId="7B48048E">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14:paraId="199D9033">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vAlign w:val="center"/>
          </w:tcPr>
          <w:p w14:paraId="2283F060">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23AA1EF8">
            <w:pPr>
              <w:spacing w:line="440" w:lineRule="exact"/>
              <w:rPr>
                <w:rFonts w:ascii="宋体" w:hAnsi="宋体"/>
                <w:color w:val="000000"/>
                <w:szCs w:val="20"/>
              </w:rPr>
            </w:pPr>
          </w:p>
        </w:tc>
      </w:tr>
      <w:bookmarkEnd w:id="169"/>
      <w:bookmarkEnd w:id="170"/>
    </w:tbl>
    <w:p w14:paraId="38AE9963">
      <w:pPr>
        <w:ind w:firstLine="480"/>
        <w:rPr>
          <w:rFonts w:ascii="宋体"/>
          <w:bCs/>
        </w:rPr>
      </w:pPr>
    </w:p>
    <w:p w14:paraId="66705D88">
      <w:pPr>
        <w:widowControl/>
        <w:snapToGrid w:val="0"/>
        <w:outlineLvl w:val="1"/>
        <w:rPr>
          <w:rFonts w:ascii="宋体"/>
          <w:b/>
          <w:sz w:val="28"/>
          <w:szCs w:val="28"/>
        </w:rPr>
      </w:pPr>
      <w:r>
        <w:rPr>
          <w:rFonts w:ascii="宋体"/>
          <w:b/>
          <w:sz w:val="28"/>
          <w:szCs w:val="28"/>
        </w:rPr>
        <w:br w:type="page"/>
      </w:r>
      <w:bookmarkStart w:id="181" w:name="_Toc31601"/>
      <w:bookmarkStart w:id="182" w:name="_Toc19257"/>
      <w:bookmarkStart w:id="183" w:name="_Toc2991"/>
      <w:bookmarkStart w:id="184" w:name="_Toc16246"/>
      <w:bookmarkStart w:id="185" w:name="_Toc325726045"/>
      <w:bookmarkStart w:id="186" w:name="_Toc376936780"/>
      <w:bookmarkStart w:id="187" w:name="_Toc365019586"/>
      <w:r>
        <w:rPr>
          <w:rFonts w:hint="eastAsia"/>
          <w:b/>
          <w:bCs/>
        </w:rPr>
        <w:t>（16）服务方案</w:t>
      </w:r>
      <w:bookmarkEnd w:id="181"/>
      <w:bookmarkEnd w:id="182"/>
      <w:bookmarkEnd w:id="183"/>
      <w:bookmarkEnd w:id="184"/>
    </w:p>
    <w:p w14:paraId="3240D6B2">
      <w:pPr>
        <w:jc w:val="center"/>
        <w:rPr>
          <w:rFonts w:ascii="宋体"/>
          <w:bCs/>
        </w:rPr>
      </w:pPr>
      <w:r>
        <w:rPr>
          <w:rFonts w:hint="eastAsia" w:ascii="宋体" w:hAnsi="宋体" w:cs="宋体"/>
          <w:b/>
          <w:color w:val="000000"/>
          <w:sz w:val="28"/>
          <w:szCs w:val="28"/>
        </w:rPr>
        <w:t>服务方案</w:t>
      </w:r>
    </w:p>
    <w:bookmarkEnd w:id="185"/>
    <w:bookmarkEnd w:id="186"/>
    <w:bookmarkEnd w:id="187"/>
    <w:p w14:paraId="3763D431">
      <w:pPr>
        <w:ind w:firstLine="480"/>
        <w:rPr>
          <w:rFonts w:ascii="宋体" w:hAnsi="宋体" w:cs="宋体"/>
          <w:color w:val="000000"/>
        </w:rPr>
      </w:pPr>
      <w:r>
        <w:rPr>
          <w:rFonts w:hint="eastAsia" w:ascii="宋体" w:hAnsi="宋体" w:cs="宋体"/>
          <w:color w:val="000000"/>
        </w:rPr>
        <w:t>格式自定</w:t>
      </w:r>
    </w:p>
    <w:bookmarkEnd w:id="86"/>
    <w:p w14:paraId="4FDD758B">
      <w:pPr>
        <w:widowControl/>
        <w:snapToGrid w:val="0"/>
        <w:rPr>
          <w:rFonts w:ascii="宋体"/>
          <w:b/>
          <w:sz w:val="28"/>
          <w:szCs w:val="28"/>
        </w:rPr>
      </w:pPr>
      <w:bookmarkStart w:id="188" w:name="_Toc496004044"/>
      <w:bookmarkStart w:id="189" w:name="_Toc496626250"/>
      <w:r>
        <w:rPr>
          <w:rFonts w:hint="eastAsia" w:ascii="宋体"/>
          <w:b/>
          <w:sz w:val="28"/>
          <w:szCs w:val="28"/>
        </w:rPr>
        <w:t xml:space="preserve"> </w:t>
      </w:r>
    </w:p>
    <w:bookmarkEnd w:id="188"/>
    <w:bookmarkEnd w:id="189"/>
    <w:p w14:paraId="09BB050B">
      <w:pPr>
        <w:widowControl/>
        <w:jc w:val="left"/>
        <w:rPr>
          <w:rFonts w:ascii="宋体" w:hAnsi="宋体" w:cs="宋体"/>
          <w:b/>
          <w:bCs/>
          <w:color w:val="000000"/>
          <w:sz w:val="30"/>
          <w:szCs w:val="30"/>
        </w:rPr>
      </w:pPr>
      <w:bookmarkStart w:id="190" w:name="_Toc10010"/>
      <w:bookmarkStart w:id="191" w:name="_Toc496004047"/>
      <w:bookmarkStart w:id="192" w:name="_Toc496626253"/>
      <w:bookmarkStart w:id="193" w:name="_Toc416363470"/>
      <w:r>
        <w:rPr>
          <w:rFonts w:ascii="宋体" w:hAnsi="宋体" w:cs="宋体"/>
          <w:b/>
          <w:bCs/>
          <w:color w:val="000000"/>
          <w:sz w:val="30"/>
          <w:szCs w:val="30"/>
        </w:rPr>
        <w:br w:type="page"/>
      </w:r>
    </w:p>
    <w:p w14:paraId="2AFCBFBB">
      <w:pPr>
        <w:wordWrap w:val="0"/>
        <w:outlineLvl w:val="1"/>
        <w:rPr>
          <w:b/>
          <w:bCs/>
        </w:rPr>
      </w:pPr>
      <w:bookmarkStart w:id="194" w:name="_Toc30436"/>
      <w:bookmarkStart w:id="195" w:name="_Toc18835"/>
      <w:bookmarkStart w:id="196" w:name="_Toc5703"/>
      <w:r>
        <w:rPr>
          <w:rFonts w:hint="eastAsia"/>
          <w:b/>
          <w:bCs/>
        </w:rPr>
        <w:t>（17）</w:t>
      </w:r>
      <w:bookmarkEnd w:id="190"/>
      <w:r>
        <w:rPr>
          <w:rFonts w:hint="eastAsia"/>
          <w:b/>
          <w:bCs/>
        </w:rPr>
        <w:t>享受政府采购政策优惠的证明资料</w:t>
      </w:r>
      <w:bookmarkEnd w:id="194"/>
      <w:bookmarkEnd w:id="195"/>
      <w:bookmarkEnd w:id="196"/>
    </w:p>
    <w:p w14:paraId="3425B6BE">
      <w:pPr>
        <w:numPr>
          <w:ilvl w:val="0"/>
          <w:numId w:val="23"/>
        </w:numPr>
        <w:adjustRightInd w:val="0"/>
        <w:snapToGrid w:val="0"/>
        <w:spacing w:before="120" w:beforeLines="50" w:line="560" w:lineRule="exact"/>
        <w:jc w:val="center"/>
        <w:rPr>
          <w:rFonts w:ascii="宋体" w:hAnsi="宋体" w:cs="宋体"/>
          <w:b/>
          <w:bCs/>
          <w:color w:val="000000"/>
          <w:sz w:val="28"/>
          <w:szCs w:val="28"/>
        </w:rPr>
      </w:pPr>
      <w:bookmarkStart w:id="197" w:name="_Toc25276"/>
      <w:r>
        <w:rPr>
          <w:rFonts w:hint="eastAsia" w:ascii="宋体" w:hAnsi="宋体" w:cs="宋体"/>
          <w:b/>
          <w:bCs/>
          <w:color w:val="000000"/>
          <w:sz w:val="28"/>
          <w:szCs w:val="28"/>
        </w:rPr>
        <w:t>节能产品、环境标志产品证明材料</w:t>
      </w:r>
      <w:bookmarkEnd w:id="197"/>
    </w:p>
    <w:p w14:paraId="54F9075E">
      <w:pPr>
        <w:adjustRightInd w:val="0"/>
        <w:snapToGrid w:val="0"/>
        <w:spacing w:line="560" w:lineRule="exact"/>
        <w:ind w:firstLine="480"/>
        <w:rPr>
          <w:rFonts w:ascii="宋体" w:hAnsi="宋体" w:cs="宋体"/>
          <w:bCs/>
          <w:color w:val="000000"/>
        </w:rPr>
      </w:pPr>
      <w:r>
        <w:rPr>
          <w:rFonts w:hint="eastAsia" w:ascii="宋体" w:hAnsi="宋体" w:cs="宋体"/>
          <w:bCs/>
          <w:color w:val="000000"/>
        </w:rPr>
        <w:t>产品属于品目清单范围的，实施政府优先采购和强制采购。供应商应提供国家确定的认证机构出具的、处于有效期之内的节能产品、环境标志产品认证证书，并加盖供应商单位公章。</w:t>
      </w:r>
    </w:p>
    <w:p w14:paraId="3D1D8A28">
      <w:pPr>
        <w:adjustRightInd w:val="0"/>
        <w:snapToGrid w:val="0"/>
        <w:spacing w:before="120" w:beforeLines="50" w:line="560" w:lineRule="exact"/>
        <w:ind w:firstLine="420"/>
        <w:jc w:val="left"/>
        <w:rPr>
          <w:rFonts w:ascii="宋体" w:hAnsi="宋体"/>
          <w:color w:val="000000"/>
          <w:szCs w:val="21"/>
        </w:rPr>
      </w:pPr>
    </w:p>
    <w:p w14:paraId="5AD81F75">
      <w:pPr>
        <w:adjustRightInd w:val="0"/>
        <w:snapToGrid w:val="0"/>
        <w:spacing w:before="120" w:beforeLines="50" w:line="560" w:lineRule="exact"/>
        <w:ind w:firstLine="420"/>
        <w:jc w:val="left"/>
        <w:rPr>
          <w:rFonts w:ascii="宋体" w:hAnsi="宋体"/>
          <w:color w:val="000000"/>
          <w:szCs w:val="21"/>
        </w:rPr>
      </w:pPr>
    </w:p>
    <w:p w14:paraId="0901F02B">
      <w:pPr>
        <w:widowControl/>
        <w:snapToGrid w:val="0"/>
        <w:spacing w:before="120" w:beforeLines="50" w:line="560" w:lineRule="exact"/>
        <w:ind w:firstLine="562"/>
        <w:rPr>
          <w:rFonts w:ascii="宋体" w:hAnsi="宋体"/>
          <w:b/>
          <w:color w:val="000000"/>
          <w:sz w:val="28"/>
          <w:szCs w:val="28"/>
        </w:rPr>
      </w:pPr>
    </w:p>
    <w:p w14:paraId="585371BB">
      <w:pPr>
        <w:widowControl/>
        <w:snapToGrid w:val="0"/>
        <w:spacing w:before="120" w:beforeLines="50" w:line="560" w:lineRule="exact"/>
        <w:ind w:firstLine="562"/>
        <w:rPr>
          <w:rFonts w:ascii="宋体" w:hAnsi="宋体"/>
          <w:b/>
          <w:color w:val="000000"/>
          <w:sz w:val="28"/>
          <w:szCs w:val="28"/>
        </w:rPr>
      </w:pPr>
    </w:p>
    <w:p w14:paraId="4D931B8F">
      <w:pPr>
        <w:widowControl/>
        <w:snapToGrid w:val="0"/>
        <w:spacing w:before="120" w:beforeLines="50" w:line="560" w:lineRule="exact"/>
        <w:ind w:firstLine="562"/>
        <w:rPr>
          <w:rFonts w:ascii="宋体" w:hAnsi="宋体"/>
          <w:b/>
          <w:color w:val="000000"/>
          <w:sz w:val="28"/>
          <w:szCs w:val="28"/>
        </w:rPr>
      </w:pPr>
    </w:p>
    <w:p w14:paraId="4700C3F2">
      <w:pPr>
        <w:widowControl/>
        <w:snapToGrid w:val="0"/>
        <w:spacing w:before="120" w:beforeLines="50" w:line="560" w:lineRule="exact"/>
        <w:ind w:firstLine="562"/>
        <w:rPr>
          <w:rFonts w:ascii="宋体" w:hAnsi="宋体"/>
          <w:b/>
          <w:color w:val="000000"/>
          <w:sz w:val="28"/>
          <w:szCs w:val="28"/>
        </w:rPr>
      </w:pPr>
    </w:p>
    <w:p w14:paraId="583BAFC6">
      <w:pPr>
        <w:widowControl/>
        <w:snapToGrid w:val="0"/>
        <w:spacing w:before="120" w:beforeLines="50" w:line="560" w:lineRule="exact"/>
        <w:ind w:firstLine="562"/>
        <w:rPr>
          <w:rFonts w:ascii="宋体" w:hAnsi="宋体"/>
          <w:b/>
          <w:color w:val="000000"/>
          <w:sz w:val="28"/>
          <w:szCs w:val="28"/>
        </w:rPr>
      </w:pPr>
    </w:p>
    <w:p w14:paraId="48FAE10E">
      <w:pPr>
        <w:widowControl/>
        <w:snapToGrid w:val="0"/>
        <w:spacing w:before="120" w:beforeLines="50" w:line="560" w:lineRule="exact"/>
        <w:ind w:firstLine="562"/>
        <w:rPr>
          <w:rFonts w:ascii="宋体" w:hAnsi="宋体"/>
          <w:b/>
          <w:color w:val="000000"/>
          <w:sz w:val="28"/>
          <w:szCs w:val="28"/>
        </w:rPr>
      </w:pPr>
    </w:p>
    <w:p w14:paraId="0246A4AF">
      <w:pPr>
        <w:widowControl/>
        <w:snapToGrid w:val="0"/>
        <w:spacing w:before="120" w:beforeLines="50" w:line="560" w:lineRule="exact"/>
        <w:ind w:firstLine="562"/>
        <w:rPr>
          <w:rFonts w:ascii="宋体" w:hAnsi="宋体"/>
          <w:b/>
          <w:color w:val="000000"/>
          <w:sz w:val="28"/>
          <w:szCs w:val="28"/>
        </w:rPr>
      </w:pPr>
    </w:p>
    <w:p w14:paraId="44234D76">
      <w:pPr>
        <w:widowControl/>
        <w:snapToGrid w:val="0"/>
        <w:spacing w:before="120" w:beforeLines="50" w:line="560" w:lineRule="exact"/>
        <w:ind w:firstLine="562"/>
        <w:rPr>
          <w:rFonts w:ascii="宋体" w:hAnsi="宋体"/>
          <w:b/>
          <w:color w:val="000000"/>
          <w:sz w:val="28"/>
          <w:szCs w:val="28"/>
        </w:rPr>
      </w:pPr>
    </w:p>
    <w:p w14:paraId="6274BC59">
      <w:pPr>
        <w:ind w:firstLine="562"/>
        <w:jc w:val="center"/>
        <w:rPr>
          <w:rFonts w:ascii="宋体" w:hAnsi="宋体" w:cs="宋体"/>
          <w:b/>
          <w:bCs/>
          <w:color w:val="000000"/>
          <w:sz w:val="28"/>
          <w:szCs w:val="28"/>
        </w:rPr>
      </w:pPr>
      <w:r>
        <w:rPr>
          <w:rFonts w:ascii="宋体" w:hAnsi="宋体"/>
          <w:b/>
          <w:color w:val="000000"/>
          <w:sz w:val="28"/>
          <w:szCs w:val="28"/>
        </w:rPr>
        <w:br w:type="page"/>
      </w:r>
      <w:bookmarkStart w:id="198" w:name="_Toc22784_WPSOffice_Level3"/>
      <w:bookmarkStart w:id="199" w:name="_Toc6454"/>
      <w:bookmarkStart w:id="200" w:name="_Toc31539"/>
      <w:r>
        <w:rPr>
          <w:rFonts w:hint="eastAsia" w:ascii="宋体" w:hAnsi="宋体" w:cs="宋体"/>
          <w:b/>
          <w:bCs/>
          <w:color w:val="000000"/>
          <w:sz w:val="28"/>
          <w:szCs w:val="28"/>
        </w:rPr>
        <w:t>2.中小企业声明函</w:t>
      </w:r>
      <w:bookmarkEnd w:id="198"/>
      <w:bookmarkEnd w:id="199"/>
      <w:bookmarkEnd w:id="200"/>
      <w:r>
        <w:rPr>
          <w:rFonts w:hint="eastAsia" w:ascii="宋体" w:hAnsi="宋体" w:cs="宋体"/>
          <w:b/>
          <w:bCs/>
          <w:color w:val="000000"/>
          <w:sz w:val="28"/>
          <w:szCs w:val="28"/>
        </w:rPr>
        <w:t>（工程、服务）</w:t>
      </w:r>
    </w:p>
    <w:p w14:paraId="20FBFF55">
      <w:pPr>
        <w:widowControl/>
        <w:adjustRightInd w:val="0"/>
        <w:snapToGrid w:val="0"/>
        <w:spacing w:line="560" w:lineRule="exact"/>
        <w:ind w:firstLine="506"/>
        <w:jc w:val="center"/>
        <w:rPr>
          <w:rFonts w:ascii="宋体" w:hAnsi="宋体" w:cs="仿宋_GB2312"/>
          <w:b/>
          <w:color w:val="000000"/>
          <w:spacing w:val="6"/>
        </w:rPr>
      </w:pPr>
      <w:bookmarkStart w:id="201" w:name="_Toc1901_WPSOffice_Level3"/>
      <w:bookmarkStart w:id="202" w:name="_Toc3019_WPSOffice_Level3"/>
      <w:r>
        <w:rPr>
          <w:rFonts w:hint="eastAsia" w:ascii="宋体" w:hAnsi="宋体" w:cs="仿宋_GB2312"/>
          <w:b/>
          <w:color w:val="000000"/>
          <w:spacing w:val="6"/>
        </w:rPr>
        <w:t>(不满足以下条件的无需填写)</w:t>
      </w:r>
      <w:bookmarkEnd w:id="201"/>
      <w:bookmarkEnd w:id="202"/>
    </w:p>
    <w:p w14:paraId="1DEC509E">
      <w:pPr>
        <w:spacing w:line="560" w:lineRule="exact"/>
        <w:ind w:firstLine="504" w:firstLineChars="200"/>
        <w:rPr>
          <w:rFonts w:ascii="宋体" w:hAnsi="宋体" w:cs="仿宋_GB2312"/>
          <w:color w:val="000000"/>
          <w:spacing w:val="6"/>
        </w:rPr>
      </w:pPr>
      <w:r>
        <w:rPr>
          <w:rFonts w:hint="eastAsia" w:ascii="宋体" w:hAnsi="宋体" w:cs="仿宋_GB2312"/>
          <w:color w:val="000000"/>
          <w:spacing w:val="6"/>
        </w:rPr>
        <w:t>中小企业声明函（工程、服务）</w:t>
      </w:r>
    </w:p>
    <w:p w14:paraId="559A3548">
      <w:pPr>
        <w:spacing w:line="560" w:lineRule="exact"/>
        <w:ind w:firstLine="504" w:firstLineChars="200"/>
        <w:rPr>
          <w:rFonts w:ascii="宋体" w:hAnsi="宋体" w:cs="仿宋_GB2312"/>
          <w:color w:val="000000"/>
          <w:spacing w:val="6"/>
        </w:rPr>
      </w:pPr>
      <w:r>
        <w:rPr>
          <w:rFonts w:ascii="宋体" w:hAnsi="宋体" w:cs="仿宋_GB2312"/>
          <w:color w:val="000000"/>
          <w:spacing w:val="6"/>
        </w:rPr>
        <w:t>本公司（联合体）郑重声明，根据《政府采购促进中小企业发展管理办法》（财库</w:t>
      </w:r>
      <w:r>
        <w:rPr>
          <w:rFonts w:hint="eastAsia" w:ascii="宋体" w:hAnsi="宋体" w:cs="仿宋_GB2312"/>
          <w:color w:val="000000"/>
          <w:spacing w:val="6"/>
        </w:rPr>
        <w:t>﹝</w:t>
      </w:r>
      <w:r>
        <w:rPr>
          <w:rFonts w:ascii="宋体" w:hAnsi="宋体" w:cs="仿宋_GB2312"/>
          <w:color w:val="000000"/>
          <w:spacing w:val="6"/>
        </w:rPr>
        <w:t>2020</w:t>
      </w:r>
      <w:r>
        <w:rPr>
          <w:rFonts w:hint="eastAsia" w:ascii="宋体" w:hAnsi="宋体" w:cs="仿宋_GB2312"/>
          <w:color w:val="000000"/>
          <w:spacing w:val="6"/>
        </w:rPr>
        <w:t>﹞</w:t>
      </w:r>
      <w:r>
        <w:rPr>
          <w:rFonts w:ascii="宋体" w:hAnsi="宋体" w:cs="仿宋_GB2312"/>
          <w:color w:val="000000"/>
          <w:spacing w:val="6"/>
        </w:rPr>
        <w:t>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909D5D5">
      <w:pPr>
        <w:spacing w:line="560" w:lineRule="exact"/>
        <w:ind w:firstLine="504" w:firstLineChars="200"/>
        <w:rPr>
          <w:rFonts w:ascii="宋体" w:hAnsi="宋体" w:cs="仿宋_GB2312"/>
          <w:color w:val="000000"/>
          <w:spacing w:val="6"/>
        </w:rPr>
      </w:pPr>
      <w:r>
        <w:rPr>
          <w:rFonts w:ascii="宋体" w:hAnsi="宋体" w:cs="仿宋_GB2312"/>
          <w:color w:val="000000"/>
          <w:spacing w:val="6"/>
        </w:rPr>
        <w:t xml:space="preserve">1. </w:t>
      </w:r>
      <w:r>
        <w:rPr>
          <w:rFonts w:hint="eastAsia" w:ascii="宋体" w:hAnsi="宋体" w:cs="仿宋_GB2312"/>
          <w:color w:val="000000"/>
          <w:spacing w:val="6"/>
          <w:u w:val="single"/>
          <w:lang w:eastAsia="zh-CN"/>
        </w:rPr>
        <w:t xml:space="preserve">湟源县17座农村污水处理站运维服务 </w:t>
      </w:r>
      <w:r>
        <w:rPr>
          <w:rFonts w:ascii="宋体" w:hAnsi="宋体" w:cs="仿宋_GB2312"/>
          <w:color w:val="000000"/>
          <w:spacing w:val="6"/>
          <w:u w:val="single"/>
        </w:rPr>
        <w:t xml:space="preserve"> </w:t>
      </w:r>
      <w:r>
        <w:rPr>
          <w:rFonts w:ascii="宋体" w:hAnsi="宋体" w:cs="仿宋_GB2312"/>
          <w:color w:val="000000"/>
          <w:spacing w:val="6"/>
        </w:rPr>
        <w:t>，属于</w:t>
      </w:r>
      <w:r>
        <w:rPr>
          <w:rFonts w:hint="eastAsia" w:ascii="宋体" w:hAnsi="宋体" w:cs="仿宋_GB2312"/>
          <w:color w:val="000000"/>
          <w:spacing w:val="6"/>
          <w:u w:val="single"/>
          <w:lang w:val="en-US" w:eastAsia="zh-CN"/>
        </w:rPr>
        <w:t>其他未列明行业</w:t>
      </w:r>
      <w:r>
        <w:rPr>
          <w:rFonts w:ascii="宋体" w:hAnsi="宋体" w:cs="仿宋_GB2312"/>
          <w:color w:val="000000"/>
          <w:spacing w:val="6"/>
        </w:rPr>
        <w:t>；承建（承接）企业为</w:t>
      </w:r>
      <w:r>
        <w:rPr>
          <w:rFonts w:ascii="宋体" w:hAnsi="宋体" w:cs="仿宋_GB2312"/>
          <w:color w:val="000000"/>
          <w:spacing w:val="6"/>
          <w:u w:val="single"/>
        </w:rPr>
        <w:t>（企业名称）</w:t>
      </w:r>
      <w:r>
        <w:rPr>
          <w:rFonts w:ascii="宋体" w:hAnsi="宋体" w:cs="仿宋_GB2312"/>
          <w:color w:val="000000"/>
          <w:spacing w:val="6"/>
        </w:rPr>
        <w:t>，从业人员</w:t>
      </w:r>
      <w:r>
        <w:rPr>
          <w:rFonts w:hint="eastAsia" w:ascii="宋体" w:hAnsi="宋体" w:cs="仿宋_GB2312"/>
          <w:color w:val="000000"/>
          <w:spacing w:val="6"/>
          <w:u w:val="single"/>
        </w:rPr>
        <w:t xml:space="preserve">    </w:t>
      </w:r>
      <w:r>
        <w:rPr>
          <w:rFonts w:ascii="宋体" w:hAnsi="宋体" w:cs="仿宋_GB2312"/>
          <w:color w:val="000000"/>
          <w:spacing w:val="6"/>
        </w:rPr>
        <w:t>人，营业收入为</w:t>
      </w:r>
      <w:r>
        <w:rPr>
          <w:rFonts w:hint="eastAsia" w:ascii="宋体" w:hAnsi="宋体" w:cs="仿宋_GB2312"/>
          <w:color w:val="000000"/>
          <w:spacing w:val="6"/>
          <w:u w:val="single"/>
        </w:rPr>
        <w:t xml:space="preserve">    </w:t>
      </w:r>
      <w:r>
        <w:rPr>
          <w:rFonts w:ascii="宋体" w:hAnsi="宋体" w:cs="仿宋_GB2312"/>
          <w:color w:val="000000"/>
          <w:spacing w:val="6"/>
        </w:rPr>
        <w:t>万元，资产总额为</w:t>
      </w:r>
      <w:r>
        <w:rPr>
          <w:rFonts w:hint="eastAsia" w:ascii="宋体" w:hAnsi="宋体" w:cs="仿宋_GB2312"/>
          <w:color w:val="000000"/>
          <w:spacing w:val="6"/>
          <w:u w:val="single"/>
        </w:rPr>
        <w:t xml:space="preserve">    </w:t>
      </w:r>
      <w:r>
        <w:rPr>
          <w:rFonts w:ascii="宋体" w:hAnsi="宋体" w:cs="仿宋_GB2312"/>
          <w:color w:val="000000"/>
          <w:spacing w:val="6"/>
        </w:rPr>
        <w:t>万元</w:t>
      </w:r>
      <w:r>
        <w:rPr>
          <w:rFonts w:ascii="宋体" w:hAnsi="宋体" w:cs="仿宋_GB2312"/>
          <w:color w:val="000000"/>
          <w:spacing w:val="6"/>
          <w:sz w:val="28"/>
          <w:szCs w:val="28"/>
          <w:vertAlign w:val="superscript"/>
        </w:rPr>
        <w:t>1</w:t>
      </w:r>
      <w:r>
        <w:rPr>
          <w:rFonts w:ascii="宋体" w:hAnsi="宋体" w:cs="仿宋_GB2312"/>
          <w:color w:val="000000"/>
          <w:spacing w:val="6"/>
        </w:rPr>
        <w:t>，属于</w:t>
      </w:r>
      <w:r>
        <w:rPr>
          <w:rFonts w:ascii="宋体" w:hAnsi="宋体" w:cs="仿宋_GB2312"/>
          <w:color w:val="000000"/>
          <w:spacing w:val="6"/>
          <w:u w:val="single"/>
        </w:rPr>
        <w:t>（中型企业、小型企业、微型企业）</w:t>
      </w:r>
      <w:r>
        <w:rPr>
          <w:rFonts w:ascii="宋体" w:hAnsi="宋体" w:cs="仿宋_GB2312"/>
          <w:color w:val="000000"/>
          <w:spacing w:val="6"/>
        </w:rPr>
        <w:t>；</w:t>
      </w:r>
    </w:p>
    <w:p w14:paraId="72880CFF">
      <w:pPr>
        <w:spacing w:line="560" w:lineRule="exact"/>
        <w:ind w:firstLine="504" w:firstLineChars="200"/>
        <w:rPr>
          <w:rFonts w:ascii="宋体" w:hAnsi="宋体" w:cs="仿宋_GB2312"/>
          <w:color w:val="000000"/>
          <w:spacing w:val="6"/>
        </w:rPr>
      </w:pPr>
      <w:r>
        <w:rPr>
          <w:rFonts w:ascii="宋体" w:hAnsi="宋体" w:cs="仿宋_GB2312"/>
          <w:color w:val="000000"/>
          <w:spacing w:val="6"/>
        </w:rPr>
        <w:t>2.</w:t>
      </w:r>
      <w:r>
        <w:rPr>
          <w:rFonts w:ascii="宋体" w:hAnsi="宋体" w:cs="仿宋_GB2312"/>
          <w:color w:val="000000"/>
          <w:spacing w:val="6"/>
          <w:u w:val="single"/>
        </w:rPr>
        <w:t xml:space="preserve"> （标的名称） </w:t>
      </w:r>
      <w:r>
        <w:rPr>
          <w:rFonts w:ascii="宋体" w:hAnsi="宋体" w:cs="仿宋_GB2312"/>
          <w:color w:val="000000"/>
          <w:spacing w:val="6"/>
        </w:rPr>
        <w:t>，属于（采购文件中明确的所属行业）；承建（承接）企业为</w:t>
      </w:r>
      <w:r>
        <w:rPr>
          <w:rFonts w:ascii="宋体" w:hAnsi="宋体" w:cs="仿宋_GB2312"/>
          <w:color w:val="000000"/>
          <w:spacing w:val="6"/>
          <w:u w:val="single"/>
        </w:rPr>
        <w:t>（企业名称）</w:t>
      </w:r>
      <w:r>
        <w:rPr>
          <w:rFonts w:ascii="宋体" w:hAnsi="宋体" w:cs="仿宋_GB2312"/>
          <w:color w:val="000000"/>
          <w:spacing w:val="6"/>
        </w:rPr>
        <w:t>，从业人员</w:t>
      </w:r>
      <w:r>
        <w:rPr>
          <w:rFonts w:hint="eastAsia" w:ascii="宋体" w:hAnsi="宋体" w:cs="仿宋_GB2312"/>
          <w:color w:val="000000"/>
          <w:spacing w:val="6"/>
          <w:u w:val="single"/>
        </w:rPr>
        <w:t xml:space="preserve">    </w:t>
      </w:r>
      <w:r>
        <w:rPr>
          <w:rFonts w:ascii="宋体" w:hAnsi="宋体" w:cs="仿宋_GB2312"/>
          <w:color w:val="000000"/>
          <w:spacing w:val="6"/>
        </w:rPr>
        <w:t>人，营业收入为</w:t>
      </w:r>
      <w:r>
        <w:rPr>
          <w:rFonts w:hint="eastAsia" w:ascii="宋体" w:hAnsi="宋体" w:cs="仿宋_GB2312"/>
          <w:color w:val="000000"/>
          <w:spacing w:val="6"/>
          <w:u w:val="single"/>
        </w:rPr>
        <w:t xml:space="preserve">    </w:t>
      </w:r>
      <w:r>
        <w:rPr>
          <w:rFonts w:ascii="宋体" w:hAnsi="宋体" w:cs="仿宋_GB2312"/>
          <w:color w:val="000000"/>
          <w:spacing w:val="6"/>
        </w:rPr>
        <w:t>万元，资产总额为</w:t>
      </w:r>
      <w:r>
        <w:rPr>
          <w:rFonts w:hint="eastAsia" w:ascii="宋体" w:hAnsi="宋体" w:cs="仿宋_GB2312"/>
          <w:color w:val="000000"/>
          <w:spacing w:val="6"/>
          <w:u w:val="single"/>
        </w:rPr>
        <w:t xml:space="preserve">    </w:t>
      </w:r>
      <w:r>
        <w:rPr>
          <w:rFonts w:ascii="宋体" w:hAnsi="宋体" w:cs="仿宋_GB2312"/>
          <w:color w:val="000000"/>
          <w:spacing w:val="6"/>
        </w:rPr>
        <w:t>万元，属于</w:t>
      </w:r>
      <w:r>
        <w:rPr>
          <w:rFonts w:ascii="宋体" w:hAnsi="宋体" w:cs="仿宋_GB2312"/>
          <w:color w:val="000000"/>
          <w:spacing w:val="6"/>
          <w:u w:val="single"/>
        </w:rPr>
        <w:t>（中型企业、小型企业、微型企业）</w:t>
      </w:r>
      <w:r>
        <w:rPr>
          <w:rFonts w:ascii="宋体" w:hAnsi="宋体" w:cs="仿宋_GB2312"/>
          <w:color w:val="000000"/>
          <w:spacing w:val="6"/>
        </w:rPr>
        <w:t>；</w:t>
      </w:r>
    </w:p>
    <w:p w14:paraId="48B54C6D">
      <w:pPr>
        <w:spacing w:line="560" w:lineRule="exact"/>
        <w:ind w:firstLine="504" w:firstLineChars="200"/>
        <w:rPr>
          <w:rFonts w:ascii="宋体" w:hAnsi="宋体" w:cs="仿宋_GB2312"/>
          <w:color w:val="000000"/>
          <w:spacing w:val="6"/>
        </w:rPr>
      </w:pPr>
      <w:r>
        <w:rPr>
          <w:rFonts w:ascii="宋体" w:hAnsi="宋体" w:cs="仿宋_GB2312"/>
          <w:color w:val="000000"/>
          <w:spacing w:val="6"/>
        </w:rPr>
        <w:t>……</w:t>
      </w:r>
    </w:p>
    <w:p w14:paraId="4BD0191B">
      <w:pPr>
        <w:spacing w:line="560" w:lineRule="exact"/>
        <w:ind w:firstLine="504" w:firstLineChars="200"/>
        <w:rPr>
          <w:rFonts w:ascii="宋体" w:hAnsi="宋体" w:cs="仿宋_GB2312"/>
          <w:color w:val="000000"/>
          <w:spacing w:val="6"/>
        </w:rPr>
      </w:pPr>
      <w:r>
        <w:rPr>
          <w:rFonts w:ascii="宋体" w:hAnsi="宋体" w:cs="仿宋_GB2312"/>
          <w:color w:val="000000"/>
          <w:spacing w:val="6"/>
        </w:rPr>
        <w:t>以上企业，不属于大企业的分支机构，不存在控股股东为大企业的情形，也不存在与大企业的负责人为同一人的情形。</w:t>
      </w:r>
    </w:p>
    <w:p w14:paraId="3A39BCA2">
      <w:pPr>
        <w:spacing w:line="560" w:lineRule="exact"/>
        <w:ind w:firstLine="504" w:firstLineChars="200"/>
        <w:rPr>
          <w:rFonts w:ascii="宋体" w:hAnsi="宋体" w:cs="仿宋_GB2312"/>
          <w:color w:val="000000"/>
          <w:spacing w:val="6"/>
        </w:rPr>
      </w:pPr>
      <w:r>
        <w:rPr>
          <w:rFonts w:ascii="宋体" w:hAnsi="宋体" w:cs="仿宋_GB2312"/>
          <w:color w:val="000000"/>
          <w:spacing w:val="6"/>
        </w:rPr>
        <w:t>本企业对上述声明内容的真实性负责。如有虚假，将依法承担相应责任。</w:t>
      </w:r>
    </w:p>
    <w:p w14:paraId="09146367">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单位名称：</w:t>
      </w:r>
      <w:r>
        <w:rPr>
          <w:rFonts w:hint="eastAsia" w:ascii="宋体" w:hAnsi="宋体" w:cs="仿宋_GB2312"/>
          <w:color w:val="000000"/>
          <w:spacing w:val="6"/>
          <w:u w:val="single"/>
        </w:rPr>
        <w:t xml:space="preserve">       </w:t>
      </w:r>
      <w:r>
        <w:rPr>
          <w:rFonts w:hint="eastAsia" w:ascii="宋体" w:hAnsi="宋体" w:cs="仿宋_GB2312"/>
          <w:color w:val="000000"/>
          <w:spacing w:val="6"/>
        </w:rPr>
        <w:t>（公章）</w:t>
      </w:r>
    </w:p>
    <w:p w14:paraId="01233F47">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法定代表人或委托代理人：</w:t>
      </w:r>
      <w:r>
        <w:rPr>
          <w:rFonts w:hint="eastAsia" w:ascii="宋体" w:hAnsi="宋体" w:cs="仿宋_GB2312"/>
          <w:color w:val="000000"/>
          <w:spacing w:val="6"/>
          <w:u w:val="single"/>
        </w:rPr>
        <w:t xml:space="preserve">       </w:t>
      </w:r>
      <w:r>
        <w:rPr>
          <w:rFonts w:hint="eastAsia" w:ascii="宋体" w:hAnsi="宋体" w:cs="仿宋_GB2312"/>
          <w:color w:val="000000"/>
          <w:spacing w:val="6"/>
        </w:rPr>
        <w:t>（签字或盖章）</w:t>
      </w:r>
    </w:p>
    <w:p w14:paraId="2DEC8A8E">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年   月  日</w:t>
      </w:r>
    </w:p>
    <w:p w14:paraId="23AC4D90">
      <w:pPr>
        <w:widowControl/>
        <w:spacing w:line="560" w:lineRule="exact"/>
        <w:ind w:firstLine="504" w:firstLineChars="200"/>
        <w:rPr>
          <w:rFonts w:ascii="宋体" w:hAnsi="宋体" w:cs="仿宋_GB2312"/>
          <w:color w:val="000000"/>
          <w:spacing w:val="6"/>
        </w:rPr>
      </w:pPr>
      <w:r>
        <w:rPr>
          <w:rFonts w:ascii="宋体" w:hAnsi="宋体" w:cs="仿宋_GB2312"/>
          <w:color w:val="000000"/>
          <w:spacing w:val="6"/>
        </w:rPr>
        <w:t>注</w:t>
      </w:r>
      <w:r>
        <w:rPr>
          <w:rFonts w:hint="eastAsia" w:ascii="宋体" w:hAnsi="宋体" w:cs="仿宋_GB2312"/>
          <w:color w:val="000000"/>
          <w:spacing w:val="6"/>
        </w:rPr>
        <w:t>：</w:t>
      </w:r>
      <w:r>
        <w:rPr>
          <w:rFonts w:ascii="宋体" w:hAnsi="宋体" w:cs="仿宋_GB2312"/>
          <w:color w:val="000000"/>
          <w:spacing w:val="6"/>
        </w:rPr>
        <w:t>从业人员</w:t>
      </w:r>
      <w:r>
        <w:rPr>
          <w:rFonts w:hint="eastAsia" w:ascii="宋体" w:hAnsi="宋体" w:cs="仿宋_GB2312"/>
          <w:color w:val="000000"/>
          <w:spacing w:val="6"/>
        </w:rPr>
        <w:t>、</w:t>
      </w:r>
      <w:r>
        <w:rPr>
          <w:rFonts w:ascii="宋体" w:hAnsi="宋体" w:cs="仿宋_GB2312"/>
          <w:color w:val="000000"/>
          <w:spacing w:val="6"/>
        </w:rPr>
        <w:t>营业收入</w:t>
      </w:r>
      <w:r>
        <w:rPr>
          <w:rFonts w:hint="eastAsia" w:ascii="宋体" w:hAnsi="宋体" w:cs="仿宋_GB2312"/>
          <w:color w:val="000000"/>
          <w:spacing w:val="6"/>
        </w:rPr>
        <w:t>、</w:t>
      </w:r>
      <w:r>
        <w:rPr>
          <w:rFonts w:ascii="宋体" w:hAnsi="宋体" w:cs="仿宋_GB2312"/>
          <w:color w:val="000000"/>
          <w:spacing w:val="6"/>
        </w:rPr>
        <w:t>资产总额填报上一年度数据</w:t>
      </w:r>
      <w:r>
        <w:rPr>
          <w:rFonts w:hint="eastAsia" w:ascii="宋体" w:hAnsi="宋体" w:cs="仿宋_GB2312"/>
          <w:color w:val="000000"/>
          <w:spacing w:val="6"/>
        </w:rPr>
        <w:t>，</w:t>
      </w:r>
      <w:r>
        <w:rPr>
          <w:rFonts w:ascii="宋体" w:hAnsi="宋体" w:cs="仿宋_GB2312"/>
          <w:color w:val="000000"/>
          <w:spacing w:val="6"/>
        </w:rPr>
        <w:t>无上一年度数据的新成立企业可不填报</w:t>
      </w:r>
      <w:r>
        <w:rPr>
          <w:rFonts w:hint="eastAsia" w:ascii="宋体" w:hAnsi="宋体" w:cs="仿宋_GB2312"/>
          <w:color w:val="000000"/>
          <w:spacing w:val="6"/>
        </w:rPr>
        <w:t>。</w:t>
      </w:r>
    </w:p>
    <w:p w14:paraId="6260B2C2">
      <w:pPr>
        <w:adjustRightInd w:val="0"/>
        <w:snapToGrid w:val="0"/>
        <w:spacing w:before="120" w:beforeLines="50" w:line="560" w:lineRule="exact"/>
        <w:ind w:firstLine="562"/>
        <w:jc w:val="center"/>
        <w:rPr>
          <w:rFonts w:ascii="宋体" w:hAnsi="宋体" w:cs="楷体"/>
          <w:b/>
          <w:color w:val="000000"/>
          <w:sz w:val="28"/>
          <w:szCs w:val="28"/>
        </w:rPr>
      </w:pPr>
      <w:bookmarkStart w:id="203" w:name="_Toc12160"/>
      <w:bookmarkStart w:id="204" w:name="_Toc11740"/>
      <w:bookmarkStart w:id="205" w:name="_Toc14211_WPSOffice_Level3"/>
    </w:p>
    <w:p w14:paraId="3CAD77FE">
      <w:pPr>
        <w:adjustRightInd w:val="0"/>
        <w:snapToGrid w:val="0"/>
        <w:spacing w:before="120" w:beforeLines="50" w:line="560" w:lineRule="exact"/>
        <w:ind w:firstLine="562"/>
        <w:jc w:val="center"/>
        <w:rPr>
          <w:rFonts w:ascii="宋体" w:hAnsi="宋体" w:cs="楷体"/>
          <w:b/>
          <w:color w:val="000000"/>
          <w:sz w:val="28"/>
          <w:szCs w:val="28"/>
        </w:rPr>
      </w:pPr>
      <w:r>
        <w:rPr>
          <w:rFonts w:hint="eastAsia" w:ascii="宋体" w:hAnsi="宋体" w:cs="楷体"/>
          <w:b/>
          <w:color w:val="000000"/>
          <w:sz w:val="28"/>
          <w:szCs w:val="28"/>
        </w:rPr>
        <w:t>3.残疾人福利性单位声明函</w:t>
      </w:r>
      <w:bookmarkEnd w:id="203"/>
      <w:bookmarkEnd w:id="204"/>
      <w:bookmarkEnd w:id="205"/>
    </w:p>
    <w:p w14:paraId="1FF6C7FA">
      <w:pPr>
        <w:spacing w:line="560" w:lineRule="exact"/>
        <w:ind w:firstLine="505"/>
        <w:rPr>
          <w:rFonts w:ascii="宋体" w:hAnsi="宋体" w:cs="仿宋_GB2312"/>
          <w:color w:val="000000"/>
          <w:spacing w:val="6"/>
        </w:rPr>
      </w:pPr>
      <w:r>
        <w:rPr>
          <w:rFonts w:hint="eastAsia" w:ascii="宋体" w:hAnsi="宋体" w:cs="仿宋_GB2312"/>
          <w:color w:val="000000"/>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000000"/>
          <w:spacing w:val="6"/>
          <w:u w:val="single"/>
        </w:rPr>
        <w:t xml:space="preserve">       </w:t>
      </w:r>
      <w:r>
        <w:rPr>
          <w:rFonts w:hint="eastAsia" w:ascii="宋体" w:hAnsi="宋体" w:cs="仿宋_GB2312"/>
          <w:color w:val="000000"/>
          <w:spacing w:val="6"/>
        </w:rPr>
        <w:t>人，安置的残疾人人数</w:t>
      </w:r>
      <w:r>
        <w:rPr>
          <w:rFonts w:hint="eastAsia" w:ascii="宋体" w:hAnsi="宋体" w:cs="仿宋_GB2312"/>
          <w:color w:val="000000"/>
          <w:spacing w:val="6"/>
          <w:u w:val="single"/>
        </w:rPr>
        <w:t xml:space="preserve">      </w:t>
      </w:r>
      <w:r>
        <w:rPr>
          <w:rFonts w:hint="eastAsia" w:ascii="宋体" w:hAnsi="宋体" w:cs="仿宋_GB2312"/>
          <w:color w:val="000000"/>
          <w:spacing w:val="6"/>
        </w:rPr>
        <w:t>人。且本单位参加</w:t>
      </w:r>
      <w:r>
        <w:rPr>
          <w:rFonts w:hint="eastAsia" w:ascii="宋体" w:hAnsi="宋体" w:cs="仿宋_GB2312"/>
          <w:color w:val="000000"/>
          <w:spacing w:val="6"/>
          <w:u w:val="single"/>
        </w:rPr>
        <w:t xml:space="preserve">      </w:t>
      </w:r>
      <w:r>
        <w:rPr>
          <w:rFonts w:hint="eastAsia" w:ascii="宋体" w:hAnsi="宋体" w:cs="仿宋_GB2312"/>
          <w:color w:val="000000"/>
          <w:spacing w:val="6"/>
        </w:rPr>
        <w:t>单位的</w:t>
      </w:r>
      <w:r>
        <w:rPr>
          <w:rFonts w:hint="eastAsia" w:ascii="宋体" w:hAnsi="宋体" w:cs="仿宋_GB2312"/>
          <w:color w:val="000000"/>
          <w:spacing w:val="6"/>
          <w:u w:val="single"/>
        </w:rPr>
        <w:t xml:space="preserve">       </w:t>
      </w:r>
      <w:r>
        <w:rPr>
          <w:rFonts w:hint="eastAsia" w:ascii="宋体" w:hAnsi="宋体" w:cs="仿宋_GB2312"/>
          <w:color w:val="000000"/>
          <w:spacing w:val="6"/>
        </w:rPr>
        <w:t>项目采购活动提供本单位制造的货物（由本单位承担工程/提供服务），或者提供其他残疾人福利性单位制造的货物（不包括使用非残疾人福利性单位注册商标的货物）。</w:t>
      </w:r>
    </w:p>
    <w:p w14:paraId="1B58B6B2">
      <w:pPr>
        <w:spacing w:line="560" w:lineRule="exact"/>
        <w:ind w:firstLine="504"/>
        <w:rPr>
          <w:rFonts w:ascii="宋体" w:hAnsi="宋体" w:cs="仿宋_GB2312"/>
          <w:color w:val="000000"/>
          <w:spacing w:val="6"/>
        </w:rPr>
      </w:pPr>
      <w:r>
        <w:rPr>
          <w:rFonts w:hint="eastAsia" w:ascii="宋体" w:hAnsi="宋体" w:cs="仿宋_GB2312"/>
          <w:color w:val="000000"/>
          <w:spacing w:val="6"/>
        </w:rPr>
        <w:t>本单位对上述声明的真实性负责。如有虚假，将依法承担相应责任。</w:t>
      </w:r>
    </w:p>
    <w:p w14:paraId="5F97C23A">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备注：为了发挥政府采购促进残疾人就业的作用，进一步保障残疾人权益，依照《政府采购法》、《残疾人保障法》等法律法规及相关规定，现就促进残疾人就业政府采购政策通知如下：</w:t>
      </w:r>
    </w:p>
    <w:p w14:paraId="68F9535B">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一、享受政府采购支持政策的残疾人福利性单位应当同时满足以下条件：</w:t>
      </w:r>
    </w:p>
    <w:p w14:paraId="7FF0B832">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（一）安置的残疾人占本单位在职职工人数的比例不低于25%（含25%），并且安置的残疾人人数不少于10人（含10人）；</w:t>
      </w:r>
    </w:p>
    <w:p w14:paraId="6C9FB3FA">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（二）依法与安置的每位残疾人签订了一年以上（含一年）的劳动合同或服务协议；</w:t>
      </w:r>
    </w:p>
    <w:p w14:paraId="50F11B55">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（三）为安置的每位残疾人按月足额缴纳了基本养老保险、基本医疗保险、失业保险、工伤保险和生育保险等社会保险费；</w:t>
      </w:r>
    </w:p>
    <w:p w14:paraId="4CA2080C">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（四）通过银行等金融机构向安置的每位残疾人，按月支付了不低于单位所在区县适用的经省级人民政府批准的月最低工资标准的工资；</w:t>
      </w:r>
    </w:p>
    <w:p w14:paraId="7C33381D">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（五）提供本单位制造的货物、承担的工程或者服务（以下简称产品），或者提供其他残疾人福利性单位制造的货物（不包括使用非残疾人福利性单位注册商标的货物）。</w:t>
      </w:r>
    </w:p>
    <w:p w14:paraId="091A18B5">
      <w:pPr>
        <w:spacing w:before="120" w:beforeLines="50" w:line="560" w:lineRule="exact"/>
        <w:ind w:firstLine="504"/>
        <w:jc w:val="center"/>
        <w:rPr>
          <w:rFonts w:ascii="宋体" w:hAnsi="宋体" w:cs="仿宋_GB2312"/>
          <w:color w:val="000000"/>
          <w:spacing w:val="6"/>
        </w:rPr>
      </w:pPr>
      <w:r>
        <w:rPr>
          <w:rFonts w:hint="eastAsia" w:ascii="宋体" w:hAnsi="宋体" w:eastAsia="宋体" w:cs="宋体"/>
          <w:color w:val="auto"/>
          <w:sz w:val="21"/>
          <w:szCs w:val="21"/>
          <w:lang w:eastAsia="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cs="仿宋_GB2312"/>
          <w:color w:val="000000"/>
          <w:spacing w:val="6"/>
        </w:rPr>
        <w:t xml:space="preserve">                </w:t>
      </w:r>
      <w:bookmarkStart w:id="206" w:name="_Toc17628_WPSOffice_Level3"/>
    </w:p>
    <w:p w14:paraId="66D71374">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单位名称：</w:t>
      </w:r>
      <w:r>
        <w:rPr>
          <w:rFonts w:hint="eastAsia" w:ascii="宋体" w:hAnsi="宋体" w:cs="仿宋_GB2312"/>
          <w:color w:val="000000"/>
          <w:spacing w:val="6"/>
          <w:u w:val="single"/>
        </w:rPr>
        <w:t xml:space="preserve">       </w:t>
      </w:r>
      <w:r>
        <w:rPr>
          <w:rFonts w:hint="eastAsia" w:ascii="宋体" w:hAnsi="宋体" w:cs="仿宋_GB2312"/>
          <w:color w:val="000000"/>
          <w:spacing w:val="6"/>
        </w:rPr>
        <w:t>（公章）</w:t>
      </w:r>
      <w:bookmarkEnd w:id="206"/>
    </w:p>
    <w:p w14:paraId="69547546">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w:t>
      </w:r>
      <w:bookmarkStart w:id="207" w:name="_Toc32124_WPSOffice_Level3"/>
      <w:r>
        <w:rPr>
          <w:rFonts w:hint="eastAsia" w:ascii="宋体" w:hAnsi="宋体" w:cs="仿宋_GB2312"/>
          <w:color w:val="000000"/>
          <w:spacing w:val="6"/>
        </w:rPr>
        <w:t>法定代表人或委托代理人：</w:t>
      </w:r>
      <w:r>
        <w:rPr>
          <w:rFonts w:hint="eastAsia" w:ascii="宋体" w:hAnsi="宋体" w:cs="仿宋_GB2312"/>
          <w:color w:val="000000"/>
          <w:spacing w:val="6"/>
          <w:u w:val="single"/>
        </w:rPr>
        <w:t xml:space="preserve">       </w:t>
      </w:r>
      <w:r>
        <w:rPr>
          <w:rFonts w:hint="eastAsia" w:ascii="宋体" w:hAnsi="宋体" w:cs="仿宋_GB2312"/>
          <w:color w:val="000000"/>
          <w:spacing w:val="6"/>
        </w:rPr>
        <w:t>（签字或盖章）</w:t>
      </w:r>
      <w:bookmarkEnd w:id="207"/>
    </w:p>
    <w:p w14:paraId="61C98B6A">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w:t>
      </w:r>
      <w:bookmarkStart w:id="208" w:name="_Toc1871_WPSOffice_Level3"/>
      <w:r>
        <w:rPr>
          <w:rFonts w:hint="eastAsia" w:ascii="宋体" w:hAnsi="宋体" w:cs="仿宋_GB2312"/>
          <w:color w:val="000000"/>
          <w:spacing w:val="6"/>
        </w:rPr>
        <w:t>年   月  日</w:t>
      </w:r>
      <w:bookmarkEnd w:id="208"/>
    </w:p>
    <w:p w14:paraId="4A5A6EF8">
      <w:pPr>
        <w:adjustRightInd w:val="0"/>
        <w:snapToGrid w:val="0"/>
        <w:spacing w:line="560" w:lineRule="exact"/>
        <w:ind w:firstLine="664"/>
        <w:rPr>
          <w:rFonts w:ascii="宋体" w:hAnsi="宋体" w:cs="仿宋_GB2312"/>
          <w:color w:val="000000"/>
          <w:spacing w:val="6"/>
          <w:sz w:val="32"/>
          <w:szCs w:val="32"/>
        </w:rPr>
      </w:pPr>
    </w:p>
    <w:p w14:paraId="2766F660">
      <w:pPr>
        <w:adjustRightInd w:val="0"/>
        <w:snapToGrid w:val="0"/>
        <w:spacing w:before="120" w:beforeLines="50" w:line="560" w:lineRule="exact"/>
        <w:ind w:firstLine="562"/>
        <w:jc w:val="center"/>
        <w:rPr>
          <w:rFonts w:ascii="宋体" w:hAnsi="宋体" w:cs="楷体"/>
          <w:b/>
          <w:color w:val="000000"/>
          <w:sz w:val="28"/>
          <w:szCs w:val="28"/>
        </w:rPr>
      </w:pPr>
      <w:bookmarkStart w:id="209" w:name="_Toc30801"/>
      <w:bookmarkStart w:id="210" w:name="_Toc9477"/>
      <w:r>
        <w:rPr>
          <w:rFonts w:hint="eastAsia" w:ascii="宋体" w:hAnsi="宋体" w:cs="楷体"/>
          <w:b/>
          <w:color w:val="000000"/>
          <w:sz w:val="28"/>
          <w:szCs w:val="28"/>
        </w:rPr>
        <w:t>4.监狱企业证明资料</w:t>
      </w:r>
      <w:bookmarkEnd w:id="209"/>
      <w:bookmarkEnd w:id="210"/>
    </w:p>
    <w:p w14:paraId="7668AB15">
      <w:pPr>
        <w:adjustRightInd w:val="0"/>
        <w:snapToGrid w:val="0"/>
        <w:spacing w:line="560" w:lineRule="exact"/>
        <w:ind w:firstLine="504"/>
        <w:rPr>
          <w:rFonts w:ascii="宋体" w:hAnsi="宋体" w:cs="仿宋_GB2312"/>
          <w:color w:val="000000"/>
        </w:rPr>
      </w:pPr>
      <w:r>
        <w:rPr>
          <w:rFonts w:hint="eastAsia" w:ascii="宋体" w:hAnsi="宋体" w:cs="仿宋_GB2312"/>
          <w:bCs/>
          <w:color w:val="000000"/>
          <w:spacing w:val="6"/>
        </w:rPr>
        <w:t>备注：</w:t>
      </w:r>
      <w:r>
        <w:rPr>
          <w:rFonts w:hint="eastAsia" w:ascii="宋体" w:hAnsi="宋体" w:cs="仿宋_GB2312"/>
          <w:color w:val="000000"/>
        </w:rPr>
        <w:t>按</w:t>
      </w:r>
      <w:r>
        <w:rPr>
          <w:rFonts w:hint="eastAsia" w:ascii="宋体" w:hAnsi="宋体" w:cs="仿宋_GB2312"/>
          <w:color w:val="000000"/>
          <w:spacing w:val="6"/>
        </w:rPr>
        <w:t>《</w:t>
      </w:r>
      <w:r>
        <w:rPr>
          <w:rFonts w:hint="eastAsia" w:ascii="宋体" w:hAnsi="宋体" w:cs="仿宋_GB2312"/>
          <w:color w:val="000000"/>
        </w:rPr>
        <w:t>财政部 司法部关于政府采购支持监狱企业发展有关问题的通知</w:t>
      </w:r>
      <w:r>
        <w:rPr>
          <w:rFonts w:hint="eastAsia" w:ascii="宋体" w:hAnsi="宋体" w:cs="仿宋_GB2312"/>
          <w:color w:val="000000"/>
          <w:spacing w:val="6"/>
        </w:rPr>
        <w:t>》</w:t>
      </w:r>
      <w:r>
        <w:rPr>
          <w:rFonts w:hint="eastAsia" w:ascii="宋体" w:hAnsi="宋体" w:cs="仿宋_GB2312"/>
          <w:color w:val="000000"/>
        </w:rPr>
        <w:t>(财库〔2014〕68号)文件规定提供证明文件（复印件）。</w:t>
      </w:r>
    </w:p>
    <w:p w14:paraId="1641F405">
      <w:pPr>
        <w:adjustRightInd w:val="0"/>
        <w:snapToGrid w:val="0"/>
        <w:spacing w:line="560" w:lineRule="exact"/>
        <w:ind w:firstLine="480"/>
        <w:rPr>
          <w:rFonts w:ascii="宋体" w:hAnsi="宋体" w:cs="仿宋_GB2312"/>
          <w:color w:val="000000"/>
        </w:rPr>
      </w:pPr>
    </w:p>
    <w:p w14:paraId="6199F589">
      <w:pPr>
        <w:adjustRightInd w:val="0"/>
        <w:snapToGrid w:val="0"/>
        <w:spacing w:line="560" w:lineRule="exact"/>
        <w:ind w:firstLine="480"/>
        <w:rPr>
          <w:rFonts w:ascii="宋体" w:hAnsi="宋体" w:cs="仿宋_GB2312"/>
          <w:color w:val="000000"/>
        </w:rPr>
      </w:pPr>
    </w:p>
    <w:p w14:paraId="05B94D16">
      <w:pPr>
        <w:spacing w:before="120" w:beforeLines="50" w:line="560" w:lineRule="exact"/>
        <w:ind w:firstLine="480"/>
        <w:jc w:val="center"/>
        <w:rPr>
          <w:rFonts w:ascii="宋体" w:hAnsi="宋体" w:cs="仿宋_GB2312"/>
          <w:bCs/>
          <w:color w:val="000000"/>
        </w:rPr>
      </w:pPr>
      <w:r>
        <w:rPr>
          <w:rFonts w:hint="eastAsia" w:ascii="宋体" w:hAnsi="宋体" w:cs="仿宋_GB2312"/>
          <w:bCs/>
          <w:color w:val="000000"/>
        </w:rPr>
        <w:t xml:space="preserve">                 </w:t>
      </w:r>
      <w:bookmarkStart w:id="211" w:name="_Toc22071_WPSOffice_Level3"/>
      <w:r>
        <w:rPr>
          <w:rFonts w:hint="eastAsia" w:ascii="宋体" w:hAnsi="宋体" w:cs="仿宋_GB2312"/>
          <w:bCs/>
          <w:color w:val="000000"/>
        </w:rPr>
        <w:t>单位名称：</w:t>
      </w:r>
      <w:r>
        <w:rPr>
          <w:rFonts w:hint="eastAsia" w:ascii="宋体" w:hAnsi="宋体" w:cs="仿宋_GB2312"/>
          <w:bCs/>
          <w:color w:val="000000"/>
          <w:u w:val="single"/>
        </w:rPr>
        <w:t xml:space="preserve">       </w:t>
      </w:r>
      <w:r>
        <w:rPr>
          <w:rFonts w:hint="eastAsia" w:ascii="宋体" w:hAnsi="宋体" w:cs="仿宋_GB2312"/>
          <w:bCs/>
          <w:color w:val="000000"/>
        </w:rPr>
        <w:t>（公章）</w:t>
      </w:r>
      <w:bookmarkEnd w:id="211"/>
    </w:p>
    <w:p w14:paraId="6242AD50">
      <w:pPr>
        <w:spacing w:before="120" w:beforeLines="50" w:line="560" w:lineRule="exact"/>
        <w:ind w:firstLine="480"/>
        <w:jc w:val="center"/>
        <w:rPr>
          <w:rFonts w:ascii="宋体" w:hAnsi="宋体" w:cs="仿宋_GB2312"/>
          <w:bCs/>
          <w:color w:val="000000"/>
        </w:rPr>
      </w:pPr>
      <w:r>
        <w:rPr>
          <w:rFonts w:hint="eastAsia" w:ascii="宋体" w:hAnsi="宋体" w:cs="仿宋_GB2312"/>
          <w:bCs/>
          <w:color w:val="000000"/>
        </w:rPr>
        <w:t xml:space="preserve">        </w:t>
      </w:r>
      <w:bookmarkStart w:id="212" w:name="_Toc11539_WPSOffice_Level3"/>
      <w:r>
        <w:rPr>
          <w:rFonts w:hint="eastAsia" w:ascii="宋体" w:hAnsi="宋体" w:cs="仿宋_GB2312"/>
          <w:bCs/>
          <w:color w:val="000000"/>
        </w:rPr>
        <w:t>法定代表人或委托代理人：</w:t>
      </w:r>
      <w:r>
        <w:rPr>
          <w:rFonts w:hint="eastAsia" w:ascii="宋体" w:hAnsi="宋体" w:cs="仿宋_GB2312"/>
          <w:bCs/>
          <w:color w:val="000000"/>
          <w:u w:val="single"/>
        </w:rPr>
        <w:t xml:space="preserve">       </w:t>
      </w:r>
      <w:r>
        <w:rPr>
          <w:rFonts w:hint="eastAsia" w:ascii="宋体" w:hAnsi="宋体" w:cs="仿宋_GB2312"/>
          <w:bCs/>
          <w:color w:val="000000"/>
        </w:rPr>
        <w:t>（签字或盖章）</w:t>
      </w:r>
      <w:bookmarkEnd w:id="212"/>
    </w:p>
    <w:p w14:paraId="6B21CD70">
      <w:pPr>
        <w:spacing w:before="120" w:beforeLines="50" w:line="560" w:lineRule="exact"/>
        <w:ind w:firstLine="480"/>
        <w:jc w:val="center"/>
        <w:rPr>
          <w:rFonts w:hint="eastAsia" w:ascii="宋体" w:hAnsi="宋体" w:cs="仿宋_GB2312"/>
          <w:bCs/>
          <w:color w:val="000000"/>
        </w:rPr>
      </w:pPr>
      <w:r>
        <w:rPr>
          <w:rFonts w:hint="eastAsia" w:ascii="宋体" w:hAnsi="宋体" w:cs="仿宋_GB2312"/>
          <w:bCs/>
          <w:color w:val="000000"/>
        </w:rPr>
        <w:t xml:space="preserve">                                    </w:t>
      </w:r>
      <w:bookmarkStart w:id="213" w:name="_Toc3285_WPSOffice_Level3"/>
      <w:r>
        <w:rPr>
          <w:rFonts w:hint="eastAsia" w:ascii="宋体" w:hAnsi="宋体" w:cs="仿宋_GB2312"/>
          <w:bCs/>
          <w:color w:val="000000"/>
        </w:rPr>
        <w:t>年   月  日</w:t>
      </w:r>
      <w:bookmarkEnd w:id="213"/>
      <w:bookmarkStart w:id="214" w:name="_Toc16462"/>
      <w:bookmarkStart w:id="215" w:name="_Toc10824"/>
    </w:p>
    <w:p w14:paraId="548F08FD">
      <w:pPr>
        <w:rPr>
          <w:rFonts w:hint="eastAsia"/>
        </w:rPr>
      </w:pPr>
      <w:r>
        <w:rPr>
          <w:rFonts w:hint="eastAsia" w:ascii="宋体" w:hAnsi="宋体" w:cs="仿宋_GB2312"/>
          <w:bCs/>
          <w:color w:val="000000"/>
        </w:rPr>
        <w:br w:type="page"/>
      </w:r>
    </w:p>
    <w:p w14:paraId="6347D7AC">
      <w:pPr>
        <w:wordWrap w:val="0"/>
        <w:outlineLvl w:val="1"/>
        <w:rPr>
          <w:rFonts w:hint="eastAsia"/>
          <w:b/>
          <w:bCs/>
        </w:rPr>
      </w:pPr>
      <w:bookmarkStart w:id="216" w:name="_Toc15047"/>
      <w:bookmarkStart w:id="217" w:name="_Toc1303"/>
      <w:r>
        <w:rPr>
          <w:rFonts w:hint="eastAsia"/>
          <w:b/>
          <w:bCs/>
          <w:lang w:eastAsia="zh-CN"/>
        </w:rPr>
        <w:t>（</w:t>
      </w:r>
      <w:r>
        <w:rPr>
          <w:rFonts w:hint="eastAsia"/>
          <w:b/>
          <w:bCs/>
          <w:lang w:val="en-US" w:eastAsia="zh-CN"/>
        </w:rPr>
        <w:t>18</w:t>
      </w:r>
      <w:r>
        <w:rPr>
          <w:rFonts w:hint="eastAsia"/>
          <w:b/>
          <w:bCs/>
          <w:lang w:eastAsia="zh-CN"/>
        </w:rPr>
        <w:t>）</w:t>
      </w:r>
      <w:r>
        <w:rPr>
          <w:rFonts w:hint="eastAsia"/>
          <w:b/>
          <w:bCs/>
        </w:rPr>
        <w:t>供应商认为在其他方面有必要说明的事项</w:t>
      </w:r>
      <w:bookmarkEnd w:id="191"/>
      <w:bookmarkEnd w:id="192"/>
      <w:bookmarkEnd w:id="214"/>
      <w:bookmarkEnd w:id="215"/>
      <w:bookmarkEnd w:id="216"/>
      <w:bookmarkEnd w:id="217"/>
    </w:p>
    <w:p w14:paraId="3DD163A2">
      <w:pPr>
        <w:ind w:firstLine="723"/>
        <w:jc w:val="center"/>
        <w:rPr>
          <w:rFonts w:ascii="宋体"/>
          <w:b/>
          <w:sz w:val="36"/>
          <w:szCs w:val="36"/>
        </w:rPr>
      </w:pPr>
    </w:p>
    <w:p w14:paraId="6D65AB40">
      <w:pPr>
        <w:ind w:firstLine="723"/>
        <w:jc w:val="center"/>
        <w:rPr>
          <w:rFonts w:ascii="宋体"/>
          <w:b/>
          <w:sz w:val="36"/>
          <w:szCs w:val="36"/>
        </w:rPr>
      </w:pPr>
      <w:r>
        <w:rPr>
          <w:rFonts w:hint="eastAsia" w:ascii="宋体" w:hAnsi="宋体"/>
          <w:b/>
          <w:sz w:val="36"/>
          <w:szCs w:val="36"/>
        </w:rPr>
        <w:t>供应商认为在其他方面有必要说明的事项</w:t>
      </w:r>
    </w:p>
    <w:p w14:paraId="64A6A2CC">
      <w:pPr>
        <w:ind w:firstLine="723"/>
        <w:jc w:val="center"/>
        <w:rPr>
          <w:rFonts w:ascii="宋体"/>
          <w:b/>
          <w:sz w:val="36"/>
          <w:szCs w:val="36"/>
        </w:rPr>
      </w:pPr>
      <w:r>
        <w:rPr>
          <w:rFonts w:hint="eastAsia" w:ascii="宋体" w:hAnsi="宋体"/>
          <w:b/>
          <w:sz w:val="36"/>
          <w:szCs w:val="36"/>
        </w:rPr>
        <w:t>（格式自定）</w:t>
      </w:r>
    </w:p>
    <w:p w14:paraId="1F303715">
      <w:pPr>
        <w:widowControl/>
        <w:snapToGrid w:val="0"/>
        <w:rPr>
          <w:rFonts w:ascii="宋体"/>
          <w:b/>
        </w:rPr>
      </w:pPr>
    </w:p>
    <w:p w14:paraId="5F5F7007">
      <w:pPr>
        <w:widowControl/>
        <w:jc w:val="left"/>
        <w:rPr>
          <w:rFonts w:ascii="宋体" w:hAnsi="宋体" w:cs="宋体"/>
          <w:b/>
          <w:color w:val="000000"/>
          <w:sz w:val="28"/>
          <w:szCs w:val="28"/>
        </w:rPr>
      </w:pPr>
      <w:bookmarkStart w:id="218" w:name="_Toc76737326"/>
      <w:r>
        <w:rPr>
          <w:rFonts w:ascii="宋体" w:hAnsi="宋体" w:cs="宋体"/>
          <w:b/>
          <w:color w:val="000000"/>
          <w:sz w:val="28"/>
          <w:szCs w:val="28"/>
        </w:rPr>
        <w:br w:type="page"/>
      </w:r>
    </w:p>
    <w:p w14:paraId="4225873F">
      <w:pPr>
        <w:wordWrap w:val="0"/>
        <w:outlineLvl w:val="1"/>
        <w:rPr>
          <w:rFonts w:hint="eastAsia"/>
          <w:b/>
          <w:bCs/>
        </w:rPr>
      </w:pPr>
      <w:bookmarkStart w:id="219" w:name="_Toc10527"/>
      <w:bookmarkStart w:id="220" w:name="_Toc7894"/>
      <w:bookmarkStart w:id="221" w:name="_Toc25556"/>
      <w:bookmarkStart w:id="222" w:name="_Toc13051"/>
      <w:r>
        <w:rPr>
          <w:rFonts w:hint="eastAsia"/>
          <w:b/>
          <w:bCs/>
          <w:lang w:eastAsia="zh-CN"/>
        </w:rPr>
        <w:t>（</w:t>
      </w:r>
      <w:r>
        <w:rPr>
          <w:rFonts w:hint="eastAsia"/>
          <w:b/>
          <w:bCs/>
          <w:lang w:val="en-US" w:eastAsia="zh-CN"/>
        </w:rPr>
        <w:t>19</w:t>
      </w:r>
      <w:r>
        <w:rPr>
          <w:rFonts w:hint="eastAsia"/>
          <w:b/>
          <w:bCs/>
          <w:lang w:eastAsia="zh-CN"/>
        </w:rPr>
        <w:t>）</w:t>
      </w:r>
      <w:r>
        <w:rPr>
          <w:rFonts w:hint="eastAsia"/>
          <w:b/>
          <w:bCs/>
        </w:rPr>
        <w:t>供应商最终报价表</w:t>
      </w:r>
      <w:bookmarkEnd w:id="218"/>
      <w:bookmarkEnd w:id="219"/>
      <w:bookmarkEnd w:id="220"/>
      <w:bookmarkEnd w:id="221"/>
      <w:bookmarkEnd w:id="222"/>
    </w:p>
    <w:p w14:paraId="14660CDF">
      <w:pPr>
        <w:ind w:firstLine="2909" w:firstLineChars="805"/>
        <w:rPr>
          <w:rFonts w:ascii="宋体"/>
          <w:b/>
          <w:sz w:val="36"/>
          <w:szCs w:val="36"/>
        </w:rPr>
      </w:pPr>
      <w:r>
        <w:rPr>
          <w:rFonts w:hint="eastAsia" w:ascii="宋体" w:hAnsi="宋体"/>
          <w:b/>
          <w:sz w:val="36"/>
          <w:szCs w:val="36"/>
        </w:rPr>
        <w:t>供应商最终报价表</w:t>
      </w:r>
    </w:p>
    <w:p w14:paraId="06FB5359">
      <w:pPr>
        <w:rPr>
          <w:rFonts w:hint="default" w:ascii="宋体" w:hAnsi="宋体" w:eastAsia="宋体" w:cs="宋体"/>
          <w:b/>
          <w:color w:val="000000"/>
          <w:lang w:val="en-US" w:eastAsia="zh-CN"/>
        </w:rPr>
      </w:pPr>
      <w:r>
        <w:rPr>
          <w:rFonts w:hint="eastAsia" w:ascii="宋体" w:hAnsi="宋体" w:cs="宋体"/>
          <w:b/>
          <w:color w:val="000000"/>
        </w:rPr>
        <w:t>项目名称：</w:t>
      </w:r>
      <w:r>
        <w:rPr>
          <w:rFonts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b/>
          <w:color w:val="000000"/>
          <w:lang w:val="en-US" w:eastAsia="zh-CN"/>
        </w:rPr>
        <w:t xml:space="preserve"> 包号：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920"/>
        <w:gridCol w:w="3054"/>
        <w:gridCol w:w="2073"/>
      </w:tblGrid>
      <w:tr w14:paraId="712C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313" w:type="dxa"/>
            <w:vAlign w:val="center"/>
          </w:tcPr>
          <w:p w14:paraId="5B850AEA">
            <w:pPr>
              <w:jc w:val="center"/>
              <w:rPr>
                <w:rFonts w:ascii="宋体" w:hAnsi="宋体" w:cs="宋体"/>
                <w:bCs/>
                <w:color w:val="000000"/>
              </w:rPr>
            </w:pPr>
            <w:r>
              <w:rPr>
                <w:rFonts w:hint="eastAsia" w:ascii="宋体" w:hAnsi="宋体" w:cs="宋体"/>
                <w:bCs/>
                <w:color w:val="000000"/>
              </w:rPr>
              <w:t>最初报价</w:t>
            </w:r>
          </w:p>
        </w:tc>
        <w:tc>
          <w:tcPr>
            <w:tcW w:w="1920" w:type="dxa"/>
            <w:vAlign w:val="center"/>
          </w:tcPr>
          <w:p w14:paraId="4C89475C">
            <w:pPr>
              <w:jc w:val="center"/>
              <w:rPr>
                <w:rFonts w:ascii="宋体" w:hAnsi="宋体" w:cs="宋体"/>
                <w:bCs/>
                <w:color w:val="000000"/>
              </w:rPr>
            </w:pPr>
            <w:r>
              <w:rPr>
                <w:rFonts w:hint="eastAsia" w:ascii="宋体" w:hAnsi="宋体" w:cs="宋体"/>
                <w:bCs/>
                <w:color w:val="000000"/>
              </w:rPr>
              <w:t>调整因素</w:t>
            </w:r>
          </w:p>
        </w:tc>
        <w:tc>
          <w:tcPr>
            <w:tcW w:w="3054" w:type="dxa"/>
            <w:vAlign w:val="center"/>
          </w:tcPr>
          <w:p w14:paraId="796CA226">
            <w:pPr>
              <w:jc w:val="center"/>
              <w:rPr>
                <w:rFonts w:ascii="宋体" w:hAnsi="宋体" w:cs="宋体"/>
                <w:bCs/>
                <w:color w:val="000000"/>
              </w:rPr>
            </w:pPr>
            <w:r>
              <w:rPr>
                <w:rFonts w:hint="eastAsia" w:ascii="宋体" w:hAnsi="宋体" w:cs="宋体"/>
                <w:bCs/>
                <w:color w:val="000000"/>
              </w:rPr>
              <w:t>最终报价</w:t>
            </w:r>
          </w:p>
        </w:tc>
        <w:tc>
          <w:tcPr>
            <w:tcW w:w="2073" w:type="dxa"/>
            <w:vAlign w:val="center"/>
          </w:tcPr>
          <w:p w14:paraId="6F4F7EFA">
            <w:pPr>
              <w:jc w:val="center"/>
              <w:rPr>
                <w:rFonts w:ascii="宋体" w:hAnsi="宋体" w:cs="宋体"/>
                <w:bCs/>
                <w:color w:val="000000"/>
              </w:rPr>
            </w:pPr>
            <w:r>
              <w:rPr>
                <w:rFonts w:hint="eastAsia" w:ascii="宋体" w:hAnsi="宋体" w:cs="宋体"/>
                <w:bCs/>
                <w:color w:val="000000"/>
              </w:rPr>
              <w:t>服务时间</w:t>
            </w:r>
          </w:p>
        </w:tc>
      </w:tr>
      <w:tr w14:paraId="18F7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2313" w:type="dxa"/>
          </w:tcPr>
          <w:p w14:paraId="6FFE7D2F">
            <w:pPr>
              <w:jc w:val="left"/>
              <w:rPr>
                <w:color w:val="000000"/>
              </w:rPr>
            </w:pPr>
            <w:r>
              <w:rPr>
                <w:rFonts w:hint="eastAsia"/>
                <w:color w:val="000000"/>
              </w:rPr>
              <w:t>小写：</w:t>
            </w:r>
          </w:p>
          <w:p w14:paraId="7B9A2CC2">
            <w:pPr>
              <w:pStyle w:val="20"/>
              <w:ind w:firstLine="360"/>
              <w:rPr>
                <w:color w:val="000000"/>
              </w:rPr>
            </w:pPr>
          </w:p>
          <w:p w14:paraId="53D59914">
            <w:pPr>
              <w:jc w:val="left"/>
              <w:rPr>
                <w:color w:val="000000"/>
              </w:rPr>
            </w:pPr>
            <w:r>
              <w:rPr>
                <w:rFonts w:hint="eastAsia"/>
                <w:color w:val="000000"/>
              </w:rPr>
              <w:t>大写：</w:t>
            </w:r>
          </w:p>
          <w:p w14:paraId="56EB2CD9">
            <w:pPr>
              <w:pStyle w:val="20"/>
              <w:ind w:firstLine="360"/>
              <w:rPr>
                <w:color w:val="000000"/>
              </w:rPr>
            </w:pPr>
          </w:p>
        </w:tc>
        <w:tc>
          <w:tcPr>
            <w:tcW w:w="1920" w:type="dxa"/>
          </w:tcPr>
          <w:p w14:paraId="2336EAF9">
            <w:pPr>
              <w:rPr>
                <w:rFonts w:ascii="宋体" w:hAnsi="宋体" w:cs="宋体"/>
                <w:color w:val="000000"/>
              </w:rPr>
            </w:pPr>
          </w:p>
        </w:tc>
        <w:tc>
          <w:tcPr>
            <w:tcW w:w="3054" w:type="dxa"/>
          </w:tcPr>
          <w:p w14:paraId="291D2190">
            <w:pPr>
              <w:rPr>
                <w:rFonts w:ascii="宋体" w:hAnsi="宋体" w:cs="宋体"/>
                <w:color w:val="000000"/>
              </w:rPr>
            </w:pPr>
            <w:r>
              <w:rPr>
                <w:rFonts w:hint="eastAsia" w:ascii="宋体" w:hAnsi="宋体" w:cs="宋体"/>
                <w:color w:val="000000"/>
              </w:rPr>
              <w:t>小写：</w:t>
            </w:r>
          </w:p>
          <w:p w14:paraId="0606F5BF">
            <w:pPr>
              <w:pStyle w:val="20"/>
              <w:ind w:firstLine="360"/>
              <w:rPr>
                <w:color w:val="000000"/>
              </w:rPr>
            </w:pPr>
          </w:p>
          <w:p w14:paraId="23564725">
            <w:pPr>
              <w:rPr>
                <w:rFonts w:ascii="宋体" w:hAnsi="宋体" w:cs="宋体"/>
                <w:color w:val="000000"/>
              </w:rPr>
            </w:pPr>
            <w:r>
              <w:rPr>
                <w:rFonts w:hint="eastAsia" w:ascii="宋体" w:hAnsi="宋体" w:cs="宋体"/>
                <w:color w:val="000000"/>
              </w:rPr>
              <w:t>大写：</w:t>
            </w:r>
          </w:p>
          <w:p w14:paraId="0B7A0BAE">
            <w:pPr>
              <w:rPr>
                <w:rFonts w:ascii="宋体" w:hAnsi="宋体" w:cs="宋体"/>
                <w:color w:val="000000"/>
              </w:rPr>
            </w:pPr>
          </w:p>
        </w:tc>
        <w:tc>
          <w:tcPr>
            <w:tcW w:w="2073" w:type="dxa"/>
          </w:tcPr>
          <w:p w14:paraId="25117BC0">
            <w:pPr>
              <w:rPr>
                <w:rFonts w:ascii="宋体" w:hAnsi="宋体" w:cs="宋体"/>
                <w:color w:val="000000"/>
              </w:rPr>
            </w:pPr>
          </w:p>
        </w:tc>
      </w:tr>
      <w:tr w14:paraId="542D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15095686">
            <w:pPr>
              <w:rPr>
                <w:rFonts w:ascii="宋体" w:hAnsi="宋体" w:cs="宋体"/>
                <w:color w:val="000000"/>
              </w:rPr>
            </w:pPr>
            <w:r>
              <w:rPr>
                <w:rFonts w:hint="eastAsia" w:ascii="宋体" w:hAnsi="宋体" w:cs="宋体"/>
                <w:color w:val="000000"/>
              </w:rPr>
              <w:t>最终确定的质量保证及服务承诺（优惠条件）</w:t>
            </w:r>
          </w:p>
          <w:p w14:paraId="06F02D1F">
            <w:pPr>
              <w:rPr>
                <w:rFonts w:ascii="宋体" w:hAnsi="宋体" w:cs="宋体"/>
                <w:color w:val="000000"/>
              </w:rPr>
            </w:pPr>
          </w:p>
          <w:p w14:paraId="5F0769D4">
            <w:pPr>
              <w:rPr>
                <w:rFonts w:ascii="宋体" w:hAnsi="宋体" w:cs="宋体"/>
                <w:color w:val="000000"/>
              </w:rPr>
            </w:pPr>
          </w:p>
          <w:p w14:paraId="52147439">
            <w:pPr>
              <w:rPr>
                <w:rFonts w:ascii="宋体" w:hAnsi="宋体" w:cs="宋体"/>
                <w:color w:val="000000"/>
              </w:rPr>
            </w:pPr>
          </w:p>
          <w:p w14:paraId="51690072">
            <w:pPr>
              <w:rPr>
                <w:rFonts w:ascii="宋体" w:hAnsi="宋体" w:cs="宋体"/>
                <w:color w:val="000000"/>
              </w:rPr>
            </w:pPr>
          </w:p>
          <w:p w14:paraId="4B5E42A5">
            <w:pPr>
              <w:rPr>
                <w:rFonts w:ascii="宋体" w:hAnsi="宋体" w:cs="宋体"/>
                <w:color w:val="000000"/>
              </w:rPr>
            </w:pPr>
          </w:p>
        </w:tc>
      </w:tr>
    </w:tbl>
    <w:p w14:paraId="34DD4B6C">
      <w:pPr>
        <w:tabs>
          <w:tab w:val="left" w:pos="168"/>
        </w:tabs>
        <w:snapToGrid w:val="0"/>
        <w:spacing w:before="0" w:beforeLines="0" w:beforeAutospacing="0" w:after="0" w:afterLines="0" w:afterAutospacing="0" w:line="360" w:lineRule="auto"/>
        <w:textAlignment w:val="baseline"/>
        <w:rPr>
          <w:rFonts w:hint="eastAsia" w:ascii="宋体" w:hAnsi="宋体" w:eastAsia="宋体" w:cs="宋体"/>
          <w:b w:val="0"/>
          <w:bCs/>
          <w:i w:val="0"/>
          <w:caps w:val="0"/>
          <w:color w:val="auto"/>
          <w:spacing w:val="0"/>
          <w:w w:val="100"/>
          <w:sz w:val="20"/>
          <w:highlight w:val="none"/>
        </w:rPr>
      </w:pPr>
      <w:r>
        <w:rPr>
          <w:rFonts w:hint="eastAsia" w:ascii="宋体" w:hAnsi="宋体" w:eastAsia="宋体" w:cs="宋体"/>
          <w:b w:val="0"/>
          <w:bCs/>
          <w:i w:val="0"/>
          <w:caps w:val="0"/>
          <w:color w:val="auto"/>
          <w:spacing w:val="0"/>
          <w:w w:val="100"/>
          <w:sz w:val="24"/>
          <w:highlight w:val="none"/>
        </w:rPr>
        <w:t>注：1、此表不需</w:t>
      </w:r>
      <w:r>
        <w:rPr>
          <w:rFonts w:hint="eastAsia" w:ascii="宋体" w:hAnsi="宋体" w:cs="宋体"/>
          <w:b w:val="0"/>
          <w:bCs/>
          <w:i w:val="0"/>
          <w:caps w:val="0"/>
          <w:color w:val="auto"/>
          <w:spacing w:val="0"/>
          <w:w w:val="100"/>
          <w:sz w:val="24"/>
          <w:highlight w:val="none"/>
          <w:lang w:eastAsia="zh-CN"/>
        </w:rPr>
        <w:t>制作于</w:t>
      </w:r>
      <w:r>
        <w:rPr>
          <w:rFonts w:hint="eastAsia" w:ascii="宋体" w:hAnsi="宋体" w:eastAsia="宋体" w:cs="宋体"/>
          <w:b w:val="0"/>
          <w:bCs/>
          <w:i w:val="0"/>
          <w:caps w:val="0"/>
          <w:color w:val="auto"/>
          <w:spacing w:val="0"/>
          <w:w w:val="100"/>
          <w:sz w:val="24"/>
          <w:highlight w:val="none"/>
        </w:rPr>
        <w:t>响应文件中，</w:t>
      </w:r>
      <w:r>
        <w:rPr>
          <w:rFonts w:hint="eastAsia" w:ascii="宋体" w:hAnsi="宋体" w:eastAsia="宋体" w:cs="宋体"/>
          <w:b w:val="0"/>
          <w:i w:val="0"/>
          <w:caps w:val="0"/>
          <w:color w:val="auto"/>
          <w:spacing w:val="0"/>
          <w:w w:val="100"/>
          <w:sz w:val="24"/>
          <w:highlight w:val="none"/>
          <w:lang w:eastAsia="zh-CN"/>
        </w:rPr>
        <w:t>磋商响应人</w:t>
      </w:r>
      <w:r>
        <w:rPr>
          <w:rFonts w:hint="eastAsia" w:ascii="宋体" w:hAnsi="宋体" w:eastAsia="宋体" w:cs="宋体"/>
          <w:b w:val="0"/>
          <w:bCs/>
          <w:i w:val="0"/>
          <w:caps w:val="0"/>
          <w:color w:val="auto"/>
          <w:spacing w:val="0"/>
          <w:w w:val="100"/>
          <w:sz w:val="24"/>
          <w:highlight w:val="none"/>
        </w:rPr>
        <w:t>事先须盖章、签字。在磋商期间，由磋商小组确定合格的</w:t>
      </w:r>
      <w:r>
        <w:rPr>
          <w:rFonts w:hint="eastAsia" w:ascii="宋体" w:hAnsi="宋体" w:eastAsia="宋体" w:cs="宋体"/>
          <w:b w:val="0"/>
          <w:i w:val="0"/>
          <w:caps w:val="0"/>
          <w:color w:val="auto"/>
          <w:spacing w:val="0"/>
          <w:w w:val="100"/>
          <w:sz w:val="24"/>
          <w:highlight w:val="none"/>
          <w:lang w:eastAsia="zh-CN"/>
        </w:rPr>
        <w:t>磋商响应人</w:t>
      </w:r>
      <w:r>
        <w:rPr>
          <w:rFonts w:hint="eastAsia" w:ascii="宋体" w:hAnsi="宋体" w:cs="宋体"/>
          <w:b w:val="0"/>
          <w:i w:val="0"/>
          <w:caps w:val="0"/>
          <w:color w:val="auto"/>
          <w:spacing w:val="0"/>
          <w:w w:val="100"/>
          <w:sz w:val="24"/>
          <w:highlight w:val="none"/>
          <w:lang w:eastAsia="zh-CN"/>
        </w:rPr>
        <w:t>后</w:t>
      </w:r>
      <w:r>
        <w:rPr>
          <w:rFonts w:hint="eastAsia" w:ascii="宋体" w:hAnsi="宋体" w:cs="宋体"/>
          <w:b w:val="0"/>
          <w:bCs/>
          <w:i w:val="0"/>
          <w:caps w:val="0"/>
          <w:color w:val="auto"/>
          <w:spacing w:val="0"/>
          <w:w w:val="100"/>
          <w:sz w:val="24"/>
          <w:highlight w:val="none"/>
          <w:lang w:eastAsia="zh-CN"/>
        </w:rPr>
        <w:t>在政采云平台线上上传</w:t>
      </w:r>
      <w:r>
        <w:rPr>
          <w:rFonts w:hint="eastAsia" w:ascii="宋体" w:hAnsi="宋体" w:eastAsia="宋体" w:cs="宋体"/>
          <w:b w:val="0"/>
          <w:bCs/>
          <w:i w:val="0"/>
          <w:caps w:val="0"/>
          <w:color w:val="auto"/>
          <w:spacing w:val="0"/>
          <w:w w:val="100"/>
          <w:sz w:val="24"/>
          <w:highlight w:val="none"/>
        </w:rPr>
        <w:t>。</w:t>
      </w:r>
    </w:p>
    <w:p w14:paraId="0A8B19D5">
      <w:pPr>
        <w:jc w:val="left"/>
        <w:rPr>
          <w:rFonts w:ascii="宋体" w:hAnsi="宋体" w:cs="宋体"/>
          <w:color w:val="000000"/>
        </w:rPr>
      </w:pPr>
      <w:r>
        <w:rPr>
          <w:rFonts w:hint="eastAsia" w:ascii="宋体" w:hAnsi="宋体" w:cs="宋体"/>
          <w:bCs/>
          <w:color w:val="auto"/>
          <w:sz w:val="24"/>
        </w:rPr>
        <w:t>2、若在磋商小组在磋商过程中需要</w:t>
      </w:r>
      <w:r>
        <w:rPr>
          <w:rFonts w:hint="eastAsia" w:ascii="宋体" w:hAnsi="宋体" w:cs="宋体"/>
          <w:bCs/>
          <w:color w:val="auto"/>
          <w:sz w:val="24"/>
          <w:lang w:eastAsia="zh-CN"/>
        </w:rPr>
        <w:t>投标人</w:t>
      </w:r>
      <w:r>
        <w:rPr>
          <w:rFonts w:hint="eastAsia" w:ascii="宋体" w:hAnsi="宋体" w:cs="宋体"/>
          <w:bCs/>
          <w:color w:val="auto"/>
          <w:sz w:val="24"/>
        </w:rPr>
        <w:t>进行二轮</w:t>
      </w:r>
      <w:r>
        <w:rPr>
          <w:rFonts w:hint="eastAsia" w:ascii="宋体" w:hAnsi="宋体" w:cs="宋体"/>
          <w:bCs/>
          <w:color w:val="auto"/>
          <w:sz w:val="24"/>
          <w:lang w:val="en-US" w:eastAsia="zh-CN"/>
        </w:rPr>
        <w:t>或</w:t>
      </w:r>
      <w:r>
        <w:rPr>
          <w:rFonts w:hint="eastAsia" w:ascii="宋体" w:hAnsi="宋体" w:cs="宋体"/>
          <w:bCs/>
          <w:color w:val="auto"/>
          <w:sz w:val="24"/>
        </w:rPr>
        <w:t>三轮报价时，</w:t>
      </w:r>
      <w:r>
        <w:rPr>
          <w:rFonts w:hint="eastAsia" w:ascii="宋体" w:hAnsi="宋体" w:cs="宋体"/>
          <w:bCs/>
          <w:color w:val="auto"/>
          <w:sz w:val="24"/>
          <w:lang w:eastAsia="zh-CN"/>
        </w:rPr>
        <w:t>线上</w:t>
      </w:r>
      <w:r>
        <w:rPr>
          <w:rFonts w:hint="eastAsia" w:ascii="宋体" w:hAnsi="宋体" w:cs="宋体"/>
          <w:bCs/>
          <w:color w:val="auto"/>
          <w:sz w:val="24"/>
        </w:rPr>
        <w:t>通知各</w:t>
      </w:r>
      <w:r>
        <w:rPr>
          <w:rFonts w:hint="eastAsia" w:ascii="宋体" w:hAnsi="宋体" w:cs="宋体"/>
          <w:bCs/>
          <w:color w:val="auto"/>
          <w:sz w:val="24"/>
          <w:lang w:eastAsia="zh-CN"/>
        </w:rPr>
        <w:t>响应人。</w:t>
      </w:r>
    </w:p>
    <w:p w14:paraId="72C1D642">
      <w:pPr>
        <w:tabs>
          <w:tab w:val="left" w:pos="168"/>
        </w:tabs>
        <w:textAlignment w:val="baseline"/>
        <w:rPr>
          <w:rFonts w:ascii="宋体" w:hAnsi="宋体" w:cs="宋体"/>
          <w:b/>
          <w:bCs/>
          <w:color w:val="000000"/>
        </w:rPr>
      </w:pPr>
    </w:p>
    <w:p w14:paraId="197841ED">
      <w:pPr>
        <w:tabs>
          <w:tab w:val="left" w:pos="168"/>
        </w:tabs>
        <w:textAlignment w:val="baseline"/>
        <w:rPr>
          <w:rFonts w:ascii="宋体" w:hAnsi="宋体" w:cs="宋体"/>
          <w:b/>
          <w:bCs/>
          <w:color w:val="000000"/>
        </w:rPr>
      </w:pPr>
    </w:p>
    <w:p w14:paraId="75B936CC">
      <w:pPr>
        <w:jc w:val="center"/>
        <w:rPr>
          <w:rFonts w:ascii="宋体" w:hAnsi="宋体" w:cs="宋体"/>
          <w:b/>
          <w:color w:val="000000"/>
        </w:rPr>
      </w:pPr>
      <w:r>
        <w:rPr>
          <w:rFonts w:hint="eastAsia" w:ascii="宋体" w:hAnsi="宋体" w:cs="宋体"/>
          <w:b/>
          <w:color w:val="000000"/>
        </w:rPr>
        <w:t>供应商：      （公章）</w:t>
      </w:r>
    </w:p>
    <w:p w14:paraId="772CD2EB">
      <w:pPr>
        <w:jc w:val="center"/>
        <w:rPr>
          <w:rFonts w:ascii="宋体" w:hAnsi="宋体" w:cs="宋体"/>
          <w:b/>
          <w:color w:val="000000"/>
        </w:rPr>
      </w:pPr>
      <w:r>
        <w:rPr>
          <w:rFonts w:hint="eastAsia" w:ascii="宋体" w:hAnsi="宋体" w:cs="宋体"/>
          <w:b/>
          <w:color w:val="000000"/>
        </w:rPr>
        <w:t>法定代表人（非法人组织的负责人）或委托代理人：（签字或盖章）</w:t>
      </w:r>
    </w:p>
    <w:p w14:paraId="18A56BB8">
      <w:pPr>
        <w:wordWrap w:val="0"/>
        <w:jc w:val="center"/>
        <w:rPr>
          <w:rFonts w:ascii="宋体" w:hAnsi="宋体" w:cs="宋体"/>
          <w:b/>
          <w:color w:val="000000"/>
        </w:rPr>
      </w:pPr>
      <w:r>
        <w:rPr>
          <w:rFonts w:hint="eastAsia" w:ascii="宋体" w:hAnsi="宋体" w:cs="宋体"/>
          <w:b/>
          <w:color w:val="000000"/>
        </w:rPr>
        <w:t>年   月    日</w:t>
      </w:r>
    </w:p>
    <w:bookmarkEnd w:id="193"/>
    <w:p w14:paraId="777BF835">
      <w:pPr>
        <w:rPr>
          <w:rFonts w:ascii="宋体"/>
          <w:b/>
          <w:sz w:val="28"/>
          <w:szCs w:val="28"/>
        </w:rPr>
      </w:pPr>
      <w:r>
        <w:rPr>
          <w:rFonts w:ascii="宋体"/>
          <w:b/>
          <w:sz w:val="28"/>
          <w:szCs w:val="28"/>
        </w:rPr>
        <w:t xml:space="preserve"> </w:t>
      </w:r>
    </w:p>
    <w:p w14:paraId="0C5FD92A">
      <w:pPr>
        <w:rPr>
          <w:rFonts w:hAnsi="宋体" w:cs="宋体"/>
          <w:bCs/>
          <w:color w:val="000000"/>
          <w:szCs w:val="28"/>
        </w:rPr>
      </w:pPr>
    </w:p>
    <w:p w14:paraId="70D83E94">
      <w:pPr>
        <w:spacing w:after="100" w:afterAutospacing="1"/>
        <w:jc w:val="center"/>
        <w:outlineLvl w:val="0"/>
        <w:rPr>
          <w:rFonts w:hAnsi="宋体" w:cs="宋体"/>
          <w:b/>
          <w:bCs/>
          <w:color w:val="000000"/>
          <w:kern w:val="28"/>
          <w:sz w:val="44"/>
          <w:szCs w:val="44"/>
        </w:rPr>
      </w:pPr>
      <w:bookmarkStart w:id="223" w:name="_Toc2056"/>
      <w:bookmarkStart w:id="224" w:name="_Toc21975"/>
      <w:r>
        <w:rPr>
          <w:rFonts w:hint="eastAsia" w:hAnsi="宋体" w:cs="宋体"/>
          <w:b/>
          <w:bCs/>
          <w:color w:val="000000"/>
          <w:kern w:val="28"/>
          <w:sz w:val="44"/>
          <w:szCs w:val="44"/>
        </w:rPr>
        <w:t>第六部分 采购项目要求及</w:t>
      </w:r>
      <w:bookmarkStart w:id="225" w:name="_Toc20063159"/>
      <w:bookmarkStart w:id="226" w:name="_Toc504574615"/>
      <w:bookmarkStart w:id="227" w:name="_Toc19402"/>
      <w:r>
        <w:rPr>
          <w:rFonts w:hint="eastAsia" w:hAnsi="宋体" w:cs="宋体"/>
          <w:b/>
          <w:bCs/>
          <w:color w:val="000000"/>
          <w:kern w:val="28"/>
          <w:sz w:val="44"/>
          <w:szCs w:val="44"/>
        </w:rPr>
        <w:t>服务内容</w:t>
      </w:r>
      <w:bookmarkEnd w:id="73"/>
      <w:bookmarkEnd w:id="223"/>
      <w:bookmarkEnd w:id="224"/>
    </w:p>
    <w:bookmarkEnd w:id="225"/>
    <w:bookmarkEnd w:id="226"/>
    <w:bookmarkEnd w:id="227"/>
    <w:p w14:paraId="6C4047D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宋体"/>
          <w:b/>
          <w:bCs/>
          <w:color w:val="auto"/>
          <w:kern w:val="0"/>
          <w:sz w:val="36"/>
          <w:szCs w:val="36"/>
        </w:rPr>
      </w:pPr>
      <w:r>
        <w:rPr>
          <w:rFonts w:hint="eastAsia" w:ascii="宋体" w:hAnsi="宋体" w:cs="宋体"/>
          <w:color w:val="auto"/>
          <w:kern w:val="0"/>
          <w:sz w:val="28"/>
          <w:szCs w:val="28"/>
          <w:lang w:bidi="ar"/>
        </w:rPr>
        <w:t xml:space="preserve"> </w:t>
      </w:r>
      <w:bookmarkStart w:id="228" w:name="_Toc325726052"/>
      <w:bookmarkStart w:id="229" w:name="_Toc29729"/>
      <w:bookmarkStart w:id="230" w:name="_Toc25789"/>
      <w:bookmarkStart w:id="231" w:name="_Toc24838"/>
      <w:bookmarkStart w:id="232" w:name="_Toc376936783"/>
      <w:bookmarkStart w:id="233" w:name="_Toc8079"/>
      <w:bookmarkStart w:id="234" w:name="_Toc10139"/>
      <w:bookmarkStart w:id="235" w:name="_Toc496626255"/>
      <w:r>
        <w:rPr>
          <w:rFonts w:hint="eastAsia" w:ascii="宋体" w:hAnsi="宋体"/>
          <w:b/>
          <w:bCs/>
          <w:color w:val="auto"/>
          <w:kern w:val="0"/>
          <w:sz w:val="36"/>
          <w:szCs w:val="36"/>
        </w:rPr>
        <w:t>一、磋商要求</w:t>
      </w:r>
      <w:bookmarkEnd w:id="228"/>
      <w:bookmarkEnd w:id="229"/>
      <w:bookmarkEnd w:id="230"/>
      <w:bookmarkEnd w:id="231"/>
      <w:bookmarkEnd w:id="232"/>
      <w:bookmarkEnd w:id="233"/>
      <w:bookmarkEnd w:id="234"/>
      <w:bookmarkEnd w:id="235"/>
      <w:bookmarkStart w:id="236" w:name="_Toc2073"/>
      <w:bookmarkStart w:id="237" w:name="_Toc496626256"/>
      <w:bookmarkStart w:id="238" w:name="_Toc376936784"/>
      <w:bookmarkStart w:id="239" w:name="_Toc325726053"/>
    </w:p>
    <w:bookmarkEnd w:id="236"/>
    <w:bookmarkEnd w:id="237"/>
    <w:bookmarkEnd w:id="238"/>
    <w:bookmarkEnd w:id="239"/>
    <w:p w14:paraId="1483A4B6">
      <w:pPr>
        <w:pStyle w:val="31"/>
        <w:keepNext w:val="0"/>
        <w:keepLines w:val="0"/>
        <w:pageBreakBefore w:val="0"/>
        <w:widowControl w:val="0"/>
        <w:kinsoku/>
        <w:wordWrap/>
        <w:overflowPunct/>
        <w:topLinePunct w:val="0"/>
        <w:autoSpaceDE/>
        <w:autoSpaceDN/>
        <w:bidi w:val="0"/>
        <w:adjustRightInd/>
        <w:snapToGrid/>
        <w:spacing w:before="0" w:after="0"/>
        <w:jc w:val="left"/>
        <w:textAlignment w:val="auto"/>
        <w:outlineLvl w:val="3"/>
        <w:rPr>
          <w:rFonts w:ascii="宋体" w:cs="宋体"/>
          <w:color w:val="auto"/>
          <w:lang w:val="zh-CN"/>
        </w:rPr>
      </w:pPr>
      <w:bookmarkStart w:id="240" w:name="_Toc25829"/>
      <w:bookmarkStart w:id="241" w:name="_Toc20332"/>
      <w:bookmarkStart w:id="242" w:name="_Toc3845"/>
      <w:bookmarkStart w:id="243" w:name="_Toc2769"/>
      <w:bookmarkStart w:id="244" w:name="_Toc16678"/>
      <w:bookmarkStart w:id="245" w:name="_Toc4601"/>
      <w:r>
        <w:rPr>
          <w:rFonts w:ascii="宋体" w:hAnsi="宋体" w:cs="宋体"/>
          <w:color w:val="auto"/>
          <w:sz w:val="28"/>
          <w:szCs w:val="28"/>
          <w:lang w:val="zh-CN"/>
        </w:rPr>
        <w:t>1.</w:t>
      </w:r>
      <w:r>
        <w:rPr>
          <w:rFonts w:hint="eastAsia" w:ascii="宋体" w:hAnsi="宋体" w:cs="宋体"/>
          <w:color w:val="auto"/>
          <w:sz w:val="28"/>
          <w:szCs w:val="28"/>
          <w:lang w:val="zh-CN"/>
        </w:rPr>
        <w:t>投标说明</w:t>
      </w:r>
      <w:bookmarkEnd w:id="240"/>
      <w:bookmarkEnd w:id="241"/>
      <w:bookmarkEnd w:id="242"/>
      <w:bookmarkEnd w:id="243"/>
      <w:bookmarkEnd w:id="244"/>
      <w:bookmarkEnd w:id="245"/>
    </w:p>
    <w:p w14:paraId="3743289A">
      <w:pPr>
        <w:autoSpaceDE w:val="0"/>
        <w:autoSpaceDN w:val="0"/>
        <w:ind w:firstLine="480" w:firstLineChars="200"/>
        <w:rPr>
          <w:rFonts w:ascii="宋体" w:cs="宋体"/>
          <w:color w:val="auto"/>
          <w:kern w:val="0"/>
          <w:lang w:val="zh-CN"/>
        </w:rPr>
      </w:pPr>
      <w:r>
        <w:rPr>
          <w:rFonts w:ascii="宋体" w:hAnsi="宋体" w:cs="宋体"/>
          <w:color w:val="auto"/>
          <w:kern w:val="0"/>
          <w:lang w:val="zh-CN"/>
        </w:rPr>
        <w:t>1.1</w:t>
      </w:r>
      <w:r>
        <w:rPr>
          <w:rFonts w:hint="eastAsia" w:ascii="宋体" w:hAnsi="宋体" w:cs="宋体"/>
          <w:color w:val="auto"/>
          <w:kern w:val="0"/>
        </w:rPr>
        <w:t>供应商可以按照磋商性响应文件规定投标，但必须对所投的所有内容作为一个整体进行投标，不能拆分或少报。否则，投标无效；</w:t>
      </w:r>
    </w:p>
    <w:p w14:paraId="5ACE3BA0">
      <w:pPr>
        <w:autoSpaceDE w:val="0"/>
        <w:autoSpaceDN w:val="0"/>
        <w:ind w:firstLine="480" w:firstLineChars="200"/>
        <w:rPr>
          <w:rFonts w:ascii="宋体" w:hAnsi="宋体" w:cs="宋体"/>
          <w:color w:val="auto"/>
          <w:kern w:val="0"/>
        </w:rPr>
      </w:pPr>
      <w:r>
        <w:rPr>
          <w:rFonts w:ascii="宋体" w:hAnsi="宋体" w:cs="宋体"/>
          <w:color w:val="auto"/>
          <w:kern w:val="0"/>
          <w:lang w:val="zh-CN"/>
        </w:rPr>
        <w:t>1.2</w:t>
      </w:r>
      <w:r>
        <w:rPr>
          <w:rFonts w:hint="eastAsia" w:ascii="宋体" w:hAnsi="宋体" w:cs="宋体"/>
          <w:color w:val="auto"/>
          <w:kern w:val="0"/>
        </w:rPr>
        <w:t>磋商报价应包括：</w:t>
      </w:r>
      <w:r>
        <w:rPr>
          <w:rFonts w:hint="eastAsia" w:hAnsi="宋体" w:cs="宋体"/>
          <w:color w:val="auto"/>
          <w:szCs w:val="28"/>
          <w:lang w:eastAsia="zh-CN"/>
        </w:rPr>
        <w:t>人员工资、保险、电费、 水费、药剂费、污泥处置及外用费、设备维护保养费、维修及更换零配件费、办公耗材费、 网络通讯费、化验费、取暖费、税收、招标代理费以及所有有关的管理成本和其他不可预见费等全部费用。</w:t>
      </w:r>
      <w:r>
        <w:rPr>
          <w:rFonts w:hint="eastAsia" w:ascii="宋体" w:hAnsi="宋体" w:cs="宋体"/>
          <w:color w:val="auto"/>
          <w:kern w:val="0"/>
        </w:rPr>
        <w:t>若报价不能完全包括上述内容，该投标将被认为非实质性响应。</w:t>
      </w:r>
      <w:bookmarkStart w:id="246" w:name="_Toc76737333"/>
      <w:bookmarkStart w:id="247" w:name="_Toc76736856"/>
      <w:r>
        <w:rPr>
          <w:rFonts w:hint="eastAsia" w:ascii="宋体" w:hAnsi="宋体" w:cs="宋体"/>
          <w:color w:val="auto"/>
          <w:kern w:val="0"/>
        </w:rPr>
        <w:t>本次采购文件中规定的采购预算额度为招标最高限价，供应商的投标报价不得超出此额度。否则，投标无效。</w:t>
      </w:r>
      <w:bookmarkEnd w:id="246"/>
      <w:bookmarkEnd w:id="247"/>
      <w:r>
        <w:rPr>
          <w:rFonts w:hint="eastAsia" w:ascii="宋体" w:hAnsi="宋体" w:cs="宋体"/>
          <w:color w:val="auto"/>
          <w:kern w:val="0"/>
        </w:rPr>
        <w:t>凡因供应商对采购文件阅读不深、理解不透、误解、疏漏、或因市场行情了解不清造成的后果和风险均由供应商自行承担。</w:t>
      </w:r>
    </w:p>
    <w:p w14:paraId="5B53B7C3">
      <w:pPr>
        <w:autoSpaceDE w:val="0"/>
        <w:autoSpaceDN w:val="0"/>
        <w:ind w:firstLine="480" w:firstLineChars="200"/>
        <w:rPr>
          <w:rFonts w:ascii="宋体" w:cs="宋体"/>
          <w:color w:val="auto"/>
          <w:kern w:val="0"/>
          <w:lang w:val="zh-CN"/>
        </w:rPr>
      </w:pPr>
      <w:r>
        <w:rPr>
          <w:rFonts w:ascii="宋体" w:hAnsi="宋体" w:cs="宋体"/>
          <w:color w:val="auto"/>
          <w:kern w:val="0"/>
        </w:rPr>
        <w:t>1.</w:t>
      </w:r>
      <w:r>
        <w:rPr>
          <w:rFonts w:hint="eastAsia" w:ascii="宋体" w:hAnsi="宋体" w:cs="宋体"/>
          <w:color w:val="auto"/>
          <w:kern w:val="0"/>
        </w:rPr>
        <w:t>3</w:t>
      </w:r>
      <w:r>
        <w:rPr>
          <w:rFonts w:ascii="宋体" w:hAnsi="宋体" w:cs="宋体"/>
          <w:color w:val="auto"/>
          <w:kern w:val="0"/>
        </w:rPr>
        <w:t xml:space="preserve"> </w:t>
      </w:r>
      <w:r>
        <w:rPr>
          <w:rFonts w:hint="eastAsia" w:ascii="宋体" w:hAnsi="宋体"/>
          <w:color w:val="auto"/>
        </w:rPr>
        <w:t>所投服务或其任何一部分不得侵犯专利权、著作权、商标权和工业设计权等知识产权。供应商所投服务所形成的相关报告，其知识产权归采购人所有，未经采购人允许，不得将内容用于其他用途。</w:t>
      </w:r>
    </w:p>
    <w:p w14:paraId="05F865A7">
      <w:pPr>
        <w:autoSpaceDE w:val="0"/>
        <w:autoSpaceDN w:val="0"/>
        <w:ind w:firstLine="480" w:firstLineChars="200"/>
        <w:rPr>
          <w:rFonts w:ascii="宋体" w:cs="宋体"/>
          <w:color w:val="auto"/>
          <w:kern w:val="0"/>
        </w:rPr>
      </w:pPr>
      <w:r>
        <w:rPr>
          <w:rFonts w:ascii="宋体" w:hAnsi="宋体" w:cs="宋体"/>
          <w:color w:val="auto"/>
          <w:kern w:val="0"/>
        </w:rPr>
        <w:t>1.</w:t>
      </w:r>
      <w:r>
        <w:rPr>
          <w:rFonts w:hint="eastAsia" w:ascii="宋体" w:hAnsi="宋体" w:cs="宋体"/>
          <w:color w:val="auto"/>
          <w:kern w:val="0"/>
        </w:rPr>
        <w:t>4</w:t>
      </w:r>
      <w:r>
        <w:rPr>
          <w:rFonts w:ascii="宋体" w:hAnsi="宋体" w:cs="宋体"/>
          <w:color w:val="auto"/>
          <w:kern w:val="0"/>
        </w:rPr>
        <w:t xml:space="preserve"> </w:t>
      </w:r>
      <w:r>
        <w:rPr>
          <w:rFonts w:hint="eastAsia" w:ascii="宋体" w:hAnsi="宋体" w:cs="宋体"/>
          <w:color w:val="auto"/>
          <w:kern w:val="0"/>
        </w:rPr>
        <w:t>项目中标后分包情况：</w:t>
      </w:r>
      <w:r>
        <w:rPr>
          <w:rFonts w:hint="eastAsia" w:ascii="宋体" w:hAnsi="宋体" w:cs="宋体"/>
          <w:color w:val="auto"/>
          <w:kern w:val="0"/>
          <w:u w:val="dashDotHeavy"/>
        </w:rPr>
        <w:t>不允许</w:t>
      </w:r>
      <w:r>
        <w:rPr>
          <w:rFonts w:hint="eastAsia" w:ascii="宋体" w:hAnsi="宋体" w:cs="宋体"/>
          <w:color w:val="auto"/>
          <w:kern w:val="0"/>
        </w:rPr>
        <w:t>。（允许，投标人拟在中标后将中标项目的非主体、非关键性工作分包的，应当在投标文件中载明分包承担主体，分包承担主体应当具备相应资质条件且不得再次分包）。</w:t>
      </w:r>
    </w:p>
    <w:p w14:paraId="0495B105">
      <w:pPr>
        <w:pStyle w:val="31"/>
        <w:jc w:val="left"/>
        <w:outlineLvl w:val="3"/>
        <w:rPr>
          <w:rFonts w:ascii="宋体" w:hAnsi="宋体" w:cs="宋体"/>
          <w:color w:val="000000" w:themeColor="text1"/>
          <w:sz w:val="28"/>
          <w:szCs w:val="28"/>
          <w:lang w:val="zh-CN"/>
          <w14:textFill>
            <w14:solidFill>
              <w14:schemeClr w14:val="tx1"/>
            </w14:solidFill>
          </w14:textFill>
        </w:rPr>
      </w:pPr>
      <w:bookmarkStart w:id="248" w:name="_Toc11220"/>
      <w:bookmarkStart w:id="249" w:name="_Toc16744"/>
      <w:bookmarkStart w:id="250" w:name="_Toc13813"/>
      <w:bookmarkStart w:id="251" w:name="_Toc18880"/>
      <w:bookmarkStart w:id="252" w:name="_Toc30417"/>
      <w:bookmarkStart w:id="253" w:name="_Toc12515"/>
      <w:r>
        <w:rPr>
          <w:rFonts w:hint="eastAsia" w:ascii="宋体" w:hAnsi="宋体" w:cs="宋体"/>
          <w:color w:val="auto"/>
          <w:sz w:val="28"/>
          <w:szCs w:val="28"/>
        </w:rPr>
        <w:t>2</w:t>
      </w:r>
      <w:r>
        <w:rPr>
          <w:rFonts w:ascii="宋体" w:cs="宋体"/>
          <w:color w:val="auto"/>
          <w:sz w:val="28"/>
          <w:szCs w:val="28"/>
          <w:lang w:val="zh-CN"/>
        </w:rPr>
        <w:t>.</w:t>
      </w:r>
      <w:r>
        <w:rPr>
          <w:rFonts w:hint="eastAsia" w:ascii="宋体" w:hAnsi="宋体" w:cs="宋体"/>
          <w:color w:val="auto"/>
          <w:sz w:val="28"/>
          <w:szCs w:val="28"/>
          <w:lang w:val="zh-CN"/>
        </w:rPr>
        <w:t>商务</w:t>
      </w:r>
      <w:r>
        <w:rPr>
          <w:rFonts w:hint="eastAsia" w:ascii="宋体" w:hAnsi="宋体" w:cs="宋体"/>
          <w:color w:val="000000" w:themeColor="text1"/>
          <w:sz w:val="28"/>
          <w:szCs w:val="28"/>
          <w:lang w:val="zh-CN"/>
          <w14:textFill>
            <w14:solidFill>
              <w14:schemeClr w14:val="tx1"/>
            </w14:solidFill>
          </w14:textFill>
        </w:rPr>
        <w:t>要求</w:t>
      </w:r>
      <w:bookmarkEnd w:id="248"/>
      <w:bookmarkEnd w:id="249"/>
      <w:bookmarkEnd w:id="250"/>
      <w:bookmarkEnd w:id="251"/>
      <w:bookmarkEnd w:id="252"/>
      <w:bookmarkEnd w:id="253"/>
    </w:p>
    <w:p w14:paraId="0F875E57">
      <w:pPr>
        <w:autoSpaceDE w:val="0"/>
        <w:autoSpaceDN w:val="0"/>
        <w:ind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2.1</w:t>
      </w:r>
      <w:r>
        <w:rPr>
          <w:rFonts w:hint="eastAsia" w:ascii="宋体" w:hAnsi="宋体" w:cs="宋体"/>
          <w:color w:val="000000" w:themeColor="text1"/>
          <w:kern w:val="0"/>
          <w:lang w:val="zh-CN"/>
          <w14:textFill>
            <w14:solidFill>
              <w14:schemeClr w14:val="tx1"/>
            </w14:solidFill>
          </w14:textFill>
        </w:rPr>
        <w:t>服务</w:t>
      </w:r>
      <w:r>
        <w:rPr>
          <w:rFonts w:hint="eastAsia" w:ascii="宋体" w:hAnsi="宋体" w:cs="宋体"/>
          <w:color w:val="000000" w:themeColor="text1"/>
          <w:kern w:val="0"/>
          <w14:textFill>
            <w14:solidFill>
              <w14:schemeClr w14:val="tx1"/>
            </w14:solidFill>
          </w14:textFill>
        </w:rPr>
        <w:t>期限</w:t>
      </w:r>
      <w:r>
        <w:rPr>
          <w:rFonts w:hint="eastAsia" w:ascii="宋体" w:hAnsi="宋体" w:cs="宋体"/>
          <w:color w:val="000000" w:themeColor="text1"/>
          <w:kern w:val="0"/>
          <w:lang w:val="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服务期为半年，自提供运维服务之日起计</w:t>
      </w:r>
      <w:r>
        <w:rPr>
          <w:rFonts w:hint="eastAsia" w:cs="仿宋"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服务期结束后对经营方进行考核，双方就运营服务均无异议的情况下，可续签服务合同。</w:t>
      </w:r>
      <w:r>
        <w:rPr>
          <w:rFonts w:hint="eastAsia" w:ascii="宋体" w:hAnsi="宋体" w:cs="宋体"/>
          <w:color w:val="000000" w:themeColor="text1"/>
          <w14:textFill>
            <w14:solidFill>
              <w14:schemeClr w14:val="tx1"/>
            </w14:solidFill>
          </w14:textFill>
        </w:rPr>
        <w:t>。</w:t>
      </w:r>
    </w:p>
    <w:p w14:paraId="0F352514">
      <w:pPr>
        <w:ind w:firstLine="420" w:firstLineChars="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2.2</w:t>
      </w:r>
      <w:r>
        <w:rPr>
          <w:rFonts w:hint="eastAsia" w:ascii="宋体" w:hAnsi="宋体" w:cs="宋体"/>
          <w:color w:val="000000" w:themeColor="text1"/>
          <w:kern w:val="0"/>
          <w:lang w:val="zh-CN"/>
          <w14:textFill>
            <w14:solidFill>
              <w14:schemeClr w14:val="tx1"/>
            </w14:solidFill>
          </w14:textFill>
        </w:rPr>
        <w:t>服务地点：</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17</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座农村污水处理站</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分别是：</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峡乡灰条口村污水处理站、东峡乡新民村污水处理站、东峡乡灰条沟村污水处理站、东峡乡下脖项村污水处理站、东峡乡下脖项村果米滩污水处理站、日月乡前滩村污水处理站、日月乡尕庄村污水处理站、日月乡日月山村吊庄污水处理站、日月乡日月山村尕南湾污水处理站、日月乡哈城村污水处理站、日月乡兔尔干村污水处理站、日月乡若药堂村污水处理站、和平乡茶曲村污水处理站、巴燕乡巴燕峡村污水处理站</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、日月乡本炕村污水处理站、巴燕乡下寺村污水处理站、巴燕乡上浪湾村污水处理站</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p w14:paraId="2AF36921">
      <w:pPr>
        <w:autoSpaceDE w:val="0"/>
        <w:autoSpaceDN w:val="0"/>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2.3</w:t>
      </w:r>
      <w:r>
        <w:rPr>
          <w:rFonts w:hint="eastAsia" w:ascii="宋体" w:hAnsi="宋体" w:cs="宋体"/>
          <w:color w:val="000000" w:themeColor="text1"/>
          <w:kern w:val="0"/>
          <w:lang w:val="zh-CN"/>
          <w14:textFill>
            <w14:solidFill>
              <w14:schemeClr w14:val="tx1"/>
            </w14:solidFill>
          </w14:textFill>
        </w:rPr>
        <w:t>付款方式：</w:t>
      </w:r>
      <w:r>
        <w:rPr>
          <w:rFonts w:hint="eastAsia" w:ascii="宋体" w:hAnsi="宋体" w:cs="宋体"/>
          <w:color w:val="000000" w:themeColor="text1"/>
          <w:kern w:val="0"/>
          <w14:textFill>
            <w14:solidFill>
              <w14:schemeClr w14:val="tx1"/>
            </w14:solidFill>
          </w14:textFill>
        </w:rPr>
        <w:t>参考“第四部分</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青海省政府采购项目合同书范本”中“四、付款方式”的规定</w:t>
      </w:r>
      <w:r>
        <w:rPr>
          <w:rFonts w:hint="eastAsia" w:ascii="宋体" w:hAnsi="宋体" w:cs="宋体"/>
          <w:color w:val="000000" w:themeColor="text1"/>
          <w:kern w:val="0"/>
          <w:lang w:val="zh-CN"/>
          <w14:textFill>
            <w14:solidFill>
              <w14:schemeClr w14:val="tx1"/>
            </w14:solidFill>
          </w14:textFill>
        </w:rPr>
        <w:t>。</w:t>
      </w:r>
    </w:p>
    <w:p w14:paraId="0328F824">
      <w:pPr>
        <w:rPr>
          <w:rFonts w:ascii="宋体" w:hAnsi="宋体" w:cs="宋体"/>
          <w:color w:val="auto"/>
          <w:kern w:val="0"/>
          <w:lang w:val="zh-CN"/>
        </w:rPr>
      </w:pPr>
      <w:r>
        <w:rPr>
          <w:rFonts w:hint="eastAsia" w:ascii="宋体" w:hAnsi="宋体" w:cs="宋体"/>
          <w:color w:val="000000" w:themeColor="text1"/>
          <w:kern w:val="0"/>
          <w:lang w:val="zh-CN"/>
          <w14:textFill>
            <w14:solidFill>
              <w14:schemeClr w14:val="tx1"/>
            </w14:solidFill>
          </w14:textFill>
        </w:rPr>
        <w:br w:type="page"/>
      </w:r>
    </w:p>
    <w:p w14:paraId="354C11E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cs="宋体"/>
          <w:b/>
          <w:bCs/>
          <w:color w:val="auto"/>
          <w:kern w:val="0"/>
          <w:sz w:val="36"/>
          <w:szCs w:val="36"/>
          <w:lang w:bidi="ar"/>
        </w:rPr>
      </w:pPr>
      <w:bookmarkStart w:id="254" w:name="_Toc12169"/>
      <w:bookmarkStart w:id="255" w:name="_Toc17994"/>
      <w:bookmarkStart w:id="256" w:name="_Toc12922"/>
      <w:bookmarkStart w:id="257" w:name="_Toc6090"/>
      <w:bookmarkStart w:id="258" w:name="_Toc3709"/>
      <w:r>
        <w:rPr>
          <w:rFonts w:hint="eastAsia" w:ascii="宋体" w:hAnsi="宋体" w:cs="宋体"/>
          <w:b/>
          <w:bCs/>
          <w:color w:val="auto"/>
          <w:kern w:val="0"/>
          <w:sz w:val="36"/>
          <w:szCs w:val="36"/>
          <w:lang w:val="en-US" w:eastAsia="zh-CN" w:bidi="ar"/>
        </w:rPr>
        <w:t>二、服务</w:t>
      </w:r>
      <w:bookmarkEnd w:id="254"/>
      <w:r>
        <w:rPr>
          <w:rFonts w:hint="eastAsia" w:ascii="宋体" w:hAnsi="宋体" w:cs="宋体"/>
          <w:b/>
          <w:bCs/>
          <w:color w:val="auto"/>
          <w:kern w:val="0"/>
          <w:sz w:val="36"/>
          <w:szCs w:val="36"/>
          <w:lang w:eastAsia="zh-CN" w:bidi="ar"/>
        </w:rPr>
        <w:t>内容</w:t>
      </w:r>
      <w:bookmarkEnd w:id="255"/>
      <w:bookmarkEnd w:id="256"/>
      <w:bookmarkEnd w:id="257"/>
      <w:bookmarkEnd w:id="258"/>
    </w:p>
    <w:p w14:paraId="2F97DA3A">
      <w:pPr>
        <w:pStyle w:val="9"/>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一、污水处理站概况</w:t>
      </w:r>
    </w:p>
    <w:p w14:paraId="590FB114">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宋体" w:hAnsi="宋体" w:eastAsia="宋体" w:cs="宋体"/>
          <w:b/>
          <w:bCs/>
          <w:i w:val="0"/>
          <w:iCs w:val="0"/>
          <w:color w:val="auto"/>
          <w:kern w:val="0"/>
          <w:sz w:val="28"/>
          <w:szCs w:val="28"/>
          <w:u w:val="none"/>
          <w:lang w:val="en-US" w:eastAsia="zh-CN" w:bidi="ar"/>
        </w:rPr>
      </w:pPr>
      <w:r>
        <w:rPr>
          <w:rFonts w:hint="eastAsia" w:ascii="宋体" w:hAnsi="宋体" w:cs="宋体"/>
          <w:b/>
          <w:bCs/>
          <w:i w:val="0"/>
          <w:iCs w:val="0"/>
          <w:color w:val="auto"/>
          <w:kern w:val="0"/>
          <w:sz w:val="28"/>
          <w:szCs w:val="28"/>
          <w:u w:val="none"/>
          <w:lang w:val="en-US" w:eastAsia="zh-CN" w:bidi="ar"/>
        </w:rPr>
        <w:t>服务地点</w:t>
      </w:r>
      <w:r>
        <w:rPr>
          <w:rFonts w:hint="eastAsia" w:ascii="宋体" w:hAnsi="宋体" w:eastAsia="宋体" w:cs="宋体"/>
          <w:b/>
          <w:bCs/>
          <w:i w:val="0"/>
          <w:iCs w:val="0"/>
          <w:color w:val="auto"/>
          <w:kern w:val="0"/>
          <w:sz w:val="28"/>
          <w:szCs w:val="28"/>
          <w:u w:val="none"/>
          <w:lang w:val="en-US" w:eastAsia="zh-CN" w:bidi="ar"/>
        </w:rPr>
        <w:t>一览表</w:t>
      </w:r>
    </w:p>
    <w:tbl>
      <w:tblPr>
        <w:tblStyle w:val="36"/>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749"/>
        <w:gridCol w:w="1384"/>
        <w:gridCol w:w="2958"/>
        <w:gridCol w:w="1330"/>
      </w:tblGrid>
      <w:tr w14:paraId="42CA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5" w:type="dxa"/>
            <w:tcBorders>
              <w:top w:val="double" w:color="auto" w:sz="4" w:space="0"/>
              <w:left w:val="double" w:color="auto" w:sz="4" w:space="0"/>
            </w:tcBorders>
            <w:vAlign w:val="center"/>
          </w:tcPr>
          <w:p w14:paraId="2AAA8652">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序号</w:t>
            </w:r>
          </w:p>
        </w:tc>
        <w:tc>
          <w:tcPr>
            <w:tcW w:w="2749" w:type="dxa"/>
            <w:tcBorders>
              <w:top w:val="double" w:color="auto" w:sz="4" w:space="0"/>
            </w:tcBorders>
            <w:vAlign w:val="center"/>
          </w:tcPr>
          <w:p w14:paraId="4870E3CF">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服务地点</w:t>
            </w:r>
          </w:p>
        </w:tc>
        <w:tc>
          <w:tcPr>
            <w:tcW w:w="1384" w:type="dxa"/>
            <w:tcBorders>
              <w:top w:val="double" w:color="auto" w:sz="4" w:space="0"/>
            </w:tcBorders>
            <w:vAlign w:val="center"/>
          </w:tcPr>
          <w:p w14:paraId="469A6791">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所属乡镇</w:t>
            </w:r>
          </w:p>
        </w:tc>
        <w:tc>
          <w:tcPr>
            <w:tcW w:w="2958" w:type="dxa"/>
            <w:tcBorders>
              <w:top w:val="double" w:color="auto" w:sz="4" w:space="0"/>
            </w:tcBorders>
            <w:vAlign w:val="center"/>
          </w:tcPr>
          <w:p w14:paraId="615CE449">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出水水质要求</w:t>
            </w:r>
          </w:p>
        </w:tc>
        <w:tc>
          <w:tcPr>
            <w:tcW w:w="1330" w:type="dxa"/>
            <w:tcBorders>
              <w:top w:val="double" w:color="auto" w:sz="4" w:space="0"/>
              <w:right w:val="double" w:color="auto" w:sz="4" w:space="0"/>
            </w:tcBorders>
            <w:vAlign w:val="center"/>
          </w:tcPr>
          <w:p w14:paraId="2C81521D">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备注</w:t>
            </w:r>
          </w:p>
        </w:tc>
      </w:tr>
      <w:tr w14:paraId="5A90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5" w:type="dxa"/>
            <w:tcBorders>
              <w:left w:val="double" w:color="auto" w:sz="4" w:space="0"/>
            </w:tcBorders>
            <w:vAlign w:val="center"/>
          </w:tcPr>
          <w:p w14:paraId="0A82E828">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2749" w:type="dxa"/>
            <w:vAlign w:val="center"/>
          </w:tcPr>
          <w:p w14:paraId="68320271">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default"/>
                <w:color w:val="auto"/>
                <w:sz w:val="24"/>
                <w:szCs w:val="24"/>
                <w:vertAlign w:val="baseline"/>
                <w:lang w:val="en-US" w:eastAsia="zh-CN"/>
              </w:rPr>
              <w:t>兔儿干新型社区污水处理站</w:t>
            </w:r>
          </w:p>
        </w:tc>
        <w:tc>
          <w:tcPr>
            <w:tcW w:w="1384" w:type="dxa"/>
            <w:vAlign w:val="center"/>
          </w:tcPr>
          <w:p w14:paraId="7727A272">
            <w:pPr>
              <w:keepNext w:val="0"/>
              <w:keepLines w:val="0"/>
              <w:widowControl/>
              <w:suppressLineNumbers w:val="0"/>
              <w:jc w:val="center"/>
              <w:textAlignment w:val="center"/>
              <w:rPr>
                <w:rFonts w:hint="default" w:ascii="宋体" w:hAnsi="宋体" w:eastAsia="宋体" w:cs="Times New Roman"/>
                <w:color w:val="auto"/>
                <w:kern w:val="2"/>
                <w:sz w:val="24"/>
                <w:szCs w:val="24"/>
                <w:vertAlign w:val="baseline"/>
                <w:lang w:val="en-US" w:eastAsia="zh-CN" w:bidi="ar-SA"/>
              </w:rPr>
            </w:pPr>
            <w:r>
              <w:rPr>
                <w:rFonts w:hint="default" w:ascii="宋体" w:hAnsi="宋体" w:eastAsia="宋体" w:cs="Times New Roman"/>
                <w:color w:val="auto"/>
                <w:kern w:val="2"/>
                <w:sz w:val="24"/>
                <w:szCs w:val="24"/>
                <w:vertAlign w:val="baseline"/>
                <w:lang w:val="en-US" w:eastAsia="zh-CN" w:bidi="ar-SA"/>
              </w:rPr>
              <w:t>日月乡</w:t>
            </w:r>
          </w:p>
        </w:tc>
        <w:tc>
          <w:tcPr>
            <w:tcW w:w="2958" w:type="dxa"/>
            <w:shd w:val="clear" w:color="auto" w:fill="FFFFFF" w:themeFill="background1"/>
            <w:vAlign w:val="center"/>
          </w:tcPr>
          <w:p w14:paraId="3AFBC367">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《农村生活污水处理排放标准》(DB63/T1777-2020)一级标准</w:t>
            </w:r>
          </w:p>
        </w:tc>
        <w:tc>
          <w:tcPr>
            <w:tcW w:w="1330" w:type="dxa"/>
            <w:tcBorders>
              <w:right w:val="double" w:color="auto" w:sz="4" w:space="0"/>
            </w:tcBorders>
            <w:vAlign w:val="center"/>
          </w:tcPr>
          <w:p w14:paraId="2B35E23C">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5ABD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5" w:type="dxa"/>
            <w:tcBorders>
              <w:left w:val="double" w:color="auto" w:sz="4" w:space="0"/>
            </w:tcBorders>
            <w:vAlign w:val="center"/>
          </w:tcPr>
          <w:p w14:paraId="728D9F91">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2</w:t>
            </w:r>
          </w:p>
        </w:tc>
        <w:tc>
          <w:tcPr>
            <w:tcW w:w="2749" w:type="dxa"/>
            <w:vAlign w:val="center"/>
          </w:tcPr>
          <w:p w14:paraId="1B1A0A81">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default"/>
                <w:color w:val="auto"/>
                <w:sz w:val="24"/>
                <w:szCs w:val="24"/>
                <w:vertAlign w:val="baseline"/>
                <w:lang w:val="en-US" w:eastAsia="zh-CN"/>
              </w:rPr>
              <w:t>前滩污水处理站</w:t>
            </w:r>
          </w:p>
        </w:tc>
        <w:tc>
          <w:tcPr>
            <w:tcW w:w="1384" w:type="dxa"/>
            <w:vAlign w:val="center"/>
          </w:tcPr>
          <w:p w14:paraId="147A0D44">
            <w:pPr>
              <w:keepNext w:val="0"/>
              <w:keepLines w:val="0"/>
              <w:widowControl/>
              <w:suppressLineNumbers w:val="0"/>
              <w:jc w:val="center"/>
              <w:textAlignment w:val="center"/>
              <w:rPr>
                <w:rFonts w:hint="default" w:ascii="宋体" w:hAnsi="宋体" w:eastAsia="宋体" w:cs="Times New Roman"/>
                <w:color w:val="auto"/>
                <w:kern w:val="2"/>
                <w:sz w:val="24"/>
                <w:szCs w:val="24"/>
                <w:vertAlign w:val="baseline"/>
                <w:lang w:val="en-US" w:eastAsia="zh-CN" w:bidi="ar-SA"/>
              </w:rPr>
            </w:pPr>
            <w:r>
              <w:rPr>
                <w:rFonts w:hint="default" w:ascii="宋体" w:hAnsi="宋体" w:eastAsia="宋体" w:cs="Times New Roman"/>
                <w:color w:val="auto"/>
                <w:kern w:val="2"/>
                <w:sz w:val="24"/>
                <w:szCs w:val="24"/>
                <w:vertAlign w:val="baseline"/>
                <w:lang w:val="en-US" w:eastAsia="zh-CN" w:bidi="ar-SA"/>
              </w:rPr>
              <w:t>日月乡</w:t>
            </w:r>
          </w:p>
        </w:tc>
        <w:tc>
          <w:tcPr>
            <w:tcW w:w="2958" w:type="dxa"/>
            <w:shd w:val="clear" w:color="auto" w:fill="FFFFFF" w:themeFill="background1"/>
            <w:vAlign w:val="center"/>
          </w:tcPr>
          <w:p w14:paraId="282529FB">
            <w:pPr>
              <w:keepNext w:val="0"/>
              <w:keepLines w:val="0"/>
              <w:widowControl/>
              <w:suppressLineNumbers w:val="0"/>
              <w:jc w:val="left"/>
              <w:rPr>
                <w:rFonts w:hint="default" w:ascii="宋体" w:hAnsi="宋体" w:eastAsia="宋体" w:cs="Times New Roman"/>
                <w:color w:val="auto"/>
                <w:sz w:val="24"/>
                <w:szCs w:val="24"/>
                <w:vertAlign w:val="baseline"/>
                <w:lang w:val="en-US" w:eastAsia="zh-CN"/>
              </w:rPr>
            </w:pPr>
            <w:r>
              <w:rPr>
                <w:rFonts w:hint="eastAsia" w:ascii="宋体" w:hAnsi="宋体" w:eastAsia="宋体" w:cs="宋体"/>
                <w:color w:val="000000"/>
                <w:kern w:val="0"/>
                <w:sz w:val="24"/>
                <w:szCs w:val="24"/>
                <w:lang w:val="en-US" w:eastAsia="zh-CN" w:bidi="ar"/>
              </w:rPr>
              <w:t>《农村生活污水处理排放标准》(DB63/T1777-2020)一级标准</w:t>
            </w:r>
          </w:p>
        </w:tc>
        <w:tc>
          <w:tcPr>
            <w:tcW w:w="1330" w:type="dxa"/>
            <w:tcBorders>
              <w:right w:val="double" w:color="auto" w:sz="4" w:space="0"/>
            </w:tcBorders>
            <w:vAlign w:val="center"/>
          </w:tcPr>
          <w:p w14:paraId="35F57161">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07ED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5" w:type="dxa"/>
            <w:tcBorders>
              <w:left w:val="double" w:color="auto" w:sz="4" w:space="0"/>
            </w:tcBorders>
            <w:vAlign w:val="center"/>
          </w:tcPr>
          <w:p w14:paraId="48EB309B">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3</w:t>
            </w:r>
          </w:p>
        </w:tc>
        <w:tc>
          <w:tcPr>
            <w:tcW w:w="2749" w:type="dxa"/>
            <w:vAlign w:val="center"/>
          </w:tcPr>
          <w:p w14:paraId="0C7A9938">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default"/>
                <w:color w:val="auto"/>
                <w:sz w:val="24"/>
                <w:szCs w:val="24"/>
                <w:vertAlign w:val="baseline"/>
                <w:lang w:val="en-US" w:eastAsia="zh-CN"/>
              </w:rPr>
              <w:t>尕庄村污水处理站</w:t>
            </w:r>
          </w:p>
        </w:tc>
        <w:tc>
          <w:tcPr>
            <w:tcW w:w="1384" w:type="dxa"/>
            <w:vAlign w:val="center"/>
          </w:tcPr>
          <w:p w14:paraId="4704B88F">
            <w:pPr>
              <w:keepNext w:val="0"/>
              <w:keepLines w:val="0"/>
              <w:widowControl/>
              <w:suppressLineNumbers w:val="0"/>
              <w:jc w:val="center"/>
              <w:textAlignment w:val="center"/>
              <w:rPr>
                <w:rFonts w:hint="default" w:ascii="宋体" w:hAnsi="宋体" w:eastAsia="宋体" w:cs="Times New Roman"/>
                <w:color w:val="auto"/>
                <w:kern w:val="2"/>
                <w:sz w:val="24"/>
                <w:szCs w:val="24"/>
                <w:vertAlign w:val="baseline"/>
                <w:lang w:val="en-US" w:eastAsia="zh-CN" w:bidi="ar-SA"/>
              </w:rPr>
            </w:pPr>
            <w:r>
              <w:rPr>
                <w:rFonts w:hint="default" w:ascii="宋体" w:hAnsi="宋体" w:eastAsia="宋体" w:cs="Times New Roman"/>
                <w:color w:val="auto"/>
                <w:kern w:val="2"/>
                <w:sz w:val="24"/>
                <w:szCs w:val="24"/>
                <w:vertAlign w:val="baseline"/>
                <w:lang w:val="en-US" w:eastAsia="zh-CN" w:bidi="ar-SA"/>
              </w:rPr>
              <w:t>日月乡</w:t>
            </w:r>
          </w:p>
        </w:tc>
        <w:tc>
          <w:tcPr>
            <w:tcW w:w="2958" w:type="dxa"/>
            <w:vAlign w:val="center"/>
          </w:tcPr>
          <w:p w14:paraId="5D5C3BBB">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《农村生活污水处理排放标准》(DB63/T1777-2020)一级标准</w:t>
            </w:r>
          </w:p>
        </w:tc>
        <w:tc>
          <w:tcPr>
            <w:tcW w:w="1330" w:type="dxa"/>
            <w:tcBorders>
              <w:right w:val="double" w:color="auto" w:sz="4" w:space="0"/>
            </w:tcBorders>
            <w:vAlign w:val="center"/>
          </w:tcPr>
          <w:p w14:paraId="3EF8F860">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5A2D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5" w:type="dxa"/>
            <w:tcBorders>
              <w:left w:val="double" w:color="auto" w:sz="4" w:space="0"/>
            </w:tcBorders>
            <w:vAlign w:val="center"/>
          </w:tcPr>
          <w:p w14:paraId="3BBCFDB3">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4</w:t>
            </w:r>
          </w:p>
        </w:tc>
        <w:tc>
          <w:tcPr>
            <w:tcW w:w="2749" w:type="dxa"/>
            <w:vAlign w:val="center"/>
          </w:tcPr>
          <w:p w14:paraId="5A49814A">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default"/>
                <w:color w:val="auto"/>
                <w:sz w:val="24"/>
                <w:szCs w:val="24"/>
                <w:vertAlign w:val="baseline"/>
                <w:lang w:val="en-US" w:eastAsia="zh-CN"/>
              </w:rPr>
              <w:t>若药堂村污水处理站</w:t>
            </w:r>
          </w:p>
        </w:tc>
        <w:tc>
          <w:tcPr>
            <w:tcW w:w="1384" w:type="dxa"/>
            <w:vAlign w:val="center"/>
          </w:tcPr>
          <w:p w14:paraId="3AC03AA9">
            <w:pPr>
              <w:keepNext w:val="0"/>
              <w:keepLines w:val="0"/>
              <w:widowControl/>
              <w:suppressLineNumbers w:val="0"/>
              <w:jc w:val="center"/>
              <w:textAlignment w:val="center"/>
              <w:rPr>
                <w:rFonts w:hint="default" w:ascii="宋体" w:hAnsi="宋体" w:eastAsia="宋体" w:cs="Times New Roman"/>
                <w:color w:val="auto"/>
                <w:kern w:val="2"/>
                <w:sz w:val="24"/>
                <w:szCs w:val="24"/>
                <w:vertAlign w:val="baseline"/>
                <w:lang w:val="en-US" w:eastAsia="zh-CN" w:bidi="ar-SA"/>
              </w:rPr>
            </w:pPr>
            <w:r>
              <w:rPr>
                <w:rFonts w:hint="default" w:ascii="宋体" w:hAnsi="宋体" w:eastAsia="宋体" w:cs="Times New Roman"/>
                <w:color w:val="auto"/>
                <w:kern w:val="2"/>
                <w:sz w:val="24"/>
                <w:szCs w:val="24"/>
                <w:vertAlign w:val="baseline"/>
                <w:lang w:val="en-US" w:eastAsia="zh-CN" w:bidi="ar-SA"/>
              </w:rPr>
              <w:t>日月乡</w:t>
            </w:r>
          </w:p>
        </w:tc>
        <w:tc>
          <w:tcPr>
            <w:tcW w:w="2958" w:type="dxa"/>
            <w:vAlign w:val="center"/>
          </w:tcPr>
          <w:p w14:paraId="21E313A9">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《农村生活污水处理排放标准》(DB63/T1777-2020)一级标准</w:t>
            </w:r>
          </w:p>
        </w:tc>
        <w:tc>
          <w:tcPr>
            <w:tcW w:w="1330" w:type="dxa"/>
            <w:tcBorders>
              <w:right w:val="double" w:color="auto" w:sz="4" w:space="0"/>
            </w:tcBorders>
            <w:vAlign w:val="center"/>
          </w:tcPr>
          <w:p w14:paraId="49041642">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5A6C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5" w:type="dxa"/>
            <w:tcBorders>
              <w:left w:val="double" w:color="auto" w:sz="4" w:space="0"/>
            </w:tcBorders>
            <w:vAlign w:val="center"/>
          </w:tcPr>
          <w:p w14:paraId="361540B6">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5</w:t>
            </w:r>
          </w:p>
        </w:tc>
        <w:tc>
          <w:tcPr>
            <w:tcW w:w="2749" w:type="dxa"/>
            <w:vAlign w:val="center"/>
          </w:tcPr>
          <w:p w14:paraId="0DF3D9C8">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default"/>
                <w:color w:val="auto"/>
                <w:sz w:val="24"/>
                <w:szCs w:val="24"/>
                <w:vertAlign w:val="baseline"/>
                <w:lang w:val="en-US" w:eastAsia="zh-CN"/>
              </w:rPr>
              <w:t>日月山村吊庄污水处理站</w:t>
            </w:r>
          </w:p>
        </w:tc>
        <w:tc>
          <w:tcPr>
            <w:tcW w:w="1384" w:type="dxa"/>
            <w:vAlign w:val="center"/>
          </w:tcPr>
          <w:p w14:paraId="3B1D9162">
            <w:pPr>
              <w:keepNext w:val="0"/>
              <w:keepLines w:val="0"/>
              <w:widowControl/>
              <w:suppressLineNumbers w:val="0"/>
              <w:jc w:val="center"/>
              <w:textAlignment w:val="center"/>
              <w:rPr>
                <w:rFonts w:hint="default" w:ascii="宋体" w:hAnsi="宋体" w:eastAsia="宋体" w:cs="Times New Roman"/>
                <w:color w:val="auto"/>
                <w:kern w:val="2"/>
                <w:sz w:val="24"/>
                <w:szCs w:val="24"/>
                <w:vertAlign w:val="baseline"/>
                <w:lang w:val="en-US" w:eastAsia="zh-CN" w:bidi="ar-SA"/>
              </w:rPr>
            </w:pPr>
            <w:r>
              <w:rPr>
                <w:rFonts w:hint="default" w:ascii="宋体" w:hAnsi="宋体" w:eastAsia="宋体" w:cs="Times New Roman"/>
                <w:color w:val="auto"/>
                <w:kern w:val="2"/>
                <w:sz w:val="24"/>
                <w:szCs w:val="24"/>
                <w:vertAlign w:val="baseline"/>
                <w:lang w:val="en-US" w:eastAsia="zh-CN" w:bidi="ar-SA"/>
              </w:rPr>
              <w:t>日月乡</w:t>
            </w:r>
          </w:p>
        </w:tc>
        <w:tc>
          <w:tcPr>
            <w:tcW w:w="2958" w:type="dxa"/>
            <w:vAlign w:val="center"/>
          </w:tcPr>
          <w:p w14:paraId="25022BCB">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《农村生活污水处理排放标准》(DB63/T1777-2020)一级标准</w:t>
            </w:r>
          </w:p>
        </w:tc>
        <w:tc>
          <w:tcPr>
            <w:tcW w:w="1330" w:type="dxa"/>
            <w:tcBorders>
              <w:right w:val="double" w:color="auto" w:sz="4" w:space="0"/>
            </w:tcBorders>
            <w:vAlign w:val="center"/>
          </w:tcPr>
          <w:p w14:paraId="5AA2E0E9">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3CCF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5" w:type="dxa"/>
            <w:tcBorders>
              <w:left w:val="double" w:color="auto" w:sz="4" w:space="0"/>
            </w:tcBorders>
            <w:vAlign w:val="center"/>
          </w:tcPr>
          <w:p w14:paraId="2FF1C547">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6</w:t>
            </w:r>
          </w:p>
        </w:tc>
        <w:tc>
          <w:tcPr>
            <w:tcW w:w="2749" w:type="dxa"/>
            <w:vAlign w:val="center"/>
          </w:tcPr>
          <w:p w14:paraId="4580F91A">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default"/>
                <w:color w:val="auto"/>
                <w:sz w:val="24"/>
                <w:szCs w:val="24"/>
                <w:vertAlign w:val="baseline"/>
                <w:lang w:val="en-US" w:eastAsia="zh-CN"/>
              </w:rPr>
              <w:t>日月山村尕南湾污水处理站</w:t>
            </w:r>
          </w:p>
        </w:tc>
        <w:tc>
          <w:tcPr>
            <w:tcW w:w="1384" w:type="dxa"/>
            <w:vAlign w:val="center"/>
          </w:tcPr>
          <w:p w14:paraId="43AFED1C">
            <w:pPr>
              <w:keepNext w:val="0"/>
              <w:keepLines w:val="0"/>
              <w:widowControl/>
              <w:suppressLineNumbers w:val="0"/>
              <w:jc w:val="center"/>
              <w:textAlignment w:val="center"/>
              <w:rPr>
                <w:rFonts w:hint="default" w:ascii="宋体" w:hAnsi="宋体" w:eastAsia="宋体" w:cs="Times New Roman"/>
                <w:color w:val="auto"/>
                <w:kern w:val="2"/>
                <w:sz w:val="24"/>
                <w:szCs w:val="24"/>
                <w:vertAlign w:val="baseline"/>
                <w:lang w:val="en-US" w:eastAsia="zh-CN" w:bidi="ar-SA"/>
              </w:rPr>
            </w:pPr>
            <w:r>
              <w:rPr>
                <w:rFonts w:hint="default" w:ascii="宋体" w:hAnsi="宋体" w:eastAsia="宋体" w:cs="Times New Roman"/>
                <w:color w:val="auto"/>
                <w:kern w:val="2"/>
                <w:sz w:val="24"/>
                <w:szCs w:val="24"/>
                <w:vertAlign w:val="baseline"/>
                <w:lang w:val="en-US" w:eastAsia="zh-CN" w:bidi="ar-SA"/>
              </w:rPr>
              <w:t>日月乡</w:t>
            </w:r>
          </w:p>
        </w:tc>
        <w:tc>
          <w:tcPr>
            <w:tcW w:w="2958" w:type="dxa"/>
            <w:vAlign w:val="center"/>
          </w:tcPr>
          <w:p w14:paraId="1DE4A531">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《农村生活污水处理排放标准》(DB63/T1777-2020)一级标准</w:t>
            </w:r>
          </w:p>
        </w:tc>
        <w:tc>
          <w:tcPr>
            <w:tcW w:w="1330" w:type="dxa"/>
            <w:tcBorders>
              <w:right w:val="double" w:color="auto" w:sz="4" w:space="0"/>
            </w:tcBorders>
            <w:vAlign w:val="center"/>
          </w:tcPr>
          <w:p w14:paraId="510B6711">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5D75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5" w:type="dxa"/>
            <w:tcBorders>
              <w:left w:val="double" w:color="auto" w:sz="4" w:space="0"/>
            </w:tcBorders>
            <w:vAlign w:val="center"/>
          </w:tcPr>
          <w:p w14:paraId="35D8C706">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7</w:t>
            </w:r>
          </w:p>
        </w:tc>
        <w:tc>
          <w:tcPr>
            <w:tcW w:w="2749" w:type="dxa"/>
            <w:vAlign w:val="center"/>
          </w:tcPr>
          <w:p w14:paraId="176828A4">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default"/>
                <w:color w:val="auto"/>
                <w:sz w:val="24"/>
                <w:szCs w:val="24"/>
                <w:vertAlign w:val="baseline"/>
                <w:lang w:val="en-US" w:eastAsia="zh-CN"/>
              </w:rPr>
              <w:t>哈城村污水处理站</w:t>
            </w:r>
          </w:p>
        </w:tc>
        <w:tc>
          <w:tcPr>
            <w:tcW w:w="1384" w:type="dxa"/>
            <w:vAlign w:val="center"/>
          </w:tcPr>
          <w:p w14:paraId="5D04CEF5">
            <w:pPr>
              <w:keepNext w:val="0"/>
              <w:keepLines w:val="0"/>
              <w:widowControl/>
              <w:suppressLineNumbers w:val="0"/>
              <w:jc w:val="center"/>
              <w:textAlignment w:val="center"/>
              <w:rPr>
                <w:rFonts w:hint="default" w:ascii="宋体" w:hAnsi="宋体" w:eastAsia="宋体" w:cs="Times New Roman"/>
                <w:color w:val="auto"/>
                <w:kern w:val="2"/>
                <w:sz w:val="24"/>
                <w:szCs w:val="24"/>
                <w:vertAlign w:val="baseline"/>
                <w:lang w:val="en-US" w:eastAsia="zh-CN" w:bidi="ar-SA"/>
              </w:rPr>
            </w:pPr>
            <w:r>
              <w:rPr>
                <w:rFonts w:hint="default" w:ascii="宋体" w:hAnsi="宋体" w:eastAsia="宋体" w:cs="Times New Roman"/>
                <w:color w:val="auto"/>
                <w:kern w:val="2"/>
                <w:sz w:val="24"/>
                <w:szCs w:val="24"/>
                <w:vertAlign w:val="baseline"/>
                <w:lang w:val="en-US" w:eastAsia="zh-CN" w:bidi="ar-SA"/>
              </w:rPr>
              <w:t>日月乡</w:t>
            </w:r>
          </w:p>
        </w:tc>
        <w:tc>
          <w:tcPr>
            <w:tcW w:w="2958" w:type="dxa"/>
            <w:vAlign w:val="center"/>
          </w:tcPr>
          <w:p w14:paraId="5604C163">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《农村生活污水处理排放标准》(DB63/T1777-2020)一级标准</w:t>
            </w:r>
          </w:p>
        </w:tc>
        <w:tc>
          <w:tcPr>
            <w:tcW w:w="1330" w:type="dxa"/>
            <w:tcBorders>
              <w:right w:val="double" w:color="auto" w:sz="4" w:space="0"/>
            </w:tcBorders>
            <w:vAlign w:val="center"/>
          </w:tcPr>
          <w:p w14:paraId="47144FA9">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3E3E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5" w:type="dxa"/>
            <w:tcBorders>
              <w:left w:val="double" w:color="auto" w:sz="4" w:space="0"/>
            </w:tcBorders>
            <w:vAlign w:val="center"/>
          </w:tcPr>
          <w:p w14:paraId="5231CD52">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8</w:t>
            </w:r>
          </w:p>
        </w:tc>
        <w:tc>
          <w:tcPr>
            <w:tcW w:w="2749" w:type="dxa"/>
            <w:vAlign w:val="center"/>
          </w:tcPr>
          <w:p w14:paraId="2DCB6DCA">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default"/>
                <w:color w:val="auto"/>
                <w:sz w:val="24"/>
                <w:szCs w:val="24"/>
                <w:vertAlign w:val="baseline"/>
                <w:lang w:val="en-US" w:eastAsia="zh-CN"/>
              </w:rPr>
              <w:t>灰条沟污水处理站</w:t>
            </w:r>
          </w:p>
        </w:tc>
        <w:tc>
          <w:tcPr>
            <w:tcW w:w="1384" w:type="dxa"/>
            <w:vAlign w:val="center"/>
          </w:tcPr>
          <w:p w14:paraId="1D3034A4">
            <w:pPr>
              <w:keepNext w:val="0"/>
              <w:keepLines w:val="0"/>
              <w:widowControl/>
              <w:suppressLineNumbers w:val="0"/>
              <w:jc w:val="center"/>
              <w:textAlignment w:val="center"/>
              <w:rPr>
                <w:rFonts w:hint="default" w:ascii="宋体" w:hAnsi="宋体" w:eastAsia="宋体" w:cs="Times New Roman"/>
                <w:color w:val="auto"/>
                <w:kern w:val="2"/>
                <w:sz w:val="24"/>
                <w:szCs w:val="24"/>
                <w:vertAlign w:val="baseline"/>
                <w:lang w:val="en-US" w:eastAsia="zh-CN" w:bidi="ar-SA"/>
              </w:rPr>
            </w:pPr>
            <w:r>
              <w:rPr>
                <w:rFonts w:hint="default" w:ascii="宋体" w:hAnsi="宋体" w:eastAsia="宋体" w:cs="Times New Roman"/>
                <w:color w:val="auto"/>
                <w:kern w:val="2"/>
                <w:sz w:val="24"/>
                <w:szCs w:val="24"/>
                <w:vertAlign w:val="baseline"/>
                <w:lang w:val="en-US" w:eastAsia="zh-CN" w:bidi="ar-SA"/>
              </w:rPr>
              <w:t>东峡乡</w:t>
            </w:r>
          </w:p>
        </w:tc>
        <w:tc>
          <w:tcPr>
            <w:tcW w:w="2958" w:type="dxa"/>
            <w:vAlign w:val="center"/>
          </w:tcPr>
          <w:p w14:paraId="64FEAF05">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《农村生活污水处理排放标准》(DB63/T1777-2020)一级标准</w:t>
            </w:r>
          </w:p>
        </w:tc>
        <w:tc>
          <w:tcPr>
            <w:tcW w:w="1330" w:type="dxa"/>
            <w:tcBorders>
              <w:right w:val="double" w:color="auto" w:sz="4" w:space="0"/>
            </w:tcBorders>
            <w:vAlign w:val="center"/>
          </w:tcPr>
          <w:p w14:paraId="7A1C01BF">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16BE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5" w:type="dxa"/>
            <w:tcBorders>
              <w:left w:val="double" w:color="auto" w:sz="4" w:space="0"/>
            </w:tcBorders>
            <w:vAlign w:val="center"/>
          </w:tcPr>
          <w:p w14:paraId="2DD0D898">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9</w:t>
            </w:r>
          </w:p>
        </w:tc>
        <w:tc>
          <w:tcPr>
            <w:tcW w:w="2749" w:type="dxa"/>
            <w:vAlign w:val="center"/>
          </w:tcPr>
          <w:p w14:paraId="1F536905">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default"/>
                <w:color w:val="auto"/>
                <w:sz w:val="24"/>
                <w:szCs w:val="24"/>
                <w:vertAlign w:val="baseline"/>
                <w:lang w:val="en-US" w:eastAsia="zh-CN"/>
              </w:rPr>
              <w:t>下脖项村果米滩污水处理站</w:t>
            </w:r>
          </w:p>
        </w:tc>
        <w:tc>
          <w:tcPr>
            <w:tcW w:w="1384" w:type="dxa"/>
            <w:vAlign w:val="center"/>
          </w:tcPr>
          <w:p w14:paraId="4119FB7B">
            <w:pPr>
              <w:keepNext w:val="0"/>
              <w:keepLines w:val="0"/>
              <w:widowControl/>
              <w:suppressLineNumbers w:val="0"/>
              <w:jc w:val="center"/>
              <w:textAlignment w:val="center"/>
              <w:rPr>
                <w:rFonts w:hint="default" w:ascii="宋体" w:hAnsi="宋体" w:eastAsia="宋体" w:cs="Times New Roman"/>
                <w:color w:val="auto"/>
                <w:kern w:val="2"/>
                <w:sz w:val="24"/>
                <w:szCs w:val="24"/>
                <w:vertAlign w:val="baseline"/>
                <w:lang w:val="en-US" w:eastAsia="zh-CN" w:bidi="ar-SA"/>
              </w:rPr>
            </w:pPr>
            <w:r>
              <w:rPr>
                <w:rFonts w:hint="default" w:ascii="宋体" w:hAnsi="宋体" w:eastAsia="宋体" w:cs="Times New Roman"/>
                <w:color w:val="auto"/>
                <w:kern w:val="2"/>
                <w:sz w:val="24"/>
                <w:szCs w:val="24"/>
                <w:vertAlign w:val="baseline"/>
                <w:lang w:val="en-US" w:eastAsia="zh-CN" w:bidi="ar-SA"/>
              </w:rPr>
              <w:t>东峡乡</w:t>
            </w:r>
          </w:p>
        </w:tc>
        <w:tc>
          <w:tcPr>
            <w:tcW w:w="2958" w:type="dxa"/>
            <w:vAlign w:val="center"/>
          </w:tcPr>
          <w:p w14:paraId="3C2210AB">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《农村生活污水处理排放标准》(DB63/T1777-2020)一级标准</w:t>
            </w:r>
          </w:p>
        </w:tc>
        <w:tc>
          <w:tcPr>
            <w:tcW w:w="1330" w:type="dxa"/>
            <w:tcBorders>
              <w:right w:val="double" w:color="auto" w:sz="4" w:space="0"/>
            </w:tcBorders>
            <w:vAlign w:val="center"/>
          </w:tcPr>
          <w:p w14:paraId="14E5C424">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5E11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5" w:type="dxa"/>
            <w:tcBorders>
              <w:left w:val="double" w:color="auto" w:sz="4" w:space="0"/>
            </w:tcBorders>
            <w:vAlign w:val="center"/>
          </w:tcPr>
          <w:p w14:paraId="224D9B16">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10</w:t>
            </w:r>
          </w:p>
        </w:tc>
        <w:tc>
          <w:tcPr>
            <w:tcW w:w="2749" w:type="dxa"/>
            <w:vAlign w:val="center"/>
          </w:tcPr>
          <w:p w14:paraId="17BEDD21">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default"/>
                <w:color w:val="auto"/>
                <w:sz w:val="24"/>
                <w:szCs w:val="24"/>
                <w:vertAlign w:val="baseline"/>
                <w:lang w:val="en-US" w:eastAsia="zh-CN"/>
              </w:rPr>
              <w:t>新民村污水处理站</w:t>
            </w:r>
          </w:p>
        </w:tc>
        <w:tc>
          <w:tcPr>
            <w:tcW w:w="1384" w:type="dxa"/>
            <w:vAlign w:val="center"/>
          </w:tcPr>
          <w:p w14:paraId="7D726939">
            <w:pPr>
              <w:keepNext w:val="0"/>
              <w:keepLines w:val="0"/>
              <w:widowControl/>
              <w:suppressLineNumbers w:val="0"/>
              <w:jc w:val="center"/>
              <w:textAlignment w:val="center"/>
              <w:rPr>
                <w:rFonts w:hint="default" w:ascii="宋体" w:hAnsi="宋体" w:eastAsia="宋体" w:cs="Times New Roman"/>
                <w:color w:val="auto"/>
                <w:kern w:val="2"/>
                <w:sz w:val="24"/>
                <w:szCs w:val="24"/>
                <w:vertAlign w:val="baseline"/>
                <w:lang w:val="en-US" w:eastAsia="zh-CN" w:bidi="ar-SA"/>
              </w:rPr>
            </w:pPr>
            <w:r>
              <w:rPr>
                <w:rFonts w:hint="default" w:ascii="宋体" w:hAnsi="宋体" w:eastAsia="宋体" w:cs="Times New Roman"/>
                <w:color w:val="auto"/>
                <w:kern w:val="2"/>
                <w:sz w:val="24"/>
                <w:szCs w:val="24"/>
                <w:vertAlign w:val="baseline"/>
                <w:lang w:val="en-US" w:eastAsia="zh-CN" w:bidi="ar-SA"/>
              </w:rPr>
              <w:t>东峡乡</w:t>
            </w:r>
          </w:p>
        </w:tc>
        <w:tc>
          <w:tcPr>
            <w:tcW w:w="2958" w:type="dxa"/>
            <w:vAlign w:val="center"/>
          </w:tcPr>
          <w:p w14:paraId="4FED9A34">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《农村生活污水处理排放标准》(DB63/T1777-2020)一级标准</w:t>
            </w:r>
          </w:p>
        </w:tc>
        <w:tc>
          <w:tcPr>
            <w:tcW w:w="1330" w:type="dxa"/>
            <w:tcBorders>
              <w:right w:val="double" w:color="auto" w:sz="4" w:space="0"/>
            </w:tcBorders>
            <w:vAlign w:val="center"/>
          </w:tcPr>
          <w:p w14:paraId="28215CD1">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4A70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5" w:type="dxa"/>
            <w:tcBorders>
              <w:left w:val="double" w:color="auto" w:sz="4" w:space="0"/>
            </w:tcBorders>
            <w:vAlign w:val="center"/>
          </w:tcPr>
          <w:p w14:paraId="74AEF98A">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11</w:t>
            </w:r>
          </w:p>
        </w:tc>
        <w:tc>
          <w:tcPr>
            <w:tcW w:w="2749" w:type="dxa"/>
            <w:vAlign w:val="center"/>
          </w:tcPr>
          <w:p w14:paraId="4466D9B3">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default"/>
                <w:color w:val="auto"/>
                <w:sz w:val="24"/>
                <w:szCs w:val="24"/>
                <w:vertAlign w:val="baseline"/>
                <w:lang w:val="en-US" w:eastAsia="zh-CN"/>
              </w:rPr>
              <w:t>灰条口村污水处理站</w:t>
            </w:r>
          </w:p>
        </w:tc>
        <w:tc>
          <w:tcPr>
            <w:tcW w:w="1384" w:type="dxa"/>
            <w:vAlign w:val="center"/>
          </w:tcPr>
          <w:p w14:paraId="6A2B0DD6">
            <w:pPr>
              <w:keepNext w:val="0"/>
              <w:keepLines w:val="0"/>
              <w:widowControl/>
              <w:suppressLineNumbers w:val="0"/>
              <w:jc w:val="center"/>
              <w:textAlignment w:val="center"/>
              <w:rPr>
                <w:rFonts w:hint="default" w:ascii="宋体" w:hAnsi="宋体" w:eastAsia="宋体" w:cs="Times New Roman"/>
                <w:color w:val="auto"/>
                <w:kern w:val="2"/>
                <w:sz w:val="24"/>
                <w:szCs w:val="24"/>
                <w:vertAlign w:val="baseline"/>
                <w:lang w:val="en-US" w:eastAsia="zh-CN" w:bidi="ar-SA"/>
              </w:rPr>
            </w:pPr>
            <w:r>
              <w:rPr>
                <w:rFonts w:hint="default" w:ascii="宋体" w:hAnsi="宋体" w:eastAsia="宋体" w:cs="Times New Roman"/>
                <w:color w:val="auto"/>
                <w:kern w:val="2"/>
                <w:sz w:val="24"/>
                <w:szCs w:val="24"/>
                <w:vertAlign w:val="baseline"/>
                <w:lang w:val="en-US" w:eastAsia="zh-CN" w:bidi="ar-SA"/>
              </w:rPr>
              <w:t>东峡乡</w:t>
            </w:r>
          </w:p>
        </w:tc>
        <w:tc>
          <w:tcPr>
            <w:tcW w:w="2958" w:type="dxa"/>
            <w:vAlign w:val="center"/>
          </w:tcPr>
          <w:p w14:paraId="1D32556F">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《农村生活污水处理排放标准》(DB63/T1777-2020)一级标准</w:t>
            </w:r>
          </w:p>
        </w:tc>
        <w:tc>
          <w:tcPr>
            <w:tcW w:w="1330" w:type="dxa"/>
            <w:tcBorders>
              <w:right w:val="double" w:color="auto" w:sz="4" w:space="0"/>
            </w:tcBorders>
            <w:vAlign w:val="center"/>
          </w:tcPr>
          <w:p w14:paraId="0F9D2B2B">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7EF7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5" w:type="dxa"/>
            <w:tcBorders>
              <w:left w:val="double" w:color="auto" w:sz="4" w:space="0"/>
            </w:tcBorders>
            <w:vAlign w:val="center"/>
          </w:tcPr>
          <w:p w14:paraId="532A9AE9">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12</w:t>
            </w:r>
          </w:p>
        </w:tc>
        <w:tc>
          <w:tcPr>
            <w:tcW w:w="2749" w:type="dxa"/>
            <w:vAlign w:val="center"/>
          </w:tcPr>
          <w:p w14:paraId="70AA72D2">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default"/>
                <w:color w:val="auto"/>
                <w:sz w:val="24"/>
                <w:szCs w:val="24"/>
                <w:vertAlign w:val="baseline"/>
                <w:lang w:val="en-US" w:eastAsia="zh-CN"/>
              </w:rPr>
              <w:t>茶曲村污水处理站</w:t>
            </w:r>
          </w:p>
        </w:tc>
        <w:tc>
          <w:tcPr>
            <w:tcW w:w="1384" w:type="dxa"/>
            <w:vAlign w:val="center"/>
          </w:tcPr>
          <w:p w14:paraId="39574238">
            <w:pPr>
              <w:keepNext w:val="0"/>
              <w:keepLines w:val="0"/>
              <w:widowControl/>
              <w:suppressLineNumbers w:val="0"/>
              <w:jc w:val="center"/>
              <w:textAlignment w:val="center"/>
              <w:rPr>
                <w:rFonts w:hint="default" w:ascii="宋体" w:hAnsi="宋体" w:eastAsia="宋体" w:cs="Times New Roman"/>
                <w:color w:val="auto"/>
                <w:kern w:val="2"/>
                <w:sz w:val="24"/>
                <w:szCs w:val="24"/>
                <w:vertAlign w:val="baseline"/>
                <w:lang w:val="en-US" w:eastAsia="zh-CN" w:bidi="ar-SA"/>
              </w:rPr>
            </w:pPr>
            <w:r>
              <w:rPr>
                <w:rFonts w:hint="default" w:ascii="宋体" w:hAnsi="宋体" w:eastAsia="宋体" w:cs="Times New Roman"/>
                <w:color w:val="auto"/>
                <w:kern w:val="2"/>
                <w:sz w:val="24"/>
                <w:szCs w:val="24"/>
                <w:vertAlign w:val="baseline"/>
                <w:lang w:val="en-US" w:eastAsia="zh-CN" w:bidi="ar-SA"/>
              </w:rPr>
              <w:t>和平乡</w:t>
            </w:r>
          </w:p>
        </w:tc>
        <w:tc>
          <w:tcPr>
            <w:tcW w:w="2958" w:type="dxa"/>
            <w:vAlign w:val="center"/>
          </w:tcPr>
          <w:p w14:paraId="33CDF613">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《农村生活污水处理排放标准》(DB63/T1777-2020)一级标准</w:t>
            </w:r>
          </w:p>
        </w:tc>
        <w:tc>
          <w:tcPr>
            <w:tcW w:w="1330" w:type="dxa"/>
            <w:tcBorders>
              <w:right w:val="double" w:color="auto" w:sz="4" w:space="0"/>
            </w:tcBorders>
            <w:vAlign w:val="center"/>
          </w:tcPr>
          <w:p w14:paraId="7D6B0D94">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0C17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5" w:type="dxa"/>
            <w:tcBorders>
              <w:left w:val="double" w:color="auto" w:sz="4" w:space="0"/>
            </w:tcBorders>
            <w:vAlign w:val="center"/>
          </w:tcPr>
          <w:p w14:paraId="3CC70587">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eastAsia"/>
                <w:color w:val="auto"/>
                <w:sz w:val="24"/>
                <w:szCs w:val="24"/>
                <w:vertAlign w:val="baseline"/>
                <w:lang w:val="en-US" w:eastAsia="zh-CN"/>
              </w:rPr>
              <w:t>13</w:t>
            </w:r>
          </w:p>
        </w:tc>
        <w:tc>
          <w:tcPr>
            <w:tcW w:w="2749" w:type="dxa"/>
            <w:vAlign w:val="center"/>
          </w:tcPr>
          <w:p w14:paraId="1658EB99">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24"/>
                <w:szCs w:val="24"/>
                <w:vertAlign w:val="baseline"/>
                <w:lang w:val="en-US" w:eastAsia="zh-CN"/>
              </w:rPr>
            </w:pPr>
            <w:r>
              <w:rPr>
                <w:rFonts w:hint="default"/>
                <w:color w:val="auto"/>
                <w:sz w:val="24"/>
                <w:szCs w:val="24"/>
                <w:vertAlign w:val="baseline"/>
                <w:lang w:val="en-US" w:eastAsia="zh-CN"/>
              </w:rPr>
              <w:t>巴燕峡村污水处理站</w:t>
            </w:r>
          </w:p>
        </w:tc>
        <w:tc>
          <w:tcPr>
            <w:tcW w:w="1384" w:type="dxa"/>
            <w:vAlign w:val="center"/>
          </w:tcPr>
          <w:p w14:paraId="29C11DD2">
            <w:pPr>
              <w:keepNext w:val="0"/>
              <w:keepLines w:val="0"/>
              <w:widowControl/>
              <w:suppressLineNumbers w:val="0"/>
              <w:jc w:val="center"/>
              <w:textAlignment w:val="center"/>
              <w:rPr>
                <w:rFonts w:hint="default" w:ascii="宋体" w:hAnsi="宋体" w:eastAsia="宋体" w:cs="Times New Roman"/>
                <w:color w:val="auto"/>
                <w:kern w:val="2"/>
                <w:sz w:val="24"/>
                <w:szCs w:val="24"/>
                <w:vertAlign w:val="baseline"/>
                <w:lang w:val="en-US" w:eastAsia="zh-CN" w:bidi="ar-SA"/>
              </w:rPr>
            </w:pPr>
            <w:r>
              <w:rPr>
                <w:rFonts w:hint="default" w:ascii="宋体" w:hAnsi="宋体" w:eastAsia="宋体" w:cs="Times New Roman"/>
                <w:color w:val="auto"/>
                <w:kern w:val="2"/>
                <w:sz w:val="24"/>
                <w:szCs w:val="24"/>
                <w:vertAlign w:val="baseline"/>
                <w:lang w:val="en-US" w:eastAsia="zh-CN" w:bidi="ar-SA"/>
              </w:rPr>
              <w:t>巴燕乡</w:t>
            </w:r>
          </w:p>
        </w:tc>
        <w:tc>
          <w:tcPr>
            <w:tcW w:w="2958" w:type="dxa"/>
            <w:vAlign w:val="center"/>
          </w:tcPr>
          <w:p w14:paraId="68EB2FB0">
            <w:pPr>
              <w:keepNext w:val="0"/>
              <w:keepLines w:val="0"/>
              <w:widowControl/>
              <w:suppressLineNumbers w:val="0"/>
              <w:jc w:val="left"/>
              <w:rPr>
                <w:rFonts w:hint="default" w:ascii="宋体" w:hAnsi="宋体" w:eastAsia="宋体" w:cs="Times New Roman"/>
                <w:color w:val="auto"/>
                <w:sz w:val="24"/>
                <w:szCs w:val="24"/>
                <w:vertAlign w:val="baseline"/>
                <w:lang w:val="en-US" w:eastAsia="zh-CN"/>
              </w:rPr>
            </w:pPr>
            <w:r>
              <w:rPr>
                <w:rFonts w:hint="eastAsia" w:ascii="宋体" w:hAnsi="宋体" w:eastAsia="宋体" w:cs="宋体"/>
                <w:color w:val="000000"/>
                <w:kern w:val="0"/>
                <w:sz w:val="24"/>
                <w:szCs w:val="24"/>
                <w:lang w:val="en-US" w:eastAsia="zh-CN" w:bidi="ar"/>
              </w:rPr>
              <w:t>《农村生活污水处理排放标准》(DB63/T1777-2020)一级标准</w:t>
            </w:r>
          </w:p>
        </w:tc>
        <w:tc>
          <w:tcPr>
            <w:tcW w:w="1330" w:type="dxa"/>
            <w:tcBorders>
              <w:right w:val="double" w:color="auto" w:sz="4" w:space="0"/>
            </w:tcBorders>
            <w:vAlign w:val="center"/>
          </w:tcPr>
          <w:p w14:paraId="10667D10">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0995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35" w:type="dxa"/>
            <w:tcBorders>
              <w:left w:val="double" w:color="auto" w:sz="4" w:space="0"/>
            </w:tcBorders>
            <w:vAlign w:val="center"/>
          </w:tcPr>
          <w:p w14:paraId="5483B42E">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14</w:t>
            </w:r>
          </w:p>
        </w:tc>
        <w:tc>
          <w:tcPr>
            <w:tcW w:w="2749" w:type="dxa"/>
            <w:vAlign w:val="center"/>
          </w:tcPr>
          <w:p w14:paraId="1931EEB0">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000000" w:themeColor="text1"/>
                <w:sz w:val="24"/>
                <w:szCs w:val="24"/>
                <w:vertAlign w:val="baseline"/>
                <w:lang w:val="en-US" w:eastAsia="zh-CN"/>
                <w14:textFill>
                  <w14:solidFill>
                    <w14:schemeClr w14:val="tx1"/>
                  </w14:solidFill>
                </w14:textFill>
              </w:rPr>
            </w:pPr>
            <w:r>
              <w:rPr>
                <w:rFonts w:hint="eastAsia" w:ascii="宋体" w:hAnsi="宋体" w:eastAsia="宋体" w:cs="Times New Roman"/>
                <w:color w:val="000000" w:themeColor="text1"/>
                <w:sz w:val="24"/>
                <w:szCs w:val="24"/>
                <w:vertAlign w:val="baseline"/>
                <w:lang w:val="en-US" w:eastAsia="zh-CN"/>
                <w14:textFill>
                  <w14:solidFill>
                    <w14:schemeClr w14:val="tx1"/>
                  </w14:solidFill>
                </w14:textFill>
              </w:rPr>
              <w:t>下脖项村</w:t>
            </w:r>
            <w:r>
              <w:rPr>
                <w:rFonts w:hint="default"/>
                <w:color w:val="000000" w:themeColor="text1"/>
                <w:sz w:val="24"/>
                <w:szCs w:val="24"/>
                <w:vertAlign w:val="baseline"/>
                <w:lang w:val="en-US" w:eastAsia="zh-CN"/>
                <w14:textFill>
                  <w14:solidFill>
                    <w14:schemeClr w14:val="tx1"/>
                  </w14:solidFill>
                </w14:textFill>
              </w:rPr>
              <w:t>污水处理站</w:t>
            </w:r>
          </w:p>
        </w:tc>
        <w:tc>
          <w:tcPr>
            <w:tcW w:w="1384" w:type="dxa"/>
            <w:vAlign w:val="center"/>
          </w:tcPr>
          <w:p w14:paraId="4289D8A8">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000000" w:themeColor="text1"/>
                <w:sz w:val="24"/>
                <w:szCs w:val="24"/>
                <w:vertAlign w:val="baseline"/>
                <w:lang w:val="en-US" w:eastAsia="zh-CN"/>
                <w14:textFill>
                  <w14:solidFill>
                    <w14:schemeClr w14:val="tx1"/>
                  </w14:solidFill>
                </w14:textFill>
              </w:rPr>
            </w:pPr>
            <w:r>
              <w:rPr>
                <w:rFonts w:hint="default" w:ascii="宋体" w:hAnsi="宋体" w:eastAsia="宋体" w:cs="Times New Roman"/>
                <w:color w:val="000000" w:themeColor="text1"/>
                <w:kern w:val="2"/>
                <w:sz w:val="24"/>
                <w:szCs w:val="24"/>
                <w:vertAlign w:val="baseline"/>
                <w:lang w:val="en-US" w:eastAsia="zh-CN" w:bidi="ar-SA"/>
                <w14:textFill>
                  <w14:solidFill>
                    <w14:schemeClr w14:val="tx1"/>
                  </w14:solidFill>
                </w14:textFill>
              </w:rPr>
              <w:t>东峡乡</w:t>
            </w:r>
          </w:p>
        </w:tc>
        <w:tc>
          <w:tcPr>
            <w:tcW w:w="2958" w:type="dxa"/>
            <w:vAlign w:val="center"/>
          </w:tcPr>
          <w:p w14:paraId="4F303988">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000000" w:themeColor="text1"/>
                <w:sz w:val="24"/>
                <w:szCs w:val="24"/>
                <w:vertAlign w:val="baseline"/>
                <w:lang w:val="en-US" w:eastAsia="zh-CN"/>
                <w14:textFill>
                  <w14:solidFill>
                    <w14:schemeClr w14:val="tx1"/>
                  </w14:solidFill>
                </w14:textFill>
              </w:rPr>
            </w:pPr>
            <w:r>
              <w:rPr>
                <w:rFonts w:hint="eastAsia" w:ascii="宋体" w:hAnsi="宋体" w:eastAsia="宋体" w:cs="Times New Roman"/>
                <w:color w:val="000000" w:themeColor="text1"/>
                <w:sz w:val="24"/>
                <w:szCs w:val="24"/>
                <w:vertAlign w:val="baseline"/>
                <w:lang w:val="en-US" w:eastAsia="zh-CN"/>
                <w14:textFill>
                  <w14:solidFill>
                    <w14:schemeClr w14:val="tx1"/>
                  </w14:solidFill>
                </w14:textFill>
              </w:rPr>
              <w:t>《农村生活污水处理排放标准》(DB63/T1777-2020)一级标准</w:t>
            </w:r>
          </w:p>
        </w:tc>
        <w:tc>
          <w:tcPr>
            <w:tcW w:w="1330" w:type="dxa"/>
            <w:tcBorders>
              <w:right w:val="double" w:color="auto" w:sz="4" w:space="0"/>
            </w:tcBorders>
            <w:vAlign w:val="center"/>
          </w:tcPr>
          <w:p w14:paraId="6DE1CC01">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2590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35" w:type="dxa"/>
            <w:tcBorders>
              <w:left w:val="double" w:color="auto" w:sz="4" w:space="0"/>
            </w:tcBorders>
            <w:vAlign w:val="center"/>
          </w:tcPr>
          <w:p w14:paraId="65610B20">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15</w:t>
            </w:r>
          </w:p>
        </w:tc>
        <w:tc>
          <w:tcPr>
            <w:tcW w:w="2749" w:type="dxa"/>
            <w:vAlign w:val="center"/>
          </w:tcPr>
          <w:p w14:paraId="2AF0E222">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Times New Roman"/>
                <w:color w:val="000000" w:themeColor="text1"/>
                <w:sz w:val="24"/>
                <w:szCs w:val="24"/>
                <w:vertAlign w:val="baseli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本炕村污水处理站</w:t>
            </w:r>
          </w:p>
        </w:tc>
        <w:tc>
          <w:tcPr>
            <w:tcW w:w="1384" w:type="dxa"/>
            <w:vAlign w:val="center"/>
          </w:tcPr>
          <w:p w14:paraId="3AEE9463">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日月乡</w:t>
            </w:r>
          </w:p>
        </w:tc>
        <w:tc>
          <w:tcPr>
            <w:tcW w:w="2958" w:type="dxa"/>
            <w:vAlign w:val="center"/>
          </w:tcPr>
          <w:p w14:paraId="24E51A3D">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Times New Roman"/>
                <w:color w:val="000000" w:themeColor="text1"/>
                <w:sz w:val="24"/>
                <w:szCs w:val="24"/>
                <w:vertAlign w:val="baseline"/>
                <w:lang w:val="en-US" w:eastAsia="zh-CN"/>
                <w14:textFill>
                  <w14:solidFill>
                    <w14:schemeClr w14:val="tx1"/>
                  </w14:solidFill>
                </w14:textFill>
              </w:rPr>
            </w:pPr>
            <w:r>
              <w:rPr>
                <w:rFonts w:hint="eastAsia" w:ascii="宋体" w:hAnsi="宋体" w:eastAsia="宋体" w:cs="Times New Roman"/>
                <w:color w:val="000000" w:themeColor="text1"/>
                <w:sz w:val="24"/>
                <w:szCs w:val="24"/>
                <w:vertAlign w:val="baseline"/>
                <w:lang w:val="en-US" w:eastAsia="zh-CN"/>
                <w14:textFill>
                  <w14:solidFill>
                    <w14:schemeClr w14:val="tx1"/>
                  </w14:solidFill>
                </w14:textFill>
              </w:rPr>
              <w:t>《农村生活污水处理排放标准》(DB63/T1777-2020)一级标准</w:t>
            </w:r>
          </w:p>
        </w:tc>
        <w:tc>
          <w:tcPr>
            <w:tcW w:w="1330" w:type="dxa"/>
            <w:tcBorders>
              <w:right w:val="double" w:color="auto" w:sz="4" w:space="0"/>
            </w:tcBorders>
            <w:vAlign w:val="center"/>
          </w:tcPr>
          <w:p w14:paraId="6D4F9F28">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4600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35" w:type="dxa"/>
            <w:tcBorders>
              <w:left w:val="double" w:color="auto" w:sz="4" w:space="0"/>
            </w:tcBorders>
            <w:vAlign w:val="center"/>
          </w:tcPr>
          <w:p w14:paraId="7D4082DA">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16</w:t>
            </w:r>
          </w:p>
        </w:tc>
        <w:tc>
          <w:tcPr>
            <w:tcW w:w="2749" w:type="dxa"/>
            <w:vAlign w:val="center"/>
          </w:tcPr>
          <w:p w14:paraId="2ECA6983">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Times New Roman"/>
                <w:color w:val="000000" w:themeColor="text1"/>
                <w:sz w:val="24"/>
                <w:szCs w:val="24"/>
                <w:vertAlign w:val="baseli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下寺村污水处理站</w:t>
            </w:r>
          </w:p>
        </w:tc>
        <w:tc>
          <w:tcPr>
            <w:tcW w:w="1384" w:type="dxa"/>
            <w:vAlign w:val="center"/>
          </w:tcPr>
          <w:p w14:paraId="5FBA44BA">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巴燕乡</w:t>
            </w:r>
          </w:p>
        </w:tc>
        <w:tc>
          <w:tcPr>
            <w:tcW w:w="2958" w:type="dxa"/>
            <w:vAlign w:val="center"/>
          </w:tcPr>
          <w:p w14:paraId="06B21E41">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Times New Roman"/>
                <w:color w:val="000000" w:themeColor="text1"/>
                <w:sz w:val="24"/>
                <w:szCs w:val="24"/>
                <w:vertAlign w:val="baseline"/>
                <w:lang w:val="en-US" w:eastAsia="zh-CN"/>
                <w14:textFill>
                  <w14:solidFill>
                    <w14:schemeClr w14:val="tx1"/>
                  </w14:solidFill>
                </w14:textFill>
              </w:rPr>
            </w:pPr>
            <w:r>
              <w:rPr>
                <w:rFonts w:hint="eastAsia" w:ascii="宋体" w:hAnsi="宋体" w:eastAsia="宋体" w:cs="Times New Roman"/>
                <w:color w:val="000000" w:themeColor="text1"/>
                <w:sz w:val="24"/>
                <w:szCs w:val="24"/>
                <w:vertAlign w:val="baseline"/>
                <w:lang w:val="en-US" w:eastAsia="zh-CN"/>
                <w14:textFill>
                  <w14:solidFill>
                    <w14:schemeClr w14:val="tx1"/>
                  </w14:solidFill>
                </w14:textFill>
              </w:rPr>
              <w:t>《农村生活污水处理排放标准》(DB63/T1777-2020)一级标准</w:t>
            </w:r>
          </w:p>
        </w:tc>
        <w:tc>
          <w:tcPr>
            <w:tcW w:w="1330" w:type="dxa"/>
            <w:tcBorders>
              <w:right w:val="double" w:color="auto" w:sz="4" w:space="0"/>
            </w:tcBorders>
            <w:vAlign w:val="center"/>
          </w:tcPr>
          <w:p w14:paraId="6C9DA3F3">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r w14:paraId="7FAE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35" w:type="dxa"/>
            <w:tcBorders>
              <w:left w:val="double" w:color="auto" w:sz="4" w:space="0"/>
              <w:bottom w:val="double" w:color="auto" w:sz="4" w:space="0"/>
            </w:tcBorders>
            <w:vAlign w:val="center"/>
          </w:tcPr>
          <w:p w14:paraId="4ADE4987">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17</w:t>
            </w:r>
          </w:p>
        </w:tc>
        <w:tc>
          <w:tcPr>
            <w:tcW w:w="2749" w:type="dxa"/>
            <w:tcBorders>
              <w:bottom w:val="double" w:color="auto" w:sz="4" w:space="0"/>
            </w:tcBorders>
            <w:vAlign w:val="center"/>
          </w:tcPr>
          <w:p w14:paraId="71D56EEC">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Times New Roman"/>
                <w:color w:val="000000" w:themeColor="text1"/>
                <w:sz w:val="24"/>
                <w:szCs w:val="24"/>
                <w:vertAlign w:val="baseli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上浪湾村污水处理站</w:t>
            </w:r>
          </w:p>
        </w:tc>
        <w:tc>
          <w:tcPr>
            <w:tcW w:w="1384" w:type="dxa"/>
            <w:tcBorders>
              <w:bottom w:val="double" w:color="auto" w:sz="4" w:space="0"/>
            </w:tcBorders>
            <w:vAlign w:val="center"/>
          </w:tcPr>
          <w:p w14:paraId="25B60AA6">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Times New Roman"/>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巴燕乡</w:t>
            </w:r>
          </w:p>
        </w:tc>
        <w:tc>
          <w:tcPr>
            <w:tcW w:w="2958" w:type="dxa"/>
            <w:tcBorders>
              <w:bottom w:val="double" w:color="auto" w:sz="4" w:space="0"/>
            </w:tcBorders>
            <w:vAlign w:val="center"/>
          </w:tcPr>
          <w:p w14:paraId="290DCBA0">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Times New Roman"/>
                <w:color w:val="000000" w:themeColor="text1"/>
                <w:sz w:val="24"/>
                <w:szCs w:val="24"/>
                <w:vertAlign w:val="baseline"/>
                <w:lang w:val="en-US" w:eastAsia="zh-CN"/>
                <w14:textFill>
                  <w14:solidFill>
                    <w14:schemeClr w14:val="tx1"/>
                  </w14:solidFill>
                </w14:textFill>
              </w:rPr>
            </w:pPr>
            <w:r>
              <w:rPr>
                <w:rFonts w:hint="eastAsia" w:ascii="宋体" w:hAnsi="宋体" w:eastAsia="宋体" w:cs="Times New Roman"/>
                <w:color w:val="000000" w:themeColor="text1"/>
                <w:sz w:val="24"/>
                <w:szCs w:val="24"/>
                <w:vertAlign w:val="baseline"/>
                <w:lang w:val="en-US" w:eastAsia="zh-CN"/>
                <w14:textFill>
                  <w14:solidFill>
                    <w14:schemeClr w14:val="tx1"/>
                  </w14:solidFill>
                </w14:textFill>
              </w:rPr>
              <w:t>《农村生活污水处理排放标准》(DB63/T1777-2020)一级标准</w:t>
            </w:r>
          </w:p>
        </w:tc>
        <w:tc>
          <w:tcPr>
            <w:tcW w:w="1330" w:type="dxa"/>
            <w:tcBorders>
              <w:bottom w:val="double" w:color="auto" w:sz="4" w:space="0"/>
              <w:right w:val="double" w:color="auto" w:sz="4" w:space="0"/>
            </w:tcBorders>
            <w:vAlign w:val="center"/>
          </w:tcPr>
          <w:p w14:paraId="449010A7">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color w:val="auto"/>
                <w:sz w:val="24"/>
                <w:szCs w:val="24"/>
                <w:vertAlign w:val="baseline"/>
                <w:lang w:val="en-US" w:eastAsia="zh-CN"/>
              </w:rPr>
            </w:pPr>
          </w:p>
        </w:tc>
      </w:tr>
    </w:tbl>
    <w:p w14:paraId="428F17D5">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i w:val="0"/>
          <w:iCs w:val="0"/>
          <w:color w:val="auto"/>
          <w:kern w:val="0"/>
          <w:sz w:val="28"/>
          <w:szCs w:val="28"/>
          <w:u w:val="none"/>
          <w:lang w:val="en-US" w:eastAsia="zh-CN" w:bidi="ar"/>
        </w:rPr>
      </w:pPr>
    </w:p>
    <w:p w14:paraId="2A64A30D">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i w:val="0"/>
          <w:iCs w:val="0"/>
          <w:color w:val="auto"/>
          <w:kern w:val="0"/>
          <w:sz w:val="28"/>
          <w:szCs w:val="28"/>
          <w:u w:val="none"/>
          <w:lang w:val="en-US" w:eastAsia="zh-CN" w:bidi="ar"/>
        </w:rPr>
      </w:pPr>
    </w:p>
    <w:p w14:paraId="57563002">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i w:val="0"/>
          <w:iCs w:val="0"/>
          <w:color w:val="auto"/>
          <w:kern w:val="0"/>
          <w:sz w:val="28"/>
          <w:szCs w:val="28"/>
          <w:u w:val="none"/>
          <w:lang w:val="en-US" w:eastAsia="zh-CN" w:bidi="ar"/>
        </w:rPr>
      </w:pPr>
    </w:p>
    <w:p w14:paraId="68C9DF11">
      <w:pPr>
        <w:pStyle w:val="9"/>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二、污水处理站运维方案及要求</w:t>
      </w:r>
    </w:p>
    <w:p w14:paraId="5D9283C2">
      <w:pPr>
        <w:pStyle w:val="9"/>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8"/>
          <w:szCs w:val="28"/>
          <w:lang w:val="en-US" w:eastAsia="zh-CN"/>
        </w:rPr>
        <w:t>1、运维模式</w:t>
      </w:r>
    </w:p>
    <w:p w14:paraId="6C9D41FC">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由业主单位购买第三方服务专业化运维。</w:t>
      </w:r>
    </w:p>
    <w:p w14:paraId="287F90FC">
      <w:pPr>
        <w:pStyle w:val="9"/>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8"/>
          <w:szCs w:val="28"/>
          <w:lang w:val="en-US" w:eastAsia="zh-CN"/>
        </w:rPr>
        <w:t>2、运维内容</w:t>
      </w:r>
    </w:p>
    <w:p w14:paraId="780D1598">
      <w:pPr>
        <w:pStyle w:val="9"/>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8"/>
          <w:szCs w:val="28"/>
          <w:lang w:val="en-US" w:eastAsia="zh-CN"/>
        </w:rPr>
        <w:t>2.1</w:t>
      </w:r>
      <w:r>
        <w:rPr>
          <w:rFonts w:hint="default" w:ascii="宋体" w:hAnsi="宋体" w:eastAsia="宋体" w:cs="宋体"/>
          <w:b/>
          <w:bCs/>
          <w:color w:val="auto"/>
          <w:spacing w:val="0"/>
          <w:sz w:val="28"/>
          <w:szCs w:val="28"/>
          <w:lang w:val="en-US" w:eastAsia="zh-CN"/>
        </w:rPr>
        <w:t>设施设备运行维护</w:t>
      </w:r>
    </w:p>
    <w:p w14:paraId="448FE252">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（1）定期</w:t>
      </w:r>
      <w:r>
        <w:rPr>
          <w:rFonts w:hint="default" w:ascii="宋体" w:hAnsi="宋体" w:eastAsia="宋体" w:cs="宋体"/>
          <w:color w:val="auto"/>
          <w:spacing w:val="0"/>
          <w:sz w:val="24"/>
          <w:szCs w:val="24"/>
          <w:lang w:val="en-US" w:eastAsia="zh-CN"/>
        </w:rPr>
        <w:t>巡检：定时巡视污水处理设备运行状况，包括设备的响声、振动、电压等是否正常</w:t>
      </w:r>
      <w:r>
        <w:rPr>
          <w:rFonts w:hint="eastAsia" w:ascii="宋体" w:hAnsi="宋体" w:eastAsia="宋体" w:cs="宋体"/>
          <w:color w:val="auto"/>
          <w:spacing w:val="0"/>
          <w:sz w:val="24"/>
          <w:szCs w:val="24"/>
          <w:lang w:val="en-US" w:eastAsia="zh-CN"/>
        </w:rPr>
        <w:t>；</w:t>
      </w:r>
      <w:r>
        <w:rPr>
          <w:rFonts w:hint="default" w:ascii="宋体" w:hAnsi="宋体" w:eastAsia="宋体" w:cs="宋体"/>
          <w:color w:val="auto"/>
          <w:spacing w:val="0"/>
          <w:sz w:val="24"/>
          <w:szCs w:val="24"/>
          <w:lang w:val="en-US" w:eastAsia="zh-CN"/>
        </w:rPr>
        <w:t>定期检查曝气设备有无堵塞和损坏，保持曝气系统良好状态</w:t>
      </w:r>
      <w:r>
        <w:rPr>
          <w:rFonts w:hint="eastAsia" w:ascii="宋体" w:hAnsi="宋体" w:eastAsia="宋体" w:cs="宋体"/>
          <w:color w:val="auto"/>
          <w:spacing w:val="0"/>
          <w:sz w:val="24"/>
          <w:szCs w:val="24"/>
          <w:lang w:val="en-US" w:eastAsia="zh-CN"/>
        </w:rPr>
        <w:t>；</w:t>
      </w:r>
      <w:r>
        <w:rPr>
          <w:rFonts w:hint="default" w:ascii="宋体" w:hAnsi="宋体" w:eastAsia="宋体" w:cs="宋体"/>
          <w:color w:val="auto"/>
          <w:spacing w:val="0"/>
          <w:sz w:val="24"/>
          <w:szCs w:val="24"/>
          <w:lang w:val="en-US" w:eastAsia="zh-CN"/>
        </w:rPr>
        <w:t>查看提升泵、鼓风机、管路等设施设备，确保其功能完好</w:t>
      </w:r>
      <w:r>
        <w:rPr>
          <w:rFonts w:hint="eastAsia" w:ascii="宋体" w:hAnsi="宋体" w:eastAsia="宋体" w:cs="宋体"/>
          <w:color w:val="auto"/>
          <w:spacing w:val="0"/>
          <w:sz w:val="24"/>
          <w:szCs w:val="24"/>
          <w:lang w:val="en-US" w:eastAsia="zh-CN"/>
        </w:rPr>
        <w:t>；</w:t>
      </w:r>
      <w:r>
        <w:rPr>
          <w:rFonts w:hint="default" w:ascii="宋体" w:hAnsi="宋体" w:eastAsia="宋体" w:cs="宋体"/>
          <w:color w:val="auto"/>
          <w:spacing w:val="0"/>
          <w:sz w:val="24"/>
          <w:szCs w:val="24"/>
          <w:lang w:val="en-US" w:eastAsia="zh-CN"/>
        </w:rPr>
        <w:t>检查管网是否有破损、泄漏，阀门井和计量井等井盖是否完好，井内有无杂物、积泥和积。</w:t>
      </w:r>
    </w:p>
    <w:p w14:paraId="68401FD0">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r>
        <w:rPr>
          <w:rFonts w:hint="default" w:ascii="宋体" w:hAnsi="宋体" w:eastAsia="宋体" w:cs="宋体"/>
          <w:color w:val="auto"/>
          <w:spacing w:val="0"/>
          <w:sz w:val="24"/>
          <w:szCs w:val="24"/>
          <w:lang w:val="en-US" w:eastAsia="zh-CN"/>
        </w:rPr>
        <w:t>定期维护：定期对设备进行保养，确保所有设备外观整洁，无腐蚀、渗漏、破损等情况，电气设备符合安全要求，附属设备工作正常，并建立完整的设备台账及维护档案。对格栅栅渣、污泥等要定期清理。</w:t>
      </w:r>
    </w:p>
    <w:p w14:paraId="0C77F4F8">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r>
        <w:rPr>
          <w:rFonts w:hint="default" w:ascii="宋体" w:hAnsi="宋体" w:eastAsia="宋体" w:cs="宋体"/>
          <w:color w:val="auto"/>
          <w:spacing w:val="0"/>
          <w:sz w:val="24"/>
          <w:szCs w:val="24"/>
          <w:lang w:val="en-US" w:eastAsia="zh-CN"/>
        </w:rPr>
        <w:t>水质监测</w:t>
      </w:r>
    </w:p>
    <w:p w14:paraId="4723FCA0">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检测频率：按照相关标准和规定，定期开展水质检测工作。</w:t>
      </w:r>
    </w:p>
    <w:p w14:paraId="53B11B35">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检测指标：依据</w:t>
      </w:r>
      <w:r>
        <w:rPr>
          <w:rFonts w:hint="eastAsia" w:ascii="宋体" w:hAnsi="宋体" w:eastAsia="宋体" w:cs="宋体"/>
          <w:color w:val="auto"/>
          <w:spacing w:val="0"/>
          <w:sz w:val="24"/>
          <w:szCs w:val="24"/>
          <w:lang w:val="en-US" w:eastAsia="zh-CN"/>
        </w:rPr>
        <w:t>各污水处理站出水水质要求及相关</w:t>
      </w:r>
      <w:r>
        <w:rPr>
          <w:rFonts w:hint="default" w:ascii="宋体" w:hAnsi="宋体" w:eastAsia="宋体" w:cs="宋体"/>
          <w:color w:val="auto"/>
          <w:spacing w:val="0"/>
          <w:sz w:val="24"/>
          <w:szCs w:val="24"/>
          <w:lang w:val="en-US" w:eastAsia="zh-CN"/>
        </w:rPr>
        <w:t>标准，检测农村生活污水处理设施排放水的相关指标，确保出水水质达标。</w:t>
      </w:r>
    </w:p>
    <w:p w14:paraId="2AD926D4">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数据记录与报告：认真记录水质检测数据，建立检测档案。如发现排放水质超标，应及时向主管部门报告，并对水质超标原因进行分析，采取有效措施，防止未经处理的污水溢流，待水质检测合格后方可正常排放。</w:t>
      </w:r>
    </w:p>
    <w:p w14:paraId="4E9C1F31">
      <w:pPr>
        <w:pStyle w:val="9"/>
        <w:keepNext w:val="0"/>
        <w:keepLines w:val="0"/>
        <w:pageBreakBefore w:val="0"/>
        <w:widowControl w:val="0"/>
        <w:numPr>
          <w:ilvl w:val="0"/>
          <w:numId w:val="24"/>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活性污泥及药剂投放</w:t>
      </w:r>
    </w:p>
    <w:p w14:paraId="2DE904C8">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活性污泥</w:t>
      </w:r>
      <w:r>
        <w:rPr>
          <w:rFonts w:hint="default" w:ascii="宋体" w:hAnsi="宋体" w:eastAsia="宋体" w:cs="宋体"/>
          <w:color w:val="auto"/>
          <w:spacing w:val="0"/>
          <w:sz w:val="24"/>
          <w:szCs w:val="24"/>
          <w:lang w:val="en-US" w:eastAsia="zh-CN"/>
        </w:rPr>
        <w:t>投放量确定：活性污泥投放量依据污水处理站规模、水质情况及处理工艺确定。</w:t>
      </w:r>
      <w:r>
        <w:rPr>
          <w:rFonts w:hint="eastAsia" w:ascii="宋体" w:hAnsi="宋体" w:eastAsia="宋体" w:cs="宋体"/>
          <w:color w:val="auto"/>
          <w:spacing w:val="0"/>
          <w:sz w:val="24"/>
          <w:szCs w:val="24"/>
          <w:lang w:val="en-US" w:eastAsia="zh-CN"/>
        </w:rPr>
        <w:t>污泥投放时</w:t>
      </w:r>
      <w:r>
        <w:rPr>
          <w:rFonts w:hint="default" w:ascii="宋体" w:hAnsi="宋体" w:eastAsia="宋体" w:cs="宋体"/>
          <w:color w:val="auto"/>
          <w:spacing w:val="0"/>
          <w:sz w:val="24"/>
          <w:szCs w:val="24"/>
          <w:lang w:val="en-US" w:eastAsia="zh-CN"/>
        </w:rPr>
        <w:t>参考系统内现有污泥浓度、处理效果等指标，若污泥浓度低于正常范围下限（2000mg/L），可按一定比例增加活性污泥，每次增量不超过现有污泥量的 20% - 30%，确保系统内微生物数量和活性维持在合适水平。​</w:t>
      </w:r>
    </w:p>
    <w:p w14:paraId="1A761CC4">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活性污泥</w:t>
      </w:r>
      <w:r>
        <w:rPr>
          <w:rFonts w:hint="default" w:ascii="宋体" w:hAnsi="宋体" w:eastAsia="宋体" w:cs="宋体"/>
          <w:color w:val="auto"/>
          <w:spacing w:val="0"/>
          <w:sz w:val="24"/>
          <w:szCs w:val="24"/>
          <w:lang w:val="en-US" w:eastAsia="zh-CN"/>
        </w:rPr>
        <w:t>投放注意事项：投放的活性污泥应具备较高活性，优先选择临近污水处理厂剩余污泥或专业供应商提供的优质活性污泥。运输过程采用密闭容器，防止污泥受污染、流失及水分过度蒸发。投放时，将活性污泥缓慢、均匀地添加到合适位置，避免对水流和微生物环境造成冲击。添加后，加强对系统的监测，密切关注微生物生长和水质变化情况。</w:t>
      </w:r>
    </w:p>
    <w:p w14:paraId="4471AE1C">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药剂投放</w:t>
      </w:r>
      <w:r>
        <w:rPr>
          <w:rFonts w:hint="eastAsia" w:ascii="宋体" w:hAnsi="宋体" w:eastAsia="宋体" w:cs="宋体"/>
          <w:color w:val="auto"/>
          <w:spacing w:val="0"/>
          <w:sz w:val="24"/>
          <w:szCs w:val="24"/>
          <w:lang w:val="en-US" w:eastAsia="zh-CN"/>
        </w:rPr>
        <w:t>：</w:t>
      </w:r>
    </w:p>
    <w:p w14:paraId="2221F71A">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常用药剂种类​</w:t>
      </w:r>
    </w:p>
    <w:p w14:paraId="0D536E81">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絮凝剂：如聚丙烯酰胺、聚合氯化铝等。聚丙烯酰胺可促使污水中悬浮颗粒凝聚、沉降，提高固液分离效率；聚合氯化铝能加速絮凝过程，使杂质形成大颗粒絮团，便于沉淀去除，广泛应用于初沉池、二沉池等工艺环节。​</w:t>
      </w:r>
    </w:p>
    <w:p w14:paraId="2C572217">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pH 调节剂：包括硫酸、盐酸、氢氧化钠、石灰等。当污水 pH 值偏离微生物适宜生长范围（一般为 6.5 - 8.5）时，通过添加相应酸碱调节剂，将 pH 值调整至合适区间，保障微生物活性和处理效果。例如，酸性较强的污水可投加氢氧化钠、石灰提升pH 值。</w:t>
      </w:r>
    </w:p>
    <w:p w14:paraId="081C461F">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消毒剂：常见的有次氯酸钠、二氧化氯等。经处理后的污水在排放或回用前，投加消毒剂杀灭水中有害病菌、病毒等微生物，防止疾病传播，确保出水水质安全达标。​</w:t>
      </w:r>
    </w:p>
    <w:p w14:paraId="5FE30A1A">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营养剂：在污水中碳源、氮源、磷源等营养物质不足，影响微生物正常生长代谢时，需添加营养剂。</w:t>
      </w:r>
    </w:p>
    <w:p w14:paraId="3508E049">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药剂投放控制：依据污水水质、水量变化及处理工艺要求，精准控制药剂投加量。确保处理效果稳定且药剂使用高效。​</w:t>
      </w:r>
    </w:p>
    <w:p w14:paraId="6A20F12C">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投放流程与注意事项：药剂投放前，需严格按照操作规程进行溶解、稀释等预处理，确保药剂均匀分散，便于准确投加和充分发挥作用。投放过程中，注意投放位置的选择，保证药剂与污水充分混合、反应。同时，做好药剂储存管理，防止药剂变质、泄漏，保障人员安全和环境不受污染。定期对药剂投放设备进行维护保养，确保设备正常运行，避免因设备故障影响药剂投放和污水处理效果。​</w:t>
      </w:r>
    </w:p>
    <w:p w14:paraId="4A0541AB">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w:t>
      </w:r>
      <w:r>
        <w:rPr>
          <w:rFonts w:hint="default" w:ascii="宋体" w:hAnsi="宋体" w:eastAsia="宋体" w:cs="宋体"/>
          <w:color w:val="auto"/>
          <w:spacing w:val="0"/>
          <w:sz w:val="24"/>
          <w:szCs w:val="24"/>
          <w:lang w:val="en-US" w:eastAsia="zh-CN"/>
        </w:rPr>
        <w:t>安全管理</w:t>
      </w:r>
    </w:p>
    <w:p w14:paraId="2B0FB023">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制度与培训：建立健全安全规章制度，包括有限空间作业、危险化学品管理等制度。</w:t>
      </w:r>
    </w:p>
    <w:p w14:paraId="31EC5655">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设施与防护：各工段设备要安全运行，特殊工位需有安全保护措施，设置必要的岗位人员安全保护装备和安全警示牌，在有毒、有害场所配备安全防护物资。检查危险品、易燃、易爆、废液是否按规定管理处置。确保消防设施齐全，安全标识标牌正确清晰。</w:t>
      </w:r>
    </w:p>
    <w:p w14:paraId="389571F3">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应急预案：制定切实有效的突发环境事件应急预案与安全事件应急预案。</w:t>
      </w:r>
    </w:p>
    <w:p w14:paraId="10D9E986">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r>
        <w:rPr>
          <w:rFonts w:hint="default" w:ascii="宋体" w:hAnsi="宋体" w:eastAsia="宋体" w:cs="宋体"/>
          <w:color w:val="auto"/>
          <w:spacing w:val="0"/>
          <w:sz w:val="24"/>
          <w:szCs w:val="24"/>
          <w:lang w:val="en-US" w:eastAsia="zh-CN"/>
        </w:rPr>
        <w:t>人员要求</w:t>
      </w:r>
    </w:p>
    <w:p w14:paraId="6BC7CEE2">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专业配备：运维单位应配备专业技术人员、管护设备等，建立管护操作规程。运维作业人员应经过专业技术培训合格后方可上岗，特种作业人员需持证上岗。</w:t>
      </w:r>
    </w:p>
    <w:p w14:paraId="7944C2ED">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人员在岗：保证各岗位人员按照规定时间在岗，如保证各岗位人员 24 小时在岗，节假日期间负责人必须在岗等。</w:t>
      </w:r>
    </w:p>
    <w:p w14:paraId="180F5C2D">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（7）</w:t>
      </w:r>
      <w:r>
        <w:rPr>
          <w:rFonts w:hint="default" w:ascii="宋体" w:hAnsi="宋体" w:eastAsia="宋体" w:cs="宋体"/>
          <w:color w:val="auto"/>
          <w:spacing w:val="0"/>
          <w:sz w:val="24"/>
          <w:szCs w:val="24"/>
          <w:lang w:val="en-US" w:eastAsia="zh-CN"/>
        </w:rPr>
        <w:t>档案管理</w:t>
      </w:r>
    </w:p>
    <w:p w14:paraId="59A86992">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pacing w:val="0"/>
          <w:sz w:val="24"/>
          <w:szCs w:val="24"/>
          <w:lang w:val="en-US" w:eastAsia="zh-CN"/>
        </w:rPr>
      </w:pPr>
      <w:r>
        <w:rPr>
          <w:rFonts w:hint="default" w:ascii="宋体" w:hAnsi="宋体" w:eastAsia="宋体" w:cs="宋体"/>
          <w:color w:val="auto"/>
          <w:spacing w:val="0"/>
          <w:sz w:val="24"/>
          <w:szCs w:val="24"/>
          <w:lang w:val="en-US" w:eastAsia="zh-CN"/>
        </w:rPr>
        <w:t>资料内容：基础资料应准确、齐全，包括巡检、维修记录，设施停运、数据异常报告，危废物的产生、储存及处置记录等。还应包括设备的相关资料，如设备台账、维护档案、操作规程等，以及水质检测报告、应急预案、培训记录、合同协议等文件。</w:t>
      </w:r>
    </w:p>
    <w:p w14:paraId="07A2F33C">
      <w:pPr>
        <w:keepNext w:val="0"/>
        <w:keepLines w:val="0"/>
        <w:pageBreakBefore w:val="0"/>
        <w:widowControl w:val="0"/>
        <w:kinsoku/>
        <w:wordWrap/>
        <w:overflowPunct/>
        <w:topLinePunct w:val="0"/>
        <w:autoSpaceDE/>
        <w:autoSpaceDN/>
        <w:bidi w:val="0"/>
        <w:adjustRightInd/>
        <w:snapToGrid/>
        <w:textAlignment w:val="auto"/>
        <w:rPr>
          <w:rFonts w:hint="default"/>
          <w:color w:val="auto"/>
          <w:sz w:val="24"/>
          <w:szCs w:val="24"/>
          <w:lang w:val="en-US" w:eastAsia="zh-CN"/>
        </w:rPr>
      </w:pPr>
      <w:r>
        <w:rPr>
          <w:rFonts w:hint="default" w:ascii="宋体" w:hAnsi="宋体" w:eastAsia="宋体" w:cs="宋体"/>
          <w:color w:val="auto"/>
          <w:spacing w:val="0"/>
          <w:sz w:val="24"/>
          <w:szCs w:val="24"/>
          <w:lang w:val="en-US" w:eastAsia="zh-CN"/>
        </w:rPr>
        <w:t>资料保存：实验原始记录和实验报表等档案应按要求保存一定期限，以便查询和追溯。</w:t>
      </w:r>
    </w:p>
    <w:p w14:paraId="409FE46A">
      <w:pPr>
        <w:rPr>
          <w:rFonts w:hint="default"/>
          <w:highlight w:val="none"/>
          <w:lang w:val="en-US" w:eastAsia="zh-CN"/>
        </w:rPr>
      </w:pPr>
    </w:p>
    <w:sectPr>
      <w:footerReference r:id="rId11" w:type="default"/>
      <w:pgSz w:w="11906" w:h="16838"/>
      <w:pgMar w:top="1440" w:right="1310" w:bottom="1440" w:left="1310"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7A"/>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933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333B3">
    <w:pPr>
      <w:pStyle w:val="20"/>
    </w:pPr>
  </w:p>
  <w:p w14:paraId="10797FD6">
    <w:pPr>
      <w:pStyle w:val="20"/>
    </w:pPr>
  </w:p>
  <w:p w14:paraId="0B3B6012">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085F">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E2E31">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6E2E31">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03F1">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FB7A2">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BFB7A2">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78223ED4">
    <w:pPr>
      <w:pStyle w:val="20"/>
    </w:pPr>
  </w:p>
  <w:p w14:paraId="0B2DFD84">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0992A">
    <w:pPr>
      <w:widowControl/>
      <w:kinsoku w:val="0"/>
      <w:autoSpaceDE w:val="0"/>
      <w:autoSpaceDN w:val="0"/>
      <w:adjustRightInd w:val="0"/>
      <w:snapToGrid w:val="0"/>
      <w:spacing w:line="196" w:lineRule="auto"/>
      <w:ind w:left="4226" w:firstLine="0" w:firstLineChars="0"/>
      <w:jc w:val="left"/>
      <w:textAlignment w:val="baseline"/>
      <w:rPr>
        <w:rFonts w:ascii="Times New Roman" w:hAnsi="Times New Roman" w:eastAsia="Times New Roman" w:cs="Times New Roman"/>
        <w:snapToGrid w:val="0"/>
        <w:color w:val="000000"/>
        <w:kern w:val="0"/>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1266D">
                          <w:pPr>
                            <w:pStyle w:val="2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7B1266D">
                    <w:pPr>
                      <w:pStyle w:val="2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9307">
    <w:pPr>
      <w:pStyle w:val="21"/>
      <w:pBdr>
        <w:bottom w:val="none" w:color="auto" w:sz="0" w:space="1"/>
      </w:pBdr>
      <w:jc w:val="left"/>
      <w:rPr>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67D5F">
    <w:pPr>
      <w:pStyle w:val="21"/>
      <w:pBdr>
        <w:bottom w:val="none" w:color="auto" w:sz="0" w:space="1"/>
      </w:pBdr>
      <w:jc w:val="left"/>
      <w:rPr>
        <w:rFonts w:ascii="宋体" w:hAnsi="宋体" w:cs="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90484919"/>
    <w:multiLevelType w:val="multilevel"/>
    <w:tmpl w:val="90484919"/>
    <w:lvl w:ilvl="0" w:tentative="0">
      <w:start w:val="1"/>
      <w:numFmt w:val="decimal"/>
      <w:suff w:val="nothing"/>
      <w:lvlText w:val="（%1）"/>
      <w:lvlJc w:val="left"/>
      <w:pPr>
        <w:ind w:left="139" w:leftChars="0" w:firstLine="3" w:firstLineChars="0"/>
      </w:pPr>
    </w:lvl>
    <w:lvl w:ilvl="1" w:tentative="0">
      <w:start w:val="1"/>
      <w:numFmt w:val="lowerLetter"/>
      <w:lvlText w:val="%2)"/>
      <w:lvlJc w:val="left"/>
      <w:pPr>
        <w:tabs>
          <w:tab w:val="left" w:pos="-420"/>
        </w:tabs>
        <w:ind w:left="845" w:hanging="420"/>
      </w:pPr>
    </w:lvl>
    <w:lvl w:ilvl="2" w:tentative="0">
      <w:start w:val="1"/>
      <w:numFmt w:val="lowerRoman"/>
      <w:lvlText w:val="%3."/>
      <w:lvlJc w:val="right"/>
      <w:pPr>
        <w:tabs>
          <w:tab w:val="left" w:pos="-420"/>
        </w:tabs>
        <w:ind w:left="1265" w:hanging="420"/>
      </w:pPr>
    </w:lvl>
    <w:lvl w:ilvl="3" w:tentative="0">
      <w:start w:val="1"/>
      <w:numFmt w:val="decimal"/>
      <w:lvlText w:val="%4."/>
      <w:lvlJc w:val="left"/>
      <w:pPr>
        <w:tabs>
          <w:tab w:val="left" w:pos="-420"/>
        </w:tabs>
        <w:ind w:left="1685" w:hanging="420"/>
      </w:pPr>
    </w:lvl>
    <w:lvl w:ilvl="4" w:tentative="0">
      <w:start w:val="1"/>
      <w:numFmt w:val="lowerLetter"/>
      <w:lvlText w:val="%5)"/>
      <w:lvlJc w:val="left"/>
      <w:pPr>
        <w:tabs>
          <w:tab w:val="left" w:pos="-420"/>
        </w:tabs>
        <w:ind w:left="2105" w:hanging="420"/>
      </w:pPr>
    </w:lvl>
    <w:lvl w:ilvl="5" w:tentative="0">
      <w:start w:val="1"/>
      <w:numFmt w:val="lowerRoman"/>
      <w:lvlText w:val="%6."/>
      <w:lvlJc w:val="right"/>
      <w:pPr>
        <w:tabs>
          <w:tab w:val="left" w:pos="-420"/>
        </w:tabs>
        <w:ind w:left="2525" w:hanging="420"/>
      </w:pPr>
    </w:lvl>
    <w:lvl w:ilvl="6" w:tentative="0">
      <w:start w:val="1"/>
      <w:numFmt w:val="decimal"/>
      <w:lvlText w:val="%7."/>
      <w:lvlJc w:val="left"/>
      <w:pPr>
        <w:tabs>
          <w:tab w:val="left" w:pos="-420"/>
        </w:tabs>
        <w:ind w:left="2945" w:hanging="420"/>
      </w:pPr>
    </w:lvl>
    <w:lvl w:ilvl="7" w:tentative="0">
      <w:start w:val="1"/>
      <w:numFmt w:val="lowerLetter"/>
      <w:lvlText w:val="%8)"/>
      <w:lvlJc w:val="left"/>
      <w:pPr>
        <w:tabs>
          <w:tab w:val="left" w:pos="-420"/>
        </w:tabs>
        <w:ind w:left="3365" w:hanging="420"/>
      </w:pPr>
    </w:lvl>
    <w:lvl w:ilvl="8" w:tentative="0">
      <w:start w:val="1"/>
      <w:numFmt w:val="lowerRoman"/>
      <w:lvlText w:val="%9."/>
      <w:lvlJc w:val="right"/>
      <w:pPr>
        <w:tabs>
          <w:tab w:val="left" w:pos="-420"/>
        </w:tabs>
        <w:ind w:left="3785" w:hanging="420"/>
      </w:pPr>
    </w:lvl>
  </w:abstractNum>
  <w:abstractNum w:abstractNumId="2">
    <w:nsid w:val="BE3B2DAB"/>
    <w:multiLevelType w:val="singleLevel"/>
    <w:tmpl w:val="BE3B2DAB"/>
    <w:lvl w:ilvl="0" w:tentative="0">
      <w:start w:val="2"/>
      <w:numFmt w:val="decimal"/>
      <w:suff w:val="nothing"/>
      <w:lvlText w:val="%1、"/>
      <w:lvlJc w:val="left"/>
    </w:lvl>
  </w:abstractNum>
  <w:abstractNum w:abstractNumId="3">
    <w:nsid w:val="DFE821E7"/>
    <w:multiLevelType w:val="singleLevel"/>
    <w:tmpl w:val="DFE821E7"/>
    <w:lvl w:ilvl="0" w:tentative="0">
      <w:start w:val="4"/>
      <w:numFmt w:val="decimal"/>
      <w:suff w:val="nothing"/>
      <w:lvlText w:val="（%1）"/>
      <w:lvlJc w:val="left"/>
    </w:lvl>
  </w:abstractNum>
  <w:abstractNum w:abstractNumId="4">
    <w:nsid w:val="00000002"/>
    <w:multiLevelType w:val="multilevel"/>
    <w:tmpl w:val="00000002"/>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5">
    <w:nsid w:val="00000003"/>
    <w:multiLevelType w:val="multilevel"/>
    <w:tmpl w:val="0000000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4"/>
    <w:multiLevelType w:val="multilevel"/>
    <w:tmpl w:val="00000004"/>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7">
    <w:nsid w:val="00000007"/>
    <w:multiLevelType w:val="multilevel"/>
    <w:tmpl w:val="00000007"/>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0000000C"/>
    <w:multiLevelType w:val="multilevel"/>
    <w:tmpl w:val="0000000C"/>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0010"/>
    <w:multiLevelType w:val="multilevel"/>
    <w:tmpl w:val="00000010"/>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867"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0000011"/>
    <w:multiLevelType w:val="multilevel"/>
    <w:tmpl w:val="00000011"/>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1">
    <w:nsid w:val="00000012"/>
    <w:multiLevelType w:val="multilevel"/>
    <w:tmpl w:val="00000012"/>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2">
    <w:nsid w:val="00000018"/>
    <w:multiLevelType w:val="singleLevel"/>
    <w:tmpl w:val="00000018"/>
    <w:lvl w:ilvl="0" w:tentative="0">
      <w:start w:val="1"/>
      <w:numFmt w:val="decimal"/>
      <w:suff w:val="nothing"/>
      <w:lvlText w:val="%1"/>
      <w:lvlJc w:val="left"/>
      <w:pPr>
        <w:tabs>
          <w:tab w:val="left" w:pos="0"/>
        </w:tabs>
        <w:ind w:left="0" w:firstLine="0"/>
      </w:pPr>
      <w:rPr>
        <w:rFonts w:hint="default"/>
      </w:rPr>
    </w:lvl>
  </w:abstractNum>
  <w:abstractNum w:abstractNumId="13">
    <w:nsid w:val="00000019"/>
    <w:multiLevelType w:val="multilevel"/>
    <w:tmpl w:val="00000019"/>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84"/>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1EA0D632"/>
    <w:multiLevelType w:val="multilevel"/>
    <w:tmpl w:val="1EA0D632"/>
    <w:lvl w:ilvl="0" w:tentative="0">
      <w:start w:val="1"/>
      <w:numFmt w:val="decimal"/>
      <w:suff w:val="nothing"/>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214E96CE"/>
    <w:multiLevelType w:val="singleLevel"/>
    <w:tmpl w:val="214E96CE"/>
    <w:lvl w:ilvl="0" w:tentative="0">
      <w:start w:val="1"/>
      <w:numFmt w:val="decimal"/>
      <w:suff w:val="nothing"/>
      <w:lvlText w:val="%1、"/>
      <w:lvlJc w:val="left"/>
    </w:lvl>
  </w:abstractNum>
  <w:abstractNum w:abstractNumId="18">
    <w:nsid w:val="4702D7A7"/>
    <w:multiLevelType w:val="singleLevel"/>
    <w:tmpl w:val="4702D7A7"/>
    <w:lvl w:ilvl="0" w:tentative="0">
      <w:start w:val="1"/>
      <w:numFmt w:val="decimal"/>
      <w:suff w:val="nothing"/>
      <w:lvlText w:val="%1．"/>
      <w:lvlJc w:val="left"/>
      <w:pPr>
        <w:ind w:left="0" w:firstLine="400"/>
      </w:pPr>
      <w:rPr>
        <w:rFonts w:hint="default"/>
      </w:rPr>
    </w:lvl>
  </w:abstractNum>
  <w:abstractNum w:abstractNumId="19">
    <w:nsid w:val="59B11739"/>
    <w:multiLevelType w:val="singleLevel"/>
    <w:tmpl w:val="59B11739"/>
    <w:lvl w:ilvl="0" w:tentative="0">
      <w:start w:val="1"/>
      <w:numFmt w:val="decimal"/>
      <w:suff w:val="nothing"/>
      <w:lvlText w:val="（%1）"/>
      <w:lvlJc w:val="left"/>
    </w:lvl>
  </w:abstractNum>
  <w:abstractNum w:abstractNumId="20">
    <w:nsid w:val="59FC3CC6"/>
    <w:multiLevelType w:val="singleLevel"/>
    <w:tmpl w:val="59FC3CC6"/>
    <w:lvl w:ilvl="0" w:tentative="0">
      <w:start w:val="1"/>
      <w:numFmt w:val="decimal"/>
      <w:suff w:val="nothing"/>
      <w:lvlText w:val="（%1）"/>
      <w:lvlJc w:val="left"/>
      <w:rPr>
        <w:rFonts w:cs="Times New Roman"/>
      </w:rPr>
    </w:lvl>
  </w:abstractNum>
  <w:abstractNum w:abstractNumId="21">
    <w:nsid w:val="6F48261C"/>
    <w:multiLevelType w:val="singleLevel"/>
    <w:tmpl w:val="6F48261C"/>
    <w:lvl w:ilvl="0" w:tentative="0">
      <w:start w:val="1"/>
      <w:numFmt w:val="decimal"/>
      <w:suff w:val="nothing"/>
      <w:lvlText w:val="%1．"/>
      <w:lvlJc w:val="left"/>
      <w:pPr>
        <w:ind w:left="0" w:firstLine="400"/>
      </w:pPr>
      <w:rPr>
        <w:rFonts w:hint="default"/>
      </w:rPr>
    </w:lvl>
  </w:abstractNum>
  <w:abstractNum w:abstractNumId="22">
    <w:nsid w:val="73030404"/>
    <w:multiLevelType w:val="multilevel"/>
    <w:tmpl w:val="73030404"/>
    <w:lvl w:ilvl="0" w:tentative="0">
      <w:start w:val="1"/>
      <w:numFmt w:val="decimal"/>
      <w:lvlText w:val="%1、"/>
      <w:lvlJc w:val="left"/>
      <w:pPr>
        <w:ind w:left="1069" w:hanging="360"/>
      </w:pPr>
      <w:rPr>
        <w:rFonts w:hint="default" w:hAnsi="宋体"/>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748D16CD"/>
    <w:multiLevelType w:val="multilevel"/>
    <w:tmpl w:val="748D16CD"/>
    <w:lvl w:ilvl="0" w:tentative="0">
      <w:start w:val="1"/>
      <w:numFmt w:val="decimal"/>
      <w:pStyle w:val="85"/>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9"/>
  </w:num>
  <w:num w:numId="2">
    <w:abstractNumId w:val="14"/>
  </w:num>
  <w:num w:numId="3">
    <w:abstractNumId w:val="23"/>
  </w:num>
  <w:num w:numId="4">
    <w:abstractNumId w:val="8"/>
  </w:num>
  <w:num w:numId="5">
    <w:abstractNumId w:val="12"/>
  </w:num>
  <w:num w:numId="6">
    <w:abstractNumId w:val="5"/>
  </w:num>
  <w:num w:numId="7">
    <w:abstractNumId w:val="7"/>
  </w:num>
  <w:num w:numId="8">
    <w:abstractNumId w:val="15"/>
  </w:num>
  <w:num w:numId="9">
    <w:abstractNumId w:val="1"/>
  </w:num>
  <w:num w:numId="10">
    <w:abstractNumId w:val="16"/>
  </w:num>
  <w:num w:numId="11">
    <w:abstractNumId w:val="20"/>
  </w:num>
  <w:num w:numId="12">
    <w:abstractNumId w:val="21"/>
  </w:num>
  <w:num w:numId="13">
    <w:abstractNumId w:val="18"/>
  </w:num>
  <w:num w:numId="14">
    <w:abstractNumId w:val="4"/>
  </w:num>
  <w:num w:numId="15">
    <w:abstractNumId w:val="10"/>
  </w:num>
  <w:num w:numId="16">
    <w:abstractNumId w:val="13"/>
  </w:num>
  <w:num w:numId="17">
    <w:abstractNumId w:val="6"/>
  </w:num>
  <w:num w:numId="18">
    <w:abstractNumId w:val="11"/>
  </w:num>
  <w:num w:numId="19">
    <w:abstractNumId w:val="17"/>
  </w:num>
  <w:num w:numId="20">
    <w:abstractNumId w:val="22"/>
  </w:num>
  <w:num w:numId="21">
    <w:abstractNumId w:val="19"/>
  </w:num>
  <w:num w:numId="22">
    <w:abstractNumId w:val="2"/>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OTM5MWIzZjcyY2UwZWEzZTQ4YWIwYTdjNGIwZGUifQ=="/>
  </w:docVars>
  <w:rsids>
    <w:rsidRoot w:val="00172A27"/>
    <w:rsid w:val="000038F3"/>
    <w:rsid w:val="0000523C"/>
    <w:rsid w:val="000067C2"/>
    <w:rsid w:val="000072CA"/>
    <w:rsid w:val="00010612"/>
    <w:rsid w:val="000136E3"/>
    <w:rsid w:val="00014702"/>
    <w:rsid w:val="00014941"/>
    <w:rsid w:val="00015785"/>
    <w:rsid w:val="0001758F"/>
    <w:rsid w:val="00020044"/>
    <w:rsid w:val="0002211A"/>
    <w:rsid w:val="0002411A"/>
    <w:rsid w:val="000254B5"/>
    <w:rsid w:val="000270E1"/>
    <w:rsid w:val="00044184"/>
    <w:rsid w:val="00044D19"/>
    <w:rsid w:val="000457A3"/>
    <w:rsid w:val="00051006"/>
    <w:rsid w:val="00051784"/>
    <w:rsid w:val="00053D3B"/>
    <w:rsid w:val="0005473E"/>
    <w:rsid w:val="000558CC"/>
    <w:rsid w:val="00060656"/>
    <w:rsid w:val="00066FE0"/>
    <w:rsid w:val="00070967"/>
    <w:rsid w:val="00071E6B"/>
    <w:rsid w:val="0007617E"/>
    <w:rsid w:val="000806B7"/>
    <w:rsid w:val="00081E42"/>
    <w:rsid w:val="0008548A"/>
    <w:rsid w:val="00086D42"/>
    <w:rsid w:val="00091938"/>
    <w:rsid w:val="000943E1"/>
    <w:rsid w:val="00095A45"/>
    <w:rsid w:val="000A3964"/>
    <w:rsid w:val="000A4266"/>
    <w:rsid w:val="000A4A29"/>
    <w:rsid w:val="000A5E33"/>
    <w:rsid w:val="000A7AA9"/>
    <w:rsid w:val="000B0C19"/>
    <w:rsid w:val="000C43F0"/>
    <w:rsid w:val="000C60A4"/>
    <w:rsid w:val="000D6FF9"/>
    <w:rsid w:val="000D7CD3"/>
    <w:rsid w:val="000E0E00"/>
    <w:rsid w:val="000E12A7"/>
    <w:rsid w:val="000E791D"/>
    <w:rsid w:val="000F03C2"/>
    <w:rsid w:val="000F373D"/>
    <w:rsid w:val="001003FB"/>
    <w:rsid w:val="00101C28"/>
    <w:rsid w:val="00103A39"/>
    <w:rsid w:val="00104CCA"/>
    <w:rsid w:val="001100C2"/>
    <w:rsid w:val="00110842"/>
    <w:rsid w:val="00110AF9"/>
    <w:rsid w:val="00110B3A"/>
    <w:rsid w:val="0011165B"/>
    <w:rsid w:val="00114C0A"/>
    <w:rsid w:val="00117E99"/>
    <w:rsid w:val="00120EB7"/>
    <w:rsid w:val="00121135"/>
    <w:rsid w:val="001227E8"/>
    <w:rsid w:val="00123F0F"/>
    <w:rsid w:val="00124055"/>
    <w:rsid w:val="00125A2E"/>
    <w:rsid w:val="0012666C"/>
    <w:rsid w:val="00130A2A"/>
    <w:rsid w:val="00130E30"/>
    <w:rsid w:val="001310F1"/>
    <w:rsid w:val="00132225"/>
    <w:rsid w:val="00134A4A"/>
    <w:rsid w:val="0013606C"/>
    <w:rsid w:val="0014227A"/>
    <w:rsid w:val="0014254E"/>
    <w:rsid w:val="0014346E"/>
    <w:rsid w:val="00145E72"/>
    <w:rsid w:val="0015007E"/>
    <w:rsid w:val="00153051"/>
    <w:rsid w:val="00157DE4"/>
    <w:rsid w:val="00160183"/>
    <w:rsid w:val="00160710"/>
    <w:rsid w:val="00161442"/>
    <w:rsid w:val="00163370"/>
    <w:rsid w:val="001659BA"/>
    <w:rsid w:val="00170482"/>
    <w:rsid w:val="0017214E"/>
    <w:rsid w:val="00172224"/>
    <w:rsid w:val="00172A27"/>
    <w:rsid w:val="00174F7A"/>
    <w:rsid w:val="00176770"/>
    <w:rsid w:val="001801DD"/>
    <w:rsid w:val="00180A83"/>
    <w:rsid w:val="00181301"/>
    <w:rsid w:val="00184ADA"/>
    <w:rsid w:val="001871FE"/>
    <w:rsid w:val="00191300"/>
    <w:rsid w:val="00197375"/>
    <w:rsid w:val="001A5630"/>
    <w:rsid w:val="001B258F"/>
    <w:rsid w:val="001B3A0B"/>
    <w:rsid w:val="001B6AEF"/>
    <w:rsid w:val="001C1E19"/>
    <w:rsid w:val="001C3362"/>
    <w:rsid w:val="001C47BE"/>
    <w:rsid w:val="001C5860"/>
    <w:rsid w:val="001D0BB0"/>
    <w:rsid w:val="001D21FA"/>
    <w:rsid w:val="001D4078"/>
    <w:rsid w:val="001E08C0"/>
    <w:rsid w:val="001E1C73"/>
    <w:rsid w:val="001E78D7"/>
    <w:rsid w:val="001F30F7"/>
    <w:rsid w:val="001F37EE"/>
    <w:rsid w:val="001F6CA1"/>
    <w:rsid w:val="002002AB"/>
    <w:rsid w:val="00203976"/>
    <w:rsid w:val="00210596"/>
    <w:rsid w:val="002136BF"/>
    <w:rsid w:val="002175BE"/>
    <w:rsid w:val="00221B90"/>
    <w:rsid w:val="0022383F"/>
    <w:rsid w:val="00224136"/>
    <w:rsid w:val="002249FE"/>
    <w:rsid w:val="00226841"/>
    <w:rsid w:val="00233122"/>
    <w:rsid w:val="0023487E"/>
    <w:rsid w:val="00235CAF"/>
    <w:rsid w:val="00235E52"/>
    <w:rsid w:val="00240485"/>
    <w:rsid w:val="002411CA"/>
    <w:rsid w:val="002458E9"/>
    <w:rsid w:val="00250D9F"/>
    <w:rsid w:val="00250E43"/>
    <w:rsid w:val="0025211E"/>
    <w:rsid w:val="0025360D"/>
    <w:rsid w:val="002554DC"/>
    <w:rsid w:val="00255B9F"/>
    <w:rsid w:val="00263995"/>
    <w:rsid w:val="00263CBE"/>
    <w:rsid w:val="00263CC7"/>
    <w:rsid w:val="00264E70"/>
    <w:rsid w:val="00265C78"/>
    <w:rsid w:val="00273870"/>
    <w:rsid w:val="002812BE"/>
    <w:rsid w:val="002839E2"/>
    <w:rsid w:val="00283EDA"/>
    <w:rsid w:val="00284776"/>
    <w:rsid w:val="00285653"/>
    <w:rsid w:val="002863DA"/>
    <w:rsid w:val="00293AFC"/>
    <w:rsid w:val="002948C0"/>
    <w:rsid w:val="002A09C4"/>
    <w:rsid w:val="002A0B8C"/>
    <w:rsid w:val="002B0774"/>
    <w:rsid w:val="002B3C13"/>
    <w:rsid w:val="002B40F9"/>
    <w:rsid w:val="002B69BA"/>
    <w:rsid w:val="002C59C7"/>
    <w:rsid w:val="002D5143"/>
    <w:rsid w:val="002D56ED"/>
    <w:rsid w:val="002E5C15"/>
    <w:rsid w:val="002F29A0"/>
    <w:rsid w:val="002F4602"/>
    <w:rsid w:val="002F4AE4"/>
    <w:rsid w:val="002F611D"/>
    <w:rsid w:val="00301408"/>
    <w:rsid w:val="00301577"/>
    <w:rsid w:val="003015BD"/>
    <w:rsid w:val="003028D3"/>
    <w:rsid w:val="00302F31"/>
    <w:rsid w:val="003035D3"/>
    <w:rsid w:val="0031377B"/>
    <w:rsid w:val="00314AA7"/>
    <w:rsid w:val="0031651E"/>
    <w:rsid w:val="00317608"/>
    <w:rsid w:val="003233E5"/>
    <w:rsid w:val="00325034"/>
    <w:rsid w:val="0033150D"/>
    <w:rsid w:val="00331ABE"/>
    <w:rsid w:val="0034164B"/>
    <w:rsid w:val="003440F7"/>
    <w:rsid w:val="00344398"/>
    <w:rsid w:val="0034606E"/>
    <w:rsid w:val="00347405"/>
    <w:rsid w:val="0034743D"/>
    <w:rsid w:val="00347C5C"/>
    <w:rsid w:val="0035056F"/>
    <w:rsid w:val="00352172"/>
    <w:rsid w:val="00354055"/>
    <w:rsid w:val="00354356"/>
    <w:rsid w:val="003555B8"/>
    <w:rsid w:val="003560BD"/>
    <w:rsid w:val="00356255"/>
    <w:rsid w:val="00356B80"/>
    <w:rsid w:val="00357C79"/>
    <w:rsid w:val="00361505"/>
    <w:rsid w:val="00363694"/>
    <w:rsid w:val="00365BDB"/>
    <w:rsid w:val="00374189"/>
    <w:rsid w:val="003871E6"/>
    <w:rsid w:val="0039073E"/>
    <w:rsid w:val="0039788F"/>
    <w:rsid w:val="003A0AF6"/>
    <w:rsid w:val="003A11A4"/>
    <w:rsid w:val="003A2B4C"/>
    <w:rsid w:val="003A2CEB"/>
    <w:rsid w:val="003A39C0"/>
    <w:rsid w:val="003A7E68"/>
    <w:rsid w:val="003B0C74"/>
    <w:rsid w:val="003C0201"/>
    <w:rsid w:val="003C5826"/>
    <w:rsid w:val="003C6CC2"/>
    <w:rsid w:val="003C72AA"/>
    <w:rsid w:val="003D0248"/>
    <w:rsid w:val="003D0529"/>
    <w:rsid w:val="003D26BA"/>
    <w:rsid w:val="003D322B"/>
    <w:rsid w:val="003D5817"/>
    <w:rsid w:val="003D6B4E"/>
    <w:rsid w:val="003E1052"/>
    <w:rsid w:val="003E536F"/>
    <w:rsid w:val="003F13D7"/>
    <w:rsid w:val="003F1EDC"/>
    <w:rsid w:val="003F3F43"/>
    <w:rsid w:val="003F6B9A"/>
    <w:rsid w:val="00400FFB"/>
    <w:rsid w:val="00404EC4"/>
    <w:rsid w:val="00415A34"/>
    <w:rsid w:val="00417C36"/>
    <w:rsid w:val="0042346A"/>
    <w:rsid w:val="004245B7"/>
    <w:rsid w:val="004273F5"/>
    <w:rsid w:val="004300F6"/>
    <w:rsid w:val="00433A07"/>
    <w:rsid w:val="004364ED"/>
    <w:rsid w:val="00440C41"/>
    <w:rsid w:val="00443800"/>
    <w:rsid w:val="00443869"/>
    <w:rsid w:val="004443A4"/>
    <w:rsid w:val="00446641"/>
    <w:rsid w:val="00451525"/>
    <w:rsid w:val="00451913"/>
    <w:rsid w:val="00451ED2"/>
    <w:rsid w:val="00452B6F"/>
    <w:rsid w:val="00455244"/>
    <w:rsid w:val="00461184"/>
    <w:rsid w:val="00462558"/>
    <w:rsid w:val="00463549"/>
    <w:rsid w:val="0046364C"/>
    <w:rsid w:val="00464C20"/>
    <w:rsid w:val="00466044"/>
    <w:rsid w:val="00473DDA"/>
    <w:rsid w:val="00474B2F"/>
    <w:rsid w:val="00475FE2"/>
    <w:rsid w:val="004802FC"/>
    <w:rsid w:val="00481BE7"/>
    <w:rsid w:val="00482CF8"/>
    <w:rsid w:val="00482F1A"/>
    <w:rsid w:val="004844D1"/>
    <w:rsid w:val="00486E9B"/>
    <w:rsid w:val="0049250E"/>
    <w:rsid w:val="004938FF"/>
    <w:rsid w:val="0049591A"/>
    <w:rsid w:val="004970F2"/>
    <w:rsid w:val="004A2070"/>
    <w:rsid w:val="004A2A27"/>
    <w:rsid w:val="004A3ED2"/>
    <w:rsid w:val="004A4982"/>
    <w:rsid w:val="004A5A03"/>
    <w:rsid w:val="004A732D"/>
    <w:rsid w:val="004A7C28"/>
    <w:rsid w:val="004B6399"/>
    <w:rsid w:val="004B64A2"/>
    <w:rsid w:val="004B6731"/>
    <w:rsid w:val="004C0817"/>
    <w:rsid w:val="004C0CD5"/>
    <w:rsid w:val="004C1069"/>
    <w:rsid w:val="004D249E"/>
    <w:rsid w:val="004D282F"/>
    <w:rsid w:val="004D78AE"/>
    <w:rsid w:val="004E0FA5"/>
    <w:rsid w:val="004E1822"/>
    <w:rsid w:val="004E2A85"/>
    <w:rsid w:val="004E2AD3"/>
    <w:rsid w:val="004F2725"/>
    <w:rsid w:val="004F2EB9"/>
    <w:rsid w:val="004F305B"/>
    <w:rsid w:val="004F434B"/>
    <w:rsid w:val="004F7309"/>
    <w:rsid w:val="00500775"/>
    <w:rsid w:val="00500AC0"/>
    <w:rsid w:val="00504201"/>
    <w:rsid w:val="00511E57"/>
    <w:rsid w:val="00513063"/>
    <w:rsid w:val="0051425A"/>
    <w:rsid w:val="005146F9"/>
    <w:rsid w:val="0051535D"/>
    <w:rsid w:val="00521E96"/>
    <w:rsid w:val="005315A3"/>
    <w:rsid w:val="00531A76"/>
    <w:rsid w:val="00541D80"/>
    <w:rsid w:val="00545F65"/>
    <w:rsid w:val="00546EDF"/>
    <w:rsid w:val="005476BB"/>
    <w:rsid w:val="0055015E"/>
    <w:rsid w:val="0055155D"/>
    <w:rsid w:val="00552880"/>
    <w:rsid w:val="005553DD"/>
    <w:rsid w:val="00562FD5"/>
    <w:rsid w:val="00563A89"/>
    <w:rsid w:val="00583185"/>
    <w:rsid w:val="0058630A"/>
    <w:rsid w:val="005864CE"/>
    <w:rsid w:val="005908A4"/>
    <w:rsid w:val="00592F25"/>
    <w:rsid w:val="005A075B"/>
    <w:rsid w:val="005A1090"/>
    <w:rsid w:val="005A2653"/>
    <w:rsid w:val="005A47D2"/>
    <w:rsid w:val="005A4B0F"/>
    <w:rsid w:val="005B11B1"/>
    <w:rsid w:val="005B2A68"/>
    <w:rsid w:val="005B2E8A"/>
    <w:rsid w:val="005B71FE"/>
    <w:rsid w:val="005C16B4"/>
    <w:rsid w:val="005C3AFA"/>
    <w:rsid w:val="005C522B"/>
    <w:rsid w:val="005D0243"/>
    <w:rsid w:val="005D1809"/>
    <w:rsid w:val="005D62D3"/>
    <w:rsid w:val="005D7465"/>
    <w:rsid w:val="005E10F4"/>
    <w:rsid w:val="005E5454"/>
    <w:rsid w:val="005F09EE"/>
    <w:rsid w:val="005F489F"/>
    <w:rsid w:val="005F4FCC"/>
    <w:rsid w:val="005F5C48"/>
    <w:rsid w:val="005F7193"/>
    <w:rsid w:val="005F7412"/>
    <w:rsid w:val="005F76F1"/>
    <w:rsid w:val="00601782"/>
    <w:rsid w:val="00604ECA"/>
    <w:rsid w:val="006051AB"/>
    <w:rsid w:val="00611A23"/>
    <w:rsid w:val="00615373"/>
    <w:rsid w:val="00617319"/>
    <w:rsid w:val="00625C34"/>
    <w:rsid w:val="0063185D"/>
    <w:rsid w:val="006409B6"/>
    <w:rsid w:val="00643871"/>
    <w:rsid w:val="006509E1"/>
    <w:rsid w:val="00651C89"/>
    <w:rsid w:val="00654453"/>
    <w:rsid w:val="00654E30"/>
    <w:rsid w:val="00656667"/>
    <w:rsid w:val="006629DD"/>
    <w:rsid w:val="00662A00"/>
    <w:rsid w:val="00664B29"/>
    <w:rsid w:val="00667567"/>
    <w:rsid w:val="00667584"/>
    <w:rsid w:val="00670377"/>
    <w:rsid w:val="0067228E"/>
    <w:rsid w:val="006730A4"/>
    <w:rsid w:val="00675EEE"/>
    <w:rsid w:val="00680294"/>
    <w:rsid w:val="00680F53"/>
    <w:rsid w:val="006823C9"/>
    <w:rsid w:val="00682AAA"/>
    <w:rsid w:val="00684781"/>
    <w:rsid w:val="0068487D"/>
    <w:rsid w:val="006856F1"/>
    <w:rsid w:val="00685DC3"/>
    <w:rsid w:val="006861D2"/>
    <w:rsid w:val="00686AE0"/>
    <w:rsid w:val="006923A3"/>
    <w:rsid w:val="00692C09"/>
    <w:rsid w:val="006A13F2"/>
    <w:rsid w:val="006A757E"/>
    <w:rsid w:val="006A7D4C"/>
    <w:rsid w:val="006B05A9"/>
    <w:rsid w:val="006B1CD8"/>
    <w:rsid w:val="006B1E3B"/>
    <w:rsid w:val="006B2256"/>
    <w:rsid w:val="006B678A"/>
    <w:rsid w:val="006B6CE0"/>
    <w:rsid w:val="006B7A72"/>
    <w:rsid w:val="006C00C2"/>
    <w:rsid w:val="006C68BA"/>
    <w:rsid w:val="006C722E"/>
    <w:rsid w:val="006C76D2"/>
    <w:rsid w:val="006D0531"/>
    <w:rsid w:val="006D08B1"/>
    <w:rsid w:val="006D6DFE"/>
    <w:rsid w:val="006D7AF3"/>
    <w:rsid w:val="006E17F0"/>
    <w:rsid w:val="006E3235"/>
    <w:rsid w:val="006E3F95"/>
    <w:rsid w:val="006E46B1"/>
    <w:rsid w:val="006E747E"/>
    <w:rsid w:val="006E78EB"/>
    <w:rsid w:val="006F2208"/>
    <w:rsid w:val="006F285E"/>
    <w:rsid w:val="006F51CD"/>
    <w:rsid w:val="006F6EE3"/>
    <w:rsid w:val="006F73D2"/>
    <w:rsid w:val="00703F37"/>
    <w:rsid w:val="00704D43"/>
    <w:rsid w:val="00704F3F"/>
    <w:rsid w:val="00713C67"/>
    <w:rsid w:val="007147AC"/>
    <w:rsid w:val="00715BCB"/>
    <w:rsid w:val="00721ED0"/>
    <w:rsid w:val="00725686"/>
    <w:rsid w:val="00725CB3"/>
    <w:rsid w:val="00737584"/>
    <w:rsid w:val="0074048C"/>
    <w:rsid w:val="00741F64"/>
    <w:rsid w:val="00747D95"/>
    <w:rsid w:val="00750D52"/>
    <w:rsid w:val="0075218F"/>
    <w:rsid w:val="0075345E"/>
    <w:rsid w:val="007548D7"/>
    <w:rsid w:val="00756D74"/>
    <w:rsid w:val="00757391"/>
    <w:rsid w:val="00757975"/>
    <w:rsid w:val="00766562"/>
    <w:rsid w:val="007716E5"/>
    <w:rsid w:val="00784E87"/>
    <w:rsid w:val="007857CA"/>
    <w:rsid w:val="00790229"/>
    <w:rsid w:val="00790933"/>
    <w:rsid w:val="00792EBD"/>
    <w:rsid w:val="00796036"/>
    <w:rsid w:val="007A0357"/>
    <w:rsid w:val="007A04A0"/>
    <w:rsid w:val="007A1690"/>
    <w:rsid w:val="007A1AE0"/>
    <w:rsid w:val="007A4F27"/>
    <w:rsid w:val="007A6A33"/>
    <w:rsid w:val="007A7DDF"/>
    <w:rsid w:val="007B0EBE"/>
    <w:rsid w:val="007B33D6"/>
    <w:rsid w:val="007B6131"/>
    <w:rsid w:val="007B663F"/>
    <w:rsid w:val="007B71CF"/>
    <w:rsid w:val="007C1C30"/>
    <w:rsid w:val="007C1D0A"/>
    <w:rsid w:val="007C2716"/>
    <w:rsid w:val="007C2854"/>
    <w:rsid w:val="007C52D7"/>
    <w:rsid w:val="007C5EEB"/>
    <w:rsid w:val="007D440C"/>
    <w:rsid w:val="007D452A"/>
    <w:rsid w:val="007D471F"/>
    <w:rsid w:val="007E14CA"/>
    <w:rsid w:val="007E378F"/>
    <w:rsid w:val="007E3CEB"/>
    <w:rsid w:val="007E6A9F"/>
    <w:rsid w:val="007E6FBA"/>
    <w:rsid w:val="007E75C5"/>
    <w:rsid w:val="007F1082"/>
    <w:rsid w:val="007F4192"/>
    <w:rsid w:val="007F48C4"/>
    <w:rsid w:val="007F5058"/>
    <w:rsid w:val="007F6016"/>
    <w:rsid w:val="00802677"/>
    <w:rsid w:val="00814F4D"/>
    <w:rsid w:val="008152A0"/>
    <w:rsid w:val="0081547C"/>
    <w:rsid w:val="008251D4"/>
    <w:rsid w:val="00825455"/>
    <w:rsid w:val="00830DDC"/>
    <w:rsid w:val="00836013"/>
    <w:rsid w:val="008452B9"/>
    <w:rsid w:val="0084557F"/>
    <w:rsid w:val="0084590C"/>
    <w:rsid w:val="008477FB"/>
    <w:rsid w:val="008501ED"/>
    <w:rsid w:val="008511B8"/>
    <w:rsid w:val="00855832"/>
    <w:rsid w:val="00860F46"/>
    <w:rsid w:val="0086215A"/>
    <w:rsid w:val="00862D14"/>
    <w:rsid w:val="00863D0C"/>
    <w:rsid w:val="0086655E"/>
    <w:rsid w:val="0086762F"/>
    <w:rsid w:val="0087022A"/>
    <w:rsid w:val="0087096E"/>
    <w:rsid w:val="0087111C"/>
    <w:rsid w:val="008714F6"/>
    <w:rsid w:val="008732A6"/>
    <w:rsid w:val="00873425"/>
    <w:rsid w:val="008743C9"/>
    <w:rsid w:val="0087780C"/>
    <w:rsid w:val="00877BF5"/>
    <w:rsid w:val="0088728A"/>
    <w:rsid w:val="00887F4D"/>
    <w:rsid w:val="0089271B"/>
    <w:rsid w:val="00894993"/>
    <w:rsid w:val="00897BC8"/>
    <w:rsid w:val="008A35DE"/>
    <w:rsid w:val="008A7E5E"/>
    <w:rsid w:val="008B54D7"/>
    <w:rsid w:val="008C3631"/>
    <w:rsid w:val="008D267D"/>
    <w:rsid w:val="008D2A93"/>
    <w:rsid w:val="008D2AD6"/>
    <w:rsid w:val="008D3326"/>
    <w:rsid w:val="008D4DD4"/>
    <w:rsid w:val="008D5CCB"/>
    <w:rsid w:val="008D5F9D"/>
    <w:rsid w:val="008D7A9C"/>
    <w:rsid w:val="008E2C7C"/>
    <w:rsid w:val="008E4609"/>
    <w:rsid w:val="008E4BFB"/>
    <w:rsid w:val="008E5310"/>
    <w:rsid w:val="008E5FAD"/>
    <w:rsid w:val="008E5FE3"/>
    <w:rsid w:val="008E61AD"/>
    <w:rsid w:val="008F3DCD"/>
    <w:rsid w:val="008F6374"/>
    <w:rsid w:val="008F6925"/>
    <w:rsid w:val="008F7602"/>
    <w:rsid w:val="009031A2"/>
    <w:rsid w:val="0090541D"/>
    <w:rsid w:val="009059DC"/>
    <w:rsid w:val="00912CA9"/>
    <w:rsid w:val="00913443"/>
    <w:rsid w:val="00913F9A"/>
    <w:rsid w:val="00915FF3"/>
    <w:rsid w:val="00921BBA"/>
    <w:rsid w:val="00921ED0"/>
    <w:rsid w:val="00923700"/>
    <w:rsid w:val="00923BFF"/>
    <w:rsid w:val="00924807"/>
    <w:rsid w:val="009261BF"/>
    <w:rsid w:val="009301E4"/>
    <w:rsid w:val="00930D70"/>
    <w:rsid w:val="009329E6"/>
    <w:rsid w:val="00933EFD"/>
    <w:rsid w:val="00934E60"/>
    <w:rsid w:val="00935B54"/>
    <w:rsid w:val="0094161D"/>
    <w:rsid w:val="009468E3"/>
    <w:rsid w:val="0095664C"/>
    <w:rsid w:val="0095717A"/>
    <w:rsid w:val="00966D4C"/>
    <w:rsid w:val="00966F4A"/>
    <w:rsid w:val="009674BE"/>
    <w:rsid w:val="00976557"/>
    <w:rsid w:val="0097699C"/>
    <w:rsid w:val="0097741C"/>
    <w:rsid w:val="00977562"/>
    <w:rsid w:val="0097795F"/>
    <w:rsid w:val="009828B4"/>
    <w:rsid w:val="00982F4D"/>
    <w:rsid w:val="00985FB9"/>
    <w:rsid w:val="00995674"/>
    <w:rsid w:val="00997D8B"/>
    <w:rsid w:val="009A1411"/>
    <w:rsid w:val="009B6178"/>
    <w:rsid w:val="009C27E4"/>
    <w:rsid w:val="009C2AC4"/>
    <w:rsid w:val="009C48AA"/>
    <w:rsid w:val="009C5D1B"/>
    <w:rsid w:val="009D6249"/>
    <w:rsid w:val="009D7643"/>
    <w:rsid w:val="009E1A38"/>
    <w:rsid w:val="009E26A8"/>
    <w:rsid w:val="009E3F8B"/>
    <w:rsid w:val="009E6666"/>
    <w:rsid w:val="009F0213"/>
    <w:rsid w:val="009F0DD2"/>
    <w:rsid w:val="009F29D6"/>
    <w:rsid w:val="009F61B2"/>
    <w:rsid w:val="00A00AE9"/>
    <w:rsid w:val="00A0288F"/>
    <w:rsid w:val="00A06EE8"/>
    <w:rsid w:val="00A124DF"/>
    <w:rsid w:val="00A164C6"/>
    <w:rsid w:val="00A16C28"/>
    <w:rsid w:val="00A17C8F"/>
    <w:rsid w:val="00A21E8B"/>
    <w:rsid w:val="00A223C2"/>
    <w:rsid w:val="00A266DE"/>
    <w:rsid w:val="00A27724"/>
    <w:rsid w:val="00A37371"/>
    <w:rsid w:val="00A40343"/>
    <w:rsid w:val="00A40760"/>
    <w:rsid w:val="00A415F3"/>
    <w:rsid w:val="00A44FCA"/>
    <w:rsid w:val="00A4547C"/>
    <w:rsid w:val="00A4594A"/>
    <w:rsid w:val="00A472C2"/>
    <w:rsid w:val="00A50E99"/>
    <w:rsid w:val="00A57938"/>
    <w:rsid w:val="00A617B1"/>
    <w:rsid w:val="00A619FF"/>
    <w:rsid w:val="00A63CB1"/>
    <w:rsid w:val="00A65348"/>
    <w:rsid w:val="00A662CA"/>
    <w:rsid w:val="00A71155"/>
    <w:rsid w:val="00A71750"/>
    <w:rsid w:val="00A73684"/>
    <w:rsid w:val="00A73B06"/>
    <w:rsid w:val="00A773C2"/>
    <w:rsid w:val="00A81823"/>
    <w:rsid w:val="00A90FF2"/>
    <w:rsid w:val="00A94898"/>
    <w:rsid w:val="00A94B27"/>
    <w:rsid w:val="00A9537A"/>
    <w:rsid w:val="00A95454"/>
    <w:rsid w:val="00A95687"/>
    <w:rsid w:val="00A9680C"/>
    <w:rsid w:val="00A97031"/>
    <w:rsid w:val="00A97E05"/>
    <w:rsid w:val="00AA1ABB"/>
    <w:rsid w:val="00AA1C23"/>
    <w:rsid w:val="00AA451B"/>
    <w:rsid w:val="00AA4C43"/>
    <w:rsid w:val="00AA672B"/>
    <w:rsid w:val="00AB3145"/>
    <w:rsid w:val="00AB4A16"/>
    <w:rsid w:val="00AB5DBA"/>
    <w:rsid w:val="00AB720B"/>
    <w:rsid w:val="00AC3302"/>
    <w:rsid w:val="00AC6E70"/>
    <w:rsid w:val="00AD0E56"/>
    <w:rsid w:val="00AD20C4"/>
    <w:rsid w:val="00AD3FC7"/>
    <w:rsid w:val="00AD5BC6"/>
    <w:rsid w:val="00AD72EB"/>
    <w:rsid w:val="00AE02A9"/>
    <w:rsid w:val="00AE161C"/>
    <w:rsid w:val="00AE67E5"/>
    <w:rsid w:val="00AF22E0"/>
    <w:rsid w:val="00AF2438"/>
    <w:rsid w:val="00AF60A3"/>
    <w:rsid w:val="00B012F8"/>
    <w:rsid w:val="00B04E1D"/>
    <w:rsid w:val="00B13683"/>
    <w:rsid w:val="00B13CBF"/>
    <w:rsid w:val="00B1698F"/>
    <w:rsid w:val="00B2088A"/>
    <w:rsid w:val="00B232EA"/>
    <w:rsid w:val="00B2331E"/>
    <w:rsid w:val="00B2366B"/>
    <w:rsid w:val="00B24022"/>
    <w:rsid w:val="00B2652E"/>
    <w:rsid w:val="00B274E3"/>
    <w:rsid w:val="00B36C58"/>
    <w:rsid w:val="00B42EF3"/>
    <w:rsid w:val="00B438A2"/>
    <w:rsid w:val="00B45B8D"/>
    <w:rsid w:val="00B469A4"/>
    <w:rsid w:val="00B53FB6"/>
    <w:rsid w:val="00B54AA4"/>
    <w:rsid w:val="00B61CB0"/>
    <w:rsid w:val="00B61E76"/>
    <w:rsid w:val="00B64A69"/>
    <w:rsid w:val="00B7155D"/>
    <w:rsid w:val="00B71C5F"/>
    <w:rsid w:val="00B80E7E"/>
    <w:rsid w:val="00B811FF"/>
    <w:rsid w:val="00B81C04"/>
    <w:rsid w:val="00B83CEA"/>
    <w:rsid w:val="00B87145"/>
    <w:rsid w:val="00B8715D"/>
    <w:rsid w:val="00B953CD"/>
    <w:rsid w:val="00B979BD"/>
    <w:rsid w:val="00BA02C4"/>
    <w:rsid w:val="00BA06DE"/>
    <w:rsid w:val="00BA2610"/>
    <w:rsid w:val="00BA2C35"/>
    <w:rsid w:val="00BA6F67"/>
    <w:rsid w:val="00BB29A0"/>
    <w:rsid w:val="00BB7E4E"/>
    <w:rsid w:val="00BB7F5E"/>
    <w:rsid w:val="00BC2078"/>
    <w:rsid w:val="00BC21FF"/>
    <w:rsid w:val="00BC38C0"/>
    <w:rsid w:val="00BC429B"/>
    <w:rsid w:val="00BC6242"/>
    <w:rsid w:val="00BD2868"/>
    <w:rsid w:val="00BD3C3F"/>
    <w:rsid w:val="00BE0E79"/>
    <w:rsid w:val="00BE139C"/>
    <w:rsid w:val="00BF252F"/>
    <w:rsid w:val="00BF3A9B"/>
    <w:rsid w:val="00BF673E"/>
    <w:rsid w:val="00C035D4"/>
    <w:rsid w:val="00C03855"/>
    <w:rsid w:val="00C03F9C"/>
    <w:rsid w:val="00C0668E"/>
    <w:rsid w:val="00C13FD0"/>
    <w:rsid w:val="00C15072"/>
    <w:rsid w:val="00C153A1"/>
    <w:rsid w:val="00C2056C"/>
    <w:rsid w:val="00C20A38"/>
    <w:rsid w:val="00C22486"/>
    <w:rsid w:val="00C264F6"/>
    <w:rsid w:val="00C27AC6"/>
    <w:rsid w:val="00C44FD9"/>
    <w:rsid w:val="00C45893"/>
    <w:rsid w:val="00C46005"/>
    <w:rsid w:val="00C46FF9"/>
    <w:rsid w:val="00C50080"/>
    <w:rsid w:val="00C51F2F"/>
    <w:rsid w:val="00C56C5A"/>
    <w:rsid w:val="00C57BB8"/>
    <w:rsid w:val="00C6240D"/>
    <w:rsid w:val="00C62458"/>
    <w:rsid w:val="00C64D9E"/>
    <w:rsid w:val="00C71DCD"/>
    <w:rsid w:val="00C720A9"/>
    <w:rsid w:val="00C75C88"/>
    <w:rsid w:val="00C76992"/>
    <w:rsid w:val="00C7769A"/>
    <w:rsid w:val="00C80213"/>
    <w:rsid w:val="00C8101F"/>
    <w:rsid w:val="00C81676"/>
    <w:rsid w:val="00C8527B"/>
    <w:rsid w:val="00C864FA"/>
    <w:rsid w:val="00C91356"/>
    <w:rsid w:val="00C9234F"/>
    <w:rsid w:val="00C92745"/>
    <w:rsid w:val="00C92C12"/>
    <w:rsid w:val="00C92D55"/>
    <w:rsid w:val="00CA4273"/>
    <w:rsid w:val="00CA5E08"/>
    <w:rsid w:val="00CB1669"/>
    <w:rsid w:val="00CB434F"/>
    <w:rsid w:val="00CB49BC"/>
    <w:rsid w:val="00CC307B"/>
    <w:rsid w:val="00CC3F73"/>
    <w:rsid w:val="00CC5B22"/>
    <w:rsid w:val="00CC6A23"/>
    <w:rsid w:val="00CC6CA7"/>
    <w:rsid w:val="00CD2294"/>
    <w:rsid w:val="00CD30AE"/>
    <w:rsid w:val="00CD3639"/>
    <w:rsid w:val="00CD4FAC"/>
    <w:rsid w:val="00CE274E"/>
    <w:rsid w:val="00CE410A"/>
    <w:rsid w:val="00CE7AEB"/>
    <w:rsid w:val="00CF181E"/>
    <w:rsid w:val="00CF30A1"/>
    <w:rsid w:val="00D00C1C"/>
    <w:rsid w:val="00D01A2B"/>
    <w:rsid w:val="00D04FAA"/>
    <w:rsid w:val="00D052C7"/>
    <w:rsid w:val="00D12AD0"/>
    <w:rsid w:val="00D21155"/>
    <w:rsid w:val="00D2152B"/>
    <w:rsid w:val="00D22568"/>
    <w:rsid w:val="00D24E43"/>
    <w:rsid w:val="00D25E80"/>
    <w:rsid w:val="00D27DFA"/>
    <w:rsid w:val="00D30074"/>
    <w:rsid w:val="00D33622"/>
    <w:rsid w:val="00D34E96"/>
    <w:rsid w:val="00D352F6"/>
    <w:rsid w:val="00D35BB3"/>
    <w:rsid w:val="00D43DBA"/>
    <w:rsid w:val="00D463D9"/>
    <w:rsid w:val="00D46659"/>
    <w:rsid w:val="00D469F5"/>
    <w:rsid w:val="00D53A26"/>
    <w:rsid w:val="00D56943"/>
    <w:rsid w:val="00D640C3"/>
    <w:rsid w:val="00D6426D"/>
    <w:rsid w:val="00D646DE"/>
    <w:rsid w:val="00D648D1"/>
    <w:rsid w:val="00D67014"/>
    <w:rsid w:val="00D71830"/>
    <w:rsid w:val="00D71E08"/>
    <w:rsid w:val="00D82045"/>
    <w:rsid w:val="00D8324F"/>
    <w:rsid w:val="00D832A0"/>
    <w:rsid w:val="00D8437A"/>
    <w:rsid w:val="00D87345"/>
    <w:rsid w:val="00D913F7"/>
    <w:rsid w:val="00D9505D"/>
    <w:rsid w:val="00D952AA"/>
    <w:rsid w:val="00D97C77"/>
    <w:rsid w:val="00DA28EB"/>
    <w:rsid w:val="00DA4A01"/>
    <w:rsid w:val="00DA65FD"/>
    <w:rsid w:val="00DA726B"/>
    <w:rsid w:val="00DB1B9F"/>
    <w:rsid w:val="00DB3B96"/>
    <w:rsid w:val="00DB640C"/>
    <w:rsid w:val="00DB6C1F"/>
    <w:rsid w:val="00DC7A94"/>
    <w:rsid w:val="00DE005A"/>
    <w:rsid w:val="00DE2173"/>
    <w:rsid w:val="00DE3FB4"/>
    <w:rsid w:val="00DE5B86"/>
    <w:rsid w:val="00DE6829"/>
    <w:rsid w:val="00DF0ECB"/>
    <w:rsid w:val="00DF56B6"/>
    <w:rsid w:val="00DF57FE"/>
    <w:rsid w:val="00E02E1D"/>
    <w:rsid w:val="00E046C6"/>
    <w:rsid w:val="00E066B7"/>
    <w:rsid w:val="00E06CA5"/>
    <w:rsid w:val="00E13374"/>
    <w:rsid w:val="00E137C3"/>
    <w:rsid w:val="00E13C8E"/>
    <w:rsid w:val="00E16611"/>
    <w:rsid w:val="00E16E8D"/>
    <w:rsid w:val="00E22AB6"/>
    <w:rsid w:val="00E23012"/>
    <w:rsid w:val="00E307B5"/>
    <w:rsid w:val="00E32F66"/>
    <w:rsid w:val="00E33FAB"/>
    <w:rsid w:val="00E4033F"/>
    <w:rsid w:val="00E4106A"/>
    <w:rsid w:val="00E4121D"/>
    <w:rsid w:val="00E42E3F"/>
    <w:rsid w:val="00E478D8"/>
    <w:rsid w:val="00E47FE7"/>
    <w:rsid w:val="00E51566"/>
    <w:rsid w:val="00E51E31"/>
    <w:rsid w:val="00E523AA"/>
    <w:rsid w:val="00E54143"/>
    <w:rsid w:val="00E60F75"/>
    <w:rsid w:val="00E629B0"/>
    <w:rsid w:val="00E629C2"/>
    <w:rsid w:val="00E6339F"/>
    <w:rsid w:val="00E64F05"/>
    <w:rsid w:val="00E65335"/>
    <w:rsid w:val="00E70C2D"/>
    <w:rsid w:val="00E739D3"/>
    <w:rsid w:val="00E74BE2"/>
    <w:rsid w:val="00E7754C"/>
    <w:rsid w:val="00E80A49"/>
    <w:rsid w:val="00E83BB2"/>
    <w:rsid w:val="00E85369"/>
    <w:rsid w:val="00E85F02"/>
    <w:rsid w:val="00E863E4"/>
    <w:rsid w:val="00E87C4A"/>
    <w:rsid w:val="00E92036"/>
    <w:rsid w:val="00E94CFB"/>
    <w:rsid w:val="00E96018"/>
    <w:rsid w:val="00EA4FD4"/>
    <w:rsid w:val="00EB155B"/>
    <w:rsid w:val="00EC2C44"/>
    <w:rsid w:val="00EC3783"/>
    <w:rsid w:val="00EC3F72"/>
    <w:rsid w:val="00EC5FA5"/>
    <w:rsid w:val="00EC6437"/>
    <w:rsid w:val="00ED56A9"/>
    <w:rsid w:val="00ED69EA"/>
    <w:rsid w:val="00EE32EB"/>
    <w:rsid w:val="00EE4DAC"/>
    <w:rsid w:val="00EE65FC"/>
    <w:rsid w:val="00EF2A2B"/>
    <w:rsid w:val="00EF3612"/>
    <w:rsid w:val="00EF3FB4"/>
    <w:rsid w:val="00EF6A2A"/>
    <w:rsid w:val="00EF7276"/>
    <w:rsid w:val="00F00ABC"/>
    <w:rsid w:val="00F0360C"/>
    <w:rsid w:val="00F14DDC"/>
    <w:rsid w:val="00F1566D"/>
    <w:rsid w:val="00F15959"/>
    <w:rsid w:val="00F15B3B"/>
    <w:rsid w:val="00F32226"/>
    <w:rsid w:val="00F33213"/>
    <w:rsid w:val="00F40354"/>
    <w:rsid w:val="00F40436"/>
    <w:rsid w:val="00F41A6C"/>
    <w:rsid w:val="00F43A62"/>
    <w:rsid w:val="00F52B42"/>
    <w:rsid w:val="00F545E6"/>
    <w:rsid w:val="00F54911"/>
    <w:rsid w:val="00F616B3"/>
    <w:rsid w:val="00F66FA0"/>
    <w:rsid w:val="00F67930"/>
    <w:rsid w:val="00F736B7"/>
    <w:rsid w:val="00F83881"/>
    <w:rsid w:val="00F8784A"/>
    <w:rsid w:val="00F904DE"/>
    <w:rsid w:val="00F909FE"/>
    <w:rsid w:val="00F90CA3"/>
    <w:rsid w:val="00F92111"/>
    <w:rsid w:val="00FA2BB6"/>
    <w:rsid w:val="00FB1504"/>
    <w:rsid w:val="00FB3BEB"/>
    <w:rsid w:val="00FB4B25"/>
    <w:rsid w:val="00FB7BF2"/>
    <w:rsid w:val="00FC1155"/>
    <w:rsid w:val="00FC296D"/>
    <w:rsid w:val="00FC31C0"/>
    <w:rsid w:val="00FC3B2E"/>
    <w:rsid w:val="00FC53FC"/>
    <w:rsid w:val="00FD06BF"/>
    <w:rsid w:val="00FD0A4E"/>
    <w:rsid w:val="00FD5632"/>
    <w:rsid w:val="00FD6E57"/>
    <w:rsid w:val="00FE30D7"/>
    <w:rsid w:val="00FE46E5"/>
    <w:rsid w:val="00FF494C"/>
    <w:rsid w:val="00FF7082"/>
    <w:rsid w:val="01107E19"/>
    <w:rsid w:val="011356B4"/>
    <w:rsid w:val="01225A02"/>
    <w:rsid w:val="012F37F7"/>
    <w:rsid w:val="016021FC"/>
    <w:rsid w:val="016F0596"/>
    <w:rsid w:val="017E5D32"/>
    <w:rsid w:val="019A60C3"/>
    <w:rsid w:val="01B24190"/>
    <w:rsid w:val="01B5158C"/>
    <w:rsid w:val="01CC7C92"/>
    <w:rsid w:val="01CE3A0A"/>
    <w:rsid w:val="01D4523A"/>
    <w:rsid w:val="0219794D"/>
    <w:rsid w:val="021E3557"/>
    <w:rsid w:val="02575D84"/>
    <w:rsid w:val="025D58D9"/>
    <w:rsid w:val="02693733"/>
    <w:rsid w:val="027C32E6"/>
    <w:rsid w:val="029359EA"/>
    <w:rsid w:val="02A05D4B"/>
    <w:rsid w:val="02BB4E97"/>
    <w:rsid w:val="02E03475"/>
    <w:rsid w:val="02E1776D"/>
    <w:rsid w:val="02E67D73"/>
    <w:rsid w:val="02EC09B2"/>
    <w:rsid w:val="02EF1E8A"/>
    <w:rsid w:val="032B023F"/>
    <w:rsid w:val="03555351"/>
    <w:rsid w:val="03593D13"/>
    <w:rsid w:val="03633E11"/>
    <w:rsid w:val="03660EA5"/>
    <w:rsid w:val="03884169"/>
    <w:rsid w:val="03AE5215"/>
    <w:rsid w:val="03E727F4"/>
    <w:rsid w:val="03F462B0"/>
    <w:rsid w:val="040A4AA1"/>
    <w:rsid w:val="041D6970"/>
    <w:rsid w:val="042610C6"/>
    <w:rsid w:val="04374897"/>
    <w:rsid w:val="043A46D7"/>
    <w:rsid w:val="043C447B"/>
    <w:rsid w:val="04450E02"/>
    <w:rsid w:val="046631B1"/>
    <w:rsid w:val="046B7DD1"/>
    <w:rsid w:val="047A67A7"/>
    <w:rsid w:val="049B088D"/>
    <w:rsid w:val="04BC0280"/>
    <w:rsid w:val="04C36EF1"/>
    <w:rsid w:val="04D04FF2"/>
    <w:rsid w:val="04DC7F6E"/>
    <w:rsid w:val="04E142B5"/>
    <w:rsid w:val="04FC6AE0"/>
    <w:rsid w:val="050B234F"/>
    <w:rsid w:val="052D0A47"/>
    <w:rsid w:val="05367DBC"/>
    <w:rsid w:val="054261FF"/>
    <w:rsid w:val="05542EE3"/>
    <w:rsid w:val="055D3430"/>
    <w:rsid w:val="05690A99"/>
    <w:rsid w:val="056C1F8D"/>
    <w:rsid w:val="05762867"/>
    <w:rsid w:val="05947000"/>
    <w:rsid w:val="0595014E"/>
    <w:rsid w:val="059C7408"/>
    <w:rsid w:val="05B9052D"/>
    <w:rsid w:val="05BF3414"/>
    <w:rsid w:val="05C264D5"/>
    <w:rsid w:val="05D77B36"/>
    <w:rsid w:val="05DB46A2"/>
    <w:rsid w:val="05E52DE5"/>
    <w:rsid w:val="0624009C"/>
    <w:rsid w:val="06322819"/>
    <w:rsid w:val="063B5AC4"/>
    <w:rsid w:val="067070D8"/>
    <w:rsid w:val="06877F27"/>
    <w:rsid w:val="069A4B7B"/>
    <w:rsid w:val="06A32D8E"/>
    <w:rsid w:val="06B92903"/>
    <w:rsid w:val="06F063D1"/>
    <w:rsid w:val="06FC2E56"/>
    <w:rsid w:val="070B6B66"/>
    <w:rsid w:val="071D295A"/>
    <w:rsid w:val="07471E3F"/>
    <w:rsid w:val="07554E77"/>
    <w:rsid w:val="07835682"/>
    <w:rsid w:val="07AF1A53"/>
    <w:rsid w:val="07B2546E"/>
    <w:rsid w:val="07DB703D"/>
    <w:rsid w:val="07DE1A96"/>
    <w:rsid w:val="07F2281B"/>
    <w:rsid w:val="07F33AD9"/>
    <w:rsid w:val="07FB43F4"/>
    <w:rsid w:val="08000709"/>
    <w:rsid w:val="083F00B3"/>
    <w:rsid w:val="08447156"/>
    <w:rsid w:val="085B2AD6"/>
    <w:rsid w:val="085D23CD"/>
    <w:rsid w:val="086A5B0F"/>
    <w:rsid w:val="0878022B"/>
    <w:rsid w:val="087C2D8F"/>
    <w:rsid w:val="087D5E88"/>
    <w:rsid w:val="089B6610"/>
    <w:rsid w:val="08A97E88"/>
    <w:rsid w:val="08B33F75"/>
    <w:rsid w:val="08B92354"/>
    <w:rsid w:val="08C118F2"/>
    <w:rsid w:val="08CF6358"/>
    <w:rsid w:val="08D230F7"/>
    <w:rsid w:val="08DC373B"/>
    <w:rsid w:val="094A2B91"/>
    <w:rsid w:val="095E4F87"/>
    <w:rsid w:val="09976DD7"/>
    <w:rsid w:val="09BC05EC"/>
    <w:rsid w:val="09C465BB"/>
    <w:rsid w:val="09C821FE"/>
    <w:rsid w:val="09D341AB"/>
    <w:rsid w:val="0A06762D"/>
    <w:rsid w:val="0A3C5A1C"/>
    <w:rsid w:val="0A80192D"/>
    <w:rsid w:val="0A92306E"/>
    <w:rsid w:val="0AA42F62"/>
    <w:rsid w:val="0AC534D0"/>
    <w:rsid w:val="0ACB3BCE"/>
    <w:rsid w:val="0AEB3411"/>
    <w:rsid w:val="0B422D73"/>
    <w:rsid w:val="0B5225DE"/>
    <w:rsid w:val="0B5D7822"/>
    <w:rsid w:val="0B8074CB"/>
    <w:rsid w:val="0B811B9C"/>
    <w:rsid w:val="0B8F2CE6"/>
    <w:rsid w:val="0BA53A2D"/>
    <w:rsid w:val="0BA77F71"/>
    <w:rsid w:val="0BB06266"/>
    <w:rsid w:val="0BB51F9F"/>
    <w:rsid w:val="0BC83764"/>
    <w:rsid w:val="0BCA4682"/>
    <w:rsid w:val="0BE00631"/>
    <w:rsid w:val="0C203D34"/>
    <w:rsid w:val="0C344103"/>
    <w:rsid w:val="0C3C1E0A"/>
    <w:rsid w:val="0C40649B"/>
    <w:rsid w:val="0C553C79"/>
    <w:rsid w:val="0C59767E"/>
    <w:rsid w:val="0C821790"/>
    <w:rsid w:val="0C9238A7"/>
    <w:rsid w:val="0C984466"/>
    <w:rsid w:val="0CDB303E"/>
    <w:rsid w:val="0CDF52BC"/>
    <w:rsid w:val="0CF87B8D"/>
    <w:rsid w:val="0D21374F"/>
    <w:rsid w:val="0D315E36"/>
    <w:rsid w:val="0D805012"/>
    <w:rsid w:val="0D8E6743"/>
    <w:rsid w:val="0D976EAB"/>
    <w:rsid w:val="0DC448D2"/>
    <w:rsid w:val="0DE94EC0"/>
    <w:rsid w:val="0DEB0E17"/>
    <w:rsid w:val="0E1D65B7"/>
    <w:rsid w:val="0E2C34E0"/>
    <w:rsid w:val="0E304D89"/>
    <w:rsid w:val="0E384A6A"/>
    <w:rsid w:val="0E603C62"/>
    <w:rsid w:val="0E630C21"/>
    <w:rsid w:val="0E6A2D0C"/>
    <w:rsid w:val="0E782BC0"/>
    <w:rsid w:val="0E870951"/>
    <w:rsid w:val="0E880988"/>
    <w:rsid w:val="0E8F650B"/>
    <w:rsid w:val="0EA31D7A"/>
    <w:rsid w:val="0EA653BA"/>
    <w:rsid w:val="0EAD3E9A"/>
    <w:rsid w:val="0EC56195"/>
    <w:rsid w:val="0ECC4F3E"/>
    <w:rsid w:val="0EE62235"/>
    <w:rsid w:val="0EED409A"/>
    <w:rsid w:val="0EF93C6A"/>
    <w:rsid w:val="0F2C0C6E"/>
    <w:rsid w:val="0F474DFC"/>
    <w:rsid w:val="0F580DB7"/>
    <w:rsid w:val="0F707EAE"/>
    <w:rsid w:val="0F7B5780"/>
    <w:rsid w:val="0F8E6586"/>
    <w:rsid w:val="0FBE25DD"/>
    <w:rsid w:val="0FC01A82"/>
    <w:rsid w:val="0FC31730"/>
    <w:rsid w:val="0FD85ED6"/>
    <w:rsid w:val="0FDD7863"/>
    <w:rsid w:val="0FEE36BE"/>
    <w:rsid w:val="0FF77CA6"/>
    <w:rsid w:val="10007B7F"/>
    <w:rsid w:val="10044A9B"/>
    <w:rsid w:val="100827DD"/>
    <w:rsid w:val="101E632F"/>
    <w:rsid w:val="102120F3"/>
    <w:rsid w:val="104F3F68"/>
    <w:rsid w:val="105D50FE"/>
    <w:rsid w:val="106D1DC6"/>
    <w:rsid w:val="10816623"/>
    <w:rsid w:val="10896255"/>
    <w:rsid w:val="108D0836"/>
    <w:rsid w:val="10A31D06"/>
    <w:rsid w:val="10C326C0"/>
    <w:rsid w:val="10CE0488"/>
    <w:rsid w:val="10DC4F31"/>
    <w:rsid w:val="10EC17B7"/>
    <w:rsid w:val="110441D6"/>
    <w:rsid w:val="11462FAC"/>
    <w:rsid w:val="11513D10"/>
    <w:rsid w:val="11661C21"/>
    <w:rsid w:val="11907E11"/>
    <w:rsid w:val="11B17F46"/>
    <w:rsid w:val="11CB63BB"/>
    <w:rsid w:val="12015736"/>
    <w:rsid w:val="120A5129"/>
    <w:rsid w:val="12190440"/>
    <w:rsid w:val="121B5010"/>
    <w:rsid w:val="12243327"/>
    <w:rsid w:val="12286A1B"/>
    <w:rsid w:val="124052A2"/>
    <w:rsid w:val="12435D4E"/>
    <w:rsid w:val="12687A03"/>
    <w:rsid w:val="126957C4"/>
    <w:rsid w:val="126E3A4B"/>
    <w:rsid w:val="128605EB"/>
    <w:rsid w:val="128B0105"/>
    <w:rsid w:val="128D0467"/>
    <w:rsid w:val="128F517C"/>
    <w:rsid w:val="12A54B95"/>
    <w:rsid w:val="12BE624D"/>
    <w:rsid w:val="12C16C73"/>
    <w:rsid w:val="13020803"/>
    <w:rsid w:val="13052EB9"/>
    <w:rsid w:val="131D3C57"/>
    <w:rsid w:val="13201BEB"/>
    <w:rsid w:val="13304431"/>
    <w:rsid w:val="1335711C"/>
    <w:rsid w:val="13584001"/>
    <w:rsid w:val="135E44B2"/>
    <w:rsid w:val="136631CE"/>
    <w:rsid w:val="137274F8"/>
    <w:rsid w:val="137626C4"/>
    <w:rsid w:val="137951EA"/>
    <w:rsid w:val="13A71B77"/>
    <w:rsid w:val="13AC1469"/>
    <w:rsid w:val="13DD73A2"/>
    <w:rsid w:val="13EE51BE"/>
    <w:rsid w:val="140C0BFF"/>
    <w:rsid w:val="141A4414"/>
    <w:rsid w:val="141B57FE"/>
    <w:rsid w:val="1448764C"/>
    <w:rsid w:val="14535FF1"/>
    <w:rsid w:val="14575513"/>
    <w:rsid w:val="145F6029"/>
    <w:rsid w:val="146D0E60"/>
    <w:rsid w:val="14893727"/>
    <w:rsid w:val="148B4609"/>
    <w:rsid w:val="148F2E6E"/>
    <w:rsid w:val="149B393A"/>
    <w:rsid w:val="14AC5AB5"/>
    <w:rsid w:val="14B12098"/>
    <w:rsid w:val="14C263DB"/>
    <w:rsid w:val="14CB2B5C"/>
    <w:rsid w:val="14EA047D"/>
    <w:rsid w:val="14F32497"/>
    <w:rsid w:val="14F50E56"/>
    <w:rsid w:val="151C26CD"/>
    <w:rsid w:val="151D4F6D"/>
    <w:rsid w:val="151E023A"/>
    <w:rsid w:val="152A4FA3"/>
    <w:rsid w:val="15341750"/>
    <w:rsid w:val="15510782"/>
    <w:rsid w:val="15557B25"/>
    <w:rsid w:val="156854C7"/>
    <w:rsid w:val="15861EA1"/>
    <w:rsid w:val="15902CFF"/>
    <w:rsid w:val="15960C16"/>
    <w:rsid w:val="15A506CD"/>
    <w:rsid w:val="15A81BD7"/>
    <w:rsid w:val="15BF3A7B"/>
    <w:rsid w:val="15D60C87"/>
    <w:rsid w:val="15DC0B72"/>
    <w:rsid w:val="15DF13EA"/>
    <w:rsid w:val="15E21005"/>
    <w:rsid w:val="16060436"/>
    <w:rsid w:val="16086B62"/>
    <w:rsid w:val="160E038C"/>
    <w:rsid w:val="161B29FA"/>
    <w:rsid w:val="166F6F12"/>
    <w:rsid w:val="16784837"/>
    <w:rsid w:val="16970A9A"/>
    <w:rsid w:val="169E25CA"/>
    <w:rsid w:val="16A34C65"/>
    <w:rsid w:val="16C857BA"/>
    <w:rsid w:val="16D85E6F"/>
    <w:rsid w:val="16ED6288"/>
    <w:rsid w:val="170C16D5"/>
    <w:rsid w:val="172B6DB1"/>
    <w:rsid w:val="175629E5"/>
    <w:rsid w:val="177E7E8F"/>
    <w:rsid w:val="178070FD"/>
    <w:rsid w:val="17926A70"/>
    <w:rsid w:val="17A93031"/>
    <w:rsid w:val="17B24A6E"/>
    <w:rsid w:val="17BB0135"/>
    <w:rsid w:val="17DD587D"/>
    <w:rsid w:val="17F80C65"/>
    <w:rsid w:val="1820443C"/>
    <w:rsid w:val="1838145F"/>
    <w:rsid w:val="18384D94"/>
    <w:rsid w:val="184B6A12"/>
    <w:rsid w:val="188237C3"/>
    <w:rsid w:val="18BA7D5A"/>
    <w:rsid w:val="18CC1B19"/>
    <w:rsid w:val="18CE338D"/>
    <w:rsid w:val="18E1049D"/>
    <w:rsid w:val="19040BBA"/>
    <w:rsid w:val="1907328B"/>
    <w:rsid w:val="192629B7"/>
    <w:rsid w:val="1943616A"/>
    <w:rsid w:val="194C0F35"/>
    <w:rsid w:val="19541FDD"/>
    <w:rsid w:val="19746AAE"/>
    <w:rsid w:val="19795EB1"/>
    <w:rsid w:val="19B103FF"/>
    <w:rsid w:val="19BD43A9"/>
    <w:rsid w:val="1A033212"/>
    <w:rsid w:val="1A1678A4"/>
    <w:rsid w:val="1A171E05"/>
    <w:rsid w:val="1A36536B"/>
    <w:rsid w:val="1A3E2813"/>
    <w:rsid w:val="1A642D06"/>
    <w:rsid w:val="1A8962E6"/>
    <w:rsid w:val="1AA17DA8"/>
    <w:rsid w:val="1AE51725"/>
    <w:rsid w:val="1AE65D37"/>
    <w:rsid w:val="1B013068"/>
    <w:rsid w:val="1B402872"/>
    <w:rsid w:val="1B402C84"/>
    <w:rsid w:val="1B5D3A29"/>
    <w:rsid w:val="1B687433"/>
    <w:rsid w:val="1B790DD1"/>
    <w:rsid w:val="1B7B63FF"/>
    <w:rsid w:val="1BA14CC9"/>
    <w:rsid w:val="1BA413B3"/>
    <w:rsid w:val="1BAD1E3A"/>
    <w:rsid w:val="1BC850AE"/>
    <w:rsid w:val="1BF42AD6"/>
    <w:rsid w:val="1BF82392"/>
    <w:rsid w:val="1C1478C1"/>
    <w:rsid w:val="1C4D7ED8"/>
    <w:rsid w:val="1C691589"/>
    <w:rsid w:val="1C8325AE"/>
    <w:rsid w:val="1CBE52D3"/>
    <w:rsid w:val="1CC17F9B"/>
    <w:rsid w:val="1CDC77DF"/>
    <w:rsid w:val="1CFD6851"/>
    <w:rsid w:val="1D0213B3"/>
    <w:rsid w:val="1D07447A"/>
    <w:rsid w:val="1D0F3DCC"/>
    <w:rsid w:val="1D1825CD"/>
    <w:rsid w:val="1D183965"/>
    <w:rsid w:val="1D2B3A6C"/>
    <w:rsid w:val="1D2E20C8"/>
    <w:rsid w:val="1D444728"/>
    <w:rsid w:val="1D52645B"/>
    <w:rsid w:val="1D7C2114"/>
    <w:rsid w:val="1D875307"/>
    <w:rsid w:val="1DDF00D3"/>
    <w:rsid w:val="1DE2104B"/>
    <w:rsid w:val="1DF75CF6"/>
    <w:rsid w:val="1E294E24"/>
    <w:rsid w:val="1E682155"/>
    <w:rsid w:val="1E83489E"/>
    <w:rsid w:val="1EB7788F"/>
    <w:rsid w:val="1EC475AC"/>
    <w:rsid w:val="1EC71AB5"/>
    <w:rsid w:val="1EDB2FE2"/>
    <w:rsid w:val="1F205B52"/>
    <w:rsid w:val="1F461C21"/>
    <w:rsid w:val="1F5C4CFC"/>
    <w:rsid w:val="1F600CE0"/>
    <w:rsid w:val="1F8A4FBC"/>
    <w:rsid w:val="1FAC03BF"/>
    <w:rsid w:val="1FAC29FA"/>
    <w:rsid w:val="1FAE20DD"/>
    <w:rsid w:val="1FB20068"/>
    <w:rsid w:val="1FBD065D"/>
    <w:rsid w:val="200D360E"/>
    <w:rsid w:val="201111B1"/>
    <w:rsid w:val="20276492"/>
    <w:rsid w:val="202D3F2D"/>
    <w:rsid w:val="2054046C"/>
    <w:rsid w:val="20540A83"/>
    <w:rsid w:val="2059613B"/>
    <w:rsid w:val="205C377E"/>
    <w:rsid w:val="205F050B"/>
    <w:rsid w:val="206D685D"/>
    <w:rsid w:val="20720B3B"/>
    <w:rsid w:val="20742EAB"/>
    <w:rsid w:val="208C1464"/>
    <w:rsid w:val="208E44C7"/>
    <w:rsid w:val="20985128"/>
    <w:rsid w:val="20A8480D"/>
    <w:rsid w:val="20AC6F96"/>
    <w:rsid w:val="20BC5761"/>
    <w:rsid w:val="20C15310"/>
    <w:rsid w:val="20C53DD2"/>
    <w:rsid w:val="20C75E24"/>
    <w:rsid w:val="20C87DC2"/>
    <w:rsid w:val="20F30AC8"/>
    <w:rsid w:val="20FC1407"/>
    <w:rsid w:val="21242745"/>
    <w:rsid w:val="21325980"/>
    <w:rsid w:val="213D3599"/>
    <w:rsid w:val="219B56CA"/>
    <w:rsid w:val="21AD2462"/>
    <w:rsid w:val="21B32D1D"/>
    <w:rsid w:val="21B5516C"/>
    <w:rsid w:val="21C475DB"/>
    <w:rsid w:val="21CF3A19"/>
    <w:rsid w:val="21DE5B31"/>
    <w:rsid w:val="21E2253A"/>
    <w:rsid w:val="21EE71E7"/>
    <w:rsid w:val="21F754F5"/>
    <w:rsid w:val="22000AC5"/>
    <w:rsid w:val="220806D0"/>
    <w:rsid w:val="224A7EB2"/>
    <w:rsid w:val="224D0523"/>
    <w:rsid w:val="226A67CD"/>
    <w:rsid w:val="22717E2F"/>
    <w:rsid w:val="22792936"/>
    <w:rsid w:val="227C4964"/>
    <w:rsid w:val="228201CD"/>
    <w:rsid w:val="22A60053"/>
    <w:rsid w:val="22B365D8"/>
    <w:rsid w:val="22C6230F"/>
    <w:rsid w:val="22CC769A"/>
    <w:rsid w:val="22D13A9F"/>
    <w:rsid w:val="22D765BF"/>
    <w:rsid w:val="23162888"/>
    <w:rsid w:val="232C6CA6"/>
    <w:rsid w:val="233770CD"/>
    <w:rsid w:val="236945D5"/>
    <w:rsid w:val="23827D58"/>
    <w:rsid w:val="23C0685D"/>
    <w:rsid w:val="23CA3044"/>
    <w:rsid w:val="23D205C9"/>
    <w:rsid w:val="23D443AE"/>
    <w:rsid w:val="23E60CF2"/>
    <w:rsid w:val="23E87AD8"/>
    <w:rsid w:val="23E9602A"/>
    <w:rsid w:val="24190F3B"/>
    <w:rsid w:val="24897B3B"/>
    <w:rsid w:val="24991480"/>
    <w:rsid w:val="24BC1286"/>
    <w:rsid w:val="24C219FA"/>
    <w:rsid w:val="24DB40F8"/>
    <w:rsid w:val="24F02392"/>
    <w:rsid w:val="24F42E33"/>
    <w:rsid w:val="24FD18FE"/>
    <w:rsid w:val="250D1AD1"/>
    <w:rsid w:val="25145328"/>
    <w:rsid w:val="252417C2"/>
    <w:rsid w:val="252F3F10"/>
    <w:rsid w:val="25445730"/>
    <w:rsid w:val="25857DAC"/>
    <w:rsid w:val="25902C01"/>
    <w:rsid w:val="25A77C8F"/>
    <w:rsid w:val="25B1588D"/>
    <w:rsid w:val="25D74C65"/>
    <w:rsid w:val="26016D14"/>
    <w:rsid w:val="2640503C"/>
    <w:rsid w:val="26623863"/>
    <w:rsid w:val="26725B7F"/>
    <w:rsid w:val="26B70837"/>
    <w:rsid w:val="26C22D9C"/>
    <w:rsid w:val="26D365F5"/>
    <w:rsid w:val="26E01966"/>
    <w:rsid w:val="26E271ED"/>
    <w:rsid w:val="26ED6ABF"/>
    <w:rsid w:val="27037402"/>
    <w:rsid w:val="270A253F"/>
    <w:rsid w:val="27267FDD"/>
    <w:rsid w:val="272C4BAB"/>
    <w:rsid w:val="275E178E"/>
    <w:rsid w:val="2764614A"/>
    <w:rsid w:val="277B484D"/>
    <w:rsid w:val="278B6BBE"/>
    <w:rsid w:val="279D0DF3"/>
    <w:rsid w:val="279D3B95"/>
    <w:rsid w:val="27C82E0F"/>
    <w:rsid w:val="27EE6921"/>
    <w:rsid w:val="27EF78C0"/>
    <w:rsid w:val="27F531EF"/>
    <w:rsid w:val="280A7122"/>
    <w:rsid w:val="283654C1"/>
    <w:rsid w:val="284219E8"/>
    <w:rsid w:val="2846045A"/>
    <w:rsid w:val="285D2C5B"/>
    <w:rsid w:val="2860458B"/>
    <w:rsid w:val="286345E6"/>
    <w:rsid w:val="287F11C2"/>
    <w:rsid w:val="287F5651"/>
    <w:rsid w:val="28BB0A9F"/>
    <w:rsid w:val="28CD2E80"/>
    <w:rsid w:val="28D279F1"/>
    <w:rsid w:val="28EC0B69"/>
    <w:rsid w:val="28F57896"/>
    <w:rsid w:val="29013089"/>
    <w:rsid w:val="29130A20"/>
    <w:rsid w:val="291D6C05"/>
    <w:rsid w:val="29266B94"/>
    <w:rsid w:val="292C60B9"/>
    <w:rsid w:val="292F39EF"/>
    <w:rsid w:val="29387837"/>
    <w:rsid w:val="2946383A"/>
    <w:rsid w:val="294D3731"/>
    <w:rsid w:val="295C43A8"/>
    <w:rsid w:val="29637922"/>
    <w:rsid w:val="29676EC0"/>
    <w:rsid w:val="29695C42"/>
    <w:rsid w:val="29821744"/>
    <w:rsid w:val="29A85705"/>
    <w:rsid w:val="29B849A9"/>
    <w:rsid w:val="29C746DC"/>
    <w:rsid w:val="29CA4207"/>
    <w:rsid w:val="29E06CFA"/>
    <w:rsid w:val="29E95AC0"/>
    <w:rsid w:val="2A005E7B"/>
    <w:rsid w:val="2A0F3EC0"/>
    <w:rsid w:val="2A140C35"/>
    <w:rsid w:val="2A1619CB"/>
    <w:rsid w:val="2A3F3879"/>
    <w:rsid w:val="2A52785C"/>
    <w:rsid w:val="2A585CB7"/>
    <w:rsid w:val="2A647A65"/>
    <w:rsid w:val="2A675BA0"/>
    <w:rsid w:val="2A741B72"/>
    <w:rsid w:val="2A7A4809"/>
    <w:rsid w:val="2A8259F5"/>
    <w:rsid w:val="2A881BBE"/>
    <w:rsid w:val="2A897A32"/>
    <w:rsid w:val="2A9154ED"/>
    <w:rsid w:val="2A9A6F4A"/>
    <w:rsid w:val="2AE226FB"/>
    <w:rsid w:val="2B0707C4"/>
    <w:rsid w:val="2B3100CF"/>
    <w:rsid w:val="2B6C0352"/>
    <w:rsid w:val="2B727FBA"/>
    <w:rsid w:val="2B8A6344"/>
    <w:rsid w:val="2B974E7B"/>
    <w:rsid w:val="2BB40DA9"/>
    <w:rsid w:val="2BD1706B"/>
    <w:rsid w:val="2BDC529B"/>
    <w:rsid w:val="2BDD00D1"/>
    <w:rsid w:val="2C087541"/>
    <w:rsid w:val="2C116525"/>
    <w:rsid w:val="2C12046C"/>
    <w:rsid w:val="2C213EE8"/>
    <w:rsid w:val="2C283702"/>
    <w:rsid w:val="2C2F3578"/>
    <w:rsid w:val="2C4402A1"/>
    <w:rsid w:val="2C5C44B6"/>
    <w:rsid w:val="2C694793"/>
    <w:rsid w:val="2C7059BC"/>
    <w:rsid w:val="2C726454"/>
    <w:rsid w:val="2C7C5C8D"/>
    <w:rsid w:val="2C8A7A36"/>
    <w:rsid w:val="2C8F7F5E"/>
    <w:rsid w:val="2CC80ED2"/>
    <w:rsid w:val="2CDA4F6C"/>
    <w:rsid w:val="2D06653B"/>
    <w:rsid w:val="2D0F593B"/>
    <w:rsid w:val="2D104627"/>
    <w:rsid w:val="2D1F1E3A"/>
    <w:rsid w:val="2D3B7647"/>
    <w:rsid w:val="2D5E5392"/>
    <w:rsid w:val="2D82298B"/>
    <w:rsid w:val="2D904620"/>
    <w:rsid w:val="2D9B4F46"/>
    <w:rsid w:val="2DA743B6"/>
    <w:rsid w:val="2DAE2509"/>
    <w:rsid w:val="2DC00AA5"/>
    <w:rsid w:val="2DC73FC9"/>
    <w:rsid w:val="2DDA0FA4"/>
    <w:rsid w:val="2E062CDC"/>
    <w:rsid w:val="2E114AFB"/>
    <w:rsid w:val="2E1819E5"/>
    <w:rsid w:val="2E1E1E62"/>
    <w:rsid w:val="2E2F0D9E"/>
    <w:rsid w:val="2E2F52BE"/>
    <w:rsid w:val="2E3B2342"/>
    <w:rsid w:val="2E5745FD"/>
    <w:rsid w:val="2E633D44"/>
    <w:rsid w:val="2E795872"/>
    <w:rsid w:val="2E7F0DC2"/>
    <w:rsid w:val="2ECB467D"/>
    <w:rsid w:val="2ECE479A"/>
    <w:rsid w:val="2EDE3EAE"/>
    <w:rsid w:val="2EE25787"/>
    <w:rsid w:val="2EFF0A46"/>
    <w:rsid w:val="2F012479"/>
    <w:rsid w:val="2F0B779C"/>
    <w:rsid w:val="2F2C443A"/>
    <w:rsid w:val="2F54413C"/>
    <w:rsid w:val="2F69582D"/>
    <w:rsid w:val="2F7013AD"/>
    <w:rsid w:val="2F7D0AAB"/>
    <w:rsid w:val="2F7D523B"/>
    <w:rsid w:val="2F8718E9"/>
    <w:rsid w:val="2F902811"/>
    <w:rsid w:val="2FD0757D"/>
    <w:rsid w:val="30006BD5"/>
    <w:rsid w:val="300B4E6A"/>
    <w:rsid w:val="30174960"/>
    <w:rsid w:val="301D4006"/>
    <w:rsid w:val="301F72C9"/>
    <w:rsid w:val="302B5AEB"/>
    <w:rsid w:val="302C1634"/>
    <w:rsid w:val="303F76FD"/>
    <w:rsid w:val="30653C62"/>
    <w:rsid w:val="30677B80"/>
    <w:rsid w:val="308C64FF"/>
    <w:rsid w:val="30A6450A"/>
    <w:rsid w:val="30C00E6E"/>
    <w:rsid w:val="30C06BDA"/>
    <w:rsid w:val="30D7772C"/>
    <w:rsid w:val="30F61A79"/>
    <w:rsid w:val="31091FD4"/>
    <w:rsid w:val="311A0E7B"/>
    <w:rsid w:val="312608BD"/>
    <w:rsid w:val="312F633E"/>
    <w:rsid w:val="313528AE"/>
    <w:rsid w:val="3140197F"/>
    <w:rsid w:val="31761131"/>
    <w:rsid w:val="31766F86"/>
    <w:rsid w:val="318001D6"/>
    <w:rsid w:val="31811153"/>
    <w:rsid w:val="31B87D0E"/>
    <w:rsid w:val="31E54B41"/>
    <w:rsid w:val="31FD1186"/>
    <w:rsid w:val="31FF2D2F"/>
    <w:rsid w:val="321C771A"/>
    <w:rsid w:val="322A1CE7"/>
    <w:rsid w:val="32564F27"/>
    <w:rsid w:val="325F07D5"/>
    <w:rsid w:val="32835898"/>
    <w:rsid w:val="3289295A"/>
    <w:rsid w:val="328C60F2"/>
    <w:rsid w:val="3296641C"/>
    <w:rsid w:val="329B1CFC"/>
    <w:rsid w:val="32A218B7"/>
    <w:rsid w:val="32B17D63"/>
    <w:rsid w:val="32D66B10"/>
    <w:rsid w:val="32D96FC0"/>
    <w:rsid w:val="32FF3174"/>
    <w:rsid w:val="331E7D95"/>
    <w:rsid w:val="331F4C9B"/>
    <w:rsid w:val="33214230"/>
    <w:rsid w:val="33474D36"/>
    <w:rsid w:val="334A23CC"/>
    <w:rsid w:val="33535FA3"/>
    <w:rsid w:val="336D6420"/>
    <w:rsid w:val="336E6498"/>
    <w:rsid w:val="33870580"/>
    <w:rsid w:val="338F0B4C"/>
    <w:rsid w:val="339715FE"/>
    <w:rsid w:val="33A801E9"/>
    <w:rsid w:val="33A9221B"/>
    <w:rsid w:val="33BA5599"/>
    <w:rsid w:val="33C71A5A"/>
    <w:rsid w:val="33D13969"/>
    <w:rsid w:val="33DB1344"/>
    <w:rsid w:val="33DE0CDB"/>
    <w:rsid w:val="340649B6"/>
    <w:rsid w:val="34395F71"/>
    <w:rsid w:val="34422667"/>
    <w:rsid w:val="344239B1"/>
    <w:rsid w:val="3475194B"/>
    <w:rsid w:val="34A676A4"/>
    <w:rsid w:val="34FD3DF8"/>
    <w:rsid w:val="350902DA"/>
    <w:rsid w:val="353A1315"/>
    <w:rsid w:val="358931C8"/>
    <w:rsid w:val="359F6F8E"/>
    <w:rsid w:val="35A11CF9"/>
    <w:rsid w:val="35A63209"/>
    <w:rsid w:val="35DA1C76"/>
    <w:rsid w:val="3601301F"/>
    <w:rsid w:val="361D0F06"/>
    <w:rsid w:val="36271258"/>
    <w:rsid w:val="362E26F6"/>
    <w:rsid w:val="362F46ED"/>
    <w:rsid w:val="363E4EDB"/>
    <w:rsid w:val="36452A1D"/>
    <w:rsid w:val="366D52F6"/>
    <w:rsid w:val="367169E5"/>
    <w:rsid w:val="368716F7"/>
    <w:rsid w:val="36932551"/>
    <w:rsid w:val="369D517D"/>
    <w:rsid w:val="36A53FDF"/>
    <w:rsid w:val="36A83FB1"/>
    <w:rsid w:val="36BD5820"/>
    <w:rsid w:val="36D66DA9"/>
    <w:rsid w:val="36E86D8C"/>
    <w:rsid w:val="3732070F"/>
    <w:rsid w:val="37367A57"/>
    <w:rsid w:val="37515BB0"/>
    <w:rsid w:val="37557806"/>
    <w:rsid w:val="37853F3D"/>
    <w:rsid w:val="37977C2D"/>
    <w:rsid w:val="37BD7D15"/>
    <w:rsid w:val="37C02228"/>
    <w:rsid w:val="37C915A0"/>
    <w:rsid w:val="37CF01E7"/>
    <w:rsid w:val="37D84221"/>
    <w:rsid w:val="37DD73FC"/>
    <w:rsid w:val="382035B1"/>
    <w:rsid w:val="38501D72"/>
    <w:rsid w:val="38505FA0"/>
    <w:rsid w:val="385C7B0A"/>
    <w:rsid w:val="386B671A"/>
    <w:rsid w:val="386C5B60"/>
    <w:rsid w:val="38946520"/>
    <w:rsid w:val="38A01C1F"/>
    <w:rsid w:val="38AC40A3"/>
    <w:rsid w:val="38C33E7C"/>
    <w:rsid w:val="38D37EA4"/>
    <w:rsid w:val="38E869F3"/>
    <w:rsid w:val="38F020E7"/>
    <w:rsid w:val="39034620"/>
    <w:rsid w:val="390F37AC"/>
    <w:rsid w:val="39125787"/>
    <w:rsid w:val="392E4524"/>
    <w:rsid w:val="3956225A"/>
    <w:rsid w:val="396018B9"/>
    <w:rsid w:val="396401D4"/>
    <w:rsid w:val="39695F07"/>
    <w:rsid w:val="39787E84"/>
    <w:rsid w:val="397D3044"/>
    <w:rsid w:val="39880080"/>
    <w:rsid w:val="39902D77"/>
    <w:rsid w:val="39A16D33"/>
    <w:rsid w:val="39BD3E1B"/>
    <w:rsid w:val="3A053765"/>
    <w:rsid w:val="3A086B84"/>
    <w:rsid w:val="3A087D0E"/>
    <w:rsid w:val="3A2C3683"/>
    <w:rsid w:val="3A3351F6"/>
    <w:rsid w:val="3A3B7A62"/>
    <w:rsid w:val="3A4F0A7A"/>
    <w:rsid w:val="3A7025FD"/>
    <w:rsid w:val="3A7A27BB"/>
    <w:rsid w:val="3A7B6079"/>
    <w:rsid w:val="3A905B0E"/>
    <w:rsid w:val="3AA9329F"/>
    <w:rsid w:val="3AB13D7D"/>
    <w:rsid w:val="3AB806E4"/>
    <w:rsid w:val="3AC4271C"/>
    <w:rsid w:val="3AC73BF7"/>
    <w:rsid w:val="3B095AB8"/>
    <w:rsid w:val="3B0A4B9C"/>
    <w:rsid w:val="3B112E65"/>
    <w:rsid w:val="3B1D5662"/>
    <w:rsid w:val="3B20012B"/>
    <w:rsid w:val="3B273F0F"/>
    <w:rsid w:val="3B2B65CA"/>
    <w:rsid w:val="3B2D535B"/>
    <w:rsid w:val="3B4A6E4C"/>
    <w:rsid w:val="3B7C4C08"/>
    <w:rsid w:val="3B806E1C"/>
    <w:rsid w:val="3BAB7C7D"/>
    <w:rsid w:val="3BB3471E"/>
    <w:rsid w:val="3BB53DE9"/>
    <w:rsid w:val="3BDA0861"/>
    <w:rsid w:val="3BDD3E32"/>
    <w:rsid w:val="3BEC3313"/>
    <w:rsid w:val="3C056AE9"/>
    <w:rsid w:val="3C1C4D96"/>
    <w:rsid w:val="3C2239AD"/>
    <w:rsid w:val="3C4F440B"/>
    <w:rsid w:val="3C692C56"/>
    <w:rsid w:val="3C895064"/>
    <w:rsid w:val="3C9C66C4"/>
    <w:rsid w:val="3CA734C1"/>
    <w:rsid w:val="3CEE5459"/>
    <w:rsid w:val="3CF94156"/>
    <w:rsid w:val="3CFB5F7C"/>
    <w:rsid w:val="3D0D0ABF"/>
    <w:rsid w:val="3D141F11"/>
    <w:rsid w:val="3D154BD6"/>
    <w:rsid w:val="3D181988"/>
    <w:rsid w:val="3D1E3820"/>
    <w:rsid w:val="3D2A69F0"/>
    <w:rsid w:val="3D4A60E3"/>
    <w:rsid w:val="3D6379EC"/>
    <w:rsid w:val="3D6E1622"/>
    <w:rsid w:val="3D837D04"/>
    <w:rsid w:val="3DA26532"/>
    <w:rsid w:val="3DB334D8"/>
    <w:rsid w:val="3DB57579"/>
    <w:rsid w:val="3DBD49F3"/>
    <w:rsid w:val="3DCE7600"/>
    <w:rsid w:val="3DD33904"/>
    <w:rsid w:val="3DE62E35"/>
    <w:rsid w:val="3E063099"/>
    <w:rsid w:val="3E2766B0"/>
    <w:rsid w:val="3E4D7489"/>
    <w:rsid w:val="3E59521E"/>
    <w:rsid w:val="3E5A7DF8"/>
    <w:rsid w:val="3E5F48F1"/>
    <w:rsid w:val="3E630A5B"/>
    <w:rsid w:val="3E6D2497"/>
    <w:rsid w:val="3E797B68"/>
    <w:rsid w:val="3E817133"/>
    <w:rsid w:val="3E854631"/>
    <w:rsid w:val="3ED17D9A"/>
    <w:rsid w:val="3ED325BE"/>
    <w:rsid w:val="3EE146E0"/>
    <w:rsid w:val="3EE33949"/>
    <w:rsid w:val="3EF12CEC"/>
    <w:rsid w:val="3F1D32B1"/>
    <w:rsid w:val="3F2A3DC3"/>
    <w:rsid w:val="3F306F20"/>
    <w:rsid w:val="3F682EC0"/>
    <w:rsid w:val="3F6C2842"/>
    <w:rsid w:val="3F76214A"/>
    <w:rsid w:val="3F8E31B9"/>
    <w:rsid w:val="3FD91535"/>
    <w:rsid w:val="3FF13620"/>
    <w:rsid w:val="40152726"/>
    <w:rsid w:val="40216C16"/>
    <w:rsid w:val="40784565"/>
    <w:rsid w:val="40A07FF6"/>
    <w:rsid w:val="40B30EC5"/>
    <w:rsid w:val="40D1200C"/>
    <w:rsid w:val="40D76672"/>
    <w:rsid w:val="40DA4146"/>
    <w:rsid w:val="40DE0C94"/>
    <w:rsid w:val="40F043A1"/>
    <w:rsid w:val="410E5556"/>
    <w:rsid w:val="411C75E7"/>
    <w:rsid w:val="41270367"/>
    <w:rsid w:val="41393854"/>
    <w:rsid w:val="4149099C"/>
    <w:rsid w:val="414A412B"/>
    <w:rsid w:val="4166190D"/>
    <w:rsid w:val="416C1E0D"/>
    <w:rsid w:val="41A67482"/>
    <w:rsid w:val="41AD228E"/>
    <w:rsid w:val="41C85CBD"/>
    <w:rsid w:val="41CD11B2"/>
    <w:rsid w:val="41CE317A"/>
    <w:rsid w:val="41DB1250"/>
    <w:rsid w:val="41F87C46"/>
    <w:rsid w:val="42164CC1"/>
    <w:rsid w:val="42213106"/>
    <w:rsid w:val="42467738"/>
    <w:rsid w:val="426512B9"/>
    <w:rsid w:val="42734FE4"/>
    <w:rsid w:val="42793416"/>
    <w:rsid w:val="42862F6A"/>
    <w:rsid w:val="42BB33EF"/>
    <w:rsid w:val="42D31F27"/>
    <w:rsid w:val="42E54462"/>
    <w:rsid w:val="42E944EE"/>
    <w:rsid w:val="42F05357"/>
    <w:rsid w:val="42FC09BF"/>
    <w:rsid w:val="43015AD2"/>
    <w:rsid w:val="433D427F"/>
    <w:rsid w:val="434646F2"/>
    <w:rsid w:val="43516AF6"/>
    <w:rsid w:val="436500EB"/>
    <w:rsid w:val="43825FFE"/>
    <w:rsid w:val="43A55671"/>
    <w:rsid w:val="43C95038"/>
    <w:rsid w:val="43D674C5"/>
    <w:rsid w:val="43F513C1"/>
    <w:rsid w:val="43F96C43"/>
    <w:rsid w:val="44054362"/>
    <w:rsid w:val="440C15DA"/>
    <w:rsid w:val="445520E9"/>
    <w:rsid w:val="445833D1"/>
    <w:rsid w:val="44641F0B"/>
    <w:rsid w:val="44745027"/>
    <w:rsid w:val="44896D41"/>
    <w:rsid w:val="44953938"/>
    <w:rsid w:val="44C461DE"/>
    <w:rsid w:val="44D34460"/>
    <w:rsid w:val="44D829DB"/>
    <w:rsid w:val="44DA57D8"/>
    <w:rsid w:val="44E11003"/>
    <w:rsid w:val="44EF24B6"/>
    <w:rsid w:val="44F43679"/>
    <w:rsid w:val="451A47BA"/>
    <w:rsid w:val="451E1B7F"/>
    <w:rsid w:val="454E132D"/>
    <w:rsid w:val="45512030"/>
    <w:rsid w:val="456E2CBC"/>
    <w:rsid w:val="45932695"/>
    <w:rsid w:val="45D26988"/>
    <w:rsid w:val="45DA4C2D"/>
    <w:rsid w:val="46393218"/>
    <w:rsid w:val="46410FBF"/>
    <w:rsid w:val="46442539"/>
    <w:rsid w:val="46445D4E"/>
    <w:rsid w:val="46A14F16"/>
    <w:rsid w:val="46AC68D8"/>
    <w:rsid w:val="46AE74A7"/>
    <w:rsid w:val="46B04A59"/>
    <w:rsid w:val="46C55DCC"/>
    <w:rsid w:val="46D213CF"/>
    <w:rsid w:val="46D923ED"/>
    <w:rsid w:val="46E346FD"/>
    <w:rsid w:val="46F55956"/>
    <w:rsid w:val="471C6BAB"/>
    <w:rsid w:val="47242968"/>
    <w:rsid w:val="47581EC9"/>
    <w:rsid w:val="47683ECB"/>
    <w:rsid w:val="476C1521"/>
    <w:rsid w:val="477061B6"/>
    <w:rsid w:val="478367FA"/>
    <w:rsid w:val="478E3B42"/>
    <w:rsid w:val="47906854"/>
    <w:rsid w:val="4793661C"/>
    <w:rsid w:val="47946476"/>
    <w:rsid w:val="479D7B49"/>
    <w:rsid w:val="47AD0F98"/>
    <w:rsid w:val="47D31751"/>
    <w:rsid w:val="482F0BE1"/>
    <w:rsid w:val="483F74C8"/>
    <w:rsid w:val="48544EF5"/>
    <w:rsid w:val="485C4DEF"/>
    <w:rsid w:val="486D40A1"/>
    <w:rsid w:val="487F3084"/>
    <w:rsid w:val="488330A5"/>
    <w:rsid w:val="489A3BEC"/>
    <w:rsid w:val="48A26623"/>
    <w:rsid w:val="48A55674"/>
    <w:rsid w:val="48B6186F"/>
    <w:rsid w:val="48C4327D"/>
    <w:rsid w:val="48CE4E2D"/>
    <w:rsid w:val="48D80297"/>
    <w:rsid w:val="48E814B4"/>
    <w:rsid w:val="48F5673A"/>
    <w:rsid w:val="48FF26B6"/>
    <w:rsid w:val="490F6BE4"/>
    <w:rsid w:val="4928529C"/>
    <w:rsid w:val="493168B0"/>
    <w:rsid w:val="49436350"/>
    <w:rsid w:val="49545DB2"/>
    <w:rsid w:val="49567A64"/>
    <w:rsid w:val="49636EBB"/>
    <w:rsid w:val="49756703"/>
    <w:rsid w:val="49843BAF"/>
    <w:rsid w:val="49957F36"/>
    <w:rsid w:val="49AA1FCF"/>
    <w:rsid w:val="49C64593"/>
    <w:rsid w:val="49C97CBE"/>
    <w:rsid w:val="49DD3DA7"/>
    <w:rsid w:val="49E35DA1"/>
    <w:rsid w:val="49F509D5"/>
    <w:rsid w:val="4A042F74"/>
    <w:rsid w:val="4A11580F"/>
    <w:rsid w:val="4A177670"/>
    <w:rsid w:val="4A2319E6"/>
    <w:rsid w:val="4A3825CD"/>
    <w:rsid w:val="4A3C7ADB"/>
    <w:rsid w:val="4A79529A"/>
    <w:rsid w:val="4A7F3586"/>
    <w:rsid w:val="4A891547"/>
    <w:rsid w:val="4A933552"/>
    <w:rsid w:val="4A967308"/>
    <w:rsid w:val="4A987DCD"/>
    <w:rsid w:val="4AA346AF"/>
    <w:rsid w:val="4AB12B4E"/>
    <w:rsid w:val="4AC8496C"/>
    <w:rsid w:val="4ADF3B5F"/>
    <w:rsid w:val="4AE64EED"/>
    <w:rsid w:val="4AED3C37"/>
    <w:rsid w:val="4B1510BB"/>
    <w:rsid w:val="4B160812"/>
    <w:rsid w:val="4B2322CC"/>
    <w:rsid w:val="4B2F0323"/>
    <w:rsid w:val="4B3F45FD"/>
    <w:rsid w:val="4B474F22"/>
    <w:rsid w:val="4B555A1F"/>
    <w:rsid w:val="4B691950"/>
    <w:rsid w:val="4BBE4F6C"/>
    <w:rsid w:val="4BCE337D"/>
    <w:rsid w:val="4BFC5014"/>
    <w:rsid w:val="4BFF0CCA"/>
    <w:rsid w:val="4C116DD1"/>
    <w:rsid w:val="4C602A7D"/>
    <w:rsid w:val="4C666B5C"/>
    <w:rsid w:val="4C667968"/>
    <w:rsid w:val="4C677639"/>
    <w:rsid w:val="4C6F4A6E"/>
    <w:rsid w:val="4C9E350A"/>
    <w:rsid w:val="4C9E35A6"/>
    <w:rsid w:val="4CC254E6"/>
    <w:rsid w:val="4CD46D60"/>
    <w:rsid w:val="4CE52F83"/>
    <w:rsid w:val="4CF907F5"/>
    <w:rsid w:val="4D015533"/>
    <w:rsid w:val="4D1A472A"/>
    <w:rsid w:val="4D1D124A"/>
    <w:rsid w:val="4D500849"/>
    <w:rsid w:val="4D8052EE"/>
    <w:rsid w:val="4D8D2AA1"/>
    <w:rsid w:val="4DB84842"/>
    <w:rsid w:val="4E1C63ED"/>
    <w:rsid w:val="4E1D1349"/>
    <w:rsid w:val="4E1E674C"/>
    <w:rsid w:val="4E33793F"/>
    <w:rsid w:val="4E597784"/>
    <w:rsid w:val="4E5C0742"/>
    <w:rsid w:val="4E7131E8"/>
    <w:rsid w:val="4E7412D1"/>
    <w:rsid w:val="4E9401DE"/>
    <w:rsid w:val="4E9952C3"/>
    <w:rsid w:val="4EB019D3"/>
    <w:rsid w:val="4EBB21ED"/>
    <w:rsid w:val="4ED817CF"/>
    <w:rsid w:val="4EF059BF"/>
    <w:rsid w:val="4F2002A2"/>
    <w:rsid w:val="4F381CB9"/>
    <w:rsid w:val="4F5A11AE"/>
    <w:rsid w:val="4F670EB4"/>
    <w:rsid w:val="4F701229"/>
    <w:rsid w:val="4F870F96"/>
    <w:rsid w:val="4F8F7446"/>
    <w:rsid w:val="4FB530E0"/>
    <w:rsid w:val="4FBF4D3B"/>
    <w:rsid w:val="4FDA48F5"/>
    <w:rsid w:val="4FDE4134"/>
    <w:rsid w:val="4FE63E8B"/>
    <w:rsid w:val="4FED106B"/>
    <w:rsid w:val="4FFD1D38"/>
    <w:rsid w:val="500951DA"/>
    <w:rsid w:val="501304C7"/>
    <w:rsid w:val="503B1779"/>
    <w:rsid w:val="506B140C"/>
    <w:rsid w:val="50804848"/>
    <w:rsid w:val="508E7F11"/>
    <w:rsid w:val="509749E5"/>
    <w:rsid w:val="50B04060"/>
    <w:rsid w:val="50B7396B"/>
    <w:rsid w:val="50BC224C"/>
    <w:rsid w:val="50F101A1"/>
    <w:rsid w:val="51055FB9"/>
    <w:rsid w:val="510F392A"/>
    <w:rsid w:val="51256043"/>
    <w:rsid w:val="512D7FFE"/>
    <w:rsid w:val="51404AC1"/>
    <w:rsid w:val="51595CED"/>
    <w:rsid w:val="51823496"/>
    <w:rsid w:val="51960CEF"/>
    <w:rsid w:val="51C4585C"/>
    <w:rsid w:val="51D84063"/>
    <w:rsid w:val="51DB360F"/>
    <w:rsid w:val="51DD7794"/>
    <w:rsid w:val="51E90E1F"/>
    <w:rsid w:val="51ED37E4"/>
    <w:rsid w:val="51F15F26"/>
    <w:rsid w:val="520C1954"/>
    <w:rsid w:val="520D1AE5"/>
    <w:rsid w:val="52323755"/>
    <w:rsid w:val="52394966"/>
    <w:rsid w:val="52693A5B"/>
    <w:rsid w:val="527A5F1B"/>
    <w:rsid w:val="52804A81"/>
    <w:rsid w:val="52874E9C"/>
    <w:rsid w:val="52D62ACC"/>
    <w:rsid w:val="52EB6527"/>
    <w:rsid w:val="52FA7E6E"/>
    <w:rsid w:val="530B5753"/>
    <w:rsid w:val="531F6EC4"/>
    <w:rsid w:val="534976C1"/>
    <w:rsid w:val="53542C10"/>
    <w:rsid w:val="53A6479D"/>
    <w:rsid w:val="53B7511E"/>
    <w:rsid w:val="53C27B7A"/>
    <w:rsid w:val="53C945FB"/>
    <w:rsid w:val="53DC50DF"/>
    <w:rsid w:val="53EB70D0"/>
    <w:rsid w:val="53EC73A6"/>
    <w:rsid w:val="53F96EC6"/>
    <w:rsid w:val="5422305F"/>
    <w:rsid w:val="54333971"/>
    <w:rsid w:val="54362D03"/>
    <w:rsid w:val="543B7C91"/>
    <w:rsid w:val="5474356A"/>
    <w:rsid w:val="54806952"/>
    <w:rsid w:val="54870D7E"/>
    <w:rsid w:val="548B551C"/>
    <w:rsid w:val="54A70868"/>
    <w:rsid w:val="54D65AC9"/>
    <w:rsid w:val="54F06637"/>
    <w:rsid w:val="55013028"/>
    <w:rsid w:val="55387622"/>
    <w:rsid w:val="55394034"/>
    <w:rsid w:val="557A3E03"/>
    <w:rsid w:val="557E32DD"/>
    <w:rsid w:val="558B1C8C"/>
    <w:rsid w:val="55986733"/>
    <w:rsid w:val="55B5677C"/>
    <w:rsid w:val="55B76FF5"/>
    <w:rsid w:val="55D07156"/>
    <w:rsid w:val="55F34C02"/>
    <w:rsid w:val="55F61108"/>
    <w:rsid w:val="55FA4790"/>
    <w:rsid w:val="56037B2D"/>
    <w:rsid w:val="56082199"/>
    <w:rsid w:val="560A1F8E"/>
    <w:rsid w:val="56151F36"/>
    <w:rsid w:val="56215F1F"/>
    <w:rsid w:val="562A02FF"/>
    <w:rsid w:val="5634443F"/>
    <w:rsid w:val="563806E6"/>
    <w:rsid w:val="563C59BE"/>
    <w:rsid w:val="56413835"/>
    <w:rsid w:val="564465CF"/>
    <w:rsid w:val="564C5150"/>
    <w:rsid w:val="565B4D8F"/>
    <w:rsid w:val="565E05E4"/>
    <w:rsid w:val="565F0CA4"/>
    <w:rsid w:val="569C661B"/>
    <w:rsid w:val="56F30F79"/>
    <w:rsid w:val="56F3629C"/>
    <w:rsid w:val="5708748F"/>
    <w:rsid w:val="570D1A54"/>
    <w:rsid w:val="571F7091"/>
    <w:rsid w:val="5722123B"/>
    <w:rsid w:val="57240B7A"/>
    <w:rsid w:val="5734276E"/>
    <w:rsid w:val="574440AB"/>
    <w:rsid w:val="57551024"/>
    <w:rsid w:val="575E0876"/>
    <w:rsid w:val="57656A4A"/>
    <w:rsid w:val="57754CE5"/>
    <w:rsid w:val="577B31B2"/>
    <w:rsid w:val="57981FE0"/>
    <w:rsid w:val="579A0301"/>
    <w:rsid w:val="57BD2F66"/>
    <w:rsid w:val="57CE2F91"/>
    <w:rsid w:val="57D3471A"/>
    <w:rsid w:val="57D94CF8"/>
    <w:rsid w:val="57F87E76"/>
    <w:rsid w:val="580D4560"/>
    <w:rsid w:val="582426F9"/>
    <w:rsid w:val="58472771"/>
    <w:rsid w:val="586C4D6C"/>
    <w:rsid w:val="588B491D"/>
    <w:rsid w:val="588E44CE"/>
    <w:rsid w:val="589E685D"/>
    <w:rsid w:val="58A4190F"/>
    <w:rsid w:val="58B87159"/>
    <w:rsid w:val="58BE2FCB"/>
    <w:rsid w:val="58CB5722"/>
    <w:rsid w:val="58CC45A2"/>
    <w:rsid w:val="58DA51F7"/>
    <w:rsid w:val="59486D73"/>
    <w:rsid w:val="595341D0"/>
    <w:rsid w:val="596A6CE9"/>
    <w:rsid w:val="59837DAB"/>
    <w:rsid w:val="598A1104"/>
    <w:rsid w:val="59A05998"/>
    <w:rsid w:val="59B667FC"/>
    <w:rsid w:val="59B91A1F"/>
    <w:rsid w:val="59E64A91"/>
    <w:rsid w:val="5A0007DB"/>
    <w:rsid w:val="5A007513"/>
    <w:rsid w:val="5A17569A"/>
    <w:rsid w:val="5A386774"/>
    <w:rsid w:val="5A3B477C"/>
    <w:rsid w:val="5A4532B2"/>
    <w:rsid w:val="5A596C30"/>
    <w:rsid w:val="5A5A04EF"/>
    <w:rsid w:val="5A750343"/>
    <w:rsid w:val="5A9A7CF5"/>
    <w:rsid w:val="5AF7071A"/>
    <w:rsid w:val="5AFB3C7B"/>
    <w:rsid w:val="5B0531C4"/>
    <w:rsid w:val="5B123195"/>
    <w:rsid w:val="5B2A7944"/>
    <w:rsid w:val="5B524600"/>
    <w:rsid w:val="5B622CB5"/>
    <w:rsid w:val="5B755279"/>
    <w:rsid w:val="5B773940"/>
    <w:rsid w:val="5B8127E6"/>
    <w:rsid w:val="5B8B661D"/>
    <w:rsid w:val="5B9025DF"/>
    <w:rsid w:val="5BAA52F6"/>
    <w:rsid w:val="5BC326E1"/>
    <w:rsid w:val="5BC714C3"/>
    <w:rsid w:val="5BDC3FE6"/>
    <w:rsid w:val="5BE549FB"/>
    <w:rsid w:val="5C154851"/>
    <w:rsid w:val="5C35574B"/>
    <w:rsid w:val="5C3C4F10"/>
    <w:rsid w:val="5C462B83"/>
    <w:rsid w:val="5C4D3844"/>
    <w:rsid w:val="5C597B4B"/>
    <w:rsid w:val="5C5F5FDC"/>
    <w:rsid w:val="5C6A5252"/>
    <w:rsid w:val="5C84084B"/>
    <w:rsid w:val="5C852714"/>
    <w:rsid w:val="5C9040D1"/>
    <w:rsid w:val="5CAF696A"/>
    <w:rsid w:val="5CB41885"/>
    <w:rsid w:val="5CBA4906"/>
    <w:rsid w:val="5CC56363"/>
    <w:rsid w:val="5CC920AF"/>
    <w:rsid w:val="5CCE2E5C"/>
    <w:rsid w:val="5CD06384"/>
    <w:rsid w:val="5CEA1047"/>
    <w:rsid w:val="5CF25ACA"/>
    <w:rsid w:val="5D0026BF"/>
    <w:rsid w:val="5D55380D"/>
    <w:rsid w:val="5D557423"/>
    <w:rsid w:val="5D6B3C9C"/>
    <w:rsid w:val="5D6B4822"/>
    <w:rsid w:val="5D79399F"/>
    <w:rsid w:val="5D8008C5"/>
    <w:rsid w:val="5D837311"/>
    <w:rsid w:val="5DA2146C"/>
    <w:rsid w:val="5DA827A9"/>
    <w:rsid w:val="5DAB78D0"/>
    <w:rsid w:val="5DB96848"/>
    <w:rsid w:val="5DE25347"/>
    <w:rsid w:val="5DE677E4"/>
    <w:rsid w:val="5DE828D3"/>
    <w:rsid w:val="5E3B2A02"/>
    <w:rsid w:val="5E503390"/>
    <w:rsid w:val="5E6840E4"/>
    <w:rsid w:val="5E8927F7"/>
    <w:rsid w:val="5EA83D62"/>
    <w:rsid w:val="5EB553D8"/>
    <w:rsid w:val="5EBE66A1"/>
    <w:rsid w:val="5EFB4E8F"/>
    <w:rsid w:val="5F06765C"/>
    <w:rsid w:val="5F153CD5"/>
    <w:rsid w:val="5F1A7546"/>
    <w:rsid w:val="5F2143CF"/>
    <w:rsid w:val="5F296CFF"/>
    <w:rsid w:val="5F361C4C"/>
    <w:rsid w:val="5F3C2AA3"/>
    <w:rsid w:val="5F471925"/>
    <w:rsid w:val="5F64160B"/>
    <w:rsid w:val="5F7D6E9B"/>
    <w:rsid w:val="5F8A7AF8"/>
    <w:rsid w:val="5F910EEB"/>
    <w:rsid w:val="5F9723D4"/>
    <w:rsid w:val="5FB57A43"/>
    <w:rsid w:val="5FCF5AF8"/>
    <w:rsid w:val="5FD541E5"/>
    <w:rsid w:val="5FE2255F"/>
    <w:rsid w:val="5FFE20B3"/>
    <w:rsid w:val="6002623B"/>
    <w:rsid w:val="601C0B63"/>
    <w:rsid w:val="6024225D"/>
    <w:rsid w:val="60327CDA"/>
    <w:rsid w:val="6041392A"/>
    <w:rsid w:val="60786190"/>
    <w:rsid w:val="60827A7F"/>
    <w:rsid w:val="60B1179C"/>
    <w:rsid w:val="60C03B9D"/>
    <w:rsid w:val="60C30EBA"/>
    <w:rsid w:val="60D759A7"/>
    <w:rsid w:val="60E92BEA"/>
    <w:rsid w:val="60FA5E4D"/>
    <w:rsid w:val="60FD687E"/>
    <w:rsid w:val="611B610A"/>
    <w:rsid w:val="61231205"/>
    <w:rsid w:val="614B5652"/>
    <w:rsid w:val="615519D1"/>
    <w:rsid w:val="61712BFA"/>
    <w:rsid w:val="618A6458"/>
    <w:rsid w:val="61A43085"/>
    <w:rsid w:val="61A76CE1"/>
    <w:rsid w:val="61B16DCA"/>
    <w:rsid w:val="61B76112"/>
    <w:rsid w:val="61BC02FE"/>
    <w:rsid w:val="61D91B87"/>
    <w:rsid w:val="61F670BF"/>
    <w:rsid w:val="621D2C31"/>
    <w:rsid w:val="622163B3"/>
    <w:rsid w:val="62382B6B"/>
    <w:rsid w:val="625E4B5A"/>
    <w:rsid w:val="627B1F67"/>
    <w:rsid w:val="628726BA"/>
    <w:rsid w:val="628C07CD"/>
    <w:rsid w:val="62D17DD9"/>
    <w:rsid w:val="62D95085"/>
    <w:rsid w:val="62DF6500"/>
    <w:rsid w:val="63086D34"/>
    <w:rsid w:val="63124B5B"/>
    <w:rsid w:val="63147271"/>
    <w:rsid w:val="6319235B"/>
    <w:rsid w:val="631970F2"/>
    <w:rsid w:val="63225664"/>
    <w:rsid w:val="634E6B59"/>
    <w:rsid w:val="639E323C"/>
    <w:rsid w:val="63A2649A"/>
    <w:rsid w:val="63AC7EFE"/>
    <w:rsid w:val="63BA086D"/>
    <w:rsid w:val="63DC6A36"/>
    <w:rsid w:val="640F0C95"/>
    <w:rsid w:val="642C5726"/>
    <w:rsid w:val="64414423"/>
    <w:rsid w:val="644F7208"/>
    <w:rsid w:val="64653A39"/>
    <w:rsid w:val="64837689"/>
    <w:rsid w:val="64860DCF"/>
    <w:rsid w:val="649B43E7"/>
    <w:rsid w:val="64AC24AA"/>
    <w:rsid w:val="64AC501D"/>
    <w:rsid w:val="64C84C42"/>
    <w:rsid w:val="64D616D7"/>
    <w:rsid w:val="64D71257"/>
    <w:rsid w:val="64D77A45"/>
    <w:rsid w:val="64DB1D5B"/>
    <w:rsid w:val="65051FBC"/>
    <w:rsid w:val="650A7D0F"/>
    <w:rsid w:val="657F47FA"/>
    <w:rsid w:val="65962422"/>
    <w:rsid w:val="659C0F61"/>
    <w:rsid w:val="65A90B99"/>
    <w:rsid w:val="65DE74AA"/>
    <w:rsid w:val="65E722ED"/>
    <w:rsid w:val="65FD3F7D"/>
    <w:rsid w:val="660E1720"/>
    <w:rsid w:val="6615324D"/>
    <w:rsid w:val="661F5D4E"/>
    <w:rsid w:val="66244E2A"/>
    <w:rsid w:val="66277C74"/>
    <w:rsid w:val="663A54CD"/>
    <w:rsid w:val="664B6C83"/>
    <w:rsid w:val="664E543D"/>
    <w:rsid w:val="665151C5"/>
    <w:rsid w:val="66A419C8"/>
    <w:rsid w:val="66CA3900"/>
    <w:rsid w:val="66D92573"/>
    <w:rsid w:val="66EF7CB3"/>
    <w:rsid w:val="66F43167"/>
    <w:rsid w:val="66F96665"/>
    <w:rsid w:val="6709239E"/>
    <w:rsid w:val="670B6C95"/>
    <w:rsid w:val="67122501"/>
    <w:rsid w:val="6716551C"/>
    <w:rsid w:val="672460D2"/>
    <w:rsid w:val="67404836"/>
    <w:rsid w:val="67460796"/>
    <w:rsid w:val="67746C1E"/>
    <w:rsid w:val="678A4C87"/>
    <w:rsid w:val="679A2E90"/>
    <w:rsid w:val="67B57CC9"/>
    <w:rsid w:val="67B83316"/>
    <w:rsid w:val="67C70996"/>
    <w:rsid w:val="67D363A2"/>
    <w:rsid w:val="67F15358"/>
    <w:rsid w:val="67F91B67"/>
    <w:rsid w:val="67FB2D9A"/>
    <w:rsid w:val="68015122"/>
    <w:rsid w:val="680D7860"/>
    <w:rsid w:val="680E682C"/>
    <w:rsid w:val="683C5CF5"/>
    <w:rsid w:val="68545728"/>
    <w:rsid w:val="68737491"/>
    <w:rsid w:val="68A4335E"/>
    <w:rsid w:val="68AC570F"/>
    <w:rsid w:val="68B31A1E"/>
    <w:rsid w:val="69065331"/>
    <w:rsid w:val="691A5C25"/>
    <w:rsid w:val="69A0273F"/>
    <w:rsid w:val="69A81D13"/>
    <w:rsid w:val="69B4394F"/>
    <w:rsid w:val="69C63890"/>
    <w:rsid w:val="69C83917"/>
    <w:rsid w:val="69DF2DDC"/>
    <w:rsid w:val="69EA14D4"/>
    <w:rsid w:val="6A5A6906"/>
    <w:rsid w:val="6A673A27"/>
    <w:rsid w:val="6A774E62"/>
    <w:rsid w:val="6A835E5D"/>
    <w:rsid w:val="6A86777A"/>
    <w:rsid w:val="6A986FA7"/>
    <w:rsid w:val="6A9C6DB1"/>
    <w:rsid w:val="6AAE6CD6"/>
    <w:rsid w:val="6ABE4487"/>
    <w:rsid w:val="6AC21848"/>
    <w:rsid w:val="6AD01A1D"/>
    <w:rsid w:val="6AD6096B"/>
    <w:rsid w:val="6AEB3A02"/>
    <w:rsid w:val="6AEE5AB3"/>
    <w:rsid w:val="6AEF0F07"/>
    <w:rsid w:val="6B1E5B86"/>
    <w:rsid w:val="6B3517A2"/>
    <w:rsid w:val="6B3F056E"/>
    <w:rsid w:val="6B5F7207"/>
    <w:rsid w:val="6BAC5775"/>
    <w:rsid w:val="6BAF67DE"/>
    <w:rsid w:val="6BC73B27"/>
    <w:rsid w:val="6BD62E25"/>
    <w:rsid w:val="6BEB2EB8"/>
    <w:rsid w:val="6BEC72DA"/>
    <w:rsid w:val="6BED49F5"/>
    <w:rsid w:val="6BFC5274"/>
    <w:rsid w:val="6C2D4727"/>
    <w:rsid w:val="6C382C77"/>
    <w:rsid w:val="6C3A3070"/>
    <w:rsid w:val="6C4D6722"/>
    <w:rsid w:val="6C4E3D8F"/>
    <w:rsid w:val="6C4F0913"/>
    <w:rsid w:val="6C530D6E"/>
    <w:rsid w:val="6C665F22"/>
    <w:rsid w:val="6C6B37B7"/>
    <w:rsid w:val="6C7B04AD"/>
    <w:rsid w:val="6C7F2654"/>
    <w:rsid w:val="6C99009C"/>
    <w:rsid w:val="6CA54F66"/>
    <w:rsid w:val="6CCD7525"/>
    <w:rsid w:val="6CD90225"/>
    <w:rsid w:val="6D0D4F0D"/>
    <w:rsid w:val="6D2A2137"/>
    <w:rsid w:val="6D3B38A6"/>
    <w:rsid w:val="6D592A35"/>
    <w:rsid w:val="6D6E7A25"/>
    <w:rsid w:val="6D7B52A4"/>
    <w:rsid w:val="6D9C0709"/>
    <w:rsid w:val="6DA869DF"/>
    <w:rsid w:val="6DBC0443"/>
    <w:rsid w:val="6DCA5B51"/>
    <w:rsid w:val="6DCA76E7"/>
    <w:rsid w:val="6DD90E9C"/>
    <w:rsid w:val="6DEE25FC"/>
    <w:rsid w:val="6DEE54FF"/>
    <w:rsid w:val="6DFF7B69"/>
    <w:rsid w:val="6E0077C5"/>
    <w:rsid w:val="6E172713"/>
    <w:rsid w:val="6E183FF7"/>
    <w:rsid w:val="6E301C12"/>
    <w:rsid w:val="6E361438"/>
    <w:rsid w:val="6E507F6A"/>
    <w:rsid w:val="6E794A70"/>
    <w:rsid w:val="6E8859B4"/>
    <w:rsid w:val="6E901AF9"/>
    <w:rsid w:val="6E923810"/>
    <w:rsid w:val="6EA77C40"/>
    <w:rsid w:val="6EB6001B"/>
    <w:rsid w:val="6EB674B0"/>
    <w:rsid w:val="6EDD1797"/>
    <w:rsid w:val="6EE025B3"/>
    <w:rsid w:val="6EE2723F"/>
    <w:rsid w:val="6EE62242"/>
    <w:rsid w:val="6EF75547"/>
    <w:rsid w:val="6F041776"/>
    <w:rsid w:val="6F15469D"/>
    <w:rsid w:val="6F215F77"/>
    <w:rsid w:val="6F2B0871"/>
    <w:rsid w:val="6F310BEA"/>
    <w:rsid w:val="6F344FA3"/>
    <w:rsid w:val="6F377216"/>
    <w:rsid w:val="6F3D1B95"/>
    <w:rsid w:val="6F5D48A9"/>
    <w:rsid w:val="6F685621"/>
    <w:rsid w:val="6F79782E"/>
    <w:rsid w:val="6F9208F0"/>
    <w:rsid w:val="6F935636"/>
    <w:rsid w:val="6FAB35A0"/>
    <w:rsid w:val="6FB15609"/>
    <w:rsid w:val="6FCA32D4"/>
    <w:rsid w:val="6FD960F8"/>
    <w:rsid w:val="701140D8"/>
    <w:rsid w:val="70130B7C"/>
    <w:rsid w:val="701E37CD"/>
    <w:rsid w:val="70261E0E"/>
    <w:rsid w:val="70381498"/>
    <w:rsid w:val="703A7487"/>
    <w:rsid w:val="703E0F71"/>
    <w:rsid w:val="705C40DF"/>
    <w:rsid w:val="70AB2682"/>
    <w:rsid w:val="70C60851"/>
    <w:rsid w:val="711E2E7B"/>
    <w:rsid w:val="71207507"/>
    <w:rsid w:val="71381023"/>
    <w:rsid w:val="714D0383"/>
    <w:rsid w:val="714D7970"/>
    <w:rsid w:val="71536AB4"/>
    <w:rsid w:val="716963F3"/>
    <w:rsid w:val="7177283F"/>
    <w:rsid w:val="71974668"/>
    <w:rsid w:val="71AE4CE1"/>
    <w:rsid w:val="71B00239"/>
    <w:rsid w:val="71C07EDB"/>
    <w:rsid w:val="71C34E0E"/>
    <w:rsid w:val="71E778E1"/>
    <w:rsid w:val="71EA5F45"/>
    <w:rsid w:val="71EC1090"/>
    <w:rsid w:val="72037883"/>
    <w:rsid w:val="72225F5B"/>
    <w:rsid w:val="722573B2"/>
    <w:rsid w:val="72516841"/>
    <w:rsid w:val="725F4713"/>
    <w:rsid w:val="72665631"/>
    <w:rsid w:val="728C6382"/>
    <w:rsid w:val="7291007C"/>
    <w:rsid w:val="729B63E6"/>
    <w:rsid w:val="72B44BAB"/>
    <w:rsid w:val="72B752B6"/>
    <w:rsid w:val="72BE6889"/>
    <w:rsid w:val="72C65445"/>
    <w:rsid w:val="72D134DE"/>
    <w:rsid w:val="72EE07FF"/>
    <w:rsid w:val="730451FB"/>
    <w:rsid w:val="733525AB"/>
    <w:rsid w:val="733951B5"/>
    <w:rsid w:val="7350525A"/>
    <w:rsid w:val="735974C7"/>
    <w:rsid w:val="735C724B"/>
    <w:rsid w:val="736D7FAA"/>
    <w:rsid w:val="737067CE"/>
    <w:rsid w:val="737759D2"/>
    <w:rsid w:val="738A025C"/>
    <w:rsid w:val="73A5095C"/>
    <w:rsid w:val="73AC5479"/>
    <w:rsid w:val="73B456F7"/>
    <w:rsid w:val="73E02E52"/>
    <w:rsid w:val="73F21E51"/>
    <w:rsid w:val="74143FCA"/>
    <w:rsid w:val="74274806"/>
    <w:rsid w:val="745B3FC8"/>
    <w:rsid w:val="747607E0"/>
    <w:rsid w:val="74C9771A"/>
    <w:rsid w:val="74DD37CB"/>
    <w:rsid w:val="74F6722B"/>
    <w:rsid w:val="74F97613"/>
    <w:rsid w:val="74FA1AA3"/>
    <w:rsid w:val="750952D6"/>
    <w:rsid w:val="750B3503"/>
    <w:rsid w:val="754132D7"/>
    <w:rsid w:val="754B39BE"/>
    <w:rsid w:val="754E4D52"/>
    <w:rsid w:val="75540CB5"/>
    <w:rsid w:val="755F027C"/>
    <w:rsid w:val="756F7498"/>
    <w:rsid w:val="75762808"/>
    <w:rsid w:val="757C5983"/>
    <w:rsid w:val="757E6628"/>
    <w:rsid w:val="758D5C65"/>
    <w:rsid w:val="75A32CD3"/>
    <w:rsid w:val="75F34DBC"/>
    <w:rsid w:val="761262E7"/>
    <w:rsid w:val="76171B4F"/>
    <w:rsid w:val="761C3D07"/>
    <w:rsid w:val="76506D12"/>
    <w:rsid w:val="76522B87"/>
    <w:rsid w:val="7669528D"/>
    <w:rsid w:val="769676BE"/>
    <w:rsid w:val="76A16A78"/>
    <w:rsid w:val="76A301A9"/>
    <w:rsid w:val="76AA12D1"/>
    <w:rsid w:val="76BE3814"/>
    <w:rsid w:val="76C81182"/>
    <w:rsid w:val="76D20752"/>
    <w:rsid w:val="77195EC0"/>
    <w:rsid w:val="772C31EA"/>
    <w:rsid w:val="7730111A"/>
    <w:rsid w:val="77472490"/>
    <w:rsid w:val="7748432C"/>
    <w:rsid w:val="774D0D92"/>
    <w:rsid w:val="775A62EB"/>
    <w:rsid w:val="7780146C"/>
    <w:rsid w:val="77860D3A"/>
    <w:rsid w:val="77916807"/>
    <w:rsid w:val="77AC03F7"/>
    <w:rsid w:val="77AD2972"/>
    <w:rsid w:val="77AF348B"/>
    <w:rsid w:val="77E4568D"/>
    <w:rsid w:val="7818236C"/>
    <w:rsid w:val="7826576E"/>
    <w:rsid w:val="784D6A8F"/>
    <w:rsid w:val="787075E3"/>
    <w:rsid w:val="787F5E0E"/>
    <w:rsid w:val="78871EF4"/>
    <w:rsid w:val="788F0A8E"/>
    <w:rsid w:val="78964FAD"/>
    <w:rsid w:val="78984411"/>
    <w:rsid w:val="78B35B5F"/>
    <w:rsid w:val="78B975E2"/>
    <w:rsid w:val="78BD5B5B"/>
    <w:rsid w:val="78D859AC"/>
    <w:rsid w:val="78D87374"/>
    <w:rsid w:val="78DB788A"/>
    <w:rsid w:val="78DD2BDC"/>
    <w:rsid w:val="78E20BCB"/>
    <w:rsid w:val="7901645D"/>
    <w:rsid w:val="791B6EFA"/>
    <w:rsid w:val="79200D1B"/>
    <w:rsid w:val="793900AE"/>
    <w:rsid w:val="793A646B"/>
    <w:rsid w:val="79411E2E"/>
    <w:rsid w:val="794E57B9"/>
    <w:rsid w:val="795B6CA7"/>
    <w:rsid w:val="7993773F"/>
    <w:rsid w:val="799A7EFC"/>
    <w:rsid w:val="79A416E4"/>
    <w:rsid w:val="79BD7A28"/>
    <w:rsid w:val="79C80320"/>
    <w:rsid w:val="79D76944"/>
    <w:rsid w:val="79E3201D"/>
    <w:rsid w:val="79E35356"/>
    <w:rsid w:val="7A017BA3"/>
    <w:rsid w:val="7A240F4C"/>
    <w:rsid w:val="7A2E0C25"/>
    <w:rsid w:val="7A3031E0"/>
    <w:rsid w:val="7A5520E7"/>
    <w:rsid w:val="7A8E7000"/>
    <w:rsid w:val="7A9B169C"/>
    <w:rsid w:val="7ACB47F9"/>
    <w:rsid w:val="7B2F5FF1"/>
    <w:rsid w:val="7B362C38"/>
    <w:rsid w:val="7B3E709B"/>
    <w:rsid w:val="7B444EEC"/>
    <w:rsid w:val="7BB87930"/>
    <w:rsid w:val="7BC55CD7"/>
    <w:rsid w:val="7BE67FFA"/>
    <w:rsid w:val="7C015525"/>
    <w:rsid w:val="7C122B9D"/>
    <w:rsid w:val="7C1B2F90"/>
    <w:rsid w:val="7C346788"/>
    <w:rsid w:val="7C3A6597"/>
    <w:rsid w:val="7C3F14B1"/>
    <w:rsid w:val="7C714397"/>
    <w:rsid w:val="7C8C6252"/>
    <w:rsid w:val="7C9537CE"/>
    <w:rsid w:val="7CC077C4"/>
    <w:rsid w:val="7CC54241"/>
    <w:rsid w:val="7CD93EEC"/>
    <w:rsid w:val="7CFA1B2B"/>
    <w:rsid w:val="7D021147"/>
    <w:rsid w:val="7D0A5C94"/>
    <w:rsid w:val="7D2742EC"/>
    <w:rsid w:val="7D2B4ACC"/>
    <w:rsid w:val="7D354D9C"/>
    <w:rsid w:val="7D4262D5"/>
    <w:rsid w:val="7D463B6A"/>
    <w:rsid w:val="7D4A7A8F"/>
    <w:rsid w:val="7D5A009D"/>
    <w:rsid w:val="7D5A26C7"/>
    <w:rsid w:val="7D802F63"/>
    <w:rsid w:val="7DA018DD"/>
    <w:rsid w:val="7DC317FD"/>
    <w:rsid w:val="7DEE3196"/>
    <w:rsid w:val="7DEE3610"/>
    <w:rsid w:val="7E117D5D"/>
    <w:rsid w:val="7E17093E"/>
    <w:rsid w:val="7E2D0162"/>
    <w:rsid w:val="7E3C65F7"/>
    <w:rsid w:val="7E512469"/>
    <w:rsid w:val="7E560070"/>
    <w:rsid w:val="7E7B7570"/>
    <w:rsid w:val="7EC43811"/>
    <w:rsid w:val="7EC55CEB"/>
    <w:rsid w:val="7EDD4A9A"/>
    <w:rsid w:val="7EF01E0D"/>
    <w:rsid w:val="7EF95000"/>
    <w:rsid w:val="7F296E45"/>
    <w:rsid w:val="7F6F2449"/>
    <w:rsid w:val="7F776EBB"/>
    <w:rsid w:val="7F97259B"/>
    <w:rsid w:val="7FB34CE5"/>
    <w:rsid w:val="7FBB0477"/>
    <w:rsid w:val="7FBF290A"/>
    <w:rsid w:val="7FC171A0"/>
    <w:rsid w:val="7FE0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0"/>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1"/>
    <w:link w:val="61"/>
    <w:qFormat/>
    <w:uiPriority w:val="0"/>
    <w:pPr>
      <w:numPr>
        <w:ilvl w:val="1"/>
        <w:numId w:val="1"/>
      </w:numPr>
      <w:tabs>
        <w:tab w:val="left" w:pos="425"/>
      </w:tabs>
      <w:snapToGrid w:val="0"/>
      <w:outlineLvl w:val="1"/>
    </w:pPr>
    <w:rPr>
      <w:rFonts w:ascii="宋体"/>
      <w:sz w:val="28"/>
      <w:szCs w:val="20"/>
    </w:rPr>
  </w:style>
  <w:style w:type="paragraph" w:styleId="4">
    <w:name w:val="heading 3"/>
    <w:basedOn w:val="3"/>
    <w:next w:val="1"/>
    <w:link w:val="62"/>
    <w:qFormat/>
    <w:uiPriority w:val="0"/>
    <w:pPr>
      <w:numPr>
        <w:ilvl w:val="2"/>
      </w:numPr>
      <w:tabs>
        <w:tab w:val="clear" w:pos="425"/>
      </w:tabs>
      <w:ind w:left="0" w:firstLine="0"/>
      <w:jc w:val="left"/>
      <w:outlineLvl w:val="2"/>
    </w:pPr>
    <w:rPr>
      <w:b/>
      <w:sz w:val="32"/>
    </w:rPr>
  </w:style>
  <w:style w:type="paragraph" w:styleId="5">
    <w:name w:val="heading 4"/>
    <w:basedOn w:val="1"/>
    <w:next w:val="1"/>
    <w:link w:val="63"/>
    <w:qFormat/>
    <w:uiPriority w:val="0"/>
    <w:pPr>
      <w:keepNext/>
      <w:keepLines/>
      <w:spacing w:before="280" w:after="290" w:line="376" w:lineRule="auto"/>
      <w:outlineLvl w:val="3"/>
    </w:pPr>
    <w:rPr>
      <w:rFonts w:ascii="Calibri Light" w:hAnsi="Calibri Light"/>
      <w:b/>
      <w:bCs/>
      <w:kern w:val="0"/>
      <w:sz w:val="28"/>
      <w:szCs w:val="28"/>
    </w:rPr>
  </w:style>
  <w:style w:type="paragraph" w:styleId="6">
    <w:name w:val="heading 5"/>
    <w:basedOn w:val="1"/>
    <w:next w:val="1"/>
    <w:link w:val="64"/>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65"/>
    <w:qFormat/>
    <w:uiPriority w:val="0"/>
    <w:pPr>
      <w:keepNext/>
      <w:keepLines/>
      <w:spacing w:before="240" w:after="64" w:line="320" w:lineRule="auto"/>
      <w:outlineLvl w:val="5"/>
    </w:pPr>
    <w:rPr>
      <w:rFonts w:ascii="Calibri Light" w:hAnsi="Calibri Light"/>
      <w:b/>
      <w:bCs/>
      <w:kern w:val="0"/>
    </w:rPr>
  </w:style>
  <w:style w:type="paragraph" w:styleId="8">
    <w:name w:val="heading 7"/>
    <w:basedOn w:val="1"/>
    <w:next w:val="1"/>
    <w:link w:val="66"/>
    <w:qFormat/>
    <w:uiPriority w:val="0"/>
    <w:pPr>
      <w:keepNext/>
      <w:keepLines/>
      <w:spacing w:before="240" w:after="64" w:line="320" w:lineRule="auto"/>
      <w:outlineLvl w:val="6"/>
    </w:pPr>
    <w:rPr>
      <w:b/>
      <w:bCs/>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Document Map"/>
    <w:basedOn w:val="1"/>
    <w:link w:val="67"/>
    <w:qFormat/>
    <w:uiPriority w:val="0"/>
    <w:rPr>
      <w:rFonts w:ascii="Microsoft YaHei UI" w:eastAsia="Microsoft YaHei UI"/>
      <w:kern w:val="0"/>
      <w:sz w:val="18"/>
      <w:szCs w:val="18"/>
    </w:rPr>
  </w:style>
  <w:style w:type="paragraph" w:styleId="11">
    <w:name w:val="annotation text"/>
    <w:basedOn w:val="1"/>
    <w:link w:val="68"/>
    <w:qFormat/>
    <w:uiPriority w:val="0"/>
    <w:pPr>
      <w:jc w:val="left"/>
    </w:pPr>
    <w:rPr>
      <w:kern w:val="0"/>
      <w:sz w:val="20"/>
    </w:rPr>
  </w:style>
  <w:style w:type="paragraph" w:styleId="12">
    <w:name w:val="Body Text"/>
    <w:basedOn w:val="1"/>
    <w:next w:val="13"/>
    <w:link w:val="59"/>
    <w:qFormat/>
    <w:uiPriority w:val="0"/>
    <w:pPr>
      <w:spacing w:after="120"/>
    </w:pPr>
    <w:rPr>
      <w:kern w:val="0"/>
      <w:sz w:val="20"/>
    </w:rPr>
  </w:style>
  <w:style w:type="paragraph" w:styleId="13">
    <w:name w:val="Plain Text"/>
    <w:basedOn w:val="1"/>
    <w:link w:val="70"/>
    <w:qFormat/>
    <w:uiPriority w:val="0"/>
    <w:rPr>
      <w:rFonts w:ascii="宋体" w:hAnsi="Courier New"/>
      <w:kern w:val="0"/>
      <w:sz w:val="20"/>
      <w:szCs w:val="20"/>
    </w:rPr>
  </w:style>
  <w:style w:type="paragraph" w:styleId="14">
    <w:name w:val="Body Text Indent"/>
    <w:basedOn w:val="1"/>
    <w:next w:val="1"/>
    <w:link w:val="69"/>
    <w:qFormat/>
    <w:uiPriority w:val="0"/>
    <w:pPr>
      <w:tabs>
        <w:tab w:val="left" w:pos="2160"/>
      </w:tabs>
      <w:ind w:left="2159" w:leftChars="1028" w:firstLine="1"/>
    </w:pPr>
    <w:rPr>
      <w:rFonts w:ascii="宋体" w:hAnsi="宋体"/>
      <w:kern w:val="0"/>
      <w:sz w:val="20"/>
      <w:szCs w:val="21"/>
    </w:rPr>
  </w:style>
  <w:style w:type="paragraph" w:styleId="15">
    <w:name w:val="index 4"/>
    <w:basedOn w:val="1"/>
    <w:next w:val="1"/>
    <w:qFormat/>
    <w:uiPriority w:val="0"/>
    <w:pPr>
      <w:ind w:left="600" w:leftChars="600"/>
    </w:pPr>
  </w:style>
  <w:style w:type="paragraph" w:styleId="16">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7">
    <w:name w:val="Date"/>
    <w:basedOn w:val="1"/>
    <w:next w:val="1"/>
    <w:link w:val="72"/>
    <w:qFormat/>
    <w:uiPriority w:val="0"/>
    <w:pPr>
      <w:ind w:left="100" w:leftChars="2500"/>
    </w:pPr>
    <w:rPr>
      <w:kern w:val="0"/>
      <w:sz w:val="20"/>
    </w:rPr>
  </w:style>
  <w:style w:type="paragraph" w:styleId="18">
    <w:name w:val="Body Text Indent 2"/>
    <w:basedOn w:val="1"/>
    <w:qFormat/>
    <w:uiPriority w:val="0"/>
    <w:pPr>
      <w:ind w:firstLine="570"/>
    </w:pPr>
    <w:rPr>
      <w:rFonts w:ascii="Arial" w:hAnsi="Arial" w:eastAsia="仿宋_GB2312"/>
      <w:b/>
      <w:sz w:val="28"/>
    </w:rPr>
  </w:style>
  <w:style w:type="paragraph" w:styleId="19">
    <w:name w:val="Balloon Text"/>
    <w:basedOn w:val="1"/>
    <w:link w:val="73"/>
    <w:qFormat/>
    <w:uiPriority w:val="0"/>
    <w:rPr>
      <w:kern w:val="0"/>
      <w:sz w:val="18"/>
      <w:szCs w:val="18"/>
    </w:rPr>
  </w:style>
  <w:style w:type="paragraph" w:styleId="20">
    <w:name w:val="footer"/>
    <w:basedOn w:val="1"/>
    <w:link w:val="74"/>
    <w:qFormat/>
    <w:uiPriority w:val="0"/>
    <w:pPr>
      <w:tabs>
        <w:tab w:val="center" w:pos="4153"/>
        <w:tab w:val="right" w:pos="8306"/>
      </w:tabs>
      <w:snapToGrid w:val="0"/>
      <w:jc w:val="left"/>
    </w:pPr>
    <w:rPr>
      <w:kern w:val="0"/>
      <w:sz w:val="18"/>
      <w:szCs w:val="20"/>
    </w:rPr>
  </w:style>
  <w:style w:type="paragraph" w:styleId="21">
    <w:name w:val="header"/>
    <w:basedOn w:val="1"/>
    <w:link w:val="75"/>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qFormat/>
    <w:uiPriority w:val="0"/>
    <w:pPr>
      <w:tabs>
        <w:tab w:val="right" w:leader="dot" w:pos="8296"/>
      </w:tabs>
      <w:jc w:val="left"/>
    </w:pPr>
  </w:style>
  <w:style w:type="paragraph" w:styleId="23">
    <w:name w:val="index heading"/>
    <w:basedOn w:val="1"/>
    <w:next w:val="24"/>
    <w:qFormat/>
    <w:uiPriority w:val="0"/>
    <w:pPr>
      <w:spacing w:line="240" w:lineRule="auto"/>
    </w:pPr>
    <w:rPr>
      <w:sz w:val="28"/>
      <w:szCs w:val="20"/>
    </w:rPr>
  </w:style>
  <w:style w:type="paragraph" w:styleId="24">
    <w:name w:val="index 1"/>
    <w:basedOn w:val="1"/>
    <w:next w:val="1"/>
    <w:qFormat/>
    <w:uiPriority w:val="0"/>
    <w:pPr>
      <w:adjustRightInd w:val="0"/>
      <w:snapToGrid w:val="0"/>
      <w:jc w:val="left"/>
    </w:pPr>
    <w:rPr>
      <w:rFonts w:ascii="微软雅黑" w:hAnsi="微软雅黑" w:eastAsia="微软雅黑" w:cs="微软雅黑"/>
      <w:sz w:val="21"/>
      <w:szCs w:val="21"/>
    </w:rPr>
  </w:style>
  <w:style w:type="paragraph" w:styleId="25">
    <w:name w:val="Subtitle"/>
    <w:basedOn w:val="1"/>
    <w:next w:val="1"/>
    <w:link w:val="76"/>
    <w:qFormat/>
    <w:uiPriority w:val="0"/>
    <w:pPr>
      <w:spacing w:before="240" w:after="60" w:line="312" w:lineRule="auto"/>
      <w:jc w:val="center"/>
      <w:outlineLvl w:val="1"/>
    </w:pPr>
    <w:rPr>
      <w:rFonts w:ascii="Calibri Light" w:hAnsi="Calibri Light"/>
      <w:b/>
      <w:bCs/>
      <w:kern w:val="28"/>
      <w:sz w:val="32"/>
      <w:szCs w:val="32"/>
    </w:rPr>
  </w:style>
  <w:style w:type="paragraph" w:styleId="26">
    <w:name w:val="Body Text Indent 3"/>
    <w:basedOn w:val="1"/>
    <w:link w:val="77"/>
    <w:qFormat/>
    <w:uiPriority w:val="0"/>
    <w:pPr>
      <w:spacing w:after="120"/>
      <w:ind w:left="420" w:leftChars="200"/>
    </w:pPr>
    <w:rPr>
      <w:kern w:val="0"/>
      <w:sz w:val="16"/>
      <w:szCs w:val="16"/>
    </w:rPr>
  </w:style>
  <w:style w:type="paragraph" w:styleId="27">
    <w:name w:val="toc 2"/>
    <w:basedOn w:val="1"/>
    <w:next w:val="1"/>
    <w:qFormat/>
    <w:uiPriority w:val="0"/>
    <w:pPr>
      <w:widowControl/>
      <w:spacing w:after="100" w:line="259" w:lineRule="auto"/>
      <w:ind w:left="220"/>
      <w:jc w:val="left"/>
    </w:pPr>
    <w:rPr>
      <w:rFonts w:ascii="Calibri" w:hAnsi="Calibri"/>
      <w:kern w:val="0"/>
      <w:sz w:val="22"/>
      <w:szCs w:val="22"/>
    </w:rPr>
  </w:style>
  <w:style w:type="paragraph" w:styleId="28">
    <w:name w:val="toc 9"/>
    <w:basedOn w:val="1"/>
    <w:next w:val="1"/>
    <w:qFormat/>
    <w:uiPriority w:val="0"/>
    <w:pPr>
      <w:ind w:left="3360" w:leftChars="1600"/>
    </w:pPr>
  </w:style>
  <w:style w:type="paragraph" w:styleId="29">
    <w:name w:val="HTML Preformatted"/>
    <w:basedOn w:val="1"/>
    <w:next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30">
    <w:name w:val="Normal (Web)"/>
    <w:basedOn w:val="1"/>
    <w:next w:val="12"/>
    <w:qFormat/>
    <w:uiPriority w:val="0"/>
    <w:pPr>
      <w:widowControl/>
      <w:spacing w:before="100" w:beforeAutospacing="1" w:after="100" w:afterAutospacing="1"/>
      <w:jc w:val="left"/>
    </w:pPr>
    <w:rPr>
      <w:rFonts w:ascii="宋体" w:hAnsi="宋体" w:cs="宋体"/>
      <w:kern w:val="0"/>
    </w:rPr>
  </w:style>
  <w:style w:type="paragraph" w:styleId="31">
    <w:name w:val="Title"/>
    <w:basedOn w:val="1"/>
    <w:next w:val="1"/>
    <w:link w:val="79"/>
    <w:qFormat/>
    <w:uiPriority w:val="0"/>
    <w:pPr>
      <w:spacing w:before="240" w:after="60"/>
      <w:jc w:val="center"/>
      <w:outlineLvl w:val="0"/>
    </w:pPr>
    <w:rPr>
      <w:rFonts w:ascii="Cambria" w:hAnsi="Cambria"/>
      <w:b/>
      <w:bCs/>
      <w:kern w:val="0"/>
      <w:sz w:val="36"/>
      <w:szCs w:val="32"/>
    </w:rPr>
  </w:style>
  <w:style w:type="paragraph" w:styleId="32">
    <w:name w:val="annotation subject"/>
    <w:basedOn w:val="11"/>
    <w:next w:val="16"/>
    <w:link w:val="71"/>
    <w:qFormat/>
    <w:uiPriority w:val="0"/>
    <w:rPr>
      <w:b/>
      <w:bCs/>
    </w:rPr>
  </w:style>
  <w:style w:type="paragraph" w:styleId="33">
    <w:name w:val="Body Text First Indent"/>
    <w:basedOn w:val="12"/>
    <w:next w:val="29"/>
    <w:link w:val="80"/>
    <w:qFormat/>
    <w:uiPriority w:val="0"/>
    <w:pPr>
      <w:ind w:firstLine="420" w:firstLineChars="100"/>
    </w:pPr>
  </w:style>
  <w:style w:type="paragraph" w:styleId="34">
    <w:name w:val="Body Text First Indent 2"/>
    <w:basedOn w:val="14"/>
    <w:next w:val="1"/>
    <w:qFormat/>
    <w:uiPriority w:val="0"/>
    <w:pPr>
      <w:ind w:firstLine="420" w:firstLineChars="200"/>
    </w:pPr>
    <w:rPr>
      <w:rFonts w:ascii="Times New Roman" w:hAnsi="Times New Roman" w:eastAsia="仿宋_GB2312"/>
      <w:sz w:val="32"/>
      <w:szCs w:val="22"/>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ascii="Times New Roman" w:hAnsi="Times New Roman" w:eastAsia="宋体" w:cs="Times New Roman"/>
      <w:b/>
    </w:rPr>
  </w:style>
  <w:style w:type="character" w:styleId="39">
    <w:name w:val="page number"/>
    <w:qFormat/>
    <w:uiPriority w:val="0"/>
    <w:rPr>
      <w:rFonts w:ascii="Times New Roman" w:hAnsi="Times New Roman" w:eastAsia="宋体" w:cs="Times New Roman"/>
    </w:rPr>
  </w:style>
  <w:style w:type="character" w:styleId="40">
    <w:name w:val="FollowedHyperlink"/>
    <w:qFormat/>
    <w:uiPriority w:val="0"/>
    <w:rPr>
      <w:rFonts w:ascii="Times New Roman" w:hAnsi="Times New Roman" w:eastAsia="宋体" w:cs="Times New Roman"/>
      <w:color w:val="0000FF"/>
      <w:u w:val="single"/>
    </w:rPr>
  </w:style>
  <w:style w:type="character" w:styleId="41">
    <w:name w:val="Emphasis"/>
    <w:qFormat/>
    <w:uiPriority w:val="0"/>
    <w:rPr>
      <w:rFonts w:ascii="Times New Roman" w:hAnsi="Times New Roman" w:eastAsia="宋体" w:cs="Times New Roman"/>
      <w:i/>
      <w:iCs/>
    </w:rPr>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qFormat/>
    <w:uiPriority w:val="0"/>
    <w:rPr>
      <w:rFonts w:ascii="Times New Roman" w:hAnsi="Times New Roman" w:eastAsia="宋体" w:cs="Times New Roman"/>
      <w:color w:val="000099"/>
      <w:u w:val="non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rFonts w:ascii="Times New Roman" w:hAnsi="Times New Roman" w:eastAsia="宋体" w:cs="Times New Roman"/>
      <w:sz w:val="21"/>
      <w:szCs w:val="21"/>
    </w:rPr>
  </w:style>
  <w:style w:type="character" w:styleId="49">
    <w:name w:val="HTML Cite"/>
    <w:basedOn w:val="37"/>
    <w:qFormat/>
    <w:uiPriority w:val="0"/>
    <w:rPr>
      <w:rFonts w:ascii="Times New Roman" w:hAnsi="Times New Roman" w:eastAsia="宋体" w:cs="Times New Roman"/>
      <w:color w:val="008000"/>
    </w:rPr>
  </w:style>
  <w:style w:type="character" w:styleId="50">
    <w:name w:val="HTML Keyboard"/>
    <w:basedOn w:val="37"/>
    <w:qFormat/>
    <w:uiPriority w:val="0"/>
    <w:rPr>
      <w:rFonts w:ascii="monospace" w:hAnsi="monospace" w:eastAsia="monospace" w:cs="monospace"/>
      <w:sz w:val="20"/>
    </w:rPr>
  </w:style>
  <w:style w:type="character" w:styleId="51">
    <w:name w:val="HTML Sample"/>
    <w:basedOn w:val="37"/>
    <w:qFormat/>
    <w:uiPriority w:val="0"/>
    <w:rPr>
      <w:rFonts w:hint="default" w:ascii="monospace" w:hAnsi="monospace" w:eastAsia="monospace" w:cs="monospace"/>
    </w:rPr>
  </w:style>
  <w:style w:type="paragraph" w:customStyle="1" w:styleId="52">
    <w:name w:val="一级条标题"/>
    <w:basedOn w:val="53"/>
    <w:next w:val="54"/>
    <w:link w:val="82"/>
    <w:qFormat/>
    <w:uiPriority w:val="0"/>
    <w:pPr>
      <w:tabs>
        <w:tab w:val="left" w:pos="720"/>
      </w:tabs>
      <w:spacing w:beforeLines="0" w:afterLines="0"/>
      <w:outlineLvl w:val="2"/>
    </w:pPr>
    <w:rPr>
      <w:rFonts w:ascii="Times New Roman" w:eastAsia="宋体"/>
    </w:rPr>
  </w:style>
  <w:style w:type="paragraph" w:customStyle="1" w:styleId="53">
    <w:name w:val="章标题"/>
    <w:next w:val="1"/>
    <w:link w:val="81"/>
    <w:qFormat/>
    <w:uiPriority w:val="0"/>
    <w:pPr>
      <w:tabs>
        <w:tab w:val="left" w:pos="720"/>
      </w:tabs>
      <w:spacing w:beforeLines="50" w:afterLines="50"/>
      <w:ind w:left="567" w:hanging="567"/>
      <w:jc w:val="both"/>
      <w:outlineLvl w:val="1"/>
    </w:pPr>
    <w:rPr>
      <w:rFonts w:ascii="黑体" w:hAnsi="Times New Roman" w:eastAsia="黑体" w:cs="Times New Roman"/>
      <w:sz w:val="21"/>
      <w:lang w:val="en-US" w:eastAsia="zh-CN" w:bidi="ar-SA"/>
    </w:rPr>
  </w:style>
  <w:style w:type="paragraph" w:customStyle="1" w:styleId="54">
    <w:name w:val="段"/>
    <w:basedOn w:val="55"/>
    <w:next w:val="1"/>
    <w:link w:val="8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7">
    <w:name w:val="样式 标题 3 + 首行缩进:  2 字符"/>
    <w:qFormat/>
    <w:uiPriority w:val="0"/>
    <w:pPr>
      <w:keepNext/>
      <w:keepLines/>
      <w:spacing w:line="480" w:lineRule="exact"/>
      <w:ind w:firstLine="200" w:firstLineChars="200"/>
      <w:outlineLvl w:val="2"/>
    </w:pPr>
    <w:rPr>
      <w:rFonts w:ascii="Times New Roman" w:hAnsi="Times New Roman" w:eastAsia="宋体" w:cs="宋体"/>
      <w:bCs/>
      <w:sz w:val="28"/>
      <w:szCs w:val="28"/>
      <w:lang w:val="en-US" w:eastAsia="zh-CN" w:bidi="ar-DZ"/>
    </w:rPr>
  </w:style>
  <w:style w:type="paragraph" w:customStyle="1" w:styleId="58">
    <w:name w:val="正文文本 21"/>
    <w:basedOn w:val="1"/>
    <w:qFormat/>
    <w:uiPriority w:val="0"/>
    <w:rPr>
      <w:rFonts w:ascii="Calibri" w:hAnsi="Calibri"/>
    </w:rPr>
  </w:style>
  <w:style w:type="character" w:customStyle="1" w:styleId="59">
    <w:name w:val="正文文本 字符"/>
    <w:link w:val="12"/>
    <w:qFormat/>
    <w:uiPriority w:val="0"/>
    <w:rPr>
      <w:rFonts w:ascii="Times New Roman" w:hAnsi="Times New Roman" w:eastAsia="宋体" w:cs="Times New Roman"/>
      <w:szCs w:val="24"/>
    </w:rPr>
  </w:style>
  <w:style w:type="character" w:customStyle="1" w:styleId="60">
    <w:name w:val="标题 1 字符"/>
    <w:link w:val="2"/>
    <w:qFormat/>
    <w:uiPriority w:val="0"/>
    <w:rPr>
      <w:rFonts w:ascii="宋体" w:hAnsi="Times New Roman" w:eastAsia="黑体" w:cs="Times New Roman"/>
      <w:kern w:val="28"/>
      <w:sz w:val="28"/>
    </w:rPr>
  </w:style>
  <w:style w:type="character" w:customStyle="1" w:styleId="61">
    <w:name w:val="标题 2 字符"/>
    <w:link w:val="3"/>
    <w:qFormat/>
    <w:uiPriority w:val="0"/>
    <w:rPr>
      <w:rFonts w:ascii="宋体" w:hAnsi="Times New Roman" w:eastAsia="宋体" w:cs="Times New Roman"/>
      <w:kern w:val="2"/>
      <w:sz w:val="28"/>
    </w:rPr>
  </w:style>
  <w:style w:type="character" w:customStyle="1" w:styleId="62">
    <w:name w:val="标题 3 字符"/>
    <w:link w:val="4"/>
    <w:qFormat/>
    <w:uiPriority w:val="0"/>
    <w:rPr>
      <w:rFonts w:ascii="Times New Roman" w:hAnsi="Times New Roman" w:eastAsia="宋体" w:cs="Times New Roman"/>
      <w:b/>
      <w:kern w:val="2"/>
      <w:sz w:val="32"/>
    </w:rPr>
  </w:style>
  <w:style w:type="character" w:customStyle="1" w:styleId="63">
    <w:name w:val="标题 4 字符"/>
    <w:link w:val="5"/>
    <w:qFormat/>
    <w:uiPriority w:val="0"/>
    <w:rPr>
      <w:rFonts w:ascii="Calibri Light" w:hAnsi="Calibri Light" w:eastAsia="宋体" w:cs="Times New Roman"/>
      <w:b/>
      <w:bCs/>
      <w:sz w:val="28"/>
      <w:szCs w:val="28"/>
    </w:rPr>
  </w:style>
  <w:style w:type="character" w:customStyle="1" w:styleId="64">
    <w:name w:val="标题 5 字符"/>
    <w:link w:val="6"/>
    <w:qFormat/>
    <w:uiPriority w:val="0"/>
    <w:rPr>
      <w:rFonts w:ascii="Times New Roman" w:hAnsi="Times New Roman" w:eastAsia="宋体" w:cs="Times New Roman"/>
      <w:b/>
      <w:bCs/>
      <w:sz w:val="28"/>
      <w:szCs w:val="28"/>
    </w:rPr>
  </w:style>
  <w:style w:type="character" w:customStyle="1" w:styleId="65">
    <w:name w:val="标题 6 字符"/>
    <w:link w:val="7"/>
    <w:qFormat/>
    <w:uiPriority w:val="0"/>
    <w:rPr>
      <w:rFonts w:ascii="Calibri Light" w:hAnsi="Calibri Light" w:eastAsia="宋体" w:cs="Times New Roman"/>
      <w:b/>
      <w:bCs/>
      <w:sz w:val="24"/>
      <w:szCs w:val="24"/>
    </w:rPr>
  </w:style>
  <w:style w:type="character" w:customStyle="1" w:styleId="66">
    <w:name w:val="标题 7 字符"/>
    <w:link w:val="8"/>
    <w:qFormat/>
    <w:uiPriority w:val="0"/>
    <w:rPr>
      <w:rFonts w:ascii="Times New Roman" w:hAnsi="Times New Roman" w:eastAsia="宋体" w:cs="Times New Roman"/>
      <w:b/>
      <w:bCs/>
      <w:kern w:val="2"/>
      <w:sz w:val="24"/>
      <w:szCs w:val="24"/>
    </w:rPr>
  </w:style>
  <w:style w:type="character" w:customStyle="1" w:styleId="67">
    <w:name w:val="文档结构图 字符"/>
    <w:link w:val="10"/>
    <w:qFormat/>
    <w:uiPriority w:val="0"/>
    <w:rPr>
      <w:rFonts w:ascii="Microsoft YaHei UI" w:hAnsi="Times New Roman" w:eastAsia="Microsoft YaHei UI" w:cs="Times New Roman"/>
      <w:sz w:val="18"/>
      <w:szCs w:val="18"/>
    </w:rPr>
  </w:style>
  <w:style w:type="character" w:customStyle="1" w:styleId="68">
    <w:name w:val="批注文字 字符"/>
    <w:link w:val="11"/>
    <w:qFormat/>
    <w:uiPriority w:val="0"/>
    <w:rPr>
      <w:rFonts w:ascii="Times New Roman" w:hAnsi="Times New Roman" w:eastAsia="宋体" w:cs="Times New Roman"/>
      <w:szCs w:val="24"/>
    </w:rPr>
  </w:style>
  <w:style w:type="character" w:customStyle="1" w:styleId="69">
    <w:name w:val="正文文本缩进 字符"/>
    <w:link w:val="14"/>
    <w:qFormat/>
    <w:uiPriority w:val="0"/>
    <w:rPr>
      <w:rFonts w:ascii="宋体" w:hAnsi="宋体" w:eastAsia="宋体" w:cs="Times New Roman"/>
      <w:szCs w:val="21"/>
    </w:rPr>
  </w:style>
  <w:style w:type="character" w:customStyle="1" w:styleId="70">
    <w:name w:val="纯文本 字符"/>
    <w:link w:val="13"/>
    <w:qFormat/>
    <w:uiPriority w:val="0"/>
    <w:rPr>
      <w:rFonts w:ascii="宋体" w:hAnsi="Courier New" w:eastAsia="宋体" w:cs="Times New Roman"/>
      <w:szCs w:val="20"/>
    </w:rPr>
  </w:style>
  <w:style w:type="character" w:customStyle="1" w:styleId="71">
    <w:name w:val="批注主题 字符"/>
    <w:link w:val="32"/>
    <w:qFormat/>
    <w:uiPriority w:val="0"/>
    <w:rPr>
      <w:rFonts w:ascii="Times New Roman" w:hAnsi="Times New Roman" w:eastAsia="宋体" w:cs="Times New Roman"/>
      <w:b/>
      <w:bCs/>
      <w:szCs w:val="24"/>
    </w:rPr>
  </w:style>
  <w:style w:type="character" w:customStyle="1" w:styleId="72">
    <w:name w:val="日期 字符"/>
    <w:link w:val="17"/>
    <w:qFormat/>
    <w:uiPriority w:val="0"/>
    <w:rPr>
      <w:rFonts w:ascii="Times New Roman" w:hAnsi="Times New Roman" w:eastAsia="宋体" w:cs="Times New Roman"/>
      <w:szCs w:val="24"/>
    </w:rPr>
  </w:style>
  <w:style w:type="character" w:customStyle="1" w:styleId="73">
    <w:name w:val="批注框文本 字符"/>
    <w:link w:val="19"/>
    <w:qFormat/>
    <w:uiPriority w:val="0"/>
    <w:rPr>
      <w:rFonts w:ascii="Times New Roman" w:hAnsi="Times New Roman" w:eastAsia="宋体" w:cs="Times New Roman"/>
      <w:sz w:val="18"/>
      <w:szCs w:val="18"/>
    </w:rPr>
  </w:style>
  <w:style w:type="character" w:customStyle="1" w:styleId="74">
    <w:name w:val="页脚 字符"/>
    <w:link w:val="20"/>
    <w:qFormat/>
    <w:uiPriority w:val="0"/>
    <w:rPr>
      <w:rFonts w:ascii="Times New Roman" w:hAnsi="Times New Roman" w:eastAsia="宋体" w:cs="Times New Roman"/>
      <w:sz w:val="18"/>
      <w:szCs w:val="20"/>
    </w:rPr>
  </w:style>
  <w:style w:type="character" w:customStyle="1" w:styleId="75">
    <w:name w:val="页眉 字符"/>
    <w:link w:val="21"/>
    <w:qFormat/>
    <w:uiPriority w:val="0"/>
    <w:rPr>
      <w:rFonts w:ascii="Times New Roman" w:hAnsi="Times New Roman" w:eastAsia="宋体" w:cs="Times New Roman"/>
      <w:sz w:val="18"/>
      <w:szCs w:val="20"/>
    </w:rPr>
  </w:style>
  <w:style w:type="character" w:customStyle="1" w:styleId="76">
    <w:name w:val="副标题 字符"/>
    <w:link w:val="25"/>
    <w:qFormat/>
    <w:uiPriority w:val="0"/>
    <w:rPr>
      <w:rFonts w:ascii="Calibri Light" w:hAnsi="Calibri Light" w:eastAsia="宋体" w:cs="Times New Roman"/>
      <w:b/>
      <w:bCs/>
      <w:kern w:val="28"/>
      <w:sz w:val="32"/>
      <w:szCs w:val="32"/>
    </w:rPr>
  </w:style>
  <w:style w:type="character" w:customStyle="1" w:styleId="77">
    <w:name w:val="正文文本缩进 3 字符"/>
    <w:link w:val="26"/>
    <w:qFormat/>
    <w:uiPriority w:val="0"/>
    <w:rPr>
      <w:rFonts w:ascii="Times New Roman" w:hAnsi="Times New Roman" w:eastAsia="宋体" w:cs="Times New Roman"/>
      <w:sz w:val="16"/>
      <w:szCs w:val="16"/>
    </w:rPr>
  </w:style>
  <w:style w:type="character" w:customStyle="1" w:styleId="78">
    <w:name w:val="HTML 预设格式 字符"/>
    <w:link w:val="29"/>
    <w:qFormat/>
    <w:uiPriority w:val="0"/>
    <w:rPr>
      <w:rFonts w:ascii="宋体" w:hAnsi="宋体" w:eastAsia="宋体" w:cs="宋体"/>
      <w:sz w:val="24"/>
      <w:szCs w:val="24"/>
    </w:rPr>
  </w:style>
  <w:style w:type="character" w:customStyle="1" w:styleId="79">
    <w:name w:val="标题 字符"/>
    <w:link w:val="31"/>
    <w:qFormat/>
    <w:uiPriority w:val="0"/>
    <w:rPr>
      <w:rFonts w:ascii="Cambria" w:hAnsi="Cambria" w:eastAsia="宋体" w:cs="Times New Roman"/>
      <w:b/>
      <w:bCs/>
      <w:sz w:val="36"/>
      <w:szCs w:val="32"/>
    </w:rPr>
  </w:style>
  <w:style w:type="character" w:customStyle="1" w:styleId="80">
    <w:name w:val="正文首行缩进 字符"/>
    <w:link w:val="33"/>
    <w:qFormat/>
    <w:uiPriority w:val="0"/>
    <w:rPr>
      <w:rFonts w:ascii="Times New Roman" w:hAnsi="Times New Roman" w:eastAsia="宋体" w:cs="Times New Roman"/>
      <w:szCs w:val="24"/>
    </w:rPr>
  </w:style>
  <w:style w:type="character" w:customStyle="1" w:styleId="81">
    <w:name w:val="章标题 Char Char"/>
    <w:link w:val="53"/>
    <w:qFormat/>
    <w:uiPriority w:val="0"/>
    <w:rPr>
      <w:rFonts w:ascii="黑体" w:hAnsi="Times New Roman" w:eastAsia="黑体" w:cs="Times New Roman"/>
      <w:sz w:val="21"/>
      <w:lang w:val="en-US" w:eastAsia="zh-CN" w:bidi="ar-SA"/>
    </w:rPr>
  </w:style>
  <w:style w:type="character" w:customStyle="1" w:styleId="82">
    <w:name w:val="一级条标题 Char Char"/>
    <w:link w:val="52"/>
    <w:qFormat/>
    <w:uiPriority w:val="0"/>
    <w:rPr>
      <w:rFonts w:ascii="黑体" w:hAnsi="Times New Roman" w:eastAsia="黑体" w:cs="Times New Roman"/>
      <w:sz w:val="21"/>
    </w:rPr>
  </w:style>
  <w:style w:type="character" w:customStyle="1" w:styleId="83">
    <w:name w:val="段 Char Char"/>
    <w:link w:val="54"/>
    <w:qFormat/>
    <w:uiPriority w:val="0"/>
    <w:rPr>
      <w:rFonts w:ascii="宋体" w:hAnsi="Times New Roman" w:eastAsia="宋体" w:cs="Times New Roman"/>
      <w:sz w:val="21"/>
      <w:lang w:val="en-US" w:eastAsia="zh-CN" w:bidi="ar-SA"/>
    </w:rPr>
  </w:style>
  <w:style w:type="paragraph" w:customStyle="1" w:styleId="84">
    <w:name w:val="引言二级条标题"/>
    <w:basedOn w:val="85"/>
    <w:next w:val="54"/>
    <w:qFormat/>
    <w:uiPriority w:val="99"/>
    <w:pPr>
      <w:numPr>
        <w:ilvl w:val="1"/>
        <w:numId w:val="2"/>
      </w:numPr>
      <w:tabs>
        <w:tab w:val="left" w:pos="360"/>
        <w:tab w:val="left" w:pos="1200"/>
      </w:tabs>
    </w:pPr>
    <w:rPr>
      <w:b w:val="0"/>
    </w:rPr>
  </w:style>
  <w:style w:type="paragraph" w:customStyle="1" w:styleId="85">
    <w:name w:val="引言一级条标题"/>
    <w:basedOn w:val="1"/>
    <w:next w:val="54"/>
    <w:qFormat/>
    <w:uiPriority w:val="0"/>
    <w:pPr>
      <w:widowControl/>
      <w:numPr>
        <w:ilvl w:val="0"/>
        <w:numId w:val="3"/>
      </w:numPr>
    </w:pPr>
    <w:rPr>
      <w:rFonts w:eastAsia="黑体"/>
      <w:b/>
      <w:szCs w:val="20"/>
    </w:rPr>
  </w:style>
  <w:style w:type="paragraph" w:customStyle="1" w:styleId="86">
    <w:name w:val="Body Text Indent1"/>
    <w:basedOn w:val="1"/>
    <w:qFormat/>
    <w:uiPriority w:val="0"/>
    <w:pPr>
      <w:ind w:firstLine="420"/>
    </w:pPr>
    <w:rPr>
      <w:rFonts w:ascii="宋体" w:hAnsi="宋体"/>
      <w:color w:val="000000"/>
    </w:rPr>
  </w:style>
  <w:style w:type="paragraph" w:customStyle="1" w:styleId="87">
    <w:name w:val="标题 5（有编号）（绿盟科技）"/>
    <w:basedOn w:val="1"/>
    <w:next w:val="88"/>
    <w:qFormat/>
    <w:uiPriority w:val="0"/>
    <w:pPr>
      <w:keepNext/>
      <w:keepLines/>
      <w:numPr>
        <w:ilvl w:val="4"/>
        <w:numId w:val="4"/>
      </w:numPr>
      <w:spacing w:before="280" w:after="156" w:line="377" w:lineRule="auto"/>
      <w:jc w:val="left"/>
      <w:outlineLvl w:val="4"/>
    </w:pPr>
    <w:rPr>
      <w:rFonts w:ascii="Arial" w:hAnsi="Arial" w:eastAsia="黑体"/>
      <w:b/>
      <w:kern w:val="0"/>
      <w:szCs w:val="28"/>
    </w:rPr>
  </w:style>
  <w:style w:type="paragraph" w:customStyle="1" w:styleId="88">
    <w:name w:val="正文（绿盟科技）"/>
    <w:next w:val="87"/>
    <w:qFormat/>
    <w:uiPriority w:val="0"/>
    <w:pPr>
      <w:spacing w:line="300" w:lineRule="auto"/>
    </w:pPr>
    <w:rPr>
      <w:rFonts w:ascii="Arial" w:hAnsi="Arial" w:eastAsia="宋体" w:cs="黑体"/>
      <w:sz w:val="21"/>
      <w:szCs w:val="21"/>
      <w:lang w:val="en-US" w:eastAsia="zh-CN" w:bidi="ar-SA"/>
    </w:rPr>
  </w:style>
  <w:style w:type="character" w:customStyle="1" w:styleId="89">
    <w:name w:val="c-gap-right2"/>
    <w:basedOn w:val="37"/>
    <w:qFormat/>
    <w:uiPriority w:val="0"/>
    <w:rPr>
      <w:rFonts w:ascii="Times New Roman" w:hAnsi="Times New Roman" w:eastAsia="宋体" w:cs="Times New Roman"/>
    </w:rPr>
  </w:style>
  <w:style w:type="character" w:customStyle="1" w:styleId="90">
    <w:name w:val="标题4 Char Char"/>
    <w:link w:val="91"/>
    <w:qFormat/>
    <w:uiPriority w:val="0"/>
    <w:rPr>
      <w:rFonts w:ascii="Arial" w:hAnsi="Arial" w:eastAsia="宋体" w:cs="Times New Roman"/>
      <w:b/>
      <w:bCs/>
      <w:sz w:val="24"/>
      <w:szCs w:val="32"/>
    </w:rPr>
  </w:style>
  <w:style w:type="paragraph" w:customStyle="1" w:styleId="91">
    <w:name w:val="标题4"/>
    <w:basedOn w:val="3"/>
    <w:next w:val="15"/>
    <w:link w:val="90"/>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92">
    <w:name w:val="无间隔 字符"/>
    <w:link w:val="93"/>
    <w:qFormat/>
    <w:uiPriority w:val="0"/>
    <w:rPr>
      <w:rFonts w:ascii="Times New Roman" w:hAnsi="Times New Roman" w:eastAsia="宋体" w:cs="Times New Roman"/>
      <w:kern w:val="2"/>
      <w:sz w:val="21"/>
      <w:szCs w:val="24"/>
      <w:lang w:val="en-US" w:eastAsia="zh-CN" w:bidi="ar-SA"/>
    </w:rPr>
  </w:style>
  <w:style w:type="paragraph" w:styleId="93">
    <w:name w:val="No Spacing"/>
    <w:link w:val="9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纯文本 Char1"/>
    <w:qFormat/>
    <w:uiPriority w:val="0"/>
    <w:rPr>
      <w:rFonts w:ascii="宋体" w:hAnsi="Courier New" w:eastAsia="宋体" w:cs="Courier New"/>
      <w:sz w:val="21"/>
      <w:szCs w:val="21"/>
    </w:rPr>
  </w:style>
  <w:style w:type="character" w:customStyle="1" w:styleId="95">
    <w:name w:val="纯文本 Char"/>
    <w:qFormat/>
    <w:uiPriority w:val="0"/>
    <w:rPr>
      <w:rFonts w:ascii="宋体" w:hAnsi="Courier New" w:eastAsia="宋体" w:cs="Courier New"/>
      <w:szCs w:val="21"/>
    </w:rPr>
  </w:style>
  <w:style w:type="character" w:customStyle="1" w:styleId="96">
    <w:name w:val="Table Text Char"/>
    <w:qFormat/>
    <w:uiPriority w:val="0"/>
    <w:rPr>
      <w:rFonts w:ascii="Arial" w:hAnsi="Arial" w:eastAsia="宋体" w:cs="Times New Roman"/>
      <w:sz w:val="18"/>
      <w:lang w:val="en-US" w:eastAsia="zh-CN" w:bidi="ar-SA"/>
    </w:rPr>
  </w:style>
  <w:style w:type="character" w:customStyle="1" w:styleId="97">
    <w:name w:val="无间隔 Char"/>
    <w:link w:val="98"/>
    <w:qFormat/>
    <w:uiPriority w:val="0"/>
    <w:rPr>
      <w:rFonts w:ascii="Times New Roman" w:hAnsi="Times New Roman" w:eastAsia="宋体" w:cs="Times New Roman"/>
      <w:kern w:val="2"/>
      <w:sz w:val="21"/>
      <w:szCs w:val="24"/>
      <w:lang w:val="en-US" w:eastAsia="zh-CN" w:bidi="ar-SA"/>
    </w:rPr>
  </w:style>
  <w:style w:type="paragraph" w:customStyle="1" w:styleId="98">
    <w:name w:val="_Style 32"/>
    <w:link w:val="9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textcontents"/>
    <w:qFormat/>
    <w:uiPriority w:val="0"/>
    <w:rPr>
      <w:rFonts w:ascii="Times New Roman" w:hAnsi="Times New Roman" w:eastAsia="宋体" w:cs="Times New Roman"/>
    </w:rPr>
  </w:style>
  <w:style w:type="character" w:customStyle="1" w:styleId="100">
    <w:name w:val="apple-converted-space"/>
    <w:basedOn w:val="37"/>
    <w:qFormat/>
    <w:uiPriority w:val="0"/>
    <w:rPr>
      <w:rFonts w:ascii="Times New Roman" w:hAnsi="Times New Roman" w:eastAsia="宋体" w:cs="Times New Roman"/>
    </w:rPr>
  </w:style>
  <w:style w:type="character" w:customStyle="1" w:styleId="101">
    <w:name w:val="页眉 Char"/>
    <w:qFormat/>
    <w:uiPriority w:val="0"/>
    <w:rPr>
      <w:rFonts w:ascii="Times New Roman" w:hAnsi="Times New Roman" w:eastAsia="宋体" w:cs="Times New Roman"/>
      <w:lang w:eastAsia="zh-CN"/>
    </w:rPr>
  </w:style>
  <w:style w:type="character" w:customStyle="1" w:styleId="102">
    <w:name w:val="标题 Char1"/>
    <w:qFormat/>
    <w:uiPriority w:val="0"/>
    <w:rPr>
      <w:rFonts w:ascii="Calibri Light" w:hAnsi="Calibri Light" w:eastAsia="宋体" w:cs="Times New Roman"/>
      <w:b/>
      <w:bCs/>
      <w:sz w:val="32"/>
      <w:szCs w:val="32"/>
    </w:rPr>
  </w:style>
  <w:style w:type="character" w:customStyle="1" w:styleId="103">
    <w:name w:val="三级条标题 Char Char"/>
    <w:link w:val="104"/>
    <w:qFormat/>
    <w:uiPriority w:val="0"/>
    <w:rPr>
      <w:rFonts w:ascii="黑体" w:hAnsi="Times New Roman" w:eastAsia="黑体" w:cs="Times New Roman"/>
      <w:sz w:val="21"/>
    </w:rPr>
  </w:style>
  <w:style w:type="paragraph" w:customStyle="1" w:styleId="104">
    <w:name w:val="三级条标题"/>
    <w:basedOn w:val="105"/>
    <w:next w:val="54"/>
    <w:link w:val="103"/>
    <w:qFormat/>
    <w:uiPriority w:val="0"/>
    <w:pPr>
      <w:tabs>
        <w:tab w:val="left" w:pos="720"/>
        <w:tab w:val="left" w:pos="992"/>
      </w:tabs>
      <w:ind w:left="992" w:hanging="992"/>
      <w:outlineLvl w:val="4"/>
    </w:pPr>
  </w:style>
  <w:style w:type="paragraph" w:customStyle="1" w:styleId="105">
    <w:name w:val="二级条标题"/>
    <w:basedOn w:val="52"/>
    <w:next w:val="54"/>
    <w:link w:val="106"/>
    <w:qFormat/>
    <w:uiPriority w:val="0"/>
    <w:pPr>
      <w:outlineLvl w:val="3"/>
    </w:pPr>
  </w:style>
  <w:style w:type="character" w:customStyle="1" w:styleId="106">
    <w:name w:val="二级条标题 Char Char"/>
    <w:link w:val="105"/>
    <w:qFormat/>
    <w:uiPriority w:val="0"/>
    <w:rPr>
      <w:rFonts w:ascii="黑体" w:hAnsi="Times New Roman" w:eastAsia="黑体" w:cs="Times New Roman"/>
      <w:sz w:val="21"/>
    </w:rPr>
  </w:style>
  <w:style w:type="character" w:customStyle="1" w:styleId="107">
    <w:name w:val="Table Text Char Char Char"/>
    <w:qFormat/>
    <w:uiPriority w:val="0"/>
    <w:rPr>
      <w:rFonts w:ascii="Arial" w:hAnsi="Arial" w:eastAsia="宋体" w:cs="Arial"/>
      <w:sz w:val="18"/>
      <w:szCs w:val="18"/>
      <w:lang w:val="en-US" w:eastAsia="zh-CN" w:bidi="ar-SA"/>
    </w:rPr>
  </w:style>
  <w:style w:type="character" w:customStyle="1" w:styleId="108">
    <w:name w:val="前言 Char"/>
    <w:link w:val="109"/>
    <w:qFormat/>
    <w:uiPriority w:val="0"/>
    <w:rPr>
      <w:rFonts w:ascii="宋体" w:hAnsi="宋体" w:eastAsia="宋体" w:cs="Times New Roman"/>
      <w:b/>
      <w:bCs/>
      <w:color w:val="000000"/>
      <w:kern w:val="44"/>
      <w:sz w:val="32"/>
      <w:szCs w:val="32"/>
    </w:rPr>
  </w:style>
  <w:style w:type="paragraph" w:customStyle="1" w:styleId="109">
    <w:name w:val="前言"/>
    <w:basedOn w:val="2"/>
    <w:link w:val="108"/>
    <w:qFormat/>
    <w:uiPriority w:val="0"/>
    <w:pPr>
      <w:widowControl/>
      <w:numPr>
        <w:numId w:val="0"/>
      </w:numPr>
      <w:tabs>
        <w:tab w:val="clear" w:pos="425"/>
      </w:tabs>
      <w:snapToGrid/>
      <w:spacing w:before="240" w:after="240" w:line="360" w:lineRule="auto"/>
      <w:jc w:val="left"/>
    </w:pPr>
    <w:rPr>
      <w:rFonts w:ascii="Times New Roman" w:hAnsi="宋体" w:eastAsia="宋体"/>
      <w:b/>
      <w:bCs/>
      <w:color w:val="000000"/>
      <w:kern w:val="44"/>
      <w:sz w:val="32"/>
      <w:szCs w:val="32"/>
    </w:rPr>
  </w:style>
  <w:style w:type="character" w:customStyle="1" w:styleId="110">
    <w:name w:val="批注主题 Char"/>
    <w:qFormat/>
    <w:uiPriority w:val="0"/>
    <w:rPr>
      <w:rFonts w:ascii="Times New Roman" w:hAnsi="Times New Roman" w:eastAsia="宋体" w:cs="Times New Roman"/>
      <w:b/>
      <w:bCs/>
      <w:szCs w:val="24"/>
    </w:rPr>
  </w:style>
  <w:style w:type="character" w:customStyle="1" w:styleId="111">
    <w:name w:val="tabg"/>
    <w:qFormat/>
    <w:uiPriority w:val="0"/>
    <w:rPr>
      <w:rFonts w:ascii="微软雅黑" w:hAnsi="微软雅黑" w:eastAsia="微软雅黑" w:cs="微软雅黑"/>
      <w:color w:val="FFFFFF"/>
      <w:sz w:val="27"/>
      <w:szCs w:val="27"/>
    </w:rPr>
  </w:style>
  <w:style w:type="character" w:customStyle="1" w:styleId="112">
    <w:name w:val="font111"/>
    <w:qFormat/>
    <w:uiPriority w:val="0"/>
    <w:rPr>
      <w:rFonts w:hint="eastAsia" w:ascii="宋体" w:hAnsi="宋体" w:eastAsia="宋体" w:cs="宋体"/>
      <w:color w:val="000000"/>
      <w:sz w:val="16"/>
      <w:szCs w:val="16"/>
      <w:u w:val="none"/>
    </w:rPr>
  </w:style>
  <w:style w:type="character" w:customStyle="1" w:styleId="113">
    <w:name w:val="批注文字 Char"/>
    <w:qFormat/>
    <w:uiPriority w:val="0"/>
    <w:rPr>
      <w:rFonts w:ascii="Times New Roman" w:hAnsi="Times New Roman" w:eastAsia="宋体" w:cs="Times New Roman"/>
      <w:szCs w:val="24"/>
    </w:rPr>
  </w:style>
  <w:style w:type="character" w:customStyle="1" w:styleId="114">
    <w:name w:val="页脚 Char"/>
    <w:qFormat/>
    <w:uiPriority w:val="0"/>
    <w:rPr>
      <w:rFonts w:ascii="Times New Roman" w:hAnsi="Times New Roman" w:eastAsia="宋体" w:cs="Times New Roman"/>
      <w:lang w:eastAsia="zh-CN"/>
    </w:rPr>
  </w:style>
  <w:style w:type="paragraph" w:customStyle="1" w:styleId="115">
    <w:name w:val="_Style 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17">
    <w:name w:val="_Style 40"/>
    <w:basedOn w:val="2"/>
    <w:next w:val="1"/>
    <w:qFormat/>
    <w:uiPriority w:val="0"/>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118">
    <w:name w:val="表格内容"/>
    <w:qFormat/>
    <w:uiPriority w:val="0"/>
    <w:rPr>
      <w:rFonts w:ascii="宋体" w:hAnsi="Times New Roman" w:eastAsia="宋体" w:cs="Times New Roman"/>
      <w:sz w:val="21"/>
      <w:szCs w:val="21"/>
      <w:lang w:val="en-US" w:eastAsia="zh-CN" w:bidi="ar-SA"/>
    </w:rPr>
  </w:style>
  <w:style w:type="paragraph" w:customStyle="1" w:styleId="119">
    <w:name w:val="标准中文版式_正文"/>
    <w:basedOn w:val="1"/>
    <w:qFormat/>
    <w:uiPriority w:val="0"/>
    <w:pPr>
      <w:spacing w:before="30"/>
      <w:ind w:firstLine="200" w:firstLineChars="200"/>
    </w:pPr>
    <w:rPr>
      <w:rFonts w:ascii="Arial" w:hAnsi="Arial"/>
    </w:rPr>
  </w:style>
  <w:style w:type="paragraph" w:customStyle="1" w:styleId="120">
    <w:name w:val="_Style 115"/>
    <w:basedOn w:val="2"/>
    <w:next w:val="1"/>
    <w:qFormat/>
    <w:uiPriority w:val="0"/>
    <w:pPr>
      <w:widowControl/>
      <w:numPr>
        <w:numId w:val="0"/>
      </w:numPr>
      <w:tabs>
        <w:tab w:val="clear" w:pos="425"/>
      </w:tabs>
      <w:snapToGrid/>
      <w:spacing w:before="480" w:line="276" w:lineRule="auto"/>
      <w:jc w:val="left"/>
      <w:outlineLvl w:val="9"/>
    </w:pPr>
    <w:rPr>
      <w:rFonts w:ascii="Cambria" w:hAnsi="Cambria" w:eastAsia="宋体"/>
      <w:b/>
      <w:bCs/>
      <w:color w:val="365F91"/>
      <w:kern w:val="0"/>
      <w:szCs w:val="28"/>
    </w:rPr>
  </w:style>
  <w:style w:type="paragraph" w:customStyle="1" w:styleId="121">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22">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24">
    <w:name w:val="列出段落111"/>
    <w:basedOn w:val="1"/>
    <w:qFormat/>
    <w:uiPriority w:val="0"/>
    <w:pPr>
      <w:ind w:firstLine="420" w:firstLineChars="200"/>
    </w:pPr>
    <w:rPr>
      <w:rFonts w:ascii="Calibri" w:hAnsi="Calibri"/>
      <w:sz w:val="28"/>
    </w:rPr>
  </w:style>
  <w:style w:type="paragraph" w:customStyle="1" w:styleId="125">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126">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27">
    <w:name w:val="Normal_2"/>
    <w:qFormat/>
    <w:uiPriority w:val="0"/>
    <w:rPr>
      <w:rFonts w:ascii="Times New Roman" w:hAnsi="Times New Roman" w:eastAsia="Times New Roman" w:cs="Times New Roman"/>
      <w:sz w:val="24"/>
      <w:szCs w:val="24"/>
      <w:lang w:val="en-US" w:eastAsia="zh-CN" w:bidi="ar-SA"/>
    </w:rPr>
  </w:style>
  <w:style w:type="paragraph" w:customStyle="1" w:styleId="128">
    <w:name w:val="列出段落1"/>
    <w:basedOn w:val="1"/>
    <w:qFormat/>
    <w:uiPriority w:val="0"/>
    <w:pPr>
      <w:ind w:firstLine="420" w:firstLineChars="200"/>
    </w:pPr>
    <w:rPr>
      <w:rFonts w:ascii="Calibri" w:hAnsi="Calibri" w:cs="黑体"/>
      <w:szCs w:val="22"/>
    </w:rPr>
  </w:style>
  <w:style w:type="paragraph" w:customStyle="1" w:styleId="129">
    <w:name w:val="样式1"/>
    <w:basedOn w:val="1"/>
    <w:qFormat/>
    <w:uiPriority w:val="0"/>
    <w:rPr>
      <w:rFonts w:eastAsia="仿宋_GB2312"/>
      <w:kern w:val="0"/>
      <w:sz w:val="32"/>
      <w:szCs w:val="20"/>
    </w:rPr>
  </w:style>
  <w:style w:type="paragraph" w:customStyle="1" w:styleId="130">
    <w:name w:val="表内文字  居左"/>
    <w:basedOn w:val="1"/>
    <w:qFormat/>
    <w:uiPriority w:val="0"/>
    <w:pPr>
      <w:jc w:val="left"/>
    </w:pPr>
    <w:rPr>
      <w:snapToGrid w:val="0"/>
      <w:szCs w:val="20"/>
    </w:rPr>
  </w:style>
  <w:style w:type="paragraph" w:customStyle="1" w:styleId="131">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132">
    <w:name w:val="_Style 29"/>
    <w:basedOn w:val="1"/>
    <w:qFormat/>
    <w:uiPriority w:val="0"/>
    <w:pPr>
      <w:ind w:firstLine="420" w:firstLineChars="200"/>
    </w:pPr>
  </w:style>
  <w:style w:type="paragraph" w:customStyle="1" w:styleId="133">
    <w:name w:val="p16"/>
    <w:basedOn w:val="1"/>
    <w:qFormat/>
    <w:uiPriority w:val="0"/>
    <w:pPr>
      <w:widowControl/>
    </w:pPr>
    <w:rPr>
      <w:rFonts w:ascii="宋体" w:hAnsi="宋体" w:cs="宋体"/>
      <w:kern w:val="0"/>
      <w:szCs w:val="21"/>
    </w:rPr>
  </w:style>
  <w:style w:type="paragraph" w:customStyle="1" w:styleId="134">
    <w:name w:val="正文图标题"/>
    <w:next w:val="54"/>
    <w:qFormat/>
    <w:uiPriority w:val="0"/>
    <w:pPr>
      <w:ind w:left="360" w:hanging="360"/>
      <w:jc w:val="center"/>
    </w:pPr>
    <w:rPr>
      <w:rFonts w:ascii="黑体" w:hAnsi="Times New Roman" w:eastAsia="黑体" w:cs="Times New Roman"/>
      <w:sz w:val="21"/>
      <w:lang w:val="en-US" w:eastAsia="zh-CN" w:bidi="ar-SA"/>
    </w:rPr>
  </w:style>
  <w:style w:type="paragraph" w:customStyle="1" w:styleId="135">
    <w:name w:val="正文表标题"/>
    <w:next w:val="54"/>
    <w:qFormat/>
    <w:uiPriority w:val="0"/>
    <w:pPr>
      <w:ind w:left="360" w:hanging="360"/>
      <w:jc w:val="center"/>
    </w:pPr>
    <w:rPr>
      <w:rFonts w:ascii="黑体" w:hAnsi="Times New Roman" w:eastAsia="黑体" w:cs="Times New Roman"/>
      <w:sz w:val="21"/>
      <w:lang w:val="en-US" w:eastAsia="zh-CN" w:bidi="ar-SA"/>
    </w:rPr>
  </w:style>
  <w:style w:type="paragraph" w:customStyle="1" w:styleId="136">
    <w:name w:val="Char1"/>
    <w:basedOn w:val="10"/>
    <w:qFormat/>
    <w:uiPriority w:val="0"/>
    <w:pPr>
      <w:shd w:val="clear" w:color="auto" w:fill="000080"/>
    </w:pPr>
    <w:rPr>
      <w:rFonts w:ascii="Times New Roman" w:eastAsia="宋体"/>
      <w:sz w:val="21"/>
      <w:szCs w:val="20"/>
      <w:shd w:val="clear" w:color="auto" w:fill="000080"/>
    </w:rPr>
  </w:style>
  <w:style w:type="paragraph" w:customStyle="1" w:styleId="137">
    <w:name w:val="目次、标准名称标题"/>
    <w:basedOn w:val="1"/>
    <w:next w:val="54"/>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styleId="138">
    <w:name w:val="List Paragraph"/>
    <w:basedOn w:val="1"/>
    <w:qFormat/>
    <w:uiPriority w:val="0"/>
    <w:pPr>
      <w:ind w:firstLine="420" w:firstLineChars="200"/>
    </w:pPr>
  </w:style>
  <w:style w:type="paragraph" w:customStyle="1" w:styleId="139">
    <w:name w:val="表文1"/>
    <w:basedOn w:val="1"/>
    <w:qFormat/>
    <w:uiPriority w:val="0"/>
    <w:pPr>
      <w:autoSpaceDE w:val="0"/>
      <w:autoSpaceDN w:val="0"/>
      <w:adjustRightInd w:val="0"/>
      <w:spacing w:before="60" w:after="60"/>
      <w:jc w:val="center"/>
    </w:pPr>
    <w:rPr>
      <w:rFonts w:ascii="Arial" w:hAnsi="Arial"/>
      <w:kern w:val="0"/>
      <w:szCs w:val="20"/>
    </w:rPr>
  </w:style>
  <w:style w:type="paragraph" w:customStyle="1" w:styleId="140">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列出段落11"/>
    <w:basedOn w:val="1"/>
    <w:qFormat/>
    <w:uiPriority w:val="0"/>
    <w:pPr>
      <w:ind w:firstLine="420" w:firstLineChars="200"/>
    </w:pPr>
  </w:style>
  <w:style w:type="paragraph" w:customStyle="1" w:styleId="142">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Body text|1"/>
    <w:basedOn w:val="1"/>
    <w:qFormat/>
    <w:uiPriority w:val="0"/>
    <w:pPr>
      <w:spacing w:line="334" w:lineRule="auto"/>
    </w:pPr>
    <w:rPr>
      <w:rFonts w:ascii="宋体" w:hAnsi="宋体" w:cs="宋体"/>
      <w:lang w:val="zh-TW" w:eastAsia="zh-TW" w:bidi="zh-TW"/>
    </w:rPr>
  </w:style>
  <w:style w:type="paragraph" w:customStyle="1" w:styleId="144">
    <w:name w:val="标题 21"/>
    <w:basedOn w:val="145"/>
    <w:next w:val="145"/>
    <w:qFormat/>
    <w:uiPriority w:val="0"/>
    <w:pPr>
      <w:keepNext/>
      <w:keepLines/>
      <w:spacing w:before="260" w:after="260" w:line="412" w:lineRule="auto"/>
      <w:outlineLvl w:val="1"/>
    </w:pPr>
    <w:rPr>
      <w:rFonts w:ascii="Arial" w:hAnsi="Arial" w:eastAsia="黑体"/>
      <w:b/>
      <w:sz w:val="32"/>
    </w:rPr>
  </w:style>
  <w:style w:type="paragraph" w:customStyle="1" w:styleId="145">
    <w:name w:val="Normal_0"/>
    <w:qFormat/>
    <w:uiPriority w:val="0"/>
    <w:pPr>
      <w:widowControl w:val="0"/>
      <w:jc w:val="both"/>
    </w:pPr>
    <w:rPr>
      <w:rFonts w:ascii="Calibri" w:hAnsi="Calibri" w:eastAsia="宋体" w:cs="Times New Roman"/>
      <w:lang w:val="en-US" w:eastAsia="zh-CN" w:bidi="ar-SA"/>
    </w:rPr>
  </w:style>
  <w:style w:type="paragraph" w:customStyle="1" w:styleId="146">
    <w:name w:val="标题 31"/>
    <w:basedOn w:val="145"/>
    <w:next w:val="145"/>
    <w:qFormat/>
    <w:uiPriority w:val="0"/>
    <w:pPr>
      <w:keepNext/>
      <w:keepLines/>
      <w:spacing w:before="260" w:after="260" w:line="412" w:lineRule="auto"/>
      <w:ind w:firstLine="49" w:firstLineChars="49"/>
      <w:outlineLvl w:val="2"/>
    </w:pPr>
    <w:rPr>
      <w:rFonts w:ascii="黑体" w:eastAsia="黑体"/>
      <w:sz w:val="28"/>
    </w:rPr>
  </w:style>
  <w:style w:type="paragraph" w:customStyle="1" w:styleId="147">
    <w:name w:val="标题 3_0"/>
    <w:basedOn w:val="126"/>
    <w:next w:val="126"/>
    <w:qFormat/>
    <w:uiPriority w:val="0"/>
    <w:pPr>
      <w:keepNext/>
      <w:keepLines/>
      <w:spacing w:before="260" w:after="260" w:line="412" w:lineRule="auto"/>
      <w:ind w:firstLine="49" w:firstLineChars="49"/>
      <w:outlineLvl w:val="2"/>
    </w:pPr>
    <w:rPr>
      <w:rFonts w:ascii="黑体" w:hAnsi="Calibri" w:eastAsia="黑体"/>
      <w:sz w:val="28"/>
      <w:szCs w:val="20"/>
    </w:rPr>
  </w:style>
  <w:style w:type="paragraph" w:customStyle="1" w:styleId="148">
    <w:name w:val="目录 5_0"/>
    <w:basedOn w:val="126"/>
    <w:next w:val="126"/>
    <w:qFormat/>
    <w:uiPriority w:val="39"/>
    <w:pPr>
      <w:ind w:left="800" w:leftChars="800"/>
    </w:pPr>
  </w:style>
  <w:style w:type="paragraph" w:customStyle="1" w:styleId="149">
    <w:name w:val="Heading 3_1_0"/>
    <w:basedOn w:val="150"/>
    <w:next w:val="150"/>
    <w:qFormat/>
    <w:uiPriority w:val="0"/>
    <w:pPr>
      <w:keepNext/>
      <w:keepLines/>
      <w:spacing w:before="260" w:after="260" w:line="412" w:lineRule="auto"/>
      <w:ind w:firstLine="49" w:firstLineChars="49"/>
      <w:outlineLvl w:val="2"/>
    </w:pPr>
    <w:rPr>
      <w:rFonts w:ascii="黑体" w:eastAsia="黑体"/>
      <w:sz w:val="28"/>
    </w:rPr>
  </w:style>
  <w:style w:type="paragraph" w:customStyle="1" w:styleId="150">
    <w:name w:val="Normal_16"/>
    <w:qFormat/>
    <w:uiPriority w:val="0"/>
    <w:pPr>
      <w:widowControl w:val="0"/>
      <w:jc w:val="both"/>
    </w:pPr>
    <w:rPr>
      <w:rFonts w:ascii="Calibri" w:hAnsi="Calibri" w:eastAsia="宋体" w:cs="Times New Roman"/>
      <w:lang w:val="en-US" w:eastAsia="zh-CN" w:bidi="ar-SA"/>
    </w:rPr>
  </w:style>
  <w:style w:type="paragraph" w:customStyle="1" w:styleId="151">
    <w:name w:val="Normal_17"/>
    <w:qFormat/>
    <w:uiPriority w:val="0"/>
    <w:rPr>
      <w:rFonts w:ascii="Times New Roman" w:hAnsi="Times New Roman" w:eastAsia="Times New Roman" w:cs="Times New Roman"/>
      <w:sz w:val="24"/>
      <w:szCs w:val="24"/>
      <w:lang w:val="en-US" w:eastAsia="zh-CN" w:bidi="ar-SA"/>
    </w:rPr>
  </w:style>
  <w:style w:type="paragraph" w:customStyle="1" w:styleId="152">
    <w:name w:val="Heading 3_2"/>
    <w:basedOn w:val="153"/>
    <w:next w:val="153"/>
    <w:qFormat/>
    <w:uiPriority w:val="0"/>
    <w:pPr>
      <w:keepNext/>
      <w:keepLines/>
      <w:spacing w:before="260" w:after="260" w:line="412" w:lineRule="auto"/>
      <w:ind w:firstLine="49" w:firstLineChars="49"/>
      <w:outlineLvl w:val="2"/>
    </w:pPr>
    <w:rPr>
      <w:rFonts w:ascii="黑体" w:eastAsia="黑体"/>
      <w:sz w:val="28"/>
    </w:rPr>
  </w:style>
  <w:style w:type="paragraph" w:customStyle="1" w:styleId="153">
    <w:name w:val="Normal_18"/>
    <w:qFormat/>
    <w:uiPriority w:val="0"/>
    <w:pPr>
      <w:widowControl w:val="0"/>
      <w:jc w:val="both"/>
    </w:pPr>
    <w:rPr>
      <w:rFonts w:ascii="Calibri" w:hAnsi="Calibri" w:eastAsia="宋体" w:cs="Times New Roman"/>
      <w:lang w:val="en-US" w:eastAsia="zh-CN" w:bidi="ar-SA"/>
    </w:rPr>
  </w:style>
  <w:style w:type="paragraph" w:customStyle="1" w:styleId="154">
    <w:name w:val="TOC 标题1"/>
    <w:basedOn w:val="2"/>
    <w:next w:val="1"/>
    <w:unhideWhenUsed/>
    <w:qFormat/>
    <w:uiPriority w:val="0"/>
    <w:pPr>
      <w:keepNext w:val="0"/>
      <w:keepLines w:val="0"/>
      <w:spacing w:before="480" w:line="276" w:lineRule="auto"/>
      <w:jc w:val="center"/>
      <w:outlineLvl w:val="9"/>
    </w:pPr>
    <w:rPr>
      <w:rFonts w:ascii="Cambria" w:hAnsi="Cambria"/>
      <w:color w:val="365F91"/>
      <w:kern w:val="0"/>
      <w:szCs w:val="28"/>
    </w:rPr>
  </w:style>
  <w:style w:type="paragraph" w:customStyle="1" w:styleId="155">
    <w:name w:val="Style1"/>
    <w:basedOn w:val="1"/>
    <w:qFormat/>
    <w:uiPriority w:val="99"/>
    <w:pPr>
      <w:tabs>
        <w:tab w:val="left" w:pos="-720"/>
      </w:tabs>
      <w:spacing w:after="120"/>
    </w:pPr>
    <w:rPr>
      <w:spacing w:val="-3"/>
      <w:lang w:val="en-AU" w:eastAsia="en-US"/>
    </w:rPr>
  </w:style>
  <w:style w:type="paragraph" w:customStyle="1" w:styleId="156">
    <w:name w:val="纯文本1"/>
    <w:basedOn w:val="1"/>
    <w:qFormat/>
    <w:uiPriority w:val="0"/>
    <w:rPr>
      <w:rFonts w:ascii="宋体" w:hAnsi="Courier New"/>
      <w:szCs w:val="21"/>
    </w:rPr>
  </w:style>
  <w:style w:type="paragraph" w:customStyle="1" w:styleId="157">
    <w:name w:val="WPSOffice手动目录 1"/>
    <w:qFormat/>
    <w:uiPriority w:val="0"/>
    <w:rPr>
      <w:rFonts w:ascii="Times New Roman" w:hAnsi="Times New Roman" w:eastAsia="宋体" w:cs="Times New Roman"/>
      <w:lang w:val="en-US" w:eastAsia="zh-CN" w:bidi="ar-SA"/>
    </w:rPr>
  </w:style>
  <w:style w:type="paragraph" w:customStyle="1" w:styleId="15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9">
    <w:name w:val="表头"/>
    <w:basedOn w:val="1"/>
    <w:autoRedefine/>
    <w:qFormat/>
    <w:uiPriority w:val="0"/>
    <w:rPr>
      <w:b/>
    </w:rPr>
  </w:style>
  <w:style w:type="paragraph" w:customStyle="1" w:styleId="160">
    <w:name w:val="Body Text First Indent 21"/>
    <w:basedOn w:val="86"/>
    <w:autoRedefine/>
    <w:qFormat/>
    <w:uiPriority w:val="0"/>
    <w:pPr>
      <w:spacing w:line="240" w:lineRule="auto"/>
      <w:ind w:left="420" w:leftChars="200" w:firstLine="420"/>
    </w:pPr>
  </w:style>
  <w:style w:type="table" w:customStyle="1" w:styleId="16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6799</Words>
  <Characters>7339</Characters>
  <Lines>249</Lines>
  <Paragraphs>70</Paragraphs>
  <TotalTime>0</TotalTime>
  <ScaleCrop>false</ScaleCrop>
  <LinksUpToDate>false</LinksUpToDate>
  <CharactersWithSpaces>7486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2018-11-08T06:53:00Z</dcterms:created>
  <dc:creator>李青</dc:creator>
  <cp:lastModifiedBy>爱笑的hhy</cp:lastModifiedBy>
  <cp:lastPrinted>2023-07-10T08:16:00Z</cp:lastPrinted>
  <dcterms:modified xsi:type="dcterms:W3CDTF">2025-06-30T11:19:17Z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7339538833C2495FB79BD662CB8AB20E</vt:lpwstr>
  </property>
  <property fmtid="{D5CDD505-2E9C-101B-9397-08002B2CF9AE}" pid="4" name="KSOTemplateDocerSaveRecord">
    <vt:lpwstr>eyJoZGlkIjoiYWIwZWQ3OTQzYzBjMTQ5ZWVhMjBmMjcwMTI0ZTBmYmUiLCJ1c2VySWQiOiIzODUzMDMzMDYifQ==</vt:lpwstr>
  </property>
</Properties>
</file>