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9E6D7">
      <w:pPr>
        <w:pStyle w:val="20"/>
        <w:spacing w:before="120" w:beforeLines="50" w:line="560" w:lineRule="exact"/>
        <w:jc w:val="center"/>
        <w:rPr>
          <w:rFonts w:ascii="隶书" w:hAnsi="华文中宋" w:eastAsia="隶书"/>
          <w:sz w:val="28"/>
          <w:szCs w:val="28"/>
        </w:rPr>
      </w:pPr>
    </w:p>
    <w:p w14:paraId="34D06EFB">
      <w:pPr>
        <w:pStyle w:val="20"/>
        <w:spacing w:before="120" w:beforeLines="50" w:line="560" w:lineRule="exact"/>
        <w:jc w:val="center"/>
        <w:rPr>
          <w:rFonts w:ascii="隶书" w:hAnsi="华文中宋" w:eastAsia="隶书"/>
          <w:sz w:val="28"/>
          <w:szCs w:val="28"/>
        </w:rPr>
      </w:pPr>
    </w:p>
    <w:p w14:paraId="75CC176E">
      <w:pPr>
        <w:pStyle w:val="20"/>
        <w:spacing w:before="120" w:beforeLines="50" w:line="560" w:lineRule="exact"/>
        <w:jc w:val="center"/>
        <w:rPr>
          <w:rFonts w:ascii="隶书" w:hAnsi="华文中宋" w:eastAsia="隶书"/>
          <w:sz w:val="28"/>
          <w:szCs w:val="28"/>
        </w:rPr>
      </w:pPr>
    </w:p>
    <w:p w14:paraId="519B007E">
      <w:pPr>
        <w:pStyle w:val="20"/>
        <w:spacing w:before="240" w:beforeLines="100" w:line="560" w:lineRule="exact"/>
        <w:jc w:val="center"/>
        <w:rPr>
          <w:rFonts w:ascii="华文中宋" w:hAnsi="华文中宋" w:eastAsia="华文中宋" w:cs="华文中宋"/>
          <w:bCs/>
          <w:sz w:val="84"/>
          <w:szCs w:val="84"/>
        </w:rPr>
      </w:pPr>
      <w:r>
        <w:rPr>
          <w:rFonts w:hint="eastAsia" w:ascii="华文中宋" w:hAnsi="华文中宋" w:eastAsia="华文中宋" w:cs="华文中宋"/>
          <w:sz w:val="84"/>
          <w:szCs w:val="84"/>
        </w:rPr>
        <w:t>政府采购</w:t>
      </w:r>
    </w:p>
    <w:p w14:paraId="61913CBA">
      <w:pPr>
        <w:pStyle w:val="20"/>
        <w:adjustRightInd w:val="0"/>
        <w:snapToGrid w:val="0"/>
        <w:spacing w:before="480" w:beforeLines="200" w:line="560" w:lineRule="exact"/>
        <w:jc w:val="center"/>
        <w:outlineLvl w:val="0"/>
        <w:rPr>
          <w:rFonts w:ascii="华文中宋" w:hAnsi="华文中宋" w:eastAsia="华文中宋" w:cs="华文中宋"/>
          <w:sz w:val="84"/>
          <w:szCs w:val="84"/>
        </w:rPr>
      </w:pPr>
      <w:bookmarkStart w:id="0" w:name="_Toc31912"/>
      <w:r>
        <w:rPr>
          <w:rFonts w:hint="eastAsia" w:ascii="华文中宋" w:hAnsi="华文中宋" w:eastAsia="华文中宋" w:cs="华文中宋"/>
          <w:sz w:val="84"/>
          <w:szCs w:val="84"/>
        </w:rPr>
        <w:t>竞争性谈判文件</w:t>
      </w:r>
      <w:bookmarkEnd w:id="0"/>
    </w:p>
    <w:p w14:paraId="3D39E790">
      <w:pPr>
        <w:pStyle w:val="20"/>
        <w:adjustRightInd w:val="0"/>
        <w:snapToGrid w:val="0"/>
        <w:spacing w:before="240" w:beforeLines="100" w:line="560" w:lineRule="exact"/>
        <w:ind w:left="3123" w:leftChars="554" w:hanging="1960" w:hangingChars="700"/>
        <w:rPr>
          <w:rFonts w:ascii="华文中宋" w:hAnsi="华文中宋" w:eastAsia="华文中宋" w:cs="华文中宋"/>
          <w:sz w:val="28"/>
          <w:szCs w:val="28"/>
        </w:rPr>
      </w:pPr>
    </w:p>
    <w:p w14:paraId="15E86BC5">
      <w:pPr>
        <w:pStyle w:val="20"/>
        <w:adjustRightInd w:val="0"/>
        <w:snapToGrid w:val="0"/>
        <w:spacing w:before="240" w:beforeLines="100" w:line="560" w:lineRule="exact"/>
        <w:ind w:left="3123" w:leftChars="554" w:hanging="1960" w:hangingChars="700"/>
        <w:rPr>
          <w:rFonts w:ascii="华文中宋" w:hAnsi="华文中宋" w:eastAsia="华文中宋" w:cs="华文中宋"/>
          <w:sz w:val="28"/>
          <w:szCs w:val="28"/>
        </w:rPr>
      </w:pPr>
    </w:p>
    <w:p w14:paraId="5E351C1A">
      <w:pPr>
        <w:pStyle w:val="20"/>
        <w:adjustRightInd w:val="0"/>
        <w:snapToGrid w:val="0"/>
        <w:spacing w:before="240" w:beforeLines="100" w:line="560" w:lineRule="exact"/>
        <w:ind w:left="3123" w:leftChars="554" w:hanging="1960" w:hangingChars="700"/>
        <w:rPr>
          <w:rFonts w:ascii="华文中宋" w:hAnsi="华文中宋" w:eastAsia="华文中宋" w:cs="华文中宋"/>
          <w:sz w:val="28"/>
          <w:szCs w:val="28"/>
        </w:rPr>
      </w:pPr>
    </w:p>
    <w:p w14:paraId="2F672523">
      <w:pPr>
        <w:pStyle w:val="20"/>
        <w:adjustRightInd w:val="0"/>
        <w:snapToGrid w:val="0"/>
        <w:spacing w:before="240" w:beforeLines="100" w:line="560" w:lineRule="exact"/>
        <w:ind w:left="3123" w:leftChars="554" w:hanging="1960" w:hangingChars="700"/>
        <w:rPr>
          <w:rFonts w:ascii="华文中宋" w:hAnsi="华文中宋" w:eastAsia="华文中宋" w:cs="华文中宋"/>
          <w:sz w:val="28"/>
          <w:szCs w:val="28"/>
        </w:rPr>
      </w:pPr>
    </w:p>
    <w:p w14:paraId="1C1AC22E">
      <w:pPr>
        <w:pStyle w:val="20"/>
        <w:adjustRightInd w:val="0"/>
        <w:snapToGrid w:val="0"/>
        <w:spacing w:before="240" w:beforeLines="100" w:line="560" w:lineRule="exact"/>
        <w:ind w:left="3123" w:leftChars="554" w:hanging="1960" w:hangingChars="700"/>
        <w:rPr>
          <w:rFonts w:ascii="华文中宋" w:hAnsi="华文中宋" w:eastAsia="华文中宋" w:cs="华文中宋"/>
          <w:sz w:val="28"/>
          <w:szCs w:val="28"/>
        </w:rPr>
      </w:pPr>
    </w:p>
    <w:p w14:paraId="5BDC3ECF">
      <w:pPr>
        <w:adjustRightInd w:val="0"/>
        <w:snapToGrid w:val="0"/>
        <w:spacing w:before="120" w:beforeLines="50" w:line="560" w:lineRule="exact"/>
        <w:ind w:firstLine="640" w:firstLineChars="200"/>
        <w:rPr>
          <w:rFonts w:hint="eastAsia" w:ascii="华文中宋" w:hAnsi="华文中宋" w:eastAsia="华文中宋" w:cs="华文中宋"/>
          <w:bCs/>
          <w:sz w:val="32"/>
          <w:szCs w:val="32"/>
          <w:u w:val="single"/>
          <w:lang w:eastAsia="zh-CN"/>
        </w:rPr>
      </w:pPr>
      <w:r>
        <w:rPr>
          <w:rFonts w:hint="eastAsia" w:ascii="华文中宋" w:hAnsi="华文中宋" w:eastAsia="华文中宋" w:cs="华文中宋"/>
          <w:bCs/>
          <w:sz w:val="32"/>
          <w:szCs w:val="32"/>
        </w:rPr>
        <w:t>采购项目名称：</w:t>
      </w:r>
      <w:r>
        <w:rPr>
          <w:rFonts w:hint="eastAsia" w:ascii="华文中宋" w:hAnsi="华文中宋" w:eastAsia="华文中宋" w:cs="华文中宋"/>
          <w:bCs/>
          <w:sz w:val="32"/>
          <w:szCs w:val="32"/>
          <w:lang w:eastAsia="zh-CN"/>
        </w:rPr>
        <w:t>采购一市五县交警大队事故办案业务车辆</w:t>
      </w:r>
    </w:p>
    <w:p w14:paraId="5B945941">
      <w:pPr>
        <w:adjustRightInd w:val="0"/>
        <w:snapToGrid w:val="0"/>
        <w:spacing w:before="120" w:beforeLines="50" w:line="560" w:lineRule="exact"/>
        <w:ind w:firstLine="640" w:firstLineChars="200"/>
        <w:rPr>
          <w:rFonts w:ascii="华文中宋" w:hAnsi="华文中宋" w:eastAsia="华文中宋" w:cs="华文中宋"/>
          <w:bCs/>
          <w:sz w:val="32"/>
          <w:szCs w:val="32"/>
        </w:rPr>
      </w:pPr>
      <w:r>
        <w:rPr>
          <w:rFonts w:hint="eastAsia" w:ascii="华文中宋" w:hAnsi="华文中宋" w:eastAsia="华文中宋" w:cs="华文中宋"/>
          <w:bCs/>
          <w:sz w:val="32"/>
          <w:szCs w:val="32"/>
        </w:rPr>
        <w:t>政府采购编号：</w:t>
      </w:r>
      <w:r>
        <w:rPr>
          <w:rFonts w:hint="eastAsia" w:ascii="华文中宋" w:hAnsi="华文中宋" w:eastAsia="华文中宋" w:cs="华文中宋"/>
          <w:bCs/>
          <w:sz w:val="32"/>
          <w:szCs w:val="32"/>
          <w:lang w:eastAsia="zh-CN"/>
        </w:rPr>
        <w:t>青海鹏杰竞谈（货物）2025-015</w:t>
      </w:r>
      <w:r>
        <w:rPr>
          <w:rFonts w:ascii="华文中宋" w:hAnsi="华文中宋" w:eastAsia="华文中宋" w:cs="华文中宋"/>
          <w:bCs/>
          <w:sz w:val="32"/>
          <w:szCs w:val="32"/>
        </w:rPr>
        <w:t xml:space="preserve"> </w:t>
      </w:r>
    </w:p>
    <w:p w14:paraId="59A2314D">
      <w:pPr>
        <w:adjustRightInd w:val="0"/>
        <w:snapToGrid w:val="0"/>
        <w:spacing w:before="120" w:beforeLines="50" w:line="560" w:lineRule="exact"/>
        <w:ind w:firstLine="640" w:firstLineChars="200"/>
        <w:rPr>
          <w:rFonts w:hint="eastAsia" w:ascii="华文中宋" w:hAnsi="华文中宋" w:eastAsia="华文中宋" w:cs="华文中宋"/>
          <w:bCs/>
          <w:color w:val="000000"/>
          <w:kern w:val="0"/>
          <w:sz w:val="32"/>
          <w:szCs w:val="32"/>
          <w:lang w:val="zh-CN" w:eastAsia="zh-CN"/>
        </w:rPr>
      </w:pPr>
      <w:r>
        <w:rPr>
          <w:rFonts w:hint="eastAsia" w:ascii="华文中宋" w:hAnsi="华文中宋" w:eastAsia="华文中宋" w:cs="华文中宋"/>
          <w:bCs/>
          <w:sz w:val="32"/>
          <w:szCs w:val="32"/>
        </w:rPr>
        <w:t>采   购   人：</w:t>
      </w:r>
      <w:r>
        <w:rPr>
          <w:rFonts w:hint="eastAsia" w:ascii="华文中宋" w:hAnsi="华文中宋" w:eastAsia="华文中宋" w:cs="华文中宋"/>
          <w:bCs/>
          <w:color w:val="000000"/>
          <w:kern w:val="0"/>
          <w:sz w:val="32"/>
          <w:szCs w:val="32"/>
          <w:lang w:val="zh-CN"/>
        </w:rPr>
        <w:t>玉树州公安交通警察支队</w:t>
      </w:r>
    </w:p>
    <w:p w14:paraId="58CFA25E">
      <w:pPr>
        <w:adjustRightInd w:val="0"/>
        <w:snapToGrid w:val="0"/>
        <w:spacing w:before="120" w:beforeLines="50" w:line="560" w:lineRule="exact"/>
        <w:ind w:firstLine="640" w:firstLineChars="200"/>
        <w:rPr>
          <w:rFonts w:ascii="华文中宋" w:hAnsi="华文中宋" w:eastAsia="华文中宋" w:cs="华文中宋"/>
          <w:bCs/>
          <w:sz w:val="32"/>
          <w:szCs w:val="32"/>
        </w:rPr>
      </w:pPr>
      <w:r>
        <w:rPr>
          <w:rFonts w:hint="eastAsia" w:ascii="华文中宋" w:hAnsi="华文中宋" w:eastAsia="华文中宋" w:cs="华文中宋"/>
          <w:bCs/>
          <w:sz w:val="32"/>
          <w:szCs w:val="32"/>
        </w:rPr>
        <w:t>采购代理机构：</w:t>
      </w:r>
      <w:r>
        <w:rPr>
          <w:rFonts w:hint="eastAsia" w:ascii="华文中宋" w:hAnsi="华文中宋" w:eastAsia="华文中宋" w:cs="华文中宋"/>
          <w:bCs/>
          <w:color w:val="000000"/>
          <w:kern w:val="0"/>
          <w:sz w:val="32"/>
          <w:szCs w:val="32"/>
          <w:lang w:val="zh-CN"/>
        </w:rPr>
        <w:t>青海鹏杰工程项目管理有限公司</w:t>
      </w:r>
    </w:p>
    <w:p w14:paraId="67BF5F89">
      <w:pPr>
        <w:spacing w:line="360" w:lineRule="auto"/>
        <w:jc w:val="center"/>
        <w:rPr>
          <w:rFonts w:hint="eastAsia" w:ascii="新宋体" w:hAnsi="新宋体" w:eastAsia="新宋体" w:cs="新宋体"/>
          <w:sz w:val="30"/>
          <w:szCs w:val="30"/>
        </w:rPr>
        <w:sectPr>
          <w:footerReference r:id="rId4" w:type="first"/>
          <w:footerReference r:id="rId3" w:type="default"/>
          <w:pgSz w:w="11906" w:h="16838"/>
          <w:pgMar w:top="1418" w:right="1418" w:bottom="1418" w:left="1418" w:header="851" w:footer="992" w:gutter="0"/>
          <w:pgNumType w:fmt="decimal" w:start="1"/>
          <w:cols w:space="720" w:num="1"/>
          <w:titlePg/>
          <w:docGrid w:linePitch="312" w:charSpace="0"/>
        </w:sectPr>
      </w:pPr>
    </w:p>
    <w:p w14:paraId="3EBBF775">
      <w:pPr>
        <w:spacing w:line="360" w:lineRule="auto"/>
        <w:jc w:val="center"/>
        <w:rPr>
          <w:rFonts w:hint="eastAsia" w:ascii="仿宋_GB2312" w:eastAsia="仿宋_GB2312"/>
          <w:sz w:val="24"/>
        </w:rPr>
      </w:pPr>
      <w:r>
        <w:rPr>
          <w:rFonts w:hint="eastAsia" w:ascii="新宋体" w:hAnsi="新宋体" w:eastAsia="新宋体" w:cs="新宋体"/>
          <w:sz w:val="30"/>
          <w:szCs w:val="30"/>
        </w:rPr>
        <w:t>目  录</w:t>
      </w:r>
      <w:r>
        <w:rPr>
          <w:rFonts w:hint="eastAsia" w:ascii="仿宋_GB2312" w:eastAsia="仿宋_GB2312"/>
          <w:sz w:val="24"/>
        </w:rPr>
        <w:fldChar w:fldCharType="begin"/>
      </w:r>
      <w:r>
        <w:rPr>
          <w:rFonts w:hint="eastAsia" w:ascii="仿宋_GB2312" w:eastAsia="仿宋_GB2312"/>
          <w:sz w:val="24"/>
        </w:rPr>
        <w:instrText xml:space="preserve">TOC \o "1-3" \h \u </w:instrText>
      </w:r>
      <w:r>
        <w:rPr>
          <w:rFonts w:hint="eastAsia" w:ascii="仿宋_GB2312" w:eastAsia="仿宋_GB2312"/>
          <w:sz w:val="24"/>
        </w:rPr>
        <w:fldChar w:fldCharType="separate"/>
      </w:r>
    </w:p>
    <w:sdt>
      <w:sdtPr>
        <w:rPr>
          <w:rFonts w:ascii="宋体" w:hAnsi="宋体" w:eastAsia="宋体" w:cs="Times New Roman"/>
          <w:kern w:val="2"/>
          <w:sz w:val="21"/>
          <w:szCs w:val="24"/>
          <w:lang w:val="en-US" w:eastAsia="zh-CN" w:bidi="ar-SA"/>
        </w:rPr>
        <w:id w:val="147469394"/>
        <w15:color w:val="DBDBDB"/>
        <w:docPartObj>
          <w:docPartGallery w:val="Table of Contents"/>
          <w:docPartUnique/>
        </w:docPartObj>
      </w:sdtPr>
      <w:sdtEndPr>
        <w:rPr>
          <w:rFonts w:hint="eastAsia" w:ascii="Times New Roman" w:hAnsi="Times New Roman" w:eastAsia="宋体" w:cs="Times New Roman"/>
          <w:b/>
          <w:kern w:val="2"/>
          <w:sz w:val="21"/>
          <w:szCs w:val="24"/>
          <w:lang w:val="en-US" w:eastAsia="zh-CN" w:bidi="ar-SA"/>
        </w:rPr>
      </w:sdtEndPr>
      <w:sdtContent>
        <w:p w14:paraId="39AD285A">
          <w:pPr>
            <w:spacing w:before="0" w:beforeLines="0" w:after="0" w:afterLines="0" w:line="240" w:lineRule="auto"/>
            <w:ind w:left="0" w:leftChars="0" w:right="0" w:rightChars="0" w:firstLine="0" w:firstLineChars="0"/>
            <w:jc w:val="center"/>
          </w:pPr>
        </w:p>
        <w:p w14:paraId="27282129">
          <w:pPr>
            <w:pStyle w:val="4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rPr>
            <w:fldChar w:fldCharType="begin"/>
          </w:r>
          <w:r>
            <w:rPr>
              <w:rFonts w:hint="eastAsia"/>
            </w:rPr>
            <w:instrText xml:space="preserve">TOC \o "1-2" \h \u </w:instrText>
          </w:r>
          <w:r>
            <w:rPr>
              <w:rFonts w:hint="eastAsia"/>
            </w:rPr>
            <w:fldChar w:fldCharType="separate"/>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_Toc9620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第一部分  谈判须知前附表</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_Toc9620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51781383">
          <w:pPr>
            <w:pStyle w:val="4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_Toc872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第二部分  谈判须知</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_Toc872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6</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1EC5BC89">
          <w:pPr>
            <w:pStyle w:val="52"/>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_Toc11089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一、说明</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_Toc11089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6</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2BC57303">
          <w:pPr>
            <w:pStyle w:val="52"/>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_Toc19928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二、谈判文件</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_Toc19928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6</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68744619">
          <w:pPr>
            <w:pStyle w:val="52"/>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_Toc15407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三、响应文件</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_Toc15407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7</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4159E91A">
          <w:pPr>
            <w:pStyle w:val="52"/>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_Toc16725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四、 响应文件的递交</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_Toc16725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10</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3F0C5D26">
          <w:pPr>
            <w:pStyle w:val="52"/>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_Toc2957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五、响应文件的评审与谈判</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_Toc2957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10</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180CCAA6">
          <w:pPr>
            <w:pStyle w:val="52"/>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_Toc344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六、成交结果信息公布与授予合同</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_Toc344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14</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537C9982">
          <w:pPr>
            <w:pStyle w:val="52"/>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_Toc15951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七、询问与质疑</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_Toc15951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15</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6D4A2766">
          <w:pPr>
            <w:pStyle w:val="52"/>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_Toc6485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八、政府采购政策</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_Toc6485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16</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35A548C4">
          <w:pPr>
            <w:pStyle w:val="52"/>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_Toc19374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九、其他规定</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_Toc19374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16</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280A9DF6">
          <w:pPr>
            <w:pStyle w:val="4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_Toc16084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第三部分 采购需求</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_Toc16084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18</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60D5293F">
          <w:pPr>
            <w:pStyle w:val="52"/>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_Toc2432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十、响应说明</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_Toc2432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18</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46E8475C">
          <w:pPr>
            <w:pStyle w:val="4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_Toc13587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第四部分 谈判响应文件格式</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_Toc13587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19</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1CC878DE">
          <w:pPr>
            <w:pStyle w:val="52"/>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_Toc26562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十二、谈判响应文件的组成</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_Toc26562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19</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6AFE2001">
          <w:pPr>
            <w:pStyle w:val="52"/>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_Toc26351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十三、谈判响应文件</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_Toc26351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20</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5467980C">
          <w:pPr>
            <w:pStyle w:val="4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_Toc22725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第五部分 青海省政府采购项目合同书范本</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_Toc22725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4</w:t>
          </w:r>
          <w:r>
            <w:rPr>
              <w:rFonts w:hint="eastAsia" w:ascii="宋体" w:hAnsi="宋体" w:cs="宋体"/>
              <w:b w:val="0"/>
              <w:bCs/>
              <w:sz w:val="28"/>
              <w:szCs w:val="28"/>
              <w:lang w:val="en-US" w:eastAsia="zh-CN"/>
            </w:rPr>
            <w:t>5</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fldChar w:fldCharType="end"/>
          </w:r>
        </w:p>
        <w:p w14:paraId="79FA24ED">
          <w:pPr>
            <w:pStyle w:val="52"/>
            <w:tabs>
              <w:tab w:val="right" w:leader="dot" w:pos="9070"/>
            </w:tabs>
          </w:pPr>
        </w:p>
        <w:p w14:paraId="0761E4E1">
          <w:pPr>
            <w:rPr>
              <w:rFonts w:hint="eastAsia"/>
            </w:rPr>
          </w:pPr>
          <w:r>
            <w:rPr>
              <w:rFonts w:hint="eastAsia"/>
              <w:b/>
            </w:rPr>
            <w:fldChar w:fldCharType="end"/>
          </w:r>
        </w:p>
      </w:sdtContent>
    </w:sdt>
    <w:p w14:paraId="689DDE86">
      <w:pPr>
        <w:pStyle w:val="19"/>
        <w:tabs>
          <w:tab w:val="right" w:leader="dot" w:pos="9060"/>
        </w:tabs>
        <w:ind w:firstLine="480"/>
        <w:rPr>
          <w:rFonts w:asciiTheme="minorHAnsi" w:hAnsiTheme="minorHAnsi" w:eastAsiaTheme="minorEastAsia" w:cstheme="minorBidi"/>
          <w:szCs w:val="22"/>
        </w:rPr>
      </w:pPr>
    </w:p>
    <w:p w14:paraId="64DE7CAB">
      <w:pPr>
        <w:tabs>
          <w:tab w:val="left" w:pos="1123"/>
          <w:tab w:val="center" w:pos="4595"/>
        </w:tabs>
        <w:spacing w:after="120" w:afterLines="50" w:line="360" w:lineRule="auto"/>
        <w:jc w:val="left"/>
        <w:rPr>
          <w:rFonts w:hint="eastAsia" w:ascii="仿宋_GB2312" w:eastAsia="仿宋_GB2312"/>
          <w:lang w:eastAsia="zh-CN"/>
        </w:rPr>
      </w:pPr>
      <w:r>
        <w:rPr>
          <w:rFonts w:hint="eastAsia" w:ascii="仿宋_GB2312" w:eastAsia="仿宋_GB2312"/>
          <w:sz w:val="24"/>
        </w:rPr>
        <w:fldChar w:fldCharType="end"/>
      </w:r>
      <w:bookmarkStart w:id="1" w:name="_Toc20903"/>
      <w:r>
        <w:rPr>
          <w:rFonts w:hint="eastAsia" w:ascii="仿宋_GB2312" w:eastAsia="仿宋_GB2312"/>
          <w:sz w:val="24"/>
          <w:lang w:eastAsia="zh-CN"/>
        </w:rPr>
        <w:tab/>
      </w:r>
      <w:r>
        <w:rPr>
          <w:rFonts w:hint="eastAsia" w:ascii="仿宋_GB2312" w:eastAsia="仿宋_GB2312"/>
          <w:sz w:val="24"/>
          <w:lang w:eastAsia="zh-CN"/>
        </w:rPr>
        <w:tab/>
      </w:r>
    </w:p>
    <w:p w14:paraId="032A2F9E">
      <w:pPr>
        <w:spacing w:after="120" w:afterLines="50" w:line="360" w:lineRule="auto"/>
        <w:jc w:val="center"/>
        <w:outlineLvl w:val="0"/>
        <w:rPr>
          <w:rFonts w:hint="eastAsia" w:ascii="新宋体" w:hAnsi="新宋体" w:eastAsia="新宋体" w:cs="新宋体"/>
          <w:sz w:val="36"/>
          <w:szCs w:val="36"/>
        </w:rPr>
        <w:sectPr>
          <w:footerReference r:id="rId6" w:type="first"/>
          <w:footerReference r:id="rId5" w:type="default"/>
          <w:pgSz w:w="11906" w:h="16838"/>
          <w:pgMar w:top="1418" w:right="1418" w:bottom="1418" w:left="1418" w:header="851" w:footer="992" w:gutter="0"/>
          <w:pgNumType w:fmt="decimal"/>
          <w:cols w:space="720" w:num="1"/>
          <w:titlePg/>
          <w:docGrid w:linePitch="312" w:charSpace="0"/>
        </w:sectPr>
      </w:pPr>
      <w:bookmarkStart w:id="2" w:name="_Toc9620"/>
      <w:bookmarkStart w:id="3" w:name="_Toc110437557"/>
    </w:p>
    <w:p w14:paraId="245D338D">
      <w:pPr>
        <w:spacing w:after="120" w:afterLines="50" w:line="360" w:lineRule="auto"/>
        <w:jc w:val="center"/>
        <w:outlineLvl w:val="0"/>
        <w:rPr>
          <w:rFonts w:hint="eastAsia" w:ascii="新宋体" w:hAnsi="新宋体" w:eastAsia="新宋体" w:cs="新宋体"/>
          <w:sz w:val="36"/>
          <w:szCs w:val="36"/>
        </w:rPr>
      </w:pPr>
      <w:r>
        <w:rPr>
          <w:rFonts w:hint="eastAsia" w:ascii="新宋体" w:hAnsi="新宋体" w:eastAsia="新宋体" w:cs="新宋体"/>
          <w:sz w:val="36"/>
          <w:szCs w:val="36"/>
        </w:rPr>
        <w:t xml:space="preserve">第一部分  </w:t>
      </w:r>
      <w:bookmarkEnd w:id="1"/>
      <w:r>
        <w:rPr>
          <w:rFonts w:hint="eastAsia" w:ascii="新宋体" w:hAnsi="新宋体" w:eastAsia="新宋体" w:cs="新宋体"/>
          <w:sz w:val="36"/>
          <w:szCs w:val="36"/>
        </w:rPr>
        <w:t>谈判须知前附表</w:t>
      </w:r>
      <w:bookmarkEnd w:id="2"/>
      <w:bookmarkEnd w:id="3"/>
      <w:bookmarkStart w:id="4" w:name="_Toc29806_WPSOffice_Level1"/>
      <w:bookmarkStart w:id="5" w:name="_Toc13430_WPSOffice_Level1"/>
      <w:bookmarkStart w:id="6" w:name="_Toc29348_WPSOffice_Level1"/>
      <w:bookmarkStart w:id="7" w:name="_Toc25918_WPSOffice_Level1"/>
      <w:bookmarkStart w:id="8" w:name="_Toc17554"/>
      <w:bookmarkStart w:id="9" w:name="_Toc68"/>
      <w:bookmarkStart w:id="10" w:name="_Toc7063_WPSOffice_Level1"/>
      <w:bookmarkStart w:id="11" w:name="_Toc19849"/>
      <w:bookmarkStart w:id="12" w:name="_Toc26774_WPSOffice_Level1"/>
    </w:p>
    <w:tbl>
      <w:tblPr>
        <w:tblStyle w:val="39"/>
        <w:tblW w:w="969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85" w:type="dxa"/>
          <w:left w:w="108" w:type="dxa"/>
          <w:bottom w:w="85" w:type="dxa"/>
          <w:right w:w="108" w:type="dxa"/>
        </w:tblCellMar>
      </w:tblPr>
      <w:tblGrid>
        <w:gridCol w:w="2409"/>
        <w:gridCol w:w="7286"/>
      </w:tblGrid>
      <w:tr w14:paraId="6FD64C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24F13FEC">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采购项目名称</w:t>
            </w:r>
          </w:p>
        </w:tc>
        <w:tc>
          <w:tcPr>
            <w:tcW w:w="7286" w:type="dxa"/>
            <w:tcBorders>
              <w:tl2br w:val="nil"/>
              <w:tr2bl w:val="nil"/>
            </w:tcBorders>
          </w:tcPr>
          <w:p w14:paraId="775AD9AD">
            <w:pPr>
              <w:keepNext w:val="0"/>
              <w:keepLines w:val="0"/>
              <w:pageBreakBefore w:val="0"/>
              <w:kinsoku/>
              <w:wordWrap/>
              <w:overflowPunct/>
              <w:topLinePunct w:val="0"/>
              <w:bidi w:val="0"/>
              <w:adjustRightInd w:val="0"/>
              <w:snapToGrid w:val="0"/>
              <w:spacing w:line="360" w:lineRule="auto"/>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采购一市五县交警大队事故办案业务车辆</w:t>
            </w:r>
          </w:p>
        </w:tc>
      </w:tr>
      <w:tr w14:paraId="0309DA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23217655">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采购项目编号</w:t>
            </w:r>
          </w:p>
        </w:tc>
        <w:tc>
          <w:tcPr>
            <w:tcW w:w="7286" w:type="dxa"/>
            <w:tcBorders>
              <w:tl2br w:val="nil"/>
              <w:tr2bl w:val="nil"/>
            </w:tcBorders>
          </w:tcPr>
          <w:p w14:paraId="41BA58A0">
            <w:pPr>
              <w:keepNext w:val="0"/>
              <w:keepLines w:val="0"/>
              <w:pageBreakBefore w:val="0"/>
              <w:kinsoku/>
              <w:wordWrap/>
              <w:overflowPunct/>
              <w:topLinePunct w:val="0"/>
              <w:bidi w:val="0"/>
              <w:adjustRightInd w:val="0"/>
              <w:snapToGrid w:val="0"/>
              <w:spacing w:line="360" w:lineRule="auto"/>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zh-CN"/>
              </w:rPr>
              <w:t>青海鹏杰竞谈（货物）2025-015</w:t>
            </w:r>
          </w:p>
        </w:tc>
      </w:tr>
      <w:tr w14:paraId="367C85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7919935B">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备案编号</w:t>
            </w:r>
          </w:p>
        </w:tc>
        <w:tc>
          <w:tcPr>
            <w:tcW w:w="7286" w:type="dxa"/>
            <w:tcBorders>
              <w:tl2br w:val="nil"/>
              <w:tr2bl w:val="nil"/>
            </w:tcBorders>
          </w:tcPr>
          <w:p w14:paraId="37F6A354">
            <w:pPr>
              <w:keepNext w:val="0"/>
              <w:keepLines w:val="0"/>
              <w:pageBreakBefore w:val="0"/>
              <w:kinsoku/>
              <w:wordWrap/>
              <w:overflowPunct/>
              <w:topLinePunct w:val="0"/>
              <w:bidi w:val="0"/>
              <w:adjustRightInd w:val="0"/>
              <w:snapToGrid w:val="0"/>
              <w:spacing w:line="360" w:lineRule="auto"/>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BUYPLANSP[2025</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lang w:val="zh-CN"/>
              </w:rPr>
              <w:t>00082</w:t>
            </w:r>
          </w:p>
        </w:tc>
      </w:tr>
      <w:tr w14:paraId="39E128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41423B3F">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采购方式</w:t>
            </w:r>
          </w:p>
        </w:tc>
        <w:tc>
          <w:tcPr>
            <w:tcW w:w="7286" w:type="dxa"/>
            <w:tcBorders>
              <w:tl2br w:val="nil"/>
              <w:tr2bl w:val="nil"/>
            </w:tcBorders>
          </w:tcPr>
          <w:p w14:paraId="6C3C75EE">
            <w:pPr>
              <w:keepNext w:val="0"/>
              <w:keepLines w:val="0"/>
              <w:pageBreakBefore w:val="0"/>
              <w:kinsoku/>
              <w:wordWrap/>
              <w:overflowPunct/>
              <w:topLinePunct w:val="0"/>
              <w:bidi w:val="0"/>
              <w:adjustRightInd w:val="0"/>
              <w:snapToGrid w:val="0"/>
              <w:spacing w:line="360" w:lineRule="auto"/>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竞争性谈判</w:t>
            </w:r>
          </w:p>
        </w:tc>
      </w:tr>
      <w:tr w14:paraId="64361A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2EE2C98B">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采购预算额度</w:t>
            </w:r>
          </w:p>
        </w:tc>
        <w:tc>
          <w:tcPr>
            <w:tcW w:w="7286" w:type="dxa"/>
            <w:tcBorders>
              <w:tl2br w:val="nil"/>
              <w:tr2bl w:val="nil"/>
            </w:tcBorders>
          </w:tcPr>
          <w:p w14:paraId="3863E82C">
            <w:pPr>
              <w:keepNext w:val="0"/>
              <w:keepLines w:val="0"/>
              <w:pageBreakBefore w:val="0"/>
              <w:kinsoku/>
              <w:wordWrap/>
              <w:overflowPunct/>
              <w:topLinePunct w:val="0"/>
              <w:bidi w:val="0"/>
              <w:adjustRightInd w:val="0"/>
              <w:snapToGrid w:val="0"/>
              <w:spacing w:line="360" w:lineRule="auto"/>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900000.00元</w:t>
            </w:r>
          </w:p>
        </w:tc>
      </w:tr>
      <w:tr w14:paraId="4B7142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72424510">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招标控制价</w:t>
            </w:r>
          </w:p>
        </w:tc>
        <w:tc>
          <w:tcPr>
            <w:tcW w:w="7286" w:type="dxa"/>
            <w:tcBorders>
              <w:tl2br w:val="nil"/>
              <w:tr2bl w:val="nil"/>
            </w:tcBorders>
          </w:tcPr>
          <w:p w14:paraId="55BC911F">
            <w:pPr>
              <w:keepNext w:val="0"/>
              <w:keepLines w:val="0"/>
              <w:widowControl/>
              <w:suppressLineNumbers w:val="0"/>
              <w:jc w:val="left"/>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900000.00元</w:t>
            </w:r>
          </w:p>
        </w:tc>
      </w:tr>
      <w:tr w14:paraId="663637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461A931B">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项目分包个数</w:t>
            </w:r>
          </w:p>
        </w:tc>
        <w:tc>
          <w:tcPr>
            <w:tcW w:w="7286" w:type="dxa"/>
            <w:tcBorders>
              <w:tl2br w:val="nil"/>
              <w:tr2bl w:val="nil"/>
            </w:tcBorders>
          </w:tcPr>
          <w:p w14:paraId="5B0D6EFF">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lang w:val="zh-CN"/>
              </w:rPr>
              <w:t>1个包</w:t>
            </w:r>
          </w:p>
        </w:tc>
      </w:tr>
      <w:tr w14:paraId="69BF61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757E4EB9">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bCs/>
                <w:sz w:val="24"/>
                <w:szCs w:val="24"/>
              </w:rPr>
              <w:t>供应商</w:t>
            </w:r>
            <w:r>
              <w:rPr>
                <w:rFonts w:hint="eastAsia" w:ascii="新宋体" w:hAnsi="新宋体" w:eastAsia="新宋体" w:cs="新宋体"/>
                <w:sz w:val="24"/>
                <w:szCs w:val="24"/>
              </w:rPr>
              <w:t>资格条件</w:t>
            </w:r>
          </w:p>
        </w:tc>
        <w:tc>
          <w:tcPr>
            <w:tcW w:w="7286" w:type="dxa"/>
            <w:tcBorders>
              <w:tl2br w:val="nil"/>
              <w:tr2bl w:val="nil"/>
            </w:tcBorders>
          </w:tcPr>
          <w:p w14:paraId="3BCF8F48">
            <w:pPr>
              <w:keepNext w:val="0"/>
              <w:keepLines w:val="0"/>
              <w:pageBreakBefore w:val="0"/>
              <w:kinsoku/>
              <w:wordWrap/>
              <w:overflowPunct/>
              <w:topLinePunct w:val="0"/>
              <w:autoSpaceDE w:val="0"/>
              <w:autoSpaceDN w:val="0"/>
              <w:bidi w:val="0"/>
              <w:spacing w:line="360" w:lineRule="auto"/>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1.符合《中华人民共和国政府采购法》第22条：</w:t>
            </w:r>
          </w:p>
          <w:p w14:paraId="5963BB0C">
            <w:pPr>
              <w:keepNext w:val="0"/>
              <w:keepLines w:val="0"/>
              <w:pageBreakBefore w:val="0"/>
              <w:kinsoku/>
              <w:wordWrap/>
              <w:overflowPunct/>
              <w:topLinePunct w:val="0"/>
              <w:autoSpaceDE w:val="0"/>
              <w:autoSpaceDN w:val="0"/>
              <w:bidi w:val="0"/>
              <w:spacing w:line="360" w:lineRule="auto"/>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（1）法人或者其他组织的营业执照等证明文件，自然人的身份证明；</w:t>
            </w:r>
          </w:p>
          <w:p w14:paraId="10801B10">
            <w:pPr>
              <w:keepNext w:val="0"/>
              <w:keepLines w:val="0"/>
              <w:pageBreakBefore w:val="0"/>
              <w:kinsoku/>
              <w:wordWrap/>
              <w:overflowPunct/>
              <w:topLinePunct w:val="0"/>
              <w:autoSpaceDE w:val="0"/>
              <w:autoSpaceDN w:val="0"/>
              <w:bidi w:val="0"/>
              <w:spacing w:line="360" w:lineRule="auto"/>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（2）财务状况报告，依法缴纳税收和社会保障资金的相关材料；</w:t>
            </w:r>
          </w:p>
          <w:p w14:paraId="292ABF8C">
            <w:pPr>
              <w:keepNext w:val="0"/>
              <w:keepLines w:val="0"/>
              <w:pageBreakBefore w:val="0"/>
              <w:kinsoku/>
              <w:wordWrap/>
              <w:overflowPunct/>
              <w:topLinePunct w:val="0"/>
              <w:autoSpaceDE w:val="0"/>
              <w:autoSpaceDN w:val="0"/>
              <w:bidi w:val="0"/>
              <w:spacing w:line="360" w:lineRule="auto"/>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（3）具备履行合同所必须的设备和专业技术能力的证明材料；</w:t>
            </w:r>
          </w:p>
          <w:p w14:paraId="0AF2CC53">
            <w:pPr>
              <w:keepNext w:val="0"/>
              <w:keepLines w:val="0"/>
              <w:pageBreakBefore w:val="0"/>
              <w:kinsoku/>
              <w:wordWrap/>
              <w:overflowPunct/>
              <w:topLinePunct w:val="0"/>
              <w:autoSpaceDE w:val="0"/>
              <w:autoSpaceDN w:val="0"/>
              <w:bidi w:val="0"/>
              <w:spacing w:line="360" w:lineRule="auto"/>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（4）参加政府釆购活动前3年内在经营活动中没有重大违法记录的书面声明；</w:t>
            </w:r>
          </w:p>
          <w:p w14:paraId="6BC76679">
            <w:pPr>
              <w:keepNext w:val="0"/>
              <w:keepLines w:val="0"/>
              <w:pageBreakBefore w:val="0"/>
              <w:kinsoku/>
              <w:wordWrap/>
              <w:overflowPunct/>
              <w:topLinePunct w:val="0"/>
              <w:autoSpaceDE w:val="0"/>
              <w:autoSpaceDN w:val="0"/>
              <w:bidi w:val="0"/>
              <w:spacing w:line="360" w:lineRule="auto"/>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（5）具备法律、行政法规规定的其他条件的证明材料。</w:t>
            </w:r>
          </w:p>
          <w:p w14:paraId="24B934CC">
            <w:pPr>
              <w:keepNext w:val="0"/>
              <w:keepLines w:val="0"/>
              <w:pageBreakBefore w:val="0"/>
              <w:kinsoku/>
              <w:wordWrap/>
              <w:overflowPunct/>
              <w:topLinePunct w:val="0"/>
              <w:autoSpaceDE w:val="0"/>
              <w:autoSpaceDN w:val="0"/>
              <w:bidi w:val="0"/>
              <w:spacing w:line="360" w:lineRule="auto"/>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经信用中国（www.creditchina.gov.cn）、中国政府采购网（www.ccgp.gov.cn）等渠道查询后，列入失信被执行人、重大税收违法案件当事人名单、政府采购严重违法失信行为记录名单的，取消谈判资格。（提供“信用中国”网站的查询截图，时间为谈判文件响应截止时间前</w:t>
            </w: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rPr>
              <w:t>天内）；</w:t>
            </w:r>
          </w:p>
          <w:p w14:paraId="4E6C9713">
            <w:pPr>
              <w:keepNext w:val="0"/>
              <w:keepLines w:val="0"/>
              <w:pageBreakBefore w:val="0"/>
              <w:kinsoku/>
              <w:wordWrap/>
              <w:overflowPunct/>
              <w:topLinePunct w:val="0"/>
              <w:autoSpaceDE w:val="0"/>
              <w:autoSpaceDN w:val="0"/>
              <w:bidi w:val="0"/>
              <w:spacing w:line="360" w:lineRule="auto"/>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3.单位负责人为同一人或者存在直接控股、管理关系的不同供应商，不得参加同一合同项下的政府采购活动。否则，取消谈判资格；</w:t>
            </w:r>
          </w:p>
          <w:p w14:paraId="56574D09">
            <w:pPr>
              <w:keepNext w:val="0"/>
              <w:keepLines w:val="0"/>
              <w:pageBreakBefore w:val="0"/>
              <w:kinsoku/>
              <w:wordWrap/>
              <w:overflowPunct/>
              <w:topLinePunct w:val="0"/>
              <w:autoSpaceDE w:val="0"/>
              <w:autoSpaceDN w:val="0"/>
              <w:bidi w:val="0"/>
              <w:spacing w:line="360" w:lineRule="auto"/>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4.为本采购项目提供整体设计、规范编制或者项目管理、监理、检测等服务的供应商，不得再参加该采购项目的其他采购活动。</w:t>
            </w:r>
          </w:p>
          <w:p w14:paraId="6BCB16A8">
            <w:pPr>
              <w:pStyle w:val="82"/>
              <w:keepNext w:val="0"/>
              <w:keepLines w:val="0"/>
              <w:pageBreakBefore w:val="0"/>
              <w:widowControl w:val="0"/>
              <w:kinsoku/>
              <w:wordWrap/>
              <w:overflowPunct/>
              <w:topLinePunct w:val="0"/>
              <w:autoSpaceDE w:val="0"/>
              <w:autoSpaceDN w:val="0"/>
              <w:bidi w:val="0"/>
              <w:adjustRightInd w:val="0"/>
              <w:spacing w:before="0" w:after="0" w:line="360" w:lineRule="auto"/>
              <w:jc w:val="lef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rPr>
              <w:t>5.其他资格条件：</w:t>
            </w:r>
            <w:r>
              <w:rPr>
                <w:rFonts w:hint="eastAsia" w:ascii="新宋体" w:hAnsi="新宋体" w:eastAsia="新宋体" w:cs="新宋体"/>
                <w:color w:val="000000"/>
                <w:kern w:val="0"/>
                <w:sz w:val="24"/>
                <w:szCs w:val="24"/>
                <w:lang w:val="en-US" w:eastAsia="zh-CN"/>
              </w:rPr>
              <w:t>无</w:t>
            </w:r>
          </w:p>
        </w:tc>
      </w:tr>
      <w:tr w14:paraId="6FAF71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tcPr>
          <w:p w14:paraId="58C04DD2">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bCs/>
                <w:sz w:val="24"/>
                <w:szCs w:val="24"/>
              </w:rPr>
            </w:pPr>
            <w:r>
              <w:rPr>
                <w:rFonts w:hint="eastAsia" w:ascii="新宋体" w:hAnsi="新宋体" w:eastAsia="新宋体" w:cs="新宋体"/>
                <w:sz w:val="24"/>
                <w:szCs w:val="24"/>
              </w:rPr>
              <w:t>是否接收联合体形式</w:t>
            </w:r>
          </w:p>
        </w:tc>
        <w:tc>
          <w:tcPr>
            <w:tcW w:w="7286" w:type="dxa"/>
            <w:tcBorders>
              <w:tl2br w:val="nil"/>
              <w:tr2bl w:val="nil"/>
            </w:tcBorders>
            <w:vAlign w:val="center"/>
          </w:tcPr>
          <w:p w14:paraId="733BF5A9">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lang w:val="zh-CN"/>
              </w:rPr>
              <w:t>本项目</w:t>
            </w:r>
            <w:r>
              <w:rPr>
                <w:rFonts w:hint="eastAsia" w:ascii="新宋体" w:hAnsi="新宋体" w:eastAsia="新宋体" w:cs="新宋体"/>
                <w:color w:val="000000"/>
                <w:kern w:val="0"/>
                <w:sz w:val="24"/>
                <w:szCs w:val="24"/>
              </w:rPr>
              <w:t>不接受</w:t>
            </w:r>
            <w:r>
              <w:rPr>
                <w:rFonts w:hint="eastAsia" w:ascii="新宋体" w:hAnsi="新宋体" w:eastAsia="新宋体" w:cs="新宋体"/>
                <w:color w:val="000000"/>
                <w:kern w:val="0"/>
                <w:sz w:val="24"/>
                <w:szCs w:val="24"/>
                <w:lang w:val="zh-CN"/>
              </w:rPr>
              <w:t>供应商以联合体方式进行谈判。</w:t>
            </w:r>
          </w:p>
        </w:tc>
      </w:tr>
      <w:tr w14:paraId="7DA3B5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trHeight w:val="336" w:hRule="atLeast"/>
          <w:jc w:val="center"/>
        </w:trPr>
        <w:tc>
          <w:tcPr>
            <w:tcW w:w="2409" w:type="dxa"/>
            <w:tcBorders>
              <w:tl2br w:val="nil"/>
              <w:tr2bl w:val="nil"/>
            </w:tcBorders>
            <w:vAlign w:val="center"/>
          </w:tcPr>
          <w:p w14:paraId="421C9F3B">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bCs/>
                <w:sz w:val="24"/>
                <w:szCs w:val="24"/>
              </w:rPr>
              <w:t>谈判文件的实质性变动内容</w:t>
            </w:r>
          </w:p>
        </w:tc>
        <w:tc>
          <w:tcPr>
            <w:tcW w:w="7286" w:type="dxa"/>
            <w:tcBorders>
              <w:tl2br w:val="nil"/>
              <w:tr2bl w:val="nil"/>
            </w:tcBorders>
            <w:vAlign w:val="center"/>
          </w:tcPr>
          <w:p w14:paraId="4B9C61D3">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不允许</w:t>
            </w:r>
          </w:p>
        </w:tc>
      </w:tr>
      <w:tr w14:paraId="5A1107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063C0A78">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公告发布时间</w:t>
            </w:r>
          </w:p>
        </w:tc>
        <w:tc>
          <w:tcPr>
            <w:tcW w:w="7286" w:type="dxa"/>
            <w:tcBorders>
              <w:tl2br w:val="nil"/>
              <w:tr2bl w:val="nil"/>
            </w:tcBorders>
          </w:tcPr>
          <w:p w14:paraId="17C4763C">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sz w:val="24"/>
                <w:szCs w:val="24"/>
                <w:u w:val="none"/>
              </w:rPr>
            </w:pPr>
            <w:r>
              <w:rPr>
                <w:rFonts w:hint="eastAsia" w:ascii="新宋体" w:hAnsi="新宋体" w:eastAsia="新宋体" w:cs="新宋体"/>
                <w:color w:val="000000"/>
                <w:kern w:val="0"/>
                <w:sz w:val="24"/>
                <w:szCs w:val="24"/>
                <w:u w:val="none"/>
                <w:lang w:eastAsia="zh-CN"/>
              </w:rPr>
              <w:t>202</w:t>
            </w:r>
            <w:r>
              <w:rPr>
                <w:rFonts w:hint="eastAsia" w:ascii="新宋体" w:hAnsi="新宋体" w:eastAsia="新宋体" w:cs="新宋体"/>
                <w:color w:val="000000"/>
                <w:kern w:val="0"/>
                <w:sz w:val="24"/>
                <w:szCs w:val="24"/>
                <w:u w:val="none"/>
                <w:lang w:val="en-US" w:eastAsia="zh-CN"/>
              </w:rPr>
              <w:t>5</w:t>
            </w:r>
            <w:r>
              <w:rPr>
                <w:rFonts w:hint="eastAsia" w:ascii="新宋体" w:hAnsi="新宋体" w:eastAsia="新宋体" w:cs="新宋体"/>
                <w:color w:val="000000"/>
                <w:kern w:val="0"/>
                <w:sz w:val="24"/>
                <w:szCs w:val="24"/>
                <w:u w:val="none"/>
                <w:lang w:eastAsia="zh-CN"/>
              </w:rPr>
              <w:t>年</w:t>
            </w:r>
            <w:r>
              <w:rPr>
                <w:rFonts w:hint="eastAsia" w:ascii="新宋体" w:hAnsi="新宋体" w:eastAsia="新宋体" w:cs="新宋体"/>
                <w:color w:val="000000"/>
                <w:kern w:val="0"/>
                <w:sz w:val="24"/>
                <w:szCs w:val="24"/>
                <w:u w:val="none"/>
                <w:lang w:val="en-US" w:eastAsia="zh-CN"/>
              </w:rPr>
              <w:t>06</w:t>
            </w:r>
            <w:r>
              <w:rPr>
                <w:rFonts w:hint="eastAsia" w:ascii="新宋体" w:hAnsi="新宋体" w:eastAsia="新宋体" w:cs="新宋体"/>
                <w:color w:val="000000"/>
                <w:kern w:val="0"/>
                <w:sz w:val="24"/>
                <w:szCs w:val="24"/>
                <w:u w:val="none"/>
                <w:lang w:eastAsia="zh-CN"/>
              </w:rPr>
              <w:t>月1</w:t>
            </w:r>
            <w:r>
              <w:rPr>
                <w:rFonts w:hint="eastAsia" w:ascii="新宋体" w:hAnsi="新宋体" w:eastAsia="新宋体" w:cs="新宋体"/>
                <w:color w:val="000000"/>
                <w:kern w:val="0"/>
                <w:sz w:val="24"/>
                <w:szCs w:val="24"/>
                <w:u w:val="none"/>
                <w:lang w:val="en-US" w:eastAsia="zh-CN"/>
              </w:rPr>
              <w:t>8</w:t>
            </w:r>
            <w:r>
              <w:rPr>
                <w:rFonts w:hint="eastAsia" w:ascii="新宋体" w:hAnsi="新宋体" w:eastAsia="新宋体" w:cs="新宋体"/>
                <w:color w:val="000000"/>
                <w:kern w:val="0"/>
                <w:sz w:val="24"/>
                <w:szCs w:val="24"/>
                <w:u w:val="none"/>
                <w:lang w:eastAsia="zh-CN"/>
              </w:rPr>
              <w:t>日</w:t>
            </w:r>
            <w:r>
              <w:rPr>
                <w:rFonts w:hint="eastAsia" w:ascii="新宋体" w:hAnsi="新宋体" w:eastAsia="新宋体" w:cs="新宋体"/>
                <w:color w:val="000000"/>
                <w:kern w:val="0"/>
                <w:sz w:val="24"/>
                <w:szCs w:val="24"/>
                <w:u w:val="none"/>
              </w:rPr>
              <w:t>（北京时间）</w:t>
            </w:r>
          </w:p>
        </w:tc>
      </w:tr>
      <w:tr w14:paraId="7E4F96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553F95E7">
            <w:pPr>
              <w:keepNext w:val="0"/>
              <w:keepLines w:val="0"/>
              <w:pageBreakBefore w:val="0"/>
              <w:kinsoku/>
              <w:wordWrap/>
              <w:overflowPunct/>
              <w:topLinePunct w:val="0"/>
              <w:bidi w:val="0"/>
              <w:spacing w:line="360" w:lineRule="auto"/>
              <w:jc w:val="center"/>
              <w:textAlignment w:val="auto"/>
              <w:rPr>
                <w:rFonts w:hint="eastAsia" w:ascii="新宋体" w:hAnsi="新宋体" w:eastAsia="新宋体" w:cs="新宋体"/>
                <w:bCs/>
                <w:sz w:val="24"/>
                <w:szCs w:val="24"/>
              </w:rPr>
            </w:pPr>
            <w:r>
              <w:rPr>
                <w:rFonts w:hint="eastAsia" w:ascii="新宋体" w:hAnsi="新宋体" w:eastAsia="新宋体" w:cs="新宋体"/>
                <w:sz w:val="24"/>
                <w:szCs w:val="24"/>
              </w:rPr>
              <w:t>文件发售起止时间</w:t>
            </w:r>
          </w:p>
        </w:tc>
        <w:tc>
          <w:tcPr>
            <w:tcW w:w="7286" w:type="dxa"/>
            <w:tcBorders>
              <w:tl2br w:val="nil"/>
              <w:tr2bl w:val="nil"/>
            </w:tcBorders>
          </w:tcPr>
          <w:p w14:paraId="16CD7B05">
            <w:pPr>
              <w:keepNext w:val="0"/>
              <w:keepLines w:val="0"/>
              <w:pageBreakBefore w:val="0"/>
              <w:kinsoku/>
              <w:wordWrap/>
              <w:overflowPunct/>
              <w:topLinePunct w:val="0"/>
              <w:bidi w:val="0"/>
              <w:spacing w:line="360" w:lineRule="auto"/>
              <w:textAlignment w:val="auto"/>
              <w:rPr>
                <w:rFonts w:hint="eastAsia" w:ascii="新宋体" w:hAnsi="新宋体" w:eastAsia="新宋体" w:cs="新宋体"/>
                <w:color w:val="000000"/>
                <w:kern w:val="0"/>
                <w:sz w:val="24"/>
                <w:szCs w:val="24"/>
                <w:u w:val="none"/>
              </w:rPr>
            </w:pPr>
            <w:r>
              <w:rPr>
                <w:rFonts w:hint="eastAsia" w:ascii="新宋体" w:hAnsi="新宋体" w:eastAsia="新宋体" w:cs="新宋体"/>
                <w:color w:val="000000"/>
                <w:kern w:val="0"/>
                <w:sz w:val="24"/>
                <w:szCs w:val="24"/>
                <w:u w:val="none"/>
                <w:lang w:eastAsia="zh-CN"/>
              </w:rPr>
              <w:t>202</w:t>
            </w:r>
            <w:r>
              <w:rPr>
                <w:rFonts w:hint="eastAsia" w:ascii="新宋体" w:hAnsi="新宋体" w:eastAsia="新宋体" w:cs="新宋体"/>
                <w:color w:val="000000"/>
                <w:kern w:val="0"/>
                <w:sz w:val="24"/>
                <w:szCs w:val="24"/>
                <w:u w:val="none"/>
                <w:lang w:val="en-US" w:eastAsia="zh-CN"/>
              </w:rPr>
              <w:t>5</w:t>
            </w:r>
            <w:r>
              <w:rPr>
                <w:rFonts w:hint="eastAsia" w:ascii="新宋体" w:hAnsi="新宋体" w:eastAsia="新宋体" w:cs="新宋体"/>
                <w:color w:val="000000"/>
                <w:kern w:val="0"/>
                <w:sz w:val="24"/>
                <w:szCs w:val="24"/>
                <w:u w:val="none"/>
                <w:lang w:eastAsia="zh-CN"/>
              </w:rPr>
              <w:t>年</w:t>
            </w:r>
            <w:r>
              <w:rPr>
                <w:rFonts w:hint="eastAsia" w:ascii="新宋体" w:hAnsi="新宋体" w:eastAsia="新宋体" w:cs="新宋体"/>
                <w:color w:val="000000"/>
                <w:kern w:val="0"/>
                <w:sz w:val="24"/>
                <w:szCs w:val="24"/>
                <w:u w:val="none"/>
                <w:lang w:val="en-US" w:eastAsia="zh-CN"/>
              </w:rPr>
              <w:t>06</w:t>
            </w:r>
            <w:r>
              <w:rPr>
                <w:rFonts w:hint="eastAsia" w:ascii="新宋体" w:hAnsi="新宋体" w:eastAsia="新宋体" w:cs="新宋体"/>
                <w:color w:val="000000"/>
                <w:kern w:val="0"/>
                <w:sz w:val="24"/>
                <w:szCs w:val="24"/>
                <w:u w:val="none"/>
                <w:lang w:eastAsia="zh-CN"/>
              </w:rPr>
              <w:t>月</w:t>
            </w:r>
            <w:r>
              <w:rPr>
                <w:rFonts w:hint="eastAsia" w:ascii="新宋体" w:hAnsi="新宋体" w:eastAsia="新宋体" w:cs="新宋体"/>
                <w:color w:val="000000"/>
                <w:kern w:val="0"/>
                <w:sz w:val="24"/>
                <w:szCs w:val="24"/>
                <w:u w:val="none"/>
                <w:lang w:val="en-US" w:eastAsia="zh-CN"/>
              </w:rPr>
              <w:t>19</w:t>
            </w:r>
            <w:r>
              <w:rPr>
                <w:rFonts w:hint="eastAsia" w:ascii="新宋体" w:hAnsi="新宋体" w:eastAsia="新宋体" w:cs="新宋体"/>
                <w:color w:val="000000"/>
                <w:kern w:val="0"/>
                <w:sz w:val="24"/>
                <w:szCs w:val="24"/>
                <w:u w:val="none"/>
                <w:lang w:eastAsia="zh-CN"/>
              </w:rPr>
              <w:t>日至202</w:t>
            </w:r>
            <w:r>
              <w:rPr>
                <w:rFonts w:hint="eastAsia" w:ascii="新宋体" w:hAnsi="新宋体" w:eastAsia="新宋体" w:cs="新宋体"/>
                <w:color w:val="000000"/>
                <w:kern w:val="0"/>
                <w:sz w:val="24"/>
                <w:szCs w:val="24"/>
                <w:u w:val="none"/>
                <w:lang w:val="en-US" w:eastAsia="zh-CN"/>
              </w:rPr>
              <w:t>5</w:t>
            </w:r>
            <w:r>
              <w:rPr>
                <w:rFonts w:hint="eastAsia" w:ascii="新宋体" w:hAnsi="新宋体" w:eastAsia="新宋体" w:cs="新宋体"/>
                <w:color w:val="000000"/>
                <w:kern w:val="0"/>
                <w:sz w:val="24"/>
                <w:szCs w:val="24"/>
                <w:u w:val="none"/>
                <w:lang w:eastAsia="zh-CN"/>
              </w:rPr>
              <w:t>年</w:t>
            </w:r>
            <w:r>
              <w:rPr>
                <w:rFonts w:hint="eastAsia" w:ascii="新宋体" w:hAnsi="新宋体" w:eastAsia="新宋体" w:cs="新宋体"/>
                <w:color w:val="000000"/>
                <w:kern w:val="0"/>
                <w:sz w:val="24"/>
                <w:szCs w:val="24"/>
                <w:u w:val="none"/>
                <w:lang w:val="en-US" w:eastAsia="zh-CN"/>
              </w:rPr>
              <w:t>06</w:t>
            </w:r>
            <w:r>
              <w:rPr>
                <w:rFonts w:hint="eastAsia" w:ascii="新宋体" w:hAnsi="新宋体" w:eastAsia="新宋体" w:cs="新宋体"/>
                <w:color w:val="000000"/>
                <w:kern w:val="0"/>
                <w:sz w:val="24"/>
                <w:szCs w:val="24"/>
                <w:u w:val="none"/>
                <w:lang w:eastAsia="zh-CN"/>
              </w:rPr>
              <w:t>月</w:t>
            </w:r>
            <w:r>
              <w:rPr>
                <w:rFonts w:hint="eastAsia" w:ascii="新宋体" w:hAnsi="新宋体" w:eastAsia="新宋体" w:cs="新宋体"/>
                <w:color w:val="000000"/>
                <w:kern w:val="0"/>
                <w:sz w:val="24"/>
                <w:szCs w:val="24"/>
                <w:u w:val="none"/>
                <w:lang w:val="en-US" w:eastAsia="zh-CN"/>
              </w:rPr>
              <w:t>23</w:t>
            </w:r>
            <w:r>
              <w:rPr>
                <w:rFonts w:hint="eastAsia" w:ascii="新宋体" w:hAnsi="新宋体" w:eastAsia="新宋体" w:cs="新宋体"/>
                <w:color w:val="000000"/>
                <w:kern w:val="0"/>
                <w:sz w:val="24"/>
                <w:szCs w:val="24"/>
                <w:u w:val="none"/>
                <w:lang w:eastAsia="zh-CN"/>
              </w:rPr>
              <w:t>日</w:t>
            </w:r>
            <w:r>
              <w:rPr>
                <w:rFonts w:hint="eastAsia" w:ascii="新宋体" w:hAnsi="新宋体" w:eastAsia="新宋体" w:cs="新宋体"/>
                <w:color w:val="000000"/>
                <w:kern w:val="0"/>
                <w:sz w:val="24"/>
                <w:szCs w:val="24"/>
                <w:u w:val="none"/>
              </w:rPr>
              <w:t>（北京时间，法定公休日除外）</w:t>
            </w:r>
          </w:p>
          <w:p w14:paraId="463DF279">
            <w:pPr>
              <w:keepNext w:val="0"/>
              <w:keepLines w:val="0"/>
              <w:pageBreakBefore w:val="0"/>
              <w:kinsoku/>
              <w:wordWrap/>
              <w:overflowPunct/>
              <w:topLinePunct w:val="0"/>
              <w:bidi w:val="0"/>
              <w:spacing w:line="360" w:lineRule="auto"/>
              <w:textAlignment w:val="auto"/>
              <w:rPr>
                <w:rFonts w:hint="eastAsia" w:ascii="新宋体" w:hAnsi="新宋体" w:eastAsia="新宋体" w:cs="新宋体"/>
                <w:color w:val="000000"/>
                <w:kern w:val="0"/>
                <w:sz w:val="24"/>
                <w:szCs w:val="24"/>
                <w:u w:val="none"/>
              </w:rPr>
            </w:pPr>
            <w:r>
              <w:rPr>
                <w:rFonts w:hint="eastAsia" w:ascii="新宋体" w:hAnsi="新宋体" w:eastAsia="新宋体" w:cs="新宋体"/>
                <w:color w:val="000000"/>
                <w:kern w:val="0"/>
                <w:sz w:val="24"/>
                <w:szCs w:val="24"/>
                <w:u w:val="none"/>
              </w:rPr>
              <w:t>上午：00时00分至12时00分（采用北京时间24小时制）</w:t>
            </w:r>
          </w:p>
          <w:p w14:paraId="4D95D621">
            <w:pPr>
              <w:keepNext w:val="0"/>
              <w:keepLines w:val="0"/>
              <w:pageBreakBefore w:val="0"/>
              <w:kinsoku/>
              <w:wordWrap/>
              <w:overflowPunct/>
              <w:topLinePunct w:val="0"/>
              <w:bidi w:val="0"/>
              <w:spacing w:line="360" w:lineRule="auto"/>
              <w:textAlignment w:val="auto"/>
              <w:rPr>
                <w:rFonts w:hint="eastAsia" w:ascii="新宋体" w:hAnsi="新宋体" w:eastAsia="新宋体" w:cs="新宋体"/>
                <w:color w:val="000000"/>
                <w:kern w:val="0"/>
                <w:sz w:val="24"/>
                <w:szCs w:val="24"/>
                <w:u w:val="none"/>
              </w:rPr>
            </w:pPr>
            <w:r>
              <w:rPr>
                <w:rFonts w:hint="eastAsia" w:ascii="新宋体" w:hAnsi="新宋体" w:eastAsia="新宋体" w:cs="新宋体"/>
                <w:color w:val="000000"/>
                <w:kern w:val="0"/>
                <w:sz w:val="24"/>
                <w:szCs w:val="24"/>
                <w:u w:val="none"/>
              </w:rPr>
              <w:t>下午：12时00分至23时59分（采用北京时间24小时制）</w:t>
            </w:r>
          </w:p>
        </w:tc>
      </w:tr>
      <w:tr w14:paraId="041654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57C2F345">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获取方式</w:t>
            </w:r>
          </w:p>
        </w:tc>
        <w:tc>
          <w:tcPr>
            <w:tcW w:w="7286" w:type="dxa"/>
            <w:tcBorders>
              <w:tl2br w:val="nil"/>
              <w:tr2bl w:val="nil"/>
            </w:tcBorders>
            <w:vAlign w:val="center"/>
          </w:tcPr>
          <w:p w14:paraId="2DB3270A">
            <w:pPr>
              <w:keepNext w:val="0"/>
              <w:keepLines w:val="0"/>
              <w:pageBreakBefore w:val="0"/>
              <w:tabs>
                <w:tab w:val="left" w:pos="320"/>
              </w:tabs>
              <w:kinsoku/>
              <w:wordWrap/>
              <w:overflowPunct/>
              <w:topLinePunct w:val="0"/>
              <w:bidi w:val="0"/>
              <w:adjustRightInd w:val="0"/>
              <w:snapToGri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供应商登录政采云平台https://www.zcygov.cn/在线申请获取采购文件（进入“项目采购”应用，在获取采购文件菜单中选择项目，申请获取采购文件）</w:t>
            </w:r>
          </w:p>
        </w:tc>
      </w:tr>
      <w:tr w14:paraId="705B28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4838B63C">
            <w:pPr>
              <w:keepNext w:val="0"/>
              <w:keepLines w:val="0"/>
              <w:pageBreakBefore w:val="0"/>
              <w:kinsoku/>
              <w:wordWrap/>
              <w:overflowPunct/>
              <w:topLinePunct w:val="0"/>
              <w:bidi w:val="0"/>
              <w:spacing w:line="360" w:lineRule="auto"/>
              <w:jc w:val="center"/>
              <w:textAlignment w:val="auto"/>
              <w:rPr>
                <w:rFonts w:hint="eastAsia" w:ascii="新宋体" w:hAnsi="新宋体" w:eastAsia="新宋体" w:cs="新宋体"/>
                <w:bCs/>
                <w:sz w:val="24"/>
                <w:szCs w:val="24"/>
              </w:rPr>
            </w:pPr>
            <w:r>
              <w:rPr>
                <w:rFonts w:hint="eastAsia" w:ascii="新宋体" w:hAnsi="新宋体" w:eastAsia="新宋体" w:cs="新宋体"/>
                <w:sz w:val="24"/>
                <w:szCs w:val="24"/>
              </w:rPr>
              <w:t>文件售价</w:t>
            </w:r>
          </w:p>
        </w:tc>
        <w:tc>
          <w:tcPr>
            <w:tcW w:w="7286" w:type="dxa"/>
            <w:tcBorders>
              <w:tl2br w:val="nil"/>
              <w:tr2bl w:val="nil"/>
            </w:tcBorders>
            <w:vAlign w:val="center"/>
          </w:tcPr>
          <w:p w14:paraId="11A8FA1B">
            <w:pPr>
              <w:keepNext w:val="0"/>
              <w:keepLines w:val="0"/>
              <w:pageBreakBefore w:val="0"/>
              <w:kinsoku/>
              <w:wordWrap/>
              <w:overflowPunct/>
              <w:topLinePunct w:val="0"/>
              <w:bidi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0元（谈判文件售后不退, 谈判资格不能转让）</w:t>
            </w:r>
          </w:p>
        </w:tc>
      </w:tr>
      <w:tr w14:paraId="4EC5B3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65FA7FD5">
            <w:pPr>
              <w:keepNext w:val="0"/>
              <w:keepLines w:val="0"/>
              <w:pageBreakBefore w:val="0"/>
              <w:kinsoku/>
              <w:wordWrap/>
              <w:overflowPunct/>
              <w:topLinePunct w:val="0"/>
              <w:bidi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文件发售地点</w:t>
            </w:r>
          </w:p>
        </w:tc>
        <w:tc>
          <w:tcPr>
            <w:tcW w:w="7286" w:type="dxa"/>
            <w:tcBorders>
              <w:tl2br w:val="nil"/>
              <w:tr2bl w:val="nil"/>
            </w:tcBorders>
            <w:vAlign w:val="center"/>
          </w:tcPr>
          <w:p w14:paraId="3037694B">
            <w:pPr>
              <w:keepNext w:val="0"/>
              <w:keepLines w:val="0"/>
              <w:pageBreakBefore w:val="0"/>
              <w:kinsoku/>
              <w:wordWrap/>
              <w:overflowPunct/>
              <w:topLinePunct w:val="0"/>
              <w:bidi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政采云平台（www.zcygov.cn）线上获取</w:t>
            </w:r>
          </w:p>
        </w:tc>
      </w:tr>
      <w:tr w14:paraId="05242C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58B8388D">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bCs/>
                <w:sz w:val="24"/>
                <w:szCs w:val="24"/>
              </w:rPr>
            </w:pPr>
            <w:r>
              <w:rPr>
                <w:rFonts w:hint="eastAsia" w:ascii="新宋体" w:hAnsi="新宋体" w:eastAsia="新宋体" w:cs="新宋体"/>
                <w:sz w:val="24"/>
                <w:szCs w:val="24"/>
              </w:rPr>
              <w:t>采购人名称、地址、电话、联系人</w:t>
            </w:r>
          </w:p>
        </w:tc>
        <w:tc>
          <w:tcPr>
            <w:tcW w:w="7286" w:type="dxa"/>
            <w:tcBorders>
              <w:tl2br w:val="nil"/>
              <w:tr2bl w:val="nil"/>
            </w:tcBorders>
            <w:vAlign w:val="center"/>
          </w:tcPr>
          <w:p w14:paraId="35FD3817">
            <w:pPr>
              <w:autoSpaceDE w:val="0"/>
              <w:autoSpaceDN w:val="0"/>
              <w:adjustRightInd w:val="0"/>
              <w:spacing w:line="360" w:lineRule="auto"/>
              <w:rPr>
                <w:rFonts w:hint="eastAsia" w:ascii="新宋体" w:hAnsi="新宋体" w:eastAsia="新宋体" w:cs="新宋体"/>
                <w:b w:val="0"/>
                <w:bCs w:val="0"/>
                <w:color w:val="auto"/>
                <w:kern w:val="0"/>
                <w:sz w:val="24"/>
                <w:szCs w:val="24"/>
                <w:highlight w:val="none"/>
                <w:lang w:eastAsia="zh-CN"/>
              </w:rPr>
            </w:pPr>
            <w:r>
              <w:rPr>
                <w:rFonts w:hint="eastAsia" w:ascii="新宋体" w:hAnsi="新宋体" w:eastAsia="新宋体" w:cs="新宋体"/>
                <w:b w:val="0"/>
                <w:bCs w:val="0"/>
                <w:color w:val="auto"/>
                <w:kern w:val="0"/>
                <w:sz w:val="24"/>
                <w:szCs w:val="24"/>
                <w:highlight w:val="none"/>
                <w:lang w:eastAsia="zh-CN"/>
              </w:rPr>
              <w:t>采 购 人：</w:t>
            </w:r>
            <w:bookmarkStart w:id="13" w:name="OLE_LINK3"/>
            <w:r>
              <w:rPr>
                <w:rFonts w:hint="eastAsia" w:ascii="新宋体" w:hAnsi="新宋体" w:eastAsia="新宋体" w:cs="新宋体"/>
                <w:b w:val="0"/>
                <w:bCs w:val="0"/>
                <w:color w:val="auto"/>
                <w:kern w:val="0"/>
                <w:sz w:val="24"/>
                <w:szCs w:val="24"/>
                <w:highlight w:val="none"/>
                <w:lang w:eastAsia="zh-CN"/>
              </w:rPr>
              <w:t>玉树州公安交通警察支队</w:t>
            </w:r>
          </w:p>
          <w:bookmarkEnd w:id="13"/>
          <w:p w14:paraId="4986C096">
            <w:pPr>
              <w:autoSpaceDE w:val="0"/>
              <w:autoSpaceDN w:val="0"/>
              <w:adjustRightInd w:val="0"/>
              <w:spacing w:line="360" w:lineRule="auto"/>
              <w:rPr>
                <w:rFonts w:hint="eastAsia" w:ascii="新宋体" w:hAnsi="新宋体" w:eastAsia="新宋体" w:cs="新宋体"/>
                <w:b w:val="0"/>
                <w:bCs w:val="0"/>
                <w:color w:val="auto"/>
                <w:kern w:val="0"/>
                <w:sz w:val="24"/>
                <w:szCs w:val="24"/>
                <w:highlight w:val="none"/>
                <w:lang w:eastAsia="zh-CN"/>
              </w:rPr>
            </w:pPr>
            <w:r>
              <w:rPr>
                <w:rFonts w:hint="eastAsia" w:ascii="新宋体" w:hAnsi="新宋体" w:eastAsia="新宋体" w:cs="新宋体"/>
                <w:b w:val="0"/>
                <w:bCs w:val="0"/>
                <w:color w:val="auto"/>
                <w:kern w:val="0"/>
                <w:sz w:val="24"/>
                <w:szCs w:val="24"/>
                <w:highlight w:val="none"/>
                <w:lang w:eastAsia="zh-CN"/>
              </w:rPr>
              <w:t>联 系 人：郭老师</w:t>
            </w:r>
          </w:p>
          <w:p w14:paraId="30B37A0B">
            <w:pPr>
              <w:autoSpaceDE w:val="0"/>
              <w:autoSpaceDN w:val="0"/>
              <w:adjustRightInd w:val="0"/>
              <w:spacing w:line="360" w:lineRule="auto"/>
              <w:rPr>
                <w:rFonts w:hint="eastAsia" w:ascii="新宋体" w:hAnsi="新宋体" w:eastAsia="新宋体" w:cs="新宋体"/>
                <w:b w:val="0"/>
                <w:bCs w:val="0"/>
                <w:color w:val="auto"/>
                <w:kern w:val="0"/>
                <w:sz w:val="24"/>
                <w:szCs w:val="24"/>
                <w:highlight w:val="none"/>
                <w:lang w:eastAsia="zh-CN"/>
              </w:rPr>
            </w:pPr>
            <w:r>
              <w:rPr>
                <w:rFonts w:hint="eastAsia" w:ascii="新宋体" w:hAnsi="新宋体" w:eastAsia="新宋体" w:cs="新宋体"/>
                <w:b w:val="0"/>
                <w:bCs w:val="0"/>
                <w:color w:val="auto"/>
                <w:kern w:val="0"/>
                <w:sz w:val="24"/>
                <w:szCs w:val="24"/>
                <w:highlight w:val="none"/>
                <w:lang w:eastAsia="zh-CN"/>
              </w:rPr>
              <w:t>联系电话：</w:t>
            </w:r>
            <w:bookmarkStart w:id="14" w:name="OLE_LINK10"/>
            <w:r>
              <w:rPr>
                <w:rFonts w:hint="eastAsia" w:ascii="新宋体" w:hAnsi="新宋体" w:eastAsia="新宋体" w:cs="新宋体"/>
                <w:b w:val="0"/>
                <w:bCs w:val="0"/>
                <w:color w:val="auto"/>
                <w:kern w:val="0"/>
                <w:sz w:val="24"/>
                <w:szCs w:val="24"/>
                <w:highlight w:val="none"/>
                <w:lang w:val="zh-CN" w:eastAsia="zh-CN"/>
              </w:rPr>
              <w:t xml:space="preserve">19997468888 </w:t>
            </w:r>
          </w:p>
          <w:p w14:paraId="72A0D2D9">
            <w:pPr>
              <w:autoSpaceDE w:val="0"/>
              <w:autoSpaceDN w:val="0"/>
              <w:adjustRightInd w:val="0"/>
              <w:spacing w:line="360" w:lineRule="auto"/>
              <w:rPr>
                <w:rFonts w:hint="eastAsia" w:ascii="新宋体" w:hAnsi="新宋体" w:eastAsia="新宋体" w:cs="新宋体"/>
                <w:sz w:val="24"/>
                <w:szCs w:val="24"/>
                <w:u w:val="single"/>
                <w:lang w:val="zh-CN"/>
              </w:rPr>
            </w:pPr>
            <w:r>
              <w:rPr>
                <w:rFonts w:hint="eastAsia" w:ascii="新宋体" w:hAnsi="新宋体" w:eastAsia="新宋体" w:cs="新宋体"/>
                <w:b w:val="0"/>
                <w:bCs w:val="0"/>
                <w:color w:val="auto"/>
                <w:kern w:val="0"/>
                <w:sz w:val="24"/>
                <w:szCs w:val="24"/>
                <w:highlight w:val="none"/>
                <w:lang w:eastAsia="zh-CN"/>
              </w:rPr>
              <w:t>联系地址：</w:t>
            </w:r>
            <w:bookmarkEnd w:id="14"/>
            <w:r>
              <w:rPr>
                <w:rFonts w:hint="eastAsia" w:ascii="新宋体" w:hAnsi="新宋体" w:eastAsia="新宋体" w:cs="新宋体"/>
                <w:b w:val="0"/>
                <w:bCs w:val="0"/>
                <w:color w:val="auto"/>
                <w:kern w:val="0"/>
                <w:sz w:val="24"/>
                <w:szCs w:val="24"/>
                <w:highlight w:val="none"/>
                <w:lang w:eastAsia="zh-CN"/>
              </w:rPr>
              <w:t>玉树市德宁曲卡南巷246号</w:t>
            </w:r>
          </w:p>
        </w:tc>
      </w:tr>
      <w:tr w14:paraId="1113D8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6C7E09E8">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采购代理机构及联系人电话</w:t>
            </w:r>
          </w:p>
        </w:tc>
        <w:tc>
          <w:tcPr>
            <w:tcW w:w="7286" w:type="dxa"/>
            <w:tcBorders>
              <w:tl2br w:val="nil"/>
              <w:tr2bl w:val="nil"/>
            </w:tcBorders>
            <w:vAlign w:val="center"/>
          </w:tcPr>
          <w:p w14:paraId="3F52B5D5">
            <w:pPr>
              <w:spacing w:line="360" w:lineRule="auto"/>
              <w:rPr>
                <w:rFonts w:hint="eastAsia" w:ascii="新宋体" w:hAnsi="新宋体" w:eastAsia="新宋体" w:cs="新宋体"/>
                <w:b w:val="0"/>
                <w:bCs w:val="0"/>
                <w:color w:val="auto"/>
                <w:kern w:val="0"/>
                <w:sz w:val="24"/>
                <w:szCs w:val="24"/>
                <w:highlight w:val="none"/>
                <w:lang w:eastAsia="zh-CN"/>
              </w:rPr>
            </w:pPr>
            <w:r>
              <w:rPr>
                <w:rFonts w:hint="eastAsia" w:ascii="新宋体" w:hAnsi="新宋体" w:eastAsia="新宋体" w:cs="新宋体"/>
                <w:b w:val="0"/>
                <w:bCs w:val="0"/>
                <w:color w:val="auto"/>
                <w:kern w:val="0"/>
                <w:sz w:val="24"/>
                <w:szCs w:val="24"/>
                <w:highlight w:val="none"/>
              </w:rPr>
              <w:t>采购代理机构：</w:t>
            </w:r>
            <w:r>
              <w:rPr>
                <w:rFonts w:hint="eastAsia" w:ascii="新宋体" w:hAnsi="新宋体" w:eastAsia="新宋体" w:cs="新宋体"/>
                <w:b w:val="0"/>
                <w:bCs w:val="0"/>
                <w:color w:val="auto"/>
                <w:sz w:val="24"/>
                <w:szCs w:val="24"/>
                <w:highlight w:val="none"/>
                <w:lang w:eastAsia="zh-CN"/>
              </w:rPr>
              <w:t>青海鹏杰工程项目管理有限公司</w:t>
            </w:r>
          </w:p>
          <w:p w14:paraId="6B9FAB49">
            <w:pPr>
              <w:spacing w:line="360" w:lineRule="auto"/>
              <w:rPr>
                <w:rFonts w:hint="eastAsia" w:ascii="新宋体" w:hAnsi="新宋体" w:eastAsia="新宋体" w:cs="新宋体"/>
                <w:b w:val="0"/>
                <w:bCs w:val="0"/>
                <w:color w:val="auto"/>
                <w:kern w:val="0"/>
                <w:sz w:val="24"/>
                <w:szCs w:val="24"/>
                <w:highlight w:val="none"/>
              </w:rPr>
            </w:pPr>
            <w:r>
              <w:rPr>
                <w:rFonts w:hint="eastAsia" w:ascii="新宋体" w:hAnsi="新宋体" w:eastAsia="新宋体" w:cs="新宋体"/>
                <w:b w:val="0"/>
                <w:bCs w:val="0"/>
                <w:color w:val="auto"/>
                <w:kern w:val="0"/>
                <w:sz w:val="24"/>
                <w:szCs w:val="24"/>
                <w:highlight w:val="none"/>
              </w:rPr>
              <w:t>联系人：</w:t>
            </w:r>
            <w:r>
              <w:rPr>
                <w:rFonts w:hint="eastAsia" w:ascii="新宋体" w:hAnsi="新宋体" w:eastAsia="新宋体" w:cs="新宋体"/>
                <w:b w:val="0"/>
                <w:bCs w:val="0"/>
                <w:color w:val="auto"/>
                <w:sz w:val="24"/>
                <w:szCs w:val="24"/>
                <w:highlight w:val="none"/>
                <w:lang w:val="zh-CN"/>
              </w:rPr>
              <w:t>隆女士</w:t>
            </w:r>
          </w:p>
          <w:p w14:paraId="741D367B">
            <w:pPr>
              <w:spacing w:line="360" w:lineRule="auto"/>
              <w:rPr>
                <w:rFonts w:hint="eastAsia" w:ascii="新宋体" w:hAnsi="新宋体" w:eastAsia="新宋体" w:cs="新宋体"/>
                <w:b w:val="0"/>
                <w:bCs w:val="0"/>
                <w:color w:val="auto"/>
                <w:kern w:val="0"/>
                <w:sz w:val="24"/>
                <w:szCs w:val="24"/>
                <w:highlight w:val="none"/>
                <w:lang w:val="en-US" w:eastAsia="zh-CN"/>
              </w:rPr>
            </w:pPr>
            <w:r>
              <w:rPr>
                <w:rFonts w:hint="eastAsia" w:ascii="新宋体" w:hAnsi="新宋体" w:eastAsia="新宋体" w:cs="新宋体"/>
                <w:b w:val="0"/>
                <w:bCs w:val="0"/>
                <w:color w:val="auto"/>
                <w:kern w:val="0"/>
                <w:sz w:val="24"/>
                <w:szCs w:val="24"/>
                <w:highlight w:val="none"/>
              </w:rPr>
              <w:t>联系电话：</w:t>
            </w:r>
            <w:r>
              <w:rPr>
                <w:rFonts w:hint="eastAsia" w:ascii="新宋体" w:hAnsi="新宋体" w:eastAsia="新宋体" w:cs="新宋体"/>
                <w:b w:val="0"/>
                <w:bCs w:val="0"/>
                <w:color w:val="auto"/>
                <w:kern w:val="0"/>
                <w:sz w:val="24"/>
                <w:szCs w:val="24"/>
                <w:highlight w:val="none"/>
                <w:lang w:val="en-US" w:eastAsia="zh-CN"/>
              </w:rPr>
              <w:t>18097063519</w:t>
            </w:r>
          </w:p>
          <w:p w14:paraId="4A618F20">
            <w:pPr>
              <w:spacing w:line="360" w:lineRule="auto"/>
              <w:rPr>
                <w:rFonts w:hint="default" w:ascii="新宋体" w:hAnsi="新宋体" w:eastAsia="新宋体" w:cs="新宋体"/>
                <w:b w:val="0"/>
                <w:bCs w:val="0"/>
                <w:color w:val="auto"/>
                <w:kern w:val="0"/>
                <w:sz w:val="24"/>
                <w:szCs w:val="24"/>
                <w:highlight w:val="none"/>
                <w:lang w:val="en-US" w:eastAsia="zh-CN"/>
              </w:rPr>
            </w:pPr>
            <w:r>
              <w:rPr>
                <w:rFonts w:hint="eastAsia" w:ascii="新宋体" w:hAnsi="新宋体" w:eastAsia="新宋体" w:cs="新宋体"/>
                <w:b w:val="0"/>
                <w:bCs w:val="0"/>
                <w:color w:val="auto"/>
                <w:kern w:val="0"/>
                <w:sz w:val="24"/>
                <w:szCs w:val="24"/>
                <w:highlight w:val="none"/>
              </w:rPr>
              <w:t>邮箱地址：</w:t>
            </w:r>
            <w:r>
              <w:rPr>
                <w:rFonts w:hint="eastAsia" w:ascii="新宋体" w:hAnsi="新宋体" w:eastAsia="新宋体" w:cs="新宋体"/>
                <w:b w:val="0"/>
                <w:bCs w:val="0"/>
                <w:color w:val="auto"/>
                <w:kern w:val="0"/>
                <w:sz w:val="24"/>
                <w:szCs w:val="24"/>
                <w:highlight w:val="none"/>
                <w:lang w:val="en-US" w:eastAsia="zh-CN"/>
              </w:rPr>
              <w:t>qhpj888@126.com</w:t>
            </w:r>
          </w:p>
          <w:p w14:paraId="13CE0CDA">
            <w:pPr>
              <w:spacing w:line="360" w:lineRule="auto"/>
              <w:rPr>
                <w:rFonts w:hint="eastAsia" w:ascii="新宋体" w:hAnsi="新宋体" w:eastAsia="新宋体" w:cs="新宋体"/>
                <w:sz w:val="24"/>
                <w:szCs w:val="24"/>
              </w:rPr>
            </w:pPr>
            <w:r>
              <w:rPr>
                <w:rFonts w:hint="eastAsia" w:ascii="新宋体" w:hAnsi="新宋体" w:eastAsia="新宋体" w:cs="新宋体"/>
                <w:b w:val="0"/>
                <w:bCs w:val="0"/>
                <w:color w:val="auto"/>
                <w:kern w:val="0"/>
                <w:sz w:val="24"/>
                <w:szCs w:val="24"/>
                <w:highlight w:val="none"/>
              </w:rPr>
              <w:t>联系地址：</w:t>
            </w:r>
            <w:r>
              <w:rPr>
                <w:rFonts w:hint="eastAsia" w:ascii="新宋体" w:hAnsi="新宋体" w:eastAsia="新宋体" w:cs="新宋体"/>
                <w:b w:val="0"/>
                <w:bCs w:val="0"/>
                <w:color w:val="auto"/>
                <w:sz w:val="24"/>
                <w:szCs w:val="24"/>
                <w:highlight w:val="none"/>
                <w:lang w:eastAsia="zh-CN"/>
              </w:rPr>
              <w:t>青海省西宁市城西区西川南路76号万达1号写字楼16楼1161</w:t>
            </w:r>
            <w:r>
              <w:rPr>
                <w:rFonts w:hint="eastAsia" w:ascii="新宋体" w:hAnsi="新宋体" w:eastAsia="新宋体" w:cs="新宋体"/>
                <w:b w:val="0"/>
                <w:bCs w:val="0"/>
                <w:color w:val="auto"/>
                <w:sz w:val="24"/>
                <w:szCs w:val="24"/>
                <w:highlight w:val="none"/>
                <w:lang w:val="en-US" w:eastAsia="zh-CN"/>
              </w:rPr>
              <w:t>3</w:t>
            </w:r>
            <w:r>
              <w:rPr>
                <w:rFonts w:hint="eastAsia" w:ascii="新宋体" w:hAnsi="新宋体" w:eastAsia="新宋体" w:cs="新宋体"/>
                <w:b w:val="0"/>
                <w:bCs w:val="0"/>
                <w:color w:val="auto"/>
                <w:sz w:val="24"/>
                <w:szCs w:val="24"/>
                <w:highlight w:val="none"/>
                <w:lang w:eastAsia="zh-CN"/>
              </w:rPr>
              <w:t>室</w:t>
            </w:r>
          </w:p>
        </w:tc>
      </w:tr>
      <w:tr w14:paraId="3FDAB7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778DD6C0">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响应文件格式及编制要求</w:t>
            </w:r>
          </w:p>
        </w:tc>
        <w:tc>
          <w:tcPr>
            <w:tcW w:w="7286" w:type="dxa"/>
            <w:tcBorders>
              <w:tl2br w:val="nil"/>
              <w:tr2bl w:val="nil"/>
            </w:tcBorders>
            <w:vAlign w:val="center"/>
          </w:tcPr>
          <w:p w14:paraId="4A801203">
            <w:pPr>
              <w:keepNext w:val="0"/>
              <w:keepLines w:val="0"/>
              <w:pageBreakBefore w:val="0"/>
              <w:kinsoku/>
              <w:wordWrap/>
              <w:overflowPunct/>
              <w:topLinePunct w:val="0"/>
              <w:autoSpaceDE w:val="0"/>
              <w:autoSpaceDN w:val="0"/>
              <w:bidi w:val="0"/>
              <w:adjustRightIn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1、按照供应商须知第11.1款的规定，响应文件按资格审查部分和有效性、完整性、响应程度审查部分编制，以上两部分响应文件建立在一个文件中，文件名设定为“***单位***项目响应文件”，与数据文件一并上传至政采云平台上。</w:t>
            </w:r>
          </w:p>
          <w:p w14:paraId="53780295">
            <w:pPr>
              <w:keepNext w:val="0"/>
              <w:keepLines w:val="0"/>
              <w:pageBreakBefore w:val="0"/>
              <w:kinsoku/>
              <w:wordWrap/>
              <w:overflowPunct/>
              <w:topLinePunct w:val="0"/>
              <w:autoSpaceDE w:val="0"/>
              <w:autoSpaceDN w:val="0"/>
              <w:bidi w:val="0"/>
              <w:adjustRightIn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2.响应文件编制格式为word系统签章保存后转换为pdf格式上传，且目录索引定位到内容。</w:t>
            </w:r>
          </w:p>
          <w:p w14:paraId="7E1758AA">
            <w:pPr>
              <w:keepNext w:val="0"/>
              <w:keepLines w:val="0"/>
              <w:pageBreakBefore w:val="0"/>
              <w:kinsoku/>
              <w:wordWrap/>
              <w:overflowPunct/>
              <w:topLinePunct w:val="0"/>
              <w:autoSpaceDE w:val="0"/>
              <w:autoSpaceDN w:val="0"/>
              <w:bidi w:val="0"/>
              <w:adjustRightIn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3、响应文件中的扫描或复印件内容应清晰可辨，且要求正向放置。</w:t>
            </w:r>
          </w:p>
          <w:p w14:paraId="4B0BBDEF">
            <w:pPr>
              <w:keepNext w:val="0"/>
              <w:keepLines w:val="0"/>
              <w:pageBreakBefore w:val="0"/>
              <w:kinsoku/>
              <w:wordWrap/>
              <w:overflowPunct/>
              <w:topLinePunct w:val="0"/>
              <w:autoSpaceDE w:val="0"/>
              <w:autoSpaceDN w:val="0"/>
              <w:bidi w:val="0"/>
              <w:adjustRightIn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4、上传的响应文件不得超过100M。</w:t>
            </w:r>
          </w:p>
          <w:p w14:paraId="246972FB">
            <w:pPr>
              <w:keepNext w:val="0"/>
              <w:keepLines w:val="0"/>
              <w:pageBreakBefore w:val="0"/>
              <w:kinsoku/>
              <w:wordWrap/>
              <w:overflowPunct/>
              <w:topLinePunct w:val="0"/>
              <w:autoSpaceDE w:val="0"/>
              <w:autoSpaceDN w:val="0"/>
              <w:bidi w:val="0"/>
              <w:adjustRightInd w:val="0"/>
              <w:spacing w:line="360" w:lineRule="auto"/>
              <w:textAlignment w:val="auto"/>
              <w:rPr>
                <w:rFonts w:hint="eastAsia" w:ascii="新宋体" w:hAnsi="新宋体" w:eastAsia="新宋体" w:cs="新宋体"/>
                <w:kern w:val="0"/>
                <w:sz w:val="24"/>
                <w:szCs w:val="24"/>
              </w:rPr>
            </w:pPr>
            <w:r>
              <w:rPr>
                <w:rFonts w:hint="eastAsia" w:ascii="新宋体" w:hAnsi="新宋体" w:eastAsia="新宋体" w:cs="新宋体"/>
                <w:sz w:val="24"/>
                <w:szCs w:val="24"/>
              </w:rPr>
              <w:t>5、供应商应在提交响应文件截止时间前上传响应文件。因目录格式不准确、不能索引定位到内容、文件过大、未提交全部文件内容或文件内容错误、上传效果差等原因导致无法评审的，有可能判定为响应无效。</w:t>
            </w:r>
          </w:p>
        </w:tc>
      </w:tr>
      <w:tr w14:paraId="4BFBAA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516599EF">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答疑澄清</w:t>
            </w:r>
          </w:p>
        </w:tc>
        <w:tc>
          <w:tcPr>
            <w:tcW w:w="7286" w:type="dxa"/>
            <w:tcBorders>
              <w:tl2br w:val="nil"/>
              <w:tr2bl w:val="nil"/>
            </w:tcBorders>
            <w:vAlign w:val="center"/>
          </w:tcPr>
          <w:p w14:paraId="6AE9BE0D">
            <w:pPr>
              <w:keepNext w:val="0"/>
              <w:keepLines w:val="0"/>
              <w:pageBreakBefore w:val="0"/>
              <w:kinsoku/>
              <w:wordWrap/>
              <w:overflowPunct/>
              <w:topLinePunct w:val="0"/>
              <w:autoSpaceDE w:val="0"/>
              <w:autoSpaceDN w:val="0"/>
              <w:bidi w:val="0"/>
              <w:adjustRightInd w:val="0"/>
              <w:spacing w:line="360" w:lineRule="auto"/>
              <w:textAlignment w:val="auto"/>
              <w:rPr>
                <w:rFonts w:hint="eastAsia" w:ascii="新宋体" w:hAnsi="新宋体" w:eastAsia="新宋体" w:cs="新宋体"/>
                <w:kern w:val="0"/>
                <w:sz w:val="24"/>
                <w:szCs w:val="24"/>
              </w:rPr>
            </w:pPr>
            <w:r>
              <w:rPr>
                <w:rFonts w:hint="eastAsia" w:ascii="新宋体" w:hAnsi="新宋体" w:eastAsia="新宋体" w:cs="新宋体"/>
                <w:sz w:val="24"/>
                <w:szCs w:val="24"/>
              </w:rPr>
              <w:t>谈判小组根据谈判情况确定答疑澄清时间，答疑或澄清在政采云平台进行，供应商可在政采云平台上的“澄清”界面了解答疑澄清等信息。供应商须提供准确的联系方式（手机和固定电话），在项目评审时须在线了解响应文件开启信息，掌握答疑时间，需由法定代表人或委托代理人对谈判商小组提出的质疑做出应答。如在规定的时间内联系无果，无法进行电话或政采云平台上答疑者，视同放弃答疑。</w:t>
            </w:r>
          </w:p>
        </w:tc>
      </w:tr>
      <w:tr w14:paraId="74D5CC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16D0F29F">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谈判保证金</w:t>
            </w:r>
          </w:p>
        </w:tc>
        <w:tc>
          <w:tcPr>
            <w:tcW w:w="7286" w:type="dxa"/>
            <w:tcBorders>
              <w:tl2br w:val="nil"/>
              <w:tr2bl w:val="nil"/>
            </w:tcBorders>
            <w:vAlign w:val="center"/>
          </w:tcPr>
          <w:p w14:paraId="5DEB37F4">
            <w:pPr>
              <w:adjustRightInd w:val="0"/>
              <w:snapToGrid w:val="0"/>
              <w:spacing w:line="360" w:lineRule="auto"/>
              <w:rPr>
                <w:rFonts w:hint="eastAsia" w:ascii="新宋体" w:hAnsi="新宋体" w:eastAsia="新宋体" w:cs="新宋体"/>
                <w:b w:val="0"/>
                <w:bCs w:val="0"/>
                <w:color w:val="auto"/>
                <w:sz w:val="24"/>
                <w:szCs w:val="24"/>
                <w:highlight w:val="none"/>
              </w:rPr>
            </w:pPr>
            <w:r>
              <w:rPr>
                <w:rFonts w:hint="eastAsia" w:ascii="新宋体" w:hAnsi="新宋体" w:eastAsia="新宋体" w:cs="新宋体"/>
                <w:b w:val="0"/>
                <w:bCs w:val="0"/>
                <w:color w:val="auto"/>
                <w:sz w:val="24"/>
                <w:szCs w:val="24"/>
                <w:highlight w:val="none"/>
              </w:rPr>
              <w:t>1.</w:t>
            </w:r>
            <w:r>
              <w:rPr>
                <w:rFonts w:hint="eastAsia" w:ascii="新宋体" w:hAnsi="新宋体" w:eastAsia="新宋体" w:cs="新宋体"/>
                <w:b w:val="0"/>
                <w:bCs w:val="0"/>
                <w:color w:val="auto"/>
                <w:sz w:val="24"/>
                <w:szCs w:val="24"/>
                <w:highlight w:val="none"/>
                <w:lang w:val="en-US" w:eastAsia="zh-CN"/>
              </w:rPr>
              <w:t>金额：壹万捌仟元整（18000.00元）</w:t>
            </w:r>
          </w:p>
          <w:p w14:paraId="2022E80A">
            <w:pPr>
              <w:adjustRightInd w:val="0"/>
              <w:snapToGrid w:val="0"/>
              <w:spacing w:line="360" w:lineRule="auto"/>
              <w:rPr>
                <w:rFonts w:hint="eastAsia" w:ascii="新宋体" w:hAnsi="新宋体" w:eastAsia="新宋体" w:cs="新宋体"/>
                <w:b w:val="0"/>
                <w:bCs w:val="0"/>
                <w:color w:val="auto"/>
                <w:sz w:val="24"/>
                <w:szCs w:val="24"/>
                <w:highlight w:val="none"/>
                <w:lang w:eastAsia="zh-CN"/>
              </w:rPr>
            </w:pPr>
            <w:r>
              <w:rPr>
                <w:rFonts w:hint="eastAsia" w:ascii="新宋体" w:hAnsi="新宋体" w:eastAsia="新宋体" w:cs="新宋体"/>
                <w:b w:val="0"/>
                <w:bCs w:val="0"/>
                <w:color w:val="auto"/>
                <w:sz w:val="24"/>
                <w:szCs w:val="24"/>
                <w:highlight w:val="none"/>
              </w:rPr>
              <w:t>2.</w:t>
            </w:r>
            <w:r>
              <w:rPr>
                <w:rFonts w:hint="eastAsia" w:ascii="新宋体" w:hAnsi="新宋体" w:eastAsia="新宋体" w:cs="新宋体"/>
                <w:b w:val="0"/>
                <w:bCs w:val="0"/>
                <w:color w:val="auto"/>
                <w:sz w:val="24"/>
                <w:szCs w:val="24"/>
                <w:highlight w:val="none"/>
                <w:lang w:val="zh-CN"/>
              </w:rPr>
              <w:t>收款单位:青海鹏杰工程项目管理有限公司</w:t>
            </w:r>
            <w:r>
              <w:rPr>
                <w:rFonts w:hint="eastAsia" w:ascii="新宋体" w:hAnsi="新宋体" w:eastAsia="新宋体" w:cs="新宋体"/>
                <w:b w:val="0"/>
                <w:bCs w:val="0"/>
                <w:color w:val="auto"/>
                <w:sz w:val="24"/>
                <w:szCs w:val="24"/>
                <w:highlight w:val="none"/>
                <w:lang w:val="en-US" w:eastAsia="zh-CN"/>
              </w:rPr>
              <w:t xml:space="preserve"> </w:t>
            </w:r>
          </w:p>
          <w:p w14:paraId="7B535796">
            <w:pPr>
              <w:adjustRightInd w:val="0"/>
              <w:snapToGrid w:val="0"/>
              <w:spacing w:line="360" w:lineRule="auto"/>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rPr>
              <w:t>3.开户银行：</w:t>
            </w:r>
            <w:r>
              <w:rPr>
                <w:rFonts w:hint="eastAsia" w:ascii="新宋体" w:hAnsi="新宋体" w:eastAsia="新宋体" w:cs="新宋体"/>
                <w:b w:val="0"/>
                <w:bCs w:val="0"/>
                <w:color w:val="auto"/>
                <w:sz w:val="24"/>
                <w:szCs w:val="24"/>
                <w:highlight w:val="none"/>
                <w:lang w:eastAsia="zh-CN"/>
              </w:rPr>
              <w:t>中国工商银行股份有限公司西宁文汇路支行</w:t>
            </w:r>
          </w:p>
          <w:p w14:paraId="19E8C3AE">
            <w:pPr>
              <w:adjustRightInd w:val="0"/>
              <w:snapToGrid w:val="0"/>
              <w:spacing w:line="360" w:lineRule="auto"/>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rPr>
              <w:t>4.收款账号：</w:t>
            </w:r>
            <w:r>
              <w:rPr>
                <w:rFonts w:hint="eastAsia" w:ascii="新宋体" w:hAnsi="新宋体" w:eastAsia="新宋体" w:cs="新宋体"/>
                <w:b w:val="0"/>
                <w:bCs w:val="0"/>
                <w:color w:val="auto"/>
                <w:sz w:val="24"/>
                <w:szCs w:val="24"/>
                <w:highlight w:val="none"/>
                <w:lang w:eastAsia="zh-CN"/>
              </w:rPr>
              <w:t>2806027909100025994</w:t>
            </w:r>
          </w:p>
          <w:p w14:paraId="674B5258">
            <w:pPr>
              <w:adjustRightInd w:val="0"/>
              <w:snapToGrid w:val="0"/>
              <w:spacing w:line="360" w:lineRule="auto"/>
              <w:rPr>
                <w:rFonts w:hint="eastAsia" w:ascii="新宋体" w:hAnsi="新宋体" w:eastAsia="新宋体" w:cs="新宋体"/>
                <w:b w:val="0"/>
                <w:bCs w:val="0"/>
                <w:color w:val="auto"/>
                <w:sz w:val="24"/>
                <w:szCs w:val="24"/>
                <w:highlight w:val="none"/>
              </w:rPr>
            </w:pPr>
            <w:r>
              <w:rPr>
                <w:rFonts w:hint="eastAsia" w:ascii="新宋体" w:hAnsi="新宋体" w:eastAsia="新宋体" w:cs="新宋体"/>
                <w:b w:val="0"/>
                <w:bCs w:val="0"/>
                <w:color w:val="auto"/>
                <w:sz w:val="24"/>
                <w:szCs w:val="24"/>
                <w:highlight w:val="none"/>
              </w:rPr>
              <w:t>5.交付方式：谈判保证金应当以</w:t>
            </w:r>
            <w:r>
              <w:rPr>
                <w:rFonts w:hint="eastAsia" w:ascii="新宋体" w:hAnsi="新宋体" w:eastAsia="新宋体" w:cs="新宋体"/>
                <w:b/>
                <w:bCs/>
                <w:color w:val="auto"/>
                <w:sz w:val="24"/>
                <w:szCs w:val="24"/>
                <w:highlight w:val="none"/>
              </w:rPr>
              <w:t>转账、支票、本票等</w:t>
            </w:r>
            <w:r>
              <w:rPr>
                <w:rFonts w:hint="eastAsia" w:ascii="新宋体" w:hAnsi="新宋体" w:eastAsia="新宋体" w:cs="新宋体"/>
                <w:b w:val="0"/>
                <w:bCs w:val="0"/>
                <w:color w:val="auto"/>
                <w:sz w:val="24"/>
                <w:szCs w:val="24"/>
                <w:highlight w:val="none"/>
              </w:rPr>
              <w:t>非现金形式提交</w:t>
            </w:r>
            <w:r>
              <w:rPr>
                <w:rFonts w:hint="eastAsia" w:ascii="新宋体" w:hAnsi="新宋体" w:eastAsia="新宋体" w:cs="新宋体"/>
                <w:b w:val="0"/>
                <w:bCs w:val="0"/>
                <w:color w:val="auto"/>
                <w:sz w:val="24"/>
                <w:szCs w:val="24"/>
                <w:highlight w:val="none"/>
                <w:lang w:eastAsia="zh-CN"/>
              </w:rPr>
              <w:t>。</w:t>
            </w:r>
            <w:r>
              <w:rPr>
                <w:rFonts w:hint="eastAsia" w:ascii="新宋体" w:hAnsi="新宋体" w:eastAsia="新宋体" w:cs="新宋体"/>
                <w:b w:val="0"/>
                <w:bCs w:val="0"/>
                <w:color w:val="auto"/>
                <w:sz w:val="24"/>
                <w:szCs w:val="24"/>
                <w:highlight w:val="none"/>
              </w:rPr>
              <w:t>供应商未按照谈判文件要求提交谈判保证金的，谈判无效。</w:t>
            </w:r>
          </w:p>
          <w:p w14:paraId="176A923D">
            <w:pPr>
              <w:adjustRightInd w:val="0"/>
              <w:snapToGrid w:val="0"/>
              <w:spacing w:line="360" w:lineRule="auto"/>
              <w:rPr>
                <w:rFonts w:hint="eastAsia" w:ascii="新宋体" w:hAnsi="新宋体" w:eastAsia="新宋体" w:cs="新宋体"/>
                <w:b w:val="0"/>
                <w:bCs w:val="0"/>
                <w:color w:val="auto"/>
                <w:sz w:val="24"/>
                <w:szCs w:val="24"/>
                <w:highlight w:val="none"/>
              </w:rPr>
            </w:pPr>
            <w:r>
              <w:rPr>
                <w:rFonts w:hint="eastAsia" w:ascii="新宋体" w:hAnsi="新宋体" w:eastAsia="新宋体" w:cs="新宋体"/>
                <w:b w:val="0"/>
                <w:bCs w:val="0"/>
                <w:color w:val="auto"/>
                <w:sz w:val="24"/>
                <w:szCs w:val="24"/>
                <w:highlight w:val="none"/>
              </w:rPr>
              <w:t>6.缴费时间：供应商在响应截止期前，以银行到账时间为准。</w:t>
            </w:r>
          </w:p>
          <w:p w14:paraId="23E86D95">
            <w:pPr>
              <w:adjustRightInd w:val="0"/>
              <w:snapToGrid w:val="0"/>
              <w:spacing w:line="360" w:lineRule="auto"/>
              <w:rPr>
                <w:rFonts w:hint="eastAsia" w:ascii="新宋体" w:hAnsi="新宋体" w:eastAsia="新宋体" w:cs="新宋体"/>
                <w:b w:val="0"/>
                <w:bCs w:val="0"/>
                <w:color w:val="auto"/>
                <w:sz w:val="24"/>
                <w:szCs w:val="24"/>
                <w:highlight w:val="none"/>
              </w:rPr>
            </w:pPr>
            <w:r>
              <w:rPr>
                <w:rFonts w:hint="eastAsia" w:ascii="新宋体" w:hAnsi="新宋体" w:eastAsia="新宋体" w:cs="新宋体"/>
                <w:b w:val="0"/>
                <w:bCs w:val="0"/>
                <w:color w:val="auto"/>
                <w:sz w:val="24"/>
                <w:szCs w:val="24"/>
                <w:highlight w:val="none"/>
              </w:rPr>
              <w:t>【注】供应商在缴纳响应保证金时，务必在“用途栏”中注明项目名称及用途。</w:t>
            </w:r>
          </w:p>
          <w:p w14:paraId="46870607">
            <w:pPr>
              <w:keepNext w:val="0"/>
              <w:keepLines w:val="0"/>
              <w:pageBreakBefore w:val="0"/>
              <w:numPr>
                <w:ilvl w:val="0"/>
                <w:numId w:val="0"/>
              </w:numPr>
              <w:kinsoku/>
              <w:wordWrap/>
              <w:overflowPunct/>
              <w:topLinePunct w:val="0"/>
              <w:bidi w:val="0"/>
              <w:adjustRightInd w:val="0"/>
              <w:snapToGrid w:val="0"/>
              <w:spacing w:line="360" w:lineRule="auto"/>
              <w:textAlignment w:val="auto"/>
              <w:rPr>
                <w:rFonts w:hint="eastAsia" w:ascii="新宋体" w:hAnsi="新宋体" w:eastAsia="新宋体" w:cs="新宋体"/>
                <w:sz w:val="24"/>
                <w:szCs w:val="24"/>
                <w:lang w:val="en-US" w:eastAsia="zh-CN"/>
              </w:rPr>
            </w:pPr>
            <w:r>
              <w:rPr>
                <w:rFonts w:hint="eastAsia" w:ascii="新宋体" w:hAnsi="新宋体" w:eastAsia="新宋体" w:cs="新宋体"/>
                <w:b w:val="0"/>
                <w:bCs w:val="0"/>
                <w:color w:val="auto"/>
                <w:sz w:val="24"/>
                <w:szCs w:val="24"/>
                <w:highlight w:val="none"/>
              </w:rPr>
              <w:t>7.其他注意事项（详见谈判文件）</w:t>
            </w:r>
          </w:p>
        </w:tc>
      </w:tr>
      <w:tr w14:paraId="6A0A7A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32B2EF80">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bCs/>
                <w:sz w:val="24"/>
                <w:szCs w:val="24"/>
              </w:rPr>
              <w:t>响应文件有效期</w:t>
            </w:r>
          </w:p>
        </w:tc>
        <w:tc>
          <w:tcPr>
            <w:tcW w:w="7286" w:type="dxa"/>
            <w:tcBorders>
              <w:tl2br w:val="nil"/>
              <w:tr2bl w:val="nil"/>
            </w:tcBorders>
            <w:vAlign w:val="center"/>
          </w:tcPr>
          <w:p w14:paraId="010A8060">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自谈判提交响应文件截止之日起不少于</w:t>
            </w:r>
            <w:r>
              <w:rPr>
                <w:rFonts w:hint="eastAsia" w:ascii="新宋体" w:hAnsi="新宋体" w:eastAsia="新宋体" w:cs="新宋体"/>
                <w:sz w:val="24"/>
                <w:szCs w:val="24"/>
                <w:u w:val="single"/>
              </w:rPr>
              <w:t>60</w:t>
            </w:r>
            <w:r>
              <w:rPr>
                <w:rFonts w:hint="eastAsia" w:ascii="新宋体" w:hAnsi="新宋体" w:eastAsia="新宋体" w:cs="新宋体"/>
                <w:sz w:val="24"/>
                <w:szCs w:val="24"/>
              </w:rPr>
              <w:t>天</w:t>
            </w:r>
          </w:p>
        </w:tc>
      </w:tr>
      <w:tr w14:paraId="6DFDB4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050BBEAB">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bCs/>
                <w:sz w:val="24"/>
                <w:szCs w:val="24"/>
              </w:rPr>
              <w:t>响应</w:t>
            </w:r>
            <w:r>
              <w:rPr>
                <w:rFonts w:hint="eastAsia" w:ascii="新宋体" w:hAnsi="新宋体" w:eastAsia="新宋体" w:cs="新宋体"/>
                <w:sz w:val="24"/>
                <w:szCs w:val="24"/>
              </w:rPr>
              <w:t>文件份数</w:t>
            </w:r>
          </w:p>
        </w:tc>
        <w:tc>
          <w:tcPr>
            <w:tcW w:w="7286" w:type="dxa"/>
            <w:tcBorders>
              <w:tl2br w:val="nil"/>
              <w:tr2bl w:val="nil"/>
            </w:tcBorders>
            <w:vAlign w:val="center"/>
          </w:tcPr>
          <w:p w14:paraId="0A4BE70E">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color w:val="FF0000"/>
                <w:sz w:val="24"/>
                <w:szCs w:val="24"/>
              </w:rPr>
            </w:pPr>
            <w:r>
              <w:rPr>
                <w:rFonts w:hint="eastAsia" w:ascii="新宋体" w:hAnsi="新宋体" w:eastAsia="新宋体" w:cs="新宋体"/>
                <w:sz w:val="24"/>
                <w:szCs w:val="24"/>
              </w:rPr>
              <w:t>响应文件应在政采云平台上提交，不需提供纸质投标文件。成交供应商在领取成交通知书时需提交响应文件纸质版</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份。提交的纸质版响应文件须与上传的电子响应文件一致。</w:t>
            </w:r>
          </w:p>
        </w:tc>
      </w:tr>
      <w:tr w14:paraId="754009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7B1DA9BE">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bCs/>
                <w:sz w:val="24"/>
                <w:szCs w:val="24"/>
              </w:rPr>
            </w:pPr>
            <w:r>
              <w:rPr>
                <w:rFonts w:hint="eastAsia" w:ascii="新宋体" w:hAnsi="新宋体" w:eastAsia="新宋体" w:cs="新宋体"/>
                <w:sz w:val="24"/>
                <w:szCs w:val="24"/>
              </w:rPr>
              <w:t>响应文件的递交截止时间</w:t>
            </w:r>
          </w:p>
        </w:tc>
        <w:tc>
          <w:tcPr>
            <w:tcW w:w="7286" w:type="dxa"/>
            <w:tcBorders>
              <w:tl2br w:val="nil"/>
              <w:tr2bl w:val="nil"/>
            </w:tcBorders>
            <w:vAlign w:val="center"/>
          </w:tcPr>
          <w:p w14:paraId="293EE3FC">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color w:val="000000"/>
                <w:kern w:val="0"/>
                <w:sz w:val="24"/>
                <w:szCs w:val="24"/>
                <w:lang w:val="zh-CN"/>
              </w:rPr>
            </w:pPr>
            <w:r>
              <w:rPr>
                <w:rFonts w:hint="eastAsia" w:ascii="新宋体" w:hAnsi="新宋体" w:eastAsia="新宋体" w:cs="新宋体"/>
                <w:sz w:val="24"/>
                <w:szCs w:val="24"/>
                <w:u w:val="none"/>
                <w:lang w:eastAsia="zh-CN"/>
              </w:rPr>
              <w:t>202</w:t>
            </w:r>
            <w:r>
              <w:rPr>
                <w:rFonts w:hint="eastAsia" w:ascii="新宋体" w:hAnsi="新宋体" w:eastAsia="新宋体" w:cs="新宋体"/>
                <w:sz w:val="24"/>
                <w:szCs w:val="24"/>
                <w:u w:val="none"/>
                <w:lang w:val="en-US" w:eastAsia="zh-CN"/>
              </w:rPr>
              <w:t>5</w:t>
            </w:r>
            <w:r>
              <w:rPr>
                <w:rFonts w:hint="eastAsia" w:ascii="新宋体" w:hAnsi="新宋体" w:eastAsia="新宋体" w:cs="新宋体"/>
                <w:sz w:val="24"/>
                <w:szCs w:val="24"/>
                <w:u w:val="none"/>
                <w:lang w:eastAsia="zh-CN"/>
              </w:rPr>
              <w:t>年</w:t>
            </w:r>
            <w:r>
              <w:rPr>
                <w:rFonts w:hint="eastAsia" w:ascii="新宋体" w:hAnsi="新宋体" w:eastAsia="新宋体" w:cs="新宋体"/>
                <w:sz w:val="24"/>
                <w:szCs w:val="24"/>
                <w:u w:val="none"/>
                <w:lang w:val="en-US" w:eastAsia="zh-CN"/>
              </w:rPr>
              <w:t>06</w:t>
            </w:r>
            <w:r>
              <w:rPr>
                <w:rFonts w:hint="eastAsia" w:ascii="新宋体" w:hAnsi="新宋体" w:eastAsia="新宋体" w:cs="新宋体"/>
                <w:sz w:val="24"/>
                <w:szCs w:val="24"/>
                <w:u w:val="none"/>
                <w:lang w:eastAsia="zh-CN"/>
              </w:rPr>
              <w:t>月</w:t>
            </w:r>
            <w:r>
              <w:rPr>
                <w:rFonts w:hint="eastAsia" w:ascii="新宋体" w:hAnsi="新宋体" w:eastAsia="新宋体" w:cs="新宋体"/>
                <w:sz w:val="24"/>
                <w:szCs w:val="24"/>
                <w:u w:val="none"/>
                <w:lang w:val="en-US" w:eastAsia="zh-CN"/>
              </w:rPr>
              <w:t>25</w:t>
            </w:r>
            <w:r>
              <w:rPr>
                <w:rFonts w:hint="eastAsia" w:ascii="新宋体" w:hAnsi="新宋体" w:eastAsia="新宋体" w:cs="新宋体"/>
                <w:sz w:val="24"/>
                <w:szCs w:val="24"/>
                <w:u w:val="none"/>
                <w:lang w:eastAsia="zh-CN"/>
              </w:rPr>
              <w:t>日09时</w:t>
            </w:r>
            <w:r>
              <w:rPr>
                <w:rFonts w:hint="eastAsia" w:ascii="新宋体" w:hAnsi="新宋体" w:eastAsia="新宋体" w:cs="新宋体"/>
                <w:sz w:val="24"/>
                <w:szCs w:val="24"/>
                <w:u w:val="none"/>
                <w:lang w:val="en-US" w:eastAsia="zh-CN"/>
              </w:rPr>
              <w:t>0</w:t>
            </w:r>
            <w:r>
              <w:rPr>
                <w:rFonts w:hint="eastAsia" w:ascii="新宋体" w:hAnsi="新宋体" w:eastAsia="新宋体" w:cs="新宋体"/>
                <w:sz w:val="24"/>
                <w:szCs w:val="24"/>
                <w:u w:val="none"/>
                <w:lang w:eastAsia="zh-CN"/>
              </w:rPr>
              <w:t>0分</w:t>
            </w:r>
            <w:r>
              <w:rPr>
                <w:rFonts w:hint="eastAsia" w:ascii="新宋体" w:hAnsi="新宋体" w:eastAsia="新宋体" w:cs="新宋体"/>
                <w:color w:val="000000"/>
                <w:kern w:val="0"/>
                <w:sz w:val="24"/>
                <w:szCs w:val="24"/>
                <w:lang w:val="zh-CN"/>
              </w:rPr>
              <w:t>（采用北京时间</w:t>
            </w:r>
            <w:r>
              <w:rPr>
                <w:rFonts w:hint="eastAsia" w:ascii="新宋体" w:hAnsi="新宋体" w:eastAsia="新宋体" w:cs="新宋体"/>
                <w:color w:val="000000"/>
                <w:kern w:val="0"/>
                <w:sz w:val="24"/>
                <w:szCs w:val="24"/>
              </w:rPr>
              <w:t>24小时制</w:t>
            </w:r>
            <w:r>
              <w:rPr>
                <w:rFonts w:hint="eastAsia" w:ascii="新宋体" w:hAnsi="新宋体" w:eastAsia="新宋体" w:cs="新宋体"/>
                <w:color w:val="000000"/>
                <w:kern w:val="0"/>
                <w:sz w:val="24"/>
                <w:szCs w:val="24"/>
                <w:lang w:val="zh-CN"/>
              </w:rPr>
              <w:t>）</w:t>
            </w:r>
          </w:p>
        </w:tc>
      </w:tr>
      <w:tr w14:paraId="4002AB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121D04BB">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开启时间及</w:t>
            </w:r>
          </w:p>
          <w:p w14:paraId="7CEAB47E">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谈判地点</w:t>
            </w:r>
          </w:p>
        </w:tc>
        <w:tc>
          <w:tcPr>
            <w:tcW w:w="7286" w:type="dxa"/>
            <w:tcBorders>
              <w:tl2br w:val="nil"/>
              <w:tr2bl w:val="nil"/>
            </w:tcBorders>
            <w:vAlign w:val="center"/>
          </w:tcPr>
          <w:p w14:paraId="4272BEAF">
            <w:pPr>
              <w:keepNext w:val="0"/>
              <w:keepLines w:val="0"/>
              <w:pageBreakBefore w:val="0"/>
              <w:tabs>
                <w:tab w:val="left" w:pos="312"/>
              </w:tabs>
              <w:kinsoku/>
              <w:wordWrap/>
              <w:overflowPunct/>
              <w:topLinePunct w:val="0"/>
              <w:bidi w:val="0"/>
              <w:adjustRightInd w:val="0"/>
              <w:snapToGri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1.响应文件开启时间：</w:t>
            </w:r>
            <w:r>
              <w:rPr>
                <w:rFonts w:hint="eastAsia" w:ascii="新宋体" w:hAnsi="新宋体" w:eastAsia="新宋体" w:cs="新宋体"/>
                <w:sz w:val="24"/>
                <w:szCs w:val="24"/>
                <w:u w:val="none"/>
                <w:lang w:eastAsia="zh-CN"/>
              </w:rPr>
              <w:t>202</w:t>
            </w:r>
            <w:r>
              <w:rPr>
                <w:rFonts w:hint="eastAsia" w:ascii="新宋体" w:hAnsi="新宋体" w:eastAsia="新宋体" w:cs="新宋体"/>
                <w:sz w:val="24"/>
                <w:szCs w:val="24"/>
                <w:u w:val="none"/>
                <w:lang w:val="en-US" w:eastAsia="zh-CN"/>
              </w:rPr>
              <w:t>5</w:t>
            </w:r>
            <w:r>
              <w:rPr>
                <w:rFonts w:hint="eastAsia" w:ascii="新宋体" w:hAnsi="新宋体" w:eastAsia="新宋体" w:cs="新宋体"/>
                <w:sz w:val="24"/>
                <w:szCs w:val="24"/>
                <w:u w:val="none"/>
                <w:lang w:eastAsia="zh-CN"/>
              </w:rPr>
              <w:t>年</w:t>
            </w:r>
            <w:r>
              <w:rPr>
                <w:rFonts w:hint="eastAsia" w:ascii="新宋体" w:hAnsi="新宋体" w:eastAsia="新宋体" w:cs="新宋体"/>
                <w:sz w:val="24"/>
                <w:szCs w:val="24"/>
                <w:u w:val="none"/>
                <w:lang w:val="en-US" w:eastAsia="zh-CN"/>
              </w:rPr>
              <w:t>06</w:t>
            </w:r>
            <w:r>
              <w:rPr>
                <w:rFonts w:hint="eastAsia" w:ascii="新宋体" w:hAnsi="新宋体" w:eastAsia="新宋体" w:cs="新宋体"/>
                <w:sz w:val="24"/>
                <w:szCs w:val="24"/>
                <w:u w:val="none"/>
                <w:lang w:eastAsia="zh-CN"/>
              </w:rPr>
              <w:t>月</w:t>
            </w:r>
            <w:r>
              <w:rPr>
                <w:rFonts w:hint="eastAsia" w:ascii="新宋体" w:hAnsi="新宋体" w:eastAsia="新宋体" w:cs="新宋体"/>
                <w:sz w:val="24"/>
                <w:szCs w:val="24"/>
                <w:u w:val="none"/>
                <w:lang w:val="en-US" w:eastAsia="zh-CN"/>
              </w:rPr>
              <w:t>25</w:t>
            </w:r>
            <w:r>
              <w:rPr>
                <w:rFonts w:hint="eastAsia" w:ascii="新宋体" w:hAnsi="新宋体" w:eastAsia="新宋体" w:cs="新宋体"/>
                <w:sz w:val="24"/>
                <w:szCs w:val="24"/>
                <w:u w:val="none"/>
                <w:lang w:eastAsia="zh-CN"/>
              </w:rPr>
              <w:t>日09时</w:t>
            </w:r>
            <w:r>
              <w:rPr>
                <w:rFonts w:hint="eastAsia" w:ascii="新宋体" w:hAnsi="新宋体" w:eastAsia="新宋体" w:cs="新宋体"/>
                <w:sz w:val="24"/>
                <w:szCs w:val="24"/>
                <w:u w:val="none"/>
                <w:lang w:val="en-US" w:eastAsia="zh-CN"/>
              </w:rPr>
              <w:t>0</w:t>
            </w:r>
            <w:r>
              <w:rPr>
                <w:rFonts w:hint="eastAsia" w:ascii="新宋体" w:hAnsi="新宋体" w:eastAsia="新宋体" w:cs="新宋体"/>
                <w:sz w:val="24"/>
                <w:szCs w:val="24"/>
                <w:u w:val="none"/>
                <w:lang w:eastAsia="zh-CN"/>
              </w:rPr>
              <w:t>0分</w:t>
            </w:r>
            <w:r>
              <w:rPr>
                <w:rFonts w:hint="eastAsia" w:ascii="新宋体" w:hAnsi="新宋体" w:eastAsia="新宋体" w:cs="新宋体"/>
                <w:sz w:val="24"/>
                <w:szCs w:val="24"/>
              </w:rPr>
              <w:t>（采用北京时间24小时制），供应商应在响应文件开启时间30分钟内完成远程解密响应文件。</w:t>
            </w:r>
          </w:p>
          <w:p w14:paraId="0A2A22E2">
            <w:pPr>
              <w:keepNext w:val="0"/>
              <w:keepLines w:val="0"/>
              <w:pageBreakBefore w:val="0"/>
              <w:tabs>
                <w:tab w:val="left" w:pos="312"/>
              </w:tabs>
              <w:kinsoku/>
              <w:wordWrap/>
              <w:overflowPunct/>
              <w:topLinePunct w:val="0"/>
              <w:bidi w:val="0"/>
              <w:adjustRightInd w:val="0"/>
              <w:snapToGri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2.谈判地点：在政采云平台（https://www.zcygov.cn/）进行</w:t>
            </w:r>
          </w:p>
          <w:p w14:paraId="5E7D470C">
            <w:pPr>
              <w:keepNext w:val="0"/>
              <w:keepLines w:val="0"/>
              <w:pageBreakBefore w:val="0"/>
              <w:tabs>
                <w:tab w:val="left" w:pos="312"/>
              </w:tabs>
              <w:kinsoku/>
              <w:wordWrap/>
              <w:overflowPunct/>
              <w:topLinePunct w:val="0"/>
              <w:bidi w:val="0"/>
              <w:adjustRightInd w:val="0"/>
              <w:snapToGri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3.响应文件递交截止时间前未完成响应文件传输的，或逾期未完成响应文件解密的，视为撤回响应文件。响应文件递交截止时间后送达的响应文件，采购人应当拒收。</w:t>
            </w:r>
          </w:p>
        </w:tc>
      </w:tr>
      <w:tr w14:paraId="6A7F7D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2161E611">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bCs/>
                <w:sz w:val="24"/>
                <w:szCs w:val="24"/>
              </w:rPr>
            </w:pPr>
            <w:r>
              <w:rPr>
                <w:rFonts w:hint="eastAsia" w:ascii="新宋体" w:hAnsi="新宋体" w:eastAsia="新宋体" w:cs="新宋体"/>
                <w:sz w:val="24"/>
                <w:szCs w:val="24"/>
              </w:rPr>
              <w:t>发布媒介</w:t>
            </w:r>
          </w:p>
        </w:tc>
        <w:tc>
          <w:tcPr>
            <w:tcW w:w="7286" w:type="dxa"/>
            <w:tcBorders>
              <w:tl2br w:val="nil"/>
              <w:tr2bl w:val="nil"/>
            </w:tcBorders>
            <w:vAlign w:val="center"/>
          </w:tcPr>
          <w:p w14:paraId="1CF25975">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sz w:val="24"/>
                <w:szCs w:val="24"/>
                <w:u w:val="single"/>
              </w:rPr>
            </w:pPr>
            <w:r>
              <w:rPr>
                <w:rFonts w:hint="eastAsia" w:ascii="新宋体" w:hAnsi="新宋体" w:eastAsia="新宋体" w:cs="新宋体"/>
                <w:sz w:val="24"/>
                <w:szCs w:val="24"/>
              </w:rPr>
              <w:t>青海政府采购网发布。</w:t>
            </w:r>
          </w:p>
        </w:tc>
      </w:tr>
      <w:tr w14:paraId="6DD015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656D0571">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政策功能</w:t>
            </w:r>
          </w:p>
        </w:tc>
        <w:tc>
          <w:tcPr>
            <w:tcW w:w="7286" w:type="dxa"/>
            <w:tcBorders>
              <w:tl2br w:val="nil"/>
              <w:tr2bl w:val="nil"/>
            </w:tcBorders>
            <w:vAlign w:val="center"/>
          </w:tcPr>
          <w:p w14:paraId="0A0E6DAB">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对于提供节能、环保标志产品，采购人及其委托的采购代理机构应当依据国家确定的认证机构出具的、处于有效期之内的节能产品、环境标志产品认证证书，对获得证书的产品实施政府优先采购或强制采购。对属于小型、微型企业，监狱企业，残疾人福利性单位的供应商，按照国家相关规定给予</w:t>
            </w:r>
            <w:r>
              <w:rPr>
                <w:rFonts w:hint="eastAsia" w:ascii="新宋体" w:hAnsi="新宋体" w:eastAsia="新宋体" w:cs="新宋体"/>
                <w:sz w:val="24"/>
                <w:szCs w:val="24"/>
                <w:u w:val="single"/>
              </w:rPr>
              <w:t>10</w:t>
            </w:r>
            <w:r>
              <w:rPr>
                <w:rFonts w:hint="eastAsia" w:ascii="新宋体" w:hAnsi="新宋体" w:eastAsia="新宋体" w:cs="新宋体"/>
                <w:sz w:val="24"/>
                <w:szCs w:val="24"/>
              </w:rPr>
              <w:t>%的价格扣除。</w:t>
            </w:r>
          </w:p>
        </w:tc>
      </w:tr>
      <w:tr w14:paraId="1A60DA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44922B85">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代理服务费</w:t>
            </w:r>
          </w:p>
        </w:tc>
        <w:tc>
          <w:tcPr>
            <w:tcW w:w="7286" w:type="dxa"/>
            <w:tcBorders>
              <w:tl2br w:val="nil"/>
              <w:tr2bl w:val="nil"/>
            </w:tcBorders>
            <w:vAlign w:val="center"/>
          </w:tcPr>
          <w:p w14:paraId="4ACD660D">
            <w:pPr>
              <w:autoSpaceDE w:val="0"/>
              <w:autoSpaceDN w:val="0"/>
              <w:adjustRightInd w:val="0"/>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rPr>
              <w:t>收取对象：</w:t>
            </w:r>
            <w:r>
              <w:rPr>
                <w:rFonts w:hint="eastAsia" w:eastAsia="宋体" w:cs="宋体"/>
                <w:color w:val="auto"/>
                <w:sz w:val="24"/>
                <w:szCs w:val="24"/>
                <w:lang w:val="en-US" w:eastAsia="zh-CN"/>
              </w:rPr>
              <w:t>成交供应商</w:t>
            </w:r>
          </w:p>
          <w:p w14:paraId="198EA579">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收取方式：按《关于进一步放开建设项目专业服务价格的通知》（发改价格〔2015〕299号）。</w:t>
            </w:r>
          </w:p>
          <w:p w14:paraId="4824E489">
            <w:pPr>
              <w:autoSpaceDE w:val="0"/>
              <w:autoSpaceDN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收取单位：</w:t>
            </w:r>
            <w:r>
              <w:rPr>
                <w:rFonts w:hint="eastAsia" w:cs="宋体"/>
                <w:color w:val="auto"/>
                <w:sz w:val="24"/>
                <w:szCs w:val="24"/>
                <w:lang w:val="zh-CN"/>
              </w:rPr>
              <w:t>青海鹏杰工程项目管理有限公司</w:t>
            </w:r>
          </w:p>
          <w:p w14:paraId="68E10356">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开户银行：</w:t>
            </w:r>
            <w:r>
              <w:rPr>
                <w:rFonts w:hint="eastAsia" w:cs="宋体"/>
                <w:color w:val="auto"/>
                <w:sz w:val="24"/>
                <w:szCs w:val="24"/>
                <w:highlight w:val="none"/>
                <w:lang w:val="zh-CN"/>
              </w:rPr>
              <w:t>中国工商银行股份有限公司西宁文汇路支行</w:t>
            </w:r>
          </w:p>
          <w:p w14:paraId="215D0A71">
            <w:pPr>
              <w:keepNext w:val="0"/>
              <w:keepLines w:val="0"/>
              <w:pageBreakBefore w:val="0"/>
              <w:kinsoku/>
              <w:wordWrap/>
              <w:overflowPunct/>
              <w:topLinePunct w:val="0"/>
              <w:bidi w:val="0"/>
              <w:spacing w:line="360" w:lineRule="auto"/>
              <w:textAlignment w:val="auto"/>
              <w:rPr>
                <w:rFonts w:hint="eastAsia" w:ascii="新宋体" w:hAnsi="新宋体" w:eastAsia="新宋体" w:cs="新宋体"/>
                <w:sz w:val="24"/>
                <w:szCs w:val="24"/>
                <w:u w:val="single"/>
              </w:rPr>
            </w:pPr>
            <w:r>
              <w:rPr>
                <w:rFonts w:hint="eastAsia" w:ascii="宋体" w:hAnsi="宋体" w:eastAsia="宋体" w:cs="宋体"/>
                <w:color w:val="auto"/>
                <w:sz w:val="24"/>
                <w:szCs w:val="24"/>
                <w:lang w:val="zh-CN"/>
              </w:rPr>
              <w:t>代理服务费账号：</w:t>
            </w:r>
            <w:r>
              <w:rPr>
                <w:rFonts w:hint="eastAsia" w:ascii="新宋体" w:hAnsi="新宋体" w:eastAsia="新宋体" w:cs="新宋体"/>
                <w:b w:val="0"/>
                <w:bCs w:val="0"/>
                <w:color w:val="auto"/>
                <w:sz w:val="24"/>
                <w:szCs w:val="24"/>
                <w:highlight w:val="none"/>
                <w:lang w:eastAsia="zh-CN"/>
              </w:rPr>
              <w:t>2806027909100025994</w:t>
            </w:r>
          </w:p>
        </w:tc>
      </w:tr>
      <w:tr w14:paraId="171A91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362BF3C5">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其他规定</w:t>
            </w:r>
          </w:p>
        </w:tc>
        <w:tc>
          <w:tcPr>
            <w:tcW w:w="7286" w:type="dxa"/>
            <w:tcBorders>
              <w:tl2br w:val="nil"/>
              <w:tr2bl w:val="nil"/>
            </w:tcBorders>
            <w:vAlign w:val="center"/>
          </w:tcPr>
          <w:p w14:paraId="68B374C2">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1、本次谈判采用线上提交响应文件的方式进行采购，线上响应文件必须在响应文件递交截止时间前上传平台。</w:t>
            </w:r>
          </w:p>
          <w:p w14:paraId="78383F0C">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2、若供应商对项目采购电子交易系统操作有疑问，可登录政采云（https://www.zcygov.cn/），点击右侧咨询小采，获取采小蜜智能服务管家帮助，或拨打政采云服务热线</w:t>
            </w:r>
            <w:r>
              <w:rPr>
                <w:rFonts w:hint="eastAsia" w:ascii="新宋体" w:hAnsi="新宋体" w:eastAsia="新宋体" w:cs="新宋体"/>
                <w:sz w:val="24"/>
                <w:szCs w:val="24"/>
                <w:lang w:eastAsia="zh-CN"/>
              </w:rPr>
              <w:t>95763</w:t>
            </w:r>
            <w:r>
              <w:rPr>
                <w:rFonts w:hint="eastAsia" w:ascii="新宋体" w:hAnsi="新宋体" w:eastAsia="新宋体" w:cs="新宋体"/>
                <w:sz w:val="24"/>
                <w:szCs w:val="24"/>
              </w:rPr>
              <w:t xml:space="preserve">获取热线服务帮助；CA问题联系电话（人工）：天谷CA </w:t>
            </w:r>
            <w:r>
              <w:rPr>
                <w:rFonts w:hint="eastAsia" w:ascii="宋体" w:hAnsi="宋体" w:cs="宋体"/>
                <w:bCs/>
                <w:color w:val="auto"/>
                <w:sz w:val="24"/>
                <w:szCs w:val="24"/>
                <w:highlight w:val="none"/>
                <w:lang w:val="zh-CN"/>
              </w:rPr>
              <w:t>400-0878-198</w:t>
            </w:r>
            <w:r>
              <w:rPr>
                <w:rFonts w:hint="eastAsia" w:ascii="新宋体" w:hAnsi="新宋体" w:eastAsia="新宋体" w:cs="新宋体"/>
                <w:sz w:val="24"/>
                <w:szCs w:val="24"/>
              </w:rPr>
              <w:t>。</w:t>
            </w:r>
          </w:p>
          <w:p w14:paraId="3E36BA7D">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3、供应商解密和谈判报价时必须由e签宝注册人办理，谈判报价时须在固定电脑设备前登陆等待解密和谈判报价</w:t>
            </w:r>
            <w:r>
              <w:rPr>
                <w:rFonts w:hint="eastAsia" w:ascii="新宋体" w:hAnsi="新宋体" w:eastAsia="新宋体" w:cs="新宋体"/>
                <w:sz w:val="24"/>
                <w:szCs w:val="24"/>
                <w:lang w:eastAsia="zh-CN"/>
              </w:rPr>
              <w:t>，谈判供应商须在规定的时间内完成，如超时，则视为无效谈判。  </w:t>
            </w:r>
          </w:p>
        </w:tc>
      </w:tr>
      <w:tr w14:paraId="3007D3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409" w:type="dxa"/>
            <w:tcBorders>
              <w:tl2br w:val="nil"/>
              <w:tr2bl w:val="nil"/>
            </w:tcBorders>
            <w:vAlign w:val="center"/>
          </w:tcPr>
          <w:p w14:paraId="3818B3A0">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监管部门及电话</w:t>
            </w:r>
          </w:p>
        </w:tc>
        <w:tc>
          <w:tcPr>
            <w:tcW w:w="7286" w:type="dxa"/>
            <w:tcBorders>
              <w:tl2br w:val="nil"/>
              <w:tr2bl w:val="nil"/>
            </w:tcBorders>
            <w:vAlign w:val="center"/>
          </w:tcPr>
          <w:p w14:paraId="26D042E7">
            <w:pPr>
              <w:adjustRightInd w:val="0"/>
              <w:snapToGrid w:val="0"/>
              <w:spacing w:line="360" w:lineRule="auto"/>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lang w:val="zh-CN"/>
              </w:rPr>
              <w:t>监督单位：</w:t>
            </w:r>
            <w:r>
              <w:rPr>
                <w:rFonts w:hint="eastAsia" w:ascii="新宋体" w:hAnsi="新宋体" w:eastAsia="新宋体" w:cs="新宋体"/>
                <w:b w:val="0"/>
                <w:bCs w:val="0"/>
                <w:color w:val="auto"/>
                <w:sz w:val="24"/>
                <w:szCs w:val="24"/>
                <w:highlight w:val="none"/>
                <w:lang w:val="zh-CN" w:eastAsia="zh-CN"/>
              </w:rPr>
              <w:t>玉树藏族自治州财政局</w:t>
            </w:r>
          </w:p>
          <w:p w14:paraId="73179918">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sz w:val="24"/>
                <w:szCs w:val="24"/>
                <w:u w:val="single"/>
              </w:rPr>
            </w:pPr>
            <w:r>
              <w:rPr>
                <w:rFonts w:hint="eastAsia" w:ascii="新宋体" w:hAnsi="新宋体" w:eastAsia="新宋体" w:cs="新宋体"/>
                <w:b w:val="0"/>
                <w:bCs w:val="0"/>
                <w:color w:val="auto"/>
                <w:sz w:val="24"/>
                <w:szCs w:val="24"/>
                <w:highlight w:val="none"/>
                <w:lang w:val="zh-CN"/>
              </w:rPr>
              <w:t>联系电话：</w:t>
            </w:r>
            <w:r>
              <w:rPr>
                <w:rFonts w:hint="eastAsia" w:ascii="新宋体" w:hAnsi="新宋体" w:eastAsia="新宋体" w:cs="新宋体"/>
                <w:b w:val="0"/>
                <w:bCs w:val="0"/>
                <w:color w:val="auto"/>
                <w:sz w:val="24"/>
                <w:szCs w:val="24"/>
                <w:highlight w:val="none"/>
                <w:lang w:val="zh-CN" w:eastAsia="zh-CN"/>
              </w:rPr>
              <w:t>0976-8830733</w:t>
            </w:r>
            <w:r>
              <w:rPr>
                <w:rFonts w:hint="eastAsia" w:ascii="新宋体" w:hAnsi="新宋体" w:eastAsia="新宋体" w:cs="新宋体"/>
                <w:b w:val="0"/>
                <w:bCs w:val="0"/>
                <w:color w:val="auto"/>
                <w:sz w:val="24"/>
                <w:szCs w:val="24"/>
                <w:highlight w:val="none"/>
              </w:rPr>
              <w:t xml:space="preserve">    </w:t>
            </w:r>
          </w:p>
        </w:tc>
      </w:tr>
    </w:tbl>
    <w:p w14:paraId="677318D9"/>
    <w:p w14:paraId="7D3896CC">
      <w:pPr>
        <w:keepNext w:val="0"/>
        <w:keepLines w:val="0"/>
        <w:pageBreakBefore w:val="0"/>
        <w:widowControl/>
        <w:kinsoku/>
        <w:wordWrap/>
        <w:overflowPunct/>
        <w:topLinePunct w:val="0"/>
        <w:bidi w:val="0"/>
        <w:spacing w:line="360" w:lineRule="auto"/>
        <w:jc w:val="right"/>
        <w:textAlignment w:val="auto"/>
        <w:rPr>
          <w:rFonts w:hint="default" w:ascii="华文中宋" w:hAnsi="华文中宋" w:eastAsia="华文中宋"/>
          <w:sz w:val="44"/>
          <w:szCs w:val="44"/>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06</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18</w:t>
      </w:r>
      <w:r>
        <w:rPr>
          <w:rFonts w:hint="eastAsia" w:ascii="宋体" w:hAnsi="宋体" w:eastAsia="宋体" w:cs="宋体"/>
          <w:sz w:val="24"/>
          <w:szCs w:val="24"/>
          <w:lang w:val="en-US" w:eastAsia="zh-CN"/>
        </w:rPr>
        <w:t>日</w:t>
      </w:r>
    </w:p>
    <w:p w14:paraId="2420A093">
      <w:pPr>
        <w:rPr>
          <w:rFonts w:hint="eastAsia" w:ascii="新宋体" w:hAnsi="新宋体" w:eastAsia="新宋体" w:cs="新宋体"/>
          <w:sz w:val="36"/>
          <w:szCs w:val="36"/>
        </w:rPr>
      </w:pPr>
      <w:bookmarkStart w:id="15" w:name="_Toc110437558"/>
      <w:bookmarkStart w:id="16" w:name="_Toc872"/>
      <w:r>
        <w:rPr>
          <w:rFonts w:hint="eastAsia" w:ascii="新宋体" w:hAnsi="新宋体" w:eastAsia="新宋体" w:cs="新宋体"/>
          <w:sz w:val="36"/>
          <w:szCs w:val="36"/>
        </w:rPr>
        <w:br w:type="page"/>
      </w:r>
    </w:p>
    <w:p w14:paraId="0D0BB3F8">
      <w:pPr>
        <w:spacing w:after="120" w:afterLines="50" w:line="360" w:lineRule="auto"/>
        <w:jc w:val="center"/>
        <w:outlineLvl w:val="0"/>
        <w:rPr>
          <w:rFonts w:hint="eastAsia" w:ascii="新宋体" w:hAnsi="新宋体" w:eastAsia="新宋体" w:cs="新宋体"/>
          <w:sz w:val="36"/>
          <w:szCs w:val="36"/>
        </w:rPr>
      </w:pPr>
      <w:r>
        <w:rPr>
          <w:rFonts w:hint="eastAsia" w:ascii="新宋体" w:hAnsi="新宋体" w:eastAsia="新宋体" w:cs="新宋体"/>
          <w:sz w:val="36"/>
          <w:szCs w:val="36"/>
        </w:rPr>
        <w:t>第二部分  谈判须知</w:t>
      </w:r>
      <w:bookmarkEnd w:id="4"/>
      <w:bookmarkEnd w:id="5"/>
      <w:bookmarkEnd w:id="6"/>
      <w:bookmarkEnd w:id="7"/>
      <w:bookmarkEnd w:id="8"/>
      <w:bookmarkEnd w:id="9"/>
      <w:bookmarkEnd w:id="10"/>
      <w:bookmarkEnd w:id="11"/>
      <w:bookmarkEnd w:id="12"/>
      <w:bookmarkEnd w:id="15"/>
      <w:bookmarkEnd w:id="16"/>
      <w:bookmarkStart w:id="17" w:name="_Toc9336"/>
      <w:bookmarkStart w:id="18" w:name="_Toc27795"/>
      <w:bookmarkStart w:id="19" w:name="_Toc17019_WPSOffice_Level2"/>
      <w:bookmarkStart w:id="20" w:name="_Toc29348_WPSOffice_Level2"/>
      <w:bookmarkStart w:id="21" w:name="_Toc16562"/>
      <w:bookmarkStart w:id="22" w:name="_Toc7063_WPSOffice_Level2"/>
      <w:bookmarkStart w:id="23" w:name="_Toc34637765"/>
    </w:p>
    <w:p w14:paraId="60DDFF3F">
      <w:pPr>
        <w:adjustRightInd w:val="0"/>
        <w:snapToGrid w:val="0"/>
        <w:spacing w:before="240" w:beforeLines="100" w:after="120" w:afterLines="50" w:line="360" w:lineRule="auto"/>
        <w:jc w:val="center"/>
        <w:outlineLvl w:val="1"/>
        <w:rPr>
          <w:rFonts w:hint="eastAsia" w:ascii="新宋体" w:hAnsi="新宋体" w:eastAsia="新宋体" w:cs="新宋体"/>
          <w:sz w:val="30"/>
          <w:szCs w:val="30"/>
        </w:rPr>
      </w:pPr>
      <w:bookmarkStart w:id="24" w:name="_Toc110437559"/>
      <w:bookmarkStart w:id="25" w:name="_Toc11089"/>
      <w:r>
        <w:rPr>
          <w:rFonts w:hint="eastAsia" w:ascii="新宋体" w:hAnsi="新宋体" w:eastAsia="新宋体" w:cs="新宋体"/>
          <w:sz w:val="30"/>
          <w:szCs w:val="30"/>
        </w:rPr>
        <w:t>一、说明</w:t>
      </w:r>
      <w:bookmarkEnd w:id="17"/>
      <w:bookmarkEnd w:id="18"/>
      <w:bookmarkEnd w:id="19"/>
      <w:bookmarkEnd w:id="20"/>
      <w:bookmarkEnd w:id="21"/>
      <w:bookmarkEnd w:id="22"/>
      <w:bookmarkEnd w:id="23"/>
      <w:bookmarkEnd w:id="24"/>
      <w:bookmarkEnd w:id="25"/>
    </w:p>
    <w:p w14:paraId="73AB351E">
      <w:pPr>
        <w:spacing w:before="120" w:beforeLines="50" w:after="120" w:afterLines="50" w:line="360" w:lineRule="auto"/>
        <w:outlineLvl w:val="2"/>
        <w:rPr>
          <w:rFonts w:hint="eastAsia" w:ascii="新宋体" w:hAnsi="新宋体" w:eastAsia="新宋体" w:cs="新宋体"/>
          <w:sz w:val="24"/>
          <w:szCs w:val="24"/>
        </w:rPr>
      </w:pPr>
      <w:bookmarkStart w:id="26" w:name="_Toc29026"/>
      <w:bookmarkStart w:id="27" w:name="_Toc13645"/>
      <w:bookmarkStart w:id="28" w:name="_Toc11775_WPSOffice_Level3"/>
      <w:bookmarkStart w:id="29" w:name="_Toc7063_WPSOffice_Level3"/>
      <w:bookmarkStart w:id="30" w:name="_Toc110437560"/>
      <w:r>
        <w:rPr>
          <w:rFonts w:hint="eastAsia" w:ascii="新宋体" w:hAnsi="新宋体" w:eastAsia="新宋体" w:cs="新宋体"/>
          <w:sz w:val="24"/>
          <w:szCs w:val="24"/>
        </w:rPr>
        <w:t>1.适用范围</w:t>
      </w:r>
      <w:bookmarkEnd w:id="26"/>
      <w:bookmarkEnd w:id="27"/>
      <w:bookmarkEnd w:id="28"/>
      <w:bookmarkEnd w:id="29"/>
      <w:bookmarkEnd w:id="30"/>
    </w:p>
    <w:p w14:paraId="1F7B6B14">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1.1本竞争性谈判文件仅适用于前述</w:t>
      </w:r>
      <w:r>
        <w:rPr>
          <w:rFonts w:hint="eastAsia" w:ascii="新宋体" w:hAnsi="新宋体" w:eastAsia="新宋体" w:cs="新宋体"/>
          <w:b/>
          <w:sz w:val="24"/>
          <w:szCs w:val="24"/>
        </w:rPr>
        <w:t>【谈判须知前附表】</w:t>
      </w:r>
      <w:r>
        <w:rPr>
          <w:rFonts w:hint="eastAsia" w:ascii="新宋体" w:hAnsi="新宋体" w:eastAsia="新宋体" w:cs="新宋体"/>
          <w:sz w:val="24"/>
          <w:szCs w:val="24"/>
        </w:rPr>
        <w:t>中所叙述的采购项目。</w:t>
      </w:r>
    </w:p>
    <w:p w14:paraId="35B4C0EC">
      <w:pPr>
        <w:spacing w:before="120" w:beforeLines="50" w:after="120" w:afterLines="50" w:line="360" w:lineRule="auto"/>
        <w:outlineLvl w:val="2"/>
        <w:rPr>
          <w:rFonts w:hint="eastAsia" w:ascii="新宋体" w:hAnsi="新宋体" w:eastAsia="新宋体" w:cs="新宋体"/>
          <w:sz w:val="24"/>
          <w:szCs w:val="24"/>
        </w:rPr>
      </w:pPr>
      <w:bookmarkStart w:id="31" w:name="_Toc110437561"/>
      <w:bookmarkStart w:id="32" w:name="_Toc15754_WPSOffice_Level3"/>
      <w:bookmarkStart w:id="33" w:name="_Toc2404_WPSOffice_Level3"/>
      <w:bookmarkStart w:id="34" w:name="_Toc12080"/>
      <w:bookmarkStart w:id="35" w:name="_Toc1646"/>
      <w:r>
        <w:rPr>
          <w:rFonts w:hint="eastAsia" w:ascii="新宋体" w:hAnsi="新宋体" w:eastAsia="新宋体" w:cs="新宋体"/>
          <w:sz w:val="24"/>
          <w:szCs w:val="24"/>
        </w:rPr>
        <w:t>2.采购人及代理机构</w:t>
      </w:r>
      <w:bookmarkEnd w:id="31"/>
      <w:bookmarkEnd w:id="32"/>
      <w:bookmarkEnd w:id="33"/>
      <w:bookmarkEnd w:id="34"/>
      <w:bookmarkEnd w:id="35"/>
    </w:p>
    <w:p w14:paraId="394E803A">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2.1采购人名称、地址、电话、联系人见【谈判须知前附表】。</w:t>
      </w:r>
    </w:p>
    <w:p w14:paraId="7787AA6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2.2采购代理机构名称、地址、电话、联系人、邮箱见【谈判须知前附表】。</w:t>
      </w:r>
    </w:p>
    <w:p w14:paraId="4B4640A9">
      <w:pPr>
        <w:spacing w:before="120" w:beforeLines="50" w:after="120" w:afterLines="50" w:line="360" w:lineRule="auto"/>
        <w:outlineLvl w:val="2"/>
        <w:rPr>
          <w:rFonts w:hint="eastAsia" w:ascii="新宋体" w:hAnsi="新宋体" w:eastAsia="新宋体" w:cs="新宋体"/>
          <w:sz w:val="24"/>
          <w:szCs w:val="24"/>
        </w:rPr>
      </w:pPr>
      <w:bookmarkStart w:id="36" w:name="_Toc110437562"/>
      <w:bookmarkStart w:id="37" w:name="_Toc955_WPSOffice_Level3"/>
      <w:bookmarkStart w:id="38" w:name="_Toc8089_WPSOffice_Level3"/>
      <w:bookmarkStart w:id="39" w:name="_Toc31395"/>
      <w:bookmarkStart w:id="40" w:name="_Toc21695"/>
      <w:r>
        <w:rPr>
          <w:rFonts w:hint="eastAsia" w:ascii="新宋体" w:hAnsi="新宋体" w:eastAsia="新宋体" w:cs="新宋体"/>
          <w:sz w:val="24"/>
          <w:szCs w:val="24"/>
        </w:rPr>
        <w:t>3.供应商的资格要求</w:t>
      </w:r>
      <w:bookmarkEnd w:id="36"/>
      <w:bookmarkEnd w:id="37"/>
      <w:bookmarkEnd w:id="38"/>
      <w:bookmarkEnd w:id="39"/>
      <w:bookmarkEnd w:id="40"/>
    </w:p>
    <w:p w14:paraId="257D992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3.1供应商是指响应谈判文件要求、参加竞争性谈判采购的法人、其他组织或者自然人。</w:t>
      </w:r>
    </w:p>
    <w:p w14:paraId="09FAA4E7">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3.2供应商应当符合【谈判须知前附表】规定的供应商资格条件。</w:t>
      </w:r>
    </w:p>
    <w:p w14:paraId="71555BAD">
      <w:pPr>
        <w:spacing w:before="120" w:beforeLines="50" w:after="120" w:afterLines="50" w:line="360" w:lineRule="auto"/>
        <w:outlineLvl w:val="2"/>
        <w:rPr>
          <w:rFonts w:hint="eastAsia" w:ascii="新宋体" w:hAnsi="新宋体" w:eastAsia="新宋体" w:cs="新宋体"/>
          <w:sz w:val="24"/>
          <w:szCs w:val="24"/>
        </w:rPr>
      </w:pPr>
      <w:bookmarkStart w:id="41" w:name="_Toc29322_WPSOffice_Level3"/>
      <w:bookmarkStart w:id="42" w:name="_Toc18921"/>
      <w:bookmarkStart w:id="43" w:name="_Toc15386"/>
      <w:bookmarkStart w:id="44" w:name="_Toc110437563"/>
      <w:bookmarkStart w:id="45" w:name="_Toc24112_WPSOffice_Level3"/>
      <w:r>
        <w:rPr>
          <w:rFonts w:hint="eastAsia" w:ascii="新宋体" w:hAnsi="新宋体" w:eastAsia="新宋体" w:cs="新宋体"/>
          <w:sz w:val="24"/>
          <w:szCs w:val="24"/>
        </w:rPr>
        <w:t>4.谈判费用</w:t>
      </w:r>
      <w:bookmarkEnd w:id="41"/>
      <w:bookmarkEnd w:id="42"/>
      <w:bookmarkEnd w:id="43"/>
      <w:bookmarkEnd w:id="44"/>
      <w:bookmarkEnd w:id="45"/>
      <w:r>
        <w:rPr>
          <w:rFonts w:hint="eastAsia" w:ascii="新宋体" w:hAnsi="新宋体" w:eastAsia="新宋体" w:cs="新宋体"/>
          <w:sz w:val="24"/>
          <w:szCs w:val="24"/>
        </w:rPr>
        <w:t xml:space="preserve"> </w:t>
      </w:r>
    </w:p>
    <w:p w14:paraId="6ED7DD7E">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无论谈判的结果如何，供应商应自行承担所有与竞争性谈判采购活动有关的全部费用。</w:t>
      </w:r>
    </w:p>
    <w:p w14:paraId="2FDFC817">
      <w:pPr>
        <w:adjustRightInd w:val="0"/>
        <w:snapToGrid w:val="0"/>
        <w:spacing w:before="240" w:beforeLines="100" w:after="120" w:afterLines="50" w:line="360" w:lineRule="auto"/>
        <w:jc w:val="center"/>
        <w:outlineLvl w:val="1"/>
        <w:rPr>
          <w:rFonts w:hint="eastAsia" w:ascii="新宋体" w:hAnsi="新宋体" w:eastAsia="新宋体" w:cs="新宋体"/>
          <w:sz w:val="30"/>
          <w:szCs w:val="30"/>
        </w:rPr>
      </w:pPr>
      <w:bookmarkStart w:id="46" w:name="_Toc24182"/>
      <w:bookmarkStart w:id="47" w:name="_Toc4912_WPSOffice_Level2"/>
      <w:bookmarkStart w:id="48" w:name="_Toc19928"/>
      <w:bookmarkStart w:id="49" w:name="_Toc24356"/>
      <w:bookmarkStart w:id="50" w:name="_Toc34637766"/>
      <w:bookmarkStart w:id="51" w:name="_Toc19663_WPSOffice_Level2"/>
      <w:bookmarkStart w:id="52" w:name="_Toc28758"/>
      <w:bookmarkStart w:id="53" w:name="_Toc110437564"/>
      <w:bookmarkStart w:id="54" w:name="_Toc2404_WPSOffice_Level2"/>
      <w:r>
        <w:rPr>
          <w:rFonts w:hint="eastAsia" w:ascii="新宋体" w:hAnsi="新宋体" w:eastAsia="新宋体" w:cs="新宋体"/>
          <w:sz w:val="30"/>
          <w:szCs w:val="30"/>
        </w:rPr>
        <w:t>二、谈判文件</w:t>
      </w:r>
      <w:bookmarkEnd w:id="46"/>
      <w:bookmarkEnd w:id="47"/>
      <w:bookmarkEnd w:id="48"/>
      <w:bookmarkEnd w:id="49"/>
      <w:bookmarkEnd w:id="50"/>
      <w:bookmarkEnd w:id="51"/>
      <w:bookmarkEnd w:id="52"/>
      <w:bookmarkEnd w:id="53"/>
      <w:bookmarkEnd w:id="54"/>
    </w:p>
    <w:p w14:paraId="2C25170B">
      <w:pPr>
        <w:spacing w:before="120" w:beforeLines="50" w:after="120" w:afterLines="50" w:line="360" w:lineRule="auto"/>
        <w:outlineLvl w:val="2"/>
        <w:rPr>
          <w:rFonts w:hint="eastAsia" w:ascii="新宋体" w:hAnsi="新宋体" w:eastAsia="新宋体" w:cs="新宋体"/>
          <w:sz w:val="24"/>
          <w:szCs w:val="24"/>
        </w:rPr>
      </w:pPr>
      <w:bookmarkStart w:id="55" w:name="_Toc14464"/>
      <w:bookmarkStart w:id="56" w:name="_Toc29785_WPSOffice_Level3"/>
      <w:bookmarkStart w:id="57" w:name="_Toc110437565"/>
      <w:bookmarkStart w:id="58" w:name="_Toc18786_WPSOffice_Level3"/>
      <w:bookmarkStart w:id="59" w:name="_Toc1826"/>
      <w:r>
        <w:rPr>
          <w:rFonts w:hint="eastAsia" w:ascii="新宋体" w:hAnsi="新宋体" w:eastAsia="新宋体" w:cs="新宋体"/>
          <w:sz w:val="24"/>
          <w:szCs w:val="24"/>
        </w:rPr>
        <w:t>5.谈判文件的组成</w:t>
      </w:r>
      <w:bookmarkEnd w:id="55"/>
      <w:bookmarkEnd w:id="56"/>
      <w:bookmarkEnd w:id="57"/>
      <w:bookmarkEnd w:id="58"/>
      <w:bookmarkEnd w:id="59"/>
    </w:p>
    <w:p w14:paraId="0338BCEF">
      <w:pPr>
        <w:pStyle w:val="20"/>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5.1谈判文件由下列文件组成：</w:t>
      </w:r>
    </w:p>
    <w:p w14:paraId="72435633">
      <w:pPr>
        <w:pStyle w:val="20"/>
        <w:numPr>
          <w:ilvl w:val="0"/>
          <w:numId w:val="1"/>
        </w:num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谈判须知前附表</w:t>
      </w:r>
    </w:p>
    <w:p w14:paraId="51245DC0">
      <w:pPr>
        <w:pStyle w:val="20"/>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（2）谈判须知</w:t>
      </w:r>
    </w:p>
    <w:p w14:paraId="4F80074B">
      <w:pPr>
        <w:pStyle w:val="20"/>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（3）采购需求</w:t>
      </w:r>
    </w:p>
    <w:p w14:paraId="7CAF65CF">
      <w:pPr>
        <w:pStyle w:val="20"/>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（4）谈判响应文件格式</w:t>
      </w:r>
    </w:p>
    <w:p w14:paraId="37A7E240">
      <w:pPr>
        <w:pStyle w:val="20"/>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（5）政府采购项目合同书范本</w:t>
      </w:r>
    </w:p>
    <w:p w14:paraId="3A4D5D2E">
      <w:pPr>
        <w:pStyle w:val="20"/>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5.2采购人、采购代理机构或者谈判小组在提交首次响应文件截止之日前对已发出的谈判文件进行的澄清或者修改，构成谈判文件的组成部分。</w:t>
      </w:r>
    </w:p>
    <w:p w14:paraId="17C2F088">
      <w:pPr>
        <w:pStyle w:val="20"/>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5.3谈判文件中，谈判小组根据与供应商谈判情况可能实质性变动的内容见【谈判须知前附表】。对谈判文件作出的实质性变动是谈判文件的有效组成部分。</w:t>
      </w:r>
    </w:p>
    <w:p w14:paraId="6840CCDD">
      <w:pPr>
        <w:spacing w:before="120" w:beforeLines="50" w:after="120" w:afterLines="50" w:line="360" w:lineRule="auto"/>
        <w:outlineLvl w:val="2"/>
        <w:rPr>
          <w:rFonts w:hint="eastAsia" w:ascii="新宋体" w:hAnsi="新宋体" w:eastAsia="新宋体" w:cs="新宋体"/>
          <w:sz w:val="24"/>
          <w:szCs w:val="24"/>
        </w:rPr>
      </w:pPr>
      <w:bookmarkStart w:id="60" w:name="_Toc18056"/>
      <w:bookmarkStart w:id="61" w:name="_Toc110437566"/>
      <w:bookmarkStart w:id="62" w:name="_Toc25455_WPSOffice_Level3"/>
      <w:bookmarkStart w:id="63" w:name="_Toc1317"/>
      <w:bookmarkStart w:id="64" w:name="_Toc31604_WPSOffice_Level3"/>
      <w:r>
        <w:rPr>
          <w:rFonts w:hint="eastAsia" w:ascii="新宋体" w:hAnsi="新宋体" w:eastAsia="新宋体" w:cs="新宋体"/>
          <w:sz w:val="24"/>
          <w:szCs w:val="24"/>
        </w:rPr>
        <w:t>6.谈判文件的澄清或者修改</w:t>
      </w:r>
      <w:bookmarkEnd w:id="60"/>
      <w:bookmarkEnd w:id="61"/>
      <w:bookmarkEnd w:id="62"/>
      <w:bookmarkEnd w:id="63"/>
      <w:bookmarkEnd w:id="64"/>
    </w:p>
    <w:p w14:paraId="1DDA7AEE">
      <w:pPr>
        <w:pStyle w:val="20"/>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6.1在提交首次响应文件截止之日前，采购人、采购代理机构或者谈判小组可以对已发出的谈判文件进行必要的澄清或者修改。</w:t>
      </w:r>
    </w:p>
    <w:p w14:paraId="7937EFD2">
      <w:pPr>
        <w:pStyle w:val="20"/>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14:paraId="3C8BAC0A">
      <w:pPr>
        <w:spacing w:before="120" w:beforeLines="50" w:after="120" w:afterLines="50" w:line="360" w:lineRule="auto"/>
        <w:outlineLvl w:val="2"/>
        <w:rPr>
          <w:rFonts w:hint="eastAsia" w:ascii="新宋体" w:hAnsi="新宋体" w:eastAsia="新宋体" w:cs="新宋体"/>
          <w:sz w:val="24"/>
          <w:szCs w:val="24"/>
        </w:rPr>
      </w:pPr>
      <w:bookmarkStart w:id="65" w:name="_Toc25126"/>
      <w:bookmarkStart w:id="66" w:name="_Toc30"/>
      <w:bookmarkStart w:id="67" w:name="_Toc110437567"/>
      <w:bookmarkStart w:id="68" w:name="_Toc4138_WPSOffice_Level3"/>
      <w:bookmarkStart w:id="69" w:name="_Toc27004"/>
      <w:bookmarkStart w:id="70" w:name="_Toc6866_WPSOffice_Level3"/>
      <w:bookmarkStart w:id="71" w:name="_Toc34637767"/>
      <w:r>
        <w:rPr>
          <w:rFonts w:hint="eastAsia" w:ascii="新宋体" w:hAnsi="新宋体" w:eastAsia="新宋体" w:cs="新宋体"/>
          <w:sz w:val="24"/>
          <w:szCs w:val="24"/>
        </w:rPr>
        <w:t>7.谈判文件的询问或质疑</w:t>
      </w:r>
      <w:bookmarkEnd w:id="65"/>
      <w:bookmarkEnd w:id="66"/>
      <w:bookmarkEnd w:id="67"/>
      <w:bookmarkEnd w:id="68"/>
      <w:bookmarkEnd w:id="69"/>
      <w:bookmarkEnd w:id="70"/>
    </w:p>
    <w:p w14:paraId="1AB4113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7.1供应商对谈判文件有疑问的，可以向采购人、采购代理机构提出询问。</w:t>
      </w:r>
    </w:p>
    <w:p w14:paraId="09718D84">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14:paraId="4B2461E4">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7.3供应商认为谈判文件使自己的权益受到损害的，应以书面形式提出质疑（不接受匿名质疑），供应商须在法定质疑期内一次性提出针对同一采购程序环节的质疑。</w:t>
      </w:r>
    </w:p>
    <w:p w14:paraId="193E6F3D">
      <w:pPr>
        <w:adjustRightInd w:val="0"/>
        <w:snapToGrid w:val="0"/>
        <w:spacing w:before="240" w:beforeLines="100" w:after="120" w:afterLines="50" w:line="360" w:lineRule="auto"/>
        <w:jc w:val="center"/>
        <w:outlineLvl w:val="1"/>
        <w:rPr>
          <w:rFonts w:hint="eastAsia" w:ascii="新宋体" w:hAnsi="新宋体" w:eastAsia="新宋体" w:cs="新宋体"/>
          <w:sz w:val="30"/>
          <w:szCs w:val="30"/>
        </w:rPr>
      </w:pPr>
      <w:bookmarkStart w:id="72" w:name="_Toc23235_WPSOffice_Level2"/>
      <w:bookmarkStart w:id="73" w:name="_Toc15407"/>
      <w:bookmarkStart w:id="74" w:name="_Toc28815"/>
      <w:bookmarkStart w:id="75" w:name="_Toc5732_WPSOffice_Level2"/>
      <w:bookmarkStart w:id="76" w:name="_Toc110437568"/>
      <w:bookmarkStart w:id="77" w:name="_Toc955_WPSOffice_Level2"/>
      <w:bookmarkStart w:id="78" w:name="_Toc16902"/>
      <w:r>
        <w:rPr>
          <w:rFonts w:hint="eastAsia" w:ascii="新宋体" w:hAnsi="新宋体" w:eastAsia="新宋体" w:cs="新宋体"/>
          <w:sz w:val="30"/>
          <w:szCs w:val="30"/>
        </w:rPr>
        <w:t>三、响应文件</w:t>
      </w:r>
      <w:bookmarkEnd w:id="71"/>
      <w:bookmarkEnd w:id="72"/>
      <w:bookmarkEnd w:id="73"/>
      <w:bookmarkEnd w:id="74"/>
      <w:bookmarkEnd w:id="75"/>
      <w:bookmarkEnd w:id="76"/>
      <w:bookmarkEnd w:id="77"/>
      <w:bookmarkEnd w:id="78"/>
    </w:p>
    <w:p w14:paraId="1C1B0DEB">
      <w:pPr>
        <w:spacing w:before="120" w:beforeLines="50" w:after="120" w:afterLines="50" w:line="360" w:lineRule="auto"/>
        <w:outlineLvl w:val="2"/>
        <w:rPr>
          <w:rFonts w:hint="eastAsia" w:ascii="新宋体" w:hAnsi="新宋体" w:eastAsia="新宋体" w:cs="新宋体"/>
          <w:sz w:val="24"/>
          <w:szCs w:val="24"/>
        </w:rPr>
      </w:pPr>
      <w:bookmarkStart w:id="79" w:name="_Toc10843_WPSOffice_Level3"/>
      <w:bookmarkStart w:id="80" w:name="_Toc1096_WPSOffice_Level3"/>
      <w:bookmarkStart w:id="81" w:name="_Toc2475"/>
      <w:bookmarkStart w:id="82" w:name="_Toc17983"/>
      <w:bookmarkStart w:id="83" w:name="_Toc110437569"/>
      <w:bookmarkStart w:id="84" w:name="_Toc22063"/>
      <w:r>
        <w:rPr>
          <w:rFonts w:hint="eastAsia" w:ascii="新宋体" w:hAnsi="新宋体" w:eastAsia="新宋体" w:cs="新宋体"/>
          <w:sz w:val="24"/>
          <w:szCs w:val="24"/>
        </w:rPr>
        <w:t>8.一般要求</w:t>
      </w:r>
      <w:bookmarkEnd w:id="79"/>
      <w:bookmarkEnd w:id="80"/>
      <w:bookmarkEnd w:id="81"/>
      <w:bookmarkEnd w:id="82"/>
      <w:bookmarkEnd w:id="83"/>
      <w:bookmarkEnd w:id="84"/>
    </w:p>
    <w:p w14:paraId="2DDED7DA">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44149AF7">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6BA64283">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8.3除谈判文件中另有规定外，谈判响应文件所使用的度量衡单位，均须采用国家法定计量单位。未列明时应默认为我国法定计量单位。</w:t>
      </w:r>
    </w:p>
    <w:p w14:paraId="2CD81CE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8.4响应文件应采用政采云平台的电子文件形式。</w:t>
      </w:r>
    </w:p>
    <w:p w14:paraId="578ACAB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8.5供应商应按谈判文件中提供的响应文件格式进行填写。</w:t>
      </w:r>
    </w:p>
    <w:p w14:paraId="64058A2B">
      <w:pPr>
        <w:spacing w:before="120" w:beforeLines="50" w:after="120" w:afterLines="50" w:line="360" w:lineRule="auto"/>
        <w:outlineLvl w:val="2"/>
        <w:rPr>
          <w:rFonts w:hint="eastAsia" w:ascii="新宋体" w:hAnsi="新宋体" w:eastAsia="新宋体" w:cs="新宋体"/>
          <w:sz w:val="24"/>
          <w:szCs w:val="24"/>
        </w:rPr>
      </w:pPr>
      <w:bookmarkStart w:id="85" w:name="_Toc16030"/>
      <w:bookmarkStart w:id="86" w:name="_Toc20423_WPSOffice_Level3"/>
      <w:bookmarkStart w:id="87" w:name="_Toc12007"/>
      <w:bookmarkStart w:id="88" w:name="_Toc110437570"/>
      <w:bookmarkStart w:id="89" w:name="_Toc14527_WPSOffice_Level3"/>
      <w:r>
        <w:rPr>
          <w:rFonts w:hint="eastAsia" w:ascii="新宋体" w:hAnsi="新宋体" w:eastAsia="新宋体" w:cs="新宋体"/>
          <w:sz w:val="24"/>
          <w:szCs w:val="24"/>
        </w:rPr>
        <w:t>9.报价要求</w:t>
      </w:r>
      <w:bookmarkEnd w:id="85"/>
      <w:bookmarkEnd w:id="86"/>
      <w:bookmarkEnd w:id="87"/>
      <w:bookmarkEnd w:id="88"/>
      <w:bookmarkEnd w:id="89"/>
    </w:p>
    <w:p w14:paraId="4022B44E">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9.1供应商应当根据谈判文件“分项报价表”逐一报价；</w:t>
      </w:r>
    </w:p>
    <w:p w14:paraId="1D6EDD90">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9.2在首次报价表、分项报价表、最后报价表填写报价时应注意下列要求：</w:t>
      </w:r>
    </w:p>
    <w:p w14:paraId="675A3B1D">
      <w:pPr>
        <w:numPr>
          <w:ilvl w:val="0"/>
          <w:numId w:val="2"/>
        </w:num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采购需求要求的报价必须包括：产品费、验收费、手续费、装卸费、安装费、运输费、</w:t>
      </w:r>
      <w:r>
        <w:rPr>
          <w:rFonts w:hint="eastAsia" w:ascii="新宋体" w:hAnsi="新宋体" w:eastAsia="新宋体" w:cs="新宋体"/>
          <w:sz w:val="24"/>
          <w:szCs w:val="24"/>
          <w:lang w:val="zh-CN"/>
        </w:rPr>
        <w:t>车辆购置税费、</w:t>
      </w:r>
      <w:r>
        <w:rPr>
          <w:rFonts w:hint="eastAsia" w:ascii="新宋体" w:hAnsi="新宋体" w:eastAsia="新宋体" w:cs="新宋体"/>
          <w:sz w:val="24"/>
          <w:szCs w:val="24"/>
          <w:lang w:val="en-US" w:eastAsia="zh-CN"/>
        </w:rPr>
        <w:t>代理费</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保险费、售前、售中、售后服务费、税金及不可预见费等全部费用。</w:t>
      </w:r>
    </w:p>
    <w:p w14:paraId="3A5B081C">
      <w:pPr>
        <w:numPr>
          <w:ilvl w:val="0"/>
          <w:numId w:val="2"/>
        </w:num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所有根据合同或其它原因应由供应商交纳和支付的税款和费用。</w:t>
      </w:r>
    </w:p>
    <w:p w14:paraId="3E57265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（3）供应商报价应为完成本竞争性谈判文件中所要求的采购项目实施内容所应包括的所有价格。</w:t>
      </w:r>
    </w:p>
    <w:p w14:paraId="1FAB36F7">
      <w:pPr>
        <w:adjustRightInd w:val="0"/>
        <w:snapToGrid w:val="0"/>
        <w:spacing w:line="360" w:lineRule="auto"/>
        <w:ind w:firstLine="480" w:firstLineChars="200"/>
        <w:rPr>
          <w:rFonts w:hint="default" w:ascii="新宋体" w:hAnsi="新宋体" w:eastAsia="新宋体" w:cs="新宋体"/>
          <w:sz w:val="24"/>
          <w:szCs w:val="24"/>
          <w:lang w:val="en-US" w:eastAsia="zh-CN"/>
        </w:rPr>
      </w:pPr>
      <w:r>
        <w:rPr>
          <w:rFonts w:hint="eastAsia" w:ascii="新宋体" w:hAnsi="新宋体" w:eastAsia="新宋体" w:cs="新宋体"/>
          <w:sz w:val="24"/>
          <w:szCs w:val="24"/>
        </w:rPr>
        <w:t>9.3</w:t>
      </w:r>
      <w:r>
        <w:rPr>
          <w:rFonts w:hint="eastAsia" w:ascii="新宋体" w:hAnsi="新宋体" w:eastAsia="新宋体" w:cs="新宋体"/>
          <w:sz w:val="24"/>
          <w:szCs w:val="24"/>
          <w:lang w:val="zh-CN"/>
        </w:rPr>
        <w:t>供应商</w:t>
      </w:r>
      <w:r>
        <w:rPr>
          <w:rFonts w:hint="eastAsia" w:ascii="新宋体" w:hAnsi="新宋体" w:eastAsia="新宋体" w:cs="新宋体"/>
          <w:sz w:val="24"/>
          <w:szCs w:val="24"/>
        </w:rPr>
        <w:t>的每次报价均不得超过采购项目预算，</w:t>
      </w:r>
      <w:r>
        <w:rPr>
          <w:rFonts w:hint="eastAsia" w:ascii="新宋体" w:hAnsi="新宋体" w:eastAsia="新宋体" w:cs="新宋体"/>
          <w:sz w:val="24"/>
          <w:szCs w:val="24"/>
          <w:lang w:val="en-US" w:eastAsia="zh-CN"/>
        </w:rPr>
        <w:t>供应商报价不得低于招标控制价的85%，否则按无效标处理。</w:t>
      </w:r>
    </w:p>
    <w:p w14:paraId="2E4624D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否则视为无效响应。采购项目预算见【谈判须知前附表】。</w:t>
      </w:r>
    </w:p>
    <w:p w14:paraId="360CF92C">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9.4供应商提交的最后单价在合同执行过程中是固定不变的，不得以任何理由予以变更。</w:t>
      </w:r>
    </w:p>
    <w:p w14:paraId="01192B34">
      <w:pPr>
        <w:adjustRightInd w:val="0"/>
        <w:snapToGrid w:val="0"/>
        <w:spacing w:line="360" w:lineRule="auto"/>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9.5谈判报价为总价。供应商须按要求填写谈判总报价及最后分项报价表，最后报价不得出现两个或两个以上的报价方案</w:t>
      </w:r>
      <w:r>
        <w:rPr>
          <w:rFonts w:hint="eastAsia" w:ascii="新宋体" w:hAnsi="新宋体" w:eastAsia="新宋体" w:cs="新宋体"/>
          <w:sz w:val="24"/>
          <w:szCs w:val="24"/>
          <w:lang w:val="en-US" w:eastAsia="zh-CN"/>
        </w:rPr>
        <w:t>,</w:t>
      </w:r>
    </w:p>
    <w:p w14:paraId="1D4FEC5F">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9.6报价币种为人民币。</w:t>
      </w:r>
    </w:p>
    <w:p w14:paraId="7BAE0B9F">
      <w:pPr>
        <w:spacing w:before="120" w:beforeLines="50" w:after="120" w:afterLines="50" w:line="360" w:lineRule="auto"/>
        <w:outlineLvl w:val="2"/>
        <w:rPr>
          <w:rFonts w:hint="eastAsia" w:ascii="新宋体" w:hAnsi="新宋体" w:eastAsia="新宋体" w:cs="新宋体"/>
          <w:sz w:val="24"/>
          <w:szCs w:val="24"/>
        </w:rPr>
      </w:pPr>
      <w:bookmarkStart w:id="90" w:name="_Toc19609_WPSOffice_Level3"/>
      <w:bookmarkStart w:id="91" w:name="_Toc24956_WPSOffice_Level3"/>
      <w:bookmarkStart w:id="92" w:name="_Toc30481"/>
      <w:bookmarkStart w:id="93" w:name="_Toc30839"/>
      <w:bookmarkStart w:id="94" w:name="_Toc110437571"/>
      <w:r>
        <w:rPr>
          <w:rFonts w:hint="eastAsia" w:ascii="新宋体" w:hAnsi="新宋体" w:eastAsia="新宋体" w:cs="新宋体"/>
          <w:sz w:val="24"/>
          <w:szCs w:val="24"/>
        </w:rPr>
        <w:t>10.谈判保证金</w:t>
      </w:r>
      <w:bookmarkEnd w:id="90"/>
      <w:bookmarkEnd w:id="91"/>
      <w:bookmarkEnd w:id="92"/>
      <w:bookmarkEnd w:id="93"/>
      <w:bookmarkEnd w:id="94"/>
    </w:p>
    <w:p w14:paraId="4BF98C8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10.1供应商应按【谈判须知前附表】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14:paraId="27DDCAA9">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10.2谈判保证金的退还按以下规定办理：</w:t>
      </w:r>
    </w:p>
    <w:p w14:paraId="25434C2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（1）成交供应商的谈判保证金，在政府采购合同签订后5个工作日内退还，但因供应商自身原因导致无法退还的除外。</w:t>
      </w:r>
    </w:p>
    <w:p w14:paraId="0E0E78DA">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（2）未成交供应商的谈判保证金，在成交通知书发出后5个工作日内退还。</w:t>
      </w:r>
    </w:p>
    <w:p w14:paraId="7449BA6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（3）终止竞争性谈判采购活动的，在发布项目终止公告后5个工作日内退还。</w:t>
      </w:r>
    </w:p>
    <w:p w14:paraId="24D7D37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10.3有下列情形之一的，保证金不予退还，并上缴同级财政国库：</w:t>
      </w:r>
    </w:p>
    <w:p w14:paraId="033E386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（1）供应商在提交响应文件截止时间后撤回响应文件的；</w:t>
      </w:r>
    </w:p>
    <w:p w14:paraId="6DC39B1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（2）供应商在响应文件中提供虚假材料的；</w:t>
      </w:r>
    </w:p>
    <w:p w14:paraId="6FE1D0E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（3）除因不可抗力或谈判文件认可的情形以外，成交供应商不与采购人签订合同的；</w:t>
      </w:r>
    </w:p>
    <w:p w14:paraId="319AC95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（4）供应商与采购人、其他供应商或者采购代理机构恶意串通的；</w:t>
      </w:r>
    </w:p>
    <w:p w14:paraId="2AA223EE">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（5）谈判文件规定的其他情形。</w:t>
      </w:r>
    </w:p>
    <w:p w14:paraId="7FAB8959">
      <w:pPr>
        <w:spacing w:before="120" w:beforeLines="50" w:after="120" w:afterLines="50" w:line="360" w:lineRule="auto"/>
        <w:outlineLvl w:val="2"/>
        <w:rPr>
          <w:rFonts w:hint="eastAsia" w:ascii="新宋体" w:hAnsi="新宋体" w:eastAsia="新宋体" w:cs="新宋体"/>
          <w:sz w:val="24"/>
          <w:szCs w:val="24"/>
        </w:rPr>
      </w:pPr>
      <w:bookmarkStart w:id="95" w:name="_Toc5897"/>
      <w:bookmarkStart w:id="96" w:name="_Toc4945_WPSOffice_Level3"/>
      <w:bookmarkStart w:id="97" w:name="_Toc14144"/>
      <w:bookmarkStart w:id="98" w:name="_Toc110437572"/>
      <w:bookmarkStart w:id="99" w:name="_Toc18765_WPSOffice_Level3"/>
      <w:r>
        <w:rPr>
          <w:rFonts w:hint="eastAsia" w:ascii="新宋体" w:hAnsi="新宋体" w:eastAsia="新宋体" w:cs="新宋体"/>
          <w:sz w:val="24"/>
          <w:szCs w:val="24"/>
        </w:rPr>
        <w:t>11.响应文件的组成</w:t>
      </w:r>
      <w:bookmarkEnd w:id="95"/>
      <w:bookmarkEnd w:id="96"/>
      <w:bookmarkEnd w:id="97"/>
      <w:bookmarkEnd w:id="98"/>
      <w:bookmarkEnd w:id="99"/>
    </w:p>
    <w:p w14:paraId="489499C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11.1响应文件包括下列内容：</w:t>
      </w:r>
    </w:p>
    <w:p w14:paraId="7EDC0DE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供应商应提交相关证明材料，作为其参加谈判和成交后有能力履行合同的证明。编写的谈判响应文件须包括以下内容（格式详见谈判文件第四部分内容）：</w:t>
      </w:r>
    </w:p>
    <w:p w14:paraId="4DDAFC25">
      <w:pPr>
        <w:adjustRightInd w:val="0"/>
        <w:snapToGrid w:val="0"/>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rPr>
        <w:t>11.1.1</w:t>
      </w:r>
      <w:r>
        <w:rPr>
          <w:rFonts w:hint="eastAsia" w:ascii="新宋体" w:hAnsi="新宋体" w:eastAsia="新宋体" w:cs="新宋体"/>
          <w:sz w:val="24"/>
          <w:szCs w:val="24"/>
          <w:lang w:val="zh-CN"/>
        </w:rPr>
        <w:t>资格审查部分</w:t>
      </w:r>
    </w:p>
    <w:p w14:paraId="150790E8">
      <w:pPr>
        <w:adjustRightInd w:val="0"/>
        <w:snapToGrid w:val="0"/>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rPr>
        <w:t>11.1.2有效性、完整性、响应程度审查</w:t>
      </w:r>
      <w:r>
        <w:rPr>
          <w:rFonts w:hint="eastAsia" w:ascii="新宋体" w:hAnsi="新宋体" w:eastAsia="新宋体" w:cs="新宋体"/>
          <w:sz w:val="24"/>
          <w:szCs w:val="24"/>
          <w:lang w:val="zh-CN"/>
        </w:rPr>
        <w:t>部分</w:t>
      </w:r>
    </w:p>
    <w:p w14:paraId="489CECD1">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zh-CN"/>
        </w:rPr>
        <w:t>供应商须按上述内容、顺序和格式编制响应文件，并按要求编制目录、页码，并保证所提供的全部资料真实可信，自愿承担相应责任。</w:t>
      </w:r>
    </w:p>
    <w:p w14:paraId="5C6A6954">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11.2在谈判过程中，供应商根据谈判小组竞谈文件要求提交的最终报价是响应文件的有效组成部分。</w:t>
      </w:r>
    </w:p>
    <w:p w14:paraId="771EF485">
      <w:pPr>
        <w:spacing w:before="120" w:beforeLines="50" w:after="120" w:afterLines="50" w:line="360" w:lineRule="auto"/>
        <w:outlineLvl w:val="2"/>
        <w:rPr>
          <w:rFonts w:hint="eastAsia" w:ascii="新宋体" w:hAnsi="新宋体" w:eastAsia="新宋体" w:cs="新宋体"/>
          <w:sz w:val="24"/>
          <w:szCs w:val="24"/>
        </w:rPr>
      </w:pPr>
      <w:bookmarkStart w:id="100" w:name="_Toc26621"/>
      <w:bookmarkStart w:id="101" w:name="_Toc11674"/>
      <w:bookmarkStart w:id="102" w:name="_Toc3694_WPSOffice_Level3"/>
      <w:bookmarkStart w:id="103" w:name="_Toc14930_WPSOffice_Level3"/>
      <w:bookmarkStart w:id="104" w:name="_Toc110437573"/>
      <w:r>
        <w:rPr>
          <w:rFonts w:hint="eastAsia" w:ascii="新宋体" w:hAnsi="新宋体" w:eastAsia="新宋体" w:cs="新宋体"/>
          <w:sz w:val="24"/>
          <w:szCs w:val="24"/>
        </w:rPr>
        <w:t>12.响应文件有效期</w:t>
      </w:r>
      <w:bookmarkEnd w:id="100"/>
      <w:bookmarkEnd w:id="101"/>
      <w:bookmarkEnd w:id="102"/>
      <w:bookmarkEnd w:id="103"/>
      <w:bookmarkEnd w:id="104"/>
    </w:p>
    <w:p w14:paraId="7C72D7D0">
      <w:pPr>
        <w:adjustRightInd w:val="0"/>
        <w:snapToGrid w:val="0"/>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响应文件有效期见【谈判须知前附表】，在此期间响应文件对供应商具有法律约束力，从提交首次响应文件截止时间之日起计算。响应文件有效期不足的将被视为无效响应。</w:t>
      </w:r>
    </w:p>
    <w:p w14:paraId="6A41BBF8">
      <w:pPr>
        <w:spacing w:before="120" w:beforeLines="50" w:after="120" w:afterLines="50" w:line="360" w:lineRule="auto"/>
        <w:outlineLvl w:val="2"/>
        <w:rPr>
          <w:rFonts w:hint="eastAsia" w:ascii="新宋体" w:hAnsi="新宋体" w:eastAsia="新宋体" w:cs="新宋体"/>
          <w:sz w:val="24"/>
          <w:szCs w:val="24"/>
        </w:rPr>
      </w:pPr>
      <w:bookmarkStart w:id="105" w:name="_Toc21033"/>
      <w:bookmarkStart w:id="106" w:name="_Toc31682_WPSOffice_Level3"/>
      <w:bookmarkStart w:id="107" w:name="_Toc110437574"/>
      <w:bookmarkStart w:id="108" w:name="_Toc20265"/>
      <w:bookmarkStart w:id="109" w:name="_Toc8507_WPSOffice_Level3"/>
      <w:r>
        <w:rPr>
          <w:rFonts w:hint="eastAsia" w:ascii="新宋体" w:hAnsi="新宋体" w:eastAsia="新宋体" w:cs="新宋体"/>
          <w:sz w:val="24"/>
          <w:szCs w:val="24"/>
        </w:rPr>
        <w:t>13.响应文件的签署及规定</w:t>
      </w:r>
      <w:bookmarkEnd w:id="105"/>
      <w:bookmarkEnd w:id="106"/>
      <w:bookmarkEnd w:id="107"/>
      <w:bookmarkEnd w:id="108"/>
      <w:bookmarkEnd w:id="109"/>
    </w:p>
    <w:p w14:paraId="7DE6CE49">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14:paraId="7870F353">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 xml:space="preserve">13.2 </w:t>
      </w:r>
      <w:r>
        <w:rPr>
          <w:rFonts w:hint="eastAsia" w:ascii="新宋体" w:hAnsi="新宋体" w:eastAsia="新宋体" w:cs="新宋体"/>
          <w:sz w:val="24"/>
          <w:szCs w:val="24"/>
          <w:lang w:val="zh-CN"/>
        </w:rPr>
        <w:t>供应商应按照谈判文件所提供的文件格式，分别填写谈判文件第四部分的内容，应分别注明所提供服务或货物的名称、技术配置及参数、数量和价格等内容；谈判文件要求签字、盖章的地方必须由供应商的法定代表人或委托代理人签字、盖章齐全上传扫描件或由供应商的法定代表人或委托代理人电子签字、盖单位电子章。</w:t>
      </w:r>
    </w:p>
    <w:p w14:paraId="3B85A32D">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13.3 响应文件不得行间插字，若有修改错漏处，应由供应商法定代表人或者其委托代理人签字、加盖公章。否则，将导致响应文件无效。</w:t>
      </w:r>
    </w:p>
    <w:p w14:paraId="34DDD1A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13.4在谈判过程中，供应商按谈判文件规定提交的最终报价，须打印或用不褪色材料书写，并经供应商代表签字，或者加盖供应商单位公章。否则，将导致响应文件无效。</w:t>
      </w:r>
    </w:p>
    <w:p w14:paraId="371AE45A">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13.5供应商无论成交与否，其响应文件不予退还。</w:t>
      </w:r>
    </w:p>
    <w:p w14:paraId="1E3F012F">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13.6响应文件的其他要求见【谈判须知前附表】。</w:t>
      </w:r>
    </w:p>
    <w:p w14:paraId="6957AAD6">
      <w:pPr>
        <w:numPr>
          <w:ilvl w:val="0"/>
          <w:numId w:val="3"/>
        </w:numPr>
        <w:adjustRightInd w:val="0"/>
        <w:snapToGrid w:val="0"/>
        <w:spacing w:before="240" w:beforeLines="100" w:after="120" w:afterLines="50" w:line="360" w:lineRule="auto"/>
        <w:jc w:val="center"/>
        <w:outlineLvl w:val="1"/>
        <w:rPr>
          <w:rFonts w:hint="eastAsia" w:ascii="新宋体" w:hAnsi="新宋体" w:eastAsia="新宋体" w:cs="新宋体"/>
          <w:sz w:val="30"/>
          <w:szCs w:val="30"/>
        </w:rPr>
      </w:pPr>
      <w:bookmarkStart w:id="110" w:name="_Toc24112_WPSOffice_Level2"/>
      <w:bookmarkStart w:id="111" w:name="_Toc30575"/>
      <w:bookmarkStart w:id="112" w:name="_Toc34637768"/>
      <w:bookmarkStart w:id="113" w:name="_Toc31349_WPSOffice_Level2"/>
      <w:bookmarkStart w:id="114" w:name="_Toc16725"/>
      <w:bookmarkStart w:id="115" w:name="_Toc8361"/>
      <w:bookmarkStart w:id="116" w:name="_Toc25869"/>
      <w:bookmarkStart w:id="117" w:name="_Toc32627_WPSOffice_Level2"/>
      <w:bookmarkStart w:id="118" w:name="_Toc110437575"/>
      <w:r>
        <w:rPr>
          <w:rFonts w:hint="eastAsia" w:ascii="新宋体" w:hAnsi="新宋体" w:eastAsia="新宋体" w:cs="新宋体"/>
          <w:sz w:val="30"/>
          <w:szCs w:val="30"/>
        </w:rPr>
        <w:t>响应文件的递交</w:t>
      </w:r>
      <w:bookmarkEnd w:id="110"/>
      <w:bookmarkEnd w:id="111"/>
      <w:bookmarkEnd w:id="112"/>
      <w:bookmarkEnd w:id="113"/>
      <w:bookmarkEnd w:id="114"/>
      <w:bookmarkEnd w:id="115"/>
      <w:bookmarkEnd w:id="116"/>
      <w:bookmarkEnd w:id="117"/>
      <w:bookmarkEnd w:id="118"/>
    </w:p>
    <w:p w14:paraId="37F94E4D">
      <w:pPr>
        <w:pStyle w:val="11"/>
        <w:numPr>
          <w:ilvl w:val="0"/>
          <w:numId w:val="0"/>
        </w:numPr>
        <w:ind w:leftChars="0"/>
        <w:rPr>
          <w:rFonts w:hint="eastAsia"/>
        </w:rPr>
      </w:pPr>
      <w:r>
        <w:rPr>
          <w:rFonts w:hint="eastAsia" w:ascii="新宋体" w:hAnsi="新宋体" w:eastAsia="新宋体" w:cs="新宋体"/>
          <w:sz w:val="24"/>
          <w:szCs w:val="24"/>
          <w:lang w:eastAsia="zh-CN"/>
        </w:rPr>
        <w:t>详见</w:t>
      </w:r>
      <w:r>
        <w:rPr>
          <w:rFonts w:hint="eastAsia" w:ascii="新宋体" w:hAnsi="新宋体" w:eastAsia="新宋体" w:cs="新宋体"/>
          <w:sz w:val="24"/>
          <w:szCs w:val="24"/>
        </w:rPr>
        <w:t>【谈判须知前附表】</w:t>
      </w:r>
    </w:p>
    <w:p w14:paraId="437B5423">
      <w:pPr>
        <w:adjustRightInd w:val="0"/>
        <w:snapToGrid w:val="0"/>
        <w:spacing w:before="240" w:beforeLines="100" w:after="120" w:afterLines="50" w:line="360" w:lineRule="auto"/>
        <w:jc w:val="center"/>
        <w:outlineLvl w:val="1"/>
        <w:rPr>
          <w:rFonts w:hint="eastAsia" w:ascii="新宋体" w:hAnsi="新宋体" w:eastAsia="新宋体" w:cs="新宋体"/>
          <w:sz w:val="30"/>
          <w:szCs w:val="30"/>
        </w:rPr>
      </w:pPr>
      <w:bookmarkStart w:id="119" w:name="_Toc31993"/>
      <w:bookmarkStart w:id="120" w:name="_Toc10968"/>
      <w:bookmarkStart w:id="121" w:name="_Toc34637769"/>
      <w:bookmarkStart w:id="122" w:name="_Toc2957"/>
      <w:bookmarkStart w:id="123" w:name="_Toc110437579"/>
      <w:bookmarkStart w:id="124" w:name="_Toc29785_WPSOffice_Level2"/>
      <w:bookmarkStart w:id="125" w:name="_Toc18610_WPSOffice_Level2"/>
      <w:bookmarkStart w:id="126" w:name="_Toc25721_WPSOffice_Level2"/>
      <w:bookmarkStart w:id="127" w:name="_Toc12974"/>
      <w:r>
        <w:rPr>
          <w:rFonts w:hint="eastAsia" w:ascii="新宋体" w:hAnsi="新宋体" w:eastAsia="新宋体" w:cs="新宋体"/>
          <w:sz w:val="30"/>
          <w:szCs w:val="30"/>
        </w:rPr>
        <w:t>五、响应文件的评审与谈判</w:t>
      </w:r>
      <w:bookmarkEnd w:id="119"/>
      <w:bookmarkEnd w:id="120"/>
      <w:bookmarkEnd w:id="121"/>
      <w:bookmarkEnd w:id="122"/>
      <w:bookmarkEnd w:id="123"/>
      <w:bookmarkEnd w:id="124"/>
      <w:bookmarkEnd w:id="125"/>
      <w:bookmarkEnd w:id="126"/>
      <w:bookmarkEnd w:id="127"/>
    </w:p>
    <w:p w14:paraId="52A8F739">
      <w:pPr>
        <w:adjustRightInd w:val="0"/>
        <w:snapToGrid w:val="0"/>
        <w:spacing w:line="360" w:lineRule="auto"/>
        <w:ind w:firstLine="480" w:firstLineChars="200"/>
        <w:rPr>
          <w:rFonts w:hint="eastAsia" w:ascii="新宋体" w:hAnsi="新宋体" w:eastAsia="新宋体" w:cs="新宋体"/>
          <w:sz w:val="24"/>
          <w:szCs w:val="24"/>
        </w:rPr>
      </w:pPr>
      <w:bookmarkStart w:id="128" w:name="_Toc26446"/>
      <w:bookmarkStart w:id="129" w:name="_Toc19596_WPSOffice_Level3"/>
      <w:bookmarkStart w:id="130" w:name="_Toc174"/>
      <w:bookmarkStart w:id="131" w:name="_Toc18713_WPSOffice_Level3"/>
      <w:bookmarkStart w:id="132" w:name="_Toc110437580"/>
      <w:r>
        <w:rPr>
          <w:rFonts w:hint="eastAsia" w:ascii="新宋体" w:hAnsi="新宋体" w:eastAsia="新宋体" w:cs="新宋体"/>
          <w:sz w:val="24"/>
          <w:szCs w:val="24"/>
          <w:lang w:val="en-US" w:eastAsia="zh-CN"/>
        </w:rPr>
        <w:t>14</w:t>
      </w:r>
      <w:r>
        <w:rPr>
          <w:rFonts w:hint="eastAsia" w:ascii="新宋体" w:hAnsi="新宋体" w:eastAsia="新宋体" w:cs="新宋体"/>
          <w:sz w:val="24"/>
          <w:szCs w:val="24"/>
        </w:rPr>
        <w:t>.谈判小组</w:t>
      </w:r>
      <w:bookmarkEnd w:id="128"/>
      <w:bookmarkEnd w:id="129"/>
      <w:bookmarkEnd w:id="130"/>
      <w:bookmarkEnd w:id="131"/>
      <w:bookmarkEnd w:id="132"/>
    </w:p>
    <w:p w14:paraId="1B9FEB5E">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w:t>
      </w:r>
      <w:r>
        <w:rPr>
          <w:rFonts w:hint="eastAsia" w:ascii="新宋体" w:hAnsi="新宋体" w:eastAsia="新宋体" w:cs="新宋体"/>
          <w:sz w:val="24"/>
          <w:szCs w:val="24"/>
        </w:rPr>
        <w:t>.1竞争性谈判小组由采购人代表和评审专家共3人组成（3人以上单数组成），其中评审专家2名（评审专家人数不得少于竞争性谈判小组成员总数的2/3）。采购人不得以评审专家身份参加本采购项目的评审。谈判小组评审专家从相关专业的专家名单中随机抽取。</w:t>
      </w:r>
    </w:p>
    <w:p w14:paraId="3CD6E88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w:t>
      </w:r>
      <w:r>
        <w:rPr>
          <w:rFonts w:hint="eastAsia" w:ascii="新宋体" w:hAnsi="新宋体" w:eastAsia="新宋体" w:cs="新宋体"/>
          <w:sz w:val="24"/>
          <w:szCs w:val="24"/>
        </w:rPr>
        <w:t>.2谈判由采购代理机构负责组织，具体谈判事务由依法组建的谈判小组负责，并独立履行下列职责：</w:t>
      </w:r>
    </w:p>
    <w:p w14:paraId="4E443260">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（1）确认谈判文件；</w:t>
      </w:r>
    </w:p>
    <w:p w14:paraId="3CAF968A">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（2）审查供应商的响应文件并作出评价；</w:t>
      </w:r>
    </w:p>
    <w:p w14:paraId="2FF6393D">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（3）要求供应商对谈判文件有关事项作出澄清或者说明；</w:t>
      </w:r>
    </w:p>
    <w:p w14:paraId="3808B0FD">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（4）编写评审报告；</w:t>
      </w:r>
    </w:p>
    <w:p w14:paraId="0F6AFA2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（5）确定成交候选人名单，以及根据采购人委托直接确定成交供应商；</w:t>
      </w:r>
    </w:p>
    <w:p w14:paraId="3F0ED494">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（6）告知采购人、采购代理机构在评审过程中发现的供应商的违法违规行为。</w:t>
      </w:r>
    </w:p>
    <w:p w14:paraId="7C530AC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w:t>
      </w:r>
      <w:r>
        <w:rPr>
          <w:rFonts w:hint="eastAsia" w:ascii="新宋体" w:hAnsi="新宋体" w:eastAsia="新宋体" w:cs="新宋体"/>
          <w:sz w:val="24"/>
          <w:szCs w:val="24"/>
        </w:rPr>
        <w:t>.3谈判小组应遵守并履行下列义务：</w:t>
      </w:r>
    </w:p>
    <w:p w14:paraId="6A270FBE">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（1）遵纪守法，客观、公正、廉洁地履行职责；</w:t>
      </w:r>
    </w:p>
    <w:p w14:paraId="6D426F8F">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（2）按照谈判文件规定的成交方法评审，对评审意见承担谈判小组成员责任；</w:t>
      </w:r>
    </w:p>
    <w:p w14:paraId="676EE39D">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（3）对谈判响应文件、谈判情况和谈判中获悉的国家秘密、商业秘密保密；</w:t>
      </w:r>
    </w:p>
    <w:p w14:paraId="2F3C37A1">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（4）参与评审报告的起草；</w:t>
      </w:r>
    </w:p>
    <w:p w14:paraId="595211A0">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（5）配合采购人、采购代理机构答复供应商提出的质疑；</w:t>
      </w:r>
    </w:p>
    <w:p w14:paraId="2B25352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（6）配合财政部门的投诉处理和监督检查工作。</w:t>
      </w:r>
    </w:p>
    <w:p w14:paraId="245F256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w:t>
      </w:r>
      <w:r>
        <w:rPr>
          <w:rFonts w:hint="eastAsia" w:ascii="新宋体" w:hAnsi="新宋体" w:eastAsia="新宋体" w:cs="新宋体"/>
          <w:sz w:val="24"/>
          <w:szCs w:val="24"/>
        </w:rPr>
        <w:t>.4谈判小组成员有下列情形之一的，应当回避：</w:t>
      </w:r>
    </w:p>
    <w:p w14:paraId="17C1EF3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（1）参加采购活动前3年内与供应商存在劳动关系；</w:t>
      </w:r>
    </w:p>
    <w:p w14:paraId="35CF560F">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（2）参加采购活动前3年内担任供应商的董事、监事；</w:t>
      </w:r>
    </w:p>
    <w:p w14:paraId="018086E1">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（3）参加采购活动前3年内是供应商的控股股东或者实际控制人；</w:t>
      </w:r>
    </w:p>
    <w:p w14:paraId="747C2D5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（4）与供应商的法定代表人或者负责人有夫妻、直系血亲、三代以内旁系血亲或者近姻亲关系；</w:t>
      </w:r>
    </w:p>
    <w:p w14:paraId="3F598FA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（5）与供应商有其他可能影响政府采购活动公平、公正进行的关系。</w:t>
      </w:r>
      <w:bookmarkStart w:id="133" w:name="_Toc19122"/>
      <w:bookmarkStart w:id="134" w:name="_Toc16350_WPSOffice_Level3"/>
    </w:p>
    <w:p w14:paraId="39E0D908">
      <w:pPr>
        <w:adjustRightInd w:val="0"/>
        <w:snapToGrid w:val="0"/>
        <w:spacing w:line="360" w:lineRule="auto"/>
        <w:ind w:firstLine="480" w:firstLineChars="200"/>
        <w:rPr>
          <w:rFonts w:hint="eastAsia" w:ascii="新宋体" w:hAnsi="新宋体" w:eastAsia="新宋体" w:cs="新宋体"/>
          <w:sz w:val="24"/>
          <w:szCs w:val="24"/>
        </w:rPr>
      </w:pPr>
      <w:bookmarkStart w:id="135" w:name="_Toc110437581"/>
      <w:bookmarkStart w:id="136" w:name="_Toc22044_WPSOffice_Level3"/>
      <w:r>
        <w:rPr>
          <w:rFonts w:hint="eastAsia" w:ascii="新宋体" w:hAnsi="新宋体" w:eastAsia="新宋体" w:cs="新宋体"/>
          <w:sz w:val="24"/>
          <w:szCs w:val="24"/>
          <w:lang w:val="en-US" w:eastAsia="zh-CN"/>
        </w:rPr>
        <w:t>15</w:t>
      </w:r>
      <w:r>
        <w:rPr>
          <w:rFonts w:hint="eastAsia" w:ascii="新宋体" w:hAnsi="新宋体" w:eastAsia="新宋体" w:cs="新宋体"/>
          <w:sz w:val="24"/>
          <w:szCs w:val="24"/>
        </w:rPr>
        <w:t>.响应文件审查</w:t>
      </w:r>
      <w:bookmarkEnd w:id="133"/>
      <w:bookmarkEnd w:id="134"/>
      <w:bookmarkEnd w:id="135"/>
      <w:bookmarkEnd w:id="136"/>
    </w:p>
    <w:p w14:paraId="6D5C01E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15</w:t>
      </w:r>
      <w:r>
        <w:rPr>
          <w:rFonts w:hint="eastAsia" w:ascii="新宋体" w:hAnsi="新宋体" w:eastAsia="新宋体" w:cs="新宋体"/>
          <w:sz w:val="24"/>
          <w:szCs w:val="24"/>
        </w:rPr>
        <w:t>.1谈判小组应当对响应文件进行评审，并根据谈判文件规定的程序、评定成交的标准等事项与实质性响应谈判文件要求的供应商进行谈判。</w:t>
      </w:r>
    </w:p>
    <w:p w14:paraId="6B2AE2A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15</w:t>
      </w:r>
      <w:r>
        <w:rPr>
          <w:rFonts w:hint="eastAsia" w:ascii="新宋体" w:hAnsi="新宋体" w:eastAsia="新宋体" w:cs="新宋体"/>
          <w:sz w:val="24"/>
          <w:szCs w:val="24"/>
        </w:rPr>
        <w:t>.2在对供应商进行审查时，存在下列情况之一的，按无效处理：</w:t>
      </w:r>
    </w:p>
    <w:p w14:paraId="1AC3F7A0">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（1）不符合谈判文件第一部分谈判须知前附表“供应商资格条件”的；</w:t>
      </w:r>
    </w:p>
    <w:p w14:paraId="74780B89">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（2）未按第11.1.1款“</w:t>
      </w:r>
      <w:r>
        <w:rPr>
          <w:rFonts w:hint="eastAsia" w:ascii="新宋体" w:hAnsi="新宋体" w:eastAsia="新宋体" w:cs="新宋体"/>
          <w:sz w:val="24"/>
          <w:szCs w:val="24"/>
          <w:lang w:val="zh-CN"/>
        </w:rPr>
        <w:t>资格审查部分</w:t>
      </w:r>
      <w:r>
        <w:rPr>
          <w:rFonts w:hint="eastAsia" w:ascii="新宋体" w:hAnsi="新宋体" w:eastAsia="新宋体" w:cs="新宋体"/>
          <w:sz w:val="24"/>
          <w:szCs w:val="24"/>
        </w:rPr>
        <w:t>”要求提供相关资料的；</w:t>
      </w:r>
    </w:p>
    <w:p w14:paraId="29C70783">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（3）响应文件没有按谈判文件规定和要求签字、盖章的；</w:t>
      </w:r>
    </w:p>
    <w:p w14:paraId="2E982537">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（4）谈判有效期不能满足谈判文件要求的；</w:t>
      </w:r>
    </w:p>
    <w:p w14:paraId="09998B49">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（5）谈判报价超过谈判文件规定的采购预算额度的；</w:t>
      </w:r>
    </w:p>
    <w:p w14:paraId="6E80FBE9">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（6）谈判响应文件含有采购人不能接受的附加条件的；</w:t>
      </w:r>
    </w:p>
    <w:p w14:paraId="6FD90BD1">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（7）响应文件不满足谈判文件实质性要求和条件的；</w:t>
      </w:r>
    </w:p>
    <w:p w14:paraId="549FB36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（8）谈判小组认为应按无效谈判处理的其他情况；</w:t>
      </w:r>
    </w:p>
    <w:p w14:paraId="3C36AA34">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（9）法律、法规规定的其他情形。</w:t>
      </w:r>
    </w:p>
    <w:p w14:paraId="51A27A33">
      <w:pPr>
        <w:adjustRightInd w:val="0"/>
        <w:snapToGrid w:val="0"/>
        <w:spacing w:line="360" w:lineRule="auto"/>
        <w:ind w:firstLine="480" w:firstLineChars="200"/>
        <w:rPr>
          <w:rFonts w:hint="eastAsia" w:ascii="新宋体" w:hAnsi="新宋体" w:eastAsia="新宋体" w:cs="新宋体"/>
          <w:sz w:val="24"/>
          <w:szCs w:val="24"/>
        </w:rPr>
      </w:pPr>
      <w:bookmarkStart w:id="137" w:name="_Toc17887_WPSOffice_Level3"/>
      <w:bookmarkStart w:id="138" w:name="_Toc11154"/>
      <w:bookmarkStart w:id="139" w:name="_Toc110437582"/>
      <w:bookmarkStart w:id="140" w:name="_Toc1673_WPSOffice_Level3"/>
      <w:bookmarkStart w:id="141" w:name="_Toc17197"/>
      <w:r>
        <w:rPr>
          <w:rFonts w:hint="eastAsia" w:ascii="新宋体" w:hAnsi="新宋体" w:eastAsia="新宋体" w:cs="新宋体"/>
          <w:sz w:val="24"/>
          <w:szCs w:val="24"/>
          <w:lang w:val="en-US" w:eastAsia="zh-CN"/>
        </w:rPr>
        <w:t>16</w:t>
      </w:r>
      <w:r>
        <w:rPr>
          <w:rFonts w:hint="eastAsia" w:ascii="新宋体" w:hAnsi="新宋体" w:eastAsia="新宋体" w:cs="新宋体"/>
          <w:sz w:val="24"/>
          <w:szCs w:val="24"/>
        </w:rPr>
        <w:t>.谈判程序</w:t>
      </w:r>
      <w:bookmarkEnd w:id="137"/>
      <w:bookmarkEnd w:id="138"/>
      <w:bookmarkEnd w:id="139"/>
      <w:bookmarkEnd w:id="140"/>
      <w:bookmarkEnd w:id="141"/>
    </w:p>
    <w:p w14:paraId="1118F69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16</w:t>
      </w:r>
      <w:r>
        <w:rPr>
          <w:rFonts w:hint="eastAsia" w:ascii="新宋体" w:hAnsi="新宋体" w:eastAsia="新宋体" w:cs="新宋体"/>
          <w:sz w:val="24"/>
          <w:szCs w:val="24"/>
        </w:rPr>
        <w:t>.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14:paraId="5BEC7B3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16</w:t>
      </w:r>
      <w:r>
        <w:rPr>
          <w:rFonts w:hint="eastAsia" w:ascii="新宋体" w:hAnsi="新宋体" w:eastAsia="新宋体" w:cs="新宋体"/>
          <w:sz w:val="24"/>
          <w:szCs w:val="24"/>
        </w:rPr>
        <w:t>.2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12C06CE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16</w:t>
      </w:r>
      <w:r>
        <w:rPr>
          <w:rFonts w:hint="eastAsia" w:ascii="新宋体" w:hAnsi="新宋体" w:eastAsia="新宋体" w:cs="新宋体"/>
          <w:sz w:val="24"/>
          <w:szCs w:val="24"/>
        </w:rPr>
        <w:t>.3响应文件中首次报价表内的报价为首次报价，根据技术、服务等满足谈判文件要求的情况，供应商可进行二次报价。</w:t>
      </w:r>
    </w:p>
    <w:p w14:paraId="79315E9E">
      <w:pPr>
        <w:pStyle w:val="22"/>
        <w:ind w:left="0" w:leftChars="0"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16</w:t>
      </w:r>
      <w:r>
        <w:rPr>
          <w:rFonts w:hint="eastAsia" w:ascii="新宋体" w:hAnsi="新宋体" w:eastAsia="新宋体" w:cs="新宋体"/>
          <w:sz w:val="24"/>
          <w:szCs w:val="24"/>
        </w:rPr>
        <w:t>.4谈判小组认为</w:t>
      </w:r>
      <w:r>
        <w:rPr>
          <w:rFonts w:hint="eastAsia" w:ascii="宋体" w:hAnsi="宋体"/>
          <w:color w:val="auto"/>
          <w:sz w:val="24"/>
          <w:highlight w:val="none"/>
        </w:rPr>
        <w:t>供应商的报价明显低于其他通过符合性审查供应商的报价</w:t>
      </w:r>
      <w:r>
        <w:rPr>
          <w:rFonts w:hint="eastAsia" w:ascii="宋体" w:hAnsi="宋体"/>
          <w:color w:val="auto"/>
          <w:sz w:val="24"/>
          <w:highlight w:val="none"/>
          <w:lang w:val="en-US" w:eastAsia="zh-CN"/>
        </w:rPr>
        <w:t>或</w:t>
      </w:r>
      <w:r>
        <w:rPr>
          <w:rFonts w:hint="eastAsia" w:ascii="宋体" w:hAnsi="宋体"/>
          <w:color w:val="auto"/>
          <w:sz w:val="24"/>
          <w:highlight w:val="none"/>
        </w:rPr>
        <w:t xml:space="preserve">供应商报价低于采购预算的50%或者低于其他有效供应商报价算术平均价的 </w:t>
      </w:r>
      <w:r>
        <w:rPr>
          <w:rFonts w:hint="eastAsia" w:ascii="宋体" w:hAnsi="宋体"/>
          <w:color w:val="auto"/>
          <w:sz w:val="24"/>
          <w:highlight w:val="none"/>
          <w:lang w:val="en-US" w:eastAsia="zh-CN"/>
        </w:rPr>
        <w:t>2</w:t>
      </w:r>
      <w:r>
        <w:rPr>
          <w:rFonts w:hint="eastAsia" w:ascii="宋体" w:hAnsi="宋体"/>
          <w:color w:val="auto"/>
          <w:sz w:val="24"/>
          <w:highlight w:val="none"/>
        </w:rPr>
        <w:t>0%，，有可能影响产品质量或者不能诚信履约的，应当要求其在</w:t>
      </w:r>
      <w:r>
        <w:rPr>
          <w:rFonts w:hint="eastAsia" w:ascii="宋体" w:hAnsi="宋体"/>
          <w:color w:val="auto"/>
          <w:sz w:val="24"/>
          <w:highlight w:val="none"/>
          <w:lang w:val="en-US" w:eastAsia="zh-CN"/>
        </w:rPr>
        <w:t>政采云平台上30分钟</w:t>
      </w:r>
      <w:r>
        <w:rPr>
          <w:rFonts w:hint="eastAsia" w:ascii="宋体" w:hAnsi="宋体"/>
          <w:color w:val="auto"/>
          <w:sz w:val="24"/>
          <w:highlight w:val="none"/>
        </w:rPr>
        <w:t>内提供书面说明，必要时提交相关证明材料；供应商不能证明其报价合理性的，</w:t>
      </w:r>
      <w:r>
        <w:rPr>
          <w:rFonts w:hint="eastAsia" w:ascii="新宋体" w:hAnsi="新宋体" w:eastAsia="新宋体" w:cs="新宋体"/>
          <w:sz w:val="24"/>
          <w:szCs w:val="24"/>
        </w:rPr>
        <w:t>谈判小组</w:t>
      </w:r>
      <w:r>
        <w:rPr>
          <w:rFonts w:hint="eastAsia" w:ascii="宋体" w:hAnsi="宋体"/>
          <w:color w:val="auto"/>
          <w:sz w:val="24"/>
          <w:highlight w:val="none"/>
        </w:rPr>
        <w:t>会应当将其作为无效投标处理。 供应商的书面说明材料应当按照国家财务会计制度的规定要求，逐项就供应商提供的货物、项目和服务的主营业务成本、税金及附加、销售费用、管理费用、财务费用等成本构成事项详细陈述</w:t>
      </w:r>
      <w:r>
        <w:rPr>
          <w:rFonts w:hint="eastAsia" w:ascii="宋体" w:hAnsi="宋体"/>
          <w:color w:val="auto"/>
          <w:sz w:val="24"/>
          <w:highlight w:val="none"/>
          <w:lang w:eastAsia="zh-CN"/>
        </w:rPr>
        <w:t>。</w:t>
      </w:r>
      <w:r>
        <w:rPr>
          <w:rFonts w:hint="eastAsia" w:ascii="宋体" w:hAnsi="宋体"/>
          <w:color w:val="auto"/>
          <w:sz w:val="24"/>
          <w:highlight w:val="none"/>
        </w:rPr>
        <w:t>供应商书面说明应当签字确认或者加盖公章，否则无效。书面说明的签字确认，由其法定代表人或者其授权代表签字确认。供应商提供书面说明后，</w:t>
      </w:r>
      <w:r>
        <w:rPr>
          <w:rFonts w:hint="eastAsia" w:ascii="宋体" w:hAnsi="宋体" w:cs="宋体"/>
          <w:sz w:val="24"/>
          <w:highlight w:val="none"/>
          <w:lang w:val="en-US" w:eastAsia="zh-CN"/>
        </w:rPr>
        <w:t>询价</w:t>
      </w:r>
      <w:r>
        <w:rPr>
          <w:rFonts w:hint="eastAsia" w:ascii="宋体" w:hAnsi="宋体"/>
          <w:color w:val="auto"/>
          <w:sz w:val="24"/>
          <w:highlight w:val="none"/>
        </w:rPr>
        <w:t>小组会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新宋体" w:hAnsi="新宋体" w:eastAsia="新宋体" w:cs="新宋体"/>
          <w:sz w:val="24"/>
          <w:szCs w:val="24"/>
        </w:rPr>
        <w:t>谈判小组</w:t>
      </w:r>
      <w:r>
        <w:rPr>
          <w:rFonts w:hint="eastAsia" w:ascii="宋体" w:hAnsi="宋体"/>
          <w:color w:val="auto"/>
          <w:sz w:val="24"/>
          <w:highlight w:val="none"/>
          <w:lang w:val="en-US" w:eastAsia="zh-CN"/>
        </w:rPr>
        <w:t>会</w:t>
      </w:r>
      <w:r>
        <w:rPr>
          <w:rFonts w:hint="eastAsia" w:ascii="宋体" w:hAnsi="宋体"/>
          <w:color w:val="auto"/>
          <w:sz w:val="24"/>
          <w:highlight w:val="none"/>
        </w:rPr>
        <w:t>应当将其响应文件</w:t>
      </w:r>
      <w:r>
        <w:rPr>
          <w:rFonts w:hint="eastAsia" w:ascii="宋体" w:hAnsi="宋体"/>
          <w:color w:val="auto"/>
          <w:sz w:val="24"/>
          <w:highlight w:val="none"/>
          <w:lang w:val="en-US" w:eastAsia="zh-CN"/>
        </w:rPr>
        <w:t>作为无效处理。</w:t>
      </w:r>
    </w:p>
    <w:p w14:paraId="6F3DAF8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16</w:t>
      </w:r>
      <w:r>
        <w:rPr>
          <w:rFonts w:hint="eastAsia" w:ascii="新宋体" w:hAnsi="新宋体" w:eastAsia="新宋体" w:cs="新宋体"/>
          <w:sz w:val="24"/>
          <w:szCs w:val="24"/>
        </w:rPr>
        <w:t>.5谈判工作在有关部门的监督下依法开展，任何单位和个人不得非法干预、影响谈判工作和谈判结果。</w:t>
      </w:r>
    </w:p>
    <w:p w14:paraId="17288FB7">
      <w:pPr>
        <w:adjustRightInd w:val="0"/>
        <w:snapToGrid w:val="0"/>
        <w:spacing w:line="360" w:lineRule="auto"/>
        <w:ind w:firstLine="480" w:firstLineChars="200"/>
        <w:rPr>
          <w:rFonts w:hint="eastAsia" w:ascii="新宋体" w:hAnsi="新宋体" w:eastAsia="新宋体" w:cs="新宋体"/>
          <w:sz w:val="24"/>
          <w:szCs w:val="24"/>
        </w:rPr>
      </w:pPr>
      <w:bookmarkStart w:id="142" w:name="_Toc24288_WPSOffice_Level3"/>
      <w:bookmarkStart w:id="143" w:name="_Toc25644_WPSOffice_Level3"/>
      <w:bookmarkStart w:id="144" w:name="_Toc110437583"/>
      <w:bookmarkStart w:id="145" w:name="_Toc2176"/>
      <w:bookmarkStart w:id="146" w:name="_Toc14903"/>
      <w:r>
        <w:rPr>
          <w:rFonts w:hint="eastAsia" w:ascii="新宋体" w:hAnsi="新宋体" w:eastAsia="新宋体" w:cs="新宋体"/>
          <w:sz w:val="24"/>
          <w:szCs w:val="24"/>
          <w:lang w:val="en-US" w:eastAsia="zh-CN"/>
        </w:rPr>
        <w:t>17</w:t>
      </w:r>
      <w:r>
        <w:rPr>
          <w:rFonts w:hint="eastAsia" w:ascii="新宋体" w:hAnsi="新宋体" w:eastAsia="新宋体" w:cs="新宋体"/>
          <w:sz w:val="24"/>
          <w:szCs w:val="24"/>
        </w:rPr>
        <w:t>.澄清</w:t>
      </w:r>
      <w:bookmarkEnd w:id="142"/>
      <w:bookmarkEnd w:id="143"/>
      <w:bookmarkEnd w:id="144"/>
      <w:bookmarkEnd w:id="145"/>
      <w:bookmarkEnd w:id="146"/>
    </w:p>
    <w:p w14:paraId="7BACBABF">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17</w:t>
      </w:r>
      <w:r>
        <w:rPr>
          <w:rFonts w:hint="eastAsia" w:ascii="新宋体" w:hAnsi="新宋体" w:eastAsia="新宋体" w:cs="新宋体"/>
          <w:sz w:val="24"/>
          <w:szCs w:val="24"/>
        </w:rPr>
        <w:t>.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14:paraId="476A9CD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17</w:t>
      </w:r>
      <w:r>
        <w:rPr>
          <w:rFonts w:hint="eastAsia" w:ascii="新宋体" w:hAnsi="新宋体" w:eastAsia="新宋体" w:cs="新宋体"/>
          <w:sz w:val="24"/>
          <w:szCs w:val="24"/>
        </w:rPr>
        <w:t>.2供应商的澄清、说明或者更正响应文件应当采用书面形式，由法定代表人或其授权代表签字或者加盖公章。由授权代表签字的，应当附法定代表人授权书。</w:t>
      </w:r>
    </w:p>
    <w:p w14:paraId="65226F45">
      <w:pPr>
        <w:adjustRightInd w:val="0"/>
        <w:snapToGrid w:val="0"/>
        <w:spacing w:line="360" w:lineRule="auto"/>
        <w:ind w:firstLine="480" w:firstLineChars="200"/>
        <w:rPr>
          <w:rFonts w:hint="eastAsia" w:ascii="新宋体" w:hAnsi="新宋体" w:eastAsia="新宋体" w:cs="新宋体"/>
          <w:sz w:val="24"/>
          <w:szCs w:val="24"/>
        </w:rPr>
      </w:pPr>
      <w:bookmarkStart w:id="147" w:name="_Toc4997"/>
      <w:bookmarkStart w:id="148" w:name="_Toc6898_WPSOffice_Level3"/>
      <w:bookmarkStart w:id="149" w:name="_Toc110437584"/>
      <w:bookmarkStart w:id="150" w:name="_Toc13262_WPSOffice_Level3"/>
      <w:bookmarkStart w:id="151" w:name="_Toc8374"/>
      <w:r>
        <w:rPr>
          <w:rFonts w:hint="eastAsia" w:ascii="新宋体" w:hAnsi="新宋体" w:eastAsia="新宋体" w:cs="新宋体"/>
          <w:sz w:val="24"/>
          <w:szCs w:val="24"/>
          <w:lang w:val="en-US" w:eastAsia="zh-CN"/>
        </w:rPr>
        <w:t>18</w:t>
      </w:r>
      <w:r>
        <w:rPr>
          <w:rFonts w:hint="eastAsia" w:ascii="新宋体" w:hAnsi="新宋体" w:eastAsia="新宋体" w:cs="新宋体"/>
          <w:sz w:val="24"/>
          <w:szCs w:val="24"/>
        </w:rPr>
        <w:t>.退出谈判</w:t>
      </w:r>
      <w:bookmarkEnd w:id="147"/>
      <w:bookmarkEnd w:id="148"/>
      <w:bookmarkEnd w:id="149"/>
      <w:bookmarkEnd w:id="150"/>
      <w:bookmarkEnd w:id="151"/>
    </w:p>
    <w:p w14:paraId="27D7F1FC">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供应商在提交最后报价之前，可以根据谈判情况退出谈判，并由法定代表人或其授权代表签字或加盖公章书面通知采购人、采购代理机构或者谈判小组。采购人、采购代理机构按规定退还退出谈判的供应商的谈判保证金。</w:t>
      </w:r>
    </w:p>
    <w:p w14:paraId="70151A2F">
      <w:pPr>
        <w:adjustRightInd w:val="0"/>
        <w:snapToGrid w:val="0"/>
        <w:spacing w:line="360" w:lineRule="auto"/>
        <w:ind w:firstLine="480" w:firstLineChars="200"/>
        <w:rPr>
          <w:rFonts w:hint="eastAsia" w:ascii="新宋体" w:hAnsi="新宋体" w:eastAsia="新宋体" w:cs="新宋体"/>
          <w:sz w:val="24"/>
          <w:szCs w:val="24"/>
        </w:rPr>
      </w:pPr>
      <w:bookmarkStart w:id="152" w:name="_Toc110437585"/>
      <w:bookmarkStart w:id="153" w:name="_Toc14748"/>
      <w:bookmarkStart w:id="154" w:name="_Toc18169_WPSOffice_Level3"/>
      <w:bookmarkStart w:id="155" w:name="_Toc32003"/>
      <w:bookmarkStart w:id="156" w:name="_Toc5048_WPSOffice_Level3"/>
      <w:r>
        <w:rPr>
          <w:rFonts w:hint="eastAsia" w:ascii="新宋体" w:hAnsi="新宋体" w:eastAsia="新宋体" w:cs="新宋体"/>
          <w:sz w:val="24"/>
          <w:szCs w:val="24"/>
          <w:lang w:val="en-US" w:eastAsia="zh-CN"/>
        </w:rPr>
        <w:t>19</w:t>
      </w:r>
      <w:r>
        <w:rPr>
          <w:rFonts w:hint="eastAsia" w:ascii="新宋体" w:hAnsi="新宋体" w:eastAsia="新宋体" w:cs="新宋体"/>
          <w:sz w:val="24"/>
          <w:szCs w:val="24"/>
        </w:rPr>
        <w:t>.最终报价</w:t>
      </w:r>
      <w:bookmarkEnd w:id="152"/>
      <w:bookmarkEnd w:id="153"/>
      <w:bookmarkEnd w:id="154"/>
      <w:bookmarkEnd w:id="155"/>
      <w:bookmarkEnd w:id="156"/>
    </w:p>
    <w:p w14:paraId="6FC7EC9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19</w:t>
      </w:r>
      <w:r>
        <w:rPr>
          <w:rFonts w:hint="eastAsia" w:ascii="新宋体" w:hAnsi="新宋体" w:eastAsia="新宋体" w:cs="新宋体"/>
          <w:sz w:val="24"/>
          <w:szCs w:val="24"/>
        </w:rPr>
        <w:t>.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10A47500">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19</w:t>
      </w:r>
      <w:r>
        <w:rPr>
          <w:rFonts w:hint="eastAsia" w:ascii="新宋体" w:hAnsi="新宋体" w:eastAsia="新宋体" w:cs="新宋体"/>
          <w:sz w:val="24"/>
          <w:szCs w:val="24"/>
        </w:rPr>
        <w:t>.2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20916823">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19</w:t>
      </w:r>
      <w:r>
        <w:rPr>
          <w:rFonts w:hint="eastAsia" w:ascii="新宋体" w:hAnsi="新宋体" w:eastAsia="新宋体" w:cs="新宋体"/>
          <w:sz w:val="24"/>
          <w:szCs w:val="24"/>
        </w:rPr>
        <w:t>.3最后报价的评审</w:t>
      </w:r>
    </w:p>
    <w:p w14:paraId="45BD168C">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（1）最后报价出现大写金额和小写金额不一致的，以大写金额为准。</w:t>
      </w:r>
    </w:p>
    <w:p w14:paraId="0DBDE3F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（2）需落实政府采购政策的，按相关规定进行价格扣除。</w:t>
      </w:r>
    </w:p>
    <w:p w14:paraId="46C105FD">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19</w:t>
      </w:r>
      <w:r>
        <w:rPr>
          <w:rFonts w:hint="eastAsia" w:ascii="新宋体" w:hAnsi="新宋体" w:eastAsia="新宋体" w:cs="新宋体"/>
          <w:sz w:val="24"/>
          <w:szCs w:val="24"/>
        </w:rPr>
        <w:t>.4最后报价如果高于其响应文件中的首次报价的，以最后报价为准。</w:t>
      </w:r>
    </w:p>
    <w:p w14:paraId="2BA37F0E">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19</w:t>
      </w:r>
      <w:r>
        <w:rPr>
          <w:rFonts w:hint="eastAsia" w:ascii="新宋体" w:hAnsi="新宋体" w:eastAsia="新宋体" w:cs="新宋体"/>
          <w:sz w:val="24"/>
          <w:szCs w:val="24"/>
        </w:rPr>
        <w:t>.5采购人、采购代理机构在按规定公布供应商的最后报价前，不得公开供应商的技术资料、价格和其他信息。</w:t>
      </w:r>
    </w:p>
    <w:p w14:paraId="0283F97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19</w:t>
      </w:r>
      <w:r>
        <w:rPr>
          <w:rFonts w:hint="eastAsia" w:ascii="新宋体" w:hAnsi="新宋体" w:eastAsia="新宋体" w:cs="新宋体"/>
          <w:sz w:val="24"/>
          <w:szCs w:val="24"/>
        </w:rPr>
        <w:t>.6若最后报价时出现最低价相同的情形，谈判小组应召集报价相同的供应商进行再次报价（或直接提出成交候选人）（由采购人、代理机构自主选择）。</w:t>
      </w:r>
    </w:p>
    <w:p w14:paraId="027D6297">
      <w:pPr>
        <w:adjustRightInd w:val="0"/>
        <w:snapToGrid w:val="0"/>
        <w:spacing w:line="360" w:lineRule="auto"/>
        <w:ind w:firstLine="480" w:firstLineChars="200"/>
        <w:rPr>
          <w:rFonts w:hint="eastAsia" w:ascii="新宋体" w:hAnsi="新宋体" w:eastAsia="新宋体" w:cs="新宋体"/>
          <w:sz w:val="24"/>
          <w:szCs w:val="24"/>
        </w:rPr>
      </w:pPr>
      <w:bookmarkStart w:id="157" w:name="_Toc110437586"/>
      <w:bookmarkStart w:id="158" w:name="_Toc7275"/>
      <w:bookmarkStart w:id="159" w:name="_Toc16084_WPSOffice_Level3"/>
      <w:bookmarkStart w:id="160" w:name="_Toc8242_WPSOffice_Level3"/>
      <w:bookmarkStart w:id="161" w:name="_Toc1797"/>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.确定成交供应商</w:t>
      </w:r>
      <w:bookmarkEnd w:id="157"/>
      <w:bookmarkEnd w:id="158"/>
      <w:bookmarkEnd w:id="159"/>
      <w:bookmarkEnd w:id="160"/>
      <w:bookmarkEnd w:id="161"/>
    </w:p>
    <w:p w14:paraId="57B16A5F">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.1谈判小组应当按照最终报价由低到高的顺序提出成交候选人，并编写评审报告。</w:t>
      </w:r>
    </w:p>
    <w:p w14:paraId="185230C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0</w:t>
      </w:r>
      <w:r>
        <w:rPr>
          <w:rFonts w:hint="eastAsia" w:ascii="新宋体" w:hAnsi="新宋体" w:eastAsia="新宋体" w:cs="新宋体"/>
          <w:sz w:val="24"/>
          <w:szCs w:val="24"/>
        </w:rPr>
        <w:t>.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68FBDB2A">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.3采购人书面授权谈判小组从评审报告提出的成交候选人中直接确定成交供应商。</w:t>
      </w:r>
    </w:p>
    <w:p w14:paraId="1FC734AE">
      <w:pPr>
        <w:adjustRightInd w:val="0"/>
        <w:snapToGrid w:val="0"/>
        <w:spacing w:line="360" w:lineRule="auto"/>
        <w:ind w:firstLine="480" w:firstLineChars="200"/>
        <w:rPr>
          <w:rFonts w:hint="eastAsia" w:ascii="新宋体" w:hAnsi="新宋体" w:eastAsia="新宋体" w:cs="新宋体"/>
          <w:sz w:val="24"/>
          <w:szCs w:val="24"/>
        </w:rPr>
      </w:pPr>
      <w:bookmarkStart w:id="162" w:name="_Toc10295"/>
      <w:bookmarkStart w:id="163" w:name="_Toc17639_WPSOffice_Level3"/>
      <w:bookmarkStart w:id="164" w:name="_Toc20869_WPSOffice_Level3"/>
      <w:bookmarkStart w:id="165" w:name="_Toc24684"/>
      <w:bookmarkStart w:id="166" w:name="_Toc110437587"/>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.重新评审</w:t>
      </w:r>
      <w:bookmarkEnd w:id="162"/>
      <w:bookmarkEnd w:id="163"/>
      <w:bookmarkEnd w:id="164"/>
      <w:bookmarkEnd w:id="165"/>
      <w:bookmarkEnd w:id="166"/>
    </w:p>
    <w:p w14:paraId="3DF9AC9F">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.1除资格审查认定错误和价格计算错误外，采购人、采购代理机构不以任何理由组织重新评审。</w:t>
      </w:r>
    </w:p>
    <w:p w14:paraId="316545AF">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.2采购人、采购代理机构发现谈判小组未按照谈判文件规定的评定成交标准进行评审的，应当重新开展采购活动，并同时书面报告同级财政部门。</w:t>
      </w:r>
    </w:p>
    <w:p w14:paraId="511A48AA">
      <w:pPr>
        <w:adjustRightInd w:val="0"/>
        <w:snapToGrid w:val="0"/>
        <w:spacing w:line="360" w:lineRule="auto"/>
        <w:ind w:firstLine="480" w:firstLineChars="200"/>
        <w:rPr>
          <w:rFonts w:hint="eastAsia" w:ascii="新宋体" w:hAnsi="新宋体" w:eastAsia="新宋体" w:cs="新宋体"/>
          <w:sz w:val="24"/>
          <w:szCs w:val="24"/>
        </w:rPr>
      </w:pPr>
      <w:bookmarkStart w:id="167" w:name="_Toc3509"/>
      <w:bookmarkStart w:id="168" w:name="_Toc12673"/>
      <w:bookmarkStart w:id="169" w:name="_Toc110437588"/>
      <w:bookmarkStart w:id="170" w:name="_Toc1388_WPSOffice_Level3"/>
      <w:bookmarkStart w:id="171" w:name="_Toc26374_WPSOffice_Level3"/>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.谈判终止</w:t>
      </w:r>
      <w:bookmarkEnd w:id="167"/>
      <w:bookmarkEnd w:id="168"/>
      <w:bookmarkEnd w:id="169"/>
      <w:bookmarkEnd w:id="170"/>
      <w:bookmarkEnd w:id="171"/>
    </w:p>
    <w:p w14:paraId="791B3B1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 xml:space="preserve">.1出现下列情形之一的，采购人、采购代理机构应当终止竞争性谈判采购活动，在指定的媒体上发布项目终止公告并说明原因，重新开展采购活动： </w:t>
      </w:r>
    </w:p>
    <w:p w14:paraId="32BFD09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（1）因情况变化，不再符合规定的竞争性谈判采购方式适用情形的；</w:t>
      </w:r>
    </w:p>
    <w:p w14:paraId="685B162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（2）出现影响采购公正的违法、违规行为的；</w:t>
      </w:r>
    </w:p>
    <w:p w14:paraId="4BEF13B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（3）在采购过程中符合谈判要求的供应商或者报价未超过采购预算的供应商不足3家的，或者提交最后报价的供应商少于3家的；</w:t>
      </w:r>
    </w:p>
    <w:p w14:paraId="78B9E9EC">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（4）因重大变故，采购任务取消的。</w:t>
      </w:r>
    </w:p>
    <w:p w14:paraId="0DDECB2A">
      <w:pPr>
        <w:adjustRightInd w:val="0"/>
        <w:snapToGrid w:val="0"/>
        <w:spacing w:line="360" w:lineRule="auto"/>
        <w:ind w:firstLine="480" w:firstLineChars="200"/>
        <w:rPr>
          <w:rFonts w:hint="eastAsia" w:ascii="新宋体" w:hAnsi="新宋体" w:eastAsia="新宋体" w:cs="新宋体"/>
          <w:sz w:val="24"/>
          <w:szCs w:val="24"/>
        </w:rPr>
      </w:pPr>
      <w:bookmarkStart w:id="172" w:name="_Toc18635_WPSOffice_Level3"/>
      <w:bookmarkStart w:id="173" w:name="_Toc32730"/>
      <w:bookmarkStart w:id="174" w:name="_Toc20688_WPSOffice_Level3"/>
      <w:bookmarkStart w:id="175" w:name="_Toc11721"/>
      <w:bookmarkStart w:id="176" w:name="_Toc110437589"/>
      <w:r>
        <w:rPr>
          <w:rFonts w:hint="eastAsia" w:ascii="新宋体" w:hAnsi="新宋体" w:eastAsia="新宋体" w:cs="新宋体"/>
          <w:sz w:val="24"/>
          <w:szCs w:val="24"/>
          <w:lang w:val="en-US" w:eastAsia="zh-CN"/>
        </w:rPr>
        <w:t>23</w:t>
      </w:r>
      <w:r>
        <w:rPr>
          <w:rFonts w:hint="eastAsia" w:ascii="新宋体" w:hAnsi="新宋体" w:eastAsia="新宋体" w:cs="新宋体"/>
          <w:sz w:val="24"/>
          <w:szCs w:val="24"/>
        </w:rPr>
        <w:t>.串通情形认定及处理</w:t>
      </w:r>
      <w:bookmarkEnd w:id="172"/>
      <w:bookmarkEnd w:id="173"/>
      <w:bookmarkEnd w:id="174"/>
      <w:bookmarkEnd w:id="175"/>
      <w:bookmarkEnd w:id="176"/>
    </w:p>
    <w:p w14:paraId="63B4578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23</w:t>
      </w:r>
      <w:r>
        <w:rPr>
          <w:rFonts w:hint="eastAsia" w:ascii="新宋体" w:hAnsi="新宋体" w:eastAsia="新宋体" w:cs="新宋体"/>
          <w:sz w:val="24"/>
          <w:szCs w:val="24"/>
        </w:rPr>
        <w:t>.1供应商不得与采购人、采购代理机构、其他供应商恶意串通；不得向采购人、采购代理机构或者谈判小组成员行贿或者提供其他不正当利益；不得提供虚假材料谋取成交；不得以任何方式干扰、影响采购工作。</w:t>
      </w:r>
    </w:p>
    <w:p w14:paraId="48ECB1E7">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23</w:t>
      </w:r>
      <w:r>
        <w:rPr>
          <w:rFonts w:hint="eastAsia" w:ascii="新宋体" w:hAnsi="新宋体" w:eastAsia="新宋体" w:cs="新宋体"/>
          <w:sz w:val="24"/>
          <w:szCs w:val="24"/>
        </w:rPr>
        <w:t>.2有下列情形之一的，成交无效，对供应商依照《中华人民共和国政府采购法》第七十七条的规定追究法律责任：</w:t>
      </w:r>
    </w:p>
    <w:p w14:paraId="1D16BD36">
      <w:pPr>
        <w:adjustRightInd w:val="0"/>
        <w:snapToGrid w:val="0"/>
        <w:spacing w:line="360" w:lineRule="auto"/>
        <w:ind w:firstLine="480" w:firstLineChars="200"/>
        <w:rPr>
          <w:rFonts w:hint="eastAsia" w:ascii="新宋体" w:hAnsi="新宋体" w:eastAsia="新宋体" w:cs="新宋体"/>
          <w:sz w:val="24"/>
          <w:szCs w:val="24"/>
        </w:rPr>
      </w:pPr>
      <w:bookmarkStart w:id="177" w:name="_Toc34637770"/>
      <w:bookmarkStart w:id="178" w:name="_Toc22761"/>
      <w:r>
        <w:rPr>
          <w:rFonts w:hint="eastAsia" w:ascii="新宋体" w:hAnsi="新宋体" w:eastAsia="新宋体" w:cs="新宋体"/>
          <w:sz w:val="24"/>
          <w:szCs w:val="24"/>
        </w:rPr>
        <w:t>（1）供应商直接或者间接从采购人或者采购代理机构处获得其他供应商的相关情况并修改其响应文件；</w:t>
      </w:r>
    </w:p>
    <w:p w14:paraId="2E40265D">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（2）供应商按照采购人或者采购代理机构的授意撤换、修改响应文件；</w:t>
      </w:r>
    </w:p>
    <w:p w14:paraId="123A00F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（3）供应商之间协商报价、技术方案等响应文件的实质性内容；</w:t>
      </w:r>
    </w:p>
    <w:p w14:paraId="2F37AAF1">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（4）属于同一集团、协会、商会等组织成员的供应商按照该组织要求协同参加政府采购活动；</w:t>
      </w:r>
    </w:p>
    <w:p w14:paraId="42452001">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（5）供应商之间事先约定由某一特定供应商成交；</w:t>
      </w:r>
    </w:p>
    <w:p w14:paraId="7C45A0D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（6）供应商之间商定部分供应商放弃参加政府采购活动或者放弃成交；</w:t>
      </w:r>
    </w:p>
    <w:p w14:paraId="613AF2DC">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（7）供应商与采购人或者采购代理机构之间、供应商相互之间，为谋求特定供应商成交或者排斥其他供应商的其他串通行为。</w:t>
      </w:r>
    </w:p>
    <w:p w14:paraId="3D251910">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23</w:t>
      </w:r>
      <w:r>
        <w:rPr>
          <w:rFonts w:hint="eastAsia" w:ascii="新宋体" w:hAnsi="新宋体" w:eastAsia="新宋体" w:cs="新宋体"/>
          <w:sz w:val="24"/>
          <w:szCs w:val="24"/>
        </w:rPr>
        <w:t>.3 有下列情形之一的，视为供应商串通，其响应无效：</w:t>
      </w:r>
    </w:p>
    <w:p w14:paraId="6324CB4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（1）不同供应商的响应文件由同一单位或者个人编制；</w:t>
      </w:r>
    </w:p>
    <w:p w14:paraId="7FAF8923">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（2）不同供应商委托同一单位或者个人办理谈判事宜；</w:t>
      </w:r>
    </w:p>
    <w:p w14:paraId="729EEBA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（3）不同供应商的响应文件载明的项目管理成员或者联系人员为同一人；</w:t>
      </w:r>
    </w:p>
    <w:p w14:paraId="648DCDA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（4）不同供应商的响应文件异常一致或者报价呈规律性差异；</w:t>
      </w:r>
    </w:p>
    <w:p w14:paraId="5B634B9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（5）不同供应商的响应文件相互混装；</w:t>
      </w:r>
    </w:p>
    <w:p w14:paraId="1CC4C34F">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（6）不同供应商的保证金从同一单位或者个人的账户转出。</w:t>
      </w:r>
    </w:p>
    <w:p w14:paraId="56AA9B05">
      <w:pPr>
        <w:adjustRightInd w:val="0"/>
        <w:snapToGrid w:val="0"/>
        <w:spacing w:before="240" w:beforeLines="100" w:after="120" w:afterLines="50" w:line="360" w:lineRule="auto"/>
        <w:jc w:val="center"/>
        <w:outlineLvl w:val="1"/>
        <w:rPr>
          <w:rFonts w:hint="eastAsia" w:ascii="新宋体" w:hAnsi="新宋体" w:eastAsia="新宋体" w:cs="新宋体"/>
          <w:sz w:val="30"/>
          <w:szCs w:val="30"/>
        </w:rPr>
      </w:pPr>
      <w:bookmarkStart w:id="179" w:name="_Toc344"/>
      <w:bookmarkStart w:id="180" w:name="_Toc110437590"/>
      <w:r>
        <w:rPr>
          <w:rFonts w:hint="eastAsia" w:ascii="新宋体" w:hAnsi="新宋体" w:eastAsia="新宋体" w:cs="新宋体"/>
          <w:sz w:val="30"/>
          <w:szCs w:val="30"/>
        </w:rPr>
        <w:t>六、成交结果信息公布与授予合同</w:t>
      </w:r>
      <w:bookmarkEnd w:id="177"/>
      <w:bookmarkEnd w:id="178"/>
      <w:bookmarkEnd w:id="179"/>
      <w:bookmarkEnd w:id="180"/>
    </w:p>
    <w:p w14:paraId="72E1A895">
      <w:pPr>
        <w:adjustRightInd w:val="0"/>
        <w:snapToGrid w:val="0"/>
        <w:spacing w:line="360" w:lineRule="auto"/>
        <w:ind w:firstLine="480" w:firstLineChars="200"/>
        <w:rPr>
          <w:rFonts w:hint="eastAsia" w:ascii="新宋体" w:hAnsi="新宋体" w:eastAsia="新宋体" w:cs="新宋体"/>
          <w:sz w:val="24"/>
          <w:szCs w:val="24"/>
        </w:rPr>
      </w:pPr>
      <w:bookmarkStart w:id="181" w:name="_Toc30784_WPSOffice_Level3"/>
      <w:bookmarkStart w:id="182" w:name="_Toc8339_WPSOffice_Level3"/>
      <w:bookmarkStart w:id="183" w:name="_Toc110437591"/>
      <w:bookmarkStart w:id="184" w:name="_Toc23126"/>
      <w:bookmarkStart w:id="185" w:name="_Toc947"/>
      <w:r>
        <w:rPr>
          <w:rFonts w:hint="eastAsia" w:ascii="新宋体" w:hAnsi="新宋体" w:eastAsia="新宋体" w:cs="新宋体"/>
          <w:sz w:val="24"/>
          <w:szCs w:val="24"/>
          <w:lang w:val="en-US" w:eastAsia="zh-CN"/>
        </w:rPr>
        <w:t>24</w:t>
      </w:r>
      <w:r>
        <w:rPr>
          <w:rFonts w:hint="eastAsia" w:ascii="新宋体" w:hAnsi="新宋体" w:eastAsia="新宋体" w:cs="新宋体"/>
          <w:sz w:val="24"/>
          <w:szCs w:val="24"/>
        </w:rPr>
        <w:t>.成交信息的公布与通知</w:t>
      </w:r>
      <w:bookmarkEnd w:id="181"/>
      <w:bookmarkEnd w:id="182"/>
      <w:bookmarkEnd w:id="183"/>
      <w:bookmarkEnd w:id="184"/>
      <w:bookmarkEnd w:id="185"/>
    </w:p>
    <w:p w14:paraId="15487F59">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24</w:t>
      </w:r>
      <w:r>
        <w:rPr>
          <w:rFonts w:hint="eastAsia" w:ascii="新宋体" w:hAnsi="新宋体" w:eastAsia="新宋体" w:cs="新宋体"/>
          <w:sz w:val="24"/>
          <w:szCs w:val="24"/>
        </w:rPr>
        <w:t>.1代理机构应自确定成交供应商之日起2个工作日内在公告发布网站上公告成交结果，同时向成交供应商发出《成交通知书》。成交通知书对采购人和成交供应商具有同等法律效力。</w:t>
      </w:r>
    </w:p>
    <w:p w14:paraId="2AD94227">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.2成交结果公告应当包括以下内容：</w:t>
      </w:r>
    </w:p>
    <w:p w14:paraId="573D72C4">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（1）采购人和采购代理机构的名称、地址和联系方式；</w:t>
      </w:r>
    </w:p>
    <w:p w14:paraId="6E0929E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（2）项目名称和项目编号；</w:t>
      </w:r>
    </w:p>
    <w:p w14:paraId="626BE853">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（3）成交供应商名称、地址和成交金额；</w:t>
      </w:r>
    </w:p>
    <w:p w14:paraId="2E43627E">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（4）主要成交标的的名称、规格型号、数量、单价、总价；</w:t>
      </w:r>
    </w:p>
    <w:p w14:paraId="35E0C46A">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（5）谈判小组成员名单。</w:t>
      </w:r>
    </w:p>
    <w:p w14:paraId="6F74F81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.3《成交通知书》发出后，采购人不得违法改变采购结果，成交供应商无正当理由不得放弃。</w:t>
      </w:r>
    </w:p>
    <w:p w14:paraId="691086AB">
      <w:pPr>
        <w:adjustRightInd w:val="0"/>
        <w:snapToGrid w:val="0"/>
        <w:spacing w:line="360" w:lineRule="auto"/>
        <w:ind w:firstLine="480" w:firstLineChars="200"/>
        <w:rPr>
          <w:rFonts w:hint="eastAsia" w:ascii="新宋体" w:hAnsi="新宋体" w:eastAsia="新宋体" w:cs="新宋体"/>
          <w:sz w:val="24"/>
          <w:szCs w:val="24"/>
        </w:rPr>
      </w:pPr>
      <w:bookmarkStart w:id="186" w:name="_Toc13860_WPSOffice_Level3"/>
      <w:bookmarkStart w:id="187" w:name="_Toc20586"/>
      <w:bookmarkStart w:id="188" w:name="_Toc29441"/>
      <w:bookmarkStart w:id="189" w:name="_Toc5068_WPSOffice_Level3"/>
      <w:bookmarkStart w:id="190" w:name="_Toc110437592"/>
      <w:r>
        <w:rPr>
          <w:rFonts w:hint="eastAsia" w:ascii="新宋体" w:hAnsi="新宋体" w:eastAsia="新宋体" w:cs="新宋体"/>
          <w:sz w:val="24"/>
          <w:szCs w:val="24"/>
          <w:lang w:val="en-US" w:eastAsia="zh-CN"/>
        </w:rPr>
        <w:t>25</w:t>
      </w:r>
      <w:r>
        <w:rPr>
          <w:rFonts w:hint="eastAsia" w:ascii="新宋体" w:hAnsi="新宋体" w:eastAsia="新宋体" w:cs="新宋体"/>
          <w:sz w:val="24"/>
          <w:szCs w:val="24"/>
        </w:rPr>
        <w:t>.授予合同</w:t>
      </w:r>
      <w:bookmarkEnd w:id="186"/>
      <w:bookmarkEnd w:id="187"/>
      <w:bookmarkEnd w:id="188"/>
      <w:bookmarkEnd w:id="189"/>
      <w:bookmarkEnd w:id="190"/>
    </w:p>
    <w:p w14:paraId="42523447">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.1谈判文件、成交供应商的响应文件及其补充的响应文件、成交通知书等均为签订政府采购合同的依据。</w:t>
      </w:r>
    </w:p>
    <w:p w14:paraId="70E5B66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.2采购人与成交供应商双方应当自《成交通知书》发出之日起10日内，按照谈判文件确定的合同文本以及采购标的、规格型号、采购金额、采购数量等事项签订政府采购合同。</w:t>
      </w:r>
    </w:p>
    <w:p w14:paraId="400840A4">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.3采购人不得向成交供应商提出超出谈判文件以外的任何要求作为订立合同的条件，不得与成交供应商订立背离谈判文件确定的合同文本以及采购标的、规格型号、采购金额、采购数量等实质性内容的协议。</w:t>
      </w:r>
    </w:p>
    <w:p w14:paraId="251FB756">
      <w:pPr>
        <w:adjustRightInd w:val="0"/>
        <w:snapToGrid w:val="0"/>
        <w:spacing w:line="360" w:lineRule="auto"/>
        <w:ind w:firstLine="480" w:firstLineChars="200"/>
        <w:rPr>
          <w:rFonts w:hint="eastAsia" w:ascii="新宋体" w:hAnsi="新宋体" w:eastAsia="新宋体" w:cs="新宋体"/>
          <w:sz w:val="24"/>
          <w:szCs w:val="24"/>
        </w:rPr>
      </w:pPr>
      <w:bookmarkStart w:id="191" w:name="_Toc14343"/>
      <w:bookmarkStart w:id="192" w:name="_Toc16374"/>
      <w:bookmarkStart w:id="193" w:name="_Toc32538"/>
      <w:bookmarkStart w:id="194" w:name="_Toc8740_WPSOffice_Level3"/>
      <w:bookmarkStart w:id="195" w:name="_Toc16258_WPSOffice_Level3"/>
      <w:bookmarkStart w:id="196" w:name="_Toc110437593"/>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.履约</w:t>
      </w:r>
      <w:bookmarkEnd w:id="191"/>
      <w:bookmarkEnd w:id="192"/>
      <w:bookmarkEnd w:id="193"/>
      <w:bookmarkEnd w:id="194"/>
      <w:bookmarkEnd w:id="195"/>
      <w:r>
        <w:rPr>
          <w:rFonts w:hint="eastAsia" w:ascii="新宋体" w:hAnsi="新宋体" w:eastAsia="新宋体" w:cs="新宋体"/>
          <w:sz w:val="24"/>
          <w:szCs w:val="24"/>
        </w:rPr>
        <w:t>保证金</w:t>
      </w:r>
      <w:bookmarkEnd w:id="196"/>
    </w:p>
    <w:p w14:paraId="0F380859">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.1履约保证金：</w:t>
      </w:r>
    </w:p>
    <w:p w14:paraId="3984BDD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采购文件要求中标或者成交供应商提交履约保证金的，供应商应当以支票、汇票、本票或者金融机构、担保机构出具的保函等非现金形式提交。履约保证金的数额不得超过政府采购合同金额的10%。</w:t>
      </w:r>
    </w:p>
    <w:p w14:paraId="7862DAEE">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.2采购人应当加强履约管理，对于成交供应商违反采购合同约定的行为，采购人应当及时处理，依法追究其违约责任。</w:t>
      </w:r>
    </w:p>
    <w:p w14:paraId="6997A6AF">
      <w:pPr>
        <w:adjustRightInd w:val="0"/>
        <w:snapToGrid w:val="0"/>
        <w:spacing w:line="360" w:lineRule="auto"/>
        <w:ind w:firstLine="480" w:firstLineChars="200"/>
        <w:rPr>
          <w:rFonts w:hint="eastAsia" w:ascii="新宋体" w:hAnsi="新宋体" w:eastAsia="新宋体" w:cs="新宋体"/>
          <w:sz w:val="24"/>
          <w:szCs w:val="24"/>
        </w:rPr>
      </w:pPr>
      <w:bookmarkStart w:id="197" w:name="_Toc110437594"/>
      <w:r>
        <w:rPr>
          <w:rFonts w:hint="eastAsia" w:ascii="新宋体" w:hAnsi="新宋体" w:eastAsia="新宋体" w:cs="新宋体"/>
          <w:sz w:val="24"/>
          <w:szCs w:val="24"/>
          <w:lang w:val="en-US" w:eastAsia="zh-CN"/>
        </w:rPr>
        <w:t>27</w:t>
      </w:r>
      <w:r>
        <w:rPr>
          <w:rFonts w:hint="eastAsia" w:ascii="新宋体" w:hAnsi="新宋体" w:eastAsia="新宋体" w:cs="新宋体"/>
          <w:sz w:val="24"/>
          <w:szCs w:val="24"/>
        </w:rPr>
        <w:t>.验收</w:t>
      </w:r>
      <w:bookmarkEnd w:id="197"/>
    </w:p>
    <w:p w14:paraId="168AB7EC">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27</w:t>
      </w:r>
      <w:r>
        <w:rPr>
          <w:rFonts w:hint="eastAsia" w:ascii="新宋体" w:hAnsi="新宋体" w:eastAsia="新宋体" w:cs="新宋体"/>
          <w:sz w:val="24"/>
          <w:szCs w:val="24"/>
        </w:rPr>
        <w:t>.1自检合格后，向采购人提交自检验收报告，采购人委托第三方进行交工验收，出具交工验收证书。</w:t>
      </w:r>
    </w:p>
    <w:p w14:paraId="5ECB98FC">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27</w:t>
      </w:r>
      <w:r>
        <w:rPr>
          <w:rFonts w:hint="eastAsia" w:ascii="新宋体" w:hAnsi="新宋体" w:eastAsia="新宋体" w:cs="新宋体"/>
          <w:sz w:val="24"/>
          <w:szCs w:val="24"/>
        </w:rPr>
        <w:t>.2验收合格后成交人向采购人提交合同总价的3%的费用作为质量保证金。</w:t>
      </w:r>
    </w:p>
    <w:p w14:paraId="6AC03C2E">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27</w:t>
      </w:r>
      <w:r>
        <w:rPr>
          <w:rFonts w:hint="eastAsia" w:ascii="新宋体" w:hAnsi="新宋体" w:eastAsia="新宋体" w:cs="新宋体"/>
          <w:sz w:val="24"/>
          <w:szCs w:val="24"/>
        </w:rPr>
        <w:t>.3缺陷责任期：</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个月。</w:t>
      </w:r>
    </w:p>
    <w:p w14:paraId="1BCC13A3">
      <w:pPr>
        <w:adjustRightInd w:val="0"/>
        <w:snapToGrid w:val="0"/>
        <w:spacing w:line="360" w:lineRule="auto"/>
        <w:ind w:firstLine="560" w:firstLineChars="200"/>
        <w:jc w:val="left"/>
        <w:rPr>
          <w:rFonts w:ascii="仿宋_GB2312" w:hAnsi="仿宋_GB2312" w:eastAsia="仿宋_GB2312" w:cs="仿宋_GB2312"/>
          <w:sz w:val="28"/>
          <w:szCs w:val="28"/>
        </w:rPr>
      </w:pPr>
    </w:p>
    <w:p w14:paraId="66ECF56D">
      <w:pPr>
        <w:adjustRightInd w:val="0"/>
        <w:snapToGrid w:val="0"/>
        <w:spacing w:before="240" w:beforeLines="100" w:after="120" w:afterLines="50" w:line="360" w:lineRule="auto"/>
        <w:jc w:val="center"/>
        <w:outlineLvl w:val="1"/>
        <w:rPr>
          <w:rFonts w:hint="eastAsia" w:ascii="新宋体" w:hAnsi="新宋体" w:eastAsia="新宋体" w:cs="新宋体"/>
          <w:sz w:val="30"/>
          <w:szCs w:val="30"/>
        </w:rPr>
      </w:pPr>
      <w:bookmarkStart w:id="198" w:name="_Toc376936761"/>
      <w:bookmarkStart w:id="199" w:name="_Toc3517_WPSOffice_Level2"/>
      <w:bookmarkStart w:id="200" w:name="_Toc15951"/>
      <w:bookmarkStart w:id="201" w:name="_Toc32362"/>
      <w:bookmarkStart w:id="202" w:name="_Toc6881"/>
      <w:bookmarkStart w:id="203" w:name="_Toc4328"/>
      <w:bookmarkStart w:id="204" w:name="_Toc2658_WPSOffice_Level2"/>
      <w:bookmarkStart w:id="205" w:name="_Toc110437595"/>
      <w:bookmarkStart w:id="206" w:name="_Toc31604_WPSOffice_Level2"/>
      <w:bookmarkStart w:id="207" w:name="_Toc325726030"/>
      <w:r>
        <w:rPr>
          <w:rFonts w:hint="eastAsia" w:ascii="新宋体" w:hAnsi="新宋体" w:eastAsia="新宋体" w:cs="新宋体"/>
          <w:sz w:val="30"/>
          <w:szCs w:val="30"/>
        </w:rPr>
        <w:t>七、询问与质疑</w:t>
      </w:r>
      <w:bookmarkEnd w:id="198"/>
      <w:bookmarkEnd w:id="199"/>
      <w:bookmarkEnd w:id="200"/>
      <w:bookmarkEnd w:id="201"/>
      <w:bookmarkEnd w:id="202"/>
      <w:bookmarkEnd w:id="203"/>
      <w:bookmarkEnd w:id="204"/>
      <w:bookmarkEnd w:id="205"/>
      <w:bookmarkEnd w:id="206"/>
      <w:bookmarkEnd w:id="207"/>
    </w:p>
    <w:p w14:paraId="29BB252D">
      <w:pPr>
        <w:adjustRightInd w:val="0"/>
        <w:snapToGrid w:val="0"/>
        <w:spacing w:line="360" w:lineRule="auto"/>
        <w:ind w:firstLine="480" w:firstLineChars="200"/>
        <w:rPr>
          <w:rFonts w:hint="eastAsia" w:ascii="新宋体" w:hAnsi="新宋体" w:eastAsia="新宋体" w:cs="新宋体"/>
          <w:sz w:val="24"/>
          <w:szCs w:val="24"/>
        </w:rPr>
      </w:pPr>
      <w:bookmarkStart w:id="208" w:name="_Toc110437596"/>
      <w:bookmarkStart w:id="209" w:name="_Toc29785"/>
      <w:bookmarkStart w:id="210" w:name="_Toc21641"/>
      <w:bookmarkStart w:id="211" w:name="_Toc23314_WPSOffice_Level3"/>
      <w:bookmarkStart w:id="212" w:name="_Toc25982_WPSOffice_Level3"/>
      <w:bookmarkStart w:id="213" w:name="_Toc14109"/>
      <w:bookmarkStart w:id="214" w:name="_Toc21832"/>
      <w:bookmarkStart w:id="215" w:name="_Toc102566331"/>
      <w:bookmarkStart w:id="216" w:name="_Toc34637771"/>
      <w:bookmarkStart w:id="217" w:name="_Toc11509_WPSOffice_Level2"/>
      <w:bookmarkStart w:id="218" w:name="_Toc4534"/>
      <w:bookmarkStart w:id="219" w:name="_Toc22889"/>
      <w:bookmarkStart w:id="220" w:name="_Toc22201076"/>
      <w:bookmarkStart w:id="221" w:name="_Toc6866_WPSOffice_Level2"/>
      <w:bookmarkStart w:id="222" w:name="_Toc9701_WPSOffice_Level2"/>
      <w:bookmarkStart w:id="223" w:name="_Toc28133"/>
      <w:bookmarkStart w:id="224" w:name="_Toc34637773"/>
      <w:bookmarkStart w:id="225" w:name="_Toc31765_WPSOffice_Level1"/>
      <w:bookmarkStart w:id="226" w:name="_Toc18130_WPSOffice_Level1"/>
      <w:bookmarkStart w:id="227" w:name="_Toc7566"/>
      <w:bookmarkStart w:id="228" w:name="_Toc7780_WPSOffice_Level1"/>
      <w:bookmarkStart w:id="229" w:name="_Toc29561_WPSOffice_Level1"/>
      <w:bookmarkStart w:id="230" w:name="_Toc13204"/>
      <w:bookmarkStart w:id="231" w:name="_Toc20750"/>
      <w:bookmarkStart w:id="232" w:name="_Toc4912_WPSOffice_Level1"/>
      <w:bookmarkStart w:id="233" w:name="_Toc2404_WPSOffice_Level1"/>
      <w:r>
        <w:rPr>
          <w:rFonts w:hint="eastAsia" w:ascii="新宋体" w:hAnsi="新宋体" w:eastAsia="新宋体" w:cs="新宋体"/>
          <w:sz w:val="24"/>
          <w:szCs w:val="24"/>
          <w:lang w:val="en-US" w:eastAsia="zh-CN"/>
        </w:rPr>
        <w:t>28</w:t>
      </w:r>
      <w:r>
        <w:rPr>
          <w:rFonts w:hint="eastAsia" w:ascii="新宋体" w:hAnsi="新宋体" w:eastAsia="新宋体" w:cs="新宋体"/>
          <w:sz w:val="24"/>
          <w:szCs w:val="24"/>
        </w:rPr>
        <w:t>.对采购过程、结果的询问及质疑</w:t>
      </w:r>
      <w:bookmarkEnd w:id="208"/>
      <w:bookmarkEnd w:id="209"/>
      <w:bookmarkEnd w:id="210"/>
      <w:bookmarkEnd w:id="211"/>
      <w:bookmarkEnd w:id="212"/>
      <w:bookmarkEnd w:id="213"/>
    </w:p>
    <w:p w14:paraId="34BDDAB0">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28</w:t>
      </w:r>
      <w:r>
        <w:rPr>
          <w:rFonts w:hint="eastAsia" w:ascii="新宋体" w:hAnsi="新宋体" w:eastAsia="新宋体" w:cs="新宋体"/>
          <w:sz w:val="24"/>
          <w:szCs w:val="24"/>
        </w:rPr>
        <w:t>.1供应商对政府采购过程、结果有疑问的，可以向采购人、采购代理机构提出询问。</w:t>
      </w:r>
    </w:p>
    <w:p w14:paraId="27B3E11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28</w:t>
      </w:r>
      <w:r>
        <w:rPr>
          <w:rFonts w:hint="eastAsia" w:ascii="新宋体" w:hAnsi="新宋体" w:eastAsia="新宋体" w:cs="新宋体"/>
          <w:sz w:val="24"/>
          <w:szCs w:val="24"/>
        </w:rPr>
        <w:t>.2参与所质疑项目的供应商认为采购过程、成交结果使自己的权益受到损害的，可以在知道或者应知其权益受到损害之日起7个工作日内，以书面形式向采购人、采购代理机构提出质疑。</w:t>
      </w:r>
    </w:p>
    <w:p w14:paraId="08521D9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28</w:t>
      </w:r>
      <w:r>
        <w:rPr>
          <w:rFonts w:hint="eastAsia" w:ascii="新宋体" w:hAnsi="新宋体" w:eastAsia="新宋体" w:cs="新宋体"/>
          <w:sz w:val="24"/>
          <w:szCs w:val="24"/>
        </w:rPr>
        <w:t>.3供应商应在法定质疑期内一次性提出针对同一采购程序环节的质疑。</w:t>
      </w:r>
    </w:p>
    <w:bookmarkEnd w:id="214"/>
    <w:bookmarkEnd w:id="215"/>
    <w:bookmarkEnd w:id="216"/>
    <w:bookmarkEnd w:id="217"/>
    <w:bookmarkEnd w:id="218"/>
    <w:bookmarkEnd w:id="219"/>
    <w:bookmarkEnd w:id="220"/>
    <w:bookmarkEnd w:id="221"/>
    <w:bookmarkEnd w:id="222"/>
    <w:p w14:paraId="396E7005">
      <w:pPr>
        <w:adjustRightInd w:val="0"/>
        <w:snapToGrid w:val="0"/>
        <w:spacing w:before="240" w:beforeLines="100" w:after="120" w:afterLines="50" w:line="360" w:lineRule="auto"/>
        <w:jc w:val="center"/>
        <w:outlineLvl w:val="1"/>
        <w:rPr>
          <w:rFonts w:hint="eastAsia" w:ascii="新宋体" w:hAnsi="新宋体" w:eastAsia="新宋体" w:cs="新宋体"/>
          <w:sz w:val="30"/>
          <w:szCs w:val="30"/>
        </w:rPr>
      </w:pPr>
      <w:bookmarkStart w:id="234" w:name="_Toc6485"/>
      <w:bookmarkStart w:id="235" w:name="_Toc110437597"/>
      <w:r>
        <w:rPr>
          <w:rFonts w:hint="eastAsia" w:ascii="新宋体" w:hAnsi="新宋体" w:eastAsia="新宋体" w:cs="新宋体"/>
          <w:sz w:val="30"/>
          <w:szCs w:val="30"/>
        </w:rPr>
        <w:t>八、政府采购政策</w:t>
      </w:r>
      <w:bookmarkEnd w:id="223"/>
      <w:bookmarkEnd w:id="234"/>
      <w:bookmarkEnd w:id="235"/>
    </w:p>
    <w:p w14:paraId="707A79F5">
      <w:pPr>
        <w:adjustRightInd w:val="0"/>
        <w:snapToGrid w:val="0"/>
        <w:spacing w:line="360" w:lineRule="auto"/>
        <w:ind w:firstLine="480" w:firstLineChars="200"/>
        <w:rPr>
          <w:rFonts w:hint="eastAsia" w:ascii="新宋体" w:hAnsi="新宋体" w:eastAsia="新宋体" w:cs="新宋体"/>
          <w:sz w:val="24"/>
          <w:szCs w:val="24"/>
        </w:rPr>
      </w:pPr>
      <w:bookmarkStart w:id="236" w:name="_Toc27584"/>
      <w:bookmarkStart w:id="237" w:name="_Toc16893"/>
      <w:bookmarkStart w:id="238" w:name="_Toc110437598"/>
      <w:bookmarkStart w:id="239" w:name="_Toc17253_WPSOffice_Level3"/>
      <w:bookmarkStart w:id="240" w:name="_Toc19360_WPSOffice_Level3"/>
      <w:bookmarkStart w:id="241" w:name="_Toc22921"/>
      <w:r>
        <w:rPr>
          <w:rFonts w:hint="eastAsia" w:ascii="新宋体" w:hAnsi="新宋体" w:eastAsia="新宋体" w:cs="新宋体"/>
          <w:sz w:val="24"/>
          <w:szCs w:val="24"/>
          <w:lang w:val="en-US" w:eastAsia="zh-CN"/>
        </w:rPr>
        <w:t>29</w:t>
      </w:r>
      <w:r>
        <w:rPr>
          <w:rFonts w:hint="eastAsia" w:ascii="新宋体" w:hAnsi="新宋体" w:eastAsia="新宋体" w:cs="新宋体"/>
          <w:sz w:val="24"/>
          <w:szCs w:val="24"/>
        </w:rPr>
        <w:t>.政府采购政策</w:t>
      </w:r>
      <w:bookmarkEnd w:id="236"/>
      <w:bookmarkEnd w:id="237"/>
      <w:bookmarkEnd w:id="238"/>
      <w:bookmarkEnd w:id="239"/>
      <w:bookmarkEnd w:id="240"/>
      <w:bookmarkEnd w:id="241"/>
    </w:p>
    <w:p w14:paraId="1B45B0E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29</w:t>
      </w:r>
      <w:r>
        <w:rPr>
          <w:rFonts w:hint="eastAsia" w:ascii="新宋体" w:hAnsi="新宋体" w:eastAsia="新宋体" w:cs="新宋体"/>
          <w:sz w:val="24"/>
          <w:szCs w:val="24"/>
        </w:rPr>
        <w:t>.1节能产品、环境标志产品的采购：</w:t>
      </w:r>
    </w:p>
    <w:p w14:paraId="7897370E">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根据《关于调整优化节能产品、环境标志产品政府采购执行机制的通知》（财库〔</w:t>
      </w:r>
      <w:r>
        <w:rPr>
          <w:rFonts w:hint="eastAsia" w:ascii="新宋体" w:hAnsi="新宋体" w:eastAsia="新宋体" w:cs="新宋体"/>
          <w:sz w:val="24"/>
          <w:szCs w:val="24"/>
          <w:lang w:eastAsia="zh-CN"/>
        </w:rPr>
        <w:t>2023</w:t>
      </w:r>
      <w:r>
        <w:rPr>
          <w:rFonts w:hint="eastAsia" w:ascii="新宋体" w:hAnsi="新宋体" w:eastAsia="新宋体" w:cs="新宋体"/>
          <w:sz w:val="24"/>
          <w:szCs w:val="24"/>
        </w:rPr>
        <w:t>〕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C4ABC04">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29</w:t>
      </w:r>
      <w:r>
        <w:rPr>
          <w:rFonts w:hint="eastAsia" w:ascii="新宋体" w:hAnsi="新宋体" w:eastAsia="新宋体" w:cs="新宋体"/>
          <w:sz w:val="24"/>
          <w:szCs w:val="24"/>
        </w:rPr>
        <w:t>.2价格评审优惠：</w:t>
      </w:r>
    </w:p>
    <w:p w14:paraId="44CCD78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（1）供应商为小型、微型企业，价格按相关规定给予10%的价格折扣，用扣除后的价格参与评审。</w:t>
      </w:r>
    </w:p>
    <w:p w14:paraId="6071A5FD">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（3）监狱企业、残疾人福利性单位视同小型、微型企业，享受评审中价格扣除等促进中小企业发展的政府采购政策。</w:t>
      </w:r>
    </w:p>
    <w:p w14:paraId="43BA74E1">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29</w:t>
      </w:r>
      <w:r>
        <w:rPr>
          <w:rFonts w:hint="eastAsia" w:ascii="新宋体" w:hAnsi="新宋体" w:eastAsia="新宋体" w:cs="新宋体"/>
          <w:sz w:val="24"/>
          <w:szCs w:val="24"/>
        </w:rPr>
        <w:t>.3供应商同时符合小型、微型企业及监狱企业、残疾人福利性单位要求的，评审时只有一种类型享受价格评审优惠政策；</w:t>
      </w:r>
    </w:p>
    <w:p w14:paraId="627943F3">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29</w:t>
      </w:r>
      <w:r>
        <w:rPr>
          <w:rFonts w:hint="eastAsia" w:ascii="新宋体" w:hAnsi="新宋体" w:eastAsia="新宋体" w:cs="新宋体"/>
          <w:sz w:val="24"/>
          <w:szCs w:val="24"/>
        </w:rPr>
        <w:t>.4响应文件符合本章前款规定的，供应商应提供相关证明资料，且所提供资料必须真实可信。如有虚假，将依法承担相应责任。</w:t>
      </w:r>
    </w:p>
    <w:p w14:paraId="1CD3DE1C">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29</w:t>
      </w:r>
      <w:r>
        <w:rPr>
          <w:rFonts w:hint="eastAsia" w:ascii="新宋体" w:hAnsi="新宋体" w:eastAsia="新宋体" w:cs="新宋体"/>
          <w:sz w:val="24"/>
          <w:szCs w:val="24"/>
        </w:rPr>
        <w:t>.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14:paraId="3EDA12EF">
      <w:pPr>
        <w:pStyle w:val="22"/>
        <w:ind w:left="0" w:leftChars="0" w:firstLine="480" w:firstLineChars="200"/>
        <w:rPr>
          <w:rFonts w:hint="eastAsia" w:ascii="新宋体" w:hAnsi="新宋体" w:eastAsia="新宋体" w:cs="新宋体"/>
          <w:sz w:val="30"/>
          <w:szCs w:val="30"/>
        </w:rPr>
      </w:pPr>
      <w:bookmarkStart w:id="242" w:name="_Toc110437599"/>
      <w:bookmarkStart w:id="243" w:name="_Toc10843_WPSOffice_Level2"/>
      <w:bookmarkStart w:id="244" w:name="_Toc15316"/>
      <w:bookmarkStart w:id="245" w:name="_Toc28078_WPSOffice_Level2"/>
      <w:bookmarkStart w:id="246" w:name="_Toc3719_WPSOffice_Level2"/>
      <w:bookmarkStart w:id="247" w:name="_Toc22869"/>
      <w:bookmarkStart w:id="248" w:name="_Toc19374"/>
      <w:bookmarkStart w:id="249" w:name="_Toc30960"/>
      <w:bookmarkStart w:id="250" w:name="_Toc15805"/>
      <w:bookmarkStart w:id="251" w:name="_Toc34637772"/>
      <w:r>
        <w:rPr>
          <w:rFonts w:hint="eastAsia" w:ascii="宋体" w:hAnsi="宋体"/>
          <w:color w:val="auto"/>
          <w:sz w:val="24"/>
          <w:highlight w:val="none"/>
          <w:lang w:val="en-US" w:eastAsia="zh-CN"/>
        </w:rPr>
        <w:t>本项目行业：工业</w:t>
      </w:r>
    </w:p>
    <w:p w14:paraId="72A1B0BF">
      <w:pPr>
        <w:adjustRightInd w:val="0"/>
        <w:snapToGrid w:val="0"/>
        <w:spacing w:before="240" w:beforeLines="100" w:after="120" w:afterLines="50" w:line="360" w:lineRule="auto"/>
        <w:jc w:val="center"/>
        <w:outlineLvl w:val="1"/>
        <w:rPr>
          <w:rFonts w:hint="eastAsia" w:ascii="新宋体" w:hAnsi="新宋体" w:eastAsia="新宋体" w:cs="新宋体"/>
          <w:sz w:val="30"/>
          <w:szCs w:val="30"/>
        </w:rPr>
      </w:pPr>
      <w:r>
        <w:rPr>
          <w:rFonts w:hint="eastAsia" w:ascii="新宋体" w:hAnsi="新宋体" w:eastAsia="新宋体" w:cs="新宋体"/>
          <w:sz w:val="30"/>
          <w:szCs w:val="30"/>
        </w:rPr>
        <w:t>九、其他规定</w:t>
      </w:r>
      <w:bookmarkEnd w:id="242"/>
      <w:bookmarkEnd w:id="243"/>
      <w:bookmarkEnd w:id="244"/>
      <w:bookmarkEnd w:id="245"/>
      <w:bookmarkEnd w:id="246"/>
      <w:bookmarkEnd w:id="247"/>
      <w:bookmarkEnd w:id="248"/>
      <w:bookmarkEnd w:id="249"/>
      <w:bookmarkEnd w:id="250"/>
      <w:bookmarkEnd w:id="251"/>
    </w:p>
    <w:p w14:paraId="74E48656">
      <w:pPr>
        <w:adjustRightInd w:val="0"/>
        <w:snapToGrid w:val="0"/>
        <w:spacing w:line="360" w:lineRule="auto"/>
        <w:ind w:firstLine="480" w:firstLineChars="200"/>
        <w:rPr>
          <w:rFonts w:hint="eastAsia" w:ascii="新宋体" w:hAnsi="新宋体" w:eastAsia="新宋体" w:cs="新宋体"/>
          <w:sz w:val="24"/>
          <w:szCs w:val="24"/>
        </w:rPr>
      </w:pPr>
      <w:bookmarkStart w:id="252" w:name="_Toc10247"/>
      <w:bookmarkStart w:id="253" w:name="_Toc31158"/>
      <w:bookmarkStart w:id="254" w:name="_Toc110437600"/>
      <w:bookmarkStart w:id="255" w:name="_Toc12390_WPSOffice_Level3"/>
      <w:bookmarkStart w:id="256" w:name="_Toc10855"/>
      <w:bookmarkStart w:id="257" w:name="_Toc22185_WPSOffice_Level3"/>
      <w:r>
        <w:rPr>
          <w:rFonts w:hint="eastAsia" w:ascii="新宋体" w:hAnsi="新宋体" w:eastAsia="新宋体" w:cs="新宋体"/>
          <w:sz w:val="24"/>
          <w:szCs w:val="24"/>
          <w:lang w:val="en-US" w:eastAsia="zh-CN"/>
        </w:rPr>
        <w:t>30</w:t>
      </w:r>
      <w:r>
        <w:rPr>
          <w:rFonts w:hint="eastAsia" w:ascii="新宋体" w:hAnsi="新宋体" w:eastAsia="新宋体" w:cs="新宋体"/>
          <w:sz w:val="24"/>
          <w:szCs w:val="24"/>
        </w:rPr>
        <w:t>.代理服务费</w:t>
      </w:r>
      <w:bookmarkEnd w:id="252"/>
      <w:bookmarkEnd w:id="253"/>
      <w:bookmarkEnd w:id="254"/>
      <w:bookmarkEnd w:id="255"/>
      <w:bookmarkEnd w:id="256"/>
      <w:bookmarkEnd w:id="257"/>
    </w:p>
    <w:p w14:paraId="5F9862A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采购代理服务费由成交供应商支付的，供应商应按【谈判须知前附表】规定向采购代理机构交纳代理服务费。</w:t>
      </w:r>
    </w:p>
    <w:p w14:paraId="4F6A11A3">
      <w:pPr>
        <w:adjustRightInd w:val="0"/>
        <w:snapToGrid w:val="0"/>
        <w:spacing w:line="360" w:lineRule="auto"/>
        <w:ind w:firstLine="480" w:firstLineChars="200"/>
        <w:rPr>
          <w:rFonts w:hint="eastAsia" w:ascii="新宋体" w:hAnsi="新宋体" w:eastAsia="新宋体" w:cs="新宋体"/>
          <w:sz w:val="24"/>
          <w:szCs w:val="24"/>
        </w:rPr>
      </w:pPr>
      <w:bookmarkStart w:id="258" w:name="_Toc1461_WPSOffice_Level3"/>
      <w:bookmarkStart w:id="259" w:name="_Toc27699_WPSOffice_Level3"/>
      <w:bookmarkStart w:id="260" w:name="_Toc14580"/>
      <w:bookmarkStart w:id="261" w:name="_Toc110437601"/>
      <w:bookmarkStart w:id="262" w:name="_Toc18975"/>
      <w:bookmarkStart w:id="263" w:name="_Toc16758"/>
      <w:r>
        <w:rPr>
          <w:rFonts w:hint="eastAsia" w:ascii="新宋体" w:hAnsi="新宋体" w:eastAsia="新宋体" w:cs="新宋体"/>
          <w:sz w:val="24"/>
          <w:szCs w:val="24"/>
          <w:lang w:val="en-US" w:eastAsia="zh-CN"/>
        </w:rPr>
        <w:t>31</w:t>
      </w:r>
      <w:r>
        <w:rPr>
          <w:rFonts w:hint="eastAsia" w:ascii="新宋体" w:hAnsi="新宋体" w:eastAsia="新宋体" w:cs="新宋体"/>
          <w:sz w:val="24"/>
          <w:szCs w:val="24"/>
        </w:rPr>
        <w:t>.其他规定</w:t>
      </w:r>
      <w:bookmarkEnd w:id="258"/>
      <w:bookmarkEnd w:id="259"/>
      <w:bookmarkEnd w:id="260"/>
      <w:bookmarkEnd w:id="261"/>
      <w:bookmarkEnd w:id="262"/>
      <w:bookmarkEnd w:id="263"/>
    </w:p>
    <w:p w14:paraId="7963698F">
      <w:pPr>
        <w:adjustRightInd w:val="0"/>
        <w:snapToGrid w:val="0"/>
        <w:spacing w:line="360" w:lineRule="auto"/>
        <w:ind w:firstLine="480" w:firstLineChars="200"/>
        <w:jc w:val="center"/>
        <w:rPr>
          <w:rFonts w:ascii="华文中宋" w:hAnsi="华文中宋" w:eastAsia="华文中宋"/>
          <w:sz w:val="44"/>
          <w:szCs w:val="44"/>
        </w:rPr>
      </w:pPr>
      <w:r>
        <w:rPr>
          <w:rFonts w:hint="eastAsia" w:ascii="新宋体" w:hAnsi="新宋体" w:eastAsia="新宋体" w:cs="新宋体"/>
          <w:sz w:val="24"/>
          <w:szCs w:val="24"/>
        </w:rPr>
        <w:t>谈判文件的其他规定见【谈判须知前附表】。</w:t>
      </w:r>
      <w:r>
        <w:rPr>
          <w:rFonts w:hint="eastAsia" w:ascii="华文中宋" w:hAnsi="华文中宋" w:eastAsia="华文中宋" w:cs="华文中宋"/>
          <w:sz w:val="44"/>
          <w:szCs w:val="44"/>
        </w:rPr>
        <w:br w:type="page"/>
      </w:r>
      <w:bookmarkStart w:id="264" w:name="_Toc110437602"/>
      <w:bookmarkStart w:id="265" w:name="_Toc16084"/>
      <w:r>
        <w:rPr>
          <w:rFonts w:hint="eastAsia" w:ascii="新宋体" w:hAnsi="新宋体" w:eastAsia="新宋体" w:cs="新宋体"/>
          <w:sz w:val="36"/>
          <w:szCs w:val="36"/>
        </w:rPr>
        <w:t>第三部分 采购需求</w:t>
      </w:r>
      <w:bookmarkEnd w:id="224"/>
      <w:bookmarkEnd w:id="225"/>
      <w:bookmarkEnd w:id="226"/>
      <w:bookmarkEnd w:id="227"/>
      <w:bookmarkEnd w:id="228"/>
      <w:bookmarkEnd w:id="229"/>
      <w:bookmarkEnd w:id="230"/>
      <w:bookmarkEnd w:id="231"/>
      <w:bookmarkEnd w:id="232"/>
      <w:bookmarkEnd w:id="233"/>
      <w:bookmarkEnd w:id="264"/>
      <w:bookmarkEnd w:id="265"/>
    </w:p>
    <w:p w14:paraId="1ADB7FBC">
      <w:pPr>
        <w:adjustRightInd w:val="0"/>
        <w:snapToGrid w:val="0"/>
        <w:spacing w:before="240" w:beforeLines="100" w:after="120" w:afterLines="50" w:line="360" w:lineRule="auto"/>
        <w:jc w:val="center"/>
        <w:outlineLvl w:val="1"/>
        <w:rPr>
          <w:rFonts w:hint="eastAsia" w:ascii="新宋体" w:hAnsi="新宋体" w:eastAsia="新宋体" w:cs="新宋体"/>
          <w:sz w:val="30"/>
          <w:szCs w:val="30"/>
        </w:rPr>
      </w:pPr>
      <w:bookmarkStart w:id="266" w:name="_Toc2432"/>
      <w:bookmarkStart w:id="267" w:name="_Toc13326_WPSOffice_Level2"/>
      <w:bookmarkStart w:id="268" w:name="_Toc4601"/>
      <w:bookmarkStart w:id="269" w:name="_Toc110437603"/>
      <w:bookmarkStart w:id="270" w:name="_Toc515908232"/>
      <w:bookmarkStart w:id="271" w:name="_Toc17070"/>
      <w:bookmarkStart w:id="272" w:name="_Toc20423_WPSOffice_Level2"/>
      <w:bookmarkStart w:id="273" w:name="_Toc8656"/>
      <w:bookmarkStart w:id="274" w:name="_Toc19812_WPSOffice_Level2"/>
      <w:r>
        <w:rPr>
          <w:rFonts w:hint="eastAsia" w:ascii="新宋体" w:hAnsi="新宋体" w:eastAsia="新宋体" w:cs="新宋体"/>
          <w:sz w:val="30"/>
          <w:szCs w:val="30"/>
        </w:rPr>
        <w:t>十、响应说明</w:t>
      </w:r>
      <w:bookmarkEnd w:id="266"/>
      <w:bookmarkEnd w:id="267"/>
      <w:bookmarkEnd w:id="268"/>
      <w:bookmarkEnd w:id="269"/>
      <w:bookmarkEnd w:id="270"/>
      <w:bookmarkEnd w:id="271"/>
      <w:bookmarkEnd w:id="272"/>
      <w:bookmarkEnd w:id="273"/>
      <w:bookmarkEnd w:id="274"/>
    </w:p>
    <w:p w14:paraId="398B68EE">
      <w:pPr>
        <w:adjustRightInd w:val="0"/>
        <w:snapToGrid w:val="0"/>
        <w:spacing w:line="360" w:lineRule="auto"/>
        <w:ind w:firstLine="480" w:firstLineChars="200"/>
        <w:rPr>
          <w:rFonts w:hint="eastAsia" w:ascii="新宋体" w:hAnsi="新宋体" w:eastAsia="新宋体" w:cs="新宋体"/>
          <w:sz w:val="24"/>
          <w:szCs w:val="24"/>
        </w:rPr>
      </w:pPr>
      <w:bookmarkStart w:id="275" w:name="_Toc26560_WPSOffice_Level2"/>
      <w:bookmarkStart w:id="276" w:name="_Toc28791"/>
      <w:bookmarkStart w:id="277" w:name="_Toc22092"/>
      <w:bookmarkStart w:id="278" w:name="_Toc16271_WPSOffice_Level2"/>
      <w:bookmarkStart w:id="279" w:name="_Toc515908233"/>
      <w:bookmarkStart w:id="280" w:name="_Toc1475"/>
      <w:bookmarkStart w:id="281" w:name="_Toc19609_WPSOffice_Level2"/>
      <w:r>
        <w:rPr>
          <w:rFonts w:hint="eastAsia" w:ascii="新宋体" w:hAnsi="新宋体" w:eastAsia="新宋体" w:cs="新宋体"/>
          <w:sz w:val="24"/>
          <w:szCs w:val="24"/>
        </w:rPr>
        <w:t>1.1供应商必须对谈判文件采购一览表中所有内容作为一个整体进行投标，不能拆分或少报。否则，按无效投标处理。</w:t>
      </w:r>
    </w:p>
    <w:p w14:paraId="287DB238">
      <w:pPr>
        <w:numPr>
          <w:ilvl w:val="0"/>
          <w:numId w:val="2"/>
        </w:num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1.2投标报价为投标总价。合同总价应为供应商为进行服务工作需开支的一切费用保险费，采购需求要求的报价必须包括：产品费、验收费、手续费、装卸费、安装费、运输费、</w:t>
      </w:r>
      <w:r>
        <w:rPr>
          <w:rFonts w:hint="eastAsia" w:ascii="新宋体" w:hAnsi="新宋体" w:eastAsia="新宋体" w:cs="新宋体"/>
          <w:sz w:val="24"/>
          <w:szCs w:val="24"/>
          <w:lang w:val="zh-CN"/>
        </w:rPr>
        <w:t>车辆购置税费、</w:t>
      </w:r>
      <w:r>
        <w:rPr>
          <w:rFonts w:hint="eastAsia" w:ascii="新宋体" w:hAnsi="新宋体" w:eastAsia="新宋体" w:cs="新宋体"/>
          <w:sz w:val="24"/>
          <w:szCs w:val="24"/>
          <w:lang w:val="en-US" w:eastAsia="zh-CN"/>
        </w:rPr>
        <w:t>代理费</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保险费、售前、售中、售后服务费、税金及不可预见费等全部费用。</w:t>
      </w:r>
    </w:p>
    <w:p w14:paraId="6B6EC210">
      <w:pPr>
        <w:adjustRightInd w:val="0"/>
        <w:snapToGrid w:val="0"/>
        <w:spacing w:line="360" w:lineRule="auto"/>
        <w:ind w:firstLine="480" w:firstLineChars="200"/>
        <w:rPr>
          <w:lang w:val="zh-CN"/>
        </w:rPr>
      </w:pPr>
      <w:r>
        <w:rPr>
          <w:rFonts w:hint="eastAsia" w:ascii="新宋体" w:hAnsi="新宋体" w:eastAsia="新宋体" w:cs="新宋体"/>
          <w:sz w:val="24"/>
          <w:szCs w:val="24"/>
        </w:rPr>
        <w:t>供应商在投标报价中应充分考虑所有可能发生的费用，否则采购单位将视投标总价中已包括所有费用。</w:t>
      </w:r>
    </w:p>
    <w:p w14:paraId="32D7F468">
      <w:pPr>
        <w:spacing w:line="360" w:lineRule="exact"/>
        <w:rPr>
          <w:rFonts w:cs="仿宋" w:asciiTheme="minorEastAsia" w:hAnsiTheme="minorEastAsia"/>
          <w:spacing w:val="7"/>
          <w:sz w:val="24"/>
          <w:szCs w:val="24"/>
        </w:rPr>
      </w:pPr>
      <w:r>
        <w:rPr>
          <w:rFonts w:cs="仿宋" w:asciiTheme="minorEastAsia" w:hAnsiTheme="minorEastAsia"/>
          <w:spacing w:val="7"/>
          <w:sz w:val="24"/>
          <w:szCs w:val="24"/>
        </w:rPr>
        <w:t>其他要求：</w:t>
      </w:r>
    </w:p>
    <w:p w14:paraId="0C873EF3">
      <w:pPr>
        <w:numPr>
          <w:ilvl w:val="0"/>
          <w:numId w:val="4"/>
        </w:numPr>
        <w:adjustRightInd w:val="0"/>
        <w:snapToGrid w:val="0"/>
        <w:spacing w:line="360" w:lineRule="auto"/>
        <w:ind w:left="425" w:leftChars="0" w:hanging="425" w:firstLineChars="0"/>
        <w:rPr>
          <w:rFonts w:hint="eastAsia" w:ascii="新宋体" w:hAnsi="新宋体" w:eastAsia="新宋体" w:cs="新宋体"/>
          <w:sz w:val="24"/>
          <w:szCs w:val="24"/>
        </w:rPr>
      </w:pPr>
      <w:r>
        <w:rPr>
          <w:rFonts w:hint="eastAsia" w:ascii="新宋体" w:hAnsi="新宋体" w:eastAsia="新宋体" w:cs="新宋体"/>
          <w:sz w:val="24"/>
          <w:szCs w:val="24"/>
        </w:rPr>
        <w:t>参与单位应事先现场考察或咨询。此成交价格为</w:t>
      </w:r>
      <w:r>
        <w:rPr>
          <w:rFonts w:hint="eastAsia" w:ascii="新宋体" w:hAnsi="新宋体" w:eastAsia="新宋体" w:cs="新宋体"/>
          <w:sz w:val="24"/>
          <w:szCs w:val="24"/>
          <w:lang w:val="en-US" w:eastAsia="zh-CN"/>
        </w:rPr>
        <w:t>货物</w:t>
      </w:r>
      <w:r>
        <w:rPr>
          <w:rFonts w:hint="eastAsia" w:ascii="新宋体" w:hAnsi="新宋体" w:eastAsia="新宋体" w:cs="新宋体"/>
          <w:sz w:val="24"/>
          <w:szCs w:val="24"/>
        </w:rPr>
        <w:t>运送到采购单位</w:t>
      </w:r>
      <w:r>
        <w:rPr>
          <w:rFonts w:hint="eastAsia" w:ascii="新宋体" w:hAnsi="新宋体" w:eastAsia="新宋体" w:cs="新宋体"/>
          <w:sz w:val="24"/>
          <w:szCs w:val="24"/>
          <w:lang w:val="en-US" w:eastAsia="zh-CN"/>
        </w:rPr>
        <w:t>指定地点</w:t>
      </w:r>
      <w:r>
        <w:rPr>
          <w:rFonts w:hint="eastAsia" w:ascii="新宋体" w:hAnsi="新宋体" w:eastAsia="新宋体" w:cs="新宋体"/>
          <w:sz w:val="24"/>
          <w:szCs w:val="24"/>
        </w:rPr>
        <w:t>的价格。报价均以人民币报价，小数点后保留两位；</w:t>
      </w:r>
    </w:p>
    <w:p w14:paraId="70D644E4">
      <w:pPr>
        <w:numPr>
          <w:ilvl w:val="0"/>
          <w:numId w:val="4"/>
        </w:numPr>
        <w:adjustRightInd w:val="0"/>
        <w:snapToGrid w:val="0"/>
        <w:spacing w:line="360" w:lineRule="auto"/>
        <w:ind w:left="425" w:leftChars="0" w:hanging="425" w:firstLineChars="0"/>
        <w:rPr>
          <w:rFonts w:hint="eastAsia" w:ascii="新宋体" w:hAnsi="新宋体" w:eastAsia="新宋体" w:cs="新宋体"/>
          <w:sz w:val="24"/>
          <w:szCs w:val="24"/>
        </w:rPr>
      </w:pPr>
      <w:r>
        <w:rPr>
          <w:rFonts w:hint="eastAsia" w:ascii="新宋体" w:hAnsi="新宋体" w:eastAsia="新宋体" w:cs="新宋体"/>
          <w:sz w:val="24"/>
          <w:szCs w:val="24"/>
        </w:rPr>
        <w:t>无论</w:t>
      </w:r>
      <w:r>
        <w:rPr>
          <w:rFonts w:hint="eastAsia" w:ascii="新宋体" w:hAnsi="新宋体" w:eastAsia="新宋体" w:cs="新宋体"/>
          <w:sz w:val="24"/>
          <w:szCs w:val="24"/>
          <w:lang w:val="en-US" w:eastAsia="zh-CN"/>
        </w:rPr>
        <w:t>货物</w:t>
      </w:r>
      <w:r>
        <w:rPr>
          <w:rFonts w:hint="eastAsia" w:ascii="新宋体" w:hAnsi="新宋体" w:eastAsia="新宋体" w:cs="新宋体"/>
          <w:sz w:val="24"/>
          <w:szCs w:val="24"/>
        </w:rPr>
        <w:t>价格涨落、天气变化等一切因素，均不影响本次成交价格；</w:t>
      </w:r>
    </w:p>
    <w:p w14:paraId="63731B7E">
      <w:pPr>
        <w:numPr>
          <w:ilvl w:val="0"/>
          <w:numId w:val="4"/>
        </w:numPr>
        <w:adjustRightInd w:val="0"/>
        <w:snapToGrid w:val="0"/>
        <w:spacing w:line="360" w:lineRule="auto"/>
        <w:ind w:left="425" w:leftChars="0" w:hanging="425" w:firstLineChars="0"/>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拨款方式：</w:t>
      </w:r>
      <w:r>
        <w:rPr>
          <w:rFonts w:hint="eastAsia" w:ascii="新宋体" w:hAnsi="新宋体" w:eastAsia="新宋体" w:cs="新宋体"/>
          <w:sz w:val="24"/>
          <w:szCs w:val="24"/>
          <w:lang w:eastAsia="zh-CN"/>
        </w:rPr>
        <w:t>合同约定</w:t>
      </w:r>
    </w:p>
    <w:p w14:paraId="4AD2B4DD">
      <w:pPr>
        <w:numPr>
          <w:ilvl w:val="0"/>
          <w:numId w:val="4"/>
        </w:numPr>
        <w:adjustRightInd w:val="0"/>
        <w:snapToGrid w:val="0"/>
        <w:spacing w:line="360" w:lineRule="auto"/>
        <w:ind w:left="425" w:leftChars="0" w:hanging="425" w:firstLineChars="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货物</w:t>
      </w:r>
      <w:r>
        <w:rPr>
          <w:rFonts w:hint="eastAsia" w:ascii="新宋体" w:hAnsi="新宋体" w:eastAsia="新宋体" w:cs="新宋体"/>
          <w:sz w:val="24"/>
          <w:szCs w:val="24"/>
        </w:rPr>
        <w:t>质量应符合本次采购要求，因成交方</w:t>
      </w:r>
      <w:r>
        <w:rPr>
          <w:rFonts w:hint="eastAsia" w:ascii="新宋体" w:hAnsi="新宋体" w:eastAsia="新宋体" w:cs="新宋体"/>
          <w:sz w:val="24"/>
          <w:szCs w:val="24"/>
          <w:lang w:val="en-US" w:eastAsia="zh-CN"/>
        </w:rPr>
        <w:t>货物</w:t>
      </w:r>
      <w:r>
        <w:rPr>
          <w:rFonts w:hint="eastAsia" w:ascii="新宋体" w:hAnsi="新宋体" w:eastAsia="新宋体" w:cs="新宋体"/>
          <w:sz w:val="24"/>
          <w:szCs w:val="24"/>
        </w:rPr>
        <w:t>质量不达标造成</w:t>
      </w:r>
      <w:r>
        <w:rPr>
          <w:rFonts w:hint="eastAsia" w:ascii="新宋体" w:hAnsi="新宋体" w:eastAsia="新宋体" w:cs="新宋体"/>
          <w:sz w:val="24"/>
          <w:szCs w:val="24"/>
          <w:lang w:val="en-US" w:eastAsia="zh-CN"/>
        </w:rPr>
        <w:t>采购方损失</w:t>
      </w:r>
      <w:r>
        <w:rPr>
          <w:rFonts w:hint="eastAsia" w:ascii="新宋体" w:hAnsi="新宋体" w:eastAsia="新宋体" w:cs="新宋体"/>
          <w:sz w:val="24"/>
          <w:szCs w:val="24"/>
        </w:rPr>
        <w:t>，采购方有权终止合同；</w:t>
      </w:r>
    </w:p>
    <w:p w14:paraId="76BDEA67">
      <w:pPr>
        <w:numPr>
          <w:ilvl w:val="0"/>
          <w:numId w:val="4"/>
        </w:numPr>
        <w:adjustRightInd w:val="0"/>
        <w:snapToGrid w:val="0"/>
        <w:spacing w:line="360" w:lineRule="auto"/>
        <w:ind w:left="425" w:leftChars="0" w:hanging="425" w:firstLineChars="0"/>
        <w:rPr>
          <w:rFonts w:hint="eastAsia" w:ascii="新宋体" w:hAnsi="新宋体" w:eastAsia="新宋体" w:cs="新宋体"/>
          <w:sz w:val="24"/>
          <w:szCs w:val="24"/>
        </w:rPr>
      </w:pPr>
      <w:r>
        <w:rPr>
          <w:rFonts w:hint="eastAsia" w:ascii="新宋体" w:hAnsi="新宋体" w:eastAsia="新宋体" w:cs="新宋体"/>
          <w:sz w:val="24"/>
          <w:szCs w:val="24"/>
        </w:rPr>
        <w:t>其他未尽事宜以合同为准；</w:t>
      </w:r>
    </w:p>
    <w:p w14:paraId="23453CBC">
      <w:pPr>
        <w:numPr>
          <w:ilvl w:val="0"/>
          <w:numId w:val="4"/>
        </w:numPr>
        <w:adjustRightInd w:val="0"/>
        <w:snapToGrid w:val="0"/>
        <w:spacing w:line="360" w:lineRule="auto"/>
        <w:ind w:left="425" w:leftChars="0" w:hanging="425" w:firstLineChars="0"/>
        <w:rPr>
          <w:rFonts w:hint="eastAsia" w:ascii="新宋体" w:hAnsi="新宋体" w:eastAsia="新宋体" w:cs="新宋体"/>
          <w:color w:val="000000" w:themeColor="text1"/>
          <w:sz w:val="24"/>
          <w:szCs w:val="24"/>
          <w:lang w:val="zh-CN"/>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交货期：</w:t>
      </w:r>
      <w:r>
        <w:rPr>
          <w:rFonts w:hint="eastAsia" w:ascii="新宋体" w:hAnsi="新宋体" w:eastAsia="新宋体" w:cs="新宋体"/>
          <w:color w:val="000000" w:themeColor="text1"/>
          <w:sz w:val="24"/>
          <w:szCs w:val="24"/>
          <w:lang w:val="en-US" w:eastAsia="zh-CN"/>
          <w14:textFill>
            <w14:solidFill>
              <w14:schemeClr w14:val="tx1"/>
            </w14:solidFill>
          </w14:textFill>
        </w:rPr>
        <w:t>合同签订后10个日历日</w:t>
      </w:r>
      <w:r>
        <w:rPr>
          <w:rFonts w:hint="eastAsia" w:ascii="新宋体" w:hAnsi="新宋体" w:eastAsia="新宋体" w:cs="新宋体"/>
          <w:color w:val="000000" w:themeColor="text1"/>
          <w:sz w:val="24"/>
          <w:szCs w:val="24"/>
          <w:lang w:val="zh-CN"/>
          <w14:textFill>
            <w14:solidFill>
              <w14:schemeClr w14:val="tx1"/>
            </w14:solidFill>
          </w14:textFill>
        </w:rPr>
        <w:t>。</w:t>
      </w:r>
    </w:p>
    <w:p w14:paraId="1DD8642A">
      <w:pPr>
        <w:numPr>
          <w:ilvl w:val="0"/>
          <w:numId w:val="4"/>
        </w:numPr>
        <w:adjustRightInd w:val="0"/>
        <w:snapToGrid w:val="0"/>
        <w:spacing w:line="360" w:lineRule="auto"/>
        <w:ind w:left="425" w:leftChars="0" w:hanging="425" w:firstLineChars="0"/>
        <w:rPr>
          <w:rFonts w:hint="default"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质保期：三年或六万公里</w:t>
      </w:r>
    </w:p>
    <w:p w14:paraId="301618DF">
      <w:pPr>
        <w:numPr>
          <w:ilvl w:val="0"/>
          <w:numId w:val="4"/>
        </w:numPr>
        <w:adjustRightInd w:val="0"/>
        <w:snapToGrid w:val="0"/>
        <w:spacing w:line="360" w:lineRule="auto"/>
        <w:ind w:left="425" w:leftChars="0" w:hanging="425" w:firstLineChars="0"/>
        <w:rPr>
          <w:rFonts w:hint="eastAsia" w:ascii="新宋体" w:hAnsi="新宋体" w:eastAsia="新宋体" w:cs="新宋体"/>
          <w:color w:val="000000" w:themeColor="text1"/>
          <w:sz w:val="24"/>
          <w:szCs w:val="24"/>
          <w14:textFill>
            <w14:solidFill>
              <w14:schemeClr w14:val="tx1"/>
            </w14:solidFill>
          </w14:textFill>
        </w:rPr>
      </w:pPr>
      <w:bookmarkStart w:id="282" w:name="_bookmark48"/>
      <w:bookmarkEnd w:id="282"/>
      <w:r>
        <w:rPr>
          <w:rFonts w:hint="eastAsia" w:ascii="新宋体" w:hAnsi="新宋体" w:eastAsia="新宋体" w:cs="新宋体"/>
          <w:color w:val="000000" w:themeColor="text1"/>
          <w:sz w:val="24"/>
          <w:szCs w:val="24"/>
          <w14:textFill>
            <w14:solidFill>
              <w14:schemeClr w14:val="tx1"/>
            </w14:solidFill>
          </w14:textFill>
        </w:rPr>
        <w:t>交货地点：</w:t>
      </w:r>
      <w:r>
        <w:rPr>
          <w:rFonts w:hint="eastAsia" w:ascii="新宋体" w:hAnsi="新宋体" w:eastAsia="新宋体" w:cs="新宋体"/>
          <w:color w:val="000000" w:themeColor="text1"/>
          <w:sz w:val="24"/>
          <w:szCs w:val="24"/>
          <w:lang w:val="en-US" w:eastAsia="zh-CN"/>
          <w14:textFill>
            <w14:solidFill>
              <w14:schemeClr w14:val="tx1"/>
            </w14:solidFill>
          </w14:textFill>
        </w:rPr>
        <w:t>甲方指定地点</w:t>
      </w:r>
      <w:r>
        <w:rPr>
          <w:rFonts w:hint="eastAsia" w:ascii="新宋体" w:hAnsi="新宋体" w:eastAsia="新宋体" w:cs="新宋体"/>
          <w:color w:val="000000" w:themeColor="text1"/>
          <w:sz w:val="24"/>
          <w:szCs w:val="24"/>
          <w:lang w:val="zh-CN"/>
          <w14:textFill>
            <w14:solidFill>
              <w14:schemeClr w14:val="tx1"/>
            </w14:solidFill>
          </w14:textFill>
        </w:rPr>
        <w:t>。</w:t>
      </w:r>
    </w:p>
    <w:p w14:paraId="5B4834B0">
      <w:pPr>
        <w:pStyle w:val="37"/>
        <w:ind w:left="0" w:leftChars="0" w:firstLine="0" w:firstLineChars="0"/>
        <w:rPr>
          <w:rFonts w:hint="eastAsia" w:ascii="新宋体" w:hAnsi="新宋体" w:eastAsia="新宋体" w:cs="新宋体"/>
          <w:sz w:val="24"/>
          <w:szCs w:val="24"/>
        </w:rPr>
      </w:pPr>
    </w:p>
    <w:p w14:paraId="5D637EAD">
      <w:pPr>
        <w:rPr>
          <w:rFonts w:cs="仿宋" w:asciiTheme="minorEastAsia" w:hAnsiTheme="minorEastAsia"/>
          <w:b/>
          <w:spacing w:val="7"/>
          <w:sz w:val="24"/>
          <w:szCs w:val="24"/>
        </w:rPr>
      </w:pPr>
      <w:r>
        <w:rPr>
          <w:rFonts w:cs="仿宋" w:asciiTheme="minorEastAsia" w:hAnsiTheme="minorEastAsia"/>
          <w:b/>
          <w:spacing w:val="7"/>
          <w:sz w:val="24"/>
          <w:szCs w:val="24"/>
        </w:rPr>
        <w:br w:type="page"/>
      </w:r>
    </w:p>
    <w:p w14:paraId="467E3EEA">
      <w:pPr>
        <w:spacing w:line="360" w:lineRule="exact"/>
        <w:jc w:val="center"/>
        <w:rPr>
          <w:rFonts w:hint="eastAsia" w:ascii="新宋体" w:hAnsi="新宋体" w:eastAsia="新宋体" w:cs="新宋体"/>
          <w:sz w:val="24"/>
          <w:szCs w:val="24"/>
        </w:rPr>
      </w:pPr>
      <w:r>
        <w:rPr>
          <w:rFonts w:cs="仿宋" w:asciiTheme="minorEastAsia" w:hAnsiTheme="minorEastAsia"/>
          <w:b/>
          <w:spacing w:val="7"/>
          <w:sz w:val="24"/>
          <w:szCs w:val="24"/>
        </w:rPr>
        <w:t>采购技术要求</w:t>
      </w:r>
    </w:p>
    <w:p w14:paraId="0AD6F1FE">
      <w:pPr>
        <w:pStyle w:val="37"/>
        <w:ind w:left="0" w:leftChars="0" w:firstLine="0" w:firstLineChars="0"/>
        <w:rPr>
          <w:rFonts w:hint="eastAsia" w:ascii="新宋体" w:hAnsi="新宋体" w:eastAsia="新宋体" w:cs="新宋体"/>
          <w:sz w:val="24"/>
          <w:szCs w:val="24"/>
        </w:rPr>
      </w:pPr>
    </w:p>
    <w:tbl>
      <w:tblPr>
        <w:tblStyle w:val="39"/>
        <w:tblpPr w:leftFromText="180" w:rightFromText="180" w:vertAnchor="page" w:horzAnchor="page" w:tblpXSpec="center" w:tblpY="237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794"/>
        <w:gridCol w:w="4895"/>
        <w:gridCol w:w="955"/>
        <w:gridCol w:w="1064"/>
      </w:tblGrid>
      <w:tr w14:paraId="0BCA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14" w:type="dxa"/>
          </w:tcPr>
          <w:p w14:paraId="5787C1B2">
            <w:pPr>
              <w:spacing w:line="240" w:lineRule="auto"/>
              <w:jc w:val="center"/>
              <w:rPr>
                <w:rFonts w:hint="eastAsia" w:ascii="Calibri" w:hAnsi="Calibri" w:eastAsia="宋体" w:cs="Times New Roman"/>
                <w:b/>
                <w:bCs/>
                <w:sz w:val="28"/>
                <w:szCs w:val="36"/>
                <w:vertAlign w:val="baseline"/>
                <w:lang w:val="en-US" w:eastAsia="zh-CN"/>
              </w:rPr>
            </w:pPr>
            <w:r>
              <w:rPr>
                <w:rFonts w:hint="eastAsia" w:ascii="Calibri" w:hAnsi="Calibri" w:eastAsia="宋体" w:cs="Times New Roman"/>
                <w:b/>
                <w:bCs/>
                <w:sz w:val="28"/>
                <w:szCs w:val="36"/>
                <w:vertAlign w:val="baseline"/>
                <w:lang w:val="en-US" w:eastAsia="zh-CN"/>
              </w:rPr>
              <w:t>序号</w:t>
            </w:r>
          </w:p>
        </w:tc>
        <w:tc>
          <w:tcPr>
            <w:tcW w:w="794" w:type="dxa"/>
          </w:tcPr>
          <w:p w14:paraId="2BC61DC0">
            <w:pPr>
              <w:spacing w:line="240" w:lineRule="auto"/>
              <w:jc w:val="center"/>
              <w:rPr>
                <w:rFonts w:hint="eastAsia" w:ascii="Calibri" w:hAnsi="Calibri" w:eastAsia="宋体" w:cs="Times New Roman"/>
                <w:b/>
                <w:bCs/>
                <w:sz w:val="28"/>
                <w:szCs w:val="36"/>
                <w:vertAlign w:val="baseline"/>
                <w:lang w:val="en-US" w:eastAsia="zh-CN"/>
              </w:rPr>
            </w:pPr>
            <w:r>
              <w:rPr>
                <w:rFonts w:hint="eastAsia" w:ascii="Calibri" w:hAnsi="Calibri" w:eastAsia="宋体" w:cs="Times New Roman"/>
                <w:b/>
                <w:bCs/>
                <w:sz w:val="28"/>
                <w:szCs w:val="36"/>
                <w:vertAlign w:val="baseline"/>
                <w:lang w:val="en-US" w:eastAsia="zh-CN"/>
              </w:rPr>
              <w:t>名称</w:t>
            </w:r>
          </w:p>
        </w:tc>
        <w:tc>
          <w:tcPr>
            <w:tcW w:w="4895" w:type="dxa"/>
          </w:tcPr>
          <w:p w14:paraId="48C9BFA3">
            <w:pPr>
              <w:spacing w:line="240" w:lineRule="auto"/>
              <w:jc w:val="center"/>
              <w:rPr>
                <w:rFonts w:hint="eastAsia" w:ascii="Calibri" w:hAnsi="Calibri" w:eastAsia="宋体" w:cs="Times New Roman"/>
                <w:b/>
                <w:bCs/>
                <w:sz w:val="28"/>
                <w:szCs w:val="36"/>
                <w:vertAlign w:val="baseline"/>
                <w:lang w:val="en-US" w:eastAsia="zh-CN"/>
              </w:rPr>
            </w:pPr>
            <w:r>
              <w:rPr>
                <w:rFonts w:hint="eastAsia" w:ascii="Calibri" w:hAnsi="Calibri" w:eastAsia="宋体" w:cs="Times New Roman"/>
                <w:b/>
                <w:bCs/>
                <w:sz w:val="28"/>
                <w:szCs w:val="36"/>
                <w:vertAlign w:val="baseline"/>
                <w:lang w:val="en-US" w:eastAsia="zh-CN"/>
              </w:rPr>
              <w:t>技术规格</w:t>
            </w:r>
          </w:p>
        </w:tc>
        <w:tc>
          <w:tcPr>
            <w:tcW w:w="955" w:type="dxa"/>
          </w:tcPr>
          <w:p w14:paraId="2DABE730">
            <w:pPr>
              <w:spacing w:line="240" w:lineRule="auto"/>
              <w:jc w:val="center"/>
              <w:rPr>
                <w:rFonts w:hint="eastAsia" w:ascii="Calibri" w:hAnsi="Calibri" w:eastAsia="宋体" w:cs="Times New Roman"/>
                <w:b/>
                <w:bCs/>
                <w:sz w:val="28"/>
                <w:szCs w:val="36"/>
                <w:vertAlign w:val="baseline"/>
                <w:lang w:val="en-US" w:eastAsia="zh-CN"/>
              </w:rPr>
            </w:pPr>
            <w:r>
              <w:rPr>
                <w:rFonts w:hint="eastAsia" w:ascii="Calibri" w:hAnsi="Calibri" w:eastAsia="宋体" w:cs="Times New Roman"/>
                <w:b/>
                <w:bCs/>
                <w:sz w:val="28"/>
                <w:szCs w:val="36"/>
                <w:vertAlign w:val="baseline"/>
                <w:lang w:val="en-US" w:eastAsia="zh-CN"/>
              </w:rPr>
              <w:t>单位</w:t>
            </w:r>
          </w:p>
        </w:tc>
        <w:tc>
          <w:tcPr>
            <w:tcW w:w="1064" w:type="dxa"/>
          </w:tcPr>
          <w:p w14:paraId="550A69C5">
            <w:pPr>
              <w:spacing w:line="240" w:lineRule="auto"/>
              <w:jc w:val="center"/>
              <w:rPr>
                <w:rFonts w:hint="eastAsia" w:ascii="Calibri" w:hAnsi="Calibri" w:eastAsia="宋体" w:cs="Times New Roman"/>
                <w:b/>
                <w:bCs/>
                <w:sz w:val="28"/>
                <w:szCs w:val="36"/>
                <w:vertAlign w:val="baseline"/>
                <w:lang w:val="en-US" w:eastAsia="zh-CN"/>
              </w:rPr>
            </w:pPr>
            <w:r>
              <w:rPr>
                <w:rFonts w:hint="eastAsia" w:ascii="Calibri" w:hAnsi="Calibri" w:eastAsia="宋体" w:cs="Times New Roman"/>
                <w:b/>
                <w:bCs/>
                <w:sz w:val="28"/>
                <w:szCs w:val="36"/>
                <w:vertAlign w:val="baseline"/>
                <w:lang w:val="en-US" w:eastAsia="zh-CN"/>
              </w:rPr>
              <w:t>数量</w:t>
            </w:r>
          </w:p>
        </w:tc>
      </w:tr>
      <w:tr w14:paraId="3D8A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jc w:val="center"/>
        </w:trPr>
        <w:tc>
          <w:tcPr>
            <w:tcW w:w="814" w:type="dxa"/>
          </w:tcPr>
          <w:p w14:paraId="0FEBE14A">
            <w:pPr>
              <w:spacing w:line="240" w:lineRule="auto"/>
              <w:jc w:val="center"/>
              <w:rPr>
                <w:rFonts w:hint="eastAsia" w:ascii="Calibri" w:hAnsi="Calibri" w:eastAsia="宋体" w:cs="Times New Roman"/>
                <w:sz w:val="24"/>
                <w:szCs w:val="32"/>
                <w:vertAlign w:val="baseline"/>
                <w:lang w:val="en-US" w:eastAsia="zh-CN"/>
              </w:rPr>
            </w:pPr>
          </w:p>
          <w:p w14:paraId="53E784E4">
            <w:pPr>
              <w:spacing w:line="240" w:lineRule="auto"/>
              <w:jc w:val="center"/>
              <w:rPr>
                <w:rFonts w:hint="eastAsia" w:ascii="Calibri" w:hAnsi="Calibri" w:eastAsia="宋体" w:cs="Times New Roman"/>
                <w:sz w:val="24"/>
                <w:szCs w:val="32"/>
                <w:vertAlign w:val="baseline"/>
                <w:lang w:val="en-US" w:eastAsia="zh-CN"/>
              </w:rPr>
            </w:pPr>
          </w:p>
          <w:p w14:paraId="49033E4F">
            <w:pPr>
              <w:spacing w:line="240" w:lineRule="auto"/>
              <w:jc w:val="center"/>
              <w:rPr>
                <w:rFonts w:hint="eastAsia" w:ascii="Calibri" w:hAnsi="Calibri" w:eastAsia="宋体" w:cs="Times New Roman"/>
                <w:sz w:val="24"/>
                <w:szCs w:val="32"/>
                <w:vertAlign w:val="baseline"/>
                <w:lang w:val="en-US" w:eastAsia="zh-CN"/>
              </w:rPr>
            </w:pPr>
          </w:p>
          <w:p w14:paraId="5CEB773F">
            <w:pPr>
              <w:spacing w:line="240" w:lineRule="auto"/>
              <w:jc w:val="center"/>
              <w:rPr>
                <w:rFonts w:hint="eastAsia" w:ascii="Calibri" w:hAnsi="Calibri" w:eastAsia="宋体" w:cs="Times New Roman"/>
                <w:sz w:val="24"/>
                <w:szCs w:val="32"/>
                <w:vertAlign w:val="baseline"/>
                <w:lang w:val="en-US" w:eastAsia="zh-CN"/>
              </w:rPr>
            </w:pPr>
          </w:p>
          <w:p w14:paraId="66166D33">
            <w:pPr>
              <w:spacing w:line="240" w:lineRule="auto"/>
              <w:jc w:val="center"/>
              <w:rPr>
                <w:rFonts w:hint="eastAsia" w:ascii="Calibri" w:hAnsi="Calibri" w:eastAsia="宋体" w:cs="Times New Roman"/>
                <w:sz w:val="24"/>
                <w:szCs w:val="32"/>
                <w:vertAlign w:val="baseline"/>
                <w:lang w:val="en-US" w:eastAsia="zh-CN"/>
              </w:rPr>
            </w:pPr>
            <w:r>
              <w:rPr>
                <w:rFonts w:hint="eastAsia" w:ascii="Calibri" w:hAnsi="Calibri" w:eastAsia="宋体" w:cs="Times New Roman"/>
                <w:sz w:val="24"/>
                <w:szCs w:val="32"/>
                <w:vertAlign w:val="baseline"/>
                <w:lang w:val="en-US" w:eastAsia="zh-CN"/>
              </w:rPr>
              <w:t>1</w:t>
            </w:r>
          </w:p>
        </w:tc>
        <w:tc>
          <w:tcPr>
            <w:tcW w:w="794" w:type="dxa"/>
          </w:tcPr>
          <w:p w14:paraId="2FD60C04">
            <w:pPr>
              <w:spacing w:line="240" w:lineRule="auto"/>
              <w:jc w:val="center"/>
              <w:rPr>
                <w:rFonts w:hint="eastAsia" w:ascii="Calibri" w:hAnsi="Calibri" w:eastAsia="宋体" w:cs="Times New Roman"/>
                <w:sz w:val="24"/>
                <w:szCs w:val="32"/>
                <w:vertAlign w:val="baseline"/>
                <w:lang w:val="en-US" w:eastAsia="zh-CN"/>
              </w:rPr>
            </w:pPr>
          </w:p>
          <w:p w14:paraId="0F39DA92">
            <w:pPr>
              <w:spacing w:line="240" w:lineRule="auto"/>
              <w:jc w:val="center"/>
              <w:rPr>
                <w:rFonts w:hint="eastAsia" w:ascii="Calibri" w:hAnsi="Calibri" w:eastAsia="宋体" w:cs="Times New Roman"/>
                <w:sz w:val="24"/>
                <w:szCs w:val="32"/>
                <w:vertAlign w:val="baseline"/>
                <w:lang w:val="en-US" w:eastAsia="zh-CN"/>
              </w:rPr>
            </w:pPr>
          </w:p>
          <w:p w14:paraId="44125603">
            <w:pPr>
              <w:spacing w:line="240" w:lineRule="auto"/>
              <w:jc w:val="center"/>
              <w:rPr>
                <w:rFonts w:hint="eastAsia" w:ascii="Calibri" w:hAnsi="Calibri" w:eastAsia="宋体" w:cs="Times New Roman"/>
                <w:sz w:val="24"/>
                <w:szCs w:val="32"/>
                <w:vertAlign w:val="baseline"/>
                <w:lang w:val="en-US" w:eastAsia="zh-CN"/>
              </w:rPr>
            </w:pPr>
          </w:p>
          <w:p w14:paraId="3E3771C1">
            <w:pPr>
              <w:spacing w:line="240" w:lineRule="auto"/>
              <w:jc w:val="center"/>
              <w:rPr>
                <w:rFonts w:hint="eastAsia" w:ascii="Calibri" w:hAnsi="Calibri" w:eastAsia="宋体" w:cs="Times New Roman"/>
                <w:sz w:val="24"/>
                <w:szCs w:val="32"/>
                <w:vertAlign w:val="baseline"/>
                <w:lang w:val="en-US" w:eastAsia="zh-CN"/>
              </w:rPr>
            </w:pPr>
          </w:p>
          <w:p w14:paraId="78720203">
            <w:pPr>
              <w:spacing w:line="240" w:lineRule="auto"/>
              <w:jc w:val="center"/>
              <w:rPr>
                <w:rFonts w:hint="default" w:ascii="Calibri" w:hAnsi="Calibri" w:eastAsia="宋体" w:cs="Times New Roman"/>
                <w:sz w:val="24"/>
                <w:szCs w:val="32"/>
                <w:vertAlign w:val="baseline"/>
                <w:lang w:val="en-US" w:eastAsia="zh-CN"/>
              </w:rPr>
            </w:pPr>
            <w:r>
              <w:rPr>
                <w:rFonts w:hint="eastAsia" w:ascii="Calibri" w:hAnsi="Calibri" w:eastAsia="宋体" w:cs="Times New Roman"/>
                <w:sz w:val="24"/>
                <w:szCs w:val="32"/>
                <w:vertAlign w:val="baseline"/>
                <w:lang w:val="en-US" w:eastAsia="zh-CN"/>
              </w:rPr>
              <w:t>多用途货车</w:t>
            </w:r>
          </w:p>
        </w:tc>
        <w:tc>
          <w:tcPr>
            <w:tcW w:w="4895" w:type="dxa"/>
          </w:tcPr>
          <w:p w14:paraId="50EF7BDD">
            <w:pPr>
              <w:numPr>
                <w:ilvl w:val="0"/>
                <w:numId w:val="5"/>
              </w:numPr>
              <w:spacing w:line="240" w:lineRule="auto"/>
              <w:rPr>
                <w:rFonts w:hint="eastAsia" w:ascii="Calibri" w:hAnsi="Calibri" w:eastAsia="宋体" w:cs="Times New Roman"/>
                <w:sz w:val="24"/>
                <w:szCs w:val="32"/>
                <w:vertAlign w:val="baseline"/>
                <w:lang w:val="en-US" w:eastAsia="zh-CN"/>
              </w:rPr>
            </w:pPr>
            <w:r>
              <w:rPr>
                <w:rFonts w:hint="eastAsia" w:ascii="Calibri" w:hAnsi="Calibri" w:eastAsia="宋体" w:cs="Times New Roman"/>
                <w:sz w:val="24"/>
                <w:szCs w:val="32"/>
                <w:vertAlign w:val="baseline"/>
                <w:lang w:val="en-US" w:eastAsia="zh-CN"/>
              </w:rPr>
              <w:t>排放标准:符合国六排放标准</w:t>
            </w:r>
          </w:p>
          <w:p w14:paraId="34B83EEA">
            <w:pPr>
              <w:numPr>
                <w:ilvl w:val="0"/>
                <w:numId w:val="5"/>
              </w:numPr>
              <w:spacing w:line="240" w:lineRule="auto"/>
              <w:rPr>
                <w:rFonts w:hint="eastAsia" w:ascii="Calibri" w:hAnsi="Calibri" w:eastAsia="宋体" w:cs="Times New Roman"/>
                <w:sz w:val="24"/>
                <w:szCs w:val="32"/>
                <w:vertAlign w:val="baseline"/>
                <w:lang w:val="en-US" w:eastAsia="zh-CN"/>
              </w:rPr>
            </w:pPr>
            <w:r>
              <w:rPr>
                <w:rFonts w:hint="eastAsia" w:ascii="Calibri" w:hAnsi="Calibri" w:eastAsia="宋体" w:cs="Times New Roman"/>
                <w:sz w:val="24"/>
                <w:szCs w:val="32"/>
                <w:vertAlign w:val="baseline"/>
                <w:lang w:val="en-US" w:eastAsia="zh-CN"/>
              </w:rPr>
              <w:t>车身尺寸:≥5400X1900X1800mm</w:t>
            </w:r>
          </w:p>
          <w:p w14:paraId="06BFAEE9">
            <w:pPr>
              <w:numPr>
                <w:ilvl w:val="0"/>
                <w:numId w:val="5"/>
              </w:numPr>
              <w:spacing w:line="240" w:lineRule="auto"/>
              <w:rPr>
                <w:rFonts w:hint="eastAsia" w:ascii="Calibri" w:hAnsi="Calibri" w:eastAsia="宋体" w:cs="Times New Roman"/>
                <w:sz w:val="24"/>
                <w:szCs w:val="32"/>
                <w:vertAlign w:val="baseline"/>
                <w:lang w:val="en-US" w:eastAsia="zh-CN"/>
              </w:rPr>
            </w:pPr>
            <w:r>
              <w:rPr>
                <w:rFonts w:hint="eastAsia" w:ascii="Calibri" w:hAnsi="Calibri" w:eastAsia="宋体" w:cs="Times New Roman"/>
                <w:sz w:val="24"/>
                <w:szCs w:val="32"/>
                <w:vertAlign w:val="baseline"/>
                <w:lang w:val="en-US" w:eastAsia="zh-CN"/>
              </w:rPr>
              <w:t>货箱尺寸:≥1520X1520X540mm</w:t>
            </w:r>
          </w:p>
          <w:p w14:paraId="130C298D">
            <w:pPr>
              <w:numPr>
                <w:ilvl w:val="0"/>
                <w:numId w:val="5"/>
              </w:numPr>
              <w:spacing w:line="240" w:lineRule="auto"/>
              <w:rPr>
                <w:rFonts w:hint="eastAsia" w:ascii="Calibri" w:hAnsi="Calibri" w:eastAsia="宋体" w:cs="Times New Roman"/>
                <w:sz w:val="24"/>
                <w:szCs w:val="32"/>
                <w:vertAlign w:val="baseline"/>
                <w:lang w:val="en-US" w:eastAsia="zh-CN"/>
              </w:rPr>
            </w:pPr>
            <w:r>
              <w:rPr>
                <w:rFonts w:hint="eastAsia" w:ascii="Calibri" w:hAnsi="Calibri" w:eastAsia="宋体" w:cs="Times New Roman"/>
                <w:sz w:val="24"/>
                <w:szCs w:val="32"/>
                <w:vertAlign w:val="baseline"/>
                <w:lang w:val="en-US" w:eastAsia="zh-CN"/>
              </w:rPr>
              <w:t>轴距:≥3200mm</w:t>
            </w:r>
          </w:p>
          <w:p w14:paraId="64F43B46">
            <w:pPr>
              <w:numPr>
                <w:ilvl w:val="0"/>
                <w:numId w:val="5"/>
              </w:numPr>
              <w:spacing w:line="240" w:lineRule="auto"/>
              <w:rPr>
                <w:rFonts w:hint="eastAsia" w:ascii="Calibri" w:hAnsi="Calibri" w:eastAsia="宋体" w:cs="Times New Roman"/>
                <w:sz w:val="24"/>
                <w:szCs w:val="32"/>
                <w:vertAlign w:val="baseline"/>
                <w:lang w:val="en-US" w:eastAsia="zh-CN"/>
              </w:rPr>
            </w:pPr>
            <w:r>
              <w:rPr>
                <w:rFonts w:hint="eastAsia" w:ascii="Calibri" w:hAnsi="Calibri" w:eastAsia="宋体" w:cs="Times New Roman"/>
                <w:sz w:val="24"/>
                <w:szCs w:val="32"/>
                <w:vertAlign w:val="baseline"/>
                <w:lang w:val="en-US" w:eastAsia="zh-CN"/>
              </w:rPr>
              <w:t>前后轮距:≥1600mm</w:t>
            </w:r>
          </w:p>
          <w:p w14:paraId="3C2E6AE9">
            <w:pPr>
              <w:numPr>
                <w:ilvl w:val="0"/>
                <w:numId w:val="5"/>
              </w:numPr>
              <w:spacing w:line="240" w:lineRule="auto"/>
              <w:rPr>
                <w:rFonts w:hint="eastAsia" w:ascii="Calibri" w:hAnsi="Calibri" w:eastAsia="宋体" w:cs="Times New Roman"/>
                <w:sz w:val="24"/>
                <w:szCs w:val="32"/>
                <w:vertAlign w:val="baseline"/>
                <w:lang w:val="en-US" w:eastAsia="zh-CN"/>
              </w:rPr>
            </w:pPr>
            <w:r>
              <w:rPr>
                <w:rFonts w:hint="eastAsia" w:ascii="Calibri" w:hAnsi="Calibri" w:eastAsia="宋体" w:cs="Times New Roman"/>
                <w:sz w:val="24"/>
                <w:szCs w:val="32"/>
                <w:vertAlign w:val="baseline"/>
                <w:lang w:val="en-US" w:eastAsia="zh-CN"/>
              </w:rPr>
              <w:t>变速箱:≥</w:t>
            </w:r>
            <w:r>
              <w:rPr>
                <w:rFonts w:hint="eastAsia" w:ascii="Calibri" w:hAnsi="Calibri" w:cs="Times New Roman"/>
                <w:sz w:val="24"/>
                <w:szCs w:val="32"/>
                <w:vertAlign w:val="baseline"/>
                <w:lang w:val="en-US" w:eastAsia="zh-CN"/>
              </w:rPr>
              <w:t>8</w:t>
            </w:r>
            <w:r>
              <w:rPr>
                <w:rFonts w:hint="eastAsia" w:ascii="Calibri" w:hAnsi="Calibri" w:eastAsia="宋体" w:cs="Times New Roman"/>
                <w:sz w:val="24"/>
                <w:szCs w:val="32"/>
                <w:vertAlign w:val="baseline"/>
                <w:lang w:val="en-US" w:eastAsia="zh-CN"/>
              </w:rPr>
              <w:t>挡自动</w:t>
            </w:r>
          </w:p>
          <w:p w14:paraId="6EBAB2AC">
            <w:pPr>
              <w:numPr>
                <w:ilvl w:val="0"/>
                <w:numId w:val="5"/>
              </w:numPr>
              <w:spacing w:line="240" w:lineRule="auto"/>
              <w:rPr>
                <w:rFonts w:hint="eastAsia" w:ascii="Calibri" w:hAnsi="Calibri" w:eastAsia="宋体" w:cs="Times New Roman"/>
                <w:sz w:val="24"/>
                <w:szCs w:val="32"/>
                <w:vertAlign w:val="baseline"/>
                <w:lang w:val="en-US" w:eastAsia="zh-CN"/>
              </w:rPr>
            </w:pPr>
            <w:r>
              <w:rPr>
                <w:rFonts w:hint="eastAsia" w:ascii="Calibri" w:hAnsi="Calibri" w:eastAsia="宋体" w:cs="Times New Roman"/>
                <w:sz w:val="24"/>
                <w:szCs w:val="32"/>
                <w:vertAlign w:val="baseline"/>
                <w:lang w:val="en-US" w:eastAsia="zh-CN"/>
              </w:rPr>
              <w:t>轮胎规格:≥265/60 R18;</w:t>
            </w:r>
          </w:p>
          <w:p w14:paraId="6D15D827">
            <w:pPr>
              <w:numPr>
                <w:ilvl w:val="0"/>
                <w:numId w:val="5"/>
              </w:numPr>
              <w:spacing w:line="240" w:lineRule="auto"/>
              <w:rPr>
                <w:rFonts w:hint="eastAsia" w:ascii="Calibri" w:hAnsi="Calibri" w:eastAsia="宋体" w:cs="Times New Roman"/>
                <w:sz w:val="24"/>
                <w:szCs w:val="32"/>
                <w:vertAlign w:val="baseline"/>
                <w:lang w:val="en-US" w:eastAsia="zh-CN"/>
              </w:rPr>
            </w:pPr>
            <w:r>
              <w:rPr>
                <w:rFonts w:hint="eastAsia" w:ascii="Calibri" w:hAnsi="Calibri" w:eastAsia="宋体" w:cs="Times New Roman"/>
                <w:sz w:val="24"/>
                <w:szCs w:val="32"/>
                <w:vertAlign w:val="baseline"/>
                <w:lang w:val="en-US" w:eastAsia="zh-CN"/>
              </w:rPr>
              <w:t>进气形式:涡轮增压</w:t>
            </w:r>
          </w:p>
          <w:p w14:paraId="6B5B6786">
            <w:pPr>
              <w:numPr>
                <w:ilvl w:val="0"/>
                <w:numId w:val="5"/>
              </w:numPr>
              <w:spacing w:line="240" w:lineRule="auto"/>
              <w:rPr>
                <w:rFonts w:hint="eastAsia" w:ascii="Calibri" w:hAnsi="Calibri" w:eastAsia="宋体" w:cs="Times New Roman"/>
                <w:sz w:val="24"/>
                <w:szCs w:val="32"/>
                <w:vertAlign w:val="baseline"/>
                <w:lang w:val="en-US" w:eastAsia="zh-CN"/>
              </w:rPr>
            </w:pPr>
            <w:r>
              <w:rPr>
                <w:rFonts w:hint="eastAsia" w:ascii="Calibri" w:hAnsi="Calibri" w:eastAsia="宋体" w:cs="Times New Roman"/>
                <w:sz w:val="24"/>
                <w:szCs w:val="32"/>
                <w:vertAlign w:val="baseline"/>
                <w:lang w:val="en-US" w:eastAsia="zh-CN"/>
              </w:rPr>
              <w:t>排量:≥1950mL</w:t>
            </w:r>
          </w:p>
          <w:p w14:paraId="732BCEEC">
            <w:pPr>
              <w:numPr>
                <w:ilvl w:val="0"/>
                <w:numId w:val="5"/>
              </w:numPr>
              <w:spacing w:line="240" w:lineRule="auto"/>
              <w:rPr>
                <w:rFonts w:hint="eastAsia" w:ascii="Calibri" w:hAnsi="Calibri" w:eastAsia="宋体" w:cs="Times New Roman"/>
                <w:sz w:val="24"/>
                <w:szCs w:val="32"/>
                <w:vertAlign w:val="baseline"/>
                <w:lang w:val="en-US" w:eastAsia="zh-CN"/>
              </w:rPr>
            </w:pPr>
            <w:r>
              <w:rPr>
                <w:rFonts w:hint="eastAsia" w:ascii="Calibri" w:hAnsi="Calibri" w:eastAsia="宋体" w:cs="Times New Roman"/>
                <w:sz w:val="24"/>
                <w:szCs w:val="32"/>
                <w:vertAlign w:val="baseline"/>
                <w:lang w:val="en-US" w:eastAsia="zh-CN"/>
              </w:rPr>
              <w:t>最大功率:≥140kW</w:t>
            </w:r>
          </w:p>
          <w:p w14:paraId="24EE9EDB">
            <w:pPr>
              <w:numPr>
                <w:ilvl w:val="0"/>
                <w:numId w:val="5"/>
              </w:numPr>
              <w:spacing w:line="240" w:lineRule="auto"/>
              <w:rPr>
                <w:rFonts w:hint="eastAsia" w:ascii="Calibri" w:hAnsi="Calibri" w:eastAsia="宋体" w:cs="Times New Roman"/>
                <w:sz w:val="24"/>
                <w:szCs w:val="32"/>
                <w:vertAlign w:val="baseline"/>
                <w:lang w:val="en-US" w:eastAsia="zh-CN"/>
              </w:rPr>
            </w:pPr>
            <w:r>
              <w:rPr>
                <w:rFonts w:hint="eastAsia" w:ascii="Calibri" w:hAnsi="Calibri" w:eastAsia="宋体" w:cs="Times New Roman"/>
                <w:sz w:val="24"/>
                <w:szCs w:val="32"/>
                <w:vertAlign w:val="baseline"/>
                <w:lang w:val="en-US" w:eastAsia="zh-CN"/>
              </w:rPr>
              <w:t>燃油种类:汽油</w:t>
            </w:r>
          </w:p>
          <w:p w14:paraId="160181D8">
            <w:pPr>
              <w:numPr>
                <w:ilvl w:val="0"/>
                <w:numId w:val="5"/>
              </w:numPr>
              <w:spacing w:line="240" w:lineRule="auto"/>
              <w:rPr>
                <w:rFonts w:hint="eastAsia" w:ascii="Calibri" w:hAnsi="Calibri" w:eastAsia="宋体" w:cs="Times New Roman"/>
                <w:sz w:val="24"/>
                <w:szCs w:val="32"/>
                <w:vertAlign w:val="baseline"/>
                <w:lang w:val="en-US" w:eastAsia="zh-CN"/>
              </w:rPr>
            </w:pPr>
            <w:r>
              <w:rPr>
                <w:rFonts w:hint="eastAsia" w:ascii="Calibri" w:hAnsi="Calibri" w:eastAsia="宋体" w:cs="Times New Roman"/>
                <w:sz w:val="24"/>
                <w:szCs w:val="32"/>
                <w:vertAlign w:val="baseline"/>
                <w:lang w:val="en-US" w:eastAsia="zh-CN"/>
              </w:rPr>
              <w:t>驱动形式:四驱系统</w:t>
            </w:r>
          </w:p>
          <w:p w14:paraId="2F338DA2">
            <w:pPr>
              <w:numPr>
                <w:ilvl w:val="0"/>
                <w:numId w:val="5"/>
              </w:numPr>
              <w:spacing w:line="240" w:lineRule="auto"/>
              <w:rPr>
                <w:rFonts w:hint="eastAsia" w:ascii="Calibri" w:hAnsi="Calibri" w:eastAsia="宋体" w:cs="Times New Roman"/>
                <w:sz w:val="24"/>
                <w:szCs w:val="32"/>
                <w:vertAlign w:val="baseline"/>
                <w:lang w:val="en-US" w:eastAsia="zh-CN"/>
              </w:rPr>
            </w:pPr>
            <w:r>
              <w:rPr>
                <w:rFonts w:hint="eastAsia" w:ascii="Calibri" w:hAnsi="Calibri" w:eastAsia="宋体" w:cs="Times New Roman"/>
                <w:sz w:val="24"/>
                <w:szCs w:val="32"/>
                <w:vertAlign w:val="baseline"/>
                <w:lang w:val="en-US" w:eastAsia="zh-CN"/>
              </w:rPr>
              <w:t>整备质量:≥2000kg</w:t>
            </w:r>
          </w:p>
          <w:p w14:paraId="633FEC8E">
            <w:pPr>
              <w:numPr>
                <w:ilvl w:val="0"/>
                <w:numId w:val="5"/>
              </w:numPr>
              <w:spacing w:line="240" w:lineRule="auto"/>
              <w:rPr>
                <w:rFonts w:hint="eastAsia" w:ascii="Calibri" w:hAnsi="Calibri" w:eastAsia="宋体" w:cs="Times New Roman"/>
                <w:sz w:val="24"/>
                <w:szCs w:val="32"/>
                <w:vertAlign w:val="baseline"/>
                <w:lang w:val="en-US" w:eastAsia="zh-CN"/>
              </w:rPr>
            </w:pPr>
            <w:r>
              <w:rPr>
                <w:rFonts w:hint="eastAsia" w:ascii="Calibri" w:hAnsi="Calibri" w:eastAsia="宋体" w:cs="Times New Roman"/>
                <w:sz w:val="24"/>
                <w:szCs w:val="32"/>
                <w:vertAlign w:val="baseline"/>
                <w:lang w:val="en-US" w:eastAsia="zh-CN"/>
              </w:rPr>
              <w:t>前/后悬架:前双插臂式独立悬架/后整体桥非独立悬架</w:t>
            </w:r>
          </w:p>
          <w:p w14:paraId="06CA3DA2">
            <w:pPr>
              <w:numPr>
                <w:ilvl w:val="0"/>
                <w:numId w:val="5"/>
              </w:numPr>
              <w:spacing w:line="240" w:lineRule="auto"/>
              <w:rPr>
                <w:rFonts w:hint="eastAsia" w:ascii="Calibri" w:hAnsi="Calibri" w:eastAsia="宋体" w:cs="Times New Roman"/>
                <w:sz w:val="24"/>
                <w:szCs w:val="32"/>
                <w:vertAlign w:val="baseline"/>
                <w:lang w:val="en-US" w:eastAsia="zh-CN"/>
              </w:rPr>
            </w:pPr>
            <w:r>
              <w:rPr>
                <w:rFonts w:hint="eastAsia" w:ascii="Calibri" w:hAnsi="Calibri" w:eastAsia="宋体" w:cs="Times New Roman"/>
                <w:sz w:val="24"/>
                <w:szCs w:val="32"/>
                <w:vertAlign w:val="baseline"/>
                <w:lang w:val="en-US" w:eastAsia="zh-CN"/>
              </w:rPr>
              <w:t>座位数(个):5</w:t>
            </w:r>
          </w:p>
          <w:p w14:paraId="54EC7527">
            <w:pPr>
              <w:numPr>
                <w:ilvl w:val="0"/>
                <w:numId w:val="5"/>
              </w:numPr>
              <w:spacing w:line="240" w:lineRule="auto"/>
              <w:rPr>
                <w:rFonts w:hint="default" w:ascii="Calibri" w:hAnsi="Calibri" w:eastAsia="宋体" w:cs="Times New Roman"/>
                <w:sz w:val="24"/>
                <w:szCs w:val="32"/>
                <w:vertAlign w:val="baseline"/>
                <w:lang w:val="en-US" w:eastAsia="zh-CN"/>
              </w:rPr>
            </w:pPr>
            <w:r>
              <w:rPr>
                <w:rFonts w:hint="eastAsia" w:ascii="Calibri" w:hAnsi="Calibri" w:eastAsia="宋体" w:cs="Times New Roman"/>
                <w:sz w:val="24"/>
                <w:szCs w:val="32"/>
                <w:vertAlign w:val="baseline"/>
                <w:lang w:val="en-US" w:eastAsia="zh-CN"/>
              </w:rPr>
              <w:t>配置:无钥匙进入+一键启动、天窗、前排侧气囊、胎压监测系统、360全影像、主驾电动调节座椅、前排座椅加热、前/后驻车雷达、前排侧气囊、外视镜加热功能</w:t>
            </w:r>
          </w:p>
        </w:tc>
        <w:tc>
          <w:tcPr>
            <w:tcW w:w="955" w:type="dxa"/>
          </w:tcPr>
          <w:p w14:paraId="695ABD62">
            <w:pPr>
              <w:spacing w:line="240" w:lineRule="auto"/>
              <w:jc w:val="center"/>
              <w:rPr>
                <w:rFonts w:hint="eastAsia" w:ascii="Calibri" w:hAnsi="Calibri" w:eastAsia="宋体" w:cs="Times New Roman"/>
                <w:sz w:val="24"/>
                <w:szCs w:val="32"/>
                <w:vertAlign w:val="baseline"/>
                <w:lang w:val="en-US" w:eastAsia="zh-CN"/>
              </w:rPr>
            </w:pPr>
          </w:p>
          <w:p w14:paraId="762A635A">
            <w:pPr>
              <w:spacing w:line="240" w:lineRule="auto"/>
              <w:jc w:val="center"/>
              <w:rPr>
                <w:rFonts w:hint="eastAsia" w:ascii="Calibri" w:hAnsi="Calibri" w:eastAsia="宋体" w:cs="Times New Roman"/>
                <w:sz w:val="24"/>
                <w:szCs w:val="32"/>
                <w:vertAlign w:val="baseline"/>
                <w:lang w:val="en-US" w:eastAsia="zh-CN"/>
              </w:rPr>
            </w:pPr>
          </w:p>
          <w:p w14:paraId="031DA796">
            <w:pPr>
              <w:spacing w:line="240" w:lineRule="auto"/>
              <w:jc w:val="center"/>
              <w:rPr>
                <w:rFonts w:hint="eastAsia" w:ascii="Calibri" w:hAnsi="Calibri" w:eastAsia="宋体" w:cs="Times New Roman"/>
                <w:sz w:val="24"/>
                <w:szCs w:val="32"/>
                <w:vertAlign w:val="baseline"/>
                <w:lang w:val="en-US" w:eastAsia="zh-CN"/>
              </w:rPr>
            </w:pPr>
          </w:p>
          <w:p w14:paraId="27762C5D">
            <w:pPr>
              <w:spacing w:line="240" w:lineRule="auto"/>
              <w:jc w:val="center"/>
              <w:rPr>
                <w:rFonts w:hint="eastAsia" w:ascii="Calibri" w:hAnsi="Calibri" w:eastAsia="宋体" w:cs="Times New Roman"/>
                <w:sz w:val="24"/>
                <w:szCs w:val="32"/>
                <w:vertAlign w:val="baseline"/>
                <w:lang w:val="en-US" w:eastAsia="zh-CN"/>
              </w:rPr>
            </w:pPr>
          </w:p>
          <w:p w14:paraId="55F49B98">
            <w:pPr>
              <w:spacing w:line="240" w:lineRule="auto"/>
              <w:jc w:val="center"/>
              <w:rPr>
                <w:rFonts w:hint="eastAsia" w:ascii="Calibri" w:hAnsi="Calibri" w:eastAsia="宋体" w:cs="Times New Roman"/>
                <w:sz w:val="24"/>
                <w:szCs w:val="32"/>
                <w:vertAlign w:val="baseline"/>
                <w:lang w:val="en-US" w:eastAsia="zh-CN"/>
              </w:rPr>
            </w:pPr>
            <w:r>
              <w:rPr>
                <w:rFonts w:hint="eastAsia" w:ascii="Calibri" w:hAnsi="Calibri" w:eastAsia="宋体" w:cs="Times New Roman"/>
                <w:sz w:val="24"/>
                <w:szCs w:val="32"/>
                <w:vertAlign w:val="baseline"/>
                <w:lang w:val="en-US" w:eastAsia="zh-CN"/>
              </w:rPr>
              <w:t>辆</w:t>
            </w:r>
          </w:p>
        </w:tc>
        <w:tc>
          <w:tcPr>
            <w:tcW w:w="1064" w:type="dxa"/>
          </w:tcPr>
          <w:p w14:paraId="46E83A4C">
            <w:pPr>
              <w:spacing w:line="240" w:lineRule="auto"/>
              <w:jc w:val="center"/>
              <w:rPr>
                <w:rFonts w:hint="eastAsia" w:ascii="Calibri" w:hAnsi="Calibri" w:eastAsia="宋体" w:cs="Times New Roman"/>
                <w:sz w:val="24"/>
                <w:szCs w:val="32"/>
                <w:vertAlign w:val="baseline"/>
                <w:lang w:val="en-US" w:eastAsia="zh-CN"/>
              </w:rPr>
            </w:pPr>
          </w:p>
          <w:p w14:paraId="193F16BC">
            <w:pPr>
              <w:spacing w:line="240" w:lineRule="auto"/>
              <w:jc w:val="center"/>
              <w:rPr>
                <w:rFonts w:hint="eastAsia" w:ascii="Calibri" w:hAnsi="Calibri" w:eastAsia="宋体" w:cs="Times New Roman"/>
                <w:sz w:val="24"/>
                <w:szCs w:val="32"/>
                <w:vertAlign w:val="baseline"/>
                <w:lang w:val="en-US" w:eastAsia="zh-CN"/>
              </w:rPr>
            </w:pPr>
          </w:p>
          <w:p w14:paraId="226864CC">
            <w:pPr>
              <w:spacing w:line="240" w:lineRule="auto"/>
              <w:jc w:val="center"/>
              <w:rPr>
                <w:rFonts w:hint="eastAsia" w:ascii="Calibri" w:hAnsi="Calibri" w:eastAsia="宋体" w:cs="Times New Roman"/>
                <w:sz w:val="24"/>
                <w:szCs w:val="32"/>
                <w:vertAlign w:val="baseline"/>
                <w:lang w:val="en-US" w:eastAsia="zh-CN"/>
              </w:rPr>
            </w:pPr>
          </w:p>
          <w:p w14:paraId="74DB4FFC">
            <w:pPr>
              <w:spacing w:line="240" w:lineRule="auto"/>
              <w:jc w:val="center"/>
              <w:rPr>
                <w:rFonts w:hint="eastAsia" w:ascii="Calibri" w:hAnsi="Calibri" w:eastAsia="宋体" w:cs="Times New Roman"/>
                <w:sz w:val="24"/>
                <w:szCs w:val="32"/>
                <w:vertAlign w:val="baseline"/>
                <w:lang w:val="en-US" w:eastAsia="zh-CN"/>
              </w:rPr>
            </w:pPr>
          </w:p>
          <w:p w14:paraId="0FA22950">
            <w:pPr>
              <w:spacing w:line="240" w:lineRule="auto"/>
              <w:jc w:val="center"/>
              <w:rPr>
                <w:rFonts w:hint="eastAsia" w:ascii="Calibri" w:hAnsi="Calibri" w:eastAsia="宋体" w:cs="Times New Roman"/>
                <w:sz w:val="24"/>
                <w:szCs w:val="32"/>
                <w:vertAlign w:val="baseline"/>
                <w:lang w:val="en-US" w:eastAsia="zh-CN"/>
              </w:rPr>
            </w:pPr>
            <w:r>
              <w:rPr>
                <w:rFonts w:hint="eastAsia" w:ascii="Calibri" w:hAnsi="Calibri" w:cs="Times New Roman"/>
                <w:sz w:val="24"/>
                <w:szCs w:val="32"/>
                <w:vertAlign w:val="baseline"/>
                <w:lang w:val="en-US" w:eastAsia="zh-CN"/>
              </w:rPr>
              <w:t>6</w:t>
            </w:r>
          </w:p>
        </w:tc>
      </w:tr>
    </w:tbl>
    <w:p w14:paraId="0CE07DE0">
      <w:pPr>
        <w:pStyle w:val="37"/>
        <w:ind w:left="0" w:leftChars="0" w:firstLine="0" w:firstLineChars="0"/>
        <w:rPr>
          <w:rFonts w:hint="eastAsia" w:ascii="新宋体" w:hAnsi="新宋体" w:eastAsia="新宋体" w:cs="新宋体"/>
          <w:sz w:val="24"/>
          <w:szCs w:val="24"/>
        </w:rPr>
        <w:sectPr>
          <w:footerReference r:id="rId7" w:type="default"/>
          <w:pgSz w:w="11906" w:h="16839"/>
          <w:pgMar w:top="1431" w:right="970" w:bottom="1156" w:left="1482" w:header="0" w:footer="996" w:gutter="0"/>
          <w:pgNumType w:fmt="decimal"/>
          <w:cols w:space="720" w:num="1"/>
        </w:sectPr>
      </w:pPr>
    </w:p>
    <w:bookmarkEnd w:id="275"/>
    <w:bookmarkEnd w:id="276"/>
    <w:bookmarkEnd w:id="277"/>
    <w:bookmarkEnd w:id="278"/>
    <w:bookmarkEnd w:id="279"/>
    <w:bookmarkEnd w:id="280"/>
    <w:bookmarkEnd w:id="281"/>
    <w:p w14:paraId="38961156">
      <w:pPr>
        <w:rPr>
          <w:rFonts w:hint="eastAsia" w:ascii="新宋体" w:hAnsi="新宋体" w:eastAsia="新宋体" w:cs="新宋体"/>
          <w:sz w:val="36"/>
          <w:szCs w:val="36"/>
        </w:rPr>
      </w:pPr>
      <w:bookmarkStart w:id="283" w:name="_Toc110437606"/>
      <w:bookmarkStart w:id="284" w:name="_Toc15487_WPSOffice_Level1"/>
      <w:bookmarkStart w:id="285" w:name="_Toc31138"/>
      <w:bookmarkStart w:id="286" w:name="_Toc18643_WPSOffice_Level1"/>
      <w:bookmarkStart w:id="287" w:name="_Toc5732_WPSOffice_Level1"/>
      <w:bookmarkStart w:id="288" w:name="_Toc955_WPSOffice_Level1"/>
      <w:bookmarkStart w:id="289" w:name="_Toc22544"/>
      <w:bookmarkStart w:id="290" w:name="_Toc6923_WPSOffice_Level1"/>
      <w:bookmarkStart w:id="291" w:name="_Toc18208_WPSOffice_Level1"/>
    </w:p>
    <w:bookmarkEnd w:id="283"/>
    <w:bookmarkEnd w:id="284"/>
    <w:bookmarkEnd w:id="285"/>
    <w:bookmarkEnd w:id="286"/>
    <w:bookmarkEnd w:id="287"/>
    <w:bookmarkEnd w:id="288"/>
    <w:bookmarkEnd w:id="289"/>
    <w:bookmarkEnd w:id="290"/>
    <w:bookmarkEnd w:id="291"/>
    <w:p w14:paraId="48FA218E">
      <w:pPr>
        <w:jc w:val="center"/>
        <w:rPr>
          <w:rFonts w:hint="eastAsia" w:ascii="Cambria" w:hAnsi="Cambria" w:eastAsia="宋体" w:cs="Times New Roman"/>
          <w:b/>
          <w:bCs/>
          <w:kern w:val="2"/>
          <w:sz w:val="36"/>
          <w:szCs w:val="32"/>
          <w:lang w:val="zh-CN" w:eastAsia="zh-CN" w:bidi="ar-SA"/>
        </w:rPr>
      </w:pPr>
      <w:r>
        <w:rPr>
          <w:rFonts w:hint="eastAsia" w:ascii="Cambria" w:hAnsi="Cambria" w:eastAsia="宋体" w:cs="Times New Roman"/>
          <w:b/>
          <w:bCs/>
          <w:kern w:val="2"/>
          <w:sz w:val="36"/>
          <w:szCs w:val="32"/>
          <w:lang w:val="zh-CN" w:eastAsia="zh-CN" w:bidi="ar-SA"/>
        </w:rPr>
        <w:t>第四部分 谈判响应文件格式</w:t>
      </w:r>
    </w:p>
    <w:p w14:paraId="0AB1A3E3">
      <w:pPr>
        <w:adjustRightInd w:val="0"/>
        <w:snapToGrid w:val="0"/>
        <w:spacing w:line="560" w:lineRule="exact"/>
        <w:jc w:val="center"/>
        <w:outlineLvl w:val="1"/>
        <w:rPr>
          <w:rFonts w:hint="eastAsia" w:ascii="新宋体" w:hAnsi="新宋体" w:eastAsia="新宋体" w:cs="新宋体"/>
          <w:color w:val="auto"/>
          <w:sz w:val="28"/>
          <w:szCs w:val="28"/>
          <w:highlight w:val="none"/>
        </w:rPr>
      </w:pPr>
      <w:bookmarkStart w:id="292" w:name="_Toc20166_WPSOffice_Level2"/>
      <w:bookmarkStart w:id="293" w:name="_Toc12691_WPSOffice_Level2"/>
      <w:bookmarkStart w:id="294" w:name="_Toc11968"/>
      <w:bookmarkStart w:id="295" w:name="_Toc4945_WPSOffice_Level2"/>
      <w:bookmarkStart w:id="296" w:name="_Toc2376"/>
      <w:r>
        <w:rPr>
          <w:rFonts w:hint="eastAsia" w:ascii="新宋体" w:hAnsi="新宋体" w:eastAsia="新宋体" w:cs="新宋体"/>
          <w:color w:val="auto"/>
          <w:sz w:val="28"/>
          <w:szCs w:val="28"/>
          <w:highlight w:val="none"/>
        </w:rPr>
        <w:t>十二、谈判响应文件的组成</w:t>
      </w:r>
      <w:bookmarkEnd w:id="292"/>
      <w:bookmarkEnd w:id="293"/>
      <w:bookmarkEnd w:id="294"/>
      <w:bookmarkEnd w:id="295"/>
      <w:bookmarkEnd w:id="296"/>
    </w:p>
    <w:p w14:paraId="31697422">
      <w:pPr>
        <w:adjustRightInd w:val="0"/>
        <w:snapToGrid w:val="0"/>
        <w:spacing w:line="560" w:lineRule="exact"/>
        <w:jc w:val="left"/>
        <w:outlineLvl w:val="2"/>
        <w:rPr>
          <w:rFonts w:hint="eastAsia" w:ascii="新宋体" w:hAnsi="新宋体" w:eastAsia="新宋体" w:cs="新宋体"/>
          <w:b/>
          <w:bCs/>
          <w:color w:val="auto"/>
          <w:sz w:val="24"/>
          <w:szCs w:val="24"/>
          <w:highlight w:val="none"/>
          <w:lang w:val="zh-CN"/>
        </w:rPr>
      </w:pPr>
      <w:bookmarkStart w:id="297" w:name="_Toc185_WPSOffice_Level2"/>
      <w:bookmarkStart w:id="298" w:name="_Toc31451_WPSOffice_Level3"/>
      <w:bookmarkStart w:id="299" w:name="_Toc22172"/>
      <w:bookmarkStart w:id="300" w:name="_Toc4049"/>
      <w:r>
        <w:rPr>
          <w:rFonts w:hint="eastAsia" w:ascii="新宋体" w:hAnsi="新宋体" w:eastAsia="新宋体" w:cs="新宋体"/>
          <w:b/>
          <w:bCs/>
          <w:color w:val="auto"/>
          <w:sz w:val="24"/>
          <w:szCs w:val="24"/>
          <w:highlight w:val="none"/>
          <w:lang w:val="zh-CN"/>
        </w:rPr>
        <w:t>（一）资格审查部分</w:t>
      </w:r>
      <w:bookmarkEnd w:id="297"/>
      <w:bookmarkEnd w:id="298"/>
      <w:bookmarkEnd w:id="299"/>
      <w:bookmarkEnd w:id="300"/>
    </w:p>
    <w:p w14:paraId="587E3A57">
      <w:pPr>
        <w:numPr>
          <w:ilvl w:val="0"/>
          <w:numId w:val="6"/>
        </w:numPr>
        <w:adjustRightInd w:val="0"/>
        <w:snapToGrid w:val="0"/>
        <w:spacing w:line="560" w:lineRule="exact"/>
        <w:ind w:left="425" w:leftChars="0" w:hanging="425" w:firstLineChars="0"/>
        <w:jc w:val="left"/>
        <w:rPr>
          <w:rFonts w:hint="eastAsia" w:ascii="新宋体" w:hAnsi="新宋体" w:eastAsia="新宋体" w:cs="新宋体"/>
          <w:color w:val="auto"/>
          <w:sz w:val="24"/>
          <w:szCs w:val="24"/>
          <w:highlight w:val="none"/>
          <w:lang w:val="zh-CN"/>
        </w:rPr>
      </w:pPr>
      <w:bookmarkStart w:id="301" w:name="_Toc19260_WPSOffice_Level3"/>
      <w:r>
        <w:rPr>
          <w:rFonts w:hint="eastAsia" w:ascii="新宋体" w:hAnsi="新宋体" w:eastAsia="新宋体" w:cs="新宋体"/>
          <w:color w:val="auto"/>
          <w:sz w:val="24"/>
          <w:szCs w:val="24"/>
          <w:highlight w:val="none"/>
          <w:lang w:val="zh-CN"/>
        </w:rPr>
        <w:t>响应函（见附件1）</w:t>
      </w:r>
      <w:bookmarkEnd w:id="301"/>
    </w:p>
    <w:p w14:paraId="336E8ABF">
      <w:pPr>
        <w:numPr>
          <w:ilvl w:val="0"/>
          <w:numId w:val="6"/>
        </w:numPr>
        <w:adjustRightInd w:val="0"/>
        <w:snapToGrid w:val="0"/>
        <w:spacing w:line="560" w:lineRule="exact"/>
        <w:ind w:left="425" w:leftChars="0" w:hanging="425" w:firstLineChars="0"/>
        <w:jc w:val="left"/>
        <w:rPr>
          <w:rFonts w:hint="eastAsia" w:ascii="新宋体" w:hAnsi="新宋体" w:eastAsia="新宋体" w:cs="新宋体"/>
          <w:color w:val="auto"/>
          <w:sz w:val="24"/>
          <w:szCs w:val="24"/>
          <w:highlight w:val="none"/>
          <w:lang w:val="zh-CN"/>
        </w:rPr>
      </w:pPr>
      <w:bookmarkStart w:id="302" w:name="_Toc13122_WPSOffice_Level3"/>
      <w:r>
        <w:rPr>
          <w:rFonts w:hint="eastAsia" w:ascii="新宋体" w:hAnsi="新宋体" w:eastAsia="新宋体" w:cs="新宋体"/>
          <w:color w:val="auto"/>
          <w:sz w:val="24"/>
          <w:szCs w:val="24"/>
          <w:highlight w:val="none"/>
          <w:lang w:val="zh-CN"/>
        </w:rPr>
        <w:t>法定代表人证明书（见附件2）</w:t>
      </w:r>
      <w:bookmarkEnd w:id="302"/>
    </w:p>
    <w:p w14:paraId="3F70FD28">
      <w:pPr>
        <w:numPr>
          <w:ilvl w:val="0"/>
          <w:numId w:val="6"/>
        </w:numPr>
        <w:adjustRightInd w:val="0"/>
        <w:snapToGrid w:val="0"/>
        <w:spacing w:line="560" w:lineRule="exact"/>
        <w:ind w:left="425" w:leftChars="0" w:hanging="425" w:firstLineChars="0"/>
        <w:jc w:val="left"/>
        <w:rPr>
          <w:rFonts w:hint="eastAsia" w:ascii="新宋体" w:hAnsi="新宋体" w:eastAsia="新宋体" w:cs="新宋体"/>
          <w:color w:val="auto"/>
          <w:sz w:val="24"/>
          <w:szCs w:val="24"/>
          <w:highlight w:val="none"/>
          <w:lang w:val="zh-CN"/>
        </w:rPr>
      </w:pPr>
      <w:bookmarkStart w:id="303" w:name="_Toc5677_WPSOffice_Level3"/>
      <w:r>
        <w:rPr>
          <w:rFonts w:hint="eastAsia" w:ascii="新宋体" w:hAnsi="新宋体" w:eastAsia="新宋体" w:cs="新宋体"/>
          <w:color w:val="auto"/>
          <w:sz w:val="24"/>
          <w:szCs w:val="24"/>
          <w:highlight w:val="none"/>
          <w:lang w:val="zh-CN"/>
        </w:rPr>
        <w:t>法定代表人授权书（见附件3）</w:t>
      </w:r>
      <w:bookmarkEnd w:id="303"/>
    </w:p>
    <w:p w14:paraId="56B5FC9E">
      <w:pPr>
        <w:numPr>
          <w:ilvl w:val="0"/>
          <w:numId w:val="6"/>
        </w:numPr>
        <w:adjustRightInd w:val="0"/>
        <w:snapToGrid w:val="0"/>
        <w:spacing w:line="560" w:lineRule="exact"/>
        <w:ind w:left="425" w:leftChars="0" w:hanging="425" w:firstLineChars="0"/>
        <w:jc w:val="left"/>
        <w:rPr>
          <w:rFonts w:hint="eastAsia" w:ascii="新宋体" w:hAnsi="新宋体" w:eastAsia="新宋体" w:cs="新宋体"/>
          <w:color w:val="auto"/>
          <w:sz w:val="24"/>
          <w:szCs w:val="24"/>
          <w:highlight w:val="none"/>
          <w:lang w:val="zh-CN"/>
        </w:rPr>
      </w:pPr>
      <w:bookmarkStart w:id="304" w:name="_Toc1890_WPSOffice_Level3"/>
      <w:r>
        <w:rPr>
          <w:rFonts w:hint="eastAsia" w:ascii="新宋体" w:hAnsi="新宋体" w:eastAsia="新宋体" w:cs="新宋体"/>
          <w:color w:val="auto"/>
          <w:sz w:val="24"/>
          <w:szCs w:val="24"/>
          <w:highlight w:val="none"/>
          <w:lang w:val="zh-CN"/>
        </w:rPr>
        <w:t>供应商承诺函（见附件4）</w:t>
      </w:r>
      <w:bookmarkEnd w:id="304"/>
    </w:p>
    <w:p w14:paraId="3275822F">
      <w:pPr>
        <w:numPr>
          <w:ilvl w:val="0"/>
          <w:numId w:val="6"/>
        </w:numPr>
        <w:adjustRightInd w:val="0"/>
        <w:snapToGrid w:val="0"/>
        <w:spacing w:line="560" w:lineRule="exact"/>
        <w:ind w:left="425" w:leftChars="0" w:hanging="425" w:firstLineChars="0"/>
        <w:jc w:val="left"/>
        <w:rPr>
          <w:rFonts w:hint="eastAsia" w:ascii="新宋体" w:hAnsi="新宋体" w:eastAsia="新宋体" w:cs="新宋体"/>
          <w:color w:val="auto"/>
          <w:sz w:val="24"/>
          <w:szCs w:val="24"/>
          <w:highlight w:val="none"/>
          <w:lang w:val="zh-CN"/>
        </w:rPr>
      </w:pPr>
      <w:bookmarkStart w:id="305" w:name="_Toc25873_WPSOffice_Level3"/>
      <w:r>
        <w:rPr>
          <w:rFonts w:hint="eastAsia" w:ascii="新宋体" w:hAnsi="新宋体" w:eastAsia="新宋体" w:cs="新宋体"/>
          <w:color w:val="auto"/>
          <w:sz w:val="24"/>
          <w:szCs w:val="24"/>
          <w:highlight w:val="none"/>
          <w:lang w:val="zh-CN"/>
        </w:rPr>
        <w:t>供应商诚信承诺书（见附件5）</w:t>
      </w:r>
      <w:bookmarkEnd w:id="305"/>
    </w:p>
    <w:p w14:paraId="7DF15E36">
      <w:pPr>
        <w:numPr>
          <w:ilvl w:val="0"/>
          <w:numId w:val="6"/>
        </w:numPr>
        <w:adjustRightInd w:val="0"/>
        <w:snapToGrid w:val="0"/>
        <w:spacing w:line="560" w:lineRule="exact"/>
        <w:ind w:left="425" w:leftChars="0" w:hanging="425" w:firstLineChars="0"/>
        <w:jc w:val="left"/>
        <w:rPr>
          <w:rFonts w:hint="eastAsia" w:ascii="新宋体" w:hAnsi="新宋体" w:eastAsia="新宋体" w:cs="新宋体"/>
          <w:color w:val="auto"/>
          <w:sz w:val="24"/>
          <w:szCs w:val="24"/>
          <w:highlight w:val="none"/>
          <w:lang w:val="zh-CN"/>
        </w:rPr>
      </w:pPr>
      <w:bookmarkStart w:id="306" w:name="_Toc31370_WPSOffice_Level3"/>
      <w:r>
        <w:rPr>
          <w:rFonts w:hint="eastAsia" w:ascii="新宋体" w:hAnsi="新宋体" w:eastAsia="新宋体" w:cs="新宋体"/>
          <w:color w:val="auto"/>
          <w:sz w:val="24"/>
          <w:szCs w:val="24"/>
          <w:highlight w:val="none"/>
          <w:lang w:val="zh-CN"/>
        </w:rPr>
        <w:t>供应商资格证明文件（见附件6）</w:t>
      </w:r>
      <w:bookmarkEnd w:id="306"/>
    </w:p>
    <w:p w14:paraId="2CC09265">
      <w:pPr>
        <w:numPr>
          <w:ilvl w:val="0"/>
          <w:numId w:val="6"/>
        </w:numPr>
        <w:adjustRightInd w:val="0"/>
        <w:snapToGrid w:val="0"/>
        <w:spacing w:line="560" w:lineRule="exact"/>
        <w:ind w:left="425" w:leftChars="0" w:hanging="425" w:firstLineChars="0"/>
        <w:jc w:val="left"/>
        <w:rPr>
          <w:rFonts w:hint="eastAsia" w:ascii="新宋体" w:hAnsi="新宋体" w:eastAsia="新宋体" w:cs="新宋体"/>
          <w:color w:val="auto"/>
          <w:sz w:val="24"/>
          <w:szCs w:val="24"/>
          <w:highlight w:val="none"/>
          <w:lang w:val="zh-CN"/>
        </w:rPr>
      </w:pPr>
      <w:bookmarkStart w:id="307" w:name="_Toc10045_WPSOffice_Level3"/>
      <w:r>
        <w:rPr>
          <w:rFonts w:hint="eastAsia" w:ascii="新宋体" w:hAnsi="新宋体" w:eastAsia="新宋体" w:cs="新宋体"/>
          <w:color w:val="auto"/>
          <w:sz w:val="24"/>
          <w:szCs w:val="24"/>
          <w:highlight w:val="none"/>
          <w:lang w:val="zh-CN"/>
        </w:rPr>
        <w:t>财务状况、缴纳税收和社会保障资金证明（见附件7）</w:t>
      </w:r>
      <w:bookmarkEnd w:id="307"/>
    </w:p>
    <w:p w14:paraId="1FA98F7C">
      <w:pPr>
        <w:numPr>
          <w:ilvl w:val="0"/>
          <w:numId w:val="6"/>
        </w:numPr>
        <w:adjustRightInd w:val="0"/>
        <w:snapToGrid w:val="0"/>
        <w:spacing w:line="560" w:lineRule="exact"/>
        <w:ind w:left="425" w:leftChars="0" w:hanging="425" w:firstLineChars="0"/>
        <w:jc w:val="left"/>
        <w:rPr>
          <w:rFonts w:hint="eastAsia" w:ascii="新宋体" w:hAnsi="新宋体" w:eastAsia="新宋体" w:cs="新宋体"/>
          <w:color w:val="auto"/>
          <w:sz w:val="24"/>
          <w:szCs w:val="24"/>
          <w:highlight w:val="none"/>
          <w:lang w:val="zh-CN"/>
        </w:rPr>
      </w:pPr>
      <w:bookmarkStart w:id="308" w:name="_Toc12223_WPSOffice_Level3"/>
      <w:r>
        <w:rPr>
          <w:rFonts w:hint="eastAsia" w:ascii="新宋体" w:hAnsi="新宋体" w:eastAsia="新宋体" w:cs="新宋体"/>
          <w:color w:val="auto"/>
          <w:sz w:val="24"/>
          <w:szCs w:val="24"/>
          <w:highlight w:val="none"/>
          <w:lang w:val="zh-CN"/>
        </w:rPr>
        <w:t>无重大违法记录声明（见附件</w:t>
      </w:r>
      <w:r>
        <w:rPr>
          <w:rFonts w:hint="eastAsia" w:ascii="新宋体" w:hAnsi="新宋体" w:eastAsia="新宋体" w:cs="新宋体"/>
          <w:color w:val="auto"/>
          <w:sz w:val="24"/>
          <w:szCs w:val="24"/>
          <w:highlight w:val="none"/>
        </w:rPr>
        <w:t>8</w:t>
      </w:r>
      <w:r>
        <w:rPr>
          <w:rFonts w:hint="eastAsia" w:ascii="新宋体" w:hAnsi="新宋体" w:eastAsia="新宋体" w:cs="新宋体"/>
          <w:color w:val="auto"/>
          <w:sz w:val="24"/>
          <w:szCs w:val="24"/>
          <w:highlight w:val="none"/>
          <w:lang w:val="zh-CN"/>
        </w:rPr>
        <w:t>）</w:t>
      </w:r>
      <w:bookmarkEnd w:id="308"/>
    </w:p>
    <w:p w14:paraId="1E32068D">
      <w:pPr>
        <w:numPr>
          <w:ilvl w:val="0"/>
          <w:numId w:val="6"/>
        </w:numPr>
        <w:adjustRightInd w:val="0"/>
        <w:snapToGrid w:val="0"/>
        <w:spacing w:line="560" w:lineRule="exact"/>
        <w:ind w:left="425" w:leftChars="0" w:hanging="425" w:firstLineChars="0"/>
        <w:jc w:val="left"/>
        <w:rPr>
          <w:rFonts w:hint="eastAsia" w:ascii="新宋体" w:hAnsi="新宋体" w:eastAsia="新宋体" w:cs="新宋体"/>
          <w:color w:val="auto"/>
          <w:sz w:val="24"/>
          <w:szCs w:val="24"/>
          <w:highlight w:val="none"/>
        </w:rPr>
      </w:pPr>
      <w:bookmarkStart w:id="309" w:name="_Toc10394_WPSOffice_Level3"/>
      <w:r>
        <w:rPr>
          <w:rFonts w:hint="eastAsia" w:ascii="新宋体" w:hAnsi="新宋体" w:eastAsia="新宋体" w:cs="新宋体"/>
          <w:color w:val="auto"/>
          <w:sz w:val="24"/>
          <w:szCs w:val="24"/>
          <w:highlight w:val="none"/>
        </w:rPr>
        <w:t>谈判保证金证明（见附件9）</w:t>
      </w:r>
      <w:bookmarkEnd w:id="309"/>
    </w:p>
    <w:p w14:paraId="380B3604">
      <w:pPr>
        <w:adjustRightInd w:val="0"/>
        <w:snapToGrid w:val="0"/>
        <w:spacing w:line="560" w:lineRule="exact"/>
        <w:jc w:val="left"/>
        <w:outlineLvl w:val="2"/>
        <w:rPr>
          <w:rFonts w:hint="eastAsia" w:ascii="新宋体" w:hAnsi="新宋体" w:eastAsia="新宋体" w:cs="新宋体"/>
          <w:b/>
          <w:bCs/>
          <w:color w:val="auto"/>
          <w:sz w:val="24"/>
          <w:szCs w:val="24"/>
          <w:highlight w:val="none"/>
          <w:lang w:val="zh-CN"/>
        </w:rPr>
      </w:pPr>
      <w:bookmarkStart w:id="310" w:name="_Toc18301_WPSOffice_Level3"/>
      <w:bookmarkStart w:id="311" w:name="_Toc4501"/>
      <w:bookmarkStart w:id="312" w:name="_Toc3154_WPSOffice_Level2"/>
      <w:bookmarkStart w:id="313" w:name="_Toc21135"/>
      <w:r>
        <w:rPr>
          <w:rFonts w:hint="eastAsia" w:ascii="新宋体" w:hAnsi="新宋体" w:eastAsia="新宋体" w:cs="新宋体"/>
          <w:b/>
          <w:bCs/>
          <w:color w:val="auto"/>
          <w:sz w:val="24"/>
          <w:szCs w:val="24"/>
          <w:highlight w:val="none"/>
          <w:lang w:val="zh-CN"/>
        </w:rPr>
        <w:t>（二）有效性、完整性、响应程度审查部分</w:t>
      </w:r>
      <w:bookmarkEnd w:id="310"/>
      <w:bookmarkEnd w:id="311"/>
      <w:bookmarkEnd w:id="312"/>
      <w:bookmarkEnd w:id="313"/>
    </w:p>
    <w:p w14:paraId="2408C68C">
      <w:pPr>
        <w:numPr>
          <w:ilvl w:val="0"/>
          <w:numId w:val="6"/>
        </w:numPr>
        <w:adjustRightInd w:val="0"/>
        <w:snapToGrid w:val="0"/>
        <w:spacing w:line="560" w:lineRule="exact"/>
        <w:ind w:left="425" w:leftChars="0" w:hanging="425" w:firstLineChars="0"/>
        <w:jc w:val="left"/>
        <w:rPr>
          <w:rFonts w:hint="eastAsia" w:ascii="新宋体" w:hAnsi="新宋体" w:eastAsia="新宋体" w:cs="新宋体"/>
          <w:color w:val="auto"/>
          <w:sz w:val="24"/>
          <w:szCs w:val="24"/>
          <w:highlight w:val="none"/>
          <w:lang w:val="zh-CN"/>
        </w:rPr>
      </w:pPr>
      <w:bookmarkStart w:id="314" w:name="_Toc9730_WPSOffice_Level3"/>
      <w:r>
        <w:rPr>
          <w:rFonts w:hint="eastAsia" w:ascii="新宋体" w:hAnsi="新宋体" w:eastAsia="新宋体" w:cs="新宋体"/>
          <w:color w:val="auto"/>
          <w:sz w:val="24"/>
          <w:szCs w:val="24"/>
          <w:highlight w:val="none"/>
          <w:lang w:val="zh-CN"/>
        </w:rPr>
        <w:t>谈判首次报价表（见附件</w:t>
      </w:r>
      <w:r>
        <w:rPr>
          <w:rFonts w:hint="eastAsia" w:ascii="新宋体" w:hAnsi="新宋体" w:eastAsia="新宋体" w:cs="新宋体"/>
          <w:color w:val="auto"/>
          <w:sz w:val="24"/>
          <w:szCs w:val="24"/>
          <w:highlight w:val="none"/>
        </w:rPr>
        <w:t>10</w:t>
      </w:r>
      <w:r>
        <w:rPr>
          <w:rFonts w:hint="eastAsia" w:ascii="新宋体" w:hAnsi="新宋体" w:eastAsia="新宋体" w:cs="新宋体"/>
          <w:color w:val="auto"/>
          <w:sz w:val="24"/>
          <w:szCs w:val="24"/>
          <w:highlight w:val="none"/>
          <w:lang w:val="zh-CN"/>
        </w:rPr>
        <w:t>）</w:t>
      </w:r>
      <w:bookmarkEnd w:id="314"/>
    </w:p>
    <w:p w14:paraId="2A44C878">
      <w:pPr>
        <w:numPr>
          <w:ilvl w:val="0"/>
          <w:numId w:val="6"/>
        </w:numPr>
        <w:adjustRightInd w:val="0"/>
        <w:snapToGrid w:val="0"/>
        <w:spacing w:line="560" w:lineRule="exact"/>
        <w:ind w:left="425" w:leftChars="0" w:hanging="425" w:firstLineChars="0"/>
        <w:jc w:val="left"/>
        <w:rPr>
          <w:rFonts w:hint="eastAsia" w:ascii="新宋体" w:hAnsi="新宋体" w:eastAsia="新宋体" w:cs="新宋体"/>
          <w:color w:val="auto"/>
          <w:sz w:val="24"/>
          <w:szCs w:val="24"/>
          <w:highlight w:val="none"/>
          <w:lang w:val="zh-CN"/>
        </w:rPr>
      </w:pPr>
      <w:bookmarkStart w:id="315" w:name="_Toc15196_WPSOffice_Level3"/>
      <w:r>
        <w:rPr>
          <w:rFonts w:hint="eastAsia" w:ascii="新宋体" w:hAnsi="新宋体" w:eastAsia="新宋体" w:cs="新宋体"/>
          <w:color w:val="auto"/>
          <w:sz w:val="24"/>
          <w:szCs w:val="24"/>
          <w:highlight w:val="none"/>
          <w:lang w:val="zh-CN"/>
        </w:rPr>
        <w:t>分项报价表（见附件1</w:t>
      </w: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zh-CN"/>
        </w:rPr>
        <w:t>）</w:t>
      </w:r>
      <w:bookmarkEnd w:id="315"/>
    </w:p>
    <w:p w14:paraId="513702DF">
      <w:pPr>
        <w:numPr>
          <w:ilvl w:val="0"/>
          <w:numId w:val="6"/>
        </w:numPr>
        <w:adjustRightInd w:val="0"/>
        <w:snapToGrid w:val="0"/>
        <w:spacing w:line="560" w:lineRule="exact"/>
        <w:ind w:left="425" w:leftChars="0" w:hanging="425" w:firstLineChars="0"/>
        <w:jc w:val="left"/>
        <w:rPr>
          <w:rFonts w:hint="eastAsia" w:ascii="新宋体" w:hAnsi="新宋体" w:eastAsia="新宋体" w:cs="新宋体"/>
          <w:color w:val="auto"/>
          <w:sz w:val="24"/>
          <w:szCs w:val="24"/>
          <w:highlight w:val="none"/>
          <w:lang w:val="zh-CN"/>
        </w:rPr>
      </w:pPr>
      <w:bookmarkStart w:id="316" w:name="_Toc319_WPSOffice_Level3"/>
      <w:r>
        <w:rPr>
          <w:rFonts w:hint="eastAsia" w:ascii="新宋体" w:hAnsi="新宋体" w:eastAsia="新宋体" w:cs="新宋体"/>
          <w:color w:val="auto"/>
          <w:sz w:val="24"/>
          <w:szCs w:val="24"/>
          <w:highlight w:val="none"/>
          <w:lang w:val="zh-CN"/>
        </w:rPr>
        <w:t>技术规格响应表（见附件1</w:t>
      </w: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zh-CN"/>
        </w:rPr>
        <w:t>）</w:t>
      </w:r>
      <w:bookmarkEnd w:id="316"/>
    </w:p>
    <w:p w14:paraId="4ACC7A85">
      <w:pPr>
        <w:numPr>
          <w:ilvl w:val="0"/>
          <w:numId w:val="6"/>
        </w:numPr>
        <w:adjustRightInd w:val="0"/>
        <w:snapToGrid w:val="0"/>
        <w:spacing w:line="560" w:lineRule="exact"/>
        <w:ind w:left="425" w:leftChars="0" w:hanging="425" w:firstLineChars="0"/>
        <w:jc w:val="left"/>
        <w:rPr>
          <w:rFonts w:hint="eastAsia" w:ascii="新宋体" w:hAnsi="新宋体" w:eastAsia="新宋体" w:cs="新宋体"/>
          <w:color w:val="auto"/>
          <w:sz w:val="24"/>
          <w:szCs w:val="24"/>
          <w:highlight w:val="none"/>
          <w:lang w:val="zh-CN"/>
        </w:rPr>
      </w:pPr>
      <w:bookmarkStart w:id="317" w:name="_Toc22060_WPSOffice_Level3"/>
      <w:r>
        <w:rPr>
          <w:rFonts w:hint="eastAsia" w:ascii="新宋体" w:hAnsi="新宋体" w:eastAsia="新宋体" w:cs="新宋体"/>
          <w:color w:val="auto"/>
          <w:sz w:val="24"/>
          <w:szCs w:val="24"/>
          <w:highlight w:val="none"/>
          <w:lang w:val="zh-CN"/>
        </w:rPr>
        <w:t>具备履行合同所必须的设备和专业技术能力证明（附件1</w:t>
      </w:r>
      <w:r>
        <w:rPr>
          <w:rFonts w:hint="eastAsia" w:ascii="新宋体" w:hAnsi="新宋体" w:eastAsia="新宋体" w:cs="新宋体"/>
          <w:color w:val="auto"/>
          <w:sz w:val="24"/>
          <w:szCs w:val="24"/>
          <w:highlight w:val="none"/>
        </w:rPr>
        <w:t>3</w:t>
      </w:r>
      <w:r>
        <w:rPr>
          <w:rFonts w:hint="eastAsia" w:ascii="新宋体" w:hAnsi="新宋体" w:eastAsia="新宋体" w:cs="新宋体"/>
          <w:color w:val="auto"/>
          <w:sz w:val="24"/>
          <w:szCs w:val="24"/>
          <w:highlight w:val="none"/>
          <w:lang w:val="zh-CN"/>
        </w:rPr>
        <w:t>）</w:t>
      </w:r>
    </w:p>
    <w:bookmarkEnd w:id="317"/>
    <w:p w14:paraId="41EE4F84">
      <w:pPr>
        <w:numPr>
          <w:ilvl w:val="0"/>
          <w:numId w:val="6"/>
        </w:numPr>
        <w:adjustRightInd w:val="0"/>
        <w:snapToGrid w:val="0"/>
        <w:spacing w:line="560" w:lineRule="exact"/>
        <w:ind w:left="425" w:leftChars="0" w:hanging="425" w:firstLineChars="0"/>
        <w:jc w:val="left"/>
        <w:rPr>
          <w:rFonts w:hint="eastAsia" w:ascii="新宋体" w:hAnsi="新宋体" w:eastAsia="新宋体" w:cs="新宋体"/>
          <w:color w:val="auto"/>
          <w:sz w:val="24"/>
          <w:szCs w:val="24"/>
          <w:highlight w:val="none"/>
          <w:lang w:val="zh-CN"/>
        </w:rPr>
      </w:pPr>
      <w:bookmarkStart w:id="318" w:name="_Toc16307_WPSOffice_Level3"/>
      <w:r>
        <w:rPr>
          <w:rFonts w:hint="eastAsia" w:ascii="新宋体" w:hAnsi="新宋体" w:eastAsia="新宋体" w:cs="新宋体"/>
          <w:color w:val="auto"/>
          <w:sz w:val="24"/>
          <w:szCs w:val="24"/>
          <w:highlight w:val="none"/>
          <w:lang w:val="zh-CN"/>
        </w:rPr>
        <w:t>供应商认为在其他方面有必要说明的事项（格式自定）</w:t>
      </w:r>
      <w:bookmarkEnd w:id="318"/>
    </w:p>
    <w:p w14:paraId="209E0197">
      <w:pPr>
        <w:numPr>
          <w:ilvl w:val="0"/>
          <w:numId w:val="6"/>
        </w:numPr>
        <w:adjustRightInd w:val="0"/>
        <w:snapToGrid w:val="0"/>
        <w:spacing w:line="560" w:lineRule="exact"/>
        <w:ind w:left="425" w:leftChars="0" w:hanging="425" w:firstLineChars="0"/>
        <w:jc w:val="left"/>
        <w:rPr>
          <w:rFonts w:hint="eastAsia" w:ascii="新宋体" w:hAnsi="新宋体" w:eastAsia="新宋体" w:cs="新宋体"/>
          <w:color w:val="auto"/>
          <w:sz w:val="24"/>
          <w:szCs w:val="24"/>
          <w:highlight w:val="none"/>
          <w:lang w:val="zh-CN"/>
        </w:rPr>
      </w:pPr>
      <w:bookmarkStart w:id="319" w:name="_Toc1748_WPSOffice_Level3"/>
      <w:r>
        <w:rPr>
          <w:rFonts w:hint="eastAsia" w:ascii="新宋体" w:hAnsi="新宋体" w:eastAsia="新宋体" w:cs="新宋体"/>
          <w:color w:val="auto"/>
          <w:sz w:val="24"/>
          <w:szCs w:val="24"/>
          <w:highlight w:val="none"/>
          <w:lang w:val="zh-CN"/>
        </w:rPr>
        <w:t>享受政府采购政策优惠的证明资料（见附件</w:t>
      </w:r>
      <w:r>
        <w:rPr>
          <w:rFonts w:hint="eastAsia" w:ascii="新宋体" w:hAnsi="新宋体" w:eastAsia="新宋体" w:cs="新宋体"/>
          <w:color w:val="auto"/>
          <w:sz w:val="24"/>
          <w:szCs w:val="24"/>
          <w:highlight w:val="none"/>
        </w:rPr>
        <w:t>14</w:t>
      </w:r>
      <w:r>
        <w:rPr>
          <w:rFonts w:hint="eastAsia" w:ascii="新宋体" w:hAnsi="新宋体" w:eastAsia="新宋体" w:cs="新宋体"/>
          <w:color w:val="auto"/>
          <w:sz w:val="24"/>
          <w:szCs w:val="24"/>
          <w:highlight w:val="none"/>
          <w:lang w:val="zh-CN"/>
        </w:rPr>
        <w:t>）</w:t>
      </w:r>
      <w:bookmarkEnd w:id="319"/>
    </w:p>
    <w:p w14:paraId="790D8999">
      <w:pPr>
        <w:numPr>
          <w:ilvl w:val="0"/>
          <w:numId w:val="6"/>
        </w:numPr>
        <w:adjustRightInd w:val="0"/>
        <w:snapToGrid w:val="0"/>
        <w:spacing w:line="560" w:lineRule="exact"/>
        <w:ind w:left="425" w:leftChars="0" w:hanging="425" w:firstLineChars="0"/>
        <w:jc w:val="left"/>
        <w:rPr>
          <w:rFonts w:hint="eastAsia" w:ascii="新宋体" w:hAnsi="新宋体" w:eastAsia="新宋体" w:cs="新宋体"/>
          <w:color w:val="auto"/>
          <w:sz w:val="24"/>
          <w:szCs w:val="24"/>
          <w:highlight w:val="none"/>
        </w:rPr>
      </w:pPr>
      <w:bookmarkStart w:id="320" w:name="_Toc30100_WPSOffice_Level3"/>
      <w:r>
        <w:rPr>
          <w:rFonts w:hint="eastAsia" w:ascii="新宋体" w:hAnsi="新宋体" w:eastAsia="新宋体" w:cs="新宋体"/>
          <w:color w:val="auto"/>
          <w:sz w:val="24"/>
          <w:szCs w:val="24"/>
          <w:highlight w:val="none"/>
        </w:rPr>
        <w:t>谈判最后报价表（见附件15）</w:t>
      </w:r>
      <w:bookmarkEnd w:id="320"/>
    </w:p>
    <w:p w14:paraId="4DD7AE51">
      <w:pPr>
        <w:numPr>
          <w:ilvl w:val="0"/>
          <w:numId w:val="6"/>
        </w:numPr>
        <w:adjustRightInd w:val="0"/>
        <w:snapToGrid w:val="0"/>
        <w:spacing w:line="560" w:lineRule="exact"/>
        <w:ind w:left="425" w:leftChars="0" w:hanging="425" w:firstLineChars="0"/>
        <w:jc w:val="left"/>
        <w:rPr>
          <w:rFonts w:hint="eastAsia" w:ascii="新宋体" w:hAnsi="新宋体" w:eastAsia="新宋体" w:cs="新宋体"/>
          <w:color w:val="auto"/>
          <w:sz w:val="24"/>
          <w:szCs w:val="24"/>
          <w:highlight w:val="none"/>
        </w:rPr>
      </w:pPr>
      <w:bookmarkStart w:id="321" w:name="_Toc5088_WPSOffice_Level3"/>
      <w:r>
        <w:rPr>
          <w:rFonts w:hint="eastAsia" w:ascii="新宋体" w:hAnsi="新宋体" w:eastAsia="新宋体" w:cs="新宋体"/>
          <w:color w:val="auto"/>
          <w:sz w:val="24"/>
          <w:szCs w:val="24"/>
          <w:highlight w:val="none"/>
        </w:rPr>
        <w:t>其他证明材料（格式自定）</w:t>
      </w:r>
      <w:bookmarkEnd w:id="321"/>
    </w:p>
    <w:p w14:paraId="6DE75F08">
      <w:pPr>
        <w:adjustRightInd w:val="0"/>
        <w:snapToGrid w:val="0"/>
        <w:spacing w:line="560" w:lineRule="exact"/>
        <w:jc w:val="left"/>
        <w:rPr>
          <w:rFonts w:ascii="宋体" w:hAnsi="宋体" w:cs="宋体"/>
          <w:color w:val="auto"/>
          <w:sz w:val="32"/>
          <w:szCs w:val="32"/>
          <w:highlight w:val="none"/>
        </w:rPr>
      </w:pPr>
    </w:p>
    <w:p w14:paraId="239ABF6B">
      <w:pPr>
        <w:pStyle w:val="36"/>
        <w:ind w:firstLine="240"/>
        <w:rPr>
          <w:rFonts w:ascii="宋体" w:hAnsi="宋体" w:cs="宋体"/>
          <w:color w:val="auto"/>
          <w:highlight w:val="none"/>
        </w:rPr>
      </w:pPr>
    </w:p>
    <w:p w14:paraId="0C3F2215">
      <w:pPr>
        <w:adjustRightInd w:val="0"/>
        <w:snapToGrid w:val="0"/>
        <w:spacing w:line="560" w:lineRule="exact"/>
        <w:jc w:val="center"/>
        <w:outlineLvl w:val="1"/>
        <w:rPr>
          <w:rFonts w:hint="eastAsia" w:ascii="新宋体" w:hAnsi="新宋体" w:eastAsia="新宋体" w:cs="新宋体"/>
          <w:color w:val="auto"/>
          <w:sz w:val="28"/>
          <w:szCs w:val="28"/>
          <w:highlight w:val="none"/>
        </w:rPr>
      </w:pPr>
      <w:bookmarkStart w:id="322" w:name="_Toc5252_WPSOffice_Level2"/>
      <w:bookmarkStart w:id="323" w:name="_Toc11918"/>
      <w:bookmarkStart w:id="324" w:name="_Toc8795"/>
      <w:bookmarkStart w:id="325" w:name="_Toc1684_WPSOffice_Level2"/>
      <w:bookmarkStart w:id="326" w:name="_Toc14930_WPSOffice_Level2"/>
    </w:p>
    <w:p w14:paraId="737931C3">
      <w:pP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br w:type="page"/>
      </w:r>
    </w:p>
    <w:p w14:paraId="50E9E712">
      <w:pPr>
        <w:adjustRightInd w:val="0"/>
        <w:snapToGrid w:val="0"/>
        <w:spacing w:line="560" w:lineRule="exact"/>
        <w:jc w:val="center"/>
        <w:outlineLvl w:val="1"/>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十三、谈判响应文件</w:t>
      </w:r>
      <w:bookmarkEnd w:id="322"/>
      <w:bookmarkEnd w:id="323"/>
      <w:bookmarkEnd w:id="324"/>
      <w:bookmarkEnd w:id="325"/>
      <w:bookmarkEnd w:id="326"/>
    </w:p>
    <w:p w14:paraId="79A71CD5">
      <w:pPr>
        <w:spacing w:beforeLines="50" w:line="560" w:lineRule="exact"/>
        <w:ind w:firstLine="1285" w:firstLineChars="400"/>
        <w:rPr>
          <w:rFonts w:ascii="宋体" w:hAnsi="宋体" w:cs="宋体"/>
          <w:b/>
          <w:color w:val="auto"/>
          <w:sz w:val="32"/>
          <w:szCs w:val="32"/>
          <w:highlight w:val="none"/>
        </w:rPr>
      </w:pPr>
      <w:bookmarkStart w:id="327" w:name="_Toc28269_WPSOffice_Level3"/>
    </w:p>
    <w:p w14:paraId="50665A43">
      <w:pPr>
        <w:autoSpaceDE w:val="0"/>
        <w:autoSpaceDN w:val="0"/>
        <w:adjustRightInd w:val="0"/>
        <w:spacing w:line="360" w:lineRule="auto"/>
        <w:jc w:val="center"/>
        <w:rPr>
          <w:rFonts w:hint="eastAsia" w:ascii="新宋体" w:hAnsi="新宋体" w:eastAsia="新宋体" w:cs="新宋体"/>
          <w:b/>
          <w:bCs/>
          <w:color w:val="000000"/>
          <w:kern w:val="2"/>
          <w:sz w:val="36"/>
          <w:szCs w:val="36"/>
          <w:lang w:val="zh-CN" w:eastAsia="zh-CN" w:bidi="ar-SA"/>
        </w:rPr>
      </w:pPr>
      <w:bookmarkStart w:id="328" w:name="_Toc10997_WPSOffice_Level2"/>
      <w:bookmarkStart w:id="329" w:name="_Toc31682_WPSOffice_Level2"/>
      <w:r>
        <w:rPr>
          <w:rFonts w:hint="eastAsia" w:ascii="新宋体" w:hAnsi="新宋体" w:eastAsia="新宋体" w:cs="新宋体"/>
          <w:b/>
          <w:bCs/>
          <w:color w:val="000000"/>
          <w:kern w:val="2"/>
          <w:sz w:val="36"/>
          <w:szCs w:val="36"/>
          <w:lang w:val="zh-CN" w:eastAsia="zh-CN" w:bidi="ar-SA"/>
        </w:rPr>
        <w:t>青海省政府采购项目</w:t>
      </w:r>
      <w:bookmarkEnd w:id="327"/>
      <w:bookmarkEnd w:id="328"/>
      <w:bookmarkEnd w:id="329"/>
    </w:p>
    <w:p w14:paraId="569AB2D2">
      <w:pPr>
        <w:autoSpaceDE w:val="0"/>
        <w:autoSpaceDN w:val="0"/>
        <w:adjustRightInd w:val="0"/>
        <w:spacing w:line="360" w:lineRule="auto"/>
        <w:jc w:val="center"/>
        <w:rPr>
          <w:rFonts w:hint="eastAsia" w:ascii="新宋体" w:hAnsi="新宋体" w:eastAsia="新宋体" w:cs="新宋体"/>
          <w:b/>
          <w:bCs/>
          <w:color w:val="000000"/>
          <w:kern w:val="2"/>
          <w:sz w:val="36"/>
          <w:szCs w:val="36"/>
          <w:lang w:val="zh-CN" w:eastAsia="zh-CN" w:bidi="ar-SA"/>
        </w:rPr>
      </w:pPr>
      <w:bookmarkStart w:id="330" w:name="_Toc25378_WPSOffice_Level2"/>
      <w:bookmarkStart w:id="331" w:name="_Toc23622_WPSOffice_Level2"/>
      <w:r>
        <w:rPr>
          <w:rFonts w:hint="eastAsia" w:ascii="新宋体" w:hAnsi="新宋体" w:eastAsia="新宋体" w:cs="新宋体"/>
          <w:b/>
          <w:bCs/>
          <w:color w:val="000000"/>
          <w:kern w:val="2"/>
          <w:sz w:val="36"/>
          <w:szCs w:val="36"/>
          <w:lang w:val="zh-CN" w:eastAsia="zh-CN" w:bidi="ar-SA"/>
        </w:rPr>
        <w:t>谈判响应文件</w:t>
      </w:r>
      <w:bookmarkEnd w:id="330"/>
      <w:bookmarkEnd w:id="331"/>
    </w:p>
    <w:p w14:paraId="56990C42">
      <w:pPr>
        <w:adjustRightInd w:val="0"/>
        <w:spacing w:beforeLines="50" w:line="560" w:lineRule="exact"/>
        <w:ind w:firstLine="3052" w:firstLineChars="950"/>
        <w:textAlignment w:val="baseline"/>
        <w:rPr>
          <w:rFonts w:ascii="宋体" w:hAnsi="宋体" w:cs="宋体"/>
          <w:b/>
          <w:bCs/>
          <w:color w:val="auto"/>
          <w:sz w:val="32"/>
          <w:szCs w:val="32"/>
          <w:highlight w:val="none"/>
        </w:rPr>
      </w:pPr>
      <w:bookmarkStart w:id="332" w:name="_Toc13231_WPSOffice_Level2"/>
      <w:bookmarkStart w:id="333" w:name="_Toc28825_WPSOffice_Level2"/>
    </w:p>
    <w:p w14:paraId="5E0E90C9">
      <w:pPr>
        <w:adjustRightInd w:val="0"/>
        <w:spacing w:beforeLines="50" w:line="560" w:lineRule="exact"/>
        <w:ind w:firstLine="3052" w:firstLineChars="950"/>
        <w:textAlignment w:val="baseline"/>
        <w:rPr>
          <w:rFonts w:ascii="宋体" w:hAnsi="宋体" w:cs="宋体"/>
          <w:b/>
          <w:bCs/>
          <w:color w:val="auto"/>
          <w:sz w:val="32"/>
          <w:szCs w:val="32"/>
          <w:highlight w:val="none"/>
        </w:rPr>
      </w:pPr>
      <w:r>
        <w:rPr>
          <w:rFonts w:hint="eastAsia" w:ascii="宋体" w:hAnsi="宋体" w:cs="宋体"/>
          <w:b/>
          <w:bCs/>
          <w:color w:val="auto"/>
          <w:sz w:val="32"/>
          <w:szCs w:val="32"/>
          <w:highlight w:val="none"/>
        </w:rPr>
        <w:t>（</w:t>
      </w:r>
      <w:r>
        <w:rPr>
          <w:rFonts w:hint="eastAsia" w:ascii="宋体" w:hAnsi="宋体" w:cs="宋体"/>
          <w:color w:val="auto"/>
          <w:sz w:val="32"/>
          <w:szCs w:val="32"/>
          <w:highlight w:val="none"/>
        </w:rPr>
        <w:t>资格审查部分</w:t>
      </w:r>
      <w:r>
        <w:rPr>
          <w:rFonts w:hint="eastAsia" w:ascii="宋体" w:hAnsi="宋体" w:cs="宋体"/>
          <w:b/>
          <w:bCs/>
          <w:color w:val="auto"/>
          <w:sz w:val="32"/>
          <w:szCs w:val="32"/>
          <w:highlight w:val="none"/>
        </w:rPr>
        <w:t>）</w:t>
      </w:r>
      <w:bookmarkEnd w:id="332"/>
      <w:bookmarkEnd w:id="333"/>
    </w:p>
    <w:p w14:paraId="5C97E90F">
      <w:pPr>
        <w:adjustRightInd w:val="0"/>
        <w:spacing w:beforeLines="50" w:line="560" w:lineRule="exact"/>
        <w:textAlignment w:val="baseline"/>
        <w:rPr>
          <w:rFonts w:ascii="宋体" w:hAnsi="宋体" w:cs="宋体"/>
          <w:b/>
          <w:bCs/>
          <w:color w:val="auto"/>
          <w:sz w:val="32"/>
          <w:szCs w:val="32"/>
          <w:highlight w:val="none"/>
        </w:rPr>
      </w:pPr>
    </w:p>
    <w:p w14:paraId="7BCE78F7">
      <w:pPr>
        <w:adjustRightInd w:val="0"/>
        <w:spacing w:beforeLines="50" w:line="560" w:lineRule="exact"/>
        <w:textAlignment w:val="baseline"/>
        <w:rPr>
          <w:rFonts w:ascii="宋体" w:hAnsi="宋体" w:cs="宋体"/>
          <w:b/>
          <w:bCs/>
          <w:color w:val="auto"/>
          <w:sz w:val="32"/>
          <w:szCs w:val="32"/>
          <w:highlight w:val="none"/>
        </w:rPr>
      </w:pPr>
    </w:p>
    <w:p w14:paraId="605B8C69">
      <w:pPr>
        <w:adjustRightInd w:val="0"/>
        <w:spacing w:beforeLines="50" w:line="560" w:lineRule="exact"/>
        <w:textAlignment w:val="baseline"/>
        <w:rPr>
          <w:rFonts w:ascii="宋体" w:hAnsi="宋体" w:cs="宋体"/>
          <w:b/>
          <w:bCs/>
          <w:color w:val="auto"/>
          <w:sz w:val="32"/>
          <w:szCs w:val="32"/>
          <w:highlight w:val="none"/>
        </w:rPr>
      </w:pPr>
    </w:p>
    <w:p w14:paraId="1A400DFB">
      <w:pPr>
        <w:adjustRightInd w:val="0"/>
        <w:spacing w:beforeLines="50" w:line="560" w:lineRule="exact"/>
        <w:textAlignment w:val="baseline"/>
        <w:rPr>
          <w:rFonts w:ascii="宋体" w:hAnsi="宋体" w:cs="宋体"/>
          <w:b/>
          <w:bCs/>
          <w:color w:val="auto"/>
          <w:sz w:val="32"/>
          <w:szCs w:val="32"/>
          <w:highlight w:val="none"/>
        </w:rPr>
      </w:pPr>
      <w:bookmarkStart w:id="334" w:name="_Toc29803_WPSOffice_Level2"/>
      <w:bookmarkStart w:id="335" w:name="_Toc19521_WPSOffice_Level2"/>
      <w:r>
        <w:rPr>
          <w:rFonts w:hint="eastAsia" w:ascii="宋体" w:hAnsi="宋体" w:cs="宋体"/>
          <w:b/>
          <w:bCs/>
          <w:color w:val="auto"/>
          <w:sz w:val="32"/>
          <w:szCs w:val="32"/>
          <w:highlight w:val="none"/>
        </w:rPr>
        <w:t>采购项目编号:</w:t>
      </w:r>
      <w:bookmarkEnd w:id="334"/>
      <w:bookmarkEnd w:id="335"/>
    </w:p>
    <w:p w14:paraId="6674BA83">
      <w:pPr>
        <w:spacing w:beforeLines="50" w:line="560" w:lineRule="exact"/>
        <w:ind w:left="2249" w:hanging="2249" w:hangingChars="700"/>
        <w:jc w:val="left"/>
        <w:rPr>
          <w:rFonts w:ascii="宋体" w:hAnsi="宋体" w:cs="宋体"/>
          <w:b/>
          <w:bCs/>
          <w:color w:val="auto"/>
          <w:sz w:val="32"/>
          <w:szCs w:val="32"/>
          <w:highlight w:val="none"/>
        </w:rPr>
      </w:pPr>
      <w:bookmarkStart w:id="336" w:name="_Toc14786_WPSOffice_Level2"/>
      <w:bookmarkStart w:id="337" w:name="_Toc18713_WPSOffice_Level2"/>
      <w:r>
        <w:rPr>
          <w:rFonts w:hint="eastAsia" w:ascii="宋体" w:hAnsi="宋体" w:cs="宋体"/>
          <w:b/>
          <w:bCs/>
          <w:color w:val="auto"/>
          <w:sz w:val="32"/>
          <w:szCs w:val="32"/>
          <w:highlight w:val="none"/>
        </w:rPr>
        <w:t>采购项目名称:</w:t>
      </w:r>
      <w:bookmarkEnd w:id="336"/>
      <w:bookmarkEnd w:id="337"/>
      <w:r>
        <w:rPr>
          <w:rFonts w:hint="eastAsia" w:ascii="宋体" w:hAnsi="宋体" w:cs="宋体"/>
          <w:b/>
          <w:bCs/>
          <w:color w:val="auto"/>
          <w:sz w:val="32"/>
          <w:szCs w:val="32"/>
          <w:highlight w:val="none"/>
        </w:rPr>
        <w:t xml:space="preserve"> </w:t>
      </w:r>
    </w:p>
    <w:p w14:paraId="7A14C73C">
      <w:pPr>
        <w:spacing w:beforeLines="50" w:line="560" w:lineRule="exact"/>
        <w:ind w:left="2249" w:hanging="2249" w:hangingChars="700"/>
        <w:jc w:val="left"/>
        <w:rPr>
          <w:rFonts w:ascii="宋体" w:hAnsi="宋体" w:cs="宋体"/>
          <w:b/>
          <w:bCs/>
          <w:color w:val="auto"/>
          <w:sz w:val="32"/>
          <w:szCs w:val="32"/>
          <w:highlight w:val="none"/>
        </w:rPr>
      </w:pPr>
      <w:bookmarkStart w:id="338" w:name="_Toc22044_WPSOffice_Level2"/>
      <w:bookmarkStart w:id="339" w:name="_Toc14087_WPSOffice_Level2"/>
      <w:r>
        <w:rPr>
          <w:rFonts w:hint="eastAsia" w:ascii="宋体" w:hAnsi="宋体" w:cs="宋体"/>
          <w:b/>
          <w:bCs/>
          <w:color w:val="auto"/>
          <w:sz w:val="32"/>
          <w:szCs w:val="32"/>
          <w:highlight w:val="none"/>
        </w:rPr>
        <w:t>供应商名称：</w:t>
      </w:r>
      <w:bookmarkEnd w:id="338"/>
      <w:bookmarkEnd w:id="339"/>
    </w:p>
    <w:p w14:paraId="6E2AF75F">
      <w:pPr>
        <w:spacing w:beforeLines="50" w:line="560" w:lineRule="exact"/>
        <w:jc w:val="center"/>
        <w:rPr>
          <w:rFonts w:ascii="宋体" w:hAnsi="宋体" w:cs="宋体"/>
          <w:b/>
          <w:bCs/>
          <w:color w:val="auto"/>
          <w:sz w:val="32"/>
          <w:szCs w:val="32"/>
          <w:highlight w:val="none"/>
        </w:rPr>
      </w:pPr>
    </w:p>
    <w:p w14:paraId="62B62BE5">
      <w:pPr>
        <w:spacing w:beforeLines="50" w:line="560" w:lineRule="exact"/>
        <w:jc w:val="center"/>
        <w:rPr>
          <w:rFonts w:ascii="宋体" w:hAnsi="宋体" w:cs="宋体"/>
          <w:b/>
          <w:color w:val="auto"/>
          <w:sz w:val="32"/>
          <w:szCs w:val="32"/>
          <w:highlight w:val="none"/>
        </w:rPr>
      </w:pPr>
      <w:bookmarkStart w:id="340" w:name="_Toc1142_WPSOffice_Level3"/>
      <w:r>
        <w:rPr>
          <w:rFonts w:hint="eastAsia" w:ascii="宋体" w:hAnsi="宋体" w:cs="宋体"/>
          <w:b/>
          <w:color w:val="auto"/>
          <w:sz w:val="32"/>
          <w:szCs w:val="32"/>
          <w:highlight w:val="none"/>
        </w:rPr>
        <w:t>年  月  日</w:t>
      </w:r>
      <w:bookmarkEnd w:id="340"/>
    </w:p>
    <w:p w14:paraId="6DBA6F4F">
      <w:pPr>
        <w:widowControl/>
        <w:snapToGrid w:val="0"/>
        <w:spacing w:beforeLines="50" w:line="560" w:lineRule="exact"/>
        <w:jc w:val="left"/>
        <w:rPr>
          <w:rFonts w:ascii="宋体" w:hAnsi="宋体" w:cs="宋体"/>
          <w:b/>
          <w:color w:val="auto"/>
          <w:sz w:val="28"/>
          <w:szCs w:val="28"/>
          <w:highlight w:val="none"/>
        </w:rPr>
      </w:pPr>
    </w:p>
    <w:p w14:paraId="45B59CF3">
      <w:pPr>
        <w:rPr>
          <w:rFonts w:hint="eastAsia" w:ascii="宋体" w:hAnsi="宋体" w:cs="宋体"/>
          <w:b/>
          <w:color w:val="auto"/>
          <w:sz w:val="24"/>
          <w:szCs w:val="24"/>
          <w:highlight w:val="none"/>
        </w:rPr>
      </w:pPr>
      <w:bookmarkStart w:id="341" w:name="_Toc32479_WPSOffice_Level3"/>
      <w:bookmarkStart w:id="342" w:name="_Toc19203"/>
      <w:bookmarkStart w:id="343" w:name="_Toc27597"/>
      <w:bookmarkStart w:id="344" w:name="_Toc27578"/>
      <w:bookmarkStart w:id="345" w:name="_Toc27464"/>
      <w:r>
        <w:rPr>
          <w:rFonts w:hint="eastAsia" w:ascii="宋体" w:hAnsi="宋体" w:cs="宋体"/>
          <w:b/>
          <w:color w:val="auto"/>
          <w:sz w:val="24"/>
          <w:szCs w:val="24"/>
          <w:highlight w:val="none"/>
        </w:rPr>
        <w:br w:type="page"/>
      </w:r>
    </w:p>
    <w:p w14:paraId="0003F6A9">
      <w:pPr>
        <w:widowControl/>
        <w:snapToGrid w:val="0"/>
        <w:spacing w:beforeLines="50" w:line="560" w:lineRule="exact"/>
        <w:jc w:val="left"/>
        <w:outlineLvl w:val="2"/>
        <w:rPr>
          <w:rFonts w:ascii="宋体" w:hAnsi="宋体" w:cs="宋体"/>
          <w:b/>
          <w:color w:val="auto"/>
          <w:sz w:val="24"/>
          <w:szCs w:val="24"/>
          <w:highlight w:val="none"/>
        </w:rPr>
      </w:pPr>
      <w:r>
        <w:rPr>
          <w:rFonts w:hint="eastAsia" w:ascii="宋体" w:hAnsi="宋体" w:cs="宋体"/>
          <w:b/>
          <w:color w:val="auto"/>
          <w:sz w:val="24"/>
          <w:szCs w:val="24"/>
          <w:highlight w:val="none"/>
        </w:rPr>
        <w:t>附件1：响应函</w:t>
      </w:r>
      <w:bookmarkEnd w:id="341"/>
      <w:bookmarkEnd w:id="342"/>
      <w:bookmarkEnd w:id="343"/>
      <w:bookmarkEnd w:id="344"/>
      <w:bookmarkEnd w:id="345"/>
    </w:p>
    <w:p w14:paraId="400925AF">
      <w:pPr>
        <w:spacing w:beforeLines="50" w:line="560" w:lineRule="exact"/>
        <w:ind w:firstLine="2783" w:firstLineChars="1155"/>
        <w:rPr>
          <w:rFonts w:ascii="宋体" w:hAnsi="宋体" w:cs="宋体"/>
          <w:b/>
          <w:color w:val="auto"/>
          <w:sz w:val="24"/>
          <w:szCs w:val="24"/>
          <w:highlight w:val="none"/>
        </w:rPr>
      </w:pPr>
      <w:bookmarkStart w:id="346" w:name="_Toc22598_WPSOffice_Level2"/>
      <w:bookmarkStart w:id="347" w:name="_Toc24288_WPSOffice_Level2"/>
      <w:r>
        <w:rPr>
          <w:rFonts w:hint="eastAsia" w:ascii="宋体" w:hAnsi="宋体" w:cs="宋体"/>
          <w:b/>
          <w:color w:val="auto"/>
          <w:sz w:val="24"/>
          <w:szCs w:val="24"/>
          <w:highlight w:val="none"/>
        </w:rPr>
        <w:t>响 应 函</w:t>
      </w:r>
      <w:bookmarkEnd w:id="346"/>
      <w:bookmarkEnd w:id="347"/>
    </w:p>
    <w:p w14:paraId="73CBE373">
      <w:pPr>
        <w:adjustRightInd w:val="0"/>
        <w:snapToGrid w:val="0"/>
        <w:spacing w:line="560" w:lineRule="exact"/>
        <w:ind w:firstLine="480" w:firstLineChars="200"/>
        <w:rPr>
          <w:rFonts w:ascii="宋体" w:hAnsi="宋体" w:cs="宋体"/>
          <w:color w:val="auto"/>
          <w:sz w:val="24"/>
          <w:szCs w:val="24"/>
          <w:highlight w:val="none"/>
        </w:rPr>
      </w:pPr>
      <w:bookmarkStart w:id="348" w:name="_Toc16867_WPSOffice_Level2"/>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（代理机构名称）</w:t>
      </w:r>
      <w:bookmarkEnd w:id="348"/>
    </w:p>
    <w:p w14:paraId="74648A63">
      <w:pPr>
        <w:adjustRightInd w:val="0"/>
        <w:snapToGrid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我们收到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（项目名称及编号）谈判文件，经研究，法定代表人（姓名、职务）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正式授权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（委托代理人姓名、职务）代表供应商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（供应商名称、地址）提交谈判响应文件。    </w:t>
      </w:r>
    </w:p>
    <w:p w14:paraId="6ABE3A27">
      <w:pPr>
        <w:adjustRightInd w:val="0"/>
        <w:snapToGrid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据此函，签字代表宣布同意如下：</w:t>
      </w:r>
    </w:p>
    <w:p w14:paraId="7B206B20">
      <w:pPr>
        <w:adjustRightInd w:val="0"/>
        <w:snapToGrid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1、我方已详阅谈判文件的全部内容，包括澄清、修改条款等有关附件，承诺对其完全理解并接受。</w:t>
      </w:r>
    </w:p>
    <w:p w14:paraId="5BB2B419">
      <w:pPr>
        <w:adjustRightInd w:val="0"/>
        <w:snapToGrid w:val="0"/>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2、若在响应文件发出后，我方在响应文件有效期内撤回或成交后不签约的，谈判保证金将被贵方没收。</w:t>
      </w:r>
    </w:p>
    <w:p w14:paraId="62873585">
      <w:pPr>
        <w:pStyle w:val="85"/>
        <w:rPr>
          <w:rFonts w:hint="eastAsia" w:eastAsia="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kern w:val="2"/>
          <w:sz w:val="24"/>
          <w:szCs w:val="24"/>
          <w:highlight w:val="none"/>
          <w:lang w:val="zh-CN" w:eastAsia="zh-CN" w:bidi="ar-SA"/>
        </w:rPr>
        <w:t>投标有效期：</w:t>
      </w:r>
      <w:r>
        <w:rPr>
          <w:rFonts w:hint="eastAsia" w:ascii="宋体" w:hAnsi="宋体" w:eastAsia="宋体" w:cs="宋体"/>
          <w:color w:val="auto"/>
          <w:kern w:val="2"/>
          <w:sz w:val="24"/>
          <w:szCs w:val="24"/>
          <w:highlight w:val="none"/>
          <w:lang w:val="en-US" w:eastAsia="zh-CN" w:bidi="ar-SA"/>
        </w:rPr>
        <w:t>从提交投标文件的截止之日起</w:t>
      </w:r>
      <w:r>
        <w:rPr>
          <w:rFonts w:hint="eastAsia" w:ascii="宋体" w:hAnsi="宋体" w:eastAsia="宋体" w:cs="宋体"/>
          <w:color w:val="auto"/>
          <w:kern w:val="2"/>
          <w:sz w:val="24"/>
          <w:szCs w:val="24"/>
          <w:highlight w:val="none"/>
          <w:u w:val="single"/>
          <w:lang w:val="zh-CN" w:eastAsia="zh-CN" w:bidi="ar-SA"/>
        </w:rPr>
        <w:t xml:space="preserve">    </w:t>
      </w:r>
      <w:r>
        <w:rPr>
          <w:rFonts w:hint="eastAsia" w:ascii="宋体" w:hAnsi="宋体" w:eastAsia="宋体" w:cs="宋体"/>
          <w:color w:val="auto"/>
          <w:kern w:val="2"/>
          <w:sz w:val="24"/>
          <w:szCs w:val="24"/>
          <w:highlight w:val="none"/>
          <w:u w:val="none"/>
          <w:lang w:val="en-US" w:eastAsia="zh-CN" w:bidi="ar-SA"/>
        </w:rPr>
        <w:t>个</w:t>
      </w:r>
      <w:r>
        <w:rPr>
          <w:rFonts w:hint="eastAsia" w:ascii="宋体" w:hAnsi="宋体" w:eastAsia="宋体" w:cs="宋体"/>
          <w:color w:val="auto"/>
          <w:kern w:val="2"/>
          <w:sz w:val="24"/>
          <w:szCs w:val="24"/>
          <w:highlight w:val="none"/>
          <w:lang w:val="zh-CN" w:eastAsia="zh-CN" w:bidi="ar-SA"/>
        </w:rPr>
        <w:t>日历日内有效。如果我方在投标有效期内撤回投标或中标后不签约的，投标保证金将被贵方没收。</w:t>
      </w:r>
    </w:p>
    <w:p w14:paraId="6A19D161">
      <w:pPr>
        <w:adjustRightInd w:val="0"/>
        <w:snapToGrid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、我方同意按照贵方要求提供与谈判有关的一切数据或资料，理解并接受贵方制定的评标办法。</w:t>
      </w:r>
    </w:p>
    <w:p w14:paraId="34A98796">
      <w:pPr>
        <w:adjustRightInd w:val="0"/>
        <w:snapToGrid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、与本次竞争性谈判有关的一切正式往来通讯请寄：</w:t>
      </w:r>
    </w:p>
    <w:p w14:paraId="66D0E52E">
      <w:pPr>
        <w:adjustRightInd w:val="0"/>
        <w:snapToGrid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地址：_______________   邮编：______________</w:t>
      </w:r>
    </w:p>
    <w:p w14:paraId="7275F0B4">
      <w:pPr>
        <w:adjustRightInd w:val="0"/>
        <w:snapToGrid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电话：_______________   传真：______________</w:t>
      </w:r>
    </w:p>
    <w:p w14:paraId="464EC51F">
      <w:pPr>
        <w:adjustRightInd w:val="0"/>
        <w:snapToGrid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法定代表人姓名： ___________ 职务：_________</w:t>
      </w:r>
    </w:p>
    <w:p w14:paraId="7BE4DF45">
      <w:pPr>
        <w:spacing w:beforeLines="50" w:line="560" w:lineRule="exact"/>
        <w:ind w:firstLine="480" w:firstLineChars="200"/>
        <w:jc w:val="center"/>
        <w:rPr>
          <w:rFonts w:ascii="宋体" w:hAnsi="宋体" w:cs="宋体"/>
          <w:bCs/>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b/>
          <w:color w:val="auto"/>
          <w:sz w:val="24"/>
          <w:szCs w:val="24"/>
          <w:highlight w:val="none"/>
        </w:rPr>
        <w:t xml:space="preserve">  </w:t>
      </w:r>
      <w:r>
        <w:rPr>
          <w:rFonts w:hint="eastAsia" w:ascii="宋体" w:hAnsi="宋体" w:cs="宋体"/>
          <w:bCs/>
          <w:color w:val="auto"/>
          <w:sz w:val="24"/>
          <w:szCs w:val="24"/>
          <w:highlight w:val="none"/>
        </w:rPr>
        <w:t xml:space="preserve">  </w:t>
      </w:r>
      <w:bookmarkStart w:id="349" w:name="_Toc1506_WPSOffice_Level3"/>
      <w:r>
        <w:rPr>
          <w:rFonts w:hint="eastAsia" w:ascii="宋体" w:hAnsi="宋体" w:cs="宋体"/>
          <w:bCs/>
          <w:color w:val="auto"/>
          <w:sz w:val="24"/>
          <w:szCs w:val="24"/>
          <w:highlight w:val="none"/>
        </w:rPr>
        <w:t xml:space="preserve">               </w:t>
      </w:r>
      <w:bookmarkStart w:id="350" w:name="_Toc28112_WPSOffice_Level3"/>
      <w:r>
        <w:rPr>
          <w:rFonts w:hint="eastAsia" w:ascii="宋体" w:hAnsi="宋体" w:cs="宋体"/>
          <w:bCs/>
          <w:color w:val="auto"/>
          <w:sz w:val="24"/>
          <w:szCs w:val="24"/>
          <w:highlight w:val="none"/>
        </w:rPr>
        <w:t>单位名称：</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（公章）</w:t>
      </w:r>
      <w:bookmarkEnd w:id="349"/>
      <w:bookmarkEnd w:id="350"/>
    </w:p>
    <w:p w14:paraId="2C1D089F">
      <w:pPr>
        <w:spacing w:beforeLines="50" w:line="560" w:lineRule="exact"/>
        <w:ind w:firstLine="480" w:firstLineChars="200"/>
        <w:jc w:val="center"/>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w:t>
      </w:r>
      <w:bookmarkStart w:id="351" w:name="_Toc6385_WPSOffice_Level3"/>
      <w:bookmarkStart w:id="352" w:name="_Toc28651_WPSOffice_Level3"/>
      <w:r>
        <w:rPr>
          <w:rFonts w:hint="eastAsia" w:ascii="宋体" w:hAnsi="宋体" w:cs="宋体"/>
          <w:bCs/>
          <w:color w:val="auto"/>
          <w:sz w:val="24"/>
          <w:szCs w:val="24"/>
          <w:highlight w:val="none"/>
        </w:rPr>
        <w:t>法定代表人或委托代理人：</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（签字或盖章）</w:t>
      </w:r>
      <w:bookmarkEnd w:id="351"/>
      <w:bookmarkEnd w:id="352"/>
    </w:p>
    <w:p w14:paraId="15CD44D4">
      <w:pPr>
        <w:spacing w:beforeLines="50" w:line="560" w:lineRule="exact"/>
        <w:ind w:firstLine="480" w:firstLineChars="200"/>
        <w:jc w:val="center"/>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w:t>
      </w:r>
      <w:bookmarkStart w:id="353" w:name="_Toc130_WPSOffice_Level3"/>
      <w:bookmarkStart w:id="354" w:name="_Toc13325_WPSOffice_Level3"/>
      <w:r>
        <w:rPr>
          <w:rFonts w:hint="eastAsia" w:ascii="宋体" w:hAnsi="宋体" w:cs="宋体"/>
          <w:bCs/>
          <w:color w:val="auto"/>
          <w:sz w:val="24"/>
          <w:szCs w:val="24"/>
          <w:highlight w:val="none"/>
        </w:rPr>
        <w:t>年   月  日</w:t>
      </w:r>
      <w:bookmarkEnd w:id="353"/>
      <w:bookmarkEnd w:id="354"/>
    </w:p>
    <w:p w14:paraId="1CEEE715">
      <w:pPr>
        <w:rPr>
          <w:rFonts w:hint="eastAsia" w:ascii="新宋体" w:hAnsi="新宋体" w:eastAsia="新宋体" w:cs="新宋体"/>
          <w:b/>
          <w:color w:val="auto"/>
          <w:sz w:val="24"/>
          <w:szCs w:val="24"/>
          <w:highlight w:val="none"/>
        </w:rPr>
      </w:pPr>
      <w:bookmarkStart w:id="355" w:name="_Toc12487"/>
      <w:bookmarkStart w:id="356" w:name="_Toc17887_WPSOffice_Level2"/>
      <w:bookmarkStart w:id="357" w:name="_Toc9845"/>
      <w:bookmarkStart w:id="358" w:name="_Toc16050"/>
      <w:bookmarkStart w:id="359" w:name="_Toc20882_WPSOffice_Level3"/>
      <w:bookmarkStart w:id="360" w:name="_Toc3082"/>
      <w:bookmarkStart w:id="361" w:name="_Toc26257_WPSOffice_Level2"/>
      <w:r>
        <w:rPr>
          <w:rFonts w:hint="eastAsia" w:ascii="新宋体" w:hAnsi="新宋体" w:eastAsia="新宋体" w:cs="新宋体"/>
          <w:b/>
          <w:color w:val="auto"/>
          <w:sz w:val="24"/>
          <w:szCs w:val="24"/>
          <w:highlight w:val="none"/>
        </w:rPr>
        <w:br w:type="page"/>
      </w:r>
    </w:p>
    <w:p w14:paraId="158E7082">
      <w:pPr>
        <w:rPr>
          <w:rFonts w:hint="eastAsia" w:ascii="新宋体" w:hAnsi="新宋体" w:eastAsia="新宋体" w:cs="新宋体"/>
          <w:b/>
          <w:bCs/>
          <w:color w:val="auto"/>
          <w:sz w:val="24"/>
          <w:szCs w:val="24"/>
          <w:highlight w:val="none"/>
        </w:rPr>
      </w:pPr>
      <w:r>
        <w:rPr>
          <w:rFonts w:hint="eastAsia" w:ascii="新宋体" w:hAnsi="新宋体" w:eastAsia="新宋体" w:cs="新宋体"/>
          <w:b/>
          <w:color w:val="auto"/>
          <w:sz w:val="24"/>
          <w:szCs w:val="24"/>
          <w:highlight w:val="none"/>
        </w:rPr>
        <w:t>附件2：法定代表人证明书</w:t>
      </w:r>
      <w:bookmarkEnd w:id="355"/>
      <w:bookmarkEnd w:id="356"/>
      <w:bookmarkEnd w:id="357"/>
      <w:bookmarkEnd w:id="358"/>
      <w:bookmarkEnd w:id="359"/>
      <w:bookmarkEnd w:id="360"/>
      <w:bookmarkEnd w:id="361"/>
    </w:p>
    <w:p w14:paraId="3D702E68">
      <w:pPr>
        <w:spacing w:beforeLines="50" w:line="560" w:lineRule="exact"/>
        <w:ind w:firstLine="2168" w:firstLineChars="900"/>
        <w:rPr>
          <w:rFonts w:hint="eastAsia" w:ascii="新宋体" w:hAnsi="新宋体" w:eastAsia="新宋体" w:cs="新宋体"/>
          <w:b/>
          <w:color w:val="auto"/>
          <w:sz w:val="24"/>
          <w:szCs w:val="24"/>
          <w:highlight w:val="none"/>
        </w:rPr>
      </w:pPr>
      <w:bookmarkStart w:id="362" w:name="_Toc6898_WPSOffice_Level2"/>
      <w:bookmarkStart w:id="363" w:name="_Toc28170_WPSOffice_Level2"/>
      <w:bookmarkStart w:id="364" w:name="_Toc32036_WPSOffice_Level1"/>
      <w:bookmarkStart w:id="365" w:name="_Toc14917_WPSOffice_Level1"/>
      <w:r>
        <w:rPr>
          <w:rFonts w:hint="eastAsia" w:ascii="新宋体" w:hAnsi="新宋体" w:eastAsia="新宋体" w:cs="新宋体"/>
          <w:b/>
          <w:color w:val="auto"/>
          <w:sz w:val="24"/>
          <w:szCs w:val="24"/>
          <w:highlight w:val="none"/>
        </w:rPr>
        <w:t>法定代表人证明书</w:t>
      </w:r>
      <w:bookmarkEnd w:id="362"/>
      <w:bookmarkEnd w:id="363"/>
      <w:bookmarkEnd w:id="364"/>
      <w:bookmarkEnd w:id="365"/>
    </w:p>
    <w:p w14:paraId="4B8A78B6">
      <w:pPr>
        <w:spacing w:beforeLines="50" w:line="560" w:lineRule="exact"/>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sz w:val="24"/>
          <w:szCs w:val="24"/>
          <w:highlight w:val="none"/>
        </w:rPr>
        <w:t>致：</w:t>
      </w:r>
      <w:r>
        <w:rPr>
          <w:rFonts w:hint="eastAsia" w:ascii="新宋体" w:hAnsi="新宋体" w:eastAsia="新宋体" w:cs="新宋体"/>
          <w:color w:val="auto"/>
          <w:sz w:val="24"/>
          <w:szCs w:val="24"/>
          <w:highlight w:val="none"/>
          <w:u w:val="single"/>
        </w:rPr>
        <w:t>（代理机构名称）</w:t>
      </w:r>
    </w:p>
    <w:p w14:paraId="083C7ED0">
      <w:pPr>
        <w:autoSpaceDE w:val="0"/>
        <w:autoSpaceDN w:val="0"/>
        <w:adjustRightInd w:val="0"/>
        <w:spacing w:beforeLines="50" w:line="560" w:lineRule="exact"/>
        <w:ind w:firstLine="480" w:firstLineChars="200"/>
        <w:jc w:val="left"/>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u w:val="single"/>
        </w:rPr>
        <w:t xml:space="preserve">  （法定代表人姓名）  </w:t>
      </w:r>
      <w:r>
        <w:rPr>
          <w:rFonts w:hint="eastAsia" w:ascii="新宋体" w:hAnsi="新宋体" w:eastAsia="新宋体" w:cs="新宋体"/>
          <w:color w:val="auto"/>
          <w:sz w:val="24"/>
          <w:szCs w:val="24"/>
          <w:highlight w:val="none"/>
        </w:rPr>
        <w:t>现任我单位</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职务，为法定代表人，特此证明。</w:t>
      </w:r>
    </w:p>
    <w:p w14:paraId="19024938">
      <w:pPr>
        <w:autoSpaceDE w:val="0"/>
        <w:autoSpaceDN w:val="0"/>
        <w:adjustRightInd w:val="0"/>
        <w:spacing w:beforeLines="50"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法定代表人基本情况：</w:t>
      </w:r>
    </w:p>
    <w:p w14:paraId="2A74808E">
      <w:pPr>
        <w:autoSpaceDE w:val="0"/>
        <w:autoSpaceDN w:val="0"/>
        <w:adjustRightInd w:val="0"/>
        <w:spacing w:beforeLines="50" w:line="560" w:lineRule="exact"/>
        <w:ind w:firstLine="480" w:firstLineChars="200"/>
        <w:jc w:val="left"/>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性别：</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年龄：</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民族：</w:t>
      </w:r>
      <w:r>
        <w:rPr>
          <w:rFonts w:hint="eastAsia" w:ascii="新宋体" w:hAnsi="新宋体" w:eastAsia="新宋体" w:cs="新宋体"/>
          <w:color w:val="auto"/>
          <w:sz w:val="24"/>
          <w:szCs w:val="24"/>
          <w:highlight w:val="none"/>
          <w:u w:val="single"/>
        </w:rPr>
        <w:t xml:space="preserve">     </w:t>
      </w:r>
    </w:p>
    <w:p w14:paraId="7654D037">
      <w:pPr>
        <w:autoSpaceDE w:val="0"/>
        <w:autoSpaceDN w:val="0"/>
        <w:adjustRightInd w:val="0"/>
        <w:spacing w:beforeLines="50" w:line="560" w:lineRule="exact"/>
        <w:ind w:firstLine="480" w:firstLineChars="200"/>
        <w:jc w:val="left"/>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地址：</w:t>
      </w:r>
      <w:r>
        <w:rPr>
          <w:rFonts w:hint="eastAsia" w:ascii="新宋体" w:hAnsi="新宋体" w:eastAsia="新宋体" w:cs="新宋体"/>
          <w:color w:val="auto"/>
          <w:sz w:val="24"/>
          <w:szCs w:val="24"/>
          <w:highlight w:val="none"/>
          <w:u w:val="single"/>
        </w:rPr>
        <w:t xml:space="preserve">                             </w:t>
      </w:r>
    </w:p>
    <w:p w14:paraId="36717051">
      <w:pPr>
        <w:autoSpaceDE w:val="0"/>
        <w:autoSpaceDN w:val="0"/>
        <w:adjustRightInd w:val="0"/>
        <w:spacing w:beforeLines="50"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身份证号码：</w:t>
      </w:r>
      <w:r>
        <w:rPr>
          <w:rFonts w:hint="eastAsia" w:ascii="新宋体" w:hAnsi="新宋体" w:eastAsia="新宋体" w:cs="新宋体"/>
          <w:color w:val="auto"/>
          <w:sz w:val="24"/>
          <w:szCs w:val="24"/>
          <w:highlight w:val="none"/>
          <w:u w:val="single"/>
        </w:rPr>
        <w:t xml:space="preserve">                       </w:t>
      </w:r>
    </w:p>
    <w:p w14:paraId="7FFA3635">
      <w:pPr>
        <w:autoSpaceDE w:val="0"/>
        <w:autoSpaceDN w:val="0"/>
        <w:adjustRightInd w:val="0"/>
        <w:spacing w:beforeLines="50"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附法定代表人第二代身份证双面扫描或其他身份证明材料（复印件）</w:t>
      </w:r>
    </w:p>
    <w:p w14:paraId="7F35AEFD">
      <w:pPr>
        <w:autoSpaceDE w:val="0"/>
        <w:autoSpaceDN w:val="0"/>
        <w:adjustRightInd w:val="0"/>
        <w:spacing w:beforeLines="50" w:line="560" w:lineRule="exact"/>
        <w:ind w:firstLine="480" w:firstLineChars="200"/>
        <w:jc w:val="left"/>
        <w:rPr>
          <w:rFonts w:hint="eastAsia" w:ascii="新宋体" w:hAnsi="新宋体" w:eastAsia="新宋体" w:cs="新宋体"/>
          <w:color w:val="auto"/>
          <w:kern w:val="0"/>
          <w:sz w:val="24"/>
          <w:szCs w:val="24"/>
          <w:highlight w:val="none"/>
        </w:rPr>
      </w:pPr>
    </w:p>
    <w:p w14:paraId="6D696F83">
      <w:pPr>
        <w:autoSpaceDE w:val="0"/>
        <w:autoSpaceDN w:val="0"/>
        <w:adjustRightInd w:val="0"/>
        <w:spacing w:beforeLines="50" w:line="560" w:lineRule="exact"/>
        <w:jc w:val="righ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单位名称：</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（公章）</w:t>
      </w:r>
    </w:p>
    <w:p w14:paraId="39529428">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color w:val="auto"/>
          <w:sz w:val="24"/>
          <w:szCs w:val="24"/>
          <w:highlight w:val="none"/>
        </w:rPr>
        <w:t xml:space="preserve">         </w:t>
      </w:r>
      <w:r>
        <w:rPr>
          <w:rFonts w:hint="eastAsia" w:ascii="新宋体" w:hAnsi="新宋体" w:eastAsia="新宋体" w:cs="新宋体"/>
          <w:bCs/>
          <w:color w:val="auto"/>
          <w:sz w:val="24"/>
          <w:szCs w:val="24"/>
          <w:highlight w:val="none"/>
        </w:rPr>
        <w:t xml:space="preserve">   </w:t>
      </w:r>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法定代表人：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p>
    <w:p w14:paraId="12F043FA">
      <w:pPr>
        <w:autoSpaceDE w:val="0"/>
        <w:autoSpaceDN w:val="0"/>
        <w:adjustRightInd w:val="0"/>
        <w:spacing w:beforeLines="50" w:line="560" w:lineRule="exact"/>
        <w:jc w:val="center"/>
        <w:rPr>
          <w:rFonts w:hint="eastAsia" w:ascii="新宋体" w:hAnsi="新宋体" w:eastAsia="新宋体" w:cs="新宋体"/>
          <w:color w:val="auto"/>
          <w:sz w:val="24"/>
          <w:szCs w:val="24"/>
          <w:highlight w:val="none"/>
        </w:rPr>
      </w:pPr>
      <w:bookmarkStart w:id="366" w:name="_Toc10597_WPSOffice_Level3"/>
      <w:r>
        <w:rPr>
          <w:rFonts w:hint="eastAsia" w:ascii="新宋体" w:hAnsi="新宋体" w:eastAsia="新宋体" w:cs="新宋体"/>
          <w:color w:val="auto"/>
          <w:sz w:val="24"/>
          <w:szCs w:val="24"/>
          <w:highlight w:val="none"/>
        </w:rPr>
        <w:t xml:space="preserve">                                       </w:t>
      </w:r>
      <w:bookmarkStart w:id="367" w:name="_Toc16117_WPSOffice_Level3"/>
      <w:r>
        <w:rPr>
          <w:rFonts w:hint="eastAsia" w:ascii="新宋体" w:hAnsi="新宋体" w:eastAsia="新宋体" w:cs="新宋体"/>
          <w:color w:val="auto"/>
          <w:sz w:val="24"/>
          <w:szCs w:val="24"/>
          <w:highlight w:val="none"/>
        </w:rPr>
        <w:t>年   月   日</w:t>
      </w:r>
      <w:bookmarkEnd w:id="366"/>
      <w:bookmarkEnd w:id="367"/>
    </w:p>
    <w:p w14:paraId="28F60FBC">
      <w:pPr>
        <w:spacing w:beforeLines="50" w:line="560" w:lineRule="exact"/>
        <w:ind w:right="480"/>
        <w:jc w:val="right"/>
        <w:rPr>
          <w:rFonts w:hint="eastAsia" w:ascii="新宋体" w:hAnsi="新宋体" w:eastAsia="新宋体" w:cs="新宋体"/>
          <w:b/>
          <w:color w:val="auto"/>
          <w:sz w:val="24"/>
          <w:szCs w:val="24"/>
          <w:highlight w:val="none"/>
        </w:rPr>
      </w:pPr>
    </w:p>
    <w:p w14:paraId="6F25A868">
      <w:pPr>
        <w:spacing w:beforeLines="50" w:line="560" w:lineRule="exact"/>
        <w:jc w:val="right"/>
        <w:rPr>
          <w:rFonts w:hint="eastAsia" w:ascii="新宋体" w:hAnsi="新宋体" w:eastAsia="新宋体" w:cs="新宋体"/>
          <w:b/>
          <w:color w:val="auto"/>
          <w:sz w:val="24"/>
          <w:szCs w:val="24"/>
          <w:highlight w:val="none"/>
        </w:rPr>
      </w:pPr>
    </w:p>
    <w:p w14:paraId="3B9E2AB0">
      <w:pPr>
        <w:spacing w:beforeLines="50" w:line="560" w:lineRule="exact"/>
        <w:rPr>
          <w:rFonts w:hint="eastAsia" w:ascii="新宋体" w:hAnsi="新宋体" w:eastAsia="新宋体" w:cs="新宋体"/>
          <w:b/>
          <w:color w:val="auto"/>
          <w:sz w:val="24"/>
          <w:szCs w:val="24"/>
          <w:highlight w:val="none"/>
        </w:rPr>
      </w:pPr>
    </w:p>
    <w:p w14:paraId="4C4F9FD7">
      <w:pPr>
        <w:rPr>
          <w:rFonts w:hint="eastAsia" w:ascii="新宋体" w:hAnsi="新宋体" w:eastAsia="新宋体" w:cs="新宋体"/>
          <w:b/>
          <w:color w:val="auto"/>
          <w:sz w:val="24"/>
          <w:szCs w:val="24"/>
          <w:highlight w:val="none"/>
        </w:rPr>
      </w:pPr>
      <w:bookmarkStart w:id="368" w:name="_Toc31901"/>
      <w:bookmarkStart w:id="369" w:name="_Toc21545_WPSOffice_Level3"/>
      <w:bookmarkStart w:id="370" w:name="_Toc27782"/>
      <w:bookmarkStart w:id="371" w:name="_Toc23035_WPSOffice_Level2"/>
      <w:bookmarkStart w:id="372" w:name="_Toc23551"/>
      <w:bookmarkStart w:id="373" w:name="_Toc18183"/>
      <w:r>
        <w:rPr>
          <w:rFonts w:hint="eastAsia" w:ascii="新宋体" w:hAnsi="新宋体" w:eastAsia="新宋体" w:cs="新宋体"/>
          <w:b/>
          <w:color w:val="auto"/>
          <w:sz w:val="24"/>
          <w:szCs w:val="24"/>
          <w:highlight w:val="none"/>
        </w:rPr>
        <w:br w:type="page"/>
      </w:r>
    </w:p>
    <w:p w14:paraId="4D2ABDF5">
      <w:pPr>
        <w:widowControl/>
        <w:snapToGrid w:val="0"/>
        <w:spacing w:beforeLines="50" w:line="560" w:lineRule="exact"/>
        <w:jc w:val="left"/>
        <w:outlineLvl w:val="2"/>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附件3：法定代表人授权书</w:t>
      </w:r>
      <w:bookmarkEnd w:id="368"/>
      <w:bookmarkEnd w:id="369"/>
      <w:bookmarkEnd w:id="370"/>
      <w:bookmarkEnd w:id="371"/>
      <w:bookmarkEnd w:id="372"/>
      <w:bookmarkEnd w:id="373"/>
    </w:p>
    <w:p w14:paraId="5738518E">
      <w:pPr>
        <w:spacing w:beforeLines="50" w:line="560" w:lineRule="exact"/>
        <w:ind w:firstLine="2168" w:firstLineChars="900"/>
        <w:jc w:val="center"/>
        <w:rPr>
          <w:rFonts w:hint="eastAsia" w:ascii="新宋体" w:hAnsi="新宋体" w:eastAsia="新宋体" w:cs="新宋体"/>
          <w:b/>
          <w:color w:val="auto"/>
          <w:sz w:val="24"/>
          <w:szCs w:val="24"/>
          <w:highlight w:val="none"/>
        </w:rPr>
      </w:pPr>
      <w:bookmarkStart w:id="374" w:name="_Toc1148_WPSOffice_Level3"/>
      <w:bookmarkStart w:id="375" w:name="_Toc26434_WPSOffice_Level2"/>
      <w:bookmarkStart w:id="376" w:name="_Toc5048_WPSOffice_Level2"/>
      <w:r>
        <w:rPr>
          <w:rFonts w:hint="eastAsia" w:ascii="新宋体" w:hAnsi="新宋体" w:eastAsia="新宋体" w:cs="新宋体"/>
          <w:b/>
          <w:color w:val="auto"/>
          <w:sz w:val="24"/>
          <w:szCs w:val="24"/>
          <w:highlight w:val="none"/>
        </w:rPr>
        <w:t>法定代表人授权书</w:t>
      </w:r>
      <w:bookmarkEnd w:id="374"/>
      <w:bookmarkEnd w:id="375"/>
      <w:bookmarkEnd w:id="376"/>
    </w:p>
    <w:p w14:paraId="27E96DC8">
      <w:pPr>
        <w:spacing w:line="560" w:lineRule="exact"/>
        <w:ind w:firstLine="198" w:firstLineChars="82"/>
        <w:rPr>
          <w:rFonts w:hint="eastAsia" w:ascii="新宋体" w:hAnsi="新宋体" w:eastAsia="新宋体" w:cs="新宋体"/>
          <w:color w:val="auto"/>
          <w:sz w:val="24"/>
          <w:szCs w:val="24"/>
          <w:highlight w:val="none"/>
          <w:u w:val="single"/>
        </w:rPr>
      </w:pPr>
      <w:bookmarkStart w:id="377" w:name="_Toc25306_WPSOffice_Level2"/>
      <w:bookmarkStart w:id="378" w:name="_Toc16084_WPSOffice_Level2"/>
      <w:bookmarkStart w:id="379" w:name="_Toc6307_WPSOffice_Level2"/>
      <w:r>
        <w:rPr>
          <w:rFonts w:hint="eastAsia" w:ascii="新宋体" w:hAnsi="新宋体" w:eastAsia="新宋体" w:cs="新宋体"/>
          <w:b/>
          <w:bCs/>
          <w:color w:val="auto"/>
          <w:sz w:val="24"/>
          <w:szCs w:val="24"/>
          <w:highlight w:val="none"/>
        </w:rPr>
        <w:t>致：</w:t>
      </w:r>
      <w:r>
        <w:rPr>
          <w:rFonts w:hint="eastAsia" w:ascii="新宋体" w:hAnsi="新宋体" w:eastAsia="新宋体" w:cs="新宋体"/>
          <w:b/>
          <w:bCs/>
          <w:color w:val="auto"/>
          <w:sz w:val="24"/>
          <w:szCs w:val="24"/>
          <w:highlight w:val="none"/>
          <w:u w:val="single"/>
        </w:rPr>
        <w:t>（代理机构名称）</w:t>
      </w:r>
      <w:bookmarkEnd w:id="377"/>
      <w:bookmarkEnd w:id="378"/>
      <w:bookmarkEnd w:id="379"/>
    </w:p>
    <w:p w14:paraId="303D49DC">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u w:val="single"/>
        </w:rPr>
        <w:t xml:space="preserve">  （供应商名称）  </w:t>
      </w:r>
      <w:r>
        <w:rPr>
          <w:rFonts w:hint="eastAsia" w:ascii="新宋体" w:hAnsi="新宋体" w:eastAsia="新宋体" w:cs="新宋体"/>
          <w:color w:val="auto"/>
          <w:sz w:val="24"/>
          <w:szCs w:val="24"/>
          <w:highlight w:val="none"/>
        </w:rPr>
        <w:t>系中华人民共和国合法企业，法定地址</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w:t>
      </w:r>
    </w:p>
    <w:p w14:paraId="0B521F00">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u w:val="single"/>
        </w:rPr>
        <w:t xml:space="preserve">（法定代表人姓名）   </w:t>
      </w:r>
      <w:r>
        <w:rPr>
          <w:rFonts w:hint="eastAsia" w:ascii="新宋体" w:hAnsi="新宋体" w:eastAsia="新宋体" w:cs="新宋体"/>
          <w:color w:val="auto"/>
          <w:sz w:val="24"/>
          <w:szCs w:val="24"/>
          <w:highlight w:val="none"/>
        </w:rPr>
        <w:t>特授权</w:t>
      </w:r>
      <w:r>
        <w:rPr>
          <w:rFonts w:hint="eastAsia" w:ascii="新宋体" w:hAnsi="新宋体" w:eastAsia="新宋体" w:cs="新宋体"/>
          <w:color w:val="auto"/>
          <w:sz w:val="24"/>
          <w:szCs w:val="24"/>
          <w:highlight w:val="none"/>
          <w:u w:val="single"/>
        </w:rPr>
        <w:t xml:space="preserve"> （委托代理人姓名）    </w:t>
      </w:r>
      <w:r>
        <w:rPr>
          <w:rFonts w:hint="eastAsia" w:ascii="新宋体" w:hAnsi="新宋体" w:eastAsia="新宋体" w:cs="新宋体"/>
          <w:color w:val="auto"/>
          <w:sz w:val="24"/>
          <w:szCs w:val="24"/>
          <w:highlight w:val="none"/>
        </w:rPr>
        <w:t>代表我单位全权办理针对</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项目的谈判、答疑等具体工作，并签署全部有关的文件、资料。</w:t>
      </w:r>
    </w:p>
    <w:p w14:paraId="46F8A352">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我单位对被授权人的签名负全部责任。</w:t>
      </w:r>
    </w:p>
    <w:p w14:paraId="00138087">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在撤销授权的书面通知以前，本授权书一直有效，被授权人签署的所有文件（在授权书有效期内签署的）不因授权的撤销而失效。</w:t>
      </w:r>
    </w:p>
    <w:p w14:paraId="066E7A7B">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授权期限：自</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 xml:space="preserve"> 年</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月</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日起至</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 xml:space="preserve"> 年</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月</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日止。</w:t>
      </w:r>
    </w:p>
    <w:p w14:paraId="2CC6CBC5">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被授权人联系电话：</w:t>
      </w:r>
      <w:r>
        <w:rPr>
          <w:rFonts w:hint="eastAsia" w:ascii="新宋体" w:hAnsi="新宋体" w:eastAsia="新宋体" w:cs="新宋体"/>
          <w:color w:val="auto"/>
          <w:sz w:val="24"/>
          <w:szCs w:val="24"/>
          <w:highlight w:val="none"/>
          <w:u w:val="single"/>
        </w:rPr>
        <w:t xml:space="preserve">          </w:t>
      </w:r>
    </w:p>
    <w:p w14:paraId="3729F118">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被授权人（委托代理人）签字：</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 xml:space="preserve">   职务：</w:t>
      </w:r>
      <w:r>
        <w:rPr>
          <w:rFonts w:hint="eastAsia" w:ascii="新宋体" w:hAnsi="新宋体" w:eastAsia="新宋体" w:cs="新宋体"/>
          <w:color w:val="auto"/>
          <w:sz w:val="24"/>
          <w:szCs w:val="24"/>
          <w:highlight w:val="none"/>
          <w:u w:val="single"/>
        </w:rPr>
        <w:t xml:space="preserve">            </w:t>
      </w:r>
    </w:p>
    <w:p w14:paraId="395616D9">
      <w:pPr>
        <w:spacing w:line="560" w:lineRule="exact"/>
        <w:ind w:firstLine="480" w:firstLineChars="200"/>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授权人（法定代表人）盖章：</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 xml:space="preserve">   职务：</w:t>
      </w:r>
      <w:r>
        <w:rPr>
          <w:rFonts w:hint="eastAsia" w:ascii="新宋体" w:hAnsi="新宋体" w:eastAsia="新宋体" w:cs="新宋体"/>
          <w:color w:val="auto"/>
          <w:sz w:val="24"/>
          <w:szCs w:val="24"/>
          <w:highlight w:val="none"/>
          <w:u w:val="single"/>
        </w:rPr>
        <w:t xml:space="preserve">            </w:t>
      </w:r>
    </w:p>
    <w:p w14:paraId="4A110518">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rPr>
        <w:t>附被授权人第二代身份证双面扫描（或复印）件</w:t>
      </w:r>
    </w:p>
    <w:p w14:paraId="172B7C85">
      <w:pPr>
        <w:spacing w:beforeLines="50" w:line="560" w:lineRule="exact"/>
        <w:ind w:firstLine="3600" w:firstLineChars="1500"/>
        <w:jc w:val="right"/>
        <w:rPr>
          <w:rFonts w:hint="eastAsia" w:ascii="新宋体" w:hAnsi="新宋体" w:eastAsia="新宋体" w:cs="新宋体"/>
          <w:bCs/>
          <w:color w:val="auto"/>
          <w:sz w:val="24"/>
          <w:szCs w:val="24"/>
          <w:highlight w:val="none"/>
        </w:rPr>
      </w:pPr>
      <w:bookmarkStart w:id="380" w:name="_Toc13837_WPSOffice_Level3"/>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kern w:val="0"/>
          <w:sz w:val="24"/>
          <w:szCs w:val="24"/>
          <w:highlight w:val="none"/>
          <w:u w:val="single"/>
        </w:rPr>
        <w:t xml:space="preserve">       </w:t>
      </w:r>
      <w:r>
        <w:rPr>
          <w:rFonts w:hint="eastAsia" w:ascii="新宋体" w:hAnsi="新宋体" w:eastAsia="新宋体" w:cs="新宋体"/>
          <w:bCs/>
          <w:color w:val="auto"/>
          <w:sz w:val="24"/>
          <w:szCs w:val="24"/>
          <w:highlight w:val="none"/>
        </w:rPr>
        <w:t>（公章）</w:t>
      </w:r>
      <w:bookmarkEnd w:id="380"/>
      <w:r>
        <w:rPr>
          <w:rFonts w:hint="eastAsia" w:ascii="新宋体" w:hAnsi="新宋体" w:eastAsia="新宋体" w:cs="新宋体"/>
          <w:bCs/>
          <w:color w:val="auto"/>
          <w:sz w:val="24"/>
          <w:szCs w:val="24"/>
          <w:highlight w:val="none"/>
        </w:rPr>
        <w:t xml:space="preserve">    </w:t>
      </w:r>
    </w:p>
    <w:p w14:paraId="7FC75E60">
      <w:pPr>
        <w:spacing w:beforeLines="50" w:line="560" w:lineRule="exact"/>
        <w:ind w:firstLine="480" w:firstLineChars="200"/>
        <w:jc w:val="right"/>
        <w:rPr>
          <w:rFonts w:hint="eastAsia" w:ascii="新宋体" w:hAnsi="新宋体" w:eastAsia="新宋体" w:cs="新宋体"/>
          <w:bCs/>
          <w:color w:val="auto"/>
          <w:sz w:val="24"/>
          <w:szCs w:val="24"/>
          <w:highlight w:val="none"/>
        </w:rPr>
      </w:pPr>
      <w:r>
        <w:rPr>
          <w:rFonts w:hint="eastAsia" w:ascii="新宋体" w:hAnsi="新宋体" w:eastAsia="新宋体" w:cs="新宋体"/>
          <w:color w:val="auto"/>
          <w:sz w:val="24"/>
          <w:szCs w:val="24"/>
          <w:highlight w:val="none"/>
        </w:rPr>
        <w:t xml:space="preserve">         </w:t>
      </w:r>
      <w:r>
        <w:rPr>
          <w:rFonts w:hint="eastAsia" w:ascii="新宋体" w:hAnsi="新宋体" w:eastAsia="新宋体" w:cs="新宋体"/>
          <w:bCs/>
          <w:color w:val="auto"/>
          <w:sz w:val="24"/>
          <w:szCs w:val="24"/>
          <w:highlight w:val="none"/>
        </w:rPr>
        <w:t xml:space="preserve">   法定代表人：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 xml:space="preserve">（签字或盖章）                               </w:t>
      </w:r>
      <w:bookmarkStart w:id="381" w:name="_Toc32599_WPSOffice_Level3"/>
      <w:bookmarkStart w:id="382" w:name="_Toc6591_WPSOffice_Level3"/>
      <w:r>
        <w:rPr>
          <w:rFonts w:hint="eastAsia" w:ascii="新宋体" w:hAnsi="新宋体" w:eastAsia="新宋体" w:cs="新宋体"/>
          <w:bCs/>
          <w:color w:val="auto"/>
          <w:sz w:val="24"/>
          <w:szCs w:val="24"/>
          <w:highlight w:val="none"/>
        </w:rPr>
        <w:t>年   月   日</w:t>
      </w:r>
      <w:bookmarkEnd w:id="381"/>
      <w:bookmarkEnd w:id="382"/>
    </w:p>
    <w:p w14:paraId="7F2169A5">
      <w:pPr>
        <w:spacing w:beforeLines="50" w:line="560" w:lineRule="exact"/>
        <w:rPr>
          <w:rFonts w:hint="eastAsia" w:ascii="新宋体" w:hAnsi="新宋体" w:eastAsia="新宋体" w:cs="新宋体"/>
          <w:b/>
          <w:bCs/>
          <w:color w:val="auto"/>
          <w:sz w:val="24"/>
          <w:szCs w:val="24"/>
          <w:highlight w:val="none"/>
        </w:rPr>
      </w:pPr>
    </w:p>
    <w:p w14:paraId="78BD380F">
      <w:pPr>
        <w:pStyle w:val="36"/>
        <w:ind w:firstLine="240"/>
        <w:rPr>
          <w:rFonts w:hint="eastAsia" w:ascii="新宋体" w:hAnsi="新宋体" w:eastAsia="新宋体" w:cs="新宋体"/>
          <w:color w:val="auto"/>
          <w:sz w:val="24"/>
          <w:szCs w:val="24"/>
          <w:highlight w:val="none"/>
        </w:rPr>
      </w:pPr>
    </w:p>
    <w:p w14:paraId="4A941074">
      <w:pPr>
        <w:rPr>
          <w:rFonts w:hint="eastAsia" w:ascii="新宋体" w:hAnsi="新宋体" w:eastAsia="新宋体" w:cs="新宋体"/>
          <w:b/>
          <w:color w:val="auto"/>
          <w:sz w:val="24"/>
          <w:szCs w:val="24"/>
          <w:highlight w:val="none"/>
        </w:rPr>
      </w:pPr>
      <w:bookmarkStart w:id="383" w:name="_Toc16704"/>
      <w:bookmarkStart w:id="384" w:name="_Toc7737_WPSOffice_Level3"/>
      <w:bookmarkStart w:id="385" w:name="_Toc19298"/>
      <w:bookmarkStart w:id="386" w:name="_Toc30919"/>
      <w:bookmarkStart w:id="387" w:name="_Toc23618"/>
      <w:bookmarkStart w:id="388" w:name="_Toc26653_WPSOffice_Level3"/>
      <w:r>
        <w:rPr>
          <w:rFonts w:hint="eastAsia" w:ascii="新宋体" w:hAnsi="新宋体" w:eastAsia="新宋体" w:cs="新宋体"/>
          <w:b/>
          <w:color w:val="auto"/>
          <w:sz w:val="24"/>
          <w:szCs w:val="24"/>
          <w:highlight w:val="none"/>
        </w:rPr>
        <w:br w:type="page"/>
      </w:r>
    </w:p>
    <w:p w14:paraId="3E0AB718">
      <w:pPr>
        <w:widowControl/>
        <w:snapToGrid w:val="0"/>
        <w:spacing w:beforeLines="50" w:line="560" w:lineRule="exact"/>
        <w:jc w:val="left"/>
        <w:outlineLvl w:val="2"/>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附件4：供应商承诺函</w:t>
      </w:r>
      <w:bookmarkEnd w:id="383"/>
      <w:bookmarkEnd w:id="384"/>
      <w:bookmarkEnd w:id="385"/>
      <w:bookmarkEnd w:id="386"/>
      <w:bookmarkEnd w:id="387"/>
      <w:bookmarkEnd w:id="388"/>
    </w:p>
    <w:p w14:paraId="22ECEA2C">
      <w:pPr>
        <w:spacing w:beforeLines="50" w:line="560" w:lineRule="exact"/>
        <w:ind w:firstLine="2168" w:firstLineChars="900"/>
        <w:rPr>
          <w:rFonts w:hint="eastAsia" w:ascii="新宋体" w:hAnsi="新宋体" w:eastAsia="新宋体" w:cs="新宋体"/>
          <w:b/>
          <w:color w:val="auto"/>
          <w:sz w:val="24"/>
          <w:szCs w:val="24"/>
          <w:highlight w:val="none"/>
        </w:rPr>
      </w:pPr>
      <w:bookmarkStart w:id="389" w:name="_Toc17639_WPSOffice_Level2"/>
      <w:bookmarkStart w:id="390" w:name="_Toc27597_WPSOffice_Level3"/>
      <w:bookmarkStart w:id="391" w:name="_Toc2453_WPSOffice_Level2"/>
      <w:r>
        <w:rPr>
          <w:rFonts w:hint="eastAsia" w:ascii="新宋体" w:hAnsi="新宋体" w:eastAsia="新宋体" w:cs="新宋体"/>
          <w:b/>
          <w:color w:val="auto"/>
          <w:sz w:val="24"/>
          <w:szCs w:val="24"/>
          <w:highlight w:val="none"/>
        </w:rPr>
        <w:t>供应商承诺函</w:t>
      </w:r>
      <w:bookmarkEnd w:id="389"/>
      <w:bookmarkEnd w:id="390"/>
      <w:bookmarkEnd w:id="391"/>
    </w:p>
    <w:p w14:paraId="26474812">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致：</w:t>
      </w:r>
      <w:r>
        <w:rPr>
          <w:rFonts w:hint="eastAsia" w:ascii="新宋体" w:hAnsi="新宋体" w:eastAsia="新宋体" w:cs="新宋体"/>
          <w:color w:val="auto"/>
          <w:sz w:val="24"/>
          <w:szCs w:val="24"/>
          <w:highlight w:val="none"/>
          <w:u w:val="single"/>
        </w:rPr>
        <w:t>（代理机构名称）</w:t>
      </w:r>
    </w:p>
    <w:p w14:paraId="37B19794">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关于贵方</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年</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u w:val="single"/>
          <w:lang w:val="en-US" w:eastAsia="zh-CN"/>
        </w:rPr>
        <w:t xml:space="preserve"> </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月</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u w:val="single"/>
          <w:lang w:val="en-US" w:eastAsia="zh-CN"/>
        </w:rPr>
        <w:t xml:space="preserve"> </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日</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 xml:space="preserve"> （项目名称及编号）采购项目，本签字人愿意参加谈判，提供采购一览表中要求的所有产品，并证实提交的所有资料是准确的和真实的。同时，我代表 </w:t>
      </w:r>
      <w:r>
        <w:rPr>
          <w:rFonts w:hint="eastAsia" w:ascii="新宋体" w:hAnsi="新宋体" w:eastAsia="新宋体" w:cs="新宋体"/>
          <w:color w:val="auto"/>
          <w:sz w:val="24"/>
          <w:szCs w:val="24"/>
          <w:highlight w:val="none"/>
          <w:u w:val="single"/>
        </w:rPr>
        <w:t>（供应商名称）</w:t>
      </w:r>
      <w:r>
        <w:rPr>
          <w:rFonts w:hint="eastAsia" w:ascii="新宋体" w:hAnsi="新宋体" w:eastAsia="新宋体" w:cs="新宋体"/>
          <w:color w:val="auto"/>
          <w:sz w:val="24"/>
          <w:szCs w:val="24"/>
          <w:highlight w:val="none"/>
        </w:rPr>
        <w:t>，在此作如下承诺：</w:t>
      </w:r>
    </w:p>
    <w:p w14:paraId="4B57169E">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1、完全理解和接受谈判文件的一切规定和要求；</w:t>
      </w:r>
    </w:p>
    <w:p w14:paraId="0ECA80AF">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若成交，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14:paraId="6B95333B">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3、我方保证甲方在使用该产品或其任何一部分时，不受第三方提出的侵犯专利权、著作权、商标权和工业设计权等知识产权的起诉，若有违反，愿承担相应的一切责任。</w:t>
      </w:r>
    </w:p>
    <w:p w14:paraId="068B5CAD">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4、我方承诺，除谈判文件中规定的优质产品外，所投的产品均为国产产品，且均符合国家强制性标准。若有不实，愿承担相应的责任。</w:t>
      </w:r>
    </w:p>
    <w:p w14:paraId="2F0AD64E">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5、在整个谈判过程中我方若有违规行为，贵方可按谈判文件之规定给予处罚，我方完全接受。</w:t>
      </w:r>
    </w:p>
    <w:p w14:paraId="4BA83FCB">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6、若成交，本承诺将成为合同不可分割的一部分，与合同具有同等的法律效力。</w:t>
      </w:r>
    </w:p>
    <w:p w14:paraId="6B9BD8A1">
      <w:pPr>
        <w:spacing w:line="560" w:lineRule="exact"/>
        <w:ind w:firstLine="482"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
          <w:color w:val="auto"/>
          <w:sz w:val="24"/>
          <w:szCs w:val="24"/>
          <w:highlight w:val="none"/>
        </w:rPr>
        <w:t xml:space="preserve">              </w:t>
      </w:r>
      <w:r>
        <w:rPr>
          <w:rFonts w:hint="eastAsia" w:ascii="新宋体" w:hAnsi="新宋体" w:eastAsia="新宋体" w:cs="新宋体"/>
          <w:bCs/>
          <w:color w:val="auto"/>
          <w:sz w:val="24"/>
          <w:szCs w:val="24"/>
          <w:highlight w:val="none"/>
        </w:rPr>
        <w:t xml:space="preserve"> </w:t>
      </w:r>
      <w:bookmarkStart w:id="392" w:name="_Toc29941_WPSOffice_Level3"/>
      <w:r>
        <w:rPr>
          <w:rFonts w:hint="eastAsia" w:ascii="新宋体" w:hAnsi="新宋体" w:eastAsia="新宋体" w:cs="新宋体"/>
          <w:bCs/>
          <w:color w:val="auto"/>
          <w:sz w:val="24"/>
          <w:szCs w:val="24"/>
          <w:highlight w:val="none"/>
        </w:rPr>
        <w:t xml:space="preserve">  </w:t>
      </w:r>
      <w:bookmarkStart w:id="393" w:name="_Toc11979_WPSOffice_Level3"/>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bookmarkEnd w:id="392"/>
      <w:bookmarkEnd w:id="393"/>
    </w:p>
    <w:p w14:paraId="4253A156">
      <w:pPr>
        <w:spacing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394" w:name="_Toc15106_WPSOffice_Level3"/>
      <w:bookmarkStart w:id="395" w:name="_Toc22507_WPSOffice_Level3"/>
      <w:r>
        <w:rPr>
          <w:rFonts w:hint="eastAsia" w:ascii="新宋体" w:hAnsi="新宋体" w:eastAsia="新宋体" w:cs="新宋体"/>
          <w:bCs/>
          <w:color w:val="auto"/>
          <w:sz w:val="24"/>
          <w:szCs w:val="24"/>
          <w:highlight w:val="none"/>
        </w:rPr>
        <w:t>法定代表人或委托代理人：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bookmarkEnd w:id="394"/>
      <w:bookmarkEnd w:id="395"/>
    </w:p>
    <w:p w14:paraId="55141FC6">
      <w:pPr>
        <w:spacing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396" w:name="_Toc24254_WPSOffice_Level3"/>
      <w:r>
        <w:rPr>
          <w:rFonts w:hint="eastAsia" w:ascii="新宋体" w:hAnsi="新宋体" w:eastAsia="新宋体" w:cs="新宋体"/>
          <w:bCs/>
          <w:color w:val="auto"/>
          <w:sz w:val="24"/>
          <w:szCs w:val="24"/>
          <w:highlight w:val="none"/>
        </w:rPr>
        <w:t xml:space="preserve">                      </w:t>
      </w:r>
      <w:bookmarkStart w:id="397" w:name="_Toc9343_WPSOffice_Level3"/>
      <w:r>
        <w:rPr>
          <w:rFonts w:hint="eastAsia" w:ascii="新宋体" w:hAnsi="新宋体" w:eastAsia="新宋体" w:cs="新宋体"/>
          <w:bCs/>
          <w:color w:val="auto"/>
          <w:sz w:val="24"/>
          <w:szCs w:val="24"/>
          <w:highlight w:val="none"/>
        </w:rPr>
        <w:t>年   月  日</w:t>
      </w:r>
      <w:bookmarkEnd w:id="396"/>
      <w:bookmarkEnd w:id="397"/>
    </w:p>
    <w:p w14:paraId="1CA06F5F">
      <w:pPr>
        <w:widowControl/>
        <w:snapToGrid w:val="0"/>
        <w:spacing w:beforeLines="50" w:line="560" w:lineRule="exact"/>
        <w:outlineLvl w:val="1"/>
        <w:rPr>
          <w:rFonts w:hint="eastAsia" w:ascii="新宋体" w:hAnsi="新宋体" w:eastAsia="新宋体" w:cs="新宋体"/>
          <w:b/>
          <w:color w:val="auto"/>
          <w:sz w:val="24"/>
          <w:szCs w:val="24"/>
          <w:highlight w:val="none"/>
        </w:rPr>
      </w:pPr>
      <w:bookmarkStart w:id="398" w:name="_Toc25740"/>
      <w:bookmarkStart w:id="399" w:name="_Toc653_WPSOffice_Level3"/>
      <w:bookmarkStart w:id="400" w:name="_Toc26773_WPSOffice_Level3"/>
      <w:bookmarkStart w:id="401" w:name="_Toc15780"/>
      <w:bookmarkStart w:id="402" w:name="_Toc6416"/>
      <w:bookmarkStart w:id="403" w:name="_Toc20884"/>
    </w:p>
    <w:p w14:paraId="1B119F02">
      <w:pPr>
        <w:pStyle w:val="36"/>
        <w:ind w:firstLine="321"/>
        <w:rPr>
          <w:rFonts w:hint="eastAsia" w:ascii="新宋体" w:hAnsi="新宋体" w:eastAsia="新宋体" w:cs="新宋体"/>
          <w:b/>
          <w:color w:val="auto"/>
          <w:sz w:val="24"/>
          <w:szCs w:val="24"/>
          <w:highlight w:val="none"/>
        </w:rPr>
      </w:pPr>
    </w:p>
    <w:p w14:paraId="32B1F891">
      <w:pPr>
        <w:pStyle w:val="36"/>
        <w:ind w:firstLine="321"/>
        <w:rPr>
          <w:rFonts w:hint="eastAsia" w:ascii="新宋体" w:hAnsi="新宋体" w:eastAsia="新宋体" w:cs="新宋体"/>
          <w:b/>
          <w:color w:val="auto"/>
          <w:sz w:val="24"/>
          <w:szCs w:val="24"/>
          <w:highlight w:val="none"/>
        </w:rPr>
      </w:pPr>
    </w:p>
    <w:p w14:paraId="67918B45">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2AAFAB39">
      <w:pPr>
        <w:widowControl/>
        <w:snapToGrid w:val="0"/>
        <w:spacing w:beforeLines="50" w:line="560" w:lineRule="exact"/>
        <w:outlineLvl w:val="1"/>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附件5：供应商诚信承诺书</w:t>
      </w:r>
      <w:bookmarkEnd w:id="398"/>
      <w:bookmarkEnd w:id="399"/>
      <w:bookmarkEnd w:id="400"/>
      <w:bookmarkEnd w:id="401"/>
      <w:bookmarkEnd w:id="402"/>
      <w:bookmarkEnd w:id="403"/>
    </w:p>
    <w:p w14:paraId="35121344">
      <w:pPr>
        <w:spacing w:beforeLines="50" w:line="560" w:lineRule="exact"/>
        <w:jc w:val="center"/>
        <w:rPr>
          <w:rFonts w:hint="eastAsia" w:ascii="新宋体" w:hAnsi="新宋体" w:eastAsia="新宋体" w:cs="新宋体"/>
          <w:b/>
          <w:color w:val="auto"/>
          <w:sz w:val="24"/>
          <w:szCs w:val="24"/>
          <w:highlight w:val="none"/>
        </w:rPr>
      </w:pPr>
      <w:bookmarkStart w:id="404" w:name="_Toc22989_WPSOffice_Level3"/>
      <w:bookmarkStart w:id="405" w:name="_Toc22537_WPSOffice_Level3"/>
      <w:r>
        <w:rPr>
          <w:rFonts w:hint="eastAsia" w:ascii="新宋体" w:hAnsi="新宋体" w:eastAsia="新宋体" w:cs="新宋体"/>
          <w:b/>
          <w:color w:val="auto"/>
          <w:sz w:val="24"/>
          <w:szCs w:val="24"/>
          <w:highlight w:val="none"/>
        </w:rPr>
        <w:t>供应商诚信承诺书</w:t>
      </w:r>
      <w:bookmarkEnd w:id="404"/>
      <w:bookmarkEnd w:id="405"/>
    </w:p>
    <w:p w14:paraId="0BA448E1">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致：</w:t>
      </w:r>
      <w:r>
        <w:rPr>
          <w:rFonts w:hint="eastAsia" w:ascii="新宋体" w:hAnsi="新宋体" w:eastAsia="新宋体" w:cs="新宋体"/>
          <w:color w:val="auto"/>
          <w:sz w:val="24"/>
          <w:szCs w:val="24"/>
          <w:highlight w:val="none"/>
          <w:u w:val="single"/>
        </w:rPr>
        <w:t>（代理机构名称）</w:t>
      </w:r>
    </w:p>
    <w:p w14:paraId="2ABC2AFC">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为了诚实、客观、有序地参与青海省政府采购活动，愿就以下内容作出承诺：</w:t>
      </w:r>
    </w:p>
    <w:p w14:paraId="6FD9583B">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1、自觉遵守各项法律、法规、规章、制度以及社会公德，维护廉洁环境，与同场竞争的供应商平等参加政府采购活动。</w:t>
      </w:r>
    </w:p>
    <w:p w14:paraId="15D7BD95">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2、参加青海省政府采购中心组织的政府采购活动时，严格按照谈判文件的规定和要求提供所需的相关材料，并对所提供的各类资料的真实性负责，不虚假响应，不虚列业绩。</w:t>
      </w:r>
    </w:p>
    <w:p w14:paraId="5188204C">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3、尊重参与政府采购活动各相关方的合法行为，接受政府采购活动依法形成的意见、结果。</w:t>
      </w:r>
    </w:p>
    <w:p w14:paraId="0C1DFC81">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4、依法参加政府采购活动，不围标、串标，维护市场秩序，不提供“三无”产品、以次充好。</w:t>
      </w:r>
    </w:p>
    <w:p w14:paraId="5C981948">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5、积极推动政府采购活动健康开展，对采购活动有疑问、异议时，按法律规定的程序实名（加盖单位公章和法定代表人签名）反映情况，不恶意中伤、无事生非，以和谐、平等的心态参加政府采购活动。</w:t>
      </w:r>
    </w:p>
    <w:p w14:paraId="0107FC4C">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6、认真履行成交供应商应承担的责任和义务，全面执行采购合同规定的各项内容，保质保量地按时提供采购物品。</w:t>
      </w:r>
    </w:p>
    <w:p w14:paraId="5A19FE0E">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若本企业（单位）发生有悖于上述承诺的行为，愿意接受《中华人民共和国政府采购法》和《政府采购法实施条例》中对供应商的相关处理。</w:t>
      </w:r>
    </w:p>
    <w:p w14:paraId="0D193838">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本承诺是采购项目谈判响应文件的组成部分。</w:t>
      </w:r>
    </w:p>
    <w:p w14:paraId="5467A783">
      <w:pPr>
        <w:spacing w:beforeLines="50" w:line="560" w:lineRule="exact"/>
        <w:ind w:firstLine="482"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
          <w:color w:val="auto"/>
          <w:sz w:val="24"/>
          <w:szCs w:val="24"/>
          <w:highlight w:val="none"/>
        </w:rPr>
        <w:t xml:space="preserve">              </w:t>
      </w:r>
      <w:r>
        <w:rPr>
          <w:rFonts w:hint="eastAsia" w:ascii="新宋体" w:hAnsi="新宋体" w:eastAsia="新宋体" w:cs="新宋体"/>
          <w:bCs/>
          <w:color w:val="auto"/>
          <w:sz w:val="24"/>
          <w:szCs w:val="24"/>
          <w:highlight w:val="none"/>
        </w:rPr>
        <w:t xml:space="preserve"> </w:t>
      </w:r>
      <w:bookmarkStart w:id="406" w:name="_Toc23784_WPSOffice_Level3"/>
      <w:bookmarkStart w:id="407" w:name="_Toc2830_WPSOffice_Level3"/>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bookmarkEnd w:id="406"/>
      <w:bookmarkEnd w:id="407"/>
    </w:p>
    <w:p w14:paraId="290E6491">
      <w:pPr>
        <w:spacing w:beforeLines="50" w:line="560" w:lineRule="exact"/>
        <w:ind w:firstLine="480" w:firstLineChars="200"/>
        <w:jc w:val="center"/>
        <w:rPr>
          <w:rFonts w:hint="eastAsia" w:ascii="新宋体" w:hAnsi="新宋体" w:eastAsia="新宋体" w:cs="新宋体"/>
          <w:bCs/>
          <w:color w:val="auto"/>
          <w:sz w:val="24"/>
          <w:szCs w:val="24"/>
          <w:highlight w:val="none"/>
          <w:lang w:val="en-US" w:eastAsia="zh-CN"/>
        </w:rPr>
      </w:pPr>
      <w:r>
        <w:rPr>
          <w:rFonts w:hint="eastAsia" w:ascii="新宋体" w:hAnsi="新宋体" w:eastAsia="新宋体" w:cs="新宋体"/>
          <w:bCs/>
          <w:color w:val="auto"/>
          <w:sz w:val="24"/>
          <w:szCs w:val="24"/>
          <w:highlight w:val="none"/>
        </w:rPr>
        <w:t xml:space="preserve">        </w:t>
      </w:r>
      <w:bookmarkStart w:id="408" w:name="_Toc25026_WPSOffice_Level3"/>
      <w:bookmarkStart w:id="409" w:name="_Toc13573_WPSOffice_Level3"/>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法定代表人：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w:t>
      </w:r>
      <w:r>
        <w:rPr>
          <w:rFonts w:hint="eastAsia" w:ascii="新宋体" w:hAnsi="新宋体" w:eastAsia="新宋体" w:cs="新宋体"/>
          <w:bCs/>
          <w:color w:val="auto"/>
          <w:sz w:val="24"/>
          <w:szCs w:val="24"/>
          <w:highlight w:val="none"/>
          <w:lang w:eastAsia="zh-CN"/>
        </w:rPr>
        <w:t>或盖章</w:t>
      </w:r>
      <w:r>
        <w:rPr>
          <w:rFonts w:hint="eastAsia" w:ascii="新宋体" w:hAnsi="新宋体" w:eastAsia="新宋体" w:cs="新宋体"/>
          <w:bCs/>
          <w:color w:val="auto"/>
          <w:sz w:val="24"/>
          <w:szCs w:val="24"/>
          <w:highlight w:val="none"/>
        </w:rPr>
        <w:t>）</w:t>
      </w:r>
      <w:bookmarkEnd w:id="408"/>
      <w:bookmarkEnd w:id="409"/>
      <w:bookmarkStart w:id="410" w:name="_Toc5564_WPSOffice_Level3"/>
      <w:bookmarkStart w:id="411" w:name="_Toc12645_WPSOffice_Level3"/>
      <w:r>
        <w:rPr>
          <w:rFonts w:hint="eastAsia" w:ascii="新宋体" w:hAnsi="新宋体" w:eastAsia="新宋体" w:cs="新宋体"/>
          <w:bCs/>
          <w:color w:val="auto"/>
          <w:sz w:val="24"/>
          <w:szCs w:val="24"/>
          <w:highlight w:val="none"/>
          <w:lang w:val="en-US" w:eastAsia="zh-CN"/>
        </w:rPr>
        <w:t xml:space="preserve">    </w:t>
      </w:r>
    </w:p>
    <w:p w14:paraId="0ABA8B7A">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年   月  日</w:t>
      </w:r>
      <w:bookmarkEnd w:id="410"/>
      <w:bookmarkEnd w:id="411"/>
    </w:p>
    <w:p w14:paraId="5CA6B61A">
      <w:pPr>
        <w:rPr>
          <w:rFonts w:hint="eastAsia" w:ascii="新宋体" w:hAnsi="新宋体" w:eastAsia="新宋体" w:cs="新宋体"/>
          <w:b/>
          <w:color w:val="auto"/>
          <w:sz w:val="24"/>
          <w:szCs w:val="24"/>
          <w:highlight w:val="none"/>
        </w:rPr>
      </w:pPr>
      <w:bookmarkStart w:id="412" w:name="_Toc5195"/>
      <w:bookmarkStart w:id="413" w:name="_Toc19930_WPSOffice_Level3"/>
      <w:bookmarkStart w:id="414" w:name="_Toc6033"/>
      <w:bookmarkStart w:id="415" w:name="_Toc25242"/>
      <w:bookmarkStart w:id="416" w:name="_Toc16847"/>
      <w:bookmarkStart w:id="417" w:name="_Toc8368_WPSOffice_Level3"/>
      <w:r>
        <w:rPr>
          <w:rFonts w:hint="eastAsia" w:ascii="新宋体" w:hAnsi="新宋体" w:eastAsia="新宋体" w:cs="新宋体"/>
          <w:b/>
          <w:color w:val="auto"/>
          <w:sz w:val="24"/>
          <w:szCs w:val="24"/>
          <w:highlight w:val="none"/>
        </w:rPr>
        <w:br w:type="page"/>
      </w:r>
    </w:p>
    <w:p w14:paraId="0FC68DE6">
      <w:pPr>
        <w:widowControl/>
        <w:snapToGrid w:val="0"/>
        <w:spacing w:beforeLines="50" w:line="560" w:lineRule="exact"/>
        <w:outlineLvl w:val="1"/>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附件6：供应商资格证明文件</w:t>
      </w:r>
      <w:bookmarkEnd w:id="412"/>
      <w:bookmarkEnd w:id="413"/>
      <w:bookmarkEnd w:id="414"/>
      <w:bookmarkEnd w:id="415"/>
      <w:bookmarkEnd w:id="416"/>
      <w:bookmarkEnd w:id="417"/>
    </w:p>
    <w:p w14:paraId="2EA01DDB">
      <w:pPr>
        <w:spacing w:beforeLines="50" w:line="560" w:lineRule="exact"/>
        <w:jc w:val="center"/>
        <w:rPr>
          <w:rFonts w:hint="eastAsia" w:ascii="新宋体" w:hAnsi="新宋体" w:eastAsia="新宋体" w:cs="新宋体"/>
          <w:color w:val="auto"/>
          <w:sz w:val="24"/>
          <w:szCs w:val="24"/>
          <w:highlight w:val="none"/>
        </w:rPr>
      </w:pPr>
      <w:bookmarkStart w:id="418" w:name="_Toc23997_WPSOffice_Level3"/>
      <w:bookmarkStart w:id="419" w:name="_Toc9360_WPSOffice_Level3"/>
      <w:r>
        <w:rPr>
          <w:rFonts w:hint="eastAsia" w:ascii="新宋体" w:hAnsi="新宋体" w:eastAsia="新宋体" w:cs="新宋体"/>
          <w:b/>
          <w:color w:val="auto"/>
          <w:sz w:val="24"/>
          <w:szCs w:val="24"/>
          <w:highlight w:val="none"/>
        </w:rPr>
        <w:t>供应商资格证明文件</w:t>
      </w:r>
      <w:bookmarkEnd w:id="418"/>
      <w:bookmarkEnd w:id="419"/>
    </w:p>
    <w:p w14:paraId="126F6D78">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资格证明材料包括：提供有效的营业执照、税务登记证、机构代码证或三证（五证）合一统一社会代码证及其他资格证明文件（扫描或复印件）。</w:t>
      </w:r>
    </w:p>
    <w:p w14:paraId="681FACA5">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4720863C">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2、根据采购项目内容，提供供应商的相关资质证书、许可证等。</w:t>
      </w:r>
    </w:p>
    <w:p w14:paraId="70344D73">
      <w:pPr>
        <w:spacing w:line="560" w:lineRule="exact"/>
        <w:ind w:firstLine="480" w:firstLineChars="200"/>
        <w:rPr>
          <w:rFonts w:hint="eastAsia" w:ascii="新宋体" w:hAnsi="新宋体" w:eastAsia="新宋体" w:cs="新宋体"/>
          <w:color w:val="auto"/>
          <w:sz w:val="24"/>
          <w:szCs w:val="24"/>
          <w:highlight w:val="none"/>
        </w:rPr>
      </w:pPr>
    </w:p>
    <w:p w14:paraId="3D3D4839">
      <w:pPr>
        <w:widowControl/>
        <w:snapToGrid w:val="0"/>
        <w:spacing w:beforeLines="50" w:line="560" w:lineRule="exact"/>
        <w:rPr>
          <w:rFonts w:hint="eastAsia" w:ascii="新宋体" w:hAnsi="新宋体" w:eastAsia="新宋体" w:cs="新宋体"/>
          <w:b/>
          <w:color w:val="auto"/>
          <w:sz w:val="24"/>
          <w:szCs w:val="24"/>
          <w:highlight w:val="none"/>
        </w:rPr>
      </w:pPr>
    </w:p>
    <w:p w14:paraId="7769AF6B">
      <w:pPr>
        <w:widowControl/>
        <w:snapToGrid w:val="0"/>
        <w:spacing w:beforeLines="50" w:line="560" w:lineRule="exact"/>
        <w:rPr>
          <w:rFonts w:hint="eastAsia" w:ascii="新宋体" w:hAnsi="新宋体" w:eastAsia="新宋体" w:cs="新宋体"/>
          <w:b/>
          <w:color w:val="auto"/>
          <w:sz w:val="24"/>
          <w:szCs w:val="24"/>
          <w:highlight w:val="none"/>
        </w:rPr>
      </w:pPr>
    </w:p>
    <w:p w14:paraId="553C8FE2">
      <w:pPr>
        <w:widowControl/>
        <w:snapToGrid w:val="0"/>
        <w:spacing w:beforeLines="50" w:line="560" w:lineRule="exact"/>
        <w:rPr>
          <w:rFonts w:hint="eastAsia" w:ascii="新宋体" w:hAnsi="新宋体" w:eastAsia="新宋体" w:cs="新宋体"/>
          <w:b/>
          <w:color w:val="auto"/>
          <w:sz w:val="24"/>
          <w:szCs w:val="24"/>
          <w:highlight w:val="none"/>
        </w:rPr>
      </w:pPr>
    </w:p>
    <w:p w14:paraId="491EBDAD">
      <w:pPr>
        <w:pStyle w:val="36"/>
        <w:ind w:firstLine="240"/>
        <w:rPr>
          <w:rFonts w:hint="eastAsia" w:ascii="新宋体" w:hAnsi="新宋体" w:eastAsia="新宋体" w:cs="新宋体"/>
          <w:color w:val="auto"/>
          <w:sz w:val="24"/>
          <w:szCs w:val="24"/>
          <w:highlight w:val="none"/>
        </w:rPr>
      </w:pPr>
    </w:p>
    <w:p w14:paraId="355F1BEC">
      <w:pPr>
        <w:widowControl/>
        <w:snapToGrid w:val="0"/>
        <w:spacing w:beforeLines="50" w:line="560" w:lineRule="exact"/>
        <w:outlineLvl w:val="1"/>
        <w:rPr>
          <w:rFonts w:hint="eastAsia" w:ascii="新宋体" w:hAnsi="新宋体" w:eastAsia="新宋体" w:cs="新宋体"/>
          <w:b/>
          <w:color w:val="auto"/>
          <w:sz w:val="24"/>
          <w:szCs w:val="24"/>
          <w:highlight w:val="none"/>
        </w:rPr>
      </w:pPr>
      <w:bookmarkStart w:id="420" w:name="_Toc31744"/>
      <w:bookmarkStart w:id="421" w:name="_Toc12925"/>
      <w:bookmarkStart w:id="422" w:name="_Toc5898"/>
      <w:bookmarkStart w:id="423" w:name="_Toc6573"/>
      <w:bookmarkStart w:id="424" w:name="_Toc29082_WPSOffice_Level3"/>
      <w:bookmarkStart w:id="425" w:name="_Toc7499_WPSOffice_Level3"/>
    </w:p>
    <w:p w14:paraId="344F233C">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586BDAB1">
      <w:pPr>
        <w:widowControl/>
        <w:snapToGrid w:val="0"/>
        <w:spacing w:beforeLines="50" w:line="560" w:lineRule="exact"/>
        <w:outlineLvl w:val="1"/>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附件7：财务状况、缴纳税收和社会保障资金证明</w:t>
      </w:r>
      <w:bookmarkEnd w:id="420"/>
      <w:bookmarkEnd w:id="421"/>
      <w:bookmarkEnd w:id="422"/>
      <w:bookmarkEnd w:id="423"/>
      <w:bookmarkEnd w:id="424"/>
      <w:bookmarkEnd w:id="425"/>
    </w:p>
    <w:p w14:paraId="16DE41E4">
      <w:pPr>
        <w:spacing w:beforeLines="50" w:line="560" w:lineRule="exact"/>
        <w:jc w:val="center"/>
        <w:rPr>
          <w:rFonts w:hint="eastAsia" w:ascii="新宋体" w:hAnsi="新宋体" w:eastAsia="新宋体" w:cs="新宋体"/>
          <w:b/>
          <w:color w:val="auto"/>
          <w:sz w:val="24"/>
          <w:szCs w:val="24"/>
          <w:highlight w:val="none"/>
        </w:rPr>
      </w:pPr>
      <w:bookmarkStart w:id="426" w:name="_Toc2355_WPSOffice_Level3"/>
      <w:bookmarkStart w:id="427" w:name="_Toc22184_WPSOffice_Level3"/>
      <w:r>
        <w:rPr>
          <w:rFonts w:hint="eastAsia" w:ascii="新宋体" w:hAnsi="新宋体" w:eastAsia="新宋体" w:cs="新宋体"/>
          <w:b/>
          <w:color w:val="auto"/>
          <w:sz w:val="24"/>
          <w:szCs w:val="24"/>
          <w:highlight w:val="none"/>
        </w:rPr>
        <w:t>财务状况、缴纳税收和社会保障资金证明</w:t>
      </w:r>
      <w:bookmarkEnd w:id="426"/>
      <w:bookmarkEnd w:id="427"/>
    </w:p>
    <w:p w14:paraId="7EAC6435">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按照《政府采购法》第22条规定提供以下相关材料：</w:t>
      </w:r>
    </w:p>
    <w:p w14:paraId="7F6C5C16">
      <w:pPr>
        <w:autoSpaceDE w:val="0"/>
        <w:autoSpaceDN w:val="0"/>
        <w:spacing w:line="560" w:lineRule="exact"/>
        <w:ind w:firstLine="480"/>
        <w:rPr>
          <w:rFonts w:hint="eastAsia" w:ascii="新宋体" w:hAnsi="新宋体" w:eastAsia="新宋体" w:cs="新宋体"/>
          <w:color w:val="auto"/>
          <w:kern w:val="0"/>
          <w:sz w:val="24"/>
          <w:szCs w:val="24"/>
          <w:highlight w:val="none"/>
          <w:lang w:val="zh-CN"/>
        </w:rPr>
      </w:pPr>
      <w:r>
        <w:rPr>
          <w:rFonts w:hint="eastAsia" w:ascii="新宋体" w:hAnsi="新宋体" w:eastAsia="新宋体" w:cs="新宋体"/>
          <w:color w:val="auto"/>
          <w:sz w:val="24"/>
          <w:szCs w:val="24"/>
          <w:highlight w:val="none"/>
        </w:rPr>
        <w:t>1、供应商是法人的，</w:t>
      </w:r>
      <w:r>
        <w:rPr>
          <w:rFonts w:hint="eastAsia" w:ascii="新宋体" w:hAnsi="新宋体" w:eastAsia="新宋体" w:cs="新宋体"/>
          <w:color w:val="auto"/>
          <w:sz w:val="24"/>
          <w:szCs w:val="24"/>
          <w:highlight w:val="none"/>
          <w:lang w:val="zh-CN"/>
        </w:rPr>
        <w:t>提供基本开户银行近三个月内出具的资信证明（同时提供基本存款账户开户许可证）</w:t>
      </w:r>
      <w:r>
        <w:rPr>
          <w:rFonts w:hint="eastAsia" w:ascii="新宋体" w:hAnsi="新宋体" w:eastAsia="新宋体" w:cs="新宋体"/>
          <w:color w:val="auto"/>
          <w:sz w:val="24"/>
          <w:szCs w:val="24"/>
          <w:highlight w:val="none"/>
          <w:lang w:val="en-US" w:eastAsia="zh-CN"/>
        </w:rPr>
        <w:t>或2024年度</w:t>
      </w:r>
      <w:r>
        <w:rPr>
          <w:rFonts w:hint="eastAsia" w:ascii="新宋体" w:hAnsi="新宋体" w:eastAsia="新宋体" w:cs="新宋体"/>
          <w:color w:val="auto"/>
          <w:sz w:val="24"/>
          <w:szCs w:val="24"/>
          <w:highlight w:val="none"/>
        </w:rPr>
        <w:t>经第三方审计的财务状况报告</w:t>
      </w:r>
      <w:r>
        <w:rPr>
          <w:rFonts w:hint="eastAsia" w:ascii="新宋体" w:hAnsi="新宋体" w:eastAsia="新宋体" w:cs="新宋体"/>
          <w:color w:val="auto"/>
          <w:sz w:val="24"/>
          <w:szCs w:val="24"/>
          <w:highlight w:val="none"/>
          <w:lang w:val="zh-CN"/>
        </w:rPr>
        <w:t>（扫描或复印件应全面、完整、清晰），包括资产负债表、现金流量表、利润表和财务（会计）报表附注</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zh-CN"/>
        </w:rPr>
        <w:t>并提供第三方机构的营业执照、执业证书及会计师年审记录。</w:t>
      </w:r>
      <w:r>
        <w:rPr>
          <w:rFonts w:hint="eastAsia" w:ascii="新宋体" w:hAnsi="新宋体" w:eastAsia="新宋体" w:cs="新宋体"/>
          <w:color w:val="auto"/>
          <w:sz w:val="24"/>
          <w:szCs w:val="24"/>
          <w:highlight w:val="none"/>
          <w:lang w:eastAsia="zh-CN"/>
        </w:rPr>
        <w:t>供应商</w:t>
      </w:r>
      <w:r>
        <w:rPr>
          <w:rFonts w:hint="eastAsia" w:ascii="新宋体" w:hAnsi="新宋体" w:eastAsia="新宋体" w:cs="新宋体"/>
          <w:color w:val="auto"/>
          <w:sz w:val="24"/>
          <w:szCs w:val="24"/>
          <w:highlight w:val="none"/>
        </w:rPr>
        <w:t>是其他组织和自然人，没有经审计的财务报告，可以提供基本开户银行出具的资信证明（财务无亏损，同时提供基本存款账户开户许可证）。</w:t>
      </w:r>
      <w:r>
        <w:rPr>
          <w:rFonts w:hint="eastAsia" w:ascii="新宋体" w:hAnsi="新宋体" w:eastAsia="新宋体" w:cs="新宋体"/>
          <w:color w:val="auto"/>
          <w:sz w:val="24"/>
          <w:szCs w:val="24"/>
          <w:highlight w:val="none"/>
          <w:lang w:eastAsia="zh-CN"/>
        </w:rPr>
        <w:t>以上所有资料须加盖单位财务专用章。</w:t>
      </w:r>
    </w:p>
    <w:p w14:paraId="6EF67424">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2、提供近半年内</w:t>
      </w:r>
      <w:r>
        <w:rPr>
          <w:rFonts w:hint="eastAsia" w:ascii="新宋体" w:hAnsi="新宋体" w:eastAsia="新宋体" w:cs="新宋体"/>
          <w:color w:val="auto"/>
          <w:sz w:val="24"/>
          <w:szCs w:val="24"/>
          <w:highlight w:val="none"/>
          <w:lang w:val="en-US" w:eastAsia="zh-CN"/>
        </w:rPr>
        <w:t>任意一</w:t>
      </w:r>
      <w:r>
        <w:rPr>
          <w:rFonts w:hint="eastAsia" w:ascii="新宋体" w:hAnsi="新宋体" w:eastAsia="新宋体" w:cs="新宋体"/>
          <w:color w:val="auto"/>
          <w:sz w:val="24"/>
          <w:szCs w:val="24"/>
          <w:highlight w:val="none"/>
        </w:rPr>
        <w:t>个月依法缴纳税收和社会保障资金记录的证明材料，或相关行政机关出具无欠缴应纳税款或社会保障资金的证明材料。依法免税或不需要缴纳社会保障资金的供应商，应提供相应文件证明其依法免税或不需要缴纳社会保障资金。</w:t>
      </w:r>
    </w:p>
    <w:p w14:paraId="6D552309">
      <w:pPr>
        <w:widowControl/>
        <w:snapToGrid w:val="0"/>
        <w:spacing w:line="560" w:lineRule="exact"/>
        <w:rPr>
          <w:rFonts w:hint="eastAsia" w:ascii="新宋体" w:hAnsi="新宋体" w:eastAsia="新宋体" w:cs="新宋体"/>
          <w:color w:val="auto"/>
          <w:sz w:val="24"/>
          <w:szCs w:val="24"/>
          <w:highlight w:val="none"/>
        </w:rPr>
      </w:pPr>
    </w:p>
    <w:p w14:paraId="59F6FD44">
      <w:pPr>
        <w:widowControl/>
        <w:snapToGrid w:val="0"/>
        <w:spacing w:beforeLines="50" w:line="560" w:lineRule="exact"/>
        <w:rPr>
          <w:rFonts w:hint="eastAsia" w:ascii="新宋体" w:hAnsi="新宋体" w:eastAsia="新宋体" w:cs="新宋体"/>
          <w:color w:val="auto"/>
          <w:sz w:val="24"/>
          <w:szCs w:val="24"/>
          <w:highlight w:val="none"/>
        </w:rPr>
      </w:pPr>
    </w:p>
    <w:p w14:paraId="619413A0">
      <w:pPr>
        <w:tabs>
          <w:tab w:val="left" w:pos="168"/>
        </w:tabs>
        <w:adjustRightInd w:val="0"/>
        <w:spacing w:beforeLines="50" w:line="560" w:lineRule="exact"/>
        <w:ind w:firstLine="480" w:firstLineChars="200"/>
        <w:textAlignment w:val="baseline"/>
        <w:rPr>
          <w:rFonts w:hint="eastAsia" w:ascii="新宋体" w:hAnsi="新宋体" w:eastAsia="新宋体" w:cs="新宋体"/>
          <w:color w:val="auto"/>
          <w:sz w:val="24"/>
          <w:szCs w:val="24"/>
          <w:highlight w:val="none"/>
        </w:rPr>
      </w:pPr>
    </w:p>
    <w:p w14:paraId="62241FC3">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06810046">
      <w:pPr>
        <w:spacing w:beforeLines="50" w:line="560" w:lineRule="exact"/>
        <w:rPr>
          <w:rFonts w:hint="eastAsia" w:ascii="新宋体" w:hAnsi="新宋体" w:eastAsia="新宋体" w:cs="新宋体"/>
          <w:b/>
          <w:bCs/>
          <w:color w:val="auto"/>
          <w:sz w:val="24"/>
          <w:szCs w:val="24"/>
          <w:highlight w:val="none"/>
        </w:rPr>
      </w:pPr>
    </w:p>
    <w:p w14:paraId="7135E3DB">
      <w:pPr>
        <w:spacing w:beforeLines="50" w:line="560" w:lineRule="exact"/>
        <w:rPr>
          <w:rFonts w:hint="eastAsia" w:ascii="新宋体" w:hAnsi="新宋体" w:eastAsia="新宋体" w:cs="新宋体"/>
          <w:b/>
          <w:bCs/>
          <w:color w:val="auto"/>
          <w:sz w:val="24"/>
          <w:szCs w:val="24"/>
          <w:highlight w:val="none"/>
        </w:rPr>
      </w:pPr>
    </w:p>
    <w:p w14:paraId="4A48FD4F">
      <w:pPr>
        <w:spacing w:beforeLines="50" w:line="560" w:lineRule="exact"/>
        <w:rPr>
          <w:rFonts w:hint="eastAsia" w:ascii="新宋体" w:hAnsi="新宋体" w:eastAsia="新宋体" w:cs="新宋体"/>
          <w:b/>
          <w:bCs/>
          <w:color w:val="auto"/>
          <w:sz w:val="24"/>
          <w:szCs w:val="24"/>
          <w:highlight w:val="none"/>
        </w:rPr>
      </w:pPr>
    </w:p>
    <w:p w14:paraId="0187E32B">
      <w:pPr>
        <w:spacing w:beforeLines="50" w:line="560" w:lineRule="exact"/>
        <w:outlineLvl w:val="1"/>
        <w:rPr>
          <w:rFonts w:hint="eastAsia" w:ascii="新宋体" w:hAnsi="新宋体" w:eastAsia="新宋体" w:cs="新宋体"/>
          <w:b/>
          <w:bCs/>
          <w:color w:val="auto"/>
          <w:sz w:val="24"/>
          <w:szCs w:val="24"/>
          <w:highlight w:val="none"/>
        </w:rPr>
      </w:pPr>
    </w:p>
    <w:p w14:paraId="0639344B">
      <w:pPr>
        <w:rPr>
          <w:rFonts w:hint="eastAsia" w:ascii="新宋体" w:hAnsi="新宋体" w:eastAsia="新宋体" w:cs="新宋体"/>
          <w:b/>
          <w:color w:val="auto"/>
          <w:sz w:val="24"/>
          <w:szCs w:val="24"/>
          <w:highlight w:val="none"/>
        </w:rPr>
      </w:pPr>
      <w:bookmarkStart w:id="428" w:name="_Toc21984"/>
      <w:bookmarkStart w:id="429" w:name="_Toc17387_WPSOffice_Level3"/>
      <w:bookmarkStart w:id="430" w:name="_Toc16098"/>
      <w:bookmarkStart w:id="431" w:name="_Toc26128"/>
      <w:bookmarkStart w:id="432" w:name="_Toc22959_WPSOffice_Level3"/>
      <w:bookmarkStart w:id="433" w:name="_Toc13266"/>
      <w:r>
        <w:rPr>
          <w:rFonts w:hint="eastAsia" w:ascii="新宋体" w:hAnsi="新宋体" w:eastAsia="新宋体" w:cs="新宋体"/>
          <w:b/>
          <w:color w:val="auto"/>
          <w:sz w:val="24"/>
          <w:szCs w:val="24"/>
          <w:highlight w:val="none"/>
        </w:rPr>
        <w:br w:type="page"/>
      </w:r>
    </w:p>
    <w:p w14:paraId="0439E82E">
      <w:pPr>
        <w:widowControl/>
        <w:snapToGrid w:val="0"/>
        <w:spacing w:beforeLines="50" w:line="560" w:lineRule="exact"/>
        <w:outlineLvl w:val="1"/>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附件8：</w:t>
      </w:r>
      <w:bookmarkEnd w:id="428"/>
      <w:r>
        <w:rPr>
          <w:rFonts w:hint="eastAsia" w:ascii="新宋体" w:hAnsi="新宋体" w:eastAsia="新宋体" w:cs="新宋体"/>
          <w:b/>
          <w:color w:val="auto"/>
          <w:sz w:val="24"/>
          <w:szCs w:val="24"/>
          <w:highlight w:val="none"/>
        </w:rPr>
        <w:t>无重大违法记录声明</w:t>
      </w:r>
      <w:bookmarkEnd w:id="429"/>
      <w:bookmarkEnd w:id="430"/>
      <w:bookmarkEnd w:id="431"/>
    </w:p>
    <w:p w14:paraId="67BBA41C">
      <w:pPr>
        <w:spacing w:beforeLines="50" w:line="560" w:lineRule="exact"/>
        <w:jc w:val="center"/>
        <w:rPr>
          <w:rFonts w:hint="eastAsia" w:ascii="新宋体" w:hAnsi="新宋体" w:eastAsia="新宋体" w:cs="新宋体"/>
          <w:b/>
          <w:bCs/>
          <w:color w:val="auto"/>
          <w:sz w:val="24"/>
          <w:szCs w:val="24"/>
          <w:highlight w:val="none"/>
        </w:rPr>
      </w:pPr>
      <w:bookmarkStart w:id="434" w:name="_Toc25610_WPSOffice_Level3"/>
      <w:r>
        <w:rPr>
          <w:rFonts w:hint="eastAsia" w:ascii="新宋体" w:hAnsi="新宋体" w:eastAsia="新宋体" w:cs="新宋体"/>
          <w:b/>
          <w:color w:val="auto"/>
          <w:sz w:val="24"/>
          <w:szCs w:val="24"/>
          <w:highlight w:val="none"/>
          <w:lang w:val="zh-CN"/>
        </w:rPr>
        <w:t>无重大违法记录声明</w:t>
      </w:r>
      <w:bookmarkEnd w:id="434"/>
    </w:p>
    <w:p w14:paraId="59A96B10">
      <w:pPr>
        <w:spacing w:line="560" w:lineRule="exact"/>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kern w:val="0"/>
          <w:sz w:val="24"/>
          <w:szCs w:val="24"/>
          <w:highlight w:val="none"/>
        </w:rPr>
        <w:t xml:space="preserve">  </w:t>
      </w:r>
      <w:r>
        <w:rPr>
          <w:rFonts w:hint="eastAsia" w:ascii="新宋体" w:hAnsi="新宋体" w:eastAsia="新宋体" w:cs="新宋体"/>
          <w:color w:val="auto"/>
          <w:sz w:val="24"/>
          <w:szCs w:val="24"/>
          <w:highlight w:val="none"/>
        </w:rPr>
        <w:t>致：</w:t>
      </w:r>
      <w:r>
        <w:rPr>
          <w:rFonts w:hint="eastAsia" w:ascii="新宋体" w:hAnsi="新宋体" w:eastAsia="新宋体" w:cs="新宋体"/>
          <w:color w:val="auto"/>
          <w:sz w:val="24"/>
          <w:szCs w:val="24"/>
          <w:highlight w:val="none"/>
          <w:u w:val="single"/>
        </w:rPr>
        <w:t>（代理机构名称）</w:t>
      </w:r>
    </w:p>
    <w:p w14:paraId="1832312B">
      <w:pPr>
        <w:spacing w:line="560" w:lineRule="exact"/>
        <w:ind w:firstLine="480" w:firstLineChars="200"/>
        <w:rPr>
          <w:rFonts w:hint="eastAsia" w:ascii="新宋体" w:hAnsi="新宋体" w:eastAsia="新宋体" w:cs="新宋体"/>
          <w:color w:val="auto"/>
          <w:sz w:val="24"/>
          <w:szCs w:val="24"/>
          <w:highlight w:val="none"/>
          <w:shd w:val="clear" w:color="auto" w:fill="FFFFFF"/>
        </w:rPr>
      </w:pPr>
      <w:r>
        <w:rPr>
          <w:rFonts w:hint="eastAsia" w:ascii="新宋体" w:hAnsi="新宋体" w:eastAsia="新宋体" w:cs="新宋体"/>
          <w:color w:val="auto"/>
          <w:sz w:val="24"/>
          <w:szCs w:val="24"/>
          <w:highlight w:val="none"/>
        </w:rPr>
        <w:t>我单位参加本次政府采购项目活动前三年内，在经营活动中无重大违法活动记录，符合《政府采购法》规定的供应商资格条</w:t>
      </w:r>
      <w:r>
        <w:rPr>
          <w:rFonts w:hint="eastAsia" w:ascii="新宋体" w:hAnsi="新宋体" w:eastAsia="新宋体" w:cs="新宋体"/>
          <w:color w:val="auto"/>
          <w:sz w:val="24"/>
          <w:szCs w:val="24"/>
          <w:highlight w:val="none"/>
          <w:shd w:val="clear" w:color="auto" w:fill="FFFFFF"/>
        </w:rPr>
        <w:t>件。我方对此声明负全部法律责任。</w:t>
      </w:r>
    </w:p>
    <w:p w14:paraId="085EA88D">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特此声明。</w:t>
      </w:r>
    </w:p>
    <w:p w14:paraId="237B7CD6">
      <w:pPr>
        <w:autoSpaceDE w:val="0"/>
        <w:autoSpaceDN w:val="0"/>
        <w:spacing w:line="560" w:lineRule="exact"/>
        <w:jc w:val="left"/>
        <w:rPr>
          <w:rFonts w:hint="eastAsia" w:ascii="新宋体" w:hAnsi="新宋体" w:eastAsia="新宋体" w:cs="新宋体"/>
          <w:color w:val="auto"/>
          <w:kern w:val="0"/>
          <w:sz w:val="24"/>
          <w:szCs w:val="24"/>
          <w:highlight w:val="none"/>
          <w:lang w:val="zh-CN"/>
        </w:rPr>
      </w:pPr>
    </w:p>
    <w:p w14:paraId="291472B4">
      <w:pPr>
        <w:autoSpaceDE w:val="0"/>
        <w:autoSpaceDN w:val="0"/>
        <w:spacing w:line="560" w:lineRule="exact"/>
        <w:ind w:firstLine="480" w:firstLineChars="200"/>
        <w:jc w:val="left"/>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附“信用中国”网站“下载信用信息”栏中的信用信息，时间为公告发布后</w:t>
      </w:r>
      <w:r>
        <w:rPr>
          <w:rFonts w:hint="eastAsia" w:ascii="新宋体" w:hAnsi="新宋体" w:eastAsia="新宋体" w:cs="新宋体"/>
          <w:color w:val="auto"/>
          <w:sz w:val="24"/>
          <w:szCs w:val="24"/>
          <w:highlight w:val="none"/>
        </w:rPr>
        <w:t>。</w:t>
      </w:r>
    </w:p>
    <w:p w14:paraId="27B47E4E">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p>
    <w:p w14:paraId="776496D9">
      <w:pPr>
        <w:spacing w:beforeLines="50" w:line="560" w:lineRule="exact"/>
        <w:ind w:firstLine="480" w:firstLineChars="200"/>
        <w:jc w:val="center"/>
        <w:rPr>
          <w:rFonts w:hint="eastAsia" w:ascii="新宋体" w:hAnsi="新宋体" w:eastAsia="新宋体" w:cs="新宋体"/>
          <w:bCs/>
          <w:color w:val="auto"/>
          <w:sz w:val="24"/>
          <w:szCs w:val="24"/>
          <w:highlight w:val="none"/>
        </w:rPr>
      </w:pPr>
    </w:p>
    <w:p w14:paraId="08E36131">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35" w:name="_Toc21607_WPSOffice_Level3"/>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bookmarkEnd w:id="435"/>
    </w:p>
    <w:p w14:paraId="2E63A66D">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36" w:name="_Toc14292_WPSOffice_Level3"/>
      <w:r>
        <w:rPr>
          <w:rFonts w:hint="eastAsia" w:ascii="新宋体" w:hAnsi="新宋体" w:eastAsia="新宋体" w:cs="新宋体"/>
          <w:bCs/>
          <w:color w:val="auto"/>
          <w:sz w:val="24"/>
          <w:szCs w:val="24"/>
          <w:highlight w:val="none"/>
        </w:rPr>
        <w:t>法定代表人或委托代理人：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bookmarkEnd w:id="436"/>
    </w:p>
    <w:p w14:paraId="6F4D36E4">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37" w:name="_Toc15350_WPSOffice_Level3"/>
      <w:r>
        <w:rPr>
          <w:rFonts w:hint="eastAsia" w:ascii="新宋体" w:hAnsi="新宋体" w:eastAsia="新宋体" w:cs="新宋体"/>
          <w:bCs/>
          <w:color w:val="auto"/>
          <w:sz w:val="24"/>
          <w:szCs w:val="24"/>
          <w:highlight w:val="none"/>
        </w:rPr>
        <w:t>年   月  日</w:t>
      </w:r>
      <w:bookmarkEnd w:id="437"/>
    </w:p>
    <w:p w14:paraId="7A13FA06">
      <w:pPr>
        <w:rPr>
          <w:rFonts w:hint="eastAsia" w:ascii="新宋体" w:hAnsi="新宋体" w:eastAsia="新宋体" w:cs="新宋体"/>
          <w:bCs w:val="0"/>
          <w:color w:val="auto"/>
          <w:sz w:val="24"/>
          <w:szCs w:val="24"/>
          <w:highlight w:val="none"/>
        </w:rPr>
      </w:pPr>
      <w:bookmarkStart w:id="438" w:name="_Toc132_WPSOffice_Level3"/>
      <w:bookmarkStart w:id="439" w:name="_Toc24810"/>
      <w:bookmarkStart w:id="440" w:name="_Toc22471"/>
      <w:r>
        <w:rPr>
          <w:rFonts w:hint="eastAsia" w:ascii="新宋体" w:hAnsi="新宋体" w:eastAsia="新宋体" w:cs="新宋体"/>
          <w:bCs w:val="0"/>
          <w:color w:val="auto"/>
          <w:sz w:val="24"/>
          <w:szCs w:val="24"/>
          <w:highlight w:val="none"/>
        </w:rPr>
        <w:br w:type="page"/>
      </w:r>
    </w:p>
    <w:p w14:paraId="4E1B206C">
      <w:pPr>
        <w:pStyle w:val="35"/>
        <w:spacing w:beforeLines="50" w:after="0" w:line="560" w:lineRule="exact"/>
        <w:jc w:val="left"/>
        <w:outlineLvl w:val="9"/>
        <w:rPr>
          <w:rFonts w:hint="eastAsia" w:ascii="新宋体" w:hAnsi="新宋体" w:eastAsia="新宋体" w:cs="新宋体"/>
          <w:color w:val="auto"/>
          <w:sz w:val="24"/>
          <w:szCs w:val="24"/>
          <w:highlight w:val="none"/>
          <w:lang w:val="zh-CN"/>
        </w:rPr>
      </w:pPr>
      <w:r>
        <w:rPr>
          <w:rFonts w:hint="eastAsia" w:ascii="新宋体" w:hAnsi="新宋体" w:eastAsia="新宋体" w:cs="新宋体"/>
          <w:bCs w:val="0"/>
          <w:color w:val="auto"/>
          <w:sz w:val="24"/>
          <w:szCs w:val="24"/>
          <w:highlight w:val="none"/>
        </w:rPr>
        <w:t>附件9：谈判</w:t>
      </w:r>
      <w:r>
        <w:rPr>
          <w:rFonts w:hint="eastAsia" w:ascii="新宋体" w:hAnsi="新宋体" w:eastAsia="新宋体" w:cs="新宋体"/>
          <w:bCs w:val="0"/>
          <w:color w:val="auto"/>
          <w:sz w:val="24"/>
          <w:szCs w:val="24"/>
          <w:highlight w:val="none"/>
          <w:lang w:val="zh-CN"/>
        </w:rPr>
        <w:t>保证金证明</w:t>
      </w:r>
      <w:bookmarkEnd w:id="432"/>
      <w:bookmarkEnd w:id="433"/>
      <w:bookmarkEnd w:id="438"/>
      <w:bookmarkEnd w:id="439"/>
      <w:bookmarkEnd w:id="440"/>
    </w:p>
    <w:p w14:paraId="28220CB1">
      <w:pPr>
        <w:spacing w:beforeLines="50" w:line="560" w:lineRule="exact"/>
        <w:jc w:val="center"/>
        <w:rPr>
          <w:rFonts w:hint="eastAsia" w:ascii="新宋体" w:hAnsi="新宋体" w:eastAsia="新宋体" w:cs="新宋体"/>
          <w:b/>
          <w:bCs/>
          <w:color w:val="auto"/>
          <w:kern w:val="0"/>
          <w:sz w:val="24"/>
          <w:szCs w:val="24"/>
          <w:highlight w:val="none"/>
          <w:lang w:val="zh-CN"/>
        </w:rPr>
      </w:pPr>
      <w:bookmarkStart w:id="441" w:name="_Toc27502_WPSOffice_Level3"/>
      <w:r>
        <w:rPr>
          <w:rFonts w:hint="eastAsia" w:ascii="新宋体" w:hAnsi="新宋体" w:eastAsia="新宋体" w:cs="新宋体"/>
          <w:b/>
          <w:color w:val="auto"/>
          <w:sz w:val="24"/>
          <w:szCs w:val="24"/>
          <w:highlight w:val="none"/>
          <w:lang w:val="zh-CN"/>
        </w:rPr>
        <w:t>谈判保证金证明</w:t>
      </w:r>
      <w:bookmarkEnd w:id="441"/>
    </w:p>
    <w:p w14:paraId="03C32F3C">
      <w:pPr>
        <w:autoSpaceDE w:val="0"/>
        <w:autoSpaceDN w:val="0"/>
        <w:spacing w:line="560" w:lineRule="exact"/>
        <w:rPr>
          <w:rFonts w:hint="eastAsia" w:ascii="新宋体" w:hAnsi="新宋体" w:eastAsia="新宋体" w:cs="新宋体"/>
          <w:b/>
          <w:bCs/>
          <w:color w:val="auto"/>
          <w:kern w:val="0"/>
          <w:sz w:val="24"/>
          <w:szCs w:val="24"/>
          <w:highlight w:val="none"/>
          <w:lang w:val="zh-CN"/>
        </w:rPr>
      </w:pPr>
      <w:bookmarkStart w:id="442" w:name="_Toc12243_WPSOffice_Level2"/>
      <w:bookmarkStart w:id="443" w:name="_Toc1388_WPSOffice_Level2"/>
      <w:bookmarkStart w:id="444" w:name="_Toc21234_WPSOffice_Level2"/>
      <w:r>
        <w:rPr>
          <w:rFonts w:hint="eastAsia" w:ascii="新宋体" w:hAnsi="新宋体" w:eastAsia="新宋体" w:cs="新宋体"/>
          <w:b/>
          <w:bCs/>
          <w:color w:val="auto"/>
          <w:kern w:val="0"/>
          <w:sz w:val="24"/>
          <w:szCs w:val="24"/>
          <w:highlight w:val="none"/>
          <w:lang w:val="zh-CN"/>
        </w:rPr>
        <w:t>致：</w:t>
      </w:r>
      <w:r>
        <w:rPr>
          <w:rFonts w:hint="eastAsia" w:ascii="新宋体" w:hAnsi="新宋体" w:eastAsia="新宋体" w:cs="新宋体"/>
          <w:b/>
          <w:bCs/>
          <w:color w:val="auto"/>
          <w:kern w:val="0"/>
          <w:sz w:val="24"/>
          <w:szCs w:val="24"/>
          <w:highlight w:val="none"/>
          <w:u w:val="single"/>
          <w:lang w:val="zh-CN"/>
        </w:rPr>
        <w:t>采购代理机构</w:t>
      </w:r>
      <w:bookmarkEnd w:id="442"/>
      <w:bookmarkEnd w:id="443"/>
      <w:bookmarkEnd w:id="444"/>
    </w:p>
    <w:p w14:paraId="1E6094DB">
      <w:pPr>
        <w:autoSpaceDE w:val="0"/>
        <w:autoSpaceDN w:val="0"/>
        <w:spacing w:line="560" w:lineRule="exact"/>
        <w:ind w:firstLine="480" w:firstLineChars="200"/>
        <w:rPr>
          <w:rFonts w:hint="eastAsia" w:ascii="新宋体" w:hAnsi="新宋体" w:eastAsia="新宋体" w:cs="新宋体"/>
          <w:color w:val="auto"/>
          <w:kern w:val="0"/>
          <w:sz w:val="24"/>
          <w:szCs w:val="24"/>
          <w:highlight w:val="none"/>
          <w:lang w:val="zh-CN"/>
        </w:rPr>
      </w:pPr>
      <w:r>
        <w:rPr>
          <w:rFonts w:hint="eastAsia" w:ascii="新宋体" w:hAnsi="新宋体" w:eastAsia="新宋体" w:cs="新宋体"/>
          <w:color w:val="auto"/>
          <w:kern w:val="0"/>
          <w:sz w:val="24"/>
          <w:szCs w:val="24"/>
          <w:highlight w:val="none"/>
          <w:lang w:val="zh-CN"/>
        </w:rPr>
        <w:t>我方为</w:t>
      </w:r>
      <w:r>
        <w:rPr>
          <w:rFonts w:hint="eastAsia" w:ascii="新宋体" w:hAnsi="新宋体" w:eastAsia="新宋体" w:cs="新宋体"/>
          <w:color w:val="auto"/>
          <w:kern w:val="0"/>
          <w:sz w:val="24"/>
          <w:szCs w:val="24"/>
          <w:highlight w:val="none"/>
          <w:u w:val="single"/>
        </w:rPr>
        <w:t xml:space="preserve">        </w:t>
      </w:r>
      <w:r>
        <w:rPr>
          <w:rFonts w:hint="eastAsia" w:ascii="新宋体" w:hAnsi="新宋体" w:eastAsia="新宋体" w:cs="新宋体"/>
          <w:color w:val="auto"/>
          <w:kern w:val="0"/>
          <w:sz w:val="24"/>
          <w:szCs w:val="24"/>
          <w:highlight w:val="none"/>
          <w:lang w:val="zh-CN"/>
        </w:rPr>
        <w:t>（采购项目名称）项目（采购项目编号为：</w:t>
      </w:r>
      <w:r>
        <w:rPr>
          <w:rFonts w:hint="eastAsia" w:ascii="新宋体" w:hAnsi="新宋体" w:eastAsia="新宋体" w:cs="新宋体"/>
          <w:color w:val="auto"/>
          <w:kern w:val="0"/>
          <w:sz w:val="24"/>
          <w:szCs w:val="24"/>
          <w:highlight w:val="none"/>
          <w:u w:val="single"/>
          <w:lang w:val="zh-CN"/>
        </w:rPr>
        <w:t xml:space="preserve">        </w:t>
      </w:r>
      <w:r>
        <w:rPr>
          <w:rFonts w:hint="eastAsia" w:ascii="新宋体" w:hAnsi="新宋体" w:eastAsia="新宋体" w:cs="新宋体"/>
          <w:color w:val="auto"/>
          <w:kern w:val="0"/>
          <w:sz w:val="24"/>
          <w:szCs w:val="24"/>
          <w:highlight w:val="none"/>
          <w:lang w:val="zh-CN"/>
        </w:rPr>
        <w:t xml:space="preserve">）递交保证金人民币 </w:t>
      </w:r>
      <w:r>
        <w:rPr>
          <w:rFonts w:hint="eastAsia" w:ascii="新宋体" w:hAnsi="新宋体" w:eastAsia="新宋体" w:cs="新宋体"/>
          <w:color w:val="auto"/>
          <w:kern w:val="0"/>
          <w:sz w:val="24"/>
          <w:szCs w:val="24"/>
          <w:highlight w:val="none"/>
          <w:u w:val="single"/>
          <w:lang w:val="zh-CN"/>
        </w:rPr>
        <w:t xml:space="preserve">      </w:t>
      </w:r>
      <w:r>
        <w:rPr>
          <w:rFonts w:hint="eastAsia" w:ascii="新宋体" w:hAnsi="新宋体" w:eastAsia="新宋体" w:cs="新宋体"/>
          <w:color w:val="auto"/>
          <w:kern w:val="0"/>
          <w:sz w:val="24"/>
          <w:szCs w:val="24"/>
          <w:highlight w:val="none"/>
          <w:lang w:val="zh-CN"/>
        </w:rPr>
        <w:t>（大写：人民币</w:t>
      </w:r>
      <w:r>
        <w:rPr>
          <w:rFonts w:hint="eastAsia" w:ascii="新宋体" w:hAnsi="新宋体" w:eastAsia="新宋体" w:cs="新宋体"/>
          <w:color w:val="auto"/>
          <w:kern w:val="0"/>
          <w:sz w:val="24"/>
          <w:szCs w:val="24"/>
          <w:highlight w:val="none"/>
          <w:u w:val="single"/>
          <w:lang w:val="zh-CN"/>
        </w:rPr>
        <w:t xml:space="preserve">        </w:t>
      </w:r>
      <w:r>
        <w:rPr>
          <w:rFonts w:hint="eastAsia" w:ascii="新宋体" w:hAnsi="新宋体" w:eastAsia="新宋体" w:cs="新宋体"/>
          <w:color w:val="auto"/>
          <w:kern w:val="0"/>
          <w:sz w:val="24"/>
          <w:szCs w:val="24"/>
          <w:highlight w:val="none"/>
          <w:lang w:val="zh-CN"/>
        </w:rPr>
        <w:t>元）已于</w:t>
      </w:r>
      <w:r>
        <w:rPr>
          <w:rFonts w:hint="eastAsia" w:ascii="新宋体" w:hAnsi="新宋体" w:eastAsia="新宋体" w:cs="新宋体"/>
          <w:color w:val="auto"/>
          <w:kern w:val="0"/>
          <w:sz w:val="24"/>
          <w:szCs w:val="24"/>
          <w:highlight w:val="none"/>
          <w:u w:val="single"/>
          <w:lang w:val="zh-CN"/>
        </w:rPr>
        <w:t xml:space="preserve">     </w:t>
      </w:r>
      <w:r>
        <w:rPr>
          <w:rFonts w:hint="eastAsia" w:ascii="新宋体" w:hAnsi="新宋体" w:eastAsia="新宋体" w:cs="新宋体"/>
          <w:color w:val="auto"/>
          <w:kern w:val="0"/>
          <w:sz w:val="24"/>
          <w:szCs w:val="24"/>
          <w:highlight w:val="none"/>
          <w:lang w:val="zh-CN"/>
        </w:rPr>
        <w:t>年</w:t>
      </w:r>
      <w:r>
        <w:rPr>
          <w:rFonts w:hint="eastAsia" w:ascii="新宋体" w:hAnsi="新宋体" w:eastAsia="新宋体" w:cs="新宋体"/>
          <w:color w:val="auto"/>
          <w:kern w:val="0"/>
          <w:sz w:val="24"/>
          <w:szCs w:val="24"/>
          <w:highlight w:val="none"/>
          <w:u w:val="single"/>
          <w:lang w:val="zh-CN"/>
        </w:rPr>
        <w:t xml:space="preserve">    </w:t>
      </w:r>
      <w:r>
        <w:rPr>
          <w:rFonts w:hint="eastAsia" w:ascii="新宋体" w:hAnsi="新宋体" w:eastAsia="新宋体" w:cs="新宋体"/>
          <w:color w:val="auto"/>
          <w:kern w:val="0"/>
          <w:sz w:val="24"/>
          <w:szCs w:val="24"/>
          <w:highlight w:val="none"/>
          <w:lang w:val="zh-CN"/>
        </w:rPr>
        <w:t>月</w:t>
      </w:r>
      <w:r>
        <w:rPr>
          <w:rFonts w:hint="eastAsia" w:ascii="新宋体" w:hAnsi="新宋体" w:eastAsia="新宋体" w:cs="新宋体"/>
          <w:color w:val="auto"/>
          <w:kern w:val="0"/>
          <w:sz w:val="24"/>
          <w:szCs w:val="24"/>
          <w:highlight w:val="none"/>
          <w:u w:val="single"/>
          <w:lang w:val="zh-CN"/>
        </w:rPr>
        <w:t xml:space="preserve">    </w:t>
      </w:r>
      <w:r>
        <w:rPr>
          <w:rFonts w:hint="eastAsia" w:ascii="新宋体" w:hAnsi="新宋体" w:eastAsia="新宋体" w:cs="新宋体"/>
          <w:color w:val="auto"/>
          <w:kern w:val="0"/>
          <w:sz w:val="24"/>
          <w:szCs w:val="24"/>
          <w:highlight w:val="none"/>
          <w:lang w:val="zh-CN"/>
        </w:rPr>
        <w:t>日以转账方式汇入你方账户。</w:t>
      </w:r>
    </w:p>
    <w:p w14:paraId="6B88B423">
      <w:pPr>
        <w:autoSpaceDE w:val="0"/>
        <w:autoSpaceDN w:val="0"/>
        <w:spacing w:line="560" w:lineRule="exact"/>
        <w:ind w:firstLine="480" w:firstLineChars="200"/>
        <w:rPr>
          <w:rFonts w:hint="eastAsia" w:ascii="新宋体" w:hAnsi="新宋体" w:eastAsia="新宋体" w:cs="新宋体"/>
          <w:color w:val="auto"/>
          <w:kern w:val="0"/>
          <w:sz w:val="24"/>
          <w:szCs w:val="24"/>
          <w:highlight w:val="none"/>
          <w:lang w:val="zh-CN"/>
        </w:rPr>
      </w:pPr>
      <w:r>
        <w:rPr>
          <w:rFonts w:hint="eastAsia" w:ascii="新宋体" w:hAnsi="新宋体" w:eastAsia="新宋体" w:cs="新宋体"/>
          <w:color w:val="auto"/>
          <w:kern w:val="0"/>
          <w:sz w:val="24"/>
          <w:szCs w:val="24"/>
          <w:highlight w:val="none"/>
          <w:lang w:val="zh-CN"/>
        </w:rPr>
        <w:t>附</w:t>
      </w:r>
      <w:r>
        <w:rPr>
          <w:rFonts w:hint="eastAsia" w:ascii="新宋体" w:hAnsi="新宋体" w:eastAsia="新宋体" w:cs="新宋体"/>
          <w:color w:val="auto"/>
          <w:kern w:val="0"/>
          <w:sz w:val="24"/>
          <w:szCs w:val="24"/>
          <w:highlight w:val="none"/>
        </w:rPr>
        <w:t xml:space="preserve"> </w:t>
      </w:r>
      <w:r>
        <w:rPr>
          <w:rFonts w:hint="eastAsia" w:ascii="新宋体" w:hAnsi="新宋体" w:eastAsia="新宋体" w:cs="新宋体"/>
          <w:color w:val="auto"/>
          <w:kern w:val="0"/>
          <w:sz w:val="24"/>
          <w:szCs w:val="24"/>
          <w:highlight w:val="none"/>
          <w:lang w:val="zh-CN"/>
        </w:rPr>
        <w:t>保证金交款证明复印件（加盖公章）</w:t>
      </w:r>
    </w:p>
    <w:p w14:paraId="54BC2F52">
      <w:pPr>
        <w:autoSpaceDE w:val="0"/>
        <w:autoSpaceDN w:val="0"/>
        <w:spacing w:line="560" w:lineRule="exact"/>
        <w:ind w:firstLine="480" w:firstLineChars="200"/>
        <w:rPr>
          <w:rFonts w:hint="eastAsia" w:ascii="新宋体" w:hAnsi="新宋体" w:eastAsia="新宋体" w:cs="新宋体"/>
          <w:color w:val="auto"/>
          <w:kern w:val="0"/>
          <w:sz w:val="24"/>
          <w:szCs w:val="24"/>
          <w:highlight w:val="none"/>
          <w:lang w:val="zh-CN"/>
        </w:rPr>
      </w:pPr>
      <w:r>
        <w:rPr>
          <w:rFonts w:hint="eastAsia" w:ascii="新宋体" w:hAnsi="新宋体" w:eastAsia="新宋体" w:cs="新宋体"/>
          <w:color w:val="auto"/>
          <w:kern w:val="0"/>
          <w:sz w:val="24"/>
          <w:szCs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658619BA">
      <w:pPr>
        <w:autoSpaceDE w:val="0"/>
        <w:autoSpaceDN w:val="0"/>
        <w:spacing w:line="560" w:lineRule="exact"/>
        <w:ind w:firstLine="360"/>
        <w:rPr>
          <w:rFonts w:hint="eastAsia" w:ascii="新宋体" w:hAnsi="新宋体" w:eastAsia="新宋体" w:cs="新宋体"/>
          <w:color w:val="auto"/>
          <w:kern w:val="0"/>
          <w:sz w:val="24"/>
          <w:szCs w:val="24"/>
          <w:highlight w:val="none"/>
          <w:lang w:val="zh-CN"/>
        </w:rPr>
      </w:pPr>
      <w:r>
        <w:rPr>
          <w:rFonts w:hint="eastAsia" w:ascii="新宋体" w:hAnsi="新宋体" w:eastAsia="新宋体" w:cs="新宋体"/>
          <w:color w:val="auto"/>
          <w:kern w:val="0"/>
          <w:sz w:val="24"/>
          <w:szCs w:val="24"/>
          <w:highlight w:val="none"/>
          <w:lang w:val="zh-CN"/>
        </w:rPr>
        <w:t>户    名：</w:t>
      </w:r>
    </w:p>
    <w:p w14:paraId="6BD4B04F">
      <w:pPr>
        <w:autoSpaceDE w:val="0"/>
        <w:autoSpaceDN w:val="0"/>
        <w:spacing w:line="560" w:lineRule="exact"/>
        <w:ind w:firstLine="360"/>
        <w:rPr>
          <w:rFonts w:hint="eastAsia" w:ascii="新宋体" w:hAnsi="新宋体" w:eastAsia="新宋体" w:cs="新宋体"/>
          <w:color w:val="auto"/>
          <w:kern w:val="0"/>
          <w:sz w:val="24"/>
          <w:szCs w:val="24"/>
          <w:highlight w:val="none"/>
          <w:lang w:val="zh-CN"/>
        </w:rPr>
      </w:pPr>
      <w:r>
        <w:rPr>
          <w:rFonts w:hint="eastAsia" w:ascii="新宋体" w:hAnsi="新宋体" w:eastAsia="新宋体" w:cs="新宋体"/>
          <w:color w:val="auto"/>
          <w:kern w:val="0"/>
          <w:sz w:val="24"/>
          <w:szCs w:val="24"/>
          <w:highlight w:val="none"/>
          <w:lang w:val="zh-CN"/>
        </w:rPr>
        <w:t>开户银行：</w:t>
      </w:r>
    </w:p>
    <w:p w14:paraId="241EA38D">
      <w:pPr>
        <w:autoSpaceDE w:val="0"/>
        <w:autoSpaceDN w:val="0"/>
        <w:spacing w:line="560" w:lineRule="exact"/>
        <w:ind w:firstLine="360"/>
        <w:rPr>
          <w:rFonts w:hint="eastAsia" w:ascii="新宋体" w:hAnsi="新宋体" w:eastAsia="新宋体" w:cs="新宋体"/>
          <w:color w:val="auto"/>
          <w:kern w:val="0"/>
          <w:sz w:val="24"/>
          <w:szCs w:val="24"/>
          <w:highlight w:val="none"/>
          <w:lang w:val="zh-CN"/>
        </w:rPr>
      </w:pPr>
      <w:r>
        <w:rPr>
          <w:rFonts w:hint="eastAsia" w:ascii="新宋体" w:hAnsi="新宋体" w:eastAsia="新宋体" w:cs="新宋体"/>
          <w:color w:val="auto"/>
          <w:kern w:val="0"/>
          <w:sz w:val="24"/>
          <w:szCs w:val="24"/>
          <w:highlight w:val="none"/>
          <w:lang w:val="zh-CN"/>
        </w:rPr>
        <w:t>开户帐号：</w:t>
      </w:r>
    </w:p>
    <w:p w14:paraId="3089E12B">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45" w:name="_Toc16036_WPSOffice_Level3"/>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bookmarkEnd w:id="445"/>
    </w:p>
    <w:p w14:paraId="417582AF">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46" w:name="_Toc4114_WPSOffice_Level3"/>
      <w:r>
        <w:rPr>
          <w:rFonts w:hint="eastAsia" w:ascii="新宋体" w:hAnsi="新宋体" w:eastAsia="新宋体" w:cs="新宋体"/>
          <w:bCs/>
          <w:color w:val="auto"/>
          <w:sz w:val="24"/>
          <w:szCs w:val="24"/>
          <w:highlight w:val="none"/>
        </w:rPr>
        <w:t>法定代表人或委托代理人：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bookmarkEnd w:id="446"/>
    </w:p>
    <w:p w14:paraId="2EC03788">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47" w:name="_Toc26055_WPSOffice_Level3"/>
      <w:r>
        <w:rPr>
          <w:rFonts w:hint="eastAsia" w:ascii="新宋体" w:hAnsi="新宋体" w:eastAsia="新宋体" w:cs="新宋体"/>
          <w:bCs/>
          <w:color w:val="auto"/>
          <w:sz w:val="24"/>
          <w:szCs w:val="24"/>
          <w:highlight w:val="none"/>
        </w:rPr>
        <w:t>年   月  日</w:t>
      </w:r>
      <w:bookmarkEnd w:id="447"/>
    </w:p>
    <w:p w14:paraId="58216ECC">
      <w:pPr>
        <w:autoSpaceDE w:val="0"/>
        <w:autoSpaceDN w:val="0"/>
        <w:spacing w:beforeLines="50" w:line="560" w:lineRule="exact"/>
        <w:rPr>
          <w:rFonts w:hint="eastAsia" w:ascii="新宋体" w:hAnsi="新宋体" w:eastAsia="新宋体" w:cs="新宋体"/>
          <w:b/>
          <w:bCs/>
          <w:color w:val="auto"/>
          <w:kern w:val="0"/>
          <w:sz w:val="24"/>
          <w:szCs w:val="24"/>
          <w:highlight w:val="none"/>
          <w:lang w:val="zh-CN"/>
        </w:rPr>
      </w:pPr>
    </w:p>
    <w:p w14:paraId="4BF9810E">
      <w:pPr>
        <w:spacing w:beforeLines="50" w:line="560" w:lineRule="exact"/>
        <w:rPr>
          <w:rFonts w:hint="eastAsia" w:ascii="新宋体" w:hAnsi="新宋体" w:eastAsia="新宋体" w:cs="新宋体"/>
          <w:b/>
          <w:color w:val="auto"/>
          <w:sz w:val="24"/>
          <w:szCs w:val="24"/>
          <w:highlight w:val="none"/>
        </w:rPr>
      </w:pPr>
      <w:r>
        <w:rPr>
          <w:rFonts w:hint="eastAsia" w:ascii="新宋体" w:hAnsi="新宋体" w:eastAsia="新宋体" w:cs="新宋体"/>
          <w:color w:val="auto"/>
          <w:kern w:val="0"/>
          <w:sz w:val="24"/>
          <w:szCs w:val="24"/>
          <w:highlight w:val="none"/>
          <w:lang w:val="zh-CN"/>
        </w:rPr>
        <w:br w:type="page"/>
      </w:r>
    </w:p>
    <w:p w14:paraId="5CACAA86">
      <w:pPr>
        <w:spacing w:beforeLines="50" w:line="560" w:lineRule="exact"/>
        <w:jc w:val="center"/>
        <w:rPr>
          <w:rFonts w:hint="eastAsia" w:ascii="新宋体" w:hAnsi="新宋体" w:eastAsia="新宋体" w:cs="新宋体"/>
          <w:b/>
          <w:color w:val="auto"/>
          <w:sz w:val="24"/>
          <w:szCs w:val="24"/>
          <w:highlight w:val="none"/>
        </w:rPr>
      </w:pPr>
      <w:bookmarkStart w:id="448" w:name="_Toc20688_WPSOffice_Level2"/>
      <w:bookmarkStart w:id="449" w:name="_Toc24560_WPSOffice_Level2"/>
      <w:r>
        <w:rPr>
          <w:rFonts w:hint="eastAsia" w:ascii="新宋体" w:hAnsi="新宋体" w:eastAsia="新宋体" w:cs="新宋体"/>
          <w:b/>
          <w:color w:val="auto"/>
          <w:sz w:val="24"/>
          <w:szCs w:val="24"/>
          <w:highlight w:val="none"/>
        </w:rPr>
        <w:t>青海省政府采购项目</w:t>
      </w:r>
      <w:bookmarkEnd w:id="448"/>
      <w:bookmarkEnd w:id="449"/>
    </w:p>
    <w:p w14:paraId="10D65357">
      <w:pPr>
        <w:spacing w:beforeLines="50" w:line="560" w:lineRule="exact"/>
        <w:jc w:val="center"/>
        <w:rPr>
          <w:rFonts w:hint="eastAsia" w:ascii="新宋体" w:hAnsi="新宋体" w:eastAsia="新宋体" w:cs="新宋体"/>
          <w:b/>
          <w:color w:val="auto"/>
          <w:sz w:val="24"/>
          <w:szCs w:val="24"/>
          <w:highlight w:val="none"/>
        </w:rPr>
      </w:pPr>
      <w:bookmarkStart w:id="450" w:name="_Toc1190_WPSOffice_Level2"/>
      <w:bookmarkStart w:id="451" w:name="_Toc30784_WPSOffice_Level2"/>
      <w:r>
        <w:rPr>
          <w:rFonts w:hint="eastAsia" w:ascii="新宋体" w:hAnsi="新宋体" w:eastAsia="新宋体" w:cs="新宋体"/>
          <w:b/>
          <w:color w:val="auto"/>
          <w:sz w:val="24"/>
          <w:szCs w:val="24"/>
          <w:highlight w:val="none"/>
        </w:rPr>
        <w:t>谈判响应文件</w:t>
      </w:r>
      <w:bookmarkEnd w:id="450"/>
      <w:bookmarkEnd w:id="451"/>
    </w:p>
    <w:p w14:paraId="1B05D2C7">
      <w:pPr>
        <w:adjustRightInd w:val="0"/>
        <w:spacing w:beforeLines="50" w:line="560" w:lineRule="exact"/>
        <w:jc w:val="center"/>
        <w:textAlignment w:val="baseline"/>
        <w:rPr>
          <w:rFonts w:hint="eastAsia" w:ascii="新宋体" w:hAnsi="新宋体" w:eastAsia="新宋体" w:cs="新宋体"/>
          <w:b/>
          <w:bCs/>
          <w:color w:val="auto"/>
          <w:sz w:val="24"/>
          <w:szCs w:val="24"/>
          <w:highlight w:val="none"/>
        </w:rPr>
      </w:pPr>
      <w:bookmarkStart w:id="452" w:name="_Toc5068_WPSOffice_Level2"/>
      <w:bookmarkStart w:id="453" w:name="_Toc24224_WPSOffice_Level2"/>
      <w:r>
        <w:rPr>
          <w:rFonts w:hint="eastAsia" w:ascii="新宋体" w:hAnsi="新宋体" w:eastAsia="新宋体" w:cs="新宋体"/>
          <w:b/>
          <w:bCs/>
          <w:color w:val="auto"/>
          <w:sz w:val="24"/>
          <w:szCs w:val="24"/>
          <w:highlight w:val="none"/>
        </w:rPr>
        <w:t>（</w:t>
      </w:r>
      <w:r>
        <w:rPr>
          <w:rFonts w:hint="eastAsia" w:ascii="新宋体" w:hAnsi="新宋体" w:eastAsia="新宋体" w:cs="新宋体"/>
          <w:color w:val="auto"/>
          <w:sz w:val="24"/>
          <w:szCs w:val="24"/>
          <w:highlight w:val="none"/>
        </w:rPr>
        <w:t>有效性、完整性、响应程度审查部分</w:t>
      </w:r>
      <w:r>
        <w:rPr>
          <w:rFonts w:hint="eastAsia" w:ascii="新宋体" w:hAnsi="新宋体" w:eastAsia="新宋体" w:cs="新宋体"/>
          <w:b/>
          <w:bCs/>
          <w:color w:val="auto"/>
          <w:sz w:val="24"/>
          <w:szCs w:val="24"/>
          <w:highlight w:val="none"/>
        </w:rPr>
        <w:t>）</w:t>
      </w:r>
      <w:bookmarkEnd w:id="452"/>
      <w:bookmarkEnd w:id="453"/>
    </w:p>
    <w:p w14:paraId="55F1B9DB">
      <w:pPr>
        <w:adjustRightInd w:val="0"/>
        <w:spacing w:beforeLines="50" w:line="560" w:lineRule="exact"/>
        <w:textAlignment w:val="baseline"/>
        <w:rPr>
          <w:rFonts w:hint="eastAsia" w:ascii="新宋体" w:hAnsi="新宋体" w:eastAsia="新宋体" w:cs="新宋体"/>
          <w:b/>
          <w:bCs/>
          <w:color w:val="auto"/>
          <w:sz w:val="24"/>
          <w:szCs w:val="24"/>
          <w:highlight w:val="none"/>
        </w:rPr>
      </w:pPr>
    </w:p>
    <w:p w14:paraId="67CE508D">
      <w:pPr>
        <w:adjustRightInd w:val="0"/>
        <w:spacing w:beforeLines="50" w:line="560" w:lineRule="exact"/>
        <w:textAlignment w:val="baseline"/>
        <w:rPr>
          <w:rFonts w:hint="eastAsia" w:ascii="新宋体" w:hAnsi="新宋体" w:eastAsia="新宋体" w:cs="新宋体"/>
          <w:b/>
          <w:bCs/>
          <w:color w:val="auto"/>
          <w:sz w:val="24"/>
          <w:szCs w:val="24"/>
          <w:highlight w:val="none"/>
        </w:rPr>
      </w:pPr>
    </w:p>
    <w:p w14:paraId="2787A440">
      <w:pPr>
        <w:adjustRightInd w:val="0"/>
        <w:spacing w:beforeLines="50" w:line="560" w:lineRule="exact"/>
        <w:textAlignment w:val="baseline"/>
        <w:rPr>
          <w:rFonts w:hint="eastAsia" w:ascii="新宋体" w:hAnsi="新宋体" w:eastAsia="新宋体" w:cs="新宋体"/>
          <w:b/>
          <w:bCs/>
          <w:color w:val="auto"/>
          <w:sz w:val="24"/>
          <w:szCs w:val="24"/>
          <w:highlight w:val="none"/>
        </w:rPr>
      </w:pPr>
    </w:p>
    <w:p w14:paraId="61869899">
      <w:pPr>
        <w:adjustRightInd w:val="0"/>
        <w:spacing w:beforeLines="50" w:line="560" w:lineRule="exact"/>
        <w:textAlignment w:val="baseline"/>
        <w:rPr>
          <w:rFonts w:hint="eastAsia" w:ascii="新宋体" w:hAnsi="新宋体" w:eastAsia="新宋体" w:cs="新宋体"/>
          <w:b/>
          <w:bCs/>
          <w:color w:val="auto"/>
          <w:sz w:val="24"/>
          <w:szCs w:val="24"/>
          <w:highlight w:val="none"/>
        </w:rPr>
      </w:pPr>
      <w:bookmarkStart w:id="454" w:name="_Toc16258_WPSOffice_Level2"/>
      <w:bookmarkStart w:id="455" w:name="_Toc14028_WPSOffice_Level2"/>
      <w:r>
        <w:rPr>
          <w:rFonts w:hint="eastAsia" w:ascii="新宋体" w:hAnsi="新宋体" w:eastAsia="新宋体" w:cs="新宋体"/>
          <w:b/>
          <w:bCs/>
          <w:color w:val="auto"/>
          <w:sz w:val="24"/>
          <w:szCs w:val="24"/>
          <w:highlight w:val="none"/>
        </w:rPr>
        <w:t>采购项目编号:</w:t>
      </w:r>
      <w:bookmarkEnd w:id="454"/>
      <w:bookmarkEnd w:id="455"/>
    </w:p>
    <w:p w14:paraId="26F57CA4">
      <w:pPr>
        <w:spacing w:beforeLines="50" w:line="560" w:lineRule="exact"/>
        <w:ind w:left="2249" w:hanging="1687" w:hangingChars="700"/>
        <w:jc w:val="left"/>
        <w:rPr>
          <w:rFonts w:hint="eastAsia" w:ascii="新宋体" w:hAnsi="新宋体" w:eastAsia="新宋体" w:cs="新宋体"/>
          <w:b/>
          <w:bCs/>
          <w:color w:val="auto"/>
          <w:sz w:val="24"/>
          <w:szCs w:val="24"/>
          <w:highlight w:val="none"/>
        </w:rPr>
      </w:pPr>
      <w:bookmarkStart w:id="456" w:name="_Toc173_WPSOffice_Level2"/>
      <w:bookmarkStart w:id="457" w:name="_Toc25982_WPSOffice_Level2"/>
      <w:r>
        <w:rPr>
          <w:rFonts w:hint="eastAsia" w:ascii="新宋体" w:hAnsi="新宋体" w:eastAsia="新宋体" w:cs="新宋体"/>
          <w:b/>
          <w:bCs/>
          <w:color w:val="auto"/>
          <w:sz w:val="24"/>
          <w:szCs w:val="24"/>
          <w:highlight w:val="none"/>
        </w:rPr>
        <w:t>采购项目名称:</w:t>
      </w:r>
      <w:bookmarkEnd w:id="456"/>
      <w:bookmarkEnd w:id="457"/>
      <w:r>
        <w:rPr>
          <w:rFonts w:hint="eastAsia" w:ascii="新宋体" w:hAnsi="新宋体" w:eastAsia="新宋体" w:cs="新宋体"/>
          <w:b/>
          <w:bCs/>
          <w:color w:val="auto"/>
          <w:sz w:val="24"/>
          <w:szCs w:val="24"/>
          <w:highlight w:val="none"/>
        </w:rPr>
        <w:t xml:space="preserve"> </w:t>
      </w:r>
    </w:p>
    <w:p w14:paraId="5448F85C">
      <w:pPr>
        <w:spacing w:beforeLines="50" w:line="560" w:lineRule="exact"/>
        <w:ind w:left="2249" w:hanging="1687" w:hangingChars="700"/>
        <w:jc w:val="left"/>
        <w:rPr>
          <w:rFonts w:hint="eastAsia" w:ascii="新宋体" w:hAnsi="新宋体" w:eastAsia="新宋体" w:cs="新宋体"/>
          <w:b/>
          <w:bCs/>
          <w:color w:val="auto"/>
          <w:sz w:val="24"/>
          <w:szCs w:val="24"/>
          <w:highlight w:val="none"/>
        </w:rPr>
      </w:pPr>
      <w:bookmarkStart w:id="458" w:name="_Toc24014_WPSOffice_Level2"/>
      <w:bookmarkStart w:id="459" w:name="_Toc19360_WPSOffice_Level2"/>
      <w:r>
        <w:rPr>
          <w:rFonts w:hint="eastAsia" w:ascii="新宋体" w:hAnsi="新宋体" w:eastAsia="新宋体" w:cs="新宋体"/>
          <w:b/>
          <w:bCs/>
          <w:color w:val="auto"/>
          <w:sz w:val="24"/>
          <w:szCs w:val="24"/>
          <w:highlight w:val="none"/>
        </w:rPr>
        <w:t>供应商名称：</w:t>
      </w:r>
      <w:bookmarkEnd w:id="458"/>
      <w:bookmarkEnd w:id="459"/>
    </w:p>
    <w:p w14:paraId="7F538653">
      <w:pPr>
        <w:spacing w:beforeLines="50" w:line="560" w:lineRule="exact"/>
        <w:jc w:val="center"/>
        <w:rPr>
          <w:rFonts w:hint="eastAsia" w:ascii="新宋体" w:hAnsi="新宋体" w:eastAsia="新宋体" w:cs="新宋体"/>
          <w:b/>
          <w:bCs/>
          <w:color w:val="auto"/>
          <w:sz w:val="24"/>
          <w:szCs w:val="24"/>
          <w:highlight w:val="none"/>
        </w:rPr>
      </w:pPr>
    </w:p>
    <w:p w14:paraId="1D705847">
      <w:pPr>
        <w:spacing w:beforeLines="50" w:line="560" w:lineRule="exact"/>
        <w:jc w:val="center"/>
        <w:rPr>
          <w:rFonts w:hint="eastAsia" w:ascii="新宋体" w:hAnsi="新宋体" w:eastAsia="新宋体" w:cs="新宋体"/>
          <w:b/>
          <w:color w:val="auto"/>
          <w:sz w:val="24"/>
          <w:szCs w:val="24"/>
          <w:highlight w:val="none"/>
        </w:rPr>
      </w:pPr>
      <w:bookmarkStart w:id="460" w:name="_Toc17697_WPSOffice_Level3"/>
      <w:r>
        <w:rPr>
          <w:rFonts w:hint="eastAsia" w:ascii="新宋体" w:hAnsi="新宋体" w:eastAsia="新宋体" w:cs="新宋体"/>
          <w:b/>
          <w:color w:val="auto"/>
          <w:sz w:val="24"/>
          <w:szCs w:val="24"/>
          <w:highlight w:val="none"/>
        </w:rPr>
        <w:t>年  月  日</w:t>
      </w:r>
      <w:bookmarkEnd w:id="460"/>
    </w:p>
    <w:p w14:paraId="77BE8D86">
      <w:pPr>
        <w:widowControl/>
        <w:snapToGrid w:val="0"/>
        <w:spacing w:beforeLines="50" w:line="560" w:lineRule="exact"/>
        <w:rPr>
          <w:rFonts w:hint="eastAsia" w:ascii="新宋体" w:hAnsi="新宋体" w:eastAsia="新宋体" w:cs="新宋体"/>
          <w:b/>
          <w:color w:val="auto"/>
          <w:sz w:val="24"/>
          <w:szCs w:val="24"/>
          <w:highlight w:val="none"/>
        </w:rPr>
      </w:pPr>
    </w:p>
    <w:p w14:paraId="627C59AA">
      <w:pPr>
        <w:rPr>
          <w:rFonts w:hint="eastAsia" w:ascii="新宋体" w:hAnsi="新宋体" w:eastAsia="新宋体" w:cs="新宋体"/>
          <w:b/>
          <w:color w:val="auto"/>
          <w:sz w:val="24"/>
          <w:szCs w:val="24"/>
          <w:highlight w:val="none"/>
        </w:rPr>
      </w:pPr>
      <w:bookmarkStart w:id="461" w:name="_Toc18715"/>
      <w:bookmarkStart w:id="462" w:name="_Toc28116"/>
      <w:bookmarkStart w:id="463" w:name="_Toc3360"/>
      <w:bookmarkStart w:id="464" w:name="_Toc30881"/>
      <w:bookmarkStart w:id="465" w:name="_Toc2646_WPSOffice_Level3"/>
      <w:bookmarkStart w:id="466" w:name="_Toc13416_WPSOffice_Level3"/>
      <w:r>
        <w:rPr>
          <w:rFonts w:hint="eastAsia" w:ascii="新宋体" w:hAnsi="新宋体" w:eastAsia="新宋体" w:cs="新宋体"/>
          <w:b/>
          <w:color w:val="auto"/>
          <w:sz w:val="24"/>
          <w:szCs w:val="24"/>
          <w:highlight w:val="none"/>
        </w:rPr>
        <w:br w:type="page"/>
      </w:r>
    </w:p>
    <w:p w14:paraId="771606E9">
      <w:pPr>
        <w:widowControl/>
        <w:snapToGrid w:val="0"/>
        <w:spacing w:beforeLines="50" w:line="560" w:lineRule="exact"/>
        <w:outlineLvl w:val="1"/>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附件10：谈判首次报价表</w:t>
      </w:r>
      <w:bookmarkEnd w:id="461"/>
      <w:bookmarkEnd w:id="462"/>
      <w:bookmarkEnd w:id="463"/>
      <w:bookmarkEnd w:id="464"/>
      <w:bookmarkEnd w:id="465"/>
      <w:bookmarkEnd w:id="466"/>
    </w:p>
    <w:p w14:paraId="35E418DF">
      <w:pPr>
        <w:spacing w:beforeLines="50" w:line="560" w:lineRule="exact"/>
        <w:jc w:val="center"/>
        <w:rPr>
          <w:rFonts w:hint="eastAsia" w:ascii="新宋体" w:hAnsi="新宋体" w:eastAsia="新宋体" w:cs="新宋体"/>
          <w:b/>
          <w:color w:val="auto"/>
          <w:sz w:val="24"/>
          <w:szCs w:val="24"/>
          <w:highlight w:val="none"/>
        </w:rPr>
      </w:pPr>
      <w:bookmarkStart w:id="467" w:name="_Toc17322_WPSOffice_Level1"/>
      <w:bookmarkStart w:id="468" w:name="_Toc8724_WPSOffice_Level1"/>
      <w:bookmarkStart w:id="469" w:name="_Toc17115_WPSOffice_Level3"/>
      <w:r>
        <w:rPr>
          <w:rFonts w:hint="eastAsia" w:ascii="新宋体" w:hAnsi="新宋体" w:eastAsia="新宋体" w:cs="新宋体"/>
          <w:b/>
          <w:color w:val="auto"/>
          <w:sz w:val="24"/>
          <w:szCs w:val="24"/>
          <w:highlight w:val="none"/>
          <w:lang w:val="zh-CN"/>
        </w:rPr>
        <w:t>谈判首次报价表</w:t>
      </w:r>
      <w:bookmarkEnd w:id="467"/>
      <w:bookmarkEnd w:id="468"/>
      <w:bookmarkEnd w:id="469"/>
    </w:p>
    <w:p w14:paraId="240B23E2">
      <w:pPr>
        <w:spacing w:line="560" w:lineRule="exact"/>
        <w:rPr>
          <w:rFonts w:hint="eastAsia" w:ascii="新宋体" w:hAnsi="新宋体" w:eastAsia="新宋体" w:cs="新宋体"/>
          <w:bCs/>
          <w:color w:val="auto"/>
          <w:sz w:val="24"/>
          <w:szCs w:val="24"/>
          <w:highlight w:val="none"/>
        </w:rPr>
      </w:pPr>
      <w:bookmarkStart w:id="470" w:name="_Toc14507_WPSOffice_Level2"/>
      <w:r>
        <w:rPr>
          <w:rFonts w:hint="eastAsia" w:ascii="新宋体" w:hAnsi="新宋体" w:eastAsia="新宋体" w:cs="新宋体"/>
          <w:bCs/>
          <w:color w:val="auto"/>
          <w:sz w:val="24"/>
          <w:szCs w:val="24"/>
          <w:highlight w:val="none"/>
        </w:rPr>
        <w:t>供应商名称</w:t>
      </w:r>
      <w:r>
        <w:rPr>
          <w:rFonts w:hint="eastAsia" w:ascii="新宋体" w:hAnsi="新宋体" w:eastAsia="新宋体" w:cs="新宋体"/>
          <w:bCs/>
          <w:color w:val="auto"/>
          <w:sz w:val="24"/>
          <w:szCs w:val="24"/>
          <w:highlight w:val="none"/>
          <w:lang w:eastAsia="zh-CN"/>
        </w:rPr>
        <w:t>（盖章）</w:t>
      </w:r>
      <w:r>
        <w:rPr>
          <w:rFonts w:hint="eastAsia" w:ascii="新宋体" w:hAnsi="新宋体" w:eastAsia="新宋体" w:cs="新宋体"/>
          <w:bCs/>
          <w:color w:val="auto"/>
          <w:sz w:val="24"/>
          <w:szCs w:val="24"/>
          <w:highlight w:val="none"/>
        </w:rPr>
        <w:t>：</w:t>
      </w:r>
      <w:bookmarkEnd w:id="470"/>
      <w:r>
        <w:rPr>
          <w:rFonts w:hint="eastAsia" w:ascii="新宋体" w:hAnsi="新宋体" w:eastAsia="新宋体" w:cs="新宋体"/>
          <w:bCs/>
          <w:color w:val="auto"/>
          <w:sz w:val="24"/>
          <w:szCs w:val="24"/>
          <w:highlight w:val="none"/>
        </w:rPr>
        <w:t xml:space="preserve">                             单位：人民币(元)</w:t>
      </w:r>
    </w:p>
    <w:tbl>
      <w:tblPr>
        <w:tblStyle w:val="38"/>
        <w:tblpPr w:leftFromText="180" w:rightFromText="180" w:vertAnchor="text" w:horzAnchor="page" w:tblpX="1787" w:tblpY="376"/>
        <w:tblOverlap w:val="never"/>
        <w:tblW w:w="0" w:type="auto"/>
        <w:tblInd w:w="0" w:type="dxa"/>
        <w:tblLayout w:type="fixed"/>
        <w:tblCellMar>
          <w:top w:w="0" w:type="dxa"/>
          <w:left w:w="108" w:type="dxa"/>
          <w:bottom w:w="0" w:type="dxa"/>
          <w:right w:w="108" w:type="dxa"/>
        </w:tblCellMar>
      </w:tblPr>
      <w:tblGrid>
        <w:gridCol w:w="2053"/>
        <w:gridCol w:w="3709"/>
        <w:gridCol w:w="1546"/>
        <w:gridCol w:w="1530"/>
      </w:tblGrid>
      <w:tr w14:paraId="3E799A80">
        <w:tblPrEx>
          <w:tblCellMar>
            <w:top w:w="0" w:type="dxa"/>
            <w:left w:w="108" w:type="dxa"/>
            <w:bottom w:w="0" w:type="dxa"/>
            <w:right w:w="108" w:type="dxa"/>
          </w:tblCellMar>
        </w:tblPrEx>
        <w:trPr>
          <w:trHeight w:val="726" w:hRule="atLeast"/>
        </w:trPr>
        <w:tc>
          <w:tcPr>
            <w:tcW w:w="205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532D571">
            <w:pPr>
              <w:spacing w:line="320" w:lineRule="exact"/>
              <w:ind w:firstLine="482"/>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lang w:val="zh-CN"/>
              </w:rPr>
              <w:t>项目名称</w:t>
            </w:r>
          </w:p>
        </w:tc>
        <w:tc>
          <w:tcPr>
            <w:tcW w:w="370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A619CEA">
            <w:pPr>
              <w:spacing w:line="320" w:lineRule="exact"/>
              <w:ind w:firstLine="482"/>
              <w:jc w:val="center"/>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首次报价</w:t>
            </w:r>
          </w:p>
        </w:tc>
        <w:tc>
          <w:tcPr>
            <w:tcW w:w="154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F76ADEE">
            <w:pPr>
              <w:spacing w:line="320" w:lineRule="exact"/>
              <w:jc w:val="center"/>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rPr>
              <w:t>交货期</w:t>
            </w:r>
          </w:p>
        </w:tc>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F953DD2">
            <w:pPr>
              <w:spacing w:line="320" w:lineRule="exact"/>
              <w:ind w:left="278" w:hanging="240"/>
              <w:jc w:val="center"/>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lang w:val="zh-CN"/>
              </w:rPr>
              <w:t>备注</w:t>
            </w:r>
          </w:p>
        </w:tc>
      </w:tr>
      <w:tr w14:paraId="39FA727A">
        <w:tblPrEx>
          <w:tblCellMar>
            <w:top w:w="0" w:type="dxa"/>
            <w:left w:w="108" w:type="dxa"/>
            <w:bottom w:w="0" w:type="dxa"/>
            <w:right w:w="108" w:type="dxa"/>
          </w:tblCellMar>
        </w:tblPrEx>
        <w:trPr>
          <w:trHeight w:val="579" w:hRule="atLeast"/>
        </w:trPr>
        <w:tc>
          <w:tcPr>
            <w:tcW w:w="2053"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052CB10D">
            <w:pPr>
              <w:spacing w:line="320" w:lineRule="exact"/>
              <w:ind w:firstLine="482"/>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lang w:val="zh-CN"/>
              </w:rPr>
              <w:t> </w:t>
            </w:r>
          </w:p>
        </w:tc>
        <w:tc>
          <w:tcPr>
            <w:tcW w:w="3709" w:type="dxa"/>
            <w:tcBorders>
              <w:top w:val="single" w:color="000000" w:sz="6" w:space="0"/>
              <w:left w:val="single" w:color="000000" w:sz="6" w:space="0"/>
              <w:bottom w:val="single" w:color="000000" w:sz="6" w:space="0"/>
              <w:right w:val="single" w:color="000000" w:sz="6" w:space="0"/>
            </w:tcBorders>
            <w:shd w:val="clear" w:color="auto" w:fill="FFFFFF"/>
          </w:tcPr>
          <w:p w14:paraId="7A2D4993">
            <w:pPr>
              <w:spacing w:line="320" w:lineRule="exact"/>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lang w:val="zh-CN"/>
              </w:rPr>
              <w:t>大写：</w:t>
            </w:r>
          </w:p>
        </w:tc>
        <w:tc>
          <w:tcPr>
            <w:tcW w:w="1546" w:type="dxa"/>
            <w:vMerge w:val="restart"/>
            <w:tcBorders>
              <w:top w:val="single" w:color="000000" w:sz="6" w:space="0"/>
              <w:left w:val="single" w:color="000000" w:sz="6" w:space="0"/>
              <w:bottom w:val="single" w:color="000000" w:sz="6" w:space="0"/>
              <w:right w:val="single" w:color="000000" w:sz="6" w:space="0"/>
            </w:tcBorders>
            <w:shd w:val="clear" w:color="auto" w:fill="FFFFFF"/>
          </w:tcPr>
          <w:p w14:paraId="0C511B02">
            <w:pPr>
              <w:spacing w:line="320" w:lineRule="exact"/>
              <w:ind w:firstLine="197"/>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lang w:val="zh-CN"/>
              </w:rPr>
              <w:t> </w:t>
            </w:r>
          </w:p>
        </w:tc>
        <w:tc>
          <w:tcPr>
            <w:tcW w:w="1530" w:type="dxa"/>
            <w:vMerge w:val="restart"/>
            <w:tcBorders>
              <w:top w:val="single" w:color="000000" w:sz="6" w:space="0"/>
              <w:left w:val="single" w:color="000000" w:sz="6" w:space="0"/>
              <w:bottom w:val="single" w:color="000000" w:sz="6" w:space="0"/>
              <w:right w:val="single" w:color="000000" w:sz="6" w:space="0"/>
            </w:tcBorders>
            <w:shd w:val="clear" w:color="auto" w:fill="FFFFFF"/>
          </w:tcPr>
          <w:p w14:paraId="52C658A7">
            <w:pPr>
              <w:spacing w:line="320" w:lineRule="exact"/>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lang w:val="zh-CN"/>
              </w:rPr>
              <w:t> </w:t>
            </w:r>
          </w:p>
        </w:tc>
      </w:tr>
      <w:tr w14:paraId="56187474">
        <w:tblPrEx>
          <w:tblCellMar>
            <w:top w:w="0" w:type="dxa"/>
            <w:left w:w="108" w:type="dxa"/>
            <w:bottom w:w="0" w:type="dxa"/>
            <w:right w:w="108" w:type="dxa"/>
          </w:tblCellMar>
        </w:tblPrEx>
        <w:trPr>
          <w:trHeight w:val="602" w:hRule="atLeast"/>
        </w:trPr>
        <w:tc>
          <w:tcPr>
            <w:tcW w:w="205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5DDEEAD">
            <w:pPr>
              <w:jc w:val="left"/>
              <w:rPr>
                <w:rFonts w:hint="eastAsia" w:ascii="新宋体" w:hAnsi="新宋体" w:eastAsia="新宋体" w:cs="新宋体"/>
                <w:color w:val="auto"/>
                <w:sz w:val="24"/>
                <w:szCs w:val="24"/>
                <w:highlight w:val="none"/>
                <w:lang w:val="zh-CN"/>
              </w:rPr>
            </w:pPr>
          </w:p>
        </w:tc>
        <w:tc>
          <w:tcPr>
            <w:tcW w:w="3709" w:type="dxa"/>
            <w:tcBorders>
              <w:top w:val="single" w:color="000000" w:sz="6" w:space="0"/>
              <w:left w:val="single" w:color="000000" w:sz="6" w:space="0"/>
              <w:bottom w:val="single" w:color="000000" w:sz="6" w:space="0"/>
              <w:right w:val="single" w:color="000000" w:sz="6" w:space="0"/>
            </w:tcBorders>
            <w:shd w:val="clear" w:color="auto" w:fill="FFFFFF"/>
          </w:tcPr>
          <w:p w14:paraId="50E77DFD">
            <w:pPr>
              <w:spacing w:line="320" w:lineRule="exact"/>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lang w:val="zh-CN"/>
              </w:rPr>
              <w:t>小写：</w:t>
            </w:r>
          </w:p>
        </w:tc>
        <w:tc>
          <w:tcPr>
            <w:tcW w:w="154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7E5402C">
            <w:pPr>
              <w:jc w:val="left"/>
              <w:rPr>
                <w:rFonts w:hint="eastAsia" w:ascii="新宋体" w:hAnsi="新宋体" w:eastAsia="新宋体" w:cs="新宋体"/>
                <w:color w:val="auto"/>
                <w:sz w:val="24"/>
                <w:szCs w:val="24"/>
                <w:highlight w:val="none"/>
                <w:lang w:val="zh-CN"/>
              </w:rPr>
            </w:pPr>
          </w:p>
        </w:tc>
        <w:tc>
          <w:tcPr>
            <w:tcW w:w="153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512F512B">
            <w:pPr>
              <w:jc w:val="left"/>
              <w:rPr>
                <w:rFonts w:hint="eastAsia" w:ascii="新宋体" w:hAnsi="新宋体" w:eastAsia="新宋体" w:cs="新宋体"/>
                <w:color w:val="auto"/>
                <w:sz w:val="24"/>
                <w:szCs w:val="24"/>
                <w:highlight w:val="none"/>
                <w:lang w:val="zh-CN"/>
              </w:rPr>
            </w:pPr>
          </w:p>
        </w:tc>
      </w:tr>
      <w:tr w14:paraId="0BFEC7EB">
        <w:tblPrEx>
          <w:tblCellMar>
            <w:top w:w="0" w:type="dxa"/>
            <w:left w:w="108" w:type="dxa"/>
            <w:bottom w:w="0" w:type="dxa"/>
            <w:right w:w="108" w:type="dxa"/>
          </w:tblCellMar>
        </w:tblPrEx>
        <w:trPr>
          <w:trHeight w:val="1335" w:hRule="atLeast"/>
        </w:trPr>
        <w:tc>
          <w:tcPr>
            <w:tcW w:w="8838"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14:paraId="405B0898">
            <w:pPr>
              <w:spacing w:line="320" w:lineRule="exact"/>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lang w:val="zh-CN"/>
              </w:rPr>
              <w:t>优惠承诺及其他：</w:t>
            </w:r>
          </w:p>
        </w:tc>
      </w:tr>
    </w:tbl>
    <w:p w14:paraId="065BFF6A">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注：1、填写此表时不得改变表格形式。</w:t>
      </w:r>
    </w:p>
    <w:p w14:paraId="01BDA603">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2、响应文件报价为总价。包括</w:t>
      </w:r>
      <w:r>
        <w:rPr>
          <w:rFonts w:hint="eastAsia" w:ascii="新宋体" w:hAnsi="新宋体" w:eastAsia="新宋体" w:cs="新宋体"/>
          <w:sz w:val="24"/>
          <w:szCs w:val="24"/>
        </w:rPr>
        <w:t>产品费、验收费、手续费、装卸费、安装费、运输费、</w:t>
      </w:r>
      <w:r>
        <w:rPr>
          <w:rFonts w:hint="eastAsia" w:ascii="新宋体" w:hAnsi="新宋体" w:eastAsia="新宋体" w:cs="新宋体"/>
          <w:sz w:val="24"/>
          <w:szCs w:val="24"/>
          <w:lang w:val="zh-CN"/>
        </w:rPr>
        <w:t>车辆购置税费、</w:t>
      </w:r>
      <w:r>
        <w:rPr>
          <w:rFonts w:hint="eastAsia" w:ascii="新宋体" w:hAnsi="新宋体" w:eastAsia="新宋体" w:cs="新宋体"/>
          <w:sz w:val="24"/>
          <w:szCs w:val="24"/>
          <w:lang w:val="en-US" w:eastAsia="zh-CN"/>
        </w:rPr>
        <w:t>代理费</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保险费、售前、售中、售后服务费、税金及不可预见费等全部费用。</w:t>
      </w:r>
    </w:p>
    <w:p w14:paraId="00EE095A">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3、“交货期”是指产品能够交付使用的具体时间。</w:t>
      </w:r>
    </w:p>
    <w:p w14:paraId="4573875D">
      <w:pPr>
        <w:spacing w:line="560" w:lineRule="exact"/>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4、投标报价不能有两个或两个以上的报价方案，否则投标无效。</w:t>
      </w:r>
    </w:p>
    <w:p w14:paraId="5BD7BD9E">
      <w:pPr>
        <w:spacing w:line="560" w:lineRule="exact"/>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5.投标报价按货物产品单价合计的价格进行报价。</w:t>
      </w:r>
    </w:p>
    <w:p w14:paraId="2A4E2356">
      <w:pPr>
        <w:spacing w:line="560" w:lineRule="exact"/>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6.无论货物价格涨落、天气变化等一切因素，均不影响本次成交价格；</w:t>
      </w:r>
    </w:p>
    <w:p w14:paraId="1EE03244">
      <w:pPr>
        <w:rPr>
          <w:rFonts w:hint="eastAsia"/>
          <w:lang w:val="en-US" w:eastAsia="zh-CN"/>
        </w:rPr>
      </w:pPr>
    </w:p>
    <w:p w14:paraId="4B3E8B8C">
      <w:pPr>
        <w:spacing w:beforeLines="50" w:line="560" w:lineRule="exact"/>
        <w:ind w:firstLine="482"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
          <w:color w:val="auto"/>
          <w:sz w:val="24"/>
          <w:szCs w:val="24"/>
          <w:highlight w:val="none"/>
        </w:rPr>
        <w:t xml:space="preserve">                      </w:t>
      </w:r>
      <w:bookmarkStart w:id="471" w:name="_Toc27526_WPSOffice_Level3"/>
      <w:r>
        <w:rPr>
          <w:rFonts w:hint="eastAsia" w:ascii="新宋体" w:hAnsi="新宋体" w:eastAsia="新宋体" w:cs="新宋体"/>
          <w:b/>
          <w:color w:val="auto"/>
          <w:sz w:val="24"/>
          <w:szCs w:val="24"/>
          <w:highlight w:val="none"/>
        </w:rPr>
        <w:t xml:space="preserve"> </w:t>
      </w:r>
      <w:bookmarkStart w:id="472" w:name="_Toc11022_WPSOffice_Level3"/>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bookmarkEnd w:id="471"/>
      <w:bookmarkEnd w:id="472"/>
    </w:p>
    <w:p w14:paraId="1FF040DF">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73" w:name="_Toc32417_WPSOffice_Level3"/>
      <w:bookmarkStart w:id="474" w:name="_Toc23931_WPSOffice_Level3"/>
      <w:r>
        <w:rPr>
          <w:rFonts w:hint="eastAsia" w:ascii="新宋体" w:hAnsi="新宋体" w:eastAsia="新宋体" w:cs="新宋体"/>
          <w:bCs/>
          <w:color w:val="auto"/>
          <w:sz w:val="24"/>
          <w:szCs w:val="24"/>
          <w:highlight w:val="none"/>
        </w:rPr>
        <w:t>法定代表人或委托代理人：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bookmarkEnd w:id="473"/>
      <w:bookmarkEnd w:id="474"/>
    </w:p>
    <w:p w14:paraId="148BCEA9">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75" w:name="_Toc23319_WPSOffice_Level3"/>
      <w:bookmarkStart w:id="476" w:name="_Toc19388_WPSOffice_Level3"/>
      <w:r>
        <w:rPr>
          <w:rFonts w:hint="eastAsia" w:ascii="新宋体" w:hAnsi="新宋体" w:eastAsia="新宋体" w:cs="新宋体"/>
          <w:bCs/>
          <w:color w:val="auto"/>
          <w:sz w:val="24"/>
          <w:szCs w:val="24"/>
          <w:highlight w:val="none"/>
        </w:rPr>
        <w:t>年   月  日</w:t>
      </w:r>
      <w:bookmarkEnd w:id="475"/>
      <w:bookmarkEnd w:id="476"/>
    </w:p>
    <w:p w14:paraId="1AADCAF2">
      <w:pPr>
        <w:rPr>
          <w:rFonts w:hint="eastAsia" w:ascii="新宋体" w:hAnsi="新宋体" w:eastAsia="新宋体" w:cs="新宋体"/>
          <w:b/>
          <w:color w:val="auto"/>
          <w:sz w:val="24"/>
          <w:szCs w:val="24"/>
          <w:highlight w:val="none"/>
        </w:rPr>
      </w:pPr>
      <w:bookmarkStart w:id="477" w:name="_Toc18824_WPSOffice_Level3"/>
      <w:bookmarkStart w:id="478" w:name="_Toc25351"/>
      <w:bookmarkStart w:id="479" w:name="_Toc3352_WPSOffice_Level3"/>
      <w:bookmarkStart w:id="480" w:name="_Toc7532"/>
      <w:bookmarkStart w:id="481" w:name="_Toc31202"/>
      <w:bookmarkStart w:id="482" w:name="_Toc13192"/>
      <w:r>
        <w:rPr>
          <w:rFonts w:hint="eastAsia" w:ascii="新宋体" w:hAnsi="新宋体" w:eastAsia="新宋体" w:cs="新宋体"/>
          <w:b/>
          <w:color w:val="auto"/>
          <w:sz w:val="24"/>
          <w:szCs w:val="24"/>
          <w:highlight w:val="none"/>
        </w:rPr>
        <w:br w:type="page"/>
      </w:r>
    </w:p>
    <w:p w14:paraId="429595CD">
      <w:pPr>
        <w:widowControl/>
        <w:snapToGrid w:val="0"/>
        <w:spacing w:beforeLines="50" w:line="560" w:lineRule="exact"/>
        <w:outlineLvl w:val="1"/>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附件11：分项报价表</w:t>
      </w:r>
      <w:bookmarkEnd w:id="477"/>
      <w:bookmarkEnd w:id="478"/>
      <w:bookmarkEnd w:id="479"/>
      <w:bookmarkEnd w:id="480"/>
      <w:bookmarkEnd w:id="481"/>
      <w:bookmarkEnd w:id="482"/>
    </w:p>
    <w:p w14:paraId="4083A4EE">
      <w:pPr>
        <w:spacing w:beforeLines="50" w:line="560" w:lineRule="exact"/>
        <w:jc w:val="center"/>
        <w:rPr>
          <w:rFonts w:hint="eastAsia" w:ascii="新宋体" w:hAnsi="新宋体" w:eastAsia="新宋体" w:cs="新宋体"/>
          <w:b/>
          <w:color w:val="auto"/>
          <w:sz w:val="24"/>
          <w:szCs w:val="24"/>
          <w:highlight w:val="none"/>
        </w:rPr>
      </w:pPr>
      <w:bookmarkStart w:id="483" w:name="_Toc31256_WPSOffice_Level3"/>
      <w:bookmarkStart w:id="484" w:name="_Toc19937_WPSOffice_Level1"/>
      <w:bookmarkStart w:id="485" w:name="_Toc12587_WPSOffice_Level1"/>
      <w:r>
        <w:rPr>
          <w:rFonts w:hint="eastAsia" w:ascii="新宋体" w:hAnsi="新宋体" w:eastAsia="新宋体" w:cs="新宋体"/>
          <w:b/>
          <w:color w:val="auto"/>
          <w:sz w:val="24"/>
          <w:szCs w:val="24"/>
          <w:highlight w:val="none"/>
          <w:lang w:val="zh-CN"/>
        </w:rPr>
        <w:t>分项报价表</w:t>
      </w:r>
      <w:bookmarkEnd w:id="483"/>
      <w:bookmarkEnd w:id="484"/>
      <w:bookmarkEnd w:id="485"/>
    </w:p>
    <w:p w14:paraId="2E61E2DC">
      <w:pPr>
        <w:spacing w:line="560" w:lineRule="exact"/>
        <w:rPr>
          <w:rFonts w:hint="eastAsia" w:ascii="新宋体" w:hAnsi="新宋体" w:eastAsia="新宋体" w:cs="新宋体"/>
          <w:bCs/>
          <w:color w:val="auto"/>
          <w:sz w:val="24"/>
          <w:szCs w:val="24"/>
          <w:highlight w:val="none"/>
        </w:rPr>
      </w:pPr>
      <w:bookmarkStart w:id="486" w:name="_Toc30633_WPSOffice_Level2"/>
      <w:r>
        <w:rPr>
          <w:rFonts w:hint="eastAsia" w:ascii="新宋体" w:hAnsi="新宋体" w:eastAsia="新宋体" w:cs="新宋体"/>
          <w:bCs/>
          <w:color w:val="auto"/>
          <w:sz w:val="24"/>
          <w:szCs w:val="24"/>
          <w:highlight w:val="none"/>
        </w:rPr>
        <w:t>供应商名称</w:t>
      </w:r>
      <w:r>
        <w:rPr>
          <w:rFonts w:hint="eastAsia" w:ascii="新宋体" w:hAnsi="新宋体" w:eastAsia="新宋体" w:cs="新宋体"/>
          <w:bCs/>
          <w:color w:val="auto"/>
          <w:sz w:val="24"/>
          <w:szCs w:val="24"/>
          <w:highlight w:val="none"/>
          <w:lang w:eastAsia="zh-CN"/>
        </w:rPr>
        <w:t>（盖章）</w:t>
      </w:r>
      <w:r>
        <w:rPr>
          <w:rFonts w:hint="eastAsia" w:ascii="新宋体" w:hAnsi="新宋体" w:eastAsia="新宋体" w:cs="新宋体"/>
          <w:bCs/>
          <w:color w:val="auto"/>
          <w:sz w:val="24"/>
          <w:szCs w:val="24"/>
          <w:highlight w:val="none"/>
        </w:rPr>
        <w:t>:</w:t>
      </w:r>
      <w:bookmarkEnd w:id="486"/>
      <w:r>
        <w:rPr>
          <w:rFonts w:hint="eastAsia" w:ascii="新宋体" w:hAnsi="新宋体" w:eastAsia="新宋体" w:cs="新宋体"/>
          <w:bCs/>
          <w:color w:val="auto"/>
          <w:sz w:val="24"/>
          <w:szCs w:val="24"/>
          <w:highlight w:val="none"/>
        </w:rPr>
        <w:t xml:space="preserve">                    单位：人民币(元)                                          </w:t>
      </w:r>
    </w:p>
    <w:tbl>
      <w:tblPr>
        <w:tblStyle w:val="39"/>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497"/>
        <w:gridCol w:w="992"/>
        <w:gridCol w:w="1052"/>
        <w:gridCol w:w="1356"/>
        <w:gridCol w:w="953"/>
        <w:gridCol w:w="710"/>
        <w:gridCol w:w="851"/>
        <w:gridCol w:w="850"/>
      </w:tblGrid>
      <w:tr w14:paraId="509D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4CC39A7D">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序号</w:t>
            </w:r>
          </w:p>
        </w:tc>
        <w:tc>
          <w:tcPr>
            <w:tcW w:w="1497" w:type="dxa"/>
            <w:vAlign w:val="center"/>
          </w:tcPr>
          <w:p w14:paraId="21F7702C">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产品名称</w:t>
            </w:r>
          </w:p>
        </w:tc>
        <w:tc>
          <w:tcPr>
            <w:tcW w:w="992" w:type="dxa"/>
            <w:vAlign w:val="center"/>
          </w:tcPr>
          <w:p w14:paraId="0A95AC5B">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品牌</w:t>
            </w:r>
          </w:p>
        </w:tc>
        <w:tc>
          <w:tcPr>
            <w:tcW w:w="1052" w:type="dxa"/>
            <w:vAlign w:val="center"/>
          </w:tcPr>
          <w:p w14:paraId="4B7FB4A6">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规格型号</w:t>
            </w:r>
          </w:p>
        </w:tc>
        <w:tc>
          <w:tcPr>
            <w:tcW w:w="1356" w:type="dxa"/>
            <w:vAlign w:val="center"/>
          </w:tcPr>
          <w:p w14:paraId="306A9E66">
            <w:pPr>
              <w:spacing w:line="560" w:lineRule="exact"/>
              <w:jc w:val="center"/>
              <w:rPr>
                <w:rFonts w:hint="default" w:ascii="新宋体" w:hAnsi="新宋体" w:eastAsia="新宋体" w:cs="新宋体"/>
                <w:bCs/>
                <w:color w:val="auto"/>
                <w:sz w:val="24"/>
                <w:szCs w:val="24"/>
                <w:highlight w:val="none"/>
                <w:lang w:val="en-US" w:eastAsia="zh-CN"/>
              </w:rPr>
            </w:pPr>
            <w:r>
              <w:rPr>
                <w:rFonts w:hint="eastAsia" w:ascii="新宋体" w:hAnsi="新宋体" w:eastAsia="新宋体" w:cs="新宋体"/>
                <w:bCs/>
                <w:color w:val="auto"/>
                <w:sz w:val="24"/>
                <w:szCs w:val="24"/>
                <w:highlight w:val="none"/>
              </w:rPr>
              <w:t>生产厂家</w:t>
            </w:r>
            <w:r>
              <w:rPr>
                <w:rFonts w:hint="eastAsia" w:ascii="新宋体" w:hAnsi="新宋体" w:eastAsia="新宋体" w:cs="新宋体"/>
                <w:bCs/>
                <w:color w:val="auto"/>
                <w:sz w:val="24"/>
                <w:szCs w:val="24"/>
                <w:highlight w:val="none"/>
                <w:lang w:val="en-US" w:eastAsia="zh-CN"/>
              </w:rPr>
              <w:t>或产地</w:t>
            </w:r>
          </w:p>
        </w:tc>
        <w:tc>
          <w:tcPr>
            <w:tcW w:w="953" w:type="dxa"/>
            <w:vAlign w:val="center"/>
          </w:tcPr>
          <w:p w14:paraId="08588748">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单位</w:t>
            </w:r>
          </w:p>
        </w:tc>
        <w:tc>
          <w:tcPr>
            <w:tcW w:w="710" w:type="dxa"/>
            <w:vAlign w:val="center"/>
          </w:tcPr>
          <w:p w14:paraId="68A50DE8">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单价</w:t>
            </w:r>
          </w:p>
        </w:tc>
        <w:tc>
          <w:tcPr>
            <w:tcW w:w="851" w:type="dxa"/>
            <w:vAlign w:val="center"/>
          </w:tcPr>
          <w:p w14:paraId="01736545">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合计</w:t>
            </w:r>
          </w:p>
        </w:tc>
        <w:tc>
          <w:tcPr>
            <w:tcW w:w="850" w:type="dxa"/>
            <w:vAlign w:val="center"/>
          </w:tcPr>
          <w:p w14:paraId="4097B68B">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备注</w:t>
            </w:r>
          </w:p>
        </w:tc>
      </w:tr>
      <w:tr w14:paraId="149A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58A0FE02">
            <w:pPr>
              <w:spacing w:line="560" w:lineRule="exact"/>
              <w:ind w:firstLine="199" w:firstLineChars="83"/>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w:t>
            </w:r>
          </w:p>
        </w:tc>
        <w:tc>
          <w:tcPr>
            <w:tcW w:w="1497" w:type="dxa"/>
            <w:vAlign w:val="center"/>
          </w:tcPr>
          <w:p w14:paraId="6698EA96">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92" w:type="dxa"/>
            <w:vAlign w:val="center"/>
          </w:tcPr>
          <w:p w14:paraId="1E67B66A">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052" w:type="dxa"/>
            <w:vAlign w:val="center"/>
          </w:tcPr>
          <w:p w14:paraId="5764AC1D">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356" w:type="dxa"/>
            <w:vAlign w:val="center"/>
          </w:tcPr>
          <w:p w14:paraId="684DA0EA">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53" w:type="dxa"/>
            <w:vAlign w:val="center"/>
          </w:tcPr>
          <w:p w14:paraId="6F66353E">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710" w:type="dxa"/>
            <w:vAlign w:val="center"/>
          </w:tcPr>
          <w:p w14:paraId="012FFD2E">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1" w:type="dxa"/>
            <w:vAlign w:val="center"/>
          </w:tcPr>
          <w:p w14:paraId="7BD12279">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0" w:type="dxa"/>
            <w:vAlign w:val="center"/>
          </w:tcPr>
          <w:p w14:paraId="09BE2D9E">
            <w:pPr>
              <w:spacing w:line="560" w:lineRule="exact"/>
              <w:ind w:firstLine="480" w:firstLineChars="200"/>
              <w:jc w:val="center"/>
              <w:rPr>
                <w:rFonts w:hint="eastAsia" w:ascii="新宋体" w:hAnsi="新宋体" w:eastAsia="新宋体" w:cs="新宋体"/>
                <w:bCs/>
                <w:color w:val="auto"/>
                <w:sz w:val="24"/>
                <w:szCs w:val="24"/>
                <w:highlight w:val="none"/>
              </w:rPr>
            </w:pPr>
          </w:p>
        </w:tc>
      </w:tr>
      <w:tr w14:paraId="0DB7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47D916BD">
            <w:pPr>
              <w:spacing w:line="560" w:lineRule="exact"/>
              <w:ind w:firstLine="199" w:firstLineChars="83"/>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w:t>
            </w:r>
          </w:p>
        </w:tc>
        <w:tc>
          <w:tcPr>
            <w:tcW w:w="1497" w:type="dxa"/>
            <w:vAlign w:val="center"/>
          </w:tcPr>
          <w:p w14:paraId="3E176B51">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92" w:type="dxa"/>
            <w:vAlign w:val="center"/>
          </w:tcPr>
          <w:p w14:paraId="40606F4E">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052" w:type="dxa"/>
            <w:vAlign w:val="center"/>
          </w:tcPr>
          <w:p w14:paraId="0E7433E0">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356" w:type="dxa"/>
            <w:vAlign w:val="center"/>
          </w:tcPr>
          <w:p w14:paraId="36EC6939">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53" w:type="dxa"/>
            <w:vAlign w:val="center"/>
          </w:tcPr>
          <w:p w14:paraId="162F7741">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710" w:type="dxa"/>
            <w:vAlign w:val="center"/>
          </w:tcPr>
          <w:p w14:paraId="0F80BF31">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1" w:type="dxa"/>
            <w:vAlign w:val="center"/>
          </w:tcPr>
          <w:p w14:paraId="2E6BE787">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0" w:type="dxa"/>
            <w:vAlign w:val="center"/>
          </w:tcPr>
          <w:p w14:paraId="0031025B">
            <w:pPr>
              <w:spacing w:line="560" w:lineRule="exact"/>
              <w:ind w:firstLine="480" w:firstLineChars="200"/>
              <w:jc w:val="center"/>
              <w:rPr>
                <w:rFonts w:hint="eastAsia" w:ascii="新宋体" w:hAnsi="新宋体" w:eastAsia="新宋体" w:cs="新宋体"/>
                <w:bCs/>
                <w:color w:val="auto"/>
                <w:sz w:val="24"/>
                <w:szCs w:val="24"/>
                <w:highlight w:val="none"/>
              </w:rPr>
            </w:pPr>
          </w:p>
        </w:tc>
      </w:tr>
      <w:tr w14:paraId="2116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1C5DD476">
            <w:pPr>
              <w:spacing w:line="560" w:lineRule="exact"/>
              <w:ind w:firstLine="199" w:firstLineChars="83"/>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w:t>
            </w:r>
          </w:p>
        </w:tc>
        <w:tc>
          <w:tcPr>
            <w:tcW w:w="1497" w:type="dxa"/>
            <w:vAlign w:val="center"/>
          </w:tcPr>
          <w:p w14:paraId="5C9AE5BB">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92" w:type="dxa"/>
            <w:vAlign w:val="center"/>
          </w:tcPr>
          <w:p w14:paraId="113384D9">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052" w:type="dxa"/>
            <w:vAlign w:val="center"/>
          </w:tcPr>
          <w:p w14:paraId="390A7151">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356" w:type="dxa"/>
            <w:vAlign w:val="center"/>
          </w:tcPr>
          <w:p w14:paraId="7C247E2E">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53" w:type="dxa"/>
            <w:vAlign w:val="center"/>
          </w:tcPr>
          <w:p w14:paraId="6E3E2AE4">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710" w:type="dxa"/>
            <w:vAlign w:val="center"/>
          </w:tcPr>
          <w:p w14:paraId="2E92B6AE">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1" w:type="dxa"/>
            <w:vAlign w:val="center"/>
          </w:tcPr>
          <w:p w14:paraId="562E21D4">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0" w:type="dxa"/>
            <w:vAlign w:val="center"/>
          </w:tcPr>
          <w:p w14:paraId="0C368414">
            <w:pPr>
              <w:spacing w:line="560" w:lineRule="exact"/>
              <w:ind w:firstLine="480" w:firstLineChars="200"/>
              <w:jc w:val="center"/>
              <w:rPr>
                <w:rFonts w:hint="eastAsia" w:ascii="新宋体" w:hAnsi="新宋体" w:eastAsia="新宋体" w:cs="新宋体"/>
                <w:bCs/>
                <w:color w:val="auto"/>
                <w:sz w:val="24"/>
                <w:szCs w:val="24"/>
                <w:highlight w:val="none"/>
              </w:rPr>
            </w:pPr>
          </w:p>
        </w:tc>
      </w:tr>
      <w:tr w14:paraId="5F40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11821266">
            <w:pPr>
              <w:spacing w:line="560" w:lineRule="exact"/>
              <w:ind w:firstLine="199" w:firstLineChars="83"/>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4</w:t>
            </w:r>
          </w:p>
        </w:tc>
        <w:tc>
          <w:tcPr>
            <w:tcW w:w="1497" w:type="dxa"/>
            <w:vAlign w:val="center"/>
          </w:tcPr>
          <w:p w14:paraId="09DB5C93">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92" w:type="dxa"/>
            <w:vAlign w:val="center"/>
          </w:tcPr>
          <w:p w14:paraId="182461DE">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052" w:type="dxa"/>
            <w:vAlign w:val="center"/>
          </w:tcPr>
          <w:p w14:paraId="07FFFE3F">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356" w:type="dxa"/>
            <w:vAlign w:val="center"/>
          </w:tcPr>
          <w:p w14:paraId="1E3699CF">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53" w:type="dxa"/>
            <w:vAlign w:val="center"/>
          </w:tcPr>
          <w:p w14:paraId="42EB1B2D">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710" w:type="dxa"/>
            <w:vAlign w:val="center"/>
          </w:tcPr>
          <w:p w14:paraId="32722E68">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1" w:type="dxa"/>
            <w:vAlign w:val="center"/>
          </w:tcPr>
          <w:p w14:paraId="56F80253">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0" w:type="dxa"/>
            <w:vAlign w:val="center"/>
          </w:tcPr>
          <w:p w14:paraId="14156105">
            <w:pPr>
              <w:spacing w:line="560" w:lineRule="exact"/>
              <w:ind w:firstLine="480" w:firstLineChars="200"/>
              <w:jc w:val="center"/>
              <w:rPr>
                <w:rFonts w:hint="eastAsia" w:ascii="新宋体" w:hAnsi="新宋体" w:eastAsia="新宋体" w:cs="新宋体"/>
                <w:bCs/>
                <w:color w:val="auto"/>
                <w:sz w:val="24"/>
                <w:szCs w:val="24"/>
                <w:highlight w:val="none"/>
              </w:rPr>
            </w:pPr>
          </w:p>
        </w:tc>
      </w:tr>
      <w:tr w14:paraId="0B74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12BEDDB2">
            <w:pPr>
              <w:spacing w:line="560" w:lineRule="exact"/>
              <w:ind w:firstLine="199" w:firstLineChars="83"/>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w:t>
            </w:r>
          </w:p>
        </w:tc>
        <w:tc>
          <w:tcPr>
            <w:tcW w:w="1497" w:type="dxa"/>
            <w:vAlign w:val="center"/>
          </w:tcPr>
          <w:p w14:paraId="2527CD10">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92" w:type="dxa"/>
            <w:vAlign w:val="center"/>
          </w:tcPr>
          <w:p w14:paraId="2B984C5C">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052" w:type="dxa"/>
            <w:vAlign w:val="center"/>
          </w:tcPr>
          <w:p w14:paraId="5D2CCB27">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356" w:type="dxa"/>
            <w:vAlign w:val="center"/>
          </w:tcPr>
          <w:p w14:paraId="1B2FAE3A">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53" w:type="dxa"/>
            <w:vAlign w:val="center"/>
          </w:tcPr>
          <w:p w14:paraId="0A55F50C">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710" w:type="dxa"/>
            <w:vAlign w:val="center"/>
          </w:tcPr>
          <w:p w14:paraId="059D211A">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1" w:type="dxa"/>
            <w:vAlign w:val="center"/>
          </w:tcPr>
          <w:p w14:paraId="60AE6D52">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0" w:type="dxa"/>
            <w:vAlign w:val="center"/>
          </w:tcPr>
          <w:p w14:paraId="6B62D9A4">
            <w:pPr>
              <w:spacing w:line="560" w:lineRule="exact"/>
              <w:ind w:firstLine="480" w:firstLineChars="200"/>
              <w:jc w:val="center"/>
              <w:rPr>
                <w:rFonts w:hint="eastAsia" w:ascii="新宋体" w:hAnsi="新宋体" w:eastAsia="新宋体" w:cs="新宋体"/>
                <w:bCs/>
                <w:color w:val="auto"/>
                <w:sz w:val="24"/>
                <w:szCs w:val="24"/>
                <w:highlight w:val="none"/>
              </w:rPr>
            </w:pPr>
          </w:p>
        </w:tc>
      </w:tr>
      <w:tr w14:paraId="5474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vAlign w:val="center"/>
          </w:tcPr>
          <w:p w14:paraId="3123E777">
            <w:pPr>
              <w:spacing w:line="560" w:lineRule="exact"/>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其他承诺及需要说明的事项：</w:t>
            </w:r>
          </w:p>
        </w:tc>
      </w:tr>
      <w:tr w14:paraId="4BFE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155" w:type="dxa"/>
            <w:gridSpan w:val="2"/>
            <w:vAlign w:val="center"/>
          </w:tcPr>
          <w:p w14:paraId="7A4D99D7">
            <w:pPr>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总价</w:t>
            </w:r>
          </w:p>
        </w:tc>
        <w:tc>
          <w:tcPr>
            <w:tcW w:w="6764" w:type="dxa"/>
            <w:gridSpan w:val="7"/>
            <w:vAlign w:val="center"/>
          </w:tcPr>
          <w:p w14:paraId="32D86D76">
            <w:pPr>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大写：                      小写：</w:t>
            </w:r>
          </w:p>
        </w:tc>
      </w:tr>
    </w:tbl>
    <w:p w14:paraId="12969904">
      <w:pPr>
        <w:spacing w:line="560" w:lineRule="exact"/>
        <w:ind w:left="1205" w:hanging="1205" w:hangingChars="500"/>
        <w:rPr>
          <w:rFonts w:hint="eastAsia" w:ascii="新宋体" w:hAnsi="新宋体" w:eastAsia="新宋体" w:cs="新宋体"/>
          <w:bCs/>
          <w:color w:val="auto"/>
          <w:sz w:val="24"/>
          <w:szCs w:val="24"/>
          <w:highlight w:val="none"/>
          <w:lang w:val="zh-CN"/>
        </w:rPr>
      </w:pPr>
      <w:bookmarkStart w:id="487" w:name="_Toc698"/>
      <w:r>
        <w:rPr>
          <w:rFonts w:hint="eastAsia" w:ascii="新宋体" w:hAnsi="新宋体" w:eastAsia="新宋体" w:cs="新宋体"/>
          <w:b/>
          <w:color w:val="auto"/>
          <w:sz w:val="24"/>
          <w:szCs w:val="24"/>
          <w:highlight w:val="none"/>
        </w:rPr>
        <w:t xml:space="preserve">  </w:t>
      </w:r>
      <w:r>
        <w:rPr>
          <w:rFonts w:hint="eastAsia" w:ascii="新宋体" w:hAnsi="新宋体" w:eastAsia="新宋体" w:cs="新宋体"/>
          <w:bCs/>
          <w:color w:val="auto"/>
          <w:sz w:val="24"/>
          <w:szCs w:val="24"/>
          <w:highlight w:val="none"/>
        </w:rPr>
        <w:t xml:space="preserve">  </w:t>
      </w:r>
      <w:r>
        <w:rPr>
          <w:rFonts w:hint="eastAsia" w:ascii="新宋体" w:hAnsi="新宋体" w:eastAsia="新宋体" w:cs="新宋体"/>
          <w:bCs/>
          <w:color w:val="auto"/>
          <w:sz w:val="24"/>
          <w:szCs w:val="24"/>
          <w:highlight w:val="none"/>
          <w:lang w:val="zh-CN"/>
        </w:rPr>
        <w:t>注：</w:t>
      </w:r>
      <w:r>
        <w:rPr>
          <w:rFonts w:hint="eastAsia" w:ascii="新宋体" w:hAnsi="新宋体" w:eastAsia="新宋体" w:cs="新宋体"/>
          <w:bCs/>
          <w:color w:val="auto"/>
          <w:sz w:val="24"/>
          <w:szCs w:val="24"/>
          <w:highlight w:val="none"/>
        </w:rPr>
        <w:t>1.</w:t>
      </w:r>
      <w:r>
        <w:rPr>
          <w:rFonts w:hint="eastAsia" w:ascii="新宋体" w:hAnsi="新宋体" w:eastAsia="新宋体" w:cs="新宋体"/>
          <w:bCs/>
          <w:color w:val="auto"/>
          <w:sz w:val="24"/>
          <w:szCs w:val="24"/>
          <w:highlight w:val="none"/>
          <w:lang w:val="zh-CN"/>
        </w:rPr>
        <w:t>本表应依照每包采购一览表中的产品序号按顺序逐项填写，不得遗漏，</w:t>
      </w:r>
      <w:r>
        <w:rPr>
          <w:rFonts w:hint="eastAsia" w:ascii="新宋体" w:hAnsi="新宋体" w:eastAsia="新宋体" w:cs="新宋体"/>
          <w:bCs/>
          <w:color w:val="auto"/>
          <w:sz w:val="24"/>
          <w:szCs w:val="24"/>
          <w:highlight w:val="none"/>
        </w:rPr>
        <w:t>否则，按无效投标处理</w:t>
      </w:r>
      <w:r>
        <w:rPr>
          <w:rFonts w:hint="eastAsia" w:ascii="新宋体" w:hAnsi="新宋体" w:eastAsia="新宋体" w:cs="新宋体"/>
          <w:bCs/>
          <w:color w:val="auto"/>
          <w:sz w:val="24"/>
          <w:szCs w:val="24"/>
          <w:highlight w:val="none"/>
          <w:lang w:val="zh-CN"/>
        </w:rPr>
        <w:t>。</w:t>
      </w:r>
    </w:p>
    <w:p w14:paraId="6A85B10B">
      <w:pPr>
        <w:spacing w:line="560" w:lineRule="exact"/>
        <w:ind w:firstLine="960" w:firstLineChars="400"/>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2.</w:t>
      </w:r>
      <w:r>
        <w:rPr>
          <w:rFonts w:hint="eastAsia" w:ascii="新宋体" w:hAnsi="新宋体" w:eastAsia="新宋体" w:cs="新宋体"/>
          <w:bCs/>
          <w:color w:val="auto"/>
          <w:sz w:val="24"/>
          <w:szCs w:val="24"/>
          <w:highlight w:val="none"/>
          <w:lang w:val="zh-CN" w:eastAsia="zh-CN"/>
        </w:rPr>
        <w:t>投标报价不能有两个或两个以上的报价方案。</w:t>
      </w:r>
    </w:p>
    <w:p w14:paraId="1E684D98">
      <w:pPr>
        <w:spacing w:line="560" w:lineRule="exact"/>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 xml:space="preserve"> 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p>
    <w:p w14:paraId="7A0EFD1F">
      <w:pPr>
        <w:spacing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88" w:name="_Toc24193_WPSOffice_Level3"/>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法定代表人：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w:t>
      </w:r>
      <w:bookmarkEnd w:id="488"/>
    </w:p>
    <w:p w14:paraId="5AF41C29">
      <w:pPr>
        <w:spacing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89" w:name="_Toc20924_WPSOffice_Level3"/>
      <w:r>
        <w:rPr>
          <w:rFonts w:hint="eastAsia" w:ascii="新宋体" w:hAnsi="新宋体" w:eastAsia="新宋体" w:cs="新宋体"/>
          <w:bCs/>
          <w:color w:val="auto"/>
          <w:sz w:val="24"/>
          <w:szCs w:val="24"/>
          <w:highlight w:val="none"/>
        </w:rPr>
        <w:t>年   月  日</w:t>
      </w:r>
      <w:bookmarkEnd w:id="489"/>
    </w:p>
    <w:p w14:paraId="5984D92C">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4C3135DF">
      <w:pPr>
        <w:rPr>
          <w:rFonts w:hint="eastAsia" w:ascii="新宋体" w:hAnsi="新宋体" w:eastAsia="新宋体" w:cs="新宋体"/>
          <w:b/>
          <w:color w:val="auto"/>
          <w:sz w:val="24"/>
          <w:szCs w:val="24"/>
          <w:highlight w:val="none"/>
        </w:rPr>
      </w:pPr>
      <w:bookmarkStart w:id="490" w:name="_Toc28715"/>
      <w:bookmarkStart w:id="491" w:name="_Toc20734"/>
      <w:bookmarkStart w:id="492" w:name="_Toc13098_WPSOffice_Level3"/>
      <w:bookmarkStart w:id="493" w:name="_Toc28398"/>
      <w:bookmarkStart w:id="494" w:name="_Toc28315_WPSOffice_Level3"/>
      <w:r>
        <w:rPr>
          <w:rFonts w:hint="eastAsia" w:ascii="新宋体" w:hAnsi="新宋体" w:eastAsia="新宋体" w:cs="新宋体"/>
          <w:b/>
          <w:color w:val="auto"/>
          <w:sz w:val="24"/>
          <w:szCs w:val="24"/>
          <w:highlight w:val="none"/>
        </w:rPr>
        <w:br w:type="page"/>
      </w:r>
    </w:p>
    <w:p w14:paraId="69660F1F">
      <w:pPr>
        <w:widowControl/>
        <w:snapToGrid w:val="0"/>
        <w:spacing w:beforeLines="50" w:line="560" w:lineRule="exact"/>
        <w:outlineLvl w:val="1"/>
        <w:rPr>
          <w:rFonts w:hint="eastAsia" w:ascii="新宋体" w:hAnsi="新宋体" w:eastAsia="新宋体" w:cs="新宋体"/>
          <w:b/>
          <w:color w:val="auto"/>
          <w:sz w:val="24"/>
          <w:szCs w:val="24"/>
          <w:highlight w:val="none"/>
          <w:lang w:eastAsia="zh-CN"/>
        </w:rPr>
      </w:pPr>
      <w:r>
        <w:rPr>
          <w:rFonts w:hint="eastAsia" w:ascii="新宋体" w:hAnsi="新宋体" w:eastAsia="新宋体" w:cs="新宋体"/>
          <w:b/>
          <w:color w:val="auto"/>
          <w:sz w:val="24"/>
          <w:szCs w:val="24"/>
          <w:highlight w:val="none"/>
        </w:rPr>
        <w:t>附件12：技术规格响应表</w:t>
      </w:r>
      <w:bookmarkEnd w:id="487"/>
      <w:bookmarkEnd w:id="490"/>
      <w:bookmarkEnd w:id="491"/>
      <w:bookmarkEnd w:id="492"/>
      <w:bookmarkEnd w:id="493"/>
      <w:bookmarkEnd w:id="494"/>
    </w:p>
    <w:p w14:paraId="7CC6FF63">
      <w:pPr>
        <w:spacing w:beforeLines="50" w:line="560" w:lineRule="exact"/>
        <w:jc w:val="center"/>
        <w:rPr>
          <w:rFonts w:hint="eastAsia" w:ascii="新宋体" w:hAnsi="新宋体" w:eastAsia="新宋体" w:cs="新宋体"/>
          <w:b/>
          <w:color w:val="auto"/>
          <w:sz w:val="24"/>
          <w:szCs w:val="24"/>
          <w:highlight w:val="none"/>
          <w:lang w:val="zh-CN"/>
        </w:rPr>
      </w:pPr>
      <w:bookmarkStart w:id="495" w:name="_Toc22043_WPSOffice_Level1"/>
      <w:bookmarkStart w:id="496" w:name="_Toc27772_WPSOffice_Level3"/>
      <w:bookmarkStart w:id="497" w:name="_Toc27646_WPSOffice_Level1"/>
      <w:r>
        <w:rPr>
          <w:rFonts w:hint="eastAsia" w:ascii="新宋体" w:hAnsi="新宋体" w:eastAsia="新宋体" w:cs="新宋体"/>
          <w:b/>
          <w:color w:val="auto"/>
          <w:sz w:val="24"/>
          <w:szCs w:val="24"/>
          <w:highlight w:val="none"/>
          <w:lang w:val="zh-CN"/>
        </w:rPr>
        <w:t>技术规格响应表</w:t>
      </w:r>
      <w:bookmarkEnd w:id="495"/>
      <w:bookmarkEnd w:id="496"/>
      <w:bookmarkEnd w:id="497"/>
    </w:p>
    <w:p w14:paraId="3E21BFD6">
      <w:pPr>
        <w:spacing w:line="560" w:lineRule="exact"/>
        <w:jc w:val="left"/>
        <w:rPr>
          <w:rFonts w:hint="eastAsia" w:ascii="新宋体" w:hAnsi="新宋体" w:eastAsia="新宋体" w:cs="新宋体"/>
          <w:bCs/>
          <w:color w:val="auto"/>
          <w:sz w:val="24"/>
          <w:szCs w:val="24"/>
          <w:highlight w:val="none"/>
        </w:rPr>
      </w:pPr>
      <w:bookmarkStart w:id="498" w:name="_Toc14764_WPSOffice_Level2"/>
      <w:r>
        <w:rPr>
          <w:rFonts w:hint="eastAsia" w:ascii="新宋体" w:hAnsi="新宋体" w:eastAsia="新宋体" w:cs="新宋体"/>
          <w:bCs/>
          <w:color w:val="auto"/>
          <w:sz w:val="24"/>
          <w:szCs w:val="24"/>
          <w:highlight w:val="none"/>
        </w:rPr>
        <w:t>供应商名称</w:t>
      </w:r>
      <w:r>
        <w:rPr>
          <w:rFonts w:hint="eastAsia" w:ascii="新宋体" w:hAnsi="新宋体" w:eastAsia="新宋体" w:cs="新宋体"/>
          <w:bCs/>
          <w:color w:val="auto"/>
          <w:sz w:val="24"/>
          <w:szCs w:val="24"/>
          <w:highlight w:val="none"/>
          <w:lang w:eastAsia="zh-CN"/>
        </w:rPr>
        <w:t>（盖章）</w:t>
      </w:r>
      <w:r>
        <w:rPr>
          <w:rFonts w:hint="eastAsia" w:ascii="新宋体" w:hAnsi="新宋体" w:eastAsia="新宋体" w:cs="新宋体"/>
          <w:bCs/>
          <w:color w:val="auto"/>
          <w:sz w:val="24"/>
          <w:szCs w:val="24"/>
          <w:highlight w:val="none"/>
        </w:rPr>
        <w:t>:</w:t>
      </w:r>
      <w:bookmarkEnd w:id="498"/>
    </w:p>
    <w:tbl>
      <w:tblPr>
        <w:tblStyle w:val="38"/>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7"/>
        <w:gridCol w:w="886"/>
        <w:gridCol w:w="2766"/>
        <w:gridCol w:w="915"/>
        <w:gridCol w:w="2880"/>
        <w:gridCol w:w="873"/>
      </w:tblGrid>
      <w:tr w14:paraId="1B4A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tcPr>
          <w:p w14:paraId="2818F78F">
            <w:pPr>
              <w:spacing w:line="560" w:lineRule="exact"/>
              <w:ind w:firstLine="480" w:firstLineChars="20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  </w:t>
            </w:r>
          </w:p>
        </w:tc>
        <w:tc>
          <w:tcPr>
            <w:tcW w:w="3652" w:type="dxa"/>
            <w:gridSpan w:val="2"/>
          </w:tcPr>
          <w:p w14:paraId="3E0E9E2A">
            <w:pPr>
              <w:spacing w:line="560" w:lineRule="exact"/>
              <w:ind w:firstLine="120" w:firstLineChars="5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采购需求技术参数、指标</w:t>
            </w:r>
          </w:p>
        </w:tc>
        <w:tc>
          <w:tcPr>
            <w:tcW w:w="3795" w:type="dxa"/>
            <w:gridSpan w:val="2"/>
          </w:tcPr>
          <w:p w14:paraId="4A6FCE82">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投标产品技术参数、指标</w:t>
            </w:r>
          </w:p>
        </w:tc>
        <w:tc>
          <w:tcPr>
            <w:tcW w:w="873" w:type="dxa"/>
            <w:vAlign w:val="center"/>
          </w:tcPr>
          <w:p w14:paraId="520F8BC3">
            <w:pPr>
              <w:spacing w:line="560" w:lineRule="exact"/>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偏离</w:t>
            </w:r>
          </w:p>
        </w:tc>
      </w:tr>
      <w:tr w14:paraId="35D6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tcPr>
          <w:p w14:paraId="5508A874">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序号</w:t>
            </w:r>
          </w:p>
        </w:tc>
        <w:tc>
          <w:tcPr>
            <w:tcW w:w="886" w:type="dxa"/>
            <w:vAlign w:val="center"/>
          </w:tcPr>
          <w:p w14:paraId="0357E5FC">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名称</w:t>
            </w:r>
          </w:p>
        </w:tc>
        <w:tc>
          <w:tcPr>
            <w:tcW w:w="2766" w:type="dxa"/>
            <w:vAlign w:val="center"/>
          </w:tcPr>
          <w:p w14:paraId="62EDC860">
            <w:pPr>
              <w:spacing w:line="560" w:lineRule="exact"/>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技术参数、指标及配置</w:t>
            </w:r>
          </w:p>
        </w:tc>
        <w:tc>
          <w:tcPr>
            <w:tcW w:w="915" w:type="dxa"/>
            <w:vAlign w:val="center"/>
          </w:tcPr>
          <w:p w14:paraId="23D2EF4C">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名称</w:t>
            </w:r>
          </w:p>
        </w:tc>
        <w:tc>
          <w:tcPr>
            <w:tcW w:w="2880" w:type="dxa"/>
            <w:vAlign w:val="center"/>
          </w:tcPr>
          <w:p w14:paraId="3DF5787A">
            <w:pPr>
              <w:spacing w:line="560" w:lineRule="exact"/>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技术参数、指标及配置</w:t>
            </w:r>
          </w:p>
        </w:tc>
        <w:tc>
          <w:tcPr>
            <w:tcW w:w="873" w:type="dxa"/>
          </w:tcPr>
          <w:p w14:paraId="4E1E3988">
            <w:pPr>
              <w:spacing w:line="560" w:lineRule="exact"/>
              <w:ind w:firstLine="480" w:firstLineChars="200"/>
              <w:jc w:val="center"/>
              <w:rPr>
                <w:rFonts w:hint="eastAsia" w:ascii="新宋体" w:hAnsi="新宋体" w:eastAsia="新宋体" w:cs="新宋体"/>
                <w:color w:val="auto"/>
                <w:sz w:val="24"/>
                <w:szCs w:val="24"/>
                <w:highlight w:val="none"/>
              </w:rPr>
            </w:pPr>
          </w:p>
        </w:tc>
      </w:tr>
      <w:tr w14:paraId="53E2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420133EA">
            <w:pPr>
              <w:spacing w:line="560" w:lineRule="exact"/>
              <w:ind w:firstLine="199" w:firstLineChars="83"/>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p>
        </w:tc>
        <w:tc>
          <w:tcPr>
            <w:tcW w:w="886" w:type="dxa"/>
          </w:tcPr>
          <w:p w14:paraId="0F0CF713">
            <w:pPr>
              <w:spacing w:line="560" w:lineRule="exact"/>
              <w:ind w:firstLine="480" w:firstLineChars="200"/>
              <w:jc w:val="center"/>
              <w:rPr>
                <w:rFonts w:hint="eastAsia" w:ascii="新宋体" w:hAnsi="新宋体" w:eastAsia="新宋体" w:cs="新宋体"/>
                <w:color w:val="auto"/>
                <w:sz w:val="24"/>
                <w:szCs w:val="24"/>
                <w:highlight w:val="none"/>
              </w:rPr>
            </w:pPr>
          </w:p>
        </w:tc>
        <w:tc>
          <w:tcPr>
            <w:tcW w:w="2766" w:type="dxa"/>
          </w:tcPr>
          <w:p w14:paraId="05124871">
            <w:pPr>
              <w:spacing w:line="560" w:lineRule="exact"/>
              <w:ind w:firstLine="480" w:firstLineChars="200"/>
              <w:jc w:val="center"/>
              <w:rPr>
                <w:rFonts w:hint="eastAsia" w:ascii="新宋体" w:hAnsi="新宋体" w:eastAsia="新宋体" w:cs="新宋体"/>
                <w:color w:val="auto"/>
                <w:sz w:val="24"/>
                <w:szCs w:val="24"/>
                <w:highlight w:val="none"/>
              </w:rPr>
            </w:pPr>
          </w:p>
        </w:tc>
        <w:tc>
          <w:tcPr>
            <w:tcW w:w="915" w:type="dxa"/>
          </w:tcPr>
          <w:p w14:paraId="59615890">
            <w:pPr>
              <w:spacing w:line="560" w:lineRule="exact"/>
              <w:ind w:firstLine="480" w:firstLineChars="200"/>
              <w:jc w:val="center"/>
              <w:rPr>
                <w:rFonts w:hint="eastAsia" w:ascii="新宋体" w:hAnsi="新宋体" w:eastAsia="新宋体" w:cs="新宋体"/>
                <w:color w:val="auto"/>
                <w:sz w:val="24"/>
                <w:szCs w:val="24"/>
                <w:highlight w:val="none"/>
              </w:rPr>
            </w:pPr>
          </w:p>
        </w:tc>
        <w:tc>
          <w:tcPr>
            <w:tcW w:w="2880" w:type="dxa"/>
          </w:tcPr>
          <w:p w14:paraId="1F88C99A">
            <w:pPr>
              <w:spacing w:line="560" w:lineRule="exact"/>
              <w:ind w:firstLine="480" w:firstLineChars="200"/>
              <w:jc w:val="center"/>
              <w:rPr>
                <w:rFonts w:hint="eastAsia" w:ascii="新宋体" w:hAnsi="新宋体" w:eastAsia="新宋体" w:cs="新宋体"/>
                <w:color w:val="auto"/>
                <w:sz w:val="24"/>
                <w:szCs w:val="24"/>
                <w:highlight w:val="none"/>
              </w:rPr>
            </w:pPr>
          </w:p>
        </w:tc>
        <w:tc>
          <w:tcPr>
            <w:tcW w:w="873" w:type="dxa"/>
          </w:tcPr>
          <w:p w14:paraId="371A3C2D">
            <w:pPr>
              <w:spacing w:line="560" w:lineRule="exact"/>
              <w:ind w:firstLine="480" w:firstLineChars="200"/>
              <w:jc w:val="center"/>
              <w:rPr>
                <w:rFonts w:hint="eastAsia" w:ascii="新宋体" w:hAnsi="新宋体" w:eastAsia="新宋体" w:cs="新宋体"/>
                <w:color w:val="auto"/>
                <w:sz w:val="24"/>
                <w:szCs w:val="24"/>
                <w:highlight w:val="none"/>
              </w:rPr>
            </w:pPr>
          </w:p>
        </w:tc>
      </w:tr>
      <w:tr w14:paraId="7040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7B5C094D">
            <w:pPr>
              <w:spacing w:line="560" w:lineRule="exact"/>
              <w:ind w:firstLine="199" w:firstLineChars="83"/>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p>
        </w:tc>
        <w:tc>
          <w:tcPr>
            <w:tcW w:w="886" w:type="dxa"/>
          </w:tcPr>
          <w:p w14:paraId="77129C0C">
            <w:pPr>
              <w:spacing w:line="560" w:lineRule="exact"/>
              <w:ind w:firstLine="480" w:firstLineChars="200"/>
              <w:jc w:val="center"/>
              <w:rPr>
                <w:rFonts w:hint="eastAsia" w:ascii="新宋体" w:hAnsi="新宋体" w:eastAsia="新宋体" w:cs="新宋体"/>
                <w:color w:val="auto"/>
                <w:sz w:val="24"/>
                <w:szCs w:val="24"/>
                <w:highlight w:val="none"/>
              </w:rPr>
            </w:pPr>
          </w:p>
        </w:tc>
        <w:tc>
          <w:tcPr>
            <w:tcW w:w="2766" w:type="dxa"/>
          </w:tcPr>
          <w:p w14:paraId="1ADA59A7">
            <w:pPr>
              <w:spacing w:line="560" w:lineRule="exact"/>
              <w:ind w:firstLine="480" w:firstLineChars="200"/>
              <w:jc w:val="center"/>
              <w:rPr>
                <w:rFonts w:hint="eastAsia" w:ascii="新宋体" w:hAnsi="新宋体" w:eastAsia="新宋体" w:cs="新宋体"/>
                <w:color w:val="auto"/>
                <w:sz w:val="24"/>
                <w:szCs w:val="24"/>
                <w:highlight w:val="none"/>
              </w:rPr>
            </w:pPr>
          </w:p>
        </w:tc>
        <w:tc>
          <w:tcPr>
            <w:tcW w:w="915" w:type="dxa"/>
          </w:tcPr>
          <w:p w14:paraId="58DCC79E">
            <w:pPr>
              <w:spacing w:line="560" w:lineRule="exact"/>
              <w:ind w:firstLine="480" w:firstLineChars="200"/>
              <w:jc w:val="center"/>
              <w:rPr>
                <w:rFonts w:hint="eastAsia" w:ascii="新宋体" w:hAnsi="新宋体" w:eastAsia="新宋体" w:cs="新宋体"/>
                <w:color w:val="auto"/>
                <w:sz w:val="24"/>
                <w:szCs w:val="24"/>
                <w:highlight w:val="none"/>
              </w:rPr>
            </w:pPr>
          </w:p>
        </w:tc>
        <w:tc>
          <w:tcPr>
            <w:tcW w:w="2880" w:type="dxa"/>
          </w:tcPr>
          <w:p w14:paraId="3869AB96">
            <w:pPr>
              <w:spacing w:line="560" w:lineRule="exact"/>
              <w:ind w:firstLine="480" w:firstLineChars="200"/>
              <w:jc w:val="center"/>
              <w:rPr>
                <w:rFonts w:hint="eastAsia" w:ascii="新宋体" w:hAnsi="新宋体" w:eastAsia="新宋体" w:cs="新宋体"/>
                <w:color w:val="auto"/>
                <w:sz w:val="24"/>
                <w:szCs w:val="24"/>
                <w:highlight w:val="none"/>
              </w:rPr>
            </w:pPr>
          </w:p>
        </w:tc>
        <w:tc>
          <w:tcPr>
            <w:tcW w:w="873" w:type="dxa"/>
          </w:tcPr>
          <w:p w14:paraId="521BFB6B">
            <w:pPr>
              <w:spacing w:line="560" w:lineRule="exact"/>
              <w:ind w:firstLine="480" w:firstLineChars="200"/>
              <w:jc w:val="center"/>
              <w:rPr>
                <w:rFonts w:hint="eastAsia" w:ascii="新宋体" w:hAnsi="新宋体" w:eastAsia="新宋体" w:cs="新宋体"/>
                <w:color w:val="auto"/>
                <w:sz w:val="24"/>
                <w:szCs w:val="24"/>
                <w:highlight w:val="none"/>
              </w:rPr>
            </w:pPr>
          </w:p>
        </w:tc>
      </w:tr>
      <w:tr w14:paraId="1DA9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78287AD5">
            <w:pPr>
              <w:spacing w:line="560" w:lineRule="exact"/>
              <w:ind w:firstLine="199" w:firstLineChars="83"/>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w:t>
            </w:r>
          </w:p>
        </w:tc>
        <w:tc>
          <w:tcPr>
            <w:tcW w:w="886" w:type="dxa"/>
          </w:tcPr>
          <w:p w14:paraId="4718CD41">
            <w:pPr>
              <w:spacing w:line="560" w:lineRule="exact"/>
              <w:ind w:firstLine="480" w:firstLineChars="200"/>
              <w:jc w:val="center"/>
              <w:rPr>
                <w:rFonts w:hint="eastAsia" w:ascii="新宋体" w:hAnsi="新宋体" w:eastAsia="新宋体" w:cs="新宋体"/>
                <w:color w:val="auto"/>
                <w:sz w:val="24"/>
                <w:szCs w:val="24"/>
                <w:highlight w:val="none"/>
              </w:rPr>
            </w:pPr>
          </w:p>
        </w:tc>
        <w:tc>
          <w:tcPr>
            <w:tcW w:w="2766" w:type="dxa"/>
          </w:tcPr>
          <w:p w14:paraId="5939F0B4">
            <w:pPr>
              <w:spacing w:line="560" w:lineRule="exact"/>
              <w:ind w:firstLine="480" w:firstLineChars="200"/>
              <w:jc w:val="center"/>
              <w:rPr>
                <w:rFonts w:hint="eastAsia" w:ascii="新宋体" w:hAnsi="新宋体" w:eastAsia="新宋体" w:cs="新宋体"/>
                <w:color w:val="auto"/>
                <w:sz w:val="24"/>
                <w:szCs w:val="24"/>
                <w:highlight w:val="none"/>
              </w:rPr>
            </w:pPr>
          </w:p>
        </w:tc>
        <w:tc>
          <w:tcPr>
            <w:tcW w:w="915" w:type="dxa"/>
          </w:tcPr>
          <w:p w14:paraId="6FD0DCCE">
            <w:pPr>
              <w:spacing w:line="560" w:lineRule="exact"/>
              <w:ind w:firstLine="480" w:firstLineChars="200"/>
              <w:jc w:val="center"/>
              <w:rPr>
                <w:rFonts w:hint="eastAsia" w:ascii="新宋体" w:hAnsi="新宋体" w:eastAsia="新宋体" w:cs="新宋体"/>
                <w:color w:val="auto"/>
                <w:sz w:val="24"/>
                <w:szCs w:val="24"/>
                <w:highlight w:val="none"/>
              </w:rPr>
            </w:pPr>
          </w:p>
        </w:tc>
        <w:tc>
          <w:tcPr>
            <w:tcW w:w="2880" w:type="dxa"/>
          </w:tcPr>
          <w:p w14:paraId="56397591">
            <w:pPr>
              <w:spacing w:line="560" w:lineRule="exact"/>
              <w:ind w:firstLine="480" w:firstLineChars="200"/>
              <w:jc w:val="center"/>
              <w:rPr>
                <w:rFonts w:hint="eastAsia" w:ascii="新宋体" w:hAnsi="新宋体" w:eastAsia="新宋体" w:cs="新宋体"/>
                <w:color w:val="auto"/>
                <w:sz w:val="24"/>
                <w:szCs w:val="24"/>
                <w:highlight w:val="none"/>
              </w:rPr>
            </w:pPr>
          </w:p>
        </w:tc>
        <w:tc>
          <w:tcPr>
            <w:tcW w:w="873" w:type="dxa"/>
          </w:tcPr>
          <w:p w14:paraId="52EB9F47">
            <w:pPr>
              <w:spacing w:line="560" w:lineRule="exact"/>
              <w:ind w:firstLine="480" w:firstLineChars="200"/>
              <w:jc w:val="center"/>
              <w:rPr>
                <w:rFonts w:hint="eastAsia" w:ascii="新宋体" w:hAnsi="新宋体" w:eastAsia="新宋体" w:cs="新宋体"/>
                <w:color w:val="auto"/>
                <w:sz w:val="24"/>
                <w:szCs w:val="24"/>
                <w:highlight w:val="none"/>
              </w:rPr>
            </w:pPr>
          </w:p>
        </w:tc>
      </w:tr>
    </w:tbl>
    <w:p w14:paraId="75AC538F">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1、本表应按照采购分项报价表中“产品名称”及采购一览表中产品序号的指标逐项填写，不得遗漏。否则，按无效响应处理。</w:t>
      </w:r>
    </w:p>
    <w:p w14:paraId="39D3A88F">
      <w:pPr>
        <w:spacing w:line="560" w:lineRule="exact"/>
        <w:ind w:firstLine="480" w:firstLineChars="200"/>
        <w:rPr>
          <w:rFonts w:hint="eastAsia" w:ascii="新宋体" w:hAnsi="新宋体" w:eastAsia="新宋体" w:cs="新宋体"/>
          <w:b/>
          <w:color w:val="auto"/>
          <w:sz w:val="24"/>
          <w:szCs w:val="24"/>
          <w:highlight w:val="none"/>
        </w:rPr>
      </w:pPr>
      <w:r>
        <w:rPr>
          <w:rFonts w:hint="eastAsia" w:ascii="新宋体" w:hAnsi="新宋体" w:eastAsia="新宋体" w:cs="新宋体"/>
          <w:color w:val="auto"/>
          <w:sz w:val="24"/>
          <w:szCs w:val="24"/>
          <w:highlight w:val="none"/>
        </w:rPr>
        <w:t>2、“投标产品技术参数、指标”必须与谈判响应文件中提供的产品检测报告、生产厂家出具的产品彩页等证明材料的实质性响应情况相一致。若在评审环节发现该项与谈判响应文件中提供的产品检测报告、生产厂家出具的产品彩页等证明材料的实质性响应情况不一致或直接复制谈判文件“采购需求技术参数、指标”内容的，按无效相应处理。</w:t>
      </w:r>
      <w:r>
        <w:rPr>
          <w:rFonts w:hint="eastAsia" w:ascii="新宋体" w:hAnsi="新宋体" w:eastAsia="新宋体" w:cs="新宋体"/>
          <w:b/>
          <w:color w:val="auto"/>
          <w:sz w:val="24"/>
          <w:szCs w:val="24"/>
          <w:highlight w:val="none"/>
        </w:rPr>
        <w:t xml:space="preserve">   </w:t>
      </w:r>
    </w:p>
    <w:p w14:paraId="348A86CA">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p>
    <w:p w14:paraId="00A41EC3">
      <w:pPr>
        <w:spacing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99" w:name="_Toc3277_WPSOffice_Level3"/>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法定代表人：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w:t>
      </w:r>
      <w:bookmarkEnd w:id="499"/>
    </w:p>
    <w:p w14:paraId="21B9D405">
      <w:pPr>
        <w:spacing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500" w:name="_Toc22450_WPSOffice_Level3"/>
      <w:r>
        <w:rPr>
          <w:rFonts w:hint="eastAsia" w:ascii="新宋体" w:hAnsi="新宋体" w:eastAsia="新宋体" w:cs="新宋体"/>
          <w:bCs/>
          <w:color w:val="auto"/>
          <w:sz w:val="24"/>
          <w:szCs w:val="24"/>
          <w:highlight w:val="none"/>
        </w:rPr>
        <w:t>年   月  日</w:t>
      </w:r>
      <w:bookmarkEnd w:id="500"/>
    </w:p>
    <w:p w14:paraId="1080BBC5">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5A19957E">
      <w:pPr>
        <w:rPr>
          <w:rFonts w:hint="eastAsia" w:ascii="新宋体" w:hAnsi="新宋体" w:eastAsia="新宋体" w:cs="新宋体"/>
          <w:b/>
          <w:color w:val="auto"/>
          <w:sz w:val="24"/>
          <w:szCs w:val="24"/>
          <w:highlight w:val="none"/>
        </w:rPr>
      </w:pPr>
      <w:bookmarkStart w:id="501" w:name="_Toc7597"/>
      <w:bookmarkStart w:id="502" w:name="_Toc14547"/>
      <w:bookmarkStart w:id="503" w:name="_Toc6913_WPSOffice_Level3"/>
      <w:bookmarkStart w:id="504" w:name="_Toc2601"/>
      <w:bookmarkStart w:id="505" w:name="_Toc18025_WPSOffice_Level3"/>
      <w:bookmarkStart w:id="506" w:name="_Toc28501"/>
      <w:r>
        <w:rPr>
          <w:rFonts w:hint="eastAsia" w:ascii="新宋体" w:hAnsi="新宋体" w:eastAsia="新宋体" w:cs="新宋体"/>
          <w:b/>
          <w:color w:val="auto"/>
          <w:sz w:val="24"/>
          <w:szCs w:val="24"/>
          <w:highlight w:val="none"/>
        </w:rPr>
        <w:br w:type="page"/>
      </w:r>
    </w:p>
    <w:p w14:paraId="37E145CD">
      <w:pPr>
        <w:widowControl/>
        <w:snapToGrid w:val="0"/>
        <w:spacing w:beforeLines="50" w:line="560" w:lineRule="exact"/>
        <w:outlineLvl w:val="1"/>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附件13：</w:t>
      </w:r>
      <w:bookmarkEnd w:id="501"/>
      <w:bookmarkEnd w:id="502"/>
      <w:bookmarkEnd w:id="503"/>
      <w:r>
        <w:rPr>
          <w:rFonts w:hint="eastAsia" w:ascii="新宋体" w:hAnsi="新宋体" w:eastAsia="新宋体" w:cs="新宋体"/>
          <w:b/>
          <w:color w:val="auto"/>
          <w:sz w:val="24"/>
          <w:szCs w:val="24"/>
          <w:highlight w:val="none"/>
        </w:rPr>
        <w:t>产品相关资料（具备履行合同所必须的设备和专业技术能力证明）</w:t>
      </w:r>
      <w:bookmarkEnd w:id="504"/>
      <w:bookmarkEnd w:id="505"/>
      <w:bookmarkEnd w:id="506"/>
    </w:p>
    <w:p w14:paraId="22A62AC1">
      <w:pPr>
        <w:spacing w:beforeLines="50" w:line="560" w:lineRule="exact"/>
        <w:ind w:firstLine="482" w:firstLineChars="200"/>
        <w:jc w:val="left"/>
        <w:rPr>
          <w:rFonts w:hint="eastAsia" w:ascii="新宋体" w:hAnsi="新宋体" w:eastAsia="新宋体" w:cs="新宋体"/>
          <w:bCs/>
          <w:color w:val="auto"/>
          <w:sz w:val="24"/>
          <w:szCs w:val="24"/>
          <w:highlight w:val="none"/>
        </w:rPr>
      </w:pPr>
      <w:bookmarkStart w:id="507" w:name="_Toc19683_WPSOffice_Level1"/>
      <w:bookmarkStart w:id="508" w:name="_Toc21309_WPSOffice_Level3"/>
      <w:bookmarkStart w:id="509" w:name="_Toc2954_WPSOffice_Level1"/>
      <w:r>
        <w:rPr>
          <w:rFonts w:hint="eastAsia" w:ascii="新宋体" w:hAnsi="新宋体" w:eastAsia="新宋体" w:cs="新宋体"/>
          <w:b/>
          <w:color w:val="auto"/>
          <w:sz w:val="24"/>
          <w:szCs w:val="24"/>
          <w:highlight w:val="none"/>
        </w:rPr>
        <w:t>1、</w:t>
      </w:r>
      <w:r>
        <w:rPr>
          <w:rFonts w:hint="eastAsia" w:ascii="新宋体" w:hAnsi="新宋体" w:eastAsia="新宋体" w:cs="新宋体"/>
          <w:b/>
          <w:color w:val="auto"/>
          <w:sz w:val="24"/>
          <w:szCs w:val="24"/>
          <w:highlight w:val="none"/>
          <w:lang w:val="zh-CN"/>
        </w:rPr>
        <w:t>产品相关资料</w:t>
      </w:r>
      <w:bookmarkEnd w:id="507"/>
      <w:bookmarkEnd w:id="508"/>
      <w:bookmarkEnd w:id="509"/>
    </w:p>
    <w:p w14:paraId="0625C9A2">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根据采购项目内容，响应提供国家认可的质监机构出具的产品的产品检验报告</w:t>
      </w:r>
      <w:r>
        <w:rPr>
          <w:rFonts w:hint="eastAsia" w:ascii="新宋体" w:hAnsi="新宋体" w:eastAsia="新宋体" w:cs="新宋体"/>
          <w:color w:val="auto"/>
          <w:sz w:val="24"/>
          <w:szCs w:val="24"/>
          <w:highlight w:val="none"/>
          <w:lang w:val="en-US" w:eastAsia="zh-CN"/>
        </w:rPr>
        <w:t>或产品彩页</w:t>
      </w:r>
      <w:r>
        <w:rPr>
          <w:rFonts w:hint="eastAsia" w:ascii="新宋体" w:hAnsi="新宋体" w:eastAsia="新宋体" w:cs="新宋体"/>
          <w:color w:val="auto"/>
          <w:sz w:val="24"/>
          <w:szCs w:val="24"/>
          <w:highlight w:val="none"/>
        </w:rPr>
        <w:t>（或网页原始截图）等能够证明技术参数响应的相关资料。</w:t>
      </w:r>
    </w:p>
    <w:p w14:paraId="62DF23E2">
      <w:pPr>
        <w:spacing w:line="560" w:lineRule="exact"/>
        <w:ind w:firstLine="480" w:firstLineChars="200"/>
        <w:rPr>
          <w:rFonts w:hint="eastAsia" w:ascii="新宋体" w:hAnsi="新宋体" w:eastAsia="新宋体" w:cs="新宋体"/>
          <w:b/>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b/>
          <w:color w:val="auto"/>
          <w:sz w:val="24"/>
          <w:szCs w:val="24"/>
          <w:highlight w:val="none"/>
        </w:rPr>
        <w:t>具备履行合同所必须的设备和专业技术能力证明</w:t>
      </w:r>
    </w:p>
    <w:p w14:paraId="17E87CD9">
      <w:pPr>
        <w:autoSpaceDE w:val="0"/>
        <w:autoSpaceDN w:val="0"/>
        <w:spacing w:line="360" w:lineRule="auto"/>
        <w:ind w:firstLine="48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为保证本项目合同的顺利履行，投标供应商必须具备履行合同的设备和专业技术能力，须提供必须具备履行合同的设备和专业技术能力的承诺函（格式自拟），并提供相关人员的职称证书或用工合同等证明材料。</w:t>
      </w:r>
    </w:p>
    <w:p w14:paraId="47A0A91C">
      <w:pPr>
        <w:pStyle w:val="36"/>
        <w:ind w:firstLine="240"/>
        <w:rPr>
          <w:rFonts w:hint="eastAsia" w:ascii="新宋体" w:hAnsi="新宋体" w:eastAsia="新宋体" w:cs="新宋体"/>
          <w:color w:val="auto"/>
          <w:sz w:val="24"/>
          <w:szCs w:val="24"/>
          <w:highlight w:val="none"/>
        </w:rPr>
      </w:pPr>
    </w:p>
    <w:p w14:paraId="53806A21">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456B6612">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606D38C6">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4D902012">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1315958E">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041D731D">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3A62CB7C">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11618F01">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6F5E4CD6">
      <w:pPr>
        <w:rPr>
          <w:rFonts w:hint="eastAsia" w:ascii="新宋体" w:hAnsi="新宋体" w:eastAsia="新宋体" w:cs="新宋体"/>
          <w:b/>
          <w:color w:val="auto"/>
          <w:sz w:val="24"/>
          <w:szCs w:val="24"/>
          <w:highlight w:val="none"/>
        </w:rPr>
      </w:pPr>
      <w:bookmarkStart w:id="510" w:name="_Toc11887"/>
      <w:bookmarkStart w:id="511" w:name="_Toc17566"/>
      <w:bookmarkStart w:id="512" w:name="_Toc31301_WPSOffice_Level3"/>
      <w:bookmarkStart w:id="513" w:name="_Toc3146_WPSOffice_Level3"/>
      <w:bookmarkStart w:id="514" w:name="_Toc4925"/>
      <w:bookmarkStart w:id="515" w:name="_Toc10368"/>
      <w:r>
        <w:rPr>
          <w:rFonts w:hint="eastAsia" w:ascii="新宋体" w:hAnsi="新宋体" w:eastAsia="新宋体" w:cs="新宋体"/>
          <w:b/>
          <w:color w:val="auto"/>
          <w:sz w:val="24"/>
          <w:szCs w:val="24"/>
          <w:highlight w:val="none"/>
        </w:rPr>
        <w:br w:type="page"/>
      </w:r>
    </w:p>
    <w:p w14:paraId="08572CA9">
      <w:pPr>
        <w:widowControl/>
        <w:snapToGrid w:val="0"/>
        <w:spacing w:beforeLines="50" w:line="560" w:lineRule="exact"/>
        <w:outlineLvl w:val="1"/>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附件14：享受政府采购政策优惠的证明资料</w:t>
      </w:r>
      <w:bookmarkEnd w:id="510"/>
      <w:bookmarkEnd w:id="511"/>
      <w:bookmarkEnd w:id="512"/>
      <w:bookmarkEnd w:id="513"/>
      <w:bookmarkEnd w:id="514"/>
      <w:bookmarkEnd w:id="515"/>
    </w:p>
    <w:p w14:paraId="40C2C849">
      <w:pPr>
        <w:numPr>
          <w:ilvl w:val="0"/>
          <w:numId w:val="7"/>
        </w:numPr>
        <w:adjustRightInd w:val="0"/>
        <w:snapToGrid w:val="0"/>
        <w:spacing w:beforeLines="50" w:line="560" w:lineRule="exact"/>
        <w:jc w:val="center"/>
        <w:rPr>
          <w:rFonts w:hint="eastAsia" w:ascii="新宋体" w:hAnsi="新宋体" w:eastAsia="新宋体" w:cs="新宋体"/>
          <w:color w:val="auto"/>
          <w:sz w:val="24"/>
          <w:szCs w:val="24"/>
          <w:highlight w:val="none"/>
        </w:rPr>
      </w:pPr>
      <w:bookmarkStart w:id="516" w:name="_Toc25276"/>
      <w:r>
        <w:rPr>
          <w:rFonts w:hint="eastAsia" w:ascii="新宋体" w:hAnsi="新宋体" w:eastAsia="新宋体" w:cs="新宋体"/>
          <w:color w:val="auto"/>
          <w:sz w:val="24"/>
          <w:szCs w:val="24"/>
          <w:highlight w:val="none"/>
        </w:rPr>
        <w:t>节能产品、环境标志产品证明材料</w:t>
      </w:r>
      <w:bookmarkEnd w:id="516"/>
    </w:p>
    <w:p w14:paraId="5D59FDAE">
      <w:pPr>
        <w:adjustRightInd w:val="0"/>
        <w:snapToGrid w:val="0"/>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产品</w:t>
      </w:r>
      <w:r>
        <w:rPr>
          <w:rFonts w:hint="eastAsia" w:ascii="新宋体" w:hAnsi="新宋体" w:eastAsia="新宋体" w:cs="新宋体"/>
          <w:bCs/>
          <w:color w:val="auto"/>
          <w:sz w:val="24"/>
          <w:szCs w:val="24"/>
          <w:highlight w:val="none"/>
        </w:rPr>
        <w:t>属于品目清单范围的</w:t>
      </w:r>
      <w:r>
        <w:rPr>
          <w:rFonts w:hint="eastAsia" w:ascii="新宋体" w:hAnsi="新宋体" w:eastAsia="新宋体" w:cs="新宋体"/>
          <w:color w:val="auto"/>
          <w:sz w:val="24"/>
          <w:szCs w:val="24"/>
          <w:highlight w:val="none"/>
        </w:rPr>
        <w:t>，</w:t>
      </w:r>
      <w:r>
        <w:rPr>
          <w:rFonts w:hint="eastAsia" w:ascii="新宋体" w:hAnsi="新宋体" w:eastAsia="新宋体" w:cs="新宋体"/>
          <w:bCs/>
          <w:color w:val="auto"/>
          <w:sz w:val="24"/>
          <w:szCs w:val="24"/>
          <w:highlight w:val="none"/>
        </w:rPr>
        <w:t>实施政府优先采购和强制采购。</w:t>
      </w:r>
      <w:r>
        <w:rPr>
          <w:rFonts w:hint="eastAsia" w:ascii="新宋体" w:hAnsi="新宋体" w:eastAsia="新宋体" w:cs="新宋体"/>
          <w:color w:val="auto"/>
          <w:sz w:val="24"/>
          <w:szCs w:val="24"/>
          <w:highlight w:val="none"/>
        </w:rPr>
        <w:t>供应商应提供国家确定的认证机构出具的、处于有效期之内的节能产品、环境标志产品认证证书，并加盖供应商单位公章。</w:t>
      </w:r>
    </w:p>
    <w:p w14:paraId="54DC4EEC">
      <w:pPr>
        <w:adjustRightInd w:val="0"/>
        <w:snapToGrid w:val="0"/>
        <w:spacing w:beforeLines="50" w:line="560" w:lineRule="exact"/>
        <w:jc w:val="left"/>
        <w:rPr>
          <w:rFonts w:hint="eastAsia" w:ascii="新宋体" w:hAnsi="新宋体" w:eastAsia="新宋体" w:cs="新宋体"/>
          <w:color w:val="auto"/>
          <w:sz w:val="24"/>
          <w:szCs w:val="24"/>
          <w:highlight w:val="none"/>
        </w:rPr>
      </w:pPr>
    </w:p>
    <w:p w14:paraId="441C3C80">
      <w:pPr>
        <w:adjustRightInd w:val="0"/>
        <w:snapToGrid w:val="0"/>
        <w:spacing w:beforeLines="50" w:line="560" w:lineRule="exact"/>
        <w:ind w:firstLine="480" w:firstLineChars="200"/>
        <w:jc w:val="left"/>
        <w:rPr>
          <w:rFonts w:hint="eastAsia" w:ascii="新宋体" w:hAnsi="新宋体" w:eastAsia="新宋体" w:cs="新宋体"/>
          <w:color w:val="auto"/>
          <w:sz w:val="24"/>
          <w:szCs w:val="24"/>
          <w:highlight w:val="none"/>
        </w:rPr>
      </w:pPr>
    </w:p>
    <w:p w14:paraId="5277E892">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1F9289B4">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3EC80E4E">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63C7C042">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6F5AFF6E">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696C729F">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2791C8FA">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4AF9994F">
      <w:pPr>
        <w:widowControl/>
        <w:snapToGrid w:val="0"/>
        <w:spacing w:beforeLines="50" w:line="560" w:lineRule="exact"/>
        <w:outlineLvl w:val="1"/>
        <w:rPr>
          <w:rFonts w:hint="eastAsia" w:ascii="新宋体" w:hAnsi="新宋体" w:eastAsia="新宋体" w:cs="新宋体"/>
          <w:b/>
          <w:color w:val="auto"/>
          <w:sz w:val="24"/>
          <w:szCs w:val="24"/>
          <w:highlight w:val="none"/>
        </w:rPr>
      </w:pPr>
    </w:p>
    <w:p w14:paraId="163D9AE9">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7D1EBCBB">
      <w:pPr>
        <w:adjustRightInd w:val="0"/>
        <w:snapToGrid w:val="0"/>
        <w:spacing w:beforeLines="50" w:line="560" w:lineRule="exact"/>
        <w:jc w:val="center"/>
        <w:rPr>
          <w:rFonts w:hint="eastAsia" w:ascii="新宋体" w:hAnsi="新宋体" w:eastAsia="新宋体" w:cs="新宋体"/>
          <w:color w:val="auto"/>
          <w:sz w:val="24"/>
          <w:szCs w:val="24"/>
          <w:highlight w:val="none"/>
        </w:rPr>
      </w:pPr>
      <w:bookmarkStart w:id="517" w:name="_Toc31539"/>
      <w:bookmarkStart w:id="518" w:name="_Toc22784_WPSOffice_Level3"/>
      <w:bookmarkStart w:id="519" w:name="_Toc6454"/>
      <w:r>
        <w:rPr>
          <w:rFonts w:hint="eastAsia" w:ascii="新宋体" w:hAnsi="新宋体" w:eastAsia="新宋体" w:cs="新宋体"/>
          <w:color w:val="auto"/>
          <w:sz w:val="24"/>
          <w:szCs w:val="24"/>
          <w:highlight w:val="none"/>
        </w:rPr>
        <w:t>2.中小企业声明函</w:t>
      </w:r>
      <w:bookmarkEnd w:id="517"/>
      <w:bookmarkEnd w:id="518"/>
      <w:bookmarkEnd w:id="519"/>
    </w:p>
    <w:p w14:paraId="78352D43">
      <w:pPr>
        <w:widowControl/>
        <w:adjustRightInd w:val="0"/>
        <w:snapToGrid w:val="0"/>
        <w:spacing w:line="560" w:lineRule="exact"/>
        <w:jc w:val="center"/>
        <w:rPr>
          <w:rFonts w:hint="eastAsia" w:ascii="新宋体" w:hAnsi="新宋体" w:eastAsia="新宋体" w:cs="新宋体"/>
          <w:b/>
          <w:color w:val="auto"/>
          <w:spacing w:val="6"/>
          <w:kern w:val="0"/>
          <w:sz w:val="24"/>
          <w:szCs w:val="24"/>
          <w:highlight w:val="none"/>
        </w:rPr>
      </w:pPr>
      <w:bookmarkStart w:id="520" w:name="_Toc3019_WPSOffice_Level3"/>
      <w:bookmarkStart w:id="521" w:name="_Toc1901_WPSOffice_Level3"/>
      <w:r>
        <w:rPr>
          <w:rFonts w:hint="eastAsia" w:ascii="新宋体" w:hAnsi="新宋体" w:eastAsia="新宋体" w:cs="新宋体"/>
          <w:b/>
          <w:color w:val="auto"/>
          <w:spacing w:val="6"/>
          <w:kern w:val="0"/>
          <w:sz w:val="24"/>
          <w:szCs w:val="24"/>
          <w:highlight w:val="none"/>
        </w:rPr>
        <w:t>(不满足以下条件的无需填写)</w:t>
      </w:r>
      <w:bookmarkEnd w:id="520"/>
      <w:bookmarkEnd w:id="521"/>
    </w:p>
    <w:p w14:paraId="082ABA76">
      <w:pPr>
        <w:autoSpaceDE w:val="0"/>
        <w:autoSpaceDN w:val="0"/>
        <w:spacing w:line="560" w:lineRule="exact"/>
        <w:rPr>
          <w:rFonts w:hint="eastAsia" w:ascii="新宋体" w:hAnsi="新宋体" w:eastAsia="新宋体" w:cs="新宋体"/>
          <w:color w:val="auto"/>
          <w:spacing w:val="6"/>
          <w:kern w:val="0"/>
          <w:sz w:val="24"/>
          <w:szCs w:val="24"/>
          <w:highlight w:val="none"/>
        </w:rPr>
      </w:pPr>
      <w:bookmarkStart w:id="522" w:name="_Toc22185_WPSOffice_Level2"/>
      <w:bookmarkStart w:id="523" w:name="_Toc17607_WPSOffice_Level2"/>
      <w:bookmarkStart w:id="524" w:name="_Toc16462_WPSOffice_Level2"/>
      <w:r>
        <w:rPr>
          <w:rFonts w:hint="eastAsia" w:ascii="新宋体" w:hAnsi="新宋体" w:eastAsia="新宋体" w:cs="新宋体"/>
          <w:b/>
          <w:bCs/>
          <w:color w:val="auto"/>
          <w:kern w:val="0"/>
          <w:sz w:val="24"/>
          <w:szCs w:val="24"/>
          <w:highlight w:val="none"/>
          <w:lang w:val="zh-CN"/>
        </w:rPr>
        <w:t>致：（</w:t>
      </w:r>
      <w:r>
        <w:rPr>
          <w:rFonts w:hint="eastAsia" w:ascii="新宋体" w:hAnsi="新宋体" w:eastAsia="新宋体" w:cs="新宋体"/>
          <w:b/>
          <w:bCs/>
          <w:color w:val="auto"/>
          <w:kern w:val="0"/>
          <w:sz w:val="24"/>
          <w:szCs w:val="24"/>
          <w:highlight w:val="none"/>
          <w:u w:val="single"/>
          <w:lang w:val="zh-CN"/>
        </w:rPr>
        <w:t>采购人或者采购代理机构）</w:t>
      </w:r>
      <w:bookmarkEnd w:id="522"/>
      <w:bookmarkEnd w:id="523"/>
      <w:bookmarkEnd w:id="524"/>
    </w:p>
    <w:p w14:paraId="5230A238">
      <w:pPr>
        <w:widowControl/>
        <w:adjustRightInd w:val="0"/>
        <w:snapToGrid w:val="0"/>
        <w:spacing w:line="560" w:lineRule="exact"/>
        <w:ind w:firstLine="504"/>
        <w:jc w:val="left"/>
        <w:rPr>
          <w:rFonts w:hint="eastAsia" w:ascii="新宋体" w:hAnsi="新宋体" w:eastAsia="新宋体" w:cs="新宋体"/>
          <w:color w:val="auto"/>
          <w:spacing w:val="6"/>
          <w:sz w:val="24"/>
          <w:szCs w:val="24"/>
        </w:rPr>
      </w:pPr>
      <w:r>
        <w:rPr>
          <w:rFonts w:hint="eastAsia" w:ascii="新宋体" w:hAnsi="新宋体" w:eastAsia="新宋体" w:cs="新宋体"/>
          <w:color w:val="auto"/>
          <w:spacing w:val="6"/>
          <w:sz w:val="24"/>
          <w:szCs w:val="24"/>
        </w:rPr>
        <w:t>本公司（联合体）郑重声明，根据《政府采购促进中小企业发展管理办法》（财库【2020】46号）的规定，本公司（联合体）参加</w:t>
      </w:r>
      <w:r>
        <w:rPr>
          <w:rFonts w:hint="eastAsia" w:ascii="新宋体" w:hAnsi="新宋体" w:eastAsia="新宋体" w:cs="新宋体"/>
          <w:color w:val="auto"/>
          <w:spacing w:val="6"/>
          <w:sz w:val="24"/>
          <w:szCs w:val="24"/>
          <w:u w:val="single"/>
        </w:rPr>
        <w:t xml:space="preserve"> （单位名称）</w:t>
      </w:r>
      <w:r>
        <w:rPr>
          <w:rFonts w:hint="eastAsia" w:ascii="新宋体" w:hAnsi="新宋体" w:eastAsia="新宋体" w:cs="新宋体"/>
          <w:color w:val="auto"/>
          <w:spacing w:val="6"/>
          <w:sz w:val="24"/>
          <w:szCs w:val="24"/>
        </w:rPr>
        <w:t>的</w:t>
      </w:r>
      <w:r>
        <w:rPr>
          <w:rFonts w:hint="eastAsia" w:ascii="新宋体" w:hAnsi="新宋体" w:eastAsia="新宋体" w:cs="新宋体"/>
          <w:color w:val="auto"/>
          <w:spacing w:val="6"/>
          <w:sz w:val="24"/>
          <w:szCs w:val="24"/>
          <w:u w:val="single"/>
        </w:rPr>
        <w:t xml:space="preserve"> （项目名称）</w:t>
      </w:r>
      <w:r>
        <w:rPr>
          <w:rFonts w:hint="eastAsia" w:ascii="新宋体" w:hAnsi="新宋体" w:eastAsia="新宋体" w:cs="新宋体"/>
          <w:color w:val="auto"/>
          <w:spacing w:val="6"/>
          <w:sz w:val="24"/>
          <w:szCs w:val="24"/>
        </w:rPr>
        <w:t>采购活动，提供的货物全部由符合政策要求的中小企业制造，相关企业（含联合体中的中小企业、签订分包意向协议的中小企业）具体情况如下：</w:t>
      </w:r>
    </w:p>
    <w:p w14:paraId="3E39EDA7">
      <w:pPr>
        <w:widowControl/>
        <w:numPr>
          <w:ilvl w:val="0"/>
          <w:numId w:val="8"/>
        </w:numPr>
        <w:adjustRightInd w:val="0"/>
        <w:snapToGrid w:val="0"/>
        <w:spacing w:line="560" w:lineRule="exact"/>
        <w:ind w:firstLine="504" w:firstLineChars="200"/>
        <w:jc w:val="left"/>
        <w:rPr>
          <w:rFonts w:hint="eastAsia" w:ascii="新宋体" w:hAnsi="新宋体" w:eastAsia="新宋体" w:cs="新宋体"/>
          <w:color w:val="auto"/>
          <w:spacing w:val="6"/>
          <w:sz w:val="24"/>
          <w:szCs w:val="24"/>
        </w:rPr>
      </w:pPr>
      <w:r>
        <w:rPr>
          <w:rFonts w:hint="eastAsia" w:ascii="新宋体" w:hAnsi="新宋体" w:eastAsia="新宋体" w:cs="新宋体"/>
          <w:color w:val="auto"/>
          <w:spacing w:val="6"/>
          <w:sz w:val="24"/>
          <w:szCs w:val="24"/>
          <w:u w:val="single"/>
        </w:rPr>
        <w:t>（标的名称）</w:t>
      </w:r>
      <w:r>
        <w:rPr>
          <w:rFonts w:hint="eastAsia" w:ascii="新宋体" w:hAnsi="新宋体" w:eastAsia="新宋体" w:cs="新宋体"/>
          <w:color w:val="auto"/>
          <w:spacing w:val="6"/>
          <w:sz w:val="24"/>
          <w:szCs w:val="24"/>
        </w:rPr>
        <w:t>，属于</w:t>
      </w:r>
      <w:r>
        <w:rPr>
          <w:rFonts w:hint="eastAsia" w:ascii="新宋体" w:hAnsi="新宋体" w:eastAsia="新宋体" w:cs="新宋体"/>
          <w:color w:val="auto"/>
          <w:spacing w:val="6"/>
          <w:sz w:val="24"/>
          <w:szCs w:val="24"/>
          <w:u w:val="single"/>
        </w:rPr>
        <w:t xml:space="preserve"> （采购文件中明确的所属行业）行业</w:t>
      </w:r>
      <w:r>
        <w:rPr>
          <w:rFonts w:hint="eastAsia" w:ascii="新宋体" w:hAnsi="新宋体" w:eastAsia="新宋体" w:cs="新宋体"/>
          <w:color w:val="auto"/>
          <w:spacing w:val="6"/>
          <w:sz w:val="24"/>
          <w:szCs w:val="24"/>
        </w:rPr>
        <w:t>，制造商为</w:t>
      </w:r>
      <w:r>
        <w:rPr>
          <w:rFonts w:hint="eastAsia" w:ascii="新宋体" w:hAnsi="新宋体" w:eastAsia="新宋体" w:cs="新宋体"/>
          <w:color w:val="auto"/>
          <w:spacing w:val="6"/>
          <w:sz w:val="24"/>
          <w:szCs w:val="24"/>
          <w:u w:val="single"/>
        </w:rPr>
        <w:t xml:space="preserve"> （企业名称）</w:t>
      </w:r>
      <w:r>
        <w:rPr>
          <w:rFonts w:hint="eastAsia" w:ascii="新宋体" w:hAnsi="新宋体" w:eastAsia="新宋体" w:cs="新宋体"/>
          <w:color w:val="auto"/>
          <w:spacing w:val="6"/>
          <w:sz w:val="24"/>
          <w:szCs w:val="24"/>
        </w:rPr>
        <w:t>，从业人员</w:t>
      </w:r>
      <w:r>
        <w:rPr>
          <w:rFonts w:hint="eastAsia" w:ascii="新宋体" w:hAnsi="新宋体" w:eastAsia="新宋体" w:cs="新宋体"/>
          <w:color w:val="auto"/>
          <w:spacing w:val="6"/>
          <w:sz w:val="24"/>
          <w:szCs w:val="24"/>
          <w:u w:val="single"/>
        </w:rPr>
        <w:t xml:space="preserve">    </w:t>
      </w:r>
      <w:r>
        <w:rPr>
          <w:rFonts w:hint="eastAsia" w:ascii="新宋体" w:hAnsi="新宋体" w:eastAsia="新宋体" w:cs="新宋体"/>
          <w:color w:val="auto"/>
          <w:spacing w:val="6"/>
          <w:sz w:val="24"/>
          <w:szCs w:val="24"/>
        </w:rPr>
        <w:t>人，营业收入为</w:t>
      </w:r>
      <w:r>
        <w:rPr>
          <w:rFonts w:hint="eastAsia" w:ascii="新宋体" w:hAnsi="新宋体" w:eastAsia="新宋体" w:cs="新宋体"/>
          <w:color w:val="auto"/>
          <w:spacing w:val="6"/>
          <w:sz w:val="24"/>
          <w:szCs w:val="24"/>
          <w:u w:val="single"/>
        </w:rPr>
        <w:t xml:space="preserve">    </w:t>
      </w:r>
      <w:r>
        <w:rPr>
          <w:rFonts w:hint="eastAsia" w:ascii="新宋体" w:hAnsi="新宋体" w:eastAsia="新宋体" w:cs="新宋体"/>
          <w:color w:val="auto"/>
          <w:spacing w:val="6"/>
          <w:sz w:val="24"/>
          <w:szCs w:val="24"/>
        </w:rPr>
        <w:t>万元，资产总额为</w:t>
      </w:r>
      <w:r>
        <w:rPr>
          <w:rFonts w:hint="eastAsia" w:ascii="新宋体" w:hAnsi="新宋体" w:eastAsia="新宋体" w:cs="新宋体"/>
          <w:color w:val="auto"/>
          <w:spacing w:val="6"/>
          <w:sz w:val="24"/>
          <w:szCs w:val="24"/>
          <w:u w:val="single"/>
        </w:rPr>
        <w:t xml:space="preserve">    </w:t>
      </w:r>
      <w:r>
        <w:rPr>
          <w:rFonts w:hint="eastAsia" w:ascii="新宋体" w:hAnsi="新宋体" w:eastAsia="新宋体" w:cs="新宋体"/>
          <w:color w:val="auto"/>
          <w:spacing w:val="6"/>
          <w:sz w:val="24"/>
          <w:szCs w:val="24"/>
        </w:rPr>
        <w:t>万元，属于</w:t>
      </w:r>
      <w:r>
        <w:rPr>
          <w:rFonts w:hint="eastAsia" w:ascii="新宋体" w:hAnsi="新宋体" w:eastAsia="新宋体" w:cs="新宋体"/>
          <w:color w:val="auto"/>
          <w:spacing w:val="6"/>
          <w:sz w:val="24"/>
          <w:szCs w:val="24"/>
          <w:u w:val="single"/>
        </w:rPr>
        <w:t xml:space="preserve"> （中型企业、小型企业、微型企业）</w:t>
      </w:r>
      <w:r>
        <w:rPr>
          <w:rFonts w:hint="eastAsia" w:ascii="新宋体" w:hAnsi="新宋体" w:eastAsia="新宋体" w:cs="新宋体"/>
          <w:color w:val="auto"/>
          <w:spacing w:val="6"/>
          <w:sz w:val="24"/>
          <w:szCs w:val="24"/>
        </w:rPr>
        <w:t>；</w:t>
      </w:r>
    </w:p>
    <w:p w14:paraId="2EF97D75">
      <w:pPr>
        <w:widowControl/>
        <w:adjustRightInd w:val="0"/>
        <w:snapToGrid w:val="0"/>
        <w:spacing w:line="560" w:lineRule="exact"/>
        <w:ind w:firstLine="504"/>
        <w:jc w:val="left"/>
        <w:rPr>
          <w:rFonts w:hint="eastAsia" w:ascii="新宋体" w:hAnsi="新宋体" w:eastAsia="新宋体" w:cs="新宋体"/>
          <w:color w:val="auto"/>
          <w:sz w:val="24"/>
          <w:szCs w:val="24"/>
        </w:rPr>
      </w:pPr>
      <w:r>
        <w:rPr>
          <w:rFonts w:hint="eastAsia" w:ascii="新宋体" w:hAnsi="新宋体" w:eastAsia="新宋体" w:cs="新宋体"/>
          <w:color w:val="auto"/>
          <w:spacing w:val="6"/>
          <w:sz w:val="24"/>
          <w:szCs w:val="24"/>
        </w:rPr>
        <w:t>2.</w:t>
      </w:r>
      <w:r>
        <w:rPr>
          <w:rFonts w:hint="eastAsia" w:ascii="新宋体" w:hAnsi="新宋体" w:eastAsia="新宋体" w:cs="新宋体"/>
          <w:color w:val="auto"/>
          <w:spacing w:val="6"/>
          <w:sz w:val="24"/>
          <w:szCs w:val="24"/>
          <w:u w:val="single"/>
        </w:rPr>
        <w:t xml:space="preserve"> （标的名称）</w:t>
      </w:r>
      <w:r>
        <w:rPr>
          <w:rFonts w:hint="eastAsia" w:ascii="新宋体" w:hAnsi="新宋体" w:eastAsia="新宋体" w:cs="新宋体"/>
          <w:color w:val="auto"/>
          <w:spacing w:val="6"/>
          <w:sz w:val="24"/>
          <w:szCs w:val="24"/>
        </w:rPr>
        <w:t>，属于</w:t>
      </w:r>
      <w:r>
        <w:rPr>
          <w:rFonts w:hint="eastAsia" w:ascii="新宋体" w:hAnsi="新宋体" w:eastAsia="新宋体" w:cs="新宋体"/>
          <w:color w:val="auto"/>
          <w:spacing w:val="6"/>
          <w:sz w:val="24"/>
          <w:szCs w:val="24"/>
          <w:u w:val="single"/>
        </w:rPr>
        <w:t xml:space="preserve"> （采购文件中明确的所属行业）行业</w:t>
      </w:r>
      <w:r>
        <w:rPr>
          <w:rFonts w:hint="eastAsia" w:ascii="新宋体" w:hAnsi="新宋体" w:eastAsia="新宋体" w:cs="新宋体"/>
          <w:color w:val="auto"/>
          <w:spacing w:val="6"/>
          <w:sz w:val="24"/>
          <w:szCs w:val="24"/>
        </w:rPr>
        <w:t>，制造商为</w:t>
      </w:r>
      <w:r>
        <w:rPr>
          <w:rFonts w:hint="eastAsia" w:ascii="新宋体" w:hAnsi="新宋体" w:eastAsia="新宋体" w:cs="新宋体"/>
          <w:color w:val="auto"/>
          <w:spacing w:val="6"/>
          <w:sz w:val="24"/>
          <w:szCs w:val="24"/>
          <w:u w:val="single"/>
        </w:rPr>
        <w:t xml:space="preserve"> （企业名称）</w:t>
      </w:r>
      <w:r>
        <w:rPr>
          <w:rFonts w:hint="eastAsia" w:ascii="新宋体" w:hAnsi="新宋体" w:eastAsia="新宋体" w:cs="新宋体"/>
          <w:color w:val="auto"/>
          <w:spacing w:val="6"/>
          <w:sz w:val="24"/>
          <w:szCs w:val="24"/>
        </w:rPr>
        <w:t>，从业人员</w:t>
      </w:r>
      <w:r>
        <w:rPr>
          <w:rFonts w:hint="eastAsia" w:ascii="新宋体" w:hAnsi="新宋体" w:eastAsia="新宋体" w:cs="新宋体"/>
          <w:color w:val="auto"/>
          <w:spacing w:val="6"/>
          <w:sz w:val="24"/>
          <w:szCs w:val="24"/>
          <w:u w:val="single"/>
        </w:rPr>
        <w:t xml:space="preserve">    </w:t>
      </w:r>
      <w:r>
        <w:rPr>
          <w:rFonts w:hint="eastAsia" w:ascii="新宋体" w:hAnsi="新宋体" w:eastAsia="新宋体" w:cs="新宋体"/>
          <w:color w:val="auto"/>
          <w:spacing w:val="6"/>
          <w:sz w:val="24"/>
          <w:szCs w:val="24"/>
        </w:rPr>
        <w:t>人，营业收入为</w:t>
      </w:r>
      <w:r>
        <w:rPr>
          <w:rFonts w:hint="eastAsia" w:ascii="新宋体" w:hAnsi="新宋体" w:eastAsia="新宋体" w:cs="新宋体"/>
          <w:color w:val="auto"/>
          <w:spacing w:val="6"/>
          <w:sz w:val="24"/>
          <w:szCs w:val="24"/>
          <w:u w:val="single"/>
        </w:rPr>
        <w:t xml:space="preserve">    </w:t>
      </w:r>
      <w:r>
        <w:rPr>
          <w:rFonts w:hint="eastAsia" w:ascii="新宋体" w:hAnsi="新宋体" w:eastAsia="新宋体" w:cs="新宋体"/>
          <w:color w:val="auto"/>
          <w:spacing w:val="6"/>
          <w:sz w:val="24"/>
          <w:szCs w:val="24"/>
        </w:rPr>
        <w:t>万元，资产总额为</w:t>
      </w:r>
      <w:r>
        <w:rPr>
          <w:rFonts w:hint="eastAsia" w:ascii="新宋体" w:hAnsi="新宋体" w:eastAsia="新宋体" w:cs="新宋体"/>
          <w:color w:val="auto"/>
          <w:spacing w:val="6"/>
          <w:sz w:val="24"/>
          <w:szCs w:val="24"/>
          <w:u w:val="single"/>
        </w:rPr>
        <w:t xml:space="preserve">    </w:t>
      </w:r>
      <w:r>
        <w:rPr>
          <w:rFonts w:hint="eastAsia" w:ascii="新宋体" w:hAnsi="新宋体" w:eastAsia="新宋体" w:cs="新宋体"/>
          <w:color w:val="auto"/>
          <w:spacing w:val="6"/>
          <w:sz w:val="24"/>
          <w:szCs w:val="24"/>
        </w:rPr>
        <w:t>万元，属于</w:t>
      </w:r>
      <w:r>
        <w:rPr>
          <w:rFonts w:hint="eastAsia" w:ascii="新宋体" w:hAnsi="新宋体" w:eastAsia="新宋体" w:cs="新宋体"/>
          <w:color w:val="auto"/>
          <w:spacing w:val="6"/>
          <w:sz w:val="24"/>
          <w:szCs w:val="24"/>
          <w:u w:val="single"/>
        </w:rPr>
        <w:t xml:space="preserve"> （中型企业、小型企业、微型企业）</w:t>
      </w:r>
      <w:r>
        <w:rPr>
          <w:rFonts w:hint="eastAsia" w:ascii="新宋体" w:hAnsi="新宋体" w:eastAsia="新宋体" w:cs="新宋体"/>
          <w:color w:val="auto"/>
          <w:spacing w:val="6"/>
          <w:sz w:val="24"/>
          <w:szCs w:val="24"/>
        </w:rPr>
        <w:t>；</w:t>
      </w:r>
    </w:p>
    <w:p w14:paraId="77C5B7A7">
      <w:pPr>
        <w:widowControl/>
        <w:adjustRightInd w:val="0"/>
        <w:snapToGrid w:val="0"/>
        <w:spacing w:line="560" w:lineRule="exact"/>
        <w:ind w:firstLine="504"/>
        <w:jc w:val="left"/>
        <w:rPr>
          <w:rFonts w:hint="eastAsia" w:ascii="新宋体" w:hAnsi="新宋体" w:eastAsia="新宋体" w:cs="新宋体"/>
          <w:color w:val="auto"/>
          <w:spacing w:val="6"/>
          <w:sz w:val="24"/>
          <w:szCs w:val="24"/>
        </w:rPr>
      </w:pPr>
      <w:r>
        <w:rPr>
          <w:rFonts w:hint="eastAsia" w:ascii="新宋体" w:hAnsi="新宋体" w:eastAsia="新宋体" w:cs="新宋体"/>
          <w:color w:val="auto"/>
          <w:spacing w:val="6"/>
          <w:sz w:val="24"/>
          <w:szCs w:val="24"/>
        </w:rPr>
        <w:t xml:space="preserve">    ……</w:t>
      </w:r>
    </w:p>
    <w:p w14:paraId="65611F71">
      <w:pPr>
        <w:widowControl/>
        <w:adjustRightInd w:val="0"/>
        <w:snapToGrid w:val="0"/>
        <w:spacing w:line="560" w:lineRule="exact"/>
        <w:ind w:firstLine="504"/>
        <w:jc w:val="left"/>
        <w:rPr>
          <w:rFonts w:hint="eastAsia" w:ascii="新宋体" w:hAnsi="新宋体" w:eastAsia="新宋体" w:cs="新宋体"/>
          <w:color w:val="auto"/>
          <w:spacing w:val="6"/>
          <w:sz w:val="24"/>
          <w:szCs w:val="24"/>
        </w:rPr>
      </w:pPr>
      <w:r>
        <w:rPr>
          <w:rFonts w:hint="eastAsia" w:ascii="新宋体" w:hAnsi="新宋体" w:eastAsia="新宋体" w:cs="新宋体"/>
          <w:color w:val="auto"/>
          <w:spacing w:val="6"/>
          <w:sz w:val="24"/>
          <w:szCs w:val="24"/>
        </w:rPr>
        <w:t>以上企业，不属于大企业的分支机构，不存在控股股东为大企业的情形，也不存在与大企业的负责人为同一人的情形。</w:t>
      </w:r>
    </w:p>
    <w:p w14:paraId="2432305E">
      <w:pPr>
        <w:widowControl/>
        <w:adjustRightInd w:val="0"/>
        <w:snapToGrid w:val="0"/>
        <w:spacing w:line="560" w:lineRule="exact"/>
        <w:ind w:firstLine="504"/>
        <w:jc w:val="left"/>
        <w:rPr>
          <w:rFonts w:hint="eastAsia" w:ascii="新宋体" w:hAnsi="新宋体" w:eastAsia="新宋体" w:cs="新宋体"/>
          <w:color w:val="auto"/>
          <w:spacing w:val="6"/>
          <w:sz w:val="24"/>
          <w:szCs w:val="24"/>
        </w:rPr>
      </w:pPr>
      <w:r>
        <w:rPr>
          <w:rFonts w:hint="eastAsia" w:ascii="新宋体" w:hAnsi="新宋体" w:eastAsia="新宋体" w:cs="新宋体"/>
          <w:color w:val="auto"/>
          <w:spacing w:val="6"/>
          <w:sz w:val="24"/>
          <w:szCs w:val="24"/>
        </w:rPr>
        <w:t>本企业对上述声明内容的真实性负责。如有虚假，将依法承担相应责任。</w:t>
      </w:r>
    </w:p>
    <w:p w14:paraId="23FD3523">
      <w:pPr>
        <w:spacing w:before="120" w:beforeLines="50" w:line="560" w:lineRule="exact"/>
        <w:ind w:firstLine="482"/>
        <w:jc w:val="center"/>
        <w:rPr>
          <w:rFonts w:hint="eastAsia" w:ascii="新宋体" w:hAnsi="新宋体" w:eastAsia="新宋体" w:cs="新宋体"/>
          <w:bCs/>
          <w:color w:val="auto"/>
          <w:sz w:val="24"/>
          <w:szCs w:val="24"/>
        </w:rPr>
      </w:pPr>
      <w:r>
        <w:rPr>
          <w:rFonts w:hint="eastAsia" w:ascii="新宋体" w:hAnsi="新宋体" w:eastAsia="新宋体" w:cs="新宋体"/>
          <w:b/>
          <w:color w:val="auto"/>
          <w:sz w:val="24"/>
          <w:szCs w:val="24"/>
        </w:rPr>
        <w:t xml:space="preserve">                       </w:t>
      </w:r>
      <w:bookmarkStart w:id="525" w:name="_Toc21636_WPSOffice_Level3"/>
      <w:r>
        <w:rPr>
          <w:rFonts w:hint="eastAsia" w:ascii="新宋体" w:hAnsi="新宋体" w:eastAsia="新宋体" w:cs="新宋体"/>
          <w:bCs/>
          <w:color w:val="auto"/>
          <w:sz w:val="24"/>
          <w:szCs w:val="24"/>
        </w:rPr>
        <w:t>单位名称（公章）：</w:t>
      </w:r>
      <w:bookmarkEnd w:id="525"/>
    </w:p>
    <w:p w14:paraId="2D17EF11">
      <w:pPr>
        <w:spacing w:before="120" w:beforeLines="50" w:line="560" w:lineRule="exact"/>
        <w:ind w:firstLine="480"/>
        <w:jc w:val="center"/>
        <w:rPr>
          <w:rFonts w:hint="eastAsia" w:ascii="新宋体" w:hAnsi="新宋体" w:eastAsia="新宋体" w:cs="新宋体"/>
          <w:b/>
          <w:color w:val="auto"/>
          <w:sz w:val="24"/>
          <w:szCs w:val="24"/>
        </w:rPr>
      </w:pPr>
      <w:r>
        <w:rPr>
          <w:rFonts w:hint="eastAsia" w:ascii="新宋体" w:hAnsi="新宋体" w:eastAsia="新宋体" w:cs="新宋体"/>
          <w:bCs/>
          <w:color w:val="auto"/>
          <w:sz w:val="24"/>
          <w:szCs w:val="24"/>
        </w:rPr>
        <w:t xml:space="preserve">        </w:t>
      </w:r>
      <w:bookmarkStart w:id="526" w:name="_Toc20470_WPSOffice_Level3"/>
      <w:r>
        <w:rPr>
          <w:rFonts w:hint="eastAsia" w:ascii="新宋体" w:hAnsi="新宋体" w:eastAsia="新宋体" w:cs="新宋体"/>
          <w:bCs/>
          <w:color w:val="auto"/>
          <w:sz w:val="24"/>
          <w:szCs w:val="24"/>
        </w:rPr>
        <w:t xml:space="preserve">      日期：</w:t>
      </w:r>
      <w:bookmarkEnd w:id="526"/>
      <w:r>
        <w:rPr>
          <w:rFonts w:hint="eastAsia" w:ascii="新宋体" w:hAnsi="新宋体" w:eastAsia="新宋体" w:cs="新宋体"/>
          <w:b/>
          <w:color w:val="auto"/>
          <w:sz w:val="24"/>
          <w:szCs w:val="24"/>
        </w:rPr>
        <w:t xml:space="preserve"> </w:t>
      </w:r>
    </w:p>
    <w:p w14:paraId="6A1C91DD">
      <w:pPr>
        <w:widowControl/>
        <w:adjustRightInd w:val="0"/>
        <w:snapToGrid w:val="0"/>
        <w:spacing w:line="560" w:lineRule="exact"/>
        <w:ind w:firstLine="504"/>
        <w:jc w:val="left"/>
        <w:rPr>
          <w:rFonts w:ascii="宋体" w:hAnsi="宋体" w:cs="仿宋_GB2312"/>
          <w:color w:val="auto"/>
          <w:spacing w:val="6"/>
        </w:rPr>
      </w:pPr>
    </w:p>
    <w:p w14:paraId="4485D229">
      <w:pPr>
        <w:widowControl/>
        <w:adjustRightInd w:val="0"/>
        <w:snapToGrid w:val="0"/>
        <w:spacing w:line="560" w:lineRule="exact"/>
        <w:ind w:firstLine="444" w:firstLineChars="200"/>
        <w:jc w:val="left"/>
        <w:rPr>
          <w:rFonts w:hint="eastAsia" w:ascii="新宋体" w:hAnsi="新宋体" w:eastAsia="新宋体" w:cs="新宋体"/>
          <w:color w:val="auto"/>
          <w:spacing w:val="6"/>
          <w:kern w:val="0"/>
          <w:sz w:val="24"/>
          <w:szCs w:val="24"/>
          <w:highlight w:val="none"/>
        </w:rPr>
      </w:pPr>
      <w:r>
        <w:rPr>
          <w:rFonts w:hint="eastAsia" w:ascii="新宋体" w:hAnsi="新宋体" w:eastAsia="新宋体" w:cs="新宋体"/>
          <w:color w:val="auto"/>
          <w:spacing w:val="6"/>
        </w:rPr>
        <w:t>注：从业人员、营业收入、资产总额填报上一年度数据，无上一年度数据的新成立企业可不填报。</w:t>
      </w:r>
    </w:p>
    <w:p w14:paraId="1FBA4FD0">
      <w:pPr>
        <w:pStyle w:val="36"/>
        <w:ind w:firstLine="240"/>
        <w:rPr>
          <w:rFonts w:hint="eastAsia" w:ascii="新宋体" w:hAnsi="新宋体" w:eastAsia="新宋体" w:cs="新宋体"/>
          <w:color w:val="auto"/>
          <w:sz w:val="24"/>
          <w:szCs w:val="24"/>
          <w:highlight w:val="none"/>
        </w:rPr>
      </w:pPr>
    </w:p>
    <w:p w14:paraId="7C672C21">
      <w:pPr>
        <w:adjustRightInd w:val="0"/>
        <w:snapToGrid w:val="0"/>
        <w:spacing w:beforeLines="50" w:line="560" w:lineRule="exact"/>
        <w:jc w:val="center"/>
        <w:rPr>
          <w:rFonts w:hint="eastAsia" w:ascii="新宋体" w:hAnsi="新宋体" w:eastAsia="新宋体" w:cs="新宋体"/>
          <w:color w:val="auto"/>
          <w:sz w:val="24"/>
          <w:szCs w:val="24"/>
          <w:highlight w:val="none"/>
        </w:rPr>
      </w:pPr>
      <w:bookmarkStart w:id="527" w:name="_Toc12160"/>
      <w:bookmarkStart w:id="528" w:name="_Toc14211_WPSOffice_Level3"/>
      <w:bookmarkStart w:id="529" w:name="_Toc11740"/>
      <w:r>
        <w:rPr>
          <w:rFonts w:hint="eastAsia" w:ascii="新宋体" w:hAnsi="新宋体" w:eastAsia="新宋体" w:cs="新宋体"/>
          <w:color w:val="auto"/>
          <w:sz w:val="24"/>
          <w:szCs w:val="24"/>
          <w:highlight w:val="none"/>
        </w:rPr>
        <w:br w:type="column"/>
      </w:r>
      <w:r>
        <w:rPr>
          <w:rFonts w:hint="eastAsia" w:ascii="新宋体" w:hAnsi="新宋体" w:eastAsia="新宋体" w:cs="新宋体"/>
          <w:color w:val="auto"/>
          <w:sz w:val="24"/>
          <w:szCs w:val="24"/>
          <w:highlight w:val="none"/>
        </w:rPr>
        <w:t>3.残疾人福利性单位声明函</w:t>
      </w:r>
      <w:bookmarkEnd w:id="527"/>
      <w:bookmarkEnd w:id="528"/>
      <w:bookmarkEnd w:id="529"/>
    </w:p>
    <w:p w14:paraId="1D31CF2C">
      <w:pPr>
        <w:adjustRightInd w:val="0"/>
        <w:snapToGrid w:val="0"/>
        <w:spacing w:line="560" w:lineRule="exact"/>
        <w:jc w:val="center"/>
        <w:rPr>
          <w:rFonts w:hint="eastAsia" w:ascii="新宋体" w:hAnsi="新宋体" w:eastAsia="新宋体" w:cs="新宋体"/>
          <w:color w:val="auto"/>
          <w:spacing w:val="6"/>
          <w:sz w:val="24"/>
          <w:szCs w:val="24"/>
          <w:highlight w:val="none"/>
        </w:rPr>
      </w:pPr>
      <w:bookmarkStart w:id="530" w:name="_Toc12079_WPSOffice_Level3"/>
      <w:bookmarkStart w:id="531" w:name="_Toc17469_WPSOffice_Level3"/>
      <w:r>
        <w:rPr>
          <w:rFonts w:hint="eastAsia" w:ascii="新宋体" w:hAnsi="新宋体" w:eastAsia="新宋体" w:cs="新宋体"/>
          <w:b/>
          <w:color w:val="auto"/>
          <w:spacing w:val="6"/>
          <w:sz w:val="24"/>
          <w:szCs w:val="24"/>
          <w:highlight w:val="none"/>
        </w:rPr>
        <w:t>(不属于残疾人福利性单位的无需填写)</w:t>
      </w:r>
      <w:bookmarkEnd w:id="530"/>
      <w:bookmarkEnd w:id="531"/>
    </w:p>
    <w:p w14:paraId="468959AE">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人，安置的残疾人人数</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人。且本单位参加</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单位的</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07078835">
      <w:pPr>
        <w:spacing w:line="560" w:lineRule="exact"/>
        <w:ind w:firstLine="48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本单位对上述声明的真实性负责。如有虚假，将依法承担相应责任。</w:t>
      </w:r>
    </w:p>
    <w:p w14:paraId="7E9867FE">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532" w:name="_Toc17628_WPSOffice_Level3"/>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bookmarkEnd w:id="532"/>
    </w:p>
    <w:p w14:paraId="7F82206B">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533" w:name="_Toc32124_WPSOffice_Level3"/>
      <w:r>
        <w:rPr>
          <w:rFonts w:hint="eastAsia" w:ascii="新宋体" w:hAnsi="新宋体" w:eastAsia="新宋体" w:cs="新宋体"/>
          <w:bCs/>
          <w:color w:val="auto"/>
          <w:sz w:val="24"/>
          <w:szCs w:val="24"/>
          <w:highlight w:val="none"/>
        </w:rPr>
        <w:t>法定代表人或委托代理人：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bookmarkEnd w:id="533"/>
    </w:p>
    <w:p w14:paraId="03325943">
      <w:pPr>
        <w:spacing w:beforeLines="50" w:line="560" w:lineRule="exact"/>
        <w:ind w:firstLine="480" w:firstLineChars="200"/>
        <w:jc w:val="center"/>
        <w:rPr>
          <w:rFonts w:hint="eastAsia" w:ascii="新宋体" w:hAnsi="新宋体" w:eastAsia="新宋体" w:cs="新宋体"/>
          <w:color w:val="auto"/>
          <w:spacing w:val="6"/>
          <w:sz w:val="24"/>
          <w:szCs w:val="24"/>
          <w:highlight w:val="none"/>
        </w:rPr>
      </w:pPr>
      <w:r>
        <w:rPr>
          <w:rFonts w:hint="eastAsia" w:ascii="新宋体" w:hAnsi="新宋体" w:eastAsia="新宋体" w:cs="新宋体"/>
          <w:bCs/>
          <w:color w:val="auto"/>
          <w:sz w:val="24"/>
          <w:szCs w:val="24"/>
          <w:highlight w:val="none"/>
        </w:rPr>
        <w:t xml:space="preserve">                                    </w:t>
      </w:r>
      <w:bookmarkStart w:id="534" w:name="_Toc1871_WPSOffice_Level3"/>
      <w:r>
        <w:rPr>
          <w:rFonts w:hint="eastAsia" w:ascii="新宋体" w:hAnsi="新宋体" w:eastAsia="新宋体" w:cs="新宋体"/>
          <w:bCs/>
          <w:color w:val="auto"/>
          <w:sz w:val="24"/>
          <w:szCs w:val="24"/>
          <w:highlight w:val="none"/>
        </w:rPr>
        <w:t>年   月  日</w:t>
      </w:r>
      <w:bookmarkEnd w:id="534"/>
    </w:p>
    <w:p w14:paraId="1EEEC1C5">
      <w:pPr>
        <w:adjustRightInd w:val="0"/>
        <w:snapToGrid w:val="0"/>
        <w:spacing w:line="560" w:lineRule="exact"/>
        <w:ind w:firstLine="504" w:firstLineChars="200"/>
        <w:rPr>
          <w:rFonts w:hint="eastAsia" w:ascii="新宋体" w:hAnsi="新宋体" w:eastAsia="新宋体" w:cs="新宋体"/>
          <w:color w:val="auto"/>
          <w:spacing w:val="6"/>
          <w:sz w:val="24"/>
          <w:szCs w:val="24"/>
          <w:highlight w:val="none"/>
        </w:rPr>
      </w:pPr>
    </w:p>
    <w:p w14:paraId="44A543F8">
      <w:pPr>
        <w:adjustRightInd w:val="0"/>
        <w:snapToGrid w:val="0"/>
        <w:spacing w:line="560" w:lineRule="exact"/>
        <w:ind w:firstLine="504" w:firstLineChars="200"/>
        <w:rPr>
          <w:rFonts w:hint="eastAsia" w:ascii="新宋体" w:hAnsi="新宋体" w:eastAsia="新宋体" w:cs="新宋体"/>
          <w:color w:val="auto"/>
          <w:spacing w:val="6"/>
          <w:sz w:val="24"/>
          <w:szCs w:val="24"/>
          <w:highlight w:val="none"/>
        </w:rPr>
      </w:pPr>
    </w:p>
    <w:p w14:paraId="323DA3DD">
      <w:pPr>
        <w:adjustRightInd w:val="0"/>
        <w:snapToGrid w:val="0"/>
        <w:spacing w:beforeLines="50" w:line="560" w:lineRule="exact"/>
        <w:ind w:firstLine="504" w:firstLineChars="200"/>
        <w:rPr>
          <w:rFonts w:hint="eastAsia" w:ascii="新宋体" w:hAnsi="新宋体" w:eastAsia="新宋体" w:cs="新宋体"/>
          <w:color w:val="auto"/>
          <w:spacing w:val="6"/>
          <w:sz w:val="24"/>
          <w:szCs w:val="24"/>
          <w:highlight w:val="none"/>
        </w:rPr>
      </w:pPr>
    </w:p>
    <w:p w14:paraId="0F2741E3">
      <w:pPr>
        <w:spacing w:beforeLines="50" w:line="560" w:lineRule="exact"/>
        <w:rPr>
          <w:rFonts w:hint="eastAsia" w:ascii="新宋体" w:hAnsi="新宋体" w:eastAsia="新宋体" w:cs="新宋体"/>
          <w:color w:val="auto"/>
          <w:sz w:val="24"/>
          <w:szCs w:val="24"/>
          <w:highlight w:val="none"/>
        </w:rPr>
      </w:pPr>
    </w:p>
    <w:p w14:paraId="1ECAC95E">
      <w:pPr>
        <w:pStyle w:val="36"/>
        <w:ind w:firstLine="240"/>
        <w:rPr>
          <w:rFonts w:hint="eastAsia" w:ascii="新宋体" w:hAnsi="新宋体" w:eastAsia="新宋体" w:cs="新宋体"/>
          <w:color w:val="auto"/>
          <w:sz w:val="24"/>
          <w:szCs w:val="24"/>
          <w:highlight w:val="none"/>
        </w:rPr>
      </w:pPr>
    </w:p>
    <w:p w14:paraId="2E2AED6B">
      <w:pPr>
        <w:rPr>
          <w:rFonts w:hint="eastAsia" w:ascii="新宋体" w:hAnsi="新宋体" w:eastAsia="新宋体" w:cs="新宋体"/>
          <w:color w:val="auto"/>
          <w:sz w:val="24"/>
          <w:szCs w:val="24"/>
          <w:highlight w:val="none"/>
        </w:rPr>
      </w:pPr>
      <w:bookmarkStart w:id="535" w:name="_Toc9477"/>
      <w:bookmarkStart w:id="536" w:name="_Toc30801"/>
      <w:r>
        <w:rPr>
          <w:rFonts w:hint="eastAsia" w:ascii="新宋体" w:hAnsi="新宋体" w:eastAsia="新宋体" w:cs="新宋体"/>
          <w:color w:val="auto"/>
          <w:sz w:val="24"/>
          <w:szCs w:val="24"/>
          <w:highlight w:val="none"/>
        </w:rPr>
        <w:br w:type="page"/>
      </w:r>
    </w:p>
    <w:p w14:paraId="12A9F21B">
      <w:pPr>
        <w:adjustRightInd w:val="0"/>
        <w:snapToGrid w:val="0"/>
        <w:spacing w:beforeLines="50" w:line="560" w:lineRule="exact"/>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4.监狱企业证明资料</w:t>
      </w:r>
      <w:bookmarkEnd w:id="535"/>
      <w:bookmarkEnd w:id="536"/>
    </w:p>
    <w:p w14:paraId="7C99D42D">
      <w:pPr>
        <w:adjustRightInd w:val="0"/>
        <w:snapToGrid w:val="0"/>
        <w:spacing w:line="560" w:lineRule="exact"/>
        <w:jc w:val="center"/>
        <w:rPr>
          <w:rFonts w:hint="eastAsia" w:ascii="新宋体" w:hAnsi="新宋体" w:eastAsia="新宋体" w:cs="新宋体"/>
          <w:color w:val="auto"/>
          <w:sz w:val="24"/>
          <w:szCs w:val="24"/>
          <w:highlight w:val="none"/>
        </w:rPr>
      </w:pPr>
      <w:bookmarkStart w:id="537" w:name="_Toc25903_WPSOffice_Level3"/>
      <w:bookmarkStart w:id="538" w:name="_Toc28022_WPSOffice_Level3"/>
      <w:r>
        <w:rPr>
          <w:rFonts w:hint="eastAsia" w:ascii="新宋体" w:hAnsi="新宋体" w:eastAsia="新宋体" w:cs="新宋体"/>
          <w:b/>
          <w:color w:val="auto"/>
          <w:spacing w:val="6"/>
          <w:sz w:val="24"/>
          <w:szCs w:val="24"/>
          <w:highlight w:val="none"/>
        </w:rPr>
        <w:t>(不属于监狱企业的无需提供)</w:t>
      </w:r>
      <w:bookmarkEnd w:id="537"/>
      <w:bookmarkEnd w:id="538"/>
    </w:p>
    <w:p w14:paraId="439214AD">
      <w:pPr>
        <w:adjustRightInd w:val="0"/>
        <w:snapToGrid w:val="0"/>
        <w:spacing w:line="560" w:lineRule="exact"/>
        <w:ind w:firstLine="504" w:firstLineChars="200"/>
        <w:rPr>
          <w:rFonts w:hint="eastAsia" w:ascii="新宋体" w:hAnsi="新宋体" w:eastAsia="新宋体" w:cs="新宋体"/>
          <w:color w:val="auto"/>
          <w:sz w:val="24"/>
          <w:szCs w:val="24"/>
          <w:highlight w:val="none"/>
        </w:rPr>
      </w:pPr>
      <w:r>
        <w:rPr>
          <w:rFonts w:hint="eastAsia" w:ascii="新宋体" w:hAnsi="新宋体" w:eastAsia="新宋体" w:cs="新宋体"/>
          <w:bCs/>
          <w:color w:val="auto"/>
          <w:spacing w:val="6"/>
          <w:kern w:val="0"/>
          <w:sz w:val="24"/>
          <w:szCs w:val="24"/>
          <w:highlight w:val="none"/>
        </w:rPr>
        <w:t>备注：</w:t>
      </w:r>
      <w:r>
        <w:rPr>
          <w:rFonts w:hint="eastAsia" w:ascii="新宋体" w:hAnsi="新宋体" w:eastAsia="新宋体" w:cs="新宋体"/>
          <w:color w:val="auto"/>
          <w:sz w:val="24"/>
          <w:szCs w:val="24"/>
          <w:highlight w:val="none"/>
        </w:rPr>
        <w:t>按</w:t>
      </w:r>
      <w:r>
        <w:rPr>
          <w:rFonts w:hint="eastAsia" w:ascii="新宋体" w:hAnsi="新宋体" w:eastAsia="新宋体" w:cs="新宋体"/>
          <w:color w:val="auto"/>
          <w:spacing w:val="6"/>
          <w:sz w:val="24"/>
          <w:szCs w:val="24"/>
          <w:highlight w:val="none"/>
        </w:rPr>
        <w:t>《</w:t>
      </w:r>
      <w:r>
        <w:rPr>
          <w:rFonts w:hint="eastAsia" w:ascii="新宋体" w:hAnsi="新宋体" w:eastAsia="新宋体" w:cs="新宋体"/>
          <w:color w:val="auto"/>
          <w:sz w:val="24"/>
          <w:szCs w:val="24"/>
          <w:highlight w:val="none"/>
        </w:rPr>
        <w:t>财政部 司法部关于政府采购支持监狱企业发展有关问题的通知</w:t>
      </w:r>
      <w:r>
        <w:rPr>
          <w:rFonts w:hint="eastAsia" w:ascii="新宋体" w:hAnsi="新宋体" w:eastAsia="新宋体" w:cs="新宋体"/>
          <w:color w:val="auto"/>
          <w:spacing w:val="6"/>
          <w:sz w:val="24"/>
          <w:szCs w:val="24"/>
          <w:highlight w:val="none"/>
        </w:rPr>
        <w:t>》</w:t>
      </w:r>
      <w:r>
        <w:rPr>
          <w:rFonts w:hint="eastAsia" w:ascii="新宋体" w:hAnsi="新宋体" w:eastAsia="新宋体" w:cs="新宋体"/>
          <w:color w:val="auto"/>
          <w:sz w:val="24"/>
          <w:szCs w:val="24"/>
          <w:highlight w:val="none"/>
        </w:rPr>
        <w:t>(财库〔2014〕68号)文件规定提供证明文件（复印件）。</w:t>
      </w:r>
    </w:p>
    <w:p w14:paraId="5337A4F2">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539" w:name="_Toc22071_WPSOffice_Level3"/>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bookmarkEnd w:id="539"/>
    </w:p>
    <w:p w14:paraId="63D6D929">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540" w:name="_Toc11539_WPSOffice_Level3"/>
      <w:r>
        <w:rPr>
          <w:rFonts w:hint="eastAsia" w:ascii="新宋体" w:hAnsi="新宋体" w:eastAsia="新宋体" w:cs="新宋体"/>
          <w:bCs/>
          <w:color w:val="auto"/>
          <w:sz w:val="24"/>
          <w:szCs w:val="24"/>
          <w:highlight w:val="none"/>
        </w:rPr>
        <w:t>法定代表人或委托代理人：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bookmarkEnd w:id="540"/>
    </w:p>
    <w:p w14:paraId="42CFC943">
      <w:pPr>
        <w:spacing w:beforeLines="50" w:line="560" w:lineRule="exact"/>
        <w:ind w:firstLine="480" w:firstLineChars="200"/>
        <w:jc w:val="center"/>
        <w:rPr>
          <w:rFonts w:hint="eastAsia" w:ascii="新宋体" w:hAnsi="新宋体" w:eastAsia="新宋体" w:cs="新宋体"/>
          <w:color w:val="auto"/>
          <w:spacing w:val="6"/>
          <w:sz w:val="24"/>
          <w:szCs w:val="24"/>
          <w:highlight w:val="none"/>
        </w:rPr>
      </w:pPr>
      <w:r>
        <w:rPr>
          <w:rFonts w:hint="eastAsia" w:ascii="新宋体" w:hAnsi="新宋体" w:eastAsia="新宋体" w:cs="新宋体"/>
          <w:bCs/>
          <w:color w:val="auto"/>
          <w:sz w:val="24"/>
          <w:szCs w:val="24"/>
          <w:highlight w:val="none"/>
        </w:rPr>
        <w:t xml:space="preserve">                                    </w:t>
      </w:r>
      <w:bookmarkStart w:id="541" w:name="_Toc3285_WPSOffice_Level3"/>
      <w:r>
        <w:rPr>
          <w:rFonts w:hint="eastAsia" w:ascii="新宋体" w:hAnsi="新宋体" w:eastAsia="新宋体" w:cs="新宋体"/>
          <w:bCs/>
          <w:color w:val="auto"/>
          <w:sz w:val="24"/>
          <w:szCs w:val="24"/>
          <w:highlight w:val="none"/>
        </w:rPr>
        <w:t>年   月  日</w:t>
      </w:r>
      <w:bookmarkEnd w:id="541"/>
    </w:p>
    <w:p w14:paraId="0AF9CF42">
      <w:pPr>
        <w:adjustRightInd w:val="0"/>
        <w:snapToGrid w:val="0"/>
        <w:spacing w:line="560" w:lineRule="exact"/>
        <w:ind w:firstLine="480" w:firstLineChars="200"/>
        <w:rPr>
          <w:rFonts w:hint="eastAsia" w:ascii="新宋体" w:hAnsi="新宋体" w:eastAsia="新宋体" w:cs="新宋体"/>
          <w:color w:val="auto"/>
          <w:sz w:val="24"/>
          <w:szCs w:val="24"/>
          <w:highlight w:val="none"/>
        </w:rPr>
      </w:pPr>
    </w:p>
    <w:p w14:paraId="02CB1603">
      <w:pPr>
        <w:adjustRightInd w:val="0"/>
        <w:snapToGrid w:val="0"/>
        <w:spacing w:beforeLines="50" w:line="560" w:lineRule="exact"/>
        <w:rPr>
          <w:rFonts w:hint="eastAsia" w:ascii="新宋体" w:hAnsi="新宋体" w:eastAsia="新宋体" w:cs="新宋体"/>
          <w:color w:val="auto"/>
          <w:sz w:val="24"/>
          <w:szCs w:val="24"/>
          <w:highlight w:val="none"/>
        </w:rPr>
      </w:pPr>
    </w:p>
    <w:p w14:paraId="37FE469F">
      <w:pPr>
        <w:adjustRightInd w:val="0"/>
        <w:snapToGrid w:val="0"/>
        <w:spacing w:beforeLines="50" w:line="560" w:lineRule="exact"/>
        <w:rPr>
          <w:rFonts w:hint="eastAsia" w:ascii="新宋体" w:hAnsi="新宋体" w:eastAsia="新宋体" w:cs="新宋体"/>
          <w:color w:val="auto"/>
          <w:sz w:val="24"/>
          <w:szCs w:val="24"/>
          <w:highlight w:val="none"/>
        </w:rPr>
      </w:pPr>
    </w:p>
    <w:p w14:paraId="788E2ACE">
      <w:pPr>
        <w:adjustRightInd w:val="0"/>
        <w:snapToGrid w:val="0"/>
        <w:spacing w:beforeLines="50" w:line="560" w:lineRule="exact"/>
        <w:rPr>
          <w:rFonts w:hint="eastAsia" w:ascii="新宋体" w:hAnsi="新宋体" w:eastAsia="新宋体" w:cs="新宋体"/>
          <w:color w:val="auto"/>
          <w:sz w:val="24"/>
          <w:szCs w:val="24"/>
          <w:highlight w:val="none"/>
        </w:rPr>
      </w:pPr>
    </w:p>
    <w:p w14:paraId="0CDDFFDA">
      <w:pPr>
        <w:adjustRightInd w:val="0"/>
        <w:snapToGrid w:val="0"/>
        <w:spacing w:beforeLines="50" w:line="560" w:lineRule="exact"/>
        <w:rPr>
          <w:rFonts w:hint="eastAsia" w:ascii="新宋体" w:hAnsi="新宋体" w:eastAsia="新宋体" w:cs="新宋体"/>
          <w:color w:val="auto"/>
          <w:sz w:val="24"/>
          <w:szCs w:val="24"/>
          <w:highlight w:val="none"/>
        </w:rPr>
      </w:pPr>
    </w:p>
    <w:p w14:paraId="2EF28D84">
      <w:pPr>
        <w:spacing w:beforeLines="50" w:line="560" w:lineRule="exact"/>
        <w:ind w:firstLine="482" w:firstLineChars="200"/>
        <w:jc w:val="center"/>
        <w:rPr>
          <w:rFonts w:hint="eastAsia" w:ascii="新宋体" w:hAnsi="新宋体" w:eastAsia="新宋体" w:cs="新宋体"/>
          <w:b/>
          <w:color w:val="auto"/>
          <w:sz w:val="24"/>
          <w:szCs w:val="24"/>
          <w:highlight w:val="none"/>
        </w:rPr>
      </w:pPr>
    </w:p>
    <w:p w14:paraId="1AB7803E">
      <w:pPr>
        <w:spacing w:beforeLines="50" w:line="560" w:lineRule="exact"/>
        <w:ind w:firstLine="482" w:firstLineChars="200"/>
        <w:jc w:val="center"/>
        <w:rPr>
          <w:rFonts w:hint="eastAsia" w:ascii="新宋体" w:hAnsi="新宋体" w:eastAsia="新宋体" w:cs="新宋体"/>
          <w:b/>
          <w:color w:val="auto"/>
          <w:sz w:val="24"/>
          <w:szCs w:val="24"/>
          <w:highlight w:val="none"/>
        </w:rPr>
      </w:pPr>
    </w:p>
    <w:p w14:paraId="09C012C6">
      <w:pPr>
        <w:spacing w:beforeLines="50" w:line="560" w:lineRule="exact"/>
        <w:ind w:firstLine="482" w:firstLineChars="200"/>
        <w:jc w:val="center"/>
        <w:rPr>
          <w:rFonts w:hint="eastAsia" w:ascii="新宋体" w:hAnsi="新宋体" w:eastAsia="新宋体" w:cs="新宋体"/>
          <w:b/>
          <w:color w:val="auto"/>
          <w:sz w:val="24"/>
          <w:szCs w:val="24"/>
          <w:highlight w:val="none"/>
        </w:rPr>
      </w:pPr>
    </w:p>
    <w:p w14:paraId="768F9309">
      <w:pPr>
        <w:spacing w:beforeLines="50" w:line="560" w:lineRule="exact"/>
        <w:ind w:firstLine="482" w:firstLineChars="200"/>
        <w:jc w:val="center"/>
        <w:rPr>
          <w:rFonts w:hint="eastAsia" w:ascii="新宋体" w:hAnsi="新宋体" w:eastAsia="新宋体" w:cs="新宋体"/>
          <w:b/>
          <w:color w:val="auto"/>
          <w:sz w:val="24"/>
          <w:szCs w:val="24"/>
          <w:highlight w:val="none"/>
        </w:rPr>
      </w:pPr>
    </w:p>
    <w:p w14:paraId="5DAA4C17">
      <w:pPr>
        <w:spacing w:beforeLines="50" w:line="560" w:lineRule="exact"/>
        <w:ind w:firstLine="482" w:firstLineChars="200"/>
        <w:jc w:val="center"/>
        <w:rPr>
          <w:rFonts w:hint="eastAsia" w:ascii="新宋体" w:hAnsi="新宋体" w:eastAsia="新宋体" w:cs="新宋体"/>
          <w:b/>
          <w:color w:val="auto"/>
          <w:sz w:val="24"/>
          <w:szCs w:val="24"/>
          <w:highlight w:val="none"/>
        </w:rPr>
      </w:pPr>
    </w:p>
    <w:p w14:paraId="215F8C7F">
      <w:pPr>
        <w:pStyle w:val="36"/>
        <w:ind w:firstLine="241"/>
        <w:rPr>
          <w:rFonts w:hint="eastAsia" w:ascii="新宋体" w:hAnsi="新宋体" w:eastAsia="新宋体" w:cs="新宋体"/>
          <w:b/>
          <w:color w:val="auto"/>
          <w:sz w:val="24"/>
          <w:szCs w:val="24"/>
          <w:highlight w:val="none"/>
        </w:rPr>
      </w:pPr>
    </w:p>
    <w:p w14:paraId="47D976A3">
      <w:pPr>
        <w:pStyle w:val="36"/>
        <w:ind w:firstLine="241"/>
        <w:rPr>
          <w:rFonts w:hint="eastAsia" w:ascii="新宋体" w:hAnsi="新宋体" w:eastAsia="新宋体" w:cs="新宋体"/>
          <w:b/>
          <w:color w:val="auto"/>
          <w:sz w:val="24"/>
          <w:szCs w:val="24"/>
          <w:highlight w:val="none"/>
        </w:rPr>
      </w:pPr>
    </w:p>
    <w:p w14:paraId="5D9686DD">
      <w:pPr>
        <w:widowControl/>
        <w:snapToGrid w:val="0"/>
        <w:spacing w:beforeLines="50" w:line="560" w:lineRule="exact"/>
        <w:outlineLvl w:val="1"/>
        <w:rPr>
          <w:rFonts w:hint="eastAsia" w:ascii="新宋体" w:hAnsi="新宋体" w:eastAsia="新宋体" w:cs="新宋体"/>
          <w:b/>
          <w:color w:val="auto"/>
          <w:sz w:val="24"/>
          <w:szCs w:val="24"/>
          <w:highlight w:val="none"/>
        </w:rPr>
      </w:pPr>
      <w:bookmarkStart w:id="542" w:name="_Toc23033_WPSOffice_Level3"/>
      <w:bookmarkStart w:id="543" w:name="_Toc12068_WPSOffice_Level3"/>
      <w:bookmarkStart w:id="544" w:name="_Toc21346"/>
      <w:bookmarkStart w:id="545" w:name="_Toc21988"/>
    </w:p>
    <w:p w14:paraId="53E11B82">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5E82DF93">
      <w:pPr>
        <w:widowControl/>
        <w:snapToGrid w:val="0"/>
        <w:spacing w:beforeLines="50" w:line="560" w:lineRule="exact"/>
        <w:outlineLvl w:val="1"/>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附件15：最后报价表</w:t>
      </w:r>
      <w:bookmarkEnd w:id="542"/>
      <w:bookmarkEnd w:id="543"/>
      <w:bookmarkEnd w:id="544"/>
      <w:bookmarkEnd w:id="545"/>
    </w:p>
    <w:p w14:paraId="3B033A65">
      <w:pPr>
        <w:autoSpaceDE w:val="0"/>
        <w:autoSpaceDN w:val="0"/>
        <w:adjustRightInd w:val="0"/>
        <w:spacing w:line="560" w:lineRule="exact"/>
        <w:ind w:left="283" w:leftChars="135"/>
        <w:jc w:val="center"/>
        <w:rPr>
          <w:rFonts w:hint="eastAsia" w:ascii="新宋体" w:hAnsi="新宋体" w:eastAsia="新宋体" w:cs="新宋体"/>
          <w:b/>
          <w:color w:val="auto"/>
          <w:sz w:val="24"/>
          <w:szCs w:val="24"/>
          <w:highlight w:val="none"/>
          <w:lang w:val="zh-CN"/>
        </w:rPr>
      </w:pPr>
      <w:bookmarkStart w:id="546" w:name="_Toc27800_WPSOffice_Level2"/>
      <w:bookmarkStart w:id="547" w:name="_Toc27699_WPSOffice_Level2"/>
      <w:r>
        <w:rPr>
          <w:rFonts w:hint="eastAsia" w:ascii="新宋体" w:hAnsi="新宋体" w:eastAsia="新宋体" w:cs="新宋体"/>
          <w:b/>
          <w:color w:val="auto"/>
          <w:sz w:val="24"/>
          <w:szCs w:val="24"/>
          <w:highlight w:val="none"/>
        </w:rPr>
        <w:t>1.</w:t>
      </w:r>
      <w:bookmarkEnd w:id="546"/>
      <w:bookmarkEnd w:id="547"/>
      <w:r>
        <w:rPr>
          <w:rFonts w:hint="eastAsia" w:ascii="新宋体" w:hAnsi="新宋体" w:eastAsia="新宋体" w:cs="新宋体"/>
          <w:b/>
          <w:color w:val="auto"/>
          <w:sz w:val="24"/>
          <w:szCs w:val="24"/>
          <w:highlight w:val="none"/>
        </w:rPr>
        <w:t>最后报价表</w:t>
      </w:r>
    </w:p>
    <w:p w14:paraId="5D640F75">
      <w:pPr>
        <w:spacing w:line="400" w:lineRule="exact"/>
        <w:ind w:left="283" w:leftChars="135"/>
        <w:rPr>
          <w:rFonts w:hint="eastAsia" w:ascii="新宋体" w:hAnsi="新宋体" w:eastAsia="新宋体" w:cs="新宋体"/>
          <w:b/>
          <w:color w:val="auto"/>
          <w:sz w:val="24"/>
          <w:szCs w:val="24"/>
          <w:highlight w:val="none"/>
        </w:rPr>
      </w:pPr>
      <w:bookmarkStart w:id="548" w:name="_Toc31451_WPSOffice_Level2"/>
      <w:bookmarkStart w:id="549" w:name="_Toc26632_WPSOffice_Level2"/>
      <w:r>
        <w:rPr>
          <w:rFonts w:hint="eastAsia" w:ascii="新宋体" w:hAnsi="新宋体" w:eastAsia="新宋体" w:cs="新宋体"/>
          <w:b/>
          <w:color w:val="auto"/>
          <w:sz w:val="24"/>
          <w:szCs w:val="24"/>
          <w:highlight w:val="none"/>
        </w:rPr>
        <w:t>项目名称：</w:t>
      </w:r>
      <w:bookmarkEnd w:id="548"/>
      <w:bookmarkEnd w:id="549"/>
      <w:r>
        <w:rPr>
          <w:rFonts w:hint="eastAsia" w:ascii="新宋体" w:hAnsi="新宋体" w:eastAsia="新宋体" w:cs="新宋体"/>
          <w:b/>
          <w:color w:val="auto"/>
          <w:sz w:val="24"/>
          <w:szCs w:val="24"/>
          <w:highlight w:val="none"/>
        </w:rPr>
        <w:t xml:space="preserve">                                           </w:t>
      </w:r>
    </w:p>
    <w:p w14:paraId="2313CD9B">
      <w:pPr>
        <w:spacing w:beforeLines="50" w:line="400" w:lineRule="exact"/>
        <w:ind w:firstLine="241" w:firstLineChars="100"/>
        <w:rPr>
          <w:rFonts w:hint="eastAsia" w:ascii="新宋体" w:hAnsi="新宋体" w:eastAsia="新宋体" w:cs="新宋体"/>
          <w:b/>
          <w:color w:val="auto"/>
          <w:sz w:val="24"/>
          <w:szCs w:val="24"/>
          <w:highlight w:val="none"/>
        </w:rPr>
      </w:pPr>
      <w:bookmarkStart w:id="550" w:name="_Toc18301_WPSOffice_Level2"/>
      <w:bookmarkStart w:id="551" w:name="_Toc16830_WPSOffice_Level2"/>
      <w:r>
        <w:rPr>
          <w:rFonts w:hint="eastAsia" w:ascii="新宋体" w:hAnsi="新宋体" w:eastAsia="新宋体" w:cs="新宋体"/>
          <w:b/>
          <w:color w:val="auto"/>
          <w:sz w:val="24"/>
          <w:szCs w:val="24"/>
          <w:highlight w:val="none"/>
        </w:rPr>
        <w:t>项目编号：</w:t>
      </w:r>
    </w:p>
    <w:p w14:paraId="3B6DC424">
      <w:pPr>
        <w:spacing w:beforeLines="50" w:line="400" w:lineRule="exact"/>
        <w:ind w:firstLine="241" w:firstLineChars="100"/>
        <w:rPr>
          <w:rFonts w:hint="eastAsia" w:ascii="新宋体" w:hAnsi="新宋体" w:eastAsia="新宋体" w:cs="新宋体"/>
          <w:bCs/>
          <w:color w:val="auto"/>
          <w:sz w:val="24"/>
          <w:szCs w:val="24"/>
          <w:highlight w:val="none"/>
        </w:rPr>
      </w:pPr>
      <w:r>
        <w:rPr>
          <w:rFonts w:hint="eastAsia" w:ascii="新宋体" w:hAnsi="新宋体" w:eastAsia="新宋体" w:cs="新宋体"/>
          <w:b/>
          <w:color w:val="auto"/>
          <w:sz w:val="24"/>
          <w:szCs w:val="24"/>
          <w:highlight w:val="none"/>
          <w:lang w:eastAsia="zh-CN"/>
        </w:rPr>
        <w:t>供应商名称（盖章）：</w:t>
      </w:r>
      <w:r>
        <w:rPr>
          <w:rFonts w:hint="eastAsia" w:ascii="新宋体" w:hAnsi="新宋体" w:eastAsia="新宋体" w:cs="新宋体"/>
          <w:b/>
          <w:color w:val="auto"/>
          <w:sz w:val="24"/>
          <w:szCs w:val="24"/>
          <w:highlight w:val="none"/>
        </w:rPr>
        <w:t xml:space="preserve">                            </w:t>
      </w:r>
      <w:r>
        <w:rPr>
          <w:rFonts w:hint="eastAsia" w:ascii="新宋体" w:hAnsi="新宋体" w:eastAsia="新宋体" w:cs="新宋体"/>
          <w:color w:val="auto"/>
          <w:sz w:val="24"/>
          <w:szCs w:val="24"/>
          <w:highlight w:val="none"/>
        </w:rPr>
        <w:t>单位：</w:t>
      </w:r>
      <w:r>
        <w:rPr>
          <w:rFonts w:hint="eastAsia" w:ascii="新宋体" w:hAnsi="新宋体" w:eastAsia="新宋体" w:cs="新宋体"/>
          <w:bCs/>
          <w:color w:val="auto"/>
          <w:sz w:val="24"/>
          <w:szCs w:val="24"/>
          <w:highlight w:val="none"/>
        </w:rPr>
        <w:t>人民币(元)</w:t>
      </w:r>
      <w:bookmarkEnd w:id="550"/>
      <w:bookmarkEnd w:id="551"/>
    </w:p>
    <w:p w14:paraId="19BFF02A">
      <w:pPr>
        <w:spacing w:beforeLines="50" w:line="560" w:lineRule="exact"/>
        <w:ind w:firstLine="240" w:firstLineChars="100"/>
        <w:rPr>
          <w:rFonts w:hint="eastAsia" w:ascii="新宋体" w:hAnsi="新宋体" w:eastAsia="新宋体" w:cs="新宋体"/>
          <w:bCs/>
          <w:color w:val="auto"/>
          <w:sz w:val="24"/>
          <w:szCs w:val="24"/>
          <w:highlight w:val="none"/>
        </w:rPr>
      </w:pPr>
    </w:p>
    <w:tbl>
      <w:tblPr>
        <w:tblStyle w:val="86"/>
        <w:tblW w:w="9356"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19"/>
        <w:gridCol w:w="6237"/>
      </w:tblGrid>
      <w:tr w14:paraId="44B0D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3119" w:type="dxa"/>
            <w:vAlign w:val="center"/>
          </w:tcPr>
          <w:p w14:paraId="7ADB0FA7">
            <w:pPr>
              <w:spacing w:before="75" w:line="226" w:lineRule="auto"/>
              <w:ind w:left="121"/>
              <w:jc w:val="both"/>
              <w:rPr>
                <w:rFonts w:cs="宋体" w:asciiTheme="minorEastAsia" w:hAnsiTheme="minorEastAsia"/>
                <w:sz w:val="24"/>
                <w:szCs w:val="24"/>
              </w:rPr>
            </w:pPr>
            <w:r>
              <w:rPr>
                <w:rFonts w:cs="宋体" w:asciiTheme="minorEastAsia" w:hAnsiTheme="minorEastAsia"/>
                <w:spacing w:val="9"/>
                <w:sz w:val="24"/>
                <w:szCs w:val="24"/>
              </w:rPr>
              <w:t>最</w:t>
            </w:r>
            <w:r>
              <w:rPr>
                <w:rFonts w:cs="宋体" w:asciiTheme="minorEastAsia" w:hAnsiTheme="minorEastAsia"/>
                <w:spacing w:val="8"/>
                <w:sz w:val="24"/>
                <w:szCs w:val="24"/>
              </w:rPr>
              <w:t>初报价(单价：元)</w:t>
            </w:r>
          </w:p>
        </w:tc>
        <w:tc>
          <w:tcPr>
            <w:tcW w:w="6237" w:type="dxa"/>
          </w:tcPr>
          <w:p w14:paraId="55BEC3A4">
            <w:pPr>
              <w:spacing w:before="118" w:line="468" w:lineRule="exact"/>
              <w:ind w:left="120"/>
              <w:rPr>
                <w:rFonts w:cs="宋体" w:asciiTheme="minorEastAsia" w:hAnsiTheme="minorEastAsia"/>
                <w:sz w:val="24"/>
                <w:szCs w:val="24"/>
              </w:rPr>
            </w:pPr>
            <w:r>
              <w:rPr>
                <w:rFonts w:cs="宋体" w:asciiTheme="minorEastAsia" w:hAnsiTheme="minorEastAsia"/>
                <w:spacing w:val="2"/>
                <w:position w:val="17"/>
                <w:sz w:val="24"/>
                <w:szCs w:val="24"/>
              </w:rPr>
              <w:t>小</w:t>
            </w:r>
            <w:r>
              <w:rPr>
                <w:rFonts w:cs="宋体" w:asciiTheme="minorEastAsia" w:hAnsiTheme="minorEastAsia"/>
                <w:spacing w:val="1"/>
                <w:position w:val="17"/>
                <w:sz w:val="24"/>
                <w:szCs w:val="24"/>
              </w:rPr>
              <w:t>写：</w:t>
            </w:r>
          </w:p>
          <w:p w14:paraId="2CF77606">
            <w:pPr>
              <w:spacing w:line="228" w:lineRule="auto"/>
              <w:ind w:left="116"/>
              <w:rPr>
                <w:rFonts w:cs="宋体" w:asciiTheme="minorEastAsia" w:hAnsiTheme="minorEastAsia"/>
                <w:sz w:val="24"/>
                <w:szCs w:val="24"/>
              </w:rPr>
            </w:pPr>
            <w:r>
              <w:rPr>
                <w:rFonts w:cs="宋体" w:asciiTheme="minorEastAsia" w:hAnsiTheme="minorEastAsia"/>
                <w:spacing w:val="3"/>
                <w:sz w:val="24"/>
                <w:szCs w:val="24"/>
              </w:rPr>
              <w:t>大</w:t>
            </w:r>
            <w:r>
              <w:rPr>
                <w:rFonts w:cs="宋体" w:asciiTheme="minorEastAsia" w:hAnsiTheme="minorEastAsia"/>
                <w:spacing w:val="2"/>
                <w:sz w:val="24"/>
                <w:szCs w:val="24"/>
              </w:rPr>
              <w:t>写：</w:t>
            </w:r>
          </w:p>
        </w:tc>
      </w:tr>
      <w:tr w14:paraId="42368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3119" w:type="dxa"/>
            <w:vAlign w:val="center"/>
          </w:tcPr>
          <w:p w14:paraId="69BC789B">
            <w:pPr>
              <w:spacing w:before="116" w:line="226" w:lineRule="auto"/>
              <w:ind w:left="121"/>
              <w:jc w:val="both"/>
              <w:rPr>
                <w:rFonts w:cs="宋体" w:asciiTheme="minorEastAsia" w:hAnsiTheme="minorEastAsia"/>
                <w:sz w:val="24"/>
                <w:szCs w:val="24"/>
              </w:rPr>
            </w:pPr>
            <w:r>
              <w:rPr>
                <w:rFonts w:cs="宋体" w:asciiTheme="minorEastAsia" w:hAnsiTheme="minorEastAsia"/>
                <w:spacing w:val="9"/>
                <w:sz w:val="24"/>
                <w:szCs w:val="24"/>
              </w:rPr>
              <w:t>最</w:t>
            </w:r>
            <w:r>
              <w:rPr>
                <w:rFonts w:cs="宋体" w:asciiTheme="minorEastAsia" w:hAnsiTheme="minorEastAsia"/>
                <w:spacing w:val="8"/>
                <w:sz w:val="24"/>
                <w:szCs w:val="24"/>
              </w:rPr>
              <w:t>终报价(单价：元)</w:t>
            </w:r>
          </w:p>
        </w:tc>
        <w:tc>
          <w:tcPr>
            <w:tcW w:w="6237" w:type="dxa"/>
          </w:tcPr>
          <w:p w14:paraId="30B070B7">
            <w:pPr>
              <w:spacing w:before="116" w:line="468" w:lineRule="exact"/>
              <w:ind w:left="120"/>
              <w:rPr>
                <w:rFonts w:cs="宋体" w:asciiTheme="minorEastAsia" w:hAnsiTheme="minorEastAsia"/>
                <w:sz w:val="24"/>
                <w:szCs w:val="24"/>
              </w:rPr>
            </w:pPr>
            <w:r>
              <w:rPr>
                <w:rFonts w:cs="宋体" w:asciiTheme="minorEastAsia" w:hAnsiTheme="minorEastAsia"/>
                <w:spacing w:val="2"/>
                <w:position w:val="17"/>
                <w:sz w:val="24"/>
                <w:szCs w:val="24"/>
              </w:rPr>
              <w:t>小</w:t>
            </w:r>
            <w:r>
              <w:rPr>
                <w:rFonts w:cs="宋体" w:asciiTheme="minorEastAsia" w:hAnsiTheme="minorEastAsia"/>
                <w:spacing w:val="1"/>
                <w:position w:val="17"/>
                <w:sz w:val="24"/>
                <w:szCs w:val="24"/>
              </w:rPr>
              <w:t>写：</w:t>
            </w:r>
          </w:p>
          <w:p w14:paraId="31118291">
            <w:pPr>
              <w:spacing w:line="228" w:lineRule="auto"/>
              <w:ind w:left="116"/>
              <w:rPr>
                <w:rFonts w:cs="宋体" w:asciiTheme="minorEastAsia" w:hAnsiTheme="minorEastAsia"/>
                <w:sz w:val="24"/>
                <w:szCs w:val="24"/>
              </w:rPr>
            </w:pPr>
            <w:r>
              <w:rPr>
                <w:rFonts w:cs="宋体" w:asciiTheme="minorEastAsia" w:hAnsiTheme="minorEastAsia"/>
                <w:spacing w:val="3"/>
                <w:sz w:val="24"/>
                <w:szCs w:val="24"/>
              </w:rPr>
              <w:t>大</w:t>
            </w:r>
            <w:r>
              <w:rPr>
                <w:rFonts w:cs="宋体" w:asciiTheme="minorEastAsia" w:hAnsiTheme="minorEastAsia"/>
                <w:spacing w:val="2"/>
                <w:sz w:val="24"/>
                <w:szCs w:val="24"/>
              </w:rPr>
              <w:t>写：</w:t>
            </w:r>
          </w:p>
        </w:tc>
      </w:tr>
      <w:tr w14:paraId="67C9E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3119" w:type="dxa"/>
            <w:vAlign w:val="center"/>
          </w:tcPr>
          <w:p w14:paraId="2647E8E7">
            <w:pPr>
              <w:spacing w:before="118" w:line="227" w:lineRule="auto"/>
              <w:ind w:left="120"/>
              <w:jc w:val="both"/>
              <w:rPr>
                <w:rFonts w:cs="宋体" w:asciiTheme="minorEastAsia" w:hAnsiTheme="minorEastAsia"/>
                <w:sz w:val="24"/>
                <w:szCs w:val="24"/>
              </w:rPr>
            </w:pPr>
            <w:r>
              <w:rPr>
                <w:rFonts w:cs="宋体" w:asciiTheme="minorEastAsia" w:hAnsiTheme="minorEastAsia"/>
                <w:spacing w:val="7"/>
                <w:sz w:val="24"/>
                <w:szCs w:val="24"/>
              </w:rPr>
              <w:t>调整因素</w:t>
            </w:r>
          </w:p>
        </w:tc>
        <w:tc>
          <w:tcPr>
            <w:tcW w:w="6237" w:type="dxa"/>
          </w:tcPr>
          <w:p w14:paraId="39BEEFE7">
            <w:pPr>
              <w:rPr>
                <w:rFonts w:asciiTheme="minorEastAsia" w:hAnsiTheme="minorEastAsia"/>
                <w:sz w:val="24"/>
                <w:szCs w:val="24"/>
              </w:rPr>
            </w:pPr>
          </w:p>
        </w:tc>
      </w:tr>
      <w:tr w14:paraId="4C8C9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3119" w:type="dxa"/>
            <w:vAlign w:val="center"/>
          </w:tcPr>
          <w:p w14:paraId="6A23A123">
            <w:pPr>
              <w:spacing w:before="118" w:line="227" w:lineRule="auto"/>
              <w:ind w:left="122"/>
              <w:jc w:val="both"/>
              <w:rPr>
                <w:rFonts w:cs="宋体" w:asciiTheme="minorEastAsia" w:hAnsiTheme="minorEastAsia"/>
                <w:sz w:val="24"/>
                <w:szCs w:val="24"/>
              </w:rPr>
            </w:pPr>
            <w:r>
              <w:rPr>
                <w:rFonts w:cs="宋体" w:asciiTheme="minorEastAsia" w:hAnsiTheme="minorEastAsia"/>
                <w:spacing w:val="5"/>
                <w:sz w:val="24"/>
                <w:szCs w:val="24"/>
              </w:rPr>
              <w:t>交货期</w:t>
            </w:r>
          </w:p>
        </w:tc>
        <w:tc>
          <w:tcPr>
            <w:tcW w:w="6237" w:type="dxa"/>
          </w:tcPr>
          <w:p w14:paraId="600DB858">
            <w:pPr>
              <w:rPr>
                <w:rFonts w:asciiTheme="minorEastAsia" w:hAnsiTheme="minorEastAsia"/>
                <w:sz w:val="24"/>
                <w:szCs w:val="24"/>
              </w:rPr>
            </w:pPr>
          </w:p>
        </w:tc>
      </w:tr>
      <w:tr w14:paraId="45A98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1" w:hRule="atLeast"/>
        </w:trPr>
        <w:tc>
          <w:tcPr>
            <w:tcW w:w="9356" w:type="dxa"/>
            <w:gridSpan w:val="2"/>
          </w:tcPr>
          <w:p w14:paraId="7CB56841">
            <w:pPr>
              <w:spacing w:before="120" w:line="227" w:lineRule="auto"/>
              <w:ind w:left="121"/>
              <w:rPr>
                <w:rFonts w:cs="宋体" w:asciiTheme="minorEastAsia" w:hAnsiTheme="minorEastAsia"/>
                <w:sz w:val="24"/>
                <w:szCs w:val="24"/>
              </w:rPr>
            </w:pPr>
            <w:r>
              <w:rPr>
                <w:rFonts w:cs="宋体" w:asciiTheme="minorEastAsia" w:hAnsiTheme="minorEastAsia"/>
                <w:spacing w:val="16"/>
                <w:sz w:val="24"/>
                <w:szCs w:val="24"/>
              </w:rPr>
              <w:t>最</w:t>
            </w:r>
            <w:r>
              <w:rPr>
                <w:rFonts w:cs="宋体" w:asciiTheme="minorEastAsia" w:hAnsiTheme="minorEastAsia"/>
                <w:spacing w:val="9"/>
                <w:sz w:val="24"/>
                <w:szCs w:val="24"/>
              </w:rPr>
              <w:t>终</w:t>
            </w:r>
            <w:r>
              <w:rPr>
                <w:rFonts w:cs="宋体" w:asciiTheme="minorEastAsia" w:hAnsiTheme="minorEastAsia"/>
                <w:spacing w:val="8"/>
                <w:sz w:val="24"/>
                <w:szCs w:val="24"/>
              </w:rPr>
              <w:t>确定的质量保证及服务承诺 (优惠条件)</w:t>
            </w:r>
          </w:p>
        </w:tc>
      </w:tr>
    </w:tbl>
    <w:p w14:paraId="30183388">
      <w:pPr>
        <w:spacing w:line="560" w:lineRule="exact"/>
        <w:ind w:firstLine="482"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
          <w:color w:val="auto"/>
          <w:sz w:val="24"/>
          <w:szCs w:val="24"/>
          <w:highlight w:val="none"/>
        </w:rPr>
        <w:t xml:space="preserve">                   </w:t>
      </w:r>
      <w:r>
        <w:rPr>
          <w:rFonts w:hint="eastAsia" w:ascii="新宋体" w:hAnsi="新宋体" w:eastAsia="新宋体" w:cs="新宋体"/>
          <w:b/>
          <w:bCs/>
          <w:color w:val="auto"/>
          <w:sz w:val="24"/>
          <w:szCs w:val="24"/>
          <w:highlight w:val="none"/>
        </w:rPr>
        <w:t xml:space="preserve">     </w:t>
      </w:r>
    </w:p>
    <w:p w14:paraId="2C66C8DE">
      <w:pPr>
        <w:rPr>
          <w:rFonts w:hint="default" w:ascii="新宋体" w:hAnsi="新宋体" w:eastAsia="新宋体" w:cs="新宋体"/>
          <w:bCs/>
          <w:color w:val="auto"/>
          <w:sz w:val="24"/>
          <w:szCs w:val="24"/>
          <w:highlight w:val="none"/>
          <w:lang w:val="en-US" w:eastAsia="zh-CN"/>
        </w:rPr>
      </w:pPr>
      <w:r>
        <w:rPr>
          <w:rFonts w:hint="eastAsia" w:ascii="新宋体" w:hAnsi="新宋体" w:eastAsia="新宋体" w:cs="新宋体"/>
          <w:bCs/>
          <w:color w:val="auto"/>
          <w:sz w:val="24"/>
          <w:szCs w:val="24"/>
          <w:highlight w:val="none"/>
          <w:lang w:val="en-US" w:eastAsia="zh-CN"/>
        </w:rPr>
        <w:t>注：</w:t>
      </w:r>
      <w:r>
        <w:rPr>
          <w:rFonts w:hint="eastAsia" w:ascii="新宋体" w:hAnsi="新宋体" w:eastAsia="新宋体" w:cs="新宋体"/>
          <w:bCs/>
          <w:color w:val="auto"/>
          <w:sz w:val="24"/>
          <w:szCs w:val="24"/>
          <w:highlight w:val="none"/>
        </w:rPr>
        <w:t>本表</w:t>
      </w:r>
      <w:r>
        <w:rPr>
          <w:rFonts w:hint="eastAsia" w:ascii="新宋体" w:hAnsi="新宋体" w:eastAsia="新宋体" w:cs="新宋体"/>
          <w:bCs/>
          <w:color w:val="auto"/>
          <w:sz w:val="24"/>
          <w:szCs w:val="24"/>
          <w:highlight w:val="none"/>
          <w:lang w:val="en-US" w:eastAsia="zh-CN"/>
        </w:rPr>
        <w:t>需规定的最后一轮报价时间内盖章上传至政采云平台，如不上传本表按报价无效处理。</w:t>
      </w:r>
    </w:p>
    <w:p w14:paraId="481FC95C">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3FE77E05">
      <w:pPr>
        <w:spacing w:beforeLines="50" w:line="560" w:lineRule="exact"/>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2.最终</w:t>
      </w:r>
      <w:r>
        <w:rPr>
          <w:rFonts w:hint="eastAsia" w:ascii="新宋体" w:hAnsi="新宋体" w:eastAsia="新宋体" w:cs="新宋体"/>
          <w:b/>
          <w:color w:val="auto"/>
          <w:sz w:val="24"/>
          <w:szCs w:val="24"/>
          <w:highlight w:val="none"/>
          <w:lang w:val="zh-CN"/>
        </w:rPr>
        <w:t>分项报价表</w:t>
      </w:r>
    </w:p>
    <w:p w14:paraId="61E27901">
      <w:pPr>
        <w:spacing w:line="560" w:lineRule="exact"/>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供应商名称</w:t>
      </w:r>
      <w:r>
        <w:rPr>
          <w:rFonts w:hint="eastAsia" w:ascii="新宋体" w:hAnsi="新宋体" w:eastAsia="新宋体" w:cs="新宋体"/>
          <w:bCs/>
          <w:color w:val="auto"/>
          <w:sz w:val="24"/>
          <w:szCs w:val="24"/>
          <w:highlight w:val="none"/>
          <w:lang w:eastAsia="zh-CN"/>
        </w:rPr>
        <w:t>（盖章）</w:t>
      </w:r>
      <w:r>
        <w:rPr>
          <w:rFonts w:hint="eastAsia" w:ascii="新宋体" w:hAnsi="新宋体" w:eastAsia="新宋体" w:cs="新宋体"/>
          <w:bCs/>
          <w:color w:val="auto"/>
          <w:sz w:val="24"/>
          <w:szCs w:val="24"/>
          <w:highlight w:val="none"/>
        </w:rPr>
        <w:t xml:space="preserve">:                    单位：人民币(元)                                          </w:t>
      </w:r>
    </w:p>
    <w:tbl>
      <w:tblPr>
        <w:tblStyle w:val="39"/>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497"/>
        <w:gridCol w:w="992"/>
        <w:gridCol w:w="1052"/>
        <w:gridCol w:w="1356"/>
        <w:gridCol w:w="953"/>
        <w:gridCol w:w="710"/>
        <w:gridCol w:w="851"/>
        <w:gridCol w:w="850"/>
      </w:tblGrid>
      <w:tr w14:paraId="4EC3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31" w:hRule="atLeast"/>
        </w:trPr>
        <w:tc>
          <w:tcPr>
            <w:tcW w:w="658" w:type="dxa"/>
            <w:vAlign w:val="center"/>
          </w:tcPr>
          <w:p w14:paraId="31F0281C">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序号</w:t>
            </w:r>
          </w:p>
        </w:tc>
        <w:tc>
          <w:tcPr>
            <w:tcW w:w="1497" w:type="dxa"/>
            <w:vAlign w:val="center"/>
          </w:tcPr>
          <w:p w14:paraId="5307DCC7">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产品名称</w:t>
            </w:r>
          </w:p>
        </w:tc>
        <w:tc>
          <w:tcPr>
            <w:tcW w:w="992" w:type="dxa"/>
            <w:vAlign w:val="center"/>
          </w:tcPr>
          <w:p w14:paraId="39D065A1">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品牌</w:t>
            </w:r>
          </w:p>
        </w:tc>
        <w:tc>
          <w:tcPr>
            <w:tcW w:w="1052" w:type="dxa"/>
            <w:vAlign w:val="center"/>
          </w:tcPr>
          <w:p w14:paraId="2EF1EEAF">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规格型号</w:t>
            </w:r>
          </w:p>
        </w:tc>
        <w:tc>
          <w:tcPr>
            <w:tcW w:w="1356" w:type="dxa"/>
            <w:vAlign w:val="center"/>
          </w:tcPr>
          <w:p w14:paraId="7DBC72C3">
            <w:pPr>
              <w:spacing w:line="560" w:lineRule="exact"/>
              <w:jc w:val="center"/>
              <w:rPr>
                <w:rFonts w:hint="default" w:ascii="新宋体" w:hAnsi="新宋体" w:eastAsia="新宋体" w:cs="新宋体"/>
                <w:bCs/>
                <w:color w:val="auto"/>
                <w:sz w:val="24"/>
                <w:szCs w:val="24"/>
                <w:highlight w:val="none"/>
                <w:lang w:val="en-US" w:eastAsia="zh-CN"/>
              </w:rPr>
            </w:pPr>
            <w:r>
              <w:rPr>
                <w:rFonts w:hint="eastAsia" w:ascii="新宋体" w:hAnsi="新宋体" w:eastAsia="新宋体" w:cs="新宋体"/>
                <w:bCs/>
                <w:color w:val="auto"/>
                <w:sz w:val="24"/>
                <w:szCs w:val="24"/>
                <w:highlight w:val="none"/>
              </w:rPr>
              <w:t>生产厂家</w:t>
            </w:r>
            <w:r>
              <w:rPr>
                <w:rFonts w:hint="eastAsia" w:ascii="新宋体" w:hAnsi="新宋体" w:eastAsia="新宋体" w:cs="新宋体"/>
                <w:bCs/>
                <w:color w:val="auto"/>
                <w:sz w:val="24"/>
                <w:szCs w:val="24"/>
                <w:highlight w:val="none"/>
                <w:lang w:val="en-US" w:eastAsia="zh-CN"/>
              </w:rPr>
              <w:t>或产地</w:t>
            </w:r>
          </w:p>
        </w:tc>
        <w:tc>
          <w:tcPr>
            <w:tcW w:w="953" w:type="dxa"/>
            <w:vAlign w:val="center"/>
          </w:tcPr>
          <w:p w14:paraId="3B202C07">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单位</w:t>
            </w:r>
          </w:p>
        </w:tc>
        <w:tc>
          <w:tcPr>
            <w:tcW w:w="710" w:type="dxa"/>
            <w:vAlign w:val="center"/>
          </w:tcPr>
          <w:p w14:paraId="3903C773">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单价</w:t>
            </w:r>
          </w:p>
        </w:tc>
        <w:tc>
          <w:tcPr>
            <w:tcW w:w="851" w:type="dxa"/>
            <w:vAlign w:val="center"/>
          </w:tcPr>
          <w:p w14:paraId="2D406510">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合计</w:t>
            </w:r>
          </w:p>
        </w:tc>
        <w:tc>
          <w:tcPr>
            <w:tcW w:w="850" w:type="dxa"/>
            <w:vAlign w:val="center"/>
          </w:tcPr>
          <w:p w14:paraId="62BB48FA">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备注</w:t>
            </w:r>
          </w:p>
        </w:tc>
      </w:tr>
      <w:tr w14:paraId="53B2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5825037E">
            <w:pPr>
              <w:spacing w:line="560" w:lineRule="exact"/>
              <w:ind w:firstLine="199" w:firstLineChars="83"/>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w:t>
            </w:r>
          </w:p>
        </w:tc>
        <w:tc>
          <w:tcPr>
            <w:tcW w:w="1497" w:type="dxa"/>
            <w:vAlign w:val="center"/>
          </w:tcPr>
          <w:p w14:paraId="41EFFF23">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92" w:type="dxa"/>
            <w:vAlign w:val="center"/>
          </w:tcPr>
          <w:p w14:paraId="2A1C2A10">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052" w:type="dxa"/>
            <w:vAlign w:val="center"/>
          </w:tcPr>
          <w:p w14:paraId="1FDDBAE3">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356" w:type="dxa"/>
            <w:vAlign w:val="center"/>
          </w:tcPr>
          <w:p w14:paraId="75D81876">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53" w:type="dxa"/>
            <w:vAlign w:val="center"/>
          </w:tcPr>
          <w:p w14:paraId="791D2BE5">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710" w:type="dxa"/>
            <w:vAlign w:val="center"/>
          </w:tcPr>
          <w:p w14:paraId="6CDC2C64">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1" w:type="dxa"/>
            <w:vAlign w:val="center"/>
          </w:tcPr>
          <w:p w14:paraId="5DC20DD9">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0" w:type="dxa"/>
            <w:vAlign w:val="center"/>
          </w:tcPr>
          <w:p w14:paraId="1BEC0A8C">
            <w:pPr>
              <w:spacing w:line="560" w:lineRule="exact"/>
              <w:ind w:firstLine="480" w:firstLineChars="200"/>
              <w:jc w:val="center"/>
              <w:rPr>
                <w:rFonts w:hint="eastAsia" w:ascii="新宋体" w:hAnsi="新宋体" w:eastAsia="新宋体" w:cs="新宋体"/>
                <w:bCs/>
                <w:color w:val="auto"/>
                <w:sz w:val="24"/>
                <w:szCs w:val="24"/>
                <w:highlight w:val="none"/>
              </w:rPr>
            </w:pPr>
          </w:p>
        </w:tc>
      </w:tr>
      <w:tr w14:paraId="6476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397AD8CA">
            <w:pPr>
              <w:spacing w:line="560" w:lineRule="exact"/>
              <w:ind w:firstLine="199" w:firstLineChars="83"/>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w:t>
            </w:r>
          </w:p>
        </w:tc>
        <w:tc>
          <w:tcPr>
            <w:tcW w:w="1497" w:type="dxa"/>
            <w:vAlign w:val="center"/>
          </w:tcPr>
          <w:p w14:paraId="550B6FCA">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92" w:type="dxa"/>
            <w:vAlign w:val="center"/>
          </w:tcPr>
          <w:p w14:paraId="482E7973">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052" w:type="dxa"/>
            <w:vAlign w:val="center"/>
          </w:tcPr>
          <w:p w14:paraId="5ECA2525">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356" w:type="dxa"/>
            <w:vAlign w:val="center"/>
          </w:tcPr>
          <w:p w14:paraId="7888A749">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53" w:type="dxa"/>
            <w:vAlign w:val="center"/>
          </w:tcPr>
          <w:p w14:paraId="3B9F0929">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710" w:type="dxa"/>
            <w:vAlign w:val="center"/>
          </w:tcPr>
          <w:p w14:paraId="720CF880">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1" w:type="dxa"/>
            <w:vAlign w:val="center"/>
          </w:tcPr>
          <w:p w14:paraId="2D86A68F">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0" w:type="dxa"/>
            <w:vAlign w:val="center"/>
          </w:tcPr>
          <w:p w14:paraId="70338B2B">
            <w:pPr>
              <w:spacing w:line="560" w:lineRule="exact"/>
              <w:ind w:firstLine="480" w:firstLineChars="200"/>
              <w:jc w:val="center"/>
              <w:rPr>
                <w:rFonts w:hint="eastAsia" w:ascii="新宋体" w:hAnsi="新宋体" w:eastAsia="新宋体" w:cs="新宋体"/>
                <w:bCs/>
                <w:color w:val="auto"/>
                <w:sz w:val="24"/>
                <w:szCs w:val="24"/>
                <w:highlight w:val="none"/>
              </w:rPr>
            </w:pPr>
          </w:p>
        </w:tc>
      </w:tr>
      <w:tr w14:paraId="099B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5B0AF067">
            <w:pPr>
              <w:spacing w:line="560" w:lineRule="exact"/>
              <w:ind w:firstLine="199" w:firstLineChars="83"/>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w:t>
            </w:r>
          </w:p>
        </w:tc>
        <w:tc>
          <w:tcPr>
            <w:tcW w:w="1497" w:type="dxa"/>
            <w:vAlign w:val="center"/>
          </w:tcPr>
          <w:p w14:paraId="71803224">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92" w:type="dxa"/>
            <w:vAlign w:val="center"/>
          </w:tcPr>
          <w:p w14:paraId="7BB3C81F">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052" w:type="dxa"/>
            <w:vAlign w:val="center"/>
          </w:tcPr>
          <w:p w14:paraId="00A2733F">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356" w:type="dxa"/>
            <w:vAlign w:val="center"/>
          </w:tcPr>
          <w:p w14:paraId="7B81F386">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53" w:type="dxa"/>
            <w:vAlign w:val="center"/>
          </w:tcPr>
          <w:p w14:paraId="3A43CCEF">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710" w:type="dxa"/>
            <w:vAlign w:val="center"/>
          </w:tcPr>
          <w:p w14:paraId="10D447C4">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1" w:type="dxa"/>
            <w:vAlign w:val="center"/>
          </w:tcPr>
          <w:p w14:paraId="3B4B6E75">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0" w:type="dxa"/>
            <w:vAlign w:val="center"/>
          </w:tcPr>
          <w:p w14:paraId="2412588F">
            <w:pPr>
              <w:spacing w:line="560" w:lineRule="exact"/>
              <w:ind w:firstLine="480" w:firstLineChars="200"/>
              <w:jc w:val="center"/>
              <w:rPr>
                <w:rFonts w:hint="eastAsia" w:ascii="新宋体" w:hAnsi="新宋体" w:eastAsia="新宋体" w:cs="新宋体"/>
                <w:bCs/>
                <w:color w:val="auto"/>
                <w:sz w:val="24"/>
                <w:szCs w:val="24"/>
                <w:highlight w:val="none"/>
              </w:rPr>
            </w:pPr>
          </w:p>
        </w:tc>
      </w:tr>
      <w:tr w14:paraId="692A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73513266">
            <w:pPr>
              <w:spacing w:line="560" w:lineRule="exact"/>
              <w:ind w:firstLine="199" w:firstLineChars="83"/>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4</w:t>
            </w:r>
          </w:p>
        </w:tc>
        <w:tc>
          <w:tcPr>
            <w:tcW w:w="1497" w:type="dxa"/>
            <w:vAlign w:val="center"/>
          </w:tcPr>
          <w:p w14:paraId="35FAEC0A">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92" w:type="dxa"/>
            <w:vAlign w:val="center"/>
          </w:tcPr>
          <w:p w14:paraId="48E9A201">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052" w:type="dxa"/>
            <w:vAlign w:val="center"/>
          </w:tcPr>
          <w:p w14:paraId="2A373E59">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356" w:type="dxa"/>
            <w:vAlign w:val="center"/>
          </w:tcPr>
          <w:p w14:paraId="563FA534">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53" w:type="dxa"/>
            <w:vAlign w:val="center"/>
          </w:tcPr>
          <w:p w14:paraId="239C70D3">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710" w:type="dxa"/>
            <w:vAlign w:val="center"/>
          </w:tcPr>
          <w:p w14:paraId="4FE15404">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1" w:type="dxa"/>
            <w:vAlign w:val="center"/>
          </w:tcPr>
          <w:p w14:paraId="6655926D">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0" w:type="dxa"/>
            <w:vAlign w:val="center"/>
          </w:tcPr>
          <w:p w14:paraId="5AE44965">
            <w:pPr>
              <w:spacing w:line="560" w:lineRule="exact"/>
              <w:ind w:firstLine="480" w:firstLineChars="200"/>
              <w:jc w:val="center"/>
              <w:rPr>
                <w:rFonts w:hint="eastAsia" w:ascii="新宋体" w:hAnsi="新宋体" w:eastAsia="新宋体" w:cs="新宋体"/>
                <w:bCs/>
                <w:color w:val="auto"/>
                <w:sz w:val="24"/>
                <w:szCs w:val="24"/>
                <w:highlight w:val="none"/>
              </w:rPr>
            </w:pPr>
          </w:p>
        </w:tc>
      </w:tr>
      <w:tr w14:paraId="3450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620C410B">
            <w:pPr>
              <w:spacing w:line="560" w:lineRule="exact"/>
              <w:ind w:firstLine="199" w:firstLineChars="83"/>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w:t>
            </w:r>
          </w:p>
        </w:tc>
        <w:tc>
          <w:tcPr>
            <w:tcW w:w="1497" w:type="dxa"/>
            <w:vAlign w:val="center"/>
          </w:tcPr>
          <w:p w14:paraId="4557D600">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92" w:type="dxa"/>
            <w:vAlign w:val="center"/>
          </w:tcPr>
          <w:p w14:paraId="6C49CF01">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052" w:type="dxa"/>
            <w:vAlign w:val="center"/>
          </w:tcPr>
          <w:p w14:paraId="3B4B7256">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356" w:type="dxa"/>
            <w:vAlign w:val="center"/>
          </w:tcPr>
          <w:p w14:paraId="3B1CFB22">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53" w:type="dxa"/>
            <w:vAlign w:val="center"/>
          </w:tcPr>
          <w:p w14:paraId="6A807D0F">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710" w:type="dxa"/>
            <w:vAlign w:val="center"/>
          </w:tcPr>
          <w:p w14:paraId="421DA804">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1" w:type="dxa"/>
            <w:vAlign w:val="center"/>
          </w:tcPr>
          <w:p w14:paraId="71F3F438">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0" w:type="dxa"/>
            <w:vAlign w:val="center"/>
          </w:tcPr>
          <w:p w14:paraId="61F0E613">
            <w:pPr>
              <w:spacing w:line="560" w:lineRule="exact"/>
              <w:ind w:firstLine="480" w:firstLineChars="200"/>
              <w:jc w:val="center"/>
              <w:rPr>
                <w:rFonts w:hint="eastAsia" w:ascii="新宋体" w:hAnsi="新宋体" w:eastAsia="新宋体" w:cs="新宋体"/>
                <w:bCs/>
                <w:color w:val="auto"/>
                <w:sz w:val="24"/>
                <w:szCs w:val="24"/>
                <w:highlight w:val="none"/>
              </w:rPr>
            </w:pPr>
          </w:p>
        </w:tc>
      </w:tr>
      <w:tr w14:paraId="734D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vAlign w:val="center"/>
          </w:tcPr>
          <w:p w14:paraId="6E534388">
            <w:pPr>
              <w:spacing w:line="560" w:lineRule="exact"/>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其他承诺及需要说明的事项：</w:t>
            </w:r>
          </w:p>
        </w:tc>
      </w:tr>
      <w:tr w14:paraId="29C7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155" w:type="dxa"/>
            <w:gridSpan w:val="2"/>
            <w:vAlign w:val="center"/>
          </w:tcPr>
          <w:p w14:paraId="73A56FD6">
            <w:pPr>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总价</w:t>
            </w:r>
          </w:p>
        </w:tc>
        <w:tc>
          <w:tcPr>
            <w:tcW w:w="6764" w:type="dxa"/>
            <w:gridSpan w:val="7"/>
            <w:vAlign w:val="center"/>
          </w:tcPr>
          <w:p w14:paraId="7660BF8C">
            <w:pPr>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大写：                      小写：</w:t>
            </w:r>
          </w:p>
        </w:tc>
      </w:tr>
    </w:tbl>
    <w:p w14:paraId="297DF459">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 xml:space="preserve">  </w:t>
      </w:r>
    </w:p>
    <w:p w14:paraId="6DB5A051">
      <w:pPr>
        <w:rPr>
          <w:rFonts w:hint="default" w:ascii="新宋体" w:hAnsi="新宋体" w:eastAsia="新宋体" w:cs="新宋体"/>
          <w:bCs/>
          <w:color w:val="auto"/>
          <w:sz w:val="24"/>
          <w:szCs w:val="24"/>
          <w:highlight w:val="none"/>
          <w:lang w:val="en-US" w:eastAsia="zh-CN"/>
        </w:rPr>
      </w:pPr>
      <w:r>
        <w:rPr>
          <w:rFonts w:hint="eastAsia" w:ascii="新宋体" w:hAnsi="新宋体" w:eastAsia="新宋体" w:cs="新宋体"/>
          <w:bCs/>
          <w:color w:val="auto"/>
          <w:sz w:val="24"/>
          <w:szCs w:val="24"/>
          <w:highlight w:val="none"/>
          <w:lang w:val="en-US" w:eastAsia="zh-CN"/>
        </w:rPr>
        <w:t>注：</w:t>
      </w:r>
      <w:r>
        <w:rPr>
          <w:rFonts w:hint="eastAsia" w:ascii="新宋体" w:hAnsi="新宋体" w:eastAsia="新宋体" w:cs="新宋体"/>
          <w:bCs/>
          <w:color w:val="auto"/>
          <w:sz w:val="24"/>
          <w:szCs w:val="24"/>
          <w:highlight w:val="none"/>
        </w:rPr>
        <w:t>本表</w:t>
      </w:r>
      <w:r>
        <w:rPr>
          <w:rFonts w:hint="eastAsia" w:ascii="新宋体" w:hAnsi="新宋体" w:eastAsia="新宋体" w:cs="新宋体"/>
          <w:bCs/>
          <w:color w:val="auto"/>
          <w:sz w:val="24"/>
          <w:szCs w:val="24"/>
          <w:highlight w:val="none"/>
          <w:lang w:val="en-US" w:eastAsia="zh-CN"/>
        </w:rPr>
        <w:t>需规定的最后一轮报价时间内盖章上传至政采云平台，如不上传本表按报价无效处理。</w:t>
      </w:r>
    </w:p>
    <w:p w14:paraId="40136038">
      <w:pPr>
        <w:spacing w:line="560" w:lineRule="exact"/>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p>
    <w:p w14:paraId="02BEB955">
      <w:pPr>
        <w:spacing w:line="560" w:lineRule="exact"/>
        <w:rPr>
          <w:rFonts w:hint="eastAsia" w:ascii="新宋体" w:hAnsi="新宋体" w:eastAsia="新宋体" w:cs="新宋体"/>
          <w:bCs/>
          <w:color w:val="auto"/>
          <w:sz w:val="24"/>
          <w:szCs w:val="24"/>
          <w:highlight w:val="none"/>
        </w:rPr>
      </w:pPr>
    </w:p>
    <w:p w14:paraId="6D318E5A">
      <w:pPr>
        <w:spacing w:line="560" w:lineRule="exact"/>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 xml:space="preserve"> 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p>
    <w:p w14:paraId="18B339B9">
      <w:pPr>
        <w:spacing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法定代表人或委托代理人：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p>
    <w:p w14:paraId="4AC62002">
      <w:pPr>
        <w:spacing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年   月  日</w:t>
      </w:r>
    </w:p>
    <w:p w14:paraId="35BDD00D">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1DAA3E15">
      <w:pPr>
        <w:autoSpaceDE w:val="0"/>
        <w:autoSpaceDN w:val="0"/>
        <w:adjustRightInd w:val="0"/>
        <w:spacing w:line="360" w:lineRule="auto"/>
        <w:jc w:val="center"/>
        <w:rPr>
          <w:rFonts w:hint="eastAsia" w:ascii="新宋体" w:hAnsi="新宋体" w:eastAsia="新宋体" w:cs="新宋体"/>
          <w:b/>
          <w:bCs/>
          <w:color w:val="000000"/>
          <w:kern w:val="2"/>
          <w:sz w:val="36"/>
          <w:szCs w:val="36"/>
          <w:lang w:val="zh-CN" w:eastAsia="zh-CN" w:bidi="ar-SA"/>
        </w:rPr>
      </w:pPr>
      <w:bookmarkStart w:id="552" w:name="_Toc376936766"/>
      <w:bookmarkStart w:id="553" w:name="_Toc24112_WPSOffice_Level1"/>
      <w:bookmarkStart w:id="554" w:name="_Toc4685"/>
      <w:bookmarkStart w:id="555" w:name="_Toc5169"/>
      <w:bookmarkStart w:id="556" w:name="_Toc7329_WPSOffice_Level1"/>
      <w:bookmarkStart w:id="557" w:name="_Toc23740"/>
      <w:bookmarkStart w:id="558" w:name="_Toc12949996"/>
      <w:bookmarkStart w:id="559" w:name="_Toc5233"/>
      <w:bookmarkStart w:id="560" w:name="_Toc27557_WPSOffice_Level1"/>
      <w:bookmarkStart w:id="561" w:name="_Toc416183225"/>
      <w:bookmarkStart w:id="562" w:name="_Toc16082_WPSOffice_Level1"/>
      <w:bookmarkStart w:id="563" w:name="_Toc23722_WPSOffice_Level1"/>
      <w:bookmarkStart w:id="564" w:name="_Toc16779_WPSOffice_Level1"/>
      <w:r>
        <w:rPr>
          <w:rFonts w:hint="eastAsia" w:ascii="新宋体" w:hAnsi="新宋体" w:eastAsia="新宋体" w:cs="新宋体"/>
          <w:b/>
          <w:bCs/>
          <w:color w:val="000000"/>
          <w:kern w:val="2"/>
          <w:sz w:val="36"/>
          <w:szCs w:val="36"/>
          <w:lang w:val="zh-CN" w:eastAsia="zh-CN" w:bidi="ar-SA"/>
        </w:rPr>
        <w:t xml:space="preserve">第五部分 </w:t>
      </w:r>
      <w:bookmarkEnd w:id="552"/>
      <w:r>
        <w:rPr>
          <w:rFonts w:hint="eastAsia" w:ascii="新宋体" w:hAnsi="新宋体" w:eastAsia="新宋体" w:cs="新宋体"/>
          <w:b/>
          <w:bCs/>
          <w:color w:val="000000"/>
          <w:kern w:val="2"/>
          <w:sz w:val="36"/>
          <w:szCs w:val="36"/>
          <w:lang w:val="zh-CN" w:eastAsia="zh-CN" w:bidi="ar-SA"/>
        </w:rPr>
        <w:t>青海省政府采购项目合同书范本</w:t>
      </w:r>
      <w:bookmarkEnd w:id="553"/>
      <w:bookmarkEnd w:id="554"/>
      <w:bookmarkEnd w:id="555"/>
      <w:bookmarkEnd w:id="556"/>
    </w:p>
    <w:p w14:paraId="55E8ADB2">
      <w:pPr>
        <w:autoSpaceDE w:val="0"/>
        <w:autoSpaceDN w:val="0"/>
        <w:adjustRightInd w:val="0"/>
        <w:spacing w:line="360" w:lineRule="auto"/>
        <w:jc w:val="center"/>
        <w:rPr>
          <w:rFonts w:hint="eastAsia" w:ascii="新宋体" w:hAnsi="新宋体" w:eastAsia="新宋体" w:cs="新宋体"/>
          <w:b/>
          <w:bCs/>
          <w:color w:val="000000"/>
          <w:kern w:val="2"/>
          <w:sz w:val="36"/>
          <w:szCs w:val="36"/>
          <w:lang w:val="zh-CN" w:eastAsia="zh-CN" w:bidi="ar-SA"/>
        </w:rPr>
      </w:pPr>
      <w:bookmarkStart w:id="565" w:name="_Toc22776_WPSOffice_Level1"/>
      <w:bookmarkStart w:id="566" w:name="_Toc13776"/>
      <w:bookmarkStart w:id="567" w:name="_Toc29785_WPSOffice_Level1"/>
      <w:bookmarkStart w:id="568" w:name="_Toc32639"/>
      <w:r>
        <w:rPr>
          <w:rFonts w:hint="eastAsia" w:ascii="新宋体" w:hAnsi="新宋体" w:eastAsia="新宋体" w:cs="新宋体"/>
          <w:b/>
          <w:bCs/>
          <w:color w:val="000000"/>
          <w:kern w:val="2"/>
          <w:sz w:val="36"/>
          <w:szCs w:val="36"/>
          <w:lang w:val="zh-CN" w:eastAsia="zh-CN" w:bidi="ar-SA"/>
        </w:rPr>
        <w:t>（货物类）</w:t>
      </w:r>
      <w:bookmarkEnd w:id="557"/>
      <w:bookmarkEnd w:id="558"/>
      <w:bookmarkEnd w:id="559"/>
      <w:bookmarkEnd w:id="560"/>
      <w:bookmarkEnd w:id="561"/>
      <w:bookmarkEnd w:id="562"/>
      <w:bookmarkEnd w:id="563"/>
      <w:bookmarkEnd w:id="564"/>
      <w:bookmarkEnd w:id="565"/>
      <w:bookmarkEnd w:id="566"/>
      <w:bookmarkEnd w:id="567"/>
      <w:bookmarkEnd w:id="568"/>
    </w:p>
    <w:p w14:paraId="43BEE85E">
      <w:pPr>
        <w:adjustRightInd w:val="0"/>
        <w:snapToGrid w:val="0"/>
        <w:spacing w:beforeLines="50" w:line="560" w:lineRule="exact"/>
        <w:outlineLvl w:val="0"/>
        <w:rPr>
          <w:rFonts w:ascii="宋体" w:hAnsi="宋体" w:cs="宋体"/>
          <w:bCs/>
          <w:color w:val="auto"/>
          <w:szCs w:val="21"/>
          <w:highlight w:val="none"/>
        </w:rPr>
      </w:pPr>
      <w:bookmarkStart w:id="569" w:name="_Toc373954603"/>
      <w:bookmarkStart w:id="570" w:name="_Toc373936315"/>
      <w:bookmarkStart w:id="571" w:name="_Toc375576842"/>
    </w:p>
    <w:bookmarkEnd w:id="569"/>
    <w:bookmarkEnd w:id="570"/>
    <w:bookmarkEnd w:id="571"/>
    <w:p w14:paraId="331087F7">
      <w:pPr>
        <w:keepNext/>
        <w:keepLines/>
        <w:widowControl/>
        <w:snapToGrid w:val="0"/>
        <w:spacing w:beforeLines="50" w:line="560" w:lineRule="exact"/>
        <w:jc w:val="center"/>
        <w:rPr>
          <w:rFonts w:hint="eastAsia" w:ascii="宋体" w:hAnsi="宋体" w:cs="宋体"/>
          <w:bCs/>
          <w:color w:val="auto"/>
          <w:kern w:val="28"/>
          <w:sz w:val="32"/>
          <w:szCs w:val="32"/>
          <w:highlight w:val="none"/>
        </w:rPr>
      </w:pPr>
      <w:bookmarkStart w:id="572" w:name="_Toc31604_WPSOffice_Level1"/>
      <w:bookmarkStart w:id="573" w:name="_Toc4308"/>
      <w:bookmarkStart w:id="574" w:name="_Toc9715"/>
      <w:bookmarkStart w:id="575" w:name="_Toc3676_WPSOffice_Level1"/>
      <w:bookmarkStart w:id="576" w:name="_Toc8067_WPSOffice_Level1"/>
      <w:bookmarkStart w:id="577" w:name="_Toc416183226"/>
      <w:bookmarkStart w:id="578" w:name="_Toc9152_WPSOffice_Level1"/>
      <w:bookmarkStart w:id="579" w:name="_Toc10999_WPSOffice_Level1"/>
      <w:bookmarkStart w:id="580" w:name="_Toc12949997"/>
    </w:p>
    <w:p w14:paraId="5210CEFE">
      <w:pPr>
        <w:keepNext/>
        <w:keepLines/>
        <w:widowControl/>
        <w:snapToGrid w:val="0"/>
        <w:spacing w:beforeLines="50" w:line="560" w:lineRule="exact"/>
        <w:jc w:val="center"/>
        <w:rPr>
          <w:rFonts w:ascii="宋体" w:hAnsi="宋体" w:cs="宋体"/>
          <w:bCs/>
          <w:color w:val="auto"/>
          <w:kern w:val="28"/>
          <w:sz w:val="32"/>
          <w:szCs w:val="32"/>
          <w:highlight w:val="none"/>
        </w:rPr>
      </w:pPr>
      <w:r>
        <w:rPr>
          <w:rFonts w:hint="eastAsia" w:ascii="宋体" w:hAnsi="宋体" w:cs="宋体"/>
          <w:bCs/>
          <w:color w:val="auto"/>
          <w:kern w:val="28"/>
          <w:sz w:val="32"/>
          <w:szCs w:val="32"/>
          <w:highlight w:val="none"/>
        </w:rPr>
        <w:t>青海省政府采购项目合同书</w:t>
      </w:r>
      <w:bookmarkEnd w:id="572"/>
      <w:bookmarkEnd w:id="573"/>
      <w:bookmarkEnd w:id="574"/>
      <w:bookmarkEnd w:id="575"/>
      <w:bookmarkEnd w:id="576"/>
      <w:bookmarkEnd w:id="577"/>
      <w:bookmarkEnd w:id="578"/>
      <w:bookmarkEnd w:id="579"/>
      <w:bookmarkEnd w:id="580"/>
    </w:p>
    <w:p w14:paraId="0A34CCBB">
      <w:pPr>
        <w:spacing w:beforeLines="50" w:line="560" w:lineRule="exact"/>
        <w:jc w:val="center"/>
        <w:rPr>
          <w:rFonts w:ascii="宋体" w:hAnsi="宋体" w:cs="宋体"/>
          <w:bCs/>
          <w:color w:val="auto"/>
          <w:sz w:val="32"/>
          <w:szCs w:val="32"/>
          <w:highlight w:val="none"/>
        </w:rPr>
      </w:pPr>
    </w:p>
    <w:p w14:paraId="7AA42C84">
      <w:pPr>
        <w:spacing w:beforeLines="50" w:line="560" w:lineRule="exact"/>
        <w:ind w:firstLine="640" w:firstLineChars="200"/>
        <w:rPr>
          <w:rFonts w:ascii="宋体" w:hAnsi="宋体" w:cs="宋体"/>
          <w:bCs/>
          <w:color w:val="auto"/>
          <w:sz w:val="32"/>
          <w:szCs w:val="32"/>
          <w:highlight w:val="none"/>
        </w:rPr>
      </w:pPr>
    </w:p>
    <w:p w14:paraId="1077CB6C">
      <w:pPr>
        <w:spacing w:beforeLines="50" w:line="360" w:lineRule="auto"/>
        <w:ind w:firstLine="600" w:firstLineChars="200"/>
        <w:rPr>
          <w:rFonts w:hint="eastAsia" w:ascii="宋体" w:hAnsi="宋体" w:cs="宋体"/>
          <w:b/>
          <w:color w:val="auto"/>
          <w:sz w:val="30"/>
          <w:szCs w:val="30"/>
          <w:highlight w:val="none"/>
          <w:u w:val="single"/>
          <w:lang w:eastAsia="zh-CN"/>
        </w:rPr>
      </w:pPr>
      <w:bookmarkStart w:id="581" w:name="_Toc19373_WPSOffice_Level1"/>
      <w:bookmarkStart w:id="582" w:name="_Toc23338_WPSOffice_Level1"/>
      <w:bookmarkStart w:id="583" w:name="_Toc18140_WPSOffice_Level1"/>
      <w:bookmarkStart w:id="584" w:name="_Toc23548_WPSOffice_Level1"/>
      <w:r>
        <w:rPr>
          <w:rFonts w:hint="eastAsia" w:ascii="宋体" w:hAnsi="宋体" w:cs="宋体"/>
          <w:bCs/>
          <w:color w:val="auto"/>
          <w:sz w:val="30"/>
          <w:szCs w:val="30"/>
          <w:highlight w:val="none"/>
        </w:rPr>
        <w:t>采购项目名称：</w:t>
      </w:r>
      <w:bookmarkEnd w:id="581"/>
      <w:bookmarkEnd w:id="582"/>
      <w:bookmarkEnd w:id="583"/>
      <w:bookmarkEnd w:id="584"/>
      <w:bookmarkStart w:id="585" w:name="_Toc20437_WPSOffice_Level1"/>
      <w:bookmarkStart w:id="586" w:name="_Toc19950_WPSOffice_Level1"/>
      <w:bookmarkStart w:id="587" w:name="_Toc2957_WPSOffice_Level1"/>
      <w:bookmarkStart w:id="588" w:name="_Toc2770_WPSOffice_Level1"/>
      <w:r>
        <w:rPr>
          <w:rFonts w:hint="eastAsia" w:ascii="宋体" w:hAnsi="宋体" w:cs="宋体"/>
          <w:b/>
          <w:bCs w:val="0"/>
          <w:color w:val="auto"/>
          <w:sz w:val="30"/>
          <w:szCs w:val="30"/>
          <w:highlight w:val="none"/>
          <w:u w:val="single"/>
          <w:lang w:eastAsia="zh-CN"/>
        </w:rPr>
        <w:t>采购一市五县交警大队事故办案业务车辆</w:t>
      </w:r>
    </w:p>
    <w:p w14:paraId="1ED0ED35">
      <w:pPr>
        <w:spacing w:beforeLines="50" w:line="360" w:lineRule="auto"/>
        <w:ind w:firstLine="600" w:firstLineChars="200"/>
        <w:rPr>
          <w:rFonts w:ascii="宋体" w:hAnsi="宋体" w:cs="宋体"/>
          <w:bCs/>
          <w:color w:val="auto"/>
          <w:sz w:val="30"/>
          <w:szCs w:val="30"/>
          <w:highlight w:val="none"/>
          <w:u w:val="single"/>
        </w:rPr>
      </w:pPr>
      <w:r>
        <w:rPr>
          <w:rFonts w:hint="eastAsia" w:ascii="宋体" w:hAnsi="宋体" w:cs="宋体"/>
          <w:bCs/>
          <w:color w:val="auto"/>
          <w:sz w:val="30"/>
          <w:szCs w:val="30"/>
          <w:highlight w:val="none"/>
        </w:rPr>
        <w:t>采购项目编号：</w:t>
      </w:r>
      <w:bookmarkEnd w:id="585"/>
      <w:bookmarkEnd w:id="586"/>
      <w:bookmarkEnd w:id="587"/>
      <w:bookmarkEnd w:id="588"/>
      <w:r>
        <w:rPr>
          <w:rFonts w:hint="eastAsia" w:ascii="宋体" w:hAnsi="宋体" w:cs="宋体"/>
          <w:bCs/>
          <w:color w:val="auto"/>
          <w:sz w:val="30"/>
          <w:szCs w:val="30"/>
          <w:highlight w:val="none"/>
          <w:u w:val="single"/>
        </w:rPr>
        <w:t xml:space="preserve"> </w:t>
      </w:r>
      <w:r>
        <w:rPr>
          <w:rFonts w:hint="eastAsia" w:ascii="宋体" w:hAnsi="宋体" w:cs="宋体"/>
          <w:b/>
          <w:color w:val="auto"/>
          <w:sz w:val="30"/>
          <w:szCs w:val="30"/>
          <w:highlight w:val="none"/>
          <w:u w:val="single"/>
          <w:lang w:val="zh-CN"/>
        </w:rPr>
        <w:t xml:space="preserve">青海鹏杰竞谈（货物）2025-015 </w:t>
      </w:r>
      <w:r>
        <w:rPr>
          <w:rFonts w:hint="eastAsia" w:ascii="宋体" w:hAnsi="宋体" w:cs="宋体"/>
          <w:b/>
          <w:color w:val="auto"/>
          <w:sz w:val="30"/>
          <w:szCs w:val="30"/>
          <w:highlight w:val="none"/>
          <w:u w:val="single"/>
          <w:lang w:val="zh-CN"/>
        </w:rPr>
        <w:tab/>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rPr>
        <w:t xml:space="preserve">                                             </w:t>
      </w:r>
    </w:p>
    <w:p w14:paraId="71D1CF9C">
      <w:pPr>
        <w:spacing w:line="360" w:lineRule="auto"/>
        <w:ind w:firstLine="600" w:firstLineChars="200"/>
        <w:rPr>
          <w:rFonts w:ascii="宋体" w:hAnsi="宋体" w:cs="宋体"/>
          <w:bCs/>
          <w:color w:val="auto"/>
          <w:sz w:val="30"/>
          <w:szCs w:val="30"/>
          <w:highlight w:val="none"/>
        </w:rPr>
      </w:pPr>
      <w:bookmarkStart w:id="589" w:name="_Toc19490_WPSOffice_Level1"/>
      <w:bookmarkStart w:id="590" w:name="_Toc1998_WPSOffice_Level1"/>
      <w:bookmarkStart w:id="591" w:name="_Toc31508_WPSOffice_Level1"/>
      <w:bookmarkStart w:id="592" w:name="_Toc3022_WPSOffice_Level1"/>
      <w:r>
        <w:rPr>
          <w:rFonts w:hint="eastAsia" w:ascii="宋体" w:hAnsi="宋体" w:cs="宋体"/>
          <w:bCs/>
          <w:color w:val="auto"/>
          <w:sz w:val="30"/>
          <w:szCs w:val="30"/>
          <w:highlight w:val="none"/>
        </w:rPr>
        <w:t>采购合同编号：</w:t>
      </w:r>
      <w:bookmarkEnd w:id="589"/>
      <w:bookmarkEnd w:id="590"/>
      <w:bookmarkEnd w:id="591"/>
      <w:bookmarkEnd w:id="592"/>
      <w:r>
        <w:rPr>
          <w:rFonts w:hint="eastAsia" w:ascii="宋体" w:hAnsi="宋体" w:cs="宋体"/>
          <w:bCs/>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QHPJJT(HW)2025-015</w:t>
      </w:r>
      <w:bookmarkStart w:id="786" w:name="_GoBack"/>
      <w:bookmarkEnd w:id="786"/>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rPr>
        <w:t xml:space="preserve">                                                </w:t>
      </w:r>
    </w:p>
    <w:p w14:paraId="62A381AC">
      <w:pPr>
        <w:spacing w:beforeLines="50" w:line="360" w:lineRule="auto"/>
        <w:ind w:firstLine="600" w:firstLineChars="200"/>
        <w:rPr>
          <w:rFonts w:ascii="宋体" w:hAnsi="宋体" w:cs="宋体"/>
          <w:bCs/>
          <w:color w:val="auto"/>
          <w:sz w:val="30"/>
          <w:szCs w:val="30"/>
          <w:highlight w:val="none"/>
        </w:rPr>
      </w:pPr>
      <w:bookmarkStart w:id="593" w:name="_Toc2711_WPSOffice_Level1"/>
      <w:bookmarkStart w:id="594" w:name="_Toc8063_WPSOffice_Level1"/>
      <w:bookmarkStart w:id="595" w:name="_Toc24942_WPSOffice_Level1"/>
      <w:bookmarkStart w:id="596" w:name="_Toc5994_WPSOffice_Level1"/>
      <w:r>
        <w:rPr>
          <w:rFonts w:hint="eastAsia" w:ascii="宋体" w:hAnsi="宋体" w:cs="宋体"/>
          <w:bCs/>
          <w:color w:val="auto"/>
          <w:sz w:val="30"/>
          <w:szCs w:val="30"/>
          <w:highlight w:val="none"/>
        </w:rPr>
        <w:t>合同金额（人民币）：</w:t>
      </w:r>
      <w:bookmarkEnd w:id="593"/>
      <w:bookmarkEnd w:id="594"/>
      <w:bookmarkEnd w:id="595"/>
      <w:bookmarkEnd w:id="596"/>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rPr>
        <w:t xml:space="preserve">                                  </w:t>
      </w:r>
    </w:p>
    <w:p w14:paraId="390C0FB9">
      <w:pPr>
        <w:spacing w:beforeLines="50" w:line="360" w:lineRule="auto"/>
        <w:ind w:firstLine="600" w:firstLineChars="200"/>
        <w:jc w:val="left"/>
        <w:rPr>
          <w:rFonts w:ascii="宋体" w:hAnsi="宋体" w:cs="宋体"/>
          <w:bCs/>
          <w:color w:val="auto"/>
          <w:sz w:val="30"/>
          <w:szCs w:val="30"/>
          <w:highlight w:val="none"/>
        </w:rPr>
      </w:pPr>
      <w:bookmarkStart w:id="597" w:name="_Toc10610_WPSOffice_Level1"/>
      <w:bookmarkStart w:id="598" w:name="_Toc6126_WPSOffice_Level1"/>
      <w:bookmarkStart w:id="599" w:name="_Toc3522_WPSOffice_Level1"/>
      <w:bookmarkStart w:id="600" w:name="_Toc31793_WPSOffice_Level1"/>
      <w:r>
        <w:rPr>
          <w:rFonts w:hint="eastAsia" w:ascii="宋体" w:hAnsi="宋体" w:cs="宋体"/>
          <w:bCs/>
          <w:color w:val="auto"/>
          <w:sz w:val="30"/>
          <w:szCs w:val="30"/>
          <w:highlight w:val="none"/>
        </w:rPr>
        <w:t>采购单位（甲方）：</w:t>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rPr>
        <w:t>（盖章）</w:t>
      </w:r>
      <w:bookmarkEnd w:id="597"/>
      <w:bookmarkEnd w:id="598"/>
      <w:bookmarkEnd w:id="599"/>
      <w:bookmarkEnd w:id="600"/>
    </w:p>
    <w:p w14:paraId="526521DB">
      <w:pPr>
        <w:spacing w:beforeLines="50" w:line="360" w:lineRule="auto"/>
        <w:ind w:firstLine="600" w:firstLineChars="200"/>
        <w:jc w:val="left"/>
        <w:rPr>
          <w:rFonts w:ascii="宋体" w:hAnsi="宋体" w:cs="宋体"/>
          <w:bCs/>
          <w:color w:val="auto"/>
          <w:sz w:val="30"/>
          <w:szCs w:val="30"/>
          <w:highlight w:val="none"/>
          <w:u w:val="single"/>
        </w:rPr>
      </w:pPr>
      <w:bookmarkStart w:id="601" w:name="_Toc7246_WPSOffice_Level1"/>
      <w:bookmarkStart w:id="602" w:name="_Toc14960_WPSOffice_Level1"/>
      <w:bookmarkStart w:id="603" w:name="_Toc22516_WPSOffice_Level1"/>
      <w:bookmarkStart w:id="604" w:name="_Toc382_WPSOffice_Level1"/>
      <w:r>
        <w:rPr>
          <w:rFonts w:hint="eastAsia" w:ascii="宋体" w:hAnsi="宋体" w:cs="宋体"/>
          <w:bCs/>
          <w:color w:val="auto"/>
          <w:sz w:val="30"/>
          <w:szCs w:val="30"/>
          <w:highlight w:val="none"/>
        </w:rPr>
        <w:t>成交供应商（乙方）：</w:t>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rPr>
        <w:t>（盖章）</w:t>
      </w:r>
      <w:bookmarkEnd w:id="601"/>
      <w:bookmarkEnd w:id="602"/>
      <w:bookmarkEnd w:id="603"/>
      <w:bookmarkEnd w:id="604"/>
    </w:p>
    <w:p w14:paraId="215530D3">
      <w:pPr>
        <w:adjustRightInd w:val="0"/>
        <w:snapToGrid w:val="0"/>
        <w:spacing w:line="5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br w:type="page"/>
      </w:r>
    </w:p>
    <w:p w14:paraId="16821EC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甲、乙双方根据</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年</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 xml:space="preserve">月 </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 xml:space="preserve">日 </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项目（项目编号）的谈判文件要求和采购机构出具的《成交通知书》，并经双方协商一致，达成合同总价款为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的</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u w:val="single"/>
          <w:lang w:val="en-US" w:eastAsia="zh-CN"/>
        </w:rPr>
        <w:t xml:space="preserve">  </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项目采购合同：</w:t>
      </w:r>
    </w:p>
    <w:p w14:paraId="7992523F">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bookmarkStart w:id="605" w:name="_Toc29795_WPSOffice_Level1"/>
      <w:bookmarkStart w:id="606" w:name="_Toc6866_WPSOffice_Level1"/>
      <w:bookmarkStart w:id="607" w:name="_Toc96_WPSOffice_Level1"/>
      <w:bookmarkStart w:id="608" w:name="_Toc6055_WPSOffice_Level1"/>
      <w:bookmarkStart w:id="609" w:name="_Toc28036_WPSOffice_Level1"/>
      <w:bookmarkStart w:id="610" w:name="_Toc16675_WPSOffice_Level1"/>
      <w:r>
        <w:rPr>
          <w:rFonts w:hint="eastAsia" w:ascii="新宋体" w:hAnsi="新宋体" w:eastAsia="新宋体" w:cs="新宋体"/>
          <w:bCs/>
          <w:color w:val="auto"/>
          <w:sz w:val="24"/>
          <w:szCs w:val="24"/>
          <w:highlight w:val="none"/>
          <w:lang w:val="zh-CN"/>
        </w:rPr>
        <w:t>一、签订本政府采购合同的依据</w:t>
      </w:r>
      <w:bookmarkEnd w:id="605"/>
      <w:bookmarkEnd w:id="606"/>
      <w:bookmarkEnd w:id="607"/>
      <w:bookmarkEnd w:id="608"/>
      <w:bookmarkEnd w:id="609"/>
      <w:bookmarkEnd w:id="610"/>
    </w:p>
    <w:p w14:paraId="0332A1A2">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本政府采购合同所附下列文件是构成本政府采购合同不可分割的部分：</w:t>
      </w:r>
    </w:p>
    <w:p w14:paraId="0808C33B">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bookmarkStart w:id="611" w:name="_Toc7329_WPSOffice_Level2"/>
      <w:bookmarkStart w:id="612" w:name="_Toc29065_WPSOffice_Level2"/>
      <w:bookmarkStart w:id="613" w:name="_Toc32479_WPSOffice_Level2"/>
      <w:r>
        <w:rPr>
          <w:rFonts w:hint="eastAsia" w:ascii="新宋体" w:hAnsi="新宋体" w:eastAsia="新宋体" w:cs="新宋体"/>
          <w:bCs/>
          <w:color w:val="auto"/>
          <w:sz w:val="24"/>
          <w:szCs w:val="24"/>
          <w:highlight w:val="none"/>
          <w:lang w:val="zh-CN"/>
        </w:rPr>
        <w:t>1.谈判文件；</w:t>
      </w:r>
      <w:bookmarkEnd w:id="611"/>
      <w:bookmarkEnd w:id="612"/>
      <w:bookmarkEnd w:id="613"/>
    </w:p>
    <w:p w14:paraId="62DEDB03">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bookmarkStart w:id="614" w:name="_Toc22776_WPSOffice_Level2"/>
      <w:bookmarkStart w:id="615" w:name="_Toc8989_WPSOffice_Level2"/>
      <w:bookmarkStart w:id="616" w:name="_Toc28112_WPSOffice_Level2"/>
      <w:r>
        <w:rPr>
          <w:rFonts w:hint="eastAsia" w:ascii="新宋体" w:hAnsi="新宋体" w:eastAsia="新宋体" w:cs="新宋体"/>
          <w:bCs/>
          <w:color w:val="auto"/>
          <w:sz w:val="24"/>
          <w:szCs w:val="24"/>
          <w:highlight w:val="none"/>
          <w:lang w:val="zh-CN"/>
        </w:rPr>
        <w:t>2.谈判文件的更正、变更公告；</w:t>
      </w:r>
      <w:bookmarkEnd w:id="614"/>
      <w:bookmarkEnd w:id="615"/>
      <w:bookmarkEnd w:id="616"/>
    </w:p>
    <w:p w14:paraId="3BBFC892">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bookmarkStart w:id="617" w:name="_Toc28651_WPSOffice_Level2"/>
      <w:bookmarkStart w:id="618" w:name="_Toc29221_WPSOffice_Level2"/>
      <w:bookmarkStart w:id="619" w:name="_Toc29795_WPSOffice_Level2"/>
      <w:r>
        <w:rPr>
          <w:rFonts w:hint="eastAsia" w:ascii="新宋体" w:hAnsi="新宋体" w:eastAsia="新宋体" w:cs="新宋体"/>
          <w:bCs/>
          <w:color w:val="auto"/>
          <w:sz w:val="24"/>
          <w:szCs w:val="24"/>
          <w:highlight w:val="none"/>
          <w:lang w:val="zh-CN"/>
        </w:rPr>
        <w:t>3.成交供应商提交的谈判响应文件；</w:t>
      </w:r>
      <w:bookmarkEnd w:id="617"/>
      <w:bookmarkEnd w:id="618"/>
      <w:bookmarkEnd w:id="619"/>
    </w:p>
    <w:p w14:paraId="44FA30F7">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bookmarkStart w:id="620" w:name="_Toc130_WPSOffice_Level2"/>
      <w:bookmarkStart w:id="621" w:name="_Toc13685_WPSOffice_Level2"/>
      <w:bookmarkStart w:id="622" w:name="_Toc10173_WPSOffice_Level2"/>
      <w:r>
        <w:rPr>
          <w:rFonts w:hint="eastAsia" w:ascii="新宋体" w:hAnsi="新宋体" w:eastAsia="新宋体" w:cs="新宋体"/>
          <w:bCs/>
          <w:color w:val="auto"/>
          <w:sz w:val="24"/>
          <w:szCs w:val="24"/>
          <w:highlight w:val="none"/>
          <w:lang w:val="zh-CN"/>
        </w:rPr>
        <w:t>4.政府采购合同通用条款；</w:t>
      </w:r>
      <w:bookmarkEnd w:id="620"/>
      <w:bookmarkEnd w:id="621"/>
      <w:bookmarkEnd w:id="622"/>
    </w:p>
    <w:p w14:paraId="4DBBBCDE">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bookmarkStart w:id="623" w:name="_Toc1858_WPSOffice_Level2"/>
      <w:bookmarkStart w:id="624" w:name="_Toc16117_WPSOffice_Level2"/>
      <w:bookmarkStart w:id="625" w:name="_Toc22537_WPSOffice_Level2"/>
      <w:r>
        <w:rPr>
          <w:rFonts w:hint="eastAsia" w:ascii="新宋体" w:hAnsi="新宋体" w:eastAsia="新宋体" w:cs="新宋体"/>
          <w:bCs/>
          <w:color w:val="auto"/>
          <w:sz w:val="24"/>
          <w:szCs w:val="24"/>
          <w:highlight w:val="none"/>
          <w:lang w:val="zh-CN"/>
        </w:rPr>
        <w:t>5.成交通知书；</w:t>
      </w:r>
      <w:bookmarkEnd w:id="623"/>
      <w:bookmarkEnd w:id="624"/>
      <w:bookmarkEnd w:id="625"/>
    </w:p>
    <w:p w14:paraId="1E3B169F">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bookmarkStart w:id="626" w:name="_Toc21545_WPSOffice_Level2"/>
      <w:bookmarkStart w:id="627" w:name="_Toc30677_WPSOffice_Level2"/>
      <w:bookmarkStart w:id="628" w:name="_Toc5771_WPSOffice_Level2"/>
      <w:r>
        <w:rPr>
          <w:rFonts w:hint="eastAsia" w:ascii="新宋体" w:hAnsi="新宋体" w:eastAsia="新宋体" w:cs="新宋体"/>
          <w:bCs/>
          <w:color w:val="auto"/>
          <w:sz w:val="24"/>
          <w:szCs w:val="24"/>
          <w:highlight w:val="none"/>
          <w:lang w:val="zh-CN"/>
        </w:rPr>
        <w:t>6.履约保证金缴费证明；</w:t>
      </w:r>
      <w:bookmarkEnd w:id="626"/>
      <w:bookmarkEnd w:id="627"/>
      <w:bookmarkEnd w:id="628"/>
    </w:p>
    <w:p w14:paraId="6CE0EF5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29" w:name="_Toc2205_WPSOffice_Level2"/>
      <w:bookmarkStart w:id="630" w:name="_Toc32599_WPSOffice_Level2"/>
      <w:bookmarkStart w:id="631" w:name="_Toc8581_WPSOffice_Level2"/>
      <w:r>
        <w:rPr>
          <w:rFonts w:hint="eastAsia" w:ascii="新宋体" w:hAnsi="新宋体" w:eastAsia="新宋体" w:cs="新宋体"/>
          <w:bCs/>
          <w:color w:val="auto"/>
          <w:sz w:val="24"/>
          <w:szCs w:val="24"/>
          <w:highlight w:val="none"/>
        </w:rPr>
        <w:t>7.省级预算单位政府采购计划备案表。</w:t>
      </w:r>
      <w:bookmarkEnd w:id="629"/>
      <w:bookmarkEnd w:id="630"/>
      <w:bookmarkEnd w:id="631"/>
    </w:p>
    <w:p w14:paraId="0B13AE5B">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rPr>
      </w:pPr>
      <w:bookmarkStart w:id="632" w:name="_Toc29813_WPSOffice_Level1"/>
      <w:bookmarkStart w:id="633" w:name="_Toc10173_WPSOffice_Level1"/>
      <w:bookmarkStart w:id="634" w:name="_Toc10843_WPSOffice_Level1"/>
      <w:bookmarkStart w:id="635" w:name="_Toc12658_WPSOffice_Level1"/>
      <w:bookmarkStart w:id="636" w:name="_Toc7426_WPSOffice_Level1"/>
      <w:bookmarkStart w:id="637" w:name="_Toc4921_WPSOffice_Level1"/>
      <w:r>
        <w:rPr>
          <w:rFonts w:hint="eastAsia" w:ascii="新宋体" w:hAnsi="新宋体" w:eastAsia="新宋体" w:cs="新宋体"/>
          <w:bCs/>
          <w:color w:val="auto"/>
          <w:sz w:val="24"/>
          <w:szCs w:val="24"/>
          <w:highlight w:val="none"/>
          <w:lang w:val="zh-CN"/>
        </w:rPr>
        <w:t>二、合同标的及金额                                       单位：元</w:t>
      </w:r>
      <w:bookmarkEnd w:id="632"/>
      <w:bookmarkEnd w:id="633"/>
      <w:bookmarkEnd w:id="634"/>
      <w:bookmarkEnd w:id="635"/>
      <w:bookmarkEnd w:id="636"/>
      <w:bookmarkEnd w:id="637"/>
    </w:p>
    <w:tbl>
      <w:tblPr>
        <w:tblStyle w:val="38"/>
        <w:tblW w:w="9379" w:type="dxa"/>
        <w:jc w:val="center"/>
        <w:tblLayout w:type="fixed"/>
        <w:tblCellMar>
          <w:top w:w="0" w:type="dxa"/>
          <w:left w:w="108" w:type="dxa"/>
          <w:bottom w:w="0" w:type="dxa"/>
          <w:right w:w="108" w:type="dxa"/>
        </w:tblCellMar>
      </w:tblPr>
      <w:tblGrid>
        <w:gridCol w:w="1204"/>
        <w:gridCol w:w="1640"/>
        <w:gridCol w:w="1613"/>
        <w:gridCol w:w="1279"/>
        <w:gridCol w:w="1151"/>
        <w:gridCol w:w="1149"/>
        <w:gridCol w:w="1343"/>
      </w:tblGrid>
      <w:tr w14:paraId="576BFB38">
        <w:tblPrEx>
          <w:tblCellMar>
            <w:top w:w="0" w:type="dxa"/>
            <w:left w:w="108" w:type="dxa"/>
            <w:bottom w:w="0" w:type="dxa"/>
            <w:right w:w="108" w:type="dxa"/>
          </w:tblCellMar>
        </w:tblPrEx>
        <w:trPr>
          <w:cantSplit/>
          <w:trHeight w:val="900"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3F7A57C4">
            <w:pPr>
              <w:adjustRightInd w:val="0"/>
              <w:snapToGrid w:val="0"/>
              <w:spacing w:line="560" w:lineRule="exact"/>
              <w:jc w:val="left"/>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包号</w:t>
            </w:r>
          </w:p>
        </w:tc>
        <w:tc>
          <w:tcPr>
            <w:tcW w:w="1640" w:type="dxa"/>
            <w:tcBorders>
              <w:top w:val="single" w:color="auto" w:sz="4" w:space="0"/>
              <w:left w:val="single" w:color="auto" w:sz="4" w:space="0"/>
              <w:bottom w:val="single" w:color="auto" w:sz="4" w:space="0"/>
              <w:right w:val="single" w:color="auto" w:sz="4" w:space="0"/>
            </w:tcBorders>
            <w:vAlign w:val="center"/>
          </w:tcPr>
          <w:p w14:paraId="7712233F">
            <w:pPr>
              <w:adjustRightInd w:val="0"/>
              <w:snapToGrid w:val="0"/>
              <w:spacing w:line="560" w:lineRule="exact"/>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标的名称</w:t>
            </w:r>
          </w:p>
        </w:tc>
        <w:tc>
          <w:tcPr>
            <w:tcW w:w="1613" w:type="dxa"/>
            <w:tcBorders>
              <w:top w:val="single" w:color="auto" w:sz="4" w:space="0"/>
              <w:left w:val="single" w:color="auto" w:sz="4" w:space="0"/>
              <w:bottom w:val="single" w:color="auto" w:sz="4" w:space="0"/>
              <w:right w:val="single" w:color="auto" w:sz="4" w:space="0"/>
            </w:tcBorders>
            <w:vAlign w:val="center"/>
          </w:tcPr>
          <w:p w14:paraId="05A18DE1">
            <w:pPr>
              <w:adjustRightInd w:val="0"/>
              <w:snapToGrid w:val="0"/>
              <w:spacing w:line="560" w:lineRule="exact"/>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型号规格</w:t>
            </w:r>
          </w:p>
        </w:tc>
        <w:tc>
          <w:tcPr>
            <w:tcW w:w="1279" w:type="dxa"/>
            <w:tcBorders>
              <w:top w:val="single" w:color="auto" w:sz="4" w:space="0"/>
              <w:left w:val="single" w:color="auto" w:sz="4" w:space="0"/>
              <w:bottom w:val="single" w:color="auto" w:sz="4" w:space="0"/>
              <w:right w:val="single" w:color="auto" w:sz="4" w:space="0"/>
            </w:tcBorders>
            <w:vAlign w:val="center"/>
          </w:tcPr>
          <w:p w14:paraId="250DD4AB">
            <w:pPr>
              <w:adjustRightInd w:val="0"/>
              <w:snapToGrid w:val="0"/>
              <w:spacing w:line="560" w:lineRule="exact"/>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数量</w:t>
            </w:r>
          </w:p>
        </w:tc>
        <w:tc>
          <w:tcPr>
            <w:tcW w:w="1151" w:type="dxa"/>
            <w:tcBorders>
              <w:top w:val="single" w:color="auto" w:sz="4" w:space="0"/>
              <w:left w:val="single" w:color="auto" w:sz="4" w:space="0"/>
              <w:bottom w:val="single" w:color="auto" w:sz="4" w:space="0"/>
              <w:right w:val="single" w:color="auto" w:sz="4" w:space="0"/>
            </w:tcBorders>
            <w:vAlign w:val="center"/>
          </w:tcPr>
          <w:p w14:paraId="42E9B024">
            <w:pPr>
              <w:adjustRightInd w:val="0"/>
              <w:snapToGrid w:val="0"/>
              <w:spacing w:line="560" w:lineRule="exact"/>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单价</w:t>
            </w:r>
          </w:p>
        </w:tc>
        <w:tc>
          <w:tcPr>
            <w:tcW w:w="1149" w:type="dxa"/>
            <w:tcBorders>
              <w:top w:val="single" w:color="auto" w:sz="4" w:space="0"/>
              <w:left w:val="single" w:color="auto" w:sz="4" w:space="0"/>
              <w:bottom w:val="single" w:color="auto" w:sz="4" w:space="0"/>
              <w:right w:val="single" w:color="auto" w:sz="4" w:space="0"/>
            </w:tcBorders>
            <w:vAlign w:val="center"/>
          </w:tcPr>
          <w:p w14:paraId="64CC0BE3">
            <w:pPr>
              <w:adjustRightInd w:val="0"/>
              <w:snapToGrid w:val="0"/>
              <w:spacing w:line="560" w:lineRule="exact"/>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总价</w:t>
            </w:r>
          </w:p>
        </w:tc>
        <w:tc>
          <w:tcPr>
            <w:tcW w:w="1343" w:type="dxa"/>
            <w:tcBorders>
              <w:top w:val="single" w:color="auto" w:sz="4" w:space="0"/>
              <w:left w:val="single" w:color="auto" w:sz="4" w:space="0"/>
              <w:bottom w:val="single" w:color="auto" w:sz="4" w:space="0"/>
              <w:right w:val="single" w:color="auto" w:sz="4" w:space="0"/>
            </w:tcBorders>
            <w:vAlign w:val="center"/>
          </w:tcPr>
          <w:p w14:paraId="36B90F21">
            <w:pPr>
              <w:adjustRightInd w:val="0"/>
              <w:snapToGrid w:val="0"/>
              <w:spacing w:line="560" w:lineRule="exact"/>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备注</w:t>
            </w:r>
          </w:p>
        </w:tc>
      </w:tr>
      <w:tr w14:paraId="30F5B8E5">
        <w:tblPrEx>
          <w:tblCellMar>
            <w:top w:w="0" w:type="dxa"/>
            <w:left w:w="108" w:type="dxa"/>
            <w:bottom w:w="0" w:type="dxa"/>
            <w:right w:w="108" w:type="dxa"/>
          </w:tblCellMar>
        </w:tblPrEx>
        <w:trPr>
          <w:cantSplit/>
          <w:trHeight w:val="590"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238AEBB2">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1483A315">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47AA5FFA">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159CC896">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59F0F3BF">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3173CC39">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54FC53F0">
            <w:pPr>
              <w:adjustRightInd w:val="0"/>
              <w:snapToGrid w:val="0"/>
              <w:spacing w:line="560" w:lineRule="exact"/>
              <w:rPr>
                <w:rFonts w:hint="eastAsia" w:ascii="新宋体" w:hAnsi="新宋体" w:eastAsia="新宋体" w:cs="新宋体"/>
                <w:bCs/>
                <w:color w:val="auto"/>
                <w:sz w:val="24"/>
                <w:szCs w:val="24"/>
                <w:highlight w:val="none"/>
                <w:lang w:val="zh-CN"/>
              </w:rPr>
            </w:pPr>
          </w:p>
        </w:tc>
      </w:tr>
      <w:tr w14:paraId="4250ADF3">
        <w:tblPrEx>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7FD57E6B">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6A143744">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43736F0F">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5D0B50FA">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74F88ADE">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3A5DCC1E">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50D21356">
            <w:pPr>
              <w:adjustRightInd w:val="0"/>
              <w:snapToGrid w:val="0"/>
              <w:spacing w:line="560" w:lineRule="exact"/>
              <w:rPr>
                <w:rFonts w:hint="eastAsia" w:ascii="新宋体" w:hAnsi="新宋体" w:eastAsia="新宋体" w:cs="新宋体"/>
                <w:bCs/>
                <w:color w:val="auto"/>
                <w:sz w:val="24"/>
                <w:szCs w:val="24"/>
                <w:highlight w:val="none"/>
                <w:lang w:val="zh-CN"/>
              </w:rPr>
            </w:pPr>
          </w:p>
        </w:tc>
      </w:tr>
      <w:tr w14:paraId="184A45A5">
        <w:tblPrEx>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1EDF4338">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29CF2DAE">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32076A08">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428B2470">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31A62AF8">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68BA2702">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3358BDAB">
            <w:pPr>
              <w:adjustRightInd w:val="0"/>
              <w:snapToGrid w:val="0"/>
              <w:spacing w:line="560" w:lineRule="exact"/>
              <w:rPr>
                <w:rFonts w:hint="eastAsia" w:ascii="新宋体" w:hAnsi="新宋体" w:eastAsia="新宋体" w:cs="新宋体"/>
                <w:bCs/>
                <w:color w:val="auto"/>
                <w:sz w:val="24"/>
                <w:szCs w:val="24"/>
                <w:highlight w:val="none"/>
                <w:lang w:val="zh-CN"/>
              </w:rPr>
            </w:pPr>
          </w:p>
        </w:tc>
      </w:tr>
      <w:tr w14:paraId="654EAFD7">
        <w:tblPrEx>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6E752D23">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226A7E5F">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48FA82A1">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45EA05F3">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060D7989">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7EA0461C">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1CB4CB4F">
            <w:pPr>
              <w:adjustRightInd w:val="0"/>
              <w:snapToGrid w:val="0"/>
              <w:spacing w:line="560" w:lineRule="exact"/>
              <w:rPr>
                <w:rFonts w:hint="eastAsia" w:ascii="新宋体" w:hAnsi="新宋体" w:eastAsia="新宋体" w:cs="新宋体"/>
                <w:bCs/>
                <w:color w:val="auto"/>
                <w:sz w:val="24"/>
                <w:szCs w:val="24"/>
                <w:highlight w:val="none"/>
                <w:lang w:val="zh-CN"/>
              </w:rPr>
            </w:pPr>
          </w:p>
        </w:tc>
      </w:tr>
    </w:tbl>
    <w:p w14:paraId="1C797E29">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根据上述政府采购合同文件要求，本政府采购合同的总金额为人民币</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u w:val="single"/>
          <w:lang w:val="en-US" w:eastAsia="zh-CN"/>
        </w:rPr>
        <w:t xml:space="preserve"> </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lang w:val="zh-CN"/>
        </w:rPr>
        <w:t>（大写）</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u w:val="single"/>
          <w:lang w:val="zh-CN"/>
        </w:rPr>
        <w:t xml:space="preserve">         </w:t>
      </w:r>
      <w:r>
        <w:rPr>
          <w:rFonts w:hint="eastAsia" w:ascii="新宋体" w:hAnsi="新宋体" w:eastAsia="新宋体" w:cs="新宋体"/>
          <w:bCs/>
          <w:color w:val="auto"/>
          <w:sz w:val="24"/>
          <w:szCs w:val="24"/>
          <w:highlight w:val="none"/>
          <w:lang w:val="zh-CN"/>
        </w:rPr>
        <w:t xml:space="preserve"> 元。</w:t>
      </w:r>
    </w:p>
    <w:p w14:paraId="6DEE6BA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lang w:val="zh-CN"/>
        </w:rPr>
        <w:t>本合同以人民币进行结算，合同总价</w:t>
      </w:r>
      <w:r>
        <w:rPr>
          <w:rFonts w:hint="eastAsia" w:ascii="新宋体" w:hAnsi="新宋体" w:eastAsia="新宋体" w:cs="新宋体"/>
          <w:color w:val="auto"/>
          <w:sz w:val="24"/>
          <w:szCs w:val="24"/>
          <w:highlight w:val="none"/>
        </w:rPr>
        <w:t>包括</w:t>
      </w:r>
      <w:r>
        <w:rPr>
          <w:rFonts w:hint="eastAsia" w:ascii="新宋体" w:hAnsi="新宋体" w:eastAsia="新宋体" w:cs="新宋体"/>
          <w:sz w:val="24"/>
          <w:szCs w:val="24"/>
        </w:rPr>
        <w:t>产品费、验收费、手续费、装卸费、安装费、运输费、</w:t>
      </w:r>
      <w:r>
        <w:rPr>
          <w:rFonts w:hint="eastAsia" w:ascii="新宋体" w:hAnsi="新宋体" w:eastAsia="新宋体" w:cs="新宋体"/>
          <w:sz w:val="24"/>
          <w:szCs w:val="24"/>
          <w:lang w:val="zh-CN"/>
        </w:rPr>
        <w:t>车辆购置税费、</w:t>
      </w:r>
      <w:r>
        <w:rPr>
          <w:rFonts w:hint="eastAsia" w:ascii="新宋体" w:hAnsi="新宋体" w:eastAsia="新宋体" w:cs="新宋体"/>
          <w:sz w:val="24"/>
          <w:szCs w:val="24"/>
          <w:lang w:val="en-US" w:eastAsia="zh-CN"/>
        </w:rPr>
        <w:t>代理费</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保险费、售前、售中、售后服务费、税金及不可预见费等全部费用。</w:t>
      </w:r>
    </w:p>
    <w:p w14:paraId="78B2C21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38" w:name="_Toc22537_WPSOffice_Level1"/>
      <w:bookmarkStart w:id="639" w:name="_Toc7098_WPSOffice_Level1"/>
      <w:bookmarkStart w:id="640" w:name="_Toc6168_WPSOffice_Level1"/>
      <w:bookmarkStart w:id="641" w:name="_Toc20423_WPSOffice_Level1"/>
      <w:bookmarkStart w:id="642" w:name="_Toc23899_WPSOffice_Level1"/>
      <w:bookmarkStart w:id="643" w:name="_Toc28888_WPSOffice_Level1"/>
      <w:r>
        <w:rPr>
          <w:rFonts w:hint="eastAsia" w:ascii="新宋体" w:hAnsi="新宋体" w:eastAsia="新宋体" w:cs="新宋体"/>
          <w:bCs/>
          <w:color w:val="auto"/>
          <w:sz w:val="24"/>
          <w:szCs w:val="24"/>
          <w:highlight w:val="none"/>
          <w:lang w:val="zh-CN"/>
        </w:rPr>
        <w:t>三、交付时间、地点和要求</w:t>
      </w:r>
      <w:bookmarkEnd w:id="638"/>
      <w:bookmarkEnd w:id="639"/>
      <w:bookmarkEnd w:id="640"/>
      <w:bookmarkEnd w:id="641"/>
      <w:bookmarkEnd w:id="642"/>
      <w:bookmarkEnd w:id="643"/>
    </w:p>
    <w:p w14:paraId="6D431BD3">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1.交货时间：</w:t>
      </w:r>
      <w:r>
        <w:rPr>
          <w:rFonts w:hint="eastAsia" w:ascii="新宋体" w:hAnsi="新宋体" w:eastAsia="新宋体" w:cs="新宋体"/>
          <w:bCs/>
          <w:color w:val="auto"/>
          <w:sz w:val="24"/>
          <w:szCs w:val="24"/>
          <w:highlight w:val="none"/>
          <w:lang w:val="en-US" w:eastAsia="zh-CN"/>
        </w:rPr>
        <w:t>合同签订后10个日历日</w:t>
      </w:r>
      <w:r>
        <w:rPr>
          <w:rFonts w:hint="eastAsia" w:ascii="新宋体" w:hAnsi="新宋体" w:eastAsia="新宋体" w:cs="新宋体"/>
          <w:bCs/>
          <w:color w:val="auto"/>
          <w:sz w:val="24"/>
          <w:szCs w:val="24"/>
          <w:highlight w:val="none"/>
          <w:lang w:val="zh-CN"/>
        </w:rPr>
        <w:t>。</w:t>
      </w:r>
    </w:p>
    <w:p w14:paraId="2DA03076">
      <w:pPr>
        <w:adjustRightInd w:val="0"/>
        <w:snapToGrid w:val="0"/>
        <w:spacing w:line="560" w:lineRule="exact"/>
        <w:ind w:firstLine="720" w:firstLineChars="300"/>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交货地点：</w:t>
      </w:r>
      <w:r>
        <w:rPr>
          <w:rFonts w:hint="eastAsia" w:ascii="新宋体" w:hAnsi="新宋体" w:eastAsia="新宋体" w:cs="新宋体"/>
          <w:color w:val="auto"/>
          <w:sz w:val="24"/>
          <w:szCs w:val="24"/>
          <w:lang w:val="en-US" w:eastAsia="zh-CN"/>
        </w:rPr>
        <w:t>甲方指定地点</w:t>
      </w:r>
      <w:r>
        <w:rPr>
          <w:rFonts w:hint="eastAsia" w:ascii="新宋体" w:hAnsi="新宋体" w:eastAsia="新宋体" w:cs="新宋体"/>
          <w:color w:val="auto"/>
          <w:sz w:val="24"/>
          <w:szCs w:val="24"/>
          <w:lang w:val="zh-CN"/>
        </w:rPr>
        <w:t>。</w:t>
      </w:r>
    </w:p>
    <w:p w14:paraId="671BD9C8">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lang w:val="zh-CN"/>
        </w:rPr>
        <w:t>2.乙方提供不符合谈判文件、谈判响应文件和本合同规定的产品，甲方有权拒绝接受。</w:t>
      </w:r>
    </w:p>
    <w:p w14:paraId="118C50B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w:t>
      </w:r>
      <w:r>
        <w:rPr>
          <w:rFonts w:hint="eastAsia" w:ascii="新宋体" w:hAnsi="新宋体" w:eastAsia="新宋体" w:cs="新宋体"/>
          <w:bCs/>
          <w:color w:val="auto"/>
          <w:sz w:val="24"/>
          <w:szCs w:val="24"/>
          <w:highlight w:val="none"/>
          <w:lang w:val="zh-CN"/>
        </w:rPr>
        <w:t>乙方应将提供产品的装箱清单、用户手册、资料、工具和备品、备件等交付给甲方，如有缺失应及时补齐，否则视为逾期交货。</w:t>
      </w:r>
    </w:p>
    <w:p w14:paraId="45F568E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4. </w:t>
      </w:r>
      <w:r>
        <w:rPr>
          <w:rFonts w:hint="eastAsia" w:ascii="新宋体" w:hAnsi="新宋体" w:eastAsia="新宋体" w:cs="新宋体"/>
          <w:bCs/>
          <w:color w:val="auto"/>
          <w:sz w:val="24"/>
          <w:szCs w:val="24"/>
          <w:highlight w:val="none"/>
          <w:lang w:val="zh-CN"/>
        </w:rPr>
        <w:t>甲方应当在到货（安装、调试完）后</w:t>
      </w:r>
      <w:r>
        <w:rPr>
          <w:rFonts w:hint="eastAsia" w:ascii="新宋体" w:hAnsi="新宋体" w:eastAsia="新宋体" w:cs="新宋体"/>
          <w:bCs/>
          <w:color w:val="auto"/>
          <w:sz w:val="24"/>
          <w:szCs w:val="24"/>
          <w:highlight w:val="none"/>
          <w:u w:val="single"/>
          <w:lang w:val="zh-CN"/>
        </w:rPr>
        <w:t xml:space="preserve">    </w:t>
      </w:r>
      <w:r>
        <w:rPr>
          <w:rFonts w:hint="eastAsia" w:ascii="新宋体" w:hAnsi="新宋体" w:eastAsia="新宋体" w:cs="新宋体"/>
          <w:bCs/>
          <w:color w:val="auto"/>
          <w:sz w:val="24"/>
          <w:szCs w:val="24"/>
          <w:highlight w:val="none"/>
          <w:lang w:val="zh-CN"/>
        </w:rPr>
        <w:t>个工作日内进行验收。验收合格后，由甲乙双方签署产品验收单并加盖采购人公章，甲乙双方各执一份。</w:t>
      </w:r>
    </w:p>
    <w:p w14:paraId="0B9F4CE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5.</w:t>
      </w:r>
      <w:r>
        <w:rPr>
          <w:rFonts w:hint="eastAsia" w:ascii="新宋体" w:hAnsi="新宋体" w:eastAsia="新宋体" w:cs="新宋体"/>
          <w:bCs/>
          <w:color w:val="auto"/>
          <w:sz w:val="24"/>
          <w:szCs w:val="24"/>
          <w:highlight w:val="none"/>
          <w:lang w:val="zh-CN"/>
        </w:rPr>
        <w:t xml:space="preserve"> 甲方应提供该项目验收报告交同级财政监管部门，由财政部门按规定程序抽验后办理资金拨付。</w:t>
      </w:r>
    </w:p>
    <w:p w14:paraId="4A5E6DB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w:t>
      </w:r>
      <w:r>
        <w:rPr>
          <w:rFonts w:hint="eastAsia" w:ascii="新宋体" w:hAnsi="新宋体" w:eastAsia="新宋体" w:cs="新宋体"/>
          <w:bCs/>
          <w:color w:val="auto"/>
          <w:sz w:val="24"/>
          <w:szCs w:val="24"/>
          <w:highlight w:val="none"/>
          <w:lang w:val="zh-CN"/>
        </w:rPr>
        <w:t xml:space="preserve"> 甲方在履行合同过程中发现乙方有违约问题，可按谈判文件、谈判响应文件的规定要求乙方及时予以解决。</w:t>
      </w:r>
    </w:p>
    <w:p w14:paraId="74B5024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w:t>
      </w:r>
      <w:r>
        <w:rPr>
          <w:rFonts w:hint="eastAsia" w:ascii="新宋体" w:hAnsi="新宋体" w:eastAsia="新宋体" w:cs="新宋体"/>
          <w:bCs/>
          <w:color w:val="auto"/>
          <w:sz w:val="24"/>
          <w:szCs w:val="24"/>
          <w:highlight w:val="none"/>
          <w:lang w:val="zh-CN"/>
        </w:rPr>
        <w:t>乙方向甲方提供产品相关完税销售发票。</w:t>
      </w:r>
    </w:p>
    <w:p w14:paraId="05522C8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44" w:name="_Toc23122_WPSOffice_Level1"/>
      <w:bookmarkStart w:id="645" w:name="_Toc5771_WPSOffice_Level1"/>
      <w:bookmarkStart w:id="646" w:name="_Toc2306_WPSOffice_Level1"/>
      <w:bookmarkStart w:id="647" w:name="_Toc29015_WPSOffice_Level1"/>
      <w:bookmarkStart w:id="648" w:name="_Toc19609_WPSOffice_Level1"/>
      <w:bookmarkStart w:id="649" w:name="_Toc32406_WPSOffice_Level1"/>
      <w:r>
        <w:rPr>
          <w:rFonts w:hint="eastAsia" w:ascii="新宋体" w:hAnsi="新宋体" w:eastAsia="新宋体" w:cs="新宋体"/>
          <w:bCs/>
          <w:color w:val="auto"/>
          <w:sz w:val="24"/>
          <w:szCs w:val="24"/>
          <w:highlight w:val="none"/>
        </w:rPr>
        <w:t>四、付款方式</w:t>
      </w:r>
      <w:bookmarkEnd w:id="644"/>
      <w:bookmarkEnd w:id="645"/>
      <w:bookmarkEnd w:id="646"/>
      <w:bookmarkEnd w:id="647"/>
      <w:bookmarkEnd w:id="648"/>
      <w:bookmarkEnd w:id="649"/>
    </w:p>
    <w:p w14:paraId="5322C57B">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en-US" w:eastAsia="zh-CN"/>
        </w:rPr>
      </w:pPr>
      <w:bookmarkStart w:id="650" w:name="_Toc4945_WPSOffice_Level1"/>
      <w:bookmarkStart w:id="651" w:name="_Toc9071_WPSOffice_Level1"/>
      <w:bookmarkStart w:id="652" w:name="_Toc8581_WPSOffice_Level1"/>
      <w:bookmarkStart w:id="653" w:name="_Toc1156_WPSOffice_Level1"/>
      <w:bookmarkStart w:id="654" w:name="_Toc4233_WPSOffice_Level1"/>
      <w:bookmarkStart w:id="655" w:name="_Toc26468_WPSOffice_Level1"/>
      <w:r>
        <w:rPr>
          <w:rFonts w:hint="eastAsia" w:ascii="新宋体" w:hAnsi="新宋体" w:eastAsia="新宋体" w:cs="新宋体"/>
          <w:bCs/>
          <w:color w:val="auto"/>
          <w:sz w:val="24"/>
          <w:szCs w:val="24"/>
          <w:highlight w:val="none"/>
          <w:lang w:val="en-US" w:eastAsia="zh-CN"/>
        </w:rPr>
        <w:t>双方签订合同十个工作日，甲方向乙方支付合同金额30%的预付款;乙方所交付的设备到货，甲方验收合格十个工作日支付合同额40%;乙方所交付的产品安装调试且整个项目实施完成后由甲方验收验收合格后由甲方报相关部门，申请资金拨付,按合同金额向乙方支付合同总价款的30%。</w:t>
      </w:r>
    </w:p>
    <w:p w14:paraId="6560FA0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lang w:val="zh-CN"/>
        </w:rPr>
        <w:t>五、合同的变更、终止与转让</w:t>
      </w:r>
      <w:bookmarkEnd w:id="650"/>
      <w:bookmarkEnd w:id="651"/>
      <w:bookmarkEnd w:id="652"/>
      <w:bookmarkEnd w:id="653"/>
      <w:bookmarkEnd w:id="654"/>
      <w:bookmarkEnd w:id="655"/>
    </w:p>
    <w:p w14:paraId="2E1B123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w:t>
      </w:r>
      <w:r>
        <w:rPr>
          <w:rFonts w:hint="eastAsia" w:ascii="新宋体" w:hAnsi="新宋体" w:eastAsia="新宋体" w:cs="新宋体"/>
          <w:bCs/>
          <w:color w:val="auto"/>
          <w:sz w:val="24"/>
          <w:szCs w:val="24"/>
          <w:highlight w:val="none"/>
          <w:lang w:val="zh-CN"/>
        </w:rPr>
        <w:t>除《中华人民共和国政府采购法》第</w:t>
      </w:r>
      <w:r>
        <w:rPr>
          <w:rFonts w:hint="eastAsia" w:ascii="新宋体" w:hAnsi="新宋体" w:eastAsia="新宋体" w:cs="新宋体"/>
          <w:bCs/>
          <w:color w:val="auto"/>
          <w:sz w:val="24"/>
          <w:szCs w:val="24"/>
          <w:highlight w:val="none"/>
        </w:rPr>
        <w:t>50</w:t>
      </w:r>
      <w:r>
        <w:rPr>
          <w:rFonts w:hint="eastAsia" w:ascii="新宋体" w:hAnsi="新宋体" w:eastAsia="新宋体" w:cs="新宋体"/>
          <w:bCs/>
          <w:color w:val="auto"/>
          <w:sz w:val="24"/>
          <w:szCs w:val="24"/>
          <w:highlight w:val="none"/>
          <w:lang w:val="zh-CN"/>
        </w:rPr>
        <w:t>条规定的情形外，本合同一经签订，甲乙双方不得擅自变更、中止或终止。</w:t>
      </w:r>
    </w:p>
    <w:p w14:paraId="6B9617B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w:t>
      </w:r>
      <w:r>
        <w:rPr>
          <w:rFonts w:hint="eastAsia" w:ascii="新宋体" w:hAnsi="新宋体" w:eastAsia="新宋体" w:cs="新宋体"/>
          <w:bCs/>
          <w:color w:val="auto"/>
          <w:sz w:val="24"/>
          <w:szCs w:val="24"/>
          <w:highlight w:val="none"/>
          <w:lang w:val="zh-CN"/>
        </w:rPr>
        <w:t>乙方不得擅自转让其应履行的合同义务。</w:t>
      </w:r>
    </w:p>
    <w:p w14:paraId="74F5174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56" w:name="_Toc29941_WPSOffice_Level1"/>
      <w:bookmarkStart w:id="657" w:name="_Toc2669_WPSOffice_Level1"/>
      <w:bookmarkStart w:id="658" w:name="_Toc27090_WPSOffice_Level1"/>
      <w:bookmarkStart w:id="659" w:name="_Toc21200_WPSOffice_Level1"/>
      <w:bookmarkStart w:id="660" w:name="_Toc20231_WPSOffice_Level1"/>
      <w:bookmarkStart w:id="661" w:name="_Toc14930_WPSOffice_Level1"/>
      <w:r>
        <w:rPr>
          <w:rFonts w:hint="eastAsia" w:ascii="新宋体" w:hAnsi="新宋体" w:eastAsia="新宋体" w:cs="新宋体"/>
          <w:bCs/>
          <w:color w:val="auto"/>
          <w:sz w:val="24"/>
          <w:szCs w:val="24"/>
          <w:highlight w:val="none"/>
          <w:lang w:val="zh-CN"/>
        </w:rPr>
        <w:t>六、违约责任</w:t>
      </w:r>
      <w:bookmarkEnd w:id="656"/>
      <w:bookmarkEnd w:id="657"/>
      <w:bookmarkEnd w:id="658"/>
      <w:bookmarkEnd w:id="659"/>
      <w:bookmarkEnd w:id="660"/>
      <w:bookmarkEnd w:id="661"/>
    </w:p>
    <w:p w14:paraId="40D511F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w:t>
      </w:r>
      <w:r>
        <w:rPr>
          <w:rFonts w:hint="eastAsia" w:ascii="新宋体" w:hAnsi="新宋体" w:eastAsia="新宋体" w:cs="新宋体"/>
          <w:bCs/>
          <w:color w:val="auto"/>
          <w:sz w:val="24"/>
          <w:szCs w:val="24"/>
          <w:highlight w:val="none"/>
          <w:lang w:val="zh-CN"/>
        </w:rPr>
        <w:t>乙方所提供的产品规格、技术标准、材料等质量不合格的，应及时更换；更换不及时的，按逾期交货承担违约责任；因质量问题甲方不同意接收的，甲方有权扣除质保金（或履约保证金），并由乙方赔偿由此引起的甲方的一切经济损失。</w:t>
      </w:r>
    </w:p>
    <w:p w14:paraId="32C69C9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w:t>
      </w:r>
      <w:r>
        <w:rPr>
          <w:rFonts w:hint="eastAsia" w:ascii="新宋体" w:hAnsi="新宋体" w:eastAsia="新宋体" w:cs="新宋体"/>
          <w:bCs/>
          <w:color w:val="auto"/>
          <w:sz w:val="24"/>
          <w:szCs w:val="24"/>
          <w:highlight w:val="none"/>
          <w:lang w:val="zh-CN"/>
        </w:rPr>
        <w:t>乙方提供的货物如侵犯了第三方权益而引发纠纷或诉讼的，均由乙方负责交涉并承担全部责任。</w:t>
      </w:r>
    </w:p>
    <w:p w14:paraId="0EF5FCE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w:t>
      </w:r>
      <w:r>
        <w:rPr>
          <w:rFonts w:hint="eastAsia" w:ascii="新宋体" w:hAnsi="新宋体" w:eastAsia="新宋体" w:cs="新宋体"/>
          <w:bCs/>
          <w:color w:val="auto"/>
          <w:sz w:val="24"/>
          <w:szCs w:val="24"/>
          <w:highlight w:val="none"/>
          <w:lang w:val="zh-CN"/>
        </w:rPr>
        <w:t>因包装、运输引起的货物损坏，甲方有权拒收。</w:t>
      </w:r>
    </w:p>
    <w:p w14:paraId="14AE465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4.</w:t>
      </w:r>
      <w:r>
        <w:rPr>
          <w:rFonts w:hint="eastAsia" w:ascii="新宋体" w:hAnsi="新宋体" w:eastAsia="新宋体" w:cs="新宋体"/>
          <w:bCs/>
          <w:color w:val="auto"/>
          <w:sz w:val="24"/>
          <w:szCs w:val="24"/>
          <w:highlight w:val="none"/>
          <w:lang w:val="zh-CN"/>
        </w:rPr>
        <w:t>甲方无故延期接受货物和乙方逾期交货的，每天应向对方偿付未交货物的货款</w:t>
      </w:r>
      <w:r>
        <w:rPr>
          <w:rFonts w:hint="eastAsia" w:ascii="新宋体" w:hAnsi="新宋体" w:eastAsia="新宋体" w:cs="新宋体"/>
          <w:bCs/>
          <w:i/>
          <w:iCs/>
          <w:color w:val="auto"/>
          <w:sz w:val="24"/>
          <w:szCs w:val="24"/>
          <w:highlight w:val="none"/>
          <w:u w:val="single"/>
          <w:lang w:val="en-US" w:eastAsia="zh-CN"/>
        </w:rPr>
        <w:t xml:space="preserve">     </w:t>
      </w:r>
      <w:r>
        <w:rPr>
          <w:rFonts w:hint="eastAsia" w:ascii="新宋体" w:hAnsi="新宋体" w:eastAsia="新宋体" w:cs="新宋体"/>
          <w:bCs/>
          <w:color w:val="auto"/>
          <w:sz w:val="24"/>
          <w:szCs w:val="24"/>
          <w:highlight w:val="none"/>
          <w:lang w:val="zh-CN"/>
        </w:rPr>
        <w:t>的违约金，但违约金累计不得超过违约货款的</w:t>
      </w:r>
      <w:r>
        <w:rPr>
          <w:rFonts w:hint="eastAsia" w:ascii="新宋体" w:hAnsi="新宋体" w:eastAsia="新宋体" w:cs="新宋体"/>
          <w:bCs/>
          <w:color w:val="auto"/>
          <w:sz w:val="24"/>
          <w:szCs w:val="24"/>
          <w:highlight w:val="none"/>
        </w:rPr>
        <w:t>5%</w:t>
      </w:r>
      <w:r>
        <w:rPr>
          <w:rFonts w:hint="eastAsia" w:ascii="新宋体" w:hAnsi="新宋体" w:eastAsia="新宋体" w:cs="新宋体"/>
          <w:bCs/>
          <w:color w:val="auto"/>
          <w:sz w:val="24"/>
          <w:szCs w:val="24"/>
          <w:highlight w:val="none"/>
          <w:lang w:val="zh-CN"/>
        </w:rPr>
        <w:t>，超过</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lang w:val="zh-CN"/>
        </w:rPr>
        <w:t>天对方有权解除合同，违约方承担因此给对方造成的经济损失</w:t>
      </w:r>
      <w:r>
        <w:rPr>
          <w:rFonts w:hint="eastAsia" w:ascii="新宋体" w:hAnsi="新宋体" w:eastAsia="新宋体" w:cs="新宋体"/>
          <w:bCs/>
          <w:color w:val="auto"/>
          <w:sz w:val="24"/>
          <w:szCs w:val="24"/>
          <w:highlight w:val="none"/>
        </w:rPr>
        <w:t xml:space="preserve"> </w:t>
      </w:r>
      <w:r>
        <w:rPr>
          <w:rFonts w:hint="eastAsia" w:ascii="新宋体" w:hAnsi="新宋体" w:eastAsia="新宋体" w:cs="新宋体"/>
          <w:bCs/>
          <w:color w:val="auto"/>
          <w:sz w:val="24"/>
          <w:szCs w:val="24"/>
          <w:highlight w:val="none"/>
          <w:lang w:val="zh-CN"/>
        </w:rPr>
        <w:t>。</w:t>
      </w:r>
    </w:p>
    <w:p w14:paraId="255A34A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5.</w:t>
      </w:r>
      <w:r>
        <w:rPr>
          <w:rFonts w:hint="eastAsia" w:ascii="新宋体" w:hAnsi="新宋体" w:eastAsia="新宋体" w:cs="新宋体"/>
          <w:bCs/>
          <w:color w:val="auto"/>
          <w:sz w:val="24"/>
          <w:szCs w:val="24"/>
          <w:highlight w:val="none"/>
          <w:lang w:val="zh-CN"/>
        </w:rPr>
        <w:t>乙方未按本合同和响应文件中规定的服务承诺提供售后服务的，乙方应按本合同合计金额的</w:t>
      </w:r>
      <w:r>
        <w:rPr>
          <w:rFonts w:hint="eastAsia" w:ascii="新宋体" w:hAnsi="新宋体" w:eastAsia="新宋体" w:cs="新宋体"/>
          <w:bCs/>
          <w:color w:val="auto"/>
          <w:sz w:val="24"/>
          <w:szCs w:val="24"/>
          <w:highlight w:val="none"/>
        </w:rPr>
        <w:t>5%</w:t>
      </w:r>
      <w:r>
        <w:rPr>
          <w:rFonts w:hint="eastAsia" w:ascii="新宋体" w:hAnsi="新宋体" w:eastAsia="新宋体" w:cs="新宋体"/>
          <w:bCs/>
          <w:color w:val="auto"/>
          <w:sz w:val="24"/>
          <w:szCs w:val="24"/>
          <w:highlight w:val="none"/>
          <w:lang w:val="zh-CN"/>
        </w:rPr>
        <w:t>向甲方支付违约金。</w:t>
      </w:r>
    </w:p>
    <w:p w14:paraId="5795760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w:t>
      </w:r>
      <w:r>
        <w:rPr>
          <w:rFonts w:hint="eastAsia" w:ascii="新宋体" w:hAnsi="新宋体" w:eastAsia="新宋体" w:cs="新宋体"/>
          <w:bCs/>
          <w:color w:val="auto"/>
          <w:sz w:val="24"/>
          <w:szCs w:val="24"/>
          <w:highlight w:val="none"/>
          <w:lang w:val="zh-CN"/>
        </w:rPr>
        <w:t>乙方提供的货物在质量保证期内，因设计、工艺或材料的缺陷和其它质量原因造成的问题，由乙方负责，费用从质量保证金中扣除，不足另补。</w:t>
      </w:r>
    </w:p>
    <w:p w14:paraId="1409C623">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w:t>
      </w:r>
      <w:r>
        <w:rPr>
          <w:rFonts w:hint="eastAsia" w:ascii="新宋体" w:hAnsi="新宋体" w:eastAsia="新宋体" w:cs="新宋体"/>
          <w:bCs/>
          <w:color w:val="auto"/>
          <w:sz w:val="24"/>
          <w:szCs w:val="24"/>
          <w:highlight w:val="none"/>
          <w:lang w:val="zh-CN"/>
        </w:rPr>
        <w:t>其它违约行为按违约货款额</w:t>
      </w:r>
      <w:r>
        <w:rPr>
          <w:rFonts w:hint="eastAsia" w:ascii="新宋体" w:hAnsi="新宋体" w:eastAsia="新宋体" w:cs="新宋体"/>
          <w:bCs/>
          <w:color w:val="auto"/>
          <w:sz w:val="24"/>
          <w:szCs w:val="24"/>
          <w:highlight w:val="none"/>
        </w:rPr>
        <w:t>5%</w:t>
      </w:r>
      <w:r>
        <w:rPr>
          <w:rFonts w:hint="eastAsia" w:ascii="新宋体" w:hAnsi="新宋体" w:eastAsia="新宋体" w:cs="新宋体"/>
          <w:bCs/>
          <w:color w:val="auto"/>
          <w:sz w:val="24"/>
          <w:szCs w:val="24"/>
          <w:highlight w:val="none"/>
          <w:lang w:val="zh-CN"/>
        </w:rPr>
        <w:t>收取违约金并赔偿经济损失。</w:t>
      </w:r>
    </w:p>
    <w:p w14:paraId="65958E4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62" w:name="_Toc29473_WPSOffice_Level1"/>
      <w:bookmarkStart w:id="663" w:name="_Toc13664_WPSOffice_Level1"/>
      <w:bookmarkStart w:id="664" w:name="_Toc4924_WPSOffice_Level1"/>
      <w:bookmarkStart w:id="665" w:name="_Toc2639_WPSOffice_Level1"/>
      <w:bookmarkStart w:id="666" w:name="_Toc2021_WPSOffice_Level1"/>
      <w:bookmarkStart w:id="667" w:name="_Toc31682_WPSOffice_Level1"/>
      <w:r>
        <w:rPr>
          <w:rFonts w:hint="eastAsia" w:ascii="新宋体" w:hAnsi="新宋体" w:eastAsia="新宋体" w:cs="新宋体"/>
          <w:bCs/>
          <w:color w:val="auto"/>
          <w:sz w:val="24"/>
          <w:szCs w:val="24"/>
          <w:highlight w:val="none"/>
          <w:lang w:val="zh-CN"/>
        </w:rPr>
        <w:t>七、不可抗力</w:t>
      </w:r>
      <w:bookmarkEnd w:id="662"/>
      <w:bookmarkEnd w:id="663"/>
      <w:bookmarkEnd w:id="664"/>
      <w:bookmarkEnd w:id="665"/>
      <w:bookmarkEnd w:id="666"/>
      <w:bookmarkEnd w:id="667"/>
    </w:p>
    <w:p w14:paraId="5A369DE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w:t>
      </w:r>
      <w:r>
        <w:rPr>
          <w:rFonts w:hint="eastAsia" w:ascii="新宋体" w:hAnsi="新宋体" w:eastAsia="新宋体" w:cs="新宋体"/>
          <w:bCs/>
          <w:color w:val="auto"/>
          <w:sz w:val="24"/>
          <w:szCs w:val="24"/>
          <w:highlight w:val="none"/>
          <w:lang w:val="zh-CN"/>
        </w:rPr>
        <w:t>不可抗力使合同的某些内容有变更必要的，双方应通过协商在</w:t>
      </w:r>
      <w:r>
        <w:rPr>
          <w:rFonts w:hint="eastAsia" w:ascii="新宋体" w:hAnsi="新宋体" w:eastAsia="新宋体" w:cs="新宋体"/>
          <w:bCs/>
          <w:color w:val="auto"/>
          <w:sz w:val="24"/>
          <w:szCs w:val="24"/>
          <w:highlight w:val="none"/>
        </w:rPr>
        <w:t xml:space="preserve">   </w:t>
      </w:r>
      <w:r>
        <w:rPr>
          <w:rFonts w:hint="eastAsia" w:ascii="新宋体" w:hAnsi="新宋体" w:eastAsia="新宋体" w:cs="新宋体"/>
          <w:bCs/>
          <w:color w:val="auto"/>
          <w:sz w:val="24"/>
          <w:szCs w:val="24"/>
          <w:highlight w:val="none"/>
          <w:lang w:val="zh-CN"/>
        </w:rPr>
        <w:t>天内达成进一步履行合同的协议，因不可抗力致使合同不能履行的，合同终止。</w:t>
      </w:r>
    </w:p>
    <w:p w14:paraId="363C820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w:t>
      </w:r>
      <w:r>
        <w:rPr>
          <w:rFonts w:hint="eastAsia" w:ascii="新宋体" w:hAnsi="新宋体" w:eastAsia="新宋体" w:cs="新宋体"/>
          <w:bCs/>
          <w:color w:val="auto"/>
          <w:sz w:val="24"/>
          <w:szCs w:val="24"/>
          <w:highlight w:val="none"/>
          <w:lang w:val="zh-CN"/>
        </w:rPr>
        <w:t>除法律、法规规定的不可抗力情形外，双方约定出现</w:t>
      </w:r>
      <w:r>
        <w:rPr>
          <w:rFonts w:hint="eastAsia" w:ascii="新宋体" w:hAnsi="新宋体" w:eastAsia="新宋体" w:cs="新宋体"/>
          <w:bCs/>
          <w:color w:val="auto"/>
          <w:sz w:val="24"/>
          <w:szCs w:val="24"/>
          <w:highlight w:val="none"/>
        </w:rPr>
        <w:t xml:space="preserve">         </w:t>
      </w:r>
      <w:r>
        <w:rPr>
          <w:rFonts w:hint="eastAsia" w:ascii="新宋体" w:hAnsi="新宋体" w:eastAsia="新宋体" w:cs="新宋体"/>
          <w:bCs/>
          <w:color w:val="auto"/>
          <w:sz w:val="24"/>
          <w:szCs w:val="24"/>
          <w:highlight w:val="none"/>
          <w:lang w:val="zh-CN"/>
        </w:rPr>
        <w:t>情况亦视为不可抗力。</w:t>
      </w:r>
    </w:p>
    <w:p w14:paraId="53FC41C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68" w:name="_Toc26412_WPSOffice_Level1"/>
      <w:bookmarkStart w:id="669" w:name="_Toc10383_WPSOffice_Level1"/>
      <w:bookmarkStart w:id="670" w:name="_Toc23622_WPSOffice_Level1"/>
      <w:bookmarkStart w:id="671" w:name="_Toc3848_WPSOffice_Level1"/>
      <w:bookmarkStart w:id="672" w:name="_Toc18318_WPSOffice_Level1"/>
      <w:bookmarkStart w:id="673" w:name="_Toc19414_WPSOffice_Level1"/>
      <w:r>
        <w:rPr>
          <w:rFonts w:hint="eastAsia" w:ascii="新宋体" w:hAnsi="新宋体" w:eastAsia="新宋体" w:cs="新宋体"/>
          <w:bCs/>
          <w:color w:val="auto"/>
          <w:sz w:val="24"/>
          <w:szCs w:val="24"/>
          <w:highlight w:val="none"/>
          <w:lang w:val="zh-CN"/>
        </w:rPr>
        <w:t>八、知识产权：</w:t>
      </w:r>
      <w:bookmarkEnd w:id="668"/>
      <w:bookmarkEnd w:id="669"/>
      <w:bookmarkEnd w:id="670"/>
      <w:bookmarkEnd w:id="671"/>
      <w:bookmarkEnd w:id="672"/>
      <w:bookmarkEnd w:id="673"/>
    </w:p>
    <w:p w14:paraId="4A38423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74" w:name="_Toc13231_WPSOffice_Level1"/>
      <w:bookmarkStart w:id="675" w:name="_Toc19632_WPSOffice_Level1"/>
      <w:bookmarkStart w:id="676" w:name="_Toc20210_WPSOffice_Level1"/>
      <w:bookmarkStart w:id="677" w:name="_Toc19749_WPSOffice_Level1"/>
      <w:bookmarkStart w:id="678" w:name="_Toc2260_WPSOffice_Level1"/>
      <w:bookmarkStart w:id="679" w:name="_Toc10217_WPSOffice_Level1"/>
      <w:r>
        <w:rPr>
          <w:rFonts w:hint="eastAsia" w:ascii="新宋体" w:hAnsi="新宋体" w:eastAsia="新宋体" w:cs="新宋体"/>
          <w:bCs/>
          <w:color w:val="auto"/>
          <w:sz w:val="24"/>
          <w:szCs w:val="24"/>
          <w:highlight w:val="none"/>
          <w:lang w:val="zh-CN"/>
        </w:rPr>
        <w:t>九、其他约定：</w:t>
      </w:r>
      <w:bookmarkEnd w:id="674"/>
      <w:bookmarkEnd w:id="675"/>
      <w:bookmarkEnd w:id="676"/>
      <w:bookmarkEnd w:id="677"/>
      <w:bookmarkEnd w:id="678"/>
      <w:bookmarkEnd w:id="679"/>
    </w:p>
    <w:p w14:paraId="663E4949">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80" w:name="_Toc18552_WPSOffice_Level1"/>
      <w:bookmarkStart w:id="681" w:name="_Toc20133_WPSOffice_Level1"/>
      <w:bookmarkStart w:id="682" w:name="_Toc23823_WPSOffice_Level1"/>
      <w:bookmarkStart w:id="683" w:name="_Toc6985_WPSOffice_Level1"/>
      <w:bookmarkStart w:id="684" w:name="_Toc19521_WPSOffice_Level1"/>
      <w:bookmarkStart w:id="685" w:name="_Toc2032_WPSOffice_Level1"/>
      <w:r>
        <w:rPr>
          <w:rFonts w:hint="eastAsia" w:ascii="新宋体" w:hAnsi="新宋体" w:eastAsia="新宋体" w:cs="新宋体"/>
          <w:bCs/>
          <w:color w:val="auto"/>
          <w:sz w:val="24"/>
          <w:szCs w:val="24"/>
          <w:highlight w:val="none"/>
          <w:lang w:val="zh-CN"/>
        </w:rPr>
        <w:t>十、合同争议解决</w:t>
      </w:r>
      <w:bookmarkEnd w:id="680"/>
      <w:bookmarkEnd w:id="681"/>
      <w:bookmarkEnd w:id="682"/>
      <w:bookmarkEnd w:id="683"/>
      <w:bookmarkEnd w:id="684"/>
      <w:bookmarkEnd w:id="685"/>
    </w:p>
    <w:p w14:paraId="1DF345F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w:t>
      </w:r>
      <w:r>
        <w:rPr>
          <w:rFonts w:hint="eastAsia" w:ascii="新宋体" w:hAnsi="新宋体" w:eastAsia="新宋体" w:cs="新宋体"/>
          <w:bCs/>
          <w:color w:val="auto"/>
          <w:sz w:val="24"/>
          <w:szCs w:val="24"/>
          <w:highlight w:val="none"/>
          <w:lang w:val="zh-CN"/>
        </w:rPr>
        <w:t>因产品质量问题发生争议的，应邀请国家认可的质量检测机构进行鉴定。产品符合标准的，鉴定费由甲方承担；产品不符合标准的，鉴定费由乙方承担。</w:t>
      </w:r>
    </w:p>
    <w:p w14:paraId="262857E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w:t>
      </w:r>
      <w:r>
        <w:rPr>
          <w:rFonts w:hint="eastAsia" w:ascii="新宋体" w:hAnsi="新宋体" w:eastAsia="新宋体" w:cs="新宋体"/>
          <w:bCs/>
          <w:color w:val="auto"/>
          <w:sz w:val="24"/>
          <w:szCs w:val="24"/>
          <w:highlight w:val="none"/>
          <w:lang w:val="zh-CN"/>
        </w:rPr>
        <w:t>因履行本合同引起的或与本合同有关的争议，甲乙双方应首先通过友好协商解决，如果协商不能解决，可</w:t>
      </w:r>
      <w:r>
        <w:rPr>
          <w:rFonts w:hint="eastAsia" w:ascii="新宋体" w:hAnsi="新宋体" w:eastAsia="新宋体" w:cs="新宋体"/>
          <w:bCs/>
          <w:color w:val="auto"/>
          <w:sz w:val="24"/>
          <w:szCs w:val="24"/>
          <w:highlight w:val="none"/>
        </w:rPr>
        <w:t>按下列第</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种方式解决：</w:t>
      </w:r>
    </w:p>
    <w:p w14:paraId="274D00C0">
      <w:pPr>
        <w:ind w:firstLine="6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（1）向</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人民法院起诉。</w:t>
      </w:r>
    </w:p>
    <w:p w14:paraId="29CC5268">
      <w:pPr>
        <w:ind w:firstLine="6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（2）向</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仲裁委员会申请仲裁；</w:t>
      </w:r>
    </w:p>
    <w:p w14:paraId="05DC59A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w:t>
      </w:r>
      <w:r>
        <w:rPr>
          <w:rFonts w:hint="eastAsia" w:ascii="新宋体" w:hAnsi="新宋体" w:eastAsia="新宋体" w:cs="新宋体"/>
          <w:bCs/>
          <w:color w:val="auto"/>
          <w:sz w:val="24"/>
          <w:szCs w:val="24"/>
          <w:highlight w:val="none"/>
          <w:lang w:val="zh-CN"/>
        </w:rPr>
        <w:t>诉讼期间，本合同继续履行。</w:t>
      </w:r>
    </w:p>
    <w:p w14:paraId="22ED93B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86" w:name="_Toc12915_WPSOffice_Level1"/>
      <w:bookmarkStart w:id="687" w:name="_Toc25759_WPSOffice_Level1"/>
      <w:bookmarkStart w:id="688" w:name="_Toc27544_WPSOffice_Level1"/>
      <w:bookmarkStart w:id="689" w:name="_Toc20057_WPSOffice_Level1"/>
      <w:bookmarkStart w:id="690" w:name="_Toc18713_WPSOffice_Level1"/>
      <w:bookmarkStart w:id="691" w:name="_Toc8439_WPSOffice_Level1"/>
      <w:r>
        <w:rPr>
          <w:rFonts w:hint="eastAsia" w:ascii="新宋体" w:hAnsi="新宋体" w:eastAsia="新宋体" w:cs="新宋体"/>
          <w:bCs/>
          <w:color w:val="auto"/>
          <w:sz w:val="24"/>
          <w:szCs w:val="24"/>
          <w:highlight w:val="none"/>
          <w:lang w:val="zh-CN"/>
        </w:rPr>
        <w:t>十一、合同生效及其它</w:t>
      </w:r>
      <w:r>
        <w:rPr>
          <w:rFonts w:hint="eastAsia" w:ascii="新宋体" w:hAnsi="新宋体" w:eastAsia="新宋体" w:cs="新宋体"/>
          <w:bCs/>
          <w:color w:val="auto"/>
          <w:sz w:val="24"/>
          <w:szCs w:val="24"/>
          <w:highlight w:val="none"/>
        </w:rPr>
        <w:t>：</w:t>
      </w:r>
      <w:bookmarkEnd w:id="686"/>
      <w:bookmarkEnd w:id="687"/>
      <w:bookmarkEnd w:id="688"/>
      <w:bookmarkEnd w:id="689"/>
      <w:bookmarkEnd w:id="690"/>
      <w:bookmarkEnd w:id="691"/>
    </w:p>
    <w:p w14:paraId="1B77558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92" w:name="_Toc20231_WPSOffice_Level2"/>
      <w:bookmarkStart w:id="693" w:name="_Toc15526_WPSOffice_Level2"/>
      <w:bookmarkStart w:id="694" w:name="_Toc26653_WPSOffice_Level2"/>
      <w:r>
        <w:rPr>
          <w:rFonts w:hint="eastAsia" w:ascii="新宋体" w:hAnsi="新宋体" w:eastAsia="新宋体" w:cs="新宋体"/>
          <w:bCs/>
          <w:color w:val="auto"/>
          <w:sz w:val="24"/>
          <w:szCs w:val="24"/>
          <w:highlight w:val="none"/>
        </w:rPr>
        <w:t>1.</w:t>
      </w:r>
      <w:r>
        <w:rPr>
          <w:rFonts w:hint="eastAsia" w:ascii="新宋体" w:hAnsi="新宋体" w:eastAsia="新宋体" w:cs="新宋体"/>
          <w:bCs/>
          <w:color w:val="auto"/>
          <w:sz w:val="24"/>
          <w:szCs w:val="24"/>
          <w:highlight w:val="none"/>
          <w:lang w:val="zh-CN"/>
        </w:rPr>
        <w:t>本合同一式六份，经双方签字，并加盖公章即为生效。</w:t>
      </w:r>
      <w:bookmarkEnd w:id="692"/>
      <w:bookmarkEnd w:id="693"/>
      <w:bookmarkEnd w:id="694"/>
    </w:p>
    <w:p w14:paraId="2B419E03">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95" w:name="_Toc13664_WPSOffice_Level2"/>
      <w:bookmarkStart w:id="696" w:name="_Toc11979_WPSOffice_Level2"/>
      <w:bookmarkStart w:id="697" w:name="_Toc16154_WPSOffice_Level2"/>
      <w:r>
        <w:rPr>
          <w:rFonts w:hint="eastAsia" w:ascii="新宋体" w:hAnsi="新宋体" w:eastAsia="新宋体" w:cs="新宋体"/>
          <w:bCs/>
          <w:color w:val="auto"/>
          <w:sz w:val="24"/>
          <w:szCs w:val="24"/>
          <w:highlight w:val="none"/>
        </w:rPr>
        <w:t>2.</w:t>
      </w:r>
      <w:r>
        <w:rPr>
          <w:rFonts w:hint="eastAsia" w:ascii="新宋体" w:hAnsi="新宋体" w:eastAsia="新宋体" w:cs="新宋体"/>
          <w:bCs/>
          <w:color w:val="auto"/>
          <w:sz w:val="24"/>
          <w:szCs w:val="24"/>
          <w:highlight w:val="none"/>
          <w:lang w:val="zh-CN"/>
        </w:rPr>
        <w:t>本合同未尽事宜，按《民法典》有关规定处理。</w:t>
      </w:r>
      <w:bookmarkEnd w:id="695"/>
      <w:bookmarkEnd w:id="696"/>
      <w:bookmarkEnd w:id="697"/>
    </w:p>
    <w:p w14:paraId="05226AB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p>
    <w:p w14:paraId="6A7EFEB4">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甲方（盖章）：                 乙方（盖章）：</w:t>
      </w:r>
    </w:p>
    <w:p w14:paraId="011667CB">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地址：                         地址：</w:t>
      </w:r>
    </w:p>
    <w:p w14:paraId="5D48DA0C">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法定代表人或委托代理人：       法定代表人或委托代理人：</w:t>
      </w:r>
    </w:p>
    <w:p w14:paraId="55FF8B2D">
      <w:pPr>
        <w:adjustRightInd w:val="0"/>
        <w:snapToGrid w:val="0"/>
        <w:spacing w:line="480" w:lineRule="auto"/>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开户银行：</w:t>
      </w:r>
    </w:p>
    <w:p w14:paraId="151ED07D">
      <w:pPr>
        <w:adjustRightInd w:val="0"/>
        <w:snapToGrid w:val="0"/>
        <w:spacing w:line="480" w:lineRule="auto"/>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账号：</w:t>
      </w:r>
    </w:p>
    <w:p w14:paraId="2A72702E">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联系电话：                     </w:t>
      </w:r>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联系电话：</w:t>
      </w:r>
    </w:p>
    <w:p w14:paraId="33270EFB">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签约时间：  </w:t>
      </w:r>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年  月  日</w:t>
      </w:r>
    </w:p>
    <w:p w14:paraId="1703BEE3">
      <w:pPr>
        <w:pStyle w:val="85"/>
        <w:rPr>
          <w:rFonts w:hint="eastAsia" w:ascii="新宋体" w:hAnsi="新宋体" w:eastAsia="新宋体" w:cs="新宋体"/>
          <w:color w:val="auto"/>
          <w:sz w:val="24"/>
          <w:szCs w:val="24"/>
          <w:highlight w:val="none"/>
        </w:rPr>
      </w:pPr>
    </w:p>
    <w:p w14:paraId="2B386F1B">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合同备案部门：    </w:t>
      </w:r>
    </w:p>
    <w:p w14:paraId="228C01FF">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负责人：                         经办人：</w:t>
      </w:r>
    </w:p>
    <w:p w14:paraId="6AA461E4">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合同备案时间：   年  月  日</w:t>
      </w:r>
    </w:p>
    <w:p w14:paraId="1F95931D">
      <w:pP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br w:type="page"/>
      </w:r>
    </w:p>
    <w:p w14:paraId="2064BA2D">
      <w:pPr>
        <w:adjustRightInd w:val="0"/>
        <w:snapToGrid w:val="0"/>
        <w:spacing w:line="560" w:lineRule="exact"/>
        <w:ind w:firstLine="4096" w:firstLineChars="1700"/>
        <w:jc w:val="both"/>
        <w:rPr>
          <w:rFonts w:hint="eastAsia" w:ascii="新宋体" w:hAnsi="新宋体" w:eastAsia="新宋体" w:cs="新宋体"/>
          <w:b/>
          <w:bCs w:val="0"/>
          <w:color w:val="auto"/>
          <w:sz w:val="24"/>
          <w:szCs w:val="24"/>
          <w:highlight w:val="none"/>
        </w:rPr>
      </w:pPr>
      <w:r>
        <w:rPr>
          <w:rFonts w:hint="eastAsia" w:ascii="新宋体" w:hAnsi="新宋体" w:eastAsia="新宋体" w:cs="新宋体"/>
          <w:b/>
          <w:bCs w:val="0"/>
          <w:color w:val="auto"/>
          <w:sz w:val="24"/>
          <w:szCs w:val="24"/>
          <w:highlight w:val="none"/>
        </w:rPr>
        <w:t>合同通用条款</w:t>
      </w:r>
    </w:p>
    <w:p w14:paraId="59DE8C8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根据《民法典》、《中华人民共和国政府采购法》的规定，合同双方经协商达成一致，自愿订立本合同，遵循公平原则明确双方的权利、义务，确保双方诚实守信地履行合同。</w:t>
      </w:r>
    </w:p>
    <w:p w14:paraId="7DF0BCA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98" w:name="_Toc26412_WPSOffice_Level2"/>
      <w:bookmarkStart w:id="699" w:name="_Toc22507_WPSOffice_Level2"/>
      <w:bookmarkStart w:id="700" w:name="_Toc20198_WPSOffice_Level2"/>
      <w:r>
        <w:rPr>
          <w:rFonts w:hint="eastAsia" w:ascii="新宋体" w:hAnsi="新宋体" w:eastAsia="新宋体" w:cs="新宋体"/>
          <w:bCs/>
          <w:color w:val="auto"/>
          <w:sz w:val="24"/>
          <w:szCs w:val="24"/>
          <w:highlight w:val="none"/>
        </w:rPr>
        <w:t>1.定义</w:t>
      </w:r>
      <w:bookmarkEnd w:id="698"/>
      <w:bookmarkEnd w:id="699"/>
      <w:bookmarkEnd w:id="700"/>
    </w:p>
    <w:p w14:paraId="657581C8">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本合同中的下列术语应解释为：</w:t>
      </w:r>
    </w:p>
    <w:p w14:paraId="14F2B9A3">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 “合同”指甲乙双方签署的、载明的甲乙双方权利义务的协议，包括所有的附件、附录和上述文件所提到的构成合同的所有文件。</w:t>
      </w:r>
    </w:p>
    <w:p w14:paraId="537D4AD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1.2 “合同金额”指根据合同规定，乙方在正确地完全履行合同义务后甲方应付给乙方的价款。</w:t>
      </w:r>
    </w:p>
    <w:p w14:paraId="38BECCD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1.3 “合同条款”指本合同条款。</w:t>
      </w:r>
    </w:p>
    <w:p w14:paraId="3886E13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1.4 “货物”指乙方根据合同约定须向甲方提供的一切产品、设备、机械、仪表、备件等，包括辅助工具、使用手册等相关资料。</w:t>
      </w:r>
    </w:p>
    <w:p w14:paraId="49C59CC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1.5 “服务”指根据本合同规定乙方承担与供货有关的辅助服务，如运输、保险及安装、调试、提供技术援助、培训和合同中规定乙方应承担的其它义务。</w:t>
      </w:r>
    </w:p>
    <w:p w14:paraId="4761D28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1.6 “甲方”指购买货物和服务的单位。</w:t>
      </w:r>
    </w:p>
    <w:p w14:paraId="57BD47A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1.7 “乙方”指提供本合同条款下货物和服务的公司或其他实体。</w:t>
      </w:r>
    </w:p>
    <w:p w14:paraId="0A287B5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1.8 “现场”指合同规定货物将要运至和安装的地点。</w:t>
      </w:r>
    </w:p>
    <w:p w14:paraId="68B2C15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1.9 “验收”指合同双方依据强制性的国家技术质量规范和合同约定，确认合同条款下的货物符合合同规定的活动。</w:t>
      </w:r>
    </w:p>
    <w:p w14:paraId="731DA91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1.10原厂商：产品制造商或其在中国境内设立的办事或技术服务机构。除另有说明外，本合同文件所述的制造商、产品制造商、制造厂家、产品制造厂家均为原厂商。</w:t>
      </w:r>
    </w:p>
    <w:p w14:paraId="4ADBB7D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1.11 原产地：指产品的生产地，或提供服务的来源地。</w:t>
      </w:r>
    </w:p>
    <w:p w14:paraId="1D26237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1.12 “工作日”指国家法定工作日，“天”指日历天数。</w:t>
      </w:r>
    </w:p>
    <w:p w14:paraId="54CD6D28">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01" w:name="_Toc9343_WPSOffice_Level2"/>
      <w:bookmarkStart w:id="702" w:name="_Toc20210_WPSOffice_Level2"/>
      <w:bookmarkStart w:id="703" w:name="_Toc21237_WPSOffice_Level2"/>
      <w:r>
        <w:rPr>
          <w:rFonts w:hint="eastAsia" w:ascii="新宋体" w:hAnsi="新宋体" w:eastAsia="新宋体" w:cs="新宋体"/>
          <w:bCs/>
          <w:color w:val="auto"/>
          <w:sz w:val="24"/>
          <w:szCs w:val="24"/>
          <w:highlight w:val="none"/>
        </w:rPr>
        <w:t>2.技术规格要求</w:t>
      </w:r>
      <w:bookmarkEnd w:id="701"/>
      <w:bookmarkEnd w:id="702"/>
      <w:bookmarkEnd w:id="703"/>
    </w:p>
    <w:p w14:paraId="2923812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2.1 本合同条款下提交货物的技术规格要求应等于或优于谈判文件、谈判响应文件技术规格要求。若技术规格要求中无相应规定，则应符合相应的国家有关部门最新颁布的相应正式标准。</w:t>
      </w:r>
    </w:p>
    <w:p w14:paraId="20C188A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2.2 乙方应向甲方提供货物及服务有关的标准的中文文本。</w:t>
      </w:r>
    </w:p>
    <w:p w14:paraId="0D9ED37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2.3 除非技术规范中另有规定，计量单位均采用中华人民共和国法定计量单位。</w:t>
      </w:r>
    </w:p>
    <w:p w14:paraId="2A957FA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04" w:name="_Toc415_WPSOffice_Level2"/>
      <w:bookmarkStart w:id="705" w:name="_Toc26773_WPSOffice_Level2"/>
      <w:bookmarkStart w:id="706" w:name="_Toc23823_WPSOffice_Level2"/>
      <w:r>
        <w:rPr>
          <w:rFonts w:hint="eastAsia" w:ascii="新宋体" w:hAnsi="新宋体" w:eastAsia="新宋体" w:cs="新宋体"/>
          <w:bCs/>
          <w:color w:val="auto"/>
          <w:sz w:val="24"/>
          <w:szCs w:val="24"/>
          <w:highlight w:val="none"/>
        </w:rPr>
        <w:t>3.合同范围</w:t>
      </w:r>
      <w:bookmarkEnd w:id="704"/>
      <w:bookmarkEnd w:id="705"/>
      <w:bookmarkEnd w:id="706"/>
    </w:p>
    <w:p w14:paraId="6D524C6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0D55689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3.2 乙方应负责培训甲方的技术人员。</w:t>
      </w:r>
    </w:p>
    <w:p w14:paraId="4CE5E8B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472A7D5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07" w:name="_Toc22989_WPSOffice_Level2"/>
      <w:bookmarkStart w:id="708" w:name="_Toc27544_WPSOffice_Level2"/>
      <w:bookmarkStart w:id="709" w:name="_Toc1426_WPSOffice_Level2"/>
      <w:r>
        <w:rPr>
          <w:rFonts w:hint="eastAsia" w:ascii="新宋体" w:hAnsi="新宋体" w:eastAsia="新宋体" w:cs="新宋体"/>
          <w:bCs/>
          <w:color w:val="auto"/>
          <w:sz w:val="24"/>
          <w:szCs w:val="24"/>
          <w:highlight w:val="none"/>
        </w:rPr>
        <w:t>4.合同文件和资料</w:t>
      </w:r>
      <w:bookmarkEnd w:id="707"/>
      <w:bookmarkEnd w:id="708"/>
      <w:bookmarkEnd w:id="709"/>
    </w:p>
    <w:p w14:paraId="0D6D4A3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4.1乙方在提供仪器设备时应同时提供中文版相关的技术资料，如目录索引、图纸、操作手册、使用指南、维修指南、服务手册等。</w:t>
      </w:r>
    </w:p>
    <w:p w14:paraId="4B0662F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9206B1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10" w:name="_Toc14802_WPSOffice_Level2"/>
      <w:bookmarkStart w:id="711" w:name="_Toc23784_WPSOffice_Level2"/>
      <w:bookmarkStart w:id="712" w:name="_Toc18584_WPSOffice_Level2"/>
      <w:r>
        <w:rPr>
          <w:rFonts w:hint="eastAsia" w:ascii="新宋体" w:hAnsi="新宋体" w:eastAsia="新宋体" w:cs="新宋体"/>
          <w:bCs/>
          <w:color w:val="auto"/>
          <w:sz w:val="24"/>
          <w:szCs w:val="24"/>
          <w:highlight w:val="none"/>
        </w:rPr>
        <w:t>5.知识产权</w:t>
      </w:r>
      <w:bookmarkEnd w:id="710"/>
      <w:bookmarkEnd w:id="711"/>
      <w:bookmarkEnd w:id="712"/>
    </w:p>
    <w:p w14:paraId="280863F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5.1乙方应保证甲方在使用该货物或其任何一部分时不受第三方提出的侵犯专利权、 著作权、商标权和工业设计权等的起诉。</w:t>
      </w:r>
    </w:p>
    <w:p w14:paraId="16BAEA1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5.2任何第三方提出侵权指控，乙方须与第三方交涉并承担由此产生的一切责任、费用和经济赔偿。</w:t>
      </w:r>
    </w:p>
    <w:p w14:paraId="554C675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5.3双方应共同遵守国家有关版权、专利、商标等知识产权方面的法律规定，相互尊重对方的知识产权，对本合同内容、对方的技术秘密和商业秘密负有保密责任。如有违反，违约方负相关法律责任。</w:t>
      </w:r>
    </w:p>
    <w:p w14:paraId="027C43C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5.4在本合同生效时已经存在并为各方合法拥有或使用的所有技术、资料和信息的知识产权，仍应属于其各自的原权利人所有或享有，另有约定的除外。</w:t>
      </w:r>
    </w:p>
    <w:p w14:paraId="025421B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216FD2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13" w:name="_Toc25026_WPSOffice_Level2"/>
      <w:bookmarkStart w:id="714" w:name="_Toc22229_WPSOffice_Level2"/>
      <w:bookmarkStart w:id="715" w:name="_Toc13395_WPSOffice_Level2"/>
      <w:r>
        <w:rPr>
          <w:rFonts w:hint="eastAsia" w:ascii="新宋体" w:hAnsi="新宋体" w:eastAsia="新宋体" w:cs="新宋体"/>
          <w:bCs/>
          <w:color w:val="auto"/>
          <w:sz w:val="24"/>
          <w:szCs w:val="24"/>
          <w:highlight w:val="none"/>
        </w:rPr>
        <w:t>6.保密</w:t>
      </w:r>
      <w:bookmarkEnd w:id="713"/>
      <w:bookmarkEnd w:id="714"/>
      <w:bookmarkEnd w:id="715"/>
    </w:p>
    <w:p w14:paraId="2D59051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53F36DD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6.2保密信息指任何一方因履行本合同所知悉的任何以口头、书面、图表或电子形式存在的对方信息，具体包括：</w:t>
      </w:r>
    </w:p>
    <w:p w14:paraId="16FADA1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6.2.1任何涉及对方过去、现在或将来的商业计划、规章制度、操作规程、处理手段、财务信息；</w:t>
      </w:r>
    </w:p>
    <w:p w14:paraId="0077CEA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6.2.2任何对方的技术措施、技术方案、软件应用及开发，硬件设备的品种、质量、数量、品牌等；</w:t>
      </w:r>
    </w:p>
    <w:p w14:paraId="22065928">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6.2.3任何对方的技术秘密或专有知识、文件 、报告、数据、客户软件、流程图、数据库、发明、知识、贸易秘密。</w:t>
      </w:r>
    </w:p>
    <w:p w14:paraId="18DEE41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6.3乙方应根据甲方的要求签署相应的保密协议，保密协议与本条款存在不一致的，以保密协议为准。</w:t>
      </w:r>
    </w:p>
    <w:p w14:paraId="7590FA1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16" w:name="_Toc6752_WPSOffice_Level2"/>
      <w:bookmarkStart w:id="717" w:name="_Toc12645_WPSOffice_Level2"/>
      <w:bookmarkStart w:id="718" w:name="_Toc23853_WPSOffice_Level2"/>
      <w:r>
        <w:rPr>
          <w:rFonts w:hint="eastAsia" w:ascii="新宋体" w:hAnsi="新宋体" w:eastAsia="新宋体" w:cs="新宋体"/>
          <w:bCs/>
          <w:color w:val="auto"/>
          <w:sz w:val="24"/>
          <w:szCs w:val="24"/>
          <w:highlight w:val="none"/>
        </w:rPr>
        <w:t>7. 质量保证</w:t>
      </w:r>
      <w:bookmarkEnd w:id="716"/>
      <w:bookmarkEnd w:id="717"/>
      <w:bookmarkEnd w:id="718"/>
    </w:p>
    <w:p w14:paraId="08551D3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19" w:name="_Toc26729_WPSOffice_Level3"/>
      <w:bookmarkStart w:id="720" w:name="_Toc8450_WPSOffice_Level3"/>
      <w:r>
        <w:rPr>
          <w:rFonts w:hint="eastAsia" w:ascii="新宋体" w:hAnsi="新宋体" w:eastAsia="新宋体" w:cs="新宋体"/>
          <w:bCs/>
          <w:color w:val="auto"/>
          <w:sz w:val="24"/>
          <w:szCs w:val="24"/>
          <w:highlight w:val="none"/>
        </w:rPr>
        <w:t>7.1货物质量保证</w:t>
      </w:r>
      <w:bookmarkEnd w:id="719"/>
      <w:bookmarkEnd w:id="720"/>
    </w:p>
    <w:p w14:paraId="539A57F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7.1.1乙方必须保证货物是全新、未使用过的，并完全符合强制性的国家技术质量规范和合同规定的质量、规格、性能和技术规范等的要求。</w:t>
      </w:r>
    </w:p>
    <w:p w14:paraId="09F0824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375A128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D9D605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774F0D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7.1.5 合同条款下货物的质量保证期自货物通过最终验收起算，合同另行规定除外。</w:t>
      </w:r>
    </w:p>
    <w:p w14:paraId="0894568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21" w:name="_Toc9593_WPSOffice_Level3"/>
      <w:bookmarkStart w:id="722" w:name="_Toc18945_WPSOffice_Level3"/>
      <w:r>
        <w:rPr>
          <w:rFonts w:hint="eastAsia" w:ascii="新宋体" w:hAnsi="新宋体" w:eastAsia="新宋体" w:cs="新宋体"/>
          <w:bCs/>
          <w:color w:val="auto"/>
          <w:sz w:val="24"/>
          <w:szCs w:val="24"/>
          <w:highlight w:val="none"/>
        </w:rPr>
        <w:t>7.2辅助服务质量保证</w:t>
      </w:r>
      <w:bookmarkEnd w:id="721"/>
      <w:bookmarkEnd w:id="722"/>
    </w:p>
    <w:p w14:paraId="53336E18">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2548D6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7.2.2乙方应保证合同条款下所提供的服务包括培训、安装指导、单机调试、系统联调和试验等，按合同规定方式进行，并保证不存在因乙方工作人员的过失、错误或疏忽而产生的缺陷。</w:t>
      </w:r>
    </w:p>
    <w:p w14:paraId="662472D3">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23" w:name="_Toc16656_WPSOffice_Level2"/>
      <w:bookmarkStart w:id="724" w:name="_Toc19930_WPSOffice_Level2"/>
      <w:bookmarkStart w:id="725" w:name="_Toc444_WPSOffice_Level2"/>
      <w:r>
        <w:rPr>
          <w:rFonts w:hint="eastAsia" w:ascii="新宋体" w:hAnsi="新宋体" w:eastAsia="新宋体" w:cs="新宋体"/>
          <w:bCs/>
          <w:color w:val="auto"/>
          <w:sz w:val="24"/>
          <w:szCs w:val="24"/>
          <w:highlight w:val="none"/>
        </w:rPr>
        <w:t>8.包装要求</w:t>
      </w:r>
      <w:bookmarkEnd w:id="723"/>
      <w:bookmarkEnd w:id="724"/>
      <w:bookmarkEnd w:id="725"/>
    </w:p>
    <w:p w14:paraId="5931201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8.1 除合同另有约定外，乙方提供的全部货物，均应采用本行业通用的方式进行包装，且该包装应符合国家有关包装的法律、法规的规定。</w:t>
      </w:r>
    </w:p>
    <w:p w14:paraId="08A5705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8.2 包装应适应于远距离运输，并有良好的防潮、防震、防锈和防粗暴装卸等保护措施，以确保货物安全运抵现场。由于包装不善所引起的货物锈蚀、损坏和损失均由乙方承担。</w:t>
      </w:r>
    </w:p>
    <w:p w14:paraId="4FD937F3">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乙方应提供货物运至合同规定的最终目的地所需要的包装，以防止货物在转运中损坏或变质。</w:t>
      </w:r>
    </w:p>
    <w:p w14:paraId="766748F8">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8.3 乙方所提供的货物包装均为出厂时原包装。</w:t>
      </w:r>
    </w:p>
    <w:p w14:paraId="7CF40DD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8.4 乙方所提供货物必须附有质量合格证，装箱清单，主机、附件、各种零部件和消耗品，有清楚的与装箱单相对应的名称和编号。</w:t>
      </w:r>
    </w:p>
    <w:p w14:paraId="3EB3F6E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8.5 货物运输中的运输费用和保险费用均由乙方承担。运输过程中的一切损失、损坏均由乙方负责。</w:t>
      </w:r>
    </w:p>
    <w:p w14:paraId="64DD89E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26" w:name="_Toc15918_WPSOffice_Level2"/>
      <w:bookmarkStart w:id="727" w:name="_Toc19342_WPSOffice_Level2"/>
      <w:bookmarkStart w:id="728" w:name="_Toc9360_WPSOffice_Level2"/>
      <w:r>
        <w:rPr>
          <w:rFonts w:hint="eastAsia" w:ascii="新宋体" w:hAnsi="新宋体" w:eastAsia="新宋体" w:cs="新宋体"/>
          <w:bCs/>
          <w:color w:val="auto"/>
          <w:sz w:val="24"/>
          <w:szCs w:val="24"/>
          <w:highlight w:val="none"/>
        </w:rPr>
        <w:t>9. 价格</w:t>
      </w:r>
      <w:bookmarkEnd w:id="726"/>
      <w:bookmarkEnd w:id="727"/>
      <w:bookmarkEnd w:id="728"/>
    </w:p>
    <w:p w14:paraId="221524B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67167E7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9.2 本合同价格为固定价格，包括了乙方履行合同全过程产生的所有成本和费用以及乙方应承担的一切税费。</w:t>
      </w:r>
    </w:p>
    <w:p w14:paraId="51CA948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9.3检验费用 </w:t>
      </w:r>
    </w:p>
    <w:p w14:paraId="31F8128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9.3.1 乙方必须负担本条款下属于乙方负责的检验、测试、调试、试运行和验收的所有费用，并负责乙方派往买方组织的检验、测试和验收人员的所有费用。</w:t>
      </w:r>
    </w:p>
    <w:p w14:paraId="48EB770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9.3.2 甲方按合同计划参加在乙方工厂所在地检验、测试和验收的费用全部由乙方负责并已包含在合同总价中。</w:t>
      </w:r>
    </w:p>
    <w:p w14:paraId="2BCDBC7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9.3.3甲方检验人员已到卖方所在地，测试无法依照合同进行， 而引起甲方人员延长逗留时间，所有由此产生的包括甲方人员在内的直接费用及成本由乙方承担。 </w:t>
      </w:r>
    </w:p>
    <w:p w14:paraId="65009C8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29" w:name="_Toc29082_WPSOffice_Level2"/>
      <w:bookmarkStart w:id="730" w:name="_Toc21379_WPSOffice_Level2"/>
      <w:bookmarkStart w:id="731" w:name="_Toc13355_WPSOffice_Level2"/>
      <w:r>
        <w:rPr>
          <w:rFonts w:hint="eastAsia" w:ascii="新宋体" w:hAnsi="新宋体" w:eastAsia="新宋体" w:cs="新宋体"/>
          <w:bCs/>
          <w:color w:val="auto"/>
          <w:sz w:val="24"/>
          <w:szCs w:val="24"/>
          <w:highlight w:val="none"/>
        </w:rPr>
        <w:t>10.交货方式及交货日期</w:t>
      </w:r>
      <w:bookmarkEnd w:id="729"/>
      <w:bookmarkEnd w:id="730"/>
      <w:bookmarkEnd w:id="731"/>
    </w:p>
    <w:p w14:paraId="474C57D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交货方式：现场交货，乙方负责办理运输和保险，将货物运抵现场。</w:t>
      </w:r>
    </w:p>
    <w:p w14:paraId="7F7479A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交货日期：所有货物运抵现场并经双方开箱验收合格之日。</w:t>
      </w:r>
    </w:p>
    <w:p w14:paraId="2EE0389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32" w:name="_Toc4905_WPSOffice_Level2"/>
      <w:bookmarkStart w:id="733" w:name="_Toc22184_WPSOffice_Level2"/>
      <w:bookmarkStart w:id="734" w:name="_Toc8711_WPSOffice_Level2"/>
      <w:r>
        <w:rPr>
          <w:rFonts w:hint="eastAsia" w:ascii="新宋体" w:hAnsi="新宋体" w:eastAsia="新宋体" w:cs="新宋体"/>
          <w:bCs/>
          <w:color w:val="auto"/>
          <w:sz w:val="24"/>
          <w:szCs w:val="24"/>
          <w:highlight w:val="none"/>
        </w:rPr>
        <w:t>11.检验和验收</w:t>
      </w:r>
      <w:bookmarkEnd w:id="732"/>
      <w:bookmarkEnd w:id="733"/>
      <w:bookmarkEnd w:id="734"/>
    </w:p>
    <w:p w14:paraId="19CE586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35" w:name="_Toc7309_WPSOffice_Level3"/>
      <w:bookmarkStart w:id="736" w:name="_Toc11588_WPSOffice_Level3"/>
      <w:r>
        <w:rPr>
          <w:rFonts w:hint="eastAsia" w:ascii="新宋体" w:hAnsi="新宋体" w:eastAsia="新宋体" w:cs="新宋体"/>
          <w:bCs/>
          <w:color w:val="auto"/>
          <w:sz w:val="24"/>
          <w:szCs w:val="24"/>
          <w:highlight w:val="none"/>
        </w:rPr>
        <w:t>11.1开箱验收</w:t>
      </w:r>
      <w:bookmarkEnd w:id="735"/>
      <w:bookmarkEnd w:id="736"/>
    </w:p>
    <w:p w14:paraId="7F4E7BF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11.1.1货物运抵现场后，双方应及时开箱验收，并制作验收记录，以确认与本合同约定的数量、型号等是否一致。</w:t>
      </w:r>
    </w:p>
    <w:p w14:paraId="45D78C6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11.1.2 乙方应在交货前对货物的质量、规格、数量等进行详细而全面的检验，并出具证明货物符合合同规定的文件。该文件将作为申请付款单据的一部分，但有关质量、规格、数量的检验不应视为最终检验。</w:t>
      </w:r>
    </w:p>
    <w:p w14:paraId="1CDD2E1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11.1.3 开箱验收中如发现货物的数量、规格与合同约定不符，甲方有权拒收货物，乙方应及时按甲方要求免费对拒收货物采取更换或其他必要的补救措施，直至开箱验收合格，方视为乙方完成交货。</w:t>
      </w:r>
    </w:p>
    <w:p w14:paraId="7868B99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37" w:name="_Toc26974_WPSOffice_Level3"/>
      <w:bookmarkStart w:id="738" w:name="_Toc13911_WPSOffice_Level3"/>
      <w:r>
        <w:rPr>
          <w:rFonts w:hint="eastAsia" w:ascii="新宋体" w:hAnsi="新宋体" w:eastAsia="新宋体" w:cs="新宋体"/>
          <w:bCs/>
          <w:color w:val="auto"/>
          <w:sz w:val="24"/>
          <w:szCs w:val="24"/>
          <w:highlight w:val="none"/>
        </w:rPr>
        <w:t>11.2  检验验收</w:t>
      </w:r>
      <w:bookmarkEnd w:id="737"/>
      <w:bookmarkEnd w:id="738"/>
    </w:p>
    <w:p w14:paraId="16009D1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11.2.1 交货完成后，乙方应及时组装、调试、试运行，按照合同专用条款规定的试运行完成后，双方及时组织对货物检验验收。合同双方均须派人参加合同要求双方参加的试验、检验。</w:t>
      </w:r>
    </w:p>
    <w:p w14:paraId="22E500D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11.2.2 在具体实施合同规定的检验验收之前，乙方需提前提交相应的测试计划（包括测试程序、测试内容和检验标准、试验时间安排等）供甲方确认。</w:t>
      </w:r>
    </w:p>
    <w:p w14:paraId="60B13FB9">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11.2.3  除需甲方确认的试验验收外，乙方还应对所有检验验收测试的结果、步骤、原始数据等作妥善记录。如甲方要求，乙方应提供这些记录给买方。</w:t>
      </w:r>
    </w:p>
    <w:p w14:paraId="43D44C2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11.2.4  检验测试出现全部或部分未达到本合同所约定的技术指标，甲方有权选择下列任一处理方式：</w:t>
      </w:r>
    </w:p>
    <w:p w14:paraId="1AAA9CE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a.重新测试直至合格为止；</w:t>
      </w:r>
    </w:p>
    <w:p w14:paraId="539A632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b.要求乙方对货物进行免费更换，然后重新测试直至合格为止；</w:t>
      </w:r>
    </w:p>
    <w:p w14:paraId="38623D6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无论选择何种方式，甲方因此而发生的因卖方原因引起的所有费用均由乙方负担。</w:t>
      </w:r>
    </w:p>
    <w:p w14:paraId="238C75B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39" w:name="_Toc5393_WPSOffice_Level3"/>
      <w:bookmarkStart w:id="740" w:name="_Toc1685_WPSOffice_Level3"/>
      <w:r>
        <w:rPr>
          <w:rFonts w:hint="eastAsia" w:ascii="新宋体" w:hAnsi="新宋体" w:eastAsia="新宋体" w:cs="新宋体"/>
          <w:bCs/>
          <w:color w:val="auto"/>
          <w:sz w:val="24"/>
          <w:szCs w:val="24"/>
          <w:highlight w:val="none"/>
        </w:rPr>
        <w:t>11.3  使用过程检验</w:t>
      </w:r>
      <w:bookmarkEnd w:id="739"/>
      <w:bookmarkEnd w:id="740"/>
    </w:p>
    <w:p w14:paraId="2DA1FEE3">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66C18A4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11.3.2如果合同双方对乙方提供的上述试验结果报告的解释有分歧，双方须于出现分歧后10天内给对方声明，以陈述己方的观点。声明须附有关证据。分歧应通过协商解决。</w:t>
      </w:r>
    </w:p>
    <w:p w14:paraId="2D11EBA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41" w:name="_Toc17827_WPSOffice_Level2"/>
      <w:bookmarkStart w:id="742" w:name="_Toc10883_WPSOffice_Level2"/>
      <w:bookmarkStart w:id="743" w:name="_Toc17387_WPSOffice_Level2"/>
      <w:r>
        <w:rPr>
          <w:rFonts w:hint="eastAsia" w:ascii="新宋体" w:hAnsi="新宋体" w:eastAsia="新宋体" w:cs="新宋体"/>
          <w:bCs/>
          <w:color w:val="auto"/>
          <w:sz w:val="24"/>
          <w:szCs w:val="24"/>
          <w:highlight w:val="none"/>
        </w:rPr>
        <w:t>12.付款条件</w:t>
      </w:r>
      <w:bookmarkEnd w:id="741"/>
      <w:bookmarkEnd w:id="742"/>
      <w:bookmarkEnd w:id="743"/>
    </w:p>
    <w:p w14:paraId="69C4341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本合同条款下的付款方法和条件在“合同专用条款”中具体规定。</w:t>
      </w:r>
    </w:p>
    <w:p w14:paraId="25E1C4F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44" w:name="_Toc24025_WPSOffice_Level2"/>
      <w:bookmarkStart w:id="745" w:name="_Toc8681_WPSOffice_Level2"/>
      <w:bookmarkStart w:id="746" w:name="_Toc25610_WPSOffice_Level2"/>
      <w:r>
        <w:rPr>
          <w:rFonts w:hint="eastAsia" w:ascii="新宋体" w:hAnsi="新宋体" w:eastAsia="新宋体" w:cs="新宋体"/>
          <w:bCs/>
          <w:color w:val="auto"/>
          <w:sz w:val="24"/>
          <w:szCs w:val="24"/>
          <w:highlight w:val="none"/>
        </w:rPr>
        <w:t>13.履约保证金</w:t>
      </w:r>
      <w:bookmarkEnd w:id="744"/>
      <w:bookmarkEnd w:id="745"/>
      <w:bookmarkEnd w:id="746"/>
    </w:p>
    <w:p w14:paraId="2695A61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13.1乙方应在合同签订后，按合同专用条款的约定提交履约保证金。</w:t>
      </w:r>
    </w:p>
    <w:p w14:paraId="6535E74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13.2履约保证金用于补偿甲方因卖方不能履行其合同义务而蒙受的损失。</w:t>
      </w:r>
    </w:p>
    <w:p w14:paraId="246362D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13.3履约保证金应使用本合同货币，按下述方式之一提交（谈判文件中另有约定的除外）：</w:t>
      </w:r>
    </w:p>
    <w:p w14:paraId="37E1483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13.3.1甲方可接受的在中华人民共和国注册和营业的银行出具的履约保函； </w:t>
      </w:r>
    </w:p>
    <w:p w14:paraId="2D0C804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13.3.2 应当以支票、汇票、本票或者金融机构、担保机构出具的保函等非现金形式提交。</w:t>
      </w:r>
    </w:p>
    <w:p w14:paraId="6DC1E3C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13.4乙方未能按合同规定履行其义务，甲方有权从履约保证金中取得补偿。货物验收合格后，甲方将履约保证金退还乙方或转为质量保证金。</w:t>
      </w:r>
    </w:p>
    <w:p w14:paraId="38C48D5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47" w:name="_Toc2215_WPSOffice_Level2"/>
      <w:bookmarkStart w:id="748" w:name="_Toc13321_WPSOffice_Level2"/>
      <w:bookmarkStart w:id="749" w:name="_Toc21607_WPSOffice_Level2"/>
      <w:r>
        <w:rPr>
          <w:rFonts w:hint="eastAsia" w:ascii="新宋体" w:hAnsi="新宋体" w:eastAsia="新宋体" w:cs="新宋体"/>
          <w:bCs/>
          <w:color w:val="auto"/>
          <w:sz w:val="24"/>
          <w:szCs w:val="24"/>
          <w:highlight w:val="none"/>
        </w:rPr>
        <w:t>14.索赔</w:t>
      </w:r>
      <w:bookmarkEnd w:id="747"/>
      <w:bookmarkEnd w:id="748"/>
      <w:bookmarkEnd w:id="749"/>
    </w:p>
    <w:p w14:paraId="2BEAFC5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6359A5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14.2在履约保证期和检验期内，乙方对甲方提出的索赔负有责任，乙方应按照甲方同意的下列一种或多种方式解决索赔事宜：</w:t>
      </w:r>
    </w:p>
    <w:p w14:paraId="2922D96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8660743">
      <w:pPr>
        <w:adjustRightInd w:val="0"/>
        <w:snapToGrid w:val="0"/>
        <w:spacing w:line="560" w:lineRule="exact"/>
        <w:jc w:val="left"/>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14.2.2根据货物低劣程度、损坏程度以及甲方所遭受损失的数额，经甲乙双方商定降低货物的价格，或由有资质的中介机构评估，以降低后的价格或评估价格为准。</w:t>
      </w:r>
    </w:p>
    <w:p w14:paraId="3235765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451B764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14.3乙方收到甲方发出的索赔通知之日起5个工作日内未作答复的，甲方可从合同款或履约保证金中扣回索赔金额，如金额不足以补偿索赔金额，乙方应补足差额部分。</w:t>
      </w:r>
    </w:p>
    <w:p w14:paraId="2531BC7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50" w:name="_Toc14292_WPSOffice_Level2"/>
      <w:bookmarkStart w:id="751" w:name="_Toc6747_WPSOffice_Level2"/>
      <w:bookmarkStart w:id="752" w:name="_Toc17056_WPSOffice_Level2"/>
      <w:r>
        <w:rPr>
          <w:rFonts w:hint="eastAsia" w:ascii="新宋体" w:hAnsi="新宋体" w:eastAsia="新宋体" w:cs="新宋体"/>
          <w:bCs/>
          <w:color w:val="auto"/>
          <w:sz w:val="24"/>
          <w:szCs w:val="24"/>
          <w:highlight w:val="none"/>
        </w:rPr>
        <w:t>15.迟延交货</w:t>
      </w:r>
      <w:bookmarkEnd w:id="750"/>
      <w:bookmarkEnd w:id="751"/>
      <w:bookmarkEnd w:id="752"/>
    </w:p>
    <w:p w14:paraId="3A51E7D9">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15.1 乙方应按照合同约定的时间交货和提供服务。</w:t>
      </w:r>
    </w:p>
    <w:p w14:paraId="1962546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15.2 除不可抗力因素外，乙方迟延交货，甲方有权提出违约损失赔偿或解除合同。</w:t>
      </w:r>
    </w:p>
    <w:p w14:paraId="4CE29CE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15.3在履行合同过程中，乙方遇到不能按时交货和提供服务的情况，应及时以书面形式将不能按时交货的理由、预期延误时间通知甲方。甲方收到乙方通知后，认为其理由正当的，可酌情延长交货时间。</w:t>
      </w:r>
    </w:p>
    <w:p w14:paraId="3180900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53" w:name="_Toc15350_WPSOffice_Level2"/>
      <w:bookmarkStart w:id="754" w:name="_Toc32293_WPSOffice_Level2"/>
      <w:bookmarkStart w:id="755" w:name="_Toc10642_WPSOffice_Level2"/>
      <w:r>
        <w:rPr>
          <w:rFonts w:hint="eastAsia" w:ascii="新宋体" w:hAnsi="新宋体" w:eastAsia="新宋体" w:cs="新宋体"/>
          <w:bCs/>
          <w:color w:val="auto"/>
          <w:sz w:val="24"/>
          <w:szCs w:val="24"/>
          <w:highlight w:val="none"/>
        </w:rPr>
        <w:t>16.违约赔偿</w:t>
      </w:r>
      <w:bookmarkEnd w:id="753"/>
      <w:bookmarkEnd w:id="754"/>
      <w:bookmarkEnd w:id="755"/>
    </w:p>
    <w:p w14:paraId="2158039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除不可抗力因素外，乙方没有按照合同规定的时间交货和提供服务，甲方可要求乙方支付违约金。违约金每日按合同总价款的千分之五计收。</w:t>
      </w:r>
    </w:p>
    <w:p w14:paraId="26D1CCD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56" w:name="_Toc32484_WPSOffice_Level2"/>
      <w:bookmarkStart w:id="757" w:name="_Toc13101_WPSOffice_Level2"/>
      <w:bookmarkStart w:id="758" w:name="_Toc132_WPSOffice_Level2"/>
      <w:r>
        <w:rPr>
          <w:rFonts w:hint="eastAsia" w:ascii="新宋体" w:hAnsi="新宋体" w:eastAsia="新宋体" w:cs="新宋体"/>
          <w:bCs/>
          <w:color w:val="auto"/>
          <w:sz w:val="24"/>
          <w:szCs w:val="24"/>
          <w:highlight w:val="none"/>
        </w:rPr>
        <w:t>17.不可抗力</w:t>
      </w:r>
      <w:bookmarkEnd w:id="756"/>
      <w:bookmarkEnd w:id="757"/>
      <w:bookmarkEnd w:id="758"/>
    </w:p>
    <w:p w14:paraId="42FA36F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17.1.双方中任何一方遭遇法律规定的不可抗力，致使合同履行受阻时，履行合同的期限应予延长，延长的期限应相当于不可抗力所影响的时间。</w:t>
      </w:r>
    </w:p>
    <w:p w14:paraId="59EFE5F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17.2受事故影响的一方应在不可抗力的事故发生后以书面形式通知另一方。</w:t>
      </w:r>
    </w:p>
    <w:p w14:paraId="5F840BA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17.3不可抗力使合同的某些内容有变更必要的， 双方应通过协商达成进一步履行合同的协议，因不可抗力致使合同不能履行的，合同终止。</w:t>
      </w:r>
    </w:p>
    <w:p w14:paraId="6EAC160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59" w:name="_Toc17980_WPSOffice_Level2"/>
      <w:bookmarkStart w:id="760" w:name="_Toc17666_WPSOffice_Level2"/>
      <w:bookmarkStart w:id="761" w:name="_Toc27502_WPSOffice_Level2"/>
      <w:r>
        <w:rPr>
          <w:rFonts w:hint="eastAsia" w:ascii="新宋体" w:hAnsi="新宋体" w:eastAsia="新宋体" w:cs="新宋体"/>
          <w:bCs/>
          <w:color w:val="auto"/>
          <w:sz w:val="24"/>
          <w:szCs w:val="24"/>
          <w:highlight w:val="none"/>
        </w:rPr>
        <w:t>18.税费</w:t>
      </w:r>
      <w:bookmarkEnd w:id="759"/>
      <w:bookmarkEnd w:id="760"/>
      <w:bookmarkEnd w:id="761"/>
    </w:p>
    <w:p w14:paraId="20423B2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与本合同有关的一切税费均由乙方承担。</w:t>
      </w:r>
    </w:p>
    <w:p w14:paraId="4C9FD738">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62" w:name="_Toc1449_WPSOffice_Level2"/>
      <w:bookmarkStart w:id="763" w:name="_Toc16036_WPSOffice_Level2"/>
      <w:bookmarkStart w:id="764" w:name="_Toc27070_WPSOffice_Level2"/>
      <w:r>
        <w:rPr>
          <w:rFonts w:hint="eastAsia" w:ascii="新宋体" w:hAnsi="新宋体" w:eastAsia="新宋体" w:cs="新宋体"/>
          <w:bCs/>
          <w:color w:val="auto"/>
          <w:sz w:val="24"/>
          <w:szCs w:val="24"/>
          <w:highlight w:val="none"/>
        </w:rPr>
        <w:t>19.合同争议的解决</w:t>
      </w:r>
      <w:bookmarkEnd w:id="762"/>
      <w:bookmarkEnd w:id="763"/>
      <w:bookmarkEnd w:id="764"/>
    </w:p>
    <w:p w14:paraId="55C0EF9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19.1甲方和乙方由于本合同的履行而发生任何争议时，双方可先通过协商解决。</w:t>
      </w:r>
    </w:p>
    <w:p w14:paraId="1E9C768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19.2任何一方不愿通过协商或通过协商仍不能解决争议，则双方中任何一方均应向甲方所在地人民法院起诉。</w:t>
      </w:r>
    </w:p>
    <w:p w14:paraId="57C6E0F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65" w:name="_Toc4114_WPSOffice_Level2"/>
      <w:bookmarkStart w:id="766" w:name="_Toc25678_WPSOffice_Level2"/>
      <w:bookmarkStart w:id="767" w:name="_Toc1645_WPSOffice_Level2"/>
      <w:r>
        <w:rPr>
          <w:rFonts w:hint="eastAsia" w:ascii="新宋体" w:hAnsi="新宋体" w:eastAsia="新宋体" w:cs="新宋体"/>
          <w:bCs/>
          <w:color w:val="auto"/>
          <w:sz w:val="24"/>
          <w:szCs w:val="24"/>
          <w:highlight w:val="none"/>
        </w:rPr>
        <w:t>20.违约解除合同</w:t>
      </w:r>
      <w:bookmarkEnd w:id="765"/>
      <w:bookmarkEnd w:id="766"/>
      <w:bookmarkEnd w:id="767"/>
    </w:p>
    <w:p w14:paraId="12D1283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20.1出现下列情形之一的，视为乙方违约。甲方可向乙方发出书面通知，部分或全部终止合同，同时保留向乙方索赔的权利。</w:t>
      </w:r>
    </w:p>
    <w:p w14:paraId="52634C6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20.1.1乙方未能在合同规定的限期或甲方同意延长的限期内，提供全部或部分货物的； </w:t>
      </w:r>
    </w:p>
    <w:p w14:paraId="33F6841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20.1.2乙方未能履行合同规定的其它主要义务的；</w:t>
      </w:r>
    </w:p>
    <w:p w14:paraId="3BC0FAA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20.1.3乙方在本合同履行过程中有欺诈行为的。</w:t>
      </w:r>
    </w:p>
    <w:p w14:paraId="64B0301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47117D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68" w:name="_Toc3174_WPSOffice_Level2"/>
      <w:bookmarkStart w:id="769" w:name="_Toc4171_WPSOffice_Level2"/>
      <w:bookmarkStart w:id="770" w:name="_Toc26055_WPSOffice_Level2"/>
      <w:r>
        <w:rPr>
          <w:rFonts w:hint="eastAsia" w:ascii="新宋体" w:hAnsi="新宋体" w:eastAsia="新宋体" w:cs="新宋体"/>
          <w:bCs/>
          <w:color w:val="auto"/>
          <w:sz w:val="24"/>
          <w:szCs w:val="24"/>
          <w:highlight w:val="none"/>
        </w:rPr>
        <w:t>21.破产终止合同</w:t>
      </w:r>
      <w:bookmarkEnd w:id="768"/>
      <w:bookmarkEnd w:id="769"/>
      <w:bookmarkEnd w:id="770"/>
    </w:p>
    <w:p w14:paraId="30D936A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44D3266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71" w:name="_Toc17697_WPSOffice_Level2"/>
      <w:bookmarkStart w:id="772" w:name="_Toc12382_WPSOffice_Level2"/>
      <w:bookmarkStart w:id="773" w:name="_Toc6264_WPSOffice_Level2"/>
      <w:r>
        <w:rPr>
          <w:rFonts w:hint="eastAsia" w:ascii="新宋体" w:hAnsi="新宋体" w:eastAsia="新宋体" w:cs="新宋体"/>
          <w:bCs/>
          <w:color w:val="auto"/>
          <w:sz w:val="24"/>
          <w:szCs w:val="24"/>
          <w:highlight w:val="none"/>
        </w:rPr>
        <w:t>22.转让和分包</w:t>
      </w:r>
      <w:bookmarkEnd w:id="771"/>
      <w:bookmarkEnd w:id="772"/>
      <w:bookmarkEnd w:id="773"/>
    </w:p>
    <w:p w14:paraId="2EE66CF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22.1政府采购合同不能转让。</w:t>
      </w:r>
    </w:p>
    <w:p w14:paraId="7A56C78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391284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74" w:name="_Toc2646_WPSOffice_Level2"/>
      <w:bookmarkStart w:id="775" w:name="_Toc32240_WPSOffice_Level2"/>
      <w:bookmarkStart w:id="776" w:name="_Toc30393_WPSOffice_Level2"/>
      <w:r>
        <w:rPr>
          <w:rFonts w:hint="eastAsia" w:ascii="新宋体" w:hAnsi="新宋体" w:eastAsia="新宋体" w:cs="新宋体"/>
          <w:bCs/>
          <w:color w:val="auto"/>
          <w:sz w:val="24"/>
          <w:szCs w:val="24"/>
          <w:highlight w:val="none"/>
        </w:rPr>
        <w:t>23.合同修改</w:t>
      </w:r>
      <w:bookmarkEnd w:id="774"/>
      <w:bookmarkEnd w:id="775"/>
      <w:bookmarkEnd w:id="776"/>
    </w:p>
    <w:p w14:paraId="3F230CE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甲方和乙方都不得擅自变更本合同，但合同继续履行将损害国家和社会公共利益的除外。如必须对合同条款进行改动时，当事人双方须共同签署书面文件，做为合同的补充。</w:t>
      </w:r>
    </w:p>
    <w:p w14:paraId="71731979">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77" w:name="_Toc17115_WPSOffice_Level2"/>
      <w:bookmarkStart w:id="778" w:name="_Toc20751_WPSOffice_Level2"/>
      <w:bookmarkStart w:id="779" w:name="_Toc11324_WPSOffice_Level2"/>
      <w:r>
        <w:rPr>
          <w:rFonts w:hint="eastAsia" w:ascii="新宋体" w:hAnsi="新宋体" w:eastAsia="新宋体" w:cs="新宋体"/>
          <w:bCs/>
          <w:color w:val="auto"/>
          <w:sz w:val="24"/>
          <w:szCs w:val="24"/>
          <w:highlight w:val="none"/>
        </w:rPr>
        <w:t>24.通知</w:t>
      </w:r>
      <w:bookmarkEnd w:id="777"/>
      <w:bookmarkEnd w:id="778"/>
      <w:bookmarkEnd w:id="779"/>
    </w:p>
    <w:p w14:paraId="243836E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本合同任何一方给另一方的通知，都应以书面形式发送，而另一方也应以书面形式确认并发送到对方明确的地址。</w:t>
      </w:r>
    </w:p>
    <w:p w14:paraId="323164E8">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80" w:name="_Toc15147_WPSOffice_Level2"/>
      <w:bookmarkStart w:id="781" w:name="_Toc11594_WPSOffice_Level2"/>
      <w:bookmarkStart w:id="782" w:name="_Toc11022_WPSOffice_Level2"/>
      <w:r>
        <w:rPr>
          <w:rFonts w:hint="eastAsia" w:ascii="新宋体" w:hAnsi="新宋体" w:eastAsia="新宋体" w:cs="新宋体"/>
          <w:bCs/>
          <w:color w:val="auto"/>
          <w:sz w:val="24"/>
          <w:szCs w:val="24"/>
          <w:highlight w:val="none"/>
        </w:rPr>
        <w:t>25.计量单位</w:t>
      </w:r>
      <w:bookmarkEnd w:id="780"/>
      <w:bookmarkEnd w:id="781"/>
      <w:bookmarkEnd w:id="782"/>
    </w:p>
    <w:p w14:paraId="6427BF5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除技术规范中另有规定外，计量单位均使用国家法定计量单位。</w:t>
      </w:r>
    </w:p>
    <w:p w14:paraId="6F45B2B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83" w:name="_Toc32417_WPSOffice_Level2"/>
      <w:bookmarkStart w:id="784" w:name="_Toc24346_WPSOffice_Level2"/>
      <w:bookmarkStart w:id="785" w:name="_Toc15506_WPSOffice_Level2"/>
      <w:r>
        <w:rPr>
          <w:rFonts w:hint="eastAsia" w:ascii="新宋体" w:hAnsi="新宋体" w:eastAsia="新宋体" w:cs="新宋体"/>
          <w:bCs/>
          <w:color w:val="auto"/>
          <w:sz w:val="24"/>
          <w:szCs w:val="24"/>
          <w:highlight w:val="none"/>
        </w:rPr>
        <w:t>26.适用法律</w:t>
      </w:r>
      <w:bookmarkEnd w:id="783"/>
      <w:bookmarkEnd w:id="784"/>
      <w:bookmarkEnd w:id="785"/>
    </w:p>
    <w:p w14:paraId="5097A11D">
      <w:pPr>
        <w:adjustRightInd w:val="0"/>
        <w:snapToGrid w:val="0"/>
        <w:spacing w:line="560" w:lineRule="exact"/>
        <w:ind w:firstLine="480" w:firstLineChars="200"/>
        <w:rPr>
          <w:rFonts w:hint="eastAsia" w:ascii="新宋体" w:hAnsi="新宋体" w:eastAsia="新宋体" w:cs="新宋体"/>
          <w:b/>
          <w:color w:val="auto"/>
          <w:sz w:val="24"/>
          <w:szCs w:val="24"/>
          <w:highlight w:val="none"/>
        </w:rPr>
      </w:pPr>
      <w:r>
        <w:rPr>
          <w:rFonts w:hint="eastAsia" w:ascii="新宋体" w:hAnsi="新宋体" w:eastAsia="新宋体" w:cs="新宋体"/>
          <w:bCs/>
          <w:color w:val="auto"/>
          <w:sz w:val="24"/>
          <w:szCs w:val="24"/>
          <w:highlight w:val="none"/>
        </w:rPr>
        <w:t>本合同按照中华人民共和国的相关法律进行解释。</w:t>
      </w:r>
    </w:p>
    <w:p w14:paraId="24ED4F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新宋体" w:hAnsi="新宋体" w:eastAsia="新宋体" w:cs="新宋体"/>
          <w:sz w:val="24"/>
          <w:szCs w:val="24"/>
          <w:lang w:val="zh-CN"/>
        </w:rPr>
      </w:pPr>
    </w:p>
    <w:sectPr>
      <w:footerReference r:id="rId9" w:type="first"/>
      <w:footerReference r:id="rId8" w:type="default"/>
      <w:pgSz w:w="11906" w:h="16838"/>
      <w:pgMar w:top="1418" w:right="1418" w:bottom="141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4389C">
    <w:pPr>
      <w:pStyle w:val="2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F6E05">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8DF6E05">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695EA">
    <w:pPr>
      <w:pStyle w:val="24"/>
      <w:jc w:val="both"/>
      <w:rPr>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B26C5">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24B26C5">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079B8903">
    <w:pPr>
      <w:pStyle w:val="24"/>
      <w:jc w:val="both"/>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2C071">
    <w:pPr>
      <w:pStyle w:val="2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112C54">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5112C54">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BFEB7">
    <w:pPr>
      <w:pStyle w:val="24"/>
      <w:jc w:val="center"/>
      <w:rPr>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07537">
                          <w:pPr>
                            <w:pStyle w:val="2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0607537">
                    <w:pPr>
                      <w:pStyle w:val="2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3C0BF4DC">
    <w:pPr>
      <w:pStyle w:val="24"/>
      <w:jc w:val="center"/>
      <w:rPr>
        <w:rFonts w:hint="eastAsia" w:eastAsia="宋体"/>
        <w:sz w:val="24"/>
        <w:szCs w:val="24"/>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27C29">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FA740">
                          <w:pPr>
                            <w:pStyle w:val="2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30FA740">
                    <w:pPr>
                      <w:pStyle w:val="2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6DDC7">
    <w:pPr>
      <w:pStyle w:val="2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99E79C">
                          <w:pPr>
                            <w:pStyle w:val="24"/>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99E79C">
                    <w:pPr>
                      <w:pStyle w:val="24"/>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57A07">
    <w:pPr>
      <w:pStyle w:val="24"/>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7CE9F">
                          <w:pPr>
                            <w:pStyle w:val="37"/>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407CE9F">
                    <w:pPr>
                      <w:pStyle w:val="37"/>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D9B62"/>
    <w:multiLevelType w:val="singleLevel"/>
    <w:tmpl w:val="834D9B62"/>
    <w:lvl w:ilvl="0" w:tentative="0">
      <w:start w:val="1"/>
      <w:numFmt w:val="decimal"/>
      <w:lvlText w:val="%1."/>
      <w:lvlJc w:val="left"/>
      <w:pPr>
        <w:tabs>
          <w:tab w:val="left" w:pos="312"/>
        </w:tabs>
      </w:pPr>
    </w:lvl>
  </w:abstractNum>
  <w:abstractNum w:abstractNumId="1">
    <w:nsid w:val="8F79EDE0"/>
    <w:multiLevelType w:val="singleLevel"/>
    <w:tmpl w:val="8F79EDE0"/>
    <w:lvl w:ilvl="0" w:tentative="0">
      <w:start w:val="1"/>
      <w:numFmt w:val="decimal"/>
      <w:lvlText w:val="%1."/>
      <w:lvlJc w:val="left"/>
      <w:pPr>
        <w:tabs>
          <w:tab w:val="left" w:pos="312"/>
        </w:tabs>
      </w:pPr>
    </w:lvl>
  </w:abstractNum>
  <w:abstractNum w:abstractNumId="2">
    <w:nsid w:val="ACC3DB8C"/>
    <w:multiLevelType w:val="singleLevel"/>
    <w:tmpl w:val="ACC3DB8C"/>
    <w:lvl w:ilvl="0" w:tentative="0">
      <w:start w:val="1"/>
      <w:numFmt w:val="decimal"/>
      <w:lvlText w:val="%1."/>
      <w:lvlJc w:val="left"/>
      <w:pPr>
        <w:ind w:left="425" w:hanging="425"/>
      </w:pPr>
      <w:rPr>
        <w:rFonts w:hint="default"/>
      </w:rPr>
    </w:lvl>
  </w:abstractNum>
  <w:abstractNum w:abstractNumId="3">
    <w:nsid w:val="E27E864F"/>
    <w:multiLevelType w:val="singleLevel"/>
    <w:tmpl w:val="E27E864F"/>
    <w:lvl w:ilvl="0" w:tentative="0">
      <w:start w:val="1"/>
      <w:numFmt w:val="decimal"/>
      <w:suff w:val="nothing"/>
      <w:lvlText w:val="（%1）"/>
      <w:lvlJc w:val="left"/>
    </w:lvl>
  </w:abstractNum>
  <w:abstractNum w:abstractNumId="4">
    <w:nsid w:val="49373FAC"/>
    <w:multiLevelType w:val="singleLevel"/>
    <w:tmpl w:val="49373FAC"/>
    <w:lvl w:ilvl="0" w:tentative="0">
      <w:start w:val="1"/>
      <w:numFmt w:val="decimal"/>
      <w:lvlText w:val="%1."/>
      <w:lvlJc w:val="left"/>
      <w:pPr>
        <w:ind w:left="425" w:hanging="425"/>
      </w:pPr>
      <w:rPr>
        <w:rFonts w:hint="default"/>
      </w:rPr>
    </w:lvl>
  </w:abstractNum>
  <w:abstractNum w:abstractNumId="5">
    <w:nsid w:val="5EC64F27"/>
    <w:multiLevelType w:val="singleLevel"/>
    <w:tmpl w:val="5EC64F27"/>
    <w:lvl w:ilvl="0" w:tentative="0">
      <w:start w:val="1"/>
      <w:numFmt w:val="decimal"/>
      <w:suff w:val="nothing"/>
      <w:lvlText w:val="（%1）"/>
      <w:lvlJc w:val="left"/>
    </w:lvl>
  </w:abstractNum>
  <w:abstractNum w:abstractNumId="6">
    <w:nsid w:val="6A7196BF"/>
    <w:multiLevelType w:val="singleLevel"/>
    <w:tmpl w:val="6A7196BF"/>
    <w:lvl w:ilvl="0" w:tentative="0">
      <w:start w:val="1"/>
      <w:numFmt w:val="decimal"/>
      <w:suff w:val="space"/>
      <w:lvlText w:val="%1."/>
      <w:lvlJc w:val="left"/>
    </w:lvl>
  </w:abstractNum>
  <w:abstractNum w:abstractNumId="7">
    <w:nsid w:val="7629E73E"/>
    <w:multiLevelType w:val="singleLevel"/>
    <w:tmpl w:val="7629E73E"/>
    <w:lvl w:ilvl="0" w:tentative="0">
      <w:start w:val="4"/>
      <w:numFmt w:val="chineseCounting"/>
      <w:suff w:val="nothing"/>
      <w:lvlText w:val="%1、"/>
      <w:lvlJc w:val="left"/>
      <w:rPr>
        <w:rFonts w:hint="eastAsia"/>
      </w:rPr>
    </w:lvl>
  </w:abstractNum>
  <w:num w:numId="1">
    <w:abstractNumId w:val="5"/>
  </w:num>
  <w:num w:numId="2">
    <w:abstractNumId w:val="3"/>
  </w:num>
  <w:num w:numId="3">
    <w:abstractNumId w:val="7"/>
  </w:num>
  <w:num w:numId="4">
    <w:abstractNumId w:val="4"/>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ZWVhMDBjYzg1N2E4YzVhYjAzZTUxOTZjMjBjNDAifQ=="/>
  </w:docVars>
  <w:rsids>
    <w:rsidRoot w:val="7D9B5E16"/>
    <w:rsid w:val="00021B23"/>
    <w:rsid w:val="00023654"/>
    <w:rsid w:val="00024BD1"/>
    <w:rsid w:val="00030D69"/>
    <w:rsid w:val="000369EE"/>
    <w:rsid w:val="00036B92"/>
    <w:rsid w:val="00036D00"/>
    <w:rsid w:val="00043D26"/>
    <w:rsid w:val="000515CD"/>
    <w:rsid w:val="00056721"/>
    <w:rsid w:val="00056BEF"/>
    <w:rsid w:val="00064DC0"/>
    <w:rsid w:val="0007257E"/>
    <w:rsid w:val="000736A5"/>
    <w:rsid w:val="00093B8C"/>
    <w:rsid w:val="000A25F9"/>
    <w:rsid w:val="000A2FEB"/>
    <w:rsid w:val="000A58A4"/>
    <w:rsid w:val="000B1CD5"/>
    <w:rsid w:val="000B5D66"/>
    <w:rsid w:val="000B60C5"/>
    <w:rsid w:val="000C469C"/>
    <w:rsid w:val="000C7185"/>
    <w:rsid w:val="000D2910"/>
    <w:rsid w:val="000E6CCE"/>
    <w:rsid w:val="000F2BCF"/>
    <w:rsid w:val="000F3B76"/>
    <w:rsid w:val="00103499"/>
    <w:rsid w:val="00106987"/>
    <w:rsid w:val="00107AF3"/>
    <w:rsid w:val="00112FCF"/>
    <w:rsid w:val="001135CF"/>
    <w:rsid w:val="00117005"/>
    <w:rsid w:val="0012599C"/>
    <w:rsid w:val="0013056B"/>
    <w:rsid w:val="0013278D"/>
    <w:rsid w:val="00132DF1"/>
    <w:rsid w:val="00132FC0"/>
    <w:rsid w:val="00135A7D"/>
    <w:rsid w:val="0013759D"/>
    <w:rsid w:val="00147FBB"/>
    <w:rsid w:val="00152F06"/>
    <w:rsid w:val="00156425"/>
    <w:rsid w:val="00162A74"/>
    <w:rsid w:val="0017418D"/>
    <w:rsid w:val="00174CDE"/>
    <w:rsid w:val="001810E6"/>
    <w:rsid w:val="00181333"/>
    <w:rsid w:val="0018367F"/>
    <w:rsid w:val="0019147A"/>
    <w:rsid w:val="00192026"/>
    <w:rsid w:val="00197983"/>
    <w:rsid w:val="001979CA"/>
    <w:rsid w:val="001A2BBC"/>
    <w:rsid w:val="001C1258"/>
    <w:rsid w:val="001D522A"/>
    <w:rsid w:val="001D5B00"/>
    <w:rsid w:val="001D5B50"/>
    <w:rsid w:val="001D6098"/>
    <w:rsid w:val="001D69AE"/>
    <w:rsid w:val="001E4FD7"/>
    <w:rsid w:val="001E57D5"/>
    <w:rsid w:val="001F50DC"/>
    <w:rsid w:val="0020287B"/>
    <w:rsid w:val="00202BFA"/>
    <w:rsid w:val="0020305B"/>
    <w:rsid w:val="002071D4"/>
    <w:rsid w:val="00212E65"/>
    <w:rsid w:val="00215674"/>
    <w:rsid w:val="00220823"/>
    <w:rsid w:val="00231BE9"/>
    <w:rsid w:val="00235AFC"/>
    <w:rsid w:val="00244126"/>
    <w:rsid w:val="00255A7C"/>
    <w:rsid w:val="002574BC"/>
    <w:rsid w:val="002651BE"/>
    <w:rsid w:val="00266226"/>
    <w:rsid w:val="00267CC2"/>
    <w:rsid w:val="00274CD4"/>
    <w:rsid w:val="00276AC5"/>
    <w:rsid w:val="00276BD4"/>
    <w:rsid w:val="002805C6"/>
    <w:rsid w:val="0028577C"/>
    <w:rsid w:val="002A3F0A"/>
    <w:rsid w:val="002C1856"/>
    <w:rsid w:val="002C5CA3"/>
    <w:rsid w:val="002C7705"/>
    <w:rsid w:val="002D23EF"/>
    <w:rsid w:val="002D49EA"/>
    <w:rsid w:val="002E338C"/>
    <w:rsid w:val="002F2577"/>
    <w:rsid w:val="002F2DDF"/>
    <w:rsid w:val="00301A51"/>
    <w:rsid w:val="00303486"/>
    <w:rsid w:val="00317586"/>
    <w:rsid w:val="00323B3B"/>
    <w:rsid w:val="00327B18"/>
    <w:rsid w:val="003378C7"/>
    <w:rsid w:val="003424E5"/>
    <w:rsid w:val="003533C6"/>
    <w:rsid w:val="0036066C"/>
    <w:rsid w:val="003622CB"/>
    <w:rsid w:val="00362833"/>
    <w:rsid w:val="003635ED"/>
    <w:rsid w:val="003638DF"/>
    <w:rsid w:val="003676D1"/>
    <w:rsid w:val="00370C83"/>
    <w:rsid w:val="00375F32"/>
    <w:rsid w:val="00376A5F"/>
    <w:rsid w:val="00377336"/>
    <w:rsid w:val="00381128"/>
    <w:rsid w:val="003822A1"/>
    <w:rsid w:val="0039211F"/>
    <w:rsid w:val="003963FF"/>
    <w:rsid w:val="00397625"/>
    <w:rsid w:val="003A2E8A"/>
    <w:rsid w:val="003A68CC"/>
    <w:rsid w:val="003A6A69"/>
    <w:rsid w:val="003B4053"/>
    <w:rsid w:val="003C10B4"/>
    <w:rsid w:val="003C4262"/>
    <w:rsid w:val="003C5B02"/>
    <w:rsid w:val="003C71D6"/>
    <w:rsid w:val="003C781B"/>
    <w:rsid w:val="003C7B5B"/>
    <w:rsid w:val="003D197B"/>
    <w:rsid w:val="003D7B7E"/>
    <w:rsid w:val="003E1B60"/>
    <w:rsid w:val="003E4467"/>
    <w:rsid w:val="003E546A"/>
    <w:rsid w:val="003E6978"/>
    <w:rsid w:val="003F0F5D"/>
    <w:rsid w:val="003F6D92"/>
    <w:rsid w:val="004012F5"/>
    <w:rsid w:val="00401E1F"/>
    <w:rsid w:val="00405AFC"/>
    <w:rsid w:val="00406A06"/>
    <w:rsid w:val="00407BB3"/>
    <w:rsid w:val="004134D1"/>
    <w:rsid w:val="00416925"/>
    <w:rsid w:val="00421836"/>
    <w:rsid w:val="004306BD"/>
    <w:rsid w:val="004330CE"/>
    <w:rsid w:val="00435FD5"/>
    <w:rsid w:val="0043769B"/>
    <w:rsid w:val="00437A25"/>
    <w:rsid w:val="004419E0"/>
    <w:rsid w:val="004444FF"/>
    <w:rsid w:val="00444516"/>
    <w:rsid w:val="00446B68"/>
    <w:rsid w:val="00446C61"/>
    <w:rsid w:val="00454AC7"/>
    <w:rsid w:val="00455CD4"/>
    <w:rsid w:val="004573CB"/>
    <w:rsid w:val="00464D29"/>
    <w:rsid w:val="004670D3"/>
    <w:rsid w:val="004713CD"/>
    <w:rsid w:val="0047316E"/>
    <w:rsid w:val="00475041"/>
    <w:rsid w:val="00475BA6"/>
    <w:rsid w:val="0048670A"/>
    <w:rsid w:val="004940CC"/>
    <w:rsid w:val="00494D65"/>
    <w:rsid w:val="004954A5"/>
    <w:rsid w:val="00496144"/>
    <w:rsid w:val="00497CC8"/>
    <w:rsid w:val="004A0B01"/>
    <w:rsid w:val="004A2831"/>
    <w:rsid w:val="004A7C1A"/>
    <w:rsid w:val="004B0D64"/>
    <w:rsid w:val="004B206B"/>
    <w:rsid w:val="004B752E"/>
    <w:rsid w:val="004C2791"/>
    <w:rsid w:val="004D1288"/>
    <w:rsid w:val="004D261E"/>
    <w:rsid w:val="004D7CBC"/>
    <w:rsid w:val="004E02D1"/>
    <w:rsid w:val="004E3546"/>
    <w:rsid w:val="004E7882"/>
    <w:rsid w:val="005145FC"/>
    <w:rsid w:val="00516381"/>
    <w:rsid w:val="0052209D"/>
    <w:rsid w:val="0052399F"/>
    <w:rsid w:val="0053291F"/>
    <w:rsid w:val="00543185"/>
    <w:rsid w:val="0054649F"/>
    <w:rsid w:val="00560B75"/>
    <w:rsid w:val="0056298E"/>
    <w:rsid w:val="00566823"/>
    <w:rsid w:val="00566998"/>
    <w:rsid w:val="00567E0F"/>
    <w:rsid w:val="00576B1F"/>
    <w:rsid w:val="00581CBA"/>
    <w:rsid w:val="00583D09"/>
    <w:rsid w:val="005A06C1"/>
    <w:rsid w:val="005A725D"/>
    <w:rsid w:val="005A7A73"/>
    <w:rsid w:val="005A7B5D"/>
    <w:rsid w:val="005B2EA3"/>
    <w:rsid w:val="005B4844"/>
    <w:rsid w:val="005C0DEC"/>
    <w:rsid w:val="005C1AC0"/>
    <w:rsid w:val="005C712E"/>
    <w:rsid w:val="005D1353"/>
    <w:rsid w:val="005D4A62"/>
    <w:rsid w:val="005E0BCF"/>
    <w:rsid w:val="005E54FD"/>
    <w:rsid w:val="005F282B"/>
    <w:rsid w:val="005F3D19"/>
    <w:rsid w:val="0060436E"/>
    <w:rsid w:val="006104E9"/>
    <w:rsid w:val="00614EB4"/>
    <w:rsid w:val="006220C5"/>
    <w:rsid w:val="00626AAF"/>
    <w:rsid w:val="00626D25"/>
    <w:rsid w:val="00634DC7"/>
    <w:rsid w:val="00642BA3"/>
    <w:rsid w:val="00671491"/>
    <w:rsid w:val="00676744"/>
    <w:rsid w:val="006818BA"/>
    <w:rsid w:val="00695A87"/>
    <w:rsid w:val="006967B2"/>
    <w:rsid w:val="006A09D0"/>
    <w:rsid w:val="006A27B9"/>
    <w:rsid w:val="006A2DEA"/>
    <w:rsid w:val="006B6708"/>
    <w:rsid w:val="006C19FE"/>
    <w:rsid w:val="006C2D73"/>
    <w:rsid w:val="006C73A1"/>
    <w:rsid w:val="006D254D"/>
    <w:rsid w:val="006D43C9"/>
    <w:rsid w:val="006D484E"/>
    <w:rsid w:val="006D5ADB"/>
    <w:rsid w:val="006D7CDD"/>
    <w:rsid w:val="006E2D33"/>
    <w:rsid w:val="006E4704"/>
    <w:rsid w:val="006E5754"/>
    <w:rsid w:val="006F2525"/>
    <w:rsid w:val="006F5ABE"/>
    <w:rsid w:val="0070679D"/>
    <w:rsid w:val="007072B4"/>
    <w:rsid w:val="00707DE0"/>
    <w:rsid w:val="00712BA1"/>
    <w:rsid w:val="0071422E"/>
    <w:rsid w:val="00714CF2"/>
    <w:rsid w:val="00720CC2"/>
    <w:rsid w:val="00722778"/>
    <w:rsid w:val="00724D5C"/>
    <w:rsid w:val="00725156"/>
    <w:rsid w:val="007258A2"/>
    <w:rsid w:val="00734F4B"/>
    <w:rsid w:val="00752D91"/>
    <w:rsid w:val="00774A5A"/>
    <w:rsid w:val="0078107A"/>
    <w:rsid w:val="00790C7B"/>
    <w:rsid w:val="007A6BCD"/>
    <w:rsid w:val="007B0574"/>
    <w:rsid w:val="007B39FA"/>
    <w:rsid w:val="007B5B74"/>
    <w:rsid w:val="007C696F"/>
    <w:rsid w:val="007D79C7"/>
    <w:rsid w:val="007E5138"/>
    <w:rsid w:val="007F08E7"/>
    <w:rsid w:val="007F2398"/>
    <w:rsid w:val="007F396E"/>
    <w:rsid w:val="008036EA"/>
    <w:rsid w:val="00806D88"/>
    <w:rsid w:val="00810866"/>
    <w:rsid w:val="0081481E"/>
    <w:rsid w:val="00815330"/>
    <w:rsid w:val="00817C04"/>
    <w:rsid w:val="008422AD"/>
    <w:rsid w:val="008437A3"/>
    <w:rsid w:val="00843EA1"/>
    <w:rsid w:val="008443F0"/>
    <w:rsid w:val="00857EEA"/>
    <w:rsid w:val="00870DB6"/>
    <w:rsid w:val="00872161"/>
    <w:rsid w:val="00881018"/>
    <w:rsid w:val="008821B2"/>
    <w:rsid w:val="008955B3"/>
    <w:rsid w:val="008A24C9"/>
    <w:rsid w:val="008A39EA"/>
    <w:rsid w:val="008A4678"/>
    <w:rsid w:val="008A68A2"/>
    <w:rsid w:val="008B2936"/>
    <w:rsid w:val="008B2A87"/>
    <w:rsid w:val="008B3AD1"/>
    <w:rsid w:val="008B6F49"/>
    <w:rsid w:val="008B7250"/>
    <w:rsid w:val="008C16A4"/>
    <w:rsid w:val="008C768A"/>
    <w:rsid w:val="008D15E5"/>
    <w:rsid w:val="008D66B5"/>
    <w:rsid w:val="008E3238"/>
    <w:rsid w:val="008F1C1F"/>
    <w:rsid w:val="009056D6"/>
    <w:rsid w:val="00910CE4"/>
    <w:rsid w:val="00912FF2"/>
    <w:rsid w:val="00915ADA"/>
    <w:rsid w:val="00916238"/>
    <w:rsid w:val="0091721E"/>
    <w:rsid w:val="00921021"/>
    <w:rsid w:val="0092297C"/>
    <w:rsid w:val="00926D67"/>
    <w:rsid w:val="00931DA0"/>
    <w:rsid w:val="00932B56"/>
    <w:rsid w:val="009342E7"/>
    <w:rsid w:val="00937615"/>
    <w:rsid w:val="00941003"/>
    <w:rsid w:val="009466AC"/>
    <w:rsid w:val="00954FB4"/>
    <w:rsid w:val="0095763E"/>
    <w:rsid w:val="00960CB3"/>
    <w:rsid w:val="00962603"/>
    <w:rsid w:val="0097225F"/>
    <w:rsid w:val="00980365"/>
    <w:rsid w:val="00980573"/>
    <w:rsid w:val="00992975"/>
    <w:rsid w:val="0099497F"/>
    <w:rsid w:val="009A4716"/>
    <w:rsid w:val="009B7BF7"/>
    <w:rsid w:val="009C2037"/>
    <w:rsid w:val="009C694F"/>
    <w:rsid w:val="009D0BBA"/>
    <w:rsid w:val="009E4434"/>
    <w:rsid w:val="009E6AB4"/>
    <w:rsid w:val="009F7C41"/>
    <w:rsid w:val="009F7FDC"/>
    <w:rsid w:val="00A07E41"/>
    <w:rsid w:val="00A13032"/>
    <w:rsid w:val="00A20B3A"/>
    <w:rsid w:val="00A22D9B"/>
    <w:rsid w:val="00A432A6"/>
    <w:rsid w:val="00A44966"/>
    <w:rsid w:val="00A52BB3"/>
    <w:rsid w:val="00A54219"/>
    <w:rsid w:val="00A7448D"/>
    <w:rsid w:val="00A75F02"/>
    <w:rsid w:val="00A76DA4"/>
    <w:rsid w:val="00A9001B"/>
    <w:rsid w:val="00A91F27"/>
    <w:rsid w:val="00A95DD0"/>
    <w:rsid w:val="00AA4F3A"/>
    <w:rsid w:val="00AA5514"/>
    <w:rsid w:val="00AB3BF1"/>
    <w:rsid w:val="00AC0483"/>
    <w:rsid w:val="00AC409C"/>
    <w:rsid w:val="00AC59FE"/>
    <w:rsid w:val="00AD3046"/>
    <w:rsid w:val="00AD4222"/>
    <w:rsid w:val="00AE08CE"/>
    <w:rsid w:val="00AE17DC"/>
    <w:rsid w:val="00AE24B8"/>
    <w:rsid w:val="00AE41F0"/>
    <w:rsid w:val="00AE58F6"/>
    <w:rsid w:val="00AF773C"/>
    <w:rsid w:val="00B00FD0"/>
    <w:rsid w:val="00B04229"/>
    <w:rsid w:val="00B15280"/>
    <w:rsid w:val="00B20D1F"/>
    <w:rsid w:val="00B30E46"/>
    <w:rsid w:val="00B3313E"/>
    <w:rsid w:val="00B417FD"/>
    <w:rsid w:val="00B55DDD"/>
    <w:rsid w:val="00B56BB6"/>
    <w:rsid w:val="00B645A4"/>
    <w:rsid w:val="00B64F55"/>
    <w:rsid w:val="00B71C1F"/>
    <w:rsid w:val="00B71DE0"/>
    <w:rsid w:val="00B76B47"/>
    <w:rsid w:val="00B77741"/>
    <w:rsid w:val="00B77A32"/>
    <w:rsid w:val="00B83ACA"/>
    <w:rsid w:val="00B83F2C"/>
    <w:rsid w:val="00B83FD5"/>
    <w:rsid w:val="00B85C77"/>
    <w:rsid w:val="00B956E4"/>
    <w:rsid w:val="00B978AB"/>
    <w:rsid w:val="00BA33A4"/>
    <w:rsid w:val="00BB0626"/>
    <w:rsid w:val="00BB4FE8"/>
    <w:rsid w:val="00BC6888"/>
    <w:rsid w:val="00BD08DE"/>
    <w:rsid w:val="00BE0322"/>
    <w:rsid w:val="00BE440F"/>
    <w:rsid w:val="00BE67D3"/>
    <w:rsid w:val="00BE7344"/>
    <w:rsid w:val="00C03495"/>
    <w:rsid w:val="00C153D7"/>
    <w:rsid w:val="00C16546"/>
    <w:rsid w:val="00C20DDF"/>
    <w:rsid w:val="00C21723"/>
    <w:rsid w:val="00C31B58"/>
    <w:rsid w:val="00C32C08"/>
    <w:rsid w:val="00C40BE4"/>
    <w:rsid w:val="00C42301"/>
    <w:rsid w:val="00C56343"/>
    <w:rsid w:val="00C62DD2"/>
    <w:rsid w:val="00C72901"/>
    <w:rsid w:val="00C779CB"/>
    <w:rsid w:val="00C77E07"/>
    <w:rsid w:val="00C835CB"/>
    <w:rsid w:val="00C8404E"/>
    <w:rsid w:val="00C86292"/>
    <w:rsid w:val="00C873AE"/>
    <w:rsid w:val="00C90702"/>
    <w:rsid w:val="00C909C8"/>
    <w:rsid w:val="00C90F27"/>
    <w:rsid w:val="00C955C0"/>
    <w:rsid w:val="00C95CCA"/>
    <w:rsid w:val="00CA2B3F"/>
    <w:rsid w:val="00CA2C05"/>
    <w:rsid w:val="00CA2C62"/>
    <w:rsid w:val="00CA7C20"/>
    <w:rsid w:val="00CB09D5"/>
    <w:rsid w:val="00CB2296"/>
    <w:rsid w:val="00CC13E4"/>
    <w:rsid w:val="00CC453E"/>
    <w:rsid w:val="00CE070E"/>
    <w:rsid w:val="00CE0866"/>
    <w:rsid w:val="00CE713F"/>
    <w:rsid w:val="00CF1D02"/>
    <w:rsid w:val="00CF34E1"/>
    <w:rsid w:val="00D0706F"/>
    <w:rsid w:val="00D163AF"/>
    <w:rsid w:val="00D1708D"/>
    <w:rsid w:val="00D27E6F"/>
    <w:rsid w:val="00D3183F"/>
    <w:rsid w:val="00D372FD"/>
    <w:rsid w:val="00D4634D"/>
    <w:rsid w:val="00D52C9A"/>
    <w:rsid w:val="00D53EC7"/>
    <w:rsid w:val="00D57F29"/>
    <w:rsid w:val="00D62686"/>
    <w:rsid w:val="00D71D20"/>
    <w:rsid w:val="00D744D5"/>
    <w:rsid w:val="00D75D1C"/>
    <w:rsid w:val="00D90838"/>
    <w:rsid w:val="00D9694B"/>
    <w:rsid w:val="00DA111D"/>
    <w:rsid w:val="00DA3FE7"/>
    <w:rsid w:val="00DB4BB9"/>
    <w:rsid w:val="00DB7918"/>
    <w:rsid w:val="00DC2A86"/>
    <w:rsid w:val="00DC2D49"/>
    <w:rsid w:val="00DD07FE"/>
    <w:rsid w:val="00DD415E"/>
    <w:rsid w:val="00DD4701"/>
    <w:rsid w:val="00DE070E"/>
    <w:rsid w:val="00DF1EE7"/>
    <w:rsid w:val="00DF7C0C"/>
    <w:rsid w:val="00E00C7A"/>
    <w:rsid w:val="00E06EF0"/>
    <w:rsid w:val="00E1737A"/>
    <w:rsid w:val="00E22CD4"/>
    <w:rsid w:val="00E2602A"/>
    <w:rsid w:val="00E36C12"/>
    <w:rsid w:val="00E475AF"/>
    <w:rsid w:val="00E61349"/>
    <w:rsid w:val="00E63946"/>
    <w:rsid w:val="00E81409"/>
    <w:rsid w:val="00E8194D"/>
    <w:rsid w:val="00E82BA1"/>
    <w:rsid w:val="00E8345D"/>
    <w:rsid w:val="00E91149"/>
    <w:rsid w:val="00EA0DEB"/>
    <w:rsid w:val="00EA3A6D"/>
    <w:rsid w:val="00EB0B00"/>
    <w:rsid w:val="00EB12E8"/>
    <w:rsid w:val="00EB2517"/>
    <w:rsid w:val="00EB4D86"/>
    <w:rsid w:val="00EB65EB"/>
    <w:rsid w:val="00EB6940"/>
    <w:rsid w:val="00EB6C45"/>
    <w:rsid w:val="00EB6F5A"/>
    <w:rsid w:val="00EC59A0"/>
    <w:rsid w:val="00EC60A1"/>
    <w:rsid w:val="00EE7515"/>
    <w:rsid w:val="00F01107"/>
    <w:rsid w:val="00F07C2F"/>
    <w:rsid w:val="00F135E4"/>
    <w:rsid w:val="00F2452E"/>
    <w:rsid w:val="00F249F5"/>
    <w:rsid w:val="00F24A77"/>
    <w:rsid w:val="00F25E6E"/>
    <w:rsid w:val="00F41366"/>
    <w:rsid w:val="00F4276C"/>
    <w:rsid w:val="00F42D98"/>
    <w:rsid w:val="00F46478"/>
    <w:rsid w:val="00F553ED"/>
    <w:rsid w:val="00F571B8"/>
    <w:rsid w:val="00F62C8D"/>
    <w:rsid w:val="00F72399"/>
    <w:rsid w:val="00F74A77"/>
    <w:rsid w:val="00F75348"/>
    <w:rsid w:val="00F818DB"/>
    <w:rsid w:val="00F91E57"/>
    <w:rsid w:val="00F9558B"/>
    <w:rsid w:val="00FA1BD1"/>
    <w:rsid w:val="00FA4643"/>
    <w:rsid w:val="00FB05EE"/>
    <w:rsid w:val="00FB2830"/>
    <w:rsid w:val="00FB4486"/>
    <w:rsid w:val="00FB5211"/>
    <w:rsid w:val="00FC3537"/>
    <w:rsid w:val="00FC63A2"/>
    <w:rsid w:val="00FD5C06"/>
    <w:rsid w:val="00FD6744"/>
    <w:rsid w:val="00FE32F0"/>
    <w:rsid w:val="00FF49F0"/>
    <w:rsid w:val="00FF772A"/>
    <w:rsid w:val="02637B1D"/>
    <w:rsid w:val="02664A99"/>
    <w:rsid w:val="02A9297E"/>
    <w:rsid w:val="03442F30"/>
    <w:rsid w:val="03A34D06"/>
    <w:rsid w:val="03A84DEC"/>
    <w:rsid w:val="04446205"/>
    <w:rsid w:val="04460DE2"/>
    <w:rsid w:val="04474517"/>
    <w:rsid w:val="04DE17B1"/>
    <w:rsid w:val="05210BC9"/>
    <w:rsid w:val="055D0822"/>
    <w:rsid w:val="056913B5"/>
    <w:rsid w:val="05E12013"/>
    <w:rsid w:val="05FD3580"/>
    <w:rsid w:val="06224509"/>
    <w:rsid w:val="0624278B"/>
    <w:rsid w:val="0689744F"/>
    <w:rsid w:val="06F2641E"/>
    <w:rsid w:val="072B7208"/>
    <w:rsid w:val="07867AF5"/>
    <w:rsid w:val="085E716A"/>
    <w:rsid w:val="0891104C"/>
    <w:rsid w:val="0A536242"/>
    <w:rsid w:val="0A801DDE"/>
    <w:rsid w:val="0AED28F4"/>
    <w:rsid w:val="0B1B0E32"/>
    <w:rsid w:val="0B2B4C7E"/>
    <w:rsid w:val="0B422D73"/>
    <w:rsid w:val="0BB54002"/>
    <w:rsid w:val="0C661388"/>
    <w:rsid w:val="0C831E9D"/>
    <w:rsid w:val="0CA87A52"/>
    <w:rsid w:val="0D256ADD"/>
    <w:rsid w:val="0D616E1A"/>
    <w:rsid w:val="0D711167"/>
    <w:rsid w:val="0D9A66F3"/>
    <w:rsid w:val="0DC739FA"/>
    <w:rsid w:val="0DFC545B"/>
    <w:rsid w:val="0E783BEB"/>
    <w:rsid w:val="0E874D29"/>
    <w:rsid w:val="0E930373"/>
    <w:rsid w:val="0E975183"/>
    <w:rsid w:val="0EC44EDA"/>
    <w:rsid w:val="109055EB"/>
    <w:rsid w:val="10CE79F2"/>
    <w:rsid w:val="10DE48CA"/>
    <w:rsid w:val="112333AB"/>
    <w:rsid w:val="1195471E"/>
    <w:rsid w:val="11FB2BE7"/>
    <w:rsid w:val="12400F8A"/>
    <w:rsid w:val="1289645E"/>
    <w:rsid w:val="13D2255B"/>
    <w:rsid w:val="14526E5B"/>
    <w:rsid w:val="1532490E"/>
    <w:rsid w:val="15E94352"/>
    <w:rsid w:val="160A7634"/>
    <w:rsid w:val="169144DB"/>
    <w:rsid w:val="16932406"/>
    <w:rsid w:val="179A18E2"/>
    <w:rsid w:val="17B514B3"/>
    <w:rsid w:val="17C57205"/>
    <w:rsid w:val="1802614F"/>
    <w:rsid w:val="181531AE"/>
    <w:rsid w:val="185A675A"/>
    <w:rsid w:val="18B52632"/>
    <w:rsid w:val="18C211CC"/>
    <w:rsid w:val="19227628"/>
    <w:rsid w:val="19E10B40"/>
    <w:rsid w:val="1A977682"/>
    <w:rsid w:val="1ACC3E1B"/>
    <w:rsid w:val="1AD11780"/>
    <w:rsid w:val="1B662DBF"/>
    <w:rsid w:val="1BEF2AA3"/>
    <w:rsid w:val="1C2F5B31"/>
    <w:rsid w:val="1C785752"/>
    <w:rsid w:val="1D7542D0"/>
    <w:rsid w:val="1D9A4A78"/>
    <w:rsid w:val="1E2F4669"/>
    <w:rsid w:val="1E662D79"/>
    <w:rsid w:val="1EED3CFC"/>
    <w:rsid w:val="1EF65831"/>
    <w:rsid w:val="1F1D4355"/>
    <w:rsid w:val="20525060"/>
    <w:rsid w:val="207F0C88"/>
    <w:rsid w:val="21292CBE"/>
    <w:rsid w:val="21C422F5"/>
    <w:rsid w:val="22715501"/>
    <w:rsid w:val="2272669E"/>
    <w:rsid w:val="227F4D71"/>
    <w:rsid w:val="2280389A"/>
    <w:rsid w:val="22D447A0"/>
    <w:rsid w:val="24580227"/>
    <w:rsid w:val="247C2A7C"/>
    <w:rsid w:val="24FD76C4"/>
    <w:rsid w:val="25A60401"/>
    <w:rsid w:val="26806F3F"/>
    <w:rsid w:val="26B0198D"/>
    <w:rsid w:val="276B055C"/>
    <w:rsid w:val="278F5CF9"/>
    <w:rsid w:val="28773DCD"/>
    <w:rsid w:val="28ED597C"/>
    <w:rsid w:val="29907531"/>
    <w:rsid w:val="2ADE5E46"/>
    <w:rsid w:val="2B78699C"/>
    <w:rsid w:val="2C2E5CBB"/>
    <w:rsid w:val="2CC30608"/>
    <w:rsid w:val="2E95347B"/>
    <w:rsid w:val="2F173B14"/>
    <w:rsid w:val="2F6F4B44"/>
    <w:rsid w:val="2F6F78C9"/>
    <w:rsid w:val="2F7A1819"/>
    <w:rsid w:val="2F7B1CC0"/>
    <w:rsid w:val="2FD74D0A"/>
    <w:rsid w:val="306929CC"/>
    <w:rsid w:val="30B46ED7"/>
    <w:rsid w:val="30D84A6D"/>
    <w:rsid w:val="31800192"/>
    <w:rsid w:val="31CD6FAF"/>
    <w:rsid w:val="34184F37"/>
    <w:rsid w:val="342873FA"/>
    <w:rsid w:val="347B0F20"/>
    <w:rsid w:val="348875DC"/>
    <w:rsid w:val="34C92E46"/>
    <w:rsid w:val="35061DD1"/>
    <w:rsid w:val="356B65D3"/>
    <w:rsid w:val="381009F4"/>
    <w:rsid w:val="38177AC2"/>
    <w:rsid w:val="38330237"/>
    <w:rsid w:val="398B4584"/>
    <w:rsid w:val="39E61C93"/>
    <w:rsid w:val="3AD61226"/>
    <w:rsid w:val="3AF96301"/>
    <w:rsid w:val="3C0E6A8C"/>
    <w:rsid w:val="3C7A386B"/>
    <w:rsid w:val="3CAF1767"/>
    <w:rsid w:val="3CDA061D"/>
    <w:rsid w:val="3CF67395"/>
    <w:rsid w:val="3D4C7081"/>
    <w:rsid w:val="3D9F3525"/>
    <w:rsid w:val="3DCC1178"/>
    <w:rsid w:val="3DE47E84"/>
    <w:rsid w:val="3E004C98"/>
    <w:rsid w:val="3E3B0987"/>
    <w:rsid w:val="3E6F1C2A"/>
    <w:rsid w:val="3F000963"/>
    <w:rsid w:val="3FCC1BB2"/>
    <w:rsid w:val="3FFA1B0C"/>
    <w:rsid w:val="40B97554"/>
    <w:rsid w:val="41A74FDC"/>
    <w:rsid w:val="437049F2"/>
    <w:rsid w:val="43803F8D"/>
    <w:rsid w:val="440415DE"/>
    <w:rsid w:val="44107D9B"/>
    <w:rsid w:val="45EE208A"/>
    <w:rsid w:val="460515BC"/>
    <w:rsid w:val="46204967"/>
    <w:rsid w:val="46384398"/>
    <w:rsid w:val="4643258E"/>
    <w:rsid w:val="46BE611A"/>
    <w:rsid w:val="47176167"/>
    <w:rsid w:val="47C462E6"/>
    <w:rsid w:val="47CF0B1D"/>
    <w:rsid w:val="47E23378"/>
    <w:rsid w:val="484C2FCB"/>
    <w:rsid w:val="4A9147F4"/>
    <w:rsid w:val="4AD87F7A"/>
    <w:rsid w:val="4B4466D2"/>
    <w:rsid w:val="4B9F2679"/>
    <w:rsid w:val="4C8D39F2"/>
    <w:rsid w:val="4CB10ACF"/>
    <w:rsid w:val="4CC01E86"/>
    <w:rsid w:val="4CE701B8"/>
    <w:rsid w:val="4D2B7562"/>
    <w:rsid w:val="4DDB03B5"/>
    <w:rsid w:val="4DED4A76"/>
    <w:rsid w:val="4ED72EBD"/>
    <w:rsid w:val="4EE202E0"/>
    <w:rsid w:val="4F006AB8"/>
    <w:rsid w:val="4F5C1D7A"/>
    <w:rsid w:val="504D0542"/>
    <w:rsid w:val="511768F3"/>
    <w:rsid w:val="51271052"/>
    <w:rsid w:val="51394959"/>
    <w:rsid w:val="51764AF1"/>
    <w:rsid w:val="5176769E"/>
    <w:rsid w:val="519017FF"/>
    <w:rsid w:val="51B22AB2"/>
    <w:rsid w:val="51FE73D1"/>
    <w:rsid w:val="53534733"/>
    <w:rsid w:val="535B4140"/>
    <w:rsid w:val="53B41740"/>
    <w:rsid w:val="53CD78D4"/>
    <w:rsid w:val="53E9079A"/>
    <w:rsid w:val="54AB36A4"/>
    <w:rsid w:val="550E68D5"/>
    <w:rsid w:val="5571016F"/>
    <w:rsid w:val="557F61CB"/>
    <w:rsid w:val="55B04C26"/>
    <w:rsid w:val="55F51E57"/>
    <w:rsid w:val="568B6BA3"/>
    <w:rsid w:val="57F27B11"/>
    <w:rsid w:val="58743697"/>
    <w:rsid w:val="587D00AE"/>
    <w:rsid w:val="58F509F1"/>
    <w:rsid w:val="59361F1D"/>
    <w:rsid w:val="598D0473"/>
    <w:rsid w:val="5AA26202"/>
    <w:rsid w:val="5AEF00AC"/>
    <w:rsid w:val="5BFA2163"/>
    <w:rsid w:val="5CC84CFD"/>
    <w:rsid w:val="5D4A3A21"/>
    <w:rsid w:val="5D521F6E"/>
    <w:rsid w:val="5D6408DE"/>
    <w:rsid w:val="5E814705"/>
    <w:rsid w:val="5EC620B4"/>
    <w:rsid w:val="5F3F1F4E"/>
    <w:rsid w:val="5F8038FF"/>
    <w:rsid w:val="5FD7193E"/>
    <w:rsid w:val="60712AE3"/>
    <w:rsid w:val="60AE2DC5"/>
    <w:rsid w:val="60F25329"/>
    <w:rsid w:val="61B00677"/>
    <w:rsid w:val="62060F2F"/>
    <w:rsid w:val="622E6EB2"/>
    <w:rsid w:val="6234234D"/>
    <w:rsid w:val="62986245"/>
    <w:rsid w:val="62B73790"/>
    <w:rsid w:val="62DA78F2"/>
    <w:rsid w:val="63161C90"/>
    <w:rsid w:val="633744BD"/>
    <w:rsid w:val="6360408A"/>
    <w:rsid w:val="65D221D8"/>
    <w:rsid w:val="65EE678D"/>
    <w:rsid w:val="661E127D"/>
    <w:rsid w:val="6628294C"/>
    <w:rsid w:val="6658601C"/>
    <w:rsid w:val="666E6D57"/>
    <w:rsid w:val="668C6B1C"/>
    <w:rsid w:val="67466E44"/>
    <w:rsid w:val="67DF781C"/>
    <w:rsid w:val="68A33FC6"/>
    <w:rsid w:val="6AB80C62"/>
    <w:rsid w:val="6AC11213"/>
    <w:rsid w:val="6ACA7C79"/>
    <w:rsid w:val="6B6B3B9D"/>
    <w:rsid w:val="6BB6488D"/>
    <w:rsid w:val="6BC0391C"/>
    <w:rsid w:val="6C0B29D5"/>
    <w:rsid w:val="6C0B435C"/>
    <w:rsid w:val="6C136D6D"/>
    <w:rsid w:val="6CB51DAA"/>
    <w:rsid w:val="6D484EC2"/>
    <w:rsid w:val="6DE870A3"/>
    <w:rsid w:val="6E672B2B"/>
    <w:rsid w:val="6EEB3FD1"/>
    <w:rsid w:val="6F443BEB"/>
    <w:rsid w:val="6F7922B4"/>
    <w:rsid w:val="6FB824BF"/>
    <w:rsid w:val="700725CE"/>
    <w:rsid w:val="709A7A5C"/>
    <w:rsid w:val="70C5552E"/>
    <w:rsid w:val="71370A9B"/>
    <w:rsid w:val="71E64DF1"/>
    <w:rsid w:val="7202096F"/>
    <w:rsid w:val="72F0558E"/>
    <w:rsid w:val="73137A42"/>
    <w:rsid w:val="73395FA4"/>
    <w:rsid w:val="73761D99"/>
    <w:rsid w:val="73972F2B"/>
    <w:rsid w:val="740B666E"/>
    <w:rsid w:val="75053FA4"/>
    <w:rsid w:val="757F7E3A"/>
    <w:rsid w:val="75BE3D92"/>
    <w:rsid w:val="75E41048"/>
    <w:rsid w:val="76275612"/>
    <w:rsid w:val="76473B85"/>
    <w:rsid w:val="76612DCA"/>
    <w:rsid w:val="76DB1184"/>
    <w:rsid w:val="76FE6E62"/>
    <w:rsid w:val="775330CB"/>
    <w:rsid w:val="77864563"/>
    <w:rsid w:val="77BA4E88"/>
    <w:rsid w:val="785724B6"/>
    <w:rsid w:val="789F6743"/>
    <w:rsid w:val="78C35DF4"/>
    <w:rsid w:val="79465555"/>
    <w:rsid w:val="79F517CC"/>
    <w:rsid w:val="7B753B4C"/>
    <w:rsid w:val="7B7D7B4D"/>
    <w:rsid w:val="7C017E66"/>
    <w:rsid w:val="7C355CCF"/>
    <w:rsid w:val="7CE5560B"/>
    <w:rsid w:val="7D2708CA"/>
    <w:rsid w:val="7D3D1E9B"/>
    <w:rsid w:val="7D9B5E16"/>
    <w:rsid w:val="7E143686"/>
    <w:rsid w:val="7E5A55AC"/>
    <w:rsid w:val="7E7F7D0E"/>
    <w:rsid w:val="7EE26657"/>
    <w:rsid w:val="7EE73E3D"/>
    <w:rsid w:val="7FBC7F56"/>
    <w:rsid w:val="7FC00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0"/>
    <w:pPr>
      <w:keepNext/>
      <w:jc w:val="center"/>
      <w:outlineLvl w:val="0"/>
    </w:pPr>
    <w:rPr>
      <w:b/>
      <w:bCs/>
      <w:sz w:val="24"/>
      <w:szCs w:val="20"/>
    </w:rPr>
  </w:style>
  <w:style w:type="paragraph" w:styleId="3">
    <w:name w:val="heading 2"/>
    <w:basedOn w:val="1"/>
    <w:next w:val="1"/>
    <w:qFormat/>
    <w:uiPriority w:val="9"/>
    <w:pPr>
      <w:keepNext/>
      <w:keepLines/>
      <w:spacing w:line="360" w:lineRule="auto"/>
      <w:outlineLvl w:val="1"/>
    </w:pPr>
    <w:rPr>
      <w:rFonts w:ascii="Arial" w:hAnsi="Arial"/>
      <w:b/>
      <w:bCs/>
      <w:sz w:val="24"/>
      <w:szCs w:val="32"/>
    </w:rPr>
  </w:style>
  <w:style w:type="paragraph" w:styleId="4">
    <w:name w:val="heading 3"/>
    <w:basedOn w:val="1"/>
    <w:next w:val="1"/>
    <w:link w:val="6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0"/>
    <w:semiHidden/>
    <w:unhideWhenUsed/>
    <w:qFormat/>
    <w:uiPriority w:val="0"/>
    <w:pPr>
      <w:keepNext/>
      <w:keepLines/>
      <w:spacing w:before="280" w:after="290" w:line="376" w:lineRule="auto"/>
      <w:outlineLvl w:val="4"/>
    </w:pPr>
    <w:rPr>
      <w:b/>
      <w:bCs/>
      <w:sz w:val="28"/>
      <w:szCs w:val="2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8">
    <w:name w:val="table of authorities"/>
    <w:basedOn w:val="1"/>
    <w:next w:val="1"/>
    <w:unhideWhenUsed/>
    <w:qFormat/>
    <w:uiPriority w:val="99"/>
    <w:pPr>
      <w:ind w:left="420" w:leftChars="200"/>
    </w:pPr>
  </w:style>
  <w:style w:type="paragraph" w:styleId="9">
    <w:name w:val="Normal Indent"/>
    <w:basedOn w:val="1"/>
    <w:qFormat/>
    <w:uiPriority w:val="0"/>
    <w:pPr>
      <w:spacing w:line="400" w:lineRule="exact"/>
      <w:ind w:firstLine="420" w:firstLineChars="200"/>
    </w:pPr>
    <w:rPr>
      <w:sz w:val="24"/>
    </w:rPr>
  </w:style>
  <w:style w:type="paragraph" w:styleId="10">
    <w:name w:val="annotation text"/>
    <w:basedOn w:val="1"/>
    <w:qFormat/>
    <w:uiPriority w:val="0"/>
    <w:pPr>
      <w:jc w:val="left"/>
    </w:pPr>
  </w:style>
  <w:style w:type="paragraph" w:styleId="11">
    <w:name w:val="Body Text"/>
    <w:basedOn w:val="1"/>
    <w:next w:val="12"/>
    <w:link w:val="65"/>
    <w:qFormat/>
    <w:uiPriority w:val="1"/>
    <w:pPr>
      <w:tabs>
        <w:tab w:val="left" w:pos="360"/>
      </w:tabs>
      <w:spacing w:after="120"/>
      <w:ind w:left="360" w:hanging="360"/>
    </w:pPr>
    <w:rPr>
      <w:rFonts w:ascii="Calibri" w:hAnsi="Calibri"/>
      <w:szCs w:val="22"/>
    </w:rPr>
  </w:style>
  <w:style w:type="paragraph" w:customStyle="1" w:styleId="12">
    <w:name w:val="一级条标题"/>
    <w:basedOn w:val="13"/>
    <w:next w:val="14"/>
    <w:qFormat/>
    <w:uiPriority w:val="0"/>
    <w:pPr>
      <w:spacing w:line="240" w:lineRule="auto"/>
      <w:ind w:left="420"/>
      <w:outlineLvl w:val="2"/>
    </w:pPr>
  </w:style>
  <w:style w:type="paragraph" w:customStyle="1" w:styleId="13">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4">
    <w:name w:val="段"/>
    <w:basedOn w:val="15"/>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5">
    <w:name w:val="Default"/>
    <w:next w:val="1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7">
    <w:name w:val="Body Text Indent"/>
    <w:basedOn w:val="1"/>
    <w:next w:val="1"/>
    <w:unhideWhenUsed/>
    <w:qFormat/>
    <w:uiPriority w:val="99"/>
    <w:pPr>
      <w:spacing w:after="120"/>
      <w:ind w:left="420" w:leftChars="200"/>
    </w:pPr>
    <w:rPr>
      <w:szCs w:val="28"/>
    </w:rPr>
  </w:style>
  <w:style w:type="paragraph" w:styleId="18">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9">
    <w:name w:val="toc 3"/>
    <w:basedOn w:val="1"/>
    <w:next w:val="1"/>
    <w:qFormat/>
    <w:uiPriority w:val="39"/>
    <w:pPr>
      <w:ind w:left="840" w:leftChars="400"/>
    </w:pPr>
  </w:style>
  <w:style w:type="paragraph" w:styleId="20">
    <w:name w:val="Plain Text"/>
    <w:basedOn w:val="1"/>
    <w:next w:val="1"/>
    <w:qFormat/>
    <w:uiPriority w:val="0"/>
    <w:rPr>
      <w:rFonts w:ascii="宋体" w:hAnsi="Courier New" w:cs="Courier New"/>
      <w:szCs w:val="21"/>
    </w:rPr>
  </w:style>
  <w:style w:type="paragraph" w:styleId="21">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2">
    <w:name w:val="Body Text Indent 2"/>
    <w:basedOn w:val="1"/>
    <w:qFormat/>
    <w:uiPriority w:val="0"/>
    <w:pPr>
      <w:spacing w:after="120" w:line="480" w:lineRule="auto"/>
      <w:ind w:left="420" w:leftChars="200"/>
    </w:pPr>
  </w:style>
  <w:style w:type="paragraph" w:styleId="23">
    <w:name w:val="Balloon Text"/>
    <w:basedOn w:val="1"/>
    <w:link w:val="71"/>
    <w:qFormat/>
    <w:uiPriority w:val="0"/>
    <w:rPr>
      <w:sz w:val="18"/>
      <w:szCs w:val="18"/>
    </w:rPr>
  </w:style>
  <w:style w:type="paragraph" w:styleId="24">
    <w:name w:val="footer"/>
    <w:basedOn w:val="1"/>
    <w:link w:val="62"/>
    <w:qFormat/>
    <w:uiPriority w:val="0"/>
    <w:pPr>
      <w:tabs>
        <w:tab w:val="center" w:pos="4153"/>
        <w:tab w:val="right" w:pos="8306"/>
      </w:tabs>
      <w:snapToGrid w:val="0"/>
      <w:jc w:val="left"/>
    </w:pPr>
    <w:rPr>
      <w:sz w:val="18"/>
      <w:szCs w:val="18"/>
    </w:rPr>
  </w:style>
  <w:style w:type="paragraph" w:styleId="25">
    <w:name w:val="header"/>
    <w:basedOn w:val="1"/>
    <w:link w:val="72"/>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style>
  <w:style w:type="paragraph" w:styleId="27">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8">
    <w:name w:val="index heading"/>
    <w:basedOn w:val="1"/>
    <w:next w:val="29"/>
    <w:semiHidden/>
    <w:qFormat/>
    <w:uiPriority w:val="0"/>
    <w:pPr>
      <w:widowControl w:val="0"/>
      <w:adjustRightInd/>
      <w:snapToGrid/>
      <w:spacing w:line="240" w:lineRule="auto"/>
      <w:jc w:val="both"/>
    </w:pPr>
    <w:rPr>
      <w:rFonts w:ascii="Times New Roman" w:hAnsi="Times New Roman"/>
      <w:kern w:val="2"/>
      <w:sz w:val="28"/>
      <w:szCs w:val="20"/>
    </w:rPr>
  </w:style>
  <w:style w:type="paragraph" w:styleId="29">
    <w:name w:val="index 1"/>
    <w:basedOn w:val="1"/>
    <w:next w:val="1"/>
    <w:unhideWhenUsed/>
    <w:qFormat/>
    <w:uiPriority w:val="99"/>
  </w:style>
  <w:style w:type="paragraph" w:styleId="30">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31">
    <w:name w:val="toc 2"/>
    <w:basedOn w:val="1"/>
    <w:next w:val="1"/>
    <w:qFormat/>
    <w:uiPriority w:val="39"/>
    <w:pPr>
      <w:ind w:left="420" w:leftChars="200"/>
    </w:pPr>
  </w:style>
  <w:style w:type="paragraph" w:styleId="32">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3">
    <w:name w:val="HTML Preformatted"/>
    <w:basedOn w:val="1"/>
    <w:link w:val="6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4">
    <w:name w:val="Normal (Web)"/>
    <w:basedOn w:val="1"/>
    <w:qFormat/>
    <w:uiPriority w:val="0"/>
    <w:pPr>
      <w:spacing w:before="100" w:beforeAutospacing="1" w:after="100" w:afterAutospacing="1"/>
      <w:jc w:val="left"/>
    </w:pPr>
    <w:rPr>
      <w:kern w:val="0"/>
      <w:sz w:val="24"/>
    </w:rPr>
  </w:style>
  <w:style w:type="paragraph" w:styleId="35">
    <w:name w:val="Title"/>
    <w:basedOn w:val="1"/>
    <w:next w:val="1"/>
    <w:qFormat/>
    <w:uiPriority w:val="0"/>
    <w:pPr>
      <w:spacing w:before="240" w:after="60"/>
      <w:jc w:val="center"/>
      <w:outlineLvl w:val="0"/>
    </w:pPr>
    <w:rPr>
      <w:rFonts w:ascii="Cambria" w:hAnsi="Cambria"/>
      <w:b/>
      <w:bCs/>
      <w:sz w:val="36"/>
      <w:szCs w:val="32"/>
    </w:rPr>
  </w:style>
  <w:style w:type="paragraph" w:styleId="36">
    <w:name w:val="Body Text First Indent"/>
    <w:basedOn w:val="11"/>
    <w:unhideWhenUsed/>
    <w:qFormat/>
    <w:uiPriority w:val="99"/>
    <w:pPr>
      <w:ind w:firstLine="420" w:firstLineChars="100"/>
    </w:pPr>
  </w:style>
  <w:style w:type="paragraph" w:styleId="37">
    <w:name w:val="Body Text First Indent 2"/>
    <w:basedOn w:val="1"/>
    <w:qFormat/>
    <w:uiPriority w:val="0"/>
    <w:pPr>
      <w:spacing w:after="120" w:line="480" w:lineRule="auto"/>
      <w:ind w:left="418" w:leftChars="0" w:firstLine="216"/>
    </w:pPr>
    <w:rPr>
      <w:rFonts w:eastAsia="仿宋_GB2312"/>
      <w:sz w:val="24"/>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qFormat/>
    <w:uiPriority w:val="0"/>
    <w:rPr>
      <w:b/>
    </w:rPr>
  </w:style>
  <w:style w:type="character" w:styleId="42">
    <w:name w:val="page number"/>
    <w:basedOn w:val="40"/>
    <w:qFormat/>
    <w:uiPriority w:val="0"/>
  </w:style>
  <w:style w:type="character" w:styleId="43">
    <w:name w:val="FollowedHyperlink"/>
    <w:basedOn w:val="40"/>
    <w:qFormat/>
    <w:uiPriority w:val="0"/>
    <w:rPr>
      <w:rFonts w:hint="eastAsia" w:ascii="微软雅黑" w:hAnsi="微软雅黑" w:eastAsia="微软雅黑" w:cs="微软雅黑"/>
      <w:color w:val="02396F"/>
      <w:u w:val="single"/>
    </w:rPr>
  </w:style>
  <w:style w:type="character" w:styleId="44">
    <w:name w:val="Hyperlink"/>
    <w:basedOn w:val="40"/>
    <w:qFormat/>
    <w:uiPriority w:val="99"/>
    <w:rPr>
      <w:rFonts w:ascii="微软雅黑" w:hAnsi="微软雅黑" w:eastAsia="微软雅黑" w:cs="微软雅黑"/>
      <w:color w:val="02396F"/>
      <w:u w:val="single"/>
    </w:rPr>
  </w:style>
  <w:style w:type="character" w:styleId="45">
    <w:name w:val="annotation reference"/>
    <w:basedOn w:val="40"/>
    <w:qFormat/>
    <w:uiPriority w:val="0"/>
    <w:rPr>
      <w:sz w:val="21"/>
      <w:szCs w:val="21"/>
    </w:rPr>
  </w:style>
  <w:style w:type="character" w:styleId="46">
    <w:name w:val="HTML Sample"/>
    <w:basedOn w:val="40"/>
    <w:semiHidden/>
    <w:unhideWhenUsed/>
    <w:qFormat/>
    <w:uiPriority w:val="0"/>
    <w:rPr>
      <w:rFonts w:ascii="Courier New" w:hAnsi="Courier New"/>
    </w:rPr>
  </w:style>
  <w:style w:type="paragraph" w:customStyle="1" w:styleId="47">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WPSOffice手动目录 1"/>
    <w:qFormat/>
    <w:uiPriority w:val="0"/>
    <w:rPr>
      <w:rFonts w:ascii="Times New Roman" w:hAnsi="Times New Roman" w:eastAsia="宋体" w:cs="Times New Roman"/>
      <w:lang w:val="en-US" w:eastAsia="zh-CN" w:bidi="ar-SA"/>
    </w:rPr>
  </w:style>
  <w:style w:type="paragraph" w:customStyle="1" w:styleId="49">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50">
    <w:name w:val="p0"/>
    <w:basedOn w:val="1"/>
    <w:qFormat/>
    <w:uiPriority w:val="0"/>
    <w:pPr>
      <w:widowControl/>
    </w:pPr>
    <w:rPr>
      <w:kern w:val="0"/>
      <w:szCs w:val="21"/>
    </w:rPr>
  </w:style>
  <w:style w:type="paragraph" w:customStyle="1" w:styleId="51">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5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54">
    <w:name w:val="gjfg"/>
    <w:basedOn w:val="40"/>
    <w:qFormat/>
    <w:uiPriority w:val="0"/>
  </w:style>
  <w:style w:type="character" w:customStyle="1" w:styleId="55">
    <w:name w:val="displayarti"/>
    <w:basedOn w:val="40"/>
    <w:qFormat/>
    <w:uiPriority w:val="0"/>
    <w:rPr>
      <w:color w:val="FFFFFF"/>
      <w:shd w:val="clear" w:color="010000" w:fill="A00000"/>
    </w:rPr>
  </w:style>
  <w:style w:type="character" w:customStyle="1" w:styleId="56">
    <w:name w:val="redfilefwwh"/>
    <w:basedOn w:val="40"/>
    <w:qFormat/>
    <w:uiPriority w:val="0"/>
    <w:rPr>
      <w:color w:val="BA2636"/>
      <w:sz w:val="14"/>
      <w:szCs w:val="14"/>
    </w:rPr>
  </w:style>
  <w:style w:type="character" w:customStyle="1" w:styleId="57">
    <w:name w:val="redfilenumber"/>
    <w:basedOn w:val="40"/>
    <w:qFormat/>
    <w:uiPriority w:val="0"/>
    <w:rPr>
      <w:color w:val="BA2636"/>
      <w:sz w:val="14"/>
      <w:szCs w:val="14"/>
    </w:rPr>
  </w:style>
  <w:style w:type="character" w:customStyle="1" w:styleId="58">
    <w:name w:val="qxdate"/>
    <w:basedOn w:val="40"/>
    <w:qFormat/>
    <w:uiPriority w:val="0"/>
    <w:rPr>
      <w:color w:val="333333"/>
      <w:sz w:val="14"/>
      <w:szCs w:val="14"/>
    </w:rPr>
  </w:style>
  <w:style w:type="character" w:customStyle="1" w:styleId="59">
    <w:name w:val="cfdate"/>
    <w:basedOn w:val="40"/>
    <w:qFormat/>
    <w:uiPriority w:val="0"/>
    <w:rPr>
      <w:color w:val="333333"/>
      <w:sz w:val="14"/>
      <w:szCs w:val="14"/>
    </w:rPr>
  </w:style>
  <w:style w:type="character" w:customStyle="1" w:styleId="60">
    <w:name w:val="标题 1 Char"/>
    <w:link w:val="2"/>
    <w:qFormat/>
    <w:uiPriority w:val="0"/>
    <w:rPr>
      <w:b/>
      <w:bCs/>
      <w:sz w:val="24"/>
      <w:szCs w:val="20"/>
    </w:rPr>
  </w:style>
  <w:style w:type="character" w:customStyle="1" w:styleId="61">
    <w:name w:val="标题 3 Char"/>
    <w:link w:val="4"/>
    <w:qFormat/>
    <w:uiPriority w:val="0"/>
    <w:rPr>
      <w:b/>
      <w:bCs/>
      <w:sz w:val="32"/>
      <w:szCs w:val="32"/>
    </w:rPr>
  </w:style>
  <w:style w:type="character" w:customStyle="1" w:styleId="62">
    <w:name w:val="页脚 Char"/>
    <w:basedOn w:val="40"/>
    <w:link w:val="24"/>
    <w:qFormat/>
    <w:uiPriority w:val="0"/>
    <w:rPr>
      <w:rFonts w:ascii="Times New Roman" w:hAnsi="Times New Roman"/>
      <w:kern w:val="2"/>
      <w:sz w:val="18"/>
      <w:szCs w:val="18"/>
    </w:rPr>
  </w:style>
  <w:style w:type="character" w:customStyle="1" w:styleId="63">
    <w:name w:val="未处理的提及1"/>
    <w:basedOn w:val="40"/>
    <w:semiHidden/>
    <w:unhideWhenUsed/>
    <w:qFormat/>
    <w:uiPriority w:val="99"/>
    <w:rPr>
      <w:color w:val="605E5C"/>
      <w:shd w:val="clear" w:color="auto" w:fill="E1DFDD"/>
    </w:rPr>
  </w:style>
  <w:style w:type="character" w:customStyle="1" w:styleId="64">
    <w:name w:val="未处理的提及2"/>
    <w:basedOn w:val="40"/>
    <w:semiHidden/>
    <w:unhideWhenUsed/>
    <w:qFormat/>
    <w:uiPriority w:val="99"/>
    <w:rPr>
      <w:color w:val="605E5C"/>
      <w:shd w:val="clear" w:color="auto" w:fill="E1DFDD"/>
    </w:rPr>
  </w:style>
  <w:style w:type="character" w:customStyle="1" w:styleId="65">
    <w:name w:val="正文文本 Char"/>
    <w:basedOn w:val="40"/>
    <w:link w:val="11"/>
    <w:qFormat/>
    <w:uiPriority w:val="1"/>
    <w:rPr>
      <w:kern w:val="2"/>
      <w:sz w:val="21"/>
      <w:szCs w:val="22"/>
    </w:rPr>
  </w:style>
  <w:style w:type="character" w:customStyle="1" w:styleId="66">
    <w:name w:val="Unresolved Mention"/>
    <w:basedOn w:val="40"/>
    <w:semiHidden/>
    <w:unhideWhenUsed/>
    <w:qFormat/>
    <w:uiPriority w:val="99"/>
    <w:rPr>
      <w:color w:val="605E5C"/>
      <w:shd w:val="clear" w:color="auto" w:fill="E1DFDD"/>
    </w:rPr>
  </w:style>
  <w:style w:type="paragraph" w:customStyle="1" w:styleId="67">
    <w:name w:val="默认段落字体 Para Char"/>
    <w:basedOn w:val="1"/>
    <w:qFormat/>
    <w:uiPriority w:val="0"/>
    <w:pPr>
      <w:spacing w:line="360" w:lineRule="auto"/>
      <w:ind w:firstLine="200" w:firstLineChars="200"/>
    </w:pPr>
    <w:rPr>
      <w:rFonts w:ascii="宋体" w:hAnsi="宋体" w:cs="宋体"/>
      <w:sz w:val="24"/>
    </w:rPr>
  </w:style>
  <w:style w:type="character" w:customStyle="1" w:styleId="68">
    <w:name w:val="HTML 预设格式 Char"/>
    <w:basedOn w:val="40"/>
    <w:link w:val="33"/>
    <w:qFormat/>
    <w:uiPriority w:val="99"/>
    <w:rPr>
      <w:rFonts w:ascii="宋体" w:hAnsi="宋体"/>
      <w:sz w:val="24"/>
      <w:szCs w:val="24"/>
    </w:rPr>
  </w:style>
  <w:style w:type="paragraph" w:styleId="69">
    <w:name w:val="List Paragraph"/>
    <w:basedOn w:val="1"/>
    <w:qFormat/>
    <w:uiPriority w:val="99"/>
    <w:pPr>
      <w:ind w:firstLine="420" w:firstLineChars="200"/>
    </w:pPr>
  </w:style>
  <w:style w:type="character" w:customStyle="1" w:styleId="70">
    <w:name w:val="标题 5 Char"/>
    <w:basedOn w:val="40"/>
    <w:link w:val="6"/>
    <w:semiHidden/>
    <w:qFormat/>
    <w:uiPriority w:val="0"/>
    <w:rPr>
      <w:rFonts w:ascii="Times New Roman" w:hAnsi="Times New Roman"/>
      <w:b/>
      <w:bCs/>
      <w:kern w:val="2"/>
      <w:sz w:val="28"/>
      <w:szCs w:val="28"/>
    </w:rPr>
  </w:style>
  <w:style w:type="character" w:customStyle="1" w:styleId="71">
    <w:name w:val="批注框文本 Char"/>
    <w:basedOn w:val="40"/>
    <w:link w:val="23"/>
    <w:qFormat/>
    <w:uiPriority w:val="0"/>
    <w:rPr>
      <w:rFonts w:ascii="Times New Roman" w:hAnsi="Times New Roman"/>
      <w:kern w:val="2"/>
      <w:sz w:val="18"/>
      <w:szCs w:val="18"/>
    </w:rPr>
  </w:style>
  <w:style w:type="character" w:customStyle="1" w:styleId="72">
    <w:name w:val="页眉 Char"/>
    <w:basedOn w:val="40"/>
    <w:link w:val="25"/>
    <w:qFormat/>
    <w:uiPriority w:val="0"/>
    <w:rPr>
      <w:rFonts w:ascii="Times New Roman" w:hAnsi="Times New Roman"/>
      <w:kern w:val="2"/>
      <w:sz w:val="18"/>
      <w:szCs w:val="18"/>
    </w:rPr>
  </w:style>
  <w:style w:type="paragraph" w:customStyle="1" w:styleId="73">
    <w:name w:val="标题 1_0"/>
    <w:basedOn w:val="74"/>
    <w:next w:val="74"/>
    <w:qFormat/>
    <w:uiPriority w:val="0"/>
    <w:pPr>
      <w:keepNext/>
      <w:keepLines/>
      <w:spacing w:before="340" w:after="330" w:line="576" w:lineRule="auto"/>
      <w:outlineLvl w:val="0"/>
    </w:pPr>
    <w:rPr>
      <w:rFonts w:cs="Calibri"/>
      <w:b/>
      <w:bCs/>
      <w:kern w:val="44"/>
      <w:sz w:val="44"/>
      <w:szCs w:val="44"/>
    </w:rPr>
  </w:style>
  <w:style w:type="paragraph" w:customStyle="1" w:styleId="74">
    <w:name w:val="正文_3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标题 3_0"/>
    <w:basedOn w:val="76"/>
    <w:next w:val="1"/>
    <w:unhideWhenUsed/>
    <w:qFormat/>
    <w:uiPriority w:val="0"/>
    <w:pPr>
      <w:keepNext/>
      <w:keepLines/>
      <w:widowControl/>
      <w:spacing w:before="120" w:after="120" w:line="360" w:lineRule="auto"/>
      <w:jc w:val="left"/>
      <w:outlineLvl w:val="2"/>
    </w:pPr>
    <w:rPr>
      <w:rFonts w:ascii="Times New Roman" w:hAnsi="Times New Roman" w:eastAsia="黑体"/>
      <w:kern w:val="0"/>
      <w:sz w:val="24"/>
      <w:szCs w:val="20"/>
    </w:rPr>
  </w:style>
  <w:style w:type="paragraph" w:customStyle="1" w:styleId="76">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文本缩进_0"/>
    <w:basedOn w:val="76"/>
    <w:unhideWhenUsed/>
    <w:qFormat/>
    <w:uiPriority w:val="0"/>
    <w:pPr>
      <w:spacing w:after="120"/>
      <w:ind w:left="420" w:leftChars="200"/>
    </w:pPr>
  </w:style>
  <w:style w:type="paragraph" w:customStyle="1" w:styleId="78">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页脚_0"/>
    <w:basedOn w:val="78"/>
    <w:qFormat/>
    <w:uiPriority w:val="99"/>
    <w:pPr>
      <w:tabs>
        <w:tab w:val="center" w:pos="4153"/>
        <w:tab w:val="right" w:pos="8306"/>
      </w:tabs>
      <w:snapToGrid w:val="0"/>
      <w:jc w:val="left"/>
    </w:pPr>
    <w:rPr>
      <w:kern w:val="0"/>
      <w:sz w:val="18"/>
      <w:szCs w:val="18"/>
    </w:rPr>
  </w:style>
  <w:style w:type="paragraph" w:customStyle="1" w:styleId="80">
    <w:name w:val="正文文本缩进_0_0"/>
    <w:basedOn w:val="74"/>
    <w:qFormat/>
    <w:uiPriority w:val="0"/>
    <w:pPr>
      <w:spacing w:after="120"/>
      <w:ind w:left="420" w:leftChars="200"/>
    </w:pPr>
    <w:rPr>
      <w:rFonts w:cs="Calibri"/>
    </w:rPr>
  </w:style>
  <w:style w:type="paragraph" w:customStyle="1" w:styleId="81">
    <w:name w:val="表格文字"/>
    <w:basedOn w:val="1"/>
    <w:qFormat/>
    <w:uiPriority w:val="99"/>
    <w:pPr>
      <w:spacing w:before="25" w:after="25" w:line="324" w:lineRule="auto"/>
    </w:pPr>
    <w:rPr>
      <w:bCs/>
      <w:spacing w:val="10"/>
      <w:sz w:val="24"/>
      <w:szCs w:val="20"/>
    </w:rPr>
  </w:style>
  <w:style w:type="paragraph" w:customStyle="1" w:styleId="82">
    <w:name w:val="Normal_5"/>
    <w:qFormat/>
    <w:uiPriority w:val="0"/>
    <w:pPr>
      <w:spacing w:before="120" w:after="240"/>
      <w:jc w:val="both"/>
    </w:pPr>
    <w:rPr>
      <w:rFonts w:ascii="Calibri" w:hAnsi="Calibri" w:eastAsia="Calibri" w:cs="Times New Roman"/>
      <w:sz w:val="22"/>
      <w:szCs w:val="22"/>
      <w:lang w:val="ru-RU" w:eastAsia="en-US" w:bidi="ar-SA"/>
    </w:rPr>
  </w:style>
  <w:style w:type="paragraph" w:customStyle="1" w:styleId="83">
    <w:name w:val="Normal_4"/>
    <w:qFormat/>
    <w:uiPriority w:val="0"/>
    <w:pPr>
      <w:spacing w:before="120" w:after="240"/>
      <w:jc w:val="both"/>
    </w:pPr>
    <w:rPr>
      <w:rFonts w:ascii="Calibri" w:hAnsi="Calibri" w:eastAsia="Calibri" w:cs="Times New Roman"/>
      <w:sz w:val="22"/>
      <w:szCs w:val="22"/>
      <w:lang w:val="ru-RU" w:eastAsia="en-US" w:bidi="ar-SA"/>
    </w:rPr>
  </w:style>
  <w:style w:type="paragraph" w:customStyle="1" w:styleId="84">
    <w:name w:val="_Style 29"/>
    <w:basedOn w:val="1"/>
    <w:qFormat/>
    <w:uiPriority w:val="0"/>
    <w:pPr>
      <w:ind w:firstLine="420" w:firstLineChars="200"/>
    </w:pPr>
    <w:rPr>
      <w:rFonts w:ascii="Times New Roman" w:hAnsi="Times New Roman" w:eastAsia="Times New Roman" w:cs="Times New Roman"/>
    </w:rPr>
  </w:style>
  <w:style w:type="paragraph" w:customStyle="1" w:styleId="85">
    <w:name w:val="0正文"/>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table" w:customStyle="1" w:styleId="86">
    <w:name w:val="Table Normal"/>
    <w:semiHidden/>
    <w:unhideWhenUsed/>
    <w:qFormat/>
    <w:uiPriority w:val="0"/>
    <w:tblPr>
      <w:tblCellMar>
        <w:top w:w="0" w:type="dxa"/>
        <w:left w:w="0" w:type="dxa"/>
        <w:bottom w:w="0" w:type="dxa"/>
        <w:right w:w="0" w:type="dxa"/>
      </w:tblCellMar>
    </w:tblPr>
  </w:style>
  <w:style w:type="character" w:customStyle="1" w:styleId="87">
    <w:name w:val="font61"/>
    <w:basedOn w:val="40"/>
    <w:qFormat/>
    <w:uiPriority w:val="0"/>
    <w:rPr>
      <w:rFonts w:hint="eastAsia" w:ascii="宋体" w:hAnsi="宋体" w:eastAsia="宋体" w:cs="宋体"/>
      <w:color w:val="000000"/>
      <w:sz w:val="19"/>
      <w:szCs w:val="19"/>
      <w:u w:val="none"/>
    </w:rPr>
  </w:style>
  <w:style w:type="character" w:customStyle="1" w:styleId="88">
    <w:name w:val="font81"/>
    <w:basedOn w:val="40"/>
    <w:qFormat/>
    <w:uiPriority w:val="0"/>
    <w:rPr>
      <w:rFonts w:hint="eastAsia" w:ascii="宋体" w:hAnsi="宋体" w:eastAsia="宋体" w:cs="宋体"/>
      <w:color w:val="000000"/>
      <w:sz w:val="19"/>
      <w:szCs w:val="19"/>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13F7ED-50CD-4504-91C8-89FB45935348}">
  <ds:schemaRefs/>
</ds:datastoreItem>
</file>

<file path=docProps/app.xml><?xml version="1.0" encoding="utf-8"?>
<Properties xmlns="http://schemas.openxmlformats.org/officeDocument/2006/extended-properties" xmlns:vt="http://schemas.openxmlformats.org/officeDocument/2006/docPropsVTypes">
  <Template>Normal</Template>
  <Pages>58</Pages>
  <Words>11039</Words>
  <Characters>11713</Characters>
  <Lines>146</Lines>
  <Paragraphs>41</Paragraphs>
  <TotalTime>5</TotalTime>
  <ScaleCrop>false</ScaleCrop>
  <LinksUpToDate>false</LinksUpToDate>
  <CharactersWithSpaces>11809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2022-07-06T01:11:00Z</dcterms:created>
  <dc:creator>Administrator</dc:creator>
  <cp:lastModifiedBy>Administrator</cp:lastModifiedBy>
  <cp:lastPrinted>2023-06-25T01:38:00Z</cp:lastPrinted>
  <dcterms:modified xsi:type="dcterms:W3CDTF">2025-06-18T09:40:46Z</dcterms:modified>
  <dc:title>政府采购</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FF001EE01AB647D698B6FCCEB179C159_13</vt:lpwstr>
  </property>
  <property fmtid="{D5CDD505-2E9C-101B-9397-08002B2CF9AE}" pid="4" name="KSOTemplateDocerSaveRecord">
    <vt:lpwstr>eyJoZGlkIjoiZGQ0OTM5MWIzZjcyY2UwZWEzZTQ4YWIwYTdjNGIwZGUiLCJ1c2VySWQiOiIzODUzMDMzMDYifQ==</vt:lpwstr>
  </property>
</Properties>
</file>