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FAFCB">
      <w:pPr>
        <w:autoSpaceDE w:val="0"/>
        <w:autoSpaceDN w:val="0"/>
        <w:adjustRightInd w:val="0"/>
        <w:spacing w:line="360" w:lineRule="auto"/>
        <w:jc w:val="center"/>
        <w:rPr>
          <w:rFonts w:ascii="宋体" w:hAnsi="宋体" w:cs="宋体"/>
          <w:b/>
          <w:bCs/>
          <w:color w:val="000000"/>
          <w:kern w:val="0"/>
          <w:sz w:val="84"/>
          <w:szCs w:val="84"/>
          <w:lang w:val="zh-CN"/>
        </w:rPr>
      </w:pPr>
    </w:p>
    <w:p w14:paraId="581931CF">
      <w:pPr>
        <w:autoSpaceDE w:val="0"/>
        <w:autoSpaceDN w:val="0"/>
        <w:adjustRightInd w:val="0"/>
        <w:spacing w:line="360" w:lineRule="auto"/>
        <w:jc w:val="left"/>
        <w:rPr>
          <w:rFonts w:ascii="宋体" w:hAnsi="宋体" w:cs="宋体"/>
          <w:b/>
          <w:bCs/>
          <w:color w:val="000000"/>
          <w:kern w:val="0"/>
          <w:sz w:val="84"/>
          <w:szCs w:val="84"/>
          <w:lang w:val="zh-CN"/>
        </w:rPr>
      </w:pPr>
    </w:p>
    <w:p w14:paraId="70893532">
      <w:pPr>
        <w:autoSpaceDE w:val="0"/>
        <w:autoSpaceDN w:val="0"/>
        <w:adjustRightInd w:val="0"/>
        <w:spacing w:line="360" w:lineRule="auto"/>
        <w:jc w:val="center"/>
        <w:rPr>
          <w:rFonts w:hint="eastAsia" w:ascii="宋体" w:hAnsi="宋体" w:eastAsia="宋体" w:cs="宋体"/>
          <w:b/>
          <w:bCs/>
          <w:color w:val="000000"/>
          <w:kern w:val="0"/>
          <w:sz w:val="84"/>
          <w:szCs w:val="84"/>
        </w:rPr>
      </w:pPr>
      <w:r>
        <w:rPr>
          <w:rFonts w:hint="eastAsia" w:ascii="宋体" w:hAnsi="宋体" w:eastAsia="宋体" w:cs="宋体"/>
          <w:b/>
          <w:bCs/>
          <w:color w:val="000000"/>
          <w:kern w:val="0"/>
          <w:sz w:val="84"/>
          <w:szCs w:val="84"/>
          <w:lang w:val="zh-CN"/>
        </w:rPr>
        <w:t>公开招标文件</w:t>
      </w:r>
    </w:p>
    <w:p w14:paraId="2668F943">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2968721B">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79F4B1B4">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020F9CF9">
      <w:pPr>
        <w:pStyle w:val="31"/>
        <w:rPr>
          <w:rFonts w:hint="eastAsia"/>
        </w:rPr>
      </w:pPr>
    </w:p>
    <w:p w14:paraId="10E010CE">
      <w:pPr>
        <w:autoSpaceDE w:val="0"/>
        <w:autoSpaceDN w:val="0"/>
        <w:adjustRightInd w:val="0"/>
        <w:spacing w:line="360" w:lineRule="auto"/>
        <w:ind w:left="2530" w:hanging="2530" w:hangingChars="700"/>
        <w:jc w:val="left"/>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采购项目编号：青海凌星公招（服务）</w:t>
      </w:r>
      <w:r>
        <w:rPr>
          <w:rFonts w:hint="eastAsia" w:ascii="宋体" w:hAnsi="宋体" w:cs="宋体"/>
          <w:b/>
          <w:bCs/>
          <w:color w:val="000000"/>
          <w:kern w:val="0"/>
          <w:sz w:val="36"/>
          <w:szCs w:val="36"/>
          <w:lang w:val="zh-CN"/>
        </w:rPr>
        <w:t>2025-115</w:t>
      </w:r>
    </w:p>
    <w:p w14:paraId="142CFD94">
      <w:pPr>
        <w:autoSpaceDE w:val="0"/>
        <w:autoSpaceDN w:val="0"/>
        <w:adjustRightInd w:val="0"/>
        <w:spacing w:line="360" w:lineRule="auto"/>
        <w:ind w:left="2530" w:hanging="2530" w:hangingChars="700"/>
        <w:jc w:val="left"/>
        <w:rPr>
          <w:rFonts w:hint="eastAsia" w:ascii="宋体" w:hAnsi="宋体" w:eastAsia="宋体" w:cs="宋体"/>
          <w:b/>
          <w:bCs/>
          <w:sz w:val="36"/>
          <w:szCs w:val="36"/>
          <w:lang w:eastAsia="zh-CN"/>
        </w:rPr>
      </w:pPr>
      <w:r>
        <w:rPr>
          <w:rFonts w:hint="eastAsia" w:ascii="宋体" w:hAnsi="宋体" w:eastAsia="宋体" w:cs="宋体"/>
          <w:b/>
          <w:bCs/>
          <w:color w:val="000000"/>
          <w:kern w:val="0"/>
          <w:sz w:val="36"/>
          <w:szCs w:val="36"/>
          <w:lang w:val="zh-CN"/>
        </w:rPr>
        <w:t>采购项目名称：</w:t>
      </w:r>
      <w:r>
        <w:rPr>
          <w:rFonts w:hint="eastAsia" w:ascii="宋体" w:hAnsi="宋体" w:cs="宋体"/>
          <w:b/>
          <w:bCs/>
          <w:sz w:val="36"/>
          <w:szCs w:val="36"/>
          <w:highlight w:val="none"/>
          <w:lang w:eastAsia="zh-CN"/>
        </w:rPr>
        <w:t>城中区区属学校数字化建设项目（平台服务类）</w:t>
      </w:r>
    </w:p>
    <w:p w14:paraId="362D5086">
      <w:pPr>
        <w:autoSpaceDE w:val="0"/>
        <w:autoSpaceDN w:val="0"/>
        <w:adjustRightInd w:val="0"/>
        <w:spacing w:line="360" w:lineRule="auto"/>
        <w:ind w:left="2530" w:hanging="2530" w:hangingChars="700"/>
        <w:jc w:val="left"/>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采    购  人：</w:t>
      </w:r>
      <w:r>
        <w:rPr>
          <w:rFonts w:hint="eastAsia" w:ascii="宋体" w:hAnsi="宋体" w:cs="宋体"/>
          <w:b/>
          <w:bCs/>
          <w:color w:val="000000"/>
          <w:kern w:val="0"/>
          <w:sz w:val="36"/>
          <w:szCs w:val="36"/>
          <w:lang w:eastAsia="zh-CN"/>
        </w:rPr>
        <w:t>西宁市城中区教育局</w:t>
      </w:r>
      <w:r>
        <w:rPr>
          <w:rFonts w:hint="eastAsia" w:ascii="宋体" w:hAnsi="宋体" w:eastAsia="宋体" w:cs="宋体"/>
          <w:b/>
          <w:bCs/>
          <w:color w:val="000000"/>
          <w:kern w:val="0"/>
          <w:sz w:val="36"/>
          <w:szCs w:val="36"/>
        </w:rPr>
        <w:t xml:space="preserve">    </w:t>
      </w:r>
    </w:p>
    <w:p w14:paraId="37A8C0F8">
      <w:pPr>
        <w:autoSpaceDE w:val="0"/>
        <w:autoSpaceDN w:val="0"/>
        <w:adjustRightInd w:val="0"/>
        <w:spacing w:line="360" w:lineRule="auto"/>
        <w:rPr>
          <w:rFonts w:hint="eastAsia" w:ascii="宋体" w:hAnsi="宋体" w:eastAsia="宋体" w:cs="宋体"/>
          <w:b/>
          <w:bCs/>
          <w:color w:val="000000"/>
          <w:kern w:val="0"/>
          <w:sz w:val="28"/>
          <w:szCs w:val="28"/>
          <w:u w:val="single"/>
          <w:lang w:val="zh-CN"/>
        </w:rPr>
      </w:pPr>
      <w:r>
        <w:rPr>
          <w:rFonts w:hint="eastAsia" w:ascii="宋体" w:hAnsi="宋体" w:eastAsia="宋体" w:cs="宋体"/>
          <w:b/>
          <w:bCs/>
          <w:color w:val="000000"/>
          <w:kern w:val="0"/>
          <w:sz w:val="36"/>
          <w:szCs w:val="36"/>
          <w:lang w:val="zh-CN"/>
        </w:rPr>
        <w:t>采购代理机构：青海凌星项目管理有限公司</w:t>
      </w:r>
    </w:p>
    <w:p w14:paraId="4B40C57E">
      <w:pPr>
        <w:autoSpaceDE w:val="0"/>
        <w:autoSpaceDN w:val="0"/>
        <w:adjustRightInd w:val="0"/>
        <w:spacing w:line="360" w:lineRule="auto"/>
        <w:jc w:val="center"/>
        <w:rPr>
          <w:rFonts w:hint="eastAsia" w:ascii="宋体" w:hAnsi="宋体" w:eastAsia="宋体" w:cs="宋体"/>
          <w:b/>
          <w:bCs/>
          <w:color w:val="000000"/>
          <w:kern w:val="0"/>
          <w:sz w:val="32"/>
          <w:szCs w:val="32"/>
          <w:lang w:val="zh-CN"/>
        </w:rPr>
      </w:pPr>
    </w:p>
    <w:p w14:paraId="6EC35B08">
      <w:pPr>
        <w:autoSpaceDE w:val="0"/>
        <w:autoSpaceDN w:val="0"/>
        <w:adjustRightInd w:val="0"/>
        <w:spacing w:line="360" w:lineRule="auto"/>
        <w:jc w:val="center"/>
        <w:rPr>
          <w:rFonts w:hint="eastAsia" w:ascii="宋体" w:hAnsi="宋体" w:eastAsia="宋体" w:cs="宋体"/>
          <w:b/>
          <w:bCs/>
          <w:color w:val="000000"/>
          <w:kern w:val="0"/>
          <w:sz w:val="32"/>
          <w:szCs w:val="32"/>
          <w:lang w:val="zh-CN"/>
        </w:rPr>
      </w:pPr>
    </w:p>
    <w:p w14:paraId="346D5215">
      <w:pPr>
        <w:autoSpaceDE w:val="0"/>
        <w:autoSpaceDN w:val="0"/>
        <w:adjustRightInd w:val="0"/>
        <w:spacing w:line="360" w:lineRule="auto"/>
        <w:jc w:val="center"/>
        <w:rPr>
          <w:rFonts w:hint="eastAsia" w:ascii="宋体" w:hAnsi="宋体" w:eastAsia="宋体" w:cs="宋体"/>
          <w:b/>
          <w:bCs/>
          <w:color w:val="000000"/>
          <w:kern w:val="0"/>
          <w:sz w:val="32"/>
          <w:szCs w:val="32"/>
          <w:lang w:val="zh-CN"/>
        </w:rPr>
      </w:pPr>
    </w:p>
    <w:p w14:paraId="01BA55B0">
      <w:pPr>
        <w:autoSpaceDE w:val="0"/>
        <w:autoSpaceDN w:val="0"/>
        <w:adjustRightInd w:val="0"/>
        <w:spacing w:line="360" w:lineRule="auto"/>
        <w:jc w:val="center"/>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en-US" w:eastAsia="zh-CN"/>
        </w:rPr>
        <w:t>202</w:t>
      </w:r>
      <w:r>
        <w:rPr>
          <w:rFonts w:hint="eastAsia" w:ascii="宋体" w:hAnsi="宋体" w:cs="宋体"/>
          <w:b/>
          <w:bCs/>
          <w:color w:val="000000"/>
          <w:kern w:val="0"/>
          <w:sz w:val="32"/>
          <w:szCs w:val="32"/>
          <w:lang w:val="en-US" w:eastAsia="zh-CN"/>
        </w:rPr>
        <w:t>5</w:t>
      </w:r>
      <w:r>
        <w:rPr>
          <w:rFonts w:hint="eastAsia" w:ascii="宋体" w:hAnsi="宋体" w:eastAsia="宋体" w:cs="宋体"/>
          <w:b/>
          <w:bCs/>
          <w:color w:val="000000"/>
          <w:kern w:val="0"/>
          <w:sz w:val="32"/>
          <w:szCs w:val="32"/>
          <w:lang w:val="zh-CN"/>
        </w:rPr>
        <w:t>年</w:t>
      </w:r>
      <w:r>
        <w:rPr>
          <w:rFonts w:hint="eastAsia" w:ascii="宋体" w:hAnsi="宋体" w:eastAsia="宋体" w:cs="宋体"/>
          <w:b/>
          <w:bCs/>
          <w:color w:val="000000"/>
          <w:kern w:val="0"/>
          <w:sz w:val="32"/>
          <w:szCs w:val="32"/>
          <w:lang w:val="en-US" w:eastAsia="zh-CN"/>
        </w:rPr>
        <w:t>0</w:t>
      </w:r>
      <w:r>
        <w:rPr>
          <w:rFonts w:hint="eastAsia" w:ascii="宋体" w:hAnsi="宋体" w:cs="宋体"/>
          <w:b/>
          <w:bCs/>
          <w:color w:val="000000"/>
          <w:kern w:val="0"/>
          <w:sz w:val="32"/>
          <w:szCs w:val="32"/>
          <w:lang w:val="en-US" w:eastAsia="zh-CN"/>
        </w:rPr>
        <w:t>6</w:t>
      </w:r>
      <w:r>
        <w:rPr>
          <w:rFonts w:hint="eastAsia" w:ascii="宋体" w:hAnsi="宋体" w:eastAsia="宋体" w:cs="宋体"/>
          <w:b/>
          <w:bCs/>
          <w:color w:val="000000"/>
          <w:kern w:val="0"/>
          <w:sz w:val="32"/>
          <w:szCs w:val="32"/>
          <w:lang w:val="zh-CN"/>
        </w:rPr>
        <w:t>月</w:t>
      </w:r>
    </w:p>
    <w:p w14:paraId="47C6D305">
      <w:pPr>
        <w:pStyle w:val="19"/>
        <w:rPr>
          <w:rFonts w:hint="eastAsia" w:ascii="宋体" w:hAnsi="宋体" w:eastAsia="宋体" w:cs="宋体"/>
          <w:b/>
          <w:bCs/>
          <w:color w:val="000000"/>
          <w:kern w:val="0"/>
          <w:sz w:val="32"/>
          <w:szCs w:val="32"/>
          <w:lang w:val="zh-CN"/>
        </w:rPr>
      </w:pPr>
    </w:p>
    <w:p w14:paraId="57F8AB34">
      <w:pPr>
        <w:pStyle w:val="19"/>
        <w:rPr>
          <w:rFonts w:hint="eastAsia" w:ascii="宋体" w:hAnsi="宋体" w:eastAsia="宋体" w:cs="宋体"/>
          <w:b/>
          <w:bCs/>
          <w:color w:val="000000"/>
          <w:kern w:val="0"/>
          <w:sz w:val="32"/>
          <w:szCs w:val="32"/>
          <w:lang w:val="zh-CN"/>
        </w:rPr>
      </w:pPr>
    </w:p>
    <w:p w14:paraId="6FAB91FA">
      <w:pPr>
        <w:pStyle w:val="19"/>
        <w:rPr>
          <w:rFonts w:hint="eastAsia" w:ascii="宋体" w:hAnsi="宋体" w:eastAsia="宋体" w:cs="宋体"/>
          <w:b/>
          <w:bCs/>
          <w:color w:val="000000"/>
          <w:kern w:val="0"/>
          <w:sz w:val="32"/>
          <w:szCs w:val="32"/>
          <w:lang w:val="zh-CN"/>
        </w:rPr>
      </w:pPr>
    </w:p>
    <w:p w14:paraId="58F83D7E">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14:paraId="5EAE4940">
      <w:pPr>
        <w:pStyle w:val="15"/>
        <w:tabs>
          <w:tab w:val="right" w:leader="dot" w:pos="8243"/>
        </w:tabs>
      </w:pPr>
      <w:r>
        <w:rPr>
          <w:rFonts w:ascii="宋体" w:hAnsi="宋体" w:cs="宋体"/>
          <w:color w:val="000000"/>
        </w:rPr>
        <w:fldChar w:fldCharType="begin"/>
      </w:r>
      <w:r>
        <w:rPr>
          <w:rFonts w:ascii="宋体" w:hAnsi="宋体" w:cs="宋体"/>
          <w:color w:val="000000"/>
        </w:rPr>
        <w:instrText xml:space="preserve">TOC \o "1-3" \h \u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rPr>
        <w:instrText xml:space="preserve"> HYPERLINK \l _Toc20765 </w:instrText>
      </w:r>
      <w:r>
        <w:rPr>
          <w:rFonts w:ascii="宋体" w:hAnsi="宋体" w:cs="宋体"/>
        </w:rPr>
        <w:fldChar w:fldCharType="separate"/>
      </w:r>
      <w:r>
        <w:rPr>
          <w:rFonts w:hint="eastAsia" w:ascii="宋体" w:hAnsi="宋体" w:cs="宋体"/>
          <w:szCs w:val="36"/>
          <w:lang w:val="zh-CN"/>
        </w:rPr>
        <w:t>第一部分  投标邀请</w:t>
      </w:r>
      <w:r>
        <w:tab/>
      </w:r>
      <w:r>
        <w:fldChar w:fldCharType="begin"/>
      </w:r>
      <w:r>
        <w:instrText xml:space="preserve"> PAGEREF _Toc20765 \h </w:instrText>
      </w:r>
      <w:r>
        <w:fldChar w:fldCharType="separate"/>
      </w:r>
      <w:r>
        <w:t>5</w:t>
      </w:r>
      <w:r>
        <w:fldChar w:fldCharType="end"/>
      </w:r>
      <w:r>
        <w:rPr>
          <w:rFonts w:ascii="宋体" w:hAnsi="宋体" w:cs="宋体"/>
          <w:color w:val="000000"/>
        </w:rPr>
        <w:fldChar w:fldCharType="end"/>
      </w:r>
    </w:p>
    <w:p w14:paraId="682F2EB2">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_Toc27524 </w:instrText>
      </w:r>
      <w:r>
        <w:rPr>
          <w:rFonts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_Toc27524 \h </w:instrText>
      </w:r>
      <w:r>
        <w:fldChar w:fldCharType="separate"/>
      </w:r>
      <w:r>
        <w:t>8</w:t>
      </w:r>
      <w:r>
        <w:fldChar w:fldCharType="end"/>
      </w:r>
      <w:r>
        <w:rPr>
          <w:rFonts w:ascii="宋体" w:hAnsi="宋体" w:cs="宋体"/>
          <w:color w:val="000000"/>
        </w:rPr>
        <w:fldChar w:fldCharType="end"/>
      </w:r>
    </w:p>
    <w:p w14:paraId="72560676">
      <w:pPr>
        <w:pStyle w:val="15"/>
        <w:tabs>
          <w:tab w:val="right" w:leader="dot" w:pos="8243"/>
        </w:tabs>
      </w:pPr>
      <w:r>
        <w:rPr>
          <w:rFonts w:ascii="宋体" w:hAnsi="宋体" w:cs="宋体"/>
          <w:color w:val="000000"/>
        </w:rPr>
        <w:fldChar w:fldCharType="begin"/>
      </w:r>
      <w:r>
        <w:rPr>
          <w:rFonts w:ascii="宋体" w:hAnsi="宋体" w:cs="宋体"/>
        </w:rPr>
        <w:instrText xml:space="preserve"> HYPERLINK \l _Toc6152 </w:instrText>
      </w:r>
      <w:r>
        <w:rPr>
          <w:rFonts w:ascii="宋体" w:hAnsi="宋体" w:cs="宋体"/>
        </w:rPr>
        <w:fldChar w:fldCharType="separate"/>
      </w:r>
      <w:r>
        <w:rPr>
          <w:rFonts w:hint="eastAsia" w:ascii="宋体" w:hAnsi="宋体" w:cs="宋体"/>
          <w:lang w:val="zh-CN"/>
        </w:rPr>
        <w:t>一、说明</w:t>
      </w:r>
      <w:r>
        <w:tab/>
      </w:r>
      <w:r>
        <w:fldChar w:fldCharType="begin"/>
      </w:r>
      <w:r>
        <w:instrText xml:space="preserve"> PAGEREF _Toc6152 \h </w:instrText>
      </w:r>
      <w:r>
        <w:fldChar w:fldCharType="separate"/>
      </w:r>
      <w:r>
        <w:t>8</w:t>
      </w:r>
      <w:r>
        <w:fldChar w:fldCharType="end"/>
      </w:r>
      <w:r>
        <w:rPr>
          <w:rFonts w:ascii="宋体" w:hAnsi="宋体" w:cs="宋体"/>
          <w:color w:val="000000"/>
        </w:rPr>
        <w:fldChar w:fldCharType="end"/>
      </w:r>
    </w:p>
    <w:p w14:paraId="1C98FC1E">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_Toc10504 </w:instrText>
      </w:r>
      <w:r>
        <w:rPr>
          <w:rFonts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_Toc10504 \h </w:instrText>
      </w:r>
      <w:r>
        <w:fldChar w:fldCharType="separate"/>
      </w:r>
      <w:r>
        <w:t>8</w:t>
      </w:r>
      <w:r>
        <w:fldChar w:fldCharType="end"/>
      </w:r>
      <w:r>
        <w:rPr>
          <w:rFonts w:ascii="宋体" w:hAnsi="宋体" w:cs="宋体"/>
          <w:color w:val="000000"/>
        </w:rPr>
        <w:fldChar w:fldCharType="end"/>
      </w:r>
    </w:p>
    <w:p w14:paraId="2C550D7E">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_Toc21843 </w:instrText>
      </w:r>
      <w:r>
        <w:rPr>
          <w:rFonts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_Toc21843 \h </w:instrText>
      </w:r>
      <w:r>
        <w:fldChar w:fldCharType="separate"/>
      </w:r>
      <w:r>
        <w:t>8</w:t>
      </w:r>
      <w:r>
        <w:fldChar w:fldCharType="end"/>
      </w:r>
      <w:r>
        <w:rPr>
          <w:rFonts w:ascii="宋体" w:hAnsi="宋体" w:cs="宋体"/>
          <w:color w:val="000000"/>
        </w:rPr>
        <w:fldChar w:fldCharType="end"/>
      </w:r>
    </w:p>
    <w:p w14:paraId="3CB74DBD">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_Toc2494 </w:instrText>
      </w:r>
      <w:r>
        <w:rPr>
          <w:rFonts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_Toc2494 \h </w:instrText>
      </w:r>
      <w:r>
        <w:fldChar w:fldCharType="separate"/>
      </w:r>
      <w:r>
        <w:t>8</w:t>
      </w:r>
      <w:r>
        <w:fldChar w:fldCharType="end"/>
      </w:r>
      <w:r>
        <w:rPr>
          <w:rFonts w:ascii="宋体" w:hAnsi="宋体" w:cs="宋体"/>
          <w:color w:val="000000"/>
        </w:rPr>
        <w:fldChar w:fldCharType="end"/>
      </w:r>
    </w:p>
    <w:p w14:paraId="44D80C0F">
      <w:pPr>
        <w:pStyle w:val="15"/>
        <w:tabs>
          <w:tab w:val="right" w:leader="dot" w:pos="8243"/>
        </w:tabs>
      </w:pPr>
      <w:r>
        <w:rPr>
          <w:rFonts w:ascii="宋体" w:hAnsi="宋体" w:cs="宋体"/>
          <w:color w:val="000000"/>
        </w:rPr>
        <w:fldChar w:fldCharType="begin"/>
      </w:r>
      <w:r>
        <w:rPr>
          <w:rFonts w:ascii="宋体" w:hAnsi="宋体" w:cs="宋体"/>
        </w:rPr>
        <w:instrText xml:space="preserve"> HYPERLINK \l _Toc31496 </w:instrText>
      </w:r>
      <w:r>
        <w:rPr>
          <w:rFonts w:ascii="宋体" w:hAnsi="宋体" w:cs="宋体"/>
        </w:rPr>
        <w:fldChar w:fldCharType="separate"/>
      </w:r>
      <w:r>
        <w:rPr>
          <w:rFonts w:hint="eastAsia" w:ascii="宋体" w:hAnsi="宋体" w:cs="宋体"/>
          <w:lang w:val="zh-CN"/>
        </w:rPr>
        <w:t>二、招标文件说明</w:t>
      </w:r>
      <w:r>
        <w:tab/>
      </w:r>
      <w:r>
        <w:fldChar w:fldCharType="begin"/>
      </w:r>
      <w:r>
        <w:instrText xml:space="preserve"> PAGEREF _Toc31496 \h </w:instrText>
      </w:r>
      <w:r>
        <w:fldChar w:fldCharType="separate"/>
      </w:r>
      <w:r>
        <w:t>8</w:t>
      </w:r>
      <w:r>
        <w:fldChar w:fldCharType="end"/>
      </w:r>
      <w:r>
        <w:rPr>
          <w:rFonts w:ascii="宋体" w:hAnsi="宋体" w:cs="宋体"/>
          <w:color w:val="000000"/>
        </w:rPr>
        <w:fldChar w:fldCharType="end"/>
      </w:r>
    </w:p>
    <w:p w14:paraId="581FC481">
      <w:pPr>
        <w:pStyle w:val="15"/>
        <w:tabs>
          <w:tab w:val="right" w:leader="dot" w:pos="8243"/>
        </w:tabs>
      </w:pPr>
      <w:r>
        <w:rPr>
          <w:rFonts w:ascii="宋体" w:hAnsi="宋体" w:cs="宋体"/>
          <w:color w:val="000000"/>
        </w:rPr>
        <w:fldChar w:fldCharType="begin"/>
      </w:r>
      <w:r>
        <w:rPr>
          <w:rFonts w:ascii="宋体" w:hAnsi="宋体" w:cs="宋体"/>
        </w:rPr>
        <w:instrText xml:space="preserve"> HYPERLINK \l _Toc3125 </w:instrText>
      </w:r>
      <w:r>
        <w:rPr>
          <w:rFonts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_Toc3125 \h </w:instrText>
      </w:r>
      <w:r>
        <w:fldChar w:fldCharType="separate"/>
      </w:r>
      <w:r>
        <w:t>8</w:t>
      </w:r>
      <w:r>
        <w:fldChar w:fldCharType="end"/>
      </w:r>
      <w:r>
        <w:rPr>
          <w:rFonts w:ascii="宋体" w:hAnsi="宋体" w:cs="宋体"/>
          <w:color w:val="000000"/>
        </w:rPr>
        <w:fldChar w:fldCharType="end"/>
      </w:r>
    </w:p>
    <w:p w14:paraId="5B9E533A">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_Toc14206 </w:instrText>
      </w:r>
      <w:r>
        <w:rPr>
          <w:rFonts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_Toc14206 \h </w:instrText>
      </w:r>
      <w:r>
        <w:fldChar w:fldCharType="separate"/>
      </w:r>
      <w:r>
        <w:t>8</w:t>
      </w:r>
      <w:r>
        <w:fldChar w:fldCharType="end"/>
      </w:r>
      <w:r>
        <w:rPr>
          <w:rFonts w:ascii="宋体" w:hAnsi="宋体" w:cs="宋体"/>
          <w:color w:val="000000"/>
        </w:rPr>
        <w:fldChar w:fldCharType="end"/>
      </w:r>
    </w:p>
    <w:p w14:paraId="0876D7BA">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_Toc12132 </w:instrText>
      </w:r>
      <w:r>
        <w:rPr>
          <w:rFonts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_Toc12132 \h </w:instrText>
      </w:r>
      <w:r>
        <w:fldChar w:fldCharType="separate"/>
      </w:r>
      <w:r>
        <w:t>9</w:t>
      </w:r>
      <w:r>
        <w:fldChar w:fldCharType="end"/>
      </w:r>
      <w:r>
        <w:rPr>
          <w:rFonts w:ascii="宋体" w:hAnsi="宋体" w:cs="宋体"/>
          <w:color w:val="000000"/>
        </w:rPr>
        <w:fldChar w:fldCharType="end"/>
      </w:r>
    </w:p>
    <w:p w14:paraId="0713BF92">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_Toc22496 </w:instrText>
      </w:r>
      <w:r>
        <w:rPr>
          <w:rFonts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_Toc22496 \h </w:instrText>
      </w:r>
      <w:r>
        <w:fldChar w:fldCharType="separate"/>
      </w:r>
      <w:r>
        <w:t>9</w:t>
      </w:r>
      <w:r>
        <w:fldChar w:fldCharType="end"/>
      </w:r>
      <w:r>
        <w:rPr>
          <w:rFonts w:ascii="宋体" w:hAnsi="宋体" w:cs="宋体"/>
          <w:color w:val="000000"/>
        </w:rPr>
        <w:fldChar w:fldCharType="end"/>
      </w:r>
    </w:p>
    <w:p w14:paraId="10E78C23">
      <w:pPr>
        <w:pStyle w:val="15"/>
        <w:tabs>
          <w:tab w:val="right" w:leader="dot" w:pos="8243"/>
        </w:tabs>
      </w:pPr>
      <w:r>
        <w:rPr>
          <w:rFonts w:ascii="宋体" w:hAnsi="宋体" w:cs="宋体"/>
          <w:color w:val="000000"/>
        </w:rPr>
        <w:fldChar w:fldCharType="begin"/>
      </w:r>
      <w:r>
        <w:rPr>
          <w:rFonts w:ascii="宋体" w:hAnsi="宋体" w:cs="宋体"/>
        </w:rPr>
        <w:instrText xml:space="preserve"> HYPERLINK \l _Toc30097 </w:instrText>
      </w:r>
      <w:r>
        <w:rPr>
          <w:rFonts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_Toc30097 \h </w:instrText>
      </w:r>
      <w:r>
        <w:fldChar w:fldCharType="separate"/>
      </w:r>
      <w:r>
        <w:t>9</w:t>
      </w:r>
      <w:r>
        <w:fldChar w:fldCharType="end"/>
      </w:r>
      <w:r>
        <w:rPr>
          <w:rFonts w:ascii="宋体" w:hAnsi="宋体" w:cs="宋体"/>
          <w:color w:val="000000"/>
        </w:rPr>
        <w:fldChar w:fldCharType="end"/>
      </w:r>
    </w:p>
    <w:p w14:paraId="4A9BFE43">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_Toc16382 </w:instrText>
      </w:r>
      <w:r>
        <w:rPr>
          <w:rFonts w:ascii="宋体" w:hAnsi="宋体" w:cs="宋体"/>
        </w:rPr>
        <w:fldChar w:fldCharType="separate"/>
      </w:r>
      <w:r>
        <w:rPr>
          <w:rFonts w:hint="eastAsia" w:ascii="宋体" w:hAnsi="宋体" w:cs="宋体"/>
          <w:szCs w:val="28"/>
          <w:lang w:val="zh-CN"/>
        </w:rPr>
        <w:t>8.投标报价及币种</w:t>
      </w:r>
      <w:r>
        <w:rPr>
          <w:rFonts w:hint="eastAsia" w:ascii="宋体" w:hAnsi="宋体" w:cs="宋体"/>
          <w:szCs w:val="28"/>
        </w:rPr>
        <w:t>及</w:t>
      </w:r>
      <w:r>
        <w:rPr>
          <w:rFonts w:hint="eastAsia" w:ascii="宋体" w:hAnsi="宋体" w:cs="宋体"/>
          <w:szCs w:val="28"/>
          <w:lang w:val="zh-CN"/>
        </w:rPr>
        <w:t>投标有效期</w:t>
      </w:r>
      <w:r>
        <w:tab/>
      </w:r>
      <w:r>
        <w:fldChar w:fldCharType="begin"/>
      </w:r>
      <w:r>
        <w:instrText xml:space="preserve"> PAGEREF _Toc16382 \h </w:instrText>
      </w:r>
      <w:r>
        <w:fldChar w:fldCharType="separate"/>
      </w:r>
      <w:r>
        <w:t>9</w:t>
      </w:r>
      <w:r>
        <w:fldChar w:fldCharType="end"/>
      </w:r>
      <w:r>
        <w:rPr>
          <w:rFonts w:ascii="宋体" w:hAnsi="宋体" w:cs="宋体"/>
          <w:color w:val="000000"/>
        </w:rPr>
        <w:fldChar w:fldCharType="end"/>
      </w:r>
    </w:p>
    <w:p w14:paraId="1093ABB9">
      <w:pPr>
        <w:pStyle w:val="15"/>
        <w:tabs>
          <w:tab w:val="right" w:leader="dot" w:pos="8243"/>
        </w:tabs>
      </w:pPr>
      <w:r>
        <w:rPr>
          <w:rFonts w:ascii="宋体" w:hAnsi="宋体" w:cs="宋体"/>
          <w:color w:val="000000"/>
        </w:rPr>
        <w:fldChar w:fldCharType="begin"/>
      </w:r>
      <w:r>
        <w:rPr>
          <w:rFonts w:ascii="宋体" w:hAnsi="宋体" w:cs="宋体"/>
        </w:rPr>
        <w:instrText xml:space="preserve"> HYPERLINK \l _Toc31593 </w:instrText>
      </w:r>
      <w:r>
        <w:rPr>
          <w:rFonts w:ascii="宋体" w:hAnsi="宋体" w:cs="宋体"/>
        </w:rPr>
        <w:fldChar w:fldCharType="separate"/>
      </w:r>
      <w:r>
        <w:rPr>
          <w:rFonts w:hint="eastAsia" w:ascii="宋体" w:hAnsi="宋体" w:cs="宋体"/>
          <w:bCs/>
          <w:szCs w:val="28"/>
          <w:lang w:val="zh-CN"/>
        </w:rPr>
        <w:t>9.投标保证金</w:t>
      </w:r>
      <w:r>
        <w:tab/>
      </w:r>
      <w:r>
        <w:fldChar w:fldCharType="begin"/>
      </w:r>
      <w:r>
        <w:instrText xml:space="preserve"> PAGEREF _Toc31593 \h </w:instrText>
      </w:r>
      <w:r>
        <w:fldChar w:fldCharType="separate"/>
      </w:r>
      <w:r>
        <w:t>10</w:t>
      </w:r>
      <w:r>
        <w:fldChar w:fldCharType="end"/>
      </w:r>
      <w:r>
        <w:rPr>
          <w:rFonts w:ascii="宋体" w:hAnsi="宋体" w:cs="宋体"/>
          <w:color w:val="000000"/>
        </w:rPr>
        <w:fldChar w:fldCharType="end"/>
      </w:r>
    </w:p>
    <w:p w14:paraId="7D0297A9">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_Toc10629 </w:instrText>
      </w:r>
      <w:r>
        <w:rPr>
          <w:rFonts w:ascii="宋体" w:hAnsi="宋体" w:cs="宋体"/>
        </w:rPr>
        <w:fldChar w:fldCharType="separate"/>
      </w:r>
      <w:r>
        <w:rPr>
          <w:rFonts w:hint="eastAsia" w:ascii="宋体" w:hAnsi="宋体" w:cs="宋体"/>
          <w:szCs w:val="28"/>
          <w:lang w:val="zh-CN"/>
        </w:rPr>
        <w:t>10.投标文件构成</w:t>
      </w:r>
      <w:r>
        <w:tab/>
      </w:r>
      <w:r>
        <w:fldChar w:fldCharType="begin"/>
      </w:r>
      <w:r>
        <w:instrText xml:space="preserve"> PAGEREF _Toc10629 \h </w:instrText>
      </w:r>
      <w:r>
        <w:fldChar w:fldCharType="separate"/>
      </w:r>
      <w:r>
        <w:t>11</w:t>
      </w:r>
      <w:r>
        <w:fldChar w:fldCharType="end"/>
      </w:r>
      <w:r>
        <w:rPr>
          <w:rFonts w:ascii="宋体" w:hAnsi="宋体" w:cs="宋体"/>
          <w:color w:val="000000"/>
        </w:rPr>
        <w:fldChar w:fldCharType="end"/>
      </w:r>
    </w:p>
    <w:p w14:paraId="04767E70">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_Toc11469 </w:instrText>
      </w:r>
      <w:r>
        <w:rPr>
          <w:rFonts w:ascii="宋体" w:hAnsi="宋体" w:cs="宋体"/>
        </w:rPr>
        <w:fldChar w:fldCharType="separate"/>
      </w:r>
      <w:r>
        <w:rPr>
          <w:rFonts w:hint="eastAsia" w:ascii="宋体" w:hAnsi="宋体" w:cs="宋体"/>
          <w:szCs w:val="28"/>
          <w:lang w:val="zh-CN"/>
        </w:rPr>
        <w:t>11.投标文件的编制要求</w:t>
      </w:r>
      <w:r>
        <w:tab/>
      </w:r>
      <w:r>
        <w:fldChar w:fldCharType="begin"/>
      </w:r>
      <w:r>
        <w:instrText xml:space="preserve"> PAGEREF _Toc11469 \h </w:instrText>
      </w:r>
      <w:r>
        <w:fldChar w:fldCharType="separate"/>
      </w:r>
      <w:r>
        <w:t>11</w:t>
      </w:r>
      <w:r>
        <w:fldChar w:fldCharType="end"/>
      </w:r>
      <w:r>
        <w:rPr>
          <w:rFonts w:ascii="宋体" w:hAnsi="宋体" w:cs="宋体"/>
          <w:color w:val="000000"/>
        </w:rPr>
        <w:fldChar w:fldCharType="end"/>
      </w:r>
    </w:p>
    <w:p w14:paraId="0607BCC4">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_Toc11791 </w:instrText>
      </w:r>
      <w:r>
        <w:rPr>
          <w:rFonts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_Toc11791 \h </w:instrText>
      </w:r>
      <w:r>
        <w:fldChar w:fldCharType="separate"/>
      </w:r>
      <w:r>
        <w:t>12</w:t>
      </w:r>
      <w:r>
        <w:fldChar w:fldCharType="end"/>
      </w:r>
      <w:r>
        <w:rPr>
          <w:rFonts w:ascii="宋体" w:hAnsi="宋体" w:cs="宋体"/>
          <w:color w:val="000000"/>
        </w:rPr>
        <w:fldChar w:fldCharType="end"/>
      </w:r>
    </w:p>
    <w:p w14:paraId="7D6AE089">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_Toc11560 </w:instrText>
      </w:r>
      <w:r>
        <w:rPr>
          <w:rFonts w:ascii="宋体" w:hAnsi="宋体" w:cs="宋体"/>
        </w:rPr>
        <w:fldChar w:fldCharType="separate"/>
      </w:r>
      <w:r>
        <w:rPr>
          <w:rFonts w:hint="eastAsia" w:ascii="宋体" w:hAnsi="宋体" w:cs="宋体"/>
          <w:szCs w:val="28"/>
          <w:lang w:val="zh-CN"/>
        </w:rPr>
        <w:t>12. 电子投标文件的上传</w:t>
      </w:r>
      <w:r>
        <w:tab/>
      </w:r>
      <w:r>
        <w:fldChar w:fldCharType="begin"/>
      </w:r>
      <w:r>
        <w:instrText xml:space="preserve"> PAGEREF _Toc11560 \h </w:instrText>
      </w:r>
      <w:r>
        <w:fldChar w:fldCharType="separate"/>
      </w:r>
      <w:r>
        <w:t>12</w:t>
      </w:r>
      <w:r>
        <w:fldChar w:fldCharType="end"/>
      </w:r>
      <w:r>
        <w:rPr>
          <w:rFonts w:ascii="宋体" w:hAnsi="宋体" w:cs="宋体"/>
          <w:color w:val="000000"/>
        </w:rPr>
        <w:fldChar w:fldCharType="end"/>
      </w:r>
    </w:p>
    <w:p w14:paraId="0A41B2A7">
      <w:pPr>
        <w:pStyle w:val="15"/>
        <w:tabs>
          <w:tab w:val="right" w:leader="dot" w:pos="8243"/>
        </w:tabs>
      </w:pPr>
      <w:r>
        <w:rPr>
          <w:rFonts w:ascii="宋体" w:hAnsi="宋体" w:cs="宋体"/>
          <w:color w:val="000000"/>
        </w:rPr>
        <w:fldChar w:fldCharType="begin"/>
      </w:r>
      <w:r>
        <w:rPr>
          <w:rFonts w:ascii="宋体" w:hAnsi="宋体" w:cs="宋体"/>
        </w:rPr>
        <w:instrText xml:space="preserve"> HYPERLINK \l _Toc30533 </w:instrText>
      </w:r>
      <w:r>
        <w:rPr>
          <w:rFonts w:ascii="宋体" w:hAnsi="宋体" w:cs="宋体"/>
        </w:rPr>
        <w:fldChar w:fldCharType="separate"/>
      </w:r>
      <w:r>
        <w:rPr>
          <w:rFonts w:hint="eastAsia" w:ascii="宋体" w:hAnsi="宋体" w:cs="宋体"/>
          <w:szCs w:val="28"/>
          <w:lang w:val="zh-CN"/>
        </w:rPr>
        <w:t>13.提交投标文件的时间、地点、方式</w:t>
      </w:r>
      <w:r>
        <w:tab/>
      </w:r>
      <w:r>
        <w:fldChar w:fldCharType="begin"/>
      </w:r>
      <w:r>
        <w:instrText xml:space="preserve"> PAGEREF _Toc30533 \h </w:instrText>
      </w:r>
      <w:r>
        <w:fldChar w:fldCharType="separate"/>
      </w:r>
      <w:r>
        <w:t>12</w:t>
      </w:r>
      <w:r>
        <w:fldChar w:fldCharType="end"/>
      </w:r>
      <w:r>
        <w:rPr>
          <w:rFonts w:ascii="宋体" w:hAnsi="宋体" w:cs="宋体"/>
          <w:color w:val="000000"/>
        </w:rPr>
        <w:fldChar w:fldCharType="end"/>
      </w:r>
    </w:p>
    <w:p w14:paraId="5A47D45C">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_Toc16621 </w:instrText>
      </w:r>
      <w:r>
        <w:rPr>
          <w:rFonts w:ascii="宋体" w:hAnsi="宋体" w:cs="宋体"/>
        </w:rPr>
        <w:fldChar w:fldCharType="separate"/>
      </w:r>
      <w:r>
        <w:rPr>
          <w:rFonts w:hint="eastAsia" w:ascii="宋体" w:hAnsi="宋体" w:cs="宋体"/>
          <w:szCs w:val="28"/>
          <w:lang w:val="zh-CN"/>
        </w:rPr>
        <w:t>14.投标文件的补充、修改或者撤回</w:t>
      </w:r>
      <w:r>
        <w:tab/>
      </w:r>
      <w:r>
        <w:fldChar w:fldCharType="begin"/>
      </w:r>
      <w:r>
        <w:instrText xml:space="preserve"> PAGEREF _Toc16621 \h </w:instrText>
      </w:r>
      <w:r>
        <w:fldChar w:fldCharType="separate"/>
      </w:r>
      <w:r>
        <w:t>12</w:t>
      </w:r>
      <w:r>
        <w:fldChar w:fldCharType="end"/>
      </w:r>
      <w:r>
        <w:rPr>
          <w:rFonts w:ascii="宋体" w:hAnsi="宋体" w:cs="宋体"/>
          <w:color w:val="000000"/>
        </w:rPr>
        <w:fldChar w:fldCharType="end"/>
      </w:r>
    </w:p>
    <w:p w14:paraId="5B2E4F5A">
      <w:pPr>
        <w:pStyle w:val="15"/>
        <w:tabs>
          <w:tab w:val="right" w:leader="dot" w:pos="8243"/>
        </w:tabs>
      </w:pPr>
      <w:r>
        <w:rPr>
          <w:rFonts w:ascii="宋体" w:hAnsi="宋体" w:cs="宋体"/>
          <w:color w:val="000000"/>
        </w:rPr>
        <w:fldChar w:fldCharType="begin"/>
      </w:r>
      <w:r>
        <w:rPr>
          <w:rFonts w:ascii="宋体" w:hAnsi="宋体" w:cs="宋体"/>
        </w:rPr>
        <w:instrText xml:space="preserve"> HYPERLINK \l _Toc6395 </w:instrText>
      </w:r>
      <w:r>
        <w:rPr>
          <w:rFonts w:ascii="宋体" w:hAnsi="宋体" w:cs="宋体"/>
        </w:rPr>
        <w:fldChar w:fldCharType="separate"/>
      </w:r>
      <w:r>
        <w:rPr>
          <w:rFonts w:hint="eastAsia" w:ascii="宋体" w:hAnsi="宋体" w:cs="宋体"/>
          <w:lang w:val="zh-CN"/>
        </w:rPr>
        <w:t>五、开标</w:t>
      </w:r>
      <w:r>
        <w:tab/>
      </w:r>
      <w:r>
        <w:fldChar w:fldCharType="begin"/>
      </w:r>
      <w:r>
        <w:instrText xml:space="preserve"> PAGEREF _Toc6395 \h </w:instrText>
      </w:r>
      <w:r>
        <w:fldChar w:fldCharType="separate"/>
      </w:r>
      <w:r>
        <w:t>12</w:t>
      </w:r>
      <w:r>
        <w:fldChar w:fldCharType="end"/>
      </w:r>
      <w:r>
        <w:rPr>
          <w:rFonts w:ascii="宋体" w:hAnsi="宋体" w:cs="宋体"/>
          <w:color w:val="000000"/>
        </w:rPr>
        <w:fldChar w:fldCharType="end"/>
      </w:r>
    </w:p>
    <w:p w14:paraId="600A7ABC">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_Toc22574 </w:instrText>
      </w:r>
      <w:r>
        <w:rPr>
          <w:rFonts w:ascii="宋体" w:hAnsi="宋体" w:cs="宋体"/>
        </w:rPr>
        <w:fldChar w:fldCharType="separate"/>
      </w:r>
      <w:r>
        <w:rPr>
          <w:rFonts w:hint="eastAsia" w:ascii="宋体" w:hAnsi="宋体" w:cs="宋体"/>
          <w:szCs w:val="28"/>
          <w:lang w:val="zh-CN"/>
        </w:rPr>
        <w:t>15.开标</w:t>
      </w:r>
      <w:r>
        <w:tab/>
      </w:r>
      <w:r>
        <w:fldChar w:fldCharType="begin"/>
      </w:r>
      <w:r>
        <w:instrText xml:space="preserve"> PAGEREF _Toc22574 \h </w:instrText>
      </w:r>
      <w:r>
        <w:fldChar w:fldCharType="separate"/>
      </w:r>
      <w:r>
        <w:t>13</w:t>
      </w:r>
      <w:r>
        <w:fldChar w:fldCharType="end"/>
      </w:r>
      <w:r>
        <w:rPr>
          <w:rFonts w:ascii="宋体" w:hAnsi="宋体" w:cs="宋体"/>
          <w:color w:val="000000"/>
        </w:rPr>
        <w:fldChar w:fldCharType="end"/>
      </w:r>
    </w:p>
    <w:p w14:paraId="4DF34DFE">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_Toc23613 </w:instrText>
      </w:r>
      <w:r>
        <w:rPr>
          <w:rFonts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_Toc23613 \h </w:instrText>
      </w:r>
      <w:r>
        <w:fldChar w:fldCharType="separate"/>
      </w:r>
      <w:r>
        <w:t>13</w:t>
      </w:r>
      <w:r>
        <w:fldChar w:fldCharType="end"/>
      </w:r>
      <w:r>
        <w:rPr>
          <w:rFonts w:ascii="宋体" w:hAnsi="宋体" w:cs="宋体"/>
          <w:color w:val="000000"/>
        </w:rPr>
        <w:fldChar w:fldCharType="end"/>
      </w:r>
    </w:p>
    <w:p w14:paraId="7E16A1C1">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_Toc19209 </w:instrText>
      </w:r>
      <w:r>
        <w:rPr>
          <w:rFonts w:ascii="宋体" w:hAnsi="宋体" w:cs="宋体"/>
        </w:rPr>
        <w:fldChar w:fldCharType="separate"/>
      </w:r>
      <w:r>
        <w:rPr>
          <w:rFonts w:hint="eastAsia" w:ascii="宋体" w:hAnsi="宋体" w:cs="宋体"/>
          <w:szCs w:val="28"/>
        </w:rPr>
        <w:t>16.资格审查</w:t>
      </w:r>
      <w:r>
        <w:tab/>
      </w:r>
      <w:r>
        <w:fldChar w:fldCharType="begin"/>
      </w:r>
      <w:r>
        <w:instrText xml:space="preserve"> PAGEREF _Toc19209 \h </w:instrText>
      </w:r>
      <w:r>
        <w:fldChar w:fldCharType="separate"/>
      </w:r>
      <w:r>
        <w:t>13</w:t>
      </w:r>
      <w:r>
        <w:fldChar w:fldCharType="end"/>
      </w:r>
      <w:r>
        <w:rPr>
          <w:rFonts w:ascii="宋体" w:hAnsi="宋体" w:cs="宋体"/>
          <w:color w:val="000000"/>
        </w:rPr>
        <w:fldChar w:fldCharType="end"/>
      </w:r>
    </w:p>
    <w:p w14:paraId="00A60135">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_Toc14417 </w:instrText>
      </w:r>
      <w:r>
        <w:rPr>
          <w:rFonts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_Toc14417 \h </w:instrText>
      </w:r>
      <w:r>
        <w:fldChar w:fldCharType="separate"/>
      </w:r>
      <w:r>
        <w:t>14</w:t>
      </w:r>
      <w:r>
        <w:fldChar w:fldCharType="end"/>
      </w:r>
      <w:r>
        <w:rPr>
          <w:rFonts w:ascii="宋体" w:hAnsi="宋体" w:cs="宋体"/>
          <w:color w:val="000000"/>
        </w:rPr>
        <w:fldChar w:fldCharType="end"/>
      </w:r>
    </w:p>
    <w:p w14:paraId="4B6D9C88">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_Toc18209 </w:instrText>
      </w:r>
      <w:r>
        <w:rPr>
          <w:rFonts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_Toc18209 \h </w:instrText>
      </w:r>
      <w:r>
        <w:fldChar w:fldCharType="separate"/>
      </w:r>
      <w:r>
        <w:t>14</w:t>
      </w:r>
      <w:r>
        <w:fldChar w:fldCharType="end"/>
      </w:r>
      <w:r>
        <w:rPr>
          <w:rFonts w:ascii="宋体" w:hAnsi="宋体" w:cs="宋体"/>
          <w:color w:val="000000"/>
        </w:rPr>
        <w:fldChar w:fldCharType="end"/>
      </w:r>
    </w:p>
    <w:p w14:paraId="47C749FB">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_Toc19368 </w:instrText>
      </w:r>
      <w:r>
        <w:rPr>
          <w:rFonts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_Toc19368 \h </w:instrText>
      </w:r>
      <w:r>
        <w:fldChar w:fldCharType="separate"/>
      </w:r>
      <w:r>
        <w:t>16</w:t>
      </w:r>
      <w:r>
        <w:fldChar w:fldCharType="end"/>
      </w:r>
      <w:r>
        <w:rPr>
          <w:rFonts w:ascii="宋体" w:hAnsi="宋体" w:cs="宋体"/>
          <w:color w:val="000000"/>
        </w:rPr>
        <w:fldChar w:fldCharType="end"/>
      </w:r>
    </w:p>
    <w:p w14:paraId="203E3DA2">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_Toc19551 </w:instrText>
      </w:r>
      <w:r>
        <w:rPr>
          <w:rFonts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_Toc19551 \h </w:instrText>
      </w:r>
      <w:r>
        <w:fldChar w:fldCharType="separate"/>
      </w:r>
      <w:r>
        <w:t>19</w:t>
      </w:r>
      <w:r>
        <w:fldChar w:fldCharType="end"/>
      </w:r>
      <w:r>
        <w:rPr>
          <w:rFonts w:ascii="宋体" w:hAnsi="宋体" w:cs="宋体"/>
          <w:color w:val="000000"/>
        </w:rPr>
        <w:fldChar w:fldCharType="end"/>
      </w:r>
    </w:p>
    <w:p w14:paraId="029B4D41">
      <w:pPr>
        <w:pStyle w:val="15"/>
        <w:tabs>
          <w:tab w:val="right" w:leader="dot" w:pos="8243"/>
        </w:tabs>
      </w:pPr>
      <w:r>
        <w:rPr>
          <w:rFonts w:ascii="宋体" w:hAnsi="宋体" w:cs="宋体"/>
          <w:color w:val="000000"/>
        </w:rPr>
        <w:fldChar w:fldCharType="begin"/>
      </w:r>
      <w:r>
        <w:rPr>
          <w:rFonts w:ascii="宋体" w:hAnsi="宋体" w:cs="宋体"/>
        </w:rPr>
        <w:instrText xml:space="preserve"> HYPERLINK \l _Toc31685 </w:instrText>
      </w:r>
      <w:r>
        <w:rPr>
          <w:rFonts w:ascii="宋体" w:hAnsi="宋体" w:cs="宋体"/>
        </w:rPr>
        <w:fldChar w:fldCharType="separate"/>
      </w:r>
      <w:r>
        <w:rPr>
          <w:rFonts w:hint="eastAsia" w:ascii="宋体" w:hAnsi="宋体" w:cs="宋体"/>
          <w:lang w:val="zh-CN"/>
        </w:rPr>
        <w:t>八、中标</w:t>
      </w:r>
      <w:r>
        <w:tab/>
      </w:r>
      <w:r>
        <w:fldChar w:fldCharType="begin"/>
      </w:r>
      <w:r>
        <w:instrText xml:space="preserve"> PAGEREF _Toc31685 \h </w:instrText>
      </w:r>
      <w:r>
        <w:fldChar w:fldCharType="separate"/>
      </w:r>
      <w:r>
        <w:t>21</w:t>
      </w:r>
      <w:r>
        <w:fldChar w:fldCharType="end"/>
      </w:r>
      <w:r>
        <w:rPr>
          <w:rFonts w:ascii="宋体" w:hAnsi="宋体" w:cs="宋体"/>
          <w:color w:val="000000"/>
        </w:rPr>
        <w:fldChar w:fldCharType="end"/>
      </w:r>
    </w:p>
    <w:p w14:paraId="34243094">
      <w:pPr>
        <w:pStyle w:val="15"/>
        <w:tabs>
          <w:tab w:val="right" w:leader="dot" w:pos="8243"/>
        </w:tabs>
      </w:pPr>
      <w:r>
        <w:rPr>
          <w:rFonts w:ascii="宋体" w:hAnsi="宋体" w:cs="宋体"/>
          <w:color w:val="000000"/>
        </w:rPr>
        <w:fldChar w:fldCharType="begin"/>
      </w:r>
      <w:r>
        <w:rPr>
          <w:rFonts w:ascii="宋体" w:hAnsi="宋体" w:cs="宋体"/>
        </w:rPr>
        <w:instrText xml:space="preserve"> HYPERLINK \l _Toc932 </w:instrText>
      </w:r>
      <w:r>
        <w:rPr>
          <w:rFonts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_Toc932 \h </w:instrText>
      </w:r>
      <w:r>
        <w:fldChar w:fldCharType="separate"/>
      </w:r>
      <w:r>
        <w:t>21</w:t>
      </w:r>
      <w:r>
        <w:fldChar w:fldCharType="end"/>
      </w:r>
      <w:r>
        <w:rPr>
          <w:rFonts w:ascii="宋体" w:hAnsi="宋体" w:cs="宋体"/>
          <w:color w:val="000000"/>
        </w:rPr>
        <w:fldChar w:fldCharType="end"/>
      </w:r>
    </w:p>
    <w:p w14:paraId="743A7AF5">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_Toc27081 </w:instrText>
      </w:r>
      <w:r>
        <w:rPr>
          <w:rFonts w:ascii="宋体" w:hAnsi="宋体" w:cs="宋体"/>
        </w:rPr>
        <w:fldChar w:fldCharType="separate"/>
      </w:r>
      <w:r>
        <w:rPr>
          <w:rFonts w:hint="eastAsia" w:ascii="宋体" w:hAnsi="宋体" w:cs="宋体"/>
          <w:szCs w:val="28"/>
          <w:lang w:val="zh-CN"/>
        </w:rPr>
        <w:t>21.中标通知</w:t>
      </w:r>
      <w:r>
        <w:tab/>
      </w:r>
      <w:r>
        <w:fldChar w:fldCharType="begin"/>
      </w:r>
      <w:r>
        <w:instrText xml:space="preserve"> PAGEREF _Toc27081 \h </w:instrText>
      </w:r>
      <w:r>
        <w:fldChar w:fldCharType="separate"/>
      </w:r>
      <w:r>
        <w:t>22</w:t>
      </w:r>
      <w:r>
        <w:fldChar w:fldCharType="end"/>
      </w:r>
      <w:r>
        <w:rPr>
          <w:rFonts w:ascii="宋体" w:hAnsi="宋体" w:cs="宋体"/>
          <w:color w:val="000000"/>
        </w:rPr>
        <w:fldChar w:fldCharType="end"/>
      </w:r>
    </w:p>
    <w:p w14:paraId="36868285">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_Toc15939 </w:instrText>
      </w:r>
      <w:r>
        <w:rPr>
          <w:rFonts w:ascii="宋体" w:hAnsi="宋体" w:cs="宋体"/>
        </w:rPr>
        <w:fldChar w:fldCharType="separate"/>
      </w:r>
      <w:r>
        <w:rPr>
          <w:rFonts w:hint="eastAsia" w:ascii="宋体" w:hAnsi="宋体" w:cs="宋体"/>
          <w:lang w:val="zh-CN"/>
        </w:rPr>
        <w:t>九、授予合同</w:t>
      </w:r>
      <w:r>
        <w:tab/>
      </w:r>
      <w:r>
        <w:fldChar w:fldCharType="begin"/>
      </w:r>
      <w:r>
        <w:instrText xml:space="preserve"> PAGEREF _Toc15939 \h </w:instrText>
      </w:r>
      <w:r>
        <w:fldChar w:fldCharType="separate"/>
      </w:r>
      <w:r>
        <w:t>22</w:t>
      </w:r>
      <w:r>
        <w:fldChar w:fldCharType="end"/>
      </w:r>
      <w:r>
        <w:rPr>
          <w:rFonts w:ascii="宋体" w:hAnsi="宋体" w:cs="宋体"/>
          <w:color w:val="000000"/>
        </w:rPr>
        <w:fldChar w:fldCharType="end"/>
      </w:r>
    </w:p>
    <w:p w14:paraId="62AAD1CB">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_Toc27529 </w:instrText>
      </w:r>
      <w:r>
        <w:rPr>
          <w:rFonts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fldChar w:fldCharType="begin"/>
      </w:r>
      <w:r>
        <w:instrText xml:space="preserve"> PAGEREF _Toc27529 \h </w:instrText>
      </w:r>
      <w:r>
        <w:fldChar w:fldCharType="separate"/>
      </w:r>
      <w:r>
        <w:t>22</w:t>
      </w:r>
      <w:r>
        <w:fldChar w:fldCharType="end"/>
      </w:r>
      <w:r>
        <w:rPr>
          <w:rFonts w:ascii="宋体" w:hAnsi="宋体" w:cs="宋体"/>
          <w:color w:val="000000"/>
        </w:rPr>
        <w:fldChar w:fldCharType="end"/>
      </w:r>
    </w:p>
    <w:p w14:paraId="7A504125">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_Toc25927 </w:instrText>
      </w:r>
      <w:r>
        <w:rPr>
          <w:rFonts w:ascii="宋体" w:hAnsi="宋体" w:cs="宋体"/>
        </w:rPr>
        <w:fldChar w:fldCharType="separate"/>
      </w:r>
      <w:r>
        <w:rPr>
          <w:rFonts w:hint="eastAsia" w:ascii="宋体" w:hAnsi="宋体" w:cs="宋体"/>
          <w:lang w:val="zh-CN"/>
        </w:rPr>
        <w:t>十、其他</w:t>
      </w:r>
      <w:r>
        <w:tab/>
      </w:r>
      <w:r>
        <w:fldChar w:fldCharType="begin"/>
      </w:r>
      <w:r>
        <w:instrText xml:space="preserve"> PAGEREF _Toc25927 \h </w:instrText>
      </w:r>
      <w:r>
        <w:fldChar w:fldCharType="separate"/>
      </w:r>
      <w:r>
        <w:t>23</w:t>
      </w:r>
      <w:r>
        <w:fldChar w:fldCharType="end"/>
      </w:r>
      <w:r>
        <w:rPr>
          <w:rFonts w:ascii="宋体" w:hAnsi="宋体" w:cs="宋体"/>
          <w:color w:val="000000"/>
        </w:rPr>
        <w:fldChar w:fldCharType="end"/>
      </w:r>
    </w:p>
    <w:p w14:paraId="4FA87512">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_Toc11849 </w:instrText>
      </w:r>
      <w:r>
        <w:rPr>
          <w:rFonts w:ascii="宋体" w:hAnsi="宋体" w:cs="宋体"/>
        </w:rPr>
        <w:fldChar w:fldCharType="separate"/>
      </w:r>
      <w:r>
        <w:rPr>
          <w:rFonts w:hint="eastAsia" w:ascii="宋体" w:hAnsi="宋体" w:cs="宋体"/>
          <w:szCs w:val="28"/>
        </w:rPr>
        <w:t>2</w:t>
      </w:r>
      <w:r>
        <w:rPr>
          <w:rFonts w:ascii="宋体" w:hAnsi="宋体" w:cs="宋体"/>
          <w:szCs w:val="28"/>
        </w:rPr>
        <w:t>3</w:t>
      </w:r>
      <w:r>
        <w:rPr>
          <w:rFonts w:hint="eastAsia" w:ascii="宋体" w:hAnsi="宋体" w:cs="宋体"/>
          <w:szCs w:val="28"/>
        </w:rPr>
        <w:t>. 串通投标的情形</w:t>
      </w:r>
      <w:r>
        <w:tab/>
      </w:r>
      <w:r>
        <w:fldChar w:fldCharType="begin"/>
      </w:r>
      <w:r>
        <w:instrText xml:space="preserve"> PAGEREF _Toc11849 \h </w:instrText>
      </w:r>
      <w:r>
        <w:fldChar w:fldCharType="separate"/>
      </w:r>
      <w:r>
        <w:t>23</w:t>
      </w:r>
      <w:r>
        <w:fldChar w:fldCharType="end"/>
      </w:r>
      <w:r>
        <w:rPr>
          <w:rFonts w:ascii="宋体" w:hAnsi="宋体" w:cs="宋体"/>
          <w:color w:val="000000"/>
        </w:rPr>
        <w:fldChar w:fldCharType="end"/>
      </w:r>
    </w:p>
    <w:p w14:paraId="36F92F57">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_Toc16324 </w:instrText>
      </w:r>
      <w:r>
        <w:rPr>
          <w:rFonts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废标</w:t>
      </w:r>
      <w:r>
        <w:tab/>
      </w:r>
      <w:r>
        <w:fldChar w:fldCharType="begin"/>
      </w:r>
      <w:r>
        <w:instrText xml:space="preserve"> PAGEREF _Toc16324 \h </w:instrText>
      </w:r>
      <w:r>
        <w:fldChar w:fldCharType="separate"/>
      </w:r>
      <w:r>
        <w:t>24</w:t>
      </w:r>
      <w:r>
        <w:fldChar w:fldCharType="end"/>
      </w:r>
      <w:r>
        <w:rPr>
          <w:rFonts w:ascii="宋体" w:hAnsi="宋体" w:cs="宋体"/>
          <w:color w:val="000000"/>
        </w:rPr>
        <w:fldChar w:fldCharType="end"/>
      </w:r>
    </w:p>
    <w:p w14:paraId="417B111F">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_Toc22588 </w:instrText>
      </w:r>
      <w:r>
        <w:rPr>
          <w:rFonts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中标服务费</w:t>
      </w:r>
      <w:r>
        <w:tab/>
      </w:r>
      <w:r>
        <w:fldChar w:fldCharType="begin"/>
      </w:r>
      <w:r>
        <w:instrText xml:space="preserve"> PAGEREF _Toc22588 \h </w:instrText>
      </w:r>
      <w:r>
        <w:fldChar w:fldCharType="separate"/>
      </w:r>
      <w:r>
        <w:t>24</w:t>
      </w:r>
      <w:r>
        <w:fldChar w:fldCharType="end"/>
      </w:r>
      <w:r>
        <w:rPr>
          <w:rFonts w:ascii="宋体" w:hAnsi="宋体" w:cs="宋体"/>
          <w:color w:val="000000"/>
        </w:rPr>
        <w:fldChar w:fldCharType="end"/>
      </w:r>
    </w:p>
    <w:p w14:paraId="268F6C53">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_Toc12485 </w:instrText>
      </w:r>
      <w:r>
        <w:rPr>
          <w:rFonts w:ascii="宋体" w:hAnsi="宋体" w:cs="宋体"/>
        </w:rPr>
        <w:fldChar w:fldCharType="separate"/>
      </w:r>
      <w:r>
        <w:rPr>
          <w:rFonts w:hint="eastAsia"/>
          <w:lang w:val="zh-CN"/>
        </w:rPr>
        <w:t>第三部分  青海省政府采购项目合同书范本</w:t>
      </w:r>
      <w:r>
        <w:tab/>
      </w:r>
      <w:r>
        <w:fldChar w:fldCharType="begin"/>
      </w:r>
      <w:r>
        <w:instrText xml:space="preserve"> PAGEREF _Toc12485 \h </w:instrText>
      </w:r>
      <w:r>
        <w:fldChar w:fldCharType="separate"/>
      </w:r>
      <w:r>
        <w:t>25</w:t>
      </w:r>
      <w:r>
        <w:fldChar w:fldCharType="end"/>
      </w:r>
      <w:r>
        <w:rPr>
          <w:rFonts w:ascii="宋体" w:hAnsi="宋体" w:cs="宋体"/>
          <w:color w:val="000000"/>
        </w:rPr>
        <w:fldChar w:fldCharType="end"/>
      </w:r>
    </w:p>
    <w:p w14:paraId="28542343">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_Toc26440 </w:instrText>
      </w:r>
      <w:r>
        <w:rPr>
          <w:rFonts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_Toc26440 \h </w:instrText>
      </w:r>
      <w:r>
        <w:fldChar w:fldCharType="separate"/>
      </w:r>
      <w:r>
        <w:t>41</w:t>
      </w:r>
      <w:r>
        <w:fldChar w:fldCharType="end"/>
      </w:r>
      <w:r>
        <w:rPr>
          <w:rFonts w:ascii="宋体" w:hAnsi="宋体" w:cs="宋体"/>
          <w:color w:val="000000"/>
        </w:rPr>
        <w:fldChar w:fldCharType="end"/>
      </w:r>
    </w:p>
    <w:p w14:paraId="28EFB0BA">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_Toc20886 </w:instrText>
      </w:r>
      <w:r>
        <w:rPr>
          <w:rFonts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_Toc20886 \h </w:instrText>
      </w:r>
      <w:r>
        <w:fldChar w:fldCharType="separate"/>
      </w:r>
      <w:r>
        <w:t>41</w:t>
      </w:r>
      <w:r>
        <w:fldChar w:fldCharType="end"/>
      </w:r>
      <w:r>
        <w:rPr>
          <w:rFonts w:ascii="宋体" w:hAnsi="宋体" w:cs="宋体"/>
          <w:color w:val="000000"/>
        </w:rPr>
        <w:fldChar w:fldCharType="end"/>
      </w:r>
    </w:p>
    <w:p w14:paraId="4175E183">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_Toc16025 </w:instrText>
      </w:r>
      <w:r>
        <w:rPr>
          <w:rFonts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_Toc16025 \h </w:instrText>
      </w:r>
      <w:r>
        <w:fldChar w:fldCharType="separate"/>
      </w:r>
      <w:r>
        <w:t>42</w:t>
      </w:r>
      <w:r>
        <w:fldChar w:fldCharType="end"/>
      </w:r>
      <w:r>
        <w:rPr>
          <w:rFonts w:ascii="宋体" w:hAnsi="宋体" w:cs="宋体"/>
          <w:color w:val="000000"/>
        </w:rPr>
        <w:fldChar w:fldCharType="end"/>
      </w:r>
    </w:p>
    <w:p w14:paraId="7FB95847">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_Toc13180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_Toc13180 \h </w:instrText>
      </w:r>
      <w:r>
        <w:fldChar w:fldCharType="separate"/>
      </w:r>
      <w:r>
        <w:t>43</w:t>
      </w:r>
      <w:r>
        <w:fldChar w:fldCharType="end"/>
      </w:r>
      <w:r>
        <w:rPr>
          <w:rFonts w:ascii="宋体" w:hAnsi="宋体" w:cs="宋体"/>
          <w:color w:val="000000"/>
        </w:rPr>
        <w:fldChar w:fldCharType="end"/>
      </w:r>
    </w:p>
    <w:p w14:paraId="49645116">
      <w:pPr>
        <w:pStyle w:val="15"/>
        <w:tabs>
          <w:tab w:val="right" w:leader="dot" w:pos="8243"/>
        </w:tabs>
      </w:pPr>
      <w:r>
        <w:rPr>
          <w:rFonts w:ascii="宋体" w:hAnsi="宋体" w:cs="宋体"/>
          <w:color w:val="000000"/>
        </w:rPr>
        <w:fldChar w:fldCharType="begin"/>
      </w:r>
      <w:r>
        <w:rPr>
          <w:rFonts w:ascii="宋体" w:hAnsi="宋体" w:cs="宋体"/>
        </w:rPr>
        <w:instrText xml:space="preserve"> HYPERLINK \l _Toc8703 </w:instrText>
      </w:r>
      <w:r>
        <w:rPr>
          <w:rFonts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_Toc8703 \h </w:instrText>
      </w:r>
      <w:r>
        <w:fldChar w:fldCharType="separate"/>
      </w:r>
      <w:r>
        <w:t>44</w:t>
      </w:r>
      <w:r>
        <w:fldChar w:fldCharType="end"/>
      </w:r>
      <w:r>
        <w:rPr>
          <w:rFonts w:ascii="宋体" w:hAnsi="宋体" w:cs="宋体"/>
          <w:color w:val="000000"/>
        </w:rPr>
        <w:fldChar w:fldCharType="end"/>
      </w:r>
    </w:p>
    <w:p w14:paraId="656179F4">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_Toc11293 </w:instrText>
      </w:r>
      <w:r>
        <w:rPr>
          <w:rFonts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_Toc11293 \h </w:instrText>
      </w:r>
      <w:r>
        <w:fldChar w:fldCharType="separate"/>
      </w:r>
      <w:r>
        <w:t>45</w:t>
      </w:r>
      <w:r>
        <w:fldChar w:fldCharType="end"/>
      </w:r>
      <w:r>
        <w:rPr>
          <w:rFonts w:ascii="宋体" w:hAnsi="宋体" w:cs="宋体"/>
          <w:color w:val="000000"/>
        </w:rPr>
        <w:fldChar w:fldCharType="end"/>
      </w:r>
    </w:p>
    <w:p w14:paraId="66BAEABF">
      <w:pPr>
        <w:pStyle w:val="15"/>
        <w:tabs>
          <w:tab w:val="right" w:leader="dot" w:pos="8243"/>
        </w:tabs>
      </w:pPr>
      <w:r>
        <w:rPr>
          <w:rFonts w:ascii="宋体" w:hAnsi="宋体" w:cs="宋体"/>
          <w:color w:val="000000"/>
        </w:rPr>
        <w:fldChar w:fldCharType="begin"/>
      </w:r>
      <w:r>
        <w:rPr>
          <w:rFonts w:ascii="宋体" w:hAnsi="宋体" w:cs="宋体"/>
        </w:rPr>
        <w:instrText xml:space="preserve"> HYPERLINK \l _Toc5438 </w:instrText>
      </w:r>
      <w:r>
        <w:rPr>
          <w:rFonts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_Toc5438 \h </w:instrText>
      </w:r>
      <w:r>
        <w:fldChar w:fldCharType="separate"/>
      </w:r>
      <w:r>
        <w:t>46</w:t>
      </w:r>
      <w:r>
        <w:fldChar w:fldCharType="end"/>
      </w:r>
      <w:r>
        <w:rPr>
          <w:rFonts w:ascii="宋体" w:hAnsi="宋体" w:cs="宋体"/>
          <w:color w:val="000000"/>
        </w:rPr>
        <w:fldChar w:fldCharType="end"/>
      </w:r>
    </w:p>
    <w:p w14:paraId="647FB016">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_Toc27167 </w:instrText>
      </w:r>
      <w:r>
        <w:rPr>
          <w:rFonts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_Toc27167 \h </w:instrText>
      </w:r>
      <w:r>
        <w:fldChar w:fldCharType="separate"/>
      </w:r>
      <w:r>
        <w:t>47</w:t>
      </w:r>
      <w:r>
        <w:fldChar w:fldCharType="end"/>
      </w:r>
      <w:r>
        <w:rPr>
          <w:rFonts w:ascii="宋体" w:hAnsi="宋体" w:cs="宋体"/>
          <w:color w:val="000000"/>
        </w:rPr>
        <w:fldChar w:fldCharType="end"/>
      </w:r>
    </w:p>
    <w:p w14:paraId="55F44ECA">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_Toc1700 </w:instrText>
      </w:r>
      <w:r>
        <w:rPr>
          <w:rFonts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_Toc1700 \h </w:instrText>
      </w:r>
      <w:r>
        <w:fldChar w:fldCharType="separate"/>
      </w:r>
      <w:r>
        <w:t>48</w:t>
      </w:r>
      <w:r>
        <w:fldChar w:fldCharType="end"/>
      </w:r>
      <w:r>
        <w:rPr>
          <w:rFonts w:ascii="宋体" w:hAnsi="宋体" w:cs="宋体"/>
          <w:color w:val="000000"/>
        </w:rPr>
        <w:fldChar w:fldCharType="end"/>
      </w:r>
    </w:p>
    <w:p w14:paraId="2599C82D">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_Toc15304 </w:instrText>
      </w:r>
      <w:r>
        <w:rPr>
          <w:rFonts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_Toc15304 \h </w:instrText>
      </w:r>
      <w:r>
        <w:fldChar w:fldCharType="separate"/>
      </w:r>
      <w:r>
        <w:t>49</w:t>
      </w:r>
      <w:r>
        <w:fldChar w:fldCharType="end"/>
      </w:r>
      <w:r>
        <w:rPr>
          <w:rFonts w:ascii="宋体" w:hAnsi="宋体" w:cs="宋体"/>
          <w:color w:val="000000"/>
        </w:rPr>
        <w:fldChar w:fldCharType="end"/>
      </w:r>
    </w:p>
    <w:p w14:paraId="1A9813C1">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_Toc10161 </w:instrText>
      </w:r>
      <w:r>
        <w:rPr>
          <w:rFonts w:ascii="宋体" w:hAnsi="宋体" w:cs="宋体"/>
        </w:rPr>
        <w:fldChar w:fldCharType="separate"/>
      </w:r>
      <w:r>
        <w:rPr>
          <w:rFonts w:hint="eastAsia" w:ascii="宋体" w:hAnsi="宋体" w:cs="宋体"/>
          <w:szCs w:val="30"/>
        </w:rPr>
        <w:t>（8）</w:t>
      </w:r>
      <w:r>
        <w:rPr>
          <w:rFonts w:hint="eastAsia" w:ascii="宋体" w:hAnsi="宋体" w:cs="宋体"/>
          <w:szCs w:val="30"/>
          <w:lang w:val="zh-CN"/>
        </w:rPr>
        <w:t>无重大违法记录声明</w:t>
      </w:r>
      <w:r>
        <w:tab/>
      </w:r>
      <w:r>
        <w:fldChar w:fldCharType="begin"/>
      </w:r>
      <w:r>
        <w:instrText xml:space="preserve"> PAGEREF _Toc10161 \h </w:instrText>
      </w:r>
      <w:r>
        <w:fldChar w:fldCharType="separate"/>
      </w:r>
      <w:r>
        <w:t>50</w:t>
      </w:r>
      <w:r>
        <w:fldChar w:fldCharType="end"/>
      </w:r>
      <w:r>
        <w:rPr>
          <w:rFonts w:ascii="宋体" w:hAnsi="宋体" w:cs="宋体"/>
          <w:color w:val="000000"/>
        </w:rPr>
        <w:fldChar w:fldCharType="end"/>
      </w:r>
    </w:p>
    <w:p w14:paraId="459478D4">
      <w:pPr>
        <w:pStyle w:val="16"/>
        <w:tabs>
          <w:tab w:val="right" w:leader="dot" w:pos="8243"/>
        </w:tabs>
      </w:pPr>
      <w:r>
        <w:rPr>
          <w:rFonts w:ascii="宋体" w:hAnsi="宋体" w:cs="宋体"/>
          <w:color w:val="000000"/>
        </w:rPr>
        <w:fldChar w:fldCharType="begin"/>
      </w:r>
      <w:r>
        <w:rPr>
          <w:rFonts w:ascii="宋体" w:hAnsi="宋体" w:cs="宋体"/>
        </w:rPr>
        <w:instrText xml:space="preserve"> HYPERLINK \l _Toc32683 </w:instrText>
      </w:r>
      <w:r>
        <w:rPr>
          <w:rFonts w:ascii="宋体" w:hAnsi="宋体" w:cs="宋体"/>
        </w:rPr>
        <w:fldChar w:fldCharType="separate"/>
      </w:r>
      <w:r>
        <w:rPr>
          <w:rFonts w:hint="eastAsia" w:ascii="宋体" w:hAnsi="宋体" w:eastAsia="宋体" w:cs="宋体"/>
          <w:bCs/>
          <w:kern w:val="2"/>
          <w:szCs w:val="30"/>
          <w:lang w:val="en-US" w:eastAsia="zh-CN" w:bidi="ar-SA"/>
        </w:rPr>
        <w:t>（9）</w:t>
      </w:r>
      <w:r>
        <w:rPr>
          <w:rFonts w:hint="eastAsia" w:ascii="宋体" w:hAnsi="宋体" w:cs="宋体"/>
          <w:bCs/>
          <w:kern w:val="2"/>
          <w:szCs w:val="30"/>
          <w:lang w:val="zh-CN" w:eastAsia="zh-CN" w:bidi="ar-SA"/>
        </w:rPr>
        <w:t>具有履行合同所必需的设备和专业技术能力证明</w:t>
      </w:r>
      <w:r>
        <w:tab/>
      </w:r>
      <w:r>
        <w:fldChar w:fldCharType="begin"/>
      </w:r>
      <w:r>
        <w:instrText xml:space="preserve"> PAGEREF _Toc32683 \h </w:instrText>
      </w:r>
      <w:r>
        <w:fldChar w:fldCharType="separate"/>
      </w:r>
      <w:r>
        <w:t>51</w:t>
      </w:r>
      <w:r>
        <w:fldChar w:fldCharType="end"/>
      </w:r>
      <w:r>
        <w:rPr>
          <w:rFonts w:ascii="宋体" w:hAnsi="宋体" w:cs="宋体"/>
          <w:color w:val="000000"/>
        </w:rPr>
        <w:fldChar w:fldCharType="end"/>
      </w:r>
    </w:p>
    <w:p w14:paraId="6A8129AB">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_Toc11150 </w:instrText>
      </w:r>
      <w:r>
        <w:rPr>
          <w:rFonts w:ascii="宋体" w:hAnsi="宋体" w:cs="宋体"/>
        </w:rPr>
        <w:fldChar w:fldCharType="separate"/>
      </w:r>
      <w:r>
        <w:rPr>
          <w:rFonts w:hint="eastAsia" w:ascii="宋体" w:hAnsi="宋体" w:eastAsia="宋体" w:cs="宋体"/>
          <w:bCs/>
          <w:kern w:val="2"/>
          <w:szCs w:val="30"/>
          <w:lang w:val="zh-CN" w:eastAsia="zh-CN" w:bidi="ar-SA"/>
        </w:rPr>
        <w:t>（</w:t>
      </w:r>
      <w:r>
        <w:rPr>
          <w:rFonts w:hint="eastAsia" w:ascii="宋体" w:hAnsi="宋体" w:eastAsia="宋体" w:cs="宋体"/>
          <w:bCs/>
          <w:kern w:val="2"/>
          <w:szCs w:val="30"/>
          <w:lang w:val="en-US" w:eastAsia="zh-CN" w:bidi="ar-SA"/>
        </w:rPr>
        <w:t>10）</w:t>
      </w:r>
      <w:r>
        <w:rPr>
          <w:rFonts w:hint="eastAsia" w:ascii="宋体" w:hAnsi="宋体" w:cs="宋体"/>
          <w:szCs w:val="30"/>
          <w:lang w:val="zh-CN"/>
        </w:rPr>
        <w:t>投标保证金证明</w:t>
      </w:r>
      <w:r>
        <w:tab/>
      </w:r>
      <w:r>
        <w:fldChar w:fldCharType="begin"/>
      </w:r>
      <w:r>
        <w:instrText xml:space="preserve"> PAGEREF _Toc11150 \h </w:instrText>
      </w:r>
      <w:r>
        <w:fldChar w:fldCharType="separate"/>
      </w:r>
      <w:r>
        <w:t>52</w:t>
      </w:r>
      <w:r>
        <w:fldChar w:fldCharType="end"/>
      </w:r>
      <w:r>
        <w:rPr>
          <w:rFonts w:ascii="宋体" w:hAnsi="宋体" w:cs="宋体"/>
          <w:color w:val="000000"/>
        </w:rPr>
        <w:fldChar w:fldCharType="end"/>
      </w:r>
    </w:p>
    <w:p w14:paraId="206B3BF1">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_Toc14240 </w:instrText>
      </w:r>
      <w:r>
        <w:rPr>
          <w:rFonts w:ascii="宋体" w:hAnsi="宋体" w:cs="宋体"/>
        </w:rPr>
        <w:fldChar w:fldCharType="separate"/>
      </w:r>
      <w:r>
        <w:rPr>
          <w:rFonts w:hint="eastAsia" w:ascii="宋体" w:hAnsi="宋体" w:cs="宋体"/>
          <w:szCs w:val="30"/>
          <w:lang w:val="zh-CN"/>
        </w:rPr>
        <w:t>封面（下册）</w:t>
      </w:r>
      <w:r>
        <w:tab/>
      </w:r>
      <w:r>
        <w:fldChar w:fldCharType="begin"/>
      </w:r>
      <w:r>
        <w:instrText xml:space="preserve"> PAGEREF _Toc14240 \h </w:instrText>
      </w:r>
      <w:r>
        <w:fldChar w:fldCharType="separate"/>
      </w:r>
      <w:r>
        <w:t>53</w:t>
      </w:r>
      <w:r>
        <w:fldChar w:fldCharType="end"/>
      </w:r>
      <w:r>
        <w:rPr>
          <w:rFonts w:ascii="宋体" w:hAnsi="宋体" w:cs="宋体"/>
          <w:color w:val="000000"/>
        </w:rPr>
        <w:fldChar w:fldCharType="end"/>
      </w:r>
    </w:p>
    <w:p w14:paraId="149A1C0C">
      <w:pPr>
        <w:pStyle w:val="15"/>
        <w:tabs>
          <w:tab w:val="right" w:leader="dot" w:pos="8243"/>
        </w:tabs>
      </w:pPr>
      <w:r>
        <w:rPr>
          <w:rFonts w:ascii="宋体" w:hAnsi="宋体" w:cs="宋体"/>
          <w:color w:val="000000"/>
        </w:rPr>
        <w:fldChar w:fldCharType="begin"/>
      </w:r>
      <w:r>
        <w:rPr>
          <w:rFonts w:ascii="宋体" w:hAnsi="宋体" w:cs="宋体"/>
        </w:rPr>
        <w:instrText xml:space="preserve"> HYPERLINK \l _Toc8868 </w:instrText>
      </w:r>
      <w:r>
        <w:rPr>
          <w:rFonts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_Toc8868 \h </w:instrText>
      </w:r>
      <w:r>
        <w:fldChar w:fldCharType="separate"/>
      </w:r>
      <w:r>
        <w:t>54</w:t>
      </w:r>
      <w:r>
        <w:fldChar w:fldCharType="end"/>
      </w:r>
      <w:r>
        <w:rPr>
          <w:rFonts w:ascii="宋体" w:hAnsi="宋体" w:cs="宋体"/>
          <w:color w:val="000000"/>
        </w:rPr>
        <w:fldChar w:fldCharType="end"/>
      </w:r>
    </w:p>
    <w:p w14:paraId="136B6D67">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_Toc14492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_Toc14492 \h </w:instrText>
      </w:r>
      <w:r>
        <w:fldChar w:fldCharType="separate"/>
      </w:r>
      <w:r>
        <w:t>55</w:t>
      </w:r>
      <w:r>
        <w:fldChar w:fldCharType="end"/>
      </w:r>
      <w:r>
        <w:rPr>
          <w:rFonts w:ascii="宋体" w:hAnsi="宋体" w:cs="宋体"/>
          <w:color w:val="000000"/>
        </w:rPr>
        <w:fldChar w:fldCharType="end"/>
      </w:r>
    </w:p>
    <w:p w14:paraId="63224575">
      <w:pPr>
        <w:pStyle w:val="15"/>
        <w:tabs>
          <w:tab w:val="right" w:leader="dot" w:pos="8243"/>
        </w:tabs>
      </w:pPr>
      <w:r>
        <w:rPr>
          <w:rFonts w:ascii="宋体" w:hAnsi="宋体" w:cs="宋体"/>
          <w:color w:val="000000"/>
        </w:rPr>
        <w:fldChar w:fldCharType="begin"/>
      </w:r>
      <w:r>
        <w:rPr>
          <w:rFonts w:ascii="宋体" w:hAnsi="宋体" w:cs="宋体"/>
        </w:rPr>
        <w:instrText xml:space="preserve"> HYPERLINK \l _Toc9114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开标一览表</w:t>
      </w:r>
      <w:r>
        <w:tab/>
      </w:r>
      <w:r>
        <w:fldChar w:fldCharType="begin"/>
      </w:r>
      <w:r>
        <w:instrText xml:space="preserve"> PAGEREF _Toc9114 \h </w:instrText>
      </w:r>
      <w:r>
        <w:fldChar w:fldCharType="separate"/>
      </w:r>
      <w:r>
        <w:t>56</w:t>
      </w:r>
      <w:r>
        <w:fldChar w:fldCharType="end"/>
      </w:r>
      <w:r>
        <w:rPr>
          <w:rFonts w:ascii="宋体" w:hAnsi="宋体" w:cs="宋体"/>
          <w:color w:val="000000"/>
        </w:rPr>
        <w:fldChar w:fldCharType="end"/>
      </w:r>
    </w:p>
    <w:p w14:paraId="6AA71ABB">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_Toc1569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zh-CN"/>
        </w:rPr>
        <w:t>服务</w:t>
      </w:r>
      <w:r>
        <w:rPr>
          <w:rFonts w:hint="eastAsia" w:ascii="宋体" w:hAnsi="宋体" w:cs="宋体"/>
          <w:szCs w:val="30"/>
          <w:lang w:val="zh-CN" w:eastAsia="zh-CN"/>
        </w:rPr>
        <w:t>内容</w:t>
      </w:r>
      <w:r>
        <w:rPr>
          <w:rFonts w:hint="eastAsia" w:ascii="宋体" w:hAnsi="宋体" w:cs="宋体"/>
          <w:szCs w:val="30"/>
          <w:lang w:val="zh-CN"/>
        </w:rPr>
        <w:t>响应表</w:t>
      </w:r>
      <w:r>
        <w:tab/>
      </w:r>
      <w:r>
        <w:fldChar w:fldCharType="begin"/>
      </w:r>
      <w:r>
        <w:instrText xml:space="preserve"> PAGEREF _Toc1569 \h </w:instrText>
      </w:r>
      <w:r>
        <w:fldChar w:fldCharType="separate"/>
      </w:r>
      <w:r>
        <w:t>57</w:t>
      </w:r>
      <w:r>
        <w:fldChar w:fldCharType="end"/>
      </w:r>
      <w:r>
        <w:rPr>
          <w:rFonts w:ascii="宋体" w:hAnsi="宋体" w:cs="宋体"/>
          <w:color w:val="000000"/>
        </w:rPr>
        <w:fldChar w:fldCharType="end"/>
      </w:r>
    </w:p>
    <w:p w14:paraId="2FB3C82E">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_Toc13688 </w:instrText>
      </w:r>
      <w:r>
        <w:rPr>
          <w:rFonts w:ascii="宋体" w:hAnsi="宋体" w:cs="宋体"/>
        </w:rPr>
        <w:fldChar w:fldCharType="separate"/>
      </w:r>
      <w:r>
        <w:rPr>
          <w:rFonts w:hint="eastAsia" w:ascii="宋体" w:hAnsi="宋体" w:cs="宋体"/>
          <w:szCs w:val="30"/>
          <w:lang w:val="zh-CN"/>
        </w:rPr>
        <w:t>（1</w:t>
      </w:r>
      <w:r>
        <w:rPr>
          <w:rFonts w:hint="eastAsia" w:ascii="宋体" w:hAnsi="宋体" w:cs="宋体"/>
          <w:szCs w:val="30"/>
          <w:lang w:val="en-US" w:eastAsia="zh-CN"/>
        </w:rPr>
        <w:t>4</w:t>
      </w:r>
      <w:r>
        <w:rPr>
          <w:rFonts w:hint="eastAsia" w:ascii="宋体" w:hAnsi="宋体" w:cs="宋体"/>
          <w:szCs w:val="30"/>
          <w:lang w:val="zh-CN"/>
        </w:rPr>
        <w:t>）投标人的类似业绩证明材料</w:t>
      </w:r>
      <w:r>
        <w:tab/>
      </w:r>
      <w:r>
        <w:fldChar w:fldCharType="begin"/>
      </w:r>
      <w:r>
        <w:instrText xml:space="preserve"> PAGEREF _Toc13688 \h </w:instrText>
      </w:r>
      <w:r>
        <w:fldChar w:fldCharType="separate"/>
      </w:r>
      <w:r>
        <w:t>58</w:t>
      </w:r>
      <w:r>
        <w:fldChar w:fldCharType="end"/>
      </w:r>
      <w:r>
        <w:rPr>
          <w:rFonts w:ascii="宋体" w:hAnsi="宋体" w:cs="宋体"/>
          <w:color w:val="000000"/>
        </w:rPr>
        <w:fldChar w:fldCharType="end"/>
      </w:r>
    </w:p>
    <w:p w14:paraId="11198CFA">
      <w:pPr>
        <w:pStyle w:val="15"/>
        <w:tabs>
          <w:tab w:val="right" w:leader="dot" w:pos="8243"/>
        </w:tabs>
      </w:pPr>
      <w:r>
        <w:rPr>
          <w:rFonts w:ascii="宋体" w:hAnsi="宋体" w:cs="宋体"/>
          <w:color w:val="000000"/>
        </w:rPr>
        <w:fldChar w:fldCharType="begin"/>
      </w:r>
      <w:r>
        <w:rPr>
          <w:rFonts w:ascii="宋体" w:hAnsi="宋体" w:cs="宋体"/>
        </w:rPr>
        <w:instrText xml:space="preserve"> HYPERLINK \l _Toc7776 </w:instrText>
      </w:r>
      <w:r>
        <w:rPr>
          <w:rFonts w:ascii="宋体" w:hAnsi="宋体" w:cs="宋体"/>
        </w:rPr>
        <w:fldChar w:fldCharType="separate"/>
      </w:r>
      <w:r>
        <w:rPr>
          <w:rFonts w:hint="eastAsia" w:ascii="宋体" w:hAnsi="宋体" w:cs="宋体"/>
          <w:szCs w:val="30"/>
          <w:lang w:val="zh-CN"/>
        </w:rPr>
        <w:t>（1</w:t>
      </w:r>
      <w:r>
        <w:rPr>
          <w:rFonts w:hint="eastAsia" w:ascii="宋体" w:hAnsi="宋体" w:cs="宋体"/>
          <w:szCs w:val="30"/>
          <w:lang w:val="en-US" w:eastAsia="zh-CN"/>
        </w:rPr>
        <w:t>5</w:t>
      </w:r>
      <w:r>
        <w:rPr>
          <w:rFonts w:hint="eastAsia" w:ascii="宋体" w:hAnsi="宋体" w:cs="宋体"/>
          <w:szCs w:val="30"/>
          <w:lang w:val="zh-CN"/>
        </w:rPr>
        <w:t>）项目实施及服务方案</w:t>
      </w:r>
      <w:r>
        <w:tab/>
      </w:r>
      <w:r>
        <w:fldChar w:fldCharType="begin"/>
      </w:r>
      <w:r>
        <w:instrText xml:space="preserve"> PAGEREF _Toc7776 \h </w:instrText>
      </w:r>
      <w:r>
        <w:fldChar w:fldCharType="separate"/>
      </w:r>
      <w:r>
        <w:t>59</w:t>
      </w:r>
      <w:r>
        <w:fldChar w:fldCharType="end"/>
      </w:r>
      <w:r>
        <w:rPr>
          <w:rFonts w:ascii="宋体" w:hAnsi="宋体" w:cs="宋体"/>
          <w:color w:val="000000"/>
        </w:rPr>
        <w:fldChar w:fldCharType="end"/>
      </w:r>
    </w:p>
    <w:p w14:paraId="665B2096">
      <w:pPr>
        <w:pStyle w:val="15"/>
        <w:tabs>
          <w:tab w:val="right" w:leader="dot" w:pos="8243"/>
        </w:tabs>
      </w:pPr>
      <w:r>
        <w:rPr>
          <w:rFonts w:ascii="宋体" w:hAnsi="宋体" w:cs="宋体"/>
          <w:color w:val="000000"/>
        </w:rPr>
        <w:fldChar w:fldCharType="begin"/>
      </w:r>
      <w:r>
        <w:rPr>
          <w:rFonts w:ascii="宋体" w:hAnsi="宋体" w:cs="宋体"/>
        </w:rPr>
        <w:instrText xml:space="preserve"> HYPERLINK \l _Toc19405 </w:instrText>
      </w:r>
      <w:r>
        <w:rPr>
          <w:rFonts w:ascii="宋体" w:hAnsi="宋体" w:cs="宋体"/>
        </w:rPr>
        <w:fldChar w:fldCharType="separate"/>
      </w:r>
      <w:r>
        <w:rPr>
          <w:rFonts w:hint="eastAsia" w:ascii="宋体" w:hAnsi="宋体" w:cs="宋体"/>
          <w:szCs w:val="30"/>
          <w:lang w:val="zh-CN"/>
        </w:rPr>
        <w:t>（1</w:t>
      </w:r>
      <w:r>
        <w:rPr>
          <w:rFonts w:hint="eastAsia" w:ascii="宋体" w:hAnsi="宋体" w:cs="宋体"/>
          <w:szCs w:val="30"/>
          <w:lang w:val="en-US" w:eastAsia="zh-CN"/>
        </w:rPr>
        <w:t>6</w:t>
      </w:r>
      <w:r>
        <w:rPr>
          <w:rFonts w:hint="eastAsia" w:ascii="宋体" w:hAnsi="宋体" w:cs="宋体"/>
          <w:szCs w:val="30"/>
          <w:lang w:val="zh-CN"/>
        </w:rPr>
        <w:t>）项目人员配备</w:t>
      </w:r>
      <w:r>
        <w:tab/>
      </w:r>
      <w:r>
        <w:fldChar w:fldCharType="begin"/>
      </w:r>
      <w:r>
        <w:instrText xml:space="preserve"> PAGEREF _Toc19405 \h </w:instrText>
      </w:r>
      <w:r>
        <w:fldChar w:fldCharType="separate"/>
      </w:r>
      <w:r>
        <w:t>60</w:t>
      </w:r>
      <w:r>
        <w:fldChar w:fldCharType="end"/>
      </w:r>
      <w:r>
        <w:rPr>
          <w:rFonts w:ascii="宋体" w:hAnsi="宋体" w:cs="宋体"/>
          <w:color w:val="000000"/>
        </w:rPr>
        <w:fldChar w:fldCharType="end"/>
      </w:r>
    </w:p>
    <w:p w14:paraId="61D5DA6F">
      <w:pPr>
        <w:pStyle w:val="15"/>
        <w:tabs>
          <w:tab w:val="right" w:leader="dot" w:pos="8243"/>
        </w:tabs>
      </w:pPr>
      <w:r>
        <w:rPr>
          <w:rFonts w:ascii="宋体" w:hAnsi="宋体" w:cs="宋体"/>
          <w:color w:val="000000"/>
        </w:rPr>
        <w:fldChar w:fldCharType="begin"/>
      </w:r>
      <w:r>
        <w:rPr>
          <w:rFonts w:ascii="宋体" w:hAnsi="宋体" w:cs="宋体"/>
        </w:rPr>
        <w:instrText xml:space="preserve"> HYPERLINK \l _Toc27905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zh-CN"/>
        </w:rPr>
        <w:t>享受政府采购政策优惠的证明资料</w:t>
      </w:r>
      <w:r>
        <w:tab/>
      </w:r>
      <w:r>
        <w:fldChar w:fldCharType="begin"/>
      </w:r>
      <w:r>
        <w:instrText xml:space="preserve"> PAGEREF _Toc27905 \h </w:instrText>
      </w:r>
      <w:r>
        <w:fldChar w:fldCharType="separate"/>
      </w:r>
      <w:r>
        <w:t>61</w:t>
      </w:r>
      <w:r>
        <w:fldChar w:fldCharType="end"/>
      </w:r>
      <w:r>
        <w:rPr>
          <w:rFonts w:ascii="宋体" w:hAnsi="宋体" w:cs="宋体"/>
          <w:color w:val="000000"/>
        </w:rPr>
        <w:fldChar w:fldCharType="end"/>
      </w:r>
    </w:p>
    <w:p w14:paraId="3C5717A5">
      <w:pPr>
        <w:pStyle w:val="15"/>
        <w:tabs>
          <w:tab w:val="right" w:leader="dot" w:pos="8243"/>
        </w:tabs>
      </w:pPr>
      <w:r>
        <w:rPr>
          <w:rFonts w:ascii="宋体" w:hAnsi="宋体" w:cs="宋体"/>
          <w:color w:val="000000"/>
        </w:rPr>
        <w:fldChar w:fldCharType="begin"/>
      </w:r>
      <w:r>
        <w:rPr>
          <w:rFonts w:ascii="宋体" w:hAnsi="宋体" w:cs="宋体"/>
        </w:rPr>
        <w:instrText xml:space="preserve"> HYPERLINK \l _Toc32524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8</w:t>
      </w:r>
      <w:r>
        <w:rPr>
          <w:rFonts w:hint="eastAsia" w:ascii="宋体" w:hAnsi="宋体" w:cs="宋体"/>
          <w:szCs w:val="30"/>
        </w:rPr>
        <w:t>）</w:t>
      </w:r>
      <w:r>
        <w:rPr>
          <w:rFonts w:hint="eastAsia" w:ascii="宋体" w:hAnsi="宋体" w:cs="宋体"/>
          <w:szCs w:val="30"/>
          <w:lang w:val="zh-CN"/>
        </w:rPr>
        <w:t>投标人认为在其他方面有必要说明的事项</w:t>
      </w:r>
      <w:r>
        <w:tab/>
      </w:r>
      <w:r>
        <w:fldChar w:fldCharType="begin"/>
      </w:r>
      <w:r>
        <w:instrText xml:space="preserve"> PAGEREF _Toc32524 \h </w:instrText>
      </w:r>
      <w:r>
        <w:fldChar w:fldCharType="separate"/>
      </w:r>
      <w:r>
        <w:t>64</w:t>
      </w:r>
      <w:r>
        <w:fldChar w:fldCharType="end"/>
      </w:r>
      <w:r>
        <w:rPr>
          <w:rFonts w:ascii="宋体" w:hAnsi="宋体" w:cs="宋体"/>
          <w:color w:val="000000"/>
        </w:rPr>
        <w:fldChar w:fldCharType="end"/>
      </w:r>
    </w:p>
    <w:p w14:paraId="696E8DD0">
      <w:pPr>
        <w:pStyle w:val="15"/>
        <w:tabs>
          <w:tab w:val="right" w:leader="dot" w:pos="8243"/>
        </w:tabs>
      </w:pPr>
      <w:r>
        <w:rPr>
          <w:rFonts w:ascii="宋体" w:hAnsi="宋体" w:cs="宋体"/>
          <w:color w:val="000000"/>
        </w:rPr>
        <w:fldChar w:fldCharType="begin"/>
      </w:r>
      <w:r>
        <w:rPr>
          <w:rFonts w:ascii="宋体" w:hAnsi="宋体" w:cs="宋体"/>
        </w:rPr>
        <w:instrText xml:space="preserve"> HYPERLINK \l _Toc7227 </w:instrText>
      </w:r>
      <w:r>
        <w:rPr>
          <w:rFonts w:ascii="宋体" w:hAnsi="宋体" w:cs="宋体"/>
        </w:rPr>
        <w:fldChar w:fldCharType="separate"/>
      </w:r>
      <w:r>
        <w:rPr>
          <w:rFonts w:hint="eastAsia" w:ascii="宋体" w:hAnsi="宋体" w:cs="宋体"/>
          <w:bCs w:val="0"/>
          <w:szCs w:val="36"/>
          <w:lang w:val="zh-CN"/>
        </w:rPr>
        <w:t>第五部分 采购项目要求及技术参数</w:t>
      </w:r>
      <w:r>
        <w:tab/>
      </w:r>
      <w:r>
        <w:fldChar w:fldCharType="begin"/>
      </w:r>
      <w:r>
        <w:instrText xml:space="preserve"> PAGEREF _Toc7227 \h </w:instrText>
      </w:r>
      <w:r>
        <w:fldChar w:fldCharType="separate"/>
      </w:r>
      <w:r>
        <w:t>65</w:t>
      </w:r>
      <w:r>
        <w:fldChar w:fldCharType="end"/>
      </w:r>
      <w:r>
        <w:rPr>
          <w:rFonts w:ascii="宋体" w:hAnsi="宋体" w:cs="宋体"/>
          <w:color w:val="000000"/>
        </w:rPr>
        <w:fldChar w:fldCharType="end"/>
      </w:r>
    </w:p>
    <w:p w14:paraId="4F7F0CB8">
      <w:pPr>
        <w:spacing w:line="400" w:lineRule="exact"/>
        <w:rPr>
          <w:rFonts w:ascii="宋体" w:hAnsi="宋体" w:cs="宋体"/>
          <w:color w:val="000000"/>
        </w:rPr>
      </w:pPr>
      <w:r>
        <w:rPr>
          <w:rFonts w:ascii="宋体" w:hAnsi="宋体" w:cs="宋体"/>
          <w:color w:val="000000"/>
        </w:rPr>
        <w:fldChar w:fldCharType="end"/>
      </w:r>
    </w:p>
    <w:p w14:paraId="7B88E6E5">
      <w:pPr>
        <w:pStyle w:val="20"/>
        <w:rPr>
          <w:rFonts w:ascii="宋体" w:hAnsi="宋体" w:cs="宋体"/>
          <w:color w:val="000000"/>
        </w:rPr>
      </w:pPr>
    </w:p>
    <w:p w14:paraId="37AC55C5">
      <w:pPr>
        <w:rPr>
          <w:rFonts w:ascii="宋体" w:hAnsi="宋体" w:cs="宋体"/>
          <w:color w:val="000000"/>
        </w:rPr>
      </w:pPr>
    </w:p>
    <w:p w14:paraId="19AB26A8">
      <w:pPr>
        <w:pStyle w:val="20"/>
        <w:rPr>
          <w:rFonts w:ascii="宋体" w:hAnsi="宋体" w:cs="宋体"/>
          <w:color w:val="000000"/>
        </w:rPr>
      </w:pPr>
    </w:p>
    <w:p w14:paraId="44054709">
      <w:pPr>
        <w:rPr>
          <w:rFonts w:ascii="宋体" w:hAnsi="宋体" w:cs="宋体"/>
          <w:color w:val="000000"/>
        </w:rPr>
      </w:pPr>
    </w:p>
    <w:p w14:paraId="5388BD8B">
      <w:pPr>
        <w:pStyle w:val="20"/>
        <w:rPr>
          <w:rFonts w:ascii="宋体" w:hAnsi="宋体" w:cs="宋体"/>
          <w:color w:val="000000"/>
        </w:rPr>
      </w:pPr>
    </w:p>
    <w:p w14:paraId="6533129B">
      <w:pPr>
        <w:rPr>
          <w:rFonts w:ascii="宋体" w:hAnsi="宋体" w:cs="宋体"/>
          <w:color w:val="000000"/>
        </w:rPr>
      </w:pPr>
    </w:p>
    <w:p w14:paraId="526667FC">
      <w:pPr>
        <w:pStyle w:val="20"/>
        <w:rPr>
          <w:rFonts w:ascii="宋体" w:hAnsi="宋体" w:cs="宋体"/>
          <w:color w:val="000000"/>
        </w:rPr>
      </w:pPr>
    </w:p>
    <w:p w14:paraId="35798236">
      <w:pPr>
        <w:rPr>
          <w:rFonts w:ascii="宋体" w:hAnsi="宋体" w:cs="宋体"/>
          <w:color w:val="000000"/>
        </w:rPr>
      </w:pPr>
    </w:p>
    <w:p w14:paraId="71B2C268">
      <w:pPr>
        <w:pStyle w:val="2"/>
        <w:rPr>
          <w:rFonts w:ascii="宋体" w:hAnsi="宋体" w:cs="宋体"/>
          <w:color w:val="000000"/>
        </w:rPr>
      </w:pPr>
    </w:p>
    <w:p w14:paraId="08DADC3F">
      <w:pPr>
        <w:rPr>
          <w:rFonts w:ascii="宋体" w:hAnsi="宋体" w:cs="宋体"/>
          <w:color w:val="000000"/>
        </w:rPr>
      </w:pPr>
    </w:p>
    <w:p w14:paraId="3E3250C8">
      <w:pPr>
        <w:pStyle w:val="2"/>
        <w:rPr>
          <w:rFonts w:ascii="宋体" w:hAnsi="宋体" w:cs="宋体"/>
          <w:color w:val="000000"/>
        </w:rPr>
      </w:pPr>
    </w:p>
    <w:p w14:paraId="0AC45F1C">
      <w:pPr>
        <w:rPr>
          <w:rFonts w:ascii="宋体" w:hAnsi="宋体" w:cs="宋体"/>
          <w:color w:val="000000"/>
        </w:rPr>
      </w:pPr>
    </w:p>
    <w:p w14:paraId="265FE6D2">
      <w:pPr>
        <w:pStyle w:val="2"/>
        <w:rPr>
          <w:rFonts w:ascii="宋体" w:hAnsi="宋体" w:cs="宋体"/>
          <w:color w:val="000000"/>
        </w:rPr>
      </w:pPr>
    </w:p>
    <w:p w14:paraId="33C3AED6">
      <w:pPr>
        <w:rPr>
          <w:rFonts w:ascii="宋体" w:hAnsi="宋体" w:cs="宋体"/>
          <w:color w:val="000000"/>
        </w:rPr>
      </w:pPr>
    </w:p>
    <w:p w14:paraId="361FF23B">
      <w:pPr>
        <w:pStyle w:val="2"/>
        <w:rPr>
          <w:rFonts w:ascii="宋体" w:hAnsi="宋体" w:cs="宋体"/>
          <w:color w:val="000000"/>
        </w:rPr>
      </w:pPr>
    </w:p>
    <w:p w14:paraId="3744A1F4"/>
    <w:p w14:paraId="31F6000B">
      <w:pPr>
        <w:pStyle w:val="20"/>
      </w:pPr>
    </w:p>
    <w:p w14:paraId="0154C600">
      <w:pPr>
        <w:pStyle w:val="20"/>
      </w:pPr>
    </w:p>
    <w:p w14:paraId="47F091DD">
      <w:pPr>
        <w:pStyle w:val="18"/>
        <w:spacing w:before="0" w:after="0" w:line="360" w:lineRule="auto"/>
        <w:rPr>
          <w:rFonts w:ascii="宋体" w:hAnsi="宋体" w:cs="宋体"/>
          <w:color w:val="000000"/>
          <w:szCs w:val="36"/>
          <w:lang w:val="zh-CN"/>
        </w:rPr>
      </w:pPr>
      <w:bookmarkStart w:id="0" w:name="_Toc20765"/>
      <w:bookmarkStart w:id="1" w:name="_Toc12766"/>
      <w:bookmarkStart w:id="2" w:name="_Toc4002"/>
      <w:r>
        <w:rPr>
          <w:rFonts w:hint="eastAsia" w:ascii="宋体" w:hAnsi="宋体" w:cs="宋体"/>
          <w:color w:val="000000"/>
          <w:szCs w:val="36"/>
          <w:lang w:val="zh-CN"/>
        </w:rPr>
        <w:t>第一部分  投标邀请</w:t>
      </w:r>
      <w:bookmarkEnd w:id="0"/>
      <w:bookmarkEnd w:id="1"/>
      <w:bookmarkEnd w:id="2"/>
    </w:p>
    <w:p w14:paraId="39321787">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青海凌星项目管理有限公司（以下均简称“采购代理机构”）受</w:t>
      </w:r>
      <w:r>
        <w:rPr>
          <w:rFonts w:hint="eastAsia" w:ascii="宋体" w:hAnsi="宋体" w:cs="宋体"/>
          <w:kern w:val="0"/>
          <w:lang w:val="zh-CN"/>
        </w:rPr>
        <w:t xml:space="preserve">西宁市城中区教育局 </w:t>
      </w:r>
      <w:r>
        <w:rPr>
          <w:rFonts w:hint="eastAsia" w:ascii="宋体" w:hAnsi="宋体" w:cs="宋体"/>
          <w:color w:val="000000"/>
          <w:kern w:val="0"/>
          <w:lang w:val="zh-CN"/>
        </w:rPr>
        <w:t>（以下均简称“采购人”）委托,拟对</w:t>
      </w:r>
      <w:r>
        <w:rPr>
          <w:rFonts w:hint="eastAsia" w:ascii="宋体" w:hAnsi="宋体" w:cs="宋体"/>
          <w:color w:val="000000"/>
          <w:kern w:val="0"/>
          <w:highlight w:val="none"/>
          <w:lang w:val="zh-CN"/>
        </w:rPr>
        <w:t>城中区区属学校数字化建设项目（平台服务类）</w:t>
      </w:r>
      <w:r>
        <w:rPr>
          <w:rFonts w:hint="eastAsia" w:ascii="宋体" w:hAnsi="宋体" w:cs="宋体"/>
          <w:kern w:val="0"/>
          <w:lang w:val="zh-CN"/>
        </w:rPr>
        <w:t>进行国内公开招标</w:t>
      </w:r>
      <w:r>
        <w:rPr>
          <w:rFonts w:hint="eastAsia" w:ascii="宋体" w:hAnsi="宋体" w:cs="宋体"/>
          <w:color w:val="000000"/>
          <w:kern w:val="0"/>
          <w:lang w:val="zh-CN"/>
        </w:rPr>
        <w:t>，现予以公告，欢迎潜在的投标人参加本次政府采购活动。</w:t>
      </w:r>
    </w:p>
    <w:tbl>
      <w:tblPr>
        <w:tblStyle w:val="21"/>
        <w:tblW w:w="9128" w:type="dxa"/>
        <w:jc w:val="center"/>
        <w:tblLayout w:type="fixed"/>
        <w:tblCellMar>
          <w:top w:w="0" w:type="dxa"/>
          <w:left w:w="108" w:type="dxa"/>
          <w:bottom w:w="0" w:type="dxa"/>
          <w:right w:w="108" w:type="dxa"/>
        </w:tblCellMar>
      </w:tblPr>
      <w:tblGrid>
        <w:gridCol w:w="2400"/>
        <w:gridCol w:w="6728"/>
      </w:tblGrid>
      <w:tr w14:paraId="751BAE4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6A5F052">
            <w:pPr>
              <w:autoSpaceDE w:val="0"/>
              <w:autoSpaceDN w:val="0"/>
              <w:adjustRightInd w:val="0"/>
              <w:spacing w:line="360" w:lineRule="auto"/>
              <w:rPr>
                <w:rFonts w:ascii="宋体" w:hAnsi="宋体" w:cs="宋体"/>
                <w:color w:val="000000"/>
                <w:kern w:val="0"/>
                <w:lang w:val="zh-CN"/>
              </w:rPr>
            </w:pPr>
            <w:bookmarkStart w:id="3" w:name="_Toc428180535"/>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4C66DA1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青海凌星公招（服务）2025-115</w:t>
            </w:r>
          </w:p>
        </w:tc>
      </w:tr>
      <w:tr w14:paraId="170E1DD3">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0B7CA8D">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14:paraId="4BE4CB7B">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城中区区属学校数字化建设项目（平台服务类）</w:t>
            </w:r>
          </w:p>
        </w:tc>
      </w:tr>
      <w:tr w14:paraId="05D6A9D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63E786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1D35CF2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14:paraId="1B46B054">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63586DB">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14:paraId="24BA3693">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en-US" w:eastAsia="zh-CN"/>
              </w:rPr>
              <w:t>1302000.00元</w:t>
            </w:r>
          </w:p>
        </w:tc>
      </w:tr>
      <w:tr w14:paraId="0986FBA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9CA39C7">
            <w:pPr>
              <w:autoSpaceDE w:val="0"/>
              <w:autoSpaceDN w:val="0"/>
              <w:adjustRightInd w:val="0"/>
              <w:spacing w:line="360" w:lineRule="auto"/>
              <w:rPr>
                <w:rFonts w:ascii="宋体" w:hAnsi="宋体" w:cs="宋体"/>
                <w:color w:val="000000"/>
                <w:kern w:val="0"/>
                <w:highlight w:val="none"/>
              </w:rPr>
            </w:pPr>
            <w:r>
              <w:rPr>
                <w:rFonts w:hint="eastAsia" w:ascii="宋体" w:hAnsi="宋体" w:cs="宋体"/>
                <w:color w:val="000000"/>
                <w:kern w:val="0"/>
                <w:highlight w:val="none"/>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0F6B066D">
            <w:pPr>
              <w:autoSpaceDE w:val="0"/>
              <w:autoSpaceDN w:val="0"/>
              <w:adjustRightInd w:val="0"/>
              <w:spacing w:line="360" w:lineRule="auto"/>
              <w:rPr>
                <w:rFonts w:ascii="宋体" w:hAnsi="宋体" w:cs="宋体"/>
                <w:kern w:val="0"/>
                <w:highlight w:val="none"/>
              </w:rPr>
            </w:pPr>
            <w:r>
              <w:rPr>
                <w:rFonts w:hint="eastAsia" w:ascii="宋体" w:hAnsi="宋体" w:cs="宋体"/>
                <w:kern w:val="0"/>
                <w:highlight w:val="none"/>
                <w:lang w:val="en-US" w:eastAsia="zh-CN"/>
              </w:rPr>
              <w:t>1302000.00元</w:t>
            </w:r>
          </w:p>
        </w:tc>
      </w:tr>
      <w:tr w14:paraId="5CE8BDA6">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B2EB571">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14:paraId="665881C5">
            <w:pPr>
              <w:autoSpaceDE w:val="0"/>
              <w:autoSpaceDN w:val="0"/>
              <w:adjustRightInd w:val="0"/>
              <w:spacing w:line="360" w:lineRule="auto"/>
              <w:rPr>
                <w:rFonts w:ascii="宋体" w:hAnsi="宋体" w:cs="宋体"/>
                <w:color w:val="000000"/>
                <w:kern w:val="0"/>
                <w:highlight w:val="yellow"/>
              </w:rPr>
            </w:pPr>
            <w:r>
              <w:rPr>
                <w:rFonts w:hint="eastAsia" w:ascii="宋体" w:hAnsi="宋体" w:cs="宋体"/>
                <w:color w:val="000000"/>
                <w:kern w:val="0"/>
              </w:rPr>
              <w:t>无</w:t>
            </w:r>
          </w:p>
        </w:tc>
      </w:tr>
      <w:tr w14:paraId="5F7DBB4E">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951EBF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00029C3D">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招标内容：具体内容详见《招标文件》</w:t>
            </w:r>
          </w:p>
        </w:tc>
      </w:tr>
      <w:tr w14:paraId="5CC06BE9">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111A76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17D474C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rPr>
              <w:t>按照《政府采购法》第22条规定提供以下相关材料</w:t>
            </w:r>
            <w:r>
              <w:rPr>
                <w:rFonts w:hint="eastAsia" w:ascii="宋体" w:hAnsi="宋体" w:cs="宋体"/>
                <w:color w:val="000000"/>
                <w:kern w:val="0"/>
                <w:lang w:val="zh-CN"/>
              </w:rPr>
              <w:t>：</w:t>
            </w:r>
          </w:p>
          <w:p w14:paraId="7B8E26CF">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w:t>
            </w:r>
            <w:r>
              <w:rPr>
                <w:rFonts w:hint="eastAsia" w:ascii="宋体" w:hAnsi="宋体" w:cs="宋体"/>
                <w:color w:val="000000"/>
                <w:kern w:val="0"/>
                <w:lang w:val="zh-CN"/>
              </w:rPr>
              <w:t>1</w:t>
            </w:r>
            <w:r>
              <w:rPr>
                <w:rFonts w:hint="eastAsia" w:ascii="宋体" w:hAnsi="宋体" w:cs="宋体"/>
                <w:color w:val="000000"/>
                <w:kern w:val="0"/>
              </w:rPr>
              <w:t>)</w:t>
            </w:r>
            <w:r>
              <w:rPr>
                <w:rFonts w:hint="eastAsia" w:ascii="宋体" w:hAnsi="宋体" w:cs="宋体"/>
                <w:color w:val="000000"/>
                <w:kern w:val="0"/>
                <w:lang w:val="zh-CN"/>
              </w:rPr>
              <w:t>投标人的营业执照等证明文件</w:t>
            </w:r>
            <w:r>
              <w:rPr>
                <w:rFonts w:hint="eastAsia" w:ascii="宋体" w:hAnsi="宋体" w:cs="宋体"/>
                <w:kern w:val="0"/>
                <w:lang w:val="zh-CN"/>
              </w:rPr>
              <w:t>，自然人的身份证明。</w:t>
            </w:r>
          </w:p>
          <w:p w14:paraId="3055B15E">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w:t>
            </w:r>
            <w:r>
              <w:rPr>
                <w:rFonts w:hint="eastAsia" w:ascii="宋体" w:hAnsi="宋体" w:cs="宋体"/>
                <w:color w:val="000000"/>
                <w:kern w:val="0"/>
                <w:lang w:val="zh-CN"/>
              </w:rPr>
              <w:t>2</w:t>
            </w:r>
            <w:r>
              <w:rPr>
                <w:rFonts w:hint="eastAsia" w:ascii="宋体" w:hAnsi="宋体" w:cs="宋体"/>
                <w:color w:val="000000"/>
                <w:kern w:val="0"/>
              </w:rPr>
              <w:t>)</w:t>
            </w:r>
            <w:r>
              <w:rPr>
                <w:rFonts w:hint="eastAsia" w:ascii="宋体" w:hAnsi="宋体" w:cs="宋体"/>
                <w:color w:val="000000"/>
                <w:kern w:val="0"/>
                <w:lang w:val="zh-CN"/>
              </w:rPr>
              <w:t>财务状况报告，依法缴纳税收和社会保障资金的相关材料。</w:t>
            </w:r>
          </w:p>
          <w:p w14:paraId="06058099">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w:t>
            </w:r>
            <w:r>
              <w:rPr>
                <w:rFonts w:hint="eastAsia" w:ascii="宋体" w:hAnsi="宋体" w:cs="宋体"/>
                <w:color w:val="000000"/>
                <w:kern w:val="0"/>
                <w:lang w:val="zh-CN"/>
              </w:rPr>
              <w:t>3</w:t>
            </w:r>
            <w:r>
              <w:rPr>
                <w:rFonts w:hint="eastAsia" w:ascii="宋体" w:hAnsi="宋体" w:cs="宋体"/>
                <w:color w:val="000000"/>
                <w:kern w:val="0"/>
              </w:rPr>
              <w:t>)</w:t>
            </w:r>
            <w:r>
              <w:rPr>
                <w:rFonts w:hint="eastAsia" w:ascii="宋体" w:hAnsi="宋体" w:cs="宋体"/>
                <w:color w:val="000000"/>
                <w:kern w:val="0"/>
                <w:lang w:val="en-US" w:eastAsia="zh-CN"/>
              </w:rPr>
              <w:t>具有履行合同所必需的设备和专业技术能力</w:t>
            </w:r>
            <w:r>
              <w:rPr>
                <w:rFonts w:hint="eastAsia" w:ascii="宋体" w:hAnsi="宋体" w:cs="宋体"/>
                <w:color w:val="000000"/>
                <w:kern w:val="0"/>
                <w:lang w:val="zh-CN"/>
              </w:rPr>
              <w:t>的证明材料。</w:t>
            </w:r>
          </w:p>
          <w:p w14:paraId="4D35F639">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w:t>
            </w:r>
            <w:r>
              <w:rPr>
                <w:rFonts w:hint="eastAsia" w:ascii="宋体" w:hAnsi="宋体" w:cs="宋体"/>
                <w:color w:val="000000"/>
                <w:kern w:val="0"/>
                <w:lang w:val="zh-CN"/>
              </w:rPr>
              <w:t>4</w:t>
            </w:r>
            <w:r>
              <w:rPr>
                <w:rFonts w:hint="eastAsia" w:ascii="宋体" w:hAnsi="宋体" w:cs="宋体"/>
                <w:color w:val="000000"/>
                <w:kern w:val="0"/>
              </w:rPr>
              <w:t>)</w:t>
            </w:r>
            <w:r>
              <w:rPr>
                <w:rFonts w:hint="eastAsia" w:ascii="宋体" w:hAnsi="宋体" w:cs="宋体"/>
                <w:color w:val="000000"/>
                <w:kern w:val="0"/>
                <w:lang w:val="zh-CN"/>
              </w:rPr>
              <w:t>参加政府采购活动前3年内在经营活动中没有重大违法记录的书面声明。</w:t>
            </w:r>
          </w:p>
          <w:p w14:paraId="70F538A2">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w:t>
            </w:r>
            <w:r>
              <w:rPr>
                <w:rFonts w:hint="eastAsia" w:ascii="宋体" w:hAnsi="宋体" w:cs="宋体"/>
                <w:color w:val="000000"/>
                <w:kern w:val="0"/>
                <w:lang w:val="zh-CN"/>
              </w:rPr>
              <w:t>5</w:t>
            </w:r>
            <w:r>
              <w:rPr>
                <w:rFonts w:hint="eastAsia" w:ascii="宋体" w:hAnsi="宋体" w:cs="宋体"/>
                <w:color w:val="000000"/>
                <w:kern w:val="0"/>
              </w:rPr>
              <w:t>)</w:t>
            </w:r>
            <w:r>
              <w:rPr>
                <w:rFonts w:hint="eastAsia" w:ascii="宋体" w:hAnsi="宋体" w:cs="宋体"/>
                <w:color w:val="000000"/>
                <w:kern w:val="0"/>
                <w:lang w:val="zh-CN"/>
              </w:rPr>
              <w:t>具备法律、行政法规规定的其他条件的证明材料。</w:t>
            </w:r>
          </w:p>
          <w:p w14:paraId="398B5D03">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kern w:val="0"/>
              </w:rPr>
              <w:t xml:space="preserve"> </w:t>
            </w:r>
            <w:r>
              <w:rPr>
                <w:rFonts w:hint="eastAsia" w:ascii="宋体" w:hAnsi="宋体" w:cs="宋体"/>
                <w:kern w:val="0"/>
                <w:lang w:val="zh-CN"/>
              </w:rPr>
              <w:t>经信用中国（www.creditchina.gov.cn）、中国政府采购网（www.ccgp.gov.cn）等渠道查询后，列入失信被执行人、重大税收违法失信主体、政府采购严重违法失信行为记录名单的，取消投标资格。</w:t>
            </w:r>
          </w:p>
          <w:p w14:paraId="27F05638">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14:paraId="5B8686AF">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14:paraId="405D74E0">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w:t>
            </w:r>
            <w:r>
              <w:rPr>
                <w:rFonts w:hint="eastAsia" w:ascii="宋体" w:hAnsi="宋体" w:cs="宋体"/>
                <w:kern w:val="0"/>
                <w:lang w:val="zh-CN"/>
              </w:rPr>
              <w:t>目不接受投标</w:t>
            </w:r>
            <w:r>
              <w:rPr>
                <w:rFonts w:hint="eastAsia" w:ascii="宋体" w:hAnsi="宋体" w:cs="宋体"/>
                <w:color w:val="000000"/>
                <w:kern w:val="0"/>
                <w:lang w:val="zh-CN"/>
              </w:rPr>
              <w:t>人以联合体方式进行投标；</w:t>
            </w:r>
          </w:p>
        </w:tc>
      </w:tr>
      <w:tr w14:paraId="6B0C8F42">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274DB11">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4646A4B5">
            <w:pPr>
              <w:autoSpaceDE w:val="0"/>
              <w:autoSpaceDN w:val="0"/>
              <w:adjustRightInd w:val="0"/>
              <w:spacing w:line="360" w:lineRule="auto"/>
              <w:rPr>
                <w:rFonts w:ascii="宋体" w:hAnsi="宋体" w:cs="宋体"/>
                <w:kern w:val="0"/>
                <w:highlight w:val="none"/>
                <w:u w:val="dashDotHeavy"/>
                <w:lang w:val="zh-CN"/>
              </w:rPr>
            </w:pPr>
            <w:r>
              <w:rPr>
                <w:rFonts w:hint="eastAsia" w:ascii="宋体" w:hAnsi="宋体" w:cs="宋体"/>
                <w:kern w:val="0"/>
                <w:highlight w:val="none"/>
                <w:lang w:val="zh-CN"/>
              </w:rPr>
              <w:t>20</w:t>
            </w:r>
            <w:r>
              <w:rPr>
                <w:rFonts w:hint="eastAsia" w:ascii="宋体" w:hAnsi="宋体" w:cs="宋体"/>
                <w:kern w:val="0"/>
                <w:highlight w:val="none"/>
              </w:rPr>
              <w:t>2</w:t>
            </w:r>
            <w:r>
              <w:rPr>
                <w:rFonts w:hint="eastAsia" w:ascii="宋体" w:hAnsi="宋体" w:cs="宋体"/>
                <w:kern w:val="0"/>
                <w:highlight w:val="none"/>
                <w:lang w:val="en-US" w:eastAsia="zh-CN"/>
              </w:rPr>
              <w:t>5</w:t>
            </w:r>
            <w:r>
              <w:rPr>
                <w:rFonts w:hint="eastAsia" w:ascii="宋体" w:hAnsi="宋体" w:cs="宋体"/>
                <w:kern w:val="0"/>
                <w:highlight w:val="none"/>
                <w:lang w:val="zh-CN"/>
              </w:rPr>
              <w:t>年</w:t>
            </w:r>
            <w:r>
              <w:rPr>
                <w:rFonts w:hint="eastAsia" w:ascii="宋体" w:hAnsi="宋体" w:cs="宋体"/>
                <w:kern w:val="0"/>
                <w:highlight w:val="none"/>
                <w:lang w:val="en-US" w:eastAsia="zh-CN"/>
              </w:rPr>
              <w:t>06月30日</w:t>
            </w:r>
          </w:p>
        </w:tc>
      </w:tr>
      <w:tr w14:paraId="1B47ABB1">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E824EC8">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14:paraId="6787F982">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zh-CN"/>
              </w:rPr>
              <w:t>20</w:t>
            </w:r>
            <w:r>
              <w:rPr>
                <w:rFonts w:hint="eastAsia" w:ascii="宋体" w:hAnsi="宋体" w:cs="宋体"/>
                <w:kern w:val="0"/>
                <w:highlight w:val="none"/>
              </w:rPr>
              <w:t>2</w:t>
            </w:r>
            <w:r>
              <w:rPr>
                <w:rFonts w:hint="eastAsia" w:ascii="宋体" w:hAnsi="宋体" w:cs="宋体"/>
                <w:kern w:val="0"/>
                <w:highlight w:val="none"/>
                <w:lang w:val="en-US" w:eastAsia="zh-CN"/>
              </w:rPr>
              <w:t>5</w:t>
            </w:r>
            <w:r>
              <w:rPr>
                <w:rFonts w:hint="eastAsia" w:ascii="宋体" w:hAnsi="宋体" w:cs="宋体"/>
                <w:kern w:val="0"/>
                <w:highlight w:val="none"/>
                <w:lang w:val="zh-CN"/>
              </w:rPr>
              <w:t>年</w:t>
            </w:r>
            <w:r>
              <w:rPr>
                <w:rFonts w:hint="eastAsia" w:ascii="宋体" w:hAnsi="宋体" w:cs="宋体"/>
                <w:kern w:val="0"/>
                <w:highlight w:val="none"/>
                <w:lang w:val="en-US" w:eastAsia="zh-CN"/>
              </w:rPr>
              <w:t>07</w:t>
            </w:r>
            <w:r>
              <w:rPr>
                <w:rFonts w:hint="eastAsia" w:ascii="宋体" w:hAnsi="宋体" w:cs="宋体"/>
                <w:kern w:val="0"/>
                <w:highlight w:val="none"/>
                <w:lang w:val="zh-CN"/>
              </w:rPr>
              <w:t>月</w:t>
            </w:r>
            <w:r>
              <w:rPr>
                <w:rFonts w:hint="eastAsia" w:ascii="宋体" w:hAnsi="宋体" w:cs="宋体"/>
                <w:kern w:val="0"/>
                <w:highlight w:val="none"/>
                <w:lang w:val="en-US" w:eastAsia="zh-CN"/>
              </w:rPr>
              <w:t>01</w:t>
            </w:r>
            <w:r>
              <w:rPr>
                <w:rFonts w:hint="eastAsia" w:ascii="宋体" w:hAnsi="宋体" w:cs="宋体"/>
                <w:kern w:val="0"/>
                <w:highlight w:val="none"/>
                <w:lang w:val="zh-CN"/>
              </w:rPr>
              <w:t>日至202</w:t>
            </w:r>
            <w:r>
              <w:rPr>
                <w:rFonts w:hint="eastAsia" w:ascii="宋体" w:hAnsi="宋体" w:cs="宋体"/>
                <w:kern w:val="0"/>
                <w:highlight w:val="none"/>
                <w:lang w:val="en-US" w:eastAsia="zh-CN"/>
              </w:rPr>
              <w:t>5</w:t>
            </w:r>
            <w:r>
              <w:rPr>
                <w:rFonts w:hint="eastAsia" w:ascii="宋体" w:hAnsi="宋体" w:cs="宋体"/>
                <w:kern w:val="0"/>
                <w:highlight w:val="none"/>
                <w:lang w:val="zh-CN"/>
              </w:rPr>
              <w:t>年</w:t>
            </w:r>
            <w:r>
              <w:rPr>
                <w:rFonts w:hint="eastAsia" w:ascii="宋体" w:hAnsi="宋体" w:cs="宋体"/>
                <w:kern w:val="0"/>
                <w:highlight w:val="none"/>
                <w:lang w:val="en-US" w:eastAsia="zh-CN"/>
              </w:rPr>
              <w:t>07</w:t>
            </w:r>
            <w:r>
              <w:rPr>
                <w:rFonts w:hint="eastAsia" w:ascii="宋体" w:hAnsi="宋体" w:cs="宋体"/>
                <w:kern w:val="0"/>
                <w:highlight w:val="none"/>
                <w:lang w:val="zh-CN"/>
              </w:rPr>
              <w:t>月</w:t>
            </w:r>
            <w:r>
              <w:rPr>
                <w:rFonts w:hint="eastAsia" w:ascii="宋体" w:hAnsi="宋体" w:cs="宋体"/>
                <w:kern w:val="0"/>
                <w:highlight w:val="none"/>
                <w:lang w:val="en-US" w:eastAsia="zh-CN"/>
              </w:rPr>
              <w:t>07</w:t>
            </w:r>
            <w:r>
              <w:rPr>
                <w:rFonts w:hint="eastAsia" w:ascii="宋体" w:hAnsi="宋体" w:cs="宋体"/>
                <w:kern w:val="0"/>
                <w:highlight w:val="none"/>
                <w:lang w:val="zh-CN"/>
              </w:rPr>
              <w:t>日，</w:t>
            </w:r>
            <w:r>
              <w:rPr>
                <w:rFonts w:ascii="宋体" w:hAnsi="Calibri" w:cs="宋体"/>
                <w:highlight w:val="none"/>
              </w:rPr>
              <w:t>上午00:00至12:00，下午12:00至23:59（北京时间，法定节假日除外）</w:t>
            </w:r>
          </w:p>
        </w:tc>
      </w:tr>
      <w:tr w14:paraId="26807148">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4617E8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45CB8268">
            <w:pPr>
              <w:autoSpaceDE w:val="0"/>
              <w:autoSpaceDN w:val="0"/>
              <w:adjustRightInd w:val="0"/>
              <w:spacing w:line="360" w:lineRule="auto"/>
              <w:rPr>
                <w:rFonts w:ascii="宋体" w:hAnsi="宋体" w:cs="宋体"/>
                <w:bCs/>
              </w:rPr>
            </w:pPr>
            <w:r>
              <w:rPr>
                <w:rFonts w:ascii="宋体" w:hAnsi="宋体" w:cs="宋体"/>
                <w:bCs/>
              </w:rPr>
              <w:t>政采云平台线上获取</w:t>
            </w:r>
          </w:p>
          <w:p w14:paraId="67BBC392">
            <w:pPr>
              <w:autoSpaceDE w:val="0"/>
              <w:autoSpaceDN w:val="0"/>
              <w:adjustRightInd w:val="0"/>
              <w:spacing w:line="360" w:lineRule="auto"/>
              <w:rPr>
                <w:rFonts w:ascii="宋体" w:hAnsi="宋体" w:cs="宋体"/>
                <w:color w:val="000000"/>
                <w:kern w:val="0"/>
              </w:rPr>
            </w:pPr>
            <w:r>
              <w:rPr>
                <w:rFonts w:ascii="宋体" w:hAnsi="宋体" w:cs="宋体"/>
                <w:bCs/>
                <w:color w:val="000000"/>
                <w:kern w:val="0"/>
              </w:rPr>
              <w:t>供应商登录政采云平台https://www.zcygov.cn/在线申请获取招标文件（进入“项目采购”应用，在获取招标文件菜单中选择项目，申请获取招标文件）</w:t>
            </w:r>
          </w:p>
        </w:tc>
      </w:tr>
      <w:tr w14:paraId="347AD0C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14EDBA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6F6A6C75">
            <w:pPr>
              <w:pStyle w:val="9"/>
              <w:spacing w:line="360" w:lineRule="auto"/>
              <w:jc w:val="both"/>
              <w:rPr>
                <w:rFonts w:ascii="宋体" w:hAnsi="宋体" w:cs="宋体"/>
                <w:color w:val="000000"/>
                <w:kern w:val="0"/>
                <w:lang w:val="zh-CN"/>
              </w:rPr>
            </w:pPr>
            <w:r>
              <w:rPr>
                <w:rFonts w:hint="eastAsia" w:ascii="宋体" w:hAnsi="宋体" w:cs="宋体"/>
                <w:color w:val="000000"/>
                <w:kern w:val="0"/>
              </w:rPr>
              <w:t>0</w:t>
            </w:r>
            <w:r>
              <w:rPr>
                <w:rFonts w:hint="eastAsia" w:ascii="宋体" w:hAnsi="宋体" w:cs="宋体"/>
                <w:color w:val="000000"/>
                <w:kern w:val="0"/>
                <w:lang w:val="zh-CN"/>
              </w:rPr>
              <w:t>元（政采云平台网上下载）</w:t>
            </w:r>
          </w:p>
        </w:tc>
      </w:tr>
      <w:tr w14:paraId="4576EDC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949A69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05A2B378">
            <w:pPr>
              <w:pStyle w:val="9"/>
              <w:spacing w:line="360" w:lineRule="auto"/>
              <w:jc w:val="both"/>
              <w:rPr>
                <w:rFonts w:ascii="宋体" w:hAnsi="宋体" w:cs="宋体"/>
                <w:color w:val="000000"/>
                <w:kern w:val="0"/>
              </w:rPr>
            </w:pPr>
            <w:r>
              <w:rPr>
                <w:rFonts w:ascii="宋体" w:hAnsi="宋体"/>
                <w:kern w:val="0"/>
              </w:rPr>
              <w:t>政采云平台（</w:t>
            </w:r>
            <w:r>
              <w:rPr>
                <w:rFonts w:ascii="宋体" w:hAnsi="宋体"/>
                <w:bCs/>
                <w:i/>
                <w:iCs/>
                <w:kern w:val="0"/>
              </w:rPr>
              <w:drawing>
                <wp:inline distT="0" distB="0" distL="0" distR="0">
                  <wp:extent cx="189865" cy="163830"/>
                  <wp:effectExtent l="0" t="0" r="635" b="7620"/>
                  <wp:docPr id="1" name="图片 1" descr="C:\Users\Administrator\Desktop\GY\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GY\AppData\Roaming\Tencent\QQTempSys\%W@GJ$ACOF(TYDYECOKVDYB.png"/>
                          <pic:cNvPicPr>
                            <a:picLocks noChangeAspect="1" noChangeArrowheads="1"/>
                          </pic:cNvPicPr>
                        </pic:nvPicPr>
                        <pic:blipFill>
                          <a:blip r:embed="rId10" cstate="print"/>
                          <a:srcRect/>
                          <a:stretch>
                            <a:fillRect/>
                          </a:stretch>
                        </pic:blipFill>
                        <pic:spPr>
                          <a:xfrm>
                            <a:off x="0" y="0"/>
                            <a:ext cx="189865" cy="163830"/>
                          </a:xfrm>
                          <a:prstGeom prst="rect">
                            <a:avLst/>
                          </a:prstGeom>
                          <a:noFill/>
                          <a:ln w="9525">
                            <a:noFill/>
                            <a:miter lim="800000"/>
                            <a:headEnd/>
                            <a:tailEnd/>
                          </a:ln>
                        </pic:spPr>
                      </pic:pic>
                    </a:graphicData>
                  </a:graphic>
                </wp:inline>
              </w:drawing>
            </w:r>
            <w:r>
              <w:rPr>
                <w:rFonts w:ascii="宋体" w:hAnsi="宋体"/>
                <w:kern w:val="0"/>
              </w:rPr>
              <w:t>www.zcygov.cn）线上获取</w:t>
            </w:r>
          </w:p>
        </w:tc>
      </w:tr>
      <w:tr w14:paraId="4420EEC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B55F9F5">
            <w:pPr>
              <w:autoSpaceDE w:val="0"/>
              <w:autoSpaceDN w:val="0"/>
              <w:adjustRightInd w:val="0"/>
              <w:spacing w:line="360" w:lineRule="auto"/>
              <w:rPr>
                <w:rFonts w:ascii="宋体" w:hAnsi="宋体" w:cs="宋体"/>
                <w:color w:val="0D1D0F"/>
                <w:kern w:val="0"/>
                <w:lang w:val="zh-CN"/>
              </w:rPr>
            </w:pPr>
            <w:r>
              <w:rPr>
                <w:rFonts w:hint="eastAsia" w:ascii="宋体" w:hAnsi="宋体" w:cs="宋体"/>
                <w:color w:val="0D1D0F"/>
                <w:kern w:val="0"/>
                <w:lang w:val="zh-CN"/>
              </w:rPr>
              <w:t>投标截止</w:t>
            </w:r>
            <w:r>
              <w:rPr>
                <w:rFonts w:hint="eastAsia" w:ascii="宋体" w:hAnsi="宋体" w:cs="宋体"/>
                <w:color w:val="0D1D0F"/>
                <w:kern w:val="0"/>
              </w:rPr>
              <w:t>时间及</w:t>
            </w:r>
            <w:r>
              <w:rPr>
                <w:rFonts w:hint="eastAsia" w:ascii="宋体" w:hAnsi="宋体" w:cs="宋体"/>
                <w:color w:val="0D1D0F"/>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3D3FF7D0">
            <w:pPr>
              <w:autoSpaceDE w:val="0"/>
              <w:autoSpaceDN w:val="0"/>
              <w:adjustRightInd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2025年07月21日10时00分（北京时间）</w:t>
            </w:r>
          </w:p>
        </w:tc>
      </w:tr>
      <w:tr w14:paraId="628BE7B8">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5A55F1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4AF4E6C4">
            <w:pPr>
              <w:autoSpaceDE w:val="0"/>
              <w:autoSpaceDN w:val="0"/>
              <w:adjustRightInd w:val="0"/>
              <w:spacing w:line="360" w:lineRule="auto"/>
              <w:rPr>
                <w:rFonts w:hint="eastAsia" w:ascii="宋体" w:hAnsi="宋体"/>
                <w:highlight w:val="none"/>
              </w:rPr>
            </w:pPr>
            <w:r>
              <w:rPr>
                <w:rFonts w:hint="eastAsia" w:ascii="宋体" w:hAnsi="宋体"/>
                <w:highlight w:val="none"/>
              </w:rPr>
              <w:t>开标地点：西宁市公共资源交易中心</w:t>
            </w:r>
            <w:r>
              <w:rPr>
                <w:rFonts w:hint="eastAsia" w:ascii="宋体" w:hAnsi="宋体"/>
                <w:highlight w:val="none"/>
                <w:lang w:val="en-US" w:eastAsia="zh-CN"/>
              </w:rPr>
              <w:t>1</w:t>
            </w:r>
            <w:r>
              <w:rPr>
                <w:rFonts w:hint="eastAsia" w:ascii="宋体" w:hAnsi="宋体"/>
                <w:highlight w:val="none"/>
              </w:rPr>
              <w:t>号开标室</w:t>
            </w:r>
          </w:p>
          <w:p w14:paraId="7E6FAEE8">
            <w:pPr>
              <w:autoSpaceDE w:val="0"/>
              <w:autoSpaceDN w:val="0"/>
              <w:adjustRightInd w:val="0"/>
              <w:spacing w:line="360" w:lineRule="auto"/>
              <w:rPr>
                <w:rFonts w:ascii="宋体" w:hAnsi="宋体" w:cs="宋体"/>
                <w:color w:val="auto"/>
                <w:highlight w:val="none"/>
              </w:rPr>
            </w:pPr>
            <w:r>
              <w:rPr>
                <w:rFonts w:hint="eastAsia" w:ascii="宋体" w:hAnsi="宋体" w:cs="宋体"/>
                <w:color w:val="auto"/>
                <w:highlight w:val="none"/>
              </w:rPr>
              <w:t>政采云平台（https://www.zcygov.cn/）进行线上解密</w:t>
            </w:r>
          </w:p>
        </w:tc>
      </w:tr>
      <w:tr w14:paraId="27B9655F">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C9A66F0">
            <w:pPr>
              <w:autoSpaceDE w:val="0"/>
              <w:autoSpaceDN w:val="0"/>
              <w:adjustRightInd w:val="0"/>
              <w:spacing w:line="360" w:lineRule="auto"/>
              <w:rPr>
                <w:rFonts w:ascii="宋体" w:hAnsi="宋体" w:cs="宋体"/>
                <w:color w:val="000000"/>
                <w:kern w:val="0"/>
                <w:highlight w:val="none"/>
                <w:lang w:val="zh-CN"/>
              </w:rPr>
            </w:pPr>
            <w:r>
              <w:rPr>
                <w:rFonts w:hint="eastAsia" w:ascii="宋体" w:hAnsi="宋体"/>
                <w:highlight w:val="none"/>
              </w:rPr>
              <w:t>答疑方式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55BCF70F">
            <w:pPr>
              <w:autoSpaceDE w:val="0"/>
              <w:autoSpaceDN w:val="0"/>
              <w:adjustRightInd w:val="0"/>
              <w:spacing w:line="360" w:lineRule="auto"/>
              <w:rPr>
                <w:rFonts w:ascii="宋体" w:hAnsi="宋体" w:cs="宋体"/>
                <w:bCs/>
                <w:kern w:val="0"/>
                <w:highlight w:val="none"/>
              </w:rPr>
            </w:pPr>
            <w:r>
              <w:rPr>
                <w:rFonts w:hint="eastAsia" w:ascii="宋体" w:hAnsi="宋体"/>
                <w:color w:val="000000"/>
                <w:highlight w:val="none"/>
              </w:rPr>
              <w:t>评标委员会</w:t>
            </w:r>
            <w:r>
              <w:rPr>
                <w:rFonts w:hint="eastAsia" w:ascii="宋体" w:hAnsi="宋体"/>
                <w:highlight w:val="none"/>
              </w:rPr>
              <w:t>根据投标情况确定答疑时间，答疑或澄清采用在</w:t>
            </w:r>
            <w:r>
              <w:rPr>
                <w:rFonts w:hint="eastAsia" w:ascii="宋体" w:hAnsi="宋体" w:cs="宋体"/>
                <w:color w:val="000000"/>
              </w:rPr>
              <w:t>政采云平台</w:t>
            </w:r>
            <w:r>
              <w:rPr>
                <w:rFonts w:hint="eastAsia" w:ascii="宋体" w:hAnsi="宋体"/>
                <w:highlight w:val="none"/>
              </w:rPr>
              <w:t>上进行，投标人可在</w:t>
            </w:r>
            <w:r>
              <w:rPr>
                <w:rFonts w:hint="eastAsia" w:ascii="宋体" w:hAnsi="宋体" w:cs="宋体"/>
                <w:color w:val="000000"/>
              </w:rPr>
              <w:t>政采云平台</w:t>
            </w:r>
            <w:r>
              <w:rPr>
                <w:rFonts w:hint="eastAsia" w:ascii="宋体" w:hAnsi="宋体"/>
                <w:highlight w:val="none"/>
              </w:rPr>
              <w:t>上的“我的澄清”界面了解答疑时间等信息。</w:t>
            </w:r>
            <w:r>
              <w:rPr>
                <w:rFonts w:hint="eastAsia" w:ascii="宋体" w:hAnsi="宋体"/>
                <w:color w:val="000000"/>
                <w:highlight w:val="none"/>
              </w:rPr>
              <w:t>投标人</w:t>
            </w:r>
            <w:r>
              <w:rPr>
                <w:rFonts w:hint="eastAsia" w:ascii="宋体" w:hAnsi="宋体" w:cs="宋体"/>
                <w:highlight w:val="none"/>
              </w:rPr>
              <w:t>须提供准确的联系方式（手机和固定电话），在项目开标、评标时须在线了解开标信息，掌握答疑时间，需由</w:t>
            </w:r>
            <w:r>
              <w:rPr>
                <w:rFonts w:hint="eastAsia" w:ascii="宋体" w:hAnsi="宋体"/>
                <w:color w:val="000000"/>
                <w:highlight w:val="none"/>
              </w:rPr>
              <w:t>法定代表人或委托代理人对评标委员会提出的质疑做出应答。如</w:t>
            </w:r>
            <w:r>
              <w:rPr>
                <w:rFonts w:hint="eastAsia" w:ascii="宋体" w:hAnsi="宋体" w:cs="宋体"/>
                <w:highlight w:val="none"/>
                <w:lang w:val="zh-CN"/>
              </w:rPr>
              <w:t>在规定的时间内联系无果，无法</w:t>
            </w:r>
            <w:r>
              <w:rPr>
                <w:rFonts w:hint="eastAsia" w:ascii="宋体" w:hAnsi="宋体" w:cs="宋体"/>
                <w:highlight w:val="none"/>
              </w:rPr>
              <w:t>在</w:t>
            </w:r>
            <w:r>
              <w:rPr>
                <w:rFonts w:hint="eastAsia" w:ascii="宋体" w:hAnsi="宋体" w:cs="宋体"/>
                <w:color w:val="000000"/>
              </w:rPr>
              <w:t>政采云平台</w:t>
            </w:r>
            <w:r>
              <w:rPr>
                <w:rFonts w:hint="eastAsia" w:ascii="宋体" w:hAnsi="宋体"/>
                <w:highlight w:val="none"/>
              </w:rPr>
              <w:t>上</w:t>
            </w:r>
            <w:r>
              <w:rPr>
                <w:rFonts w:hint="eastAsia" w:ascii="宋体" w:hAnsi="宋体" w:cs="宋体"/>
                <w:highlight w:val="none"/>
                <w:lang w:val="zh-CN"/>
              </w:rPr>
              <w:t>进行答疑者，</w:t>
            </w:r>
            <w:r>
              <w:rPr>
                <w:rFonts w:hint="eastAsia" w:ascii="宋体" w:hAnsi="宋体"/>
                <w:highlight w:val="none"/>
              </w:rPr>
              <w:t>视同放弃答疑</w:t>
            </w:r>
            <w:r>
              <w:rPr>
                <w:rFonts w:hint="eastAsia" w:ascii="宋体" w:hAnsi="宋体"/>
                <w:color w:val="000000"/>
                <w:highlight w:val="none"/>
              </w:rPr>
              <w:t>。</w:t>
            </w:r>
          </w:p>
        </w:tc>
      </w:tr>
      <w:tr w14:paraId="561AC0BF">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ABBCF4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5FDD8735">
            <w:pPr>
              <w:autoSpaceDE w:val="0"/>
              <w:autoSpaceDN w:val="0"/>
              <w:adjustRightInd w:val="0"/>
              <w:spacing w:line="360" w:lineRule="auto"/>
              <w:rPr>
                <w:rFonts w:ascii="宋体" w:hAnsi="Calibri" w:cs="宋体"/>
                <w:kern w:val="0"/>
                <w:lang w:val="zh-CN"/>
              </w:rPr>
            </w:pPr>
            <w:r>
              <w:rPr>
                <w:rFonts w:hint="eastAsia" w:ascii="宋体" w:hAnsi="Calibri" w:cs="宋体"/>
                <w:kern w:val="0"/>
              </w:rPr>
              <w:t>采购单位：</w:t>
            </w:r>
            <w:r>
              <w:rPr>
                <w:rFonts w:hint="eastAsia" w:ascii="宋体" w:hAnsi="宋体" w:cs="宋体"/>
                <w:kern w:val="0"/>
                <w:lang w:val="zh-CN"/>
              </w:rPr>
              <w:t xml:space="preserve">西宁市城中区教育局   </w:t>
            </w:r>
          </w:p>
          <w:p w14:paraId="6FEE73F6">
            <w:pPr>
              <w:autoSpaceDE w:val="0"/>
              <w:autoSpaceDN w:val="0"/>
              <w:adjustRightInd w:val="0"/>
              <w:spacing w:line="360" w:lineRule="auto"/>
              <w:rPr>
                <w:rFonts w:hint="eastAsia" w:ascii="宋体" w:hAnsi="宋体" w:cs="宋体"/>
                <w:kern w:val="0"/>
              </w:rPr>
            </w:pPr>
            <w:r>
              <w:rPr>
                <w:rFonts w:hint="eastAsia" w:ascii="宋体" w:hAnsi="宋体" w:cs="宋体"/>
                <w:kern w:val="0"/>
              </w:rPr>
              <w:t>联系人：刘老师</w:t>
            </w:r>
          </w:p>
          <w:p w14:paraId="7653AF18">
            <w:pPr>
              <w:autoSpaceDE w:val="0"/>
              <w:autoSpaceDN w:val="0"/>
              <w:adjustRightInd w:val="0"/>
              <w:spacing w:line="360" w:lineRule="auto"/>
              <w:rPr>
                <w:rFonts w:hint="eastAsia" w:ascii="宋体" w:hAnsi="宋体" w:cs="宋体"/>
                <w:kern w:val="0"/>
              </w:rPr>
            </w:pPr>
            <w:r>
              <w:rPr>
                <w:rFonts w:hint="eastAsia" w:ascii="宋体" w:hAnsi="宋体" w:cs="宋体"/>
                <w:kern w:val="0"/>
              </w:rPr>
              <w:t>联系电话：0971-4929379</w:t>
            </w:r>
          </w:p>
          <w:p w14:paraId="63AE871C">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联系地址：</w:t>
            </w:r>
            <w:r>
              <w:rPr>
                <w:rFonts w:hint="eastAsia" w:ascii="宋体" w:hAnsi="宋体" w:cs="宋体"/>
                <w:kern w:val="0"/>
                <w:lang w:eastAsia="zh-CN"/>
              </w:rPr>
              <w:t>西宁市城中区解放路4号</w:t>
            </w:r>
          </w:p>
        </w:tc>
      </w:tr>
      <w:tr w14:paraId="7D13852C">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779E16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08A61380">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采购代理机构：青海凌星项目管理有限公司</w:t>
            </w:r>
          </w:p>
          <w:p w14:paraId="12F6000C">
            <w:pPr>
              <w:autoSpaceDE w:val="0"/>
              <w:autoSpaceDN w:val="0"/>
              <w:adjustRightInd w:val="0"/>
              <w:spacing w:line="360" w:lineRule="auto"/>
              <w:rPr>
                <w:rFonts w:ascii="宋体" w:hAnsi="Calibri" w:cs="宋体"/>
                <w:kern w:val="0"/>
                <w:lang w:val="zh-CN"/>
              </w:rPr>
            </w:pPr>
            <w:r>
              <w:rPr>
                <w:rFonts w:hint="eastAsia" w:ascii="宋体" w:hAnsi="宋体" w:cs="宋体"/>
                <w:color w:val="000000"/>
                <w:kern w:val="0"/>
                <w:lang w:val="zh-CN"/>
              </w:rPr>
              <w:t>联系人：</w:t>
            </w:r>
            <w:r>
              <w:rPr>
                <w:rFonts w:hint="eastAsia" w:ascii="宋体" w:hAnsi="Calibri" w:cs="宋体"/>
                <w:kern w:val="0"/>
                <w:lang w:val="zh-CN"/>
              </w:rPr>
              <w:t xml:space="preserve">祁女士  </w:t>
            </w:r>
          </w:p>
          <w:p w14:paraId="0AB82054">
            <w:pPr>
              <w:autoSpaceDE w:val="0"/>
              <w:autoSpaceDN w:val="0"/>
              <w:adjustRightInd w:val="0"/>
              <w:spacing w:line="360" w:lineRule="auto"/>
              <w:rPr>
                <w:rFonts w:ascii="宋体" w:hAnsi="Calibri" w:cs="宋体"/>
                <w:kern w:val="0"/>
                <w:lang w:val="zh-CN"/>
              </w:rPr>
            </w:pPr>
            <w:r>
              <w:rPr>
                <w:rFonts w:hint="eastAsia" w:ascii="宋体" w:hAnsi="宋体" w:cs="宋体"/>
                <w:color w:val="000000"/>
                <w:kern w:val="0"/>
                <w:lang w:val="zh-CN"/>
              </w:rPr>
              <w:t>联系电话：</w:t>
            </w:r>
            <w:r>
              <w:rPr>
                <w:rFonts w:hint="eastAsia" w:ascii="宋体" w:hAnsi="Calibri" w:cs="宋体"/>
                <w:kern w:val="0"/>
                <w:lang w:val="zh-CN"/>
              </w:rPr>
              <w:t>0971-8211766</w:t>
            </w:r>
          </w:p>
          <w:p w14:paraId="520C6B34">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Calibri" w:cs="宋体"/>
                <w:kern w:val="0"/>
                <w:lang w:val="zh-CN"/>
              </w:rPr>
              <w:t>联系地址：</w:t>
            </w:r>
            <w:r>
              <w:rPr>
                <w:rFonts w:hint="eastAsia" w:ascii="宋体" w:hAnsi="宋体" w:cs="宋体"/>
                <w:lang w:eastAsia="zh-CN"/>
              </w:rPr>
              <w:t>青海省西宁市城中区南山路15号（城馨天悦3号楼2楼）</w:t>
            </w:r>
          </w:p>
        </w:tc>
      </w:tr>
      <w:tr w14:paraId="2F82838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479914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14:paraId="616E83DC">
            <w:pPr>
              <w:rPr>
                <w:rFonts w:hint="eastAsia" w:ascii="宋体" w:hAnsi="宋体" w:eastAsia="宋体" w:cs="宋体"/>
                <w:color w:val="000000"/>
                <w:kern w:val="0"/>
                <w:lang w:val="zh-CN" w:eastAsia="zh-CN"/>
              </w:rPr>
            </w:pPr>
            <w:r>
              <w:rPr>
                <w:rFonts w:hint="eastAsia" w:ascii="宋体" w:hAnsi="宋体"/>
                <w:kern w:val="0"/>
                <w:lang w:eastAsia="zh-CN"/>
              </w:rPr>
              <w:t>青海银行股份有限公司南山路支行</w:t>
            </w:r>
          </w:p>
        </w:tc>
      </w:tr>
      <w:tr w14:paraId="2673F1FB">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76CDB4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16A67B89">
            <w:pPr>
              <w:rPr>
                <w:rFonts w:hint="eastAsia" w:ascii="宋体" w:hAnsi="宋体" w:eastAsia="宋体" w:cs="宋体"/>
                <w:color w:val="000000"/>
                <w:kern w:val="0"/>
                <w:lang w:val="zh-CN" w:eastAsia="zh-CN"/>
              </w:rPr>
            </w:pPr>
            <w:r>
              <w:rPr>
                <w:rFonts w:hint="eastAsia" w:ascii="宋体" w:hAnsi="宋体"/>
                <w:kern w:val="0"/>
                <w:lang w:eastAsia="zh-CN"/>
              </w:rPr>
              <w:t>青海凌星项目管理有限公司</w:t>
            </w:r>
          </w:p>
        </w:tc>
      </w:tr>
      <w:tr w14:paraId="5E5779C2">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951760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637057E7">
            <w:pPr>
              <w:rPr>
                <w:rFonts w:hint="eastAsia" w:ascii="宋体" w:hAnsi="宋体" w:eastAsia="宋体" w:cs="宋体"/>
                <w:color w:val="000000"/>
                <w:kern w:val="0"/>
                <w:lang w:val="zh-CN" w:eastAsia="zh-CN"/>
              </w:rPr>
            </w:pPr>
            <w:r>
              <w:rPr>
                <w:rFonts w:hint="eastAsia" w:ascii="宋体" w:hAnsi="宋体"/>
                <w:kern w:val="0"/>
                <w:lang w:eastAsia="zh-CN"/>
              </w:rPr>
              <w:t>1016201000209333</w:t>
            </w:r>
          </w:p>
        </w:tc>
      </w:tr>
      <w:tr w14:paraId="1409B6E1">
        <w:tblPrEx>
          <w:tblCellMar>
            <w:top w:w="0" w:type="dxa"/>
            <w:left w:w="108" w:type="dxa"/>
            <w:bottom w:w="0" w:type="dxa"/>
            <w:right w:w="108" w:type="dxa"/>
          </w:tblCellMar>
        </w:tblPrEx>
        <w:trPr>
          <w:trHeight w:val="102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C36222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14:paraId="220A1C9C">
            <w:pPr>
              <w:numPr>
                <w:ilvl w:val="0"/>
                <w:numId w:val="0"/>
              </w:numPr>
              <w:autoSpaceDE w:val="0"/>
              <w:autoSpaceDN w:val="0"/>
              <w:adjustRightInd w:val="0"/>
              <w:spacing w:line="360" w:lineRule="auto"/>
              <w:rPr>
                <w:rFonts w:hint="eastAsia"/>
                <w:lang w:eastAsia="zh-CN"/>
              </w:rPr>
            </w:pPr>
            <w:r>
              <w:rPr>
                <w:rFonts w:hint="eastAsia" w:ascii="宋体" w:hAnsi="Calibri" w:cs="宋体"/>
                <w:lang w:val="zh-CN"/>
              </w:rPr>
              <w:t>本项目招标公告在《青海政府采购网》《青海省电子招标投标公共服务平台》上发布。公告</w:t>
            </w:r>
            <w:r>
              <w:rPr>
                <w:rFonts w:hint="eastAsia" w:ascii="宋体" w:hAnsi="Calibri" w:cs="宋体"/>
                <w:lang w:val="en-US" w:eastAsia="zh-CN"/>
              </w:rPr>
              <w:t>内容</w:t>
            </w:r>
            <w:r>
              <w:rPr>
                <w:rFonts w:hint="eastAsia" w:ascii="宋体" w:hAnsi="Calibri" w:cs="宋体"/>
                <w:lang w:val="zh-CN"/>
              </w:rPr>
              <w:t>以《青海政府采购网》</w:t>
            </w:r>
            <w:r>
              <w:rPr>
                <w:rFonts w:hint="eastAsia" w:ascii="宋体" w:hAnsi="Calibri" w:cs="宋体"/>
                <w:lang w:val="en-US" w:eastAsia="zh-CN"/>
              </w:rPr>
              <w:t>发布</w:t>
            </w:r>
            <w:r>
              <w:rPr>
                <w:rFonts w:hint="eastAsia" w:ascii="宋体" w:hAnsi="Calibri" w:cs="宋体"/>
                <w:lang w:val="zh-CN"/>
              </w:rPr>
              <w:t>为准。</w:t>
            </w:r>
          </w:p>
        </w:tc>
      </w:tr>
      <w:tr w14:paraId="1B25521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0137EF6">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tcPr>
          <w:p w14:paraId="60E029E3">
            <w:pPr>
              <w:spacing w:line="480" w:lineRule="exact"/>
              <w:rPr>
                <w:rFonts w:hint="default" w:ascii="宋体" w:hAnsi="Calibri" w:cs="宋体"/>
                <w:lang w:val="en-US"/>
              </w:rPr>
            </w:pPr>
            <w:r>
              <w:rPr>
                <w:rFonts w:hint="default" w:ascii="宋体" w:hAnsi="Calibri" w:cs="宋体"/>
                <w:lang w:val="en-US"/>
              </w:rPr>
              <w:t>监督单位：</w:t>
            </w:r>
            <w:r>
              <w:rPr>
                <w:rFonts w:hint="eastAsia" w:ascii="宋体" w:hAnsi="Calibri" w:cs="宋体"/>
                <w:lang w:val="en-US" w:eastAsia="zh-CN"/>
              </w:rPr>
              <w:t>城中区</w:t>
            </w:r>
            <w:r>
              <w:rPr>
                <w:rFonts w:hint="default" w:ascii="宋体" w:hAnsi="Calibri" w:cs="宋体"/>
                <w:lang w:val="en-US"/>
              </w:rPr>
              <w:t>财政局</w:t>
            </w:r>
          </w:p>
          <w:p w14:paraId="26DC2E0A">
            <w:pPr>
              <w:spacing w:line="480" w:lineRule="exact"/>
              <w:rPr>
                <w:rFonts w:hint="default" w:ascii="宋体" w:hAnsi="Calibri" w:eastAsia="宋体" w:cs="宋体"/>
                <w:lang w:val="en-US" w:eastAsia="zh-CN"/>
              </w:rPr>
            </w:pPr>
            <w:r>
              <w:rPr>
                <w:rFonts w:hint="default" w:ascii="宋体" w:hAnsi="Calibri" w:cs="宋体"/>
                <w:lang w:val="en-US"/>
              </w:rPr>
              <w:t>联系电话：0971-</w:t>
            </w:r>
            <w:r>
              <w:rPr>
                <w:rFonts w:hint="eastAsia" w:ascii="宋体" w:hAnsi="Calibri" w:cs="宋体"/>
                <w:lang w:val="en-US" w:eastAsia="zh-CN"/>
              </w:rPr>
              <w:t>8211731</w:t>
            </w:r>
          </w:p>
        </w:tc>
      </w:tr>
    </w:tbl>
    <w:p w14:paraId="17FA3B6A">
      <w:pPr>
        <w:pStyle w:val="18"/>
        <w:spacing w:before="0" w:after="0" w:line="360" w:lineRule="auto"/>
        <w:rPr>
          <w:rFonts w:ascii="宋体" w:hAnsi="宋体" w:cs="宋体"/>
          <w:color w:val="000000"/>
          <w:szCs w:val="36"/>
        </w:rPr>
      </w:pPr>
      <w:r>
        <w:rPr>
          <w:rFonts w:hint="eastAsia" w:ascii="宋体" w:hAnsi="宋体" w:cs="宋体"/>
          <w:color w:val="000000"/>
          <w:lang w:val="zh-CN"/>
        </w:rPr>
        <w:br w:type="page"/>
      </w:r>
      <w:bookmarkEnd w:id="3"/>
      <w:bookmarkStart w:id="4" w:name="_Toc22702"/>
      <w:bookmarkStart w:id="5" w:name="_Toc14319"/>
      <w:bookmarkStart w:id="6" w:name="_Toc27524"/>
      <w:r>
        <w:rPr>
          <w:rFonts w:hint="eastAsia" w:ascii="宋体" w:hAnsi="宋体" w:cs="宋体"/>
          <w:color w:val="000000"/>
          <w:szCs w:val="36"/>
          <w:lang w:val="zh-CN"/>
        </w:rPr>
        <w:t>第二部分  投标人须知</w:t>
      </w:r>
      <w:bookmarkEnd w:id="4"/>
      <w:bookmarkEnd w:id="5"/>
      <w:bookmarkEnd w:id="6"/>
    </w:p>
    <w:p w14:paraId="27282833">
      <w:pPr>
        <w:pStyle w:val="18"/>
        <w:spacing w:before="0" w:after="0" w:line="360" w:lineRule="auto"/>
        <w:rPr>
          <w:rFonts w:ascii="宋体" w:hAnsi="宋体" w:cs="宋体"/>
          <w:color w:val="000000"/>
        </w:rPr>
      </w:pPr>
      <w:bookmarkStart w:id="7" w:name="_Toc5155"/>
      <w:bookmarkStart w:id="8" w:name="_Toc4547"/>
      <w:bookmarkStart w:id="9" w:name="_Toc6152"/>
      <w:r>
        <w:rPr>
          <w:rFonts w:hint="eastAsia" w:ascii="宋体" w:hAnsi="宋体" w:cs="宋体"/>
          <w:color w:val="000000"/>
          <w:lang w:val="zh-CN"/>
        </w:rPr>
        <w:t>一、说明</w:t>
      </w:r>
      <w:bookmarkEnd w:id="7"/>
      <w:bookmarkEnd w:id="8"/>
      <w:bookmarkEnd w:id="9"/>
    </w:p>
    <w:p w14:paraId="5F222CE9">
      <w:pPr>
        <w:pStyle w:val="18"/>
        <w:spacing w:before="0" w:after="0" w:line="360" w:lineRule="auto"/>
        <w:jc w:val="left"/>
        <w:rPr>
          <w:rFonts w:ascii="宋体" w:hAnsi="宋体" w:cs="宋体"/>
          <w:color w:val="000000"/>
          <w:lang w:val="zh-CN"/>
        </w:rPr>
      </w:pPr>
      <w:bookmarkStart w:id="10" w:name="_Toc2176"/>
      <w:bookmarkStart w:id="11" w:name="_Toc10504"/>
      <w:bookmarkStart w:id="12" w:name="_Toc17929"/>
      <w:r>
        <w:rPr>
          <w:rFonts w:hint="eastAsia" w:ascii="宋体" w:hAnsi="宋体" w:cs="宋体"/>
          <w:color w:val="000000"/>
          <w:sz w:val="28"/>
          <w:szCs w:val="28"/>
          <w:lang w:val="zh-CN"/>
        </w:rPr>
        <w:t>1.适用范围</w:t>
      </w:r>
      <w:bookmarkEnd w:id="10"/>
      <w:bookmarkEnd w:id="11"/>
      <w:bookmarkEnd w:id="12"/>
    </w:p>
    <w:p w14:paraId="72893801">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3C0BCD2B">
      <w:pPr>
        <w:pStyle w:val="18"/>
        <w:spacing w:before="0" w:after="0" w:line="360" w:lineRule="auto"/>
        <w:jc w:val="left"/>
        <w:rPr>
          <w:rFonts w:ascii="宋体" w:hAnsi="宋体" w:cs="宋体"/>
          <w:color w:val="000000"/>
          <w:lang w:val="zh-CN"/>
        </w:rPr>
      </w:pPr>
      <w:bookmarkStart w:id="13" w:name="_Toc21843"/>
      <w:bookmarkStart w:id="14" w:name="_Toc30233"/>
      <w:bookmarkStart w:id="15" w:name="_Toc21483"/>
      <w:r>
        <w:rPr>
          <w:rFonts w:hint="eastAsia" w:ascii="宋体" w:hAnsi="宋体" w:cs="宋体"/>
          <w:color w:val="000000"/>
          <w:sz w:val="28"/>
          <w:szCs w:val="28"/>
          <w:lang w:val="zh-CN"/>
        </w:rPr>
        <w:t>2.采购方式、合格的投标人</w:t>
      </w:r>
      <w:bookmarkEnd w:id="13"/>
      <w:bookmarkEnd w:id="14"/>
      <w:bookmarkEnd w:id="15"/>
    </w:p>
    <w:p w14:paraId="260743C6">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19964A60">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p>
    <w:p w14:paraId="7034DAFA">
      <w:pPr>
        <w:pStyle w:val="18"/>
        <w:spacing w:before="0" w:after="0" w:line="360" w:lineRule="auto"/>
        <w:jc w:val="left"/>
        <w:rPr>
          <w:rFonts w:ascii="宋体" w:hAnsi="宋体" w:cs="宋体"/>
          <w:color w:val="000000"/>
          <w:lang w:val="zh-CN"/>
        </w:rPr>
      </w:pPr>
      <w:bookmarkStart w:id="16" w:name="_Toc31983"/>
      <w:bookmarkStart w:id="17" w:name="_Toc28118"/>
      <w:bookmarkStart w:id="18" w:name="_Toc2494"/>
      <w:r>
        <w:rPr>
          <w:rFonts w:hint="eastAsia" w:ascii="宋体" w:hAnsi="宋体" w:cs="宋体"/>
          <w:color w:val="000000"/>
          <w:sz w:val="28"/>
          <w:szCs w:val="28"/>
          <w:lang w:val="zh-CN"/>
        </w:rPr>
        <w:t>3.投标费用</w:t>
      </w:r>
      <w:bookmarkEnd w:id="16"/>
      <w:bookmarkEnd w:id="17"/>
      <w:bookmarkEnd w:id="18"/>
    </w:p>
    <w:p w14:paraId="2F32F38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1F8E4FEA">
      <w:pPr>
        <w:pStyle w:val="18"/>
        <w:spacing w:before="0" w:after="0" w:line="360" w:lineRule="auto"/>
        <w:rPr>
          <w:rFonts w:ascii="宋体" w:hAnsi="宋体" w:cs="宋体"/>
          <w:color w:val="000000"/>
        </w:rPr>
      </w:pPr>
      <w:bookmarkStart w:id="19" w:name="_Toc31496"/>
      <w:bookmarkStart w:id="20" w:name="_Toc27214"/>
      <w:bookmarkStart w:id="21" w:name="_Toc2692"/>
      <w:r>
        <w:rPr>
          <w:rFonts w:hint="eastAsia" w:ascii="宋体" w:hAnsi="宋体" w:cs="宋体"/>
          <w:color w:val="000000"/>
          <w:lang w:val="zh-CN"/>
        </w:rPr>
        <w:t>二、招标文件说明</w:t>
      </w:r>
      <w:bookmarkEnd w:id="19"/>
      <w:bookmarkEnd w:id="20"/>
      <w:bookmarkEnd w:id="21"/>
    </w:p>
    <w:p w14:paraId="6650B567">
      <w:pPr>
        <w:pStyle w:val="18"/>
        <w:spacing w:before="0" w:after="0" w:line="360" w:lineRule="auto"/>
        <w:jc w:val="left"/>
        <w:rPr>
          <w:rFonts w:ascii="宋体" w:hAnsi="宋体" w:cs="宋体"/>
          <w:color w:val="000000"/>
          <w:lang w:val="zh-CN"/>
        </w:rPr>
      </w:pPr>
      <w:bookmarkStart w:id="22" w:name="_Toc1982"/>
      <w:bookmarkStart w:id="23" w:name="_Toc6235"/>
      <w:bookmarkStart w:id="24" w:name="_Toc3125"/>
      <w:r>
        <w:rPr>
          <w:rFonts w:hint="eastAsia" w:ascii="宋体" w:hAnsi="宋体" w:cs="宋体"/>
          <w:color w:val="000000"/>
          <w:sz w:val="28"/>
          <w:szCs w:val="28"/>
          <w:lang w:val="zh-CN"/>
        </w:rPr>
        <w:t>4.招标文件的构成</w:t>
      </w:r>
      <w:bookmarkEnd w:id="22"/>
      <w:bookmarkEnd w:id="23"/>
      <w:bookmarkEnd w:id="24"/>
    </w:p>
    <w:p w14:paraId="0C4CC0B6">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04A2E9D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14:paraId="5E059BC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7C6E5C0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5FB828E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02A3531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）采购项目概况及服务需求</w:t>
      </w:r>
    </w:p>
    <w:p w14:paraId="219E801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04D2AFE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7741C1D7">
      <w:pPr>
        <w:pStyle w:val="18"/>
        <w:spacing w:before="0" w:after="0" w:line="360" w:lineRule="auto"/>
        <w:jc w:val="left"/>
        <w:rPr>
          <w:rFonts w:ascii="宋体" w:hAnsi="宋体" w:cs="宋体"/>
          <w:color w:val="000000"/>
          <w:sz w:val="28"/>
          <w:szCs w:val="28"/>
          <w:lang w:val="zh-CN"/>
        </w:rPr>
      </w:pPr>
      <w:bookmarkStart w:id="25" w:name="_Toc32055"/>
      <w:bookmarkStart w:id="26" w:name="_Toc6557"/>
      <w:bookmarkStart w:id="27" w:name="_Toc14206"/>
      <w:r>
        <w:rPr>
          <w:rFonts w:hint="eastAsia" w:ascii="宋体" w:hAnsi="宋体" w:cs="宋体"/>
          <w:color w:val="000000"/>
          <w:sz w:val="28"/>
          <w:szCs w:val="28"/>
          <w:lang w:val="zh-CN"/>
        </w:rPr>
        <w:t>5.招标文件、采购活动和中标结果的质疑</w:t>
      </w:r>
      <w:bookmarkEnd w:id="25"/>
      <w:bookmarkEnd w:id="26"/>
      <w:bookmarkEnd w:id="27"/>
    </w:p>
    <w:p w14:paraId="249941D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w:t>
      </w:r>
      <w:r>
        <w:rPr>
          <w:rFonts w:hint="eastAsia" w:ascii="Arial" w:hAnsi="Arial" w:cs="Arial"/>
          <w:color w:val="000000"/>
        </w:rPr>
        <w:t>投标人</w:t>
      </w:r>
      <w:r>
        <w:rPr>
          <w:rFonts w:ascii="Arial" w:hAnsi="Arial" w:cs="Arial"/>
          <w:color w:val="000000"/>
        </w:rPr>
        <w:t>已依法获取其可质疑的招标文件的，可以对该文件提出质疑</w:t>
      </w:r>
      <w:r>
        <w:rPr>
          <w:rFonts w:hint="eastAsia" w:ascii="Arial" w:hAnsi="Arial" w:cs="Arial"/>
          <w:color w:val="000000"/>
        </w:rPr>
        <w:t>，</w:t>
      </w:r>
      <w:r>
        <w:rPr>
          <w:rFonts w:ascii="Arial" w:hAnsi="Arial" w:cs="Arial"/>
          <w:color w:val="000000"/>
        </w:rPr>
        <w:t>对招标文件提出质疑的，应当在获取招标文件或者招标文件公告期限届满之日起7个工作日内提出</w:t>
      </w:r>
      <w:r>
        <w:rPr>
          <w:rFonts w:hint="eastAsia" w:ascii="宋体" w:hAnsi="宋体" w:cs="宋体"/>
          <w:color w:val="000000"/>
          <w:kern w:val="0"/>
        </w:rPr>
        <w:t>。</w:t>
      </w:r>
      <w:r>
        <w:rPr>
          <w:rFonts w:hint="eastAsia" w:ascii="Arial" w:hAnsi="Arial" w:cs="Arial"/>
          <w:color w:val="000000"/>
        </w:rPr>
        <w:t>投标人须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14:paraId="3C078E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w:t>
      </w:r>
    </w:p>
    <w:p w14:paraId="3DC40DC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4F20C7B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661C633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6DA390A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1421507B">
      <w:pPr>
        <w:pStyle w:val="18"/>
        <w:spacing w:before="0" w:after="0" w:line="360" w:lineRule="auto"/>
        <w:jc w:val="left"/>
        <w:rPr>
          <w:rFonts w:ascii="宋体" w:hAnsi="宋体" w:cs="宋体"/>
          <w:color w:val="000000"/>
          <w:lang w:val="zh-CN"/>
        </w:rPr>
      </w:pPr>
      <w:bookmarkStart w:id="28" w:name="_Toc21042"/>
      <w:bookmarkStart w:id="29" w:name="_Toc30752"/>
      <w:bookmarkStart w:id="30" w:name="_Toc12132"/>
      <w:r>
        <w:rPr>
          <w:rFonts w:hint="eastAsia" w:ascii="宋体" w:hAnsi="宋体" w:cs="宋体"/>
          <w:color w:val="000000"/>
          <w:sz w:val="28"/>
          <w:szCs w:val="28"/>
          <w:lang w:val="zh-CN"/>
        </w:rPr>
        <w:t>6.招标文件的澄清或修改</w:t>
      </w:r>
      <w:bookmarkEnd w:id="28"/>
      <w:bookmarkEnd w:id="29"/>
      <w:bookmarkEnd w:id="30"/>
    </w:p>
    <w:p w14:paraId="26E4EFA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A122B21">
      <w:pPr>
        <w:autoSpaceDE w:val="0"/>
        <w:autoSpaceDN w:val="0"/>
        <w:spacing w:line="360" w:lineRule="auto"/>
        <w:ind w:firstLine="480" w:firstLineChars="200"/>
        <w:rPr>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356F5138">
      <w:pPr>
        <w:pStyle w:val="18"/>
        <w:spacing w:before="0" w:after="0" w:line="360" w:lineRule="auto"/>
        <w:rPr>
          <w:rFonts w:ascii="宋体" w:hAnsi="宋体" w:cs="宋体"/>
          <w:color w:val="000000"/>
        </w:rPr>
      </w:pPr>
      <w:bookmarkStart w:id="31" w:name="_Toc32085"/>
      <w:bookmarkStart w:id="32" w:name="_Toc26458"/>
      <w:bookmarkStart w:id="33" w:name="_Toc22496"/>
      <w:r>
        <w:rPr>
          <w:rFonts w:hint="eastAsia" w:ascii="宋体" w:hAnsi="宋体" w:cs="宋体"/>
          <w:color w:val="000000"/>
          <w:lang w:val="zh-CN"/>
        </w:rPr>
        <w:t>三、投标文件的编制</w:t>
      </w:r>
      <w:bookmarkEnd w:id="31"/>
      <w:bookmarkEnd w:id="32"/>
      <w:bookmarkEnd w:id="33"/>
    </w:p>
    <w:p w14:paraId="18052CED">
      <w:pPr>
        <w:pStyle w:val="18"/>
        <w:spacing w:before="0" w:after="0" w:line="360" w:lineRule="auto"/>
        <w:jc w:val="left"/>
        <w:rPr>
          <w:rFonts w:ascii="宋体" w:hAnsi="宋体" w:cs="宋体"/>
          <w:color w:val="000000"/>
          <w:lang w:val="zh-CN"/>
        </w:rPr>
      </w:pPr>
      <w:bookmarkStart w:id="34" w:name="_Toc30097"/>
      <w:bookmarkStart w:id="35" w:name="_Toc25598"/>
      <w:bookmarkStart w:id="36" w:name="_Toc8053"/>
      <w:r>
        <w:rPr>
          <w:rFonts w:hint="eastAsia" w:ascii="宋体" w:hAnsi="宋体" w:cs="宋体"/>
          <w:color w:val="000000"/>
          <w:sz w:val="28"/>
          <w:szCs w:val="28"/>
          <w:lang w:val="zh-CN"/>
        </w:rPr>
        <w:t>7.投标文件的语言及度量衡单位</w:t>
      </w:r>
      <w:bookmarkEnd w:id="34"/>
      <w:bookmarkEnd w:id="35"/>
      <w:bookmarkEnd w:id="36"/>
    </w:p>
    <w:p w14:paraId="71A6A88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5BAFFB2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15DD1FD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1917E9E8">
      <w:pPr>
        <w:pStyle w:val="18"/>
        <w:spacing w:before="0" w:after="0" w:line="360" w:lineRule="auto"/>
        <w:jc w:val="left"/>
        <w:rPr>
          <w:rFonts w:ascii="宋体" w:hAnsi="宋体" w:cs="宋体"/>
          <w:lang w:val="zh-CN"/>
        </w:rPr>
      </w:pPr>
      <w:bookmarkStart w:id="37" w:name="_Toc10223"/>
      <w:bookmarkStart w:id="38" w:name="_Toc4237"/>
      <w:bookmarkStart w:id="39" w:name="_Toc16382"/>
      <w:r>
        <w:rPr>
          <w:rFonts w:hint="eastAsia" w:ascii="宋体" w:hAnsi="宋体" w:cs="宋体"/>
          <w:color w:val="000000"/>
          <w:sz w:val="28"/>
          <w:szCs w:val="28"/>
          <w:lang w:val="zh-CN"/>
        </w:rPr>
        <w:t>8.投标报价及币种</w:t>
      </w:r>
      <w:r>
        <w:rPr>
          <w:rFonts w:hint="eastAsia" w:ascii="宋体" w:hAnsi="宋体" w:cs="宋体"/>
          <w:color w:val="000000"/>
          <w:sz w:val="28"/>
          <w:szCs w:val="28"/>
        </w:rPr>
        <w:t>及</w:t>
      </w:r>
      <w:r>
        <w:rPr>
          <w:rFonts w:hint="eastAsia" w:ascii="宋体" w:hAnsi="宋体" w:cs="宋体"/>
          <w:color w:val="000000"/>
          <w:sz w:val="28"/>
          <w:szCs w:val="28"/>
          <w:lang w:val="zh-CN"/>
        </w:rPr>
        <w:t>投标有效期</w:t>
      </w:r>
      <w:bookmarkEnd w:id="37"/>
      <w:bookmarkEnd w:id="38"/>
      <w:bookmarkEnd w:id="39"/>
    </w:p>
    <w:p w14:paraId="19B76FB5">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投标报价为投标总价。投标报价必须包括：服务费、招标代理费、税金及不可预见费等全部费用。</w:t>
      </w:r>
    </w:p>
    <w:p w14:paraId="3649B5A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14:paraId="3B62E7E9">
      <w:pPr>
        <w:pStyle w:val="2"/>
        <w:spacing w:line="360" w:lineRule="auto"/>
        <w:ind w:firstLine="480" w:firstLineChars="200"/>
        <w:rPr>
          <w:lang w:val="zh-CN"/>
        </w:rPr>
      </w:pPr>
      <w:r>
        <w:rPr>
          <w:rFonts w:hint="eastAsia"/>
        </w:rPr>
        <w:t xml:space="preserve">8. 3 </w:t>
      </w:r>
      <w:r>
        <w:rPr>
          <w:rFonts w:hint="eastAsia"/>
          <w:lang w:val="zh-CN"/>
        </w:rPr>
        <w:t>投标人应根据招标文件规定的格式完整填写所有内容，并保证所提供的全部资料真实可信，自愿承担相应责任。</w:t>
      </w:r>
    </w:p>
    <w:p w14:paraId="1BD86F3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投标报价为闭口价，即中标后在合同有效期内价格不变。</w:t>
      </w:r>
    </w:p>
    <w:p w14:paraId="098DA94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5 </w:t>
      </w:r>
      <w:r>
        <w:rPr>
          <w:rFonts w:hint="eastAsia" w:ascii="宋体" w:hAnsi="宋体" w:cs="宋体"/>
          <w:color w:val="000000"/>
          <w:kern w:val="0"/>
          <w:lang w:val="zh-CN"/>
        </w:rPr>
        <w:t>投标币种是人民币。</w:t>
      </w:r>
    </w:p>
    <w:p w14:paraId="65CF0F9D">
      <w:pPr>
        <w:pStyle w:val="2"/>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color w:val="000000"/>
          <w:kern w:val="0"/>
        </w:rPr>
        <w:t xml:space="preserve">    8.6</w:t>
      </w:r>
      <w:r>
        <w:rPr>
          <w:rFonts w:hint="eastAsia" w:ascii="宋体" w:hAnsi="宋体" w:cs="宋体"/>
          <w:b/>
          <w:bCs/>
          <w:color w:val="000000"/>
          <w:kern w:val="0"/>
        </w:rPr>
        <w:t xml:space="preserve">投标有效期 </w:t>
      </w:r>
      <w:r>
        <w:rPr>
          <w:rFonts w:hint="eastAsia" w:ascii="宋体" w:hAnsi="宋体" w:cs="宋体"/>
          <w:color w:val="000000"/>
          <w:kern w:val="0"/>
          <w:lang w:val="zh-CN"/>
        </w:rPr>
        <w:t>从提交投标文件的截止之日起</w:t>
      </w:r>
      <w:r>
        <w:rPr>
          <w:rFonts w:hint="eastAsia" w:ascii="宋体" w:hAnsi="宋体" w:cs="宋体"/>
          <w:b/>
          <w:bCs/>
          <w:color w:val="000000"/>
          <w:kern w:val="0"/>
        </w:rPr>
        <w:t>60</w:t>
      </w:r>
      <w:r>
        <w:rPr>
          <w:rFonts w:hint="eastAsia" w:ascii="宋体" w:hAnsi="宋体" w:cs="宋体"/>
          <w:b/>
          <w:bCs/>
          <w:color w:val="000000"/>
          <w:kern w:val="0"/>
          <w:lang w:val="zh-CN"/>
        </w:rPr>
        <w:t>日历日</w:t>
      </w:r>
      <w:r>
        <w:rPr>
          <w:rFonts w:hint="eastAsia" w:ascii="宋体" w:hAnsi="宋体" w:cs="宋体"/>
          <w:color w:val="000000"/>
          <w:kern w:val="0"/>
          <w:lang w:val="zh-CN"/>
        </w:rPr>
        <w:t>。投标文件中承诺的投标有效期应当不少于招标文件中载明的投标有效期。</w:t>
      </w:r>
    </w:p>
    <w:p w14:paraId="5DD67E2D">
      <w:pPr>
        <w:autoSpaceDE w:val="0"/>
        <w:autoSpaceDN w:val="0"/>
        <w:spacing w:line="360" w:lineRule="auto"/>
        <w:outlineLvl w:val="0"/>
        <w:rPr>
          <w:rFonts w:ascii="宋体" w:hAnsi="宋体" w:cs="宋体"/>
          <w:b/>
          <w:bCs/>
          <w:color w:val="000000"/>
          <w:sz w:val="28"/>
          <w:szCs w:val="28"/>
          <w:lang w:val="zh-CN"/>
        </w:rPr>
      </w:pPr>
      <w:bookmarkStart w:id="40" w:name="_Toc31593"/>
      <w:bookmarkStart w:id="41" w:name="_Toc24351"/>
      <w:r>
        <w:rPr>
          <w:rFonts w:hint="eastAsia" w:ascii="宋体" w:hAnsi="宋体" w:cs="宋体"/>
          <w:b/>
          <w:bCs/>
          <w:color w:val="000000"/>
          <w:sz w:val="28"/>
          <w:szCs w:val="28"/>
          <w:lang w:val="zh-CN"/>
        </w:rPr>
        <w:t>9.投标保证金</w:t>
      </w:r>
      <w:bookmarkEnd w:id="40"/>
      <w:bookmarkEnd w:id="41"/>
    </w:p>
    <w:p w14:paraId="673A7E9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w:t>
      </w:r>
      <w:r>
        <w:rPr>
          <w:rFonts w:hint="eastAsia" w:ascii="宋体" w:hAnsi="宋体" w:cs="宋体"/>
          <w:color w:val="000000"/>
          <w:kern w:val="0"/>
          <w:highlight w:val="none"/>
          <w:lang w:val="zh-CN"/>
        </w:rPr>
        <w:t>人须在投标截止</w:t>
      </w:r>
      <w:r>
        <w:rPr>
          <w:rFonts w:hint="eastAsia" w:ascii="宋体" w:hAnsi="宋体" w:cs="宋体"/>
          <w:color w:val="000000"/>
          <w:kern w:val="0"/>
          <w:highlight w:val="none"/>
        </w:rPr>
        <w:t>时间</w:t>
      </w:r>
      <w:r>
        <w:rPr>
          <w:rFonts w:hint="eastAsia" w:ascii="宋体" w:hAnsi="宋体" w:cs="宋体"/>
          <w:color w:val="000000"/>
          <w:kern w:val="0"/>
          <w:highlight w:val="none"/>
          <w:lang w:val="zh-CN"/>
        </w:rPr>
        <w:t>前按以下要求交纳投标保证金：</w:t>
      </w:r>
    </w:p>
    <w:p w14:paraId="192740F7">
      <w:pPr>
        <w:autoSpaceDE w:val="0"/>
        <w:autoSpaceDN w:val="0"/>
        <w:spacing w:line="360" w:lineRule="auto"/>
        <w:ind w:firstLine="480" w:firstLineChars="200"/>
        <w:rPr>
          <w:rFonts w:hint="default" w:ascii="宋体" w:hAnsi="宋体" w:eastAsia="宋体" w:cs="宋体"/>
          <w:color w:val="FF0000"/>
          <w:kern w:val="0"/>
          <w:highlight w:val="none"/>
          <w:lang w:val="en-US" w:eastAsia="zh-CN"/>
        </w:rPr>
      </w:pPr>
      <w:r>
        <w:rPr>
          <w:rFonts w:hint="eastAsia" w:ascii="宋体" w:hAnsi="宋体" w:cs="宋体"/>
          <w:color w:val="000000"/>
          <w:kern w:val="0"/>
          <w:highlight w:val="none"/>
          <w:lang w:val="zh-CN"/>
        </w:rPr>
        <w:t>投标保证金：</w:t>
      </w:r>
      <w:r>
        <w:rPr>
          <w:rFonts w:hint="eastAsia" w:ascii="宋体" w:hAnsi="宋体"/>
          <w:b/>
          <w:kern w:val="0"/>
          <w:highlight w:val="none"/>
          <w:lang w:val="en-US" w:eastAsia="zh-CN"/>
        </w:rPr>
        <w:t>/（大写：/）</w:t>
      </w:r>
    </w:p>
    <w:p w14:paraId="57E656C7">
      <w:pPr>
        <w:autoSpaceDE w:val="0"/>
        <w:autoSpaceDN w:val="0"/>
        <w:spacing w:line="360" w:lineRule="auto"/>
        <w:ind w:firstLine="480" w:firstLineChars="200"/>
        <w:rPr>
          <w:rFonts w:hint="eastAsia" w:ascii="宋体" w:hAnsi="宋体" w:eastAsia="宋体"/>
          <w:kern w:val="0"/>
          <w:lang w:eastAsia="zh-CN"/>
        </w:rPr>
      </w:pPr>
      <w:r>
        <w:rPr>
          <w:rFonts w:hint="eastAsia" w:ascii="宋体" w:hAnsi="宋体" w:cs="宋体"/>
          <w:color w:val="000000"/>
          <w:kern w:val="0"/>
          <w:lang w:val="zh-CN"/>
        </w:rPr>
        <w:t>收款单位：</w:t>
      </w:r>
      <w:r>
        <w:rPr>
          <w:rFonts w:hint="eastAsia" w:ascii="宋体" w:hAnsi="宋体"/>
          <w:b/>
          <w:kern w:val="0"/>
          <w:lang w:eastAsia="zh-CN"/>
        </w:rPr>
        <w:t>青海凌星项目管理有限公司</w:t>
      </w:r>
    </w:p>
    <w:p w14:paraId="79658264">
      <w:pPr>
        <w:autoSpaceDE w:val="0"/>
        <w:autoSpaceDN w:val="0"/>
        <w:spacing w:line="360" w:lineRule="auto"/>
        <w:ind w:firstLine="480" w:firstLineChars="200"/>
        <w:rPr>
          <w:rFonts w:hint="eastAsia" w:ascii="宋体" w:hAnsi="宋体" w:eastAsia="宋体"/>
          <w:kern w:val="0"/>
          <w:lang w:eastAsia="zh-CN"/>
        </w:rPr>
      </w:pPr>
      <w:r>
        <w:rPr>
          <w:rFonts w:hint="eastAsia" w:ascii="宋体" w:hAnsi="宋体" w:cs="宋体"/>
          <w:color w:val="000000"/>
          <w:kern w:val="0"/>
          <w:lang w:val="zh-CN"/>
        </w:rPr>
        <w:t>开 户 行：</w:t>
      </w:r>
      <w:r>
        <w:rPr>
          <w:rFonts w:hint="eastAsia" w:ascii="宋体" w:hAnsi="宋体"/>
          <w:b/>
          <w:kern w:val="0"/>
          <w:lang w:eastAsia="zh-CN"/>
        </w:rPr>
        <w:t>青海银行股份有限公司南山路支行</w:t>
      </w:r>
    </w:p>
    <w:p w14:paraId="2C7F34E0">
      <w:pPr>
        <w:autoSpaceDE w:val="0"/>
        <w:autoSpaceDN w:val="0"/>
        <w:spacing w:line="360" w:lineRule="auto"/>
        <w:ind w:firstLine="480" w:firstLineChars="200"/>
        <w:rPr>
          <w:rFonts w:hint="eastAsia" w:ascii="宋体" w:hAnsi="宋体" w:eastAsia="宋体" w:cs="宋体"/>
          <w:b/>
          <w:color w:val="000000"/>
          <w:kern w:val="0"/>
          <w:u w:val="single"/>
          <w:lang w:eastAsia="zh-CN"/>
        </w:rPr>
      </w:pPr>
      <w:r>
        <w:rPr>
          <w:rFonts w:hint="eastAsia" w:ascii="宋体" w:hAnsi="宋体" w:cs="宋体"/>
          <w:color w:val="000000"/>
          <w:kern w:val="0"/>
          <w:lang w:val="zh-CN"/>
        </w:rPr>
        <w:t>银行账号：</w:t>
      </w:r>
      <w:r>
        <w:rPr>
          <w:rFonts w:hint="eastAsia" w:ascii="宋体" w:hAnsi="宋体" w:cs="宋体"/>
          <w:b/>
          <w:color w:val="000000"/>
          <w:kern w:val="0"/>
          <w:lang w:eastAsia="zh-CN"/>
        </w:rPr>
        <w:t>1016201000209333</w:t>
      </w:r>
    </w:p>
    <w:p w14:paraId="1766D32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交纳时间</w:t>
      </w:r>
      <w:r>
        <w:rPr>
          <w:rFonts w:hint="eastAsia" w:ascii="宋体" w:hAnsi="宋体" w:cs="宋体"/>
          <w:kern w:val="0"/>
          <w:lang w:val="zh-CN"/>
        </w:rPr>
        <w:t>：投标人在投标截止</w:t>
      </w:r>
      <w:r>
        <w:rPr>
          <w:rFonts w:hint="eastAsia" w:ascii="宋体" w:hAnsi="宋体" w:cs="宋体"/>
          <w:kern w:val="0"/>
          <w:lang w:val="en-US" w:eastAsia="zh-CN"/>
        </w:rPr>
        <w:t>时间</w:t>
      </w:r>
      <w:r>
        <w:rPr>
          <w:rFonts w:hint="eastAsia" w:ascii="宋体" w:hAnsi="宋体" w:cs="宋体"/>
          <w:kern w:val="0"/>
          <w:lang w:val="zh-CN"/>
        </w:rPr>
        <w:t>前缴纳投标保证金，以银行到账时间为准。</w:t>
      </w:r>
    </w:p>
    <w:p w14:paraId="5D26A48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14:paraId="508923A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14:paraId="5CCD016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630B1B6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5A99982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56FE9F0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14:paraId="5D67D5C9">
      <w:pPr>
        <w:pStyle w:val="18"/>
        <w:spacing w:before="0" w:after="0" w:line="360" w:lineRule="auto"/>
        <w:jc w:val="left"/>
        <w:rPr>
          <w:rFonts w:ascii="宋体" w:hAnsi="宋体" w:cs="宋体"/>
          <w:color w:val="000000"/>
          <w:lang w:val="zh-CN"/>
        </w:rPr>
      </w:pPr>
      <w:bookmarkStart w:id="42" w:name="_Toc924"/>
      <w:bookmarkStart w:id="43" w:name="_Toc10629"/>
      <w:bookmarkStart w:id="44" w:name="_Toc30117"/>
      <w:r>
        <w:rPr>
          <w:rFonts w:hint="eastAsia" w:ascii="宋体" w:hAnsi="宋体" w:cs="宋体"/>
          <w:color w:val="000000"/>
          <w:sz w:val="28"/>
          <w:szCs w:val="28"/>
          <w:lang w:val="zh-CN"/>
        </w:rPr>
        <w:t>10.投标文件构成</w:t>
      </w:r>
      <w:bookmarkEnd w:id="42"/>
      <w:bookmarkEnd w:id="43"/>
      <w:bookmarkEnd w:id="44"/>
    </w:p>
    <w:p w14:paraId="2172E71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61953B1F">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10.1</w:t>
      </w:r>
      <w:r>
        <w:rPr>
          <w:rFonts w:hint="eastAsia" w:ascii="宋体" w:hAnsi="宋体" w:cs="宋体"/>
          <w:b/>
          <w:bCs/>
          <w:color w:val="000000"/>
          <w:kern w:val="0"/>
          <w:lang w:val="zh-CN"/>
        </w:rPr>
        <w:t>、投标文件（上册）（资格审查）</w:t>
      </w:r>
    </w:p>
    <w:p w14:paraId="24E9728E">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14:paraId="51E51939">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14:paraId="448A689A">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14:paraId="1346D808">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14:paraId="2125E6D8">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14:paraId="61256C4A">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14:paraId="6549700E">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5B74AD3C">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14:paraId="58C40138">
      <w:pPr>
        <w:numPr>
          <w:ilvl w:val="0"/>
          <w:numId w:val="2"/>
        </w:numPr>
        <w:autoSpaceDE w:val="0"/>
        <w:autoSpaceDN w:val="0"/>
        <w:spacing w:line="360" w:lineRule="auto"/>
        <w:ind w:left="0" w:leftChars="0" w:firstLine="48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具有履行合同所必需的设备和专业技术能力证明</w:t>
      </w:r>
    </w:p>
    <w:p w14:paraId="008FAA24">
      <w:pPr>
        <w:pStyle w:val="2"/>
        <w:ind w:firstLine="480" w:firstLineChars="200"/>
        <w:rPr>
          <w:lang w:val="zh-CN"/>
        </w:rPr>
      </w:pPr>
      <w:r>
        <w:rPr>
          <w:rFonts w:hint="eastAsia" w:ascii="宋体" w:hAnsi="宋体" w:cs="宋体"/>
          <w:color w:val="000000"/>
          <w:kern w:val="0"/>
          <w:lang w:val="zh-CN"/>
        </w:rPr>
        <w:t>（</w:t>
      </w:r>
      <w:r>
        <w:rPr>
          <w:rFonts w:hint="eastAsia" w:ascii="宋体" w:hAnsi="宋体" w:cs="宋体"/>
          <w:color w:val="000000"/>
          <w:kern w:val="0"/>
        </w:rPr>
        <w:t>10）投标保证金证明</w:t>
      </w:r>
    </w:p>
    <w:p w14:paraId="30F03DE2">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10.2 </w:t>
      </w:r>
      <w:r>
        <w:rPr>
          <w:rFonts w:hint="eastAsia" w:ascii="宋体" w:hAnsi="宋体" w:cs="宋体"/>
          <w:b/>
          <w:bCs/>
          <w:color w:val="000000"/>
          <w:kern w:val="0"/>
          <w:lang w:val="zh-CN"/>
        </w:rPr>
        <w:t>投标文件（下册）</w:t>
      </w:r>
    </w:p>
    <w:p w14:paraId="03D3CB9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11</w:t>
      </w:r>
      <w:r>
        <w:rPr>
          <w:rFonts w:hint="eastAsia" w:ascii="宋体" w:hAnsi="宋体" w:cs="宋体"/>
          <w:color w:val="000000"/>
          <w:kern w:val="0"/>
          <w:lang w:val="zh-CN"/>
        </w:rPr>
        <w:t>）评分对照表</w:t>
      </w:r>
    </w:p>
    <w:p w14:paraId="1CF684C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lang w:val="zh-CN"/>
        </w:rPr>
        <w:t>）开标一览表（报价表）</w:t>
      </w:r>
    </w:p>
    <w:p w14:paraId="7A48E538">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lang w:val="zh-CN"/>
        </w:rPr>
        <w:t>）服务内容响应表</w:t>
      </w:r>
    </w:p>
    <w:p w14:paraId="6C4AD4C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kern w:val="0"/>
          <w:lang w:val="zh-CN"/>
        </w:rPr>
        <w:t>投标人的类似业绩证明材料</w:t>
      </w:r>
    </w:p>
    <w:p w14:paraId="3D3D3C83">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5</w:t>
      </w:r>
      <w:r>
        <w:rPr>
          <w:rFonts w:hint="eastAsia" w:ascii="宋体" w:hAnsi="宋体" w:cs="宋体"/>
          <w:kern w:val="0"/>
        </w:rPr>
        <w:t>）</w:t>
      </w:r>
      <w:r>
        <w:rPr>
          <w:rFonts w:hint="eastAsia"/>
          <w:lang w:val="zh-CN"/>
        </w:rPr>
        <w:t>项目实施及服务方案</w:t>
      </w:r>
    </w:p>
    <w:p w14:paraId="509EB945">
      <w:pPr>
        <w:autoSpaceDE w:val="0"/>
        <w:autoSpaceDN w:val="0"/>
        <w:spacing w:line="360" w:lineRule="auto"/>
        <w:ind w:firstLine="480" w:firstLineChars="200"/>
        <w:rPr>
          <w:rFonts w:ascii="宋体" w:hAnsi="宋体" w:cs="宋体"/>
          <w:kern w:val="0"/>
        </w:rPr>
      </w:pPr>
      <w:r>
        <w:rPr>
          <w:rFonts w:hint="eastAsia" w:ascii="宋体" w:hAnsi="宋体" w:cs="宋体"/>
          <w:color w:val="000000"/>
          <w:kern w:val="0"/>
          <w:lang w:val="zh-CN"/>
        </w:rPr>
        <w:t>（1</w:t>
      </w:r>
      <w:r>
        <w:rPr>
          <w:rFonts w:hint="eastAsia" w:ascii="宋体" w:hAnsi="宋体" w:cs="宋体"/>
          <w:color w:val="000000"/>
          <w:kern w:val="0"/>
          <w:lang w:val="en-US" w:eastAsia="zh-CN"/>
        </w:rPr>
        <w:t>6</w:t>
      </w:r>
      <w:r>
        <w:rPr>
          <w:rFonts w:hint="eastAsia" w:ascii="宋体" w:hAnsi="宋体" w:cs="宋体"/>
          <w:color w:val="000000"/>
          <w:kern w:val="0"/>
          <w:lang w:val="zh-CN"/>
        </w:rPr>
        <w:t>）项目</w:t>
      </w:r>
      <w:r>
        <w:rPr>
          <w:rFonts w:hint="eastAsia" w:ascii="宋体" w:hAnsi="宋体" w:cs="宋体"/>
          <w:kern w:val="0"/>
          <w:lang w:val="zh-CN"/>
        </w:rPr>
        <w:t>人员配备</w:t>
      </w:r>
    </w:p>
    <w:p w14:paraId="61ECFA6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w:t>
      </w:r>
      <w:r>
        <w:rPr>
          <w:rFonts w:hint="eastAsia" w:ascii="宋体" w:hAnsi="宋体" w:cs="宋体"/>
          <w:kern w:val="0"/>
          <w:lang w:val="zh-CN"/>
        </w:rPr>
        <w:t>享受政府采购政策优惠的证明资料</w:t>
      </w:r>
    </w:p>
    <w:p w14:paraId="277E814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8</w:t>
      </w:r>
      <w:r>
        <w:rPr>
          <w:rFonts w:hint="eastAsia" w:ascii="宋体" w:hAnsi="宋体" w:cs="宋体"/>
          <w:color w:val="000000"/>
          <w:kern w:val="0"/>
        </w:rPr>
        <w:t>）</w:t>
      </w:r>
      <w:r>
        <w:rPr>
          <w:rFonts w:hint="eastAsia" w:ascii="宋体" w:hAnsi="宋体" w:cs="宋体"/>
          <w:color w:val="000000"/>
          <w:kern w:val="0"/>
          <w:lang w:val="zh-CN"/>
        </w:rPr>
        <w:t>投标人认为在其他方面有必要说明的事项</w:t>
      </w:r>
    </w:p>
    <w:p w14:paraId="77A94E92">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251E88BD">
      <w:pPr>
        <w:pStyle w:val="18"/>
        <w:spacing w:before="0" w:after="0" w:line="360" w:lineRule="auto"/>
        <w:jc w:val="left"/>
        <w:rPr>
          <w:rFonts w:ascii="宋体" w:hAnsi="宋体" w:cs="宋体"/>
          <w:lang w:val="zh-CN"/>
        </w:rPr>
      </w:pPr>
      <w:bookmarkStart w:id="45" w:name="_Toc11469"/>
      <w:bookmarkStart w:id="46" w:name="_Toc32440"/>
      <w:bookmarkStart w:id="47" w:name="_Toc31749"/>
      <w:r>
        <w:rPr>
          <w:rFonts w:hint="eastAsia" w:ascii="宋体" w:hAnsi="宋体" w:cs="宋体"/>
          <w:color w:val="000000"/>
          <w:sz w:val="28"/>
          <w:szCs w:val="28"/>
          <w:lang w:val="zh-CN"/>
        </w:rPr>
        <w:t>11.</w:t>
      </w:r>
      <w:r>
        <w:rPr>
          <w:rFonts w:hint="eastAsia" w:ascii="宋体" w:hAnsi="宋体" w:cs="宋体"/>
          <w:sz w:val="28"/>
          <w:szCs w:val="28"/>
          <w:lang w:val="zh-CN"/>
        </w:rPr>
        <w:t>投标文件的编制要求</w:t>
      </w:r>
      <w:bookmarkEnd w:id="45"/>
      <w:bookmarkEnd w:id="46"/>
      <w:bookmarkEnd w:id="47"/>
    </w:p>
    <w:p w14:paraId="3A81D04F">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ascii="宋体" w:hAnsi="宋体" w:cs="宋体"/>
          <w:kern w:val="0"/>
          <w:lang w:val="zh-CN"/>
        </w:rPr>
        <w:t>1</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服务（货物）的名称、数量和价格等内容；招标文件要求签字、盖章的地方必须由投标人的法定代表人或委托代理人按要求签字、盖章。</w:t>
      </w:r>
    </w:p>
    <w:p w14:paraId="2A13C71C">
      <w:pPr>
        <w:autoSpaceDE w:val="0"/>
        <w:autoSpaceDN w:val="0"/>
        <w:spacing w:line="360" w:lineRule="auto"/>
        <w:ind w:firstLine="480" w:firstLineChars="200"/>
        <w:rPr>
          <w:rFonts w:ascii="宋体" w:hAnsi="宋体" w:cs="宋体"/>
          <w:kern w:val="0"/>
        </w:rPr>
      </w:pPr>
      <w:r>
        <w:rPr>
          <w:rFonts w:hint="eastAsia" w:ascii="宋体" w:hAnsi="宋体" w:cs="宋体"/>
          <w:kern w:val="0"/>
        </w:rPr>
        <w:t>11.2</w:t>
      </w:r>
      <w:r>
        <w:rPr>
          <w:rFonts w:hint="eastAsia" w:ascii="宋体" w:hAnsi="宋体" w:cs="宋体"/>
          <w:kern w:val="0"/>
          <w:lang w:val="zh-CN"/>
        </w:rPr>
        <w:t>投标人须在 “法定代表人授权书”中提供被授权人（委托代理人）准确的联系方式（手机或固定电话）</w:t>
      </w:r>
      <w:r>
        <w:rPr>
          <w:rFonts w:hint="eastAsia" w:ascii="宋体" w:hAnsi="宋体" w:cs="宋体"/>
          <w:kern w:val="0"/>
        </w:rPr>
        <w:t>。</w:t>
      </w:r>
    </w:p>
    <w:p w14:paraId="7CBA01D3">
      <w:pPr>
        <w:pStyle w:val="2"/>
        <w:spacing w:line="360" w:lineRule="auto"/>
        <w:ind w:firstLine="480" w:firstLineChars="200"/>
      </w:pPr>
      <w:r>
        <w:rPr>
          <w:rFonts w:hint="eastAsia"/>
        </w:rPr>
        <w:t>11.3投标人必须按照招标文件的要求编制投标文件。投标文件必须对招标文件提出的要求和条件作出明确响应。</w:t>
      </w:r>
    </w:p>
    <w:p w14:paraId="1A66F846">
      <w:pPr>
        <w:pStyle w:val="2"/>
        <w:spacing w:line="360" w:lineRule="auto"/>
        <w:ind w:firstLine="480" w:firstLineChars="200"/>
        <w:rPr>
          <w:lang w:val="zh-CN"/>
        </w:rPr>
      </w:pPr>
      <w:r>
        <w:rPr>
          <w:rFonts w:hint="eastAsia"/>
        </w:rPr>
        <w:t>11.4</w:t>
      </w:r>
      <w:r>
        <w:rPr>
          <w:rFonts w:hint="eastAsia"/>
          <w:lang w:val="zh-CN"/>
        </w:rPr>
        <w:t>投标人应对投标文件中所提供资料的真实性负责，若有虚假，将依法承担相应责任。</w:t>
      </w:r>
    </w:p>
    <w:p w14:paraId="26F610C5">
      <w:pPr>
        <w:pStyle w:val="2"/>
        <w:spacing w:line="360" w:lineRule="auto"/>
        <w:ind w:firstLine="480" w:firstLineChars="200"/>
      </w:pPr>
      <w:r>
        <w:rPr>
          <w:rFonts w:hint="eastAsia"/>
        </w:rPr>
        <w:t>11.5</w:t>
      </w:r>
      <w:r>
        <w:rPr>
          <w:rFonts w:hint="eastAsia"/>
          <w:lang w:val="zh-CN"/>
        </w:rPr>
        <w:t>因投标人投标文件填报的内容不详，或没有提供招标文件中所要求的全部资料及数据等，由此产生的后果及责任由投标人自行承担。</w:t>
      </w:r>
    </w:p>
    <w:p w14:paraId="54066562">
      <w:pPr>
        <w:pStyle w:val="2"/>
      </w:pPr>
    </w:p>
    <w:p w14:paraId="6A54FF2D">
      <w:pPr>
        <w:pStyle w:val="18"/>
        <w:spacing w:before="0" w:after="0" w:line="360" w:lineRule="auto"/>
        <w:rPr>
          <w:rFonts w:ascii="宋体" w:hAnsi="宋体" w:cs="宋体"/>
          <w:color w:val="000000"/>
        </w:rPr>
      </w:pPr>
      <w:bookmarkStart w:id="48" w:name="_Toc11791"/>
      <w:bookmarkStart w:id="49" w:name="_Toc18462"/>
      <w:bookmarkStart w:id="50" w:name="_Toc27532"/>
      <w:r>
        <w:rPr>
          <w:rFonts w:hint="eastAsia" w:ascii="宋体" w:hAnsi="宋体" w:cs="宋体"/>
          <w:color w:val="000000"/>
          <w:lang w:val="zh-CN"/>
        </w:rPr>
        <w:t>四、投标文件的提交</w:t>
      </w:r>
      <w:bookmarkEnd w:id="48"/>
      <w:bookmarkEnd w:id="49"/>
      <w:bookmarkEnd w:id="50"/>
    </w:p>
    <w:p w14:paraId="664F7F81">
      <w:pPr>
        <w:pStyle w:val="18"/>
        <w:spacing w:before="0" w:after="0" w:line="360" w:lineRule="auto"/>
        <w:jc w:val="left"/>
        <w:rPr>
          <w:rFonts w:ascii="宋体" w:hAnsi="宋体" w:cs="宋体"/>
          <w:sz w:val="28"/>
          <w:szCs w:val="28"/>
          <w:lang w:val="zh-CN"/>
        </w:rPr>
      </w:pPr>
      <w:bookmarkStart w:id="51" w:name="_Toc7793"/>
      <w:bookmarkStart w:id="52" w:name="_Toc24942"/>
      <w:bookmarkStart w:id="53" w:name="_Toc11560"/>
      <w:r>
        <w:rPr>
          <w:rFonts w:hint="eastAsia" w:ascii="宋体" w:hAnsi="宋体" w:cs="宋体"/>
          <w:sz w:val="28"/>
          <w:szCs w:val="28"/>
          <w:lang w:val="zh-CN"/>
        </w:rPr>
        <w:t>12. 电子投标文件的上传</w:t>
      </w:r>
      <w:bookmarkEnd w:id="51"/>
      <w:bookmarkEnd w:id="52"/>
      <w:bookmarkEnd w:id="53"/>
    </w:p>
    <w:p w14:paraId="12D37AE6">
      <w:pPr>
        <w:pStyle w:val="18"/>
        <w:spacing w:before="0" w:after="0" w:line="360" w:lineRule="auto"/>
        <w:ind w:firstLine="480" w:firstLineChars="200"/>
        <w:jc w:val="both"/>
        <w:rPr>
          <w:rFonts w:ascii="宋体" w:hAnsi="宋体" w:cs="宋体"/>
          <w:lang w:val="zh-CN"/>
        </w:rPr>
      </w:pPr>
      <w:bookmarkStart w:id="54" w:name="_Toc16170"/>
      <w:bookmarkStart w:id="55" w:name="_Toc17297"/>
      <w:bookmarkStart w:id="56" w:name="_Toc22971"/>
      <w:bookmarkStart w:id="57" w:name="_Toc28468"/>
      <w:bookmarkStart w:id="58" w:name="_Toc31409"/>
      <w:r>
        <w:rPr>
          <w:rFonts w:hint="eastAsia" w:ascii="Times New Roman" w:hAnsi="Times New Roman" w:eastAsia="宋体" w:cs="Times New Roman"/>
          <w:b w:val="0"/>
          <w:bCs w:val="0"/>
          <w:kern w:val="0"/>
          <w:sz w:val="24"/>
          <w:szCs w:val="24"/>
          <w:lang w:val="zh-CN" w:eastAsia="zh-CN" w:bidi="ar-SA"/>
        </w:rPr>
        <w:t>12.1本次招标采用线上提交投标文件的方式进行采购，投标人应在投标截止时间前按招标文件要求使用政采云电子投标客户端制作加密并上传电子投标文件，并在开标后30分钟内远程解密投标文件。因投标人原因未能按时完成解密、或上传的投标文件损坏无法正常打开的，将会被视为无效投标。</w:t>
      </w:r>
      <w:bookmarkEnd w:id="54"/>
      <w:bookmarkEnd w:id="55"/>
      <w:bookmarkEnd w:id="56"/>
      <w:bookmarkEnd w:id="57"/>
      <w:bookmarkEnd w:id="58"/>
    </w:p>
    <w:p w14:paraId="38948E50">
      <w:pPr>
        <w:autoSpaceDE w:val="0"/>
        <w:autoSpaceDN w:val="0"/>
        <w:spacing w:line="360" w:lineRule="auto"/>
        <w:ind w:firstLine="480" w:firstLineChars="200"/>
        <w:rPr>
          <w:rFonts w:ascii="宋体" w:hAnsi="宋体" w:cs="宋体"/>
          <w:color w:val="000000"/>
        </w:rPr>
      </w:pPr>
    </w:p>
    <w:p w14:paraId="663D9643">
      <w:pPr>
        <w:pStyle w:val="18"/>
        <w:spacing w:before="0" w:after="0" w:line="360" w:lineRule="auto"/>
        <w:jc w:val="left"/>
        <w:rPr>
          <w:rFonts w:ascii="宋体" w:hAnsi="宋体" w:cs="宋体"/>
          <w:lang w:val="zh-CN"/>
        </w:rPr>
      </w:pPr>
      <w:bookmarkStart w:id="59" w:name="_Toc7128"/>
      <w:bookmarkStart w:id="60" w:name="_Toc3347"/>
      <w:bookmarkStart w:id="61" w:name="_Toc30533"/>
      <w:r>
        <w:rPr>
          <w:rFonts w:hint="eastAsia" w:ascii="宋体" w:hAnsi="宋体" w:cs="宋体"/>
          <w:color w:val="000000"/>
          <w:sz w:val="28"/>
          <w:szCs w:val="28"/>
          <w:lang w:val="zh-CN"/>
        </w:rPr>
        <w:t>1</w:t>
      </w:r>
      <w:r>
        <w:rPr>
          <w:rFonts w:hint="eastAsia" w:ascii="宋体" w:hAnsi="宋体" w:cs="宋体"/>
          <w:sz w:val="28"/>
          <w:szCs w:val="28"/>
          <w:lang w:val="zh-CN"/>
        </w:rPr>
        <w:t>3.提交投标文件的时间、地点、方式</w:t>
      </w:r>
      <w:bookmarkEnd w:id="59"/>
      <w:bookmarkEnd w:id="60"/>
      <w:bookmarkEnd w:id="61"/>
    </w:p>
    <w:p w14:paraId="06ADE571">
      <w:pPr>
        <w:spacing w:line="360" w:lineRule="auto"/>
        <w:rPr>
          <w:kern w:val="0"/>
        </w:rPr>
      </w:pPr>
      <w:bookmarkStart w:id="62" w:name="_Toc1922"/>
      <w:r>
        <w:rPr>
          <w:rFonts w:hint="eastAsia"/>
          <w:kern w:val="0"/>
        </w:rPr>
        <w:t xml:space="preserve">    13.1 提交投标文件的截止时间：</w:t>
      </w:r>
      <w:bookmarkEnd w:id="62"/>
      <w:r>
        <w:rPr>
          <w:rFonts w:hint="eastAsia"/>
          <w:kern w:val="0"/>
        </w:rPr>
        <w:t>详见“第一部分 投标邀请 投标截止时间及开标时间”。</w:t>
      </w:r>
    </w:p>
    <w:p w14:paraId="4AB5B596">
      <w:pPr>
        <w:spacing w:line="360" w:lineRule="auto"/>
        <w:ind w:firstLine="480" w:firstLineChars="200"/>
        <w:rPr>
          <w:kern w:val="0"/>
        </w:rPr>
      </w:pPr>
      <w:bookmarkStart w:id="63" w:name="_Toc17898"/>
      <w:r>
        <w:rPr>
          <w:rFonts w:hint="eastAsia"/>
          <w:kern w:val="0"/>
        </w:rPr>
        <w:t>13.2地点：在政采云平台（https://www.zcygov.cn/）进行线上解密。</w:t>
      </w:r>
      <w:bookmarkEnd w:id="63"/>
    </w:p>
    <w:p w14:paraId="391927F2">
      <w:pPr>
        <w:spacing w:line="360" w:lineRule="auto"/>
        <w:ind w:firstLine="480" w:firstLineChars="200"/>
        <w:rPr>
          <w:kern w:val="0"/>
        </w:rPr>
      </w:pPr>
      <w:bookmarkStart w:id="64" w:name="_Toc15242"/>
      <w:r>
        <w:rPr>
          <w:rFonts w:hint="eastAsia"/>
          <w:kern w:val="0"/>
        </w:rPr>
        <w:t>13.3方式：在政采云平台（https://www.zcygov.cn/）进行线上解密。</w:t>
      </w:r>
      <w:bookmarkEnd w:id="64"/>
    </w:p>
    <w:p w14:paraId="31CB92F8">
      <w:pPr>
        <w:autoSpaceDE w:val="0"/>
        <w:autoSpaceDN w:val="0"/>
        <w:spacing w:line="360" w:lineRule="auto"/>
        <w:ind w:firstLine="480" w:firstLineChars="200"/>
        <w:rPr>
          <w:rFonts w:ascii="宋体" w:hAnsi="宋体" w:cs="宋体"/>
          <w:kern w:val="0"/>
        </w:rPr>
      </w:pPr>
    </w:p>
    <w:p w14:paraId="1B823498">
      <w:pPr>
        <w:pStyle w:val="18"/>
        <w:spacing w:before="0" w:after="0" w:line="360" w:lineRule="auto"/>
        <w:jc w:val="left"/>
        <w:rPr>
          <w:rFonts w:ascii="宋体" w:hAnsi="宋体" w:cs="宋体"/>
          <w:color w:val="000000"/>
          <w:lang w:val="zh-CN"/>
        </w:rPr>
      </w:pPr>
      <w:bookmarkStart w:id="65" w:name="_Toc16621"/>
      <w:bookmarkStart w:id="66" w:name="_Toc4658"/>
      <w:bookmarkStart w:id="67" w:name="_Toc6834"/>
      <w:r>
        <w:rPr>
          <w:rFonts w:hint="eastAsia" w:ascii="宋体" w:hAnsi="宋体" w:cs="宋体"/>
          <w:color w:val="000000"/>
          <w:sz w:val="28"/>
          <w:szCs w:val="28"/>
          <w:lang w:val="zh-CN"/>
        </w:rPr>
        <w:t>14.投标文件的补充、修改或者撤回</w:t>
      </w:r>
      <w:bookmarkEnd w:id="65"/>
      <w:bookmarkEnd w:id="66"/>
      <w:bookmarkEnd w:id="67"/>
    </w:p>
    <w:p w14:paraId="6DA3403A">
      <w:pPr>
        <w:autoSpaceDE w:val="0"/>
        <w:autoSpaceDN w:val="0"/>
        <w:spacing w:line="360" w:lineRule="auto"/>
        <w:ind w:firstLine="480" w:firstLineChars="200"/>
      </w:pPr>
      <w:r>
        <w:t>允许投标人在投标截止时间前</w:t>
      </w:r>
      <w:r>
        <w:rPr>
          <w:rFonts w:hint="eastAsia" w:ascii="宋体" w:hAnsi="宋体" w:cs="宋体"/>
          <w:color w:val="000000"/>
          <w:kern w:val="0"/>
        </w:rPr>
        <w:t>对所上传的电子投标文件进行补充、修改或者撤回</w:t>
      </w:r>
      <w:r>
        <w:t>（须以书面形式通知代理采购机构），但投标截止时间后不得撤回其投标</w:t>
      </w:r>
      <w:r>
        <w:rPr>
          <w:rFonts w:hint="eastAsia"/>
        </w:rPr>
        <w:t>，否则由此产生的后果及责任由投标人自行承担。</w:t>
      </w:r>
    </w:p>
    <w:p w14:paraId="5F108C33">
      <w:pPr>
        <w:autoSpaceDE w:val="0"/>
        <w:autoSpaceDN w:val="0"/>
        <w:spacing w:line="360" w:lineRule="auto"/>
        <w:ind w:firstLine="482" w:firstLineChars="200"/>
        <w:rPr>
          <w:rFonts w:ascii="宋体" w:hAnsi="宋体" w:cs="宋体"/>
          <w:b/>
          <w:color w:val="000000"/>
          <w:kern w:val="0"/>
          <w:lang w:val="zh-CN"/>
        </w:rPr>
      </w:pPr>
    </w:p>
    <w:p w14:paraId="43B6C8CD">
      <w:pPr>
        <w:pStyle w:val="18"/>
        <w:spacing w:before="0" w:after="0" w:line="360" w:lineRule="auto"/>
        <w:rPr>
          <w:rFonts w:ascii="宋体" w:hAnsi="宋体" w:cs="宋体"/>
          <w:color w:val="000000"/>
          <w:highlight w:val="green"/>
        </w:rPr>
      </w:pPr>
      <w:bookmarkStart w:id="68" w:name="_Toc4197"/>
      <w:bookmarkStart w:id="69" w:name="_Toc6395"/>
      <w:bookmarkStart w:id="70" w:name="_Toc6875"/>
      <w:r>
        <w:rPr>
          <w:rFonts w:hint="eastAsia" w:ascii="宋体" w:hAnsi="宋体" w:cs="宋体"/>
          <w:color w:val="000000"/>
          <w:lang w:val="zh-CN"/>
        </w:rPr>
        <w:t>五、开标</w:t>
      </w:r>
      <w:bookmarkEnd w:id="68"/>
      <w:bookmarkEnd w:id="69"/>
      <w:bookmarkEnd w:id="70"/>
    </w:p>
    <w:p w14:paraId="78EF5BAB">
      <w:pPr>
        <w:pStyle w:val="18"/>
        <w:spacing w:before="0" w:after="0" w:line="360" w:lineRule="auto"/>
        <w:jc w:val="left"/>
        <w:rPr>
          <w:rFonts w:ascii="宋体" w:hAnsi="宋体" w:cs="宋体"/>
          <w:color w:val="000000"/>
          <w:lang w:val="zh-CN"/>
        </w:rPr>
      </w:pPr>
      <w:bookmarkStart w:id="71" w:name="_Toc22574"/>
      <w:bookmarkStart w:id="72" w:name="_Toc4660"/>
      <w:bookmarkStart w:id="73" w:name="_Toc26688"/>
      <w:r>
        <w:rPr>
          <w:rFonts w:hint="eastAsia" w:ascii="宋体" w:hAnsi="宋体" w:cs="宋体"/>
          <w:color w:val="000000"/>
          <w:sz w:val="28"/>
          <w:szCs w:val="28"/>
          <w:lang w:val="zh-CN"/>
        </w:rPr>
        <w:t>15.开标</w:t>
      </w:r>
      <w:bookmarkEnd w:id="71"/>
      <w:bookmarkEnd w:id="72"/>
      <w:bookmarkEnd w:id="73"/>
    </w:p>
    <w:p w14:paraId="3C0F3F3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w:t>
      </w:r>
      <w:r>
        <w:rPr>
          <w:rFonts w:hint="eastAsia" w:ascii="宋体" w:hAnsi="宋体" w:cs="宋体"/>
          <w:color w:val="000000"/>
          <w:kern w:val="0"/>
        </w:rPr>
        <w:t>文件</w:t>
      </w:r>
      <w:r>
        <w:rPr>
          <w:rFonts w:hint="eastAsia" w:ascii="宋体" w:hAnsi="宋体" w:cs="宋体"/>
          <w:color w:val="000000"/>
          <w:kern w:val="0"/>
          <w:lang w:val="zh-CN"/>
        </w:rPr>
        <w:t>截止时间的同一时间进行。采购代理机构应当按本文件中确定的时间和地点组织开标活动。</w:t>
      </w:r>
    </w:p>
    <w:p w14:paraId="22101D2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采购人或者采购代理机构应当对开标、评标现场活动进行全程录音录像。录音录像应当清晰可辨，音像资料作为招标文件一并存档。</w:t>
      </w:r>
    </w:p>
    <w:p w14:paraId="6FCF61C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15.2</w:t>
      </w:r>
      <w:r>
        <w:rPr>
          <w:rFonts w:hint="eastAsia" w:ascii="宋体" w:hAnsi="宋体" w:cs="宋体"/>
          <w:color w:val="000000"/>
          <w:kern w:val="0"/>
        </w:rPr>
        <w:t xml:space="preserve"> </w:t>
      </w:r>
      <w:r>
        <w:rPr>
          <w:rFonts w:hint="eastAsia" w:ascii="宋体" w:hAnsi="宋体" w:cs="宋体"/>
          <w:color w:val="000000"/>
          <w:kern w:val="0"/>
          <w:lang w:val="zh-CN"/>
        </w:rPr>
        <w:t>采购人、采购代理机构在政采云平台上组织开标活动，评标委员会成员不得参加开标活动。</w:t>
      </w:r>
    </w:p>
    <w:p w14:paraId="3BA61E8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15.3 </w:t>
      </w:r>
      <w:r>
        <w:rPr>
          <w:rFonts w:hint="eastAsia" w:ascii="宋体" w:hAnsi="宋体" w:cs="宋体"/>
          <w:color w:val="000000"/>
          <w:kern w:val="0"/>
        </w:rPr>
        <w:t>开标时，</w:t>
      </w:r>
      <w:r>
        <w:rPr>
          <w:rFonts w:hint="eastAsia" w:ascii="宋体" w:hAnsi="宋体" w:cs="宋体"/>
          <w:color w:val="000000"/>
          <w:kern w:val="0"/>
          <w:lang w:val="zh-CN"/>
        </w:rPr>
        <w:t>应当由投标人</w:t>
      </w:r>
      <w:r>
        <w:rPr>
          <w:rFonts w:hint="eastAsia" w:ascii="宋体" w:hAnsi="宋体" w:cs="宋体"/>
          <w:color w:val="000000"/>
          <w:kern w:val="0"/>
        </w:rPr>
        <w:t>按要求进行解密</w:t>
      </w:r>
      <w:r>
        <w:rPr>
          <w:rFonts w:hint="eastAsia" w:ascii="宋体" w:hAnsi="宋体" w:cs="宋体"/>
          <w:color w:val="000000"/>
          <w:kern w:val="0"/>
          <w:lang w:val="zh-CN"/>
        </w:rPr>
        <w:t>，</w:t>
      </w:r>
      <w:r>
        <w:rPr>
          <w:rFonts w:hint="eastAsia" w:ascii="宋体" w:hAnsi="宋体" w:cs="宋体"/>
          <w:color w:val="000000"/>
          <w:kern w:val="0"/>
        </w:rPr>
        <w:t>工作人员</w:t>
      </w:r>
      <w:r>
        <w:rPr>
          <w:rFonts w:hint="eastAsia" w:ascii="宋体" w:hAnsi="宋体" w:cs="宋体"/>
          <w:color w:val="000000"/>
          <w:kern w:val="0"/>
          <w:lang w:val="zh-CN"/>
        </w:rPr>
        <w:t>宣布投标人名称、投标价格和其他主要内容</w:t>
      </w:r>
      <w:r>
        <w:rPr>
          <w:rFonts w:hint="eastAsia" w:ascii="宋体" w:hAnsi="宋体" w:cs="宋体"/>
          <w:color w:val="000000"/>
          <w:kern w:val="0"/>
        </w:rPr>
        <w:t>；潜在投标人登录政采云平台，对报价进行确认。潜在投标人未在</w:t>
      </w:r>
      <w:r>
        <w:rPr>
          <w:rFonts w:hint="eastAsia" w:ascii="宋体" w:hAnsi="宋体" w:cs="宋体"/>
          <w:color w:val="000000"/>
        </w:rPr>
        <w:t>政采云平台</w:t>
      </w:r>
      <w:r>
        <w:rPr>
          <w:rFonts w:hint="eastAsia" w:ascii="宋体" w:hAnsi="宋体" w:cs="宋体"/>
          <w:color w:val="000000"/>
          <w:kern w:val="0"/>
        </w:rPr>
        <w:t>上报价的，视同未参与投标。</w:t>
      </w:r>
    </w:p>
    <w:p w14:paraId="2A323B3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投标人不足3家的，不得开标。</w:t>
      </w:r>
    </w:p>
    <w:p w14:paraId="0202AB4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15.4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w:t>
      </w:r>
      <w:r>
        <w:rPr>
          <w:rFonts w:hint="eastAsia" w:ascii="宋体" w:hAnsi="宋体" w:cs="宋体"/>
          <w:kern w:val="0"/>
        </w:rPr>
        <w:t>由参加开标相关工作人员签字确认。</w:t>
      </w:r>
    </w:p>
    <w:p w14:paraId="1EB8745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DC62A9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w:t>
      </w:r>
      <w:r>
        <w:rPr>
          <w:rFonts w:hint="eastAsia" w:ascii="宋体" w:hAnsi="宋体" w:cs="宋体"/>
          <w:color w:val="000000"/>
          <w:kern w:val="0"/>
          <w:lang w:val="en-US" w:eastAsia="zh-CN"/>
        </w:rPr>
        <w:t>与</w:t>
      </w:r>
      <w:r>
        <w:rPr>
          <w:rFonts w:hint="eastAsia" w:ascii="宋体" w:hAnsi="宋体" w:cs="宋体"/>
          <w:color w:val="000000"/>
          <w:kern w:val="0"/>
        </w:rPr>
        <w:t>开标的，视同认可开标结果。</w:t>
      </w:r>
    </w:p>
    <w:p w14:paraId="1247A0AF">
      <w:pPr>
        <w:pStyle w:val="18"/>
        <w:spacing w:before="0" w:after="0" w:line="360" w:lineRule="auto"/>
        <w:ind w:firstLine="480" w:firstLineChars="200"/>
        <w:jc w:val="both"/>
        <w:rPr>
          <w:rFonts w:ascii="宋体" w:hAnsi="宋体" w:cs="宋体"/>
          <w:b w:val="0"/>
          <w:bCs w:val="0"/>
          <w:color w:val="000000"/>
          <w:kern w:val="0"/>
          <w:sz w:val="24"/>
          <w:szCs w:val="24"/>
        </w:rPr>
      </w:pPr>
      <w:bookmarkStart w:id="74" w:name="_Toc21464"/>
      <w:bookmarkStart w:id="75" w:name="_Toc30465"/>
      <w:bookmarkStart w:id="76" w:name="_Toc28580"/>
      <w:bookmarkStart w:id="77" w:name="_Toc31647"/>
      <w:bookmarkStart w:id="78" w:name="_Toc27572"/>
      <w:bookmarkStart w:id="79" w:name="_Toc21146"/>
      <w:bookmarkStart w:id="80" w:name="_Toc13762"/>
      <w:bookmarkStart w:id="81" w:name="_Toc20786"/>
      <w:bookmarkStart w:id="82" w:name="_Toc8389"/>
      <w:bookmarkStart w:id="83" w:name="_Toc496004006"/>
      <w:r>
        <w:rPr>
          <w:rFonts w:hint="eastAsia" w:ascii="宋体" w:hAnsi="宋体" w:cs="宋体"/>
          <w:b w:val="0"/>
          <w:bCs w:val="0"/>
          <w:color w:val="000000"/>
          <w:kern w:val="0"/>
          <w:sz w:val="24"/>
          <w:szCs w:val="24"/>
        </w:rPr>
        <w:t>15.5开标后投标人必须在规定的时间内解密文件，因投标人原因未能按时完成解密、或上传的投标文件损坏无法正常打开的，将会被视为无效投标。</w:t>
      </w:r>
      <w:bookmarkEnd w:id="74"/>
      <w:bookmarkEnd w:id="75"/>
      <w:bookmarkEnd w:id="76"/>
      <w:bookmarkEnd w:id="77"/>
      <w:bookmarkEnd w:id="78"/>
      <w:bookmarkEnd w:id="79"/>
      <w:bookmarkEnd w:id="80"/>
      <w:bookmarkEnd w:id="81"/>
      <w:bookmarkEnd w:id="82"/>
    </w:p>
    <w:p w14:paraId="1B764ADC">
      <w:pPr>
        <w:pStyle w:val="18"/>
        <w:spacing w:before="0" w:after="0" w:line="360" w:lineRule="auto"/>
        <w:rPr>
          <w:rFonts w:ascii="宋体" w:hAnsi="宋体" w:cs="宋体"/>
          <w:color w:val="000000"/>
          <w:kern w:val="0"/>
        </w:rPr>
      </w:pPr>
      <w:bookmarkStart w:id="84" w:name="_Toc31178"/>
      <w:bookmarkStart w:id="85" w:name="_Toc23613"/>
      <w:bookmarkStart w:id="86" w:name="_Toc4385"/>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83"/>
      <w:bookmarkEnd w:id="84"/>
      <w:bookmarkEnd w:id="85"/>
      <w:bookmarkEnd w:id="86"/>
    </w:p>
    <w:p w14:paraId="78429C16">
      <w:pPr>
        <w:pStyle w:val="18"/>
        <w:spacing w:before="0" w:after="0" w:line="360" w:lineRule="auto"/>
        <w:jc w:val="left"/>
        <w:rPr>
          <w:rFonts w:ascii="宋体" w:hAnsi="宋体" w:cs="宋体"/>
          <w:color w:val="000000"/>
          <w:sz w:val="28"/>
          <w:szCs w:val="28"/>
        </w:rPr>
      </w:pPr>
      <w:bookmarkStart w:id="87" w:name="_Toc5018"/>
      <w:bookmarkStart w:id="88" w:name="_Toc19209"/>
      <w:bookmarkStart w:id="89" w:name="_Toc5543"/>
      <w:r>
        <w:rPr>
          <w:rFonts w:hint="eastAsia" w:ascii="宋体" w:hAnsi="宋体" w:cs="宋体"/>
          <w:color w:val="000000"/>
          <w:sz w:val="28"/>
          <w:szCs w:val="28"/>
        </w:rPr>
        <w:t>16.资格审查</w:t>
      </w:r>
      <w:bookmarkEnd w:id="87"/>
      <w:bookmarkEnd w:id="88"/>
      <w:bookmarkEnd w:id="89"/>
    </w:p>
    <w:p w14:paraId="633BADB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16.1 开标结束后，采购人或者采购代理机构应当依法对投标人的资格性审查文件（上册）进行审查。</w:t>
      </w:r>
    </w:p>
    <w:p w14:paraId="0CAEAC6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16.2 合格投标人不足3家的，不得评标。</w:t>
      </w:r>
    </w:p>
    <w:p w14:paraId="76CF95B5">
      <w:pPr>
        <w:autoSpaceDE w:val="0"/>
        <w:autoSpaceDN w:val="0"/>
        <w:spacing w:line="360" w:lineRule="auto"/>
        <w:ind w:firstLine="480" w:firstLineChars="200"/>
        <w:rPr>
          <w:rFonts w:ascii="宋体" w:hAnsi="宋体" w:cs="宋体"/>
          <w:color w:val="000000"/>
          <w:sz w:val="28"/>
          <w:szCs w:val="28"/>
        </w:rPr>
      </w:pPr>
      <w:bookmarkStart w:id="90" w:name="_Toc497503249"/>
      <w:bookmarkStart w:id="91" w:name="_Toc30809"/>
      <w:bookmarkStart w:id="92" w:name="_Toc497503315"/>
      <w:bookmarkStart w:id="93" w:name="_Toc497503449"/>
      <w:bookmarkStart w:id="94" w:name="_Toc497503516"/>
      <w:r>
        <w:rPr>
          <w:rFonts w:hint="eastAsia" w:ascii="宋体" w:hAnsi="宋体" w:cs="宋体"/>
          <w:color w:val="000000"/>
          <w:kern w:val="0"/>
        </w:rPr>
        <w:t>16.3 资格审查时，投标人存在下列情况之一的，按无效投标处理：</w:t>
      </w:r>
      <w:bookmarkEnd w:id="90"/>
      <w:bookmarkEnd w:id="91"/>
      <w:bookmarkEnd w:id="92"/>
      <w:bookmarkEnd w:id="93"/>
      <w:bookmarkEnd w:id="94"/>
    </w:p>
    <w:p w14:paraId="34EB2597">
      <w:pPr>
        <w:numPr>
          <w:ilvl w:val="0"/>
          <w:numId w:val="3"/>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不具备第一部分“投标邀请”中投标人资格要求的；</w:t>
      </w:r>
    </w:p>
    <w:p w14:paraId="422EBBF1">
      <w:pPr>
        <w:numPr>
          <w:ilvl w:val="0"/>
          <w:numId w:val="3"/>
        </w:numPr>
        <w:tabs>
          <w:tab w:val="left" w:pos="960"/>
        </w:tabs>
        <w:autoSpaceDE w:val="0"/>
        <w:autoSpaceDN w:val="0"/>
        <w:spacing w:line="360" w:lineRule="auto"/>
        <w:ind w:firstLine="480" w:firstLineChars="200"/>
      </w:pPr>
      <w:r>
        <w:rPr>
          <w:rFonts w:hint="eastAsia" w:ascii="宋体" w:hAnsi="宋体" w:cs="宋体"/>
          <w:kern w:val="0"/>
        </w:rPr>
        <w:t>未按招标文件要求交纳或未足额交纳投标保证金的；</w:t>
      </w:r>
    </w:p>
    <w:p w14:paraId="2C5B3223">
      <w:pPr>
        <w:numPr>
          <w:ilvl w:val="0"/>
          <w:numId w:val="3"/>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未按第10.1（1-</w:t>
      </w:r>
      <w:r>
        <w:rPr>
          <w:rFonts w:hint="eastAsia" w:ascii="宋体" w:hAnsi="宋体" w:cs="宋体"/>
          <w:color w:val="000000"/>
          <w:kern w:val="0"/>
          <w:lang w:val="en-US" w:eastAsia="zh-CN"/>
        </w:rPr>
        <w:t>10</w:t>
      </w:r>
      <w:r>
        <w:rPr>
          <w:rFonts w:hint="eastAsia" w:ascii="宋体" w:hAnsi="宋体" w:cs="宋体"/>
          <w:color w:val="000000"/>
          <w:kern w:val="0"/>
        </w:rPr>
        <w:t>）要求提供相关资料的；</w:t>
      </w:r>
    </w:p>
    <w:p w14:paraId="5430E9C2">
      <w:pPr>
        <w:numPr>
          <w:ilvl w:val="0"/>
          <w:numId w:val="3"/>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资格性审查文件未按招标文件规定和要求签字、盖章的；</w:t>
      </w:r>
    </w:p>
    <w:p w14:paraId="15A771F8">
      <w:pPr>
        <w:numPr>
          <w:ilvl w:val="0"/>
          <w:numId w:val="3"/>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报价超过招标文件中规定的最高限价的；</w:t>
      </w:r>
    </w:p>
    <w:p w14:paraId="27939303">
      <w:pPr>
        <w:numPr>
          <w:ilvl w:val="0"/>
          <w:numId w:val="3"/>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28DBF5CE">
      <w:pPr>
        <w:numPr>
          <w:ilvl w:val="0"/>
          <w:numId w:val="3"/>
        </w:numPr>
        <w:tabs>
          <w:tab w:val="left" w:pos="960"/>
        </w:tabs>
        <w:autoSpaceDE w:val="0"/>
        <w:autoSpaceDN w:val="0"/>
        <w:spacing w:line="360" w:lineRule="auto"/>
        <w:ind w:firstLine="480"/>
        <w:rPr>
          <w:rFonts w:ascii="宋体" w:hAnsi="宋体"/>
        </w:rPr>
      </w:pPr>
      <w:r>
        <w:rPr>
          <w:rFonts w:hint="eastAsia" w:ascii="宋体" w:hAnsi="宋体"/>
        </w:rPr>
        <w:t>擅自修改招标文件规定的投标文件格式以及编制要求的。</w:t>
      </w:r>
    </w:p>
    <w:p w14:paraId="596D1CBE">
      <w:pPr>
        <w:pStyle w:val="19"/>
      </w:pPr>
    </w:p>
    <w:p w14:paraId="0A1AE241">
      <w:pPr>
        <w:pStyle w:val="18"/>
        <w:spacing w:before="0" w:after="0" w:line="360" w:lineRule="auto"/>
        <w:rPr>
          <w:rFonts w:ascii="宋体" w:hAnsi="宋体" w:cs="宋体"/>
          <w:color w:val="000000"/>
        </w:rPr>
      </w:pPr>
      <w:bookmarkStart w:id="95" w:name="_Toc14417"/>
      <w:bookmarkStart w:id="96" w:name="_Toc23124"/>
      <w:bookmarkStart w:id="97" w:name="_Toc358"/>
      <w:r>
        <w:rPr>
          <w:rFonts w:hint="eastAsia" w:ascii="宋体" w:hAnsi="宋体" w:cs="宋体"/>
          <w:color w:val="000000"/>
          <w:lang w:val="zh-CN"/>
        </w:rPr>
        <w:t>七、评审程序及方法</w:t>
      </w:r>
      <w:bookmarkEnd w:id="95"/>
      <w:bookmarkEnd w:id="96"/>
      <w:bookmarkEnd w:id="97"/>
    </w:p>
    <w:p w14:paraId="5082FF52">
      <w:pPr>
        <w:pStyle w:val="18"/>
        <w:spacing w:before="0" w:after="0" w:line="360" w:lineRule="auto"/>
        <w:jc w:val="left"/>
        <w:rPr>
          <w:rFonts w:ascii="宋体" w:hAnsi="宋体" w:cs="宋体"/>
          <w:color w:val="000000"/>
          <w:lang w:val="zh-CN"/>
        </w:rPr>
      </w:pPr>
      <w:bookmarkStart w:id="98" w:name="_Toc18209"/>
      <w:bookmarkStart w:id="99" w:name="_Toc6562"/>
      <w:bookmarkStart w:id="100" w:name="_Toc14550"/>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98"/>
      <w:bookmarkEnd w:id="99"/>
      <w:bookmarkEnd w:id="100"/>
    </w:p>
    <w:p w14:paraId="1F2C207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采购代理机构负责组织评标工作，并履行下列职责：</w:t>
      </w:r>
    </w:p>
    <w:p w14:paraId="7D06212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14A69F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33A938E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275DAAA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4D2057B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1CB97DE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424F854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6654FB0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14:paraId="428C0C0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53C982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6B29DD7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采购人可以在评标前说明项目背景和采购需求，说明内容不得含有歧视性、倾向性意见，不得超出招标文件所述范围。说明应当提交书面材料，并随招标文件一并存档。</w:t>
      </w:r>
    </w:p>
    <w:p w14:paraId="7FE5BE1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评标委员会负责具体评标事务，并独立履行下列职责：</w:t>
      </w:r>
    </w:p>
    <w:p w14:paraId="13260F3A">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严格遵守评审工作纪律,按照客观、公正、审慎的原则,根据招标文件规定的评审程序、评审方法和评审标准进行独立评审</w:t>
      </w:r>
      <w:r>
        <w:rPr>
          <w:rFonts w:hint="eastAsia" w:ascii="宋体" w:hAnsi="宋体" w:cs="宋体"/>
          <w:color w:val="000000"/>
          <w:kern w:val="0"/>
          <w:lang w:val="zh-CN"/>
        </w:rPr>
        <w:t>；</w:t>
      </w:r>
    </w:p>
    <w:p w14:paraId="3E993319">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发现招标文件内容违反国家有关强制性规定或者招标文件存在歧义、重大缺陷导致评审工作无法进行时,应当停止评审并向采购人或者采购代理机构书面说明情况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68BB3860">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5091EDD3">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6B35B1A9">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6BA75D54">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w:t>
      </w:r>
    </w:p>
    <w:p w14:paraId="63069A7A">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18579B03">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123F6B39">
      <w:pPr>
        <w:pStyle w:val="2"/>
        <w:spacing w:line="360" w:lineRule="auto"/>
        <w:ind w:firstLine="480" w:firstLineChars="200"/>
        <w:rPr>
          <w:rFonts w:ascii="宋体" w:hAnsi="宋体" w:cs="宋体"/>
          <w:color w:val="000000"/>
          <w:kern w:val="0"/>
        </w:rPr>
      </w:pPr>
      <w:r>
        <w:rPr>
          <w:rFonts w:hint="eastAsia" w:ascii="宋体" w:hAnsi="宋体" w:cs="宋体"/>
          <w:color w:val="000000"/>
          <w:kern w:val="0"/>
        </w:rPr>
        <w:t>17.3评标委员会应遵守并履行下列义务：</w:t>
      </w:r>
    </w:p>
    <w:p w14:paraId="1C8D47AB">
      <w:pPr>
        <w:pStyle w:val="2"/>
        <w:spacing w:line="360" w:lineRule="auto"/>
        <w:ind w:firstLine="480" w:firstLineChars="200"/>
        <w:rPr>
          <w:rFonts w:ascii="宋体" w:hAnsi="宋体" w:cs="宋体"/>
          <w:color w:val="000000"/>
          <w:kern w:val="0"/>
        </w:rPr>
      </w:pPr>
      <w:r>
        <w:rPr>
          <w:rFonts w:hint="eastAsia" w:ascii="宋体" w:hAnsi="宋体" w:cs="宋体"/>
          <w:color w:val="000000"/>
          <w:kern w:val="0"/>
        </w:rPr>
        <w:t>（1）遵纪守法，客观、公正、廉洁地履行职责；</w:t>
      </w:r>
    </w:p>
    <w:p w14:paraId="63223632">
      <w:pPr>
        <w:pStyle w:val="2"/>
        <w:spacing w:line="360" w:lineRule="auto"/>
        <w:ind w:firstLine="480" w:firstLineChars="200"/>
        <w:rPr>
          <w:rFonts w:ascii="宋体" w:hAnsi="宋体" w:cs="宋体"/>
          <w:color w:val="000000"/>
          <w:kern w:val="0"/>
        </w:rPr>
      </w:pPr>
      <w:r>
        <w:rPr>
          <w:rFonts w:hint="eastAsia" w:ascii="宋体" w:hAnsi="宋体" w:cs="宋体"/>
          <w:color w:val="000000"/>
          <w:kern w:val="0"/>
        </w:rPr>
        <w:t>（2）按照招标文件规定的评标方法和评标标准进行评审，对评审意见承担评标委员会成员责任；</w:t>
      </w:r>
    </w:p>
    <w:p w14:paraId="7EC975DA">
      <w:pPr>
        <w:pStyle w:val="2"/>
        <w:spacing w:line="360" w:lineRule="auto"/>
        <w:ind w:firstLine="480" w:firstLineChars="200"/>
        <w:rPr>
          <w:rFonts w:ascii="宋体" w:hAnsi="宋体" w:cs="宋体"/>
          <w:color w:val="000000"/>
          <w:kern w:val="0"/>
        </w:rPr>
      </w:pPr>
      <w:r>
        <w:rPr>
          <w:rFonts w:hint="eastAsia" w:ascii="宋体" w:hAnsi="宋体" w:cs="宋体"/>
          <w:color w:val="000000"/>
          <w:kern w:val="0"/>
        </w:rPr>
        <w:t>（3）对评标文件、评标情况和评标中获悉的商业秘密保密；</w:t>
      </w:r>
    </w:p>
    <w:p w14:paraId="6F0D6532">
      <w:pPr>
        <w:pStyle w:val="2"/>
        <w:spacing w:line="360" w:lineRule="auto"/>
        <w:ind w:firstLine="480" w:firstLineChars="200"/>
        <w:rPr>
          <w:rFonts w:ascii="宋体" w:hAnsi="宋体" w:cs="宋体"/>
          <w:color w:val="000000"/>
          <w:kern w:val="0"/>
        </w:rPr>
      </w:pPr>
      <w:r>
        <w:rPr>
          <w:rFonts w:hint="eastAsia" w:ascii="宋体" w:hAnsi="宋体" w:cs="宋体"/>
          <w:color w:val="000000"/>
          <w:kern w:val="0"/>
        </w:rPr>
        <w:t>（4）参与评标报告的起草；</w:t>
      </w:r>
    </w:p>
    <w:p w14:paraId="79A2AA1A">
      <w:pPr>
        <w:pStyle w:val="2"/>
        <w:spacing w:line="360" w:lineRule="auto"/>
        <w:ind w:firstLine="480" w:firstLineChars="200"/>
        <w:rPr>
          <w:rFonts w:ascii="宋体" w:hAnsi="宋体" w:cs="宋体"/>
          <w:color w:val="000000"/>
          <w:kern w:val="0"/>
        </w:rPr>
      </w:pPr>
      <w:r>
        <w:rPr>
          <w:rFonts w:hint="eastAsia" w:ascii="宋体" w:hAnsi="宋体" w:cs="宋体"/>
          <w:color w:val="000000"/>
          <w:kern w:val="0"/>
        </w:rPr>
        <w:t>（5）解答投标供应商及有关方面的质疑；</w:t>
      </w:r>
    </w:p>
    <w:p w14:paraId="1357E981">
      <w:pPr>
        <w:pStyle w:val="2"/>
        <w:spacing w:line="360" w:lineRule="auto"/>
        <w:ind w:firstLine="480" w:firstLineChars="200"/>
        <w:rPr>
          <w:rFonts w:ascii="宋体" w:hAnsi="宋体" w:cs="宋体"/>
          <w:color w:val="000000"/>
          <w:kern w:val="0"/>
        </w:rPr>
      </w:pPr>
      <w:r>
        <w:rPr>
          <w:rFonts w:hint="eastAsia" w:ascii="宋体" w:hAnsi="宋体" w:cs="宋体"/>
          <w:color w:val="000000"/>
          <w:kern w:val="0"/>
        </w:rPr>
        <w:t>（6）配合纪检部门进行投诉处理工作。</w:t>
      </w:r>
    </w:p>
    <w:p w14:paraId="25590FEE">
      <w:pPr>
        <w:pStyle w:val="2"/>
        <w:spacing w:line="360" w:lineRule="auto"/>
        <w:ind w:firstLine="480" w:firstLineChars="200"/>
      </w:pPr>
      <w:r>
        <w:rPr>
          <w:rFonts w:hint="eastAsia"/>
        </w:rPr>
        <w:t>评标工作在有关部门的监督下依法开展，任何单位和个人不得非法干预、影响评标工作和评标结果。</w:t>
      </w:r>
    </w:p>
    <w:p w14:paraId="53C5930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17.4 评标委员会由采购人代表和评审专家组成，成员人数应当为5人以上单数，其中评审专家不得少于成员总数的三分之二。</w:t>
      </w:r>
    </w:p>
    <w:p w14:paraId="5AA7DC1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38C0567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14:paraId="593C983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14:paraId="2A37958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14:paraId="6F57FE9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15E180F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3389D7E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17.5</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124B30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6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5149E71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应当将变更、重新组建评标委员会的情况予以记录，并随招标文件一并存档。</w:t>
      </w:r>
    </w:p>
    <w:p w14:paraId="31633D5B">
      <w:pPr>
        <w:pStyle w:val="18"/>
        <w:spacing w:before="0" w:after="0" w:line="360" w:lineRule="auto"/>
        <w:jc w:val="left"/>
        <w:rPr>
          <w:rFonts w:ascii="宋体" w:hAnsi="宋体" w:cs="宋体"/>
          <w:color w:val="000000"/>
          <w:lang w:val="zh-CN"/>
        </w:rPr>
      </w:pPr>
      <w:bookmarkStart w:id="101" w:name="_Toc26487"/>
      <w:bookmarkStart w:id="102" w:name="_Toc14448"/>
      <w:bookmarkStart w:id="103" w:name="_Toc19368"/>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101"/>
      <w:bookmarkEnd w:id="102"/>
      <w:bookmarkEnd w:id="103"/>
    </w:p>
    <w:p w14:paraId="1F3030A6">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8</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571A5FA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18.1.1</w:t>
      </w:r>
      <w:r>
        <w:rPr>
          <w:rFonts w:hint="eastAsia" w:ascii="宋体" w:hAnsi="宋体" w:cs="宋体"/>
          <w:b/>
          <w:bCs/>
          <w:color w:val="000000"/>
          <w:kern w:val="0"/>
        </w:rPr>
        <w:t xml:space="preserve"> </w:t>
      </w:r>
      <w:r>
        <w:rPr>
          <w:rFonts w:hint="eastAsia" w:ascii="宋体" w:hAnsi="宋体" w:cs="宋体"/>
          <w:bCs/>
          <w:color w:val="000000"/>
          <w:kern w:val="0"/>
        </w:rPr>
        <w:t>对于</w:t>
      </w:r>
      <w:r>
        <w:rPr>
          <w:rFonts w:hint="eastAsia" w:ascii="宋体" w:hAnsi="宋体" w:cs="宋体"/>
          <w:color w:val="000000"/>
          <w:kern w:val="0"/>
          <w:lang w:val="zh-CN"/>
        </w:rPr>
        <w:t>投标文件中含义不明确、同类问题表述不一致或者有明显文字和计算错误的内容，评标委员会</w:t>
      </w:r>
      <w:r>
        <w:rPr>
          <w:rFonts w:hint="eastAsia" w:ascii="宋体" w:hAnsi="宋体" w:cs="宋体"/>
          <w:color w:val="000000"/>
          <w:kern w:val="0"/>
        </w:rPr>
        <w:t>应当</w:t>
      </w:r>
      <w:r>
        <w:rPr>
          <w:rFonts w:hint="eastAsia" w:ascii="宋体" w:hAnsi="宋体" w:cs="宋体"/>
          <w:color w:val="000000"/>
          <w:kern w:val="0"/>
          <w:lang w:val="zh-CN"/>
        </w:rPr>
        <w:t>要求投标人作出必要的澄清、说明或者补正。投标人的澄清、说明或者补正不得超出投标文件的范围或者改变投标文件的实质性内容</w:t>
      </w:r>
      <w:r>
        <w:rPr>
          <w:rFonts w:hint="eastAsia" w:ascii="宋体" w:hAnsi="宋体" w:cs="宋体"/>
          <w:color w:val="000000"/>
          <w:kern w:val="0"/>
        </w:rPr>
        <w:t>，并作为投标文件的组成部分。</w:t>
      </w:r>
    </w:p>
    <w:p w14:paraId="185BEC0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56211A49">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16730F4C">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未按第10</w:t>
      </w:r>
      <w:r>
        <w:rPr>
          <w:rFonts w:hint="eastAsia" w:ascii="宋体" w:hAnsi="宋体" w:cs="宋体"/>
        </w:rPr>
        <w:t>.</w:t>
      </w:r>
      <w:r>
        <w:rPr>
          <w:rFonts w:hint="eastAsia" w:ascii="宋体" w:hAnsi="宋体" w:cs="宋体"/>
          <w:lang w:val="zh-CN"/>
        </w:rPr>
        <w:t>2（</w:t>
      </w:r>
      <w:r>
        <w:rPr>
          <w:rFonts w:hint="eastAsia" w:ascii="宋体" w:hAnsi="宋体" w:cs="宋体"/>
        </w:rPr>
        <w:t>1</w:t>
      </w:r>
      <w:r>
        <w:rPr>
          <w:rFonts w:hint="eastAsia" w:ascii="宋体" w:hAnsi="宋体" w:cs="宋体"/>
          <w:lang w:val="en-US" w:eastAsia="zh-CN"/>
        </w:rPr>
        <w:t>1</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lang w:val="en-US" w:eastAsia="zh-CN"/>
        </w:rPr>
        <w:t>13</w:t>
      </w:r>
      <w:r>
        <w:rPr>
          <w:rFonts w:ascii="宋体" w:hAnsi="宋体" w:cs="宋体"/>
          <w:lang w:val="zh-CN"/>
        </w:rPr>
        <w:t>）</w:t>
      </w:r>
      <w:r>
        <w:rPr>
          <w:rFonts w:hint="eastAsia" w:ascii="宋体" w:hAnsi="宋体" w:cs="宋体"/>
          <w:lang w:val="zh-CN"/>
        </w:rPr>
        <w:t>款要求提供相关资料的；</w:t>
      </w:r>
    </w:p>
    <w:p w14:paraId="72998BF4">
      <w:pPr>
        <w:numPr>
          <w:ilvl w:val="0"/>
          <w:numId w:val="5"/>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投标文件含有采购人不能接受的附加条件的；</w:t>
      </w:r>
    </w:p>
    <w:p w14:paraId="005F964F">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服务期限不能满足招标文件要求的；</w:t>
      </w:r>
    </w:p>
    <w:p w14:paraId="4BC7D4AD">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w:t>
      </w:r>
      <w:r>
        <w:rPr>
          <w:rFonts w:hint="eastAsia" w:ascii="宋体" w:hAnsi="宋体" w:cs="宋体"/>
          <w:color w:val="000000"/>
          <w:kern w:val="0"/>
        </w:rPr>
        <w:t>最高限价</w:t>
      </w:r>
      <w:r>
        <w:rPr>
          <w:rFonts w:hint="eastAsia" w:ascii="宋体" w:hAnsi="宋体"/>
          <w:color w:val="000000"/>
        </w:rPr>
        <w:t>的；</w:t>
      </w:r>
    </w:p>
    <w:p w14:paraId="0B03729B">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投标服务内容明显不符合采购项目要求的；</w:t>
      </w:r>
    </w:p>
    <w:p w14:paraId="0AFF617A">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投标产品（服务）未完全满足招标文件确定的重要技术指标、参数的（服务需求）；</w:t>
      </w:r>
    </w:p>
    <w:p w14:paraId="04535A35">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5D0A7D29">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又不按18.1.3进行确认</w:t>
      </w:r>
      <w:r>
        <w:rPr>
          <w:rFonts w:ascii="宋体" w:hAnsi="宋体"/>
          <w:color w:val="000000"/>
        </w:rPr>
        <w:t>的；</w:t>
      </w:r>
    </w:p>
    <w:p w14:paraId="59A310E9">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14:paraId="1E189641">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2F897E9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18.1.3 投标文件报价出现前后不一致的，按照下列规定修正：</w:t>
      </w:r>
    </w:p>
    <w:p w14:paraId="07DF2DA0">
      <w:pPr>
        <w:autoSpaceDE w:val="0"/>
        <w:autoSpaceDN w:val="0"/>
        <w:spacing w:line="360" w:lineRule="auto"/>
        <w:ind w:firstLine="480" w:firstLineChars="200"/>
        <w:rPr>
          <w:rFonts w:ascii="宋体" w:hAnsi="宋体" w:cs="宋体"/>
          <w:color w:val="000000"/>
          <w:kern w:val="0"/>
          <w:highlight w:val="yellow"/>
        </w:rPr>
      </w:pPr>
      <w:r>
        <w:rPr>
          <w:rFonts w:hint="eastAsia" w:ascii="宋体" w:hAnsi="宋体" w:cs="宋体"/>
          <w:color w:val="000000"/>
          <w:kern w:val="0"/>
        </w:rPr>
        <w:t>（1）</w:t>
      </w:r>
      <w:r>
        <w:rPr>
          <w:rFonts w:hint="eastAsia" w:ascii="宋体" w:hAnsi="宋体"/>
        </w:rPr>
        <w:t>开标后，投标人在</w:t>
      </w:r>
      <w:r>
        <w:rPr>
          <w:rFonts w:hint="eastAsia" w:ascii="宋体" w:hAnsi="宋体" w:cs="宋体"/>
          <w:color w:val="000000"/>
        </w:rPr>
        <w:t>政采云平台</w:t>
      </w:r>
      <w:r>
        <w:rPr>
          <w:rFonts w:hint="eastAsia" w:ascii="宋体" w:hAnsi="宋体"/>
        </w:rPr>
        <w:t>上报价与投标文件内容不一致的，以网上报价为准。若拒绝接受，其投标无效。</w:t>
      </w:r>
    </w:p>
    <w:p w14:paraId="18BB16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（2）投标文件中开标一览表（报价表）内容与投标文件中相应内容不一致的，以开标一览表（报价表）为准；</w:t>
      </w:r>
    </w:p>
    <w:p w14:paraId="00EB0D0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（3）大写金额和小写金额不一致的，以大写金额为准；</w:t>
      </w:r>
    </w:p>
    <w:p w14:paraId="76030B5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（4）单价金额小数点或者百分比有明显错位的，以开标一览表的总价为准，并修改单价；</w:t>
      </w:r>
    </w:p>
    <w:p w14:paraId="62E49C8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（5）总价金额与按单价汇总金额不一致的，以单价金额计算结果为准。</w:t>
      </w:r>
    </w:p>
    <w:p w14:paraId="4F3E277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同时出现两种以上不一致的，按照前款规定的顺序修正。修正后的报价按18.1.1的规定经投标人确认后产生约束力。</w:t>
      </w:r>
      <w:r>
        <w:rPr>
          <w:rFonts w:hint="eastAsia" w:ascii="宋体" w:hAnsi="宋体"/>
        </w:rPr>
        <w:t>投标人不确认的，其投标无效。</w:t>
      </w:r>
    </w:p>
    <w:p w14:paraId="2540A0F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w:t>
      </w:r>
      <w:r>
        <w:rPr>
          <w:rFonts w:hint="eastAsia" w:ascii="宋体" w:hAnsi="宋体" w:cs="宋体"/>
          <w:color w:val="000000"/>
          <w:kern w:val="0"/>
        </w:rPr>
        <w:t>品目</w:t>
      </w:r>
      <w:r>
        <w:rPr>
          <w:rFonts w:hint="eastAsia" w:ascii="宋体" w:hAnsi="宋体" w:cs="宋体"/>
          <w:color w:val="000000"/>
          <w:kern w:val="0"/>
          <w:lang w:val="zh-CN"/>
        </w:rPr>
        <w:t>清单”中的有效期内的产品；节能产品是指由财政部、国家发展改革委颁布的“节能产品政府采购</w:t>
      </w:r>
      <w:r>
        <w:rPr>
          <w:rFonts w:hint="eastAsia" w:ascii="宋体" w:hAnsi="宋体" w:cs="宋体"/>
          <w:color w:val="000000"/>
          <w:kern w:val="0"/>
        </w:rPr>
        <w:t>品目</w:t>
      </w:r>
      <w:r>
        <w:rPr>
          <w:rFonts w:hint="eastAsia" w:ascii="宋体" w:hAnsi="宋体" w:cs="宋体"/>
          <w:color w:val="000000"/>
          <w:kern w:val="0"/>
          <w:lang w:val="zh-CN"/>
        </w:rPr>
        <w:t>清单”中的有效期内的产品。）</w:t>
      </w:r>
    </w:p>
    <w:p w14:paraId="2B3B4810">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根据《政府采购促进中小企业发展管理办法》，属</w:t>
      </w:r>
      <w:r>
        <w:rPr>
          <w:rFonts w:hint="eastAsia" w:ascii="宋体" w:hAnsi="宋体" w:cs="宋体"/>
          <w:color w:val="000000"/>
          <w:kern w:val="0"/>
        </w:rPr>
        <w:t>于</w:t>
      </w:r>
      <w:r>
        <w:rPr>
          <w:rFonts w:hint="eastAsia" w:ascii="宋体" w:hAnsi="宋体" w:cs="宋体"/>
          <w:color w:val="000000"/>
          <w:kern w:val="0"/>
          <w:lang w:val="zh-CN"/>
        </w:rPr>
        <w:t>中小企业承接的服务，</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，并由投标人加盖公章，其划型标准严格按照国家工信部、国家统计局、国家发改委、财政部出台的《中小企业划型标准规定》（工信部联企业[2011]300号）执行。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14:paraId="5F1243D0">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14:paraId="0969611C">
      <w:pPr>
        <w:autoSpaceDE w:val="0"/>
        <w:autoSpaceDN w:val="0"/>
        <w:spacing w:line="360" w:lineRule="auto"/>
        <w:ind w:firstLine="480" w:firstLineChars="200"/>
        <w:rPr>
          <w:lang w:val="zh-CN"/>
        </w:rPr>
      </w:pPr>
      <w:r>
        <w:rPr>
          <w:rFonts w:hAnsi="宋体" w:cs="宋体"/>
          <w:color w:val="000000"/>
          <w:kern w:val="0"/>
          <w:lang w:val="zh-CN"/>
        </w:rPr>
        <w:t>根据《财政部司法部关于政府采购支持监狱企业发展有关问题的通知》（财库[2014]68号）的相关规定，属于监狱企业的，</w:t>
      </w:r>
      <w:r>
        <w:rPr>
          <w:rFonts w:hint="eastAsia" w:hAnsi="宋体" w:cs="宋体"/>
          <w:color w:val="000000"/>
          <w:kern w:val="0"/>
          <w:lang w:val="zh-CN"/>
        </w:rPr>
        <w:t>投标人</w:t>
      </w:r>
      <w:r>
        <w:rPr>
          <w:rFonts w:hAnsi="宋体" w:cs="宋体"/>
          <w:color w:val="000000"/>
          <w:kern w:val="0"/>
          <w:lang w:val="zh-CN"/>
        </w:rPr>
        <w:t>须按要求出具属于监狱企业的证明文件。监狱企业视同小微企业，享受预留份额、评标中价格扣除等促进中小企业发展的政府采购政策。向监狱企业采购的金额，计入面向中小企业采购的统计数据。</w:t>
      </w:r>
      <w:r>
        <w:rPr>
          <w:rFonts w:hint="eastAsia" w:hAnsi="宋体" w:cs="宋体"/>
          <w:b/>
          <w:color w:val="000000"/>
          <w:kern w:val="0"/>
          <w:lang w:val="zh-CN"/>
        </w:rPr>
        <w:t>投标人</w:t>
      </w:r>
      <w:r>
        <w:rPr>
          <w:rFonts w:hAnsi="宋体" w:cs="宋体"/>
          <w:b/>
          <w:color w:val="000000"/>
          <w:kern w:val="0"/>
          <w:lang w:val="zh-CN"/>
        </w:rPr>
        <w:t>提供的监狱企业证明文件资料必须真实，</w:t>
      </w:r>
      <w:r>
        <w:rPr>
          <w:rFonts w:hint="eastAsia" w:ascii="宋体" w:hAnsi="宋体" w:cs="宋体"/>
          <w:b/>
          <w:color w:val="000000"/>
          <w:kern w:val="0"/>
          <w:lang w:val="zh-CN"/>
        </w:rPr>
        <w:t>否则，按照有关规定予以处理。</w:t>
      </w:r>
    </w:p>
    <w:p w14:paraId="08302C3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在评审过程中，评标委员会成员对需要共同认定的事项存在争议的，应当按照少数服从多数的原则作出结论。持不同意见的评标委员会成员应当在评标报告上签署不同意见及理由，否则视为同意评标报告。</w:t>
      </w:r>
    </w:p>
    <w:p w14:paraId="015212D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18.4 评标委员会应当按照招标文件中规定的评标方法和标准，对符合性审查合格的投标文件进行商务和技术评估，综合比较与评价。</w:t>
      </w:r>
    </w:p>
    <w:p w14:paraId="48958C9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CF57A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18.6 </w:t>
      </w:r>
      <w:r>
        <w:rPr>
          <w:rFonts w:hint="eastAsia" w:ascii="宋体" w:hAnsi="宋体" w:cs="宋体"/>
          <w:color w:val="000000"/>
          <w:kern w:val="0"/>
          <w:lang w:val="zh-CN"/>
        </w:rPr>
        <w:t>采用最低评标价法的采购项目，提供相同品牌产品的不同投标人参加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14:paraId="766B745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88A7F89">
      <w:pPr>
        <w:pStyle w:val="2"/>
        <w:rPr>
          <w:rFonts w:ascii="宋体" w:hAnsi="宋体" w:cs="宋体"/>
          <w:color w:val="000000"/>
          <w:kern w:val="0"/>
        </w:rPr>
      </w:pPr>
      <w:r>
        <w:rPr>
          <w:rFonts w:hint="eastAsia" w:ascii="宋体" w:hAnsi="宋体" w:cs="宋体"/>
          <w:color w:val="000000"/>
          <w:kern w:val="0"/>
        </w:rPr>
        <w:t xml:space="preserve">    18.7答疑的方式和情形</w:t>
      </w:r>
    </w:p>
    <w:p w14:paraId="353ECF08">
      <w:pPr>
        <w:spacing w:line="360" w:lineRule="auto"/>
        <w:ind w:firstLine="482"/>
        <w:jc w:val="left"/>
        <w:rPr>
          <w:rFonts w:ascii="宋体" w:hAnsi="宋体"/>
        </w:rPr>
      </w:pPr>
      <w:r>
        <w:rPr>
          <w:rFonts w:hint="eastAsia" w:ascii="宋体" w:hAnsi="宋体"/>
        </w:rPr>
        <w:t>18.7.1 答疑方式：详见第一部分投标邀请“答疑方式”。</w:t>
      </w:r>
    </w:p>
    <w:p w14:paraId="30ED59BF">
      <w:pPr>
        <w:spacing w:line="360" w:lineRule="auto"/>
        <w:ind w:firstLine="482"/>
        <w:jc w:val="left"/>
        <w:rPr>
          <w:rFonts w:ascii="宋体" w:hAnsi="宋体"/>
        </w:rPr>
      </w:pPr>
      <w:r>
        <w:rPr>
          <w:rFonts w:hint="eastAsia" w:ascii="宋体" w:hAnsi="宋体"/>
        </w:rPr>
        <w:t>18.7.2 答疑期间，投标人存在以下情况的，</w:t>
      </w:r>
      <w:r>
        <w:rPr>
          <w:rFonts w:ascii="宋体" w:hAnsi="宋体"/>
        </w:rPr>
        <w:t>澄清</w:t>
      </w:r>
      <w:r>
        <w:rPr>
          <w:rFonts w:hint="eastAsia" w:ascii="宋体" w:hAnsi="宋体"/>
        </w:rPr>
        <w:t>、</w:t>
      </w:r>
      <w:r>
        <w:rPr>
          <w:rFonts w:ascii="宋体" w:hAnsi="宋体"/>
        </w:rPr>
        <w:t>说明</w:t>
      </w:r>
      <w:r>
        <w:rPr>
          <w:rFonts w:hint="eastAsia" w:ascii="宋体" w:hAnsi="宋体"/>
        </w:rPr>
        <w:t>的内容将不予接受，评标委员会将按照招标文件的要求对现有的投标资料做出评审意见：</w:t>
      </w:r>
    </w:p>
    <w:p w14:paraId="31FD84DE">
      <w:pPr>
        <w:spacing w:line="360" w:lineRule="auto"/>
        <w:ind w:firstLine="482"/>
        <w:jc w:val="left"/>
        <w:rPr>
          <w:rFonts w:ascii="宋体" w:hAnsi="宋体"/>
        </w:rPr>
      </w:pPr>
      <w:r>
        <w:rPr>
          <w:rFonts w:hint="eastAsia" w:ascii="宋体" w:hAnsi="宋体"/>
        </w:rPr>
        <w:t>（1）拒绝或在规定的时间内未做出澄清、说明；</w:t>
      </w:r>
    </w:p>
    <w:p w14:paraId="1296D647">
      <w:pPr>
        <w:spacing w:line="360" w:lineRule="auto"/>
        <w:ind w:firstLine="482"/>
        <w:jc w:val="left"/>
        <w:rPr>
          <w:rFonts w:ascii="宋体" w:hAnsi="宋体"/>
        </w:rPr>
      </w:pPr>
      <w:r>
        <w:rPr>
          <w:rFonts w:hint="eastAsia" w:ascii="宋体" w:hAnsi="宋体"/>
        </w:rPr>
        <w:t>（2）</w:t>
      </w:r>
      <w:r>
        <w:rPr>
          <w:rFonts w:ascii="Arial" w:hAnsi="Arial" w:cs="Arial"/>
          <w:kern w:val="0"/>
        </w:rPr>
        <w:t>投标人的澄清、说明或者补正</w:t>
      </w:r>
      <w:r>
        <w:rPr>
          <w:rFonts w:hint="eastAsia" w:ascii="宋体" w:hAnsi="宋体"/>
        </w:rPr>
        <w:t>超出投标文件的范围或者改变投标文件的实质性内容；</w:t>
      </w:r>
    </w:p>
    <w:p w14:paraId="3C76CB60">
      <w:pPr>
        <w:spacing w:line="360" w:lineRule="auto"/>
        <w:ind w:firstLine="482"/>
        <w:jc w:val="left"/>
        <w:rPr>
          <w:rFonts w:ascii="宋体" w:hAnsi="宋体"/>
        </w:rPr>
      </w:pPr>
      <w:r>
        <w:rPr>
          <w:rFonts w:hint="eastAsia" w:ascii="宋体" w:hAnsi="宋体"/>
        </w:rPr>
        <w:t>（3）澄清、说明的内容仍不能说明问题的；</w:t>
      </w:r>
    </w:p>
    <w:p w14:paraId="06F16292">
      <w:pPr>
        <w:spacing w:line="360" w:lineRule="auto"/>
        <w:ind w:firstLine="482"/>
        <w:jc w:val="left"/>
        <w:rPr>
          <w:rFonts w:ascii="宋体" w:hAnsi="宋体"/>
        </w:rPr>
      </w:pPr>
      <w:r>
        <w:rPr>
          <w:rFonts w:hint="eastAsia" w:ascii="宋体" w:hAnsi="宋体"/>
        </w:rPr>
        <w:t>（4）</w:t>
      </w:r>
      <w:r>
        <w:rPr>
          <w:rFonts w:ascii="宋体" w:hAnsi="宋体"/>
        </w:rPr>
        <w:t>投标人主动提出的澄清</w:t>
      </w:r>
      <w:r>
        <w:rPr>
          <w:rFonts w:hint="eastAsia" w:ascii="宋体" w:hAnsi="宋体"/>
        </w:rPr>
        <w:t>、</w:t>
      </w:r>
      <w:r>
        <w:rPr>
          <w:rFonts w:ascii="宋体" w:hAnsi="宋体"/>
        </w:rPr>
        <w:t>说明</w:t>
      </w:r>
      <w:r>
        <w:rPr>
          <w:rFonts w:hint="eastAsia" w:ascii="宋体" w:hAnsi="宋体"/>
        </w:rPr>
        <w:t>的内容；</w:t>
      </w:r>
    </w:p>
    <w:p w14:paraId="08898EC8">
      <w:pPr>
        <w:spacing w:line="360" w:lineRule="auto"/>
        <w:ind w:firstLine="482"/>
        <w:jc w:val="left"/>
        <w:rPr>
          <w:rFonts w:ascii="宋体" w:hAnsi="宋体"/>
        </w:rPr>
      </w:pPr>
      <w:r>
        <w:rPr>
          <w:rFonts w:hint="eastAsia" w:ascii="宋体" w:hAnsi="宋体"/>
        </w:rPr>
        <w:t>（5）评标委员会认为应不予接受的其他情况。</w:t>
      </w:r>
    </w:p>
    <w:p w14:paraId="7A89E14D">
      <w:pPr>
        <w:pStyle w:val="2"/>
      </w:pPr>
    </w:p>
    <w:p w14:paraId="64FF14F3">
      <w:pPr>
        <w:pStyle w:val="18"/>
        <w:spacing w:before="0" w:after="0" w:line="360" w:lineRule="auto"/>
        <w:jc w:val="left"/>
        <w:rPr>
          <w:rFonts w:ascii="宋体" w:hAnsi="宋体" w:cs="宋体"/>
          <w:color w:val="000000"/>
          <w:sz w:val="28"/>
          <w:szCs w:val="28"/>
          <w:lang w:val="zh-CN"/>
        </w:rPr>
      </w:pPr>
      <w:bookmarkStart w:id="104" w:name="_Toc19551"/>
      <w:bookmarkStart w:id="105" w:name="_Toc18482"/>
      <w:bookmarkStart w:id="106" w:name="_Toc17941"/>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104"/>
      <w:bookmarkEnd w:id="105"/>
      <w:bookmarkEnd w:id="106"/>
    </w:p>
    <w:p w14:paraId="7DCEAA6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74E304C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73F0489D">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评审方法：采用</w:t>
      </w:r>
      <w:r>
        <w:rPr>
          <w:rFonts w:hint="eastAsia" w:ascii="宋体" w:hAnsi="宋体" w:cs="宋体"/>
          <w:b/>
          <w:bCs/>
          <w:color w:val="000000"/>
          <w:kern w:val="0"/>
          <w:lang w:val="zh-CN"/>
        </w:rPr>
        <w:t>综合评分法</w:t>
      </w:r>
    </w:p>
    <w:p w14:paraId="591F951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综合评分法，是指投标文件满足招标文件全部实质性要求，且按照评审因素的量化指标评审得分最高的投标人为中标候选人的评标方法。</w:t>
      </w:r>
    </w:p>
    <w:p w14:paraId="35C00A1E">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评审因素的设定应当与投标人所提供服务的质量相关</w:t>
      </w:r>
      <w:r>
        <w:rPr>
          <w:rFonts w:hint="eastAsia" w:ascii="宋体" w:hAnsi="宋体" w:cs="宋体"/>
          <w:kern w:val="0"/>
          <w:lang w:val="zh-CN"/>
        </w:rPr>
        <w:t>，包括</w:t>
      </w:r>
      <w:r>
        <w:rPr>
          <w:rFonts w:hint="eastAsia" w:ascii="宋体" w:hAnsi="宋体" w:cs="宋体"/>
          <w:kern w:val="0"/>
          <w:shd w:val="clear"/>
          <w:lang w:val="en-US" w:eastAsia="zh-CN"/>
        </w:rPr>
        <w:t>报价</w:t>
      </w:r>
      <w:r>
        <w:rPr>
          <w:rFonts w:hint="eastAsia" w:ascii="宋体" w:hAnsi="宋体" w:cs="宋体"/>
          <w:kern w:val="0"/>
          <w:shd w:val="clear"/>
          <w:lang w:val="zh-CN"/>
        </w:rPr>
        <w:t>、</w:t>
      </w:r>
      <w:r>
        <w:rPr>
          <w:rFonts w:hint="eastAsia" w:ascii="宋体" w:hAnsi="宋体" w:cs="宋体"/>
          <w:kern w:val="0"/>
          <w:shd w:val="clear"/>
        </w:rPr>
        <w:t>商务部分</w:t>
      </w:r>
      <w:r>
        <w:rPr>
          <w:rFonts w:hint="eastAsia" w:ascii="宋体" w:hAnsi="宋体" w:cs="宋体"/>
          <w:kern w:val="0"/>
          <w:shd w:val="clear"/>
          <w:lang w:val="zh-CN"/>
        </w:rPr>
        <w:t>、技术</w:t>
      </w:r>
      <w:r>
        <w:rPr>
          <w:rFonts w:hint="eastAsia" w:ascii="宋体" w:hAnsi="宋体" w:cs="宋体"/>
          <w:kern w:val="0"/>
          <w:shd w:val="clear"/>
        </w:rPr>
        <w:t>部分</w:t>
      </w:r>
      <w:r>
        <w:rPr>
          <w:rFonts w:hint="eastAsia" w:ascii="宋体" w:hAnsi="宋体" w:cs="宋体"/>
          <w:kern w:val="0"/>
          <w:lang w:val="zh-CN"/>
        </w:rPr>
        <w:t>。资格条件不得作为评审因素。</w:t>
      </w:r>
    </w:p>
    <w:p w14:paraId="6B7633A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评审因素应当细化和量化，且与相应的商务条件和采购需求对应。商务条件和采购需求指标有区间规定的，评审因素应当量化到相应区间，并设置各区间对应的不同分值。</w:t>
      </w:r>
    </w:p>
    <w:p w14:paraId="088A4F32">
      <w:pPr>
        <w:pStyle w:val="19"/>
        <w:ind w:firstLine="482" w:firstLineChars="200"/>
        <w:rPr>
          <w:rFonts w:hint="eastAsia" w:ascii="宋体" w:hAnsi="宋体" w:cs="宋体"/>
          <w:b/>
          <w:bCs/>
          <w:color w:val="000000"/>
          <w:kern w:val="2"/>
          <w:sz w:val="24"/>
          <w:szCs w:val="24"/>
          <w:highlight w:val="none"/>
          <w:shd w:val="clear" w:color="auto" w:fill="FFFFFF"/>
          <w:lang w:val="en-US" w:eastAsia="zh-CN" w:bidi="ar-SA"/>
        </w:rPr>
      </w:pPr>
      <w:r>
        <w:rPr>
          <w:rFonts w:hint="eastAsia" w:ascii="宋体" w:hAnsi="宋体" w:eastAsia="宋体" w:cs="宋体"/>
          <w:b/>
          <w:bCs/>
          <w:color w:val="000000"/>
          <w:kern w:val="2"/>
          <w:sz w:val="24"/>
          <w:szCs w:val="24"/>
          <w:highlight w:val="none"/>
          <w:shd w:val="clear" w:color="auto" w:fill="FFFFFF"/>
          <w:lang w:val="en-US" w:eastAsia="zh-CN" w:bidi="ar-SA"/>
        </w:rPr>
        <w:t>本次采购执行统一价格标准，投标报价实行固定价格，中标后不予调整。本项目为固定总价</w:t>
      </w:r>
      <w:r>
        <w:rPr>
          <w:rFonts w:hint="eastAsia" w:ascii="宋体" w:hAnsi="宋体" w:cs="宋体"/>
          <w:b/>
          <w:bCs/>
          <w:color w:val="000000"/>
          <w:kern w:val="2"/>
          <w:sz w:val="24"/>
          <w:szCs w:val="24"/>
          <w:highlight w:val="none"/>
          <w:shd w:val="clear" w:color="auto" w:fill="FFFFFF"/>
          <w:lang w:val="en-US" w:eastAsia="zh-CN" w:bidi="ar-SA"/>
        </w:rPr>
        <w:t>,投标报价不作为评审因素</w:t>
      </w:r>
    </w:p>
    <w:p w14:paraId="5EB20B73">
      <w:pPr>
        <w:autoSpaceDE w:val="0"/>
        <w:autoSpaceDN w:val="0"/>
        <w:spacing w:line="360" w:lineRule="auto"/>
        <w:rPr>
          <w:rFonts w:ascii="宋体" w:hAnsi="宋体" w:cs="宋体"/>
          <w:b/>
          <w:color w:val="000000"/>
          <w:kern w:val="0"/>
          <w:lang w:val="zh-CN"/>
        </w:rPr>
      </w:pPr>
      <w:r>
        <w:rPr>
          <w:rFonts w:hint="eastAsia" w:ascii="宋体" w:hAnsi="宋体" w:cs="宋体"/>
          <w:b/>
          <w:color w:val="000000"/>
          <w:kern w:val="0"/>
          <w:lang w:val="zh-CN"/>
        </w:rPr>
        <w:t>评分细则：</w:t>
      </w:r>
    </w:p>
    <w:tbl>
      <w:tblPr>
        <w:tblStyle w:val="2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70"/>
        <w:gridCol w:w="773"/>
        <w:gridCol w:w="5648"/>
      </w:tblGrid>
      <w:tr w14:paraId="7E76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0" w:type="auto"/>
            <w:vMerge w:val="restart"/>
            <w:noWrap w:val="0"/>
            <w:vAlign w:val="center"/>
          </w:tcPr>
          <w:p w14:paraId="478889FF">
            <w:pPr>
              <w:autoSpaceDE w:val="0"/>
              <w:autoSpaceDN w:val="0"/>
              <w:rPr>
                <w:rFonts w:hint="eastAsia" w:ascii="宋体" w:hAnsi="宋体" w:eastAsia="宋体" w:cs="Times New Roman"/>
                <w:color w:val="auto"/>
                <w:sz w:val="22"/>
                <w:shd w:val="clear" w:color="auto" w:fill="FFFFFF"/>
                <w:lang w:val="en-US" w:eastAsia="zh-CN"/>
              </w:rPr>
            </w:pPr>
            <w:r>
              <w:rPr>
                <w:rFonts w:hint="eastAsia" w:ascii="宋体" w:hAnsi="宋体" w:eastAsia="宋体" w:cs="Times New Roman"/>
                <w:color w:val="auto"/>
                <w:sz w:val="22"/>
                <w:shd w:val="clear" w:color="auto" w:fill="FFFFFF"/>
                <w:lang w:val="en-US" w:eastAsia="zh-CN"/>
              </w:rPr>
              <w:t>评审因素</w:t>
            </w:r>
          </w:p>
          <w:p w14:paraId="1A4EF010">
            <w:pPr>
              <w:autoSpaceDE w:val="0"/>
              <w:autoSpaceDN w:val="0"/>
              <w:rPr>
                <w:rFonts w:hint="eastAsia" w:ascii="仿宋_GB2312" w:hAnsi="仿宋_GB2312" w:eastAsia="仿宋_GB2312" w:cs="仿宋_GB2312"/>
                <w:color w:val="auto"/>
                <w:sz w:val="24"/>
              </w:rPr>
            </w:pPr>
            <w:r>
              <w:rPr>
                <w:rFonts w:hint="eastAsia" w:ascii="宋体" w:hAnsi="宋体" w:eastAsia="宋体" w:cs="Times New Roman"/>
                <w:color w:val="auto"/>
                <w:sz w:val="22"/>
                <w:shd w:val="clear" w:color="auto" w:fill="FFFFFF"/>
                <w:lang w:val="en-US" w:eastAsia="zh-CN"/>
              </w:rPr>
              <w:t>（指标</w:t>
            </w:r>
            <w:r>
              <w:rPr>
                <w:rFonts w:hint="eastAsia" w:ascii="仿宋_GB2312" w:hAnsi="仿宋_GB2312" w:eastAsia="仿宋_GB2312" w:cs="仿宋_GB2312"/>
                <w:color w:val="auto"/>
                <w:sz w:val="24"/>
              </w:rPr>
              <w:t>）</w:t>
            </w:r>
          </w:p>
        </w:tc>
        <w:tc>
          <w:tcPr>
            <w:tcW w:w="1470" w:type="dxa"/>
            <w:noWrap w:val="0"/>
            <w:vAlign w:val="center"/>
          </w:tcPr>
          <w:p w14:paraId="5CECAD8C">
            <w:pPr>
              <w:autoSpaceDE w:val="0"/>
              <w:autoSpaceDN w:val="0"/>
              <w:jc w:val="left"/>
              <w:rPr>
                <w:color w:val="auto"/>
              </w:rPr>
            </w:pPr>
            <w:r>
              <w:rPr>
                <w:rFonts w:hint="eastAsia" w:ascii="宋体" w:hAnsi="宋体"/>
                <w:b/>
                <w:bCs/>
                <w:color w:val="auto"/>
                <w:sz w:val="22"/>
                <w:shd w:val="clear" w:color="auto" w:fill="FFFFFF"/>
              </w:rPr>
              <w:t>评分因素</w:t>
            </w:r>
          </w:p>
        </w:tc>
        <w:tc>
          <w:tcPr>
            <w:tcW w:w="773" w:type="dxa"/>
            <w:noWrap w:val="0"/>
            <w:vAlign w:val="center"/>
          </w:tcPr>
          <w:p w14:paraId="65446E4F">
            <w:pPr>
              <w:autoSpaceDE w:val="0"/>
              <w:autoSpaceDN w:val="0"/>
              <w:rPr>
                <w:color w:val="auto"/>
              </w:rPr>
            </w:pPr>
            <w:r>
              <w:rPr>
                <w:rFonts w:hint="eastAsia" w:ascii="宋体" w:hAnsi="宋体"/>
                <w:b/>
                <w:bCs/>
                <w:color w:val="auto"/>
                <w:sz w:val="22"/>
                <w:shd w:val="clear" w:color="auto" w:fill="FFFFFF"/>
              </w:rPr>
              <w:t>分值</w:t>
            </w:r>
          </w:p>
        </w:tc>
        <w:tc>
          <w:tcPr>
            <w:tcW w:w="5648" w:type="dxa"/>
            <w:noWrap w:val="0"/>
            <w:vAlign w:val="center"/>
          </w:tcPr>
          <w:p w14:paraId="404AE52A">
            <w:pPr>
              <w:autoSpaceDE w:val="0"/>
              <w:autoSpaceDN w:val="0"/>
              <w:jc w:val="center"/>
              <w:rPr>
                <w:color w:val="auto"/>
              </w:rPr>
            </w:pPr>
            <w:r>
              <w:rPr>
                <w:rFonts w:hint="eastAsia" w:ascii="宋体" w:hAnsi="宋体"/>
                <w:b/>
                <w:bCs/>
                <w:color w:val="auto"/>
                <w:sz w:val="22"/>
                <w:shd w:val="clear" w:color="auto" w:fill="FFFFFF"/>
              </w:rPr>
              <w:t>评分标准</w:t>
            </w:r>
          </w:p>
        </w:tc>
      </w:tr>
      <w:tr w14:paraId="7044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0" w:type="auto"/>
            <w:vMerge w:val="continue"/>
            <w:noWrap w:val="0"/>
            <w:vAlign w:val="center"/>
          </w:tcPr>
          <w:p w14:paraId="3DA39848">
            <w:pPr>
              <w:contextualSpacing/>
              <w:rPr>
                <w:rFonts w:hint="eastAsia" w:ascii="仿宋_GB2312" w:hAnsi="仿宋_GB2312" w:eastAsia="仿宋_GB2312" w:cs="仿宋_GB2312"/>
                <w:color w:val="auto"/>
                <w:sz w:val="24"/>
              </w:rPr>
            </w:pPr>
          </w:p>
        </w:tc>
        <w:tc>
          <w:tcPr>
            <w:tcW w:w="1470" w:type="dxa"/>
            <w:noWrap w:val="0"/>
            <w:vAlign w:val="center"/>
          </w:tcPr>
          <w:p w14:paraId="21FE115B">
            <w:pPr>
              <w:autoSpaceDE w:val="0"/>
              <w:autoSpaceDN w:val="0"/>
              <w:rPr>
                <w:color w:val="auto"/>
              </w:rPr>
            </w:pPr>
            <w:r>
              <w:rPr>
                <w:rFonts w:hint="eastAsia" w:ascii="宋体" w:hAnsi="宋体"/>
                <w:color w:val="auto"/>
                <w:sz w:val="22"/>
                <w:shd w:val="clear" w:color="auto" w:fill="FFFFFF"/>
                <w:lang w:val="en-US" w:eastAsia="zh-CN"/>
              </w:rPr>
              <w:t>投标</w:t>
            </w:r>
            <w:r>
              <w:rPr>
                <w:rFonts w:hint="eastAsia" w:ascii="宋体" w:hAnsi="宋体"/>
                <w:color w:val="auto"/>
                <w:sz w:val="22"/>
                <w:shd w:val="clear" w:color="auto" w:fill="FFFFFF"/>
              </w:rPr>
              <w:t>报价</w:t>
            </w:r>
          </w:p>
        </w:tc>
        <w:tc>
          <w:tcPr>
            <w:tcW w:w="773" w:type="dxa"/>
            <w:noWrap w:val="0"/>
            <w:vAlign w:val="center"/>
          </w:tcPr>
          <w:p w14:paraId="414CB601">
            <w:pPr>
              <w:autoSpaceDE w:val="0"/>
              <w:autoSpaceDN w:val="0"/>
              <w:rPr>
                <w:color w:val="auto"/>
              </w:rPr>
            </w:pPr>
            <w:r>
              <w:rPr>
                <w:rFonts w:hint="eastAsia" w:ascii="宋体" w:hAnsi="宋体"/>
                <w:color w:val="auto"/>
                <w:sz w:val="22"/>
                <w:shd w:val="clear" w:color="auto" w:fill="FFFFFF"/>
                <w:lang w:val="en-US" w:eastAsia="zh-CN"/>
              </w:rPr>
              <w:t>10</w:t>
            </w:r>
            <w:r>
              <w:rPr>
                <w:rFonts w:hint="eastAsia" w:ascii="宋体" w:hAnsi="宋体"/>
                <w:color w:val="auto"/>
                <w:sz w:val="22"/>
                <w:shd w:val="clear" w:color="auto" w:fill="FFFFFF"/>
              </w:rPr>
              <w:t>分</w:t>
            </w:r>
          </w:p>
        </w:tc>
        <w:tc>
          <w:tcPr>
            <w:tcW w:w="5648" w:type="dxa"/>
            <w:noWrap w:val="0"/>
            <w:vAlign w:val="center"/>
          </w:tcPr>
          <w:p w14:paraId="022CEC8D">
            <w:pPr>
              <w:jc w:val="both"/>
              <w:rPr>
                <w:rFonts w:hint="eastAsia"/>
                <w:color w:val="auto"/>
              </w:rPr>
            </w:pPr>
            <w:r>
              <w:rPr>
                <w:rFonts w:hint="eastAsia"/>
                <w:color w:val="auto"/>
              </w:rPr>
              <w:t>在所有有效</w:t>
            </w:r>
            <w:r>
              <w:rPr>
                <w:rFonts w:hint="eastAsia"/>
                <w:color w:val="auto"/>
                <w:lang w:val="en-US" w:eastAsia="zh-CN"/>
              </w:rPr>
              <w:t>磋商</w:t>
            </w:r>
            <w:r>
              <w:rPr>
                <w:rFonts w:hint="eastAsia"/>
                <w:color w:val="auto"/>
              </w:rPr>
              <w:t>报价中，以</w:t>
            </w:r>
            <w:r>
              <w:rPr>
                <w:rFonts w:hint="eastAsia"/>
                <w:color w:val="auto"/>
                <w:lang w:val="en-US" w:eastAsia="zh-CN"/>
              </w:rPr>
              <w:t>最后投标报价最低的供应商价格为投标</w:t>
            </w:r>
            <w:r>
              <w:rPr>
                <w:rFonts w:hint="eastAsia"/>
                <w:color w:val="auto"/>
              </w:rPr>
              <w:t>基准价，其价格分为满分。其他供应商的报价分统一按下列公式计算：投标报价得分=(评标基准价／投标报价)×价格权值（</w:t>
            </w:r>
            <w:r>
              <w:rPr>
                <w:rFonts w:hint="eastAsia"/>
                <w:color w:val="auto"/>
                <w:lang w:val="en-US" w:eastAsia="zh-CN"/>
              </w:rPr>
              <w:t>10</w:t>
            </w:r>
            <w:r>
              <w:rPr>
                <w:rFonts w:hint="eastAsia"/>
                <w:color w:val="auto"/>
              </w:rPr>
              <w:t>%）×100（四舍五入后保留小数点后两位）。</w:t>
            </w:r>
          </w:p>
          <w:p w14:paraId="5AFD1618">
            <w:pPr>
              <w:jc w:val="both"/>
              <w:rPr>
                <w:rFonts w:hint="eastAsia"/>
                <w:color w:val="auto"/>
              </w:rPr>
            </w:pPr>
            <w:r>
              <w:rPr>
                <w:rFonts w:hint="eastAsia"/>
                <w:color w:val="auto"/>
              </w:rPr>
              <w:t>注：根据《政府采购促进中小企业发展暂行办法》的相关规定，对小型和微型企业制造（生产）产品的价格给予10%的扣除，用扣除后的价格参与评审。残疾人福利性单位属于小型、微型企业的，不重复享受政策。</w:t>
            </w:r>
          </w:p>
          <w:p w14:paraId="01A17949">
            <w:pPr>
              <w:jc w:val="both"/>
              <w:rPr>
                <w:color w:val="auto"/>
              </w:rPr>
            </w:pPr>
            <w:r>
              <w:rPr>
                <w:rFonts w:hint="eastAsia"/>
                <w:color w:val="auto"/>
              </w:rPr>
              <w:t>执行国家统一定价标准和采用固定价格采购的项目，其价格不列为评审因素。</w:t>
            </w:r>
          </w:p>
        </w:tc>
      </w:tr>
      <w:tr w14:paraId="19CC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0" w:type="auto"/>
            <w:vMerge w:val="continue"/>
            <w:noWrap w:val="0"/>
            <w:vAlign w:val="center"/>
          </w:tcPr>
          <w:p w14:paraId="25176C3F">
            <w:pPr>
              <w:contextualSpacing/>
              <w:rPr>
                <w:rFonts w:hint="eastAsia" w:ascii="仿宋_GB2312" w:hAnsi="仿宋_GB2312" w:eastAsia="仿宋_GB2312" w:cs="仿宋_GB2312"/>
                <w:color w:val="auto"/>
                <w:sz w:val="24"/>
              </w:rPr>
            </w:pPr>
          </w:p>
        </w:tc>
        <w:tc>
          <w:tcPr>
            <w:tcW w:w="1470" w:type="dxa"/>
            <w:noWrap w:val="0"/>
            <w:vAlign w:val="center"/>
          </w:tcPr>
          <w:p w14:paraId="48B73A23">
            <w:pPr>
              <w:autoSpaceDE w:val="0"/>
              <w:autoSpaceDN w:val="0"/>
              <w:jc w:val="left"/>
              <w:rPr>
                <w:rFonts w:hint="eastAsia" w:eastAsia="宋体"/>
                <w:color w:val="auto"/>
                <w:lang w:eastAsia="zh-CN"/>
              </w:rPr>
            </w:pPr>
            <w:r>
              <w:rPr>
                <w:rFonts w:hint="eastAsia" w:ascii="宋体" w:hAnsi="宋体"/>
                <w:color w:val="auto"/>
                <w:sz w:val="22"/>
                <w:shd w:val="clear" w:color="auto" w:fill="FFFFFF"/>
                <w:lang w:val="en-US" w:eastAsia="zh-CN"/>
              </w:rPr>
              <w:t>类似业绩</w:t>
            </w:r>
          </w:p>
        </w:tc>
        <w:tc>
          <w:tcPr>
            <w:tcW w:w="773" w:type="dxa"/>
            <w:noWrap w:val="0"/>
            <w:vAlign w:val="center"/>
          </w:tcPr>
          <w:p w14:paraId="13A864A1">
            <w:pPr>
              <w:autoSpaceDE w:val="0"/>
              <w:autoSpaceDN w:val="0"/>
              <w:rPr>
                <w:color w:val="auto"/>
              </w:rPr>
            </w:pPr>
            <w:r>
              <w:rPr>
                <w:rFonts w:hint="eastAsia" w:ascii="宋体" w:hAnsi="宋体"/>
                <w:color w:val="auto"/>
                <w:sz w:val="22"/>
                <w:shd w:val="clear" w:color="auto" w:fill="FFFFFF"/>
                <w:lang w:val="en-US" w:eastAsia="zh-CN"/>
              </w:rPr>
              <w:t>5</w:t>
            </w:r>
            <w:r>
              <w:rPr>
                <w:rFonts w:hint="eastAsia" w:ascii="宋体" w:hAnsi="宋体"/>
                <w:color w:val="auto"/>
                <w:sz w:val="22"/>
                <w:shd w:val="clear" w:color="auto" w:fill="FFFFFF"/>
              </w:rPr>
              <w:t>分</w:t>
            </w:r>
          </w:p>
        </w:tc>
        <w:tc>
          <w:tcPr>
            <w:tcW w:w="5648" w:type="dxa"/>
            <w:noWrap w:val="0"/>
            <w:vAlign w:val="center"/>
          </w:tcPr>
          <w:p w14:paraId="5928DCD2">
            <w:pPr>
              <w:autoSpaceDE w:val="0"/>
              <w:autoSpaceDN w:val="0"/>
              <w:rPr>
                <w:color w:val="auto"/>
              </w:rPr>
            </w:pPr>
            <w:r>
              <w:rPr>
                <w:rFonts w:hint="eastAsia"/>
                <w:color w:val="auto"/>
              </w:rPr>
              <w:t>提供</w:t>
            </w:r>
            <w:r>
              <w:rPr>
                <w:rFonts w:hint="eastAsia"/>
                <w:color w:val="auto"/>
                <w:lang w:val="en-US" w:eastAsia="zh-CN"/>
              </w:rPr>
              <w:t>投标截止日前3年（2022年6月-2025年6月）</w:t>
            </w:r>
            <w:r>
              <w:rPr>
                <w:rFonts w:hint="eastAsia"/>
                <w:color w:val="auto"/>
              </w:rPr>
              <w:t>以来的类似业绩证明材料（提供</w:t>
            </w:r>
            <w:r>
              <w:rPr>
                <w:rFonts w:hint="eastAsia"/>
                <w:color w:val="auto"/>
                <w:lang w:val="en-US" w:eastAsia="zh-CN"/>
              </w:rPr>
              <w:t>中标通知书或合同扫描件</w:t>
            </w:r>
            <w:r>
              <w:rPr>
                <w:rFonts w:hint="eastAsia"/>
                <w:color w:val="auto"/>
              </w:rPr>
              <w:t>）。每提供1项得</w:t>
            </w:r>
            <w:r>
              <w:rPr>
                <w:rFonts w:hint="eastAsia"/>
                <w:color w:val="auto"/>
                <w:lang w:val="en-US" w:eastAsia="zh-CN"/>
              </w:rPr>
              <w:t>5</w:t>
            </w:r>
            <w:r>
              <w:rPr>
                <w:rFonts w:hint="eastAsia"/>
                <w:color w:val="auto"/>
              </w:rPr>
              <w:t>分</w:t>
            </w:r>
            <w:r>
              <w:rPr>
                <w:rFonts w:hint="eastAsia"/>
                <w:color w:val="auto"/>
                <w:lang w:eastAsia="zh-CN"/>
              </w:rPr>
              <w:t>，</w:t>
            </w:r>
            <w:r>
              <w:rPr>
                <w:rFonts w:hint="eastAsia"/>
                <w:color w:val="auto"/>
              </w:rPr>
              <w:t>最高得</w:t>
            </w:r>
            <w:r>
              <w:rPr>
                <w:rFonts w:hint="eastAsia"/>
                <w:color w:val="auto"/>
                <w:lang w:val="en-US" w:eastAsia="zh-CN"/>
              </w:rPr>
              <w:t>5</w:t>
            </w:r>
            <w:r>
              <w:rPr>
                <w:rFonts w:hint="eastAsia"/>
                <w:color w:val="auto"/>
              </w:rPr>
              <w:t>分；未提供不得分。</w:t>
            </w:r>
          </w:p>
        </w:tc>
      </w:tr>
      <w:tr w14:paraId="0049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0" w:type="auto"/>
            <w:vMerge w:val="continue"/>
            <w:noWrap w:val="0"/>
            <w:vAlign w:val="center"/>
          </w:tcPr>
          <w:p w14:paraId="27A1AA53">
            <w:pPr>
              <w:contextualSpacing/>
              <w:rPr>
                <w:rFonts w:hint="eastAsia" w:ascii="仿宋_GB2312" w:hAnsi="仿宋_GB2312" w:eastAsia="仿宋_GB2312" w:cs="仿宋_GB2312"/>
                <w:color w:val="auto"/>
                <w:sz w:val="24"/>
              </w:rPr>
            </w:pPr>
          </w:p>
        </w:tc>
        <w:tc>
          <w:tcPr>
            <w:tcW w:w="1470" w:type="dxa"/>
            <w:noWrap w:val="0"/>
            <w:vAlign w:val="center"/>
          </w:tcPr>
          <w:p w14:paraId="5F26983E">
            <w:pPr>
              <w:autoSpaceDE w:val="0"/>
              <w:autoSpaceDN w:val="0"/>
              <w:rPr>
                <w:rFonts w:hint="default" w:eastAsia="宋体"/>
                <w:color w:val="auto"/>
                <w:lang w:val="en-US" w:eastAsia="zh-CN"/>
              </w:rPr>
            </w:pPr>
            <w:r>
              <w:rPr>
                <w:rFonts w:hint="eastAsia" w:ascii="宋体" w:hAnsi="宋体"/>
                <w:color w:val="auto"/>
                <w:sz w:val="22"/>
                <w:shd w:val="clear" w:color="auto" w:fill="FFFFFF"/>
                <w:lang w:val="en-US" w:eastAsia="zh-CN"/>
              </w:rPr>
              <w:t>技术服务方案</w:t>
            </w:r>
          </w:p>
        </w:tc>
        <w:tc>
          <w:tcPr>
            <w:tcW w:w="773" w:type="dxa"/>
            <w:noWrap w:val="0"/>
            <w:vAlign w:val="center"/>
          </w:tcPr>
          <w:p w14:paraId="7B96FE22">
            <w:pPr>
              <w:autoSpaceDE w:val="0"/>
              <w:autoSpaceDN w:val="0"/>
              <w:rPr>
                <w:color w:val="auto"/>
              </w:rPr>
            </w:pPr>
            <w:r>
              <w:rPr>
                <w:rFonts w:hint="eastAsia" w:ascii="宋体" w:hAnsi="宋体"/>
                <w:color w:val="auto"/>
                <w:sz w:val="22"/>
                <w:shd w:val="clear" w:color="auto" w:fill="FFFFFF"/>
                <w:lang w:val="en-US" w:eastAsia="zh-CN"/>
              </w:rPr>
              <w:t>75</w:t>
            </w:r>
            <w:r>
              <w:rPr>
                <w:rFonts w:hint="eastAsia" w:ascii="宋体" w:hAnsi="宋体"/>
                <w:color w:val="auto"/>
                <w:sz w:val="22"/>
                <w:shd w:val="clear" w:color="auto" w:fill="FFFFFF"/>
              </w:rPr>
              <w:t>分</w:t>
            </w:r>
          </w:p>
        </w:tc>
        <w:tc>
          <w:tcPr>
            <w:tcW w:w="5648" w:type="dxa"/>
            <w:noWrap w:val="0"/>
            <w:vAlign w:val="center"/>
          </w:tcPr>
          <w:p w14:paraId="1B2F1096">
            <w:pPr>
              <w:autoSpaceDE w:val="0"/>
              <w:autoSpaceDN w:val="0"/>
              <w:rPr>
                <w:rFonts w:hint="eastAsia"/>
                <w:color w:val="auto"/>
              </w:rPr>
            </w:pPr>
            <w:r>
              <w:rPr>
                <w:rFonts w:hint="eastAsia"/>
                <w:color w:val="auto"/>
              </w:rPr>
              <w:t>1.项目总体理解</w:t>
            </w:r>
            <w:r>
              <w:rPr>
                <w:rFonts w:hint="eastAsia"/>
                <w:color w:val="auto"/>
                <w:lang w:val="en-US" w:eastAsia="zh-CN"/>
              </w:rPr>
              <w:t>分析</w:t>
            </w:r>
            <w:r>
              <w:rPr>
                <w:rFonts w:hint="eastAsia"/>
                <w:color w:val="auto"/>
              </w:rPr>
              <w:t>（</w:t>
            </w:r>
            <w:r>
              <w:rPr>
                <w:rFonts w:hint="eastAsia"/>
                <w:color w:val="auto"/>
                <w:lang w:val="en-US" w:eastAsia="zh-CN"/>
              </w:rPr>
              <w:t>12</w:t>
            </w:r>
            <w:r>
              <w:rPr>
                <w:rFonts w:hint="eastAsia"/>
                <w:color w:val="auto"/>
              </w:rPr>
              <w:t>分）：</w:t>
            </w:r>
          </w:p>
          <w:p w14:paraId="75F80547">
            <w:pPr>
              <w:autoSpaceDE w:val="0"/>
              <w:autoSpaceDN w:val="0"/>
              <w:rPr>
                <w:rFonts w:hint="eastAsia"/>
                <w:color w:val="auto"/>
              </w:rPr>
            </w:pPr>
            <w:r>
              <w:rPr>
                <w:rFonts w:hint="eastAsia"/>
                <w:color w:val="auto"/>
              </w:rPr>
              <w:t>根据投标人对本项目服务理解</w:t>
            </w:r>
            <w:r>
              <w:rPr>
                <w:rFonts w:hint="eastAsia"/>
                <w:color w:val="auto"/>
                <w:lang w:val="en-US" w:eastAsia="zh-CN"/>
              </w:rPr>
              <w:t>分析</w:t>
            </w:r>
            <w:r>
              <w:rPr>
                <w:rFonts w:hint="eastAsia"/>
                <w:color w:val="auto"/>
              </w:rPr>
              <w:t>，</w:t>
            </w:r>
            <w:r>
              <w:rPr>
                <w:rFonts w:hint="eastAsia"/>
                <w:color w:val="auto"/>
                <w:lang w:eastAsia="zh-CN"/>
              </w:rPr>
              <w:t>包括</w:t>
            </w:r>
            <w:r>
              <w:rPr>
                <w:rFonts w:hint="eastAsia"/>
                <w:color w:val="auto"/>
              </w:rPr>
              <w:t>①项目背景；②项目需求及目标；③服务过程中的重难点分析；④对本项目的专业性建议等。以上因素每实质性响应一项得</w:t>
            </w:r>
            <w:r>
              <w:rPr>
                <w:rFonts w:hint="eastAsia"/>
                <w:color w:val="auto"/>
                <w:lang w:val="en-US" w:eastAsia="zh-CN"/>
              </w:rPr>
              <w:t>3</w:t>
            </w:r>
            <w:r>
              <w:rPr>
                <w:rFonts w:hint="eastAsia"/>
                <w:color w:val="auto"/>
              </w:rPr>
              <w:t>分，每有一项存在缺陷或不足的扣</w:t>
            </w:r>
            <w:r>
              <w:rPr>
                <w:rFonts w:hint="eastAsia"/>
                <w:color w:val="auto"/>
                <w:lang w:val="en-US" w:eastAsia="zh-CN"/>
              </w:rPr>
              <w:t>1</w:t>
            </w:r>
            <w:r>
              <w:rPr>
                <w:rFonts w:hint="eastAsia"/>
                <w:color w:val="auto"/>
              </w:rPr>
              <w:t>分，满分</w:t>
            </w:r>
            <w:r>
              <w:rPr>
                <w:rFonts w:hint="eastAsia"/>
                <w:color w:val="auto"/>
                <w:lang w:val="en-US" w:eastAsia="zh-CN"/>
              </w:rPr>
              <w:t>12</w:t>
            </w:r>
            <w:r>
              <w:rPr>
                <w:rFonts w:hint="eastAsia"/>
                <w:color w:val="auto"/>
              </w:rPr>
              <w:t>分，未提供不得分。</w:t>
            </w:r>
          </w:p>
          <w:p w14:paraId="7E5E2BC7">
            <w:pPr>
              <w:autoSpaceDE w:val="0"/>
              <w:autoSpaceDN w:val="0"/>
              <w:rPr>
                <w:rFonts w:hint="eastAsia"/>
                <w:color w:val="auto"/>
              </w:rPr>
            </w:pPr>
            <w:r>
              <w:rPr>
                <w:rFonts w:hint="eastAsia"/>
                <w:color w:val="auto"/>
              </w:rPr>
              <w:t>2.运维服务方案（</w:t>
            </w:r>
            <w:r>
              <w:rPr>
                <w:rFonts w:hint="eastAsia"/>
                <w:color w:val="auto"/>
                <w:lang w:val="en-US" w:eastAsia="zh-CN"/>
              </w:rPr>
              <w:t>12</w:t>
            </w:r>
            <w:r>
              <w:rPr>
                <w:rFonts w:hint="eastAsia"/>
                <w:color w:val="auto"/>
              </w:rPr>
              <w:t>分）</w:t>
            </w:r>
          </w:p>
          <w:p w14:paraId="08BE37D9">
            <w:pPr>
              <w:autoSpaceDE w:val="0"/>
              <w:autoSpaceDN w:val="0"/>
              <w:rPr>
                <w:rFonts w:hint="eastAsia"/>
                <w:color w:val="auto"/>
              </w:rPr>
            </w:pPr>
            <w:r>
              <w:rPr>
                <w:rFonts w:hint="eastAsia"/>
                <w:color w:val="auto"/>
              </w:rPr>
              <w:t>投标人在充分满足国家已有的相关标准规范基础上，结合</w:t>
            </w:r>
            <w:r>
              <w:rPr>
                <w:rFonts w:hint="eastAsia"/>
                <w:color w:val="auto"/>
                <w:lang w:val="en-US" w:eastAsia="zh-CN"/>
              </w:rPr>
              <w:t>项目</w:t>
            </w:r>
            <w:r>
              <w:rPr>
                <w:rFonts w:hint="eastAsia"/>
                <w:color w:val="auto"/>
              </w:rPr>
              <w:t>实际，按服务工作内容和要求制定服务方案：①总体服务方案；②</w:t>
            </w:r>
            <w:r>
              <w:rPr>
                <w:rFonts w:hint="eastAsia"/>
                <w:color w:val="auto"/>
                <w:lang w:val="en-US" w:eastAsia="zh-CN"/>
              </w:rPr>
              <w:t>运维</w:t>
            </w:r>
            <w:r>
              <w:rPr>
                <w:rFonts w:hint="eastAsia"/>
                <w:color w:val="auto"/>
              </w:rPr>
              <w:t>工作方案；③平台维护方案；④</w:t>
            </w:r>
            <w:r>
              <w:rPr>
                <w:rFonts w:hint="eastAsia"/>
                <w:color w:val="auto"/>
                <w:lang w:val="zh-CN" w:eastAsia="zh-CN"/>
              </w:rPr>
              <w:t>驻场人员的管理及</w:t>
            </w:r>
            <w:r>
              <w:rPr>
                <w:rFonts w:hint="eastAsia"/>
                <w:color w:val="auto"/>
                <w:lang w:val="en-US" w:eastAsia="zh-CN"/>
              </w:rPr>
              <w:t>保障方案</w:t>
            </w:r>
            <w:r>
              <w:rPr>
                <w:rFonts w:hint="eastAsia"/>
                <w:color w:val="auto"/>
              </w:rPr>
              <w:t>。以上因素每实质性响应一项得</w:t>
            </w:r>
            <w:r>
              <w:rPr>
                <w:rFonts w:hint="eastAsia"/>
                <w:color w:val="auto"/>
                <w:lang w:val="en-US" w:eastAsia="zh-CN"/>
              </w:rPr>
              <w:t>3</w:t>
            </w:r>
            <w:r>
              <w:rPr>
                <w:rFonts w:hint="eastAsia"/>
                <w:color w:val="auto"/>
              </w:rPr>
              <w:t>分，每有一项存在缺陷或不足的扣</w:t>
            </w:r>
            <w:r>
              <w:rPr>
                <w:rFonts w:hint="eastAsia"/>
                <w:color w:val="auto"/>
                <w:lang w:val="en-US" w:eastAsia="zh-CN"/>
              </w:rPr>
              <w:t>1</w:t>
            </w:r>
            <w:r>
              <w:rPr>
                <w:rFonts w:hint="eastAsia"/>
                <w:color w:val="auto"/>
              </w:rPr>
              <w:t>分，满分</w:t>
            </w:r>
            <w:r>
              <w:rPr>
                <w:rFonts w:hint="eastAsia"/>
                <w:color w:val="auto"/>
                <w:lang w:val="en-US" w:eastAsia="zh-CN"/>
              </w:rPr>
              <w:t>12</w:t>
            </w:r>
            <w:r>
              <w:rPr>
                <w:rFonts w:hint="eastAsia"/>
                <w:color w:val="auto"/>
              </w:rPr>
              <w:t>分，未提供不得分。</w:t>
            </w:r>
          </w:p>
          <w:p w14:paraId="244EBE79">
            <w:pPr>
              <w:autoSpaceDE w:val="0"/>
              <w:autoSpaceDN w:val="0"/>
              <w:rPr>
                <w:rFonts w:hint="eastAsia"/>
                <w:color w:val="auto"/>
              </w:rPr>
            </w:pPr>
            <w:r>
              <w:rPr>
                <w:rFonts w:hint="eastAsia"/>
                <w:color w:val="auto"/>
              </w:rPr>
              <w:t>3.服务质量保障措施（</w:t>
            </w:r>
            <w:r>
              <w:rPr>
                <w:rFonts w:hint="eastAsia"/>
                <w:color w:val="auto"/>
                <w:lang w:val="en-US" w:eastAsia="zh-CN"/>
              </w:rPr>
              <w:t>18</w:t>
            </w:r>
            <w:r>
              <w:rPr>
                <w:rFonts w:hint="eastAsia"/>
                <w:color w:val="auto"/>
              </w:rPr>
              <w:t>分）：</w:t>
            </w:r>
          </w:p>
          <w:p w14:paraId="7393CE4E">
            <w:pPr>
              <w:autoSpaceDE w:val="0"/>
              <w:autoSpaceDN w:val="0"/>
              <w:rPr>
                <w:rFonts w:hint="eastAsia" w:eastAsia="宋体"/>
                <w:color w:val="auto"/>
                <w:lang w:eastAsia="zh-CN"/>
              </w:rPr>
            </w:pPr>
            <w:r>
              <w:rPr>
                <w:rFonts w:hint="eastAsia"/>
                <w:color w:val="auto"/>
              </w:rPr>
              <w:t>投标人</w:t>
            </w:r>
            <w:r>
              <w:rPr>
                <w:rFonts w:hint="eastAsia"/>
                <w:color w:val="auto"/>
                <w:lang w:val="en-US" w:eastAsia="zh-CN"/>
              </w:rPr>
              <w:t>针对本项目提供</w:t>
            </w:r>
            <w:r>
              <w:rPr>
                <w:rFonts w:hint="eastAsia"/>
                <w:color w:val="auto"/>
              </w:rPr>
              <w:t>服务质量保障措施，包括①团队人员保障措施；②质量控制措施；③进度控制措施；④服务响应时间及期间协调沟通措施处置；⑤定期回访方案；⑥风险管理措施等。以上因素每实质性响应一项得</w:t>
            </w:r>
            <w:r>
              <w:rPr>
                <w:rFonts w:hint="eastAsia"/>
                <w:color w:val="auto"/>
                <w:lang w:val="en-US" w:eastAsia="zh-CN"/>
              </w:rPr>
              <w:t>3</w:t>
            </w:r>
            <w:r>
              <w:rPr>
                <w:rFonts w:hint="eastAsia"/>
                <w:color w:val="auto"/>
              </w:rPr>
              <w:t>分，每有一项存在缺陷或不足的扣</w:t>
            </w:r>
            <w:r>
              <w:rPr>
                <w:rFonts w:hint="eastAsia"/>
                <w:color w:val="auto"/>
                <w:lang w:val="en-US" w:eastAsia="zh-CN"/>
              </w:rPr>
              <w:t>1</w:t>
            </w:r>
            <w:r>
              <w:rPr>
                <w:rFonts w:hint="eastAsia"/>
                <w:color w:val="auto"/>
              </w:rPr>
              <w:t>分，满分</w:t>
            </w:r>
            <w:r>
              <w:rPr>
                <w:rFonts w:hint="eastAsia"/>
                <w:color w:val="auto"/>
                <w:lang w:val="en-US" w:eastAsia="zh-CN"/>
              </w:rPr>
              <w:t>18</w:t>
            </w:r>
            <w:r>
              <w:rPr>
                <w:rFonts w:hint="eastAsia"/>
                <w:color w:val="auto"/>
              </w:rPr>
              <w:t>分，</w:t>
            </w:r>
            <w:r>
              <w:rPr>
                <w:rFonts w:hint="eastAsia"/>
                <w:color w:val="auto"/>
                <w:lang w:eastAsia="zh-CN"/>
              </w:rPr>
              <w:t>未提供不得分。</w:t>
            </w:r>
          </w:p>
          <w:p w14:paraId="5C9E753F">
            <w:pPr>
              <w:autoSpaceDE w:val="0"/>
              <w:autoSpaceDN w:val="0"/>
              <w:rPr>
                <w:rFonts w:hint="eastAsia"/>
                <w:color w:val="auto"/>
              </w:rPr>
            </w:pPr>
            <w:r>
              <w:rPr>
                <w:rFonts w:hint="eastAsia"/>
                <w:color w:val="auto"/>
              </w:rPr>
              <w:t>4.应急保障措施（1</w:t>
            </w:r>
            <w:r>
              <w:rPr>
                <w:rFonts w:hint="eastAsia"/>
                <w:color w:val="auto"/>
                <w:lang w:val="en-US" w:eastAsia="zh-CN"/>
              </w:rPr>
              <w:t>5</w:t>
            </w:r>
            <w:r>
              <w:rPr>
                <w:rFonts w:hint="eastAsia"/>
                <w:color w:val="auto"/>
              </w:rPr>
              <w:t>分）：</w:t>
            </w:r>
          </w:p>
          <w:p w14:paraId="145492C2">
            <w:pPr>
              <w:autoSpaceDE w:val="0"/>
              <w:autoSpaceDN w:val="0"/>
              <w:rPr>
                <w:rFonts w:hint="eastAsia" w:eastAsia="宋体"/>
                <w:color w:val="auto"/>
                <w:lang w:eastAsia="zh-CN"/>
              </w:rPr>
            </w:pPr>
            <w:r>
              <w:rPr>
                <w:rFonts w:hint="eastAsia"/>
                <w:color w:val="auto"/>
              </w:rPr>
              <w:t>投标人</w:t>
            </w:r>
            <w:r>
              <w:rPr>
                <w:rFonts w:hint="eastAsia"/>
                <w:color w:val="auto"/>
                <w:lang w:val="en-US" w:eastAsia="zh-CN"/>
              </w:rPr>
              <w:t>针对本项目提供</w:t>
            </w:r>
            <w:r>
              <w:rPr>
                <w:rFonts w:hint="eastAsia"/>
                <w:color w:val="auto"/>
              </w:rPr>
              <w:t>应急保障</w:t>
            </w:r>
            <w:r>
              <w:rPr>
                <w:rFonts w:hint="eastAsia"/>
                <w:color w:val="auto"/>
                <w:lang w:val="en-US" w:eastAsia="zh-CN"/>
              </w:rPr>
              <w:t>措施，</w:t>
            </w:r>
            <w:r>
              <w:rPr>
                <w:rFonts w:hint="eastAsia"/>
                <w:color w:val="auto"/>
              </w:rPr>
              <w:t>包括：①应急保障预案；②应急保障演练；③突发事件处置措施；④应急处理响应时间；⑤应急保障承诺。以上因素每实质性响应一项得</w:t>
            </w:r>
            <w:r>
              <w:rPr>
                <w:rFonts w:hint="eastAsia"/>
                <w:color w:val="auto"/>
                <w:lang w:val="en-US" w:eastAsia="zh-CN"/>
              </w:rPr>
              <w:t>3</w:t>
            </w:r>
            <w:r>
              <w:rPr>
                <w:rFonts w:hint="eastAsia"/>
                <w:color w:val="auto"/>
              </w:rPr>
              <w:t>分，每有一项存在缺陷或不足的扣1分，满分1</w:t>
            </w:r>
            <w:r>
              <w:rPr>
                <w:rFonts w:hint="eastAsia"/>
                <w:color w:val="auto"/>
                <w:lang w:val="en-US" w:eastAsia="zh-CN"/>
              </w:rPr>
              <w:t>5</w:t>
            </w:r>
            <w:r>
              <w:rPr>
                <w:rFonts w:hint="eastAsia"/>
                <w:color w:val="auto"/>
              </w:rPr>
              <w:t>分，</w:t>
            </w:r>
            <w:r>
              <w:rPr>
                <w:rFonts w:hint="eastAsia"/>
                <w:color w:val="auto"/>
                <w:lang w:eastAsia="zh-CN"/>
              </w:rPr>
              <w:t>未提供不得分。</w:t>
            </w:r>
          </w:p>
          <w:p w14:paraId="64902F45">
            <w:pPr>
              <w:autoSpaceDE w:val="0"/>
              <w:autoSpaceDN w:val="0"/>
              <w:rPr>
                <w:rFonts w:hint="eastAsia"/>
                <w:color w:val="auto"/>
              </w:rPr>
            </w:pPr>
            <w:r>
              <w:rPr>
                <w:rFonts w:hint="eastAsia"/>
                <w:color w:val="auto"/>
              </w:rPr>
              <w:t>5.运维管理制度（</w:t>
            </w:r>
            <w:r>
              <w:rPr>
                <w:rFonts w:hint="eastAsia"/>
                <w:color w:val="auto"/>
                <w:lang w:val="en-US" w:eastAsia="zh-CN"/>
              </w:rPr>
              <w:t>9</w:t>
            </w:r>
            <w:r>
              <w:rPr>
                <w:rFonts w:hint="eastAsia"/>
                <w:color w:val="auto"/>
              </w:rPr>
              <w:t>分）：</w:t>
            </w:r>
          </w:p>
          <w:p w14:paraId="2CA49672">
            <w:pPr>
              <w:autoSpaceDE w:val="0"/>
              <w:autoSpaceDN w:val="0"/>
              <w:rPr>
                <w:rFonts w:hint="eastAsia" w:eastAsia="宋体"/>
                <w:color w:val="auto"/>
                <w:lang w:eastAsia="zh-CN"/>
              </w:rPr>
            </w:pPr>
            <w:r>
              <w:rPr>
                <w:rFonts w:hint="eastAsia"/>
                <w:color w:val="auto"/>
              </w:rPr>
              <w:t>投标人根据采购服务内容要求，制定相关运维管理制度</w:t>
            </w:r>
            <w:r>
              <w:rPr>
                <w:rFonts w:hint="eastAsia"/>
                <w:color w:val="auto"/>
                <w:lang w:eastAsia="zh-CN"/>
              </w:rPr>
              <w:t>，</w:t>
            </w:r>
            <w:r>
              <w:rPr>
                <w:rFonts w:hint="eastAsia"/>
                <w:color w:val="auto"/>
              </w:rPr>
              <w:t>包括：①总体运维管理制度；②运维人员值守工作制度；③运维安全管理制度。以上因素每实质性响应一项得</w:t>
            </w:r>
            <w:r>
              <w:rPr>
                <w:rFonts w:hint="eastAsia"/>
                <w:color w:val="auto"/>
                <w:lang w:val="en-US" w:eastAsia="zh-CN"/>
              </w:rPr>
              <w:t>3</w:t>
            </w:r>
            <w:r>
              <w:rPr>
                <w:rFonts w:hint="eastAsia"/>
                <w:color w:val="auto"/>
              </w:rPr>
              <w:t>分，每有一项存在缺陷或不足的扣1分，满分</w:t>
            </w:r>
            <w:r>
              <w:rPr>
                <w:rFonts w:hint="eastAsia"/>
                <w:color w:val="auto"/>
                <w:lang w:val="en-US" w:eastAsia="zh-CN"/>
              </w:rPr>
              <w:t>9</w:t>
            </w:r>
            <w:r>
              <w:rPr>
                <w:rFonts w:hint="eastAsia"/>
                <w:color w:val="auto"/>
              </w:rPr>
              <w:t>分，</w:t>
            </w:r>
            <w:r>
              <w:rPr>
                <w:rFonts w:hint="eastAsia"/>
                <w:color w:val="auto"/>
                <w:lang w:eastAsia="zh-CN"/>
              </w:rPr>
              <w:t>未提供不得分。</w:t>
            </w:r>
          </w:p>
          <w:p w14:paraId="30D128AF">
            <w:pPr>
              <w:numPr>
                <w:ilvl w:val="0"/>
                <w:numId w:val="6"/>
              </w:numPr>
              <w:autoSpaceDE w:val="0"/>
              <w:autoSpaceDN w:val="0"/>
              <w:rPr>
                <w:rFonts w:hint="eastAsia"/>
                <w:color w:val="auto"/>
                <w:lang w:val="en-US" w:eastAsia="zh-CN"/>
              </w:rPr>
            </w:pPr>
            <w:r>
              <w:rPr>
                <w:rFonts w:hint="eastAsia"/>
                <w:color w:val="auto"/>
                <w:lang w:val="en-US" w:eastAsia="zh-CN"/>
              </w:rPr>
              <w:t>培训方案（9分）：</w:t>
            </w:r>
          </w:p>
          <w:p w14:paraId="768B6A35">
            <w:pPr>
              <w:numPr>
                <w:ilvl w:val="0"/>
                <w:numId w:val="0"/>
              </w:numPr>
              <w:autoSpaceDE w:val="0"/>
              <w:autoSpaceDN w:val="0"/>
              <w:rPr>
                <w:rFonts w:hint="eastAsia" w:eastAsia="宋体"/>
                <w:color w:val="auto"/>
                <w:lang w:val="en-US" w:eastAsia="zh-CN"/>
              </w:rPr>
            </w:pPr>
            <w:r>
              <w:rPr>
                <w:rFonts w:hint="eastAsia"/>
                <w:color w:val="auto"/>
              </w:rPr>
              <w:t>投标人根据采购服务内容要求</w:t>
            </w:r>
            <w:r>
              <w:rPr>
                <w:rFonts w:hint="default"/>
                <w:color w:val="auto"/>
                <w:lang w:val="en-US" w:eastAsia="zh-CN"/>
              </w:rPr>
              <w:t>基础上提供</w:t>
            </w:r>
            <w:r>
              <w:rPr>
                <w:rFonts w:hint="eastAsia"/>
                <w:color w:val="auto"/>
                <w:lang w:val="en-US" w:eastAsia="zh-CN"/>
              </w:rPr>
              <w:t>运维</w:t>
            </w:r>
            <w:r>
              <w:rPr>
                <w:rFonts w:hint="default"/>
                <w:color w:val="auto"/>
                <w:lang w:val="en-US" w:eastAsia="zh-CN"/>
              </w:rPr>
              <w:t>相关</w:t>
            </w:r>
            <w:r>
              <w:rPr>
                <w:rFonts w:hint="eastAsia"/>
                <w:color w:val="auto"/>
                <w:lang w:val="en-US" w:eastAsia="zh-CN"/>
              </w:rPr>
              <w:t>完整可行的</w:t>
            </w:r>
            <w:r>
              <w:rPr>
                <w:rFonts w:hint="default"/>
                <w:color w:val="auto"/>
                <w:lang w:val="en-US" w:eastAsia="zh-CN"/>
              </w:rPr>
              <w:t>培训方案</w:t>
            </w:r>
            <w:r>
              <w:rPr>
                <w:rFonts w:hint="eastAsia"/>
                <w:color w:val="auto"/>
                <w:lang w:val="en-US" w:eastAsia="zh-CN"/>
              </w:rPr>
              <w:t>：</w:t>
            </w:r>
            <w:r>
              <w:rPr>
                <w:rFonts w:hint="default"/>
                <w:color w:val="auto"/>
                <w:lang w:val="en-US" w:eastAsia="zh-CN"/>
              </w:rPr>
              <w:t>包</w:t>
            </w:r>
            <w:r>
              <w:rPr>
                <w:rFonts w:hint="eastAsia"/>
                <w:color w:val="auto"/>
                <w:lang w:val="en-US" w:eastAsia="zh-CN"/>
              </w:rPr>
              <w:t>括</w:t>
            </w:r>
            <w:r>
              <w:rPr>
                <w:rFonts w:hint="default"/>
                <w:color w:val="auto"/>
                <w:lang w:val="en-US" w:eastAsia="zh-CN"/>
              </w:rPr>
              <w:t>：①培训内容②培训团队③组织安排</w:t>
            </w:r>
            <w:r>
              <w:rPr>
                <w:rFonts w:hint="eastAsia"/>
                <w:color w:val="auto"/>
                <w:lang w:val="en-US" w:eastAsia="zh-CN"/>
              </w:rPr>
              <w:t>。</w:t>
            </w:r>
            <w:r>
              <w:rPr>
                <w:rFonts w:hint="eastAsia"/>
                <w:color w:val="auto"/>
              </w:rPr>
              <w:t>以上因素每实质性响应一项得</w:t>
            </w:r>
            <w:r>
              <w:rPr>
                <w:rFonts w:hint="eastAsia"/>
                <w:color w:val="auto"/>
                <w:lang w:val="en-US" w:eastAsia="zh-CN"/>
              </w:rPr>
              <w:t>3</w:t>
            </w:r>
            <w:r>
              <w:rPr>
                <w:rFonts w:hint="eastAsia"/>
                <w:color w:val="auto"/>
              </w:rPr>
              <w:t>分，每有一项存在缺陷或不足的扣1分，满分</w:t>
            </w:r>
            <w:r>
              <w:rPr>
                <w:rFonts w:hint="eastAsia"/>
                <w:color w:val="auto"/>
                <w:lang w:val="en-US" w:eastAsia="zh-CN"/>
              </w:rPr>
              <w:t>9</w:t>
            </w:r>
            <w:r>
              <w:rPr>
                <w:rFonts w:hint="eastAsia"/>
                <w:color w:val="auto"/>
              </w:rPr>
              <w:t>分，</w:t>
            </w:r>
            <w:r>
              <w:rPr>
                <w:rFonts w:hint="eastAsia"/>
                <w:color w:val="auto"/>
                <w:lang w:eastAsia="zh-CN"/>
              </w:rPr>
              <w:t>未提供不得分。</w:t>
            </w:r>
          </w:p>
        </w:tc>
      </w:tr>
      <w:tr w14:paraId="094F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0" w:type="auto"/>
            <w:vMerge w:val="continue"/>
            <w:noWrap w:val="0"/>
            <w:vAlign w:val="center"/>
          </w:tcPr>
          <w:p w14:paraId="744BC77C">
            <w:pPr>
              <w:contextualSpacing/>
              <w:rPr>
                <w:rFonts w:hint="eastAsia" w:ascii="仿宋_GB2312" w:hAnsi="仿宋_GB2312" w:eastAsia="仿宋_GB2312" w:cs="仿宋_GB2312"/>
                <w:color w:val="auto"/>
                <w:sz w:val="24"/>
              </w:rPr>
            </w:pPr>
          </w:p>
        </w:tc>
        <w:tc>
          <w:tcPr>
            <w:tcW w:w="1470" w:type="dxa"/>
            <w:noWrap w:val="0"/>
            <w:vAlign w:val="center"/>
          </w:tcPr>
          <w:p w14:paraId="1FBBDF0B">
            <w:pPr>
              <w:autoSpaceDE w:val="0"/>
              <w:autoSpaceDN w:val="0"/>
              <w:jc w:val="left"/>
              <w:rPr>
                <w:color w:val="auto"/>
              </w:rPr>
            </w:pPr>
            <w:r>
              <w:rPr>
                <w:rFonts w:hint="eastAsia" w:ascii="宋体" w:hAnsi="宋体"/>
                <w:color w:val="auto"/>
                <w:sz w:val="22"/>
                <w:shd w:val="clear" w:color="auto" w:fill="FFFFFF"/>
              </w:rPr>
              <w:t>售后服务</w:t>
            </w:r>
            <w:r>
              <w:rPr>
                <w:rFonts w:hint="eastAsia" w:ascii="宋体" w:hAnsi="宋体"/>
                <w:color w:val="auto"/>
                <w:sz w:val="22"/>
                <w:shd w:val="clear" w:color="auto" w:fill="FFFFFF"/>
                <w:lang w:val="en-US" w:eastAsia="zh-CN"/>
              </w:rPr>
              <w:t>方案</w:t>
            </w:r>
            <w:bookmarkStart w:id="232" w:name="_GoBack"/>
            <w:bookmarkEnd w:id="232"/>
          </w:p>
        </w:tc>
        <w:tc>
          <w:tcPr>
            <w:tcW w:w="773" w:type="dxa"/>
            <w:noWrap w:val="0"/>
            <w:vAlign w:val="center"/>
          </w:tcPr>
          <w:p w14:paraId="627548EA">
            <w:pPr>
              <w:autoSpaceDE w:val="0"/>
              <w:autoSpaceDN w:val="0"/>
              <w:rPr>
                <w:color w:val="auto"/>
              </w:rPr>
            </w:pPr>
            <w:r>
              <w:rPr>
                <w:rFonts w:hint="eastAsia" w:ascii="宋体" w:hAnsi="宋体"/>
                <w:color w:val="auto"/>
                <w:sz w:val="22"/>
                <w:shd w:val="clear" w:color="auto" w:fill="FFFFFF"/>
                <w:lang w:val="en-US" w:eastAsia="zh-CN"/>
              </w:rPr>
              <w:t>10</w:t>
            </w:r>
            <w:r>
              <w:rPr>
                <w:rFonts w:hint="eastAsia" w:ascii="宋体" w:hAnsi="宋体"/>
                <w:color w:val="auto"/>
                <w:sz w:val="22"/>
                <w:shd w:val="clear" w:color="auto" w:fill="FFFFFF"/>
              </w:rPr>
              <w:t>分</w:t>
            </w:r>
          </w:p>
        </w:tc>
        <w:tc>
          <w:tcPr>
            <w:tcW w:w="5648" w:type="dxa"/>
            <w:noWrap w:val="0"/>
            <w:vAlign w:val="center"/>
          </w:tcPr>
          <w:p w14:paraId="69E94725">
            <w:pPr>
              <w:autoSpaceDE w:val="0"/>
              <w:autoSpaceDN w:val="0"/>
              <w:rPr>
                <w:rFonts w:hint="eastAsia" w:eastAsia="宋体"/>
                <w:color w:val="auto"/>
                <w:lang w:val="en-US" w:eastAsia="zh-CN"/>
              </w:rPr>
            </w:pPr>
            <w:r>
              <w:rPr>
                <w:rFonts w:hint="eastAsia"/>
                <w:color w:val="auto"/>
              </w:rPr>
              <w:t>针对该项目须有完善的售后服务体系。包含：①售后服务机构和人员；②售后服务内容和流程；③售后服务响应时间；④售后服务能力保障；⑤售后服务方式和特色。以上内容每实质性响应一项得</w:t>
            </w:r>
            <w:r>
              <w:rPr>
                <w:rFonts w:hint="eastAsia"/>
                <w:color w:val="auto"/>
                <w:lang w:val="en-US" w:eastAsia="zh-CN"/>
              </w:rPr>
              <w:t>2</w:t>
            </w:r>
            <w:r>
              <w:rPr>
                <w:rFonts w:hint="eastAsia"/>
                <w:color w:val="auto"/>
              </w:rPr>
              <w:t>分，每有一项存在缺陷或不足的扣</w:t>
            </w:r>
            <w:r>
              <w:rPr>
                <w:rFonts w:hint="eastAsia"/>
                <w:color w:val="auto"/>
                <w:lang w:val="en-US" w:eastAsia="zh-CN"/>
              </w:rPr>
              <w:t>1</w:t>
            </w:r>
            <w:r>
              <w:rPr>
                <w:rFonts w:hint="eastAsia"/>
                <w:color w:val="auto"/>
              </w:rPr>
              <w:t>分，满分</w:t>
            </w:r>
            <w:r>
              <w:rPr>
                <w:rFonts w:hint="eastAsia"/>
                <w:color w:val="auto"/>
                <w:lang w:val="en-US" w:eastAsia="zh-CN"/>
              </w:rPr>
              <w:t>10</w:t>
            </w:r>
            <w:r>
              <w:rPr>
                <w:rFonts w:hint="eastAsia"/>
                <w:color w:val="auto"/>
              </w:rPr>
              <w:t>分，</w:t>
            </w:r>
            <w:r>
              <w:rPr>
                <w:rFonts w:hint="eastAsia"/>
                <w:color w:val="auto"/>
                <w:lang w:eastAsia="zh-CN"/>
              </w:rPr>
              <w:t>未提供不得分。</w:t>
            </w:r>
          </w:p>
        </w:tc>
      </w:tr>
    </w:tbl>
    <w:p w14:paraId="5423D7B6">
      <w:pPr>
        <w:autoSpaceDE w:val="0"/>
        <w:autoSpaceDN w:val="0"/>
        <w:spacing w:line="360" w:lineRule="auto"/>
        <w:rPr>
          <w:rFonts w:ascii="宋体" w:hAnsi="宋体" w:cs="宋体"/>
          <w:b/>
          <w:color w:val="000000"/>
          <w:kern w:val="0"/>
        </w:rPr>
      </w:pPr>
    </w:p>
    <w:p w14:paraId="54E1E4A6">
      <w:pPr>
        <w:autoSpaceDE w:val="0"/>
        <w:autoSpaceDN w:val="0"/>
        <w:spacing w:line="360" w:lineRule="auto"/>
        <w:rPr>
          <w:rFonts w:ascii="宋体" w:hAnsi="宋体" w:cs="宋体"/>
          <w:color w:val="000000"/>
        </w:rPr>
      </w:pPr>
      <w:r>
        <w:rPr>
          <w:rFonts w:hint="eastAsia" w:ascii="宋体" w:hAnsi="宋体" w:cs="宋体"/>
          <w:color w:val="000000"/>
        </w:rPr>
        <w:t>19.3</w:t>
      </w:r>
      <w:r>
        <w:rPr>
          <w:rFonts w:hint="eastAsia" w:ascii="宋体" w:hAnsi="宋体" w:cs="宋体"/>
          <w:b/>
          <w:bCs/>
          <w:color w:val="000000"/>
          <w:kern w:val="0"/>
        </w:rPr>
        <w:t>采用综合评分法的，</w:t>
      </w:r>
      <w:r>
        <w:rPr>
          <w:rFonts w:hint="eastAsia" w:ascii="宋体" w:hAnsi="宋体" w:cs="宋体"/>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437860">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19.4 评标结果汇总完成后，除下列情形外，任何人不得修改评标结果：</w:t>
      </w:r>
    </w:p>
    <w:p w14:paraId="2FE98748">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（1）分值汇总计算错误的；</w:t>
      </w:r>
    </w:p>
    <w:p w14:paraId="4D1D11F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（2）分项评分超出评分标准范围的；</w:t>
      </w:r>
    </w:p>
    <w:p w14:paraId="75B03745">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（3）评标委员会成员对客观评审因素评分不一致的；</w:t>
      </w:r>
    </w:p>
    <w:p w14:paraId="24CFFC1E">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（4）经评标委员会认定评分畸高、畸低的。</w:t>
      </w:r>
    </w:p>
    <w:p w14:paraId="5A6463B0">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D8CC1B4">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投标人对以上情形提出质疑的，采购人或者采购代理机构可以组织原评标委员会进行重新评审，重新评审改变评标结果的，应当书面报告本级财政部门。</w:t>
      </w:r>
    </w:p>
    <w:p w14:paraId="1263B879">
      <w:pPr>
        <w:pStyle w:val="18"/>
        <w:spacing w:before="0" w:after="0" w:line="360" w:lineRule="auto"/>
        <w:rPr>
          <w:rFonts w:ascii="宋体" w:hAnsi="宋体" w:cs="宋体"/>
          <w:color w:val="000000"/>
          <w:lang w:val="zh-CN"/>
        </w:rPr>
      </w:pPr>
      <w:bookmarkStart w:id="107" w:name="_Toc16130"/>
      <w:bookmarkStart w:id="108" w:name="_Toc15678"/>
      <w:bookmarkStart w:id="109" w:name="_Toc31685"/>
      <w:r>
        <w:rPr>
          <w:rFonts w:hint="eastAsia" w:ascii="宋体" w:hAnsi="宋体" w:cs="宋体"/>
          <w:color w:val="000000"/>
          <w:lang w:val="zh-CN"/>
        </w:rPr>
        <w:t>八、中标</w:t>
      </w:r>
      <w:bookmarkEnd w:id="107"/>
      <w:bookmarkEnd w:id="108"/>
      <w:bookmarkEnd w:id="109"/>
    </w:p>
    <w:p w14:paraId="57747F86">
      <w:pPr>
        <w:pStyle w:val="18"/>
        <w:spacing w:before="0" w:after="0" w:line="360" w:lineRule="auto"/>
        <w:jc w:val="left"/>
        <w:rPr>
          <w:rFonts w:ascii="宋体" w:hAnsi="宋体" w:cs="宋体"/>
          <w:color w:val="000000"/>
          <w:lang w:val="zh-CN"/>
        </w:rPr>
      </w:pPr>
      <w:bookmarkStart w:id="110" w:name="_Toc26409"/>
      <w:bookmarkStart w:id="111" w:name="_Toc26748"/>
      <w:bookmarkStart w:id="112" w:name="_Toc932"/>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110"/>
      <w:bookmarkEnd w:id="111"/>
      <w:bookmarkEnd w:id="112"/>
    </w:p>
    <w:p w14:paraId="7313E146">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技术指标优劣顺序排列确定中标人；招标文件未规定的，采取随机抽取的方式确定。</w:t>
      </w:r>
    </w:p>
    <w:p w14:paraId="23562BEB">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20.2采购人自行组织招标的，应当在评标结束后5个工作日内确定中标人。</w:t>
      </w:r>
    </w:p>
    <w:p w14:paraId="08C5237C">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20.3 采购人在收到评标报告5个工作日内未按评标报告推荐的中标候选人顺序确定中标人，又不能说明合法理由的，视同按评标报告推荐的顺序确定排名第一的中标候选人为中标人。</w:t>
      </w:r>
    </w:p>
    <w:p w14:paraId="3019C918">
      <w:pPr>
        <w:pStyle w:val="18"/>
        <w:spacing w:before="0" w:after="0" w:line="360" w:lineRule="auto"/>
        <w:jc w:val="left"/>
        <w:rPr>
          <w:rFonts w:ascii="宋体" w:hAnsi="宋体" w:cs="宋体"/>
          <w:color w:val="000000"/>
          <w:sz w:val="28"/>
          <w:szCs w:val="28"/>
          <w:lang w:val="zh-CN"/>
        </w:rPr>
      </w:pPr>
      <w:bookmarkStart w:id="113" w:name="_Toc11297"/>
      <w:bookmarkStart w:id="114" w:name="_Toc27081"/>
      <w:bookmarkStart w:id="115" w:name="_Toc30588"/>
      <w:r>
        <w:rPr>
          <w:rFonts w:hint="eastAsia" w:ascii="宋体" w:hAnsi="宋体" w:cs="宋体"/>
          <w:color w:val="000000"/>
          <w:sz w:val="28"/>
          <w:szCs w:val="28"/>
          <w:lang w:val="zh-CN"/>
        </w:rPr>
        <w:t>21.中标通知</w:t>
      </w:r>
      <w:bookmarkEnd w:id="113"/>
      <w:bookmarkEnd w:id="114"/>
      <w:bookmarkEnd w:id="115"/>
    </w:p>
    <w:p w14:paraId="12E962D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21.1 采购人或者采购代理机构应当自中标人确定之日起2个工作日内，在省级以上财政部门指定的媒体上公告中标结果。</w:t>
      </w:r>
    </w:p>
    <w:p w14:paraId="101199A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C83F71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21.3 中标公告期限为1个工作日。</w:t>
      </w:r>
    </w:p>
    <w:p w14:paraId="1E3810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6D520C2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14:paraId="57952958">
      <w:pPr>
        <w:pStyle w:val="18"/>
        <w:spacing w:before="0" w:after="0" w:line="360" w:lineRule="auto"/>
        <w:rPr>
          <w:rFonts w:ascii="宋体" w:hAnsi="宋体" w:cs="宋体"/>
          <w:color w:val="000000"/>
          <w:lang w:val="zh-CN"/>
        </w:rPr>
      </w:pPr>
      <w:bookmarkStart w:id="116" w:name="_Toc574"/>
      <w:bookmarkStart w:id="117" w:name="_Toc15939"/>
      <w:bookmarkStart w:id="118" w:name="_Toc18597"/>
      <w:r>
        <w:rPr>
          <w:rFonts w:hint="eastAsia" w:ascii="宋体" w:hAnsi="宋体" w:cs="宋体"/>
          <w:color w:val="000000"/>
          <w:lang w:val="zh-CN"/>
        </w:rPr>
        <w:t>九、授予合同</w:t>
      </w:r>
      <w:bookmarkEnd w:id="116"/>
      <w:bookmarkEnd w:id="117"/>
      <w:bookmarkEnd w:id="118"/>
    </w:p>
    <w:p w14:paraId="521EE75A">
      <w:pPr>
        <w:pStyle w:val="18"/>
        <w:spacing w:before="0" w:after="0" w:line="360" w:lineRule="auto"/>
        <w:jc w:val="left"/>
        <w:rPr>
          <w:rFonts w:ascii="宋体" w:hAnsi="宋体" w:cs="宋体"/>
          <w:color w:val="000000"/>
          <w:kern w:val="0"/>
          <w:sz w:val="24"/>
        </w:rPr>
      </w:pPr>
      <w:bookmarkStart w:id="119" w:name="_Toc14690"/>
      <w:bookmarkStart w:id="120" w:name="_Toc2380"/>
      <w:bookmarkStart w:id="121" w:name="_Toc27529"/>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119"/>
      <w:bookmarkEnd w:id="120"/>
      <w:bookmarkEnd w:id="121"/>
    </w:p>
    <w:p w14:paraId="18B71ED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4EAB42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030D699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700E3D1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1C26131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20DA10F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22.6 采购人与中标人应当根据合同的约定依法履行合同义务。政府采购合同的履行、违约责任和解决争议的方法等适用《中华人民共和国民法典》。</w:t>
      </w:r>
    </w:p>
    <w:p w14:paraId="16C7543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14:paraId="3F826AC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7C39DAA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5936A6A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22.10 采购人、采购代理机构应当建立真实完整的招标采购档案，妥善保存每项采购活动的招标文件。</w:t>
      </w:r>
    </w:p>
    <w:p w14:paraId="1295751D">
      <w:pPr>
        <w:pStyle w:val="18"/>
        <w:spacing w:before="0" w:after="0" w:line="360" w:lineRule="auto"/>
        <w:rPr>
          <w:rFonts w:ascii="宋体" w:hAnsi="宋体" w:cs="宋体"/>
          <w:color w:val="000000"/>
          <w:lang w:val="zh-CN"/>
        </w:rPr>
      </w:pPr>
      <w:bookmarkStart w:id="122" w:name="_Toc24176"/>
      <w:bookmarkStart w:id="123" w:name="_Toc11937"/>
      <w:bookmarkStart w:id="124" w:name="_Toc25927"/>
      <w:r>
        <w:rPr>
          <w:rFonts w:hint="eastAsia" w:ascii="宋体" w:hAnsi="宋体" w:cs="宋体"/>
          <w:color w:val="000000"/>
          <w:lang w:val="zh-CN"/>
        </w:rPr>
        <w:t>十、其他</w:t>
      </w:r>
      <w:bookmarkEnd w:id="122"/>
      <w:bookmarkEnd w:id="123"/>
      <w:bookmarkEnd w:id="124"/>
    </w:p>
    <w:p w14:paraId="0C155A60">
      <w:pPr>
        <w:pStyle w:val="18"/>
        <w:spacing w:before="0" w:after="0" w:line="360" w:lineRule="auto"/>
        <w:jc w:val="left"/>
        <w:rPr>
          <w:rFonts w:ascii="宋体" w:hAnsi="宋体" w:cs="宋体"/>
          <w:color w:val="000000"/>
          <w:sz w:val="28"/>
          <w:szCs w:val="28"/>
        </w:rPr>
      </w:pPr>
      <w:bookmarkStart w:id="125" w:name="_Toc11849"/>
      <w:bookmarkStart w:id="126" w:name="_Toc23968"/>
      <w:bookmarkStart w:id="127" w:name="_Toc19223"/>
      <w:r>
        <w:rPr>
          <w:rFonts w:hint="eastAsia" w:ascii="宋体" w:hAnsi="宋体" w:cs="宋体"/>
          <w:color w:val="000000"/>
          <w:sz w:val="28"/>
          <w:szCs w:val="28"/>
        </w:rPr>
        <w:t>2</w:t>
      </w:r>
      <w:r>
        <w:rPr>
          <w:rFonts w:ascii="宋体" w:hAnsi="宋体" w:cs="宋体"/>
          <w:color w:val="000000"/>
          <w:sz w:val="28"/>
          <w:szCs w:val="28"/>
        </w:rPr>
        <w:t>3</w:t>
      </w:r>
      <w:r>
        <w:rPr>
          <w:rFonts w:hint="eastAsia" w:ascii="宋体" w:hAnsi="宋体" w:cs="宋体"/>
          <w:color w:val="000000"/>
          <w:sz w:val="28"/>
          <w:szCs w:val="28"/>
        </w:rPr>
        <w:t>. 串通投标的情形</w:t>
      </w:r>
      <w:bookmarkEnd w:id="125"/>
      <w:bookmarkEnd w:id="126"/>
      <w:bookmarkEnd w:id="127"/>
    </w:p>
    <w:p w14:paraId="56799E9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2181E6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3</w:t>
      </w:r>
      <w:r>
        <w:rPr>
          <w:rFonts w:hint="eastAsia" w:ascii="宋体" w:hAnsi="宋体" w:cs="宋体"/>
          <w:color w:val="000000"/>
          <w:kern w:val="0"/>
        </w:rPr>
        <w:t>.2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0D85A8D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5099E7F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0EB0467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173363D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7923655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7AE68F1D">
      <w:pPr>
        <w:pStyle w:val="18"/>
        <w:spacing w:before="0" w:after="0" w:line="360" w:lineRule="auto"/>
        <w:jc w:val="left"/>
        <w:rPr>
          <w:rFonts w:ascii="宋体" w:hAnsi="宋体" w:cs="宋体"/>
          <w:color w:val="000000"/>
          <w:sz w:val="28"/>
          <w:szCs w:val="28"/>
        </w:rPr>
      </w:pPr>
      <w:bookmarkStart w:id="128" w:name="_Toc23685"/>
      <w:bookmarkStart w:id="129" w:name="_Toc22643"/>
      <w:bookmarkStart w:id="130" w:name="_Toc16324"/>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废标</w:t>
      </w:r>
      <w:bookmarkEnd w:id="128"/>
      <w:bookmarkEnd w:id="129"/>
      <w:bookmarkEnd w:id="130"/>
    </w:p>
    <w:p w14:paraId="284D1A1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3CB5EDE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3CCCF77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49C963A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（3）投标人的报价均超出最高限价，采购人不能支付的。</w:t>
      </w:r>
    </w:p>
    <w:p w14:paraId="739043D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68BF1C5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791FAD04">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24.2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45A4615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6824E23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1B8F85BC">
      <w:pPr>
        <w:pStyle w:val="18"/>
        <w:spacing w:before="0" w:after="0" w:line="360" w:lineRule="auto"/>
        <w:jc w:val="left"/>
        <w:rPr>
          <w:rFonts w:ascii="宋体" w:hAnsi="宋体" w:cs="宋体"/>
          <w:color w:val="000000"/>
          <w:sz w:val="28"/>
          <w:szCs w:val="28"/>
        </w:rPr>
      </w:pPr>
      <w:bookmarkStart w:id="131" w:name="_Toc22588"/>
      <w:bookmarkStart w:id="132" w:name="_Toc3897"/>
      <w:bookmarkStart w:id="133" w:name="_Toc29828"/>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中标服务费</w:t>
      </w:r>
      <w:bookmarkEnd w:id="131"/>
      <w:bookmarkEnd w:id="132"/>
      <w:bookmarkEnd w:id="133"/>
    </w:p>
    <w:p w14:paraId="5847F63A">
      <w:pPr>
        <w:shd w:val="clear"/>
        <w:autoSpaceDE w:val="0"/>
        <w:autoSpaceDN w:val="0"/>
        <w:spacing w:line="360" w:lineRule="auto"/>
        <w:ind w:firstLine="480" w:firstLineChars="200"/>
        <w:jc w:val="left"/>
        <w:rPr>
          <w:rFonts w:hint="default" w:ascii="宋体" w:hAnsi="宋体" w:cs="宋体"/>
          <w:color w:val="000000"/>
          <w:kern w:val="0"/>
          <w:highlight w:val="none"/>
          <w:lang w:val="en-US"/>
        </w:rPr>
      </w:pPr>
      <w:r>
        <w:rPr>
          <w:rFonts w:hint="eastAsia" w:ascii="宋体" w:hAnsi="宋体" w:cs="宋体"/>
          <w:color w:val="000000"/>
          <w:kern w:val="0"/>
          <w:highlight w:val="none"/>
          <w:lang w:val="zh-CN"/>
        </w:rPr>
        <w:t>25.1 收取对象：</w:t>
      </w:r>
      <w:r>
        <w:rPr>
          <w:rFonts w:hint="eastAsia" w:ascii="宋体" w:hAnsi="宋体" w:cs="宋体"/>
          <w:color w:val="000000"/>
          <w:kern w:val="0"/>
          <w:highlight w:val="none"/>
          <w:lang w:val="en-US" w:eastAsia="zh-CN"/>
        </w:rPr>
        <w:t>采购人</w:t>
      </w:r>
    </w:p>
    <w:p w14:paraId="6096BDE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color w:val="000000"/>
          <w:kern w:val="0"/>
          <w:highlight w:val="none"/>
          <w:lang w:val="en-US" w:eastAsia="zh-CN"/>
        </w:rPr>
      </w:pPr>
      <w:r>
        <w:rPr>
          <w:rFonts w:hint="eastAsia" w:ascii="宋体" w:hAnsi="宋体" w:cs="宋体"/>
          <w:color w:val="000000"/>
          <w:kern w:val="0"/>
          <w:highlight w:val="none"/>
          <w:lang w:val="en-US" w:eastAsia="zh-CN"/>
        </w:rPr>
        <w:t>25.2 收费金额：5000.00元</w:t>
      </w:r>
    </w:p>
    <w:p w14:paraId="5699C23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
          <w:bCs/>
          <w:color w:val="000000"/>
          <w:kern w:val="0"/>
          <w:highlight w:val="none"/>
          <w:lang w:val="zh-CN"/>
        </w:rPr>
      </w:pPr>
      <w:r>
        <w:rPr>
          <w:rFonts w:ascii="宋体" w:hAnsi="宋体" w:cs="宋体"/>
          <w:color w:val="000000"/>
          <w:kern w:val="0"/>
          <w:highlight w:val="none"/>
        </w:rPr>
        <w:t>25.</w:t>
      </w:r>
      <w:r>
        <w:rPr>
          <w:rFonts w:hint="eastAsia" w:ascii="宋体" w:hAnsi="宋体" w:cs="宋体"/>
          <w:color w:val="000000"/>
          <w:kern w:val="0"/>
          <w:highlight w:val="none"/>
          <w:lang w:val="en-US" w:eastAsia="zh-CN"/>
        </w:rPr>
        <w:t>3</w:t>
      </w:r>
      <w:r>
        <w:rPr>
          <w:rFonts w:ascii="宋体" w:hAnsi="宋体" w:cs="宋体"/>
          <w:color w:val="000000"/>
          <w:kern w:val="0"/>
          <w:highlight w:val="none"/>
        </w:rPr>
        <w:t xml:space="preserve"> </w:t>
      </w:r>
      <w:r>
        <w:rPr>
          <w:rFonts w:hint="eastAsia" w:ascii="宋体" w:hAnsi="宋体" w:cs="宋体"/>
          <w:color w:val="000000"/>
          <w:kern w:val="0"/>
          <w:highlight w:val="none"/>
          <w:lang w:val="zh-CN"/>
        </w:rPr>
        <w:t>收费标准：参照《招标代理服务收费管理暂行办法》（计价格[2002]1980号）以及《关于进一步放开建设项目专项业务服务价格的通知》（发改价格[2015]299号）规定执行。</w:t>
      </w:r>
    </w:p>
    <w:p w14:paraId="35DD5FB8">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hint="eastAsia" w:ascii="宋体" w:hAnsi="宋体" w:cs="宋体"/>
          <w:color w:val="000000"/>
          <w:szCs w:val="36"/>
          <w:lang w:val="zh-CN"/>
        </w:rPr>
      </w:pP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其他未尽事宜，按照《中华人民共和国政府采购法》、《中华人民共和国政府采购法实施条例》、《中华人民共和国民法典》等法律法规的有关条款执行。</w:t>
      </w:r>
      <w:r>
        <w:rPr>
          <w:rFonts w:hint="eastAsia" w:ascii="宋体" w:hAnsi="宋体" w:cs="宋体"/>
          <w:color w:val="000000"/>
          <w:szCs w:val="36"/>
          <w:lang w:val="zh-CN"/>
        </w:rPr>
        <w:br w:type="page"/>
      </w:r>
    </w:p>
    <w:p w14:paraId="32691FF5">
      <w:pPr>
        <w:pStyle w:val="2"/>
        <w:rPr>
          <w:lang w:val="zh-CN"/>
        </w:rPr>
      </w:pPr>
    </w:p>
    <w:p w14:paraId="1837253F">
      <w:pPr>
        <w:pStyle w:val="18"/>
        <w:rPr>
          <w:rFonts w:ascii="宋体" w:hAnsi="宋体" w:cs="宋体"/>
          <w:color w:val="000000"/>
          <w:kern w:val="0"/>
          <w:lang w:val="zh-CN"/>
        </w:rPr>
      </w:pPr>
      <w:bookmarkStart w:id="134" w:name="_Toc22944"/>
      <w:bookmarkStart w:id="135" w:name="_Toc12238"/>
      <w:bookmarkStart w:id="136" w:name="_Toc12485"/>
      <w:r>
        <w:rPr>
          <w:rFonts w:hint="eastAsia"/>
          <w:lang w:val="zh-CN"/>
        </w:rPr>
        <w:t>第三部分  青海省政府采购项目合同书范本</w:t>
      </w:r>
      <w:bookmarkEnd w:id="134"/>
      <w:bookmarkEnd w:id="135"/>
      <w:bookmarkEnd w:id="136"/>
    </w:p>
    <w:p w14:paraId="060952C0">
      <w:pPr>
        <w:autoSpaceDE w:val="0"/>
        <w:autoSpaceDN w:val="0"/>
        <w:adjustRightInd w:val="0"/>
        <w:spacing w:line="360" w:lineRule="auto"/>
        <w:rPr>
          <w:rFonts w:ascii="宋体" w:hAnsi="宋体" w:cs="宋体"/>
          <w:color w:val="000000"/>
          <w:kern w:val="0"/>
          <w:sz w:val="28"/>
          <w:szCs w:val="28"/>
        </w:rPr>
      </w:pPr>
    </w:p>
    <w:p w14:paraId="55AE7C9B">
      <w:pPr>
        <w:autoSpaceDE w:val="0"/>
        <w:autoSpaceDN w:val="0"/>
        <w:adjustRightInd w:val="0"/>
        <w:spacing w:line="360" w:lineRule="auto"/>
        <w:rPr>
          <w:rFonts w:ascii="宋体" w:hAnsi="宋体" w:cs="宋体"/>
          <w:color w:val="000000"/>
          <w:kern w:val="0"/>
          <w:sz w:val="28"/>
          <w:szCs w:val="28"/>
        </w:rPr>
      </w:pPr>
    </w:p>
    <w:p w14:paraId="459E01EC">
      <w:pPr>
        <w:autoSpaceDE w:val="0"/>
        <w:autoSpaceDN w:val="0"/>
        <w:adjustRightInd w:val="0"/>
        <w:spacing w:line="360" w:lineRule="auto"/>
        <w:rPr>
          <w:rFonts w:ascii="宋体" w:hAnsi="宋体" w:cs="宋体"/>
          <w:color w:val="000000"/>
          <w:kern w:val="0"/>
          <w:sz w:val="28"/>
          <w:szCs w:val="28"/>
        </w:rPr>
      </w:pPr>
    </w:p>
    <w:p w14:paraId="414263B0">
      <w:pPr>
        <w:autoSpaceDE w:val="0"/>
        <w:autoSpaceDN w:val="0"/>
        <w:adjustRightInd w:val="0"/>
        <w:spacing w:line="360" w:lineRule="auto"/>
        <w:rPr>
          <w:rFonts w:ascii="宋体" w:hAnsi="宋体" w:cs="宋体"/>
          <w:color w:val="000000"/>
          <w:kern w:val="0"/>
          <w:sz w:val="28"/>
          <w:szCs w:val="28"/>
        </w:rPr>
      </w:pPr>
    </w:p>
    <w:p w14:paraId="33C80824">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1006FD3B">
      <w:pPr>
        <w:autoSpaceDE w:val="0"/>
        <w:autoSpaceDN w:val="0"/>
        <w:adjustRightInd w:val="0"/>
        <w:spacing w:line="360" w:lineRule="auto"/>
        <w:rPr>
          <w:rFonts w:ascii="宋体" w:hAnsi="宋体" w:cs="宋体"/>
          <w:color w:val="000000"/>
          <w:kern w:val="0"/>
          <w:sz w:val="28"/>
          <w:szCs w:val="28"/>
        </w:rPr>
      </w:pPr>
      <w:r>
        <w:rPr>
          <w:rFonts w:hint="eastAsia"/>
          <w:b/>
          <w:bCs/>
          <w:highlight w:val="none"/>
          <w:lang w:val="en-US" w:eastAsia="zh-CN"/>
        </w:rPr>
        <w:t>本合同格式为合同的参考文本，合同签订双方可根据项目的具体要求进行修订</w:t>
      </w:r>
    </w:p>
    <w:p w14:paraId="3C45659C">
      <w:pPr>
        <w:autoSpaceDE w:val="0"/>
        <w:autoSpaceDN w:val="0"/>
        <w:adjustRightInd w:val="0"/>
        <w:spacing w:line="360" w:lineRule="auto"/>
        <w:rPr>
          <w:rFonts w:ascii="宋体" w:hAnsi="宋体" w:cs="宋体"/>
          <w:color w:val="000000"/>
          <w:kern w:val="0"/>
          <w:sz w:val="28"/>
          <w:szCs w:val="28"/>
        </w:rPr>
      </w:pPr>
    </w:p>
    <w:p w14:paraId="4849AA69">
      <w:pPr>
        <w:autoSpaceDE w:val="0"/>
        <w:autoSpaceDN w:val="0"/>
        <w:adjustRightInd w:val="0"/>
        <w:spacing w:line="360" w:lineRule="auto"/>
        <w:rPr>
          <w:rFonts w:ascii="宋体" w:hAnsi="宋体" w:cs="宋体"/>
          <w:color w:val="000000"/>
          <w:kern w:val="0"/>
          <w:sz w:val="28"/>
          <w:szCs w:val="28"/>
        </w:rPr>
      </w:pPr>
    </w:p>
    <w:p w14:paraId="165DD07F">
      <w:pPr>
        <w:autoSpaceDE w:val="0"/>
        <w:autoSpaceDN w:val="0"/>
        <w:adjustRightInd w:val="0"/>
        <w:spacing w:line="360" w:lineRule="auto"/>
        <w:rPr>
          <w:rFonts w:ascii="宋体" w:hAnsi="宋体" w:cs="宋体"/>
          <w:color w:val="000000"/>
          <w:kern w:val="0"/>
          <w:sz w:val="28"/>
          <w:szCs w:val="28"/>
        </w:rPr>
      </w:pPr>
    </w:p>
    <w:p w14:paraId="659887E1">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 xml:space="preserve">青海凌星公招（服务）2025-115  </w:t>
      </w:r>
      <w:r>
        <w:rPr>
          <w:rFonts w:hint="eastAsia" w:ascii="宋体" w:hAnsi="宋体" w:cs="宋体"/>
          <w:color w:val="000000"/>
          <w:kern w:val="0"/>
          <w:sz w:val="30"/>
          <w:szCs w:val="30"/>
          <w:u w:val="single"/>
        </w:rPr>
        <w:t xml:space="preserve">                              </w:t>
      </w:r>
    </w:p>
    <w:p w14:paraId="3CAD87FD">
      <w:pPr>
        <w:autoSpaceDE w:val="0"/>
        <w:autoSpaceDN w:val="0"/>
        <w:adjustRightInd w:val="0"/>
        <w:spacing w:line="360" w:lineRule="auto"/>
        <w:ind w:left="2108" w:hanging="2108" w:hangingChars="700"/>
        <w:jc w:val="left"/>
        <w:rPr>
          <w:rFonts w:ascii="宋体" w:hAnsi="宋体" w:cs="宋体"/>
          <w:b/>
          <w:color w:val="000000"/>
          <w:sz w:val="36"/>
          <w:szCs w:val="36"/>
        </w:rPr>
      </w:pPr>
      <w:r>
        <w:rPr>
          <w:rFonts w:hint="eastAsia" w:ascii="宋体" w:hAnsi="宋体" w:cs="宋体"/>
          <w:b/>
          <w:bCs/>
          <w:color w:val="000000"/>
          <w:kern w:val="0"/>
          <w:sz w:val="30"/>
          <w:szCs w:val="30"/>
          <w:lang w:val="zh-CN"/>
        </w:rPr>
        <w:t>采购项目名称：</w:t>
      </w:r>
      <w:r>
        <w:rPr>
          <w:rFonts w:hint="eastAsia" w:ascii="宋体" w:hAnsi="宋体" w:cs="宋体"/>
          <w:b/>
          <w:bCs/>
          <w:kern w:val="0"/>
          <w:sz w:val="30"/>
          <w:szCs w:val="30"/>
          <w:u w:val="single"/>
          <w:lang w:val="zh-CN"/>
        </w:rPr>
        <w:t>城中区区属学校数字化建设项目（平台服务类）</w:t>
      </w:r>
      <w:r>
        <w:rPr>
          <w:rFonts w:hint="eastAsia" w:ascii="宋体" w:hAnsi="宋体" w:cs="宋体"/>
          <w:b/>
          <w:bCs/>
          <w:color w:val="000000"/>
          <w:kern w:val="0"/>
          <w:sz w:val="30"/>
          <w:szCs w:val="30"/>
          <w:u w:val="single"/>
          <w:lang w:val="zh-CN"/>
        </w:rPr>
        <w:t xml:space="preserve">   </w:t>
      </w:r>
      <w:r>
        <w:rPr>
          <w:rFonts w:hint="eastAsia" w:ascii="宋体" w:hAnsi="宋体" w:cs="宋体"/>
          <w:b/>
          <w:bCs/>
          <w:color w:val="000000"/>
          <w:kern w:val="0"/>
          <w:sz w:val="30"/>
          <w:szCs w:val="30"/>
          <w:u w:val="single"/>
        </w:rPr>
        <w:t xml:space="preserve">                          </w:t>
      </w:r>
    </w:p>
    <w:p w14:paraId="50ADAED1">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 xml:space="preserve">QHLX-2025-115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lang w:val="zh-CN"/>
        </w:rPr>
        <w:t xml:space="preserve">  </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 xml:space="preserve">              </w:t>
      </w:r>
    </w:p>
    <w:p w14:paraId="0BAA1547">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14:paraId="1D6CA95D">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0CDF30FB">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338A1AAD">
      <w:pPr>
        <w:autoSpaceDE w:val="0"/>
        <w:autoSpaceDN w:val="0"/>
        <w:adjustRightInd w:val="0"/>
        <w:spacing w:line="360" w:lineRule="auto"/>
        <w:rPr>
          <w:rFonts w:hint="eastAsia" w:ascii="宋体" w:hAnsi="宋体" w:cs="宋体"/>
          <w:b/>
          <w:bCs/>
          <w:color w:val="000000"/>
          <w:kern w:val="0"/>
          <w:sz w:val="30"/>
          <w:szCs w:val="30"/>
          <w:lang w:val="zh-CN"/>
        </w:rPr>
      </w:pPr>
    </w:p>
    <w:p w14:paraId="1119E97C">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lang w:val="zh-CN"/>
        </w:rPr>
        <w:t xml:space="preserve">    </w:t>
      </w:r>
      <w:r>
        <w:rPr>
          <w:rFonts w:hint="eastAsia" w:ascii="宋体" w:hAnsi="宋体" w:cs="宋体"/>
          <w:b/>
          <w:bCs/>
          <w:color w:val="000000"/>
          <w:kern w:val="0"/>
          <w:sz w:val="30"/>
          <w:szCs w:val="30"/>
          <w:u w:val="single"/>
        </w:rPr>
        <w:t xml:space="preserve"> 年     月     日</w:t>
      </w:r>
    </w:p>
    <w:p w14:paraId="2BEC18C5">
      <w:pPr>
        <w:autoSpaceDE w:val="0"/>
        <w:autoSpaceDN w:val="0"/>
        <w:adjustRightInd w:val="0"/>
        <w:spacing w:line="360" w:lineRule="auto"/>
        <w:jc w:val="left"/>
        <w:rPr>
          <w:rFonts w:ascii="宋体" w:hAnsi="宋体" w:cs="宋体"/>
          <w:b/>
          <w:bCs/>
          <w:color w:val="000000"/>
          <w:kern w:val="0"/>
        </w:rPr>
      </w:pPr>
      <w:r>
        <w:rPr>
          <w:rFonts w:hint="eastAsia" w:ascii="宋体" w:hAnsi="宋体" w:cs="宋体"/>
          <w:color w:val="000000"/>
          <w:kern w:val="0"/>
          <w:sz w:val="28"/>
          <w:szCs w:val="28"/>
        </w:rPr>
        <w:br w:type="page"/>
      </w:r>
      <w:r>
        <w:rPr>
          <w:rFonts w:hint="eastAsia" w:ascii="宋体" w:hAnsi="宋体" w:cs="宋体"/>
          <w:b/>
          <w:bCs/>
          <w:color w:val="000000"/>
          <w:kern w:val="0"/>
          <w:lang w:val="zh-CN"/>
        </w:rPr>
        <w:t>采</w:t>
      </w:r>
      <w:r>
        <w:rPr>
          <w:rFonts w:hint="eastAsia" w:ascii="宋体" w:hAnsi="宋体" w:cs="宋体"/>
          <w:b/>
          <w:bCs/>
          <w:color w:val="000000"/>
          <w:kern w:val="0"/>
        </w:rPr>
        <w:t xml:space="preserve"> </w:t>
      </w:r>
      <w:r>
        <w:rPr>
          <w:rFonts w:hint="eastAsia" w:ascii="宋体" w:hAnsi="宋体" w:cs="宋体"/>
          <w:b/>
          <w:bCs/>
          <w:color w:val="000000"/>
          <w:kern w:val="0"/>
          <w:lang w:val="zh-CN"/>
        </w:rPr>
        <w:t>购</w:t>
      </w:r>
      <w:r>
        <w:rPr>
          <w:rFonts w:hint="eastAsia" w:ascii="宋体" w:hAnsi="宋体" w:cs="宋体"/>
          <w:b/>
          <w:bCs/>
          <w:color w:val="000000"/>
          <w:kern w:val="0"/>
        </w:rPr>
        <w:t xml:space="preserve"> </w:t>
      </w:r>
      <w:r>
        <w:rPr>
          <w:rFonts w:hint="eastAsia" w:ascii="宋体" w:hAnsi="宋体" w:cs="宋体"/>
          <w:b/>
          <w:bCs/>
          <w:color w:val="000000"/>
          <w:kern w:val="0"/>
          <w:lang w:val="zh-CN"/>
        </w:rPr>
        <w:t>人（以下简称甲方）：</w:t>
      </w:r>
      <w:r>
        <w:rPr>
          <w:rFonts w:hint="eastAsia" w:ascii="宋体" w:hAnsi="宋体" w:cs="宋体"/>
          <w:b/>
          <w:bCs/>
          <w:color w:val="000000"/>
          <w:kern w:val="0"/>
        </w:rPr>
        <w:t xml:space="preserve"> </w:t>
      </w:r>
    </w:p>
    <w:p w14:paraId="2F636876">
      <w:pPr>
        <w:autoSpaceDE w:val="0"/>
        <w:autoSpaceDN w:val="0"/>
        <w:adjustRightInd w:val="0"/>
        <w:spacing w:line="360" w:lineRule="auto"/>
        <w:rPr>
          <w:rFonts w:ascii="宋体" w:hAnsi="宋体" w:cs="宋体"/>
          <w:color w:val="000000"/>
          <w:kern w:val="0"/>
        </w:rPr>
      </w:pPr>
      <w:r>
        <w:rPr>
          <w:rFonts w:hint="eastAsia" w:ascii="宋体" w:hAnsi="宋体" w:cs="宋体"/>
          <w:b/>
          <w:bCs/>
          <w:color w:val="000000"/>
          <w:kern w:val="0"/>
          <w:lang w:val="zh-CN"/>
        </w:rPr>
        <w:t>中</w:t>
      </w:r>
      <w:r>
        <w:rPr>
          <w:rFonts w:hint="eastAsia" w:ascii="宋体" w:hAnsi="宋体" w:cs="宋体"/>
          <w:b/>
          <w:bCs/>
          <w:color w:val="000000"/>
          <w:kern w:val="0"/>
        </w:rPr>
        <w:t xml:space="preserve"> </w:t>
      </w:r>
      <w:r>
        <w:rPr>
          <w:rFonts w:hint="eastAsia" w:ascii="宋体" w:hAnsi="宋体" w:cs="宋体"/>
          <w:b/>
          <w:bCs/>
          <w:color w:val="000000"/>
          <w:kern w:val="0"/>
          <w:lang w:val="zh-CN"/>
        </w:rPr>
        <w:t>标</w:t>
      </w:r>
      <w:r>
        <w:rPr>
          <w:rFonts w:hint="eastAsia" w:ascii="宋体" w:hAnsi="宋体" w:cs="宋体"/>
          <w:b/>
          <w:bCs/>
          <w:color w:val="000000"/>
          <w:kern w:val="0"/>
        </w:rPr>
        <w:t xml:space="preserve"> </w:t>
      </w:r>
      <w:r>
        <w:rPr>
          <w:rFonts w:hint="eastAsia" w:ascii="宋体" w:hAnsi="宋体" w:cs="宋体"/>
          <w:b/>
          <w:bCs/>
          <w:color w:val="000000"/>
          <w:kern w:val="0"/>
          <w:lang w:val="zh-CN"/>
        </w:rPr>
        <w:t>人（以下简称乙方）：</w:t>
      </w:r>
    </w:p>
    <w:p w14:paraId="122ED02C">
      <w:pPr>
        <w:pStyle w:val="3"/>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甲、乙双方根</w:t>
      </w:r>
      <w:r>
        <w:rPr>
          <w:rFonts w:hint="eastAsia" w:ascii="宋体" w:hAnsi="宋体" w:cs="宋体"/>
          <w:kern w:val="0"/>
          <w:sz w:val="24"/>
          <w:lang w:val="zh-CN"/>
        </w:rPr>
        <w:t>据</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日（城中区区属学校数字化建设项目（平台服务类）</w:t>
      </w:r>
      <w:r>
        <w:rPr>
          <w:rFonts w:hint="eastAsia" w:ascii="宋体" w:hAnsi="宋体" w:cs="宋体"/>
          <w:color w:val="000000"/>
          <w:kern w:val="0"/>
          <w:sz w:val="24"/>
          <w:lang w:val="zh-CN"/>
        </w:rPr>
        <w:t>）</w:t>
      </w:r>
      <w:r>
        <w:rPr>
          <w:rFonts w:hint="eastAsia" w:ascii="宋体" w:hAnsi="宋体" w:cs="宋体"/>
          <w:kern w:val="0"/>
          <w:sz w:val="24"/>
          <w:lang w:val="zh-CN"/>
        </w:rPr>
        <w:t>（青海凌星公招（服务）2025-115</w:t>
      </w:r>
      <w:r>
        <w:rPr>
          <w:rFonts w:hint="eastAsia" w:ascii="宋体" w:hAnsi="宋体" w:cs="宋体"/>
          <w:color w:val="000000"/>
          <w:kern w:val="0"/>
          <w:sz w:val="24"/>
          <w:lang w:val="zh-CN"/>
        </w:rPr>
        <w:t>）的招标文件要求和采购代理机构出具的《中标通知书》，并经双方协商一致，签订本合同协议书。</w:t>
      </w:r>
    </w:p>
    <w:p w14:paraId="2B17AAE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签订本政府采购合同的依据：</w:t>
      </w:r>
    </w:p>
    <w:p w14:paraId="3B589D3F">
      <w:pPr>
        <w:autoSpaceDE w:val="0"/>
        <w:autoSpaceDN w:val="0"/>
        <w:spacing w:line="360" w:lineRule="auto"/>
        <w:ind w:firstLine="480"/>
        <w:rPr>
          <w:rFonts w:ascii="宋体" w:hAnsi="宋体" w:cs="宋体"/>
          <w:b/>
          <w:color w:val="000000"/>
          <w:kern w:val="0"/>
          <w:lang w:val="zh-CN"/>
        </w:rPr>
      </w:pPr>
      <w:r>
        <w:rPr>
          <w:rFonts w:hint="eastAsia" w:ascii="宋体" w:hAnsi="宋体" w:cs="宋体"/>
          <w:b/>
          <w:color w:val="000000"/>
          <w:kern w:val="0"/>
          <w:lang w:val="zh-CN"/>
        </w:rPr>
        <w:t>一、本政府采购合同所附下列文件是构成本政府采购合同不可分割的部分：</w:t>
      </w:r>
    </w:p>
    <w:p w14:paraId="1C3E019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lang w:val="zh-CN"/>
        </w:rPr>
      </w:pPr>
      <w:r>
        <w:rPr>
          <w:rFonts w:hint="eastAsia" w:ascii="宋体" w:hAnsi="宋体" w:cs="宋体"/>
          <w:color w:val="000000"/>
          <w:kern w:val="0"/>
          <w:lang w:val="zh-CN"/>
        </w:rPr>
        <w:t>1.招标文件；</w:t>
      </w:r>
    </w:p>
    <w:p w14:paraId="67D0F74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lang w:val="zh-CN"/>
        </w:rPr>
      </w:pPr>
      <w:r>
        <w:rPr>
          <w:rFonts w:hint="eastAsia" w:ascii="宋体" w:hAnsi="宋体" w:cs="宋体"/>
          <w:color w:val="000000"/>
          <w:kern w:val="0"/>
          <w:lang w:val="zh-CN"/>
        </w:rPr>
        <w:t>2.招标文件的澄清、变更公告；</w:t>
      </w:r>
    </w:p>
    <w:p w14:paraId="74DA042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lang w:val="zh-CN"/>
        </w:rPr>
      </w:pPr>
      <w:r>
        <w:rPr>
          <w:rFonts w:hint="eastAsia" w:ascii="宋体" w:hAnsi="宋体" w:cs="宋体"/>
          <w:color w:val="000000"/>
          <w:kern w:val="0"/>
          <w:lang w:val="zh-CN"/>
        </w:rPr>
        <w:t>3.中标人提交的投标文件；</w:t>
      </w:r>
    </w:p>
    <w:p w14:paraId="7B48602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6906565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5.中标通知书、开标一览表；</w:t>
      </w:r>
    </w:p>
    <w:p w14:paraId="68FE0192">
      <w:pPr>
        <w:pStyle w:val="19"/>
        <w:rPr>
          <w:rFonts w:hint="default"/>
          <w:lang w:val="en-US" w:eastAsia="zh-CN"/>
        </w:rPr>
      </w:pPr>
    </w:p>
    <w:p w14:paraId="52A9A809">
      <w:pPr>
        <w:autoSpaceDE w:val="0"/>
        <w:autoSpaceDN w:val="0"/>
        <w:adjustRightInd w:val="0"/>
        <w:spacing w:line="360" w:lineRule="auto"/>
        <w:ind w:firstLine="480"/>
        <w:rPr>
          <w:rFonts w:ascii="宋体" w:hAnsi="Calibri" w:cs="宋体"/>
          <w:kern w:val="0"/>
          <w:highlight w:val="none"/>
          <w:lang w:val="zh-CN"/>
        </w:rPr>
      </w:pPr>
      <w:r>
        <w:rPr>
          <w:rFonts w:hint="eastAsia" w:ascii="宋体" w:hAnsi="Calibri" w:cs="宋体"/>
          <w:b/>
          <w:kern w:val="0"/>
          <w:highlight w:val="none"/>
          <w:lang w:val="zh-CN"/>
        </w:rPr>
        <w:t xml:space="preserve">二、合同标的及金额     </w:t>
      </w:r>
      <w:r>
        <w:rPr>
          <w:rFonts w:hint="eastAsia" w:ascii="宋体" w:hAnsi="Calibri" w:cs="宋体"/>
          <w:kern w:val="0"/>
          <w:highlight w:val="none"/>
          <w:lang w:val="zh-CN"/>
        </w:rPr>
        <w:t xml:space="preserve">                                  单位：元</w:t>
      </w:r>
    </w:p>
    <w:tbl>
      <w:tblPr>
        <w:tblStyle w:val="21"/>
        <w:tblW w:w="8447" w:type="dxa"/>
        <w:jc w:val="center"/>
        <w:tblLayout w:type="fixed"/>
        <w:tblCellMar>
          <w:top w:w="0" w:type="dxa"/>
          <w:left w:w="108" w:type="dxa"/>
          <w:bottom w:w="0" w:type="dxa"/>
          <w:right w:w="108" w:type="dxa"/>
        </w:tblCellMar>
      </w:tblPr>
      <w:tblGrid>
        <w:gridCol w:w="1064"/>
        <w:gridCol w:w="2976"/>
        <w:gridCol w:w="2835"/>
        <w:gridCol w:w="1572"/>
      </w:tblGrid>
      <w:tr w14:paraId="1093ED21">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52940D33">
            <w:pPr>
              <w:autoSpaceDE w:val="0"/>
              <w:autoSpaceDN w:val="0"/>
              <w:adjustRightInd w:val="0"/>
              <w:jc w:val="center"/>
              <w:rPr>
                <w:rFonts w:ascii="宋体" w:hAnsi="Calibri" w:cs="宋体"/>
                <w:kern w:val="0"/>
                <w:highlight w:val="none"/>
                <w:lang w:val="zh-CN"/>
              </w:rPr>
            </w:pPr>
            <w:bookmarkStart w:id="137" w:name="_Toc435227120"/>
            <w:r>
              <w:rPr>
                <w:rFonts w:hint="eastAsia" w:ascii="宋体" w:hAnsi="Calibri" w:cs="宋体"/>
                <w:kern w:val="0"/>
                <w:highlight w:val="none"/>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6C405986">
            <w:pPr>
              <w:autoSpaceDE w:val="0"/>
              <w:autoSpaceDN w:val="0"/>
              <w:adjustRightInd w:val="0"/>
              <w:jc w:val="center"/>
              <w:rPr>
                <w:rFonts w:ascii="宋体" w:hAnsi="Calibri" w:cs="宋体"/>
                <w:kern w:val="0"/>
                <w:highlight w:val="none"/>
                <w:lang w:val="zh-CN"/>
              </w:rPr>
            </w:pPr>
            <w:r>
              <w:rPr>
                <w:rFonts w:hint="eastAsia" w:ascii="宋体" w:hAnsi="宋体"/>
                <w:highlight w:val="none"/>
              </w:rPr>
              <w:t>项目服务内容</w:t>
            </w:r>
          </w:p>
        </w:tc>
        <w:tc>
          <w:tcPr>
            <w:tcW w:w="2835" w:type="dxa"/>
            <w:tcBorders>
              <w:top w:val="single" w:color="auto" w:sz="4" w:space="0"/>
              <w:left w:val="single" w:color="auto" w:sz="4" w:space="0"/>
              <w:bottom w:val="single" w:color="auto" w:sz="4" w:space="0"/>
              <w:right w:val="single" w:color="auto" w:sz="4" w:space="0"/>
            </w:tcBorders>
            <w:vAlign w:val="center"/>
          </w:tcPr>
          <w:p w14:paraId="3B0F86CE">
            <w:pPr>
              <w:autoSpaceDE w:val="0"/>
              <w:autoSpaceDN w:val="0"/>
              <w:adjustRightInd w:val="0"/>
              <w:jc w:val="center"/>
              <w:rPr>
                <w:rFonts w:ascii="宋体" w:hAnsi="Calibri" w:cs="宋体"/>
                <w:kern w:val="0"/>
                <w:highlight w:val="none"/>
                <w:lang w:val="zh-CN"/>
              </w:rPr>
            </w:pPr>
            <w:r>
              <w:rPr>
                <w:rFonts w:hint="eastAsia" w:ascii="宋体" w:hAnsi="宋体"/>
                <w:highlight w:val="none"/>
              </w:rPr>
              <w:t>金额</w:t>
            </w:r>
          </w:p>
        </w:tc>
        <w:tc>
          <w:tcPr>
            <w:tcW w:w="1572" w:type="dxa"/>
            <w:tcBorders>
              <w:top w:val="single" w:color="auto" w:sz="4" w:space="0"/>
              <w:left w:val="single" w:color="auto" w:sz="4" w:space="0"/>
              <w:bottom w:val="single" w:color="auto" w:sz="4" w:space="0"/>
              <w:right w:val="single" w:color="auto" w:sz="4" w:space="0"/>
            </w:tcBorders>
            <w:vAlign w:val="center"/>
          </w:tcPr>
          <w:p w14:paraId="16196334">
            <w:pPr>
              <w:autoSpaceDE w:val="0"/>
              <w:autoSpaceDN w:val="0"/>
              <w:adjustRightInd w:val="0"/>
              <w:jc w:val="center"/>
              <w:rPr>
                <w:rFonts w:ascii="宋体" w:hAnsi="Calibri" w:cs="宋体"/>
                <w:kern w:val="0"/>
                <w:highlight w:val="none"/>
                <w:lang w:val="zh-CN"/>
              </w:rPr>
            </w:pPr>
            <w:r>
              <w:rPr>
                <w:rFonts w:hint="eastAsia" w:ascii="宋体" w:hAnsi="Calibri" w:cs="宋体"/>
                <w:kern w:val="0"/>
                <w:highlight w:val="none"/>
                <w:lang w:val="zh-CN"/>
              </w:rPr>
              <w:t>备注</w:t>
            </w:r>
          </w:p>
        </w:tc>
      </w:tr>
      <w:tr w14:paraId="4667592A">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14:paraId="16AE607F">
            <w:pPr>
              <w:autoSpaceDE w:val="0"/>
              <w:autoSpaceDN w:val="0"/>
              <w:adjustRightInd w:val="0"/>
              <w:rPr>
                <w:rFonts w:ascii="宋体" w:hAnsi="Calibri" w:cs="宋体"/>
                <w:kern w:val="0"/>
                <w:lang w:val="zh-CN"/>
              </w:rPr>
            </w:pPr>
            <w:r>
              <w:rPr>
                <w:rFonts w:hint="eastAsia" w:ascii="宋体" w:hAnsi="Calibri" w:cs="宋体"/>
                <w:kern w:val="0"/>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1C6899F8">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032D68A3">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49056C5A">
            <w:pPr>
              <w:autoSpaceDE w:val="0"/>
              <w:autoSpaceDN w:val="0"/>
              <w:adjustRightInd w:val="0"/>
              <w:rPr>
                <w:rFonts w:ascii="宋体" w:hAnsi="Calibri" w:cs="宋体"/>
                <w:kern w:val="0"/>
                <w:lang w:val="zh-CN"/>
              </w:rPr>
            </w:pPr>
          </w:p>
        </w:tc>
      </w:tr>
      <w:tr w14:paraId="494C1472">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4D01800F">
            <w:pPr>
              <w:autoSpaceDE w:val="0"/>
              <w:autoSpaceDN w:val="0"/>
              <w:adjustRightInd w:val="0"/>
              <w:rPr>
                <w:rFonts w:ascii="宋体" w:hAnsi="Calibri" w:cs="宋体"/>
                <w:kern w:val="0"/>
                <w:lang w:val="zh-CN"/>
              </w:rPr>
            </w:pPr>
            <w:r>
              <w:rPr>
                <w:rFonts w:hint="eastAsia" w:ascii="宋体" w:hAnsi="Calibri" w:cs="宋体"/>
                <w:kern w:val="0"/>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14:paraId="57ED0774">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3629336C">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5B01FB72">
            <w:pPr>
              <w:autoSpaceDE w:val="0"/>
              <w:autoSpaceDN w:val="0"/>
              <w:adjustRightInd w:val="0"/>
              <w:rPr>
                <w:rFonts w:ascii="宋体" w:hAnsi="Calibri" w:cs="宋体"/>
                <w:kern w:val="0"/>
                <w:lang w:val="zh-CN"/>
              </w:rPr>
            </w:pPr>
          </w:p>
        </w:tc>
      </w:tr>
      <w:tr w14:paraId="081247B4">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0D677F29">
            <w:pPr>
              <w:autoSpaceDE w:val="0"/>
              <w:autoSpaceDN w:val="0"/>
              <w:adjustRightInd w:val="0"/>
              <w:rPr>
                <w:rFonts w:ascii="宋体" w:hAnsi="Calibri" w:cs="宋体"/>
                <w:kern w:val="0"/>
                <w:lang w:val="zh-CN"/>
              </w:rPr>
            </w:pPr>
            <w:r>
              <w:rPr>
                <w:rFonts w:ascii="宋体" w:hAnsi="Calibri" w:cs="宋体"/>
                <w:kern w:val="0"/>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14:paraId="23F52FB0">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3F5CA228">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1966E042">
            <w:pPr>
              <w:autoSpaceDE w:val="0"/>
              <w:autoSpaceDN w:val="0"/>
              <w:adjustRightInd w:val="0"/>
              <w:rPr>
                <w:rFonts w:ascii="宋体" w:hAnsi="Calibri" w:cs="宋体"/>
                <w:kern w:val="0"/>
                <w:lang w:val="zh-CN"/>
              </w:rPr>
            </w:pPr>
          </w:p>
        </w:tc>
      </w:tr>
      <w:tr w14:paraId="27C194EE">
        <w:tblPrEx>
          <w:tblCellMar>
            <w:top w:w="0" w:type="dxa"/>
            <w:left w:w="108" w:type="dxa"/>
            <w:bottom w:w="0" w:type="dxa"/>
            <w:right w:w="108" w:type="dxa"/>
          </w:tblCellMar>
        </w:tblPrEx>
        <w:trPr>
          <w:cantSplit/>
          <w:trHeight w:val="664" w:hRule="atLeast"/>
          <w:jc w:val="center"/>
        </w:trPr>
        <w:tc>
          <w:tcPr>
            <w:tcW w:w="8447" w:type="dxa"/>
            <w:gridSpan w:val="4"/>
            <w:tcBorders>
              <w:top w:val="single" w:color="auto" w:sz="4" w:space="0"/>
              <w:left w:val="single" w:color="auto" w:sz="4" w:space="0"/>
              <w:bottom w:val="single" w:color="auto" w:sz="4" w:space="0"/>
              <w:right w:val="single" w:color="auto" w:sz="4" w:space="0"/>
            </w:tcBorders>
            <w:vAlign w:val="center"/>
          </w:tcPr>
          <w:p w14:paraId="1239AE74">
            <w:pPr>
              <w:autoSpaceDE w:val="0"/>
              <w:autoSpaceDN w:val="0"/>
              <w:adjustRightInd w:val="0"/>
              <w:rPr>
                <w:rFonts w:ascii="宋体" w:hAnsi="Calibri" w:cs="宋体"/>
                <w:kern w:val="0"/>
                <w:lang w:val="zh-CN"/>
              </w:rPr>
            </w:pPr>
            <w:r>
              <w:rPr>
                <w:rFonts w:ascii="宋体" w:hAnsi="宋体"/>
              </w:rPr>
              <w:t>合计总金额：</w:t>
            </w:r>
          </w:p>
        </w:tc>
      </w:tr>
    </w:tbl>
    <w:p w14:paraId="1C8F8661">
      <w:pPr>
        <w:spacing w:line="360" w:lineRule="auto"/>
        <w:rPr>
          <w:rFonts w:ascii="Arial" w:hAnsi="Arial" w:cs="Arial"/>
          <w:lang w:val="zh-CN"/>
        </w:rPr>
      </w:pPr>
    </w:p>
    <w:bookmarkEnd w:id="137"/>
    <w:p w14:paraId="792F063D">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480"/>
        <w:textAlignment w:val="auto"/>
        <w:rPr>
          <w:rFonts w:hint="eastAsia" w:ascii="宋体" w:hAnsi="Calibri" w:cs="宋体"/>
          <w:kern w:val="0"/>
          <w:lang w:val="zh-CN"/>
        </w:rPr>
      </w:pPr>
      <w:r>
        <w:rPr>
          <w:rFonts w:hint="eastAsia" w:ascii="宋体" w:hAnsi="Calibri" w:cs="宋体"/>
          <w:kern w:val="0"/>
          <w:lang w:val="zh-CN"/>
        </w:rPr>
        <w:t xml:space="preserve">按《成交通知书》标明的中标价格成交，根据上述政府采购合同文件要求，本政府采购合同的总金额为人民币 </w:t>
      </w:r>
      <w:r>
        <w:rPr>
          <w:rFonts w:hint="eastAsia" w:ascii="宋体" w:hAnsi="Calibri" w:cs="宋体"/>
          <w:kern w:val="0"/>
          <w:highlight w:val="none"/>
          <w:u w:val="single"/>
          <w:lang w:val="zh-CN"/>
        </w:rPr>
        <w:t xml:space="preserve">  </w:t>
      </w:r>
      <w:r>
        <w:rPr>
          <w:rFonts w:hint="eastAsia" w:ascii="宋体" w:hAnsi="Calibri" w:cs="宋体"/>
          <w:kern w:val="0"/>
          <w:highlight w:val="none"/>
          <w:u w:val="single"/>
          <w:lang w:val="en-US" w:eastAsia="zh-CN"/>
        </w:rPr>
        <w:t xml:space="preserve">   </w:t>
      </w:r>
      <w:r>
        <w:rPr>
          <w:rFonts w:hint="eastAsia" w:ascii="宋体" w:hAnsi="Calibri" w:cs="宋体"/>
          <w:kern w:val="0"/>
          <w:highlight w:val="none"/>
          <w:u w:val="none"/>
          <w:lang w:val="en-US" w:eastAsia="zh-CN"/>
        </w:rPr>
        <w:t>元</w:t>
      </w:r>
      <w:r>
        <w:rPr>
          <w:rFonts w:hint="eastAsia" w:ascii="宋体" w:hAnsi="Calibri" w:cs="宋体"/>
          <w:kern w:val="0"/>
          <w:highlight w:val="none"/>
          <w:u w:val="none"/>
          <w:lang w:val="zh-CN"/>
        </w:rPr>
        <w:t xml:space="preserve"> </w:t>
      </w:r>
      <w:r>
        <w:rPr>
          <w:rFonts w:hint="eastAsia" w:ascii="宋体" w:hAnsi="Calibri" w:cs="宋体"/>
          <w:kern w:val="0"/>
          <w:lang w:val="zh-CN"/>
        </w:rPr>
        <w:t>（大写）</w:t>
      </w:r>
      <w:r>
        <w:rPr>
          <w:rFonts w:hint="eastAsia" w:ascii="宋体" w:hAnsi="Calibri" w:cs="宋体"/>
          <w:kern w:val="0"/>
          <w:highlight w:val="none"/>
          <w:u w:val="single"/>
          <w:lang w:val="zh-CN"/>
        </w:rPr>
        <w:t xml:space="preserve">          </w:t>
      </w:r>
      <w:r>
        <w:rPr>
          <w:rFonts w:hint="eastAsia" w:ascii="宋体" w:hAnsi="Calibri" w:cs="宋体"/>
          <w:kern w:val="0"/>
          <w:lang w:val="zh-CN"/>
        </w:rPr>
        <w:t xml:space="preserve"> 元。</w:t>
      </w:r>
    </w:p>
    <w:p w14:paraId="54AE30C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ascii="Calibri" w:hAnsi="Calibri" w:cs="Calibri"/>
          <w:kern w:val="0"/>
        </w:rPr>
      </w:pPr>
      <w:r>
        <w:rPr>
          <w:rFonts w:hint="eastAsia" w:ascii="宋体" w:hAnsi="Calibri" w:cs="宋体"/>
          <w:kern w:val="0"/>
          <w:lang w:val="zh-CN"/>
        </w:rPr>
        <w:t>2、本合同以人民币进行结算，合同总价包括：服务费、保险费、税金及不可预见费用等全部费用。三、交付时间、地点和要求</w:t>
      </w:r>
    </w:p>
    <w:p w14:paraId="34AF37F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lang w:val="zh-CN"/>
        </w:rPr>
        <w:t>三、交付时间、地点和要求</w:t>
      </w:r>
    </w:p>
    <w:p w14:paraId="39C1F18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eastAsia="宋体" w:cs="宋体"/>
          <w:highlight w:val="none"/>
          <w:lang w:val="zh-CN"/>
        </w:rPr>
        <w:t>1.服务时间（期限）：</w:t>
      </w:r>
      <w:r>
        <w:rPr>
          <w:rFonts w:hint="eastAsia" w:ascii="宋体" w:hAnsi="宋体" w:cs="宋体"/>
          <w:highlight w:val="none"/>
          <w:lang w:val="en-US" w:eastAsia="zh-CN"/>
        </w:rPr>
        <w:t>自验收之日起</w:t>
      </w:r>
      <w:r>
        <w:rPr>
          <w:rFonts w:hint="eastAsia" w:ascii="宋体" w:hAnsi="宋体" w:eastAsia="宋体" w:cs="宋体"/>
          <w:highlight w:val="none"/>
          <w:lang w:val="zh-CN"/>
        </w:rPr>
        <w:t xml:space="preserve"> </w:t>
      </w:r>
      <w:r>
        <w:rPr>
          <w:rFonts w:hint="eastAsia" w:ascii="宋体" w:hAnsi="宋体" w:cs="宋体"/>
          <w:highlight w:val="none"/>
          <w:u w:val="single"/>
          <w:lang w:val="en-US" w:eastAsia="zh-CN"/>
        </w:rPr>
        <w:t>1年</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；服务（服务）地点：</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 xml:space="preserve">                。</w:t>
      </w:r>
    </w:p>
    <w:p w14:paraId="61D3569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eastAsia="宋体" w:cs="宋体"/>
          <w:highlight w:val="none"/>
          <w:lang w:val="zh-CN"/>
        </w:rPr>
        <w:t>2.乙方提供不符合招投标文件和本合同规定的服务或产品，甲方有权拒绝接受。</w:t>
      </w:r>
    </w:p>
    <w:p w14:paraId="76A7A73F">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eastAsia="宋体" w:cs="宋体"/>
          <w:highlight w:val="none"/>
          <w:lang w:val="zh-CN"/>
        </w:rPr>
        <w:t>3.乙方应将提供产品的装箱清单、用户手册、原厂保修卡、随机资料、工具和备品、备件等交付给甲方，如有缺失应及时补齐，否则视为逾期服务。</w:t>
      </w:r>
    </w:p>
    <w:p w14:paraId="6BB26F5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eastAsia="宋体" w:cs="宋体"/>
          <w:highlight w:val="none"/>
          <w:lang w:val="zh-CN"/>
        </w:rPr>
        <w:t>4.甲方应当在到货（安装、调试完）内容完后</w:t>
      </w:r>
      <w:r>
        <w:rPr>
          <w:rFonts w:hint="eastAsia" w:ascii="宋体" w:hAnsi="宋体" w:eastAsia="宋体" w:cs="宋体"/>
          <w:highlight w:val="none"/>
          <w:u w:val="single"/>
        </w:rPr>
        <w:t xml:space="preserve">    </w:t>
      </w:r>
      <w:r>
        <w:rPr>
          <w:rFonts w:hint="eastAsia" w:ascii="宋体" w:hAnsi="宋体" w:eastAsia="宋体" w:cs="宋体"/>
          <w:highlight w:val="none"/>
          <w:lang w:val="zh-CN"/>
        </w:rPr>
        <w:t>个工作日内进行验收，逾期不验收的，乙方可视为验收合格。验收合格后，由甲乙双方签署产品验收单并加盖采购人公章，甲乙双方各执一份。</w:t>
      </w:r>
    </w:p>
    <w:p w14:paraId="6CB9831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eastAsia="宋体" w:cs="宋体"/>
          <w:highlight w:val="none"/>
          <w:lang w:val="zh-CN"/>
        </w:rPr>
        <w:t>5. 甲方应提供该项目验收报告同级财政监管部门，由财政部门按规定程序抽验后办理资金拨付。</w:t>
      </w:r>
    </w:p>
    <w:p w14:paraId="22CA13D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eastAsia="宋体" w:cs="宋体"/>
          <w:highlight w:val="none"/>
          <w:lang w:val="zh-CN"/>
        </w:rPr>
        <w:t>6. 甲方在验收过程中发现乙方有违约问题，可按招、投标报价文件的规定要求乙方及时予以解决。</w:t>
      </w:r>
    </w:p>
    <w:p w14:paraId="144A894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eastAsia="宋体" w:cs="宋体"/>
          <w:highlight w:val="none"/>
          <w:lang w:val="zh-CN"/>
        </w:rPr>
        <w:t>7.乙方向甲方提供产品相关完税销售发票。</w:t>
      </w:r>
    </w:p>
    <w:p w14:paraId="08878099">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四、付款方式</w:t>
      </w:r>
    </w:p>
    <w:p w14:paraId="4D596FC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自合同签订之日起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zh-CN"/>
        </w:rPr>
        <w:t>个工作日内，甲方按合同金额向乙方支付合同总价款的30%，即人民币</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元（大写）：</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元，作为项目预付款；乙方所交付的产品由甲方验收，验收合格后按合同金额向乙方支付合同总价款的</w:t>
      </w:r>
      <w:r>
        <w:rPr>
          <w:rFonts w:hint="eastAsia" w:ascii="宋体" w:hAnsi="宋体" w:eastAsia="宋体" w:cs="宋体"/>
          <w:highlight w:val="none"/>
          <w:lang w:val="en-US" w:eastAsia="zh-CN"/>
        </w:rPr>
        <w:t>7</w:t>
      </w:r>
      <w:r>
        <w:rPr>
          <w:rFonts w:hint="eastAsia" w:ascii="宋体" w:hAnsi="宋体" w:eastAsia="宋体" w:cs="宋体"/>
          <w:highlight w:val="none"/>
          <w:lang w:val="zh-CN"/>
        </w:rPr>
        <w:t>0%（付款方式及金额由采购人根据项目情况确定），即人民币</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元（大写）：</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元</w:t>
      </w:r>
      <w:r>
        <w:rPr>
          <w:rFonts w:hint="eastAsia" w:ascii="宋体" w:hAnsi="宋体" w:eastAsia="宋体" w:cs="宋体"/>
          <w:highlight w:val="none"/>
          <w:lang w:val="zh-CN" w:eastAsia="zh-CN"/>
        </w:rPr>
        <w:t>。</w:t>
      </w:r>
    </w:p>
    <w:p w14:paraId="006D780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lang w:val="zh-CN"/>
        </w:rPr>
      </w:pPr>
      <w:r>
        <w:rPr>
          <w:rFonts w:hint="eastAsia" w:ascii="宋体" w:hAnsi="宋体" w:cs="宋体"/>
          <w:highlight w:val="none"/>
          <w:lang w:val="en-US" w:eastAsia="zh-CN"/>
        </w:rPr>
        <w:t>合同签订后，</w:t>
      </w:r>
      <w:r>
        <w:rPr>
          <w:rFonts w:hint="eastAsia" w:ascii="宋体" w:hAnsi="宋体" w:eastAsia="宋体" w:cs="宋体"/>
          <w:highlight w:val="none"/>
          <w:lang w:val="zh-CN"/>
        </w:rPr>
        <w:t>乙方向甲方提交</w:t>
      </w:r>
      <w:r>
        <w:rPr>
          <w:rFonts w:hint="eastAsia" w:ascii="宋体" w:hAnsi="宋体" w:cs="宋体"/>
          <w:highlight w:val="none"/>
          <w:lang w:val="en-US" w:eastAsia="zh-CN"/>
        </w:rPr>
        <w:t>3%</w:t>
      </w:r>
      <w:r>
        <w:rPr>
          <w:rFonts w:hint="eastAsia" w:ascii="宋体" w:hAnsi="宋体" w:eastAsia="宋体" w:cs="宋体"/>
          <w:highlight w:val="none"/>
          <w:lang w:val="zh-CN"/>
        </w:rPr>
        <w:t>的履约保证金</w:t>
      </w:r>
      <w:r>
        <w:rPr>
          <w:rFonts w:hint="eastAsia" w:ascii="宋体" w:hAnsi="宋体" w:cs="宋体"/>
          <w:highlight w:val="none"/>
          <w:lang w:val="en-US" w:eastAsia="zh-CN"/>
        </w:rPr>
        <w:t>，</w:t>
      </w:r>
      <w:r>
        <w:rPr>
          <w:rFonts w:hint="eastAsia" w:ascii="宋体" w:hAnsi="宋体" w:eastAsia="宋体" w:cs="宋体"/>
          <w:highlight w:val="none"/>
          <w:lang w:val="zh-CN"/>
        </w:rPr>
        <w:t>计人民币</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元（大写）</w:t>
      </w:r>
      <w:r>
        <w:rPr>
          <w:rFonts w:hint="eastAsia" w:ascii="宋体" w:hAnsi="Calibri" w:cs="宋体"/>
          <w:kern w:val="0"/>
          <w:highlight w:val="none"/>
          <w:u w:val="single"/>
          <w:lang w:val="zh-CN"/>
        </w:rPr>
        <w:t xml:space="preserve">   </w:t>
      </w:r>
      <w:r>
        <w:rPr>
          <w:rFonts w:hint="eastAsia" w:ascii="宋体" w:hAnsi="宋体" w:eastAsia="宋体" w:cs="宋体"/>
          <w:highlight w:val="none"/>
          <w:lang w:val="zh-CN"/>
        </w:rPr>
        <w:t>元</w:t>
      </w:r>
      <w:r>
        <w:rPr>
          <w:rFonts w:hint="eastAsia" w:ascii="宋体" w:hAnsi="宋体" w:cs="宋体"/>
          <w:highlight w:val="none"/>
          <w:lang w:val="zh-CN"/>
        </w:rPr>
        <w:t>。验收</w:t>
      </w:r>
      <w:r>
        <w:rPr>
          <w:rFonts w:hint="eastAsia" w:ascii="宋体" w:hAnsi="宋体" w:cs="宋体"/>
          <w:highlight w:val="none"/>
          <w:lang w:val="en-US" w:eastAsia="zh-CN"/>
        </w:rPr>
        <w:t>合格</w:t>
      </w:r>
      <w:r>
        <w:rPr>
          <w:rFonts w:hint="eastAsia" w:ascii="宋体" w:hAnsi="宋体" w:cs="宋体"/>
          <w:highlight w:val="none"/>
          <w:lang w:val="zh-CN"/>
        </w:rPr>
        <w:t>后</w:t>
      </w:r>
      <w:r>
        <w:rPr>
          <w:rFonts w:hint="eastAsia" w:ascii="宋体" w:hAnsi="宋体" w:cs="宋体"/>
          <w:highlight w:val="none"/>
          <w:lang w:val="en-US" w:eastAsia="zh-CN"/>
        </w:rPr>
        <w:t>自动</w:t>
      </w:r>
      <w:r>
        <w:rPr>
          <w:rFonts w:hint="eastAsia" w:ascii="宋体" w:hAnsi="宋体" w:eastAsia="宋体" w:cs="宋体"/>
          <w:highlight w:val="none"/>
          <w:lang w:val="zh-CN"/>
        </w:rPr>
        <w:t>转为质量保证金。质量保证金待约定的免费质保期满</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（年）且产品无质量问题后，由乙方提出书面申请，甲方以转账方式予以退还。</w:t>
      </w:r>
    </w:p>
    <w:p w14:paraId="74C1C02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五、合同的变更、终止与转让</w:t>
      </w:r>
    </w:p>
    <w:p w14:paraId="1959029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cs="宋体"/>
          <w:kern w:val="0"/>
          <w:highlight w:val="none"/>
          <w:lang w:val="zh-CN"/>
        </w:rPr>
      </w:pPr>
      <w:r>
        <w:rPr>
          <w:rFonts w:hint="eastAsia" w:ascii="宋体" w:hAnsi="Calibri" w:cs="宋体"/>
          <w:kern w:val="0"/>
          <w:highlight w:val="none"/>
          <w:lang w:val="zh-CN"/>
        </w:rPr>
        <w:t>1.除《中华人民共和国政府采购法》第五十条规定的情形外，本合同一经签订，甲乙双方不得擅自变更、中止或终止。</w:t>
      </w:r>
    </w:p>
    <w:p w14:paraId="23E208E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cs="宋体"/>
          <w:kern w:val="0"/>
          <w:highlight w:val="none"/>
          <w:lang w:val="zh-CN"/>
        </w:rPr>
      </w:pPr>
      <w:r>
        <w:rPr>
          <w:rFonts w:hint="eastAsia" w:ascii="宋体" w:hAnsi="Calibri" w:cs="宋体"/>
          <w:kern w:val="0"/>
          <w:highlight w:val="none"/>
          <w:lang w:val="zh-CN"/>
        </w:rPr>
        <w:t>2.乙方不得擅自转让其应履行的合同义务。</w:t>
      </w:r>
    </w:p>
    <w:p w14:paraId="20B8D94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cs="宋体"/>
          <w:kern w:val="0"/>
          <w:highlight w:val="none"/>
          <w:lang w:val="zh-CN"/>
        </w:rPr>
      </w:pPr>
      <w:r>
        <w:rPr>
          <w:rFonts w:hint="eastAsia" w:ascii="宋体" w:hAnsi="Calibri" w:cs="宋体"/>
          <w:kern w:val="0"/>
          <w:highlight w:val="none"/>
          <w:lang w:val="zh-CN"/>
        </w:rPr>
        <w:t>六、违约责任：</w:t>
      </w:r>
    </w:p>
    <w:p w14:paraId="050ED2D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eastAsia="宋体" w:cs="宋体"/>
          <w:kern w:val="0"/>
          <w:highlight w:val="none"/>
          <w:lang w:val="zh-CN"/>
        </w:rPr>
      </w:pPr>
      <w:r>
        <w:rPr>
          <w:rFonts w:hint="eastAsia" w:ascii="宋体" w:hAnsi="Calibri" w:eastAsia="宋体" w:cs="宋体"/>
          <w:kern w:val="0"/>
          <w:highlight w:val="none"/>
          <w:lang w:val="zh-CN"/>
        </w:rPr>
        <w:t>1.乙方所提供的服务或产品、技术标准、材料等质量不合格的，应及时更换；更换不及时的，按逾期服务处罚；因质量问题甲方不同意接收的，质保金全额扣除，并由乙方赔偿由此引起的甲方的一切经济损失。</w:t>
      </w:r>
    </w:p>
    <w:p w14:paraId="3E5755D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eastAsia="宋体" w:cs="宋体"/>
          <w:kern w:val="0"/>
          <w:highlight w:val="none"/>
          <w:lang w:val="zh-CN"/>
        </w:rPr>
      </w:pPr>
      <w:r>
        <w:rPr>
          <w:rFonts w:hint="eastAsia" w:ascii="宋体" w:hAnsi="Calibri" w:eastAsia="宋体" w:cs="宋体"/>
          <w:kern w:val="0"/>
          <w:highlight w:val="none"/>
          <w:lang w:val="zh-CN"/>
        </w:rPr>
        <w:t>2.乙方提供的货物如侵犯了第三方权益而引发纠纷或诉讼的，均由乙方负责交涉并承担全部责任。</w:t>
      </w:r>
    </w:p>
    <w:p w14:paraId="7625DE0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eastAsia="宋体" w:cs="宋体"/>
          <w:kern w:val="0"/>
          <w:highlight w:val="none"/>
          <w:lang w:val="zh-CN"/>
        </w:rPr>
      </w:pPr>
      <w:r>
        <w:rPr>
          <w:rFonts w:hint="eastAsia" w:ascii="宋体" w:hAnsi="Calibri" w:eastAsia="宋体" w:cs="宋体"/>
          <w:kern w:val="0"/>
          <w:highlight w:val="none"/>
          <w:lang w:val="zh-CN"/>
        </w:rPr>
        <w:t>3.因包装、运输引起的货物损坏，按质量不合格处罚。</w:t>
      </w:r>
    </w:p>
    <w:p w14:paraId="7158C4D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eastAsia="宋体" w:cs="宋体"/>
          <w:kern w:val="0"/>
          <w:highlight w:val="none"/>
          <w:lang w:val="zh-CN"/>
        </w:rPr>
      </w:pPr>
      <w:r>
        <w:rPr>
          <w:rFonts w:hint="eastAsia" w:ascii="宋体" w:hAnsi="Calibri" w:eastAsia="宋体" w:cs="宋体"/>
          <w:kern w:val="0"/>
          <w:highlight w:val="none"/>
          <w:lang w:val="zh-CN"/>
        </w:rPr>
        <w:t>4.甲方无故延期接受货物和乙方逾期服务的，每天应向对方偿付未服务物的货款3‰的违约金，但违约金累计不得超过违约货款的5%，超过</w:t>
      </w:r>
      <w:r>
        <w:rPr>
          <w:rFonts w:hint="eastAsia" w:ascii="宋体" w:hAnsi="Calibri" w:eastAsia="宋体" w:cs="宋体"/>
          <w:kern w:val="0"/>
          <w:highlight w:val="none"/>
          <w:u w:val="single"/>
          <w:lang w:val="zh-CN"/>
        </w:rPr>
        <w:t xml:space="preserve">    </w:t>
      </w:r>
      <w:r>
        <w:rPr>
          <w:rFonts w:hint="eastAsia" w:ascii="宋体" w:hAnsi="Calibri" w:eastAsia="宋体" w:cs="宋体"/>
          <w:kern w:val="0"/>
          <w:highlight w:val="none"/>
          <w:lang w:val="zh-CN"/>
        </w:rPr>
        <w:t>天对方有权解除合同，违约方承担因此给对方造成的经济损失 。</w:t>
      </w:r>
    </w:p>
    <w:p w14:paraId="2D1631D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eastAsia="宋体" w:cs="宋体"/>
          <w:kern w:val="0"/>
          <w:highlight w:val="none"/>
          <w:lang w:val="zh-CN"/>
        </w:rPr>
      </w:pPr>
      <w:r>
        <w:rPr>
          <w:rFonts w:hint="eastAsia" w:ascii="宋体" w:hAnsi="Calibri" w:eastAsia="宋体" w:cs="宋体"/>
          <w:kern w:val="0"/>
          <w:highlight w:val="none"/>
          <w:lang w:val="zh-CN"/>
        </w:rPr>
        <w:t>5.乙方未按本合同和投标文件中规定的服务承诺提供售后服务的，乙方应按本合同合计金额的5%向甲方支付违约金。</w:t>
      </w:r>
    </w:p>
    <w:p w14:paraId="24CF632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eastAsia="宋体" w:cs="宋体"/>
          <w:kern w:val="0"/>
          <w:highlight w:val="none"/>
          <w:lang w:val="zh-CN"/>
        </w:rPr>
      </w:pPr>
      <w:r>
        <w:rPr>
          <w:rFonts w:hint="eastAsia" w:ascii="宋体" w:hAnsi="Calibri" w:eastAsia="宋体" w:cs="宋体"/>
          <w:kern w:val="0"/>
          <w:highlight w:val="none"/>
          <w:lang w:val="zh-CN"/>
        </w:rPr>
        <w:t>6.乙方提供的货物在质量保证期内，因设计、工艺或材料的缺陷和其他质量原因造成的问题，由乙方负责，费用从履约保证金中扣除，不足另补。</w:t>
      </w:r>
    </w:p>
    <w:p w14:paraId="2296015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eastAsia="宋体" w:cs="宋体"/>
          <w:kern w:val="0"/>
          <w:highlight w:val="none"/>
          <w:lang w:val="zh-CN"/>
        </w:rPr>
      </w:pPr>
      <w:r>
        <w:rPr>
          <w:rFonts w:hint="eastAsia" w:ascii="宋体" w:hAnsi="Calibri" w:eastAsia="宋体" w:cs="宋体"/>
          <w:kern w:val="0"/>
          <w:highlight w:val="none"/>
          <w:lang w:val="zh-CN"/>
        </w:rPr>
        <w:t>7.</w:t>
      </w:r>
      <w:r>
        <w:rPr>
          <w:rFonts w:hint="eastAsia" w:ascii="宋体" w:hAnsi="Calibri" w:eastAsia="宋体" w:cs="宋体"/>
          <w:kern w:val="0"/>
          <w:highlight w:val="none"/>
          <w:lang w:val="zh-CN" w:eastAsia="zh-CN"/>
        </w:rPr>
        <w:t>其他</w:t>
      </w:r>
      <w:r>
        <w:rPr>
          <w:rFonts w:hint="eastAsia" w:ascii="宋体" w:hAnsi="Calibri" w:eastAsia="宋体" w:cs="宋体"/>
          <w:kern w:val="0"/>
          <w:highlight w:val="none"/>
          <w:lang w:val="zh-CN"/>
        </w:rPr>
        <w:t>违约行为按违约货款额5%收取违约金并赔偿经济损失。</w:t>
      </w:r>
    </w:p>
    <w:p w14:paraId="41E4CD1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七、不可抗力：</w:t>
      </w:r>
    </w:p>
    <w:p w14:paraId="0746E11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1.</w:t>
      </w:r>
      <w:r>
        <w:rPr>
          <w:rFonts w:hint="eastAsia" w:ascii="宋体" w:hAnsi="Calibri" w:cs="宋体"/>
          <w:kern w:val="0"/>
          <w:highlight w:val="none"/>
          <w:lang w:val="zh-CN"/>
        </w:rPr>
        <w:t>不可抗力使合同的某些内容有变更必要的，双方应通过协商在</w:t>
      </w:r>
      <w:r>
        <w:rPr>
          <w:rFonts w:ascii="Calibri" w:hAnsi="Calibri" w:cs="Calibri"/>
          <w:kern w:val="0"/>
          <w:highlight w:val="none"/>
          <w:u w:val="single"/>
        </w:rPr>
        <w:t xml:space="preserve">   </w:t>
      </w:r>
      <w:r>
        <w:rPr>
          <w:rFonts w:hint="eastAsia" w:ascii="宋体" w:hAnsi="Calibri" w:cs="宋体"/>
          <w:kern w:val="0"/>
          <w:highlight w:val="none"/>
          <w:lang w:val="zh-CN"/>
        </w:rPr>
        <w:t>天内达成进一步履行合同的协议，因不可抗力致使合同不能履行的，合同终止。</w:t>
      </w:r>
    </w:p>
    <w:p w14:paraId="2DFE036F">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2.</w:t>
      </w:r>
      <w:r>
        <w:rPr>
          <w:rFonts w:hint="eastAsia" w:ascii="宋体" w:hAnsi="Calibri" w:cs="宋体"/>
          <w:kern w:val="0"/>
          <w:highlight w:val="none"/>
          <w:lang w:val="zh-CN"/>
        </w:rPr>
        <w:t>除法律、法规规定的不可抗力情形外，双方约定出现</w:t>
      </w:r>
      <w:r>
        <w:rPr>
          <w:rFonts w:ascii="Calibri" w:hAnsi="Calibri" w:cs="Calibri"/>
          <w:kern w:val="0"/>
          <w:highlight w:val="none"/>
          <w:u w:val="single"/>
        </w:rPr>
        <w:t xml:space="preserve">         </w:t>
      </w:r>
      <w:r>
        <w:rPr>
          <w:rFonts w:hint="eastAsia" w:ascii="宋体" w:hAnsi="Calibri" w:cs="宋体"/>
          <w:kern w:val="0"/>
          <w:highlight w:val="none"/>
          <w:lang w:val="zh-CN"/>
        </w:rPr>
        <w:t>情况亦视为不可抗力。</w:t>
      </w:r>
    </w:p>
    <w:p w14:paraId="0603112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八、知识产权：</w:t>
      </w:r>
    </w:p>
    <w:p w14:paraId="7744F94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九、其他约定：</w:t>
      </w:r>
    </w:p>
    <w:p w14:paraId="6454013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十、合同争议解决</w:t>
      </w:r>
    </w:p>
    <w:p w14:paraId="2D719F7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01D3C58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14:paraId="40A7A08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50223C9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52020AA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0ABFBBF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Calibri" w:cs="宋体"/>
          <w:kern w:val="0"/>
          <w:lang w:val="zh-CN"/>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3AC44D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p>
    <w:p w14:paraId="40E8C74A">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甲方（盖章）：</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乙方（盖章）：</w:t>
      </w:r>
    </w:p>
    <w:p w14:paraId="7B7C6FD6">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w:t>
      </w:r>
    </w:p>
    <w:p w14:paraId="433E8D13">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开户银行：</w:t>
      </w:r>
    </w:p>
    <w:p w14:paraId="1A086057">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账号：</w:t>
      </w:r>
    </w:p>
    <w:p w14:paraId="333CCC1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地址：</w:t>
      </w:r>
    </w:p>
    <w:p w14:paraId="3B8E1E96">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联系电话：</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w:t>
      </w:r>
    </w:p>
    <w:p w14:paraId="020D512E">
      <w:pPr>
        <w:autoSpaceDE w:val="0"/>
        <w:autoSpaceDN w:val="0"/>
        <w:adjustRightInd w:val="0"/>
        <w:spacing w:line="400" w:lineRule="exact"/>
        <w:jc w:val="both"/>
        <w:rPr>
          <w:rFonts w:hint="eastAsia" w:ascii="宋体" w:hAnsi="宋体" w:eastAsia="宋体" w:cs="宋体"/>
          <w:kern w:val="0"/>
          <w:sz w:val="24"/>
          <w:lang w:val="zh-CN"/>
        </w:rPr>
      </w:pPr>
    </w:p>
    <w:p w14:paraId="2329ACA4">
      <w:pPr>
        <w:autoSpaceDE w:val="0"/>
        <w:autoSpaceDN w:val="0"/>
        <w:adjustRightInd w:val="0"/>
        <w:spacing w:line="400" w:lineRule="exact"/>
        <w:jc w:val="both"/>
        <w:rPr>
          <w:rFonts w:hint="eastAsia" w:ascii="宋体" w:hAnsi="宋体" w:eastAsia="宋体" w:cs="宋体"/>
          <w:color w:val="000000"/>
          <w:kern w:val="0"/>
          <w:lang w:val="zh-CN"/>
        </w:rPr>
      </w:pPr>
      <w:r>
        <w:rPr>
          <w:rFonts w:hint="eastAsia" w:ascii="宋体" w:hAnsi="宋体" w:eastAsia="宋体" w:cs="宋体"/>
          <w:kern w:val="0"/>
          <w:sz w:val="24"/>
          <w:lang w:val="zh-CN"/>
        </w:rPr>
        <w:t>           </w:t>
      </w:r>
    </w:p>
    <w:p w14:paraId="4201C4F8">
      <w:pPr>
        <w:autoSpaceDE w:val="0"/>
        <w:autoSpaceDN w:val="0"/>
        <w:spacing w:line="360" w:lineRule="auto"/>
        <w:ind w:firstLine="2160" w:firstLineChars="900"/>
        <w:rPr>
          <w:rFonts w:hint="eastAsia" w:ascii="宋体" w:hAnsi="宋体" w:eastAsia="宋体" w:cs="宋体"/>
          <w:color w:val="000000"/>
          <w:kern w:val="0"/>
          <w:lang w:val="zh-CN"/>
        </w:rPr>
      </w:pPr>
      <w:r>
        <w:rPr>
          <w:rFonts w:hint="eastAsia" w:ascii="宋体" w:hAnsi="宋体" w:eastAsia="宋体" w:cs="宋体"/>
          <w:color w:val="000000"/>
          <w:kern w:val="0"/>
          <w:lang w:val="zh-CN"/>
        </w:rPr>
        <w:t>签约时间：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日</w:t>
      </w:r>
    </w:p>
    <w:p w14:paraId="469885EA">
      <w:pPr>
        <w:autoSpaceDE w:val="0"/>
        <w:autoSpaceDN w:val="0"/>
        <w:spacing w:line="360" w:lineRule="auto"/>
        <w:rPr>
          <w:rFonts w:hint="eastAsia" w:ascii="宋体" w:hAnsi="宋体" w:eastAsia="宋体" w:cs="宋体"/>
          <w:color w:val="000000"/>
          <w:kern w:val="0"/>
          <w:lang w:val="zh-CN"/>
        </w:rPr>
      </w:pPr>
    </w:p>
    <w:p w14:paraId="5F5B14CD">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采购代理机构：</w:t>
      </w:r>
    </w:p>
    <w:p w14:paraId="17024FA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负责人或经办人：</w:t>
      </w:r>
    </w:p>
    <w:p w14:paraId="38BAA697">
      <w:pPr>
        <w:autoSpaceDE w:val="0"/>
        <w:autoSpaceDN w:val="0"/>
        <w:spacing w:line="360" w:lineRule="auto"/>
        <w:rPr>
          <w:rFonts w:ascii="宋体" w:hAnsi="宋体" w:cs="宋体"/>
          <w:color w:val="FF0000"/>
          <w:kern w:val="0"/>
          <w:lang w:val="zh-CN"/>
        </w:rPr>
      </w:pP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lang w:val="zh-CN"/>
        </w:rPr>
        <w:t>时间：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日</w:t>
      </w:r>
      <w:r>
        <w:rPr>
          <w:rFonts w:hint="eastAsia" w:ascii="宋体" w:hAnsi="宋体" w:eastAsia="宋体" w:cs="宋体"/>
          <w:b/>
          <w:bCs/>
          <w:color w:val="000000"/>
          <w:kern w:val="0"/>
          <w:sz w:val="28"/>
          <w:szCs w:val="28"/>
          <w:lang w:val="zh-CN"/>
        </w:rPr>
        <w:br w:type="page"/>
      </w:r>
    </w:p>
    <w:p w14:paraId="1DCC9D86">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t>合同通用条款</w:t>
      </w:r>
    </w:p>
    <w:p w14:paraId="0344E02E">
      <w:pPr>
        <w:autoSpaceDE w:val="0"/>
        <w:autoSpaceDN w:val="0"/>
        <w:spacing w:line="480" w:lineRule="auto"/>
        <w:ind w:firstLine="480"/>
        <w:rPr>
          <w:rFonts w:ascii="宋体" w:hAnsi="宋体" w:cs="宋体"/>
          <w:kern w:val="0"/>
        </w:rPr>
      </w:pPr>
      <w:r>
        <w:rPr>
          <w:rFonts w:hint="eastAsia" w:ascii="宋体" w:hAnsi="宋体" w:cs="宋体"/>
          <w:kern w:val="0"/>
          <w:lang w:val="zh-CN"/>
        </w:rPr>
        <w:t>根据《中华人民共和国民法典》、《中华人民共和国政府采购法》的规定，合同双方经协商达成一致，自愿订立本合同，遵循公平原则明确双方的权利、义务，确保双方诚实守信地履行合同。</w:t>
      </w:r>
    </w:p>
    <w:p w14:paraId="7DDEFF27">
      <w:pPr>
        <w:autoSpaceDE w:val="0"/>
        <w:autoSpaceDN w:val="0"/>
        <w:spacing w:line="48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14:paraId="09D4381C">
      <w:pPr>
        <w:autoSpaceDE w:val="0"/>
        <w:autoSpaceDN w:val="0"/>
        <w:spacing w:line="480" w:lineRule="auto"/>
        <w:ind w:firstLine="480"/>
        <w:rPr>
          <w:rFonts w:ascii="宋体" w:hAnsi="宋体" w:cs="宋体"/>
          <w:kern w:val="0"/>
        </w:rPr>
      </w:pPr>
      <w:r>
        <w:rPr>
          <w:rFonts w:hint="eastAsia" w:ascii="宋体" w:hAnsi="宋体" w:cs="宋体"/>
          <w:kern w:val="0"/>
          <w:lang w:val="zh-CN"/>
        </w:rPr>
        <w:t>本合同中的下列术语应解释为：</w:t>
      </w:r>
    </w:p>
    <w:p w14:paraId="2DA73BAE">
      <w:pPr>
        <w:autoSpaceDE w:val="0"/>
        <w:autoSpaceDN w:val="0"/>
        <w:spacing w:line="48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14:paraId="5F7E887E">
      <w:pPr>
        <w:autoSpaceDE w:val="0"/>
        <w:autoSpaceDN w:val="0"/>
        <w:spacing w:line="48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14:paraId="07289827">
      <w:pPr>
        <w:autoSpaceDE w:val="0"/>
        <w:autoSpaceDN w:val="0"/>
        <w:spacing w:line="48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14:paraId="783F9F09">
      <w:pPr>
        <w:autoSpaceDE w:val="0"/>
        <w:autoSpaceDN w:val="0"/>
        <w:spacing w:line="48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14:paraId="2DA95DC0">
      <w:pPr>
        <w:autoSpaceDE w:val="0"/>
        <w:autoSpaceDN w:val="0"/>
        <w:spacing w:line="48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14:paraId="26B980A4">
      <w:pPr>
        <w:autoSpaceDE w:val="0"/>
        <w:autoSpaceDN w:val="0"/>
        <w:spacing w:line="48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14:paraId="50E5213F">
      <w:pPr>
        <w:autoSpaceDE w:val="0"/>
        <w:autoSpaceDN w:val="0"/>
        <w:spacing w:line="48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14:paraId="3111796F">
      <w:pPr>
        <w:autoSpaceDE w:val="0"/>
        <w:autoSpaceDN w:val="0"/>
        <w:spacing w:line="48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14:paraId="007CED28">
      <w:pPr>
        <w:autoSpaceDE w:val="0"/>
        <w:autoSpaceDN w:val="0"/>
        <w:spacing w:line="48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14:paraId="2641193C">
      <w:pPr>
        <w:autoSpaceDE w:val="0"/>
        <w:autoSpaceDN w:val="0"/>
        <w:spacing w:line="48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14:paraId="6A0DD1C5">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14:paraId="2CE6BD8D">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14:paraId="41BBEF0E">
      <w:pPr>
        <w:autoSpaceDE w:val="0"/>
        <w:autoSpaceDN w:val="0"/>
        <w:spacing w:line="48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14:paraId="43DFA65F">
      <w:pPr>
        <w:autoSpaceDE w:val="0"/>
        <w:autoSpaceDN w:val="0"/>
        <w:spacing w:line="48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33B39661">
      <w:pPr>
        <w:autoSpaceDE w:val="0"/>
        <w:autoSpaceDN w:val="0"/>
        <w:spacing w:line="48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14:paraId="075F10A0">
      <w:pPr>
        <w:autoSpaceDE w:val="0"/>
        <w:autoSpaceDN w:val="0"/>
        <w:spacing w:line="48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14:paraId="0C83E017">
      <w:pPr>
        <w:autoSpaceDE w:val="0"/>
        <w:autoSpaceDN w:val="0"/>
        <w:spacing w:line="48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14:paraId="16EC7344">
      <w:pPr>
        <w:autoSpaceDE w:val="0"/>
        <w:autoSpaceDN w:val="0"/>
        <w:spacing w:line="48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153304A">
      <w:pPr>
        <w:autoSpaceDE w:val="0"/>
        <w:autoSpaceDN w:val="0"/>
        <w:spacing w:line="48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14:paraId="257324F2">
      <w:pPr>
        <w:autoSpaceDE w:val="0"/>
        <w:autoSpaceDN w:val="0"/>
        <w:spacing w:line="48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0F4F94A">
      <w:pPr>
        <w:autoSpaceDE w:val="0"/>
        <w:autoSpaceDN w:val="0"/>
        <w:spacing w:line="48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14:paraId="7849C930">
      <w:pPr>
        <w:autoSpaceDE w:val="0"/>
        <w:autoSpaceDN w:val="0"/>
        <w:spacing w:line="48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14:paraId="5ABF086A">
      <w:pPr>
        <w:autoSpaceDE w:val="0"/>
        <w:autoSpaceDN w:val="0"/>
        <w:spacing w:line="48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40B089">
      <w:pPr>
        <w:autoSpaceDE w:val="0"/>
        <w:autoSpaceDN w:val="0"/>
        <w:spacing w:line="48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14:paraId="1B4CA2EA">
      <w:pPr>
        <w:autoSpaceDE w:val="0"/>
        <w:autoSpaceDN w:val="0"/>
        <w:spacing w:line="48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14:paraId="3D8EBBE5">
      <w:pPr>
        <w:autoSpaceDE w:val="0"/>
        <w:autoSpaceDN w:val="0"/>
        <w:spacing w:line="48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14:paraId="13ED8347">
      <w:pPr>
        <w:autoSpaceDE w:val="0"/>
        <w:autoSpaceDN w:val="0"/>
        <w:spacing w:line="48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DC68D05">
      <w:pPr>
        <w:autoSpaceDE w:val="0"/>
        <w:autoSpaceDN w:val="0"/>
        <w:spacing w:line="48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14:paraId="0F87F055">
      <w:pPr>
        <w:autoSpaceDE w:val="0"/>
        <w:autoSpaceDN w:val="0"/>
        <w:spacing w:line="48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乙方承诺并保证甲方除本协议的付款义务外无需支付任何其它的许可使用费，以非独家的、永久的、全球的、不可撤销的方式使用本合同条款下软件产品。</w:t>
      </w:r>
    </w:p>
    <w:p w14:paraId="26036162">
      <w:pPr>
        <w:autoSpaceDE w:val="0"/>
        <w:autoSpaceDN w:val="0"/>
        <w:spacing w:line="48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14:paraId="139B2AA2">
      <w:pPr>
        <w:autoSpaceDE w:val="0"/>
        <w:autoSpaceDN w:val="0"/>
        <w:spacing w:line="48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4F8D2A9">
      <w:pPr>
        <w:autoSpaceDE w:val="0"/>
        <w:autoSpaceDN w:val="0"/>
        <w:spacing w:line="48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14:paraId="46E5D889">
      <w:pPr>
        <w:autoSpaceDE w:val="0"/>
        <w:autoSpaceDN w:val="0"/>
        <w:spacing w:line="48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14:paraId="3EE4351C">
      <w:pPr>
        <w:autoSpaceDE w:val="0"/>
        <w:autoSpaceDN w:val="0"/>
        <w:spacing w:line="48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14:paraId="3ADBA340">
      <w:pPr>
        <w:autoSpaceDE w:val="0"/>
        <w:autoSpaceDN w:val="0"/>
        <w:spacing w:line="48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14:paraId="48FFE509">
      <w:pPr>
        <w:autoSpaceDE w:val="0"/>
        <w:autoSpaceDN w:val="0"/>
        <w:spacing w:line="48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14:paraId="6B51BABE">
      <w:pPr>
        <w:autoSpaceDE w:val="0"/>
        <w:autoSpaceDN w:val="0"/>
        <w:spacing w:line="48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14:paraId="5C85136B">
      <w:pPr>
        <w:autoSpaceDE w:val="0"/>
        <w:autoSpaceDN w:val="0"/>
        <w:spacing w:line="48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14:paraId="51A381FB">
      <w:pPr>
        <w:autoSpaceDE w:val="0"/>
        <w:autoSpaceDN w:val="0"/>
        <w:spacing w:line="48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14:paraId="6ADC62B6">
      <w:pPr>
        <w:autoSpaceDE w:val="0"/>
        <w:autoSpaceDN w:val="0"/>
        <w:spacing w:line="48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E7C9E8B">
      <w:pPr>
        <w:autoSpaceDE w:val="0"/>
        <w:autoSpaceDN w:val="0"/>
        <w:spacing w:line="48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63F22B">
      <w:pPr>
        <w:autoSpaceDE w:val="0"/>
        <w:autoSpaceDN w:val="0"/>
        <w:spacing w:line="48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8FA8009">
      <w:pPr>
        <w:autoSpaceDE w:val="0"/>
        <w:autoSpaceDN w:val="0"/>
        <w:spacing w:line="48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14:paraId="2E22B8E1">
      <w:pPr>
        <w:autoSpaceDE w:val="0"/>
        <w:autoSpaceDN w:val="0"/>
        <w:spacing w:line="48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14:paraId="49BC35B5">
      <w:pPr>
        <w:autoSpaceDE w:val="0"/>
        <w:autoSpaceDN w:val="0"/>
        <w:spacing w:line="48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不得出现因货物停售、转产而无法提供上述支持服务。</w:t>
      </w:r>
    </w:p>
    <w:p w14:paraId="498B40A8">
      <w:pPr>
        <w:autoSpaceDE w:val="0"/>
        <w:autoSpaceDN w:val="0"/>
        <w:spacing w:line="48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0F1CD896">
      <w:pPr>
        <w:autoSpaceDE w:val="0"/>
        <w:autoSpaceDN w:val="0"/>
        <w:spacing w:line="48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14:paraId="434DC171">
      <w:pPr>
        <w:autoSpaceDE w:val="0"/>
        <w:autoSpaceDN w:val="0"/>
        <w:spacing w:line="48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14:paraId="4E23D9F2">
      <w:pPr>
        <w:autoSpaceDE w:val="0"/>
        <w:autoSpaceDN w:val="0"/>
        <w:spacing w:line="48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48CE6F41">
      <w:pPr>
        <w:autoSpaceDE w:val="0"/>
        <w:autoSpaceDN w:val="0"/>
        <w:spacing w:line="48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14:paraId="0DD9A68C">
      <w:pPr>
        <w:autoSpaceDE w:val="0"/>
        <w:autoSpaceDN w:val="0"/>
        <w:spacing w:line="48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14:paraId="2FE1722B">
      <w:pPr>
        <w:autoSpaceDE w:val="0"/>
        <w:autoSpaceDN w:val="0"/>
        <w:spacing w:line="48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14:paraId="40C49724">
      <w:pPr>
        <w:autoSpaceDE w:val="0"/>
        <w:autoSpaceDN w:val="0"/>
        <w:spacing w:line="48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14:paraId="1BF41877">
      <w:pPr>
        <w:autoSpaceDE w:val="0"/>
        <w:autoSpaceDN w:val="0"/>
        <w:spacing w:line="48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w:t>
      </w:r>
      <w:r>
        <w:rPr>
          <w:rFonts w:hint="eastAsia" w:ascii="宋体" w:hAnsi="宋体" w:eastAsia="宋体" w:cs="宋体"/>
          <w:lang w:val="en-US" w:eastAsia="zh-CN"/>
        </w:rPr>
        <w:t>招标文件内提出的全部服务内容，含服务价格及与之配套的软件测评、保险、第三方软件测试费、税费以及安装、调试、组织验收、培训等全部价款。</w:t>
      </w:r>
    </w:p>
    <w:p w14:paraId="5B7648E5">
      <w:pPr>
        <w:autoSpaceDE w:val="0"/>
        <w:autoSpaceDN w:val="0"/>
        <w:spacing w:line="48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14:paraId="22D92F07">
      <w:pPr>
        <w:autoSpaceDE w:val="0"/>
        <w:autoSpaceDN w:val="0"/>
        <w:spacing w:line="48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14:paraId="08B91B14">
      <w:pPr>
        <w:autoSpaceDE w:val="0"/>
        <w:autoSpaceDN w:val="0"/>
        <w:spacing w:line="48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14:paraId="5904182C">
      <w:pPr>
        <w:autoSpaceDE w:val="0"/>
        <w:autoSpaceDN w:val="0"/>
        <w:spacing w:line="48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14:paraId="6321F68D">
      <w:pPr>
        <w:autoSpaceDE w:val="0"/>
        <w:autoSpaceDN w:val="0"/>
        <w:spacing w:line="48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14:paraId="6F6ACCCC">
      <w:pPr>
        <w:autoSpaceDE w:val="0"/>
        <w:autoSpaceDN w:val="0"/>
        <w:spacing w:line="48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14:paraId="4E36104A">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14:paraId="529C5D77">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14:paraId="6EBD9110">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14:paraId="57611C90">
      <w:pPr>
        <w:autoSpaceDE w:val="0"/>
        <w:autoSpaceDN w:val="0"/>
        <w:spacing w:line="480" w:lineRule="auto"/>
        <w:rPr>
          <w:rFonts w:ascii="宋体" w:hAnsi="宋体" w:cs="宋体"/>
          <w:kern w:val="0"/>
          <w:lang w:val="zh-CN"/>
        </w:rPr>
      </w:pPr>
      <w:r>
        <w:rPr>
          <w:rFonts w:hint="eastAsia" w:ascii="宋体" w:hAnsi="宋体" w:cs="宋体"/>
          <w:b/>
          <w:bCs/>
          <w:kern w:val="0"/>
          <w:lang w:val="zh-CN"/>
        </w:rPr>
        <w:t>11.检验和验收</w:t>
      </w:r>
    </w:p>
    <w:p w14:paraId="6C89B60A">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14:paraId="260C6957">
      <w:pPr>
        <w:autoSpaceDE w:val="0"/>
        <w:autoSpaceDN w:val="0"/>
        <w:spacing w:line="48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14:paraId="28AEFCF4">
      <w:pPr>
        <w:autoSpaceDE w:val="0"/>
        <w:autoSpaceDN w:val="0"/>
        <w:spacing w:line="48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4208496">
      <w:pPr>
        <w:autoSpaceDE w:val="0"/>
        <w:autoSpaceDN w:val="0"/>
        <w:spacing w:line="48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49D0489D">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14:paraId="7B9FD86B">
      <w:pPr>
        <w:autoSpaceDE w:val="0"/>
        <w:autoSpaceDN w:val="0"/>
        <w:spacing w:line="48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590FF1EA">
      <w:pPr>
        <w:autoSpaceDE w:val="0"/>
        <w:autoSpaceDN w:val="0"/>
        <w:spacing w:line="48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14:paraId="649A13EF">
      <w:pPr>
        <w:autoSpaceDE w:val="0"/>
        <w:autoSpaceDN w:val="0"/>
        <w:spacing w:line="48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14:paraId="49AF250D">
      <w:pPr>
        <w:autoSpaceDE w:val="0"/>
        <w:autoSpaceDN w:val="0"/>
        <w:spacing w:line="48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14:paraId="7AE13413">
      <w:pPr>
        <w:autoSpaceDE w:val="0"/>
        <w:autoSpaceDN w:val="0"/>
        <w:spacing w:line="48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14:paraId="597CAD20">
      <w:pPr>
        <w:autoSpaceDE w:val="0"/>
        <w:autoSpaceDN w:val="0"/>
        <w:spacing w:line="48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14:paraId="5FB0436A">
      <w:pPr>
        <w:autoSpaceDE w:val="0"/>
        <w:autoSpaceDN w:val="0"/>
        <w:spacing w:line="48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14:paraId="158D7CB4">
      <w:pPr>
        <w:autoSpaceDE w:val="0"/>
        <w:autoSpaceDN w:val="0"/>
        <w:spacing w:line="48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14:paraId="5815E1FD">
      <w:pPr>
        <w:autoSpaceDE w:val="0"/>
        <w:autoSpaceDN w:val="0"/>
        <w:spacing w:line="48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E49F79D">
      <w:pPr>
        <w:autoSpaceDE w:val="0"/>
        <w:autoSpaceDN w:val="0"/>
        <w:spacing w:line="48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14:paraId="1421B824">
      <w:pPr>
        <w:autoSpaceDE w:val="0"/>
        <w:autoSpaceDN w:val="0"/>
        <w:spacing w:line="48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14:paraId="35D1CC52">
      <w:pPr>
        <w:autoSpaceDE w:val="0"/>
        <w:autoSpaceDN w:val="0"/>
        <w:spacing w:line="48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14:paraId="5BA44E53">
      <w:pPr>
        <w:autoSpaceDE w:val="0"/>
        <w:autoSpaceDN w:val="0"/>
        <w:spacing w:line="48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14:paraId="2CC695E1">
      <w:pPr>
        <w:spacing w:line="360" w:lineRule="auto"/>
        <w:ind w:firstLine="480"/>
        <w:rPr>
          <w:rFonts w:ascii="宋体" w:hAnsi="宋体"/>
        </w:rPr>
      </w:pPr>
      <w:r>
        <w:rPr>
          <w:rFonts w:hint="eastAsia" w:ascii="宋体" w:hAnsi="宋体" w:cs="宋体"/>
          <w:kern w:val="0"/>
        </w:rPr>
        <w:t>13.1</w:t>
      </w:r>
      <w:r>
        <w:rPr>
          <w:rFonts w:hint="eastAsia" w:ascii="宋体" w:hAnsi="宋体" w:cs="宋体"/>
          <w:lang w:val="zh-CN"/>
        </w:rPr>
        <w:t>乙方应在合同签订前，按约定提交履约保证金</w:t>
      </w:r>
      <w:r>
        <w:rPr>
          <w:rFonts w:ascii="宋体" w:hAnsi="宋体"/>
        </w:rPr>
        <w:t>。</w:t>
      </w:r>
    </w:p>
    <w:p w14:paraId="7DA917D4">
      <w:pPr>
        <w:autoSpaceDE w:val="0"/>
        <w:autoSpaceDN w:val="0"/>
        <w:spacing w:line="48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14:paraId="56099978">
      <w:pPr>
        <w:autoSpaceDE w:val="0"/>
        <w:autoSpaceDN w:val="0"/>
        <w:spacing w:line="48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14:paraId="732C7991">
      <w:pPr>
        <w:autoSpaceDE w:val="0"/>
        <w:autoSpaceDN w:val="0"/>
        <w:spacing w:line="48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14:paraId="6DCDB6AE">
      <w:pPr>
        <w:autoSpaceDE w:val="0"/>
        <w:autoSpaceDN w:val="0"/>
        <w:spacing w:line="48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14:paraId="1CDEA0D4">
      <w:pPr>
        <w:autoSpaceDE w:val="0"/>
        <w:autoSpaceDN w:val="0"/>
        <w:spacing w:line="48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14:paraId="1B3E31E7">
      <w:pPr>
        <w:autoSpaceDE w:val="0"/>
        <w:autoSpaceDN w:val="0"/>
        <w:spacing w:line="48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14:paraId="615BE88C">
      <w:pPr>
        <w:autoSpaceDE w:val="0"/>
        <w:autoSpaceDN w:val="0"/>
        <w:spacing w:line="48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5065C67">
      <w:pPr>
        <w:autoSpaceDE w:val="0"/>
        <w:autoSpaceDN w:val="0"/>
        <w:spacing w:line="48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14:paraId="331BA5DB">
      <w:pPr>
        <w:autoSpaceDE w:val="0"/>
        <w:autoSpaceDN w:val="0"/>
        <w:spacing w:line="48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1C05B75">
      <w:pPr>
        <w:autoSpaceDE w:val="0"/>
        <w:autoSpaceDN w:val="0"/>
        <w:spacing w:line="48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14:paraId="2AA134C0">
      <w:pPr>
        <w:autoSpaceDE w:val="0"/>
        <w:autoSpaceDN w:val="0"/>
        <w:spacing w:line="48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57D3EEA">
      <w:pPr>
        <w:autoSpaceDE w:val="0"/>
        <w:autoSpaceDN w:val="0"/>
        <w:spacing w:line="48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14:paraId="29997BF8">
      <w:pPr>
        <w:autoSpaceDE w:val="0"/>
        <w:autoSpaceDN w:val="0"/>
        <w:spacing w:line="48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14:paraId="4BBEA390">
      <w:pPr>
        <w:autoSpaceDE w:val="0"/>
        <w:autoSpaceDN w:val="0"/>
        <w:spacing w:line="48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14:paraId="6A4F2E1F">
      <w:pPr>
        <w:autoSpaceDE w:val="0"/>
        <w:autoSpaceDN w:val="0"/>
        <w:spacing w:line="48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14:paraId="260AD569">
      <w:pPr>
        <w:autoSpaceDE w:val="0"/>
        <w:autoSpaceDN w:val="0"/>
        <w:spacing w:line="48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0D13C7">
      <w:pPr>
        <w:autoSpaceDE w:val="0"/>
        <w:autoSpaceDN w:val="0"/>
        <w:spacing w:line="48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14:paraId="19EE4300">
      <w:pPr>
        <w:autoSpaceDE w:val="0"/>
        <w:autoSpaceDN w:val="0"/>
        <w:spacing w:line="48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14:paraId="1C6BBE58">
      <w:pPr>
        <w:autoSpaceDE w:val="0"/>
        <w:autoSpaceDN w:val="0"/>
        <w:spacing w:line="48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14:paraId="1D1D8AD4">
      <w:pPr>
        <w:autoSpaceDE w:val="0"/>
        <w:autoSpaceDN w:val="0"/>
        <w:spacing w:line="48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14:paraId="74129FA5">
      <w:pPr>
        <w:autoSpaceDE w:val="0"/>
        <w:autoSpaceDN w:val="0"/>
        <w:spacing w:line="48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14:paraId="7C8D10E3">
      <w:pPr>
        <w:autoSpaceDE w:val="0"/>
        <w:autoSpaceDN w:val="0"/>
        <w:spacing w:line="48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14:paraId="0B2E15AE">
      <w:pPr>
        <w:autoSpaceDE w:val="0"/>
        <w:autoSpaceDN w:val="0"/>
        <w:spacing w:line="48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14:paraId="42BE4C26">
      <w:pPr>
        <w:autoSpaceDE w:val="0"/>
        <w:autoSpaceDN w:val="0"/>
        <w:spacing w:line="480" w:lineRule="auto"/>
        <w:ind w:firstLine="480"/>
        <w:rPr>
          <w:rFonts w:ascii="宋体" w:hAnsi="宋体" w:cs="宋体"/>
          <w:kern w:val="0"/>
        </w:rPr>
      </w:pPr>
      <w:r>
        <w:rPr>
          <w:rFonts w:hint="eastAsia" w:ascii="宋体" w:hAnsi="宋体" w:cs="宋体"/>
          <w:kern w:val="0"/>
          <w:lang w:val="zh-CN"/>
        </w:rPr>
        <w:t>与本合同有关的一切税费均由乙方承担。</w:t>
      </w:r>
    </w:p>
    <w:p w14:paraId="0E5BAD95">
      <w:pPr>
        <w:autoSpaceDE w:val="0"/>
        <w:autoSpaceDN w:val="0"/>
        <w:spacing w:line="48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14:paraId="33E34DFE">
      <w:pPr>
        <w:autoSpaceDE w:val="0"/>
        <w:autoSpaceDN w:val="0"/>
        <w:spacing w:line="48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14:paraId="6CE6EFA7">
      <w:pPr>
        <w:autoSpaceDE w:val="0"/>
        <w:autoSpaceDN w:val="0"/>
        <w:spacing w:line="48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14:paraId="075F8DD0">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14:paraId="6E013158">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14:paraId="5037593A">
      <w:pPr>
        <w:autoSpaceDE w:val="0"/>
        <w:autoSpaceDN w:val="0"/>
        <w:spacing w:line="48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14:paraId="253988F5">
      <w:pPr>
        <w:autoSpaceDE w:val="0"/>
        <w:autoSpaceDN w:val="0"/>
        <w:spacing w:line="48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14:paraId="66087196">
      <w:pPr>
        <w:autoSpaceDE w:val="0"/>
        <w:autoSpaceDN w:val="0"/>
        <w:spacing w:line="48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14:paraId="39D35C7B">
      <w:pPr>
        <w:autoSpaceDE w:val="0"/>
        <w:autoSpaceDN w:val="0"/>
        <w:spacing w:line="48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C913744">
      <w:pPr>
        <w:autoSpaceDE w:val="0"/>
        <w:autoSpaceDN w:val="0"/>
        <w:spacing w:line="48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14:paraId="221CB4BE">
      <w:pPr>
        <w:autoSpaceDE w:val="0"/>
        <w:autoSpaceDN w:val="0"/>
        <w:spacing w:line="48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5191641">
      <w:pPr>
        <w:autoSpaceDE w:val="0"/>
        <w:autoSpaceDN w:val="0"/>
        <w:spacing w:line="48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14:paraId="3EDC2BBF">
      <w:pPr>
        <w:autoSpaceDE w:val="0"/>
        <w:autoSpaceDN w:val="0"/>
        <w:spacing w:line="48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14:paraId="75ED72B9">
      <w:pPr>
        <w:autoSpaceDE w:val="0"/>
        <w:autoSpaceDN w:val="0"/>
        <w:spacing w:line="48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75B2F60">
      <w:pPr>
        <w:autoSpaceDE w:val="0"/>
        <w:autoSpaceDN w:val="0"/>
        <w:spacing w:line="48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14:paraId="2412938D">
      <w:pPr>
        <w:autoSpaceDE w:val="0"/>
        <w:autoSpaceDN w:val="0"/>
        <w:spacing w:line="48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14:paraId="2435B462">
      <w:pPr>
        <w:autoSpaceDE w:val="0"/>
        <w:autoSpaceDN w:val="0"/>
        <w:spacing w:line="48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14:paraId="761E7127">
      <w:pPr>
        <w:autoSpaceDE w:val="0"/>
        <w:autoSpaceDN w:val="0"/>
        <w:spacing w:line="48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14:paraId="598BCA2A">
      <w:pPr>
        <w:autoSpaceDE w:val="0"/>
        <w:autoSpaceDN w:val="0"/>
        <w:spacing w:line="48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14:paraId="27A950B0">
      <w:pPr>
        <w:autoSpaceDE w:val="0"/>
        <w:autoSpaceDN w:val="0"/>
        <w:spacing w:line="48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14:paraId="167F1DEC">
      <w:pPr>
        <w:autoSpaceDE w:val="0"/>
        <w:autoSpaceDN w:val="0"/>
        <w:spacing w:line="48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14:paraId="2EE3C63E">
      <w:pPr>
        <w:autoSpaceDE w:val="0"/>
        <w:autoSpaceDN w:val="0"/>
        <w:spacing w:line="480" w:lineRule="auto"/>
        <w:ind w:firstLine="480"/>
        <w:rPr>
          <w:rFonts w:hint="eastAsia" w:ascii="宋体" w:hAnsi="宋体" w:cs="宋体"/>
          <w:kern w:val="0"/>
          <w:lang w:val="zh-CN"/>
        </w:rPr>
      </w:pPr>
      <w:r>
        <w:rPr>
          <w:rFonts w:hint="eastAsia" w:ascii="宋体" w:hAnsi="宋体" w:cs="宋体"/>
          <w:kern w:val="0"/>
          <w:lang w:val="zh-CN"/>
        </w:rPr>
        <w:t>本合同按照中华人民共和国的相关法律进行解释。</w:t>
      </w:r>
    </w:p>
    <w:p w14:paraId="6611A5E6">
      <w:pPr>
        <w:pStyle w:val="31"/>
        <w:rPr>
          <w:rFonts w:hint="eastAsia" w:ascii="宋体" w:hAnsi="宋体" w:cs="宋体"/>
          <w:kern w:val="0"/>
          <w:lang w:val="zh-CN"/>
        </w:rPr>
      </w:pPr>
    </w:p>
    <w:p w14:paraId="01055F9D">
      <w:pPr>
        <w:pStyle w:val="31"/>
        <w:rPr>
          <w:rFonts w:hint="eastAsia" w:ascii="宋体" w:hAnsi="宋体" w:cs="宋体"/>
          <w:kern w:val="0"/>
          <w:lang w:val="zh-CN"/>
        </w:rPr>
      </w:pPr>
    </w:p>
    <w:p w14:paraId="5F491652">
      <w:pPr>
        <w:pStyle w:val="31"/>
        <w:rPr>
          <w:rFonts w:hint="eastAsia" w:ascii="宋体" w:hAnsi="宋体" w:cs="宋体"/>
          <w:kern w:val="0"/>
          <w:lang w:val="zh-CN"/>
        </w:rPr>
      </w:pPr>
    </w:p>
    <w:p w14:paraId="077D661D">
      <w:pPr>
        <w:pStyle w:val="31"/>
        <w:rPr>
          <w:rFonts w:hint="eastAsia" w:ascii="宋体" w:hAnsi="宋体" w:cs="宋体"/>
          <w:kern w:val="0"/>
          <w:lang w:val="zh-CN"/>
        </w:rPr>
      </w:pPr>
    </w:p>
    <w:p w14:paraId="1B9788F8">
      <w:pPr>
        <w:pStyle w:val="31"/>
        <w:rPr>
          <w:rFonts w:hint="eastAsia" w:ascii="宋体" w:hAnsi="宋体" w:cs="宋体"/>
          <w:kern w:val="0"/>
          <w:lang w:val="zh-CN"/>
        </w:rPr>
      </w:pPr>
    </w:p>
    <w:p w14:paraId="0D5C1337">
      <w:pPr>
        <w:pStyle w:val="31"/>
        <w:rPr>
          <w:rFonts w:hint="eastAsia" w:ascii="宋体" w:hAnsi="宋体" w:cs="宋体"/>
          <w:kern w:val="0"/>
          <w:lang w:val="zh-CN"/>
        </w:rPr>
      </w:pPr>
    </w:p>
    <w:p w14:paraId="26B2D800">
      <w:pPr>
        <w:pStyle w:val="31"/>
        <w:rPr>
          <w:rFonts w:hint="eastAsia" w:ascii="宋体" w:hAnsi="宋体" w:cs="宋体"/>
          <w:kern w:val="0"/>
          <w:lang w:val="zh-CN"/>
        </w:rPr>
      </w:pPr>
    </w:p>
    <w:p w14:paraId="4EA2C218">
      <w:pPr>
        <w:pStyle w:val="31"/>
        <w:rPr>
          <w:rFonts w:hint="eastAsia" w:ascii="宋体" w:hAnsi="宋体" w:cs="宋体"/>
          <w:kern w:val="0"/>
          <w:lang w:val="zh-CN"/>
        </w:rPr>
      </w:pPr>
    </w:p>
    <w:p w14:paraId="24EF0498">
      <w:pPr>
        <w:pStyle w:val="31"/>
        <w:rPr>
          <w:rFonts w:hint="eastAsia" w:ascii="宋体" w:hAnsi="宋体" w:cs="宋体"/>
          <w:kern w:val="0"/>
          <w:lang w:val="zh-CN"/>
        </w:rPr>
      </w:pPr>
    </w:p>
    <w:p w14:paraId="3405FCD1">
      <w:pPr>
        <w:pStyle w:val="31"/>
        <w:rPr>
          <w:rFonts w:hint="eastAsia" w:ascii="宋体" w:hAnsi="宋体" w:cs="宋体"/>
          <w:kern w:val="0"/>
          <w:lang w:val="zh-CN"/>
        </w:rPr>
      </w:pPr>
    </w:p>
    <w:p w14:paraId="5744A21F">
      <w:pPr>
        <w:pStyle w:val="31"/>
        <w:rPr>
          <w:rFonts w:hint="eastAsia" w:ascii="宋体" w:hAnsi="宋体" w:cs="宋体"/>
          <w:kern w:val="0"/>
          <w:lang w:val="zh-CN"/>
        </w:rPr>
      </w:pPr>
    </w:p>
    <w:p w14:paraId="67996BB1">
      <w:pPr>
        <w:pStyle w:val="31"/>
        <w:rPr>
          <w:rFonts w:hint="eastAsia" w:ascii="宋体" w:hAnsi="宋体" w:cs="宋体"/>
          <w:kern w:val="0"/>
          <w:lang w:val="zh-CN"/>
        </w:rPr>
      </w:pPr>
    </w:p>
    <w:p w14:paraId="0EB629DF">
      <w:pPr>
        <w:pStyle w:val="31"/>
        <w:rPr>
          <w:rFonts w:hint="eastAsia" w:ascii="宋体" w:hAnsi="宋体" w:cs="宋体"/>
          <w:kern w:val="0"/>
          <w:lang w:val="zh-CN"/>
        </w:rPr>
      </w:pPr>
    </w:p>
    <w:p w14:paraId="0E1A4C25">
      <w:pPr>
        <w:pStyle w:val="31"/>
        <w:rPr>
          <w:rFonts w:hint="eastAsia" w:ascii="宋体" w:hAnsi="宋体" w:cs="宋体"/>
          <w:kern w:val="0"/>
          <w:lang w:val="zh-CN"/>
        </w:rPr>
      </w:pPr>
    </w:p>
    <w:p w14:paraId="5A15CACE">
      <w:pPr>
        <w:pStyle w:val="31"/>
        <w:rPr>
          <w:rFonts w:hint="eastAsia" w:ascii="宋体" w:hAnsi="宋体" w:cs="宋体"/>
          <w:kern w:val="0"/>
          <w:lang w:val="zh-CN"/>
        </w:rPr>
      </w:pPr>
    </w:p>
    <w:p w14:paraId="532CE423">
      <w:pPr>
        <w:pStyle w:val="31"/>
        <w:rPr>
          <w:rFonts w:hint="eastAsia" w:ascii="宋体" w:hAnsi="宋体" w:cs="宋体"/>
          <w:kern w:val="0"/>
          <w:lang w:val="zh-CN"/>
        </w:rPr>
      </w:pPr>
    </w:p>
    <w:p w14:paraId="701EF776">
      <w:pPr>
        <w:pStyle w:val="31"/>
        <w:rPr>
          <w:rFonts w:hint="eastAsia" w:ascii="宋体" w:hAnsi="宋体" w:cs="宋体"/>
          <w:kern w:val="0"/>
          <w:lang w:val="zh-CN"/>
        </w:rPr>
      </w:pPr>
    </w:p>
    <w:p w14:paraId="0A037CDF">
      <w:pPr>
        <w:pStyle w:val="31"/>
        <w:rPr>
          <w:rFonts w:hint="eastAsia" w:ascii="宋体" w:hAnsi="宋体" w:cs="宋体"/>
          <w:kern w:val="0"/>
          <w:lang w:val="zh-CN"/>
        </w:rPr>
      </w:pPr>
    </w:p>
    <w:p w14:paraId="440E2ACA">
      <w:pPr>
        <w:pStyle w:val="31"/>
        <w:rPr>
          <w:rFonts w:hint="eastAsia" w:ascii="宋体" w:hAnsi="宋体" w:cs="宋体"/>
          <w:kern w:val="0"/>
          <w:lang w:val="zh-CN"/>
        </w:rPr>
      </w:pPr>
    </w:p>
    <w:p w14:paraId="779E98A5">
      <w:pPr>
        <w:pStyle w:val="31"/>
        <w:rPr>
          <w:rFonts w:hint="eastAsia" w:ascii="宋体" w:hAnsi="宋体" w:cs="宋体"/>
          <w:kern w:val="0"/>
          <w:lang w:val="zh-CN"/>
        </w:rPr>
      </w:pPr>
    </w:p>
    <w:p w14:paraId="089CDFEE">
      <w:pPr>
        <w:pStyle w:val="31"/>
        <w:rPr>
          <w:rFonts w:hint="eastAsia" w:ascii="宋体" w:hAnsi="宋体" w:cs="宋体"/>
          <w:kern w:val="0"/>
          <w:lang w:val="zh-CN"/>
        </w:rPr>
      </w:pPr>
    </w:p>
    <w:p w14:paraId="6C029867">
      <w:pPr>
        <w:pStyle w:val="31"/>
        <w:rPr>
          <w:rFonts w:hint="eastAsia" w:ascii="宋体" w:hAnsi="宋体" w:cs="宋体"/>
          <w:kern w:val="0"/>
          <w:lang w:val="zh-CN"/>
        </w:rPr>
      </w:pPr>
    </w:p>
    <w:p w14:paraId="78464766">
      <w:pPr>
        <w:pStyle w:val="31"/>
        <w:rPr>
          <w:rFonts w:hint="eastAsia" w:ascii="宋体" w:hAnsi="宋体" w:cs="宋体"/>
          <w:kern w:val="0"/>
          <w:lang w:val="zh-CN"/>
        </w:rPr>
      </w:pPr>
    </w:p>
    <w:p w14:paraId="5923B25A">
      <w:pPr>
        <w:pStyle w:val="31"/>
        <w:rPr>
          <w:rFonts w:hint="eastAsia" w:ascii="宋体" w:hAnsi="宋体" w:cs="宋体"/>
          <w:kern w:val="0"/>
          <w:lang w:val="zh-CN"/>
        </w:rPr>
      </w:pPr>
    </w:p>
    <w:p w14:paraId="5566623B">
      <w:pPr>
        <w:pStyle w:val="31"/>
        <w:rPr>
          <w:rFonts w:hint="eastAsia" w:ascii="宋体" w:hAnsi="宋体" w:cs="宋体"/>
          <w:kern w:val="0"/>
          <w:lang w:val="zh-CN"/>
        </w:rPr>
      </w:pPr>
    </w:p>
    <w:p w14:paraId="6CCA4458">
      <w:pPr>
        <w:pStyle w:val="31"/>
        <w:rPr>
          <w:rFonts w:hint="eastAsia" w:ascii="宋体" w:hAnsi="宋体" w:cs="宋体"/>
          <w:kern w:val="0"/>
          <w:lang w:val="zh-CN"/>
        </w:rPr>
      </w:pPr>
    </w:p>
    <w:p w14:paraId="4666E707">
      <w:pPr>
        <w:pStyle w:val="31"/>
        <w:rPr>
          <w:rFonts w:hint="eastAsia" w:ascii="宋体" w:hAnsi="宋体" w:cs="宋体"/>
          <w:kern w:val="0"/>
          <w:lang w:val="zh-CN"/>
        </w:rPr>
      </w:pPr>
    </w:p>
    <w:p w14:paraId="76CC748E">
      <w:pPr>
        <w:pStyle w:val="31"/>
        <w:rPr>
          <w:rFonts w:hint="eastAsia" w:ascii="宋体" w:hAnsi="宋体" w:cs="宋体"/>
          <w:kern w:val="0"/>
          <w:lang w:val="zh-CN"/>
        </w:rPr>
      </w:pPr>
    </w:p>
    <w:p w14:paraId="77524A3A">
      <w:pPr>
        <w:pStyle w:val="31"/>
        <w:rPr>
          <w:rFonts w:hint="eastAsia" w:ascii="宋体" w:hAnsi="宋体" w:cs="宋体"/>
          <w:kern w:val="0"/>
          <w:lang w:val="zh-CN"/>
        </w:rPr>
      </w:pPr>
    </w:p>
    <w:p w14:paraId="12828FD4">
      <w:pPr>
        <w:pStyle w:val="31"/>
        <w:rPr>
          <w:rFonts w:hint="eastAsia" w:ascii="宋体" w:hAnsi="宋体" w:cs="宋体"/>
          <w:kern w:val="0"/>
          <w:lang w:val="zh-CN"/>
        </w:rPr>
      </w:pPr>
    </w:p>
    <w:p w14:paraId="7F738BE0">
      <w:pPr>
        <w:pStyle w:val="31"/>
        <w:rPr>
          <w:rFonts w:hint="eastAsia" w:ascii="宋体" w:hAnsi="宋体" w:cs="宋体"/>
          <w:kern w:val="0"/>
          <w:lang w:val="zh-CN"/>
        </w:rPr>
      </w:pPr>
    </w:p>
    <w:p w14:paraId="3CCEBD22">
      <w:pPr>
        <w:pStyle w:val="31"/>
        <w:rPr>
          <w:rFonts w:hint="eastAsia" w:ascii="宋体" w:hAnsi="宋体" w:cs="宋体"/>
          <w:kern w:val="0"/>
          <w:lang w:val="zh-CN"/>
        </w:rPr>
      </w:pPr>
    </w:p>
    <w:p w14:paraId="28450D22">
      <w:pPr>
        <w:pStyle w:val="31"/>
        <w:rPr>
          <w:rFonts w:hint="eastAsia" w:ascii="宋体" w:hAnsi="宋体" w:cs="宋体"/>
          <w:kern w:val="0"/>
          <w:lang w:val="zh-CN"/>
        </w:rPr>
      </w:pPr>
    </w:p>
    <w:p w14:paraId="31222111">
      <w:pPr>
        <w:pStyle w:val="31"/>
        <w:rPr>
          <w:rFonts w:hint="eastAsia" w:ascii="宋体" w:hAnsi="宋体" w:cs="宋体"/>
          <w:kern w:val="0"/>
          <w:lang w:val="zh-CN"/>
        </w:rPr>
      </w:pPr>
    </w:p>
    <w:p w14:paraId="67598674">
      <w:pPr>
        <w:rPr>
          <w:lang w:val="zh-CN"/>
        </w:rPr>
      </w:pPr>
    </w:p>
    <w:p w14:paraId="582BA26D">
      <w:pPr>
        <w:rPr>
          <w:lang w:val="zh-CN"/>
        </w:rPr>
      </w:pPr>
    </w:p>
    <w:p w14:paraId="4BAD62E3">
      <w:pPr>
        <w:pStyle w:val="18"/>
        <w:spacing w:before="0" w:after="0" w:line="360" w:lineRule="auto"/>
        <w:rPr>
          <w:rFonts w:ascii="宋体" w:hAnsi="宋体" w:cs="宋体"/>
          <w:color w:val="000000"/>
          <w:lang w:val="zh-CN"/>
        </w:rPr>
      </w:pPr>
      <w:bookmarkStart w:id="138" w:name="_Toc8591"/>
      <w:bookmarkStart w:id="139" w:name="_Toc6893"/>
      <w:bookmarkStart w:id="140" w:name="_Toc26440"/>
      <w:r>
        <w:rPr>
          <w:rFonts w:hint="eastAsia" w:ascii="宋体" w:hAnsi="宋体" w:cs="宋体"/>
          <w:color w:val="000000"/>
          <w:szCs w:val="36"/>
          <w:lang w:val="zh-CN"/>
        </w:rPr>
        <w:t>第四部分  投标文件格式</w:t>
      </w:r>
      <w:bookmarkEnd w:id="138"/>
      <w:bookmarkEnd w:id="139"/>
      <w:bookmarkEnd w:id="140"/>
    </w:p>
    <w:p w14:paraId="4AAA3047">
      <w:pPr>
        <w:pStyle w:val="18"/>
        <w:spacing w:before="0" w:after="0" w:line="360" w:lineRule="auto"/>
        <w:jc w:val="left"/>
        <w:outlineLvl w:val="1"/>
        <w:rPr>
          <w:rFonts w:ascii="宋体" w:hAnsi="宋体" w:cs="宋体"/>
          <w:color w:val="000000"/>
        </w:rPr>
      </w:pPr>
      <w:bookmarkStart w:id="141" w:name="_Toc11851"/>
      <w:bookmarkStart w:id="142" w:name="_Toc14953"/>
      <w:bookmarkStart w:id="143" w:name="_Toc20886"/>
      <w:bookmarkStart w:id="144" w:name="_Toc20009"/>
      <w:r>
        <w:rPr>
          <w:rFonts w:hint="eastAsia" w:ascii="宋体" w:hAnsi="宋体" w:cs="宋体"/>
          <w:color w:val="000000"/>
          <w:sz w:val="30"/>
          <w:szCs w:val="30"/>
          <w:lang w:val="zh-CN"/>
        </w:rPr>
        <w:t>封面</w:t>
      </w:r>
      <w:bookmarkEnd w:id="141"/>
      <w:r>
        <w:rPr>
          <w:rFonts w:hint="eastAsia" w:ascii="宋体" w:hAnsi="宋体" w:cs="宋体"/>
          <w:color w:val="000000"/>
          <w:sz w:val="30"/>
          <w:szCs w:val="30"/>
          <w:lang w:val="zh-CN"/>
        </w:rPr>
        <w:t>（上册）</w:t>
      </w:r>
      <w:bookmarkEnd w:id="142"/>
      <w:bookmarkEnd w:id="143"/>
      <w:bookmarkEnd w:id="144"/>
    </w:p>
    <w:p w14:paraId="39ECC8B8">
      <w:pPr>
        <w:autoSpaceDE w:val="0"/>
        <w:autoSpaceDN w:val="0"/>
        <w:spacing w:line="360" w:lineRule="auto"/>
        <w:jc w:val="right"/>
        <w:rPr>
          <w:rFonts w:ascii="宋体" w:hAnsi="宋体" w:cs="宋体"/>
          <w:b/>
          <w:bCs/>
          <w:color w:val="000000"/>
          <w:kern w:val="0"/>
          <w:sz w:val="36"/>
          <w:szCs w:val="36"/>
        </w:rPr>
      </w:pPr>
    </w:p>
    <w:p w14:paraId="42274F8E">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022F19A6">
      <w:pPr>
        <w:autoSpaceDE w:val="0"/>
        <w:autoSpaceDN w:val="0"/>
        <w:spacing w:line="360" w:lineRule="auto"/>
        <w:rPr>
          <w:rFonts w:ascii="宋体" w:hAnsi="宋体" w:cs="宋体"/>
          <w:color w:val="000000"/>
          <w:kern w:val="0"/>
          <w:sz w:val="36"/>
          <w:szCs w:val="36"/>
        </w:rPr>
      </w:pPr>
    </w:p>
    <w:p w14:paraId="7FAF0E59">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0D83950E">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5D876D1B">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4F980517">
      <w:pPr>
        <w:autoSpaceDE w:val="0"/>
        <w:autoSpaceDN w:val="0"/>
        <w:spacing w:line="360" w:lineRule="auto"/>
        <w:rPr>
          <w:rFonts w:ascii="宋体" w:hAnsi="宋体" w:cs="宋体"/>
          <w:color w:val="000000"/>
          <w:kern w:val="0"/>
          <w:sz w:val="36"/>
          <w:szCs w:val="36"/>
        </w:rPr>
      </w:pPr>
    </w:p>
    <w:p w14:paraId="79AD86D0">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26D9C9FD">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5CC5FA85">
      <w:pPr>
        <w:autoSpaceDE w:val="0"/>
        <w:autoSpaceDN w:val="0"/>
        <w:spacing w:line="360" w:lineRule="auto"/>
        <w:rPr>
          <w:rFonts w:ascii="宋体" w:hAnsi="宋体" w:cs="宋体"/>
          <w:b/>
          <w:bCs/>
          <w:color w:val="000000"/>
          <w:kern w:val="0"/>
          <w:sz w:val="36"/>
          <w:szCs w:val="36"/>
        </w:rPr>
      </w:pPr>
    </w:p>
    <w:p w14:paraId="422178CC">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0B4D8B61">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2B724E53">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3DC90A66">
      <w:pPr>
        <w:pStyle w:val="18"/>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145" w:name="_Toc23190"/>
      <w:bookmarkStart w:id="146" w:name="_Toc1308"/>
      <w:bookmarkStart w:id="147" w:name="_Toc16025"/>
      <w:bookmarkStart w:id="148" w:name="_Toc8514"/>
      <w:bookmarkStart w:id="149" w:name="_Toc29902"/>
      <w:r>
        <w:rPr>
          <w:rFonts w:hint="eastAsia" w:ascii="宋体" w:hAnsi="宋体" w:cs="宋体"/>
          <w:color w:val="000000"/>
          <w:sz w:val="30"/>
          <w:szCs w:val="30"/>
          <w:lang w:val="zh-CN"/>
        </w:rPr>
        <w:t>目录（上册）</w:t>
      </w:r>
      <w:bookmarkEnd w:id="145"/>
      <w:bookmarkEnd w:id="146"/>
      <w:bookmarkEnd w:id="147"/>
    </w:p>
    <w:p w14:paraId="0155A6A3">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投标函……………………………………………………………所在页码</w:t>
      </w:r>
    </w:p>
    <w:p w14:paraId="1D297B69">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法定代表人证明书………………………………………………所在页码</w:t>
      </w:r>
    </w:p>
    <w:p w14:paraId="0FA0BA3A">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法定代表人授权书………………………………………………所在页码</w:t>
      </w:r>
    </w:p>
    <w:p w14:paraId="6E43524A">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投标人承诺函……………………………………………………所在页码</w:t>
      </w:r>
    </w:p>
    <w:p w14:paraId="72006D04">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投标人诚信承诺书………………………………………………所在页码</w:t>
      </w:r>
    </w:p>
    <w:p w14:paraId="61C87FFC">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资格证明材料……………………………………………………所在页码</w:t>
      </w:r>
    </w:p>
    <w:p w14:paraId="7A7EE72D">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4C361E28">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无重大违法记录声明……………………………………………所在页码</w:t>
      </w:r>
      <w:bookmarkEnd w:id="148"/>
      <w:bookmarkEnd w:id="149"/>
      <w:bookmarkStart w:id="150" w:name="_Toc19582"/>
    </w:p>
    <w:p w14:paraId="40A8442A">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cs="宋体"/>
          <w:color w:val="000000"/>
          <w:kern w:val="0"/>
          <w:lang w:val="zh-CN"/>
        </w:rPr>
      </w:pPr>
      <w:r>
        <w:rPr>
          <w:rFonts w:hint="eastAsia" w:ascii="宋体" w:hAnsi="宋体" w:cs="宋体"/>
          <w:color w:val="000000"/>
          <w:kern w:val="0"/>
          <w:lang w:val="zh-CN" w:eastAsia="zh-CN"/>
        </w:rPr>
        <w:t>具备履行合同所必</w:t>
      </w:r>
      <w:r>
        <w:rPr>
          <w:rFonts w:hint="eastAsia" w:ascii="宋体" w:hAnsi="宋体" w:cs="宋体"/>
          <w:color w:val="000000"/>
          <w:kern w:val="0"/>
          <w:lang w:val="en-US" w:eastAsia="zh-CN"/>
        </w:rPr>
        <w:t>需</w:t>
      </w:r>
      <w:r>
        <w:rPr>
          <w:rFonts w:hint="eastAsia" w:ascii="宋体" w:hAnsi="宋体" w:cs="宋体"/>
          <w:color w:val="000000"/>
          <w:kern w:val="0"/>
          <w:lang w:val="zh-CN" w:eastAsia="zh-CN"/>
        </w:rPr>
        <w:t>的设备和专业技术能力证明</w:t>
      </w:r>
      <w:r>
        <w:rPr>
          <w:rFonts w:hint="eastAsia" w:ascii="宋体" w:hAnsi="宋体" w:cs="宋体"/>
          <w:color w:val="000000"/>
          <w:kern w:val="0"/>
          <w:lang w:val="zh-CN"/>
        </w:rPr>
        <w:t>……………所在页码</w:t>
      </w:r>
    </w:p>
    <w:p w14:paraId="6D940227">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0" w:firstLineChars="0"/>
        <w:textAlignment w:val="auto"/>
        <w:rPr>
          <w:lang w:val="zh-CN"/>
        </w:rPr>
      </w:pPr>
      <w:r>
        <w:rPr>
          <w:rFonts w:hint="eastAsia" w:ascii="宋体" w:hAnsi="宋体" w:cs="宋体"/>
          <w:color w:val="000000"/>
          <w:kern w:val="0"/>
          <w:lang w:val="zh-CN"/>
        </w:rPr>
        <w:t>投标保证金证明 ………………………………………………所在页码</w:t>
      </w:r>
      <w:r>
        <w:rPr>
          <w:rFonts w:hint="eastAsia" w:ascii="宋体" w:hAnsi="宋体" w:cs="宋体"/>
          <w:color w:val="000000"/>
          <w:sz w:val="30"/>
          <w:szCs w:val="30"/>
          <w:lang w:val="zh-CN"/>
        </w:rPr>
        <w:br w:type="page"/>
      </w:r>
    </w:p>
    <w:p w14:paraId="1A51FF9B">
      <w:pPr>
        <w:pStyle w:val="18"/>
        <w:spacing w:before="0" w:after="0" w:line="360" w:lineRule="auto"/>
        <w:jc w:val="left"/>
        <w:outlineLvl w:val="1"/>
        <w:rPr>
          <w:rFonts w:ascii="宋体" w:hAnsi="宋体" w:cs="宋体"/>
          <w:color w:val="000000"/>
          <w:lang w:val="zh-CN"/>
        </w:rPr>
      </w:pPr>
      <w:bookmarkStart w:id="151" w:name="_Toc17362"/>
      <w:bookmarkStart w:id="152" w:name="_Toc8961"/>
      <w:bookmarkStart w:id="153" w:name="_Toc13180"/>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150"/>
      <w:bookmarkEnd w:id="151"/>
      <w:bookmarkEnd w:id="152"/>
      <w:bookmarkEnd w:id="153"/>
    </w:p>
    <w:p w14:paraId="7D084C9C">
      <w:pPr>
        <w:autoSpaceDE w:val="0"/>
        <w:autoSpaceDN w:val="0"/>
        <w:spacing w:line="360" w:lineRule="auto"/>
        <w:rPr>
          <w:rFonts w:ascii="宋体" w:hAnsi="宋体" w:cs="宋体"/>
          <w:b/>
          <w:bCs/>
          <w:color w:val="000000"/>
          <w:kern w:val="0"/>
          <w:sz w:val="28"/>
          <w:szCs w:val="28"/>
          <w:lang w:val="zh-CN"/>
        </w:rPr>
      </w:pPr>
    </w:p>
    <w:p w14:paraId="7A4C8B91">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39E04406">
      <w:pPr>
        <w:autoSpaceDE w:val="0"/>
        <w:autoSpaceDN w:val="0"/>
        <w:spacing w:line="360" w:lineRule="auto"/>
        <w:rPr>
          <w:rFonts w:ascii="宋体" w:hAnsi="宋体" w:cs="宋体"/>
          <w:b/>
          <w:bCs/>
          <w:color w:val="000000"/>
          <w:kern w:val="0"/>
          <w:sz w:val="28"/>
          <w:szCs w:val="28"/>
          <w:lang w:val="zh-CN"/>
        </w:rPr>
      </w:pPr>
    </w:p>
    <w:p w14:paraId="5861766E">
      <w:pPr>
        <w:autoSpaceDE w:val="0"/>
        <w:autoSpaceDN w:val="0"/>
        <w:spacing w:line="360" w:lineRule="auto"/>
        <w:rPr>
          <w:rFonts w:hint="eastAsia" w:ascii="宋体" w:hAnsi="宋体" w:eastAsia="宋体" w:cs="宋体"/>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青海凌星项目管理有限公司</w:t>
      </w:r>
    </w:p>
    <w:p w14:paraId="0011DE4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466B3FB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41936F3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21A65228">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60</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日历日内有效。如果我方在投标有效期内撤回投标或中标后不签约的按违约处理，中标供应商的中标结果无效，情节严重的，报同级财政部门依法进行处理。</w:t>
      </w:r>
    </w:p>
    <w:p w14:paraId="7146AD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7B7EC95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4F6DB740">
      <w:pPr>
        <w:autoSpaceDE w:val="0"/>
        <w:autoSpaceDN w:val="0"/>
        <w:spacing w:line="360" w:lineRule="auto"/>
        <w:rPr>
          <w:rFonts w:ascii="宋体" w:hAnsi="宋体" w:cs="宋体"/>
          <w:color w:val="000000"/>
          <w:kern w:val="0"/>
          <w:lang w:val="zh-CN"/>
        </w:rPr>
      </w:pPr>
    </w:p>
    <w:p w14:paraId="108CC51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31C0BAD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1D46A96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4FFF6500">
      <w:pPr>
        <w:autoSpaceDE w:val="0"/>
        <w:autoSpaceDN w:val="0"/>
        <w:spacing w:line="360" w:lineRule="auto"/>
        <w:rPr>
          <w:rFonts w:ascii="宋体" w:hAnsi="宋体" w:cs="宋体"/>
          <w:color w:val="000000"/>
          <w:kern w:val="0"/>
          <w:lang w:val="zh-CN"/>
        </w:rPr>
      </w:pPr>
    </w:p>
    <w:p w14:paraId="439FBA95">
      <w:pPr>
        <w:autoSpaceDE w:val="0"/>
        <w:autoSpaceDN w:val="0"/>
        <w:spacing w:line="360" w:lineRule="auto"/>
        <w:rPr>
          <w:rFonts w:ascii="宋体" w:hAnsi="宋体" w:cs="宋体"/>
          <w:color w:val="000000"/>
          <w:kern w:val="0"/>
          <w:lang w:val="zh-CN"/>
        </w:rPr>
      </w:pPr>
    </w:p>
    <w:p w14:paraId="6283D26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C29416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32F7B2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CABA3CA">
      <w:pPr>
        <w:pStyle w:val="18"/>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154" w:name="_Toc8703"/>
      <w:bookmarkStart w:id="155" w:name="_Toc19719"/>
      <w:bookmarkStart w:id="156" w:name="_Toc8965"/>
      <w:bookmarkStart w:id="157"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154"/>
      <w:bookmarkEnd w:id="155"/>
      <w:bookmarkEnd w:id="156"/>
    </w:p>
    <w:p w14:paraId="682ACC40">
      <w:pPr>
        <w:autoSpaceDE w:val="0"/>
        <w:autoSpaceDN w:val="0"/>
        <w:spacing w:line="360" w:lineRule="auto"/>
        <w:rPr>
          <w:rFonts w:ascii="宋体" w:hAnsi="宋体" w:cs="宋体"/>
          <w:color w:val="000000"/>
          <w:kern w:val="0"/>
          <w:sz w:val="28"/>
          <w:szCs w:val="28"/>
          <w:lang w:val="zh-CN"/>
        </w:rPr>
      </w:pPr>
    </w:p>
    <w:p w14:paraId="49B7A556">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3410CFA7">
      <w:pPr>
        <w:autoSpaceDE w:val="0"/>
        <w:autoSpaceDN w:val="0"/>
        <w:spacing w:line="360" w:lineRule="auto"/>
        <w:rPr>
          <w:rFonts w:ascii="宋体" w:hAnsi="宋体" w:cs="宋体"/>
          <w:b/>
          <w:bCs/>
          <w:color w:val="000000"/>
          <w:kern w:val="0"/>
          <w:sz w:val="28"/>
          <w:szCs w:val="28"/>
          <w:lang w:val="zh-CN"/>
        </w:rPr>
      </w:pPr>
    </w:p>
    <w:p w14:paraId="00A70DD0">
      <w:pPr>
        <w:autoSpaceDE w:val="0"/>
        <w:autoSpaceDN w:val="0"/>
        <w:spacing w:line="360" w:lineRule="auto"/>
        <w:rPr>
          <w:rFonts w:hint="eastAsia" w:ascii="宋体" w:hAnsi="宋体" w:eastAsia="宋体" w:cs="宋体"/>
          <w:b/>
          <w:bCs/>
          <w:color w:val="000000"/>
          <w:kern w:val="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青海凌星项目管理有限公司</w:t>
      </w:r>
    </w:p>
    <w:p w14:paraId="07290812">
      <w:pPr>
        <w:autoSpaceDE w:val="0"/>
        <w:autoSpaceDN w:val="0"/>
        <w:spacing w:line="360" w:lineRule="auto"/>
        <w:rPr>
          <w:rFonts w:ascii="宋体" w:hAnsi="宋体" w:cs="宋体"/>
          <w:b/>
          <w:bCs/>
          <w:color w:val="000000"/>
          <w:kern w:val="0"/>
        </w:rPr>
      </w:pPr>
    </w:p>
    <w:p w14:paraId="4738FCC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590B56A9">
      <w:pPr>
        <w:autoSpaceDE w:val="0"/>
        <w:autoSpaceDN w:val="0"/>
        <w:spacing w:line="360" w:lineRule="auto"/>
        <w:rPr>
          <w:rFonts w:ascii="宋体" w:hAnsi="宋体" w:cs="宋体"/>
          <w:color w:val="000000"/>
          <w:kern w:val="0"/>
          <w:lang w:val="zh-CN"/>
        </w:rPr>
      </w:pPr>
    </w:p>
    <w:p w14:paraId="2AF2420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140E7B75">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民族：_____________      </w:t>
      </w:r>
      <w:r>
        <w:rPr>
          <w:rFonts w:hint="eastAsia" w:ascii="宋体" w:hAnsi="宋体" w:cs="宋体"/>
          <w:color w:val="000000"/>
          <w:kern w:val="0"/>
          <w:u w:val="single"/>
          <w:lang w:val="zh-CN"/>
        </w:rPr>
        <w:t xml:space="preserve">    </w:t>
      </w:r>
    </w:p>
    <w:p w14:paraId="74A37A11">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地址：_____________________________</w:t>
      </w:r>
    </w:p>
    <w:p w14:paraId="09405B5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  _____________________</w:t>
      </w:r>
    </w:p>
    <w:p w14:paraId="79A9F43F">
      <w:pPr>
        <w:autoSpaceDE w:val="0"/>
        <w:autoSpaceDN w:val="0"/>
        <w:spacing w:line="360" w:lineRule="auto"/>
        <w:rPr>
          <w:rFonts w:ascii="宋体" w:hAnsi="宋体" w:cs="宋体"/>
          <w:color w:val="000000"/>
          <w:kern w:val="0"/>
          <w:lang w:val="zh-CN"/>
        </w:rPr>
      </w:pPr>
    </w:p>
    <w:p w14:paraId="02616B3B">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08E3A1AE">
      <w:pPr>
        <w:autoSpaceDE w:val="0"/>
        <w:autoSpaceDN w:val="0"/>
        <w:spacing w:line="360" w:lineRule="auto"/>
        <w:rPr>
          <w:rFonts w:ascii="宋体" w:hAnsi="宋体" w:cs="宋体"/>
          <w:color w:val="000000"/>
          <w:kern w:val="0"/>
          <w:lang w:val="zh-CN"/>
        </w:rPr>
      </w:pPr>
    </w:p>
    <w:p w14:paraId="662C7AB4">
      <w:pPr>
        <w:autoSpaceDE w:val="0"/>
        <w:autoSpaceDN w:val="0"/>
        <w:spacing w:line="360" w:lineRule="auto"/>
        <w:rPr>
          <w:rFonts w:ascii="宋体" w:hAnsi="宋体" w:cs="宋体"/>
          <w:color w:val="000000"/>
          <w:kern w:val="0"/>
          <w:lang w:val="zh-CN"/>
        </w:rPr>
      </w:pPr>
    </w:p>
    <w:p w14:paraId="3324EFF0">
      <w:pPr>
        <w:autoSpaceDE w:val="0"/>
        <w:autoSpaceDN w:val="0"/>
        <w:spacing w:line="360" w:lineRule="auto"/>
        <w:rPr>
          <w:rFonts w:ascii="宋体" w:hAnsi="宋体" w:cs="宋体"/>
          <w:color w:val="000000"/>
          <w:kern w:val="0"/>
          <w:lang w:val="zh-CN"/>
        </w:rPr>
      </w:pPr>
    </w:p>
    <w:p w14:paraId="0B219366">
      <w:pPr>
        <w:autoSpaceDE w:val="0"/>
        <w:autoSpaceDN w:val="0"/>
        <w:spacing w:line="360" w:lineRule="auto"/>
        <w:rPr>
          <w:rFonts w:ascii="宋体" w:hAnsi="宋体" w:cs="宋体"/>
          <w:color w:val="000000"/>
          <w:kern w:val="0"/>
          <w:lang w:val="zh-CN"/>
        </w:rPr>
      </w:pPr>
    </w:p>
    <w:p w14:paraId="6D452F6C">
      <w:pPr>
        <w:autoSpaceDE w:val="0"/>
        <w:autoSpaceDN w:val="0"/>
        <w:spacing w:line="360" w:lineRule="auto"/>
        <w:rPr>
          <w:rFonts w:ascii="宋体" w:hAnsi="宋体" w:cs="宋体"/>
          <w:color w:val="000000"/>
          <w:kern w:val="0"/>
          <w:lang w:val="zh-CN"/>
        </w:rPr>
      </w:pPr>
    </w:p>
    <w:p w14:paraId="6CA66016">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357F326">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7CF61FA">
      <w:pPr>
        <w:pStyle w:val="18"/>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157"/>
      <w:bookmarkStart w:id="158" w:name="_Toc15392"/>
      <w:bookmarkStart w:id="159" w:name="_Toc28694"/>
      <w:bookmarkStart w:id="160" w:name="_Toc11293"/>
      <w:bookmarkStart w:id="161"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158"/>
      <w:bookmarkEnd w:id="159"/>
      <w:bookmarkEnd w:id="160"/>
    </w:p>
    <w:p w14:paraId="17DF2008">
      <w:pPr>
        <w:spacing w:line="360" w:lineRule="auto"/>
        <w:rPr>
          <w:rFonts w:ascii="宋体" w:hAnsi="宋体" w:cs="宋体"/>
          <w:color w:val="000000"/>
          <w:sz w:val="28"/>
          <w:szCs w:val="28"/>
          <w:lang w:val="zh-CN"/>
        </w:rPr>
      </w:pPr>
    </w:p>
    <w:p w14:paraId="6166A0E3">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660BE690">
      <w:pPr>
        <w:autoSpaceDE w:val="0"/>
        <w:autoSpaceDN w:val="0"/>
        <w:spacing w:line="360" w:lineRule="auto"/>
        <w:rPr>
          <w:rFonts w:ascii="宋体" w:hAnsi="宋体" w:cs="宋体"/>
          <w:b/>
          <w:bCs/>
          <w:color w:val="000000"/>
          <w:kern w:val="0"/>
          <w:sz w:val="28"/>
          <w:szCs w:val="28"/>
          <w:lang w:val="zh-CN"/>
        </w:rPr>
      </w:pPr>
    </w:p>
    <w:p w14:paraId="74AD53B7">
      <w:pPr>
        <w:autoSpaceDE w:val="0"/>
        <w:autoSpaceDN w:val="0"/>
        <w:spacing w:line="360" w:lineRule="auto"/>
        <w:rPr>
          <w:rFonts w:hint="eastAsia" w:ascii="宋体" w:hAnsi="宋体" w:eastAsia="宋体" w:cs="宋体"/>
          <w:b/>
          <w:bCs/>
          <w:color w:val="000000"/>
          <w:kern w:val="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青海凌星项目管理有限公司</w:t>
      </w:r>
    </w:p>
    <w:p w14:paraId="7E0A003B">
      <w:pPr>
        <w:autoSpaceDE w:val="0"/>
        <w:autoSpaceDN w:val="0"/>
        <w:spacing w:line="360" w:lineRule="auto"/>
        <w:rPr>
          <w:rFonts w:ascii="宋体" w:hAnsi="宋体" w:cs="宋体"/>
          <w:b/>
          <w:bCs/>
          <w:color w:val="000000"/>
          <w:kern w:val="0"/>
        </w:rPr>
      </w:pPr>
    </w:p>
    <w:p w14:paraId="14FB9F9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5F749540">
      <w:pPr>
        <w:spacing w:line="360" w:lineRule="auto"/>
        <w:ind w:firstLine="480"/>
        <w:rPr>
          <w:rFonts w:ascii="宋体" w:hAnsi="宋体"/>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rPr>
        <w:t xml:space="preserve">代表我单位全权办理针对       </w:t>
      </w:r>
    </w:p>
    <w:p w14:paraId="1C2D25DD">
      <w:pPr>
        <w:spacing w:line="360" w:lineRule="auto"/>
        <w:ind w:firstLine="480"/>
        <w:rPr>
          <w:rFonts w:ascii="宋体" w:hAnsi="宋体"/>
        </w:rPr>
      </w:pPr>
      <w:r>
        <w:rPr>
          <w:rFonts w:hint="eastAsia" w:ascii="宋体" w:hAnsi="宋体"/>
          <w:u w:val="single"/>
        </w:rPr>
        <w:t xml:space="preserve">        </w:t>
      </w:r>
      <w:r>
        <w:rPr>
          <w:rFonts w:hint="eastAsia" w:ascii="宋体" w:hAnsi="宋体"/>
        </w:rPr>
        <w:t>项目的投标、答疑等具体工作，并签署全部有关的文件、资料。</w:t>
      </w:r>
    </w:p>
    <w:p w14:paraId="3453A6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20348C5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在撤销授权的书面通知以前，本授权书一直有效，被授权人签署的所有文件（在授权书有效期内签署的）不因授权的撤销而失效。</w:t>
      </w:r>
    </w:p>
    <w:p w14:paraId="25D2E944">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被授权人联系电话：</w:t>
      </w:r>
      <w:r>
        <w:rPr>
          <w:rFonts w:hint="eastAsia" w:ascii="宋体" w:hAnsi="宋体" w:cs="宋体"/>
          <w:color w:val="000000"/>
          <w:kern w:val="0"/>
          <w:u w:val="single"/>
          <w:lang w:val="zh-CN"/>
        </w:rPr>
        <w:t xml:space="preserve">              </w:t>
      </w:r>
      <w:r>
        <w:rPr>
          <w:rFonts w:hint="eastAsia" w:ascii="宋体" w:hAnsi="宋体" w:cs="宋体"/>
          <w:color w:val="000000"/>
          <w:kern w:val="0"/>
        </w:rPr>
        <w:t xml:space="preserve">            </w:t>
      </w:r>
    </w:p>
    <w:p w14:paraId="2E7326F5">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授权人（法定代表人）签字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 xml:space="preserve">：  </w:t>
      </w:r>
    </w:p>
    <w:p w14:paraId="05442070">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职务：_______________</w:t>
      </w:r>
    </w:p>
    <w:p w14:paraId="18A5BAD7">
      <w:pPr>
        <w:autoSpaceDE w:val="0"/>
        <w:autoSpaceDN w:val="0"/>
        <w:spacing w:line="360" w:lineRule="auto"/>
        <w:rPr>
          <w:rFonts w:ascii="宋体" w:hAnsi="宋体" w:cs="宋体"/>
          <w:color w:val="000000"/>
          <w:kern w:val="0"/>
          <w:lang w:val="zh-CN"/>
        </w:rPr>
      </w:pPr>
    </w:p>
    <w:p w14:paraId="162A3C1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5D612525">
      <w:pPr>
        <w:autoSpaceDE w:val="0"/>
        <w:autoSpaceDN w:val="0"/>
        <w:spacing w:line="360" w:lineRule="auto"/>
        <w:rPr>
          <w:rFonts w:ascii="宋体" w:hAnsi="宋体" w:cs="宋体"/>
          <w:color w:val="000000"/>
          <w:kern w:val="0"/>
          <w:lang w:val="zh-CN"/>
        </w:rPr>
      </w:pPr>
    </w:p>
    <w:p w14:paraId="683E882D">
      <w:pPr>
        <w:autoSpaceDE w:val="0"/>
        <w:autoSpaceDN w:val="0"/>
        <w:spacing w:line="360" w:lineRule="auto"/>
        <w:rPr>
          <w:rFonts w:ascii="宋体" w:hAnsi="宋体" w:cs="宋体"/>
          <w:color w:val="000000"/>
          <w:kern w:val="0"/>
          <w:lang w:val="zh-CN"/>
        </w:rPr>
      </w:pPr>
    </w:p>
    <w:p w14:paraId="6595564A">
      <w:pPr>
        <w:autoSpaceDE w:val="0"/>
        <w:autoSpaceDN w:val="0"/>
        <w:spacing w:line="360" w:lineRule="auto"/>
        <w:rPr>
          <w:rFonts w:ascii="宋体" w:hAnsi="宋体" w:cs="宋体"/>
          <w:color w:val="000000"/>
          <w:kern w:val="0"/>
          <w:lang w:val="zh-CN"/>
        </w:rPr>
      </w:pPr>
    </w:p>
    <w:p w14:paraId="06D7E6B4">
      <w:pPr>
        <w:autoSpaceDE w:val="0"/>
        <w:autoSpaceDN w:val="0"/>
        <w:spacing w:line="360" w:lineRule="auto"/>
        <w:rPr>
          <w:rFonts w:ascii="宋体" w:hAnsi="宋体" w:cs="宋体"/>
          <w:color w:val="000000"/>
          <w:kern w:val="0"/>
          <w:lang w:val="zh-CN"/>
        </w:rPr>
      </w:pPr>
    </w:p>
    <w:p w14:paraId="1FFCF6C4">
      <w:pPr>
        <w:autoSpaceDE w:val="0"/>
        <w:autoSpaceDN w:val="0"/>
        <w:spacing w:line="360" w:lineRule="auto"/>
        <w:rPr>
          <w:rFonts w:ascii="宋体" w:hAnsi="宋体" w:cs="宋体"/>
          <w:color w:val="000000"/>
          <w:kern w:val="0"/>
          <w:lang w:val="zh-CN"/>
        </w:rPr>
      </w:pPr>
    </w:p>
    <w:p w14:paraId="4C0AE005">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662D2D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F361FA4">
      <w:pPr>
        <w:autoSpaceDE w:val="0"/>
        <w:autoSpaceDN w:val="0"/>
        <w:spacing w:line="360" w:lineRule="auto"/>
        <w:rPr>
          <w:rFonts w:ascii="宋体" w:hAnsi="宋体" w:cs="宋体"/>
          <w:color w:val="000000"/>
          <w:kern w:val="0"/>
          <w:lang w:val="zh-CN"/>
        </w:rPr>
      </w:pPr>
    </w:p>
    <w:p w14:paraId="64BA8CC2">
      <w:pPr>
        <w:pStyle w:val="18"/>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62" w:name="_Toc600"/>
      <w:bookmarkStart w:id="163" w:name="_Toc5438"/>
      <w:bookmarkStart w:id="164" w:name="_Toc21241"/>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162"/>
      <w:bookmarkEnd w:id="163"/>
      <w:bookmarkEnd w:id="164"/>
    </w:p>
    <w:p w14:paraId="532BBA21">
      <w:pPr>
        <w:autoSpaceDE w:val="0"/>
        <w:autoSpaceDN w:val="0"/>
        <w:spacing w:line="360" w:lineRule="auto"/>
        <w:rPr>
          <w:rFonts w:ascii="宋体" w:hAnsi="宋体" w:cs="宋体"/>
          <w:color w:val="000000"/>
          <w:kern w:val="0"/>
          <w:sz w:val="28"/>
          <w:szCs w:val="28"/>
          <w:lang w:val="zh-CN"/>
        </w:rPr>
      </w:pPr>
    </w:p>
    <w:p w14:paraId="25E82CF6">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6DF9E0F2">
      <w:pPr>
        <w:autoSpaceDE w:val="0"/>
        <w:autoSpaceDN w:val="0"/>
        <w:spacing w:line="360" w:lineRule="auto"/>
        <w:rPr>
          <w:rFonts w:ascii="宋体" w:hAnsi="宋体" w:cs="宋体"/>
          <w:b/>
          <w:bCs/>
          <w:color w:val="000000"/>
          <w:kern w:val="0"/>
          <w:sz w:val="28"/>
          <w:szCs w:val="28"/>
          <w:lang w:val="zh-CN"/>
        </w:rPr>
      </w:pPr>
    </w:p>
    <w:p w14:paraId="0E6D9040">
      <w:pPr>
        <w:autoSpaceDE w:val="0"/>
        <w:autoSpaceDN w:val="0"/>
        <w:spacing w:line="360" w:lineRule="auto"/>
        <w:rPr>
          <w:rFonts w:hint="eastAsia" w:ascii="宋体" w:hAnsi="宋体" w:eastAsia="宋体" w:cs="宋体"/>
          <w:b/>
          <w:bCs/>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青海凌星项目管理有限公司</w:t>
      </w:r>
    </w:p>
    <w:p w14:paraId="2C63DB2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(项目名称)</w:t>
      </w:r>
      <w:r>
        <w:rPr>
          <w:rFonts w:hint="eastAsia" w:ascii="宋体" w:hAnsi="宋体" w:cs="宋体"/>
          <w:color w:val="000000"/>
          <w:kern w:val="0"/>
          <w:lang w:val="zh-CN"/>
        </w:rPr>
        <w:t>采购项目，本签字人愿意参加投标，提供服务需求中要求的所有内容，并证实提交的所有资料是准确的和真实的。同时，我代表（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14:paraId="58FA05BB">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 xml:space="preserve">   </w:t>
      </w:r>
      <w:r>
        <w:rPr>
          <w:rFonts w:hint="eastAsia" w:ascii="宋体" w:hAnsi="宋体" w:cs="宋体"/>
          <w:color w:val="000000"/>
          <w:kern w:val="0"/>
        </w:rPr>
        <w:t xml:space="preserve"> 1、完全理解和接受招标文件的一切规定和要求；</w:t>
      </w:r>
    </w:p>
    <w:p w14:paraId="03C59D67">
      <w:pPr>
        <w:autoSpaceDE w:val="0"/>
        <w:autoSpaceDN w:val="0"/>
        <w:spacing w:line="360" w:lineRule="auto"/>
        <w:ind w:firstLine="240" w:firstLineChars="100"/>
        <w:rPr>
          <w:rFonts w:ascii="宋体" w:hAnsi="宋体" w:cs="宋体"/>
          <w:color w:val="000000"/>
          <w:kern w:val="0"/>
        </w:rPr>
      </w:pPr>
      <w:r>
        <w:rPr>
          <w:rFonts w:hint="eastAsia" w:ascii="宋体" w:hAnsi="宋体" w:cs="宋体"/>
          <w:color w:val="000000"/>
          <w:kern w:val="0"/>
        </w:rPr>
        <w:t xml:space="preserve">  2、若中标，我方将按照招标文件的具体规定与采购人签订采购合同，并且严格履行合同义务，按时完成，提供优质的服务。如果在合同执行过程中，发现质量等出现问题，我方一定尽快更换或补退货，并承担相应的经济责任。</w:t>
      </w:r>
    </w:p>
    <w:p w14:paraId="48CE99C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3、我方保证甲方在使用该产品或其任何一部分时，不受第三方提出的侵犯专利权、著作权、商标权和工业设计权等知识产权的起诉，若有违犯，愿承担相应的一切责任。</w:t>
      </w:r>
    </w:p>
    <w:p w14:paraId="742ABDA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4、我方承诺，除招标文件中规定的进口产品外，所投的产品均为国产产品，且均符合国家强制性标准。若有不实，愿承担相应的责任。</w:t>
      </w:r>
    </w:p>
    <w:p w14:paraId="14A61F7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5、针对本项目，我方承诺具备履行合同所必需的设备和专业技术能力。</w:t>
      </w:r>
    </w:p>
    <w:p w14:paraId="247E6A30">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6、在整个招标过程中我方若有违规行为，贵方可按招标文件之规定给予处罚，我方完全接受。</w:t>
      </w:r>
    </w:p>
    <w:p w14:paraId="77D1975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7、若中标，本承诺将成为合同不可分割的一部分，与合同具有同等的法律效力。</w:t>
      </w:r>
    </w:p>
    <w:p w14:paraId="42FA7FFA">
      <w:pPr>
        <w:autoSpaceDE w:val="0"/>
        <w:autoSpaceDN w:val="0"/>
        <w:spacing w:line="360" w:lineRule="auto"/>
        <w:rPr>
          <w:rFonts w:ascii="宋体" w:hAnsi="宋体" w:cs="宋体"/>
          <w:color w:val="000000"/>
          <w:kern w:val="0"/>
        </w:rPr>
      </w:pPr>
    </w:p>
    <w:p w14:paraId="596AC257">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1ACCC11">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0F18775">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228A6D0">
      <w:pPr>
        <w:pStyle w:val="18"/>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65" w:name="_Toc30651"/>
      <w:bookmarkStart w:id="166" w:name="_Toc27167"/>
      <w:bookmarkStart w:id="167" w:name="_Toc6677"/>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165"/>
      <w:bookmarkEnd w:id="166"/>
      <w:bookmarkEnd w:id="167"/>
    </w:p>
    <w:p w14:paraId="33ED7028">
      <w:pPr>
        <w:spacing w:line="360" w:lineRule="auto"/>
        <w:rPr>
          <w:rFonts w:ascii="宋体" w:hAnsi="宋体" w:cs="宋体"/>
          <w:color w:val="000000"/>
          <w:sz w:val="28"/>
          <w:szCs w:val="28"/>
          <w:lang w:val="zh-CN"/>
        </w:rPr>
      </w:pPr>
    </w:p>
    <w:p w14:paraId="2952D245">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00533FA9">
      <w:pPr>
        <w:autoSpaceDE w:val="0"/>
        <w:autoSpaceDN w:val="0"/>
        <w:spacing w:line="360" w:lineRule="auto"/>
        <w:rPr>
          <w:rFonts w:hint="eastAsia" w:ascii="宋体" w:hAnsi="宋体" w:eastAsia="宋体" w:cs="宋体"/>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青海凌星项目管理有限公司</w:t>
      </w:r>
    </w:p>
    <w:p w14:paraId="2B1E09D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0546FCA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6DF0AB9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00A06E9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547720E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6B78000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020A8F5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六、认真履行中标人应承担的责任和义务，全面执行采购合同规定的各项内容，保质保量地按时提供服务。</w:t>
      </w:r>
    </w:p>
    <w:p w14:paraId="25E0804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2318B33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058F025F">
      <w:pPr>
        <w:autoSpaceDE w:val="0"/>
        <w:autoSpaceDN w:val="0"/>
        <w:spacing w:line="360" w:lineRule="auto"/>
        <w:rPr>
          <w:rFonts w:ascii="宋体" w:hAnsi="宋体" w:cs="宋体"/>
          <w:color w:val="000000"/>
          <w:kern w:val="0"/>
          <w:lang w:val="zh-CN"/>
        </w:rPr>
      </w:pPr>
    </w:p>
    <w:p w14:paraId="5363B36F">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D71E16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5D838257">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8A4BF3C">
      <w:pPr>
        <w:pStyle w:val="31"/>
        <w:rPr>
          <w:rFonts w:hint="eastAsia" w:ascii="宋体" w:hAnsi="宋体" w:cs="宋体"/>
          <w:b/>
          <w:bCs/>
          <w:color w:val="000000"/>
          <w:kern w:val="0"/>
          <w:lang w:val="zh-CN"/>
        </w:rPr>
      </w:pPr>
    </w:p>
    <w:p w14:paraId="3145F8B8">
      <w:pPr>
        <w:pStyle w:val="31"/>
        <w:rPr>
          <w:rFonts w:hint="eastAsia" w:ascii="宋体" w:hAnsi="宋体" w:cs="宋体"/>
          <w:b/>
          <w:bCs/>
          <w:color w:val="000000"/>
          <w:kern w:val="0"/>
          <w:lang w:val="zh-CN"/>
        </w:rPr>
      </w:pPr>
    </w:p>
    <w:p w14:paraId="7F11CDE1">
      <w:pPr>
        <w:widowControl/>
        <w:jc w:val="left"/>
        <w:rPr>
          <w:lang w:val="zh-CN"/>
        </w:rPr>
      </w:pPr>
    </w:p>
    <w:bookmarkEnd w:id="161"/>
    <w:p w14:paraId="3E9E8F3F">
      <w:pPr>
        <w:pStyle w:val="18"/>
        <w:spacing w:before="0" w:after="0" w:line="360" w:lineRule="auto"/>
        <w:jc w:val="left"/>
        <w:outlineLvl w:val="1"/>
        <w:rPr>
          <w:rFonts w:ascii="宋体" w:hAnsi="宋体" w:cs="宋体"/>
          <w:color w:val="000000"/>
          <w:lang w:val="zh-CN"/>
        </w:rPr>
      </w:pPr>
      <w:bookmarkStart w:id="168" w:name="_Toc25830"/>
      <w:bookmarkStart w:id="169" w:name="_Toc1700"/>
      <w:bookmarkStart w:id="170" w:name="_Toc24103"/>
      <w:bookmarkStart w:id="17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168"/>
      <w:bookmarkEnd w:id="169"/>
      <w:bookmarkEnd w:id="170"/>
    </w:p>
    <w:p w14:paraId="2FBE28C5">
      <w:pPr>
        <w:spacing w:line="360" w:lineRule="auto"/>
        <w:rPr>
          <w:rFonts w:ascii="宋体" w:hAnsi="宋体" w:cs="宋体"/>
          <w:color w:val="000000"/>
          <w:sz w:val="28"/>
          <w:szCs w:val="28"/>
          <w:lang w:val="zh-CN"/>
        </w:rPr>
      </w:pPr>
    </w:p>
    <w:p w14:paraId="43CE1F99">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1D1644D0">
      <w:pPr>
        <w:autoSpaceDE w:val="0"/>
        <w:autoSpaceDN w:val="0"/>
        <w:spacing w:line="360" w:lineRule="auto"/>
        <w:rPr>
          <w:rFonts w:ascii="宋体" w:hAnsi="宋体" w:cs="宋体"/>
          <w:color w:val="000000"/>
          <w:kern w:val="0"/>
          <w:sz w:val="28"/>
          <w:szCs w:val="28"/>
          <w:lang w:val="zh-CN"/>
        </w:rPr>
      </w:pPr>
    </w:p>
    <w:p w14:paraId="61744571">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14:paraId="5BEF3D72">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14:paraId="6AF03489">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0082E1A7">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14:paraId="1FC9CD31">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14:paraId="2675B239">
      <w:pPr>
        <w:pStyle w:val="18"/>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172" w:name="_Toc15304"/>
      <w:bookmarkStart w:id="173" w:name="_Toc13825"/>
      <w:bookmarkStart w:id="174" w:name="_Toc6856"/>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172"/>
      <w:bookmarkEnd w:id="173"/>
      <w:bookmarkEnd w:id="174"/>
    </w:p>
    <w:p w14:paraId="39F3DEA7">
      <w:pPr>
        <w:autoSpaceDE w:val="0"/>
        <w:autoSpaceDN w:val="0"/>
        <w:spacing w:line="360" w:lineRule="auto"/>
        <w:rPr>
          <w:rFonts w:ascii="宋体" w:hAnsi="宋体" w:cs="宋体"/>
          <w:color w:val="000000"/>
          <w:kern w:val="0"/>
          <w:sz w:val="28"/>
          <w:szCs w:val="28"/>
          <w:lang w:val="zh-CN"/>
        </w:rPr>
      </w:pPr>
    </w:p>
    <w:p w14:paraId="6F4B6B33">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293FC4F0">
      <w:pPr>
        <w:autoSpaceDE w:val="0"/>
        <w:autoSpaceDN w:val="0"/>
        <w:spacing w:line="360" w:lineRule="auto"/>
        <w:rPr>
          <w:rFonts w:ascii="宋体" w:hAnsi="宋体" w:cs="宋体"/>
          <w:color w:val="000000"/>
          <w:kern w:val="0"/>
          <w:sz w:val="28"/>
          <w:szCs w:val="28"/>
          <w:lang w:val="zh-CN"/>
        </w:rPr>
      </w:pPr>
    </w:p>
    <w:p w14:paraId="332E41B9">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rPr>
        <w:t>按照《政府采购法》第22条规定提供以下相关材料</w:t>
      </w:r>
      <w:r>
        <w:rPr>
          <w:rFonts w:hint="eastAsia" w:ascii="宋体" w:hAnsi="宋体" w:cs="宋体"/>
          <w:color w:val="000000"/>
          <w:kern w:val="0"/>
          <w:lang w:val="zh-CN"/>
        </w:rPr>
        <w:t>。</w:t>
      </w:r>
    </w:p>
    <w:p w14:paraId="0B4827D7">
      <w:pPr>
        <w:autoSpaceDE w:val="0"/>
        <w:autoSpaceDN w:val="0"/>
        <w:spacing w:line="360" w:lineRule="auto"/>
        <w:ind w:firstLine="480"/>
        <w:rPr>
          <w:rFonts w:ascii="宋体" w:hAnsi="宋体"/>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b/>
          <w:bCs/>
          <w:color w:val="000000"/>
          <w:kern w:val="0"/>
          <w:lang w:val="zh-CN"/>
        </w:rPr>
        <w:t>基本开户银行</w:t>
      </w:r>
      <w:r>
        <w:rPr>
          <w:rFonts w:hint="eastAsia" w:ascii="宋体" w:hAnsi="宋体" w:cs="宋体"/>
          <w:color w:val="000000"/>
          <w:kern w:val="0"/>
        </w:rPr>
        <w:t>开标前</w:t>
      </w:r>
      <w:r>
        <w:rPr>
          <w:rFonts w:hint="eastAsia" w:ascii="宋体" w:hAnsi="宋体" w:cs="宋体"/>
          <w:color w:val="000000"/>
          <w:kern w:val="0"/>
          <w:lang w:val="zh-CN"/>
        </w:rPr>
        <w:t>近三个月内出具的资信证明（</w:t>
      </w:r>
      <w:r>
        <w:rPr>
          <w:rFonts w:hint="eastAsia" w:ascii="宋体" w:hAnsi="宋体"/>
        </w:rPr>
        <w:t>同时提供基本账户开户许可证或基本账户信息</w:t>
      </w:r>
      <w:r>
        <w:rPr>
          <w:rFonts w:hint="eastAsia" w:ascii="宋体" w:hAnsi="宋体" w:cs="宋体"/>
          <w:color w:val="000000"/>
          <w:kern w:val="0"/>
          <w:lang w:val="zh-CN"/>
        </w:rPr>
        <w:t>）或202</w:t>
      </w:r>
      <w:r>
        <w:rPr>
          <w:rFonts w:hint="eastAsia" w:ascii="宋体" w:hAnsi="宋体" w:cs="宋体"/>
          <w:color w:val="000000"/>
          <w:kern w:val="0"/>
        </w:rPr>
        <w:t>2</w:t>
      </w:r>
      <w:r>
        <w:rPr>
          <w:rFonts w:hint="eastAsia" w:ascii="宋体" w:hAnsi="宋体" w:cs="宋体"/>
          <w:color w:val="000000"/>
          <w:kern w:val="0"/>
          <w:lang w:val="zh-CN"/>
        </w:rPr>
        <w:t>年度</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kern w:val="0"/>
        </w:rPr>
        <w:t>注册会计师证书</w:t>
      </w:r>
      <w:r>
        <w:rPr>
          <w:rFonts w:hint="eastAsia" w:ascii="宋体" w:hAnsi="宋体" w:cs="宋体"/>
          <w:color w:val="000000"/>
          <w:kern w:val="0"/>
          <w:lang w:val="zh-CN"/>
        </w:rPr>
        <w:t>。</w:t>
      </w:r>
      <w:r>
        <w:rPr>
          <w:rFonts w:hint="eastAsia" w:ascii="宋体" w:hAnsi="宋体"/>
        </w:rPr>
        <w:t>投标人是其他组织和自然人，没有经审计的财务报告，可以提供基本开户银行</w:t>
      </w:r>
      <w:r>
        <w:rPr>
          <w:rFonts w:hint="eastAsia" w:ascii="宋体" w:hAnsi="宋体" w:cs="宋体"/>
          <w:color w:val="000000"/>
          <w:kern w:val="0"/>
        </w:rPr>
        <w:t>开标前</w:t>
      </w:r>
      <w:r>
        <w:rPr>
          <w:rFonts w:hint="eastAsia" w:ascii="宋体" w:hAnsi="宋体" w:cs="宋体"/>
          <w:color w:val="000000"/>
          <w:kern w:val="0"/>
          <w:lang w:val="zh-CN"/>
        </w:rPr>
        <w:t>近三个月内</w:t>
      </w:r>
      <w:r>
        <w:rPr>
          <w:rFonts w:hint="eastAsia" w:ascii="宋体" w:hAnsi="宋体"/>
        </w:rPr>
        <w:t>出具的资信证明（同时提供基本账户开户许可证或基本账户信息）</w:t>
      </w:r>
    </w:p>
    <w:p w14:paraId="04DE6BC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三个月的依法缴纳税收和社会保障资金记录的证明材料；依法免税或不需要缴纳社会保障资金的投标人须提供相应文件证明其依法免税或不需要缴纳社会保障资金。（成立时间不足三个月的公司按成立月份提供）</w:t>
      </w:r>
    </w:p>
    <w:bookmarkEnd w:id="171"/>
    <w:p w14:paraId="1AD82DFC">
      <w:pPr>
        <w:pStyle w:val="18"/>
        <w:spacing w:before="0" w:after="0" w:line="360" w:lineRule="auto"/>
        <w:jc w:val="left"/>
        <w:outlineLvl w:val="1"/>
        <w:rPr>
          <w:rFonts w:ascii="宋体" w:hAnsi="宋体" w:cs="宋体"/>
          <w:color w:val="000000"/>
        </w:rPr>
      </w:pPr>
      <w:bookmarkStart w:id="175" w:name="_Toc21530"/>
      <w:r>
        <w:rPr>
          <w:rFonts w:hint="eastAsia" w:ascii="宋体" w:hAnsi="宋体" w:cs="宋体"/>
          <w:color w:val="000000"/>
          <w:kern w:val="0"/>
          <w:sz w:val="24"/>
          <w:lang w:val="zh-CN"/>
        </w:rPr>
        <w:br w:type="page"/>
      </w:r>
      <w:bookmarkStart w:id="176" w:name="_Toc4304"/>
      <w:bookmarkStart w:id="177" w:name="_Toc10161"/>
      <w:bookmarkStart w:id="178" w:name="_Toc12679"/>
      <w:r>
        <w:rPr>
          <w:rFonts w:hint="eastAsia" w:ascii="宋体" w:hAnsi="宋体" w:cs="宋体"/>
          <w:color w:val="000000"/>
          <w:sz w:val="30"/>
          <w:szCs w:val="30"/>
        </w:rPr>
        <w:t>（8）</w:t>
      </w:r>
      <w:r>
        <w:rPr>
          <w:rFonts w:hint="eastAsia" w:ascii="宋体" w:hAnsi="宋体" w:cs="宋体"/>
          <w:color w:val="000000"/>
          <w:sz w:val="30"/>
          <w:szCs w:val="30"/>
          <w:lang w:val="zh-CN"/>
        </w:rPr>
        <w:t>无重大违法记录声明</w:t>
      </w:r>
      <w:bookmarkEnd w:id="176"/>
      <w:bookmarkEnd w:id="177"/>
      <w:bookmarkEnd w:id="178"/>
    </w:p>
    <w:p w14:paraId="02776165">
      <w:pPr>
        <w:autoSpaceDE w:val="0"/>
        <w:autoSpaceDN w:val="0"/>
        <w:spacing w:line="360" w:lineRule="auto"/>
        <w:rPr>
          <w:rFonts w:ascii="宋体" w:hAnsi="宋体" w:cs="宋体"/>
          <w:color w:val="000000"/>
          <w:kern w:val="0"/>
          <w:sz w:val="28"/>
          <w:szCs w:val="28"/>
          <w:lang w:val="zh-CN"/>
        </w:rPr>
      </w:pPr>
    </w:p>
    <w:p w14:paraId="30CE23FB">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612E290C">
      <w:pPr>
        <w:spacing w:line="360" w:lineRule="auto"/>
        <w:rPr>
          <w:rFonts w:ascii="宋体" w:hAnsi="宋体" w:cs="宋体"/>
          <w:b/>
          <w:bCs/>
          <w:color w:val="000000"/>
          <w:sz w:val="28"/>
          <w:szCs w:val="28"/>
        </w:rPr>
      </w:pPr>
    </w:p>
    <w:p w14:paraId="2B7BFE54">
      <w:pPr>
        <w:spacing w:line="360" w:lineRule="auto"/>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kern w:val="0"/>
          <w:lang w:eastAsia="zh-CN"/>
        </w:rPr>
        <w:t>青海凌星项目管理有限公司</w:t>
      </w:r>
    </w:p>
    <w:p w14:paraId="262E9CAC">
      <w:pPr>
        <w:spacing w:line="360" w:lineRule="auto"/>
        <w:rPr>
          <w:rFonts w:ascii="宋体" w:hAnsi="宋体" w:cs="宋体"/>
          <w:b/>
          <w:bCs/>
          <w:color w:val="000000"/>
        </w:rPr>
      </w:pPr>
    </w:p>
    <w:p w14:paraId="658B8074">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73B21EA1">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14:paraId="1ED5F007">
      <w:pPr>
        <w:tabs>
          <w:tab w:val="left" w:pos="168"/>
        </w:tabs>
        <w:adjustRightInd w:val="0"/>
        <w:textAlignment w:val="baseline"/>
        <w:rPr>
          <w:rFonts w:ascii="宋体"/>
          <w:b/>
          <w:bCs/>
        </w:rPr>
      </w:pPr>
    </w:p>
    <w:p w14:paraId="28B7BD05">
      <w:pPr>
        <w:autoSpaceDE w:val="0"/>
        <w:autoSpaceDN w:val="0"/>
        <w:spacing w:line="360" w:lineRule="auto"/>
        <w:jc w:val="left"/>
        <w:rPr>
          <w:rFonts w:ascii="宋体" w:hAnsi="宋体" w:cs="宋体"/>
          <w:color w:val="000000"/>
          <w:kern w:val="0"/>
          <w:lang w:val="zh-CN"/>
        </w:rPr>
      </w:pPr>
    </w:p>
    <w:p w14:paraId="020269BD">
      <w:pPr>
        <w:autoSpaceDE w:val="0"/>
        <w:autoSpaceDN w:val="0"/>
        <w:spacing w:line="360" w:lineRule="auto"/>
        <w:jc w:val="left"/>
        <w:rPr>
          <w:rFonts w:ascii="宋体" w:hAnsi="宋体" w:cs="宋体"/>
          <w:color w:val="000000"/>
          <w:kern w:val="0"/>
          <w:lang w:val="zh-CN"/>
        </w:rPr>
      </w:pPr>
    </w:p>
    <w:p w14:paraId="4B90C4E7">
      <w:pPr>
        <w:autoSpaceDE w:val="0"/>
        <w:autoSpaceDN w:val="0"/>
        <w:spacing w:line="360" w:lineRule="auto"/>
        <w:jc w:val="left"/>
        <w:rPr>
          <w:rFonts w:ascii="宋体" w:hAnsi="宋体" w:cs="宋体"/>
          <w:color w:val="000000"/>
          <w:kern w:val="0"/>
          <w:lang w:val="zh-CN"/>
        </w:rPr>
      </w:pPr>
    </w:p>
    <w:p w14:paraId="3E0E2240">
      <w:pPr>
        <w:autoSpaceDE w:val="0"/>
        <w:autoSpaceDN w:val="0"/>
        <w:spacing w:line="360" w:lineRule="auto"/>
        <w:jc w:val="left"/>
        <w:rPr>
          <w:rFonts w:ascii="宋体" w:hAnsi="宋体" w:cs="宋体"/>
          <w:color w:val="000000"/>
          <w:kern w:val="0"/>
          <w:lang w:val="zh-CN"/>
        </w:rPr>
      </w:pPr>
    </w:p>
    <w:p w14:paraId="2F465EA6">
      <w:pPr>
        <w:autoSpaceDE w:val="0"/>
        <w:autoSpaceDN w:val="0"/>
        <w:spacing w:line="360" w:lineRule="auto"/>
        <w:jc w:val="left"/>
        <w:rPr>
          <w:rFonts w:ascii="宋体" w:hAnsi="宋体" w:cs="宋体"/>
          <w:color w:val="000000"/>
          <w:kern w:val="0"/>
          <w:lang w:val="zh-CN"/>
        </w:rPr>
      </w:pPr>
    </w:p>
    <w:p w14:paraId="163241BA">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198E53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F98ABCC">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bookmarkEnd w:id="175"/>
    <w:p w14:paraId="54B593D7">
      <w:pPr>
        <w:pStyle w:val="18"/>
        <w:spacing w:before="0" w:after="0" w:line="360" w:lineRule="auto"/>
        <w:jc w:val="left"/>
        <w:outlineLvl w:val="9"/>
        <w:rPr>
          <w:rFonts w:ascii="宋体" w:hAnsi="宋体" w:cs="宋体"/>
          <w:color w:val="000000"/>
          <w:lang w:val="zh-CN"/>
        </w:rPr>
      </w:pPr>
    </w:p>
    <w:p w14:paraId="62CE279D">
      <w:pPr>
        <w:pStyle w:val="18"/>
        <w:spacing w:before="0" w:after="0" w:line="360" w:lineRule="auto"/>
        <w:jc w:val="left"/>
        <w:outlineLvl w:val="9"/>
        <w:rPr>
          <w:rFonts w:ascii="宋体" w:hAnsi="宋体" w:cs="宋体"/>
          <w:color w:val="000000"/>
          <w:lang w:val="zh-CN"/>
        </w:rPr>
      </w:pPr>
    </w:p>
    <w:p w14:paraId="45F4B795">
      <w:pPr>
        <w:pStyle w:val="18"/>
        <w:spacing w:before="0" w:after="0" w:line="360" w:lineRule="auto"/>
        <w:jc w:val="left"/>
        <w:outlineLvl w:val="9"/>
        <w:rPr>
          <w:rFonts w:ascii="宋体" w:hAnsi="宋体" w:cs="宋体"/>
          <w:color w:val="000000"/>
          <w:lang w:val="zh-CN"/>
        </w:rPr>
      </w:pPr>
    </w:p>
    <w:p w14:paraId="5A08E662">
      <w:pPr>
        <w:pStyle w:val="18"/>
        <w:spacing w:before="0" w:after="0" w:line="360" w:lineRule="auto"/>
        <w:jc w:val="left"/>
        <w:outlineLvl w:val="9"/>
        <w:rPr>
          <w:rFonts w:ascii="宋体" w:hAnsi="宋体" w:cs="宋体"/>
          <w:color w:val="000000"/>
          <w:lang w:val="zh-CN"/>
        </w:rPr>
      </w:pPr>
    </w:p>
    <w:p w14:paraId="79305C2A">
      <w:pPr>
        <w:rPr>
          <w:rFonts w:ascii="宋体" w:hAnsi="宋体" w:cs="宋体"/>
          <w:color w:val="000000"/>
          <w:lang w:val="zh-CN"/>
        </w:rPr>
      </w:pPr>
    </w:p>
    <w:p w14:paraId="1FA14E77">
      <w:pPr>
        <w:pStyle w:val="31"/>
        <w:rPr>
          <w:lang w:val="zh-CN"/>
        </w:rPr>
      </w:pPr>
    </w:p>
    <w:p w14:paraId="751C346E">
      <w:pPr>
        <w:pStyle w:val="18"/>
        <w:spacing w:before="0" w:after="0" w:line="360" w:lineRule="auto"/>
        <w:jc w:val="left"/>
        <w:outlineLvl w:val="9"/>
        <w:rPr>
          <w:rFonts w:ascii="宋体" w:hAnsi="宋体" w:cs="宋体"/>
          <w:color w:val="000000"/>
          <w:lang w:val="zh-CN"/>
        </w:rPr>
      </w:pPr>
    </w:p>
    <w:p w14:paraId="5DA33DB4">
      <w:pPr>
        <w:rPr>
          <w:rFonts w:ascii="宋体" w:hAnsi="宋体" w:cs="宋体"/>
          <w:color w:val="000000"/>
          <w:lang w:val="zh-CN"/>
        </w:rPr>
      </w:pPr>
    </w:p>
    <w:p w14:paraId="49199B50">
      <w:pPr>
        <w:pStyle w:val="19"/>
        <w:ind w:firstLine="240"/>
        <w:rPr>
          <w:rFonts w:ascii="宋体" w:hAnsi="宋体" w:cs="宋体"/>
          <w:color w:val="000000"/>
          <w:lang w:val="zh-CN"/>
        </w:rPr>
      </w:pPr>
    </w:p>
    <w:p w14:paraId="05D73AED">
      <w:pPr>
        <w:pStyle w:val="19"/>
        <w:ind w:left="0" w:leftChars="0" w:firstLine="0" w:firstLineChars="0"/>
        <w:rPr>
          <w:rFonts w:ascii="宋体" w:hAnsi="宋体" w:cs="宋体"/>
          <w:color w:val="000000"/>
          <w:lang w:val="zh-CN"/>
        </w:rPr>
      </w:pPr>
    </w:p>
    <w:p w14:paraId="48689B83">
      <w:pPr>
        <w:jc w:val="both"/>
        <w:outlineLvl w:val="1"/>
        <w:rPr>
          <w:rFonts w:hint="eastAsia" w:ascii="宋体" w:hAnsi="宋体" w:eastAsia="宋体" w:cs="宋体"/>
          <w:b/>
          <w:bCs/>
          <w:color w:val="000000"/>
          <w:kern w:val="2"/>
          <w:sz w:val="30"/>
          <w:szCs w:val="30"/>
          <w:lang w:val="zh-CN" w:eastAsia="zh-CN" w:bidi="ar-SA"/>
        </w:rPr>
      </w:pPr>
      <w:bookmarkStart w:id="179" w:name="_Toc32683"/>
      <w:bookmarkStart w:id="180" w:name="_Toc6054"/>
      <w:bookmarkStart w:id="181" w:name="_Toc64731381"/>
      <w:bookmarkStart w:id="182" w:name="_Toc2148"/>
      <w:bookmarkStart w:id="183" w:name="_Toc29764"/>
      <w:r>
        <w:rPr>
          <w:rFonts w:hint="eastAsia" w:ascii="宋体" w:hAnsi="宋体" w:eastAsia="宋体" w:cs="宋体"/>
          <w:b/>
          <w:bCs/>
          <w:color w:val="000000"/>
          <w:kern w:val="2"/>
          <w:sz w:val="30"/>
          <w:szCs w:val="30"/>
          <w:lang w:val="en-US" w:eastAsia="zh-CN" w:bidi="ar-SA"/>
        </w:rPr>
        <w:t>（9）</w:t>
      </w:r>
      <w:r>
        <w:rPr>
          <w:rFonts w:hint="eastAsia" w:ascii="宋体" w:hAnsi="宋体" w:cs="宋体"/>
          <w:b/>
          <w:bCs/>
          <w:color w:val="000000"/>
          <w:kern w:val="2"/>
          <w:sz w:val="30"/>
          <w:szCs w:val="30"/>
          <w:lang w:val="zh-CN" w:eastAsia="zh-CN" w:bidi="ar-SA"/>
        </w:rPr>
        <w:t>具有履行合同所必需的设备和专业技术能力证明</w:t>
      </w:r>
      <w:bookmarkEnd w:id="179"/>
    </w:p>
    <w:p w14:paraId="1728ECE5">
      <w:pPr>
        <w:jc w:val="center"/>
        <w:rPr>
          <w:rFonts w:ascii="宋体"/>
          <w:b/>
          <w:smallCaps/>
          <w:sz w:val="36"/>
          <w:szCs w:val="36"/>
          <w:lang w:val="zh-CN"/>
        </w:rPr>
      </w:pPr>
    </w:p>
    <w:p w14:paraId="047A305A">
      <w:pPr>
        <w:pStyle w:val="18"/>
        <w:spacing w:before="0" w:after="0" w:line="360" w:lineRule="auto"/>
        <w:jc w:val="left"/>
        <w:outlineLvl w:val="9"/>
        <w:rPr>
          <w:rFonts w:hint="eastAsia" w:ascii="宋体" w:hAnsi="宋体" w:cs="宋体"/>
          <w:color w:val="000000"/>
          <w:sz w:val="30"/>
          <w:szCs w:val="30"/>
        </w:rPr>
      </w:pPr>
    </w:p>
    <w:p w14:paraId="54F7E1E8">
      <w:pPr>
        <w:rPr>
          <w:rFonts w:hint="eastAsia" w:ascii="宋体" w:hAnsi="宋体" w:cs="宋体"/>
          <w:color w:val="000000"/>
          <w:sz w:val="30"/>
          <w:szCs w:val="30"/>
        </w:rPr>
      </w:pPr>
    </w:p>
    <w:p w14:paraId="123E4513">
      <w:pPr>
        <w:jc w:val="center"/>
        <w:rPr>
          <w:rFonts w:ascii="宋体"/>
          <w:b/>
          <w:smallCaps/>
          <w:sz w:val="36"/>
          <w:szCs w:val="36"/>
          <w:lang w:val="zh-CN"/>
        </w:rPr>
      </w:pPr>
      <w:r>
        <w:rPr>
          <w:rFonts w:hint="eastAsia" w:ascii="宋体"/>
          <w:b/>
          <w:smallCaps/>
          <w:sz w:val="36"/>
          <w:szCs w:val="36"/>
          <w:lang w:val="zh-CN"/>
        </w:rPr>
        <w:t>具有履行合同所必需的设备和专业技术能力证明</w:t>
      </w:r>
    </w:p>
    <w:p w14:paraId="6D1E6050">
      <w:pPr>
        <w:jc w:val="center"/>
        <w:rPr>
          <w:rFonts w:ascii="宋体"/>
          <w:b/>
          <w:smallCaps/>
          <w:sz w:val="36"/>
          <w:szCs w:val="36"/>
          <w:lang w:val="zh-CN"/>
        </w:rPr>
      </w:pPr>
    </w:p>
    <w:p w14:paraId="071FA159">
      <w:pPr>
        <w:autoSpaceDE w:val="0"/>
        <w:autoSpaceDN w:val="0"/>
        <w:ind w:firstLine="480"/>
        <w:rPr>
          <w:rFonts w:ascii="宋体" w:hAnsi="Cambria" w:cs="宋体"/>
          <w:color w:val="000000" w:themeColor="text1"/>
          <w:lang w:val="zh-CN"/>
          <w14:textFill>
            <w14:solidFill>
              <w14:schemeClr w14:val="tx1"/>
            </w14:solidFill>
          </w14:textFill>
        </w:rPr>
      </w:pPr>
    </w:p>
    <w:p w14:paraId="2F84217C">
      <w:pPr>
        <w:spacing w:line="360" w:lineRule="auto"/>
        <w:ind w:firstLine="48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为保证本项目合同的顺利履行，投标</w:t>
      </w:r>
      <w:r>
        <w:rPr>
          <w:rFonts w:hint="eastAsia" w:ascii="宋体" w:hAnsi="宋体" w:cs="宋体"/>
          <w:color w:val="000000" w:themeColor="text1"/>
          <w:lang w:val="en-US" w:eastAsia="zh-CN"/>
          <w14:textFill>
            <w14:solidFill>
              <w14:schemeClr w14:val="tx1"/>
            </w14:solidFill>
          </w14:textFill>
        </w:rPr>
        <w:t>人必需</w:t>
      </w:r>
      <w:r>
        <w:rPr>
          <w:rFonts w:hint="eastAsia" w:ascii="宋体" w:hAnsi="宋体" w:cs="宋体"/>
          <w:color w:val="000000" w:themeColor="text1"/>
          <w:lang w:val="zh-CN"/>
          <w14:textFill>
            <w14:solidFill>
              <w14:schemeClr w14:val="tx1"/>
            </w14:solidFill>
          </w14:textFill>
        </w:rPr>
        <w:t>具备履行合同的设备和专业技术能力，须提供</w:t>
      </w:r>
      <w:r>
        <w:rPr>
          <w:rFonts w:hint="eastAsia" w:ascii="宋体" w:hAnsi="宋体" w:cs="宋体"/>
          <w:color w:val="000000"/>
          <w:kern w:val="0"/>
          <w:lang w:val="en-US" w:eastAsia="zh-CN"/>
        </w:rPr>
        <w:t>必需</w:t>
      </w:r>
      <w:r>
        <w:rPr>
          <w:rFonts w:hint="eastAsia" w:ascii="宋体" w:hAnsi="宋体" w:cs="宋体"/>
          <w:color w:val="000000" w:themeColor="text1"/>
          <w:lang w:val="zh-CN"/>
          <w14:textFill>
            <w14:solidFill>
              <w14:schemeClr w14:val="tx1"/>
            </w14:solidFill>
          </w14:textFill>
        </w:rPr>
        <w:t>具备履行合同的设备和专业技术能力的承诺函（格式自拟），提供相关设备的购置发票或相关人员的职称证书、用工合同等证明材料。</w:t>
      </w:r>
    </w:p>
    <w:p w14:paraId="78F2EBF5">
      <w:pPr>
        <w:pStyle w:val="18"/>
        <w:rPr>
          <w:rFonts w:hint="eastAsia" w:ascii="宋体" w:hAnsi="宋体" w:cs="宋体"/>
          <w:color w:val="000000" w:themeColor="text1"/>
          <w:lang w:val="zh-CN"/>
          <w14:textFill>
            <w14:solidFill>
              <w14:schemeClr w14:val="tx1"/>
            </w14:solidFill>
          </w14:textFill>
        </w:rPr>
      </w:pPr>
    </w:p>
    <w:p w14:paraId="448C2546">
      <w:pPr>
        <w:rPr>
          <w:rFonts w:hint="eastAsia" w:ascii="宋体" w:hAnsi="宋体" w:cs="宋体"/>
          <w:color w:val="000000" w:themeColor="text1"/>
          <w:lang w:val="zh-CN"/>
          <w14:textFill>
            <w14:solidFill>
              <w14:schemeClr w14:val="tx1"/>
            </w14:solidFill>
          </w14:textFill>
        </w:rPr>
      </w:pPr>
    </w:p>
    <w:p w14:paraId="7C5FEC4D">
      <w:pPr>
        <w:pStyle w:val="18"/>
        <w:rPr>
          <w:rFonts w:hint="eastAsia" w:ascii="宋体" w:hAnsi="宋体" w:cs="宋体"/>
          <w:color w:val="000000" w:themeColor="text1"/>
          <w:lang w:val="zh-CN"/>
          <w14:textFill>
            <w14:solidFill>
              <w14:schemeClr w14:val="tx1"/>
            </w14:solidFill>
          </w14:textFill>
        </w:rPr>
      </w:pPr>
    </w:p>
    <w:p w14:paraId="62043BC4">
      <w:pPr>
        <w:rPr>
          <w:rFonts w:hint="eastAsia" w:ascii="宋体" w:hAnsi="宋体" w:cs="宋体"/>
          <w:color w:val="000000" w:themeColor="text1"/>
          <w:lang w:val="zh-CN"/>
          <w14:textFill>
            <w14:solidFill>
              <w14:schemeClr w14:val="tx1"/>
            </w14:solidFill>
          </w14:textFill>
        </w:rPr>
      </w:pPr>
    </w:p>
    <w:p w14:paraId="319C89FB">
      <w:pPr>
        <w:pStyle w:val="18"/>
        <w:rPr>
          <w:rFonts w:hint="eastAsia" w:ascii="宋体" w:hAnsi="宋体" w:cs="宋体"/>
          <w:color w:val="000000" w:themeColor="text1"/>
          <w:lang w:val="zh-CN"/>
          <w14:textFill>
            <w14:solidFill>
              <w14:schemeClr w14:val="tx1"/>
            </w14:solidFill>
          </w14:textFill>
        </w:rPr>
      </w:pPr>
    </w:p>
    <w:p w14:paraId="627341E0">
      <w:pPr>
        <w:rPr>
          <w:rFonts w:hint="eastAsia" w:ascii="宋体" w:hAnsi="宋体" w:cs="宋体"/>
          <w:color w:val="000000" w:themeColor="text1"/>
          <w:lang w:val="zh-CN"/>
          <w14:textFill>
            <w14:solidFill>
              <w14:schemeClr w14:val="tx1"/>
            </w14:solidFill>
          </w14:textFill>
        </w:rPr>
      </w:pPr>
    </w:p>
    <w:p w14:paraId="3518520D">
      <w:pPr>
        <w:pStyle w:val="18"/>
        <w:rPr>
          <w:rFonts w:hint="eastAsia" w:ascii="宋体" w:hAnsi="宋体" w:cs="宋体"/>
          <w:color w:val="000000" w:themeColor="text1"/>
          <w:lang w:val="zh-CN"/>
          <w14:textFill>
            <w14:solidFill>
              <w14:schemeClr w14:val="tx1"/>
            </w14:solidFill>
          </w14:textFill>
        </w:rPr>
      </w:pPr>
    </w:p>
    <w:p w14:paraId="5FBF9210">
      <w:pPr>
        <w:rPr>
          <w:rFonts w:hint="eastAsia" w:ascii="宋体" w:hAnsi="宋体" w:cs="宋体"/>
          <w:color w:val="000000" w:themeColor="text1"/>
          <w:lang w:val="zh-CN"/>
          <w14:textFill>
            <w14:solidFill>
              <w14:schemeClr w14:val="tx1"/>
            </w14:solidFill>
          </w14:textFill>
        </w:rPr>
      </w:pPr>
    </w:p>
    <w:p w14:paraId="5CCB9D58">
      <w:pPr>
        <w:pStyle w:val="18"/>
        <w:rPr>
          <w:rFonts w:hint="eastAsia" w:ascii="宋体" w:hAnsi="宋体" w:cs="宋体"/>
          <w:color w:val="000000" w:themeColor="text1"/>
          <w:lang w:val="zh-CN"/>
          <w14:textFill>
            <w14:solidFill>
              <w14:schemeClr w14:val="tx1"/>
            </w14:solidFill>
          </w14:textFill>
        </w:rPr>
      </w:pPr>
    </w:p>
    <w:p w14:paraId="4BE3D829">
      <w:pPr>
        <w:rPr>
          <w:rFonts w:hint="eastAsia" w:ascii="宋体" w:hAnsi="宋体" w:cs="宋体"/>
          <w:color w:val="000000" w:themeColor="text1"/>
          <w:lang w:val="zh-CN"/>
          <w14:textFill>
            <w14:solidFill>
              <w14:schemeClr w14:val="tx1"/>
            </w14:solidFill>
          </w14:textFill>
        </w:rPr>
      </w:pPr>
    </w:p>
    <w:p w14:paraId="01290E11">
      <w:pPr>
        <w:pStyle w:val="18"/>
        <w:rPr>
          <w:rFonts w:hint="eastAsia" w:ascii="宋体" w:hAnsi="宋体" w:cs="宋体"/>
          <w:color w:val="000000" w:themeColor="text1"/>
          <w:lang w:val="zh-CN"/>
          <w14:textFill>
            <w14:solidFill>
              <w14:schemeClr w14:val="tx1"/>
            </w14:solidFill>
          </w14:textFill>
        </w:rPr>
      </w:pPr>
    </w:p>
    <w:p w14:paraId="5B27167C">
      <w:pPr>
        <w:rPr>
          <w:rFonts w:hint="eastAsia" w:ascii="宋体" w:hAnsi="宋体" w:cs="宋体"/>
          <w:color w:val="000000" w:themeColor="text1"/>
          <w:lang w:val="zh-CN"/>
          <w14:textFill>
            <w14:solidFill>
              <w14:schemeClr w14:val="tx1"/>
            </w14:solidFill>
          </w14:textFill>
        </w:rPr>
      </w:pPr>
    </w:p>
    <w:p w14:paraId="5507D9A2">
      <w:pPr>
        <w:pStyle w:val="18"/>
        <w:rPr>
          <w:rFonts w:hint="eastAsia" w:ascii="宋体" w:hAnsi="宋体" w:cs="宋体"/>
          <w:color w:val="000000" w:themeColor="text1"/>
          <w:lang w:val="zh-CN"/>
          <w14:textFill>
            <w14:solidFill>
              <w14:schemeClr w14:val="tx1"/>
            </w14:solidFill>
          </w14:textFill>
        </w:rPr>
      </w:pPr>
    </w:p>
    <w:p w14:paraId="2BB1D348">
      <w:pPr>
        <w:rPr>
          <w:rFonts w:hint="eastAsia" w:ascii="宋体" w:hAnsi="宋体" w:cs="宋体"/>
          <w:color w:val="000000" w:themeColor="text1"/>
          <w:lang w:val="zh-CN"/>
          <w14:textFill>
            <w14:solidFill>
              <w14:schemeClr w14:val="tx1"/>
            </w14:solidFill>
          </w14:textFill>
        </w:rPr>
      </w:pPr>
    </w:p>
    <w:p w14:paraId="24486DA0">
      <w:pPr>
        <w:pStyle w:val="18"/>
        <w:rPr>
          <w:rFonts w:hint="eastAsia" w:ascii="宋体" w:hAnsi="宋体" w:cs="宋体"/>
          <w:color w:val="000000" w:themeColor="text1"/>
          <w:lang w:val="zh-CN"/>
          <w14:textFill>
            <w14:solidFill>
              <w14:schemeClr w14:val="tx1"/>
            </w14:solidFill>
          </w14:textFill>
        </w:rPr>
      </w:pPr>
    </w:p>
    <w:p w14:paraId="430147C2">
      <w:pPr>
        <w:pStyle w:val="18"/>
        <w:rPr>
          <w:rFonts w:hint="eastAsia" w:ascii="宋体" w:hAnsi="宋体" w:cs="宋体"/>
          <w:color w:val="000000" w:themeColor="text1"/>
          <w:lang w:val="zh-CN"/>
          <w14:textFill>
            <w14:solidFill>
              <w14:schemeClr w14:val="tx1"/>
            </w14:solidFill>
          </w14:textFill>
        </w:rPr>
      </w:pPr>
    </w:p>
    <w:p w14:paraId="7C6AD189">
      <w:pPr>
        <w:pStyle w:val="18"/>
        <w:spacing w:before="0" w:after="0" w:line="360" w:lineRule="auto"/>
        <w:jc w:val="left"/>
        <w:outlineLvl w:val="1"/>
        <w:rPr>
          <w:rFonts w:hint="eastAsia" w:ascii="宋体" w:hAnsi="宋体" w:cs="宋体"/>
          <w:color w:val="000000"/>
          <w:lang w:val="zh-CN"/>
        </w:rPr>
      </w:pPr>
      <w:bookmarkStart w:id="184" w:name="_Toc11150"/>
      <w:bookmarkStart w:id="185" w:name="_Toc1937"/>
      <w:r>
        <w:rPr>
          <w:rFonts w:hint="eastAsia" w:ascii="宋体" w:hAnsi="宋体" w:eastAsia="宋体" w:cs="宋体"/>
          <w:b/>
          <w:bCs/>
          <w:color w:val="000000"/>
          <w:kern w:val="2"/>
          <w:sz w:val="30"/>
          <w:szCs w:val="30"/>
          <w:lang w:val="zh-CN" w:eastAsia="zh-CN" w:bidi="ar-SA"/>
        </w:rPr>
        <w:t>（</w:t>
      </w:r>
      <w:r>
        <w:rPr>
          <w:rFonts w:hint="eastAsia" w:ascii="宋体" w:hAnsi="宋体" w:eastAsia="宋体" w:cs="宋体"/>
          <w:b/>
          <w:bCs/>
          <w:color w:val="000000"/>
          <w:kern w:val="2"/>
          <w:sz w:val="30"/>
          <w:szCs w:val="30"/>
          <w:lang w:val="en-US" w:eastAsia="zh-CN" w:bidi="ar-SA"/>
        </w:rPr>
        <w:t>10）</w:t>
      </w:r>
      <w:r>
        <w:rPr>
          <w:rFonts w:hint="eastAsia" w:ascii="宋体" w:hAnsi="宋体" w:cs="宋体"/>
          <w:color w:val="000000"/>
          <w:sz w:val="30"/>
          <w:szCs w:val="30"/>
          <w:lang w:val="zh-CN"/>
        </w:rPr>
        <w:t>投标保证金证明</w:t>
      </w:r>
      <w:bookmarkEnd w:id="184"/>
      <w:bookmarkEnd w:id="185"/>
    </w:p>
    <w:p w14:paraId="6960DFF9">
      <w:pPr>
        <w:spacing w:line="360" w:lineRule="auto"/>
        <w:rPr>
          <w:rFonts w:hint="eastAsia" w:ascii="宋体" w:hAnsi="宋体" w:cs="宋体"/>
          <w:color w:val="000000"/>
          <w:sz w:val="28"/>
          <w:szCs w:val="28"/>
          <w:lang w:val="zh-CN"/>
        </w:rPr>
      </w:pPr>
    </w:p>
    <w:p w14:paraId="7F171588">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r>
        <w:rPr>
          <w:rFonts w:hint="eastAsia" w:ascii="宋体" w:hAnsi="宋体" w:cs="宋体"/>
          <w:b/>
          <w:bCs/>
          <w:color w:val="000000"/>
          <w:kern w:val="0"/>
          <w:sz w:val="28"/>
          <w:szCs w:val="28"/>
          <w:lang w:val="en-US" w:eastAsia="zh-CN"/>
        </w:rPr>
        <w:t>本项目免缴</w:t>
      </w:r>
      <w:r>
        <w:rPr>
          <w:rFonts w:hint="eastAsia" w:ascii="宋体" w:hAnsi="宋体" w:cs="宋体"/>
          <w:b/>
          <w:bCs/>
          <w:color w:val="000000"/>
          <w:kern w:val="0"/>
          <w:sz w:val="28"/>
          <w:szCs w:val="28"/>
          <w:lang w:val="zh-CN"/>
        </w:rPr>
        <w:t>）</w:t>
      </w:r>
    </w:p>
    <w:p w14:paraId="19508DB9">
      <w:pPr>
        <w:autoSpaceDE w:val="0"/>
        <w:autoSpaceDN w:val="0"/>
        <w:spacing w:line="360" w:lineRule="auto"/>
        <w:rPr>
          <w:rFonts w:hint="eastAsia" w:ascii="宋体" w:hAnsi="宋体" w:cs="宋体"/>
          <w:b/>
          <w:bCs/>
          <w:color w:val="000000"/>
          <w:kern w:val="0"/>
          <w:sz w:val="28"/>
          <w:szCs w:val="28"/>
          <w:lang w:val="zh-CN"/>
        </w:rPr>
      </w:pPr>
    </w:p>
    <w:p w14:paraId="201E86B3">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致：青海凌星项目管理有限公司</w:t>
      </w:r>
    </w:p>
    <w:p w14:paraId="3F9C5F04">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14:paraId="6D091F10">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14:paraId="2138587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7FBFBF1">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14:paraId="2F7883A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14:paraId="4D0D1BFF">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14:paraId="7A7CE86D">
      <w:pPr>
        <w:autoSpaceDE w:val="0"/>
        <w:autoSpaceDN w:val="0"/>
        <w:spacing w:line="360" w:lineRule="auto"/>
        <w:ind w:firstLine="360"/>
        <w:rPr>
          <w:rFonts w:hint="eastAsia" w:ascii="宋体" w:hAnsi="宋体" w:cs="宋体"/>
          <w:color w:val="000000"/>
          <w:kern w:val="0"/>
          <w:lang w:val="zh-CN"/>
        </w:rPr>
      </w:pPr>
    </w:p>
    <w:p w14:paraId="41256C00">
      <w:pPr>
        <w:autoSpaceDE w:val="0"/>
        <w:autoSpaceDN w:val="0"/>
        <w:spacing w:line="360" w:lineRule="auto"/>
        <w:ind w:firstLine="360"/>
        <w:rPr>
          <w:rFonts w:hint="eastAsia" w:ascii="宋体" w:hAnsi="宋体" w:cs="宋体"/>
          <w:color w:val="000000"/>
          <w:kern w:val="0"/>
          <w:lang w:val="zh-CN"/>
        </w:rPr>
      </w:pPr>
    </w:p>
    <w:p w14:paraId="7522BDAF">
      <w:pPr>
        <w:autoSpaceDE w:val="0"/>
        <w:autoSpaceDN w:val="0"/>
        <w:spacing w:line="360" w:lineRule="auto"/>
        <w:ind w:firstLine="360"/>
        <w:rPr>
          <w:rFonts w:hint="eastAsia" w:ascii="宋体" w:hAnsi="宋体" w:cs="宋体"/>
          <w:color w:val="000000"/>
          <w:kern w:val="0"/>
          <w:lang w:val="zh-CN"/>
        </w:rPr>
      </w:pPr>
    </w:p>
    <w:p w14:paraId="7837853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03F4EA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B50AA11">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14FA71A">
      <w:pPr>
        <w:autoSpaceDE w:val="0"/>
        <w:autoSpaceDN w:val="0"/>
        <w:spacing w:line="360" w:lineRule="auto"/>
        <w:rPr>
          <w:rFonts w:hint="eastAsia" w:ascii="宋体" w:hAnsi="宋体" w:cs="宋体"/>
          <w:color w:val="000000"/>
          <w:lang w:val="zh-CN"/>
        </w:rPr>
      </w:pPr>
    </w:p>
    <w:p w14:paraId="05590FC0">
      <w:pPr>
        <w:autoSpaceDE w:val="0"/>
        <w:autoSpaceDN w:val="0"/>
        <w:spacing w:line="360" w:lineRule="auto"/>
        <w:rPr>
          <w:rFonts w:hint="eastAsia" w:ascii="宋体" w:hAnsi="宋体" w:cs="宋体"/>
          <w:color w:val="000000"/>
          <w:lang w:val="zh-CN"/>
        </w:rPr>
      </w:pPr>
    </w:p>
    <w:p w14:paraId="51C2CFCF">
      <w:pPr>
        <w:rPr>
          <w:rFonts w:hint="eastAsia" w:ascii="宋体" w:hAnsi="宋体" w:cs="宋体"/>
          <w:kern w:val="0"/>
          <w:lang w:val="zh-CN"/>
        </w:rPr>
      </w:pPr>
    </w:p>
    <w:p w14:paraId="479D4533">
      <w:pPr>
        <w:rPr>
          <w:rFonts w:hint="eastAsia"/>
          <w:lang w:val="zh-CN"/>
        </w:rPr>
      </w:pPr>
    </w:p>
    <w:p w14:paraId="01A5C1D2">
      <w:pPr>
        <w:pStyle w:val="31"/>
        <w:rPr>
          <w:rFonts w:hint="eastAsia" w:ascii="宋体" w:hAnsi="宋体" w:cs="宋体"/>
          <w:color w:val="000000" w:themeColor="text1"/>
          <w:lang w:val="zh-CN"/>
          <w14:textFill>
            <w14:solidFill>
              <w14:schemeClr w14:val="tx1"/>
            </w14:solidFill>
          </w14:textFill>
        </w:rPr>
      </w:pPr>
    </w:p>
    <w:p w14:paraId="203BAF1E">
      <w:pPr>
        <w:pStyle w:val="31"/>
        <w:rPr>
          <w:rFonts w:hint="eastAsia" w:ascii="宋体" w:hAnsi="宋体" w:cs="宋体"/>
          <w:color w:val="000000" w:themeColor="text1"/>
          <w:lang w:val="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1849" w:h="16781"/>
          <w:pgMar w:top="1440" w:right="1746" w:bottom="1440" w:left="1746" w:header="851" w:footer="992" w:gutter="0"/>
          <w:pgNumType w:fmt="decimal" w:start="1"/>
          <w:cols w:space="720" w:num="1"/>
          <w:docGrid w:linePitch="397" w:charSpace="0"/>
        </w:sectPr>
      </w:pPr>
    </w:p>
    <w:bookmarkEnd w:id="180"/>
    <w:bookmarkEnd w:id="181"/>
    <w:bookmarkEnd w:id="182"/>
    <w:bookmarkEnd w:id="183"/>
    <w:p w14:paraId="169753D0">
      <w:pPr>
        <w:pStyle w:val="31"/>
        <w:rPr>
          <w:rFonts w:ascii="宋体" w:hAnsi="宋体" w:cs="宋体"/>
          <w:b w:val="0"/>
          <w:bCs w:val="0"/>
        </w:rPr>
      </w:pPr>
    </w:p>
    <w:p w14:paraId="3282AE06">
      <w:pPr>
        <w:pStyle w:val="18"/>
        <w:spacing w:before="0" w:after="0" w:line="360" w:lineRule="auto"/>
        <w:jc w:val="left"/>
        <w:outlineLvl w:val="1"/>
        <w:rPr>
          <w:rFonts w:hint="eastAsia" w:ascii="宋体" w:hAnsi="宋体" w:cs="宋体"/>
          <w:color w:val="000000"/>
          <w:sz w:val="30"/>
          <w:szCs w:val="30"/>
          <w:lang w:val="zh-CN"/>
        </w:rPr>
      </w:pPr>
      <w:bookmarkStart w:id="186" w:name="_Toc9507"/>
      <w:bookmarkStart w:id="187" w:name="_Toc14240"/>
      <w:bookmarkStart w:id="188" w:name="_Toc24499"/>
      <w:r>
        <w:rPr>
          <w:rFonts w:hint="eastAsia" w:ascii="宋体" w:hAnsi="宋体" w:cs="宋体"/>
          <w:color w:val="000000"/>
          <w:sz w:val="30"/>
          <w:szCs w:val="30"/>
          <w:lang w:val="zh-CN"/>
        </w:rPr>
        <w:t>封面（下册）</w:t>
      </w:r>
      <w:bookmarkEnd w:id="186"/>
      <w:bookmarkEnd w:id="187"/>
      <w:bookmarkEnd w:id="188"/>
    </w:p>
    <w:p w14:paraId="2654A4F4">
      <w:pPr>
        <w:rPr>
          <w:rFonts w:hint="eastAsia" w:ascii="宋体" w:hAnsi="宋体" w:cs="宋体"/>
          <w:color w:val="000000"/>
          <w:sz w:val="30"/>
          <w:szCs w:val="30"/>
          <w:lang w:val="zh-CN"/>
        </w:rPr>
      </w:pPr>
    </w:p>
    <w:p w14:paraId="74DFDD13">
      <w:pPr>
        <w:pStyle w:val="18"/>
        <w:rPr>
          <w:lang w:val="zh-CN"/>
        </w:rPr>
      </w:pPr>
    </w:p>
    <w:p w14:paraId="2B040EBD">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1D4633E0">
      <w:pPr>
        <w:autoSpaceDE w:val="0"/>
        <w:autoSpaceDN w:val="0"/>
        <w:spacing w:line="360" w:lineRule="auto"/>
        <w:rPr>
          <w:rFonts w:ascii="宋体" w:hAnsi="宋体" w:cs="宋体"/>
          <w:color w:val="000000"/>
          <w:kern w:val="0"/>
          <w:sz w:val="36"/>
          <w:szCs w:val="36"/>
        </w:rPr>
      </w:pPr>
    </w:p>
    <w:p w14:paraId="1F90CA4A">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201FFF89">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14:paraId="3342958C">
      <w:pPr>
        <w:autoSpaceDE w:val="0"/>
        <w:autoSpaceDN w:val="0"/>
        <w:spacing w:line="360" w:lineRule="auto"/>
        <w:rPr>
          <w:rFonts w:ascii="宋体" w:hAnsi="宋体" w:cs="宋体"/>
          <w:color w:val="000000"/>
          <w:kern w:val="0"/>
          <w:sz w:val="36"/>
          <w:szCs w:val="36"/>
        </w:rPr>
      </w:pPr>
    </w:p>
    <w:p w14:paraId="4034A744">
      <w:pPr>
        <w:autoSpaceDE w:val="0"/>
        <w:autoSpaceDN w:val="0"/>
        <w:spacing w:line="360" w:lineRule="auto"/>
        <w:rPr>
          <w:rFonts w:ascii="宋体" w:hAnsi="宋体" w:cs="宋体"/>
          <w:color w:val="000000"/>
          <w:kern w:val="0"/>
          <w:sz w:val="36"/>
          <w:szCs w:val="36"/>
        </w:rPr>
      </w:pPr>
    </w:p>
    <w:p w14:paraId="45713422">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34BF174E">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5755639E">
      <w:pPr>
        <w:widowControl/>
        <w:jc w:val="left"/>
      </w:pPr>
    </w:p>
    <w:p w14:paraId="0605D3DA">
      <w:pPr>
        <w:autoSpaceDE w:val="0"/>
        <w:autoSpaceDN w:val="0"/>
        <w:spacing w:line="360" w:lineRule="auto"/>
        <w:rPr>
          <w:rFonts w:ascii="宋体" w:hAnsi="宋体" w:cs="宋体"/>
          <w:b/>
          <w:bCs/>
          <w:color w:val="000000"/>
          <w:kern w:val="0"/>
          <w:sz w:val="36"/>
          <w:szCs w:val="36"/>
        </w:rPr>
      </w:pPr>
    </w:p>
    <w:p w14:paraId="26226CFA">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42A9C9E8">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148BC45F">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23C82534">
      <w:pPr>
        <w:pStyle w:val="18"/>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189" w:name="_Toc9783"/>
      <w:bookmarkStart w:id="190" w:name="_Toc8868"/>
      <w:bookmarkStart w:id="191" w:name="_Toc25406"/>
      <w:r>
        <w:rPr>
          <w:rFonts w:hint="eastAsia" w:ascii="宋体" w:hAnsi="宋体" w:cs="宋体"/>
          <w:color w:val="000000"/>
          <w:sz w:val="30"/>
          <w:szCs w:val="30"/>
          <w:lang w:val="zh-CN"/>
        </w:rPr>
        <w:t>目录（下册）</w:t>
      </w:r>
      <w:bookmarkEnd w:id="189"/>
      <w:bookmarkEnd w:id="190"/>
      <w:bookmarkEnd w:id="191"/>
    </w:p>
    <w:p w14:paraId="7A23AEF9">
      <w:pPr>
        <w:pStyle w:val="18"/>
        <w:spacing w:before="0" w:after="0" w:line="360" w:lineRule="auto"/>
        <w:jc w:val="left"/>
        <w:outlineLvl w:val="1"/>
        <w:rPr>
          <w:rFonts w:ascii="宋体" w:hAnsi="宋体" w:cs="宋体"/>
          <w:color w:val="000000"/>
          <w:sz w:val="30"/>
          <w:szCs w:val="30"/>
        </w:rPr>
      </w:pPr>
    </w:p>
    <w:p w14:paraId="709F5CDC"/>
    <w:p w14:paraId="7508B14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1</w:t>
      </w:r>
      <w:r>
        <w:rPr>
          <w:rFonts w:hint="eastAsia" w:ascii="宋体" w:hAnsi="宋体" w:cs="宋体"/>
          <w:color w:val="000000"/>
          <w:kern w:val="0"/>
          <w:lang w:val="zh-CN"/>
        </w:rPr>
        <w:t>）评分对照表……………………………………………………… 所在页码</w:t>
      </w:r>
    </w:p>
    <w:p w14:paraId="488D427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12</w:t>
      </w:r>
      <w:r>
        <w:rPr>
          <w:rFonts w:hint="eastAsia" w:ascii="宋体" w:hAnsi="宋体" w:cs="宋体"/>
          <w:color w:val="000000"/>
          <w:kern w:val="0"/>
          <w:lang w:val="zh-CN"/>
        </w:rPr>
        <w:t>）开标一览表……………………………………………………… 所在页码</w:t>
      </w:r>
    </w:p>
    <w:p w14:paraId="6BCF26A2">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13</w:t>
      </w: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服务内容响应</w:t>
      </w:r>
      <w:r>
        <w:rPr>
          <w:rFonts w:hint="eastAsia" w:ascii="宋体" w:hAnsi="宋体" w:cs="宋体"/>
          <w:color w:val="000000"/>
          <w:kern w:val="0"/>
          <w:highlight w:val="none"/>
          <w:lang w:val="zh-CN"/>
        </w:rPr>
        <w:t>表………………………………………………</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rPr>
        <w:t>所在页码</w:t>
      </w:r>
    </w:p>
    <w:p w14:paraId="58AFD067">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kern w:val="0"/>
          <w:lang w:val="zh-CN"/>
        </w:rPr>
        <w:t>投标人的类似业绩证明材料</w:t>
      </w:r>
      <w:r>
        <w:rPr>
          <w:rFonts w:hint="eastAsia" w:ascii="宋体" w:hAnsi="宋体" w:cs="宋体"/>
          <w:color w:val="000000"/>
          <w:kern w:val="0"/>
          <w:lang w:val="zh-CN"/>
        </w:rPr>
        <w:t>…………………………………… 所在页码</w:t>
      </w:r>
    </w:p>
    <w:p w14:paraId="54894CD7">
      <w:pPr>
        <w:autoSpaceDE w:val="0"/>
        <w:autoSpaceDN w:val="0"/>
        <w:spacing w:line="360" w:lineRule="auto"/>
        <w:rPr>
          <w:rFonts w:ascii="宋体" w:hAnsi="宋体" w:cs="宋体"/>
          <w:kern w:val="0"/>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5</w:t>
      </w:r>
      <w:r>
        <w:rPr>
          <w:rFonts w:hint="eastAsia" w:ascii="宋体" w:hAnsi="宋体" w:cs="宋体"/>
          <w:kern w:val="0"/>
        </w:rPr>
        <w:t>）</w:t>
      </w:r>
      <w:r>
        <w:rPr>
          <w:rFonts w:hint="eastAsia"/>
          <w:lang w:val="zh-CN"/>
        </w:rPr>
        <w:t>项目实施及服务方案</w:t>
      </w:r>
      <w:r>
        <w:rPr>
          <w:rFonts w:hint="eastAsia" w:ascii="宋体" w:hAnsi="宋体" w:cs="宋体"/>
          <w:color w:val="000000"/>
          <w:kern w:val="0"/>
          <w:lang w:val="zh-CN"/>
        </w:rPr>
        <w:t>…………………………………………… 所在页码</w:t>
      </w:r>
    </w:p>
    <w:p w14:paraId="4061A43A">
      <w:pPr>
        <w:autoSpaceDE w:val="0"/>
        <w:autoSpaceDN w:val="0"/>
        <w:spacing w:line="360" w:lineRule="auto"/>
        <w:rPr>
          <w:rFonts w:ascii="宋体" w:hAnsi="宋体" w:cs="宋体"/>
          <w:kern w:val="0"/>
        </w:rPr>
      </w:pPr>
      <w:r>
        <w:rPr>
          <w:rFonts w:hint="eastAsia" w:ascii="宋体" w:hAnsi="宋体" w:cs="宋体"/>
          <w:color w:val="000000"/>
          <w:kern w:val="0"/>
          <w:lang w:val="zh-CN"/>
        </w:rPr>
        <w:t>（1</w:t>
      </w:r>
      <w:r>
        <w:rPr>
          <w:rFonts w:hint="eastAsia" w:ascii="宋体" w:hAnsi="宋体" w:cs="宋体"/>
          <w:color w:val="000000"/>
          <w:kern w:val="0"/>
          <w:lang w:val="en-US" w:eastAsia="zh-CN"/>
        </w:rPr>
        <w:t>6</w:t>
      </w:r>
      <w:r>
        <w:rPr>
          <w:rFonts w:hint="eastAsia" w:ascii="宋体" w:hAnsi="宋体" w:cs="宋体"/>
          <w:color w:val="000000"/>
          <w:kern w:val="0"/>
          <w:lang w:val="zh-CN"/>
        </w:rPr>
        <w:t>）项目</w:t>
      </w:r>
      <w:r>
        <w:rPr>
          <w:rFonts w:hint="eastAsia" w:ascii="宋体" w:hAnsi="宋体" w:cs="宋体"/>
          <w:kern w:val="0"/>
          <w:lang w:val="zh-CN"/>
        </w:rPr>
        <w:t>人员配备</w:t>
      </w:r>
      <w:r>
        <w:rPr>
          <w:rFonts w:hint="eastAsia" w:ascii="宋体" w:hAnsi="宋体" w:cs="宋体"/>
          <w:color w:val="000000"/>
          <w:kern w:val="0"/>
          <w:lang w:val="zh-CN"/>
        </w:rPr>
        <w:t>…………………………………………………… 所在页码</w:t>
      </w:r>
    </w:p>
    <w:p w14:paraId="0E09F25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w:t>
      </w:r>
      <w:r>
        <w:rPr>
          <w:rFonts w:hint="eastAsia" w:ascii="宋体" w:hAnsi="宋体" w:cs="宋体"/>
          <w:kern w:val="0"/>
          <w:lang w:val="zh-CN"/>
        </w:rPr>
        <w:t>享受政府采购政策优惠的证明资料</w:t>
      </w:r>
      <w:r>
        <w:rPr>
          <w:rFonts w:hint="eastAsia" w:ascii="宋体" w:hAnsi="宋体" w:cs="宋体"/>
          <w:color w:val="000000"/>
          <w:kern w:val="0"/>
          <w:lang w:val="zh-CN"/>
        </w:rPr>
        <w:t>…………………………… 所在页码</w:t>
      </w:r>
    </w:p>
    <w:p w14:paraId="43640B9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8</w:t>
      </w:r>
      <w:r>
        <w:rPr>
          <w:rFonts w:hint="eastAsia" w:ascii="宋体" w:hAnsi="宋体" w:cs="宋体"/>
          <w:color w:val="000000"/>
          <w:kern w:val="0"/>
        </w:rPr>
        <w:t>）</w:t>
      </w:r>
      <w:r>
        <w:rPr>
          <w:rFonts w:hint="eastAsia" w:ascii="宋体" w:hAnsi="宋体" w:cs="宋体"/>
          <w:color w:val="000000"/>
          <w:kern w:val="0"/>
          <w:lang w:val="zh-CN"/>
        </w:rPr>
        <w:t>投标人认为在其他方面有必要说明的事项…………………… 所在页码</w:t>
      </w:r>
    </w:p>
    <w:p w14:paraId="7380966F">
      <w:pPr>
        <w:pStyle w:val="18"/>
        <w:spacing w:before="0" w:after="0" w:line="360" w:lineRule="auto"/>
        <w:jc w:val="left"/>
        <w:outlineLvl w:val="1"/>
        <w:rPr>
          <w:rFonts w:ascii="宋体" w:hAnsi="宋体" w:cs="宋体"/>
          <w:color w:val="000000"/>
          <w:sz w:val="30"/>
          <w:szCs w:val="30"/>
        </w:rPr>
      </w:pPr>
    </w:p>
    <w:p w14:paraId="25EE3F45">
      <w:pPr>
        <w:pStyle w:val="18"/>
        <w:spacing w:before="0" w:after="0" w:line="360" w:lineRule="auto"/>
        <w:jc w:val="left"/>
        <w:outlineLvl w:val="1"/>
        <w:rPr>
          <w:rFonts w:ascii="宋体" w:hAnsi="宋体" w:cs="宋体"/>
          <w:color w:val="000000"/>
          <w:sz w:val="30"/>
          <w:szCs w:val="30"/>
        </w:rPr>
      </w:pPr>
    </w:p>
    <w:p w14:paraId="47F4B1B9">
      <w:pPr>
        <w:pStyle w:val="18"/>
        <w:spacing w:before="0" w:after="0" w:line="360" w:lineRule="auto"/>
        <w:jc w:val="left"/>
        <w:outlineLvl w:val="1"/>
        <w:rPr>
          <w:rFonts w:ascii="宋体" w:hAnsi="宋体" w:cs="宋体"/>
          <w:color w:val="000000"/>
          <w:sz w:val="30"/>
          <w:szCs w:val="30"/>
        </w:rPr>
      </w:pPr>
    </w:p>
    <w:p w14:paraId="000F15E1">
      <w:pPr>
        <w:pStyle w:val="18"/>
        <w:spacing w:before="0" w:after="0" w:line="360" w:lineRule="auto"/>
        <w:jc w:val="left"/>
        <w:outlineLvl w:val="1"/>
        <w:rPr>
          <w:rFonts w:ascii="宋体" w:hAnsi="宋体" w:cs="宋体"/>
          <w:color w:val="000000"/>
          <w:sz w:val="30"/>
          <w:szCs w:val="30"/>
        </w:rPr>
      </w:pPr>
    </w:p>
    <w:p w14:paraId="5B5D2AF7">
      <w:pPr>
        <w:pStyle w:val="18"/>
        <w:spacing w:before="0" w:after="0" w:line="360" w:lineRule="auto"/>
        <w:jc w:val="left"/>
        <w:outlineLvl w:val="1"/>
        <w:rPr>
          <w:rFonts w:ascii="宋体" w:hAnsi="宋体" w:cs="宋体"/>
          <w:color w:val="000000"/>
          <w:sz w:val="30"/>
          <w:szCs w:val="30"/>
        </w:rPr>
      </w:pPr>
    </w:p>
    <w:p w14:paraId="17169D75">
      <w:pPr>
        <w:pStyle w:val="18"/>
        <w:spacing w:before="0" w:after="0" w:line="360" w:lineRule="auto"/>
        <w:jc w:val="left"/>
        <w:outlineLvl w:val="1"/>
        <w:rPr>
          <w:rFonts w:ascii="宋体" w:hAnsi="宋体" w:cs="宋体"/>
          <w:color w:val="000000"/>
          <w:sz w:val="30"/>
          <w:szCs w:val="30"/>
        </w:rPr>
      </w:pPr>
    </w:p>
    <w:p w14:paraId="2879EC9D"/>
    <w:p w14:paraId="3AFE8266">
      <w:pPr>
        <w:rPr>
          <w:rFonts w:ascii="宋体" w:hAnsi="宋体" w:cs="宋体"/>
          <w:color w:val="000000"/>
          <w:sz w:val="30"/>
          <w:szCs w:val="30"/>
        </w:rPr>
      </w:pPr>
    </w:p>
    <w:p w14:paraId="6F49F204">
      <w:pPr>
        <w:pStyle w:val="19"/>
        <w:ind w:firstLine="300"/>
        <w:rPr>
          <w:rFonts w:ascii="宋体" w:hAnsi="宋体" w:cs="宋体"/>
          <w:color w:val="000000"/>
          <w:sz w:val="30"/>
          <w:szCs w:val="30"/>
        </w:rPr>
      </w:pPr>
    </w:p>
    <w:p w14:paraId="2F583C17">
      <w:pPr>
        <w:pStyle w:val="19"/>
        <w:ind w:firstLine="300"/>
        <w:rPr>
          <w:rFonts w:ascii="宋体" w:hAnsi="宋体" w:cs="宋体"/>
          <w:color w:val="000000"/>
          <w:sz w:val="30"/>
          <w:szCs w:val="30"/>
        </w:rPr>
      </w:pPr>
    </w:p>
    <w:p w14:paraId="47ADB355">
      <w:pPr>
        <w:pStyle w:val="19"/>
        <w:ind w:firstLine="300"/>
        <w:rPr>
          <w:rFonts w:ascii="宋体" w:hAnsi="宋体" w:cs="宋体"/>
          <w:color w:val="000000"/>
          <w:sz w:val="30"/>
          <w:szCs w:val="30"/>
        </w:rPr>
      </w:pPr>
    </w:p>
    <w:p w14:paraId="03F76D37">
      <w:pPr>
        <w:pStyle w:val="18"/>
        <w:spacing w:before="0" w:after="0" w:line="360" w:lineRule="auto"/>
        <w:jc w:val="left"/>
        <w:outlineLvl w:val="1"/>
        <w:rPr>
          <w:rFonts w:ascii="宋体" w:hAnsi="宋体" w:cs="宋体"/>
          <w:color w:val="000000"/>
          <w:sz w:val="30"/>
          <w:szCs w:val="30"/>
        </w:rPr>
      </w:pPr>
    </w:p>
    <w:p w14:paraId="34D1BDBD">
      <w:pPr>
        <w:pStyle w:val="18"/>
        <w:spacing w:before="0" w:after="0" w:line="360" w:lineRule="auto"/>
        <w:jc w:val="left"/>
        <w:outlineLvl w:val="1"/>
        <w:rPr>
          <w:rFonts w:ascii="宋体" w:hAnsi="宋体" w:cs="宋体"/>
          <w:color w:val="000000"/>
          <w:sz w:val="30"/>
          <w:szCs w:val="30"/>
        </w:rPr>
      </w:pPr>
    </w:p>
    <w:p w14:paraId="25742938">
      <w:pPr>
        <w:pStyle w:val="18"/>
        <w:spacing w:before="0" w:after="0" w:line="360" w:lineRule="auto"/>
        <w:jc w:val="left"/>
        <w:outlineLvl w:val="1"/>
        <w:rPr>
          <w:rFonts w:ascii="宋体" w:hAnsi="宋体" w:cs="宋体"/>
          <w:color w:val="000000"/>
          <w:sz w:val="30"/>
          <w:szCs w:val="30"/>
          <w:lang w:val="zh-CN"/>
        </w:rPr>
      </w:pPr>
      <w:bookmarkStart w:id="192" w:name="_Toc14492"/>
      <w:bookmarkStart w:id="193" w:name="_Toc2068"/>
      <w:bookmarkStart w:id="194" w:name="_Toc13888"/>
      <w:r>
        <w:rPr>
          <w:rFonts w:hint="eastAsia" w:ascii="宋体" w:hAnsi="宋体" w:cs="宋体"/>
          <w:color w:val="000000"/>
          <w:sz w:val="30"/>
          <w:szCs w:val="30"/>
        </w:rPr>
        <w:t>（1</w:t>
      </w:r>
      <w:r>
        <w:rPr>
          <w:rFonts w:hint="eastAsia" w:ascii="宋体" w:hAnsi="宋体" w:cs="宋体"/>
          <w:color w:val="000000"/>
          <w:sz w:val="30"/>
          <w:szCs w:val="30"/>
          <w:lang w:val="en-US" w:eastAsia="zh-CN"/>
        </w:rPr>
        <w:t>1</w:t>
      </w:r>
      <w:r>
        <w:rPr>
          <w:rFonts w:hint="eastAsia" w:ascii="宋体" w:hAnsi="宋体" w:cs="宋体"/>
          <w:color w:val="000000"/>
          <w:sz w:val="30"/>
          <w:szCs w:val="30"/>
        </w:rPr>
        <w:t>）</w:t>
      </w:r>
      <w:r>
        <w:rPr>
          <w:rFonts w:hint="eastAsia" w:ascii="宋体" w:hAnsi="宋体" w:cs="宋体"/>
          <w:color w:val="000000"/>
          <w:sz w:val="30"/>
          <w:szCs w:val="30"/>
          <w:lang w:val="zh-CN"/>
        </w:rPr>
        <w:t>评分对照表</w:t>
      </w:r>
      <w:bookmarkEnd w:id="192"/>
      <w:bookmarkEnd w:id="193"/>
      <w:bookmarkEnd w:id="194"/>
    </w:p>
    <w:p w14:paraId="75A1F7FE">
      <w:pPr>
        <w:spacing w:line="360" w:lineRule="auto"/>
        <w:rPr>
          <w:rFonts w:ascii="宋体" w:hAnsi="宋体" w:cs="宋体"/>
          <w:color w:val="000000"/>
          <w:sz w:val="28"/>
          <w:szCs w:val="28"/>
        </w:rPr>
      </w:pPr>
    </w:p>
    <w:p w14:paraId="5C44DF3B">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14:paraId="0386E09C">
      <w:pPr>
        <w:spacing w:line="360" w:lineRule="auto"/>
        <w:rPr>
          <w:rFonts w:ascii="宋体" w:hAnsi="宋体" w:cs="宋体"/>
          <w:color w:val="000000"/>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07D3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DC22DF5">
            <w:pPr>
              <w:pStyle w:val="8"/>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14:paraId="58DC0503">
            <w:pPr>
              <w:pStyle w:val="8"/>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14:paraId="570B0A4E">
            <w:pPr>
              <w:pStyle w:val="8"/>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14:paraId="1524CBA3">
            <w:pPr>
              <w:pStyle w:val="8"/>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14:paraId="25C5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1311A9E">
            <w:pPr>
              <w:pStyle w:val="8"/>
              <w:spacing w:line="360" w:lineRule="auto"/>
              <w:ind w:firstLine="0"/>
              <w:jc w:val="center"/>
              <w:rPr>
                <w:rFonts w:ascii="宋体" w:hAnsi="宋体" w:cs="宋体"/>
                <w:color w:val="000000"/>
                <w:szCs w:val="24"/>
              </w:rPr>
            </w:pPr>
          </w:p>
        </w:tc>
        <w:tc>
          <w:tcPr>
            <w:tcW w:w="2514" w:type="dxa"/>
            <w:vAlign w:val="center"/>
          </w:tcPr>
          <w:p w14:paraId="094AAD11">
            <w:pPr>
              <w:pStyle w:val="8"/>
              <w:spacing w:line="360" w:lineRule="auto"/>
              <w:ind w:firstLine="0"/>
              <w:jc w:val="center"/>
              <w:rPr>
                <w:rFonts w:ascii="宋体" w:hAnsi="宋体" w:cs="宋体"/>
                <w:color w:val="000000"/>
                <w:szCs w:val="24"/>
              </w:rPr>
            </w:pPr>
          </w:p>
        </w:tc>
        <w:tc>
          <w:tcPr>
            <w:tcW w:w="2266" w:type="dxa"/>
            <w:vAlign w:val="center"/>
          </w:tcPr>
          <w:p w14:paraId="12E1EF14">
            <w:pPr>
              <w:pStyle w:val="8"/>
              <w:spacing w:line="360" w:lineRule="auto"/>
              <w:ind w:firstLine="0"/>
              <w:jc w:val="center"/>
              <w:rPr>
                <w:rFonts w:ascii="宋体" w:hAnsi="宋体" w:cs="宋体"/>
                <w:color w:val="000000"/>
                <w:szCs w:val="24"/>
              </w:rPr>
            </w:pPr>
          </w:p>
        </w:tc>
        <w:tc>
          <w:tcPr>
            <w:tcW w:w="2966" w:type="dxa"/>
            <w:vAlign w:val="center"/>
          </w:tcPr>
          <w:p w14:paraId="5C42B661">
            <w:pPr>
              <w:pStyle w:val="8"/>
              <w:spacing w:line="360" w:lineRule="auto"/>
              <w:ind w:firstLine="0"/>
              <w:jc w:val="center"/>
              <w:rPr>
                <w:rFonts w:ascii="宋体" w:hAnsi="宋体" w:cs="宋体"/>
                <w:color w:val="000000"/>
                <w:szCs w:val="24"/>
              </w:rPr>
            </w:pPr>
          </w:p>
        </w:tc>
      </w:tr>
      <w:tr w14:paraId="1BB9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EDC363F">
            <w:pPr>
              <w:pStyle w:val="8"/>
              <w:spacing w:line="360" w:lineRule="auto"/>
              <w:ind w:firstLine="0"/>
              <w:jc w:val="center"/>
              <w:rPr>
                <w:rFonts w:ascii="宋体" w:hAnsi="宋体" w:cs="宋体"/>
                <w:color w:val="000000"/>
                <w:szCs w:val="24"/>
              </w:rPr>
            </w:pPr>
          </w:p>
        </w:tc>
        <w:tc>
          <w:tcPr>
            <w:tcW w:w="2514" w:type="dxa"/>
            <w:vAlign w:val="center"/>
          </w:tcPr>
          <w:p w14:paraId="73107CAC">
            <w:pPr>
              <w:pStyle w:val="8"/>
              <w:spacing w:line="360" w:lineRule="auto"/>
              <w:ind w:firstLine="0"/>
              <w:jc w:val="center"/>
              <w:rPr>
                <w:rFonts w:ascii="宋体" w:hAnsi="宋体" w:cs="宋体"/>
                <w:color w:val="000000"/>
                <w:szCs w:val="24"/>
              </w:rPr>
            </w:pPr>
          </w:p>
        </w:tc>
        <w:tc>
          <w:tcPr>
            <w:tcW w:w="2266" w:type="dxa"/>
            <w:vAlign w:val="center"/>
          </w:tcPr>
          <w:p w14:paraId="0E5AADF3">
            <w:pPr>
              <w:pStyle w:val="8"/>
              <w:spacing w:line="360" w:lineRule="auto"/>
              <w:ind w:firstLine="0"/>
              <w:jc w:val="center"/>
              <w:rPr>
                <w:rFonts w:ascii="宋体" w:hAnsi="宋体" w:cs="宋体"/>
                <w:color w:val="000000"/>
                <w:szCs w:val="24"/>
              </w:rPr>
            </w:pPr>
          </w:p>
        </w:tc>
        <w:tc>
          <w:tcPr>
            <w:tcW w:w="2966" w:type="dxa"/>
            <w:vAlign w:val="center"/>
          </w:tcPr>
          <w:p w14:paraId="6795F6E3">
            <w:pPr>
              <w:pStyle w:val="8"/>
              <w:spacing w:line="360" w:lineRule="auto"/>
              <w:ind w:firstLine="0"/>
              <w:jc w:val="center"/>
              <w:rPr>
                <w:rFonts w:ascii="宋体" w:hAnsi="宋体" w:cs="宋体"/>
                <w:color w:val="000000"/>
                <w:szCs w:val="24"/>
              </w:rPr>
            </w:pPr>
          </w:p>
        </w:tc>
      </w:tr>
      <w:tr w14:paraId="5D76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221E3E9">
            <w:pPr>
              <w:pStyle w:val="8"/>
              <w:spacing w:line="360" w:lineRule="auto"/>
              <w:ind w:firstLine="0"/>
              <w:jc w:val="center"/>
              <w:rPr>
                <w:rFonts w:ascii="宋体" w:hAnsi="宋体" w:cs="宋体"/>
                <w:color w:val="000000"/>
                <w:szCs w:val="24"/>
              </w:rPr>
            </w:pPr>
          </w:p>
        </w:tc>
        <w:tc>
          <w:tcPr>
            <w:tcW w:w="2514" w:type="dxa"/>
            <w:vAlign w:val="center"/>
          </w:tcPr>
          <w:p w14:paraId="528F6918">
            <w:pPr>
              <w:pStyle w:val="8"/>
              <w:spacing w:line="360" w:lineRule="auto"/>
              <w:ind w:firstLine="0"/>
              <w:jc w:val="center"/>
              <w:rPr>
                <w:rFonts w:ascii="宋体" w:hAnsi="宋体" w:cs="宋体"/>
                <w:color w:val="000000"/>
                <w:szCs w:val="24"/>
              </w:rPr>
            </w:pPr>
          </w:p>
        </w:tc>
        <w:tc>
          <w:tcPr>
            <w:tcW w:w="2266" w:type="dxa"/>
            <w:vAlign w:val="center"/>
          </w:tcPr>
          <w:p w14:paraId="414FD2D5">
            <w:pPr>
              <w:pStyle w:val="8"/>
              <w:spacing w:line="360" w:lineRule="auto"/>
              <w:ind w:firstLine="0"/>
              <w:jc w:val="center"/>
              <w:rPr>
                <w:rFonts w:ascii="宋体" w:hAnsi="宋体" w:cs="宋体"/>
                <w:color w:val="000000"/>
                <w:szCs w:val="24"/>
              </w:rPr>
            </w:pPr>
          </w:p>
        </w:tc>
        <w:tc>
          <w:tcPr>
            <w:tcW w:w="2966" w:type="dxa"/>
            <w:vAlign w:val="center"/>
          </w:tcPr>
          <w:p w14:paraId="75CF684B">
            <w:pPr>
              <w:pStyle w:val="8"/>
              <w:spacing w:line="360" w:lineRule="auto"/>
              <w:ind w:firstLine="0"/>
              <w:jc w:val="center"/>
              <w:rPr>
                <w:rFonts w:ascii="宋体" w:hAnsi="宋体" w:cs="宋体"/>
                <w:color w:val="000000"/>
                <w:szCs w:val="24"/>
              </w:rPr>
            </w:pPr>
          </w:p>
        </w:tc>
      </w:tr>
      <w:tr w14:paraId="74BC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4AEFB0F">
            <w:pPr>
              <w:pStyle w:val="8"/>
              <w:spacing w:line="360" w:lineRule="auto"/>
              <w:ind w:firstLine="0"/>
              <w:jc w:val="center"/>
              <w:rPr>
                <w:rFonts w:ascii="宋体" w:hAnsi="宋体" w:cs="宋体"/>
                <w:color w:val="000000"/>
                <w:szCs w:val="24"/>
              </w:rPr>
            </w:pPr>
          </w:p>
        </w:tc>
        <w:tc>
          <w:tcPr>
            <w:tcW w:w="2514" w:type="dxa"/>
            <w:vAlign w:val="center"/>
          </w:tcPr>
          <w:p w14:paraId="43231F3B">
            <w:pPr>
              <w:pStyle w:val="8"/>
              <w:spacing w:line="360" w:lineRule="auto"/>
              <w:ind w:firstLine="0"/>
              <w:jc w:val="center"/>
              <w:rPr>
                <w:rFonts w:ascii="宋体" w:hAnsi="宋体" w:cs="宋体"/>
                <w:color w:val="000000"/>
                <w:szCs w:val="24"/>
              </w:rPr>
            </w:pPr>
          </w:p>
        </w:tc>
        <w:tc>
          <w:tcPr>
            <w:tcW w:w="2266" w:type="dxa"/>
            <w:vAlign w:val="center"/>
          </w:tcPr>
          <w:p w14:paraId="5A4E1824">
            <w:pPr>
              <w:pStyle w:val="8"/>
              <w:spacing w:line="360" w:lineRule="auto"/>
              <w:ind w:firstLine="0"/>
              <w:jc w:val="center"/>
              <w:rPr>
                <w:rFonts w:ascii="宋体" w:hAnsi="宋体" w:cs="宋体"/>
                <w:color w:val="000000"/>
                <w:szCs w:val="24"/>
              </w:rPr>
            </w:pPr>
          </w:p>
        </w:tc>
        <w:tc>
          <w:tcPr>
            <w:tcW w:w="2966" w:type="dxa"/>
            <w:vAlign w:val="center"/>
          </w:tcPr>
          <w:p w14:paraId="10C8F664">
            <w:pPr>
              <w:pStyle w:val="8"/>
              <w:spacing w:line="360" w:lineRule="auto"/>
              <w:ind w:firstLine="0"/>
              <w:jc w:val="center"/>
              <w:rPr>
                <w:rFonts w:ascii="宋体" w:hAnsi="宋体" w:cs="宋体"/>
                <w:color w:val="000000"/>
                <w:szCs w:val="24"/>
              </w:rPr>
            </w:pPr>
          </w:p>
        </w:tc>
      </w:tr>
      <w:tr w14:paraId="3A0F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43F7F64">
            <w:pPr>
              <w:pStyle w:val="8"/>
              <w:spacing w:line="360" w:lineRule="auto"/>
              <w:ind w:firstLine="0"/>
              <w:jc w:val="center"/>
              <w:rPr>
                <w:rFonts w:ascii="宋体" w:hAnsi="宋体" w:cs="宋体"/>
                <w:color w:val="000000"/>
                <w:szCs w:val="24"/>
              </w:rPr>
            </w:pPr>
          </w:p>
        </w:tc>
        <w:tc>
          <w:tcPr>
            <w:tcW w:w="2514" w:type="dxa"/>
            <w:vAlign w:val="center"/>
          </w:tcPr>
          <w:p w14:paraId="5AF60578">
            <w:pPr>
              <w:pStyle w:val="8"/>
              <w:spacing w:line="360" w:lineRule="auto"/>
              <w:ind w:firstLine="0"/>
              <w:jc w:val="center"/>
              <w:rPr>
                <w:rFonts w:ascii="宋体" w:hAnsi="宋体" w:cs="宋体"/>
                <w:color w:val="000000"/>
                <w:szCs w:val="24"/>
              </w:rPr>
            </w:pPr>
          </w:p>
        </w:tc>
        <w:tc>
          <w:tcPr>
            <w:tcW w:w="2266" w:type="dxa"/>
            <w:vAlign w:val="center"/>
          </w:tcPr>
          <w:p w14:paraId="3289E140">
            <w:pPr>
              <w:pStyle w:val="8"/>
              <w:spacing w:line="360" w:lineRule="auto"/>
              <w:ind w:firstLine="0"/>
              <w:jc w:val="center"/>
              <w:rPr>
                <w:rFonts w:ascii="宋体" w:hAnsi="宋体" w:cs="宋体"/>
                <w:color w:val="000000"/>
                <w:szCs w:val="24"/>
              </w:rPr>
            </w:pPr>
          </w:p>
        </w:tc>
        <w:tc>
          <w:tcPr>
            <w:tcW w:w="2966" w:type="dxa"/>
            <w:vAlign w:val="center"/>
          </w:tcPr>
          <w:p w14:paraId="37A6471F">
            <w:pPr>
              <w:pStyle w:val="8"/>
              <w:spacing w:line="360" w:lineRule="auto"/>
              <w:ind w:firstLine="0"/>
              <w:jc w:val="center"/>
              <w:rPr>
                <w:rFonts w:ascii="宋体" w:hAnsi="宋体" w:cs="宋体"/>
                <w:color w:val="000000"/>
                <w:szCs w:val="24"/>
              </w:rPr>
            </w:pPr>
          </w:p>
        </w:tc>
      </w:tr>
      <w:tr w14:paraId="612B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0DEFCC6">
            <w:pPr>
              <w:pStyle w:val="8"/>
              <w:spacing w:line="360" w:lineRule="auto"/>
              <w:ind w:firstLine="0"/>
              <w:jc w:val="center"/>
              <w:rPr>
                <w:rFonts w:ascii="宋体" w:hAnsi="宋体" w:cs="宋体"/>
                <w:color w:val="000000"/>
                <w:szCs w:val="24"/>
              </w:rPr>
            </w:pPr>
          </w:p>
        </w:tc>
        <w:tc>
          <w:tcPr>
            <w:tcW w:w="2514" w:type="dxa"/>
            <w:vAlign w:val="center"/>
          </w:tcPr>
          <w:p w14:paraId="29FABD24">
            <w:pPr>
              <w:pStyle w:val="8"/>
              <w:spacing w:line="360" w:lineRule="auto"/>
              <w:ind w:firstLine="0"/>
              <w:jc w:val="center"/>
              <w:rPr>
                <w:rFonts w:ascii="宋体" w:hAnsi="宋体" w:cs="宋体"/>
                <w:color w:val="000000"/>
                <w:szCs w:val="24"/>
              </w:rPr>
            </w:pPr>
          </w:p>
        </w:tc>
        <w:tc>
          <w:tcPr>
            <w:tcW w:w="2266" w:type="dxa"/>
            <w:vAlign w:val="center"/>
          </w:tcPr>
          <w:p w14:paraId="2734A872">
            <w:pPr>
              <w:pStyle w:val="8"/>
              <w:spacing w:line="360" w:lineRule="auto"/>
              <w:ind w:firstLine="0"/>
              <w:jc w:val="center"/>
              <w:rPr>
                <w:rFonts w:ascii="宋体" w:hAnsi="宋体" w:cs="宋体"/>
                <w:color w:val="000000"/>
                <w:szCs w:val="24"/>
              </w:rPr>
            </w:pPr>
          </w:p>
        </w:tc>
        <w:tc>
          <w:tcPr>
            <w:tcW w:w="2966" w:type="dxa"/>
            <w:vAlign w:val="center"/>
          </w:tcPr>
          <w:p w14:paraId="09C814B3">
            <w:pPr>
              <w:pStyle w:val="8"/>
              <w:spacing w:line="360" w:lineRule="auto"/>
              <w:ind w:firstLine="0"/>
              <w:jc w:val="center"/>
              <w:rPr>
                <w:rFonts w:ascii="宋体" w:hAnsi="宋体" w:cs="宋体"/>
                <w:color w:val="000000"/>
                <w:szCs w:val="24"/>
              </w:rPr>
            </w:pPr>
          </w:p>
        </w:tc>
      </w:tr>
    </w:tbl>
    <w:p w14:paraId="74C27A92">
      <w:pPr>
        <w:spacing w:line="360" w:lineRule="auto"/>
        <w:rPr>
          <w:rFonts w:ascii="宋体" w:hAnsi="宋体" w:cs="宋体"/>
          <w:color w:val="000000"/>
          <w:lang w:val="zh-CN"/>
        </w:rPr>
      </w:pPr>
    </w:p>
    <w:p w14:paraId="7FD01422">
      <w:pPr>
        <w:pStyle w:val="18"/>
        <w:spacing w:before="0" w:after="0" w:line="360" w:lineRule="auto"/>
        <w:jc w:val="left"/>
        <w:outlineLvl w:val="1"/>
        <w:rPr>
          <w:rFonts w:ascii="宋体" w:hAnsi="宋体" w:cs="宋体"/>
          <w:color w:val="000000"/>
          <w:lang w:val="zh-CN"/>
        </w:rPr>
      </w:pPr>
      <w:bookmarkStart w:id="195" w:name="_Toc28963"/>
      <w:r>
        <w:rPr>
          <w:rFonts w:hint="eastAsia" w:ascii="宋体" w:hAnsi="宋体" w:cs="宋体"/>
          <w:color w:val="000000"/>
          <w:sz w:val="30"/>
          <w:szCs w:val="30"/>
          <w:lang w:val="zh-CN"/>
        </w:rPr>
        <w:br w:type="page"/>
      </w:r>
      <w:bookmarkStart w:id="196" w:name="_Toc7768"/>
      <w:bookmarkStart w:id="197" w:name="_Toc9114"/>
      <w:bookmarkStart w:id="198" w:name="_Toc26451"/>
      <w:bookmarkStart w:id="199" w:name="_Toc15183"/>
      <w:r>
        <w:rPr>
          <w:rFonts w:hint="eastAsia" w:ascii="宋体" w:hAnsi="宋体" w:cs="宋体"/>
          <w:color w:val="000000"/>
          <w:sz w:val="30"/>
          <w:szCs w:val="30"/>
        </w:rPr>
        <w:t>（1</w:t>
      </w:r>
      <w:r>
        <w:rPr>
          <w:rFonts w:hint="eastAsia" w:ascii="宋体" w:hAnsi="宋体" w:cs="宋体"/>
          <w:color w:val="000000"/>
          <w:sz w:val="30"/>
          <w:szCs w:val="30"/>
          <w:lang w:val="en-US" w:eastAsia="zh-CN"/>
        </w:rPr>
        <w:t>2</w:t>
      </w:r>
      <w:r>
        <w:rPr>
          <w:rFonts w:hint="eastAsia" w:ascii="宋体" w:hAnsi="宋体" w:cs="宋体"/>
          <w:color w:val="000000"/>
          <w:sz w:val="30"/>
          <w:szCs w:val="30"/>
        </w:rPr>
        <w:t>）</w:t>
      </w:r>
      <w:r>
        <w:rPr>
          <w:rFonts w:hint="eastAsia" w:ascii="宋体" w:hAnsi="宋体" w:cs="宋体"/>
          <w:color w:val="000000"/>
          <w:sz w:val="30"/>
          <w:szCs w:val="30"/>
          <w:lang w:val="zh-CN"/>
        </w:rPr>
        <w:t>开标一览表</w:t>
      </w:r>
      <w:bookmarkEnd w:id="196"/>
      <w:bookmarkEnd w:id="197"/>
      <w:bookmarkEnd w:id="198"/>
      <w:bookmarkEnd w:id="199"/>
      <w:r>
        <w:rPr>
          <w:rFonts w:hint="eastAsia" w:ascii="宋体" w:hAnsi="宋体" w:cs="宋体"/>
          <w:color w:val="000000"/>
          <w:sz w:val="30"/>
          <w:szCs w:val="30"/>
          <w:lang w:val="zh-CN"/>
        </w:rPr>
        <w:t>（报价表）</w:t>
      </w:r>
    </w:p>
    <w:p w14:paraId="608CBA4F">
      <w:pPr>
        <w:autoSpaceDE w:val="0"/>
        <w:autoSpaceDN w:val="0"/>
        <w:spacing w:line="360" w:lineRule="auto"/>
        <w:rPr>
          <w:rFonts w:ascii="宋体" w:hAnsi="宋体" w:cs="宋体"/>
          <w:b/>
          <w:bCs/>
          <w:color w:val="000000"/>
          <w:kern w:val="0"/>
          <w:sz w:val="28"/>
          <w:szCs w:val="28"/>
          <w:lang w:val="zh-CN"/>
        </w:rPr>
      </w:pPr>
    </w:p>
    <w:p w14:paraId="3A3EA989">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44251C07">
      <w:pPr>
        <w:autoSpaceDE w:val="0"/>
        <w:autoSpaceDN w:val="0"/>
        <w:spacing w:line="360" w:lineRule="auto"/>
        <w:rPr>
          <w:rFonts w:ascii="宋体" w:cs="宋体"/>
          <w:b/>
          <w:bCs/>
          <w:color w:val="000000"/>
          <w:kern w:val="0"/>
          <w:lang w:val="zh-CN"/>
        </w:rPr>
      </w:pPr>
      <w:r>
        <w:rPr>
          <w:rFonts w:ascii="宋体" w:cs="宋体"/>
          <w:b/>
          <w:bCs/>
          <w:color w:val="000000"/>
          <w:kern w:val="0"/>
          <w:lang w:val="zh-CN"/>
        </w:rPr>
        <w:t>项目名称</w:t>
      </w:r>
      <w:r>
        <w:rPr>
          <w:rFonts w:hint="eastAsia" w:ascii="宋体" w:cs="宋体"/>
          <w:b/>
          <w:bCs/>
          <w:color w:val="000000"/>
          <w:kern w:val="0"/>
          <w:lang w:val="zh-CN"/>
        </w:rPr>
        <w:t>：</w:t>
      </w:r>
      <w:r>
        <w:rPr>
          <w:rFonts w:ascii="宋体" w:cs="宋体"/>
          <w:b/>
          <w:bCs/>
          <w:color w:val="000000"/>
          <w:kern w:val="0"/>
          <w:lang w:val="zh-CN"/>
        </w:rPr>
        <w:t xml:space="preserve"> </w:t>
      </w:r>
      <w:r>
        <w:rPr>
          <w:rFonts w:hint="eastAsia" w:ascii="宋体" w:cs="宋体"/>
          <w:b/>
          <w:bCs/>
          <w:color w:val="000000"/>
          <w:kern w:val="0"/>
          <w:lang w:val="zh-CN"/>
        </w:rPr>
        <w:t xml:space="preserve">                                     单位：人民币(元)</w:t>
      </w: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1112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jc w:val="center"/>
        </w:trPr>
        <w:tc>
          <w:tcPr>
            <w:tcW w:w="2632" w:type="dxa"/>
            <w:vAlign w:val="center"/>
          </w:tcPr>
          <w:p w14:paraId="3CA4C176">
            <w:pPr>
              <w:pStyle w:val="8"/>
              <w:spacing w:line="360" w:lineRule="auto"/>
              <w:ind w:firstLine="0"/>
              <w:jc w:val="center"/>
              <w:rPr>
                <w:rFonts w:ascii="宋体" w:cs="宋体"/>
                <w:color w:val="000000"/>
                <w:szCs w:val="24"/>
              </w:rPr>
            </w:pPr>
            <w:r>
              <w:rPr>
                <w:rFonts w:hint="eastAsia" w:ascii="宋体" w:hAnsi="宋体" w:cs="宋体"/>
                <w:color w:val="000000"/>
                <w:szCs w:val="24"/>
              </w:rPr>
              <w:t>投标人名称</w:t>
            </w:r>
          </w:p>
        </w:tc>
        <w:tc>
          <w:tcPr>
            <w:tcW w:w="5985" w:type="dxa"/>
            <w:vAlign w:val="center"/>
          </w:tcPr>
          <w:p w14:paraId="2B538B2A">
            <w:pPr>
              <w:pStyle w:val="8"/>
              <w:spacing w:line="360" w:lineRule="auto"/>
              <w:ind w:firstLine="0"/>
              <w:rPr>
                <w:rFonts w:ascii="宋体" w:cs="宋体"/>
                <w:color w:val="000000"/>
                <w:szCs w:val="24"/>
              </w:rPr>
            </w:pPr>
          </w:p>
        </w:tc>
      </w:tr>
      <w:tr w14:paraId="0663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B19D714">
            <w:pPr>
              <w:pStyle w:val="8"/>
              <w:spacing w:line="360" w:lineRule="auto"/>
              <w:ind w:firstLine="0"/>
              <w:jc w:val="center"/>
              <w:rPr>
                <w:rFonts w:ascii="宋体" w:cs="宋体"/>
                <w:color w:val="000000"/>
                <w:szCs w:val="24"/>
              </w:rPr>
            </w:pPr>
            <w:r>
              <w:rPr>
                <w:rFonts w:hint="eastAsia" w:ascii="宋体" w:hAnsi="宋体" w:cs="宋体"/>
                <w:color w:val="000000"/>
                <w:szCs w:val="24"/>
                <w:lang w:val="zh-CN"/>
              </w:rPr>
              <w:t>投标报价</w:t>
            </w:r>
          </w:p>
        </w:tc>
        <w:tc>
          <w:tcPr>
            <w:tcW w:w="5985" w:type="dxa"/>
            <w:vAlign w:val="center"/>
          </w:tcPr>
          <w:p w14:paraId="3B5E8549">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大写：</w:t>
            </w:r>
          </w:p>
          <w:p w14:paraId="7AEA42FB">
            <w:pPr>
              <w:pStyle w:val="8"/>
              <w:spacing w:line="360" w:lineRule="auto"/>
              <w:ind w:firstLine="0"/>
              <w:rPr>
                <w:rFonts w:ascii="宋体" w:cs="宋体"/>
                <w:color w:val="000000"/>
                <w:szCs w:val="24"/>
              </w:rPr>
            </w:pPr>
            <w:r>
              <w:rPr>
                <w:rFonts w:hint="eastAsia" w:ascii="宋体" w:hAnsi="宋体" w:cs="宋体"/>
                <w:color w:val="000000"/>
                <w:kern w:val="0"/>
                <w:szCs w:val="24"/>
                <w:lang w:val="zh-CN"/>
              </w:rPr>
              <w:t>小写：</w:t>
            </w:r>
          </w:p>
        </w:tc>
      </w:tr>
      <w:tr w14:paraId="5F9F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2632" w:type="dxa"/>
            <w:vAlign w:val="center"/>
          </w:tcPr>
          <w:p w14:paraId="193CA767">
            <w:pPr>
              <w:pStyle w:val="8"/>
              <w:spacing w:line="360" w:lineRule="auto"/>
              <w:ind w:firstLine="0"/>
              <w:jc w:val="center"/>
              <w:rPr>
                <w:rFonts w:ascii="宋体" w:hAnsi="宋体" w:cs="宋体"/>
                <w:color w:val="000000"/>
                <w:szCs w:val="24"/>
                <w:highlight w:val="none"/>
              </w:rPr>
            </w:pPr>
            <w:r>
              <w:rPr>
                <w:rFonts w:hint="eastAsia" w:ascii="宋体" w:hAnsi="宋体" w:cs="宋体"/>
                <w:color w:val="000000"/>
                <w:szCs w:val="24"/>
                <w:highlight w:val="none"/>
              </w:rPr>
              <w:t>服务期</w:t>
            </w:r>
          </w:p>
        </w:tc>
        <w:tc>
          <w:tcPr>
            <w:tcW w:w="5985" w:type="dxa"/>
            <w:vAlign w:val="center"/>
          </w:tcPr>
          <w:p w14:paraId="440C27E6">
            <w:pPr>
              <w:pStyle w:val="8"/>
              <w:spacing w:line="360" w:lineRule="auto"/>
              <w:ind w:firstLine="0"/>
              <w:rPr>
                <w:rFonts w:hint="default" w:ascii="宋体" w:cs="宋体"/>
                <w:color w:val="000000"/>
                <w:szCs w:val="24"/>
                <w:highlight w:val="none"/>
                <w:lang w:val="en-US" w:eastAsia="zh-CN"/>
              </w:rPr>
            </w:pPr>
          </w:p>
        </w:tc>
      </w:tr>
      <w:tr w14:paraId="3740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8" w:hRule="atLeast"/>
          <w:jc w:val="center"/>
        </w:trPr>
        <w:tc>
          <w:tcPr>
            <w:tcW w:w="2632" w:type="dxa"/>
            <w:vAlign w:val="center"/>
          </w:tcPr>
          <w:p w14:paraId="4433DCC9">
            <w:pPr>
              <w:pStyle w:val="8"/>
              <w:spacing w:line="360" w:lineRule="auto"/>
              <w:ind w:firstLine="0"/>
              <w:jc w:val="center"/>
              <w:rPr>
                <w:rFonts w:ascii="宋体" w:hAnsi="宋体" w:cs="宋体"/>
                <w:color w:val="000000"/>
                <w:szCs w:val="24"/>
              </w:rPr>
            </w:pPr>
            <w:r>
              <w:rPr>
                <w:rFonts w:hint="eastAsia" w:ascii="宋体" w:hAnsi="宋体" w:cs="宋体"/>
                <w:color w:val="000000"/>
                <w:szCs w:val="24"/>
              </w:rPr>
              <w:t>其他承诺及需要说明的事项</w:t>
            </w:r>
          </w:p>
        </w:tc>
        <w:tc>
          <w:tcPr>
            <w:tcW w:w="5985" w:type="dxa"/>
            <w:vAlign w:val="center"/>
          </w:tcPr>
          <w:p w14:paraId="3F08AC7F">
            <w:pPr>
              <w:pStyle w:val="8"/>
              <w:spacing w:line="360" w:lineRule="auto"/>
              <w:ind w:firstLine="0"/>
              <w:rPr>
                <w:rFonts w:ascii="宋体" w:cs="宋体"/>
                <w:color w:val="000000"/>
                <w:szCs w:val="24"/>
              </w:rPr>
            </w:pPr>
          </w:p>
        </w:tc>
      </w:tr>
    </w:tbl>
    <w:p w14:paraId="64BD6D60">
      <w:pPr>
        <w:autoSpaceDE w:val="0"/>
        <w:autoSpaceDN w:val="0"/>
        <w:spacing w:line="264"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14:paraId="36D307E3">
      <w:pPr>
        <w:autoSpaceDE w:val="0"/>
        <w:autoSpaceDN w:val="0"/>
        <w:spacing w:line="264" w:lineRule="auto"/>
        <w:ind w:firstLine="480"/>
        <w:rPr>
          <w:rFonts w:ascii="宋体" w:hAnsi="宋体" w:cs="宋体"/>
          <w:b/>
          <w:bCs/>
          <w:color w:val="000000"/>
          <w:kern w:val="0"/>
        </w:rPr>
      </w:pPr>
      <w:r>
        <w:rPr>
          <w:rFonts w:ascii="宋体" w:hAnsi="宋体" w:cs="宋体"/>
          <w:kern w:val="0"/>
          <w:lang w:val="zh-CN"/>
        </w:rPr>
        <w:t>2.</w:t>
      </w:r>
      <w:r>
        <w:rPr>
          <w:rFonts w:hint="eastAsia" w:ascii="宋体" w:hAnsi="宋体" w:cs="宋体"/>
          <w:kern w:val="0"/>
          <w:lang w:val="zh-CN"/>
        </w:rPr>
        <w:t>“投标报价”为投标总价。投标报价必须包括：服务费、招标代理费、税金及不可预见费等全部费用。</w:t>
      </w:r>
    </w:p>
    <w:p w14:paraId="371EE08D">
      <w:pPr>
        <w:autoSpaceDE w:val="0"/>
        <w:autoSpaceDN w:val="0"/>
        <w:spacing w:line="264" w:lineRule="auto"/>
        <w:ind w:firstLine="480"/>
        <w:rPr>
          <w:rFonts w:ascii="宋体" w:hAnsi="宋体" w:cs="宋体"/>
          <w:kern w:val="0"/>
        </w:rPr>
      </w:pPr>
      <w:r>
        <w:rPr>
          <w:rFonts w:hint="eastAsia" w:ascii="宋体" w:hAnsi="宋体" w:cs="宋体"/>
          <w:kern w:val="0"/>
        </w:rPr>
        <w:t>3、“服务期限”是指该项目的具体服务期限。</w:t>
      </w:r>
    </w:p>
    <w:p w14:paraId="4A304153">
      <w:pPr>
        <w:autoSpaceDE w:val="0"/>
        <w:autoSpaceDN w:val="0"/>
        <w:spacing w:line="264" w:lineRule="auto"/>
        <w:ind w:firstLine="480"/>
        <w:rPr>
          <w:rFonts w:ascii="宋体" w:hAns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14:paraId="56D8297C">
      <w:pPr>
        <w:adjustRightInd w:val="0"/>
        <w:spacing w:line="264" w:lineRule="auto"/>
        <w:ind w:firstLine="482"/>
        <w:textAlignment w:val="baseline"/>
        <w:rPr>
          <w:rFonts w:ascii="宋体" w:hAnsi="宋体"/>
          <w:color w:val="000000"/>
        </w:rPr>
      </w:pPr>
      <w:r>
        <w:rPr>
          <w:rFonts w:hint="eastAsia" w:ascii="宋体" w:hAnsi="宋体" w:cs="宋体"/>
          <w:color w:val="000000"/>
          <w:kern w:val="0"/>
        </w:rPr>
        <w:t>5.</w:t>
      </w:r>
      <w:r>
        <w:rPr>
          <w:rFonts w:hint="eastAsia" w:ascii="宋体" w:hAnsi="宋体"/>
          <w:color w:val="000000"/>
        </w:rPr>
        <w:t>除在投标文件中编制此表以外，投标人应在</w:t>
      </w:r>
      <w:r>
        <w:rPr>
          <w:rFonts w:hint="eastAsia" w:ascii="宋体" w:hAnsi="宋体" w:cs="宋体"/>
          <w:color w:val="000000"/>
        </w:rPr>
        <w:t>政采云平台</w:t>
      </w:r>
      <w:r>
        <w:rPr>
          <w:rFonts w:hint="eastAsia" w:ascii="宋体" w:hAnsi="宋体"/>
          <w:color w:val="000000"/>
        </w:rPr>
        <w:t>中进行网上报价，网上报价应和此表报价一致，否则以网上报价为准。</w:t>
      </w:r>
    </w:p>
    <w:p w14:paraId="73D1F7CF">
      <w:pPr>
        <w:keepNext w:val="0"/>
        <w:keepLines w:val="0"/>
        <w:widowControl/>
        <w:suppressLineNumbers w:val="0"/>
        <w:ind w:firstLine="480" w:firstLineChars="200"/>
        <w:jc w:val="left"/>
      </w:pPr>
      <w:r>
        <w:rPr>
          <w:rFonts w:hint="eastAsia" w:ascii="宋体" w:hAnsi="宋体"/>
        </w:rPr>
        <w:t>6.</w:t>
      </w:r>
      <w:r>
        <w:rPr>
          <w:rFonts w:hint="eastAsia" w:ascii="宋体" w:hAnsi="宋体" w:eastAsia="宋体" w:cs="宋体"/>
          <w:color w:val="000000"/>
          <w:kern w:val="0"/>
          <w:sz w:val="24"/>
          <w:szCs w:val="24"/>
          <w:lang w:val="en-US" w:eastAsia="zh-CN" w:bidi="ar"/>
        </w:rPr>
        <w:t>因本项目施行固定价采购，所以价格不列为评审因素。</w:t>
      </w:r>
    </w:p>
    <w:p w14:paraId="040EB06F">
      <w:pPr>
        <w:autoSpaceDE w:val="0"/>
        <w:autoSpaceDN w:val="0"/>
        <w:spacing w:line="264" w:lineRule="auto"/>
        <w:ind w:firstLine="480" w:firstLineChars="200"/>
        <w:rPr>
          <w:rFonts w:ascii="宋体" w:hAnsi="宋体" w:cs="宋体"/>
          <w:color w:val="000000"/>
          <w:kern w:val="0"/>
        </w:rPr>
      </w:pPr>
    </w:p>
    <w:p w14:paraId="6E5D0F19">
      <w:pPr>
        <w:autoSpaceDE w:val="0"/>
        <w:autoSpaceDN w:val="0"/>
        <w:spacing w:line="360" w:lineRule="auto"/>
        <w:rPr>
          <w:rFonts w:ascii="宋体" w:hAnsi="宋体" w:cs="宋体"/>
          <w:color w:val="000000"/>
          <w:kern w:val="0"/>
          <w:lang w:val="zh-CN"/>
        </w:rPr>
      </w:pPr>
    </w:p>
    <w:p w14:paraId="06243831">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BCA1A75">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2276ED3">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26F531D">
      <w:pPr>
        <w:autoSpaceDE w:val="0"/>
        <w:autoSpaceDN w:val="0"/>
        <w:spacing w:line="360" w:lineRule="auto"/>
        <w:jc w:val="center"/>
        <w:rPr>
          <w:rFonts w:hint="eastAsia" w:ascii="宋体" w:hAnsi="宋体" w:cs="宋体"/>
          <w:color w:val="000000"/>
          <w:sz w:val="30"/>
          <w:szCs w:val="30"/>
          <w:lang w:val="zh-CN"/>
        </w:rPr>
      </w:pPr>
    </w:p>
    <w:p w14:paraId="2BBCDD7B">
      <w:pPr>
        <w:autoSpaceDE w:val="0"/>
        <w:autoSpaceDN w:val="0"/>
        <w:spacing w:line="360" w:lineRule="auto"/>
        <w:jc w:val="center"/>
        <w:rPr>
          <w:rFonts w:hint="eastAsia" w:ascii="宋体" w:hAnsi="宋体" w:cs="宋体"/>
          <w:color w:val="000000"/>
          <w:sz w:val="30"/>
          <w:szCs w:val="30"/>
          <w:lang w:val="zh-CN"/>
        </w:rPr>
      </w:pPr>
    </w:p>
    <w:p w14:paraId="09D2C1A3">
      <w:pPr>
        <w:autoSpaceDE w:val="0"/>
        <w:autoSpaceDN w:val="0"/>
        <w:spacing w:line="360" w:lineRule="auto"/>
        <w:jc w:val="center"/>
        <w:rPr>
          <w:rFonts w:hint="eastAsia" w:ascii="宋体" w:hAnsi="宋体" w:cs="宋体"/>
          <w:color w:val="000000"/>
          <w:sz w:val="30"/>
          <w:szCs w:val="30"/>
          <w:lang w:val="zh-CN"/>
        </w:rPr>
      </w:pPr>
    </w:p>
    <w:p w14:paraId="2196A12E">
      <w:pPr>
        <w:autoSpaceDE w:val="0"/>
        <w:autoSpaceDN w:val="0"/>
        <w:spacing w:line="360" w:lineRule="auto"/>
        <w:jc w:val="center"/>
        <w:rPr>
          <w:rFonts w:hint="eastAsia" w:ascii="宋体" w:hAnsi="宋体" w:cs="宋体"/>
          <w:color w:val="000000"/>
          <w:sz w:val="30"/>
          <w:szCs w:val="30"/>
          <w:lang w:val="zh-CN"/>
        </w:rPr>
      </w:pPr>
    </w:p>
    <w:p w14:paraId="1A973B58">
      <w:pPr>
        <w:pStyle w:val="2"/>
        <w:rPr>
          <w:rFonts w:hint="eastAsia"/>
          <w:lang w:val="zh-CN"/>
        </w:rPr>
      </w:pPr>
    </w:p>
    <w:p w14:paraId="12771805">
      <w:pPr>
        <w:pStyle w:val="18"/>
        <w:spacing w:before="0" w:after="0" w:line="360" w:lineRule="auto"/>
        <w:jc w:val="both"/>
        <w:outlineLvl w:val="1"/>
        <w:rPr>
          <w:rFonts w:ascii="宋体" w:hAnsi="宋体" w:cs="宋体"/>
          <w:color w:val="000000"/>
        </w:rPr>
      </w:pPr>
      <w:bookmarkStart w:id="200" w:name="_Toc17022"/>
      <w:bookmarkStart w:id="201" w:name="_Toc1569"/>
      <w:r>
        <w:rPr>
          <w:rFonts w:hint="eastAsia" w:ascii="宋体" w:hAnsi="宋体" w:cs="宋体"/>
          <w:color w:val="000000"/>
          <w:sz w:val="30"/>
          <w:szCs w:val="30"/>
        </w:rPr>
        <w:t>（1</w:t>
      </w:r>
      <w:r>
        <w:rPr>
          <w:rFonts w:hint="eastAsia" w:ascii="宋体" w:hAnsi="宋体" w:cs="宋体"/>
          <w:color w:val="000000"/>
          <w:sz w:val="30"/>
          <w:szCs w:val="30"/>
          <w:lang w:val="en-US" w:eastAsia="zh-CN"/>
        </w:rPr>
        <w:t>3</w:t>
      </w:r>
      <w:r>
        <w:rPr>
          <w:rFonts w:hint="eastAsia" w:ascii="宋体" w:hAnsi="宋体" w:cs="宋体"/>
          <w:color w:val="000000"/>
          <w:sz w:val="30"/>
          <w:szCs w:val="30"/>
        </w:rPr>
        <w:t>）</w:t>
      </w:r>
      <w:r>
        <w:rPr>
          <w:rFonts w:hint="eastAsia" w:ascii="宋体" w:hAnsi="宋体" w:cs="宋体"/>
          <w:color w:val="000000"/>
          <w:sz w:val="30"/>
          <w:szCs w:val="30"/>
          <w:lang w:val="zh-CN"/>
        </w:rPr>
        <w:t>服务</w:t>
      </w:r>
      <w:r>
        <w:rPr>
          <w:rFonts w:hint="eastAsia" w:ascii="宋体" w:hAnsi="宋体" w:cs="宋体"/>
          <w:color w:val="000000"/>
          <w:sz w:val="30"/>
          <w:szCs w:val="30"/>
          <w:lang w:val="zh-CN" w:eastAsia="zh-CN"/>
        </w:rPr>
        <w:t>内容</w:t>
      </w:r>
      <w:r>
        <w:rPr>
          <w:rFonts w:hint="eastAsia" w:ascii="宋体" w:hAnsi="宋体" w:cs="宋体"/>
          <w:color w:val="000000"/>
          <w:sz w:val="30"/>
          <w:szCs w:val="30"/>
          <w:lang w:val="zh-CN"/>
        </w:rPr>
        <w:t>响应表</w:t>
      </w:r>
      <w:bookmarkEnd w:id="200"/>
      <w:bookmarkEnd w:id="201"/>
    </w:p>
    <w:p w14:paraId="6FFA7607">
      <w:pPr>
        <w:autoSpaceDE w:val="0"/>
        <w:autoSpaceDN w:val="0"/>
        <w:spacing w:line="360" w:lineRule="auto"/>
        <w:rPr>
          <w:rFonts w:ascii="宋体" w:hAnsi="宋体" w:cs="宋体"/>
          <w:color w:val="000000"/>
          <w:kern w:val="0"/>
          <w:sz w:val="28"/>
          <w:szCs w:val="28"/>
          <w:lang w:val="zh-CN"/>
        </w:rPr>
      </w:pPr>
    </w:p>
    <w:p w14:paraId="2830DF8B">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服务</w:t>
      </w:r>
      <w:r>
        <w:rPr>
          <w:rFonts w:hint="eastAsia" w:ascii="宋体" w:hAnsi="宋体" w:cs="宋体"/>
          <w:b/>
          <w:bCs/>
          <w:kern w:val="0"/>
          <w:sz w:val="28"/>
          <w:szCs w:val="28"/>
          <w:lang w:eastAsia="zh-CN"/>
        </w:rPr>
        <w:t>内容</w:t>
      </w:r>
      <w:r>
        <w:rPr>
          <w:rFonts w:hint="eastAsia" w:ascii="宋体" w:hAnsi="宋体" w:cs="宋体"/>
          <w:b/>
          <w:bCs/>
          <w:kern w:val="0"/>
          <w:sz w:val="28"/>
          <w:szCs w:val="28"/>
          <w:lang w:val="zh-CN"/>
        </w:rPr>
        <w:t>响应表</w:t>
      </w:r>
    </w:p>
    <w:p w14:paraId="3896B77D">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1"/>
        <w:tblW w:w="9060" w:type="dxa"/>
        <w:jc w:val="center"/>
        <w:tblLayout w:type="fixed"/>
        <w:tblCellMar>
          <w:top w:w="0" w:type="dxa"/>
          <w:left w:w="28" w:type="dxa"/>
          <w:bottom w:w="0" w:type="dxa"/>
          <w:right w:w="28" w:type="dxa"/>
        </w:tblCellMar>
      </w:tblPr>
      <w:tblGrid>
        <w:gridCol w:w="755"/>
        <w:gridCol w:w="3775"/>
        <w:gridCol w:w="3510"/>
        <w:gridCol w:w="1020"/>
      </w:tblGrid>
      <w:tr w14:paraId="30842352">
        <w:tblPrEx>
          <w:tblCellMar>
            <w:top w:w="0" w:type="dxa"/>
            <w:left w:w="28" w:type="dxa"/>
            <w:bottom w:w="0" w:type="dxa"/>
            <w:right w:w="28" w:type="dxa"/>
          </w:tblCellMar>
        </w:tblPrEx>
        <w:trPr>
          <w:trHeight w:val="698"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43574E7B">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3775" w:type="dxa"/>
            <w:tcBorders>
              <w:top w:val="single" w:color="000000" w:sz="6" w:space="0"/>
              <w:left w:val="single" w:color="000000" w:sz="6" w:space="0"/>
              <w:bottom w:val="single" w:color="000000" w:sz="6" w:space="0"/>
              <w:right w:val="single" w:color="000000" w:sz="6" w:space="0"/>
            </w:tcBorders>
            <w:vAlign w:val="center"/>
          </w:tcPr>
          <w:p w14:paraId="64F3CB61">
            <w:pPr>
              <w:autoSpaceDE w:val="0"/>
              <w:autoSpaceDN w:val="0"/>
              <w:spacing w:line="360" w:lineRule="auto"/>
              <w:jc w:val="center"/>
              <w:rPr>
                <w:rFonts w:ascii="宋体" w:hAnsi="宋体" w:cs="宋体"/>
                <w:kern w:val="0"/>
                <w:lang w:val="zh-CN"/>
              </w:rPr>
            </w:pPr>
            <w:r>
              <w:rPr>
                <w:rFonts w:hint="eastAsia" w:ascii="宋体" w:hAnsi="宋体" w:cs="宋体"/>
                <w:kern w:val="0"/>
              </w:rPr>
              <w:t>采购服务内容</w:t>
            </w:r>
          </w:p>
        </w:tc>
        <w:tc>
          <w:tcPr>
            <w:tcW w:w="3510" w:type="dxa"/>
            <w:tcBorders>
              <w:top w:val="single" w:color="000000" w:sz="6" w:space="0"/>
              <w:left w:val="single" w:color="000000" w:sz="6" w:space="0"/>
              <w:bottom w:val="single" w:color="000000" w:sz="6" w:space="0"/>
              <w:right w:val="single" w:color="000000" w:sz="6" w:space="0"/>
            </w:tcBorders>
            <w:vAlign w:val="center"/>
          </w:tcPr>
          <w:p w14:paraId="6BAEAA20">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w:t>
            </w:r>
            <w:r>
              <w:rPr>
                <w:rFonts w:hint="eastAsia" w:ascii="宋体" w:hAnsi="宋体" w:cs="宋体"/>
                <w:kern w:val="0"/>
              </w:rPr>
              <w:t>服务内容</w:t>
            </w:r>
          </w:p>
        </w:tc>
        <w:tc>
          <w:tcPr>
            <w:tcW w:w="1020" w:type="dxa"/>
            <w:tcBorders>
              <w:top w:val="single" w:color="000000" w:sz="6" w:space="0"/>
              <w:left w:val="single" w:color="000000" w:sz="6" w:space="0"/>
              <w:bottom w:val="single" w:color="000000" w:sz="6" w:space="0"/>
              <w:right w:val="single" w:color="000000" w:sz="6" w:space="0"/>
            </w:tcBorders>
            <w:vAlign w:val="center"/>
          </w:tcPr>
          <w:p w14:paraId="4C749431">
            <w:pPr>
              <w:autoSpaceDE w:val="0"/>
              <w:autoSpaceDN w:val="0"/>
              <w:spacing w:line="360" w:lineRule="auto"/>
              <w:jc w:val="center"/>
              <w:rPr>
                <w:rFonts w:ascii="宋体" w:hAnsi="宋体" w:cs="宋体"/>
                <w:kern w:val="0"/>
                <w:lang w:val="zh-CN"/>
              </w:rPr>
            </w:pPr>
            <w:r>
              <w:rPr>
                <w:rFonts w:hint="eastAsia" w:ascii="宋体" w:hAnsi="宋体" w:cs="宋体"/>
                <w:kern w:val="0"/>
                <w:lang w:val="zh-CN"/>
              </w:rPr>
              <w:t>偏离</w:t>
            </w:r>
          </w:p>
        </w:tc>
      </w:tr>
      <w:tr w14:paraId="63352A78">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5934206C">
            <w:pPr>
              <w:autoSpaceDE w:val="0"/>
              <w:autoSpaceDN w:val="0"/>
              <w:spacing w:line="360" w:lineRule="auto"/>
              <w:jc w:val="center"/>
              <w:rPr>
                <w:rFonts w:ascii="宋体" w:hAnsi="宋体" w:cs="宋体"/>
                <w:kern w:val="0"/>
              </w:rPr>
            </w:pPr>
            <w:r>
              <w:rPr>
                <w:rFonts w:hint="eastAsia" w:ascii="宋体" w:hAnsi="宋体" w:cs="宋体"/>
                <w:kern w:val="0"/>
              </w:rPr>
              <w:t>1</w:t>
            </w:r>
          </w:p>
        </w:tc>
        <w:tc>
          <w:tcPr>
            <w:tcW w:w="3775" w:type="dxa"/>
            <w:tcBorders>
              <w:top w:val="single" w:color="000000" w:sz="6" w:space="0"/>
              <w:left w:val="single" w:color="000000" w:sz="6" w:space="0"/>
              <w:bottom w:val="single" w:color="000000" w:sz="6" w:space="0"/>
              <w:right w:val="single" w:color="000000" w:sz="6" w:space="0"/>
            </w:tcBorders>
            <w:vAlign w:val="center"/>
          </w:tcPr>
          <w:p w14:paraId="0285BA21">
            <w:pPr>
              <w:autoSpaceDE w:val="0"/>
              <w:autoSpaceDN w:val="0"/>
              <w:spacing w:line="360" w:lineRule="auto"/>
              <w:jc w:val="center"/>
              <w:rPr>
                <w:rFonts w:ascii="宋体" w:hAnsi="宋体" w:cs="宋体"/>
                <w:kern w:val="0"/>
              </w:rPr>
            </w:pPr>
          </w:p>
        </w:tc>
        <w:tc>
          <w:tcPr>
            <w:tcW w:w="3510" w:type="dxa"/>
            <w:tcBorders>
              <w:top w:val="single" w:color="000000" w:sz="6" w:space="0"/>
              <w:left w:val="single" w:color="000000" w:sz="6" w:space="0"/>
              <w:bottom w:val="single" w:color="000000" w:sz="6" w:space="0"/>
              <w:right w:val="single" w:color="000000" w:sz="6" w:space="0"/>
            </w:tcBorders>
            <w:vAlign w:val="center"/>
          </w:tcPr>
          <w:p w14:paraId="626C479B">
            <w:pPr>
              <w:autoSpaceDE w:val="0"/>
              <w:autoSpaceDN w:val="0"/>
              <w:spacing w:line="360" w:lineRule="auto"/>
              <w:jc w:val="center"/>
              <w:rPr>
                <w:rFonts w:ascii="宋体" w:hAnsi="宋体" w:cs="宋体"/>
                <w:kern w:val="0"/>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0EFEBE0E">
            <w:pPr>
              <w:autoSpaceDE w:val="0"/>
              <w:autoSpaceDN w:val="0"/>
              <w:spacing w:line="360" w:lineRule="auto"/>
              <w:jc w:val="center"/>
              <w:rPr>
                <w:rFonts w:ascii="宋体" w:hAnsi="宋体" w:cs="宋体"/>
                <w:kern w:val="0"/>
                <w:lang w:val="zh-CN"/>
              </w:rPr>
            </w:pPr>
          </w:p>
        </w:tc>
      </w:tr>
      <w:tr w14:paraId="0B45D29D">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4E479485">
            <w:pPr>
              <w:autoSpaceDE w:val="0"/>
              <w:autoSpaceDN w:val="0"/>
              <w:spacing w:line="360" w:lineRule="auto"/>
              <w:jc w:val="center"/>
              <w:rPr>
                <w:rFonts w:ascii="宋体" w:hAnsi="宋体" w:cs="宋体"/>
                <w:kern w:val="0"/>
              </w:rPr>
            </w:pPr>
            <w:r>
              <w:rPr>
                <w:rFonts w:hint="eastAsia" w:ascii="宋体" w:hAnsi="宋体" w:cs="宋体"/>
                <w:kern w:val="0"/>
              </w:rPr>
              <w:t>2</w:t>
            </w:r>
          </w:p>
        </w:tc>
        <w:tc>
          <w:tcPr>
            <w:tcW w:w="3775" w:type="dxa"/>
            <w:tcBorders>
              <w:top w:val="single" w:color="000000" w:sz="6" w:space="0"/>
              <w:left w:val="single" w:color="000000" w:sz="6" w:space="0"/>
              <w:bottom w:val="single" w:color="000000" w:sz="6" w:space="0"/>
              <w:right w:val="single" w:color="000000" w:sz="6" w:space="0"/>
            </w:tcBorders>
            <w:vAlign w:val="center"/>
          </w:tcPr>
          <w:p w14:paraId="190F19C2">
            <w:pPr>
              <w:autoSpaceDE w:val="0"/>
              <w:autoSpaceDN w:val="0"/>
              <w:spacing w:line="360" w:lineRule="auto"/>
              <w:jc w:val="center"/>
              <w:rPr>
                <w:rFonts w:ascii="宋体" w:hAnsi="宋体" w:cs="宋体"/>
                <w:kern w:val="0"/>
              </w:rPr>
            </w:pPr>
          </w:p>
        </w:tc>
        <w:tc>
          <w:tcPr>
            <w:tcW w:w="3510" w:type="dxa"/>
            <w:tcBorders>
              <w:top w:val="single" w:color="000000" w:sz="6" w:space="0"/>
              <w:left w:val="single" w:color="000000" w:sz="6" w:space="0"/>
              <w:bottom w:val="single" w:color="000000" w:sz="6" w:space="0"/>
              <w:right w:val="single" w:color="000000" w:sz="6" w:space="0"/>
            </w:tcBorders>
            <w:vAlign w:val="center"/>
          </w:tcPr>
          <w:p w14:paraId="10F6B823">
            <w:pPr>
              <w:autoSpaceDE w:val="0"/>
              <w:autoSpaceDN w:val="0"/>
              <w:spacing w:line="360" w:lineRule="auto"/>
              <w:jc w:val="center"/>
              <w:rPr>
                <w:rFonts w:ascii="宋体" w:hAnsi="宋体" w:cs="宋体"/>
                <w:kern w:val="0"/>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135FD048">
            <w:pPr>
              <w:autoSpaceDE w:val="0"/>
              <w:autoSpaceDN w:val="0"/>
              <w:spacing w:line="360" w:lineRule="auto"/>
              <w:jc w:val="center"/>
              <w:rPr>
                <w:rFonts w:ascii="宋体" w:hAnsi="宋体" w:cs="宋体"/>
                <w:kern w:val="0"/>
                <w:lang w:val="zh-CN"/>
              </w:rPr>
            </w:pPr>
          </w:p>
        </w:tc>
      </w:tr>
      <w:tr w14:paraId="3F4C6064">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2537BE15">
            <w:pPr>
              <w:autoSpaceDE w:val="0"/>
              <w:autoSpaceDN w:val="0"/>
              <w:spacing w:line="360" w:lineRule="auto"/>
              <w:jc w:val="center"/>
              <w:rPr>
                <w:rFonts w:ascii="宋体" w:hAnsi="宋体" w:cs="宋体"/>
                <w:kern w:val="0"/>
              </w:rPr>
            </w:pPr>
            <w:r>
              <w:rPr>
                <w:rFonts w:hint="eastAsia" w:ascii="宋体" w:hAnsi="宋体" w:cs="宋体"/>
                <w:kern w:val="0"/>
              </w:rPr>
              <w:t>...</w:t>
            </w:r>
          </w:p>
        </w:tc>
        <w:tc>
          <w:tcPr>
            <w:tcW w:w="3775" w:type="dxa"/>
            <w:tcBorders>
              <w:top w:val="single" w:color="000000" w:sz="6" w:space="0"/>
              <w:left w:val="single" w:color="000000" w:sz="6" w:space="0"/>
              <w:bottom w:val="single" w:color="000000" w:sz="6" w:space="0"/>
              <w:right w:val="single" w:color="000000" w:sz="6" w:space="0"/>
            </w:tcBorders>
            <w:vAlign w:val="center"/>
          </w:tcPr>
          <w:p w14:paraId="0F966D66">
            <w:pPr>
              <w:autoSpaceDE w:val="0"/>
              <w:autoSpaceDN w:val="0"/>
              <w:spacing w:line="360" w:lineRule="auto"/>
              <w:jc w:val="center"/>
              <w:rPr>
                <w:rFonts w:ascii="宋体" w:hAnsi="宋体" w:cs="宋体"/>
                <w:kern w:val="0"/>
              </w:rPr>
            </w:pPr>
          </w:p>
        </w:tc>
        <w:tc>
          <w:tcPr>
            <w:tcW w:w="3510" w:type="dxa"/>
            <w:tcBorders>
              <w:top w:val="single" w:color="000000" w:sz="6" w:space="0"/>
              <w:left w:val="single" w:color="000000" w:sz="6" w:space="0"/>
              <w:bottom w:val="single" w:color="000000" w:sz="6" w:space="0"/>
              <w:right w:val="single" w:color="000000" w:sz="6" w:space="0"/>
            </w:tcBorders>
            <w:vAlign w:val="center"/>
          </w:tcPr>
          <w:p w14:paraId="70E1F86B">
            <w:pPr>
              <w:autoSpaceDE w:val="0"/>
              <w:autoSpaceDN w:val="0"/>
              <w:spacing w:line="360" w:lineRule="auto"/>
              <w:jc w:val="center"/>
              <w:rPr>
                <w:rFonts w:ascii="宋体" w:hAnsi="宋体" w:cs="宋体"/>
                <w:kern w:val="0"/>
              </w:rPr>
            </w:pPr>
          </w:p>
        </w:tc>
        <w:tc>
          <w:tcPr>
            <w:tcW w:w="1020" w:type="dxa"/>
            <w:tcBorders>
              <w:top w:val="single" w:color="000000" w:sz="6" w:space="0"/>
              <w:left w:val="single" w:color="000000" w:sz="6" w:space="0"/>
              <w:bottom w:val="single" w:color="000000" w:sz="6" w:space="0"/>
              <w:right w:val="single" w:color="000000" w:sz="6" w:space="0"/>
            </w:tcBorders>
            <w:vAlign w:val="center"/>
          </w:tcPr>
          <w:p w14:paraId="1CE618AB">
            <w:pPr>
              <w:autoSpaceDE w:val="0"/>
              <w:autoSpaceDN w:val="0"/>
              <w:spacing w:line="360" w:lineRule="auto"/>
              <w:jc w:val="center"/>
              <w:rPr>
                <w:rFonts w:ascii="宋体" w:hAnsi="宋体" w:cs="宋体"/>
                <w:kern w:val="0"/>
                <w:lang w:val="zh-CN"/>
              </w:rPr>
            </w:pPr>
          </w:p>
        </w:tc>
      </w:tr>
    </w:tbl>
    <w:p w14:paraId="506B86A2">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注：1.本表应按照“第五部分采购要求”中的</w:t>
      </w:r>
      <w:r>
        <w:rPr>
          <w:rFonts w:hint="eastAsia" w:ascii="宋体" w:hAnsi="宋体" w:cs="宋体"/>
          <w:kern w:val="0"/>
        </w:rPr>
        <w:t>服务内容</w:t>
      </w:r>
      <w:r>
        <w:rPr>
          <w:rFonts w:hint="eastAsia" w:ascii="宋体" w:hAnsi="宋体" w:cs="宋体"/>
          <w:kern w:val="0"/>
          <w:lang w:val="zh-CN"/>
        </w:rPr>
        <w:t>进行填写。</w:t>
      </w:r>
    </w:p>
    <w:p w14:paraId="79B2C7D8">
      <w:pPr>
        <w:autoSpaceDE w:val="0"/>
        <w:autoSpaceDN w:val="0"/>
        <w:spacing w:line="360" w:lineRule="auto"/>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14:paraId="5BF8B7E2">
      <w:pPr>
        <w:autoSpaceDE w:val="0"/>
        <w:autoSpaceDN w:val="0"/>
        <w:spacing w:line="360" w:lineRule="auto"/>
        <w:ind w:firstLine="480"/>
        <w:rPr>
          <w:rFonts w:ascii="宋体" w:hAnsi="宋体" w:cs="宋体"/>
          <w:color w:val="000000"/>
          <w:kern w:val="0"/>
          <w:lang w:val="zh-CN"/>
        </w:rPr>
      </w:pPr>
    </w:p>
    <w:p w14:paraId="70BFD436">
      <w:pPr>
        <w:autoSpaceDE w:val="0"/>
        <w:autoSpaceDN w:val="0"/>
        <w:spacing w:line="360" w:lineRule="auto"/>
        <w:ind w:firstLine="480"/>
        <w:rPr>
          <w:rFonts w:ascii="宋体" w:hAnsi="宋体" w:cs="宋体"/>
          <w:color w:val="000000"/>
          <w:kern w:val="0"/>
          <w:lang w:val="zh-CN"/>
        </w:rPr>
      </w:pPr>
    </w:p>
    <w:p w14:paraId="7E06DC5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FE07A63">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72DB739">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2455255">
      <w:pPr>
        <w:pStyle w:val="5"/>
        <w:rPr>
          <w:kern w:val="0"/>
          <w:lang w:val="zh-CN"/>
        </w:rPr>
      </w:pPr>
    </w:p>
    <w:p w14:paraId="2CE4656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sz w:val="30"/>
          <w:szCs w:val="30"/>
          <w:lang w:val="zh-CN"/>
        </w:rPr>
        <w:br w:type="page"/>
      </w:r>
      <w:bookmarkEnd w:id="195"/>
      <w:bookmarkStart w:id="202" w:name="_Toc20398"/>
      <w:bookmarkStart w:id="203" w:name="_Toc10010"/>
    </w:p>
    <w:bookmarkEnd w:id="202"/>
    <w:p w14:paraId="66E14DCE">
      <w:pPr>
        <w:pStyle w:val="18"/>
        <w:spacing w:before="0" w:after="0" w:line="360" w:lineRule="auto"/>
        <w:jc w:val="left"/>
        <w:outlineLvl w:val="1"/>
        <w:rPr>
          <w:rFonts w:ascii="宋体" w:hAnsi="宋体" w:cs="宋体"/>
          <w:color w:val="000000"/>
          <w:sz w:val="30"/>
          <w:szCs w:val="30"/>
          <w:lang w:val="zh-CN"/>
        </w:rPr>
      </w:pPr>
      <w:bookmarkStart w:id="204" w:name="_Toc13688"/>
      <w:bookmarkStart w:id="205" w:name="_Toc416"/>
      <w:bookmarkStart w:id="206" w:name="_Toc1187"/>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4</w:t>
      </w:r>
      <w:r>
        <w:rPr>
          <w:rFonts w:hint="eastAsia" w:ascii="宋体" w:hAnsi="宋体" w:cs="宋体"/>
          <w:color w:val="000000"/>
          <w:sz w:val="30"/>
          <w:szCs w:val="30"/>
          <w:lang w:val="zh-CN"/>
        </w:rPr>
        <w:t>）投标人的类似业绩证明材料</w:t>
      </w:r>
      <w:bookmarkEnd w:id="204"/>
      <w:bookmarkEnd w:id="205"/>
      <w:bookmarkEnd w:id="206"/>
    </w:p>
    <w:p w14:paraId="17F7FB64">
      <w:pPr>
        <w:autoSpaceDE w:val="0"/>
        <w:autoSpaceDN w:val="0"/>
        <w:spacing w:line="360" w:lineRule="auto"/>
        <w:rPr>
          <w:rFonts w:ascii="宋体" w:hAnsi="宋体" w:cs="宋体"/>
          <w:color w:val="000000"/>
          <w:kern w:val="0"/>
          <w:sz w:val="28"/>
          <w:szCs w:val="28"/>
          <w:lang w:val="zh-CN"/>
        </w:rPr>
      </w:pPr>
    </w:p>
    <w:p w14:paraId="4BC1E955">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14:paraId="0B1B7E14">
      <w:pPr>
        <w:autoSpaceDE w:val="0"/>
        <w:autoSpaceDN w:val="0"/>
        <w:spacing w:line="360" w:lineRule="auto"/>
        <w:ind w:firstLine="480" w:firstLineChars="200"/>
        <w:jc w:val="left"/>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lang w:val="zh-CN" w:eastAsia="zh-CN" w:bidi="ar-SA"/>
        </w:rPr>
        <w:t>提供202</w:t>
      </w:r>
      <w:r>
        <w:rPr>
          <w:rFonts w:hint="eastAsia" w:ascii="宋体" w:hAnsi="宋体" w:cs="Times New Roman"/>
          <w:bCs/>
          <w:kern w:val="2"/>
          <w:sz w:val="24"/>
          <w:szCs w:val="24"/>
          <w:lang w:val="en-US" w:eastAsia="zh-CN" w:bidi="ar-SA"/>
        </w:rPr>
        <w:t>2</w:t>
      </w:r>
      <w:r>
        <w:rPr>
          <w:rFonts w:hint="eastAsia" w:ascii="宋体" w:hAnsi="宋体" w:eastAsia="宋体" w:cs="Times New Roman"/>
          <w:bCs/>
          <w:kern w:val="2"/>
          <w:sz w:val="24"/>
          <w:szCs w:val="24"/>
          <w:lang w:val="zh-CN" w:eastAsia="zh-CN" w:bidi="ar-SA"/>
        </w:rPr>
        <w:t>年</w:t>
      </w:r>
      <w:r>
        <w:rPr>
          <w:rFonts w:hint="eastAsia" w:ascii="宋体" w:hAnsi="宋体" w:cs="Times New Roman"/>
          <w:bCs/>
          <w:kern w:val="2"/>
          <w:sz w:val="24"/>
          <w:szCs w:val="24"/>
          <w:lang w:val="en-US" w:eastAsia="zh-CN" w:bidi="ar-SA"/>
        </w:rPr>
        <w:t>6月至今</w:t>
      </w:r>
      <w:r>
        <w:rPr>
          <w:rFonts w:hint="eastAsia" w:ascii="宋体" w:hAnsi="宋体" w:eastAsia="宋体" w:cs="Times New Roman"/>
          <w:bCs/>
          <w:kern w:val="2"/>
          <w:sz w:val="24"/>
          <w:szCs w:val="24"/>
          <w:lang w:val="zh-CN" w:eastAsia="zh-CN" w:bidi="ar-SA"/>
        </w:rPr>
        <w:t>以来类似业绩证明材料</w:t>
      </w:r>
      <w:r>
        <w:rPr>
          <w:rFonts w:hint="eastAsia" w:ascii="宋体" w:hAnsi="宋体" w:eastAsia="宋体" w:cs="Times New Roman"/>
          <w:bCs/>
          <w:kern w:val="2"/>
          <w:sz w:val="24"/>
          <w:szCs w:val="24"/>
          <w:highlight w:val="none"/>
          <w:lang w:val="zh-CN" w:eastAsia="zh-CN" w:bidi="ar-SA"/>
        </w:rPr>
        <w:t>（需提供</w:t>
      </w:r>
      <w:r>
        <w:rPr>
          <w:rFonts w:hint="eastAsia" w:ascii="宋体" w:hAnsi="宋体" w:cs="宋体"/>
          <w:bCs/>
          <w:color w:val="000000"/>
          <w:highlight w:val="none"/>
        </w:rPr>
        <w:t>中标通知书</w:t>
      </w:r>
      <w:r>
        <w:rPr>
          <w:rFonts w:hint="eastAsia" w:ascii="宋体" w:hAnsi="宋体" w:cs="宋体"/>
          <w:bCs/>
          <w:color w:val="000000"/>
          <w:highlight w:val="none"/>
          <w:lang w:val="en-US" w:eastAsia="zh-CN"/>
        </w:rPr>
        <w:t>或</w:t>
      </w:r>
      <w:r>
        <w:rPr>
          <w:rFonts w:hint="eastAsia" w:ascii="宋体" w:hAnsi="宋体" w:eastAsia="宋体" w:cs="Times New Roman"/>
          <w:bCs/>
          <w:kern w:val="2"/>
          <w:sz w:val="24"/>
          <w:szCs w:val="24"/>
          <w:highlight w:val="none"/>
          <w:lang w:val="zh-CN" w:eastAsia="zh-CN" w:bidi="ar-SA"/>
        </w:rPr>
        <w:t>合同首页、标的及金额所在页、签字盖章页的合同复印（扫描）件）。</w:t>
      </w:r>
    </w:p>
    <w:p w14:paraId="7816BB97">
      <w:pPr>
        <w:autoSpaceDE w:val="0"/>
        <w:autoSpaceDN w:val="0"/>
        <w:spacing w:line="360" w:lineRule="auto"/>
        <w:jc w:val="left"/>
        <w:rPr>
          <w:rStyle w:val="33"/>
          <w:sz w:val="30"/>
          <w:szCs w:val="30"/>
          <w:lang w:val="zh-CN"/>
        </w:rPr>
      </w:pPr>
    </w:p>
    <w:p w14:paraId="2F65773E">
      <w:pPr>
        <w:autoSpaceDE w:val="0"/>
        <w:autoSpaceDN w:val="0"/>
        <w:spacing w:line="360" w:lineRule="auto"/>
        <w:jc w:val="left"/>
        <w:rPr>
          <w:rStyle w:val="33"/>
          <w:sz w:val="30"/>
          <w:szCs w:val="30"/>
          <w:lang w:val="zh-CN"/>
        </w:rPr>
      </w:pPr>
    </w:p>
    <w:p w14:paraId="0BEB9C8C">
      <w:pPr>
        <w:autoSpaceDE w:val="0"/>
        <w:autoSpaceDN w:val="0"/>
        <w:spacing w:line="360" w:lineRule="auto"/>
        <w:jc w:val="left"/>
        <w:rPr>
          <w:rStyle w:val="33"/>
          <w:sz w:val="30"/>
          <w:szCs w:val="30"/>
          <w:lang w:val="zh-CN"/>
        </w:rPr>
      </w:pPr>
    </w:p>
    <w:p w14:paraId="2C41683D">
      <w:pPr>
        <w:autoSpaceDE w:val="0"/>
        <w:autoSpaceDN w:val="0"/>
        <w:spacing w:line="360" w:lineRule="auto"/>
        <w:jc w:val="left"/>
        <w:rPr>
          <w:rStyle w:val="33"/>
          <w:sz w:val="30"/>
          <w:szCs w:val="30"/>
          <w:lang w:val="zh-CN"/>
        </w:rPr>
      </w:pPr>
    </w:p>
    <w:p w14:paraId="5E8EAFD4">
      <w:pPr>
        <w:autoSpaceDE w:val="0"/>
        <w:autoSpaceDN w:val="0"/>
        <w:spacing w:line="360" w:lineRule="auto"/>
        <w:jc w:val="left"/>
        <w:rPr>
          <w:rStyle w:val="33"/>
          <w:sz w:val="30"/>
          <w:szCs w:val="30"/>
          <w:lang w:val="zh-CN"/>
        </w:rPr>
      </w:pPr>
    </w:p>
    <w:p w14:paraId="29BFDB87">
      <w:pPr>
        <w:autoSpaceDE w:val="0"/>
        <w:autoSpaceDN w:val="0"/>
        <w:spacing w:line="360" w:lineRule="auto"/>
        <w:jc w:val="left"/>
        <w:rPr>
          <w:rStyle w:val="33"/>
          <w:sz w:val="30"/>
          <w:szCs w:val="30"/>
          <w:lang w:val="zh-CN"/>
        </w:rPr>
      </w:pPr>
    </w:p>
    <w:p w14:paraId="611A88B5">
      <w:pPr>
        <w:autoSpaceDE w:val="0"/>
        <w:autoSpaceDN w:val="0"/>
        <w:spacing w:line="360" w:lineRule="auto"/>
        <w:jc w:val="left"/>
        <w:rPr>
          <w:rStyle w:val="33"/>
          <w:sz w:val="30"/>
          <w:szCs w:val="30"/>
          <w:lang w:val="zh-CN"/>
        </w:rPr>
      </w:pPr>
    </w:p>
    <w:p w14:paraId="75BA055F">
      <w:pPr>
        <w:autoSpaceDE w:val="0"/>
        <w:autoSpaceDN w:val="0"/>
        <w:spacing w:line="360" w:lineRule="auto"/>
        <w:jc w:val="left"/>
        <w:rPr>
          <w:rStyle w:val="33"/>
          <w:sz w:val="30"/>
          <w:szCs w:val="30"/>
          <w:lang w:val="zh-CN"/>
        </w:rPr>
      </w:pPr>
    </w:p>
    <w:p w14:paraId="154C1126">
      <w:pPr>
        <w:autoSpaceDE w:val="0"/>
        <w:autoSpaceDN w:val="0"/>
        <w:spacing w:line="360" w:lineRule="auto"/>
        <w:jc w:val="left"/>
        <w:rPr>
          <w:rStyle w:val="33"/>
          <w:sz w:val="30"/>
          <w:szCs w:val="30"/>
          <w:lang w:val="zh-CN"/>
        </w:rPr>
      </w:pPr>
    </w:p>
    <w:p w14:paraId="1D4FFD79">
      <w:pPr>
        <w:autoSpaceDE w:val="0"/>
        <w:autoSpaceDN w:val="0"/>
        <w:spacing w:line="360" w:lineRule="auto"/>
        <w:jc w:val="left"/>
        <w:rPr>
          <w:rStyle w:val="33"/>
          <w:sz w:val="30"/>
          <w:szCs w:val="30"/>
          <w:lang w:val="zh-CN"/>
        </w:rPr>
      </w:pPr>
    </w:p>
    <w:p w14:paraId="52775E99">
      <w:pPr>
        <w:pStyle w:val="19"/>
        <w:ind w:firstLine="240"/>
        <w:rPr>
          <w:lang w:val="zh-CN"/>
        </w:rPr>
      </w:pPr>
    </w:p>
    <w:p w14:paraId="4D227907">
      <w:pPr>
        <w:autoSpaceDE w:val="0"/>
        <w:autoSpaceDN w:val="0"/>
        <w:spacing w:line="360" w:lineRule="auto"/>
        <w:jc w:val="left"/>
        <w:rPr>
          <w:rStyle w:val="33"/>
          <w:sz w:val="30"/>
          <w:szCs w:val="30"/>
          <w:lang w:val="zh-CN"/>
        </w:rPr>
      </w:pPr>
    </w:p>
    <w:p w14:paraId="4247A35D">
      <w:pPr>
        <w:pStyle w:val="19"/>
        <w:ind w:firstLine="240"/>
        <w:rPr>
          <w:lang w:val="zh-CN"/>
        </w:rPr>
      </w:pPr>
    </w:p>
    <w:p w14:paraId="54852902">
      <w:pPr>
        <w:pStyle w:val="19"/>
        <w:ind w:firstLine="240"/>
        <w:rPr>
          <w:lang w:val="zh-CN"/>
        </w:rPr>
      </w:pPr>
    </w:p>
    <w:p w14:paraId="6D49231A">
      <w:pPr>
        <w:pStyle w:val="19"/>
        <w:ind w:firstLine="240"/>
        <w:rPr>
          <w:lang w:val="zh-CN"/>
        </w:rPr>
      </w:pPr>
    </w:p>
    <w:p w14:paraId="09438009">
      <w:pPr>
        <w:pStyle w:val="19"/>
        <w:ind w:firstLine="240"/>
        <w:rPr>
          <w:lang w:val="zh-CN"/>
        </w:rPr>
      </w:pPr>
    </w:p>
    <w:p w14:paraId="040223A8">
      <w:pPr>
        <w:pStyle w:val="19"/>
        <w:ind w:firstLine="240"/>
        <w:rPr>
          <w:lang w:val="zh-CN"/>
        </w:rPr>
      </w:pPr>
    </w:p>
    <w:p w14:paraId="68219E08">
      <w:pPr>
        <w:pStyle w:val="19"/>
        <w:ind w:firstLine="240"/>
        <w:rPr>
          <w:lang w:val="zh-CN"/>
        </w:rPr>
      </w:pPr>
    </w:p>
    <w:p w14:paraId="7032C49C">
      <w:pPr>
        <w:pStyle w:val="19"/>
        <w:ind w:firstLine="240"/>
        <w:rPr>
          <w:lang w:val="zh-CN"/>
        </w:rPr>
      </w:pPr>
    </w:p>
    <w:p w14:paraId="3D062A3D">
      <w:pPr>
        <w:pStyle w:val="19"/>
        <w:ind w:firstLine="240"/>
        <w:rPr>
          <w:lang w:val="zh-CN"/>
        </w:rPr>
      </w:pPr>
    </w:p>
    <w:p w14:paraId="41D2B8D9">
      <w:pPr>
        <w:pStyle w:val="19"/>
        <w:ind w:firstLine="240"/>
        <w:rPr>
          <w:lang w:val="zh-CN"/>
        </w:rPr>
      </w:pPr>
    </w:p>
    <w:p w14:paraId="569075D3">
      <w:pPr>
        <w:pStyle w:val="19"/>
        <w:ind w:firstLine="240"/>
        <w:rPr>
          <w:lang w:val="zh-CN"/>
        </w:rPr>
      </w:pPr>
    </w:p>
    <w:p w14:paraId="0C2F54F4">
      <w:pPr>
        <w:pStyle w:val="18"/>
        <w:spacing w:before="0" w:after="0" w:line="360" w:lineRule="auto"/>
        <w:jc w:val="left"/>
        <w:outlineLvl w:val="1"/>
        <w:rPr>
          <w:rFonts w:ascii="宋体" w:hAnsi="宋体" w:cs="宋体"/>
          <w:color w:val="000000"/>
          <w:sz w:val="30"/>
          <w:szCs w:val="30"/>
          <w:lang w:val="zh-CN"/>
        </w:rPr>
      </w:pPr>
      <w:bookmarkStart w:id="207" w:name="_Toc7776"/>
      <w:bookmarkStart w:id="208" w:name="_Toc24141"/>
      <w:bookmarkStart w:id="209" w:name="_Toc23683"/>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5</w:t>
      </w:r>
      <w:r>
        <w:rPr>
          <w:rFonts w:hint="eastAsia" w:ascii="宋体" w:hAnsi="宋体" w:cs="宋体"/>
          <w:color w:val="000000"/>
          <w:sz w:val="30"/>
          <w:szCs w:val="30"/>
          <w:lang w:val="zh-CN"/>
        </w:rPr>
        <w:t>）项目实施及服务方案</w:t>
      </w:r>
      <w:bookmarkEnd w:id="207"/>
      <w:bookmarkEnd w:id="208"/>
      <w:bookmarkEnd w:id="209"/>
    </w:p>
    <w:p w14:paraId="58EAB9B8">
      <w:pPr>
        <w:pStyle w:val="18"/>
        <w:spacing w:before="0" w:after="0" w:line="360" w:lineRule="auto"/>
        <w:jc w:val="left"/>
        <w:outlineLvl w:val="1"/>
        <w:rPr>
          <w:rFonts w:ascii="宋体" w:hAnsi="宋体" w:cs="宋体"/>
          <w:color w:val="000000"/>
        </w:rPr>
      </w:pPr>
    </w:p>
    <w:p w14:paraId="7D504FFE">
      <w:pPr>
        <w:pStyle w:val="19"/>
        <w:ind w:firstLine="240"/>
        <w:rPr>
          <w:rFonts w:ascii="宋体" w:hAnsi="宋体"/>
          <w:bCs/>
        </w:rPr>
      </w:pPr>
      <w:r>
        <w:rPr>
          <w:rFonts w:hint="eastAsia" w:ascii="宋体" w:hAnsi="宋体"/>
          <w:bCs/>
        </w:rPr>
        <w:t>根据采购项目内容及评分标准，投标时提供详细的服务方案等。</w:t>
      </w:r>
    </w:p>
    <w:p w14:paraId="297DC6C0">
      <w:pPr>
        <w:pStyle w:val="19"/>
        <w:ind w:firstLine="240"/>
      </w:pPr>
    </w:p>
    <w:p w14:paraId="6627C3E4">
      <w:pPr>
        <w:pStyle w:val="19"/>
        <w:ind w:firstLine="240"/>
        <w:rPr>
          <w:lang w:val="zh-CN"/>
        </w:rPr>
      </w:pPr>
    </w:p>
    <w:p w14:paraId="6555A01B">
      <w:pPr>
        <w:pStyle w:val="19"/>
        <w:ind w:firstLine="240"/>
        <w:rPr>
          <w:lang w:val="zh-CN"/>
        </w:rPr>
      </w:pPr>
    </w:p>
    <w:p w14:paraId="46B37967">
      <w:pPr>
        <w:pStyle w:val="19"/>
        <w:ind w:firstLine="240"/>
        <w:rPr>
          <w:lang w:val="zh-CN"/>
        </w:rPr>
      </w:pPr>
    </w:p>
    <w:p w14:paraId="5FE5678E">
      <w:pPr>
        <w:pStyle w:val="19"/>
        <w:ind w:firstLine="240"/>
        <w:rPr>
          <w:lang w:val="zh-CN"/>
        </w:rPr>
      </w:pPr>
    </w:p>
    <w:p w14:paraId="3A44164A">
      <w:pPr>
        <w:pStyle w:val="19"/>
        <w:ind w:firstLine="240"/>
        <w:rPr>
          <w:lang w:val="zh-CN"/>
        </w:rPr>
      </w:pPr>
    </w:p>
    <w:p w14:paraId="0A62CF45">
      <w:pPr>
        <w:pStyle w:val="19"/>
        <w:ind w:firstLine="240"/>
        <w:rPr>
          <w:lang w:val="zh-CN"/>
        </w:rPr>
      </w:pPr>
    </w:p>
    <w:p w14:paraId="042740E7">
      <w:pPr>
        <w:pStyle w:val="19"/>
        <w:ind w:firstLine="240"/>
        <w:rPr>
          <w:lang w:val="zh-CN"/>
        </w:rPr>
      </w:pPr>
    </w:p>
    <w:p w14:paraId="0FF2318A">
      <w:pPr>
        <w:pStyle w:val="19"/>
        <w:ind w:firstLine="240"/>
        <w:rPr>
          <w:lang w:val="zh-CN"/>
        </w:rPr>
      </w:pPr>
    </w:p>
    <w:p w14:paraId="03F567ED">
      <w:pPr>
        <w:pStyle w:val="19"/>
        <w:ind w:firstLine="240"/>
        <w:rPr>
          <w:lang w:val="zh-CN"/>
        </w:rPr>
      </w:pPr>
    </w:p>
    <w:p w14:paraId="536FA97B">
      <w:pPr>
        <w:pStyle w:val="19"/>
        <w:ind w:firstLine="240"/>
        <w:rPr>
          <w:lang w:val="zh-CN"/>
        </w:rPr>
      </w:pPr>
    </w:p>
    <w:p w14:paraId="1C376CE5">
      <w:pPr>
        <w:pStyle w:val="19"/>
        <w:ind w:firstLine="240"/>
        <w:rPr>
          <w:lang w:val="zh-CN"/>
        </w:rPr>
      </w:pPr>
    </w:p>
    <w:p w14:paraId="4F73DE06">
      <w:pPr>
        <w:pStyle w:val="19"/>
        <w:ind w:firstLine="240"/>
        <w:rPr>
          <w:lang w:val="zh-CN"/>
        </w:rPr>
      </w:pPr>
    </w:p>
    <w:p w14:paraId="3D3A15FB">
      <w:pPr>
        <w:pStyle w:val="19"/>
        <w:ind w:firstLine="240"/>
        <w:rPr>
          <w:lang w:val="zh-CN"/>
        </w:rPr>
      </w:pPr>
    </w:p>
    <w:p w14:paraId="4D765F2F">
      <w:pPr>
        <w:pStyle w:val="19"/>
        <w:ind w:firstLine="240"/>
        <w:rPr>
          <w:lang w:val="zh-CN"/>
        </w:rPr>
      </w:pPr>
    </w:p>
    <w:p w14:paraId="66112DC9">
      <w:pPr>
        <w:pStyle w:val="19"/>
        <w:ind w:firstLine="240"/>
        <w:rPr>
          <w:lang w:val="zh-CN"/>
        </w:rPr>
      </w:pPr>
    </w:p>
    <w:p w14:paraId="3B1D5458">
      <w:pPr>
        <w:pStyle w:val="19"/>
        <w:ind w:firstLine="240"/>
        <w:rPr>
          <w:lang w:val="zh-CN"/>
        </w:rPr>
      </w:pPr>
    </w:p>
    <w:p w14:paraId="54B7130F">
      <w:pPr>
        <w:pStyle w:val="19"/>
        <w:ind w:firstLine="240"/>
        <w:rPr>
          <w:lang w:val="zh-CN"/>
        </w:rPr>
      </w:pPr>
    </w:p>
    <w:p w14:paraId="3461A450">
      <w:pPr>
        <w:pStyle w:val="19"/>
        <w:ind w:firstLine="240"/>
        <w:rPr>
          <w:lang w:val="zh-CN"/>
        </w:rPr>
      </w:pPr>
    </w:p>
    <w:p w14:paraId="2B473A6C">
      <w:pPr>
        <w:pStyle w:val="19"/>
        <w:ind w:firstLine="240"/>
        <w:rPr>
          <w:lang w:val="zh-CN"/>
        </w:rPr>
      </w:pPr>
    </w:p>
    <w:p w14:paraId="5912C2BC">
      <w:pPr>
        <w:pStyle w:val="19"/>
        <w:ind w:firstLine="240"/>
        <w:rPr>
          <w:lang w:val="zh-CN"/>
        </w:rPr>
      </w:pPr>
    </w:p>
    <w:p w14:paraId="1742FCD9">
      <w:pPr>
        <w:pStyle w:val="19"/>
        <w:ind w:firstLine="240"/>
        <w:rPr>
          <w:lang w:val="zh-CN"/>
        </w:rPr>
      </w:pPr>
    </w:p>
    <w:p w14:paraId="3551182B">
      <w:pPr>
        <w:pStyle w:val="19"/>
        <w:ind w:firstLine="240"/>
        <w:rPr>
          <w:lang w:val="zh-CN"/>
        </w:rPr>
      </w:pPr>
    </w:p>
    <w:p w14:paraId="3358D0D8">
      <w:pPr>
        <w:pStyle w:val="19"/>
        <w:ind w:firstLine="240"/>
        <w:rPr>
          <w:lang w:val="zh-CN"/>
        </w:rPr>
      </w:pPr>
    </w:p>
    <w:p w14:paraId="3826B327">
      <w:pPr>
        <w:pStyle w:val="19"/>
        <w:ind w:firstLine="240"/>
        <w:rPr>
          <w:lang w:val="zh-CN"/>
        </w:rPr>
      </w:pPr>
    </w:p>
    <w:p w14:paraId="648ADFFA">
      <w:pPr>
        <w:pStyle w:val="19"/>
        <w:ind w:firstLine="240"/>
        <w:rPr>
          <w:lang w:val="zh-CN"/>
        </w:rPr>
      </w:pPr>
    </w:p>
    <w:p w14:paraId="23278F7F">
      <w:pPr>
        <w:pStyle w:val="19"/>
        <w:ind w:firstLine="240"/>
        <w:rPr>
          <w:lang w:val="zh-CN"/>
        </w:rPr>
      </w:pPr>
    </w:p>
    <w:p w14:paraId="27830F0C">
      <w:pPr>
        <w:pStyle w:val="19"/>
        <w:ind w:firstLine="240"/>
        <w:rPr>
          <w:lang w:val="zh-CN"/>
        </w:rPr>
      </w:pPr>
    </w:p>
    <w:p w14:paraId="4D09BF22">
      <w:pPr>
        <w:pStyle w:val="19"/>
        <w:ind w:firstLine="240"/>
        <w:rPr>
          <w:lang w:val="zh-CN"/>
        </w:rPr>
      </w:pPr>
    </w:p>
    <w:p w14:paraId="10D3D5F7">
      <w:pPr>
        <w:pStyle w:val="19"/>
        <w:ind w:firstLine="240"/>
        <w:rPr>
          <w:lang w:val="zh-CN"/>
        </w:rPr>
      </w:pPr>
    </w:p>
    <w:p w14:paraId="03F79EC8">
      <w:pPr>
        <w:pStyle w:val="19"/>
        <w:ind w:firstLine="240"/>
        <w:rPr>
          <w:lang w:val="zh-CN"/>
        </w:rPr>
      </w:pPr>
    </w:p>
    <w:p w14:paraId="43C82475">
      <w:pPr>
        <w:pStyle w:val="19"/>
        <w:ind w:firstLine="240"/>
        <w:rPr>
          <w:lang w:val="zh-CN"/>
        </w:rPr>
      </w:pPr>
    </w:p>
    <w:p w14:paraId="412291C8">
      <w:pPr>
        <w:pStyle w:val="19"/>
        <w:ind w:firstLine="240"/>
        <w:rPr>
          <w:lang w:val="zh-CN"/>
        </w:rPr>
      </w:pPr>
    </w:p>
    <w:p w14:paraId="76C7C279">
      <w:pPr>
        <w:pStyle w:val="19"/>
        <w:ind w:firstLine="240"/>
        <w:rPr>
          <w:lang w:val="zh-CN"/>
        </w:rPr>
      </w:pPr>
    </w:p>
    <w:p w14:paraId="0443B8FC">
      <w:pPr>
        <w:pStyle w:val="19"/>
        <w:ind w:firstLine="0" w:firstLineChars="0"/>
        <w:rPr>
          <w:lang w:val="zh-CN"/>
        </w:rPr>
      </w:pPr>
    </w:p>
    <w:p w14:paraId="526B5D23">
      <w:pPr>
        <w:pStyle w:val="18"/>
        <w:spacing w:before="0" w:after="0" w:line="360" w:lineRule="auto"/>
        <w:jc w:val="left"/>
        <w:outlineLvl w:val="1"/>
        <w:rPr>
          <w:rFonts w:ascii="宋体" w:hAnsi="宋体" w:cs="宋体"/>
          <w:color w:val="000000"/>
        </w:rPr>
      </w:pPr>
    </w:p>
    <w:p w14:paraId="56189398">
      <w:pPr>
        <w:pStyle w:val="18"/>
        <w:spacing w:before="0" w:after="0" w:line="360" w:lineRule="auto"/>
        <w:jc w:val="left"/>
        <w:outlineLvl w:val="1"/>
        <w:rPr>
          <w:rFonts w:ascii="宋体" w:hAnsi="宋体" w:cs="宋体"/>
          <w:color w:val="000000"/>
          <w:sz w:val="30"/>
          <w:szCs w:val="30"/>
          <w:lang w:val="zh-CN"/>
        </w:rPr>
      </w:pPr>
      <w:bookmarkStart w:id="210" w:name="_Toc19405"/>
      <w:bookmarkStart w:id="211" w:name="_Toc24014"/>
      <w:bookmarkStart w:id="212" w:name="_Toc10458"/>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6</w:t>
      </w:r>
      <w:r>
        <w:rPr>
          <w:rFonts w:hint="eastAsia" w:ascii="宋体" w:hAnsi="宋体" w:cs="宋体"/>
          <w:color w:val="000000"/>
          <w:sz w:val="30"/>
          <w:szCs w:val="30"/>
          <w:lang w:val="zh-CN"/>
        </w:rPr>
        <w:t>）项目人员配备</w:t>
      </w:r>
      <w:bookmarkEnd w:id="210"/>
      <w:bookmarkEnd w:id="211"/>
      <w:bookmarkEnd w:id="212"/>
    </w:p>
    <w:p w14:paraId="64685CE8">
      <w:pPr>
        <w:autoSpaceDE w:val="0"/>
        <w:autoSpaceDN w:val="0"/>
        <w:spacing w:line="360" w:lineRule="auto"/>
        <w:jc w:val="left"/>
        <w:rPr>
          <w:rStyle w:val="33"/>
          <w:sz w:val="30"/>
          <w:szCs w:val="30"/>
          <w:lang w:val="zh-CN"/>
        </w:rPr>
      </w:pPr>
    </w:p>
    <w:p w14:paraId="7F55B85E">
      <w:pPr>
        <w:widowControl/>
        <w:snapToGrid w:val="0"/>
        <w:spacing w:line="360" w:lineRule="auto"/>
        <w:ind w:firstLine="1265" w:firstLineChars="450"/>
        <w:jc w:val="center"/>
        <w:outlineLvl w:val="1"/>
        <w:rPr>
          <w:rFonts w:hint="eastAsia"/>
          <w:b/>
          <w:bCs/>
          <w:sz w:val="28"/>
          <w:szCs w:val="28"/>
        </w:rPr>
      </w:pPr>
      <w:bookmarkStart w:id="213" w:name="_Toc14237"/>
      <w:bookmarkStart w:id="214" w:name="_Toc3278"/>
      <w:bookmarkStart w:id="215" w:name="_Toc25672"/>
      <w:bookmarkStart w:id="216" w:name="_Toc20644"/>
      <w:bookmarkStart w:id="217" w:name="_Toc12449"/>
      <w:bookmarkStart w:id="218" w:name="_Toc6822"/>
      <w:bookmarkStart w:id="219" w:name="_Toc1866"/>
      <w:r>
        <w:rPr>
          <w:rFonts w:hint="eastAsia"/>
          <w:b/>
          <w:bCs/>
          <w:sz w:val="28"/>
          <w:szCs w:val="28"/>
        </w:rPr>
        <w:t>项目人员配备（格式自拟）</w:t>
      </w:r>
      <w:bookmarkEnd w:id="213"/>
      <w:bookmarkEnd w:id="214"/>
      <w:bookmarkEnd w:id="215"/>
      <w:bookmarkEnd w:id="216"/>
      <w:bookmarkEnd w:id="217"/>
      <w:bookmarkEnd w:id="218"/>
      <w:bookmarkEnd w:id="219"/>
    </w:p>
    <w:p w14:paraId="01F6D4B9">
      <w:pPr>
        <w:widowControl/>
        <w:snapToGrid w:val="0"/>
        <w:spacing w:line="360" w:lineRule="auto"/>
        <w:ind w:firstLine="1265" w:firstLineChars="450"/>
        <w:jc w:val="center"/>
        <w:outlineLvl w:val="1"/>
        <w:rPr>
          <w:rFonts w:hint="eastAsia"/>
          <w:b/>
          <w:bCs/>
          <w:sz w:val="28"/>
          <w:szCs w:val="28"/>
        </w:rPr>
      </w:pPr>
    </w:p>
    <w:p w14:paraId="32CCF00E">
      <w:pPr>
        <w:autoSpaceDE w:val="0"/>
        <w:autoSpaceDN w:val="0"/>
        <w:spacing w:line="360" w:lineRule="auto"/>
        <w:jc w:val="left"/>
        <w:rPr>
          <w:rStyle w:val="33"/>
          <w:sz w:val="30"/>
          <w:szCs w:val="30"/>
          <w:lang w:val="zh-CN"/>
        </w:rPr>
      </w:pPr>
    </w:p>
    <w:p w14:paraId="57B2A7E3">
      <w:pPr>
        <w:autoSpaceDE w:val="0"/>
        <w:autoSpaceDN w:val="0"/>
        <w:spacing w:line="360" w:lineRule="auto"/>
        <w:jc w:val="left"/>
        <w:rPr>
          <w:rStyle w:val="33"/>
          <w:sz w:val="30"/>
          <w:szCs w:val="30"/>
          <w:lang w:val="zh-CN"/>
        </w:rPr>
      </w:pPr>
    </w:p>
    <w:p w14:paraId="1BA88FFC">
      <w:pPr>
        <w:autoSpaceDE w:val="0"/>
        <w:autoSpaceDN w:val="0"/>
        <w:spacing w:line="360" w:lineRule="auto"/>
        <w:jc w:val="left"/>
        <w:rPr>
          <w:rStyle w:val="33"/>
          <w:sz w:val="30"/>
          <w:szCs w:val="30"/>
          <w:lang w:val="zh-CN"/>
        </w:rPr>
      </w:pPr>
    </w:p>
    <w:p w14:paraId="34E5D48A">
      <w:pPr>
        <w:autoSpaceDE w:val="0"/>
        <w:autoSpaceDN w:val="0"/>
        <w:spacing w:line="360" w:lineRule="auto"/>
        <w:jc w:val="left"/>
        <w:rPr>
          <w:rStyle w:val="33"/>
          <w:sz w:val="30"/>
          <w:szCs w:val="30"/>
          <w:lang w:val="zh-CN"/>
        </w:rPr>
      </w:pPr>
    </w:p>
    <w:p w14:paraId="7D12302B">
      <w:pPr>
        <w:autoSpaceDE w:val="0"/>
        <w:autoSpaceDN w:val="0"/>
        <w:spacing w:line="360" w:lineRule="auto"/>
        <w:jc w:val="left"/>
        <w:rPr>
          <w:rStyle w:val="33"/>
          <w:sz w:val="30"/>
          <w:szCs w:val="30"/>
          <w:lang w:val="zh-CN"/>
        </w:rPr>
      </w:pPr>
    </w:p>
    <w:p w14:paraId="2E6D7F81">
      <w:pPr>
        <w:autoSpaceDE w:val="0"/>
        <w:autoSpaceDN w:val="0"/>
        <w:spacing w:line="360" w:lineRule="auto"/>
        <w:jc w:val="left"/>
        <w:rPr>
          <w:rStyle w:val="33"/>
          <w:sz w:val="30"/>
          <w:szCs w:val="30"/>
          <w:lang w:val="zh-CN"/>
        </w:rPr>
      </w:pPr>
    </w:p>
    <w:p w14:paraId="61159D6E">
      <w:pPr>
        <w:autoSpaceDE w:val="0"/>
        <w:autoSpaceDN w:val="0"/>
        <w:spacing w:line="360" w:lineRule="auto"/>
        <w:jc w:val="left"/>
        <w:rPr>
          <w:rStyle w:val="33"/>
          <w:sz w:val="30"/>
          <w:szCs w:val="30"/>
          <w:lang w:val="zh-CN"/>
        </w:rPr>
      </w:pPr>
    </w:p>
    <w:p w14:paraId="6F58DE8C">
      <w:pPr>
        <w:autoSpaceDE w:val="0"/>
        <w:autoSpaceDN w:val="0"/>
        <w:spacing w:line="360" w:lineRule="auto"/>
        <w:jc w:val="left"/>
        <w:rPr>
          <w:rStyle w:val="33"/>
          <w:sz w:val="30"/>
          <w:szCs w:val="30"/>
          <w:lang w:val="zh-CN"/>
        </w:rPr>
      </w:pPr>
    </w:p>
    <w:p w14:paraId="5D2A16B1">
      <w:pPr>
        <w:autoSpaceDE w:val="0"/>
        <w:autoSpaceDN w:val="0"/>
        <w:spacing w:line="360" w:lineRule="auto"/>
        <w:jc w:val="left"/>
        <w:rPr>
          <w:rStyle w:val="33"/>
          <w:sz w:val="30"/>
          <w:szCs w:val="30"/>
          <w:lang w:val="zh-CN"/>
        </w:rPr>
      </w:pPr>
    </w:p>
    <w:p w14:paraId="607BC8CF">
      <w:pPr>
        <w:autoSpaceDE w:val="0"/>
        <w:autoSpaceDN w:val="0"/>
        <w:spacing w:line="360" w:lineRule="auto"/>
        <w:jc w:val="left"/>
        <w:rPr>
          <w:rStyle w:val="33"/>
          <w:sz w:val="30"/>
          <w:szCs w:val="30"/>
          <w:lang w:val="zh-CN"/>
        </w:rPr>
      </w:pPr>
    </w:p>
    <w:p w14:paraId="6216A2BA">
      <w:pPr>
        <w:autoSpaceDE w:val="0"/>
        <w:autoSpaceDN w:val="0"/>
        <w:spacing w:line="360" w:lineRule="auto"/>
        <w:jc w:val="left"/>
        <w:rPr>
          <w:rStyle w:val="33"/>
          <w:sz w:val="30"/>
          <w:szCs w:val="30"/>
          <w:lang w:val="zh-CN"/>
        </w:rPr>
      </w:pPr>
    </w:p>
    <w:p w14:paraId="182F131D">
      <w:pPr>
        <w:autoSpaceDE w:val="0"/>
        <w:autoSpaceDN w:val="0"/>
        <w:spacing w:line="360" w:lineRule="auto"/>
        <w:jc w:val="left"/>
        <w:rPr>
          <w:rStyle w:val="33"/>
          <w:sz w:val="30"/>
          <w:szCs w:val="30"/>
          <w:lang w:val="zh-CN"/>
        </w:rPr>
      </w:pPr>
    </w:p>
    <w:p w14:paraId="7D321B03">
      <w:pPr>
        <w:autoSpaceDE w:val="0"/>
        <w:autoSpaceDN w:val="0"/>
        <w:spacing w:line="360" w:lineRule="auto"/>
        <w:jc w:val="left"/>
        <w:rPr>
          <w:rStyle w:val="33"/>
          <w:sz w:val="30"/>
          <w:szCs w:val="30"/>
          <w:lang w:val="zh-CN"/>
        </w:rPr>
      </w:pPr>
    </w:p>
    <w:p w14:paraId="49D675CD">
      <w:pPr>
        <w:autoSpaceDE w:val="0"/>
        <w:autoSpaceDN w:val="0"/>
        <w:spacing w:line="360" w:lineRule="auto"/>
        <w:jc w:val="left"/>
        <w:rPr>
          <w:rStyle w:val="33"/>
          <w:sz w:val="30"/>
          <w:szCs w:val="30"/>
          <w:lang w:val="zh-CN"/>
        </w:rPr>
      </w:pPr>
    </w:p>
    <w:p w14:paraId="6DE52A11">
      <w:pPr>
        <w:autoSpaceDE w:val="0"/>
        <w:autoSpaceDN w:val="0"/>
        <w:spacing w:line="360" w:lineRule="auto"/>
        <w:jc w:val="left"/>
        <w:rPr>
          <w:rStyle w:val="33"/>
          <w:sz w:val="30"/>
          <w:szCs w:val="30"/>
          <w:lang w:val="zh-CN"/>
        </w:rPr>
      </w:pPr>
    </w:p>
    <w:p w14:paraId="3E2F8271">
      <w:pPr>
        <w:pStyle w:val="18"/>
        <w:spacing w:before="0" w:after="0" w:line="360" w:lineRule="auto"/>
        <w:jc w:val="left"/>
        <w:outlineLvl w:val="1"/>
        <w:rPr>
          <w:rFonts w:ascii="宋体" w:hAnsi="宋体" w:cs="宋体"/>
          <w:color w:val="000000"/>
          <w:sz w:val="30"/>
          <w:szCs w:val="30"/>
        </w:rPr>
      </w:pPr>
    </w:p>
    <w:p w14:paraId="4AB109F5">
      <w:pPr>
        <w:pStyle w:val="18"/>
        <w:spacing w:before="0" w:after="0" w:line="360" w:lineRule="auto"/>
        <w:jc w:val="left"/>
        <w:outlineLvl w:val="1"/>
        <w:rPr>
          <w:rFonts w:ascii="宋体" w:hAnsi="宋体" w:cs="宋体"/>
          <w:color w:val="000000"/>
          <w:sz w:val="30"/>
          <w:szCs w:val="30"/>
        </w:rPr>
      </w:pPr>
    </w:p>
    <w:p w14:paraId="13688090">
      <w:pPr>
        <w:pStyle w:val="18"/>
        <w:spacing w:before="0" w:after="0" w:line="360" w:lineRule="auto"/>
        <w:jc w:val="left"/>
        <w:outlineLvl w:val="1"/>
        <w:rPr>
          <w:rFonts w:ascii="宋体" w:hAnsi="宋体" w:cs="宋体"/>
          <w:color w:val="000000"/>
          <w:sz w:val="30"/>
          <w:szCs w:val="30"/>
        </w:rPr>
      </w:pPr>
    </w:p>
    <w:p w14:paraId="038CDBE9">
      <w:pPr>
        <w:pStyle w:val="18"/>
        <w:spacing w:before="0" w:after="0" w:line="360" w:lineRule="auto"/>
        <w:jc w:val="left"/>
        <w:outlineLvl w:val="1"/>
        <w:rPr>
          <w:rFonts w:ascii="宋体" w:hAnsi="宋体" w:cs="宋体"/>
          <w:color w:val="000000"/>
          <w:sz w:val="28"/>
          <w:szCs w:val="28"/>
          <w:lang w:val="zh-CN"/>
        </w:rPr>
      </w:pPr>
      <w:bookmarkStart w:id="220" w:name="_Toc27905"/>
      <w:bookmarkStart w:id="221" w:name="_Toc8430"/>
      <w:bookmarkStart w:id="222" w:name="_Toc15393"/>
      <w:r>
        <w:rPr>
          <w:rFonts w:hint="eastAsia" w:ascii="宋体" w:hAnsi="宋体" w:cs="宋体"/>
          <w:color w:val="000000"/>
          <w:sz w:val="30"/>
          <w:szCs w:val="30"/>
        </w:rPr>
        <w:t>（1</w:t>
      </w:r>
      <w:r>
        <w:rPr>
          <w:rFonts w:hint="eastAsia" w:ascii="宋体" w:hAnsi="宋体" w:cs="宋体"/>
          <w:color w:val="000000"/>
          <w:sz w:val="30"/>
          <w:szCs w:val="30"/>
          <w:lang w:val="en-US" w:eastAsia="zh-CN"/>
        </w:rPr>
        <w:t>7</w:t>
      </w:r>
      <w:r>
        <w:rPr>
          <w:rFonts w:hint="eastAsia" w:ascii="宋体" w:hAnsi="宋体" w:cs="宋体"/>
          <w:color w:val="000000"/>
          <w:sz w:val="30"/>
          <w:szCs w:val="30"/>
        </w:rPr>
        <w:t>）</w:t>
      </w:r>
      <w:bookmarkEnd w:id="203"/>
      <w:r>
        <w:rPr>
          <w:rFonts w:hint="eastAsia" w:ascii="宋体" w:hAnsi="宋体" w:cs="宋体"/>
          <w:color w:val="000000"/>
          <w:sz w:val="30"/>
          <w:szCs w:val="30"/>
          <w:lang w:val="zh-CN"/>
        </w:rPr>
        <w:t>享受政府采购政策优惠的证明资料</w:t>
      </w:r>
      <w:bookmarkEnd w:id="220"/>
      <w:bookmarkEnd w:id="221"/>
      <w:bookmarkEnd w:id="222"/>
    </w:p>
    <w:p w14:paraId="208AE795">
      <w:pPr>
        <w:adjustRightInd w:val="0"/>
        <w:snapToGrid w:val="0"/>
        <w:spacing w:beforeLines="50" w:line="560" w:lineRule="exact"/>
        <w:jc w:val="left"/>
        <w:rPr>
          <w:rFonts w:ascii="宋体" w:hAnsi="宋体" w:cs="楷体"/>
          <w:b/>
          <w:sz w:val="28"/>
          <w:szCs w:val="28"/>
        </w:rPr>
      </w:pPr>
      <w:bookmarkStart w:id="223" w:name="_Toc743"/>
      <w:r>
        <w:rPr>
          <w:rFonts w:hint="eastAsia" w:ascii="宋体" w:hAnsi="宋体" w:cs="仿宋_GB2312"/>
          <w:color w:val="000000"/>
          <w:sz w:val="28"/>
          <w:szCs w:val="28"/>
        </w:rPr>
        <w:t xml:space="preserve">                  1.</w:t>
      </w:r>
      <w:r>
        <w:rPr>
          <w:rFonts w:hint="eastAsia" w:ascii="宋体" w:hAnsi="宋体" w:cs="楷体"/>
          <w:b/>
          <w:sz w:val="28"/>
          <w:szCs w:val="28"/>
        </w:rPr>
        <w:t>中小企业声明函（服务）</w:t>
      </w:r>
    </w:p>
    <w:p w14:paraId="0A3F04BB">
      <w:pPr>
        <w:pStyle w:val="11"/>
        <w:ind w:firstLine="480"/>
      </w:pPr>
    </w:p>
    <w:p w14:paraId="593DAE06">
      <w:pPr>
        <w:adjustRightInd w:val="0"/>
        <w:snapToGrid w:val="0"/>
        <w:spacing w:line="440" w:lineRule="exact"/>
        <w:ind w:firstLine="480" w:firstLineChars="200"/>
        <w:rPr>
          <w:rFonts w:ascii="宋体" w:hAnsi="宋体" w:cs="仿宋_GB2312"/>
        </w:rPr>
      </w:pPr>
      <w:r>
        <w:rPr>
          <w:rFonts w:hint="eastAsia" w:ascii="宋体" w:hAnsi="宋体" w:cs="仿宋_GB2312"/>
        </w:rPr>
        <w:t>本公司郑重声明，根据《政府采购促进中小企业发展管理办法》（财库﹝2020﹞46 号）的规定，本公司参加（</w:t>
      </w:r>
      <w:r>
        <w:rPr>
          <w:rFonts w:hint="eastAsia" w:ascii="宋体" w:hAnsi="宋体" w:cs="仿宋_GB2312"/>
          <w:u w:val="single"/>
          <w:lang w:eastAsia="zh-CN"/>
        </w:rPr>
        <w:t>西宁市城中区教育局</w:t>
      </w:r>
      <w:r>
        <w:rPr>
          <w:rFonts w:hint="eastAsia" w:ascii="宋体" w:hAnsi="宋体" w:cs="仿宋_GB2312"/>
        </w:rPr>
        <w:t>）的（</w:t>
      </w:r>
      <w:r>
        <w:rPr>
          <w:rFonts w:hint="eastAsia" w:ascii="宋体" w:hAnsi="宋体" w:cs="宋体"/>
          <w:kern w:val="0"/>
          <w:u w:val="single"/>
          <w:lang w:val="zh-CN"/>
        </w:rPr>
        <w:t>城中区区属学校数字化建设项目（平台服务类）</w:t>
      </w:r>
      <w:r>
        <w:rPr>
          <w:rFonts w:hint="eastAsia" w:ascii="宋体" w:hAnsi="宋体" w:cs="仿宋_GB2312"/>
          <w:u w:val="single"/>
        </w:rPr>
        <w:t>）</w:t>
      </w:r>
      <w:r>
        <w:rPr>
          <w:rFonts w:hint="eastAsia" w:ascii="宋体" w:hAnsi="宋体" w:cs="仿宋_GB2312"/>
        </w:rPr>
        <w:t>采购活动，服务全部由符合政策要求的中小企业承接。相关企业的具体情况如下：</w:t>
      </w:r>
    </w:p>
    <w:p w14:paraId="73CD469C">
      <w:pPr>
        <w:numPr>
          <w:ilvl w:val="0"/>
          <w:numId w:val="10"/>
        </w:numPr>
        <w:adjustRightInd w:val="0"/>
        <w:snapToGrid w:val="0"/>
        <w:spacing w:line="440" w:lineRule="exact"/>
        <w:ind w:firstLine="480" w:firstLineChars="200"/>
        <w:rPr>
          <w:rFonts w:ascii="宋体" w:hAnsi="宋体" w:cs="仿宋_GB2312"/>
        </w:rPr>
      </w:pPr>
      <w:r>
        <w:rPr>
          <w:rFonts w:hint="eastAsia" w:ascii="宋体" w:hAnsi="宋体" w:cs="仿宋_GB2312"/>
          <w:u w:val="single"/>
        </w:rPr>
        <w:t>（</w:t>
      </w:r>
      <w:r>
        <w:rPr>
          <w:rFonts w:hint="eastAsia" w:ascii="宋体" w:hAnsi="宋体" w:cs="宋体"/>
          <w:kern w:val="0"/>
          <w:u w:val="single"/>
          <w:lang w:val="zh-CN"/>
        </w:rPr>
        <w:t>城中区区属学校数字化建设项目（平台服务类）</w:t>
      </w:r>
      <w:r>
        <w:rPr>
          <w:rFonts w:hint="eastAsia" w:ascii="宋体" w:hAnsi="宋体" w:cs="仿宋_GB2312"/>
          <w:u w:val="single"/>
        </w:rPr>
        <w:t xml:space="preserve">） </w:t>
      </w:r>
      <w:r>
        <w:rPr>
          <w:rFonts w:hint="eastAsia" w:ascii="宋体" w:hAnsi="宋体" w:cs="仿宋_GB2312"/>
        </w:rPr>
        <w:t>，属于</w:t>
      </w:r>
      <w:r>
        <w:rPr>
          <w:rFonts w:hint="eastAsia" w:ascii="宋体" w:hAnsi="宋体" w:cs="仿宋_GB2312"/>
          <w:highlight w:val="none"/>
          <w:u w:val="single"/>
        </w:rPr>
        <w:t>（</w:t>
      </w:r>
      <w:r>
        <w:rPr>
          <w:rFonts w:hint="eastAsia" w:ascii="宋体" w:hAnsi="宋体" w:cs="宋体"/>
          <w:kern w:val="0"/>
          <w:u w:val="single"/>
        </w:rPr>
        <w:t xml:space="preserve"> 采购文件中明确的所属行业</w:t>
      </w:r>
      <w:r>
        <w:rPr>
          <w:rFonts w:hint="eastAsia" w:ascii="宋体" w:hAnsi="宋体" w:cs="仿宋_GB2312"/>
          <w:highlight w:val="none"/>
          <w:u w:val="single"/>
        </w:rPr>
        <w:t>）</w:t>
      </w:r>
      <w:r>
        <w:rPr>
          <w:rFonts w:hint="eastAsia" w:ascii="宋体" w:hAnsi="宋体" w:cs="仿宋_GB2312"/>
        </w:rPr>
        <w:t>；承接企业为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sz w:val="22"/>
          <w:vertAlign w:val="superscript"/>
        </w:rPr>
        <w:t>1</w:t>
      </w:r>
      <w:r>
        <w:rPr>
          <w:rFonts w:hint="eastAsia" w:ascii="宋体" w:hAnsi="宋体" w:cs="仿宋_GB2312"/>
        </w:rPr>
        <w:t>，属于</w:t>
      </w:r>
      <w:r>
        <w:rPr>
          <w:rFonts w:hint="eastAsia" w:ascii="宋体" w:hAnsi="宋体" w:cs="仿宋_GB2312"/>
          <w:u w:val="single"/>
        </w:rPr>
        <w:t xml:space="preserve">  （中型企业、小型企业、微型企业）</w:t>
      </w:r>
      <w:r>
        <w:rPr>
          <w:rFonts w:hint="eastAsia" w:ascii="宋体" w:hAnsi="宋体" w:cs="仿宋_GB2312"/>
        </w:rPr>
        <w:t>；</w:t>
      </w:r>
    </w:p>
    <w:p w14:paraId="1663CA99">
      <w:pPr>
        <w:adjustRightInd w:val="0"/>
        <w:snapToGrid w:val="0"/>
        <w:spacing w:line="440" w:lineRule="exact"/>
        <w:ind w:firstLine="480" w:firstLineChars="200"/>
        <w:rPr>
          <w:rFonts w:ascii="宋体" w:hAnsi="宋体" w:cs="仿宋_GB2312"/>
        </w:rPr>
      </w:pPr>
      <w:r>
        <w:rPr>
          <w:rFonts w:hint="eastAsia" w:ascii="宋体" w:hAnsi="宋体" w:cs="仿宋_GB2312"/>
        </w:rPr>
        <w:t>……</w:t>
      </w:r>
    </w:p>
    <w:p w14:paraId="31EC4FA0">
      <w:pPr>
        <w:adjustRightInd w:val="0"/>
        <w:snapToGrid w:val="0"/>
        <w:spacing w:line="440" w:lineRule="exact"/>
        <w:ind w:firstLine="48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14:paraId="41E70D14">
      <w:pPr>
        <w:adjustRightInd w:val="0"/>
        <w:snapToGrid w:val="0"/>
        <w:spacing w:line="440" w:lineRule="exact"/>
        <w:ind w:firstLine="480" w:firstLineChars="200"/>
        <w:rPr>
          <w:rFonts w:ascii="宋体" w:hAnsi="宋体" w:cs="仿宋_GB2312"/>
        </w:rPr>
      </w:pPr>
      <w:r>
        <w:rPr>
          <w:rFonts w:hint="eastAsia" w:ascii="宋体" w:hAnsi="宋体" w:cs="仿宋_GB2312"/>
        </w:rPr>
        <w:t>本企业对上述声明内容的真实性负责。如有虚假，将依法承担相应责任。</w:t>
      </w:r>
    </w:p>
    <w:p w14:paraId="62ECCF0B">
      <w:pPr>
        <w:adjustRightInd w:val="0"/>
        <w:snapToGrid w:val="0"/>
        <w:spacing w:line="440" w:lineRule="exact"/>
        <w:ind w:firstLine="480"/>
        <w:rPr>
          <w:rFonts w:ascii="宋体" w:hAnsi="宋体" w:cs="仿宋_GB2312"/>
        </w:rPr>
      </w:pPr>
    </w:p>
    <w:p w14:paraId="311750E5">
      <w:pPr>
        <w:adjustRightInd w:val="0"/>
        <w:snapToGrid w:val="0"/>
        <w:spacing w:line="440" w:lineRule="exact"/>
        <w:ind w:firstLine="480"/>
        <w:rPr>
          <w:rFonts w:ascii="宋体" w:hAnsi="宋体" w:cs="仿宋_GB2312"/>
        </w:rPr>
      </w:pPr>
    </w:p>
    <w:p w14:paraId="293FCC74">
      <w:pPr>
        <w:adjustRightInd w:val="0"/>
        <w:snapToGrid w:val="0"/>
        <w:spacing w:line="440" w:lineRule="exact"/>
        <w:ind w:firstLine="480"/>
        <w:rPr>
          <w:rFonts w:ascii="宋体" w:hAnsi="宋体" w:cs="仿宋_GB2312"/>
        </w:rPr>
      </w:pPr>
    </w:p>
    <w:p w14:paraId="5893CBF0">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14:paraId="014B1687">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14:paraId="38E23B30">
      <w:pPr>
        <w:pStyle w:val="11"/>
        <w:ind w:firstLine="480"/>
      </w:pPr>
    </w:p>
    <w:p w14:paraId="637A40E8">
      <w:pPr>
        <w:pStyle w:val="11"/>
        <w:ind w:firstLine="480"/>
      </w:pPr>
    </w:p>
    <w:p w14:paraId="02F1198E">
      <w:pPr>
        <w:pStyle w:val="11"/>
        <w:ind w:firstLine="480"/>
      </w:pPr>
    </w:p>
    <w:p w14:paraId="370E8FC0">
      <w:pPr>
        <w:adjustRightInd w:val="0"/>
        <w:snapToGrid w:val="0"/>
        <w:spacing w:line="440" w:lineRule="exact"/>
        <w:ind w:firstLine="480"/>
        <w:rPr>
          <w:rFonts w:ascii="宋体" w:hAnsi="宋体" w:cs="仿宋_GB2312"/>
        </w:rPr>
      </w:pPr>
      <w:r>
        <w:rPr>
          <w:rFonts w:hint="eastAsia" w:ascii="宋体" w:hAnsi="宋体" w:cs="仿宋_GB2312"/>
        </w:rPr>
        <w:t xml:space="preserve"> 1.</w:t>
      </w:r>
      <w:r>
        <w:rPr>
          <w:rFonts w:hint="eastAsia" w:ascii="宋体" w:hAnsi="宋体" w:cs="仿宋_GB2312"/>
          <w:vertAlign w:val="superscript"/>
        </w:rPr>
        <w:t>1</w:t>
      </w:r>
      <w:r>
        <w:rPr>
          <w:rFonts w:hint="eastAsia" w:ascii="宋体" w:hAnsi="宋体" w:cs="仿宋_GB2312"/>
        </w:rPr>
        <w:t>从业人员、营业收入、资产总额填报上一年度数据，无上一年度数据的新成立企业可不填报。</w:t>
      </w:r>
    </w:p>
    <w:p w14:paraId="64A40789">
      <w:pPr>
        <w:pStyle w:val="11"/>
        <w:shd w:val="clear"/>
        <w:ind w:firstLine="720" w:firstLineChars="3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2、若无此项内容，可不提供此函。</w:t>
      </w:r>
    </w:p>
    <w:p w14:paraId="09C5DB47">
      <w:pPr>
        <w:pStyle w:val="11"/>
        <w:ind w:firstLine="720" w:firstLineChars="300"/>
        <w:rPr>
          <w:rFonts w:hAnsi="宋体" w:cs="仿宋_GB2312"/>
          <w:sz w:val="24"/>
          <w:szCs w:val="24"/>
        </w:rPr>
      </w:pPr>
    </w:p>
    <w:p w14:paraId="33168E37">
      <w:pPr>
        <w:adjustRightInd w:val="0"/>
        <w:snapToGrid w:val="0"/>
        <w:spacing w:beforeLines="50" w:line="560" w:lineRule="exact"/>
        <w:jc w:val="center"/>
        <w:rPr>
          <w:rFonts w:ascii="宋体" w:hAnsi="宋体" w:cs="楷体"/>
          <w:b/>
          <w:sz w:val="28"/>
          <w:szCs w:val="28"/>
        </w:rPr>
      </w:pPr>
    </w:p>
    <w:p w14:paraId="5D0C1939">
      <w:pPr>
        <w:pStyle w:val="11"/>
        <w:rPr>
          <w:rFonts w:ascii="宋体" w:hAnsi="宋体" w:cs="楷体"/>
          <w:b/>
          <w:sz w:val="28"/>
          <w:szCs w:val="28"/>
        </w:rPr>
      </w:pPr>
    </w:p>
    <w:p w14:paraId="33C92453">
      <w:pPr>
        <w:rPr>
          <w:rFonts w:ascii="宋体" w:hAnsi="宋体" w:cs="楷体"/>
          <w:b/>
          <w:sz w:val="28"/>
          <w:szCs w:val="28"/>
        </w:rPr>
      </w:pPr>
    </w:p>
    <w:p w14:paraId="057287BC">
      <w:pPr>
        <w:adjustRightInd w:val="0"/>
        <w:snapToGrid w:val="0"/>
        <w:spacing w:beforeLines="50" w:line="560" w:lineRule="exact"/>
        <w:jc w:val="center"/>
        <w:rPr>
          <w:rFonts w:ascii="宋体" w:hAnsi="宋体" w:cs="楷体"/>
          <w:b/>
          <w:sz w:val="28"/>
          <w:szCs w:val="28"/>
        </w:rPr>
      </w:pPr>
      <w:r>
        <w:rPr>
          <w:rFonts w:hint="eastAsia" w:ascii="宋体" w:hAnsi="宋体" w:cs="楷体"/>
          <w:b/>
          <w:sz w:val="28"/>
          <w:szCs w:val="28"/>
        </w:rPr>
        <w:t>2.残疾人福利性单位声明函</w:t>
      </w:r>
    </w:p>
    <w:p w14:paraId="50EF7CDF">
      <w:pPr>
        <w:pStyle w:val="11"/>
        <w:ind w:firstLine="480"/>
      </w:pPr>
    </w:p>
    <w:p w14:paraId="6BA40971">
      <w:pPr>
        <w:adjustRightInd w:val="0"/>
        <w:snapToGrid w:val="0"/>
        <w:spacing w:line="560" w:lineRule="exact"/>
        <w:ind w:firstLine="480" w:firstLineChars="200"/>
        <w:rPr>
          <w:rFonts w:ascii="宋体" w:hAnsi="宋体" w:cs="仿宋_GB2312"/>
        </w:rPr>
      </w:pPr>
      <w:r>
        <w:rPr>
          <w:rFonts w:hint="eastAsia" w:ascii="宋体" w:hAnsi="宋体" w:cs="仿宋_GB231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CC4B31">
      <w:pPr>
        <w:adjustRightInd w:val="0"/>
        <w:snapToGrid w:val="0"/>
        <w:spacing w:line="560" w:lineRule="exact"/>
        <w:ind w:firstLine="480" w:firstLineChars="200"/>
        <w:rPr>
          <w:rFonts w:ascii="宋体" w:hAnsi="宋体" w:cs="仿宋_GB2312"/>
        </w:rPr>
      </w:pPr>
      <w:r>
        <w:rPr>
          <w:rFonts w:hint="eastAsia" w:ascii="宋体" w:hAnsi="宋体" w:cs="仿宋_GB2312"/>
        </w:rPr>
        <w:t>本单位对上述声明的真实性负责。如有虚假，将依法承担相应责任。</w:t>
      </w:r>
    </w:p>
    <w:p w14:paraId="3B199E75">
      <w:pPr>
        <w:adjustRightInd w:val="0"/>
        <w:snapToGrid w:val="0"/>
        <w:spacing w:line="560" w:lineRule="exact"/>
        <w:ind w:firstLine="504" w:firstLineChars="200"/>
        <w:rPr>
          <w:rFonts w:ascii="宋体" w:hAnsi="宋体" w:cs="仿宋_GB2312"/>
          <w:spacing w:val="6"/>
        </w:rPr>
      </w:pPr>
    </w:p>
    <w:p w14:paraId="608566AC">
      <w:pPr>
        <w:pStyle w:val="11"/>
        <w:ind w:firstLine="480"/>
      </w:pPr>
    </w:p>
    <w:p w14:paraId="0C3C32B2">
      <w:pPr>
        <w:spacing w:beforeLines="50" w:line="560" w:lineRule="exact"/>
        <w:ind w:firstLine="480" w:firstLineChars="200"/>
        <w:jc w:val="center"/>
        <w:rPr>
          <w:rFonts w:ascii="宋体" w:hAnsi="宋体" w:cs="仿宋_GB2312"/>
          <w:bCs/>
          <w:color w:val="000000"/>
        </w:rPr>
      </w:pPr>
    </w:p>
    <w:p w14:paraId="72E52401">
      <w:pPr>
        <w:spacing w:beforeLines="50" w:line="560" w:lineRule="exact"/>
        <w:ind w:firstLine="480" w:firstLineChars="200"/>
        <w:jc w:val="center"/>
        <w:rPr>
          <w:rFonts w:ascii="宋体" w:hAnsi="宋体" w:cs="仿宋_GB2312"/>
          <w:bCs/>
          <w:color w:val="000000"/>
        </w:rPr>
      </w:pPr>
      <w:r>
        <w:rPr>
          <w:rFonts w:hint="eastAsia" w:ascii="宋体" w:hAnsi="宋体" w:cs="仿宋_GB2312"/>
          <w:bCs/>
          <w:color w:val="000000"/>
        </w:rPr>
        <w:t xml:space="preserve">               </w:t>
      </w:r>
    </w:p>
    <w:p w14:paraId="7B1F6AA6">
      <w:pPr>
        <w:spacing w:beforeLines="50" w:line="560" w:lineRule="exact"/>
        <w:ind w:firstLine="480" w:firstLineChars="200"/>
        <w:jc w:val="center"/>
        <w:rPr>
          <w:rFonts w:ascii="宋体" w:hAnsi="宋体" w:cs="仿宋_GB2312"/>
          <w:bCs/>
          <w:color w:val="000000"/>
        </w:rPr>
      </w:pPr>
    </w:p>
    <w:p w14:paraId="676A98C1">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14:paraId="1F8C3966">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14:paraId="48B7B918">
      <w:pPr>
        <w:pStyle w:val="11"/>
        <w:ind w:firstLine="480"/>
      </w:pPr>
    </w:p>
    <w:p w14:paraId="21E3905B">
      <w:pPr>
        <w:autoSpaceDE w:val="0"/>
        <w:autoSpaceDN w:val="0"/>
        <w:spacing w:line="360" w:lineRule="auto"/>
        <w:jc w:val="center"/>
        <w:rPr>
          <w:rFonts w:ascii="宋体" w:hAnsi="宋体" w:cs="仿宋_GB2312"/>
          <w:spacing w:val="6"/>
          <w:sz w:val="32"/>
          <w:szCs w:val="32"/>
        </w:rPr>
      </w:pPr>
    </w:p>
    <w:p w14:paraId="2725AEED">
      <w:pPr>
        <w:adjustRightInd w:val="0"/>
        <w:snapToGrid w:val="0"/>
        <w:spacing w:beforeLines="50" w:line="560" w:lineRule="exact"/>
        <w:jc w:val="center"/>
        <w:rPr>
          <w:rFonts w:ascii="宋体" w:hAnsi="宋体" w:cs="楷体"/>
          <w:sz w:val="32"/>
          <w:szCs w:val="32"/>
        </w:rPr>
      </w:pPr>
    </w:p>
    <w:p w14:paraId="462F9A2D">
      <w:pPr>
        <w:pStyle w:val="11"/>
        <w:ind w:firstLine="480"/>
      </w:pPr>
    </w:p>
    <w:p w14:paraId="04F822C3">
      <w:pPr>
        <w:adjustRightInd w:val="0"/>
        <w:snapToGrid w:val="0"/>
        <w:spacing w:beforeLines="50" w:line="560" w:lineRule="exact"/>
        <w:jc w:val="center"/>
        <w:rPr>
          <w:rFonts w:ascii="宋体" w:hAnsi="宋体" w:cs="楷体"/>
          <w:b/>
          <w:sz w:val="28"/>
          <w:szCs w:val="28"/>
        </w:rPr>
      </w:pPr>
    </w:p>
    <w:p w14:paraId="62F6EC60">
      <w:pPr>
        <w:pStyle w:val="11"/>
        <w:ind w:firstLine="480"/>
        <w:rPr>
          <w:rFonts w:hAnsi="宋体" w:cs="仿宋_GB2312"/>
          <w:sz w:val="24"/>
          <w:szCs w:val="24"/>
        </w:rPr>
      </w:pPr>
    </w:p>
    <w:p w14:paraId="37B55264">
      <w:pPr>
        <w:pStyle w:val="11"/>
        <w:ind w:firstLine="480"/>
        <w:rPr>
          <w:rFonts w:hAnsi="宋体" w:cs="仿宋_GB2312"/>
          <w:sz w:val="24"/>
          <w:szCs w:val="24"/>
        </w:rPr>
      </w:pPr>
      <w:r>
        <w:rPr>
          <w:rFonts w:hint="eastAsia" w:hAnsi="宋体" w:cs="仿宋_GB2312"/>
          <w:sz w:val="24"/>
          <w:szCs w:val="24"/>
        </w:rPr>
        <w:t>注：1、若无此项内容，可不提供此函。</w:t>
      </w:r>
    </w:p>
    <w:p w14:paraId="5534E1C1">
      <w:pPr>
        <w:pStyle w:val="11"/>
        <w:ind w:firstLine="480"/>
        <w:rPr>
          <w:rFonts w:hAnsi="宋体" w:cs="仿宋_GB2312"/>
          <w:sz w:val="24"/>
          <w:szCs w:val="24"/>
        </w:rPr>
      </w:pPr>
    </w:p>
    <w:p w14:paraId="48176640">
      <w:pPr>
        <w:pStyle w:val="11"/>
        <w:ind w:firstLine="480"/>
      </w:pPr>
    </w:p>
    <w:p w14:paraId="082A481B">
      <w:pPr>
        <w:pStyle w:val="11"/>
        <w:ind w:firstLine="480"/>
      </w:pPr>
    </w:p>
    <w:p w14:paraId="072DB7FD">
      <w:pPr>
        <w:pStyle w:val="11"/>
        <w:ind w:firstLine="480"/>
      </w:pPr>
    </w:p>
    <w:p w14:paraId="7BA528CA">
      <w:pPr>
        <w:pStyle w:val="11"/>
        <w:ind w:firstLine="480"/>
      </w:pPr>
    </w:p>
    <w:p w14:paraId="06C89447">
      <w:pPr>
        <w:pStyle w:val="11"/>
        <w:ind w:firstLine="480"/>
      </w:pPr>
    </w:p>
    <w:p w14:paraId="32AC1201">
      <w:pPr>
        <w:autoSpaceDE w:val="0"/>
        <w:autoSpaceDN w:val="0"/>
        <w:spacing w:line="360" w:lineRule="auto"/>
        <w:ind w:firstLine="562"/>
        <w:jc w:val="center"/>
        <w:rPr>
          <w:rFonts w:ascii="宋体" w:hAnsi="宋体" w:cs="宋体"/>
          <w:b/>
          <w:bCs/>
          <w:sz w:val="28"/>
          <w:szCs w:val="28"/>
        </w:rPr>
      </w:pPr>
      <w:r>
        <w:rPr>
          <w:rFonts w:hint="eastAsia" w:ascii="宋体" w:hAnsi="宋体" w:cs="宋体"/>
          <w:b/>
          <w:bCs/>
          <w:sz w:val="28"/>
          <w:szCs w:val="28"/>
        </w:rPr>
        <w:t>3.监狱企业证明材料</w:t>
      </w:r>
    </w:p>
    <w:p w14:paraId="307955B2">
      <w:pPr>
        <w:pStyle w:val="11"/>
        <w:rPr>
          <w:rFonts w:ascii="Times New Roman" w:hAnsi="Times New Roman"/>
        </w:rPr>
      </w:pPr>
    </w:p>
    <w:p w14:paraId="01724B81">
      <w:pPr>
        <w:adjustRightInd w:val="0"/>
        <w:snapToGrid w:val="0"/>
        <w:spacing w:line="560" w:lineRule="exact"/>
        <w:ind w:firstLine="504" w:firstLineChars="200"/>
        <w:rPr>
          <w:rFonts w:ascii="宋体" w:hAnsi="宋体" w:cs="仿宋_GB2312"/>
        </w:rPr>
      </w:pPr>
      <w:r>
        <w:rPr>
          <w:rFonts w:hint="eastAsia" w:ascii="宋体" w:hAnsi="宋体" w:cs="仿宋_GB2312"/>
          <w:bCs/>
          <w:spacing w:val="6"/>
        </w:rPr>
        <w:t>备注：</w:t>
      </w:r>
      <w:r>
        <w:rPr>
          <w:rFonts w:hint="eastAsia" w:ascii="宋体" w:hAnsi="宋体" w:cs="仿宋_GB2312"/>
        </w:rPr>
        <w:t>按</w:t>
      </w:r>
      <w:r>
        <w:rPr>
          <w:rFonts w:hint="eastAsia" w:ascii="宋体" w:hAnsi="宋体" w:cs="仿宋_GB2312"/>
          <w:spacing w:val="6"/>
        </w:rPr>
        <w:t>《</w:t>
      </w:r>
      <w:r>
        <w:rPr>
          <w:rFonts w:hint="eastAsia" w:ascii="宋体" w:hAnsi="宋体" w:cs="仿宋_GB2312"/>
        </w:rPr>
        <w:t>财政部 司法部关于政府采购支持监狱企业发展有关问题的通知</w:t>
      </w:r>
      <w:r>
        <w:rPr>
          <w:rFonts w:hint="eastAsia" w:ascii="宋体" w:hAnsi="宋体" w:cs="仿宋_GB2312"/>
          <w:spacing w:val="6"/>
        </w:rPr>
        <w:t>》</w:t>
      </w:r>
      <w:r>
        <w:rPr>
          <w:rFonts w:hint="eastAsia" w:ascii="宋体" w:hAnsi="宋体" w:cs="仿宋_GB2312"/>
        </w:rPr>
        <w:t>(财库〔2014〕68号)文件规定提供证明文件（复印件）。</w:t>
      </w:r>
    </w:p>
    <w:p w14:paraId="43C394E5">
      <w:pPr>
        <w:spacing w:beforeLines="50" w:line="560" w:lineRule="exact"/>
        <w:ind w:firstLine="480" w:firstLineChars="200"/>
        <w:jc w:val="center"/>
        <w:rPr>
          <w:rFonts w:ascii="宋体" w:hAnsi="宋体" w:cs="仿宋_GB2312"/>
          <w:bCs/>
          <w:color w:val="000000"/>
        </w:rPr>
      </w:pPr>
      <w:r>
        <w:rPr>
          <w:rFonts w:hint="eastAsia" w:ascii="宋体" w:hAnsi="宋体" w:cs="仿宋_GB2312"/>
          <w:bCs/>
          <w:color w:val="000000"/>
        </w:rPr>
        <w:t xml:space="preserve">                 </w:t>
      </w:r>
      <w:bookmarkStart w:id="224" w:name="_Toc22071_WPSOffice_Level3"/>
    </w:p>
    <w:p w14:paraId="62F00741">
      <w:pPr>
        <w:spacing w:beforeLines="50" w:line="560" w:lineRule="exact"/>
        <w:ind w:firstLine="480" w:firstLineChars="200"/>
        <w:jc w:val="center"/>
        <w:rPr>
          <w:rFonts w:ascii="宋体" w:hAnsi="宋体" w:cs="仿宋_GB2312"/>
          <w:bCs/>
          <w:color w:val="000000"/>
        </w:rPr>
      </w:pPr>
    </w:p>
    <w:p w14:paraId="1F1675D7">
      <w:pPr>
        <w:pStyle w:val="11"/>
        <w:rPr>
          <w:rFonts w:ascii="Times New Roman" w:hAnsi="Times New Roman"/>
        </w:rPr>
      </w:pPr>
    </w:p>
    <w:p w14:paraId="0541E92F">
      <w:pPr>
        <w:pStyle w:val="11"/>
        <w:rPr>
          <w:rFonts w:ascii="Times New Roman" w:hAnsi="Times New Roman"/>
        </w:rPr>
      </w:pPr>
    </w:p>
    <w:p w14:paraId="20EAE00C">
      <w:pPr>
        <w:spacing w:beforeLines="50" w:line="560" w:lineRule="exact"/>
        <w:ind w:firstLine="480" w:firstLineChars="200"/>
        <w:jc w:val="center"/>
        <w:rPr>
          <w:rFonts w:ascii="宋体" w:hAnsi="宋体" w:cs="仿宋_GB2312"/>
          <w:bCs/>
          <w:color w:val="000000"/>
        </w:rPr>
      </w:pPr>
    </w:p>
    <w:p w14:paraId="45F9D683">
      <w:pPr>
        <w:tabs>
          <w:tab w:val="left" w:pos="4860"/>
        </w:tabs>
        <w:spacing w:line="480" w:lineRule="exact"/>
        <w:ind w:right="1920" w:firstLine="480"/>
        <w:jc w:val="right"/>
        <w:rPr>
          <w:rFonts w:ascii="宋体" w:hAnsi="宋体"/>
        </w:rPr>
      </w:pPr>
      <w:r>
        <w:rPr>
          <w:rFonts w:hint="eastAsia" w:ascii="宋体" w:hAnsi="宋体" w:cs="仿宋_GB2312"/>
          <w:bCs/>
          <w:color w:val="000000"/>
        </w:rPr>
        <w:t xml:space="preserve">       </w:t>
      </w:r>
      <w:bookmarkEnd w:id="224"/>
      <w:r>
        <w:rPr>
          <w:rFonts w:hint="eastAsia" w:ascii="宋体" w:hAnsi="宋体" w:cs="仿宋_GB2312"/>
          <w:bCs/>
          <w:color w:val="000000"/>
        </w:rPr>
        <w:t xml:space="preserve">  </w:t>
      </w:r>
      <w:r>
        <w:rPr>
          <w:rFonts w:hint="eastAsia" w:ascii="宋体" w:hAnsi="宋体"/>
        </w:rPr>
        <w:t>单位名称（盖章）：</w:t>
      </w:r>
    </w:p>
    <w:p w14:paraId="0613B11C">
      <w:pPr>
        <w:tabs>
          <w:tab w:val="left" w:pos="4860"/>
        </w:tabs>
        <w:spacing w:line="480" w:lineRule="exact"/>
        <w:ind w:right="1560" w:firstLine="480"/>
        <w:jc w:val="center"/>
        <w:rPr>
          <w:rFonts w:ascii="宋体" w:hAnsi="宋体"/>
        </w:rPr>
      </w:pPr>
      <w:r>
        <w:rPr>
          <w:rFonts w:hint="eastAsia" w:ascii="宋体" w:hAnsi="宋体"/>
        </w:rPr>
        <w:t xml:space="preserve">                  日  期：</w:t>
      </w:r>
    </w:p>
    <w:p w14:paraId="3DA286A4">
      <w:pPr>
        <w:pStyle w:val="18"/>
        <w:spacing w:after="0" w:line="360" w:lineRule="auto"/>
        <w:ind w:firstLine="1460"/>
        <w:outlineLvl w:val="1"/>
        <w:rPr>
          <w:rFonts w:ascii="宋体" w:hAnsi="宋体" w:cs="宋体"/>
          <w:color w:val="000000"/>
          <w:lang w:val="zh-CN"/>
        </w:rPr>
      </w:pPr>
    </w:p>
    <w:p w14:paraId="3F5D747D">
      <w:pPr>
        <w:rPr>
          <w:lang w:val="zh-CN"/>
        </w:rPr>
      </w:pPr>
    </w:p>
    <w:p w14:paraId="71493562">
      <w:pPr>
        <w:pStyle w:val="11"/>
        <w:rPr>
          <w:rFonts w:ascii="Times New Roman" w:hAnsi="Times New Roman"/>
          <w:lang w:val="zh-CN"/>
        </w:rPr>
      </w:pPr>
    </w:p>
    <w:p w14:paraId="0C30510B">
      <w:pPr>
        <w:pStyle w:val="11"/>
        <w:rPr>
          <w:rFonts w:ascii="Times New Roman" w:hAnsi="Times New Roman"/>
          <w:lang w:val="zh-CN"/>
        </w:rPr>
      </w:pPr>
    </w:p>
    <w:p w14:paraId="03C982C2">
      <w:pPr>
        <w:pStyle w:val="11"/>
        <w:rPr>
          <w:rFonts w:ascii="Times New Roman" w:hAnsi="Times New Roman"/>
          <w:lang w:val="zh-CN"/>
        </w:rPr>
      </w:pPr>
    </w:p>
    <w:p w14:paraId="2C2264F1">
      <w:pPr>
        <w:autoSpaceDE w:val="0"/>
        <w:autoSpaceDN w:val="0"/>
        <w:spacing w:line="360" w:lineRule="auto"/>
        <w:jc w:val="left"/>
        <w:rPr>
          <w:rFonts w:ascii="宋体" w:hAnsi="宋体"/>
        </w:rPr>
      </w:pPr>
      <w:r>
        <w:rPr>
          <w:rFonts w:hint="eastAsia"/>
        </w:rPr>
        <w:t>若无此项内容，可不提供此函。</w:t>
      </w:r>
    </w:p>
    <w:p w14:paraId="5F77D73F">
      <w:pPr>
        <w:adjustRightInd w:val="0"/>
        <w:snapToGrid w:val="0"/>
        <w:spacing w:beforeLines="50" w:line="560" w:lineRule="exact"/>
        <w:rPr>
          <w:rFonts w:ascii="宋体" w:hAnsi="宋体"/>
        </w:rPr>
      </w:pPr>
    </w:p>
    <w:p w14:paraId="5881A2CE">
      <w:pPr>
        <w:pStyle w:val="11"/>
        <w:ind w:firstLine="480"/>
      </w:pPr>
    </w:p>
    <w:p w14:paraId="3360B54C">
      <w:pPr>
        <w:pStyle w:val="11"/>
        <w:ind w:firstLine="480"/>
      </w:pPr>
    </w:p>
    <w:p w14:paraId="244E69B1">
      <w:pPr>
        <w:pStyle w:val="11"/>
        <w:ind w:firstLine="480"/>
      </w:pPr>
    </w:p>
    <w:p w14:paraId="00A1E21F">
      <w:pPr>
        <w:pStyle w:val="11"/>
        <w:ind w:firstLine="480"/>
      </w:pPr>
    </w:p>
    <w:p w14:paraId="66824830">
      <w:pPr>
        <w:pStyle w:val="11"/>
        <w:ind w:firstLine="480"/>
      </w:pPr>
    </w:p>
    <w:p w14:paraId="48DA1279">
      <w:pPr>
        <w:pStyle w:val="11"/>
        <w:ind w:firstLine="480"/>
      </w:pPr>
    </w:p>
    <w:p w14:paraId="1C808C56">
      <w:pPr>
        <w:pStyle w:val="11"/>
        <w:ind w:firstLine="480"/>
      </w:pPr>
    </w:p>
    <w:p w14:paraId="343F54CB">
      <w:pPr>
        <w:pStyle w:val="11"/>
        <w:ind w:firstLine="480"/>
      </w:pPr>
    </w:p>
    <w:p w14:paraId="1309F838">
      <w:pPr>
        <w:pStyle w:val="11"/>
        <w:ind w:firstLine="480"/>
      </w:pPr>
    </w:p>
    <w:p w14:paraId="215BF151">
      <w:pPr>
        <w:pStyle w:val="11"/>
        <w:ind w:firstLine="480"/>
      </w:pPr>
    </w:p>
    <w:p w14:paraId="51A411D0">
      <w:pPr>
        <w:pStyle w:val="11"/>
        <w:ind w:firstLine="480"/>
      </w:pPr>
    </w:p>
    <w:p w14:paraId="2C636BBA">
      <w:pPr>
        <w:pStyle w:val="11"/>
        <w:ind w:firstLine="480"/>
      </w:pPr>
    </w:p>
    <w:p w14:paraId="5000E310">
      <w:pPr>
        <w:pStyle w:val="11"/>
        <w:ind w:firstLine="480"/>
      </w:pPr>
    </w:p>
    <w:p w14:paraId="183489F8">
      <w:pPr>
        <w:pStyle w:val="11"/>
        <w:ind w:firstLine="480"/>
      </w:pPr>
    </w:p>
    <w:p w14:paraId="341A2E7F">
      <w:pPr>
        <w:pStyle w:val="18"/>
        <w:spacing w:before="0" w:after="0" w:line="360" w:lineRule="auto"/>
        <w:jc w:val="left"/>
        <w:outlineLvl w:val="1"/>
        <w:rPr>
          <w:rFonts w:ascii="宋体" w:hAnsi="宋体" w:cs="宋体"/>
          <w:color w:val="000000"/>
        </w:rPr>
      </w:pPr>
      <w:bookmarkStart w:id="225" w:name="_Toc32524"/>
      <w:bookmarkStart w:id="226" w:name="_Toc29269"/>
      <w:bookmarkStart w:id="227" w:name="_Toc4445"/>
      <w:r>
        <w:rPr>
          <w:rFonts w:hint="eastAsia" w:ascii="宋体" w:hAnsi="宋体" w:cs="宋体"/>
          <w:color w:val="000000"/>
          <w:sz w:val="30"/>
          <w:szCs w:val="30"/>
        </w:rPr>
        <w:t>（1</w:t>
      </w:r>
      <w:r>
        <w:rPr>
          <w:rFonts w:hint="eastAsia" w:ascii="宋体" w:hAnsi="宋体" w:cs="宋体"/>
          <w:color w:val="000000"/>
          <w:sz w:val="30"/>
          <w:szCs w:val="30"/>
          <w:lang w:val="en-US" w:eastAsia="zh-CN"/>
        </w:rPr>
        <w:t>8</w:t>
      </w:r>
      <w:r>
        <w:rPr>
          <w:rFonts w:hint="eastAsia" w:ascii="宋体" w:hAnsi="宋体" w:cs="宋体"/>
          <w:color w:val="000000"/>
          <w:sz w:val="30"/>
          <w:szCs w:val="30"/>
        </w:rPr>
        <w:t>）</w:t>
      </w:r>
      <w:r>
        <w:rPr>
          <w:rFonts w:hint="eastAsia" w:ascii="宋体" w:hAnsi="宋体" w:cs="宋体"/>
          <w:color w:val="000000"/>
          <w:sz w:val="30"/>
          <w:szCs w:val="30"/>
          <w:lang w:val="zh-CN"/>
        </w:rPr>
        <w:t>投标人认为在其他方面有必要说明的事项</w:t>
      </w:r>
      <w:bookmarkEnd w:id="223"/>
      <w:bookmarkEnd w:id="225"/>
      <w:bookmarkEnd w:id="226"/>
      <w:bookmarkEnd w:id="227"/>
    </w:p>
    <w:p w14:paraId="1A11192E">
      <w:pPr>
        <w:autoSpaceDE w:val="0"/>
        <w:autoSpaceDN w:val="0"/>
        <w:spacing w:line="360" w:lineRule="auto"/>
        <w:rPr>
          <w:rFonts w:ascii="宋体" w:hAnsi="宋体" w:cs="宋体"/>
          <w:color w:val="000000"/>
          <w:kern w:val="0"/>
          <w:sz w:val="28"/>
          <w:szCs w:val="28"/>
          <w:lang w:val="zh-CN"/>
        </w:rPr>
      </w:pPr>
    </w:p>
    <w:p w14:paraId="58F25238">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14:paraId="79F8E4AD">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14:paraId="682019EC">
      <w:pPr>
        <w:pStyle w:val="18"/>
        <w:numPr>
          <w:ilvl w:val="0"/>
          <w:numId w:val="11"/>
        </w:numPr>
        <w:spacing w:before="0" w:after="0" w:line="360" w:lineRule="auto"/>
        <w:rPr>
          <w:rFonts w:hint="eastAsia" w:ascii="宋体" w:hAnsi="宋体" w:cs="宋体"/>
          <w:bCs w:val="0"/>
          <w:szCs w:val="36"/>
          <w:lang w:val="zh-CN"/>
        </w:rPr>
      </w:pPr>
      <w:r>
        <w:rPr>
          <w:rFonts w:hint="eastAsia" w:ascii="宋体" w:hAnsi="宋体" w:cs="宋体"/>
          <w:color w:val="000000"/>
          <w:lang w:val="zh-CN"/>
        </w:rPr>
        <w:br w:type="page"/>
      </w:r>
      <w:bookmarkStart w:id="228" w:name="_Toc13144"/>
      <w:bookmarkStart w:id="229" w:name="_Toc18752"/>
      <w:bookmarkStart w:id="230" w:name="_Toc25888"/>
      <w:r>
        <w:rPr>
          <w:rFonts w:hint="eastAsia" w:ascii="宋体" w:hAnsi="宋体" w:cs="宋体"/>
          <w:bCs w:val="0"/>
          <w:szCs w:val="36"/>
          <w:lang w:val="zh-CN"/>
        </w:rPr>
        <w:t xml:space="preserve"> </w:t>
      </w:r>
      <w:bookmarkEnd w:id="228"/>
      <w:bookmarkEnd w:id="229"/>
      <w:bookmarkEnd w:id="230"/>
      <w:bookmarkStart w:id="231" w:name="_Toc7227"/>
      <w:r>
        <w:rPr>
          <w:rFonts w:hint="eastAsia" w:ascii="宋体" w:hAnsi="宋体" w:cs="宋体"/>
          <w:bCs w:val="0"/>
          <w:szCs w:val="36"/>
          <w:lang w:val="zh-CN"/>
        </w:rPr>
        <w:t>采购项目要求及技术参数</w:t>
      </w:r>
      <w:bookmarkEnd w:id="231"/>
    </w:p>
    <w:p w14:paraId="07FEFA7A">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（一）投标要求</w:t>
      </w:r>
    </w:p>
    <w:p w14:paraId="7E8F5F45">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1.投标说明 </w:t>
      </w:r>
    </w:p>
    <w:p w14:paraId="7015BB0F">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1.投标说明 </w:t>
      </w:r>
    </w:p>
    <w:p w14:paraId="2EFF2899">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 投标人可以按照招标文件规定选择投标，但必须对所有内容作为一个 </w:t>
      </w:r>
    </w:p>
    <w:p w14:paraId="46901D5E">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整体进行投标，不能拆分或少报。否则，投标无效。 </w:t>
      </w:r>
    </w:p>
    <w:p w14:paraId="75725390">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1.2所投产品或其任何一部分不得侵犯专利权、著作权、商标权和工业设计 </w:t>
      </w:r>
    </w:p>
    <w:p w14:paraId="76B4626B">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权等知识产权。 </w:t>
      </w:r>
    </w:p>
    <w:p w14:paraId="7EA1DB8C">
      <w:pPr>
        <w:autoSpaceDE w:val="0"/>
        <w:autoSpaceDN w:val="0"/>
        <w:spacing w:line="264" w:lineRule="auto"/>
        <w:rPr>
          <w:rFonts w:ascii="宋体" w:hAnsi="宋体" w:cs="宋体"/>
          <w:b/>
          <w:bCs/>
          <w:color w:val="000000"/>
          <w:kern w:val="0"/>
        </w:rPr>
      </w:pPr>
      <w:r>
        <w:rPr>
          <w:rFonts w:hint="eastAsia" w:ascii="宋体" w:hAnsi="宋体" w:eastAsia="宋体" w:cs="宋体"/>
          <w:spacing w:val="-5"/>
          <w:sz w:val="24"/>
          <w:szCs w:val="24"/>
          <w:highlight w:val="none"/>
          <w:lang w:val="en-US" w:eastAsia="zh-CN"/>
        </w:rPr>
        <w:t>1.</w:t>
      </w:r>
      <w:r>
        <w:rPr>
          <w:rFonts w:hint="eastAsia" w:cs="宋体"/>
          <w:spacing w:val="-5"/>
          <w:sz w:val="24"/>
          <w:szCs w:val="24"/>
          <w:highlight w:val="none"/>
          <w:lang w:val="en-US" w:eastAsia="zh-CN"/>
        </w:rPr>
        <w:t>3</w:t>
      </w:r>
      <w:r>
        <w:rPr>
          <w:rFonts w:hint="eastAsia" w:ascii="宋体" w:hAnsi="宋体" w:eastAsia="宋体" w:cs="宋体"/>
          <w:spacing w:val="-5"/>
          <w:sz w:val="24"/>
          <w:szCs w:val="24"/>
          <w:highlight w:val="none"/>
        </w:rPr>
        <w:t>投标报价为投标总价</w:t>
      </w:r>
      <w:r>
        <w:rPr>
          <w:rFonts w:hint="eastAsia" w:ascii="宋体" w:hAnsi="宋体" w:cs="宋体"/>
          <w:kern w:val="0"/>
          <w:lang w:val="zh-CN"/>
        </w:rPr>
        <w:t>必须包括：服务费、招标代理费、税金及不可预见费等全部费用。</w:t>
      </w:r>
    </w:p>
    <w:p w14:paraId="6A9DF5BD">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06152665">
      <w:pPr>
        <w:keepNext w:val="0"/>
        <w:keepLines w:val="0"/>
        <w:widowControl/>
        <w:suppressLineNumbers w:val="0"/>
        <w:jc w:val="left"/>
        <w:rPr>
          <w:sz w:val="24"/>
          <w:szCs w:val="24"/>
        </w:rPr>
      </w:pPr>
      <w:r>
        <w:rPr>
          <w:rFonts w:hint="eastAsia" w:ascii="宋体" w:hAnsi="宋体" w:eastAsia="宋体" w:cs="宋体"/>
          <w:b/>
          <w:bCs/>
          <w:color w:val="000000"/>
          <w:kern w:val="0"/>
          <w:sz w:val="28"/>
          <w:szCs w:val="28"/>
          <w:lang w:val="en-US" w:eastAsia="zh-CN" w:bidi="ar"/>
        </w:rPr>
        <w:t xml:space="preserve">2.商务要求 </w:t>
      </w:r>
    </w:p>
    <w:p w14:paraId="5BC39A45">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b/>
          <w:bCs/>
          <w:color w:val="auto"/>
          <w:sz w:val="24"/>
          <w:szCs w:val="24"/>
          <w:highlight w:val="none"/>
          <w:lang w:val="en-US" w:eastAsia="zh-CN"/>
        </w:rPr>
        <w:t>服务期限：</w:t>
      </w:r>
      <w:r>
        <w:rPr>
          <w:rFonts w:hint="eastAsia" w:ascii="宋体" w:hAnsi="宋体" w:cs="宋体"/>
          <w:highlight w:val="none"/>
          <w:lang w:val="en-US" w:eastAsia="zh-CN"/>
        </w:rPr>
        <w:t>自验收之日起 1年。自合同签订之日起10个工作日内完成本项目的服务部署。</w:t>
      </w:r>
    </w:p>
    <w:p w14:paraId="610FBF5D">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b/>
          <w:bCs/>
          <w:color w:val="auto"/>
          <w:sz w:val="24"/>
          <w:szCs w:val="24"/>
          <w:highlight w:val="none"/>
          <w:lang w:val="en-US" w:eastAsia="zh-CN"/>
        </w:rPr>
        <w:t>服务地点：</w:t>
      </w:r>
      <w:r>
        <w:rPr>
          <w:rFonts w:hint="eastAsia" w:ascii="宋体" w:hAnsi="宋体" w:eastAsia="宋体" w:cs="宋体"/>
          <w:color w:val="auto"/>
          <w:sz w:val="24"/>
          <w:szCs w:val="24"/>
          <w:highlight w:val="none"/>
          <w:lang w:val="en-US" w:eastAsia="zh-CN"/>
        </w:rPr>
        <w:t xml:space="preserve">采购人指定地点 </w:t>
      </w:r>
    </w:p>
    <w:p w14:paraId="5D350214">
      <w:pPr>
        <w:pStyle w:val="2"/>
        <w:pageBreakBefore w:val="0"/>
        <w:widowControl w:val="0"/>
        <w:kinsoku/>
        <w:wordWrap/>
        <w:overflowPunct/>
        <w:topLinePunct w:val="0"/>
        <w:autoSpaceDE/>
        <w:autoSpaceDN/>
        <w:bidi w:val="0"/>
        <w:adjustRightInd/>
        <w:snapToGrid/>
        <w:spacing w:after="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b/>
          <w:bCs/>
          <w:color w:val="auto"/>
          <w:sz w:val="24"/>
          <w:szCs w:val="24"/>
          <w:highlight w:val="none"/>
          <w:lang w:val="en-US" w:eastAsia="zh-CN"/>
        </w:rPr>
        <w:t>付款方式：</w:t>
      </w:r>
      <w:r>
        <w:rPr>
          <w:rFonts w:hint="eastAsia" w:ascii="宋体" w:hAnsi="宋体" w:eastAsia="宋体" w:cs="宋体"/>
          <w:color w:val="auto"/>
          <w:sz w:val="24"/>
          <w:szCs w:val="24"/>
          <w:highlight w:val="none"/>
          <w:lang w:val="en-US" w:eastAsia="zh-CN"/>
        </w:rPr>
        <w:t>按合同约定</w:t>
      </w:r>
    </w:p>
    <w:p w14:paraId="58FFD73D">
      <w:pPr>
        <w:pStyle w:val="3"/>
        <w:ind w:left="0" w:leftChars="0" w:firstLine="0" w:firstLineChars="0"/>
        <w:rPr>
          <w:rFonts w:hint="default"/>
          <w:lang w:val="en-US" w:eastAsia="zh-CN"/>
        </w:rPr>
      </w:pPr>
      <w:r>
        <w:rPr>
          <w:rFonts w:hint="eastAsia" w:ascii="宋体" w:hAnsi="宋体" w:cs="宋体"/>
          <w:color w:val="auto"/>
          <w:sz w:val="24"/>
          <w:szCs w:val="24"/>
          <w:highlight w:val="none"/>
          <w:lang w:val="en-US" w:eastAsia="zh-CN"/>
        </w:rPr>
        <w:t>3.4.</w:t>
      </w:r>
      <w:r>
        <w:rPr>
          <w:rFonts w:hint="eastAsia" w:ascii="宋体" w:hAnsi="宋体" w:cs="宋体"/>
          <w:b/>
          <w:bCs/>
          <w:color w:val="auto"/>
          <w:sz w:val="24"/>
          <w:szCs w:val="24"/>
          <w:highlight w:val="none"/>
          <w:lang w:val="en-US" w:eastAsia="zh-CN"/>
        </w:rPr>
        <w:t>本项目所属行业：</w:t>
      </w:r>
      <w:r>
        <w:rPr>
          <w:rFonts w:hint="eastAsia" w:ascii="宋体" w:hAnsi="宋体" w:eastAsia="宋体" w:cs="宋体"/>
          <w:b w:val="0"/>
          <w:bCs w:val="0"/>
          <w:color w:val="auto"/>
          <w:kern w:val="0"/>
          <w:sz w:val="24"/>
          <w:highlight w:val="none"/>
          <w:lang w:val="en-US" w:eastAsia="zh-CN"/>
        </w:rPr>
        <w:t>软件和信息技术服务业</w:t>
      </w:r>
    </w:p>
    <w:p w14:paraId="485AB680">
      <w:pPr>
        <w:numPr>
          <w:ilvl w:val="0"/>
          <w:numId w:val="0"/>
        </w:numPr>
        <w:rPr>
          <w:lang w:val="zh-CN"/>
        </w:rPr>
      </w:pPr>
    </w:p>
    <w:p w14:paraId="20AF66DA">
      <w:pPr>
        <w:pStyle w:val="13"/>
        <w:rPr>
          <w:lang w:val="zh-CN"/>
        </w:rPr>
      </w:pPr>
    </w:p>
    <w:p w14:paraId="0F68496F">
      <w:pPr>
        <w:pStyle w:val="13"/>
        <w:rPr>
          <w:lang w:val="zh-CN"/>
        </w:rPr>
      </w:pPr>
    </w:p>
    <w:p w14:paraId="1C858E9B">
      <w:pPr>
        <w:pStyle w:val="13"/>
        <w:rPr>
          <w:lang w:val="zh-CN"/>
        </w:rPr>
      </w:pPr>
    </w:p>
    <w:p w14:paraId="115222D1">
      <w:pPr>
        <w:pStyle w:val="13"/>
        <w:rPr>
          <w:lang w:val="zh-CN"/>
        </w:rPr>
      </w:pPr>
    </w:p>
    <w:p w14:paraId="4DBA6FCD">
      <w:pPr>
        <w:pStyle w:val="13"/>
        <w:rPr>
          <w:lang w:val="zh-CN"/>
        </w:rPr>
      </w:pPr>
    </w:p>
    <w:p w14:paraId="0F25A587">
      <w:pPr>
        <w:pStyle w:val="13"/>
        <w:rPr>
          <w:lang w:val="zh-CN"/>
        </w:rPr>
      </w:pPr>
    </w:p>
    <w:p w14:paraId="3837FFF6">
      <w:pPr>
        <w:pStyle w:val="13"/>
        <w:rPr>
          <w:lang w:val="zh-CN"/>
        </w:rPr>
      </w:pPr>
    </w:p>
    <w:p w14:paraId="6464BF82">
      <w:pPr>
        <w:pStyle w:val="13"/>
        <w:rPr>
          <w:lang w:val="zh-CN"/>
        </w:rPr>
      </w:pPr>
    </w:p>
    <w:p w14:paraId="00291E3C">
      <w:pPr>
        <w:pStyle w:val="13"/>
        <w:rPr>
          <w:lang w:val="zh-CN"/>
        </w:rPr>
      </w:pPr>
    </w:p>
    <w:p w14:paraId="08162AED">
      <w:pPr>
        <w:pStyle w:val="13"/>
        <w:rPr>
          <w:lang w:val="zh-CN"/>
        </w:rPr>
      </w:pPr>
    </w:p>
    <w:p w14:paraId="006C351C">
      <w:pPr>
        <w:pStyle w:val="13"/>
        <w:rPr>
          <w:lang w:val="zh-CN"/>
        </w:rPr>
      </w:pPr>
    </w:p>
    <w:p w14:paraId="4D84454B">
      <w:pPr>
        <w:pStyle w:val="13"/>
        <w:rPr>
          <w:lang w:val="zh-CN"/>
        </w:rPr>
      </w:pPr>
    </w:p>
    <w:p w14:paraId="5400977B">
      <w:pPr>
        <w:pStyle w:val="13"/>
        <w:rPr>
          <w:lang w:val="zh-CN"/>
        </w:rPr>
      </w:pPr>
    </w:p>
    <w:p w14:paraId="70B24E56">
      <w:pPr>
        <w:pStyle w:val="13"/>
        <w:rPr>
          <w:lang w:val="zh-CN"/>
        </w:rPr>
      </w:pPr>
    </w:p>
    <w:p w14:paraId="2BE9EB00">
      <w:pPr>
        <w:pStyle w:val="13"/>
        <w:rPr>
          <w:lang w:val="zh-CN"/>
        </w:rPr>
      </w:pPr>
    </w:p>
    <w:p w14:paraId="3E5EABE4">
      <w:pPr>
        <w:pStyle w:val="13"/>
        <w:rPr>
          <w:lang w:val="zh-CN"/>
        </w:rPr>
      </w:pPr>
    </w:p>
    <w:p w14:paraId="567A626C">
      <w:pPr>
        <w:pStyle w:val="13"/>
        <w:rPr>
          <w:lang w:val="zh-CN"/>
        </w:rPr>
      </w:pPr>
    </w:p>
    <w:p w14:paraId="6EDEABE2">
      <w:pPr>
        <w:pStyle w:val="13"/>
        <w:rPr>
          <w:lang w:val="zh-CN"/>
        </w:rPr>
      </w:pPr>
    </w:p>
    <w:p w14:paraId="612695F2">
      <w:pPr>
        <w:pStyle w:val="13"/>
        <w:rPr>
          <w:lang w:val="zh-CN"/>
        </w:rPr>
      </w:pPr>
    </w:p>
    <w:p w14:paraId="62404379">
      <w:pPr>
        <w:pStyle w:val="13"/>
        <w:rPr>
          <w:lang w:val="zh-CN"/>
        </w:rPr>
      </w:pPr>
    </w:p>
    <w:p w14:paraId="0369EBCC">
      <w:pPr>
        <w:pStyle w:val="13"/>
        <w:rPr>
          <w:lang w:val="zh-CN"/>
        </w:rPr>
      </w:pPr>
    </w:p>
    <w:p w14:paraId="1E252594">
      <w:pPr>
        <w:keepNext w:val="0"/>
        <w:keepLines w:val="0"/>
        <w:widowControl/>
        <w:numPr>
          <w:ilvl w:val="0"/>
          <w:numId w:val="12"/>
        </w:numPr>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项目概况及服务要求</w:t>
      </w:r>
    </w:p>
    <w:p w14:paraId="090FC3BE">
      <w:pPr>
        <w:pStyle w:val="2"/>
        <w:ind w:firstLine="56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一、项目概况</w:t>
      </w:r>
    </w:p>
    <w:p w14:paraId="457605D1">
      <w:pPr>
        <w:pStyle w:val="2"/>
        <w:ind w:firstLine="56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为促进我区教育数字化转型，实现教育资源优质均衡发展，提升教学质量、效率，满足学生个性化学习的需求。2024年城中区实施信息化建设项目，部署了高质量作业平台服务，旨在</w:t>
      </w:r>
      <w:r>
        <w:rPr>
          <w:rFonts w:hint="eastAsia" w:ascii="仿宋_GB2312" w:hAnsi="仿宋_GB2312" w:eastAsia="仿宋_GB2312" w:cs="仿宋_GB2312"/>
          <w:color w:val="auto"/>
          <w:kern w:val="0"/>
          <w:sz w:val="32"/>
          <w:szCs w:val="32"/>
          <w:lang w:bidi="ar"/>
        </w:rPr>
        <w:t>通过“人工智能+”赋能作业创新应用与实践项目的实施，在“双减”政策背景下，以“立德树人”为核心，基于作业大资源库服务、智能高质量作业系统服务、作业研修平台服务及作业大数据监管平台服务等，实现</w:t>
      </w:r>
      <w:r>
        <w:rPr>
          <w:rFonts w:hint="eastAsia" w:ascii="仿宋_GB2312" w:hAnsi="仿宋_GB2312" w:eastAsia="仿宋_GB2312" w:cs="仿宋_GB2312"/>
          <w:color w:val="auto"/>
          <w:kern w:val="0"/>
          <w:sz w:val="32"/>
          <w:szCs w:val="32"/>
          <w:lang w:val="en-US" w:eastAsia="zh-CN" w:bidi="ar"/>
        </w:rPr>
        <w:t>了</w:t>
      </w:r>
      <w:r>
        <w:rPr>
          <w:rFonts w:hint="eastAsia" w:ascii="仿宋_GB2312" w:hAnsi="仿宋_GB2312" w:eastAsia="仿宋_GB2312" w:cs="仿宋_GB2312"/>
          <w:color w:val="auto"/>
          <w:kern w:val="0"/>
          <w:sz w:val="32"/>
          <w:szCs w:val="32"/>
          <w:lang w:bidi="ar"/>
        </w:rPr>
        <w:t>作业批改减负增效，助推课堂教学、作业管理、学业评价等方面的整体性改革，构建教育良好生态，助力实现“双减”工作目标，提升学校教学质量和学校管理者的数字化治理能力，推进义务教育高质量发展。助力区域教育数字化转型升级新模式探索实践。</w:t>
      </w:r>
      <w:r>
        <w:rPr>
          <w:rFonts w:hint="eastAsia" w:ascii="仿宋_GB2312" w:hAnsi="仿宋_GB2312" w:eastAsia="仿宋_GB2312" w:cs="仿宋_GB2312"/>
          <w:color w:val="auto"/>
          <w:kern w:val="0"/>
          <w:sz w:val="32"/>
          <w:szCs w:val="32"/>
          <w:lang w:val="en-US" w:eastAsia="zh-CN" w:bidi="ar"/>
        </w:rPr>
        <w:t>现计划实施城中区区属学校数字化建设项目（平台服务类）——2025年-2026年高质量作业平台服务。</w:t>
      </w:r>
    </w:p>
    <w:p w14:paraId="1DFC2B1E">
      <w:pPr>
        <w:pStyle w:val="2"/>
        <w:numPr>
          <w:ilvl w:val="0"/>
          <w:numId w:val="13"/>
        </w:numP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项目服务要求</w:t>
      </w:r>
    </w:p>
    <w:p w14:paraId="38037AB6">
      <w:pPr>
        <w:rPr>
          <w:rFonts w:hint="eastAsia" w:ascii="黑体" w:hAnsi="黑体" w:eastAsia="黑体" w:cs="黑体"/>
          <w:color w:val="auto"/>
          <w:kern w:val="0"/>
          <w:sz w:val="32"/>
          <w:szCs w:val="32"/>
          <w:lang w:val="en-US" w:eastAsia="zh-CN" w:bidi="ar"/>
        </w:rPr>
      </w:pPr>
    </w:p>
    <w:p w14:paraId="4837BEB1">
      <w:pPr>
        <w:rPr>
          <w:rFonts w:hint="eastAsia" w:ascii="黑体" w:hAnsi="黑体" w:eastAsia="黑体" w:cs="黑体"/>
          <w:color w:val="auto"/>
          <w:kern w:val="0"/>
          <w:sz w:val="32"/>
          <w:szCs w:val="32"/>
          <w:lang w:val="en-US" w:eastAsia="zh-CN" w:bidi="ar"/>
        </w:rPr>
      </w:pPr>
    </w:p>
    <w:p w14:paraId="1B4A9665">
      <w:pPr>
        <w:rPr>
          <w:rFonts w:hint="eastAsia" w:ascii="黑体" w:hAnsi="黑体" w:eastAsia="黑体" w:cs="黑体"/>
          <w:color w:val="auto"/>
          <w:kern w:val="0"/>
          <w:sz w:val="32"/>
          <w:szCs w:val="32"/>
          <w:lang w:val="en-US" w:eastAsia="zh-CN" w:bidi="ar"/>
        </w:rPr>
      </w:pPr>
    </w:p>
    <w:p w14:paraId="3D768BCC">
      <w:pPr>
        <w:rPr>
          <w:rFonts w:hint="eastAsia" w:ascii="黑体" w:hAnsi="黑体" w:eastAsia="黑体" w:cs="黑体"/>
          <w:color w:val="auto"/>
          <w:kern w:val="0"/>
          <w:sz w:val="32"/>
          <w:szCs w:val="32"/>
          <w:lang w:val="en-US" w:eastAsia="zh-CN" w:bidi="ar"/>
        </w:rPr>
      </w:pPr>
    </w:p>
    <w:tbl>
      <w:tblPr>
        <w:tblStyle w:val="21"/>
        <w:tblpPr w:leftFromText="180" w:rightFromText="180" w:vertAnchor="text" w:horzAnchor="page" w:tblpX="1928" w:tblpY="516"/>
        <w:tblOverlap w:val="never"/>
        <w:tblW w:w="5048" w:type="pct"/>
        <w:tblInd w:w="0" w:type="dxa"/>
        <w:tblLayout w:type="fixed"/>
        <w:tblCellMar>
          <w:top w:w="0" w:type="dxa"/>
          <w:left w:w="108" w:type="dxa"/>
          <w:bottom w:w="0" w:type="dxa"/>
          <w:right w:w="108" w:type="dxa"/>
        </w:tblCellMar>
      </w:tblPr>
      <w:tblGrid>
        <w:gridCol w:w="684"/>
        <w:gridCol w:w="1101"/>
        <w:gridCol w:w="974"/>
        <w:gridCol w:w="5954"/>
      </w:tblGrid>
      <w:tr w14:paraId="62076F90">
        <w:tblPrEx>
          <w:tblCellMar>
            <w:top w:w="0" w:type="dxa"/>
            <w:left w:w="108" w:type="dxa"/>
            <w:bottom w:w="0" w:type="dxa"/>
            <w:right w:w="108" w:type="dxa"/>
          </w:tblCellMar>
        </w:tblPrEx>
        <w:trPr>
          <w:trHeight w:val="283" w:hRule="atLeast"/>
        </w:trPr>
        <w:tc>
          <w:tcPr>
            <w:tcW w:w="676" w:type="dxa"/>
            <w:tcBorders>
              <w:top w:val="single" w:color="000000" w:sz="4" w:space="0"/>
              <w:left w:val="single" w:color="000000" w:sz="4" w:space="0"/>
              <w:bottom w:val="single" w:color="auto" w:sz="4" w:space="0"/>
              <w:right w:val="single" w:color="000000" w:sz="4" w:space="0"/>
            </w:tcBorders>
            <w:noWrap/>
            <w:vAlign w:val="center"/>
          </w:tcPr>
          <w:p w14:paraId="183463B2">
            <w:pPr>
              <w:widowControl/>
              <w:spacing w:line="360" w:lineRule="auto"/>
              <w:jc w:val="center"/>
              <w:textAlignment w:val="center"/>
              <w:rPr>
                <w:rFonts w:ascii="宋体" w:hAnsi="宋体" w:cs="仿宋_GB2312"/>
                <w:b/>
                <w:bCs/>
                <w:color w:val="000000" w:themeColor="text1"/>
                <w:szCs w:val="21"/>
                <w14:textFill>
                  <w14:solidFill>
                    <w14:schemeClr w14:val="tx1"/>
                  </w14:solidFill>
                </w14:textFill>
              </w:rPr>
            </w:pPr>
            <w:r>
              <w:rPr>
                <w:rFonts w:hint="eastAsia" w:ascii="宋体" w:hAnsi="宋体" w:cs="仿宋_GB2312"/>
                <w:b/>
                <w:bCs/>
                <w:color w:val="000000" w:themeColor="text1"/>
                <w:kern w:val="0"/>
                <w:szCs w:val="21"/>
                <w14:textFill>
                  <w14:solidFill>
                    <w14:schemeClr w14:val="tx1"/>
                  </w14:solidFill>
                </w14:textFill>
              </w:rPr>
              <w:t>序号</w:t>
            </w:r>
          </w:p>
        </w:tc>
        <w:tc>
          <w:tcPr>
            <w:tcW w:w="1087" w:type="dxa"/>
            <w:tcBorders>
              <w:top w:val="single" w:color="000000" w:sz="4" w:space="0"/>
              <w:left w:val="nil"/>
              <w:bottom w:val="single" w:color="auto" w:sz="4" w:space="0"/>
              <w:right w:val="single" w:color="000000" w:sz="4" w:space="0"/>
            </w:tcBorders>
            <w:vAlign w:val="center"/>
          </w:tcPr>
          <w:p w14:paraId="582DDCF5">
            <w:pPr>
              <w:widowControl/>
              <w:spacing w:line="360" w:lineRule="auto"/>
              <w:jc w:val="center"/>
              <w:textAlignment w:val="center"/>
              <w:rPr>
                <w:rFonts w:ascii="宋体" w:hAnsi="宋体" w:cs="仿宋_GB2312"/>
                <w:b/>
                <w:bCs/>
                <w:color w:val="000000" w:themeColor="text1"/>
                <w:szCs w:val="21"/>
                <w14:textFill>
                  <w14:solidFill>
                    <w14:schemeClr w14:val="tx1"/>
                  </w14:solidFill>
                </w14:textFill>
              </w:rPr>
            </w:pPr>
            <w:r>
              <w:rPr>
                <w:rFonts w:hint="eastAsia" w:ascii="宋体" w:hAnsi="宋体" w:cs="仿宋_GB2312"/>
                <w:b/>
                <w:bCs/>
                <w:color w:val="000000" w:themeColor="text1"/>
                <w:kern w:val="0"/>
                <w:szCs w:val="21"/>
                <w14:textFill>
                  <w14:solidFill>
                    <w14:schemeClr w14:val="tx1"/>
                  </w14:solidFill>
                </w14:textFill>
              </w:rPr>
              <w:t>业务系统</w:t>
            </w:r>
          </w:p>
        </w:tc>
        <w:tc>
          <w:tcPr>
            <w:tcW w:w="962" w:type="dxa"/>
            <w:tcBorders>
              <w:top w:val="single" w:color="000000" w:sz="4" w:space="0"/>
              <w:left w:val="nil"/>
              <w:bottom w:val="single" w:color="auto" w:sz="4" w:space="0"/>
              <w:right w:val="single" w:color="000000" w:sz="4" w:space="0"/>
            </w:tcBorders>
            <w:vAlign w:val="center"/>
          </w:tcPr>
          <w:p w14:paraId="2D5D0AC9">
            <w:pPr>
              <w:widowControl/>
              <w:spacing w:line="360" w:lineRule="auto"/>
              <w:jc w:val="center"/>
              <w:textAlignment w:val="center"/>
              <w:rPr>
                <w:rFonts w:ascii="宋体" w:hAnsi="宋体" w:cs="仿宋_GB2312"/>
                <w:b/>
                <w:bCs/>
                <w:color w:val="000000" w:themeColor="text1"/>
                <w:szCs w:val="21"/>
                <w14:textFill>
                  <w14:solidFill>
                    <w14:schemeClr w14:val="tx1"/>
                  </w14:solidFill>
                </w14:textFill>
              </w:rPr>
            </w:pPr>
            <w:r>
              <w:rPr>
                <w:rFonts w:hint="eastAsia" w:ascii="宋体" w:hAnsi="宋体" w:cs="仿宋_GB2312"/>
                <w:b/>
                <w:bCs/>
                <w:color w:val="000000" w:themeColor="text1"/>
                <w:kern w:val="0"/>
                <w:szCs w:val="21"/>
                <w14:textFill>
                  <w14:solidFill>
                    <w14:schemeClr w14:val="tx1"/>
                  </w14:solidFill>
                </w14:textFill>
              </w:rPr>
              <w:t>子模块</w:t>
            </w:r>
          </w:p>
        </w:tc>
        <w:tc>
          <w:tcPr>
            <w:tcW w:w="5879" w:type="dxa"/>
            <w:tcBorders>
              <w:top w:val="single" w:color="000000" w:sz="4" w:space="0"/>
              <w:left w:val="nil"/>
              <w:bottom w:val="single" w:color="auto" w:sz="4" w:space="0"/>
              <w:right w:val="single" w:color="000000" w:sz="4" w:space="0"/>
            </w:tcBorders>
            <w:vAlign w:val="center"/>
          </w:tcPr>
          <w:p w14:paraId="7BBFC846">
            <w:pPr>
              <w:widowControl/>
              <w:adjustRightInd w:val="0"/>
              <w:snapToGrid w:val="0"/>
              <w:spacing w:line="360" w:lineRule="auto"/>
              <w:jc w:val="center"/>
              <w:textAlignment w:val="center"/>
              <w:rPr>
                <w:rFonts w:ascii="宋体" w:hAnsi="宋体" w:cs="仿宋_GB2312"/>
                <w:b/>
                <w:bCs/>
                <w:color w:val="000000" w:themeColor="text1"/>
                <w:kern w:val="0"/>
                <w:szCs w:val="21"/>
                <w14:textFill>
                  <w14:solidFill>
                    <w14:schemeClr w14:val="tx1"/>
                  </w14:solidFill>
                </w14:textFill>
              </w:rPr>
            </w:pPr>
            <w:r>
              <w:rPr>
                <w:rFonts w:hint="eastAsia" w:ascii="宋体" w:hAnsi="宋体" w:cs="仿宋_GB2312"/>
                <w:b/>
                <w:bCs/>
                <w:color w:val="000000" w:themeColor="text1"/>
                <w:kern w:val="0"/>
                <w:szCs w:val="21"/>
                <w:lang w:val="en-US" w:eastAsia="zh-CN"/>
                <w14:textFill>
                  <w14:solidFill>
                    <w14:schemeClr w14:val="tx1"/>
                  </w14:solidFill>
                </w14:textFill>
              </w:rPr>
              <w:t>服务参数</w:t>
            </w:r>
            <w:r>
              <w:rPr>
                <w:rFonts w:hint="eastAsia" w:ascii="宋体" w:hAnsi="宋体" w:cs="仿宋_GB2312"/>
                <w:b/>
                <w:bCs/>
                <w:color w:val="000000" w:themeColor="text1"/>
                <w:kern w:val="0"/>
                <w:szCs w:val="21"/>
                <w14:textFill>
                  <w14:solidFill>
                    <w14:schemeClr w14:val="tx1"/>
                  </w14:solidFill>
                </w14:textFill>
              </w:rPr>
              <w:t>要求</w:t>
            </w:r>
          </w:p>
        </w:tc>
      </w:tr>
      <w:tr w14:paraId="30CDB4D3">
        <w:tblPrEx>
          <w:tblCellMar>
            <w:top w:w="0" w:type="dxa"/>
            <w:left w:w="108" w:type="dxa"/>
            <w:bottom w:w="0" w:type="dxa"/>
            <w:right w:w="108" w:type="dxa"/>
          </w:tblCellMar>
        </w:tblPrEx>
        <w:trPr>
          <w:trHeight w:val="2980" w:hRule="atLeast"/>
        </w:trPr>
        <w:tc>
          <w:tcPr>
            <w:tcW w:w="676" w:type="dxa"/>
            <w:vMerge w:val="restart"/>
            <w:tcBorders>
              <w:top w:val="single" w:color="auto" w:sz="4" w:space="0"/>
              <w:left w:val="single" w:color="auto" w:sz="4" w:space="0"/>
              <w:bottom w:val="single" w:color="auto" w:sz="4" w:space="0"/>
              <w:right w:val="single" w:color="auto" w:sz="4" w:space="0"/>
            </w:tcBorders>
            <w:noWrap/>
            <w:vAlign w:val="center"/>
          </w:tcPr>
          <w:p w14:paraId="613C87F1">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w:t>
            </w:r>
          </w:p>
        </w:tc>
        <w:tc>
          <w:tcPr>
            <w:tcW w:w="1087" w:type="dxa"/>
            <w:vMerge w:val="restart"/>
            <w:tcBorders>
              <w:top w:val="single" w:color="auto" w:sz="4" w:space="0"/>
              <w:left w:val="single" w:color="auto" w:sz="4" w:space="0"/>
              <w:bottom w:val="single" w:color="auto" w:sz="4" w:space="0"/>
              <w:right w:val="single" w:color="auto" w:sz="4" w:space="0"/>
            </w:tcBorders>
            <w:noWrap/>
            <w:vAlign w:val="center"/>
          </w:tcPr>
          <w:p w14:paraId="3BC3B153">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教育基础平台服务</w:t>
            </w:r>
          </w:p>
        </w:tc>
        <w:tc>
          <w:tcPr>
            <w:tcW w:w="962" w:type="dxa"/>
            <w:tcBorders>
              <w:top w:val="single" w:color="auto" w:sz="4" w:space="0"/>
              <w:left w:val="single" w:color="auto" w:sz="4" w:space="0"/>
              <w:bottom w:val="single" w:color="auto" w:sz="4" w:space="0"/>
              <w:right w:val="single" w:color="auto" w:sz="4" w:space="0"/>
            </w:tcBorders>
            <w:noWrap/>
            <w:vAlign w:val="center"/>
          </w:tcPr>
          <w:p w14:paraId="75CC0353">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教育统一门户管理</w:t>
            </w:r>
          </w:p>
        </w:tc>
        <w:tc>
          <w:tcPr>
            <w:tcW w:w="5879" w:type="dxa"/>
            <w:tcBorders>
              <w:top w:val="single" w:color="auto" w:sz="4" w:space="0"/>
              <w:left w:val="single" w:color="auto" w:sz="4" w:space="0"/>
              <w:bottom w:val="single" w:color="auto" w:sz="4" w:space="0"/>
              <w:right w:val="single" w:color="auto" w:sz="4" w:space="0"/>
            </w:tcBorders>
            <w:noWrap/>
            <w:vAlign w:val="center"/>
          </w:tcPr>
          <w:p w14:paraId="64B996BA">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在现有城中区信息化建设项目基础上，结合现有智慧作业应用及优质数字资源，在支持保留原有高质量作业平台的往届作业学情历史应用数据，以及区本资源、校本资源、个人资源、作业研修设计任务沉淀的历史资源数据全部继承和保留的前提下，对高质量作业大资源库及智慧作业系统的资源内容及功能进行升级应用和接续发展，并按照城中区信息化建设项目及教育平台的技术要求进行本项目系统平台及各项内容建设与服务。</w:t>
            </w:r>
          </w:p>
          <w:p w14:paraId="1C4776EA">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1.支持设置登录页的背景图、平台名称、登录方式等.</w:t>
            </w:r>
          </w:p>
          <w:p w14:paraId="31779DFF">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2.支持设置采购单位资讯信息，资讯类型包含不限于教育资讯、通知公告，新增内容后支持预览、发布、撤回、编辑、删除、置顶等，发布后在门户首页展示。</w:t>
            </w:r>
          </w:p>
          <w:p w14:paraId="423F2490">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3.支持个性化设置两级网站菜单，菜单支持编辑、删除、调整顺序，设置后区域通用。</w:t>
            </w:r>
          </w:p>
          <w:p w14:paraId="4D8FA8F6">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4.支持设置门户轮播图，轮播图支持点击跳转新页面。</w:t>
            </w:r>
          </w:p>
          <w:p w14:paraId="6CFA7326">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5.支持设置logo图、网站icon、登录后默认打开页面。</w:t>
            </w:r>
          </w:p>
        </w:tc>
      </w:tr>
      <w:tr w14:paraId="073BBEE8">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auto" w:sz="4" w:space="0"/>
              <w:bottom w:val="single" w:color="auto" w:sz="4" w:space="0"/>
              <w:right w:val="single" w:color="000000" w:sz="4" w:space="0"/>
            </w:tcBorders>
            <w:vAlign w:val="center"/>
          </w:tcPr>
          <w:p w14:paraId="60F1F85C">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1DA7A62C">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auto" w:sz="4" w:space="0"/>
              <w:left w:val="nil"/>
              <w:bottom w:val="single" w:color="auto" w:sz="4" w:space="0"/>
              <w:right w:val="single" w:color="000000" w:sz="4" w:space="0"/>
            </w:tcBorders>
            <w:noWrap/>
            <w:vAlign w:val="center"/>
          </w:tcPr>
          <w:p w14:paraId="7DF877C5">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基础信息服务</w:t>
            </w:r>
          </w:p>
        </w:tc>
        <w:tc>
          <w:tcPr>
            <w:tcW w:w="5879" w:type="dxa"/>
            <w:tcBorders>
              <w:top w:val="single" w:color="auto" w:sz="4" w:space="0"/>
              <w:left w:val="nil"/>
              <w:bottom w:val="single" w:color="auto" w:sz="4" w:space="0"/>
              <w:right w:val="single" w:color="000000" w:sz="4" w:space="0"/>
            </w:tcBorders>
            <w:noWrap/>
            <w:vAlign w:val="center"/>
          </w:tcPr>
          <w:p w14:paraId="1BD7941C">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1.支持角色添加及查看，添加角色支持选择角色对应的功能权限，支持查看每个角色包含的成员，用户创建的角色支持编辑、停用、删除，支持为用户分配角色、重置密码、停用、删除。</w:t>
            </w:r>
          </w:p>
          <w:p w14:paraId="474BA36A">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2.支持查看单位基础信息，包括不限于名称、logo、电话、地址、已开应用等，支持跳转至下辖学校或者教育局的基础信息管理平台进行管理。</w:t>
            </w:r>
          </w:p>
          <w:p w14:paraId="266489DB">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3.支持单个添加或批量导入的方式开通账号，账号支持编辑、设置部门。</w:t>
            </w:r>
          </w:p>
          <w:p w14:paraId="3E6A925A">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4.支持新增、编辑、删除、启用、停用部门，支持添加和移除部门人员，支持一人多部门设置。</w:t>
            </w:r>
          </w:p>
          <w:p w14:paraId="4EECFF3D">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5.支持添加、修改、删除每个学段、学科的教研员。</w:t>
            </w:r>
          </w:p>
        </w:tc>
      </w:tr>
      <w:tr w14:paraId="5D57F53D">
        <w:tblPrEx>
          <w:tblCellMar>
            <w:top w:w="0" w:type="dxa"/>
            <w:left w:w="108" w:type="dxa"/>
            <w:bottom w:w="0" w:type="dxa"/>
            <w:right w:w="108" w:type="dxa"/>
          </w:tblCellMar>
        </w:tblPrEx>
        <w:trPr>
          <w:trHeight w:val="283" w:hRule="atLeast"/>
        </w:trPr>
        <w:tc>
          <w:tcPr>
            <w:tcW w:w="676" w:type="dxa"/>
            <w:vMerge w:val="restart"/>
            <w:tcBorders>
              <w:top w:val="single" w:color="auto" w:sz="4" w:space="0"/>
              <w:left w:val="single" w:color="auto" w:sz="4" w:space="0"/>
              <w:bottom w:val="single" w:color="auto" w:sz="4" w:space="0"/>
              <w:right w:val="single" w:color="auto" w:sz="4" w:space="0"/>
            </w:tcBorders>
            <w:noWrap/>
            <w:vAlign w:val="center"/>
          </w:tcPr>
          <w:p w14:paraId="5207E14D">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w:t>
            </w:r>
          </w:p>
        </w:tc>
        <w:tc>
          <w:tcPr>
            <w:tcW w:w="1087" w:type="dxa"/>
            <w:vMerge w:val="restart"/>
            <w:tcBorders>
              <w:top w:val="single" w:color="auto" w:sz="4" w:space="0"/>
              <w:left w:val="single" w:color="auto" w:sz="4" w:space="0"/>
              <w:bottom w:val="single" w:color="auto" w:sz="4" w:space="0"/>
              <w:right w:val="single" w:color="auto" w:sz="4" w:space="0"/>
            </w:tcBorders>
            <w:noWrap/>
            <w:vAlign w:val="center"/>
          </w:tcPr>
          <w:p w14:paraId="2D899E10">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作业大数据监管平台服务</w:t>
            </w:r>
          </w:p>
        </w:tc>
        <w:tc>
          <w:tcPr>
            <w:tcW w:w="962" w:type="dxa"/>
            <w:tcBorders>
              <w:top w:val="single" w:color="auto" w:sz="4" w:space="0"/>
              <w:left w:val="nil"/>
              <w:bottom w:val="single" w:color="auto" w:sz="4" w:space="0"/>
              <w:right w:val="single" w:color="auto" w:sz="4" w:space="0"/>
            </w:tcBorders>
            <w:noWrap/>
            <w:vAlign w:val="center"/>
          </w:tcPr>
          <w:p w14:paraId="416AC238">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作业数据可视化系统</w:t>
            </w:r>
          </w:p>
        </w:tc>
        <w:tc>
          <w:tcPr>
            <w:tcW w:w="5879" w:type="dxa"/>
            <w:tcBorders>
              <w:top w:val="single" w:color="auto" w:sz="4" w:space="0"/>
              <w:left w:val="nil"/>
              <w:bottom w:val="single" w:color="auto" w:sz="4" w:space="0"/>
              <w:right w:val="single" w:color="auto" w:sz="4" w:space="0"/>
            </w:tcBorders>
            <w:noWrap/>
            <w:vAlign w:val="center"/>
          </w:tcPr>
          <w:p w14:paraId="3BF3E19E">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一、区级驾驶舱</w:t>
            </w:r>
          </w:p>
          <w:p w14:paraId="69868777">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1.支持查看采购单位辖区学校教学条件，包含不限于教师人数、平均班额、学生人数、师生比；</w:t>
            </w:r>
          </w:p>
          <w:p w14:paraId="5BF2C76B">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2.支持查看区本题库建设情况，包含不限于试题资源数量、试卷资源数量、各学科试题数量、各学科试卷数量；</w:t>
            </w:r>
          </w:p>
          <w:p w14:paraId="67899C47">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3.支持查看区本题库建设情况，包含不限于各校试题数量、试卷数量；</w:t>
            </w:r>
          </w:p>
          <w:p w14:paraId="558B1ADD">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4.支持查看采购单位辖区内学校作业管理情况，包含不限于作业总量、各类作业占比情况等作业设计情况；作业提交率、批改率、正确率、讲评率等完成情况；各年级近7日学科作业时长情况；并支持查看详情和导出；</w:t>
            </w:r>
          </w:p>
          <w:p w14:paraId="7039A557">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5.支持查看所辖区域整体质量情况，包含不限于学生的分层分布情况、学校的分层分布情况：并支持查看详情和导出；</w:t>
            </w:r>
          </w:p>
          <w:p w14:paraId="01874881">
            <w:pPr>
              <w:widowControl/>
              <w:adjustRightInd w:val="0"/>
              <w:snapToGrid w:val="0"/>
              <w:spacing w:line="360" w:lineRule="auto"/>
              <w:jc w:val="left"/>
              <w:textAlignment w:val="center"/>
              <w:rPr>
                <w:rStyle w:val="39"/>
                <w:rFonts w:ascii="宋体" w:hAnsi="宋体"/>
                <w:b/>
                <w:bCs/>
                <w:color w:val="000000" w:themeColor="text1"/>
                <w:sz w:val="21"/>
                <w:szCs w:val="21"/>
                <w:lang w:bidi="ar"/>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6</w:t>
            </w:r>
            <w:r>
              <w:rPr>
                <w:rStyle w:val="39"/>
                <w:rFonts w:hint="eastAsia" w:ascii="宋体" w:hAnsi="宋体"/>
                <w:color w:val="000000" w:themeColor="text1"/>
                <w:sz w:val="21"/>
                <w:szCs w:val="21"/>
                <w:lang w:bidi="ar"/>
                <w14:textFill>
                  <w14:solidFill>
                    <w14:schemeClr w14:val="tx1"/>
                  </w14:solidFill>
                </w14:textFill>
              </w:rPr>
              <w:t>.支持查看区域整体质量分析及区域学科质量分析，区域整体质量分析包含不限于学生分层分布、学校等级分布等，且支持通过柱状图分析各学校学生分层分布，并给出需重点关注学校；区域学科质量分析需支持可切换查看不同学科已掌握知识点、待提升知识点百分比及对应知识点个数，通过雷达图展示学科核心素养分布情况，且通过图表展示各学校知识点掌握情况、核心素养掌握情况，并给出重点关注知识点及学科素养。</w:t>
            </w:r>
            <w:r>
              <w:rPr>
                <w:rStyle w:val="39"/>
                <w:rFonts w:hint="eastAsia" w:ascii="宋体" w:hAnsi="宋体"/>
                <w:b/>
                <w:bCs/>
                <w:color w:val="000000" w:themeColor="text1"/>
                <w:sz w:val="21"/>
                <w:szCs w:val="21"/>
                <w:lang w:bidi="ar"/>
                <w14:textFill>
                  <w14:solidFill>
                    <w14:schemeClr w14:val="tx1"/>
                  </w14:solidFill>
                </w14:textFill>
              </w:rPr>
              <w:t>（需提供产品功能截图）</w:t>
            </w:r>
          </w:p>
          <w:p w14:paraId="1D1BF068">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7.支持在采购单位辖区地图上查看各学校作业管理表现情况，并用不同颜色标记优秀、良好、待提升学校，点击学校支持查看学校详情。</w:t>
            </w:r>
          </w:p>
          <w:p w14:paraId="72588520">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8.支持统计采购单位辖区批改率达标学校数，支持点击查看学校名单；</w:t>
            </w:r>
          </w:p>
          <w:p w14:paraId="13E42568">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9.支持统计采购单位辖区作业时长达标情况，支持点击查看学校名单；</w:t>
            </w:r>
          </w:p>
          <w:p w14:paraId="42D8114F">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9.支持设置作业管理、学业表现评价等级规则，作业管理评价项包含不限于班均作业发布数差异率、作业提交率、批改率、正确率、讲评率、日均作业时长达标率等；学业表现评价项包含不限于学生作业结果的优秀率、良好率、合格率、待提升率等占比情况。</w:t>
            </w:r>
            <w:r>
              <w:rPr>
                <w:rFonts w:hint="eastAsia" w:ascii="宋体" w:hAnsi="宋体" w:cs="仿宋_GB2312"/>
                <w:b/>
                <w:bCs/>
                <w:color w:val="000000" w:themeColor="text1"/>
                <w:kern w:val="0"/>
                <w:szCs w:val="21"/>
                <w14:textFill>
                  <w14:solidFill>
                    <w14:schemeClr w14:val="tx1"/>
                  </w14:solidFill>
                </w14:textFill>
              </w:rPr>
              <w:t>（需提供产品功能截图）</w:t>
            </w:r>
          </w:p>
          <w:p w14:paraId="7C92357E">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二、学校端驾驶舱</w:t>
            </w:r>
          </w:p>
          <w:p w14:paraId="2593112B">
            <w:pPr>
              <w:pStyle w:val="2"/>
              <w:adjustRightInd w:val="0"/>
              <w:snapToGrid w:val="0"/>
              <w:ind w:firstLine="0" w:firstLineChars="0"/>
              <w:jc w:val="left"/>
              <w:rPr>
                <w:rFonts w:ascii="宋体" w:hAnsi="宋体" w:cs="仿宋_GB2312"/>
                <w:color w:val="000000" w:themeColor="text1"/>
                <w:sz w:val="21"/>
                <w:szCs w:val="21"/>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1.支持按照小学、初中学期等维度筛选学校作业建设情况，可对作业管理评价等级规则、学业表现评价等级规则进行优达标规则、良达标规则、合格达标规则、待提升规则进行设置。</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2支持查看学校基本情况，包含不限于教师人数、学生人数、平均班额、师生比、作业管理评价等级、学业表现评价等级等数据。</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3.支持查看校本题库建设情况，包含学科题库建设情况、教师应用情况。学科题库建设情况不限于试卷资源总量、试题资源总量、各学科占比；教师应用情况包含不限于排名、教师姓名、年级学科、使用题量、正确率等数据。</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4.支持查看学校作业整体情况，包含不限于作业总量、汇编作业占比、分层作业占比、个性作业占比、校本作业占比、提交率、批改率、正确率、讲评率等数据。</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查看各年级作业情况，包括不限于作业设计情况、作业完成情况、作业时长情况。作业设计情况包含不限于作业总量、个性作业占比、汇编作业占比、分层作业占比、校本作业占比等数据，并以饼状图形式直观展示；作业完成情况包含不限于提交率、批改率及讲评率等数据；作业时长情况包含不限于近7日每日学科作业时长及每日总时长，且以条形图动态展示。</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r>
              <w:rPr>
                <w:rStyle w:val="39"/>
                <w:rFonts w:ascii="宋体" w:hAnsi="宋体"/>
                <w:b/>
                <w:bCs/>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 xml:space="preserve">6.支持查看学校学业表现监测及学科质量分析情况。学校学业表现监测包含不限于学生的分层分布情况、学校等级分布情况。学生分层分布通过环形图展示优秀、良好、合格、待提升等百分比情况；学校等级分布通过条形图分别显示各年级优秀、良好、合格、待提升等阶段的百分比情况。学科质量分析情况包含不限于需支持可切换查看不同学科已掌握、待提升知识点百分比及对应知识点个数，并通过雷达图展示各学科核心素养分布情况。 </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p>
        </w:tc>
      </w:tr>
      <w:tr w14:paraId="4DBC7506">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24733B92">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auto" w:sz="4" w:space="0"/>
            </w:tcBorders>
            <w:vAlign w:val="center"/>
          </w:tcPr>
          <w:p w14:paraId="6E03ED4C">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auto" w:sz="4" w:space="0"/>
              <w:left w:val="nil"/>
              <w:bottom w:val="single" w:color="auto" w:sz="4" w:space="0"/>
              <w:right w:val="single" w:color="auto" w:sz="4" w:space="0"/>
            </w:tcBorders>
            <w:noWrap/>
            <w:vAlign w:val="center"/>
          </w:tcPr>
          <w:p w14:paraId="60F6845B">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作业数据分析系统</w:t>
            </w:r>
          </w:p>
        </w:tc>
        <w:tc>
          <w:tcPr>
            <w:tcW w:w="5879" w:type="dxa"/>
            <w:tcBorders>
              <w:top w:val="single" w:color="auto" w:sz="4" w:space="0"/>
              <w:left w:val="nil"/>
              <w:bottom w:val="single" w:color="auto" w:sz="4" w:space="0"/>
              <w:right w:val="single" w:color="auto" w:sz="4" w:space="0"/>
            </w:tcBorders>
            <w:noWrap/>
            <w:vAlign w:val="center"/>
          </w:tcPr>
          <w:p w14:paraId="7151A0A7">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1.支持查看校本教辅、试卷、试题的概览数据及各学科的资源分布和使用数据，点击详情支持查看校本资源的更多明细数据。</w:t>
            </w:r>
          </w:p>
          <w:p w14:paraId="67B4189B">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2.支持查看校级维度、年级维度、学科维度的提交率、批改率、正确率、讲评率和订正率。</w:t>
            </w:r>
          </w:p>
          <w:p w14:paraId="69EB1A32">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3.支持通过环形图展示各年级布置作业占比，支持按月查看学校整体布置作业数、提交率、批改率、讲评率和订正率的月度趋势数据。</w:t>
            </w:r>
          </w:p>
          <w:p w14:paraId="0BCB259F">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4.支持查看教师任务布置数据、讲评率数据以及各班级的布置任务数、提交率和正确率数据，支持通过WPS表格或Excel导出教师和班级的活跃数据。</w:t>
            </w:r>
          </w:p>
          <w:p w14:paraId="53AB5FCA">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5.支持通过柱形图方式展示各年级的作业日均作答时长数据，以及全校整体学生的作答时长和正确率分布数据。</w:t>
            </w:r>
          </w:p>
          <w:p w14:paraId="531CC2B0">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6.支持查看作业教学进度，覆盖知识点数、考查次数及知识点掌握情况。</w:t>
            </w:r>
          </w:p>
          <w:p w14:paraId="127E2250">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7.支持通过柱状图对比显示各班级的已掌握知识点、未掌握知识点、待强化知识点数，并可以通过点击详情按钮进入详情页，查看各班级每个知识点的正确率对比。</w:t>
            </w:r>
          </w:p>
          <w:p w14:paraId="48CC9E6A">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8.支持以word格式导出校级学情报告。</w:t>
            </w:r>
          </w:p>
          <w:p w14:paraId="6F432EDD">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9.支持自定义配置教学监管显示的数据指标，用户可以根据自定义显示模块。</w:t>
            </w:r>
          </w:p>
        </w:tc>
      </w:tr>
      <w:tr w14:paraId="7D5DCD84">
        <w:tblPrEx>
          <w:tblCellMar>
            <w:top w:w="0" w:type="dxa"/>
            <w:left w:w="108" w:type="dxa"/>
            <w:bottom w:w="0" w:type="dxa"/>
            <w:right w:w="108" w:type="dxa"/>
          </w:tblCellMar>
        </w:tblPrEx>
        <w:trPr>
          <w:trHeight w:val="283" w:hRule="atLeast"/>
        </w:trPr>
        <w:tc>
          <w:tcPr>
            <w:tcW w:w="676" w:type="dxa"/>
            <w:vMerge w:val="restart"/>
            <w:tcBorders>
              <w:top w:val="single" w:color="auto" w:sz="4" w:space="0"/>
              <w:left w:val="single" w:color="000000" w:sz="4" w:space="0"/>
              <w:bottom w:val="single" w:color="auto" w:sz="4" w:space="0"/>
              <w:right w:val="single" w:color="000000" w:sz="4" w:space="0"/>
            </w:tcBorders>
            <w:noWrap/>
            <w:vAlign w:val="center"/>
          </w:tcPr>
          <w:p w14:paraId="218BC808">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w:t>
            </w:r>
          </w:p>
        </w:tc>
        <w:tc>
          <w:tcPr>
            <w:tcW w:w="1087" w:type="dxa"/>
            <w:vMerge w:val="restart"/>
            <w:tcBorders>
              <w:top w:val="single" w:color="auto" w:sz="4" w:space="0"/>
              <w:left w:val="nil"/>
              <w:bottom w:val="single" w:color="auto" w:sz="4" w:space="0"/>
              <w:right w:val="single" w:color="000000" w:sz="4" w:space="0"/>
            </w:tcBorders>
            <w:noWrap/>
            <w:vAlign w:val="center"/>
          </w:tcPr>
          <w:p w14:paraId="5D269A7B">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作业大资源平台服务</w:t>
            </w:r>
          </w:p>
        </w:tc>
        <w:tc>
          <w:tcPr>
            <w:tcW w:w="962" w:type="dxa"/>
            <w:tcBorders>
              <w:top w:val="single" w:color="auto" w:sz="4" w:space="0"/>
              <w:left w:val="nil"/>
              <w:bottom w:val="single" w:color="000000" w:sz="4" w:space="0"/>
              <w:right w:val="single" w:color="000000" w:sz="4" w:space="0"/>
            </w:tcBorders>
            <w:noWrap/>
            <w:vAlign w:val="center"/>
          </w:tcPr>
          <w:p w14:paraId="6FF7C55D">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精品题库</w:t>
            </w:r>
          </w:p>
        </w:tc>
        <w:tc>
          <w:tcPr>
            <w:tcW w:w="5879" w:type="dxa"/>
            <w:tcBorders>
              <w:top w:val="single" w:color="auto" w:sz="4" w:space="0"/>
              <w:left w:val="nil"/>
              <w:bottom w:val="single" w:color="000000" w:sz="4" w:space="0"/>
              <w:right w:val="single" w:color="000000" w:sz="4" w:space="0"/>
            </w:tcBorders>
            <w:noWrap/>
            <w:vAlign w:val="center"/>
          </w:tcPr>
          <w:p w14:paraId="4D96131D">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1.支持提供不少于850万道题，覆盖小学段、初中段。</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 xml:space="preserve">2.支持提供不少于220万道小学学段的精品试题资源，覆盖语文、数学、英语、科学等学科，试题覆盖人教版、苏教版、北师大版等主流教材版本，支持通过教学章节和知识点的维度进行题目选择。 </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2.支持提供不少于640万道初中学段精品试题资源，覆盖语文、数学、英语、物理、化学、生物、历史、地理、科学及道德与法治等学科，覆盖人教版、苏教版、北师大版等主流教材版本，支持通过教学章节和知识点的维度进行题目选择。</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3.支持提供不少于200万典型试题讲解微课资源，覆盖小学语文、数学、英语，初中语文、数学、英语、物理、化学等学科，支持在题库中直接筛选含讲解视频的试题。</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题库支持提供学段、学科、版本、章节、知识点、题型、难度、考试类型、省份、年份、能力、题类、学科素养、思想方法等标签。如小学数学的能力标签包括不限于运算能力、几何直观能力、空间思维想象能力、逻辑推理能力、数据分析能力、应用创新能力等；题类标签包括不限于批判质疑、问答开放、问题探究、情境题、典型题、易错题、压轴题、创新题等；学科素养标签包括不限于数感、空间观念、数据意识、运算能力、符号意识、几何直观、量感、模型意识、创新意识、应用意识、推理意识等；思想方法标签包括不限于代换思想、优化思想、假设法、归类法、数形结合思想、方程思想、转化思想、整体思想、归纳类比演绎等。</w:t>
            </w:r>
            <w:r>
              <w:rPr>
                <w:rStyle w:val="39"/>
                <w:rFonts w:ascii="宋体" w:hAnsi="宋体"/>
                <w:b/>
                <w:bCs/>
                <w:color w:val="000000" w:themeColor="text1"/>
                <w:sz w:val="21"/>
                <w:szCs w:val="21"/>
                <w:lang w:bidi="ar"/>
                <w14:textFill>
                  <w14:solidFill>
                    <w14:schemeClr w14:val="tx1"/>
                  </w14:solidFill>
                </w14:textFill>
              </w:rPr>
              <w:t xml:space="preserve"> （需提供产品功能截图）</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提供不少于5000道以上体育题库试题，覆盖小学段、初中段，支持按照学段、学科、版本、题型、难度、年份、学科素养、教学章节和知识点的维度进行题目选择；体育题库资源类型包括不限于基本运动技能、体能、健康教育、球类运动、田径类运动、体操类运动、水上或冰雪类运动、中华传统体育类运动、新兴体育类运动等。</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6.小学数学题库支持分课时设置基础、拓展等分层作业包，作业包需显示题数、预估用时等字段，实现作业包内的试题可全部加入试题蓝、单题加入到试题蓝，实现试题收藏、纠错、查看解析、相似题。</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7.小学数学题库支持提供仅看“三新”试题、仅看精选、仅看含讲解视频的题、屏蔽我已组卷、屏蔽我已布置等标签，该标签均可通过综合排序、最近更新、真题次数等维度进行搜题。</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8.支持教师通过上传手写或电子版题目图片的方式在题库中搜题，基于图片识别可自动展示题目搜索的电子版原题，并自动匹配答案解析及相似题识别，如无法精确搜索出图片题目的电子版原题，能够将相似题作为搜索结果展示。</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9.支持相似题推荐功能，对于题库原题按设定的题型、难度、知识点进行相似题推荐，教师可按需加入试题篮直接进行使用，也支持教师将原题直接收藏到个人题库。</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10.支持纠错申报功能，教师对试题进行纠错申报，纠错时可以选择错误原因，错误原因包括不限于题干错误、答案错误、解析错误、样式错误、显示违规、其他错误等，也支持教师自定义填写内容并跟踪修改结果。</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11.题型检索标签包含不限于单选题、多选题、填空题，解答题等题型，支持容易、较易、一般、较难、困难等难度分类。</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12.支持对已经用过的试题进行过滤。</w:t>
            </w:r>
          </w:p>
        </w:tc>
      </w:tr>
      <w:tr w14:paraId="0F222974">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47039A36">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46FA942A">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33D35A7B">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精品卷库</w:t>
            </w:r>
          </w:p>
        </w:tc>
        <w:tc>
          <w:tcPr>
            <w:tcW w:w="5879" w:type="dxa"/>
            <w:tcBorders>
              <w:top w:val="single" w:color="000000" w:sz="4" w:space="0"/>
              <w:left w:val="nil"/>
              <w:bottom w:val="single" w:color="000000" w:sz="4" w:space="0"/>
              <w:right w:val="single" w:color="000000" w:sz="4" w:space="0"/>
            </w:tcBorders>
            <w:noWrap/>
            <w:vAlign w:val="center"/>
          </w:tcPr>
          <w:p w14:paraId="7782424C">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1.支持提供不少于35万套卷，小学段、初中段。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2.支持提供不少于5万套试卷套卷小学段的精品卷库资源，覆盖语文、数学、英语学科，其中期中试卷不少于2套，期末试卷不少于3.5万套。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3.支持提供不少于30万套试卷套卷初中段的精品卷库资源，覆盖语文、数学、英语、物理、化学、生物、历史、地理、道德与法治等学科，期中试卷不少于9万套，期末试卷不少于7.5万套。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4.支持提供覆盖全国30个以上地区近5年试卷，试卷来源包含期中、期末、月考、小升初真题、小升初模拟等类型。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5.支持教师通过整卷和单题加入试题篮的方式进行组卷，且支持整卷进行下载。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6.支持以WORD/PDF文件格式、A4、A3、B5纸张大小、普通用卷、教师用卷、学生用卷、纯答题用卷的试卷类型、是否保留主观题作答区域等信息进行试卷下载。</w:t>
            </w:r>
          </w:p>
        </w:tc>
      </w:tr>
      <w:tr w14:paraId="4C987363">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56CA30BD">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1C093FE0">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0F8D9912">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区域热题</w:t>
            </w:r>
          </w:p>
        </w:tc>
        <w:tc>
          <w:tcPr>
            <w:tcW w:w="5879" w:type="dxa"/>
            <w:tcBorders>
              <w:top w:val="single" w:color="000000" w:sz="4" w:space="0"/>
              <w:left w:val="nil"/>
              <w:bottom w:val="single" w:color="000000" w:sz="4" w:space="0"/>
              <w:right w:val="single" w:color="000000" w:sz="4" w:space="0"/>
            </w:tcBorders>
            <w:noWrap/>
            <w:vAlign w:val="center"/>
          </w:tcPr>
          <w:p w14:paraId="19B0796C">
            <w:pPr>
              <w:adjustRightInd w:val="0"/>
              <w:snapToGrid w:val="0"/>
              <w:spacing w:line="360" w:lineRule="auto"/>
              <w:jc w:val="left"/>
              <w:rPr>
                <w:rFonts w:ascii="宋体" w:hAnsi="宋体" w:cs="仿宋_GB2312"/>
                <w:color w:val="000000" w:themeColor="text1"/>
                <w:kern w:val="0"/>
                <w:szCs w:val="21"/>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提供省市级热题服务，可根据本地用户的题目、试卷、练习册等使用结果，汇集展示本地搜索最热试题，能够查看每道热题的题目、近期使用题目次数、最近一次日期、题型、难度、时长预估、解析、纠错、收藏、相似题、视频讲解等内容，教师可以引用热搜题目进行本地资源建设或发布作业。</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r>
              <w:rPr>
                <w:rStyle w:val="39"/>
                <w:rFonts w:ascii="宋体" w:hAnsi="宋体"/>
                <w:b/>
                <w:bCs/>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2.支持提供方便的选题方式，按照区域、年级、难度、题型等字段进行筛选试题，可按照单题形式一键加入到试题篮。</w:t>
            </w:r>
          </w:p>
        </w:tc>
      </w:tr>
      <w:tr w14:paraId="0E8AD9C0">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454F4B95">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38EF2D38">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46407017">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错题库</w:t>
            </w:r>
          </w:p>
        </w:tc>
        <w:tc>
          <w:tcPr>
            <w:tcW w:w="5879" w:type="dxa"/>
            <w:tcBorders>
              <w:top w:val="single" w:color="000000" w:sz="4" w:space="0"/>
              <w:left w:val="nil"/>
              <w:bottom w:val="single" w:color="000000" w:sz="4" w:space="0"/>
              <w:right w:val="single" w:color="000000" w:sz="4" w:space="0"/>
            </w:tcBorders>
            <w:noWrap/>
            <w:vAlign w:val="center"/>
          </w:tcPr>
          <w:p w14:paraId="56997F34">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1.支持自动收集汇总教师所带班级的作业错题，支持按照校本教辅、校本试卷、我的试卷和知识点等维度分类查看。</w:t>
            </w:r>
          </w:p>
          <w:p w14:paraId="16C6CF08">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按照教师所带班级，直接查看近一周、近一月、近半年、近一年的错题，支持自定义时间段筛选错题；支持按正确率0-25%、25%—50%、50%—75%、75%—100%快速筛选，支持自定义正确率范围查看；支持按题型和难易度筛选。</w:t>
            </w:r>
          </w:p>
          <w:p w14:paraId="2E06A482">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3.支持按章节和知识点维度对每道错题的班级正确率，年级正确率，答错次数进行自动统计展示。</w:t>
            </w:r>
          </w:p>
          <w:p w14:paraId="7094FEF5">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sz w:val="21"/>
                <w:szCs w:val="21"/>
                <w14:textFill>
                  <w14:solidFill>
                    <w14:schemeClr w14:val="tx1"/>
                  </w14:solidFill>
                </w14:textFill>
              </w:rPr>
              <w:t>4.支持错题展示相似题，每道错题匹配不少于2—3道相似题，支持查看相似题的答案解析、难易度和预估答题时长并支持教师选择到试题篮。</w:t>
            </w:r>
          </w:p>
        </w:tc>
      </w:tr>
      <w:tr w14:paraId="4DD29DCD">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0B017D33">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77CDE123">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24380E2E">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区本资源</w:t>
            </w:r>
          </w:p>
        </w:tc>
        <w:tc>
          <w:tcPr>
            <w:tcW w:w="5879" w:type="dxa"/>
            <w:tcBorders>
              <w:top w:val="single" w:color="000000" w:sz="4" w:space="0"/>
              <w:left w:val="nil"/>
              <w:bottom w:val="single" w:color="000000" w:sz="4" w:space="0"/>
              <w:right w:val="single" w:color="000000" w:sz="4" w:space="0"/>
            </w:tcBorders>
            <w:noWrap/>
            <w:vAlign w:val="center"/>
          </w:tcPr>
          <w:p w14:paraId="3C55F84F">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1.支持展示采购单位辖区学校分享的区本教辅、区本试卷、区本题库资源。</w:t>
            </w:r>
          </w:p>
          <w:p w14:paraId="609A9368">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2.支持对区本教辅资源按照年级进行分类展示筛选，支持展示区本教辅内所包含题量。</w:t>
            </w:r>
          </w:p>
          <w:p w14:paraId="0E0310A8">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3.区本试卷支持同步试卷和综合试卷类型分类。同步试卷可支持按照年份、章节、来源等信息进行试卷筛选、作业布置和试卷复制，复制时支持将试卷分类和已编辑好的答题卡样式复制进试题篮；综合试卷可支持按照年份，年级，考试类型，来源等信息进行试卷筛选和作业布置。</w:t>
            </w:r>
          </w:p>
          <w:p w14:paraId="11D9959E">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4.区本题库支持按教材章节和知识点维度进行试题分类，需支持按选择题，填空题、判断题、计算题、应用题、操作题、解答题、连线题等题型、难度和题目内容进行试题检索。</w:t>
            </w:r>
          </w:p>
        </w:tc>
      </w:tr>
      <w:tr w14:paraId="4B0627CC">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77CB2D27">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675ADA09">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77C2B0E3">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校本资源</w:t>
            </w:r>
          </w:p>
        </w:tc>
        <w:tc>
          <w:tcPr>
            <w:tcW w:w="5879" w:type="dxa"/>
            <w:tcBorders>
              <w:top w:val="single" w:color="000000" w:sz="4" w:space="0"/>
              <w:left w:val="nil"/>
              <w:bottom w:val="single" w:color="000000" w:sz="4" w:space="0"/>
              <w:right w:val="single" w:color="000000" w:sz="4" w:space="0"/>
            </w:tcBorders>
            <w:noWrap/>
            <w:vAlign w:val="center"/>
          </w:tcPr>
          <w:p w14:paraId="485404BD">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1.支持按照校本教辅、校本试卷、校本题库资源等分类进行校本资源的高效管理。</w:t>
            </w:r>
          </w:p>
          <w:p w14:paraId="504BA373">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2.支持对校本教辅资源按照年级进行分类展示筛选，并可展示校本教辅内所含题量。支持在校本教辅中选中某章节部分或全部试题进行一键作业布置，同时支持章节复制，复制时支持将试卷分类和已编辑好的答题卡样式复制进试题篮。</w:t>
            </w:r>
          </w:p>
          <w:p w14:paraId="3F329063">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3.校本试卷支持按同步试卷和综合试卷类型分类。同步试卷可支持按照年份、章节、来源等信息进行试卷筛选和作业布置；综合试卷可支持按照年份、年级、考试类型、来源等信息进行试卷筛选、作业布置和试卷复制，复制时支持将试卷分类和已编辑好的答题卡样式复制进试题篮。</w:t>
            </w:r>
          </w:p>
          <w:p w14:paraId="09594657">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4.支持按照章节、知识点、难度等字段进行校本试题的筛选检索。</w:t>
            </w:r>
          </w:p>
          <w:p w14:paraId="39B0F20F">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仿宋_GB2312"/>
                <w:color w:val="000000" w:themeColor="text1"/>
                <w:kern w:val="0"/>
                <w:sz w:val="21"/>
                <w:szCs w:val="21"/>
                <w14:textFill>
                  <w14:solidFill>
                    <w14:schemeClr w14:val="tx1"/>
                  </w14:solidFill>
                </w14:textFill>
              </w:rPr>
              <w:t>5.支持校本资源的教学大数据留存，系统可对每道校本试题的班级及本校正确率数据进行分析，对校本试卷的学校得分率分析，分析的数据可直接留存到校本试题和试卷上。</w:t>
            </w:r>
          </w:p>
        </w:tc>
      </w:tr>
      <w:tr w14:paraId="47D8936F">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6802270F">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18A12948">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3190A6E7">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个人资源</w:t>
            </w:r>
          </w:p>
        </w:tc>
        <w:tc>
          <w:tcPr>
            <w:tcW w:w="5879" w:type="dxa"/>
            <w:tcBorders>
              <w:top w:val="single" w:color="000000" w:sz="4" w:space="0"/>
              <w:left w:val="nil"/>
              <w:bottom w:val="single" w:color="000000" w:sz="4" w:space="0"/>
              <w:right w:val="single" w:color="000000" w:sz="4" w:space="0"/>
            </w:tcBorders>
            <w:noWrap/>
            <w:vAlign w:val="center"/>
          </w:tcPr>
          <w:p w14:paraId="65282DF8">
            <w:pPr>
              <w:pStyle w:val="19"/>
              <w:adjustRightInd w:val="0"/>
              <w:snapToGrid w:val="0"/>
              <w:ind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1.个人教辅支持创建、加工教辅，创建包含不限于教辅名称、年级、学科、版本、年份、原书大小、有无答案、采集方式、图书封面等字段，对创建的教辅进行加工、复制、分享、编辑、删除等操作功能。</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2.支持教师对WORD整卷上传，包含不限于录入试卷名称、年级、省、年份、考试类型等字段，系统可智能识别并自动划题、填充答案、解析、测试题知识点、学科能力，且对上传试卷进行智能解析、布置测验、布置作业、复制、查看原卷、删除等。</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3.支持通过OCR技术智能识别教师拍照上传的纸质试题或手写试题和试卷，识别后自动完成划题、试题电子化而非图片，并自动匹配答案解析、考点讲解视频、考点清单等；同时还支持相似题识别。</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4.支持教师自主上传录入试题或在试题篮中对试题进行改编，系统均能自动预测试题的知识点、学科能力、学科素养等科学标签。</w:t>
            </w:r>
          </w:p>
        </w:tc>
      </w:tr>
      <w:tr w14:paraId="52BCD1C1">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2708D8CA">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441AFE8F">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180FCF08">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校本管理</w:t>
            </w:r>
          </w:p>
        </w:tc>
        <w:tc>
          <w:tcPr>
            <w:tcW w:w="5879" w:type="dxa"/>
            <w:tcBorders>
              <w:top w:val="single" w:color="000000" w:sz="4" w:space="0"/>
              <w:left w:val="nil"/>
              <w:bottom w:val="single" w:color="000000" w:sz="4" w:space="0"/>
              <w:right w:val="single" w:color="000000" w:sz="4" w:space="0"/>
            </w:tcBorders>
            <w:noWrap/>
            <w:vAlign w:val="center"/>
          </w:tcPr>
          <w:p w14:paraId="6935BE46">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1.支持对教师上传和分享的试题、试卷进行审核管理。</w:t>
            </w:r>
          </w:p>
          <w:p w14:paraId="60B989DF">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2.支持对于试题和试卷可进行删除、隐藏处理。并可设置分享免审核模式。</w:t>
            </w:r>
          </w:p>
          <w:p w14:paraId="04C562D2">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3.支持对于教师分享到校本题库的资源进行审核设置，可设置为分享后免审核模式或需审核模式。</w:t>
            </w:r>
          </w:p>
          <w:p w14:paraId="0A1FBE20">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 xml:space="preserve">4.支持校本资源建设结果数据化预览，支持随时查看校本教辅、校本试卷、校本试题建设情况。 </w:t>
            </w:r>
          </w:p>
          <w:p w14:paraId="72A51771">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 xml:space="preserve">5.支持校本资源应用明细可视化，支持随时查看校本资源使用量，高频错题占比，不同正确率区间段的题量分布。 </w:t>
            </w:r>
          </w:p>
          <w:p w14:paraId="2112B58E">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6.支持校本资源贡献榜单数据可视化，支持随时查教师上传和分享的试卷，试题及改编的试题数量。</w:t>
            </w:r>
          </w:p>
          <w:p w14:paraId="4487E0F1">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7.支持校本资源建设质量智能预警，支持对不同学科校本资源建设的覆盖度，利用率进行提示。</w:t>
            </w:r>
          </w:p>
          <w:p w14:paraId="7621DB2A">
            <w:pPr>
              <w:widowControl/>
              <w:adjustRightInd w:val="0"/>
              <w:snapToGrid w:val="0"/>
              <w:spacing w:line="360" w:lineRule="auto"/>
              <w:jc w:val="left"/>
              <w:textAlignment w:val="center"/>
              <w:rPr>
                <w:rFonts w:ascii="宋体" w:hAnsi="宋体" w:cs="仿宋_GB2312"/>
                <w:b/>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8.支持对教师上传平台的文本、音频、视频等资源提供自动审核和预警机制，实现信息安全风控，包括不限于自动识别音视频内容，支持鉴别音视频中的敏感词汇、敏感画面等；需提供不少于230万图片模型样本训练，以进行图片智能识别；支持对PPT、PDF、xls、doc等文件内容，智能鉴别资源中涉危情况。</w:t>
            </w:r>
            <w:r>
              <w:rPr>
                <w:rFonts w:hint="eastAsia" w:ascii="宋体" w:hAnsi="宋体" w:cs="仿宋_GB2312"/>
                <w:b/>
                <w:color w:val="000000" w:themeColor="text1"/>
                <w:kern w:val="0"/>
                <w:szCs w:val="21"/>
                <w14:textFill>
                  <w14:solidFill>
                    <w14:schemeClr w14:val="tx1"/>
                  </w14:solidFill>
                </w14:textFill>
              </w:rPr>
              <w:t>（需提供第三方出具的产品测试报告）</w:t>
            </w:r>
          </w:p>
          <w:p w14:paraId="524C97F5">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9.支持对上传的资源内容进行敏感词过滤，提供不少于17万的文本模型样本训练，提供不少于17万的敏感词词表库，支持敏感管理，新增、修改敏感词，可灵活自定义增删词表。</w:t>
            </w:r>
            <w:r>
              <w:rPr>
                <w:rFonts w:hint="eastAsia" w:ascii="宋体" w:hAnsi="宋体" w:cs="仿宋_GB2312"/>
                <w:b/>
                <w:color w:val="000000" w:themeColor="text1"/>
                <w:kern w:val="0"/>
                <w:szCs w:val="21"/>
                <w14:textFill>
                  <w14:solidFill>
                    <w14:schemeClr w14:val="tx1"/>
                  </w14:solidFill>
                </w14:textFill>
              </w:rPr>
              <w:t>（需提供第三方出具的产品测试报告）</w:t>
            </w:r>
          </w:p>
        </w:tc>
      </w:tr>
      <w:tr w14:paraId="4FC171C3">
        <w:tblPrEx>
          <w:tblCellMar>
            <w:top w:w="0" w:type="dxa"/>
            <w:left w:w="108" w:type="dxa"/>
            <w:bottom w:w="0" w:type="dxa"/>
            <w:right w:w="108" w:type="dxa"/>
          </w:tblCellMar>
        </w:tblPrEx>
        <w:trPr>
          <w:trHeight w:val="283" w:hRule="atLeast"/>
        </w:trPr>
        <w:tc>
          <w:tcPr>
            <w:tcW w:w="676" w:type="dxa"/>
            <w:vMerge w:val="restart"/>
            <w:tcBorders>
              <w:top w:val="single" w:color="auto" w:sz="4" w:space="0"/>
              <w:left w:val="single" w:color="000000" w:sz="4" w:space="0"/>
              <w:bottom w:val="single" w:color="auto" w:sz="4" w:space="0"/>
              <w:right w:val="single" w:color="000000" w:sz="4" w:space="0"/>
            </w:tcBorders>
            <w:noWrap/>
            <w:vAlign w:val="center"/>
          </w:tcPr>
          <w:p w14:paraId="387008BA">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4</w:t>
            </w:r>
          </w:p>
        </w:tc>
        <w:tc>
          <w:tcPr>
            <w:tcW w:w="1087" w:type="dxa"/>
            <w:vMerge w:val="restart"/>
            <w:tcBorders>
              <w:top w:val="single" w:color="auto" w:sz="4" w:space="0"/>
              <w:left w:val="nil"/>
              <w:bottom w:val="single" w:color="auto" w:sz="4" w:space="0"/>
              <w:right w:val="single" w:color="000000" w:sz="4" w:space="0"/>
            </w:tcBorders>
            <w:noWrap/>
            <w:vAlign w:val="center"/>
          </w:tcPr>
          <w:p w14:paraId="52DE4A3F">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高质量作业平台服务</w:t>
            </w:r>
          </w:p>
        </w:tc>
        <w:tc>
          <w:tcPr>
            <w:tcW w:w="962" w:type="dxa"/>
            <w:tcBorders>
              <w:top w:val="single" w:color="000000" w:sz="4" w:space="0"/>
              <w:left w:val="nil"/>
              <w:bottom w:val="single" w:color="000000" w:sz="4" w:space="0"/>
              <w:right w:val="single" w:color="000000" w:sz="4" w:space="0"/>
            </w:tcBorders>
            <w:noWrap/>
            <w:vAlign w:val="center"/>
          </w:tcPr>
          <w:p w14:paraId="6FB45EDD">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作业质量评估</w:t>
            </w:r>
          </w:p>
        </w:tc>
        <w:tc>
          <w:tcPr>
            <w:tcW w:w="5879" w:type="dxa"/>
            <w:tcBorders>
              <w:top w:val="single" w:color="000000" w:sz="4" w:space="0"/>
              <w:left w:val="nil"/>
              <w:bottom w:val="single" w:color="000000" w:sz="4" w:space="0"/>
              <w:right w:val="single" w:color="000000" w:sz="4" w:space="0"/>
            </w:tcBorders>
            <w:noWrap/>
            <w:vAlign w:val="center"/>
          </w:tcPr>
          <w:p w14:paraId="39ADCB12">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按照版本、年级、练习章节对教师所布置作业内容进行自动评估，评估维度包括不限于目标一致性、题目科学性、结果合理性、时长合理性、难点合理性、题目多样性等，评估结果需支持以雷达图和柱状图等形态进行直观反馈，同时系统可以给出精准调整建议,针对目标不一致题目时进行提示并支持教师一键移除异常题目，针对结构不合理题目时进行提示并支持教师一键调整。</w:t>
            </w:r>
            <w:r>
              <w:rPr>
                <w:rStyle w:val="40"/>
                <w:rFonts w:hint="default" w:ascii="宋体" w:hAnsi="宋体" w:eastAsia="宋体"/>
                <w:color w:val="000000" w:themeColor="text1"/>
                <w:sz w:val="21"/>
                <w:szCs w:val="21"/>
                <w:lang w:bidi="ar"/>
                <w14:textFill>
                  <w14:solidFill>
                    <w14:schemeClr w14:val="tx1"/>
                  </w14:solidFill>
                </w14:textFill>
              </w:rPr>
              <w:t xml:space="preserve"> </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r>
              <w:rPr>
                <w:rStyle w:val="39"/>
                <w:rFonts w:ascii="宋体" w:hAnsi="宋体"/>
                <w:b/>
                <w:bCs/>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2.支持对作业目标一致性进行自动判断，可对试题是否超进度进行自动判断，自动分析所选作业试题是否符合所选册别、单元、课时考查知识点等要求。</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3.支持对各题的难度分布自动分析，防止出现难度全部一样，难度倒序等异常难度分布。</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4.支持预估每题作答时长并进行时长合理性分析，可进行时长预警。</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5.支持通过集合题型分布，难度分布等综合信息进行题目多样性的自动分析判断，并可进行题目多样性预警。</w:t>
            </w:r>
          </w:p>
        </w:tc>
      </w:tr>
      <w:tr w14:paraId="58C04738">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noWrap/>
            <w:vAlign w:val="center"/>
          </w:tcPr>
          <w:p w14:paraId="3E00E9EE">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noWrap/>
            <w:vAlign w:val="center"/>
          </w:tcPr>
          <w:p w14:paraId="446A10EC">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20ADA5F9">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AI题卡制作</w:t>
            </w:r>
          </w:p>
        </w:tc>
        <w:tc>
          <w:tcPr>
            <w:tcW w:w="5879" w:type="dxa"/>
            <w:tcBorders>
              <w:top w:val="single" w:color="000000" w:sz="4" w:space="0"/>
              <w:left w:val="nil"/>
              <w:bottom w:val="single" w:color="000000" w:sz="4" w:space="0"/>
              <w:right w:val="single" w:color="000000" w:sz="4" w:space="0"/>
            </w:tcBorders>
            <w:noWrap/>
            <w:vAlign w:val="center"/>
          </w:tcPr>
          <w:p w14:paraId="00F68917">
            <w:pPr>
              <w:widowControl/>
              <w:adjustRightInd w:val="0"/>
              <w:snapToGrid w:val="0"/>
              <w:spacing w:line="360" w:lineRule="auto"/>
              <w:jc w:val="left"/>
              <w:textAlignment w:val="center"/>
              <w:rPr>
                <w:rStyle w:val="39"/>
                <w:rFonts w:ascii="宋体" w:hAnsi="宋体"/>
                <w:color w:val="000000" w:themeColor="text1"/>
                <w:sz w:val="21"/>
                <w:szCs w:val="21"/>
                <w:lang w:bidi="ar"/>
                <w14:textFill>
                  <w14:solidFill>
                    <w14:schemeClr w14:val="tx1"/>
                  </w14:solidFill>
                </w14:textFill>
              </w:rPr>
            </w:pPr>
            <w:r>
              <w:rPr>
                <w:rStyle w:val="39"/>
                <w:rFonts w:hint="eastAsia" w:ascii="宋体" w:hAnsi="宋体"/>
                <w:color w:val="000000" w:themeColor="text1"/>
                <w:sz w:val="21"/>
                <w:szCs w:val="21"/>
                <w:lang w:bidi="ar"/>
                <w14:textFill>
                  <w14:solidFill>
                    <w14:schemeClr w14:val="tx1"/>
                  </w14:solidFill>
                </w14:textFill>
              </w:rPr>
              <w:t>一、</w:t>
            </w:r>
            <w:r>
              <w:rPr>
                <w:rFonts w:hint="eastAsia" w:ascii="宋体" w:hAnsi="宋体" w:cs="宋体"/>
                <w:color w:val="000000" w:themeColor="text1"/>
                <w:kern w:val="0"/>
                <w:szCs w:val="21"/>
                <w:lang w:bidi="ar"/>
                <w14:textFill>
                  <w14:solidFill>
                    <w14:schemeClr w14:val="tx1"/>
                  </w14:solidFill>
                </w14:textFill>
              </w:rPr>
              <w:t>作业/测验制卡</w:t>
            </w:r>
          </w:p>
          <w:p w14:paraId="46B16A7A">
            <w:pPr>
              <w:widowControl/>
              <w:adjustRightInd w:val="0"/>
              <w:snapToGrid w:val="0"/>
              <w:spacing w:line="360" w:lineRule="auto"/>
              <w:jc w:val="left"/>
              <w:textAlignment w:val="center"/>
              <w:rPr>
                <w:rStyle w:val="39"/>
                <w:rFonts w:ascii="宋体" w:hAnsi="宋体"/>
                <w:color w:val="000000" w:themeColor="text1"/>
                <w:sz w:val="21"/>
                <w:szCs w:val="21"/>
                <w:lang w:bidi="ar"/>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1.支持继续选题、预览题卡、保存题卡，制卡内容包括不限于答题卡板式、作答方式、全局样式、显示设置及添加自定义等内容。</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2.支持教师在线编辑答题卡，可针对答题卡进行排版调整。支持任意调整试题内容和分段；支持调整作答区大小、样式、题目布局、填空题和选择题显示样式；作答区大小支持按答案长度自动计算，支持0.8倍、1倍、1.5倍、2倍和自定义倍数；样式调整支持选中题组下的部分试题或全部试题进行字号、行距、左对齐、右对齐、加粗、着重号、下划线、特殊字符等；题目布局调整支持选中题组下的部分试题或全部试题设置成1行、1/2行、1/3行、1/4行布局；填空题作答区位置支持针对单题设置为题上作答或题后作答；判断题支持针对单题设置为显示选项或不显示选择。</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3.支持单题内容高度超出页面时智能分页，支持客观题选项内容超长时智能变更成选项竖排模式。</w:t>
            </w:r>
            <w:r>
              <w:rPr>
                <w:rStyle w:val="40"/>
                <w:rFonts w:hint="default" w:ascii="宋体" w:hAnsi="宋体" w:eastAsia="宋体"/>
                <w:b/>
                <w:bCs/>
                <w:color w:val="000000" w:themeColor="text1"/>
                <w:sz w:val="21"/>
                <w:szCs w:val="21"/>
                <w:lang w:bidi="ar"/>
                <w14:textFill>
                  <w14:solidFill>
                    <w14:schemeClr w14:val="tx1"/>
                  </w14:solidFill>
                </w14:textFill>
              </w:rPr>
              <w:t>（需提供第三方出具的产品测试报告）</w:t>
            </w:r>
            <w:r>
              <w:rPr>
                <w:rStyle w:val="39"/>
                <w:rFonts w:ascii="宋体" w:hAnsi="宋体"/>
                <w:b/>
                <w:bCs/>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答题卡板式包含不限于自主选择通用卡、高扫批错卡、高扫对错都批卡及墨水屏卡等模板；答题卡布局包含不限于A4-1栏、A4-2栏、A3-3栏、A3-2栏、B5-1栏、B5-2栏、B4-3栏、B4-2栏等不同纸张栏数；答题卡学号包含不限于二维码、手写学号、填涂学号等方式。</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5.支持答题卡作答方式调整，客观题支持填涂、手写等方式，填空题支持横线、方框等方式。</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6.支持答题卡全局样式调整，包含不限于字号、行距、填空题高度等样式。</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7.支持答题卡显示设置调整，包含不限于显示题干、显示题数、显示题序、显示答案、显示分值等内容。</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8.支持在答题卡中自定义其他内容，包括不限于评语、评级、日期、家长签字、作业用时、订正标签等。</w:t>
            </w:r>
          </w:p>
          <w:p w14:paraId="4FC7EF99">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Style w:val="39"/>
                <w:rFonts w:hint="eastAsia" w:ascii="宋体" w:hAnsi="宋体"/>
                <w:color w:val="000000" w:themeColor="text1"/>
                <w:sz w:val="21"/>
                <w:szCs w:val="21"/>
                <w:lang w:bidi="ar"/>
                <w14:textFill>
                  <w14:solidFill>
                    <w14:schemeClr w14:val="tx1"/>
                  </w14:solidFill>
                </w14:textFill>
              </w:rPr>
              <w:t>二、</w:t>
            </w:r>
            <w:r>
              <w:rPr>
                <w:rFonts w:hint="eastAsia" w:ascii="宋体" w:hAnsi="宋体" w:cs="宋体"/>
                <w:color w:val="000000" w:themeColor="text1"/>
                <w:kern w:val="0"/>
                <w:szCs w:val="21"/>
                <w:lang w:bidi="ar"/>
                <w14:textFill>
                  <w14:solidFill>
                    <w14:schemeClr w14:val="tx1"/>
                  </w14:solidFill>
                </w14:textFill>
              </w:rPr>
              <w:t>考试制卡</w:t>
            </w:r>
          </w:p>
          <w:p w14:paraId="1A1DAF6C">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1.制卡内容包含不限于印刷方式、纸张布局、阅卷方式、考号版式、分值题及其他是否显示内容。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2.支持印刷方式选择，包含不限于双面打印、单面打印。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3.支持纸质布局选择，包含A3-2栏、A3-3栏、A4-1栏等。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4.支持阅卷方式选择，包含不限于线上阅卷、先阅后扫等。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5.支持考号板式选择，包含不限于填涂考号、贴条形码及手写考号等。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6.支持分值、题量设置，包含不限于题量、单题分值、总分等信息。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7.支持其他显示内容选择，包含不限于是否显示题干、是否显示密封条、是否显示AB卷、是否显示缺考、是否显示注意事项、是否显示学生APP二维码等内容。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8.支持试卷答题卡预览、保存、下载功能，预览包含试卷预览、答题卡预览；保存后可继续编辑、查看答题卡、下载答题卡及返回我的试卷等；下载答题卡可选择试卷纸张大小A3或A4。</w:t>
            </w:r>
          </w:p>
        </w:tc>
      </w:tr>
      <w:tr w14:paraId="6768CB0A">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noWrap/>
            <w:vAlign w:val="center"/>
          </w:tcPr>
          <w:p w14:paraId="2499861A">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noWrap/>
            <w:vAlign w:val="center"/>
          </w:tcPr>
          <w:p w14:paraId="5F962CAB">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5067FD35">
            <w:pPr>
              <w:widowControl/>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作业布置</w:t>
            </w:r>
          </w:p>
        </w:tc>
        <w:tc>
          <w:tcPr>
            <w:tcW w:w="5879" w:type="dxa"/>
            <w:tcBorders>
              <w:top w:val="single" w:color="000000" w:sz="4" w:space="0"/>
              <w:left w:val="nil"/>
              <w:bottom w:val="single" w:color="000000" w:sz="4" w:space="0"/>
              <w:right w:val="single" w:color="000000" w:sz="4" w:space="0"/>
            </w:tcBorders>
            <w:noWrap/>
            <w:vAlign w:val="center"/>
          </w:tcPr>
          <w:p w14:paraId="24B53295">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Style w:val="39"/>
                <w:rFonts w:hint="eastAsia" w:ascii="宋体" w:hAnsi="宋体"/>
                <w:color w:val="000000" w:themeColor="text1"/>
                <w:sz w:val="21"/>
                <w:szCs w:val="21"/>
                <w:lang w:bidi="ar"/>
                <w14:textFill>
                  <w14:solidFill>
                    <w14:schemeClr w14:val="tx1"/>
                  </w14:solidFill>
                </w14:textFill>
              </w:rPr>
              <w:t>一、布置</w:t>
            </w:r>
            <w:r>
              <w:rPr>
                <w:rFonts w:hint="eastAsia" w:ascii="宋体" w:hAnsi="宋体" w:cs="宋体"/>
                <w:color w:val="000000" w:themeColor="text1"/>
                <w:kern w:val="0"/>
                <w:szCs w:val="21"/>
                <w:lang w:bidi="ar"/>
                <w14:textFill>
                  <w14:solidFill>
                    <w14:schemeClr w14:val="tx1"/>
                  </w14:solidFill>
                </w14:textFill>
              </w:rPr>
              <w:t>共性作业</w:t>
            </w:r>
          </w:p>
          <w:p w14:paraId="2631CCC0">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1.校本作业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1）支持教师通过筛选学段、学科选择校本教辅的某一章节或校本试卷全部试题一键布置校本统一作业。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2.题库作业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通过校本作业、题库作业、试卷作业、精品题库、精品卷库、区域热门题、错题库、区本资源、校本资源、我的资源等作业题库进行选题，支持教师通过按教材章节、知识点、题型、难度、类型、省份、年份、能力、题类、学科素养、思想方法等标签快速检索题库作业发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2）在试题组卷预览界面，支持教师增删题目、上移下移调整题目顺序、解析、纠错、换一题与改编，支持试题组题质量分析，支持下载试卷、保存试卷、编辑试卷、分享试卷，支持布置作业，布置测验。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3）支持按年级、班级布置题库作业，布置设置包含不限于采集方式、作答方式、批改方式、发布时间；采集方式包含不限于智慧作业机、高扫仪、移动端等。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3.试卷作业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1）支持教师既不需要电子化试卷也不需要制作答题卡，保留教师线下批改习惯，通过扫描试题原卷即可采集学情和错题，并进行统计分析。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2）支持教师在扫描试卷时直接标记样卷，在样卷上直接划分学生信息识别区、设定单个题目范围和批改区域。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3）支持教师直接用红笔在标定的批改区域画对错符合或手写分数，设置成功后，系统能在其他试卷上自动识别教师的批改结果。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4）支持通过手写学号、学生姓名等方式识别学生信息。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5）支持对扫描的原卷批量设置题型、分值、答案等信息样卷标定后，支持同年级学科教师之间复用。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6）发布作业时如选择试卷与学生实际做的试卷不匹配时，支持教师直接新建一个作业或在原作业上重新关联到正确的试卷即可，避免教师重新扫描试卷。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7）作业采集后，支持教师通过划分题干将整份试卷拆分成单个试题自动存入校本题库和错题库，支持二次布置班级共性错题或学生个性错题。</w:t>
            </w:r>
          </w:p>
          <w:p w14:paraId="14AA7DE5">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w:t>
            </w:r>
            <w:r>
              <w:rPr>
                <w:rFonts w:hint="eastAsia" w:ascii="宋体" w:hAnsi="宋体" w:cs="宋体"/>
                <w:color w:val="000000" w:themeColor="text1"/>
                <w:kern w:val="0"/>
                <w:szCs w:val="21"/>
                <w:lang w:bidi="ar"/>
                <w14:textFill>
                  <w14:solidFill>
                    <w14:schemeClr w14:val="tx1"/>
                  </w14:solidFill>
                </w14:textFill>
              </w:rPr>
              <w:t>布置分层弹性作业</w:t>
            </w:r>
          </w:p>
          <w:p w14:paraId="30BAE002">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1.支持针对不同层级的学生群体布置不同的作业进行练习，系统可根据学生历次成绩自动对学生进行分层，支持教师进行手动调整层数和每层的学生名单。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教师根据学生历次成绩自动对学生进行分层设置，包含不限于按学年、时间、分组方案。时间按近一周、近一月、近一学期、近一学年及自定义时间段选择；分组方案按扩展层、巩固层、基础层及添加分组进行自定义名称设置，每组可自行设置正确率/得分率区等一键布置分组。</w:t>
            </w:r>
          </w:p>
          <w:p w14:paraId="6EC00607">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三、布置个性作业</w:t>
            </w:r>
          </w:p>
          <w:p w14:paraId="5E39FB8E">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1.支持按照近一周、近一月、近一学期、近一学年及自定义时间段选择学生错题，进行个性化作业布置。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2.支持选择部分或者全部学生错题原题、相似题进行个性错题巩固练习。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3.支持选择部分或者全部班级错题进行班级共性错题巩固练习。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4.支持按错题所属薄弱知识点自动推荐相似错题进行班级薄弱知识点巩固练习。</w:t>
            </w:r>
          </w:p>
          <w:p w14:paraId="0629AA2F">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w:t>
            </w:r>
            <w:r>
              <w:rPr>
                <w:rFonts w:hint="eastAsia" w:ascii="宋体" w:hAnsi="宋体" w:cs="宋体"/>
                <w:color w:val="000000" w:themeColor="text1"/>
                <w:kern w:val="0"/>
                <w:szCs w:val="21"/>
                <w:lang w:bidi="ar"/>
                <w14:textFill>
                  <w14:solidFill>
                    <w14:schemeClr w14:val="tx1"/>
                  </w14:solidFill>
                </w14:textFill>
              </w:rPr>
              <w:t>布置英语听写作业</w:t>
            </w:r>
          </w:p>
          <w:p w14:paraId="3D691827">
            <w:pPr>
              <w:widowControl/>
              <w:adjustRightInd w:val="0"/>
              <w:snapToGrid w:val="0"/>
              <w:spacing w:line="360" w:lineRule="auto"/>
              <w:jc w:val="left"/>
              <w:textAlignment w:val="center"/>
              <w:rPr>
                <w:rStyle w:val="40"/>
                <w:rFonts w:hint="default" w:ascii="宋体" w:hAnsi="宋体" w:eastAsia="宋体"/>
                <w:color w:val="000000" w:themeColor="text1"/>
                <w:sz w:val="21"/>
                <w:szCs w:val="21"/>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1.支持覆盖小学、初中学段，小学教学版本需覆盖人教PEP、外研版、译林版、人教新起点各册教材的相关内容；初中需覆盖译林版、人教版、北师大版、外研版各册教材的相关内容。</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2.支持从教材单词库、错词库进行听写作业布置，教材单词库支持按教材章节或自定义选择需听写的单词、短语；错词库支持通过学年、选择班级、批阅时间、正确率、题型、同步章节、听写作业等方式进行错题筛选布置。</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3.错词库正确率支持按照正确率0-25%、25%-50%、50%-75%、75%-100%快速筛选，也支持自定义正确率范围查看；还支持按题型筛选，题型包括不限于全选、单词、短语等维度。</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4.支持教师选择采集方式、听写方式、播放次数及播放间隔等设置。能选择英文（美音）、英文（中音）和中文等播报方式。</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5.支持在web端进行听写播报，支持开始/暂停听写，并支持设置播报音量，播放次数，播放间隔时间；播放次数不限于1次、2次、3次；播放时间间隔在1到50s内。</w:t>
            </w:r>
          </w:p>
          <w:p w14:paraId="3058F5AC">
            <w:pPr>
              <w:widowControl/>
              <w:adjustRightInd w:val="0"/>
              <w:snapToGrid w:val="0"/>
              <w:spacing w:line="360" w:lineRule="auto"/>
              <w:jc w:val="left"/>
              <w:textAlignment w:val="center"/>
              <w:rPr>
                <w:rStyle w:val="39"/>
                <w:rFonts w:ascii="宋体" w:hAnsi="宋体"/>
                <w:color w:val="000000" w:themeColor="text1"/>
                <w:sz w:val="21"/>
                <w:szCs w:val="21"/>
                <w:lang w:bidi="ar"/>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6.听写方式包含不限于报英文（美音）、报英文（英音）、报中文。</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7.答题卡样式包括书写框、四线三格，学生信息包括二维码、手写学号，印刷方式包含双面印刷、单面印刷等。</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8.支持按班级、学生下载答题卡、答案解析，下载答题卡支持自动批改。</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9.支持查看班级报告，包括班级总览和学生报告。班级总览包含不限于提交人数、批改进度、班级正确率、优秀率、作答情况（正确率75%以下、75%以上、100%等各区间单词的详情，可直接点击查看未批改学生、错误学生、正确学生）。学生报告通过表格形式展示内容，包含不限于学生姓名、学号、正确率，可支持点击查看原卷情况。</w:t>
            </w:r>
          </w:p>
        </w:tc>
      </w:tr>
      <w:tr w14:paraId="6A38A0A2">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noWrap/>
            <w:vAlign w:val="center"/>
          </w:tcPr>
          <w:p w14:paraId="6BA60A07">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noWrap/>
            <w:vAlign w:val="center"/>
          </w:tcPr>
          <w:p w14:paraId="6B93B49F">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76C1947B">
            <w:pPr>
              <w:widowControl/>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作业数据采集</w:t>
            </w:r>
          </w:p>
        </w:tc>
        <w:tc>
          <w:tcPr>
            <w:tcW w:w="5879" w:type="dxa"/>
            <w:tcBorders>
              <w:top w:val="single" w:color="000000" w:sz="4" w:space="0"/>
              <w:left w:val="nil"/>
              <w:bottom w:val="single" w:color="000000" w:sz="4" w:space="0"/>
              <w:right w:val="single" w:color="000000" w:sz="4" w:space="0"/>
            </w:tcBorders>
            <w:noWrap/>
            <w:vAlign w:val="center"/>
          </w:tcPr>
          <w:p w14:paraId="78355C5A">
            <w:pPr>
              <w:pStyle w:val="38"/>
              <w:widowControl/>
              <w:numPr>
                <w:ilvl w:val="0"/>
                <w:numId w:val="14"/>
              </w:numPr>
              <w:adjustRightInd w:val="0"/>
              <w:snapToGrid w:val="0"/>
              <w:spacing w:line="360" w:lineRule="auto"/>
              <w:ind w:firstLineChars="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智慧作业机数据采集</w:t>
            </w:r>
          </w:p>
          <w:p w14:paraId="70B76B50">
            <w:pPr>
              <w:widowControl/>
              <w:adjustRightInd w:val="0"/>
              <w:snapToGrid w:val="0"/>
              <w:spacing w:line="360" w:lineRule="auto"/>
              <w:jc w:val="left"/>
              <w:textAlignment w:val="center"/>
              <w:rPr>
                <w:rFonts w:ascii="宋体" w:hAnsi="宋体" w:cs="宋体"/>
                <w:b/>
                <w:bCs/>
                <w:color w:val="000000" w:themeColor="text1"/>
                <w:kern w:val="0"/>
                <w:szCs w:val="21"/>
                <w:lang w:bidi="ar"/>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 xml:space="preserve">1.支持对学校预先加工好的教辅资源进行学情数据采集，支持教师在教辅批改的过程中进行无感知采集，实现学情数据的自动采集分析。 </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 xml:space="preserve">2.支持学生在原练习册作答，无需额外进行答题卡的制作和打印，不改变学生作答方式。 </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 xml:space="preserve">3.支持二维码和RFID两种方式智能识别学生信息；支持系统自动拍照教辅，并根据教辅内容特征，智能识别当前章节和页码。 </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4.支持在采集过程中可自动拍照教辅，并根据教辅内容特征，智能识别所采集的章节和页码。</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5.支持通过学生二维码识别方式，自动识别章节信息，自动连拍多章节、多学生作业。拍照过程中针对页面不平整、页面题目缺失、作答缺失支持进行异常处理，保证数据采集的准确性。</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6.支持针对网络断开、网络抖动、电脑配置不符合要求、CPU占用较高、可用内存/可用硬盘空间不足等异常进行提示，可以及时提醒教师处理调整。</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7.支持教师在原册批改时可对于批改痕迹进行自定义，教师对于圈选和问号图标自主的设置为判错、判半对和忽略不识别等设置。</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8.支持教师自主设置视频采集和抓拍采集两种采集模式，视频采集模式下支持边批改边采集学情；抓拍采集模式下支持先批改作业，在需要采集学情时再采集，可以设置拍照间隔时间为手动拍照、3秒、5秒和7秒等。</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r>
              <w:rPr>
                <w:rStyle w:val="39"/>
                <w:rFonts w:ascii="宋体" w:hAnsi="宋体"/>
                <w:b/>
                <w:bCs/>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9.支持教师通过智慧作业机智能批改学生的口算练习，错误试题在屏幕中使用红圈标记，对的试题标注绿色对勾；口算试题无需提前入库到系统，口算试题形式包括不限于印刷的练习册、打印的试题单、学生手抄的试题等。</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p>
          <w:p w14:paraId="6520EE2B">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Style w:val="39"/>
                <w:rFonts w:hint="eastAsia" w:ascii="宋体" w:hAnsi="宋体"/>
                <w:color w:val="000000" w:themeColor="text1"/>
                <w:sz w:val="21"/>
                <w:szCs w:val="21"/>
                <w:lang w:bidi="ar"/>
                <w14:textFill>
                  <w14:solidFill>
                    <w14:schemeClr w14:val="tx1"/>
                  </w14:solidFill>
                </w14:textFill>
              </w:rPr>
              <w:t>二、</w:t>
            </w:r>
            <w:r>
              <w:rPr>
                <w:rFonts w:hint="eastAsia" w:ascii="宋体" w:hAnsi="宋体" w:cs="宋体"/>
                <w:color w:val="000000" w:themeColor="text1"/>
                <w:kern w:val="0"/>
                <w:szCs w:val="21"/>
                <w:lang w:bidi="ar"/>
                <w14:textFill>
                  <w14:solidFill>
                    <w14:schemeClr w14:val="tx1"/>
                  </w14:solidFill>
                </w14:textFill>
              </w:rPr>
              <w:t>移动端数据采集</w:t>
            </w:r>
          </w:p>
          <w:p w14:paraId="4406F7D4">
            <w:pPr>
              <w:widowControl/>
              <w:adjustRightInd w:val="0"/>
              <w:snapToGrid w:val="0"/>
              <w:spacing w:line="360" w:lineRule="auto"/>
              <w:jc w:val="left"/>
              <w:textAlignment w:val="center"/>
              <w:rPr>
                <w:rStyle w:val="39"/>
                <w:rFonts w:ascii="宋体" w:hAnsi="宋体"/>
                <w:color w:val="000000" w:themeColor="text1"/>
                <w:sz w:val="21"/>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通过移动端拍照的方式采集学生原教辅练习册和通过题库组卷所生成打印的试卷或答题卡上的答题数据，可对于选择题、填空题、判断题、简答题、计算题、应用题等题型OCR智能识别并自动批阅，并自动呈现学情报告。</w:t>
            </w:r>
          </w:p>
        </w:tc>
      </w:tr>
      <w:tr w14:paraId="33C80BD5">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noWrap/>
            <w:vAlign w:val="center"/>
          </w:tcPr>
          <w:p w14:paraId="2380A040">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noWrap/>
            <w:vAlign w:val="center"/>
          </w:tcPr>
          <w:p w14:paraId="25631F57">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37666B2A">
            <w:pPr>
              <w:widowControl/>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作业智能批改</w:t>
            </w:r>
          </w:p>
        </w:tc>
        <w:tc>
          <w:tcPr>
            <w:tcW w:w="5879" w:type="dxa"/>
            <w:tcBorders>
              <w:top w:val="single" w:color="000000" w:sz="4" w:space="0"/>
              <w:left w:val="nil"/>
              <w:bottom w:val="single" w:color="000000" w:sz="4" w:space="0"/>
              <w:right w:val="single" w:color="000000" w:sz="4" w:space="0"/>
            </w:tcBorders>
            <w:noWrap/>
            <w:vAlign w:val="center"/>
          </w:tcPr>
          <w:p w14:paraId="2C300696">
            <w:pPr>
              <w:widowControl/>
              <w:adjustRightInd w:val="0"/>
              <w:snapToGrid w:val="0"/>
              <w:spacing w:line="360" w:lineRule="auto"/>
              <w:jc w:val="left"/>
              <w:textAlignment w:val="center"/>
              <w:rPr>
                <w:rStyle w:val="39"/>
                <w:rFonts w:ascii="宋体" w:hAnsi="宋体"/>
                <w:color w:val="000000" w:themeColor="text1"/>
                <w:sz w:val="21"/>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1.支持对学生作答内容中因书写潦草或采集不全导致内容模糊的部分，进行内容模糊识别，还原出学生的真实作答，进行修正调优和智能识别处理。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2.支持对于小学数学、语文、英语学科选择题、填空题、判断题、简答题、计算题、应用题的系统批改；小学语文包括不限于选择题、填空题、判断题、简答题；小学英语包括不限于选择题、填空题、翻译题。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3.支持对于涂改痕迹进行识别，可以识别区分涂抹的笔迹和正常书写笔迹，并还原为原词汇或单词。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4.支持对于学生作答笔迹中出现的干扰问题、变形问题通过联想关联识别出作答结果进行识别处理。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5.支持教师在web端、移动端针对批改后的结果进行二次核对，支持修改题目批改结果，赋分题目支持修改题目分数。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6.教师web端支持按人核对或按题核对两种方式。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7.按照批改时支持区分已批改、未批改试题；支持标记出未批改完的学生；支持按单图或者多图展示学生题卡，并支持放大/缩小，下载学生题卡；核对过程中修改批改结果后，在原卷同步修改批改留痕信息。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8.设置批改痕迹范围支持设置全部显示、支持按照批改结果为全对、半对、错误部分显示、支持自定义选择需要展示批改痕迹范围的题目。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9.手动批改时，支持鼠标移入某题目区域，显示智能识别的结果和最终系统批改结果，方便教师核查。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10.按题批改支持单题显示和多题显示两种显示模式。多题模式支持筛选未批改、正确作答、错误作答、半对作答的学生题卡进行批改，并支持全选或选中部分批量修改批改结果。</w:t>
            </w:r>
          </w:p>
        </w:tc>
      </w:tr>
      <w:tr w14:paraId="2B3ED3AE">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noWrap/>
            <w:vAlign w:val="center"/>
          </w:tcPr>
          <w:p w14:paraId="6AD2E135">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noWrap/>
            <w:vAlign w:val="center"/>
          </w:tcPr>
          <w:p w14:paraId="41B2E008">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4EA3EB76">
            <w:pPr>
              <w:widowControl/>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学情分析报告</w:t>
            </w:r>
          </w:p>
        </w:tc>
        <w:tc>
          <w:tcPr>
            <w:tcW w:w="5879" w:type="dxa"/>
            <w:tcBorders>
              <w:top w:val="single" w:color="000000" w:sz="4" w:space="0"/>
              <w:left w:val="nil"/>
              <w:bottom w:val="single" w:color="000000" w:sz="4" w:space="0"/>
              <w:right w:val="single" w:color="000000" w:sz="4" w:space="0"/>
            </w:tcBorders>
            <w:noWrap/>
            <w:vAlign w:val="center"/>
          </w:tcPr>
          <w:p w14:paraId="1937AD23">
            <w:pPr>
              <w:pStyle w:val="38"/>
              <w:widowControl/>
              <w:numPr>
                <w:ilvl w:val="0"/>
                <w:numId w:val="14"/>
              </w:numPr>
              <w:adjustRightInd w:val="0"/>
              <w:snapToGrid w:val="0"/>
              <w:spacing w:line="360" w:lineRule="auto"/>
              <w:ind w:firstLineChars="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校级学情报告</w:t>
            </w:r>
          </w:p>
          <w:p w14:paraId="313C5570">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1.支持通过学段、学年、年级学科、学年、学期、月、周等维度查看校本教辅、试卷、试题的概览数据及各学科的资源分布和校本题库被使用数据，点击详情支持查看校本资源的更多明细数据。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2.支持通过学段、学年、年级学科、学年、学期、月、周等维度的提交率、批改率、正确率、讲评率和订正率。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3.支持通过环形图展示各年级布置作业占比，支持按月查看学校整体布置作业数、提交率、批改率、讲评率和订正率的月度趋势数据，通过折线图展示。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4.支持查看教师的任务布置数、讲评率以及各班级的布置任务数、提交率和正确率数据，并可以通过Excel导出教师和班级的活跃数据。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5.支持通过柱形图方式展示各年级的作业日均作答时长数据，通过坐标图展示全校整体学生的作答时长和正确率分布数据。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6.支持通过柱状图对比显示各班级的已掌握知识点、未掌握知识点、待强化知识点数，并可以通过点击详情按钮进入详情页，查看各班级每个知识点的正确率对比。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7.支持以WORD格式导出校级学情报告。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8.支持自定义配置教学监管显示的数据指标，用户可以根据自定义显示模块。</w:t>
            </w:r>
          </w:p>
          <w:p w14:paraId="501B555C">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Style w:val="39"/>
                <w:rFonts w:hint="eastAsia" w:ascii="宋体" w:hAnsi="宋体"/>
                <w:color w:val="000000" w:themeColor="text1"/>
                <w:sz w:val="21"/>
                <w:szCs w:val="21"/>
                <w:lang w:bidi="ar"/>
                <w14:textFill>
                  <w14:solidFill>
                    <w14:schemeClr w14:val="tx1"/>
                  </w14:solidFill>
                </w14:textFill>
              </w:rPr>
              <w:t>二、</w:t>
            </w:r>
            <w:r>
              <w:rPr>
                <w:rFonts w:hint="eastAsia" w:ascii="宋体" w:hAnsi="宋体" w:cs="宋体"/>
                <w:color w:val="000000" w:themeColor="text1"/>
                <w:kern w:val="0"/>
                <w:szCs w:val="21"/>
                <w:lang w:bidi="ar"/>
                <w14:textFill>
                  <w14:solidFill>
                    <w14:schemeClr w14:val="tx1"/>
                  </w14:solidFill>
                </w14:textFill>
              </w:rPr>
              <w:t>年级学情报告</w:t>
            </w:r>
          </w:p>
          <w:p w14:paraId="5EA92F0D">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1.支持通过学年、年级学科、时间（近一周、近一月、近三月、近半年及自定义时间段）等维度查看全年级发布的作业、测验任务总数、提交率、批改率、正确率、人均题数，并可对相关数据进行解读。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2.支持班级综合对比数据，可查看全年级及各班作业/测验布置次数、提交率、批改率、正确率及人均题数，以表格形式呈现，且布置次数、正确率还支持以折线图及柱形图呈现，且可按照EXECL格式导出学情报告。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3.支持知识点分析，可通过表格或柱状图百分率的形式查看阶段作业所涉及知识点的掌握情况，并可以通过校级个性化设置将知识点掌握度分为多个分段。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通过点击知识点名称查看每个知识点的关联题目，以及该知识点各班正确率对比图；支持通过柱状图对比显示各班级的已掌握知识点、未掌握知识点、待强化知识点数，并可以通过点击详情按钮进入详情页，查看各班级每个知识点的正确率对比，可按照EXCEL格式导出学情报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5.支持共性错题查看，通过近一周、近一月、近三月、近半年及自定义时间段的年级共性错题的错题数、错题平均正确率进行分析，可对共性错题进行巩固练习训练。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6.支持教学质量分析，可查看各章节下年级、班级的正确率，可按照EXCEL格式导出学情报告。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7.支持通过环形图展示各班各等级分布的人数占比，等级包含不限于优秀、良好、中等、及格及不及格等信息。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8.支持以PDF格式导出年级学情报告，学情包含不限于学情总结、班级综合对比、知识点分析、共性错题、教学质量分析、等级分布内容。</w:t>
            </w:r>
          </w:p>
          <w:p w14:paraId="35394638">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w:t>
            </w:r>
            <w:r>
              <w:rPr>
                <w:rFonts w:hint="eastAsia" w:ascii="宋体" w:hAnsi="宋体" w:cs="宋体"/>
                <w:color w:val="000000" w:themeColor="text1"/>
                <w:kern w:val="0"/>
                <w:szCs w:val="21"/>
                <w:lang w:bidi="ar"/>
                <w14:textFill>
                  <w14:solidFill>
                    <w14:schemeClr w14:val="tx1"/>
                  </w14:solidFill>
                </w14:textFill>
              </w:rPr>
              <w:t>班级学情报告</w:t>
            </w:r>
          </w:p>
          <w:p w14:paraId="46A80B3C">
            <w:pPr>
              <w:widowControl/>
              <w:adjustRightInd w:val="0"/>
              <w:snapToGrid w:val="0"/>
              <w:spacing w:line="360" w:lineRule="auto"/>
              <w:jc w:val="left"/>
              <w:textAlignment w:val="center"/>
              <w:rPr>
                <w:rStyle w:val="40"/>
                <w:rFonts w:hint="default" w:ascii="宋体" w:hAnsi="宋体" w:eastAsia="宋体"/>
                <w:color w:val="000000" w:themeColor="text1"/>
                <w:sz w:val="21"/>
                <w:szCs w:val="21"/>
                <w:lang w:bidi="ar"/>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1.支持通过作业概览、题目统计、知识点分析、共性错题、等级分布、学生表现等维度分析单次作业表现情况。</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2.作业概览包含不限于提交人数、批改进度、正确率、已订正人数等数据，并可对相关数据进行解读。</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3.支持查看单次作业正确率情况，可以按题号、正确率升降序查看题目正确率并通过柱形图展示，同时支持查看班级和年级正确率对比情况。</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4.支持知识点分析，可通过表格或柱状图百分率的形式查看单次作业涉及知识点的掌握情况，并可以将知识点掌握度分为多个分段，教师可以快速筛选出阶段作业的薄弱知识点进行再次巩固练习。</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5.支持共性错题查看，通过自定义时间段查看班级共性错题的错题数、错题平均正确率进行分析，可对共性错题进行巩固练习。</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6.支持查看等级分布，通过同步环形图展示全班学生的作业优秀、良好、中等、及格、不及格等级分布占比，以及各等级分段的学生名单。</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7.支持查看学生表现，包含不限于学生姓名、正确率等信息，支持以EXCEL形式导出，同时支持点击学生姓名查看学生作答原卷、作答详情、正确率、位次，下载空白答题卡。</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8.支持查看教师所教班级作业表现对比，便于教师更直观了解所带班级的表现差异。</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9.支持班级学情对比，对比内容包含不限于正确率对比、正确率分布、单题正确率对比等。正各年级确率以条形图显示，且在图上显示正确率数值；正确率分布按优秀、良好、中等、及格、不及格、未完成等阶段划分，以条形图展示，且图上显示各阶段人数及占比情况；单题正确率对比以表格形式显示，显示内容包含不限于题号、比对班级等数据，支持以EXCEL形式导出。</w:t>
            </w:r>
          </w:p>
          <w:p w14:paraId="1EEA7F10">
            <w:pPr>
              <w:widowControl/>
              <w:adjustRightInd w:val="0"/>
              <w:snapToGrid w:val="0"/>
              <w:spacing w:line="360" w:lineRule="auto"/>
              <w:jc w:val="left"/>
              <w:textAlignment w:val="center"/>
              <w:rPr>
                <w:rStyle w:val="39"/>
                <w:rFonts w:ascii="宋体" w:hAnsi="宋体"/>
                <w:color w:val="000000" w:themeColor="text1"/>
                <w:sz w:val="21"/>
                <w:szCs w:val="21"/>
                <w:lang w:bidi="ar"/>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10.支持以PDF形式导出学情，学情包含作业概况、题目统计、知识点分析、共性错题、等级分布、学生表现等内容。</w:t>
            </w:r>
          </w:p>
          <w:p w14:paraId="0D9820BC">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Style w:val="39"/>
                <w:rFonts w:hint="eastAsia" w:ascii="宋体" w:hAnsi="宋体"/>
                <w:color w:val="000000" w:themeColor="text1"/>
                <w:sz w:val="21"/>
                <w:szCs w:val="21"/>
                <w:lang w:bidi="ar"/>
                <w14:textFill>
                  <w14:solidFill>
                    <w14:schemeClr w14:val="tx1"/>
                  </w14:solidFill>
                </w14:textFill>
              </w:rPr>
              <w:t>四、</w:t>
            </w:r>
            <w:r>
              <w:rPr>
                <w:rFonts w:hint="eastAsia" w:ascii="宋体" w:hAnsi="宋体" w:cs="宋体"/>
                <w:color w:val="000000" w:themeColor="text1"/>
                <w:kern w:val="0"/>
                <w:szCs w:val="21"/>
                <w:lang w:bidi="ar"/>
                <w14:textFill>
                  <w14:solidFill>
                    <w14:schemeClr w14:val="tx1"/>
                  </w14:solidFill>
                </w14:textFill>
              </w:rPr>
              <w:t>学生学情报告</w:t>
            </w:r>
          </w:p>
          <w:p w14:paraId="09B599FB">
            <w:pPr>
              <w:widowControl/>
              <w:adjustRightInd w:val="0"/>
              <w:snapToGrid w:val="0"/>
              <w:spacing w:line="360" w:lineRule="auto"/>
              <w:jc w:val="left"/>
              <w:textAlignment w:val="center"/>
              <w:rPr>
                <w:rStyle w:val="39"/>
                <w:rFonts w:ascii="宋体" w:hAnsi="宋体"/>
                <w:color w:val="000000" w:themeColor="text1"/>
                <w:sz w:val="21"/>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1.支持按照学年、年级学科、班级、时间（近一周、近一月、近三月、近半年及自定义时间段）等字段查看学生的单科、多个学科综合学情数据及错题。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2.单科学情支持查看学生阶段作业任务的等级、提交率、正确率、作答题数等数据。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3.单科学情支持按照曲线图展示学生阶段作业任务的正确率变化趋势。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4.单科学情支持统计查看阶段内学生各核心素养的正确率，并可提供雷达图的形式进行直观展示。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5.支持查看学生阶段知识点作答题次、错误题次和学生正确率数据。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6.多科学情通过学情总结展示阶段内，学生多科作业掌握等级、任务提交率、正确率等数据。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7.多科学情支持通过雷达图展示学生各科正确率数据，并显示学生的优势学科、劣势学科。</w:t>
            </w:r>
          </w:p>
        </w:tc>
      </w:tr>
      <w:tr w14:paraId="4983CA35">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3C5B6372">
            <w:pPr>
              <w:widowControl/>
              <w:spacing w:line="360" w:lineRule="auto"/>
              <w:jc w:val="center"/>
              <w:rPr>
                <w:rFonts w:ascii="宋体" w:hAnsi="宋体" w:cs="仿宋_GB2312"/>
                <w:color w:val="000000" w:themeColor="text1"/>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529E966E">
            <w:pPr>
              <w:widowControl/>
              <w:spacing w:line="360" w:lineRule="auto"/>
              <w:jc w:val="center"/>
              <w:rPr>
                <w:rFonts w:ascii="宋体" w:hAnsi="宋体" w:cs="仿宋_GB2312"/>
                <w:color w:val="000000" w:themeColor="text1"/>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0ED9EA2B">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作业讲评</w:t>
            </w:r>
          </w:p>
        </w:tc>
        <w:tc>
          <w:tcPr>
            <w:tcW w:w="5879" w:type="dxa"/>
            <w:tcBorders>
              <w:top w:val="single" w:color="000000" w:sz="4" w:space="0"/>
              <w:left w:val="nil"/>
              <w:bottom w:val="single" w:color="000000" w:sz="4" w:space="0"/>
              <w:right w:val="single" w:color="000000" w:sz="4" w:space="0"/>
            </w:tcBorders>
            <w:noWrap/>
            <w:vAlign w:val="center"/>
          </w:tcPr>
          <w:p w14:paraId="450A3A84">
            <w:pPr>
              <w:pStyle w:val="38"/>
              <w:widowControl/>
              <w:numPr>
                <w:ilvl w:val="0"/>
                <w:numId w:val="14"/>
              </w:numPr>
              <w:adjustRightInd w:val="0"/>
              <w:snapToGrid w:val="0"/>
              <w:spacing w:line="360" w:lineRule="auto"/>
              <w:ind w:firstLineChars="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备讲评</w:t>
            </w:r>
          </w:p>
          <w:p w14:paraId="11F24311">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1.支持教师备讲评功能，备讲评时支持对学生的作答结果标注为优秀作答、典型错题和重点标记。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查看试题的解析、纠错、举一反三等信息，教师可对系统推送的相似题进行筛选，系统智能推送相似题不少于40道供教师进行筛选，选定其中的一题或多题，讲评时可以快速找到标注的学生答案或选定的相似题进行针对性讲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3.试题支持具有作答统计功能，包含不限于班级正确率、年级正确率、市级正确率，以条形图展示正确、错误人数和百分比。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4.支持按题号、正确率降序、正确率升序等方式筛选试题，且支持以题卡形式导出，可设置是否显示学生姓名。</w:t>
            </w:r>
          </w:p>
          <w:p w14:paraId="654CDE98">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二、讲评作业</w:t>
            </w:r>
          </w:p>
          <w:p w14:paraId="1E5CC797">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Style w:val="39"/>
                <w:rFonts w:ascii="宋体" w:hAnsi="宋体"/>
                <w:color w:val="000000" w:themeColor="text1"/>
                <w:sz w:val="21"/>
                <w:szCs w:val="21"/>
                <w:lang w:bidi="ar"/>
                <w14:textFill>
                  <w14:solidFill>
                    <w14:schemeClr w14:val="tx1"/>
                  </w14:solidFill>
                </w14:textFill>
              </w:rPr>
              <w:t>1.支持客户端、网页端两种模式进行讲评作业。</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 xml:space="preserve">2.支持教师通过教室大屏客户端直接调取作业结果在全屏模式下讲解，讲评时支持按题号、正确率升序进行排序，讲解时支持红色画笔批注讲解，支持班级正确率、年级正确率等作答统计，支持查看学生姓名。 </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3.支持教师通过移动端微信扫码上传学生答题图片，大屏端无需安装微信，也不需要安装任何插件、投屏软件等。支持对上传的图片进行优化处理，对上传的任意试题类图片进行智能批改，并自动匹配答案和解析。</w:t>
            </w:r>
            <w:r>
              <w:rPr>
                <w:rStyle w:val="40"/>
                <w:rFonts w:hint="default" w:ascii="宋体" w:hAnsi="宋体" w:eastAsia="宋体"/>
                <w:b/>
                <w:bCs/>
                <w:color w:val="000000" w:themeColor="text1"/>
                <w:sz w:val="21"/>
                <w:szCs w:val="21"/>
                <w:lang w:bidi="ar"/>
                <w14:textFill>
                  <w14:solidFill>
                    <w14:schemeClr w14:val="tx1"/>
                  </w14:solidFill>
                </w14:textFill>
              </w:rPr>
              <w:t>（需提供产品功能截图）</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4.支持画笔工具，包括12种以上笔迹颜色、3种以上笔迹大小。</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5.支持客户端、网页端等操作功能区均能居左显示、居右显示、降半屏显示、黑底白字、白底黑字等操作。</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6.支持查看不少于三道相似题，可查看解析。</w:t>
            </w:r>
            <w:r>
              <w:rPr>
                <w:rStyle w:val="39"/>
                <w:rFonts w:ascii="宋体" w:hAnsi="宋体"/>
                <w:color w:val="000000" w:themeColor="text1"/>
                <w:sz w:val="21"/>
                <w:szCs w:val="21"/>
                <w:lang w:bidi="ar"/>
                <w14:textFill>
                  <w14:solidFill>
                    <w14:schemeClr w14:val="tx1"/>
                  </w14:solidFill>
                </w14:textFill>
              </w:rPr>
              <w:br w:type="textWrapping"/>
            </w:r>
            <w:r>
              <w:rPr>
                <w:rStyle w:val="39"/>
                <w:rFonts w:ascii="宋体" w:hAnsi="宋体"/>
                <w:color w:val="000000" w:themeColor="text1"/>
                <w:sz w:val="21"/>
                <w:szCs w:val="21"/>
                <w:lang w:bidi="ar"/>
                <w14:textFill>
                  <w14:solidFill>
                    <w14:schemeClr w14:val="tx1"/>
                  </w14:solidFill>
                </w14:textFill>
              </w:rPr>
              <w:t>7.支持学生正确、半对、错误等作答痕迹对比查看讲评，可显示或者隐藏学生姓名，包含不限于整页模式、单题模式进行对比查看，页面均可支持放大、缩小、分页等查看。</w:t>
            </w:r>
          </w:p>
        </w:tc>
      </w:tr>
      <w:tr w14:paraId="5ADF178B">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51F5DC3B">
            <w:pPr>
              <w:widowControl/>
              <w:spacing w:line="360" w:lineRule="auto"/>
              <w:jc w:val="center"/>
              <w:rPr>
                <w:rFonts w:ascii="宋体" w:hAnsi="宋体" w:cs="仿宋_GB2312"/>
                <w:color w:val="000000" w:themeColor="text1"/>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62FB561C">
            <w:pPr>
              <w:widowControl/>
              <w:spacing w:line="360" w:lineRule="auto"/>
              <w:jc w:val="center"/>
              <w:rPr>
                <w:rFonts w:ascii="宋体" w:hAnsi="宋体" w:cs="仿宋_GB2312"/>
                <w:color w:val="000000" w:themeColor="text1"/>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51B25EFC">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巩固提升</w:t>
            </w:r>
          </w:p>
        </w:tc>
        <w:tc>
          <w:tcPr>
            <w:tcW w:w="5879" w:type="dxa"/>
            <w:tcBorders>
              <w:top w:val="single" w:color="000000" w:sz="4" w:space="0"/>
              <w:left w:val="nil"/>
              <w:bottom w:val="single" w:color="000000" w:sz="4" w:space="0"/>
              <w:right w:val="single" w:color="000000" w:sz="4" w:space="0"/>
            </w:tcBorders>
            <w:noWrap/>
            <w:vAlign w:val="center"/>
          </w:tcPr>
          <w:p w14:paraId="6159CFA6">
            <w:pPr>
              <w:pStyle w:val="38"/>
              <w:widowControl/>
              <w:numPr>
                <w:ilvl w:val="0"/>
                <w:numId w:val="14"/>
              </w:numPr>
              <w:adjustRightInd w:val="0"/>
              <w:snapToGrid w:val="0"/>
              <w:spacing w:line="360" w:lineRule="auto"/>
              <w:ind w:firstLineChars="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个性错题精准练</w:t>
            </w:r>
          </w:p>
          <w:p w14:paraId="7FEA0130">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1.支持按学年、年级学科、班级、自定义时间段、题目来源等字段筛选学生周、月、阶段等个性错题集。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2.支持查看学生错题汇总情况，包含不限于练习题量、有错题的学生总数，无错题的学生总数，学生最大错题数等。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3.支持按照柱状图查看学生错题分布情况，包含不限于错题分段情况、每段学生人数等。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4.支持查看学生错题明细情况，包含不限于学生姓名、错题总数、错题明细、试题作答情况等。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5.支持按照周度、月度的维度，通过一键布置错题周周清和错题月月清，或使用自定义时间布置错题阶段清，帮助学生进行查缺补漏。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6.支持根据学生练习情况调整单次生成规则，包含不限于设置错题练习数量、按试题正确率排序、按发布时间排序、错题批改规则、答题卡下载方式。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7.支持使用高拍模式/高扫模式收集学生作答和批改数据，生成个性错题学情分析报告。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8.支持设置学生错题集样式，包含不限于行距、字号、填空题高度、分栏、作答方式等。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9.支持在线预览学生答题卡信息，包含不限于错题题干信息、预估作答时长、班级正确率等。</w:t>
            </w:r>
          </w:p>
          <w:p w14:paraId="7E595756">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二、共性错题巩固练</w:t>
            </w:r>
          </w:p>
          <w:p w14:paraId="3D5BCC44">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1.支持按学年、年级学科、班级、创建时间（近一周、近一月、近三月、近半年）、题目来源、正确率等生成班级共性错题集。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2.支持按正确率筛选错题，可按0-20%、20-40%、40-60%、60-80%、80-100%、自定义自行设定阈值等。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3.支持筛选作业、测验的错题，支持多选。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4.支持查看共性错题概况，通过错题总数、覆盖知识点数量、错题最多知识点名称及错题数量等数据维度查看。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5.支持查看错题知识点分布情况，包含不限于知识点名称、知识点错题数量。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6.支持查看错题题干、题型、难度、答错次数、年级正确率、班级正确率、解析、纠错、收藏等内容。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7.支持通过按错题正确率、错题知识点分布、单题选择等内容选择共性错题，并可一键布置巩固练习。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8.支持在线预览练习题，可通过拖动题号调整顺序，自定义试题分类规则、设置是否设置分值、设置练习方式为测验或作业等方式调整练习题内容。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9.支持提供按班级布置班级共性错题及自定义学生分组布置班级共性错题。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10.支持使用高拍模式/高扫模式收集学生作答和批改数据，生成共性错题学情分析报告。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支持灵活设置题卡样式，包含不限于行距、字号、填空题高度、题卡版式、分栏、学生信息显示方式、作答方式、是否显示题干/题目数/题序/答案等信息，添加评语/评级/日期/家长签字/作答用时/订正标签等自定义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12.支持在线预览答题卡，并支持按学生或班级下载答题卡。</w:t>
            </w:r>
          </w:p>
          <w:p w14:paraId="36362C60">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三、薄弱知识点巩固练</w:t>
            </w:r>
          </w:p>
          <w:p w14:paraId="58D3FA74">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1.支持按学年、年级学科、班级、创建时间（近一周、近一月、近三月、近半年）、题目来源、正确率生成薄弱知识点练习题。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2.支持查看年级/班级阶段内的薄弱知识点概况，包含不限于知识点数量、知识点名称、知识点正确率情况。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3.支持每道知识点自动推送不少于5道错题，包含不限于题干、题型、难度、解析、纠错、收藏、换一题等信息，可一键布置巩固练习。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4.支持在线预览练习题，可调整练习题内容，包含不限于拖动题号调整顺序，自定义试题分类规则、设置是否判分规则、设置练习方式为测验或作业等。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5.支持按班级布置班级共性错题及自定义学生分组布置班级薄弱知识点练习题。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6.支持使用高拍模式/高扫模式收集学生作答和批改数据，可生成薄弱知识点练习学情分析报告。</w:t>
            </w:r>
          </w:p>
          <w:p w14:paraId="3E630E81">
            <w:pPr>
              <w:widowControl/>
              <w:adjustRightInd w:val="0"/>
              <w:snapToGrid w:val="0"/>
              <w:spacing w:line="360" w:lineRule="auto"/>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四、个性化作业本</w:t>
            </w:r>
          </w:p>
          <w:p w14:paraId="1507DF73">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设置练习范围，包含支持选择年级学科；选择作业或者考试等数据来源；支持按时间、作业批改进度、班级任务选择错题范围；支持设置最大题量，支持设置共性错题正确率范围；支持设置是否显示封面、作业概况、学习规划、知识点拨、共性错题巩固练题目数量、拾遗补缺、拓展培优习惯养成、个人正确率、班级正确率、原错题知识点、错因分析等，支持设置是否批改，并支持对个册进行全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设置练习题目，支持设置某一具体题目是否参与本次练习；支持在小学语文、数学，初中语文、数学、物理、化学、生物等学科一键预测全部原错题相似题；支持修改预测的相似题数量；支持新增、删除、替换相似题；支持查看原错题来源，答错学生名单、题型、难度、年级正确率、解析等；支持按任务或者知识点选择原错题，并支持查看知识平均得分率，支持隐藏或显示不练试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3.支持查看并调整学生作答题卡样式。支持预览每位学生题卡，并按单学生调整每道题目内容、作答区间大小，支持插入图片或删除。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个性错题采集后，支持智能全批或手动批改，针对批改结果系统自动生成学情报告。个册错题学情报告，支持查看正确率、批改进度、等级分布、每道题目考查知识点、作答错误人数、答题总人数、答错学生名单、答对学生名单，并支持一键导出；支持进行作业讲评，查看每道题目解析、举一反三题目、订正前正确率、支持进入投影模式进行作业讲评。</w:t>
            </w:r>
          </w:p>
        </w:tc>
      </w:tr>
      <w:tr w14:paraId="5C5BD766">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76EC1793">
            <w:pPr>
              <w:widowControl/>
              <w:spacing w:line="360" w:lineRule="auto"/>
              <w:jc w:val="center"/>
              <w:rPr>
                <w:rFonts w:ascii="宋体" w:hAnsi="宋体" w:cs="仿宋_GB2312"/>
                <w:color w:val="000000" w:themeColor="text1"/>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2C696A6F">
            <w:pPr>
              <w:widowControl/>
              <w:spacing w:line="360" w:lineRule="auto"/>
              <w:jc w:val="center"/>
              <w:rPr>
                <w:rFonts w:ascii="宋体" w:hAnsi="宋体" w:cs="仿宋_GB2312"/>
                <w:color w:val="000000" w:themeColor="text1"/>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43A83FB1">
            <w:pPr>
              <w:widowControl/>
              <w:spacing w:line="360" w:lineRule="auto"/>
              <w:jc w:val="center"/>
              <w:textAlignment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家校学情互联</w:t>
            </w:r>
          </w:p>
        </w:tc>
        <w:tc>
          <w:tcPr>
            <w:tcW w:w="5879" w:type="dxa"/>
            <w:tcBorders>
              <w:top w:val="single" w:color="000000" w:sz="4" w:space="0"/>
              <w:left w:val="nil"/>
              <w:bottom w:val="single" w:color="000000" w:sz="4" w:space="0"/>
              <w:right w:val="single" w:color="000000" w:sz="4" w:space="0"/>
            </w:tcBorders>
            <w:noWrap/>
            <w:vAlign w:val="center"/>
          </w:tcPr>
          <w:p w14:paraId="0285FDD9">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1.支持通过同一套平台账号体系查看全部学科的作业任务，包含作业、测验和五育等类型作业。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2.支持通过移动端拍照的方式提交作业和测验任务，可对上传作业内容进行自动识别，对于作业内容不匹配题目的错误情况可进行提示。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按学科、作业、测验、五育、年份、月份等字段查看学业任务结果，可查看我的作答、订正记录、答案解析、题目来源等信息，且显示需订正题目数，学生可通过手写输入或拍照上传的方式进行订正，并可进行反复订正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学生通过同一套平台账号体系登录学生端，对于1分钟跳绳、坐位体前屈、仰卧起坐、开合跳、小腿拉伸、小臂拉伸、左右横跳、原地直腿跳、高抬腿、蹲起、踢臀跑、提膝下压、左右并足开合、相扑跳、侧提膝、高抬腿击掌、燕式平衡、蹲马步、前后交替跳、直腿前后跳、前后交替踏步、前后交叉跳、交替踏步跳、踢毽子、摸球大作战等运动项目的体育作业支持AI自动计数统计，实时反馈运动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5.支持学生端按月查看学生的作业报告，作业报告汇总统计学生月度应交作业、实交作业、正确率、提交率、任务趋势、核心素养、知识点分析等数据。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按薄弱知识点或学科查看错题本里的错题。学科可按照作业、测验、校考、收录时间（3天内、7天内、15天内、30天内、90天内、自定义时间段）、时间由近到远进行筛选；薄弱知识点可按年级、学期查看，均可查看题目详情，查看解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7.支持查看各科历次考试的错题，包含作答记录、批改记录、题目答案等。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8.支持可以展示各个科目的错题数据，支持针对错题推送类题、变试题，学生可根据自身情况进行再练习，实现举一反三。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9.支持查看错题的讲解视频，包含原题讲解、相似题讲解视频及知识点讲解视频。支持按收录时间段进行错题筛选，并可按收录时间进行排序。需支持学生按照时间、学科导出错题。</w:t>
            </w:r>
          </w:p>
        </w:tc>
      </w:tr>
      <w:tr w14:paraId="045F3666">
        <w:tblPrEx>
          <w:tblCellMar>
            <w:top w:w="0" w:type="dxa"/>
            <w:left w:w="108" w:type="dxa"/>
            <w:bottom w:w="0" w:type="dxa"/>
            <w:right w:w="108" w:type="dxa"/>
          </w:tblCellMar>
        </w:tblPrEx>
        <w:trPr>
          <w:trHeight w:val="283" w:hRule="atLeast"/>
        </w:trPr>
        <w:tc>
          <w:tcPr>
            <w:tcW w:w="676" w:type="dxa"/>
            <w:vMerge w:val="restart"/>
            <w:tcBorders>
              <w:top w:val="single" w:color="auto" w:sz="4" w:space="0"/>
              <w:left w:val="single" w:color="000000" w:sz="4" w:space="0"/>
              <w:bottom w:val="single" w:color="auto" w:sz="4" w:space="0"/>
              <w:right w:val="single" w:color="000000" w:sz="4" w:space="0"/>
            </w:tcBorders>
            <w:noWrap/>
            <w:vAlign w:val="center"/>
          </w:tcPr>
          <w:p w14:paraId="120FA439">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5</w:t>
            </w:r>
          </w:p>
        </w:tc>
        <w:tc>
          <w:tcPr>
            <w:tcW w:w="1087" w:type="dxa"/>
            <w:vMerge w:val="restart"/>
            <w:tcBorders>
              <w:top w:val="single" w:color="auto" w:sz="4" w:space="0"/>
              <w:left w:val="nil"/>
              <w:bottom w:val="single" w:color="auto" w:sz="4" w:space="0"/>
              <w:right w:val="single" w:color="000000" w:sz="4" w:space="0"/>
            </w:tcBorders>
            <w:noWrap/>
            <w:vAlign w:val="center"/>
          </w:tcPr>
          <w:p w14:paraId="51E6BA60">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作业研修平台服务</w:t>
            </w:r>
          </w:p>
        </w:tc>
        <w:tc>
          <w:tcPr>
            <w:tcW w:w="962" w:type="dxa"/>
            <w:tcBorders>
              <w:top w:val="single" w:color="000000" w:sz="4" w:space="0"/>
              <w:left w:val="nil"/>
              <w:bottom w:val="single" w:color="000000" w:sz="4" w:space="0"/>
              <w:right w:val="single" w:color="000000" w:sz="4" w:space="0"/>
            </w:tcBorders>
            <w:noWrap/>
            <w:vAlign w:val="center"/>
          </w:tcPr>
          <w:p w14:paraId="5262B6E1">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区级作业设计任务管理</w:t>
            </w:r>
          </w:p>
        </w:tc>
        <w:tc>
          <w:tcPr>
            <w:tcW w:w="5879" w:type="dxa"/>
            <w:tcBorders>
              <w:top w:val="single" w:color="000000" w:sz="4" w:space="0"/>
              <w:left w:val="nil"/>
              <w:bottom w:val="single" w:color="000000" w:sz="4" w:space="0"/>
              <w:right w:val="single" w:color="000000" w:sz="4" w:space="0"/>
            </w:tcBorders>
            <w:noWrap/>
            <w:vAlign w:val="center"/>
          </w:tcPr>
          <w:p w14:paraId="2165DA6D">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1.支持统一管理区域作业设计，包含设计任务创建、分配及管理；</w:t>
            </w:r>
          </w:p>
          <w:p w14:paraId="436B20BD">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2.支持区域教研员创建作业设计任务，任务类型包含同步作业和专题作业，同步作业支持设置任务名称、适用年级、选择关联教材以及任务截止日期，专题作业包含设置任务名称、适用年级和任务截止日期；</w:t>
            </w:r>
          </w:p>
          <w:p w14:paraId="0864F78F">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3.支持区域教研员对于创建的区本设计任务进行子任务分配，命名任务名称，选择关联教材和课程，选择承接任务的各校管理人员；</w:t>
            </w:r>
          </w:p>
          <w:p w14:paraId="64DACE95">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4.支持区域教研员按照任务类型、适用年级和状态对已发布的任务进行筛选，支持输入任务名称进行搜索；</w:t>
            </w:r>
          </w:p>
          <w:p w14:paraId="742C52F9">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5.支持区域教研员查看作业设计成品，支持对作业质量进行分析，分析的维度包括题型、难度、核心素养、作业目标、认知水平、预估时长等，并支持设计过程跟踪。</w:t>
            </w:r>
          </w:p>
        </w:tc>
      </w:tr>
      <w:tr w14:paraId="14700386">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7122B052">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2B610A41">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57109A66">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区级作业设计任务分配</w:t>
            </w:r>
          </w:p>
        </w:tc>
        <w:tc>
          <w:tcPr>
            <w:tcW w:w="5879" w:type="dxa"/>
            <w:tcBorders>
              <w:top w:val="single" w:color="000000" w:sz="4" w:space="0"/>
              <w:left w:val="nil"/>
              <w:bottom w:val="single" w:color="000000" w:sz="4" w:space="0"/>
              <w:right w:val="single" w:color="000000" w:sz="4" w:space="0"/>
            </w:tcBorders>
            <w:noWrap/>
            <w:vAlign w:val="center"/>
          </w:tcPr>
          <w:p w14:paraId="6DA0F649">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 xml:space="preserve">支持各校管理人员将接收到的上级下发作业任务拆分成更细维度的课时作业任务，包含设置任务名称、设计范围、主备教师、审核教师，其中设计范围可以精确到每个课时的例题、知识点和目标，且支持对例题和知识点的作业目标进行新增、修改或删除等自定义操作。 </w:t>
            </w:r>
          </w:p>
        </w:tc>
      </w:tr>
      <w:tr w14:paraId="7C37FC10">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33BB35D1">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0E8E500F">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34177CC7">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区级作业设计任务</w:t>
            </w:r>
          </w:p>
        </w:tc>
        <w:tc>
          <w:tcPr>
            <w:tcW w:w="5879" w:type="dxa"/>
            <w:tcBorders>
              <w:top w:val="single" w:color="000000" w:sz="4" w:space="0"/>
              <w:left w:val="nil"/>
              <w:bottom w:val="single" w:color="000000" w:sz="4" w:space="0"/>
              <w:right w:val="single" w:color="000000" w:sz="4" w:space="0"/>
            </w:tcBorders>
            <w:noWrap/>
            <w:vAlign w:val="center"/>
          </w:tcPr>
          <w:p w14:paraId="3BD08518">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1.支持主备老师查看任务的范围和目标，根据范围和目标进行作业设计；</w:t>
            </w:r>
          </w:p>
          <w:p w14:paraId="64B469EF">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主备老师通过校本教辅、校本题库、校本卷库、校本作业设计、我的题库、我的试卷、区本教辅、区本题库、区本试卷选择题目，改编试题篮中的题目、上传新题目，给题目设置分数、作业目标，修改题目的认知水平、建议时长、学科素养等标签；</w:t>
            </w:r>
          </w:p>
          <w:p w14:paraId="067F5D58">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3.支持主备教师在提交作业后查看作业质量分析、作业设计的审核进度和审核结果、审核意见。</w:t>
            </w:r>
          </w:p>
        </w:tc>
      </w:tr>
      <w:tr w14:paraId="5A77CF98">
        <w:tblPrEx>
          <w:tblCellMar>
            <w:top w:w="0" w:type="dxa"/>
            <w:left w:w="108" w:type="dxa"/>
            <w:bottom w:w="0" w:type="dxa"/>
            <w:right w:w="108" w:type="dxa"/>
          </w:tblCellMar>
        </w:tblPrEx>
        <w:trPr>
          <w:trHeight w:val="283"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14:paraId="3BDB6229">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1087" w:type="dxa"/>
            <w:vMerge w:val="continue"/>
            <w:tcBorders>
              <w:top w:val="single" w:color="auto" w:sz="4" w:space="0"/>
              <w:left w:val="nil"/>
              <w:bottom w:val="single" w:color="auto" w:sz="4" w:space="0"/>
              <w:right w:val="single" w:color="000000" w:sz="4" w:space="0"/>
            </w:tcBorders>
            <w:vAlign w:val="center"/>
          </w:tcPr>
          <w:p w14:paraId="587143E1">
            <w:pPr>
              <w:widowControl/>
              <w:spacing w:line="360" w:lineRule="auto"/>
              <w:jc w:val="center"/>
              <w:rPr>
                <w:rFonts w:ascii="宋体" w:hAnsi="宋体" w:cs="仿宋_GB2312"/>
                <w:color w:val="000000" w:themeColor="text1"/>
                <w:kern w:val="0"/>
                <w:szCs w:val="21"/>
                <w14:textFill>
                  <w14:solidFill>
                    <w14:schemeClr w14:val="tx1"/>
                  </w14:solidFill>
                </w14:textFill>
              </w:rPr>
            </w:pPr>
          </w:p>
        </w:tc>
        <w:tc>
          <w:tcPr>
            <w:tcW w:w="962" w:type="dxa"/>
            <w:tcBorders>
              <w:top w:val="single" w:color="000000" w:sz="4" w:space="0"/>
              <w:left w:val="nil"/>
              <w:bottom w:val="single" w:color="000000" w:sz="4" w:space="0"/>
              <w:right w:val="single" w:color="000000" w:sz="4" w:space="0"/>
            </w:tcBorders>
            <w:noWrap/>
            <w:vAlign w:val="center"/>
          </w:tcPr>
          <w:p w14:paraId="518EFAE4">
            <w:pPr>
              <w:widowControl/>
              <w:spacing w:line="360" w:lineRule="auto"/>
              <w:jc w:val="center"/>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区级任务审核模块</w:t>
            </w:r>
          </w:p>
        </w:tc>
        <w:tc>
          <w:tcPr>
            <w:tcW w:w="5879" w:type="dxa"/>
            <w:tcBorders>
              <w:top w:val="single" w:color="000000" w:sz="4" w:space="0"/>
              <w:left w:val="nil"/>
              <w:bottom w:val="single" w:color="000000" w:sz="4" w:space="0"/>
              <w:right w:val="single" w:color="000000" w:sz="4" w:space="0"/>
            </w:tcBorders>
            <w:noWrap/>
            <w:vAlign w:val="center"/>
          </w:tcPr>
          <w:p w14:paraId="0BBD7DB6">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1.支持审核权限配置，审核角色包含学科主任和备课组长。</w:t>
            </w:r>
          </w:p>
          <w:p w14:paraId="23BD8A33">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2.支持审核教师审核作业设计，包含对比作业设计范围、题目关联目标等，可对题目添加审核意见、选择通过或驳回，驳回需要添加具体原因；</w:t>
            </w:r>
          </w:p>
          <w:p w14:paraId="7CB173B2">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3.支持审核教师给每道题目添加评论或给整份作业设计添加审核意见；</w:t>
            </w:r>
          </w:p>
          <w:p w14:paraId="605D24E5">
            <w:pPr>
              <w:widowControl/>
              <w:adjustRightInd w:val="0"/>
              <w:snapToGrid w:val="0"/>
              <w:spacing w:line="360" w:lineRule="auto"/>
              <w:jc w:val="left"/>
              <w:textAlignment w:val="center"/>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4.支持提供多级审核流程，按需选择审核教师。</w:t>
            </w:r>
          </w:p>
        </w:tc>
      </w:tr>
    </w:tbl>
    <w:p w14:paraId="5163C5C0">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三、服务内容及要求</w:t>
      </w:r>
    </w:p>
    <w:p w14:paraId="2948073F">
      <w:pPr>
        <w:pStyle w:val="6"/>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.服务期</w:t>
      </w:r>
    </w:p>
    <w:p w14:paraId="1192BEDD">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yellow"/>
          <w:lang w:val="en-US" w:eastAsia="zh-CN"/>
        </w:rPr>
        <w:t>服务期：一年。</w:t>
      </w:r>
      <w:r>
        <w:rPr>
          <w:rFonts w:hint="eastAsia" w:ascii="仿宋_GB2312" w:hAnsi="仿宋_GB2312" w:eastAsia="仿宋_GB2312" w:cs="仿宋_GB2312"/>
          <w:color w:val="auto"/>
          <w:sz w:val="32"/>
          <w:szCs w:val="32"/>
          <w:highlight w:val="yellow"/>
        </w:rPr>
        <w:t>自合同签订之日起10个工作日内完成本项目的服务部署，开始在采购人指定的学校进行试运行</w:t>
      </w:r>
      <w:r>
        <w:rPr>
          <w:rFonts w:hint="eastAsia" w:ascii="仿宋_GB2312" w:hAnsi="仿宋_GB2312" w:eastAsia="仿宋_GB2312" w:cs="仿宋_GB2312"/>
          <w:color w:val="auto"/>
          <w:sz w:val="32"/>
          <w:szCs w:val="32"/>
          <w:highlight w:val="yellow"/>
          <w:lang w:val="en-US" w:eastAsia="zh-CN"/>
        </w:rPr>
        <w:t>30日</w:t>
      </w:r>
      <w:r>
        <w:rPr>
          <w:rFonts w:hint="eastAsia" w:ascii="仿宋_GB2312" w:hAnsi="仿宋_GB2312" w:eastAsia="仿宋_GB2312" w:cs="仿宋_GB2312"/>
          <w:color w:val="auto"/>
          <w:sz w:val="32"/>
          <w:szCs w:val="32"/>
          <w:highlight w:val="yellow"/>
        </w:rPr>
        <w:t>。</w:t>
      </w:r>
    </w:p>
    <w:p w14:paraId="739512EB">
      <w:pPr>
        <w:pStyle w:val="6"/>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培训服务要求</w:t>
      </w:r>
    </w:p>
    <w:p w14:paraId="44E96B7D">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提供完善的培训方案。中标人负责对所参与项目的人员进行培训，并提交详细培训计划和培训方案。培训对象包括普通用户和管理员用户，培训方案包含培训内容、培训课时等。</w:t>
      </w:r>
    </w:p>
    <w:p w14:paraId="268D0527">
      <w:pPr>
        <w:pStyle w:val="6"/>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售后服务要求</w:t>
      </w:r>
    </w:p>
    <w:p w14:paraId="734B28B0">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中标人需提供售后服务，售后服务包括但不限于以下内容：</w:t>
      </w:r>
    </w:p>
    <w:p w14:paraId="4603C609">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（1）上门技术服务：系统出现紧急情况，工作日2小时内、节假日4小时内，提供上门服务。</w:t>
      </w:r>
    </w:p>
    <w:p w14:paraId="737C6AC0">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（2）远程技术支持：在招标人条件允许下，可直接通过互联网对系统进行维护或解决系统发生的故障。</w:t>
      </w:r>
    </w:p>
    <w:p w14:paraId="258D6785">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（3）邮件、QQ等网络技术支持：每周一至周五（法定节假休息日除外），8:30至17:30，3小时内对招标人提出的问题进行确认答复。</w:t>
      </w:r>
    </w:p>
    <w:p w14:paraId="0FA3CEAB">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（4）电话技术支持：对招标人提出的技术问题，中标人提供7×24小时技术咨询服务，技术支持人员在接到咨询电话后，30分钟内通过电话向招标人提供问题解答和技术指导。</w:t>
      </w:r>
    </w:p>
    <w:p w14:paraId="4085B90F">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项目建设、资源应用及数字化教研等技术支撑服务：基于高质量作业系统平台、作业设计平台和常态化作业学情数据，提供数字化支撑服务。通过数字化手段，优化作业管理和教学设计，提升教学质量和学生的学习效果。</w:t>
      </w:r>
    </w:p>
    <w:p w14:paraId="5F7B77DB">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（6）在服务到期后，中标人提供</w:t>
      </w:r>
      <w:r>
        <w:rPr>
          <w:rFonts w:hint="eastAsia" w:ascii="仿宋_GB2312" w:hAnsi="仿宋_GB2312" w:eastAsia="仿宋_GB2312" w:cs="仿宋_GB2312"/>
          <w:color w:val="auto"/>
          <w:sz w:val="32"/>
          <w:szCs w:val="32"/>
          <w:lang w:val="en-US" w:eastAsia="zh-CN"/>
        </w:rPr>
        <w:t>续约服务，并支持提供</w:t>
      </w:r>
      <w:r>
        <w:rPr>
          <w:rFonts w:hint="eastAsia" w:ascii="仿宋_GB2312" w:hAnsi="仿宋_GB2312" w:eastAsia="仿宋_GB2312" w:cs="仿宋_GB2312"/>
          <w:color w:val="auto"/>
          <w:sz w:val="32"/>
          <w:szCs w:val="32"/>
        </w:rPr>
        <w:t>包括区域资源、校本资源、个人资源等本地化内生资源，以及平台用户数据、使用数据等在内的本地化数据备份存储服务技术</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w:t>
      </w:r>
    </w:p>
    <w:p w14:paraId="28992B6A">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yellow"/>
          <w:lang w:val="en-US" w:eastAsia="zh-CN"/>
        </w:rPr>
        <w:t>（7）试运行结束后</w:t>
      </w:r>
      <w:r>
        <w:rPr>
          <w:rFonts w:hint="eastAsia" w:ascii="仿宋_GB2312" w:hAnsi="仿宋_GB2312" w:eastAsia="仿宋_GB2312" w:cs="仿宋_GB2312"/>
          <w:color w:val="auto"/>
          <w:sz w:val="32"/>
          <w:szCs w:val="32"/>
          <w:highlight w:val="yellow"/>
        </w:rPr>
        <w:t>项目进入常态化运营服务期，中标人提供满足招标内容要求的平台软件服务及不少于2人的驻场运营服务。</w:t>
      </w:r>
    </w:p>
    <w:p w14:paraId="6D56C6F3">
      <w:pPr>
        <w:pStyle w:val="3"/>
        <w:rPr>
          <w:rFonts w:hint="eastAsia"/>
        </w:rPr>
      </w:pPr>
    </w:p>
    <w:p w14:paraId="629FBE62">
      <w:pPr>
        <w:pStyle w:val="6"/>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4.项目应急预案</w:t>
      </w:r>
    </w:p>
    <w:p w14:paraId="55D684CF">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为确保项目建设安全与稳定，以保证正常运行为宗旨，按照“预防为主，积极处置”的原则，本着建立有效处置突发事件，反应迅速、处置有力的安全体系为目标，建立高效的故障解决方案及操作流程。</w:t>
      </w:r>
    </w:p>
    <w:p w14:paraId="36E9EEC0">
      <w:pPr>
        <w:pStyle w:val="6"/>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安全保障体系要求</w:t>
      </w:r>
    </w:p>
    <w:p w14:paraId="1DFD30BA">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须提供系统平台安全保障及应急响应服务。参考等保三级进行系统及数据安全防护，要在安全保障和应急响应方面满足正常运营的需求，快速响应处理可能出现的紧急事件，使紧急事件对本项目及社会造成的影响最小化，确保项目能够长期、平稳、健康地运行。</w:t>
      </w:r>
    </w:p>
    <w:p w14:paraId="040E65CC">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服务在服务期限内，遵守采购人的安全保密规定，保护采购人的系统、数据、信息的安全，保守采购人的系统、数据、信息的秘密。保密期限为自本项目合同生效之日起，至该合同约定的信息全部成为公开信息为止。</w:t>
      </w:r>
    </w:p>
    <w:p w14:paraId="4784F638">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保密规定的，采购人有权终止合同，并有权要求供应商向采购人支付合同金额20%的违约金，对由于供应商泄密给采购人造成的经济及声誉损失，采购人有权依照合同和相关保密法律法规追究供应商的法律责任。</w:t>
      </w:r>
    </w:p>
    <w:p w14:paraId="569D3C81">
      <w:pPr>
        <w:spacing w:line="360" w:lineRule="auto"/>
      </w:pPr>
    </w:p>
    <w:p w14:paraId="3D35F2B7">
      <w:pPr>
        <w:pStyle w:val="2"/>
        <w:pageBreakBefore w:val="0"/>
        <w:widowControl w:val="0"/>
        <w:kinsoku/>
        <w:wordWrap/>
        <w:overflowPunct/>
        <w:topLinePunct w:val="0"/>
        <w:autoSpaceDE/>
        <w:autoSpaceDN/>
        <w:bidi w:val="0"/>
        <w:adjustRightInd/>
        <w:snapToGrid/>
        <w:spacing w:after="0" w:line="360" w:lineRule="auto"/>
        <w:ind w:left="0" w:right="0" w:firstLine="480" w:firstLineChars="200"/>
        <w:jc w:val="left"/>
        <w:textAlignment w:val="auto"/>
        <w:rPr>
          <w:rFonts w:hint="eastAsia" w:ascii="宋体" w:hAnsi="宋体" w:eastAsia="宋体" w:cs="宋体"/>
          <w:color w:val="auto"/>
          <w:sz w:val="24"/>
          <w:szCs w:val="24"/>
          <w:highlight w:val="none"/>
          <w:lang w:val="en-US" w:eastAsia="zh-CN"/>
        </w:rPr>
      </w:pPr>
    </w:p>
    <w:sectPr>
      <w:footerReference r:id="rId8" w:type="default"/>
      <w:pgSz w:w="11906" w:h="16838"/>
      <w:pgMar w:top="1440" w:right="1746" w:bottom="1440" w:left="1746"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8247">
    <w:pPr>
      <w:pStyle w:val="13"/>
      <w:tabs>
        <w:tab w:val="center" w:pos="4153"/>
        <w:tab w:val="right" w:pos="8306"/>
        <w:tab w:val="clear" w:pos="4140"/>
        <w:tab w:val="clear" w:pos="8300"/>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F6DE5">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11FF6DE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5D1A">
    <w:pPr>
      <w:pStyle w:val="13"/>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F4FF">
    <w:pPr>
      <w:pStyle w:val="13"/>
      <w:tabs>
        <w:tab w:val="center" w:pos="4153"/>
        <w:tab w:val="right" w:pos="8306"/>
        <w:tab w:val="clear" w:pos="4140"/>
        <w:tab w:val="clear" w:pos="8300"/>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2DD8">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59422">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3B95942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AB1A">
    <w:pPr>
      <w:pStyle w:val="14"/>
      <w:tabs>
        <w:tab w:val="center" w:pos="4153"/>
        <w:tab w:val="right" w:pos="8306"/>
        <w:tab w:val="clear" w:pos="4140"/>
        <w:tab w:val="clear" w:pos="8300"/>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D4E5">
    <w:pPr>
      <w:pStyle w:val="14"/>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183C6"/>
    <w:multiLevelType w:val="singleLevel"/>
    <w:tmpl w:val="800183C6"/>
    <w:lvl w:ilvl="0" w:tentative="0">
      <w:start w:val="5"/>
      <w:numFmt w:val="chineseCounting"/>
      <w:suff w:val="space"/>
      <w:lvlText w:val="第%1部分"/>
      <w:lvlJc w:val="left"/>
      <w:rPr>
        <w:rFonts w:hint="eastAsia"/>
      </w:rPr>
    </w:lvl>
  </w:abstractNum>
  <w:abstractNum w:abstractNumId="1">
    <w:nsid w:val="9A4F82AA"/>
    <w:multiLevelType w:val="singleLevel"/>
    <w:tmpl w:val="9A4F82AA"/>
    <w:lvl w:ilvl="0" w:tentative="0">
      <w:start w:val="2"/>
      <w:numFmt w:val="chineseCounting"/>
      <w:suff w:val="nothing"/>
      <w:lvlText w:val="（%1）"/>
      <w:lvlJc w:val="left"/>
      <w:rPr>
        <w:rFonts w:hint="eastAsia"/>
      </w:rPr>
    </w:lvl>
  </w:abstractNum>
  <w:abstractNum w:abstractNumId="2">
    <w:nsid w:val="A2AB5ACE"/>
    <w:multiLevelType w:val="singleLevel"/>
    <w:tmpl w:val="A2AB5ACE"/>
    <w:lvl w:ilvl="0" w:tentative="0">
      <w:start w:val="6"/>
      <w:numFmt w:val="decimal"/>
      <w:lvlText w:val="%1."/>
      <w:lvlJc w:val="left"/>
      <w:pPr>
        <w:tabs>
          <w:tab w:val="left" w:pos="312"/>
        </w:tabs>
      </w:pPr>
    </w:lvl>
  </w:abstractNum>
  <w:abstractNum w:abstractNumId="3">
    <w:nsid w:val="00000001"/>
    <w:multiLevelType w:val="multilevel"/>
    <w:tmpl w:val="00000001"/>
    <w:lvl w:ilvl="0" w:tentative="0">
      <w:start w:val="1"/>
      <w:numFmt w:val="chineseCountingThousand"/>
      <w:suff w:val="space"/>
      <w:lvlText w:val="第%1章 "/>
      <w:lvlJc w:val="left"/>
      <w:pPr>
        <w:ind w:left="0" w:firstLine="0"/>
      </w:pPr>
      <w:rPr>
        <w:rFonts w:hint="default" w:ascii="Times New Roman" w:hAnsi="Times New Roman" w:eastAsia="宋体"/>
        <w:b/>
        <w:i w:val="0"/>
        <w:sz w:val="32"/>
        <w:szCs w:val="32"/>
      </w:rPr>
    </w:lvl>
    <w:lvl w:ilvl="1" w:tentative="0">
      <w:start w:val="1"/>
      <w:numFmt w:val="decimal"/>
      <w:lvlText w:val="第 %2 章"/>
      <w:lvlJc w:val="left"/>
      <w:pPr>
        <w:ind w:left="0" w:firstLine="0"/>
      </w:pPr>
      <w:rPr>
        <w:rFonts w:hint="eastAsia"/>
        <w:b/>
        <w:i w:val="0"/>
        <w:color w:val="auto"/>
        <w:sz w:val="30"/>
        <w:szCs w:val="30"/>
        <w:lang w:val="en-US"/>
      </w:rPr>
    </w:lvl>
    <w:lvl w:ilvl="2" w:tentative="0">
      <w:start w:val="1"/>
      <w:numFmt w:val="decimal"/>
      <w:pStyle w:val="7"/>
      <w:isLgl/>
      <w:suff w:val="space"/>
      <w:lvlText w:val="%2.%3 "/>
      <w:lvlJc w:val="left"/>
      <w:pPr>
        <w:ind w:left="0" w:firstLine="0"/>
      </w:pPr>
      <w:rPr>
        <w:rFonts w:hint="default" w:ascii="Times New Roman" w:hAnsi="Times New Roman" w:eastAsia="宋体"/>
        <w:b/>
        <w:i w:val="0"/>
        <w:color w:val="auto"/>
        <w:sz w:val="28"/>
        <w:szCs w:val="28"/>
        <w:lang w:val="en-US"/>
      </w:rPr>
    </w:lvl>
    <w:lvl w:ilvl="3" w:tentative="0">
      <w:start w:val="1"/>
      <w:numFmt w:val="decimal"/>
      <w:pStyle w:val="4"/>
      <w:isLgl/>
      <w:suff w:val="space"/>
      <w:lvlText w:val="%2.%3.%4 "/>
      <w:lvlJc w:val="left"/>
      <w:pPr>
        <w:ind w:left="0" w:firstLine="0"/>
      </w:pPr>
      <w:rPr>
        <w:rFonts w:hint="default" w:ascii="Times New Roman" w:hAnsi="Times New Roman" w:eastAsia="宋体"/>
        <w:b/>
        <w:i w:val="0"/>
        <w:sz w:val="28"/>
        <w:szCs w:val="24"/>
        <w:lang w:val="en-US"/>
      </w:rPr>
    </w:lvl>
    <w:lvl w:ilvl="4" w:tentative="0">
      <w:start w:val="1"/>
      <w:numFmt w:val="decimal"/>
      <w:isLgl/>
      <w:suff w:val="space"/>
      <w:lvlText w:val="%2.%3.%4.%5 "/>
      <w:lvlJc w:val="left"/>
      <w:pPr>
        <w:ind w:left="0" w:firstLine="0"/>
      </w:pPr>
      <w:rPr>
        <w:rFonts w:hint="default" w:ascii="Times New Roman" w:hAnsi="Times New Roman" w:eastAsia="宋体"/>
        <w:b/>
        <w:i w:val="0"/>
        <w:sz w:val="24"/>
        <w:szCs w:val="24"/>
        <w:lang w:val="en-US"/>
      </w:rPr>
    </w:lvl>
    <w:lvl w:ilvl="5" w:tentative="0">
      <w:start w:val="1"/>
      <w:numFmt w:val="decimal"/>
      <w:isLgl/>
      <w:suff w:val="space"/>
      <w:lvlText w:val="%2.%3.%4.%5.%6 "/>
      <w:lvlJc w:val="left"/>
      <w:pPr>
        <w:ind w:left="852" w:firstLine="0"/>
      </w:pPr>
      <w:rPr>
        <w:rFonts w:hint="eastAsia"/>
        <w:b w:val="0"/>
        <w:bCs w:val="0"/>
        <w:i w:val="0"/>
        <w:iCs w:val="0"/>
        <w:caps w:val="0"/>
        <w:smallCaps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lvlText w:val="%2.%3.%4.%5.%6.%7"/>
      <w:lvlJc w:val="left"/>
      <w:pPr>
        <w:tabs>
          <w:tab w:val="left" w:pos="6511"/>
        </w:tabs>
        <w:ind w:left="3827" w:hanging="1276"/>
      </w:pPr>
      <w:rPr>
        <w:rFonts w:hint="eastAsia" w:ascii="Times New Roman" w:hAnsi="Times New Roman" w:cs="Times New Roman"/>
        <w:b w:val="0"/>
        <w:bCs w:val="0"/>
        <w:i w:val="0"/>
        <w:iCs w:val="0"/>
        <w:caps w:val="0"/>
        <w:smallCaps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lvlText w:val="%8)"/>
      <w:lvlJc w:val="left"/>
      <w:pPr>
        <w:tabs>
          <w:tab w:val="left" w:pos="680"/>
        </w:tabs>
        <w:ind w:left="680" w:hanging="396"/>
      </w:pPr>
      <w:rPr>
        <w:rFonts w:hint="default" w:ascii="Times New Roman" w:hAnsi="Times New Roman" w:eastAsia="宋体"/>
        <w:sz w:val="24"/>
      </w:rPr>
    </w:lvl>
    <w:lvl w:ilvl="8" w:tentative="0">
      <w:start w:val="1"/>
      <w:numFmt w:val="lowerLetter"/>
      <w:lvlText w:val="%9."/>
      <w:lvlJc w:val="left"/>
      <w:pPr>
        <w:tabs>
          <w:tab w:val="left" w:pos="851"/>
        </w:tabs>
        <w:ind w:left="851" w:hanging="284"/>
      </w:pPr>
      <w:rPr>
        <w:rFonts w:hint="eastAsia"/>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8"/>
    <w:multiLevelType w:val="singleLevel"/>
    <w:tmpl w:val="00000008"/>
    <w:lvl w:ilvl="0" w:tentative="0">
      <w:start w:val="1"/>
      <w:numFmt w:val="decimal"/>
      <w:suff w:val="nothing"/>
      <w:lvlText w:val="（%1）"/>
      <w:lvlJc w:val="left"/>
    </w:lvl>
  </w:abstractNum>
  <w:abstractNum w:abstractNumId="6">
    <w:nsid w:val="00000009"/>
    <w:multiLevelType w:val="singleLevel"/>
    <w:tmpl w:val="00000009"/>
    <w:lvl w:ilvl="0" w:tentative="0">
      <w:start w:val="1"/>
      <w:numFmt w:val="decimal"/>
      <w:lvlText w:val="(%1)"/>
      <w:lvlJc w:val="left"/>
      <w:pPr>
        <w:tabs>
          <w:tab w:val="left" w:pos="312"/>
        </w:tabs>
      </w:pPr>
    </w:lvl>
  </w:abstractNum>
  <w:abstractNum w:abstractNumId="7">
    <w:nsid w:val="0000000A"/>
    <w:multiLevelType w:val="singleLevel"/>
    <w:tmpl w:val="0000000A"/>
    <w:lvl w:ilvl="0" w:tentative="0">
      <w:start w:val="1"/>
      <w:numFmt w:val="decimal"/>
      <w:suff w:val="nothing"/>
      <w:lvlText w:val="（%1）"/>
      <w:lvlJc w:val="left"/>
    </w:lvl>
  </w:abstractNum>
  <w:abstractNum w:abstractNumId="8">
    <w:nsid w:val="0000000B"/>
    <w:multiLevelType w:val="multilevel"/>
    <w:tmpl w:val="0000000B"/>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singleLevel"/>
    <w:tmpl w:val="0000000C"/>
    <w:lvl w:ilvl="0" w:tentative="0">
      <w:start w:val="1"/>
      <w:numFmt w:val="decimal"/>
      <w:suff w:val="nothing"/>
      <w:lvlText w:val="（%1）"/>
      <w:lvlJc w:val="left"/>
    </w:lvl>
  </w:abstractNum>
  <w:abstractNum w:abstractNumId="10">
    <w:nsid w:val="045621E2"/>
    <w:multiLevelType w:val="singleLevel"/>
    <w:tmpl w:val="045621E2"/>
    <w:lvl w:ilvl="0" w:tentative="0">
      <w:start w:val="1"/>
      <w:numFmt w:val="decimal"/>
      <w:suff w:val="space"/>
      <w:lvlText w:val="%1."/>
      <w:lvlJc w:val="left"/>
    </w:lvl>
  </w:abstractNum>
  <w:abstractNum w:abstractNumId="11">
    <w:nsid w:val="16D7D0C7"/>
    <w:multiLevelType w:val="singleLevel"/>
    <w:tmpl w:val="16D7D0C7"/>
    <w:lvl w:ilvl="0" w:tentative="0">
      <w:start w:val="2"/>
      <w:numFmt w:val="chineseCounting"/>
      <w:suff w:val="nothing"/>
      <w:lvlText w:val="%1、"/>
      <w:lvlJc w:val="left"/>
      <w:rPr>
        <w:rFonts w:hint="eastAsia"/>
      </w:rPr>
    </w:lvl>
  </w:abstractNum>
  <w:abstractNum w:abstractNumId="12">
    <w:nsid w:val="202614D6"/>
    <w:multiLevelType w:val="singleLevel"/>
    <w:tmpl w:val="202614D6"/>
    <w:lvl w:ilvl="0" w:tentative="0">
      <w:start w:val="1"/>
      <w:numFmt w:val="decimal"/>
      <w:suff w:val="nothing"/>
      <w:lvlText w:val="%1、"/>
      <w:lvlJc w:val="left"/>
    </w:lvl>
  </w:abstractNum>
  <w:abstractNum w:abstractNumId="13">
    <w:nsid w:val="597A64CE"/>
    <w:multiLevelType w:val="multilevel"/>
    <w:tmpl w:val="597A64CE"/>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6"/>
  </w:num>
  <w:num w:numId="4">
    <w:abstractNumId w:val="7"/>
  </w:num>
  <w:num w:numId="5">
    <w:abstractNumId w:val="8"/>
  </w:num>
  <w:num w:numId="6">
    <w:abstractNumId w:val="2"/>
  </w:num>
  <w:num w:numId="7">
    <w:abstractNumId w:val="12"/>
  </w:num>
  <w:num w:numId="8">
    <w:abstractNumId w:val="9"/>
  </w:num>
  <w:num w:numId="9">
    <w:abstractNumId w:val="4"/>
  </w:num>
  <w:num w:numId="10">
    <w:abstractNumId w:val="10"/>
  </w:num>
  <w:num w:numId="11">
    <w:abstractNumId w:val="0"/>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OGUxMWYzZjU3ZmNiYjc4OGQwZjZmZDE4MDhlZWQifQ=="/>
  </w:docVars>
  <w:rsids>
    <w:rsidRoot w:val="11441BFC"/>
    <w:rsid w:val="000D1232"/>
    <w:rsid w:val="001847DD"/>
    <w:rsid w:val="003F7B14"/>
    <w:rsid w:val="00411CA3"/>
    <w:rsid w:val="0055311A"/>
    <w:rsid w:val="006423D8"/>
    <w:rsid w:val="006E6CE6"/>
    <w:rsid w:val="00BE27E7"/>
    <w:rsid w:val="00C4716C"/>
    <w:rsid w:val="00F12089"/>
    <w:rsid w:val="01065C0A"/>
    <w:rsid w:val="01222F9F"/>
    <w:rsid w:val="012D1F41"/>
    <w:rsid w:val="01852623"/>
    <w:rsid w:val="01915932"/>
    <w:rsid w:val="01C71A02"/>
    <w:rsid w:val="02937B29"/>
    <w:rsid w:val="02B40A48"/>
    <w:rsid w:val="02C7141B"/>
    <w:rsid w:val="02E5725D"/>
    <w:rsid w:val="03205FB6"/>
    <w:rsid w:val="0343302B"/>
    <w:rsid w:val="039660BD"/>
    <w:rsid w:val="03BA0A28"/>
    <w:rsid w:val="03F67248"/>
    <w:rsid w:val="04574E3B"/>
    <w:rsid w:val="04E62626"/>
    <w:rsid w:val="05A01820"/>
    <w:rsid w:val="06113AEC"/>
    <w:rsid w:val="06681855"/>
    <w:rsid w:val="069A3EBB"/>
    <w:rsid w:val="06CA5BFE"/>
    <w:rsid w:val="06F35CC1"/>
    <w:rsid w:val="0720639C"/>
    <w:rsid w:val="079B438E"/>
    <w:rsid w:val="07CA6A21"/>
    <w:rsid w:val="07D44702"/>
    <w:rsid w:val="07F62A93"/>
    <w:rsid w:val="08734A0E"/>
    <w:rsid w:val="087F1449"/>
    <w:rsid w:val="088C6D52"/>
    <w:rsid w:val="08F1168C"/>
    <w:rsid w:val="090C0714"/>
    <w:rsid w:val="09A03EDE"/>
    <w:rsid w:val="09E5601D"/>
    <w:rsid w:val="09E65669"/>
    <w:rsid w:val="09EA6F07"/>
    <w:rsid w:val="09F0717E"/>
    <w:rsid w:val="0A2166A1"/>
    <w:rsid w:val="0A360DE8"/>
    <w:rsid w:val="0A6A21B9"/>
    <w:rsid w:val="0B70168E"/>
    <w:rsid w:val="0CBE3ADF"/>
    <w:rsid w:val="0CD21ED4"/>
    <w:rsid w:val="0CE02843"/>
    <w:rsid w:val="0D547DE0"/>
    <w:rsid w:val="0DAB31F5"/>
    <w:rsid w:val="0E3E6453"/>
    <w:rsid w:val="0F2F1CF8"/>
    <w:rsid w:val="0F750D5B"/>
    <w:rsid w:val="0F9F36D8"/>
    <w:rsid w:val="0FB0474F"/>
    <w:rsid w:val="10437371"/>
    <w:rsid w:val="10C77FA2"/>
    <w:rsid w:val="11074B71"/>
    <w:rsid w:val="113C31CE"/>
    <w:rsid w:val="11441BFC"/>
    <w:rsid w:val="114F7F97"/>
    <w:rsid w:val="11895257"/>
    <w:rsid w:val="12107727"/>
    <w:rsid w:val="12583BA5"/>
    <w:rsid w:val="128F676A"/>
    <w:rsid w:val="12A10CC7"/>
    <w:rsid w:val="13284B5D"/>
    <w:rsid w:val="13581385"/>
    <w:rsid w:val="13915972"/>
    <w:rsid w:val="13F866C4"/>
    <w:rsid w:val="14B26303"/>
    <w:rsid w:val="14CD7045"/>
    <w:rsid w:val="151B6B0E"/>
    <w:rsid w:val="15597637"/>
    <w:rsid w:val="15C475BE"/>
    <w:rsid w:val="15D373E9"/>
    <w:rsid w:val="166149F5"/>
    <w:rsid w:val="167938EC"/>
    <w:rsid w:val="168801D3"/>
    <w:rsid w:val="169942D7"/>
    <w:rsid w:val="16C225EF"/>
    <w:rsid w:val="173901E9"/>
    <w:rsid w:val="1759791C"/>
    <w:rsid w:val="175C6F6A"/>
    <w:rsid w:val="17824C23"/>
    <w:rsid w:val="17CD5B13"/>
    <w:rsid w:val="17EC5504"/>
    <w:rsid w:val="18165EA6"/>
    <w:rsid w:val="182361F1"/>
    <w:rsid w:val="1853036D"/>
    <w:rsid w:val="185C56BC"/>
    <w:rsid w:val="18A05639"/>
    <w:rsid w:val="18CB084B"/>
    <w:rsid w:val="191E6BCD"/>
    <w:rsid w:val="19963F89"/>
    <w:rsid w:val="19AC242B"/>
    <w:rsid w:val="19B46EB3"/>
    <w:rsid w:val="1B6607FA"/>
    <w:rsid w:val="1BEA723A"/>
    <w:rsid w:val="1C380FDF"/>
    <w:rsid w:val="1C511ED6"/>
    <w:rsid w:val="1CD132AD"/>
    <w:rsid w:val="1CEB5167"/>
    <w:rsid w:val="1D444728"/>
    <w:rsid w:val="1D4570CC"/>
    <w:rsid w:val="1D5D7C68"/>
    <w:rsid w:val="1D717268"/>
    <w:rsid w:val="1E124827"/>
    <w:rsid w:val="1E127AF9"/>
    <w:rsid w:val="1E42335E"/>
    <w:rsid w:val="1E601C3E"/>
    <w:rsid w:val="1E7828DC"/>
    <w:rsid w:val="1E9D211F"/>
    <w:rsid w:val="1EBB0A1A"/>
    <w:rsid w:val="1F086BE9"/>
    <w:rsid w:val="1F564C37"/>
    <w:rsid w:val="1FE26663"/>
    <w:rsid w:val="20547378"/>
    <w:rsid w:val="20765541"/>
    <w:rsid w:val="20A0611A"/>
    <w:rsid w:val="20A73AF7"/>
    <w:rsid w:val="20BE16FC"/>
    <w:rsid w:val="216953E8"/>
    <w:rsid w:val="21867231"/>
    <w:rsid w:val="21D00C81"/>
    <w:rsid w:val="22522EC0"/>
    <w:rsid w:val="22D447A0"/>
    <w:rsid w:val="22D75DBF"/>
    <w:rsid w:val="22E16182"/>
    <w:rsid w:val="22FA4207"/>
    <w:rsid w:val="234B10F5"/>
    <w:rsid w:val="236D3D21"/>
    <w:rsid w:val="2382241C"/>
    <w:rsid w:val="238D507B"/>
    <w:rsid w:val="23A6342F"/>
    <w:rsid w:val="23B56B07"/>
    <w:rsid w:val="24845C69"/>
    <w:rsid w:val="24CF49C5"/>
    <w:rsid w:val="25590322"/>
    <w:rsid w:val="25910727"/>
    <w:rsid w:val="25CB303D"/>
    <w:rsid w:val="268A4DCA"/>
    <w:rsid w:val="26A91DFC"/>
    <w:rsid w:val="2748107D"/>
    <w:rsid w:val="27980A77"/>
    <w:rsid w:val="27EE12D1"/>
    <w:rsid w:val="281B4AE7"/>
    <w:rsid w:val="28474D20"/>
    <w:rsid w:val="286B3A91"/>
    <w:rsid w:val="2874640F"/>
    <w:rsid w:val="28C66939"/>
    <w:rsid w:val="28FC5218"/>
    <w:rsid w:val="291F4161"/>
    <w:rsid w:val="2A16744D"/>
    <w:rsid w:val="2A3C5105"/>
    <w:rsid w:val="2A53244F"/>
    <w:rsid w:val="2A862824"/>
    <w:rsid w:val="2A8F66D5"/>
    <w:rsid w:val="2AA04781"/>
    <w:rsid w:val="2AB07AA6"/>
    <w:rsid w:val="2ABC6246"/>
    <w:rsid w:val="2AF26F21"/>
    <w:rsid w:val="2B535516"/>
    <w:rsid w:val="2BCA04EF"/>
    <w:rsid w:val="2BD82C0B"/>
    <w:rsid w:val="2C680433"/>
    <w:rsid w:val="2C723060"/>
    <w:rsid w:val="2CCE71F8"/>
    <w:rsid w:val="2CD23FDB"/>
    <w:rsid w:val="2DE1087D"/>
    <w:rsid w:val="2DE560C8"/>
    <w:rsid w:val="2E456552"/>
    <w:rsid w:val="2E935510"/>
    <w:rsid w:val="2F320885"/>
    <w:rsid w:val="2F4E0D0E"/>
    <w:rsid w:val="2FB219C5"/>
    <w:rsid w:val="2FB7522E"/>
    <w:rsid w:val="2FC7444D"/>
    <w:rsid w:val="30AA74DD"/>
    <w:rsid w:val="31753B44"/>
    <w:rsid w:val="31937C0C"/>
    <w:rsid w:val="32173B9D"/>
    <w:rsid w:val="321A38C8"/>
    <w:rsid w:val="322632D7"/>
    <w:rsid w:val="326C41B8"/>
    <w:rsid w:val="32750952"/>
    <w:rsid w:val="32A7158A"/>
    <w:rsid w:val="32D87995"/>
    <w:rsid w:val="33A30715"/>
    <w:rsid w:val="34480B4A"/>
    <w:rsid w:val="345A2A00"/>
    <w:rsid w:val="34614FA1"/>
    <w:rsid w:val="34E92F22"/>
    <w:rsid w:val="34F0546A"/>
    <w:rsid w:val="353C420B"/>
    <w:rsid w:val="3553254C"/>
    <w:rsid w:val="35740C40"/>
    <w:rsid w:val="35747E49"/>
    <w:rsid w:val="36581D34"/>
    <w:rsid w:val="36AA0275"/>
    <w:rsid w:val="37A02D4D"/>
    <w:rsid w:val="37B02C8E"/>
    <w:rsid w:val="37BE7500"/>
    <w:rsid w:val="37F0359E"/>
    <w:rsid w:val="38543F62"/>
    <w:rsid w:val="38961E84"/>
    <w:rsid w:val="38B722BB"/>
    <w:rsid w:val="391842BA"/>
    <w:rsid w:val="39205782"/>
    <w:rsid w:val="393942D4"/>
    <w:rsid w:val="395E67A9"/>
    <w:rsid w:val="397E242B"/>
    <w:rsid w:val="397F0B6A"/>
    <w:rsid w:val="39BB4F53"/>
    <w:rsid w:val="39C062D1"/>
    <w:rsid w:val="39C62C3D"/>
    <w:rsid w:val="3AE35129"/>
    <w:rsid w:val="3AED5EAF"/>
    <w:rsid w:val="3B651FE2"/>
    <w:rsid w:val="3B9373B1"/>
    <w:rsid w:val="3C410E78"/>
    <w:rsid w:val="3C5E54EB"/>
    <w:rsid w:val="3C8961DF"/>
    <w:rsid w:val="3DC56D68"/>
    <w:rsid w:val="3DD07BE6"/>
    <w:rsid w:val="3DF00B18"/>
    <w:rsid w:val="3E20651F"/>
    <w:rsid w:val="3E295549"/>
    <w:rsid w:val="3E9C79A6"/>
    <w:rsid w:val="3EF23B8C"/>
    <w:rsid w:val="3EFB79C4"/>
    <w:rsid w:val="3F0B2EA0"/>
    <w:rsid w:val="3F501F66"/>
    <w:rsid w:val="3F7A2500"/>
    <w:rsid w:val="3F966C0E"/>
    <w:rsid w:val="41540B2E"/>
    <w:rsid w:val="41A50DD9"/>
    <w:rsid w:val="41A66B51"/>
    <w:rsid w:val="41FD11C6"/>
    <w:rsid w:val="421B164C"/>
    <w:rsid w:val="422C2C46"/>
    <w:rsid w:val="423758CD"/>
    <w:rsid w:val="42AE0712"/>
    <w:rsid w:val="42F75C15"/>
    <w:rsid w:val="431247FD"/>
    <w:rsid w:val="438619AC"/>
    <w:rsid w:val="43D62258"/>
    <w:rsid w:val="442C5320"/>
    <w:rsid w:val="442F712F"/>
    <w:rsid w:val="445D7CFA"/>
    <w:rsid w:val="446E63AB"/>
    <w:rsid w:val="448E4357"/>
    <w:rsid w:val="44A53F60"/>
    <w:rsid w:val="45660844"/>
    <w:rsid w:val="45B918A8"/>
    <w:rsid w:val="45CA37B0"/>
    <w:rsid w:val="4609638B"/>
    <w:rsid w:val="461E5205"/>
    <w:rsid w:val="4620004A"/>
    <w:rsid w:val="469345CE"/>
    <w:rsid w:val="46E12E64"/>
    <w:rsid w:val="471F573B"/>
    <w:rsid w:val="47304461"/>
    <w:rsid w:val="479550CE"/>
    <w:rsid w:val="481D485C"/>
    <w:rsid w:val="48531B40"/>
    <w:rsid w:val="486343E4"/>
    <w:rsid w:val="48645A5B"/>
    <w:rsid w:val="48653621"/>
    <w:rsid w:val="496B4C67"/>
    <w:rsid w:val="49B122F4"/>
    <w:rsid w:val="49EB6D57"/>
    <w:rsid w:val="4A0B01F8"/>
    <w:rsid w:val="4A126A61"/>
    <w:rsid w:val="4A1C33B3"/>
    <w:rsid w:val="4A902436"/>
    <w:rsid w:val="4AE97BDE"/>
    <w:rsid w:val="4BCD1C09"/>
    <w:rsid w:val="4BCF5981"/>
    <w:rsid w:val="4BD74C34"/>
    <w:rsid w:val="4CF5766A"/>
    <w:rsid w:val="4CFD3EDC"/>
    <w:rsid w:val="4D5819A6"/>
    <w:rsid w:val="4D8922E9"/>
    <w:rsid w:val="4DD75460"/>
    <w:rsid w:val="4DED550A"/>
    <w:rsid w:val="4E3E7DE9"/>
    <w:rsid w:val="4F245314"/>
    <w:rsid w:val="4F245FE4"/>
    <w:rsid w:val="4F4670E1"/>
    <w:rsid w:val="4FAA7CA4"/>
    <w:rsid w:val="50067F45"/>
    <w:rsid w:val="50895D1D"/>
    <w:rsid w:val="508B0928"/>
    <w:rsid w:val="509E7056"/>
    <w:rsid w:val="50DC644B"/>
    <w:rsid w:val="50E922A8"/>
    <w:rsid w:val="512749C6"/>
    <w:rsid w:val="51330760"/>
    <w:rsid w:val="51891C5E"/>
    <w:rsid w:val="51C517D9"/>
    <w:rsid w:val="51E57B9A"/>
    <w:rsid w:val="522F75EA"/>
    <w:rsid w:val="526C5721"/>
    <w:rsid w:val="52B47EF4"/>
    <w:rsid w:val="53161D42"/>
    <w:rsid w:val="535B46AD"/>
    <w:rsid w:val="544762D1"/>
    <w:rsid w:val="546F04B6"/>
    <w:rsid w:val="54DE749D"/>
    <w:rsid w:val="54E0729F"/>
    <w:rsid w:val="55DD61BB"/>
    <w:rsid w:val="560A7182"/>
    <w:rsid w:val="56473984"/>
    <w:rsid w:val="567B6BAE"/>
    <w:rsid w:val="569F0646"/>
    <w:rsid w:val="57086145"/>
    <w:rsid w:val="570B7A8A"/>
    <w:rsid w:val="57A23F4A"/>
    <w:rsid w:val="57BE68AA"/>
    <w:rsid w:val="58071432"/>
    <w:rsid w:val="5817513F"/>
    <w:rsid w:val="581D5CC6"/>
    <w:rsid w:val="582708F3"/>
    <w:rsid w:val="58B06B3A"/>
    <w:rsid w:val="58D8195C"/>
    <w:rsid w:val="58F4407E"/>
    <w:rsid w:val="5929502E"/>
    <w:rsid w:val="595E5693"/>
    <w:rsid w:val="597A4752"/>
    <w:rsid w:val="59810274"/>
    <w:rsid w:val="599D60BE"/>
    <w:rsid w:val="59AF0FF8"/>
    <w:rsid w:val="59DB3743"/>
    <w:rsid w:val="59E81790"/>
    <w:rsid w:val="5A00764E"/>
    <w:rsid w:val="5A82345C"/>
    <w:rsid w:val="5A8B6F17"/>
    <w:rsid w:val="5AA75D1B"/>
    <w:rsid w:val="5B5F5E69"/>
    <w:rsid w:val="5B674153"/>
    <w:rsid w:val="5B9670E9"/>
    <w:rsid w:val="5BE162F8"/>
    <w:rsid w:val="5BF46D3E"/>
    <w:rsid w:val="5C00441C"/>
    <w:rsid w:val="5CE2303B"/>
    <w:rsid w:val="5CF46C57"/>
    <w:rsid w:val="5D120A2D"/>
    <w:rsid w:val="5DAA7FFC"/>
    <w:rsid w:val="5DFB4772"/>
    <w:rsid w:val="5E23758E"/>
    <w:rsid w:val="5EDC5CD9"/>
    <w:rsid w:val="5F02037C"/>
    <w:rsid w:val="5F52697C"/>
    <w:rsid w:val="5FF4555F"/>
    <w:rsid w:val="601654D5"/>
    <w:rsid w:val="60530A95"/>
    <w:rsid w:val="60FB46CB"/>
    <w:rsid w:val="610D1FD4"/>
    <w:rsid w:val="620A72BB"/>
    <w:rsid w:val="62136EF1"/>
    <w:rsid w:val="623277E1"/>
    <w:rsid w:val="62682234"/>
    <w:rsid w:val="62A55C7B"/>
    <w:rsid w:val="62BF4A7A"/>
    <w:rsid w:val="63304B00"/>
    <w:rsid w:val="63BF40D6"/>
    <w:rsid w:val="63D464D8"/>
    <w:rsid w:val="63E5625B"/>
    <w:rsid w:val="641D725E"/>
    <w:rsid w:val="64481A9B"/>
    <w:rsid w:val="64DB0A9B"/>
    <w:rsid w:val="656C7657"/>
    <w:rsid w:val="659C46CE"/>
    <w:rsid w:val="65A044CA"/>
    <w:rsid w:val="65B01CD8"/>
    <w:rsid w:val="67184229"/>
    <w:rsid w:val="672D479E"/>
    <w:rsid w:val="67966F51"/>
    <w:rsid w:val="67F43487"/>
    <w:rsid w:val="68014CBD"/>
    <w:rsid w:val="684E5A28"/>
    <w:rsid w:val="68784853"/>
    <w:rsid w:val="68943764"/>
    <w:rsid w:val="68CA000C"/>
    <w:rsid w:val="6907360B"/>
    <w:rsid w:val="699A6FE2"/>
    <w:rsid w:val="69EB05DA"/>
    <w:rsid w:val="6A0B1E23"/>
    <w:rsid w:val="6A0B3BD1"/>
    <w:rsid w:val="6A675BFC"/>
    <w:rsid w:val="6ABA5506"/>
    <w:rsid w:val="6ACD532A"/>
    <w:rsid w:val="6AE0505D"/>
    <w:rsid w:val="6B981494"/>
    <w:rsid w:val="6BE01F1C"/>
    <w:rsid w:val="6C1943B2"/>
    <w:rsid w:val="6C3468A4"/>
    <w:rsid w:val="6C3867D3"/>
    <w:rsid w:val="6D1014FE"/>
    <w:rsid w:val="6D7E0EB6"/>
    <w:rsid w:val="6DA712CF"/>
    <w:rsid w:val="6E45404F"/>
    <w:rsid w:val="6E6715F2"/>
    <w:rsid w:val="6E71421E"/>
    <w:rsid w:val="6E9D5013"/>
    <w:rsid w:val="6EC30F1E"/>
    <w:rsid w:val="6EF9094A"/>
    <w:rsid w:val="6EFF7A7C"/>
    <w:rsid w:val="6F2A2D4B"/>
    <w:rsid w:val="6F8129AD"/>
    <w:rsid w:val="6FC91042"/>
    <w:rsid w:val="70027824"/>
    <w:rsid w:val="7023779A"/>
    <w:rsid w:val="7067334A"/>
    <w:rsid w:val="70976DF2"/>
    <w:rsid w:val="70C96594"/>
    <w:rsid w:val="723B1929"/>
    <w:rsid w:val="725A3947"/>
    <w:rsid w:val="72712A3F"/>
    <w:rsid w:val="727147ED"/>
    <w:rsid w:val="728A5B31"/>
    <w:rsid w:val="72EE408F"/>
    <w:rsid w:val="73027B3B"/>
    <w:rsid w:val="730B0A00"/>
    <w:rsid w:val="73316E86"/>
    <w:rsid w:val="735A6CDB"/>
    <w:rsid w:val="735E48C8"/>
    <w:rsid w:val="73D5384A"/>
    <w:rsid w:val="74055A31"/>
    <w:rsid w:val="740B512E"/>
    <w:rsid w:val="74BF5CE3"/>
    <w:rsid w:val="753D66EE"/>
    <w:rsid w:val="756F56D8"/>
    <w:rsid w:val="76A979C7"/>
    <w:rsid w:val="76C113A3"/>
    <w:rsid w:val="76C67AC3"/>
    <w:rsid w:val="76D23E28"/>
    <w:rsid w:val="76FD29DC"/>
    <w:rsid w:val="77475E44"/>
    <w:rsid w:val="776F6DFF"/>
    <w:rsid w:val="77BF249E"/>
    <w:rsid w:val="78283BA0"/>
    <w:rsid w:val="785778BE"/>
    <w:rsid w:val="78C6422C"/>
    <w:rsid w:val="78FD0CD0"/>
    <w:rsid w:val="792E5DB0"/>
    <w:rsid w:val="79AB3843"/>
    <w:rsid w:val="79D20267"/>
    <w:rsid w:val="79F24465"/>
    <w:rsid w:val="7A160549"/>
    <w:rsid w:val="7A99316A"/>
    <w:rsid w:val="7B0F4839"/>
    <w:rsid w:val="7B1563EB"/>
    <w:rsid w:val="7B4C0E67"/>
    <w:rsid w:val="7C3317F3"/>
    <w:rsid w:val="7C8A1F9B"/>
    <w:rsid w:val="7C9061B7"/>
    <w:rsid w:val="7CD10CAA"/>
    <w:rsid w:val="7D0134F5"/>
    <w:rsid w:val="7D020E63"/>
    <w:rsid w:val="7DD00F61"/>
    <w:rsid w:val="7EF33FAE"/>
    <w:rsid w:val="7F5362D6"/>
    <w:rsid w:val="7F660B7B"/>
    <w:rsid w:val="7FAF4BA7"/>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9"/>
    <w:pPr>
      <w:widowControl w:val="0"/>
      <w:numPr>
        <w:ilvl w:val="1"/>
        <w:numId w:val="0"/>
      </w:numPr>
      <w:adjustRightInd w:val="0"/>
      <w:snapToGrid w:val="0"/>
      <w:outlineLvl w:val="1"/>
    </w:pPr>
    <w:rPr>
      <w:sz w:val="30"/>
      <w:szCs w:val="32"/>
      <w:lang w:val="zh-CN"/>
    </w:rPr>
  </w:style>
  <w:style w:type="paragraph" w:styleId="7">
    <w:name w:val="heading 3"/>
    <w:basedOn w:val="1"/>
    <w:next w:val="1"/>
    <w:autoRedefine/>
    <w:qFormat/>
    <w:uiPriority w:val="9"/>
    <w:pPr>
      <w:keepNext/>
      <w:widowControl w:val="0"/>
      <w:numPr>
        <w:ilvl w:val="2"/>
        <w:numId w:val="1"/>
      </w:numPr>
      <w:jc w:val="left"/>
      <w:outlineLvl w:val="2"/>
    </w:pPr>
    <w:rPr>
      <w:b/>
      <w:bCs/>
      <w:sz w:val="28"/>
      <w:szCs w:val="32"/>
      <w:shd w:val="clear" w:color="auto" w:fill="FFFFFF"/>
      <w:lang w:val="zh-CN"/>
    </w:rPr>
  </w:style>
  <w:style w:type="paragraph" w:styleId="4">
    <w:name w:val="heading 4"/>
    <w:basedOn w:val="1"/>
    <w:next w:val="1"/>
    <w:autoRedefine/>
    <w:qFormat/>
    <w:uiPriority w:val="9"/>
    <w:pPr>
      <w:keepNext/>
      <w:keepLines/>
      <w:numPr>
        <w:ilvl w:val="3"/>
        <w:numId w:val="1"/>
      </w:numPr>
      <w:outlineLvl w:val="3"/>
    </w:pPr>
    <w:rPr>
      <w:b/>
      <w:bCs/>
      <w:sz w:val="28"/>
      <w:szCs w:val="28"/>
      <w:lang w:val="zh-CN"/>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Indent"/>
    <w:basedOn w:val="1"/>
    <w:next w:val="4"/>
    <w:autoRedefine/>
    <w:qFormat/>
    <w:uiPriority w:val="0"/>
    <w:pPr>
      <w:spacing w:after="120"/>
      <w:ind w:left="420" w:leftChars="200"/>
    </w:pPr>
    <w:rPr>
      <w:sz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99"/>
    <w:rPr>
      <w:rFonts w:ascii="宋体" w:hAnsi="Courier New"/>
      <w:sz w:val="21"/>
      <w:szCs w:val="21"/>
    </w:r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99"/>
    <w:pPr>
      <w:tabs>
        <w:tab w:val="center" w:pos="4140"/>
        <w:tab w:val="right" w:pos="8300"/>
      </w:tabs>
      <w:snapToGrid w:val="0"/>
      <w:jc w:val="left"/>
    </w:pPr>
    <w:rPr>
      <w:sz w:val="18"/>
      <w:szCs w:val="18"/>
    </w:rPr>
  </w:style>
  <w:style w:type="paragraph" w:styleId="14">
    <w:name w:val="header"/>
    <w:basedOn w:val="1"/>
    <w:autoRedefine/>
    <w:qFormat/>
    <w:uiPriority w:val="0"/>
    <w:pPr>
      <w:pBdr>
        <w:bottom w:val="single" w:color="auto" w:sz="6" w:space="1"/>
      </w:pBdr>
      <w:tabs>
        <w:tab w:val="center" w:pos="4140"/>
        <w:tab w:val="right" w:pos="8300"/>
      </w:tabs>
      <w:snapToGrid w:val="0"/>
      <w:jc w:val="center"/>
    </w:pPr>
    <w:rPr>
      <w:sz w:val="18"/>
      <w:szCs w:val="18"/>
    </w:rPr>
  </w:style>
  <w:style w:type="paragraph" w:styleId="15">
    <w:name w:val="toc 1"/>
    <w:basedOn w:val="1"/>
    <w:next w:val="1"/>
    <w:autoRedefine/>
    <w:qFormat/>
    <w:uiPriority w:val="39"/>
    <w:pPr>
      <w:spacing w:before="120" w:after="120" w:line="400" w:lineRule="atLeast"/>
      <w:ind w:firstLine="200" w:firstLineChars="200"/>
      <w:jc w:val="left"/>
    </w:pPr>
    <w:rPr>
      <w:rFonts w:ascii="Calibri" w:hAnsi="Calibri"/>
      <w:b/>
      <w:bCs/>
      <w:caps/>
      <w:szCs w:val="20"/>
    </w:rPr>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autoRedefine/>
    <w:qFormat/>
    <w:uiPriority w:val="0"/>
    <w:pPr>
      <w:spacing w:before="240" w:after="60"/>
      <w:jc w:val="center"/>
      <w:outlineLvl w:val="0"/>
    </w:pPr>
    <w:rPr>
      <w:rFonts w:ascii="Cambria" w:hAnsi="Cambria"/>
      <w:b/>
      <w:bCs/>
      <w:sz w:val="36"/>
      <w:szCs w:val="32"/>
    </w:rPr>
  </w:style>
  <w:style w:type="paragraph" w:styleId="19">
    <w:name w:val="Body Text First Indent"/>
    <w:basedOn w:val="2"/>
    <w:autoRedefine/>
    <w:qFormat/>
    <w:uiPriority w:val="0"/>
    <w:pPr>
      <w:ind w:firstLine="420" w:firstLineChars="100"/>
    </w:pPr>
  </w:style>
  <w:style w:type="paragraph" w:styleId="20">
    <w:name w:val="Body Text First Indent 2"/>
    <w:basedOn w:val="3"/>
    <w:autoRedefine/>
    <w:qFormat/>
    <w:uiPriority w:val="0"/>
    <w:pPr>
      <w:tabs>
        <w:tab w:val="left" w:pos="2160"/>
      </w:tabs>
      <w:spacing w:after="120" w:line="480" w:lineRule="auto"/>
      <w:ind w:left="418" w:leftChars="0" w:firstLine="216"/>
    </w:pPr>
    <w:rPr>
      <w:rFonts w:eastAsia="仿宋_GB2312"/>
      <w:sz w:val="24"/>
    </w:rPr>
  </w:style>
  <w:style w:type="table" w:styleId="22">
    <w:name w:val="Table Grid"/>
    <w:basedOn w:val="21"/>
    <w:autoRedefine/>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rPr>
      <w:rFonts w:ascii="Times New Roman" w:hAnsi="Times New Roman" w:eastAsia="宋体" w:cs="Times New Roman"/>
    </w:rPr>
  </w:style>
  <w:style w:type="character" w:styleId="25">
    <w:name w:val="HTML Sample"/>
    <w:basedOn w:val="23"/>
    <w:autoRedefine/>
    <w:qFormat/>
    <w:uiPriority w:val="0"/>
    <w:rPr>
      <w:rFonts w:ascii="Courier New" w:hAnsi="Courier New"/>
    </w:rPr>
  </w:style>
  <w:style w:type="paragraph" w:customStyle="1" w:styleId="26">
    <w:name w:val="一级条标题"/>
    <w:basedOn w:val="27"/>
    <w:next w:val="28"/>
    <w:autoRedefine/>
    <w:qFormat/>
    <w:uiPriority w:val="0"/>
    <w:pPr>
      <w:spacing w:line="240" w:lineRule="auto"/>
      <w:ind w:left="420"/>
      <w:outlineLvl w:val="2"/>
    </w:pPr>
  </w:style>
  <w:style w:type="paragraph" w:customStyle="1" w:styleId="2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TOC 标题1"/>
    <w:basedOn w:val="5"/>
    <w:next w:val="1"/>
    <w:autoRedefine/>
    <w:unhideWhenUsed/>
    <w:qFormat/>
    <w:uiPriority w:val="0"/>
    <w:pPr>
      <w:outlineLvl w:val="9"/>
    </w:pPr>
  </w:style>
  <w:style w:type="paragraph" w:customStyle="1" w:styleId="30">
    <w:name w:val="列出段落1"/>
    <w:basedOn w:val="1"/>
    <w:autoRedefine/>
    <w:qFormat/>
    <w:uiPriority w:val="34"/>
    <w:pPr>
      <w:ind w:firstLine="420" w:firstLineChars="200"/>
    </w:pPr>
  </w:style>
  <w:style w:type="paragraph" w:customStyle="1" w:styleId="3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c正文"/>
    <w:basedOn w:val="1"/>
    <w:autoRedefine/>
    <w:qFormat/>
    <w:uiPriority w:val="0"/>
    <w:rPr>
      <w:rFonts w:ascii="仿宋" w:hAnsi="仿宋" w:eastAsia="仿宋" w:cs="黑体"/>
      <w:sz w:val="21"/>
      <w:szCs w:val="28"/>
    </w:rPr>
  </w:style>
  <w:style w:type="character" w:customStyle="1" w:styleId="33">
    <w:name w:val="Char Char6"/>
    <w:autoRedefine/>
    <w:qFormat/>
    <w:uiPriority w:val="0"/>
    <w:rPr>
      <w:rFonts w:ascii="Cambria" w:hAnsi="Cambria" w:eastAsia="宋体" w:cs="Times New Roman"/>
      <w:b/>
      <w:bCs/>
      <w:kern w:val="2"/>
      <w:sz w:val="36"/>
      <w:szCs w:val="32"/>
    </w:rPr>
  </w:style>
  <w:style w:type="character" w:customStyle="1" w:styleId="34">
    <w:name w:val="批注框文本 Char"/>
    <w:basedOn w:val="23"/>
    <w:link w:val="12"/>
    <w:autoRedefine/>
    <w:qFormat/>
    <w:uiPriority w:val="0"/>
    <w:rPr>
      <w:rFonts w:ascii="Times New Roman" w:hAnsi="Times New Roman" w:eastAsia="宋体" w:cs="Times New Roman"/>
      <w:kern w:val="2"/>
      <w:sz w:val="18"/>
      <w:szCs w:val="18"/>
    </w:rPr>
  </w:style>
  <w:style w:type="paragraph" w:customStyle="1" w:styleId="35">
    <w:name w:val="普通正文"/>
    <w:basedOn w:val="1"/>
    <w:autoRedefine/>
    <w:qFormat/>
    <w:uiPriority w:val="0"/>
    <w:pPr>
      <w:adjustRightInd w:val="0"/>
      <w:spacing w:before="120" w:after="120" w:line="360" w:lineRule="auto"/>
      <w:ind w:firstLine="480" w:firstLineChars="0"/>
      <w:jc w:val="left"/>
      <w:textAlignment w:val="baseline"/>
    </w:pPr>
    <w:rPr>
      <w:rFonts w:ascii="Arial" w:hAnsi="Arial"/>
      <w:kern w:val="0"/>
    </w:rPr>
  </w:style>
  <w:style w:type="table" w:customStyle="1" w:styleId="36">
    <w:name w:val="Table Normal"/>
    <w:autoRedefine/>
    <w:qFormat/>
    <w:uiPriority w:val="0"/>
    <w:tblPr>
      <w:tblCellMar>
        <w:top w:w="0" w:type="dxa"/>
        <w:left w:w="0" w:type="dxa"/>
        <w:bottom w:w="0" w:type="dxa"/>
        <w:right w:w="0" w:type="dxa"/>
      </w:tblCellMar>
    </w:tblPr>
  </w:style>
  <w:style w:type="paragraph" w:customStyle="1" w:styleId="37">
    <w:name w:val="文本正文"/>
    <w:basedOn w:val="1"/>
    <w:autoRedefine/>
    <w:qFormat/>
    <w:uiPriority w:val="0"/>
    <w:pPr>
      <w:widowControl w:val="0"/>
      <w:topLinePunct/>
      <w:adjustRightInd w:val="0"/>
      <w:snapToGrid w:val="0"/>
      <w:ind w:firstLine="200" w:firstLineChars="200"/>
    </w:pPr>
    <w:rPr>
      <w:rFonts w:ascii="宋体" w:hAnsi="宋体"/>
      <w:kern w:val="0"/>
      <w:szCs w:val="20"/>
    </w:rPr>
  </w:style>
  <w:style w:type="paragraph" w:styleId="38">
    <w:name w:val="List Paragraph"/>
    <w:basedOn w:val="1"/>
    <w:autoRedefine/>
    <w:qFormat/>
    <w:uiPriority w:val="1"/>
    <w:pPr>
      <w:ind w:left="922" w:firstLine="480"/>
    </w:pPr>
    <w:rPr>
      <w:rFonts w:ascii="宋体" w:hAnsi="宋体" w:eastAsia="宋体" w:cs="宋体"/>
      <w:lang w:val="zh-CN" w:eastAsia="zh-CN" w:bidi="zh-CN"/>
    </w:rPr>
  </w:style>
  <w:style w:type="character" w:customStyle="1" w:styleId="39">
    <w:name w:val="font21"/>
    <w:qFormat/>
    <w:uiPriority w:val="0"/>
    <w:rPr>
      <w:rFonts w:hint="default" w:ascii="Times New Roman" w:hAnsi="Times New Roman" w:cs="Times New Roman"/>
      <w:color w:val="000000"/>
      <w:sz w:val="22"/>
      <w:szCs w:val="22"/>
      <w:u w:val="none"/>
    </w:rPr>
  </w:style>
  <w:style w:type="character" w:customStyle="1" w:styleId="40">
    <w:name w:val="font31"/>
    <w:basedOn w:val="23"/>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10799</Words>
  <Characters>11465</Characters>
  <Lines>426</Lines>
  <Paragraphs>120</Paragraphs>
  <TotalTime>4</TotalTime>
  <ScaleCrop>false</ScaleCrop>
  <LinksUpToDate>false</LinksUpToDate>
  <CharactersWithSpaces>11628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2023-05-23T04:10:00Z</dcterms:created>
  <dc:creator>Administrator</dc:creator>
  <cp:lastModifiedBy>快乐的占赟</cp:lastModifiedBy>
  <dcterms:modified xsi:type="dcterms:W3CDTF">2025-06-30T12:34:14Z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7C3725E958AA4E258E33C93DD23D13A1_13</vt:lpwstr>
  </property>
  <property fmtid="{D5CDD505-2E9C-101B-9397-08002B2CF9AE}" pid="4" name="KSOTemplateDocerSaveRecord">
    <vt:lpwstr>eyJoZGlkIjoiYmUxOGUxMWYzZjU3ZmNiYjc4OGQwZjZmZDE4MDhlZWQiLCJ1c2VySWQiOiI3NjE0MjY0MDEifQ==</vt:lpwstr>
  </property>
</Properties>
</file>