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0AE07">
      <w:pPr>
        <w:pStyle w:val="9"/>
        <w:wordWrap/>
        <w:spacing w:before="157" w:beforeLines="50" w:line="360" w:lineRule="auto"/>
        <w:jc w:val="both"/>
        <w:rPr>
          <w:rFonts w:hint="eastAsia" w:ascii="宋体" w:hAnsi="宋体" w:eastAsia="宋体" w:cs="宋体"/>
          <w:color w:val="auto"/>
          <w:sz w:val="30"/>
          <w:szCs w:val="30"/>
        </w:rPr>
      </w:pPr>
    </w:p>
    <w:p w14:paraId="27E7239E">
      <w:pPr>
        <w:pStyle w:val="9"/>
        <w:wordWrap/>
        <w:spacing w:before="157" w:beforeLines="50" w:line="360" w:lineRule="auto"/>
        <w:jc w:val="both"/>
        <w:rPr>
          <w:rFonts w:hint="eastAsia" w:ascii="宋体" w:hAnsi="宋体" w:eastAsia="宋体" w:cs="宋体"/>
          <w:color w:val="auto"/>
          <w:sz w:val="30"/>
          <w:szCs w:val="30"/>
        </w:rPr>
      </w:pPr>
    </w:p>
    <w:p w14:paraId="0F10E365">
      <w:pPr>
        <w:pStyle w:val="9"/>
        <w:widowControl w:val="0"/>
        <w:wordWrap/>
        <w:spacing w:before="313" w:beforeLines="100" w:line="360" w:lineRule="auto"/>
        <w:jc w:val="center"/>
        <w:textAlignment w:val="auto"/>
        <w:rPr>
          <w:rFonts w:hint="eastAsia" w:ascii="宋体" w:hAnsi="宋体" w:eastAsia="宋体" w:cs="宋体"/>
          <w:bCs/>
          <w:color w:val="auto"/>
          <w:sz w:val="72"/>
          <w:szCs w:val="72"/>
        </w:rPr>
      </w:pPr>
      <w:r>
        <w:rPr>
          <w:rFonts w:hint="eastAsia" w:ascii="宋体" w:hAnsi="宋体" w:eastAsia="宋体" w:cs="宋体"/>
          <w:color w:val="auto"/>
          <w:sz w:val="72"/>
          <w:szCs w:val="72"/>
        </w:rPr>
        <w:t>政府采购</w:t>
      </w:r>
    </w:p>
    <w:p w14:paraId="50A3893D">
      <w:pPr>
        <w:pStyle w:val="9"/>
        <w:widowControl w:val="0"/>
        <w:wordWrap/>
        <w:adjustRightInd w:val="0"/>
        <w:snapToGrid w:val="0"/>
        <w:spacing w:before="313" w:beforeLines="100" w:line="360" w:lineRule="auto"/>
        <w:jc w:val="center"/>
        <w:textAlignment w:val="auto"/>
        <w:rPr>
          <w:rFonts w:hint="eastAsia" w:ascii="宋体" w:hAnsi="宋体" w:eastAsia="宋体" w:cs="宋体"/>
          <w:color w:val="auto"/>
          <w:sz w:val="72"/>
          <w:szCs w:val="72"/>
        </w:rPr>
      </w:pPr>
      <w:r>
        <w:rPr>
          <w:rFonts w:hint="eastAsia" w:ascii="宋体" w:hAnsi="宋体" w:eastAsia="宋体" w:cs="宋体"/>
          <w:color w:val="auto"/>
          <w:sz w:val="72"/>
          <w:szCs w:val="72"/>
        </w:rPr>
        <w:t>竞争性谈判文件</w:t>
      </w:r>
    </w:p>
    <w:p w14:paraId="5E37C46D">
      <w:pPr>
        <w:pStyle w:val="9"/>
        <w:widowControl w:val="0"/>
        <w:wordWrap/>
        <w:adjustRightInd w:val="0"/>
        <w:snapToGrid w:val="0"/>
        <w:spacing w:before="313" w:beforeLines="100" w:line="360" w:lineRule="auto"/>
        <w:textAlignment w:val="auto"/>
        <w:rPr>
          <w:rFonts w:hint="eastAsia" w:ascii="宋体" w:hAnsi="宋体" w:eastAsia="宋体" w:cs="宋体"/>
          <w:color w:val="auto"/>
          <w:sz w:val="30"/>
          <w:szCs w:val="30"/>
        </w:rPr>
      </w:pPr>
    </w:p>
    <w:p w14:paraId="4A2D605E">
      <w:pPr>
        <w:pStyle w:val="9"/>
        <w:widowControl w:val="0"/>
        <w:wordWrap/>
        <w:adjustRightInd w:val="0"/>
        <w:snapToGrid w:val="0"/>
        <w:spacing w:before="313" w:beforeLines="100" w:line="360" w:lineRule="auto"/>
        <w:textAlignment w:val="auto"/>
        <w:rPr>
          <w:rFonts w:hint="eastAsia" w:ascii="宋体" w:hAnsi="宋体" w:eastAsia="宋体" w:cs="宋体"/>
          <w:color w:val="auto"/>
          <w:sz w:val="30"/>
          <w:szCs w:val="30"/>
        </w:rPr>
      </w:pPr>
    </w:p>
    <w:p w14:paraId="0D938050">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highlight w:val="none"/>
          <w:u w:val="none"/>
          <w:lang w:val="en-US" w:eastAsia="zh-CN"/>
        </w:rPr>
      </w:pPr>
      <w:r>
        <w:rPr>
          <w:rFonts w:hint="eastAsia" w:ascii="宋体" w:hAnsi="宋体" w:eastAsia="宋体" w:cs="宋体"/>
          <w:b/>
          <w:bCs w:val="0"/>
          <w:color w:val="auto"/>
          <w:sz w:val="32"/>
          <w:szCs w:val="32"/>
        </w:rPr>
        <w:t>采购项目名</w:t>
      </w:r>
      <w:r>
        <w:rPr>
          <w:rFonts w:hint="eastAsia" w:ascii="宋体" w:hAnsi="宋体" w:eastAsia="宋体" w:cs="宋体"/>
          <w:b/>
          <w:bCs w:val="0"/>
          <w:color w:val="auto"/>
          <w:sz w:val="32"/>
          <w:szCs w:val="32"/>
          <w:u w:val="none"/>
        </w:rPr>
        <w:t>称</w:t>
      </w:r>
      <w:r>
        <w:rPr>
          <w:rFonts w:hint="eastAsia" w:ascii="宋体" w:hAnsi="宋体" w:eastAsia="宋体" w:cs="宋体"/>
          <w:b/>
          <w:bCs w:val="0"/>
          <w:color w:val="auto"/>
          <w:sz w:val="32"/>
          <w:szCs w:val="32"/>
          <w:u w:val="none"/>
          <w:lang w:eastAsia="zh-CN"/>
        </w:rPr>
        <w:t>：</w:t>
      </w:r>
      <w:r>
        <w:rPr>
          <w:rFonts w:hint="eastAsia" w:ascii="宋体" w:hAnsi="宋体" w:eastAsia="宋体" w:cs="宋体"/>
          <w:b/>
          <w:bCs w:val="0"/>
          <w:color w:val="auto"/>
          <w:sz w:val="32"/>
          <w:szCs w:val="32"/>
          <w:highlight w:val="none"/>
          <w:lang w:val="en-US" w:eastAsia="zh-CN"/>
        </w:rPr>
        <w:t>2025年乌兰县智慧教育项目</w:t>
      </w:r>
    </w:p>
    <w:p w14:paraId="37AA7145">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采购项目编号：</w:t>
      </w:r>
      <w:r>
        <w:rPr>
          <w:rFonts w:hint="eastAsia" w:ascii="宋体" w:hAnsi="宋体" w:eastAsia="宋体" w:cs="宋体"/>
          <w:b/>
          <w:bCs w:val="0"/>
          <w:color w:val="auto"/>
          <w:sz w:val="32"/>
          <w:szCs w:val="32"/>
          <w:lang w:val="en-US" w:eastAsia="zh-CN"/>
        </w:rPr>
        <w:t>青海鼎钊竞谈（货物）2025-029</w:t>
      </w:r>
    </w:p>
    <w:p w14:paraId="239CEC52">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采   购   人：</w:t>
      </w:r>
      <w:r>
        <w:rPr>
          <w:rFonts w:hint="eastAsia" w:ascii="宋体" w:hAnsi="宋体" w:eastAsia="宋体" w:cs="宋体"/>
          <w:b/>
          <w:bCs w:val="0"/>
          <w:color w:val="auto"/>
          <w:sz w:val="32"/>
          <w:szCs w:val="32"/>
          <w:lang w:val="en-US" w:eastAsia="zh-CN"/>
        </w:rPr>
        <w:t>乌兰县教育局</w:t>
      </w:r>
    </w:p>
    <w:p w14:paraId="7866166B">
      <w:pPr>
        <w:widowControl w:val="0"/>
        <w:wordWrap/>
        <w:adjustRightInd w:val="0"/>
        <w:snapToGrid w:val="0"/>
        <w:spacing w:before="157" w:beforeLines="50" w:line="360" w:lineRule="auto"/>
        <w:ind w:firstLine="0" w:firstLineChars="0"/>
        <w:textAlignment w:val="auto"/>
        <w:rPr>
          <w:rFonts w:hint="eastAsia" w:ascii="宋体" w:hAnsi="宋体" w:eastAsia="宋体" w:cs="宋体"/>
          <w:b w:val="0"/>
          <w:bCs/>
          <w:color w:val="auto"/>
          <w:sz w:val="32"/>
          <w:szCs w:val="32"/>
        </w:rPr>
      </w:pPr>
      <w:r>
        <w:rPr>
          <w:rFonts w:hint="eastAsia" w:ascii="宋体" w:hAnsi="宋体" w:eastAsia="宋体" w:cs="宋体"/>
          <w:b/>
          <w:bCs w:val="0"/>
          <w:color w:val="auto"/>
          <w:sz w:val="32"/>
          <w:szCs w:val="32"/>
        </w:rPr>
        <w:t>采购代理机构：</w:t>
      </w:r>
      <w:r>
        <w:rPr>
          <w:rFonts w:hint="eastAsia" w:ascii="宋体" w:hAnsi="宋体" w:eastAsia="宋体" w:cs="宋体"/>
          <w:b/>
          <w:bCs w:val="0"/>
          <w:color w:val="auto"/>
          <w:sz w:val="32"/>
          <w:szCs w:val="32"/>
          <w:lang w:val="zh-CN" w:eastAsia="zh-CN"/>
        </w:rPr>
        <w:t>青海鼎钊招标代理有限公司</w:t>
      </w:r>
    </w:p>
    <w:p w14:paraId="48855FA6">
      <w:pPr>
        <w:wordWrap/>
        <w:autoSpaceDE w:val="0"/>
        <w:autoSpaceDN w:val="0"/>
        <w:adjustRightInd w:val="0"/>
        <w:spacing w:before="157" w:beforeLines="50" w:line="360" w:lineRule="auto"/>
        <w:jc w:val="left"/>
        <w:rPr>
          <w:rFonts w:hint="eastAsia" w:ascii="宋体" w:hAnsi="宋体" w:eastAsia="宋体" w:cs="宋体"/>
          <w:color w:val="auto"/>
          <w:kern w:val="0"/>
          <w:sz w:val="30"/>
          <w:szCs w:val="30"/>
          <w:lang w:val="zh-CN"/>
        </w:rPr>
      </w:pPr>
    </w:p>
    <w:p w14:paraId="180F5B6D">
      <w:pPr>
        <w:wordWrap/>
        <w:autoSpaceDE w:val="0"/>
        <w:autoSpaceDN w:val="0"/>
        <w:adjustRightInd w:val="0"/>
        <w:spacing w:before="157" w:beforeLines="50" w:line="360" w:lineRule="auto"/>
        <w:jc w:val="left"/>
        <w:rPr>
          <w:rFonts w:hint="eastAsia" w:ascii="宋体" w:hAnsi="宋体" w:eastAsia="宋体" w:cs="宋体"/>
          <w:color w:val="auto"/>
          <w:kern w:val="0"/>
          <w:sz w:val="30"/>
          <w:szCs w:val="30"/>
          <w:lang w:val="zh-CN"/>
        </w:rPr>
      </w:pPr>
    </w:p>
    <w:p w14:paraId="283D72B4">
      <w:pPr>
        <w:jc w:val="center"/>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2025年07月</w:t>
      </w:r>
    </w:p>
    <w:p w14:paraId="6B08BAED">
      <w:pPr>
        <w:jc w:val="center"/>
        <w:rPr>
          <w:rFonts w:hint="eastAsia" w:ascii="宋体" w:hAnsi="宋体" w:eastAsia="宋体" w:cs="宋体"/>
          <w:color w:val="auto"/>
          <w:kern w:val="0"/>
          <w:sz w:val="44"/>
          <w:szCs w:val="44"/>
          <w:lang w:val="zh-CN"/>
        </w:rPr>
      </w:pPr>
      <w:r>
        <w:rPr>
          <w:rFonts w:hint="eastAsia" w:ascii="宋体" w:hAnsi="宋体" w:eastAsia="宋体" w:cs="宋体"/>
          <w:color w:val="auto"/>
          <w:kern w:val="0"/>
          <w:sz w:val="44"/>
          <w:szCs w:val="44"/>
          <w:lang w:val="zh-CN"/>
        </w:rPr>
        <w:br w:type="page"/>
      </w:r>
    </w:p>
    <w:p w14:paraId="555EB083">
      <w:pPr>
        <w:spacing w:before="0" w:beforeLines="0" w:after="0" w:afterLines="0" w:line="24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14:paraId="0E481DAD">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_Toc13304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第一部分  </w:t>
      </w:r>
      <w:r>
        <w:rPr>
          <w:rFonts w:hint="eastAsia" w:ascii="宋体" w:hAnsi="宋体" w:eastAsia="宋体" w:cs="宋体"/>
          <w:bCs/>
          <w:color w:val="auto"/>
          <w:sz w:val="24"/>
          <w:szCs w:val="24"/>
          <w:lang w:val="en-US" w:eastAsia="zh-CN"/>
        </w:rPr>
        <w:t>谈判须知前附表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BBDB8F5">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_Toc19955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val="en-US" w:eastAsia="zh-CN"/>
        </w:rPr>
        <w:t>第二部分  谈判须知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_Toc19955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201E08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_Toc8350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一、说明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E3E27C">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1.适用范围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570781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2.采购人及代理机构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9F517B5">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3.供应商的资格要求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C7DA3B">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_Toc13228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4.谈判费用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_Toc13228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87F971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_Toc5605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二、谈判文件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_Toc5605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7FBD49C">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_Toc19841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5.谈判文件的组成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_Toc19841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E88571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_Toc27269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6.谈判文件的澄清</w:t>
      </w:r>
      <w:r>
        <w:rPr>
          <w:rFonts w:hint="eastAsia" w:ascii="宋体" w:hAnsi="宋体" w:eastAsia="宋体" w:cs="宋体"/>
          <w:bCs/>
          <w:color w:val="auto"/>
          <w:kern w:val="2"/>
          <w:sz w:val="24"/>
          <w:szCs w:val="24"/>
          <w:lang w:val="zh-CN" w:eastAsia="zh-CN" w:bidi="ar-SA"/>
        </w:rPr>
        <w:t>或者</w:t>
      </w:r>
      <w:r>
        <w:rPr>
          <w:rFonts w:hint="eastAsia" w:ascii="宋体" w:hAnsi="宋体" w:eastAsia="宋体" w:cs="宋体"/>
          <w:bCs/>
          <w:color w:val="auto"/>
          <w:kern w:val="2"/>
          <w:sz w:val="24"/>
          <w:szCs w:val="24"/>
          <w:lang w:val="en-US" w:eastAsia="zh-CN" w:bidi="ar-SA"/>
        </w:rPr>
        <w:t>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FDB56A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7.谈判文件的询问或质疑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3693C5C">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_Toc12997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3C6804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_Toc16540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8.一般要求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8383AA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_Toc25922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9.报价要求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_Toc25922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DE3A07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_Toc27585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10.保证金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FEB46FE">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_Toc7718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11.响应文件的组成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_Toc7718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F8A48FF">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_Toc3004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12.响应文件有效期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3B6C62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_Toc29012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13.响应文件的签署及规定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_Toc29012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90843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_Toc16239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四、响应文件的递交和开启</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3809D5">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_Toc31398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14.响应文件的密封和标记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066D7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_Toc12764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15.响应文件的递交和开启</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0E2037">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_Toc1373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16.响应文件的</w:t>
      </w:r>
      <w:r>
        <w:rPr>
          <w:rFonts w:hint="eastAsia" w:ascii="宋体" w:hAnsi="宋体" w:eastAsia="宋体" w:cs="宋体"/>
          <w:bCs/>
          <w:color w:val="auto"/>
          <w:kern w:val="2"/>
          <w:sz w:val="24"/>
          <w:szCs w:val="24"/>
          <w:lang w:val="zh-CN" w:eastAsia="zh-CN" w:bidi="ar-SA"/>
        </w:rPr>
        <w:t>补充、修改或者撤回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B52A2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_Toc17502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五、响应文件的评审与谈判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_Toc17502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387583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_Toc11267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17.谈判小组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_Toc11267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ED1071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_Toc21386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18.响应文件审查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_Toc21386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FC98CA">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_Toc7233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19.谈判程序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DA5EC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_Toc13352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20.澄清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6E917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_Toc18040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21.退出谈判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_Toc18040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5020DB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22.最后报价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1B6CDE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_Toc16163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23.确定成交供应商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_Toc16163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F409C0">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_Toc22206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24.重新评审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_Toc22206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D8302C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25.谈判终止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A8DC47">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26.串通情形认定及处理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7AFD87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_Toc27536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六、成交结果信息公布与授予合同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_Toc27536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BC44E9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_Toc8130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27.成交信息的公布与通知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CF796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_Toc4510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28.授予合同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BE9DA0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_Toc22051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29.履约验收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_Toc22051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D3155A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七、询问与质疑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47C7B99">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_Toc15153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30.对采购过程、结果的询问及质疑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970257">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_Toc20109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八、政府采购政策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_Toc20109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97607F">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_Toc14303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31.政府采购政策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_Toc14303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05FA44">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_Toc26727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九、其他规定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6E57A1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_Toc19781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32.代理服务费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C8959BD">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_Toc18298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33.其他规定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0281BA">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_Toc31195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highlight w:val="none"/>
          <w:lang w:val="en-US" w:eastAsia="zh-CN"/>
        </w:rPr>
        <w:t>第三部分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4300897">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_Toc28010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十、响应说明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_Toc28010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BB03EF">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_Toc27034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十一、重要指标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66DF11">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_Toc19363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第四部分</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_Toc19363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441C7E">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_Toc20524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十二、响应文件的组成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_Toc20524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9C5CD9">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_Toc30546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（一）资格审查部分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D49AC6C">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（二）有效性、完整性、响应程度审查部分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DE36F4">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4C5BD5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附件1：响应函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9EB964">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_Toc23458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附件2：法定代表人证明书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_Toc23458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8D4DD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_Toc27119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附件3：法定代表人授权书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_Toc27119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79C112">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_Toc27688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附件4：供应商承诺函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A004AD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_Toc659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附件5：供应商诚信承诺书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86947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_Toc15042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附件6：供应商资格证明文件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2FCE326">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_Toc26577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附件7：财务状况、缴纳税收和社会保障资金证明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5EFC0D2">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_Toc18432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附件8：无重大违法记录声明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_Toc18432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DEA44F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_Toc30928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附件9：谈判</w:t>
      </w:r>
      <w:r>
        <w:rPr>
          <w:rFonts w:hint="eastAsia" w:ascii="宋体" w:hAnsi="宋体" w:eastAsia="宋体" w:cs="宋体"/>
          <w:bCs w:val="0"/>
          <w:color w:val="auto"/>
          <w:kern w:val="2"/>
          <w:sz w:val="24"/>
          <w:szCs w:val="24"/>
          <w:lang w:val="zh-CN" w:eastAsia="zh-CN" w:bidi="ar-SA"/>
        </w:rPr>
        <w:t>保证金证明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D0E3AB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_Toc7156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附件10：谈判首次报价表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7007CE6">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_Toc21692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附件11：分项报价表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_Toc21692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24DA63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_Toc15096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附件12：技术规格响应表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1822C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_Toc12537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附件13：产品相关资料（具备履行合同所必须的设备和专业技术能力证明）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_Toc12537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7CDB7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附件14：享受政府采购政策优惠的证明资料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6B5D7C">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_Toc4623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附件15：最后报价表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_Toc4623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5B79E5">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_Toc1031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第五部分</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青海省政府采购项目合同书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B266D9">
      <w:pPr>
        <w:bidi w:val="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fldChar w:fldCharType="end"/>
      </w:r>
      <w:bookmarkStart w:id="0" w:name="_Toc20903"/>
      <w:bookmarkStart w:id="1" w:name="_Toc13304"/>
    </w:p>
    <w:p w14:paraId="1E82A70B">
      <w:pPr>
        <w:rPr>
          <w:rFonts w:hint="eastAsia" w:ascii="宋体" w:hAnsi="宋体" w:eastAsia="宋体" w:cs="宋体"/>
          <w:color w:val="auto"/>
          <w:kern w:val="2"/>
          <w:szCs w:val="32"/>
          <w:lang w:val="en-US" w:eastAsia="zh-CN" w:bidi="ar-SA"/>
        </w:rPr>
      </w:pPr>
      <w:r>
        <w:rPr>
          <w:rFonts w:hint="eastAsia" w:ascii="宋体" w:hAnsi="宋体" w:eastAsia="宋体" w:cs="宋体"/>
          <w:color w:val="auto"/>
          <w:kern w:val="2"/>
          <w:szCs w:val="32"/>
          <w:lang w:val="en-US" w:eastAsia="zh-CN" w:bidi="ar-SA"/>
        </w:rPr>
        <w:br w:type="page"/>
      </w:r>
    </w:p>
    <w:p w14:paraId="0DA2BB55">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第一</w:t>
      </w:r>
      <w:bookmarkStart w:id="566" w:name="_GoBack"/>
      <w:bookmarkEnd w:id="566"/>
      <w:r>
        <w:rPr>
          <w:rFonts w:hint="eastAsia" w:ascii="宋体" w:hAnsi="宋体" w:eastAsia="宋体" w:cs="宋体"/>
          <w:b/>
          <w:bCs/>
          <w:color w:val="auto"/>
          <w:kern w:val="2"/>
          <w:sz w:val="32"/>
          <w:szCs w:val="32"/>
          <w:lang w:val="en-US" w:eastAsia="zh-CN" w:bidi="ar-SA"/>
        </w:rPr>
        <w:t xml:space="preserve">部分  </w:t>
      </w:r>
      <w:bookmarkEnd w:id="0"/>
      <w:bookmarkEnd w:id="1"/>
      <w:r>
        <w:rPr>
          <w:rFonts w:hint="eastAsia" w:ascii="宋体" w:hAnsi="宋体" w:eastAsia="宋体" w:cs="宋体"/>
          <w:b/>
          <w:bCs/>
          <w:color w:val="auto"/>
          <w:sz w:val="32"/>
          <w:szCs w:val="32"/>
          <w:lang w:val="en-US" w:eastAsia="zh-CN"/>
        </w:rPr>
        <w:t>谈判须知前附表</w:t>
      </w:r>
    </w:p>
    <w:p w14:paraId="21CC0A26">
      <w:pPr>
        <w:numPr>
          <w:ilvl w:val="0"/>
          <w:numId w:val="0"/>
        </w:numPr>
        <w:rPr>
          <w:rFonts w:hint="eastAsia" w:ascii="宋体" w:hAnsi="宋体" w:eastAsia="宋体" w:cs="宋体"/>
          <w:color w:val="auto"/>
        </w:rPr>
      </w:pPr>
    </w:p>
    <w:tbl>
      <w:tblPr>
        <w:tblStyle w:val="18"/>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40" w:type="dxa"/>
          <w:bottom w:w="0" w:type="dxa"/>
          <w:right w:w="40" w:type="dxa"/>
        </w:tblCellMar>
      </w:tblPr>
      <w:tblGrid>
        <w:gridCol w:w="2328"/>
        <w:gridCol w:w="7877"/>
      </w:tblGrid>
      <w:tr w14:paraId="2D72F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97DEEE0">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p>
        </w:tc>
        <w:tc>
          <w:tcPr>
            <w:tcW w:w="7877" w:type="dxa"/>
            <w:tcBorders>
              <w:tl2br w:val="nil"/>
              <w:tr2bl w:val="nil"/>
            </w:tcBorders>
            <w:vAlign w:val="top"/>
          </w:tcPr>
          <w:p w14:paraId="459F45EA">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2025年乌兰县智慧教育项目</w:t>
            </w:r>
          </w:p>
        </w:tc>
      </w:tr>
      <w:tr w14:paraId="0AD0F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88AC83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7877" w:type="dxa"/>
            <w:tcBorders>
              <w:tl2br w:val="nil"/>
              <w:tr2bl w:val="nil"/>
            </w:tcBorders>
            <w:vAlign w:val="top"/>
          </w:tcPr>
          <w:p w14:paraId="160E14EC">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kern w:val="2"/>
                <w:sz w:val="24"/>
                <w:szCs w:val="24"/>
                <w:u w:val="single"/>
                <w:lang w:val="zh-CN"/>
              </w:rPr>
            </w:pPr>
            <w:r>
              <w:rPr>
                <w:rFonts w:hint="eastAsia" w:ascii="宋体" w:hAnsi="宋体" w:eastAsia="宋体" w:cs="宋体"/>
                <w:b w:val="0"/>
                <w:bCs/>
                <w:color w:val="auto"/>
                <w:kern w:val="0"/>
                <w:sz w:val="24"/>
                <w:szCs w:val="24"/>
                <w:u w:val="none"/>
                <w:lang w:val="en-US" w:eastAsia="zh-CN"/>
              </w:rPr>
              <w:t>青海鼎钊竞谈（货物）2025-029</w:t>
            </w:r>
          </w:p>
        </w:tc>
      </w:tr>
      <w:tr w14:paraId="65F07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F6EB6D4">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7877" w:type="dxa"/>
            <w:tcBorders>
              <w:tl2br w:val="nil"/>
              <w:tr2bl w:val="nil"/>
            </w:tcBorders>
            <w:vAlign w:val="top"/>
          </w:tcPr>
          <w:p w14:paraId="4B0DEE1B">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竞争性谈判</w:t>
            </w:r>
          </w:p>
        </w:tc>
      </w:tr>
      <w:tr w14:paraId="643F4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923B68">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采购预算额度</w:t>
            </w:r>
          </w:p>
        </w:tc>
        <w:tc>
          <w:tcPr>
            <w:tcW w:w="7877" w:type="dxa"/>
            <w:tcBorders>
              <w:tl2br w:val="nil"/>
              <w:tr2bl w:val="nil"/>
            </w:tcBorders>
            <w:vAlign w:val="top"/>
          </w:tcPr>
          <w:p w14:paraId="4784322C">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969500.00元</w:t>
            </w:r>
          </w:p>
        </w:tc>
      </w:tr>
      <w:tr w14:paraId="6964B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DB0D675">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项目分包个数</w:t>
            </w:r>
          </w:p>
        </w:tc>
        <w:tc>
          <w:tcPr>
            <w:tcW w:w="7877" w:type="dxa"/>
            <w:tcBorders>
              <w:tl2br w:val="nil"/>
              <w:tr2bl w:val="nil"/>
            </w:tcBorders>
            <w:vAlign w:val="top"/>
          </w:tcPr>
          <w:p w14:paraId="12E09773">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70661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585329">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供应商</w:t>
            </w:r>
            <w:r>
              <w:rPr>
                <w:rFonts w:hint="eastAsia" w:ascii="宋体" w:hAnsi="宋体" w:eastAsia="宋体" w:cs="宋体"/>
                <w:color w:val="auto"/>
                <w:sz w:val="24"/>
                <w:szCs w:val="24"/>
              </w:rPr>
              <w:t>资格条件</w:t>
            </w:r>
          </w:p>
        </w:tc>
        <w:tc>
          <w:tcPr>
            <w:tcW w:w="7877" w:type="dxa"/>
            <w:tcBorders>
              <w:tl2br w:val="nil"/>
              <w:tr2bl w:val="nil"/>
            </w:tcBorders>
            <w:vAlign w:val="top"/>
          </w:tcPr>
          <w:p w14:paraId="7A6DA9F1">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1.符合《政府采购法》第22条条件，并提供下列材料：</w:t>
            </w:r>
          </w:p>
          <w:p w14:paraId="0AB14E2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（1）供应商的营业执照等证明文件，自然人的身份证明。</w:t>
            </w:r>
          </w:p>
          <w:p w14:paraId="6855284F">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（2）财务状况报告，依法缴纳税收和社会保障资金的相关材料。</w:t>
            </w:r>
          </w:p>
          <w:p w14:paraId="2606CCF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（3）具备履行合同所必需的设备和专业技术能力的证明材料。</w:t>
            </w:r>
          </w:p>
          <w:p w14:paraId="5A062CC6">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（4）参加政府采购活动前3年内在经营活动中没有重大违法记录的书面声明。</w:t>
            </w:r>
          </w:p>
          <w:p w14:paraId="116C3647">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（5）具备法律、行政法规规定的其他条件的证明材料。</w:t>
            </w:r>
          </w:p>
          <w:p w14:paraId="1295655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以评审现场查询结果为准并打印留存</w:t>
            </w:r>
            <w:r>
              <w:rPr>
                <w:rFonts w:hint="eastAsia" w:ascii="宋体" w:hAnsi="宋体" w:eastAsia="宋体" w:cs="宋体"/>
                <w:color w:val="auto"/>
                <w:kern w:val="0"/>
                <w:sz w:val="24"/>
                <w:szCs w:val="24"/>
                <w:lang w:eastAsia="zh-CN"/>
              </w:rPr>
              <w:t>）</w:t>
            </w:r>
          </w:p>
          <w:p w14:paraId="4B5A6651">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3.单位负责人为同一人或者存在直接控股、管理关系的不同供应商，不得参加同一合同项下的政府采购活动。否则，皆取消投标资格；</w:t>
            </w:r>
          </w:p>
          <w:p w14:paraId="645AAB8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4.为本采购项目提供整体设计、规范编制或者项目管理、监理、检测等服务的供应商，不得再参加该采购项目的其他采购活动。</w:t>
            </w:r>
          </w:p>
        </w:tc>
      </w:tr>
      <w:tr w14:paraId="5E195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209D644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是否接收联合体形式</w:t>
            </w:r>
          </w:p>
        </w:tc>
        <w:tc>
          <w:tcPr>
            <w:tcW w:w="7877" w:type="dxa"/>
            <w:tcBorders>
              <w:tl2br w:val="nil"/>
              <w:tr2bl w:val="nil"/>
            </w:tcBorders>
            <w:vAlign w:val="top"/>
          </w:tcPr>
          <w:p w14:paraId="1565CDB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u w:val="none"/>
                <w:lang w:val="zh-CN"/>
              </w:rPr>
              <w:t>本项目</w:t>
            </w:r>
            <w:r>
              <w:rPr>
                <w:rFonts w:hint="eastAsia" w:ascii="宋体" w:hAnsi="宋体" w:eastAsia="宋体" w:cs="宋体"/>
                <w:color w:val="auto"/>
                <w:kern w:val="0"/>
                <w:sz w:val="24"/>
                <w:szCs w:val="24"/>
                <w:u w:val="none"/>
                <w:lang w:val="en-US" w:eastAsia="zh-CN"/>
              </w:rPr>
              <w:t>不接受</w:t>
            </w:r>
            <w:r>
              <w:rPr>
                <w:rFonts w:hint="eastAsia" w:ascii="宋体" w:hAnsi="宋体" w:eastAsia="宋体" w:cs="宋体"/>
                <w:color w:val="auto"/>
                <w:kern w:val="0"/>
                <w:sz w:val="24"/>
                <w:szCs w:val="24"/>
                <w:u w:val="none"/>
                <w:lang w:val="zh-CN"/>
              </w:rPr>
              <w:t>供应商以联合体方式进行谈判</w:t>
            </w:r>
          </w:p>
        </w:tc>
      </w:tr>
      <w:tr w14:paraId="506B2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6E5B80B6">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进口产品</w:t>
            </w:r>
          </w:p>
        </w:tc>
        <w:tc>
          <w:tcPr>
            <w:tcW w:w="7877" w:type="dxa"/>
            <w:tcBorders>
              <w:tl2br w:val="nil"/>
              <w:tr2bl w:val="nil"/>
            </w:tcBorders>
            <w:vAlign w:val="center"/>
          </w:tcPr>
          <w:p w14:paraId="4589329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val="0"/>
                <w:bCs/>
                <w:color w:val="auto"/>
                <w:sz w:val="24"/>
                <w:szCs w:val="24"/>
                <w:u w:val="none"/>
              </w:rPr>
              <w:t>本项目拒绝进</w:t>
            </w:r>
            <w:r>
              <w:rPr>
                <w:rFonts w:hint="eastAsia" w:ascii="宋体" w:hAnsi="宋体" w:eastAsia="宋体" w:cs="宋体"/>
                <w:color w:val="auto"/>
                <w:sz w:val="24"/>
                <w:szCs w:val="24"/>
                <w:u w:val="none"/>
              </w:rPr>
              <w:t>口产品参加谈判采购</w:t>
            </w:r>
          </w:p>
        </w:tc>
      </w:tr>
      <w:tr w14:paraId="080D6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650AA259">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公告发布时间</w:t>
            </w:r>
          </w:p>
        </w:tc>
        <w:tc>
          <w:tcPr>
            <w:tcW w:w="7877" w:type="dxa"/>
            <w:tcBorders>
              <w:tl2br w:val="nil"/>
              <w:tr2bl w:val="nil"/>
            </w:tcBorders>
            <w:vAlign w:val="top"/>
          </w:tcPr>
          <w:p w14:paraId="0F95EFCC">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zh-CN"/>
              </w:rPr>
              <w:t>2025年07月03日</w:t>
            </w:r>
          </w:p>
        </w:tc>
      </w:tr>
      <w:tr w14:paraId="0FED7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D9E1C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文件发售起止时间</w:t>
            </w:r>
          </w:p>
        </w:tc>
        <w:tc>
          <w:tcPr>
            <w:tcW w:w="7877" w:type="dxa"/>
            <w:tcBorders>
              <w:tl2br w:val="nil"/>
              <w:tr2bl w:val="nil"/>
            </w:tcBorders>
            <w:vAlign w:val="top"/>
          </w:tcPr>
          <w:p w14:paraId="5DFBB7D3">
            <w:pPr>
              <w:pStyle w:val="10"/>
              <w:keepNext w:val="0"/>
              <w:keepLines w:val="0"/>
              <w:pageBreakBefore w:val="0"/>
              <w:widowControl w:val="0"/>
              <w:kinsoku/>
              <w:wordWrap/>
              <w:overflowPunct/>
              <w:topLinePunct w:val="0"/>
              <w:bidi w:val="0"/>
              <w:adjustRightInd/>
              <w:spacing w:line="264" w:lineRule="auto"/>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zh-CN"/>
              </w:rPr>
              <w:t>2025年07月03日</w:t>
            </w:r>
            <w:r>
              <w:rPr>
                <w:rFonts w:hint="eastAsia" w:ascii="宋体" w:hAnsi="宋体" w:eastAsia="宋体" w:cs="宋体"/>
                <w:color w:val="auto"/>
                <w:sz w:val="24"/>
                <w:szCs w:val="24"/>
                <w:lang w:val="zh-CN"/>
              </w:rPr>
              <w:t>至07月</w:t>
            </w:r>
            <w:r>
              <w:rPr>
                <w:rFonts w:hint="eastAsia" w:ascii="宋体" w:hAnsi="宋体" w:cs="宋体"/>
                <w:color w:val="auto"/>
                <w:sz w:val="24"/>
                <w:szCs w:val="24"/>
                <w:lang w:val="en-US" w:eastAsia="zh-CN"/>
              </w:rPr>
              <w:t>08</w:t>
            </w:r>
            <w:r>
              <w:rPr>
                <w:rFonts w:hint="eastAsia" w:ascii="宋体" w:hAnsi="宋体" w:eastAsia="宋体" w:cs="宋体"/>
                <w:color w:val="auto"/>
                <w:sz w:val="24"/>
                <w:szCs w:val="24"/>
                <w:lang w:val="zh-CN"/>
              </w:rPr>
              <w:t>日</w:t>
            </w:r>
          </w:p>
        </w:tc>
      </w:tr>
      <w:tr w14:paraId="5BAC0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F9DD8A">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获取</w:t>
            </w:r>
            <w:r>
              <w:rPr>
                <w:rFonts w:hint="eastAsia" w:ascii="宋体" w:hAnsi="宋体" w:eastAsia="宋体" w:cs="宋体"/>
                <w:b w:val="0"/>
                <w:bCs w:val="0"/>
                <w:color w:val="auto"/>
                <w:sz w:val="24"/>
                <w:szCs w:val="24"/>
              </w:rPr>
              <w:t>谈判文件</w:t>
            </w:r>
            <w:r>
              <w:rPr>
                <w:rFonts w:hint="eastAsia" w:ascii="宋体" w:hAnsi="宋体" w:eastAsia="宋体" w:cs="宋体"/>
                <w:bCs/>
                <w:color w:val="auto"/>
                <w:sz w:val="24"/>
                <w:szCs w:val="24"/>
                <w:lang w:eastAsia="zh-CN"/>
              </w:rPr>
              <w:t>方式</w:t>
            </w:r>
          </w:p>
        </w:tc>
        <w:tc>
          <w:tcPr>
            <w:tcW w:w="7877" w:type="dxa"/>
            <w:tcBorders>
              <w:tl2br w:val="nil"/>
              <w:tr2bl w:val="nil"/>
            </w:tcBorders>
            <w:vAlign w:val="center"/>
          </w:tcPr>
          <w:p w14:paraId="2B01200D">
            <w:pPr>
              <w:keepNext w:val="0"/>
              <w:keepLines w:val="0"/>
              <w:pageBreakBefore w:val="0"/>
              <w:widowControl w:val="0"/>
              <w:tabs>
                <w:tab w:val="left" w:pos="320"/>
              </w:tabs>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登录政采云平台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在线申请获取采购文件（进入“项目采购”应用，在获取采购文件菜单中选择项目，申请获取采购文件）</w:t>
            </w:r>
          </w:p>
        </w:tc>
      </w:tr>
      <w:tr w14:paraId="4A77D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265AFCB">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 w:val="0"/>
                <w:bCs w:val="0"/>
                <w:color w:val="auto"/>
                <w:sz w:val="24"/>
                <w:szCs w:val="24"/>
              </w:rPr>
              <w:t>谈判</w:t>
            </w:r>
            <w:r>
              <w:rPr>
                <w:rFonts w:hint="eastAsia" w:ascii="宋体" w:hAnsi="宋体" w:eastAsia="宋体" w:cs="宋体"/>
                <w:color w:val="auto"/>
                <w:sz w:val="24"/>
                <w:szCs w:val="24"/>
              </w:rPr>
              <w:t>文件售价</w:t>
            </w:r>
          </w:p>
        </w:tc>
        <w:tc>
          <w:tcPr>
            <w:tcW w:w="7877" w:type="dxa"/>
            <w:tcBorders>
              <w:tl2br w:val="nil"/>
              <w:tr2bl w:val="nil"/>
            </w:tcBorders>
            <w:vAlign w:val="center"/>
          </w:tcPr>
          <w:p w14:paraId="1CCDD445">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0</w:t>
            </w:r>
          </w:p>
        </w:tc>
      </w:tr>
      <w:tr w14:paraId="261D4A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019F4DA2">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获取谈判文件地点</w:t>
            </w:r>
          </w:p>
        </w:tc>
        <w:tc>
          <w:tcPr>
            <w:tcW w:w="7877" w:type="dxa"/>
            <w:tcBorders>
              <w:tl2br w:val="nil"/>
              <w:tr2bl w:val="nil"/>
            </w:tcBorders>
            <w:vAlign w:val="center"/>
          </w:tcPr>
          <w:p w14:paraId="58CE68F3">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19814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9D34E5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提交响应文件地点</w:t>
            </w:r>
          </w:p>
        </w:tc>
        <w:tc>
          <w:tcPr>
            <w:tcW w:w="7877" w:type="dxa"/>
            <w:tcBorders>
              <w:tl2br w:val="nil"/>
              <w:tr2bl w:val="nil"/>
            </w:tcBorders>
            <w:vAlign w:val="center"/>
          </w:tcPr>
          <w:p w14:paraId="34BADCDF">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405DAE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CD04D8E">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采购人名称、地址、电话、联系人</w:t>
            </w:r>
          </w:p>
        </w:tc>
        <w:tc>
          <w:tcPr>
            <w:tcW w:w="7877" w:type="dxa"/>
            <w:tcBorders>
              <w:tl2br w:val="nil"/>
              <w:tr2bl w:val="nil"/>
            </w:tcBorders>
            <w:vAlign w:val="top"/>
          </w:tcPr>
          <w:p w14:paraId="653E88F7">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采购人：乌兰县教育局</w:t>
            </w:r>
          </w:p>
          <w:p w14:paraId="3440DA3E">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联系人：党老师</w:t>
            </w:r>
          </w:p>
          <w:p w14:paraId="7E9DBECA">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0977-8243715</w:t>
            </w:r>
          </w:p>
          <w:p w14:paraId="3B6B1053">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联系地址：乌兰县希里沟镇西大街6号</w:t>
            </w:r>
          </w:p>
        </w:tc>
      </w:tr>
      <w:tr w14:paraId="6F395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313C06">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采购代理机构及联系人电话</w:t>
            </w:r>
          </w:p>
        </w:tc>
        <w:tc>
          <w:tcPr>
            <w:tcW w:w="7877" w:type="dxa"/>
            <w:tcBorders>
              <w:tl2br w:val="nil"/>
              <w:tr2bl w:val="nil"/>
            </w:tcBorders>
            <w:vAlign w:val="top"/>
          </w:tcPr>
          <w:p w14:paraId="0B51B768">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14:paraId="48C393EA">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kern w:val="0"/>
                <w:sz w:val="24"/>
                <w:szCs w:val="24"/>
                <w:lang w:val="en-US" w:eastAsia="zh-CN"/>
              </w:rPr>
              <w:t>王先生、马女士</w:t>
            </w:r>
          </w:p>
          <w:p w14:paraId="0488774C">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kern w:val="0"/>
                <w:sz w:val="24"/>
                <w:szCs w:val="24"/>
                <w:lang w:val="en-US" w:eastAsia="zh-CN"/>
              </w:rPr>
              <w:t>0971-8179517</w:t>
            </w:r>
          </w:p>
          <w:p w14:paraId="7769362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w:t>
            </w:r>
            <w:r>
              <w:rPr>
                <w:rFonts w:hint="eastAsia" w:ascii="宋体" w:hAnsi="宋体" w:eastAsia="宋体" w:cs="宋体"/>
                <w:color w:val="auto"/>
                <w:sz w:val="24"/>
                <w:szCs w:val="24"/>
                <w:lang w:eastAsia="zh-CN"/>
              </w:rPr>
              <w:t>西宁市东川工业园区金桥路39号1号楼2楼（新力景瑞新城）</w:t>
            </w:r>
          </w:p>
        </w:tc>
      </w:tr>
      <w:tr w14:paraId="14008B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69C7554">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保证金</w:t>
            </w:r>
          </w:p>
        </w:tc>
        <w:tc>
          <w:tcPr>
            <w:tcW w:w="7877" w:type="dxa"/>
            <w:tcBorders>
              <w:tl2br w:val="nil"/>
              <w:tr2bl w:val="nil"/>
            </w:tcBorders>
            <w:vAlign w:val="center"/>
          </w:tcPr>
          <w:p w14:paraId="722DEC06">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1.谈判保证金金额：</w:t>
            </w:r>
            <w:r>
              <w:rPr>
                <w:rFonts w:hint="eastAsia" w:ascii="宋体" w:hAnsi="宋体" w:eastAsia="宋体" w:cs="宋体"/>
                <w:b/>
                <w:bCs/>
                <w:color w:val="auto"/>
                <w:sz w:val="24"/>
                <w:szCs w:val="24"/>
                <w:u w:val="none"/>
                <w:lang w:val="en-US" w:eastAsia="zh-CN"/>
              </w:rPr>
              <w:t>15000元</w:t>
            </w:r>
          </w:p>
          <w:p w14:paraId="7211188B">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2.开户银行：</w:t>
            </w:r>
            <w:r>
              <w:rPr>
                <w:rFonts w:hint="eastAsia" w:ascii="宋体" w:hAnsi="宋体" w:eastAsia="宋体" w:cs="宋体"/>
                <w:color w:val="auto"/>
                <w:sz w:val="24"/>
                <w:szCs w:val="24"/>
                <w:lang w:val="zh-CN"/>
              </w:rPr>
              <w:t>上海浦东发展银行股份有限公司西宁城东支行</w:t>
            </w:r>
          </w:p>
          <w:p w14:paraId="0D008364">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收款账号：</w:t>
            </w:r>
            <w:r>
              <w:rPr>
                <w:rFonts w:hint="eastAsia" w:ascii="宋体" w:hAnsi="宋体" w:eastAsia="宋体" w:cs="宋体"/>
                <w:color w:val="auto"/>
                <w:sz w:val="24"/>
                <w:szCs w:val="24"/>
                <w:lang w:eastAsia="zh-CN"/>
              </w:rPr>
              <w:t>35030078801500000377</w:t>
            </w:r>
          </w:p>
          <w:p w14:paraId="3ECF9AE9">
            <w:pPr>
              <w:pStyle w:val="27"/>
              <w:keepNext w:val="0"/>
              <w:keepLines w:val="0"/>
              <w:pageBreakBefore w:val="0"/>
              <w:widowControl w:val="0"/>
              <w:kinsoku/>
              <w:wordWrap/>
              <w:overflowPunct/>
              <w:topLinePunct w:val="0"/>
              <w:bidi w:val="0"/>
              <w:adjustRightIn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收款人：青海鼎钊招标代理有限公司</w:t>
            </w:r>
          </w:p>
          <w:p w14:paraId="34CE2BFE">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u w:val="none"/>
                <w:lang w:val="en-US" w:eastAsia="zh-CN"/>
              </w:rPr>
              <w:t>3.交付方式：</w:t>
            </w:r>
            <w:r>
              <w:rPr>
                <w:rFonts w:hint="eastAsia" w:ascii="宋体" w:hAnsi="宋体" w:eastAsia="宋体" w:cs="宋体"/>
                <w:b w:val="0"/>
                <w:bCs w:val="0"/>
                <w:color w:val="auto"/>
                <w:sz w:val="24"/>
                <w:szCs w:val="24"/>
              </w:rPr>
              <w:t>谈判保证金</w:t>
            </w:r>
            <w:r>
              <w:rPr>
                <w:rFonts w:hint="eastAsia" w:ascii="宋体" w:hAnsi="宋体" w:eastAsia="宋体" w:cs="宋体"/>
                <w:color w:val="auto"/>
                <w:sz w:val="24"/>
                <w:szCs w:val="24"/>
                <w:lang w:val="zh-CN"/>
              </w:rPr>
              <w:t>保证金应当以支票、汇票、本票或者金融机构、担保机构出具的保函等非现金形式提交。供应商未按照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val="zh-CN"/>
              </w:rPr>
              <w:t>文件要求提交谈判保证金的，投标无效。</w:t>
            </w:r>
          </w:p>
          <w:p w14:paraId="0D1BD37A">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4.其他注意事项（详见谈判文件）</w:t>
            </w:r>
          </w:p>
        </w:tc>
      </w:tr>
      <w:tr w14:paraId="54746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EE207E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响应文件有效期</w:t>
            </w:r>
          </w:p>
        </w:tc>
        <w:tc>
          <w:tcPr>
            <w:tcW w:w="7877" w:type="dxa"/>
            <w:tcBorders>
              <w:tl2br w:val="nil"/>
              <w:tr2bl w:val="nil"/>
            </w:tcBorders>
            <w:vAlign w:val="center"/>
          </w:tcPr>
          <w:p w14:paraId="38E563DD">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自谈判提交响应文件截止之日起不少于</w:t>
            </w:r>
            <w:r>
              <w:rPr>
                <w:rFonts w:hint="eastAsia" w:ascii="宋体" w:hAnsi="宋体" w:eastAsia="宋体" w:cs="宋体"/>
                <w:color w:val="auto"/>
                <w:sz w:val="24"/>
                <w:szCs w:val="24"/>
                <w:u w:val="none"/>
                <w:lang w:val="en-US" w:eastAsia="zh-CN"/>
              </w:rPr>
              <w:t>60</w:t>
            </w:r>
            <w:r>
              <w:rPr>
                <w:rFonts w:hint="eastAsia" w:ascii="宋体" w:hAnsi="宋体" w:eastAsia="宋体" w:cs="宋体"/>
                <w:color w:val="auto"/>
                <w:sz w:val="24"/>
                <w:szCs w:val="24"/>
                <w:lang w:val="en-US" w:eastAsia="zh-CN"/>
              </w:rPr>
              <w:t>天</w:t>
            </w:r>
          </w:p>
        </w:tc>
      </w:tr>
      <w:tr w14:paraId="7D123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2A2F8625">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提交响应文件的截止时间</w:t>
            </w:r>
          </w:p>
        </w:tc>
        <w:tc>
          <w:tcPr>
            <w:tcW w:w="7877" w:type="dxa"/>
            <w:tcBorders>
              <w:tl2br w:val="nil"/>
              <w:tr2bl w:val="nil"/>
            </w:tcBorders>
            <w:vAlign w:val="center"/>
          </w:tcPr>
          <w:p w14:paraId="328F09BB">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cs="宋体"/>
                <w:color w:val="auto"/>
                <w:sz w:val="24"/>
                <w:szCs w:val="24"/>
                <w:lang w:val="zh-CN"/>
              </w:rPr>
              <w:t>2025年07月09日上午9:30</w:t>
            </w:r>
          </w:p>
        </w:tc>
      </w:tr>
      <w:tr w14:paraId="3E277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3CC8BB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开启时间及谈判地点</w:t>
            </w:r>
          </w:p>
        </w:tc>
        <w:tc>
          <w:tcPr>
            <w:tcW w:w="7877" w:type="dxa"/>
            <w:tcBorders>
              <w:tl2br w:val="nil"/>
              <w:tr2bl w:val="nil"/>
            </w:tcBorders>
            <w:vAlign w:val="center"/>
          </w:tcPr>
          <w:p w14:paraId="355DD3C5">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响应文件开启时间：</w:t>
            </w:r>
            <w:r>
              <w:rPr>
                <w:rFonts w:hint="eastAsia" w:ascii="宋体" w:hAnsi="宋体" w:cs="宋体"/>
                <w:color w:val="auto"/>
                <w:sz w:val="24"/>
                <w:szCs w:val="24"/>
                <w:lang w:val="zh-CN"/>
              </w:rPr>
              <w:t>2025年07月09日上午9:30</w:t>
            </w:r>
          </w:p>
          <w:p w14:paraId="6EE674BE">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2.谈判地点：</w:t>
            </w:r>
            <w:r>
              <w:rPr>
                <w:rFonts w:hint="eastAsia" w:ascii="宋体" w:hAnsi="宋体" w:eastAsia="宋体" w:cs="宋体"/>
                <w:color w:val="auto"/>
                <w:sz w:val="24"/>
                <w:szCs w:val="24"/>
                <w:lang w:eastAsia="zh-CN"/>
              </w:rPr>
              <w:t>西宁市东川工业园区金桥路39号1号楼2楼（新力景瑞新城）</w:t>
            </w:r>
          </w:p>
        </w:tc>
      </w:tr>
      <w:tr w14:paraId="20651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4B06F91">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财政部门指定的媒体</w:t>
            </w:r>
          </w:p>
        </w:tc>
        <w:tc>
          <w:tcPr>
            <w:tcW w:w="7877" w:type="dxa"/>
            <w:tcBorders>
              <w:tl2br w:val="nil"/>
              <w:tr2bl w:val="nil"/>
            </w:tcBorders>
            <w:vAlign w:val="center"/>
          </w:tcPr>
          <w:p w14:paraId="725647AF">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w:t>
            </w:r>
          </w:p>
        </w:tc>
      </w:tr>
      <w:tr w14:paraId="17768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AA7F0D1">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政策功能</w:t>
            </w:r>
          </w:p>
        </w:tc>
        <w:tc>
          <w:tcPr>
            <w:tcW w:w="7877" w:type="dxa"/>
            <w:tcBorders>
              <w:tl2br w:val="nil"/>
              <w:tr2bl w:val="nil"/>
            </w:tcBorders>
            <w:vAlign w:val="center"/>
          </w:tcPr>
          <w:p w14:paraId="685EA598">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所投产品属于《节能产品政府采购品目清单》范围内且获得国家确定的认证机构出具的、处于有效期之内的《节能产品认证证书》的和所投产品属于《环境标志产品政府采购品目清单》范围内且获得国家确定的认证机构出具的、处于有效期之内的《环境标志产品认证证书》的实施</w:t>
            </w:r>
            <w:r>
              <w:rPr>
                <w:rFonts w:hint="eastAsia" w:ascii="宋体" w:hAnsi="宋体" w:eastAsia="宋体" w:cs="宋体"/>
                <w:color w:val="auto"/>
                <w:sz w:val="24"/>
                <w:szCs w:val="24"/>
                <w:u w:val="none"/>
                <w:lang w:val="en-US" w:eastAsia="zh-CN"/>
              </w:rPr>
              <w:t>政府</w:t>
            </w:r>
            <w:r>
              <w:rPr>
                <w:rFonts w:hint="eastAsia" w:ascii="宋体" w:hAnsi="宋体" w:eastAsia="宋体" w:cs="宋体"/>
                <w:color w:val="auto"/>
                <w:sz w:val="24"/>
                <w:szCs w:val="24"/>
                <w:lang w:val="en-US" w:eastAsia="zh-CN"/>
              </w:rPr>
              <w:t>优先采购或强制采购。对</w:t>
            </w:r>
            <w:r>
              <w:rPr>
                <w:rFonts w:hint="eastAsia" w:ascii="宋体" w:hAnsi="宋体" w:eastAsia="宋体" w:cs="宋体"/>
                <w:color w:val="auto"/>
                <w:sz w:val="24"/>
                <w:szCs w:val="24"/>
                <w:lang w:val="zh-CN"/>
              </w:rPr>
              <w:t>符合《政府采购促进中小企业发展管理办法》规定的小微企业的报价，残疾人福利性单位、监狱企业的报价</w:t>
            </w:r>
            <w:r>
              <w:rPr>
                <w:rFonts w:hint="eastAsia" w:ascii="宋体" w:hAnsi="宋体" w:eastAsia="宋体" w:cs="宋体"/>
                <w:color w:val="auto"/>
                <w:sz w:val="24"/>
                <w:szCs w:val="24"/>
                <w:lang w:val="en-US" w:eastAsia="zh-CN"/>
              </w:rPr>
              <w:t>给予10%的价格扣除。</w:t>
            </w:r>
          </w:p>
        </w:tc>
      </w:tr>
      <w:tr w14:paraId="50FCD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33F3D178">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877" w:type="dxa"/>
            <w:tcBorders>
              <w:tl2br w:val="nil"/>
              <w:tr2bl w:val="nil"/>
            </w:tcBorders>
            <w:vAlign w:val="center"/>
          </w:tcPr>
          <w:p w14:paraId="123F59F1">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ascii="宋体" w:hAnsi="宋体" w:eastAsia="宋体" w:cs="宋体"/>
                <w:b/>
                <w:bCs/>
                <w:color w:val="auto"/>
                <w:sz w:val="24"/>
                <w:szCs w:val="24"/>
                <w:lang w:val="en-US" w:eastAsia="zh-CN"/>
              </w:rPr>
              <w:t>成交供应商</w:t>
            </w:r>
          </w:p>
          <w:p w14:paraId="7E14314E">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收费金额：</w:t>
            </w:r>
            <w:r>
              <w:rPr>
                <w:rFonts w:hint="eastAsia" w:ascii="宋体" w:hAnsi="宋体" w:eastAsia="宋体" w:cs="宋体"/>
                <w:b/>
                <w:bCs/>
                <w:color w:val="auto"/>
                <w:sz w:val="24"/>
                <w:szCs w:val="24"/>
                <w:lang w:val="en-US" w:eastAsia="zh-CN"/>
              </w:rPr>
              <w:t>7000.00</w:t>
            </w:r>
            <w:r>
              <w:rPr>
                <w:rFonts w:hint="eastAsia" w:ascii="宋体" w:hAnsi="宋体" w:eastAsia="宋体" w:cs="宋体"/>
                <w:b/>
                <w:bCs/>
                <w:color w:val="auto"/>
                <w:sz w:val="24"/>
                <w:szCs w:val="24"/>
                <w:lang w:val="zh-CN" w:eastAsia="zh-CN"/>
              </w:rPr>
              <w:t>元</w:t>
            </w:r>
          </w:p>
          <w:p w14:paraId="4D8FA3AE">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收款单位：青海鼎钊招标代理有限公司</w:t>
            </w:r>
          </w:p>
          <w:p w14:paraId="1DA402CA">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开户行：</w:t>
            </w:r>
            <w:r>
              <w:rPr>
                <w:rFonts w:hint="eastAsia" w:ascii="宋体" w:hAnsi="宋体" w:eastAsia="宋体" w:cs="宋体"/>
                <w:color w:val="auto"/>
                <w:sz w:val="24"/>
                <w:szCs w:val="24"/>
                <w:lang w:eastAsia="zh-CN"/>
              </w:rPr>
              <w:t>中国农业银行股份有限公司西宁城东经济技术开发区支行</w:t>
            </w:r>
          </w:p>
          <w:p w14:paraId="540BC977">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eastAsia="zh-CN"/>
              </w:rPr>
              <w:t>银行账号：</w:t>
            </w:r>
            <w:r>
              <w:rPr>
                <w:rFonts w:hint="eastAsia" w:ascii="宋体" w:hAnsi="宋体" w:eastAsia="宋体" w:cs="宋体"/>
                <w:color w:val="auto"/>
                <w:sz w:val="24"/>
                <w:szCs w:val="24"/>
                <w:lang w:eastAsia="zh-CN"/>
              </w:rPr>
              <w:t>2801 2001 0400 0229 1</w:t>
            </w:r>
          </w:p>
        </w:tc>
      </w:tr>
      <w:tr w14:paraId="2F87D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31AC2E">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其他规定</w:t>
            </w:r>
          </w:p>
        </w:tc>
        <w:tc>
          <w:tcPr>
            <w:tcW w:w="7877" w:type="dxa"/>
            <w:tcBorders>
              <w:tl2br w:val="nil"/>
              <w:tr2bl w:val="nil"/>
            </w:tcBorders>
            <w:vAlign w:val="center"/>
          </w:tcPr>
          <w:p w14:paraId="042A79A0">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公告发布</w:t>
            </w:r>
            <w:r>
              <w:rPr>
                <w:rFonts w:hint="eastAsia" w:ascii="宋体" w:hAnsi="宋体" w:eastAsia="宋体" w:cs="宋体"/>
                <w:color w:val="auto"/>
                <w:sz w:val="24"/>
                <w:szCs w:val="24"/>
                <w:lang w:val="en-US" w:eastAsia="zh-CN"/>
              </w:rPr>
              <w:t>网站</w:t>
            </w:r>
            <w:r>
              <w:rPr>
                <w:rFonts w:hint="eastAsia" w:ascii="宋体" w:hAnsi="宋体" w:eastAsia="宋体" w:cs="宋体"/>
                <w:color w:val="auto"/>
                <w:sz w:val="24"/>
                <w:szCs w:val="24"/>
                <w:lang w:val="zh-CN" w:eastAsia="zh-CN"/>
              </w:rPr>
              <w:t>：《青海政府采购网》、《青海省电子招标投标公共服务平台》、《青海项目信息网》，公告内容以《青海政府采购网》发布的为准。</w:t>
            </w:r>
          </w:p>
          <w:p w14:paraId="4612BFEF">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2.本次采购采用线上提交电子响应文件的方式进行采购，电子响应文件须在提交响应文件截止时间前上传。</w:t>
            </w:r>
          </w:p>
          <w:p w14:paraId="64A51650">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3.若对项目采购电子交易系统（政采云平台）操作有疑问，可登录</w:t>
            </w: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val="en-US" w:eastAsia="zh-CN"/>
              </w:rPr>
              <w:t>点击右侧咨询小采或拨打政采云服务热线95763。</w:t>
            </w:r>
          </w:p>
        </w:tc>
      </w:tr>
      <w:tr w14:paraId="35C5A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01BFF24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7877" w:type="dxa"/>
            <w:tcBorders>
              <w:tl2br w:val="nil"/>
              <w:tr2bl w:val="nil"/>
            </w:tcBorders>
            <w:vAlign w:val="center"/>
          </w:tcPr>
          <w:p w14:paraId="083AD639">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监督单位：</w:t>
            </w:r>
            <w:r>
              <w:rPr>
                <w:rFonts w:hint="eastAsia" w:ascii="宋体" w:hAnsi="宋体" w:eastAsia="宋体" w:cs="宋体"/>
                <w:color w:val="auto"/>
                <w:kern w:val="0"/>
                <w:sz w:val="24"/>
                <w:szCs w:val="24"/>
                <w:lang w:val="en-US" w:eastAsia="zh-CN"/>
              </w:rPr>
              <w:t>乌兰县财政局</w:t>
            </w:r>
          </w:p>
          <w:p w14:paraId="396DD327">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联系电话：0977-8243909</w:t>
            </w:r>
          </w:p>
        </w:tc>
      </w:tr>
    </w:tbl>
    <w:p w14:paraId="412C8715">
      <w:pPr>
        <w:spacing w:line="360" w:lineRule="auto"/>
        <w:jc w:val="right"/>
        <w:rPr>
          <w:rFonts w:hint="eastAsia" w:ascii="宋体" w:hAnsi="宋体" w:eastAsia="宋体" w:cs="宋体"/>
          <w:b w:val="0"/>
          <w:bCs w:val="0"/>
          <w:color w:val="auto"/>
          <w:sz w:val="24"/>
          <w:szCs w:val="24"/>
          <w:lang w:val="en-US" w:eastAsia="zh-CN"/>
        </w:rPr>
      </w:pPr>
      <w:bookmarkStart w:id="2" w:name="_Toc13430_WPSOffice_Level1"/>
      <w:bookmarkStart w:id="3" w:name="_Toc25918_WPSOffice_Level1"/>
      <w:bookmarkStart w:id="4" w:name="_Toc26774_WPSOffice_Level1"/>
      <w:bookmarkStart w:id="5" w:name="_Toc68"/>
      <w:bookmarkStart w:id="6" w:name="_Toc7063_WPSOffice_Level1"/>
      <w:bookmarkStart w:id="7" w:name="_Toc29806_WPSOffice_Level1"/>
      <w:bookmarkStart w:id="8" w:name="_Toc29348_WPSOffice_Level1"/>
      <w:bookmarkStart w:id="9" w:name="_Toc17554"/>
      <w:bookmarkStart w:id="10" w:name="_Toc19849"/>
      <w:r>
        <w:rPr>
          <w:rFonts w:hint="eastAsia" w:ascii="宋体" w:hAnsi="宋体" w:eastAsia="宋体" w:cs="宋体"/>
          <w:b w:val="0"/>
          <w:bCs w:val="0"/>
          <w:color w:val="auto"/>
          <w:sz w:val="24"/>
          <w:szCs w:val="24"/>
          <w:lang w:val="en-US" w:eastAsia="zh-CN"/>
        </w:rPr>
        <w:t>青海鼎钊招标代理有限公司</w:t>
      </w:r>
    </w:p>
    <w:p w14:paraId="0808C35B">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zh-CN"/>
        </w:rPr>
        <w:t>2025年07月03日</w:t>
      </w:r>
    </w:p>
    <w:p w14:paraId="52C7F2C1">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44"/>
          <w:szCs w:val="44"/>
          <w:lang w:val="en-US" w:eastAsia="zh-CN"/>
        </w:rPr>
        <w:br w:type="page"/>
      </w:r>
    </w:p>
    <w:p w14:paraId="6FBBF24B">
      <w:pPr>
        <w:pStyle w:val="2"/>
        <w:numPr>
          <w:ilvl w:val="0"/>
          <w:numId w:val="0"/>
        </w:numPr>
        <w:wordWrap/>
        <w:adjustRightInd w:val="0"/>
        <w:snapToGrid w:val="0"/>
        <w:spacing w:before="157" w:beforeLines="50" w:line="560" w:lineRule="exact"/>
        <w:jc w:val="center"/>
        <w:outlineLvl w:val="0"/>
        <w:rPr>
          <w:rFonts w:hint="eastAsia" w:ascii="宋体" w:hAnsi="宋体" w:eastAsia="宋体" w:cs="宋体"/>
          <w:b/>
          <w:bCs/>
          <w:color w:val="auto"/>
          <w:sz w:val="32"/>
          <w:szCs w:val="32"/>
          <w:lang w:val="en-US" w:eastAsia="zh-CN"/>
        </w:rPr>
      </w:pPr>
      <w:bookmarkStart w:id="11" w:name="_Toc19955"/>
      <w:r>
        <w:rPr>
          <w:rFonts w:hint="eastAsia" w:ascii="宋体" w:hAnsi="宋体" w:eastAsia="宋体" w:cs="宋体"/>
          <w:b/>
          <w:bCs/>
          <w:color w:val="auto"/>
          <w:sz w:val="32"/>
          <w:szCs w:val="32"/>
          <w:lang w:val="en-US" w:eastAsia="zh-CN"/>
        </w:rPr>
        <w:t>第二部分  谈判须知</w:t>
      </w:r>
      <w:bookmarkEnd w:id="2"/>
      <w:bookmarkEnd w:id="3"/>
      <w:bookmarkEnd w:id="4"/>
      <w:bookmarkEnd w:id="5"/>
      <w:bookmarkEnd w:id="6"/>
      <w:bookmarkEnd w:id="7"/>
      <w:bookmarkEnd w:id="8"/>
      <w:bookmarkEnd w:id="9"/>
      <w:bookmarkEnd w:id="10"/>
      <w:bookmarkEnd w:id="11"/>
    </w:p>
    <w:p w14:paraId="43EC3A25">
      <w:pPr>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outlineLvl w:val="1"/>
        <w:rPr>
          <w:rFonts w:hint="eastAsia" w:ascii="宋体" w:hAnsi="宋体" w:eastAsia="宋体" w:cs="宋体"/>
          <w:b/>
          <w:bCs/>
          <w:color w:val="auto"/>
          <w:kern w:val="2"/>
          <w:sz w:val="28"/>
          <w:szCs w:val="28"/>
          <w:lang w:val="en-US" w:eastAsia="zh-CN" w:bidi="ar-SA"/>
        </w:rPr>
      </w:pPr>
      <w:bookmarkStart w:id="12" w:name="_Toc7063_WPSOffice_Level2"/>
      <w:bookmarkStart w:id="13" w:name="_Toc34637765"/>
      <w:bookmarkStart w:id="14" w:name="_Toc29348_WPSOffice_Level2"/>
      <w:bookmarkStart w:id="15" w:name="_Toc8350"/>
      <w:bookmarkStart w:id="16" w:name="_Toc17019_WPSOffice_Level2"/>
      <w:bookmarkStart w:id="17" w:name="_Toc9336"/>
      <w:bookmarkStart w:id="18" w:name="_Toc16562"/>
      <w:bookmarkStart w:id="19" w:name="_Toc27795"/>
      <w:r>
        <w:rPr>
          <w:rFonts w:hint="eastAsia" w:ascii="宋体" w:hAnsi="宋体" w:eastAsia="宋体" w:cs="宋体"/>
          <w:b/>
          <w:bCs/>
          <w:color w:val="auto"/>
          <w:kern w:val="2"/>
          <w:sz w:val="28"/>
          <w:szCs w:val="28"/>
          <w:lang w:val="en-US" w:eastAsia="zh-CN" w:bidi="ar-SA"/>
        </w:rPr>
        <w:t>一、说明</w:t>
      </w:r>
      <w:bookmarkEnd w:id="12"/>
      <w:bookmarkEnd w:id="13"/>
      <w:bookmarkEnd w:id="14"/>
      <w:bookmarkEnd w:id="15"/>
      <w:bookmarkEnd w:id="16"/>
      <w:bookmarkEnd w:id="17"/>
      <w:bookmarkEnd w:id="18"/>
      <w:bookmarkEnd w:id="19"/>
    </w:p>
    <w:p w14:paraId="5915A75D">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0" w:name="_Toc11775_WPSOffice_Level3"/>
      <w:bookmarkStart w:id="21" w:name="_Toc7063_WPSOffice_Level3"/>
      <w:bookmarkStart w:id="22" w:name="_Toc29026"/>
      <w:bookmarkStart w:id="23" w:name="_Toc13645"/>
      <w:bookmarkStart w:id="24" w:name="_Toc3322"/>
      <w:r>
        <w:rPr>
          <w:rFonts w:hint="eastAsia" w:ascii="宋体" w:hAnsi="宋体" w:eastAsia="宋体" w:cs="宋体"/>
          <w:b/>
          <w:bCs/>
          <w:color w:val="auto"/>
          <w:kern w:val="2"/>
          <w:sz w:val="24"/>
          <w:szCs w:val="24"/>
          <w:lang w:val="en-US" w:eastAsia="zh-CN" w:bidi="ar-SA"/>
        </w:rPr>
        <w:t>1.适用范围</w:t>
      </w:r>
      <w:bookmarkEnd w:id="20"/>
      <w:bookmarkEnd w:id="21"/>
      <w:bookmarkEnd w:id="22"/>
      <w:bookmarkEnd w:id="23"/>
      <w:bookmarkEnd w:id="24"/>
    </w:p>
    <w:p w14:paraId="1769E62E">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本竞争性谈判文件仅适用于</w:t>
      </w:r>
      <w:r>
        <w:rPr>
          <w:rFonts w:hint="eastAsia" w:ascii="宋体" w:hAnsi="宋体" w:eastAsia="宋体" w:cs="宋体"/>
          <w:color w:val="auto"/>
          <w:sz w:val="24"/>
          <w:szCs w:val="24"/>
          <w:lang w:eastAsia="zh-CN"/>
        </w:rPr>
        <w:t>前述</w:t>
      </w:r>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eastAsia="zh-CN"/>
        </w:rPr>
        <w:t>谈判须知前附表</w:t>
      </w:r>
      <w:r>
        <w:rPr>
          <w:rFonts w:hint="eastAsia" w:ascii="宋体" w:hAnsi="宋体" w:eastAsia="宋体" w:cs="宋体"/>
          <w:b/>
          <w:color w:val="auto"/>
          <w:sz w:val="24"/>
          <w:szCs w:val="24"/>
        </w:rPr>
        <w:t>】</w:t>
      </w:r>
      <w:r>
        <w:rPr>
          <w:rFonts w:hint="eastAsia" w:ascii="宋体" w:hAnsi="宋体" w:eastAsia="宋体" w:cs="宋体"/>
          <w:color w:val="auto"/>
          <w:sz w:val="24"/>
          <w:szCs w:val="24"/>
        </w:rPr>
        <w:t>中所叙述的采购项目。</w:t>
      </w:r>
    </w:p>
    <w:p w14:paraId="1CEE6062">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5" w:name="_Toc1646"/>
      <w:bookmarkStart w:id="26" w:name="_Toc2112"/>
      <w:bookmarkStart w:id="27" w:name="_Toc2404_WPSOffice_Level3"/>
      <w:bookmarkStart w:id="28" w:name="_Toc12080"/>
      <w:bookmarkStart w:id="29" w:name="_Toc15754_WPSOffice_Level3"/>
      <w:r>
        <w:rPr>
          <w:rFonts w:hint="eastAsia" w:ascii="宋体" w:hAnsi="宋体" w:eastAsia="宋体" w:cs="宋体"/>
          <w:b/>
          <w:bCs/>
          <w:color w:val="auto"/>
          <w:kern w:val="2"/>
          <w:sz w:val="24"/>
          <w:szCs w:val="24"/>
          <w:lang w:val="en-US" w:eastAsia="zh-CN" w:bidi="ar-SA"/>
        </w:rPr>
        <w:t>2.采购人及代理机构</w:t>
      </w:r>
      <w:bookmarkEnd w:id="25"/>
      <w:bookmarkEnd w:id="26"/>
      <w:bookmarkEnd w:id="27"/>
      <w:bookmarkEnd w:id="28"/>
      <w:bookmarkEnd w:id="29"/>
    </w:p>
    <w:p w14:paraId="6203138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采购人名称、地址、电话、联系人见【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0300D73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代理机构名称</w:t>
      </w:r>
      <w:r>
        <w:rPr>
          <w:rFonts w:hint="eastAsia" w:ascii="宋体" w:hAnsi="宋体" w:eastAsia="宋体" w:cs="宋体"/>
          <w:color w:val="auto"/>
          <w:sz w:val="24"/>
          <w:szCs w:val="24"/>
        </w:rPr>
        <w:t>、地址、电话、联系人</w:t>
      </w:r>
      <w:r>
        <w:rPr>
          <w:rFonts w:hint="eastAsia" w:ascii="宋体" w:hAnsi="宋体" w:eastAsia="宋体" w:cs="宋体"/>
          <w:color w:val="auto"/>
          <w:sz w:val="24"/>
          <w:szCs w:val="24"/>
          <w:lang w:eastAsia="zh-CN"/>
        </w:rPr>
        <w:t>、邮箱</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425EB7EC">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0" w:name="_Toc21695"/>
      <w:bookmarkStart w:id="31" w:name="_Toc8089_WPSOffice_Level3"/>
      <w:bookmarkStart w:id="32" w:name="_Toc31395"/>
      <w:bookmarkStart w:id="33" w:name="_Toc955_WPSOffice_Level3"/>
      <w:bookmarkStart w:id="34" w:name="_Toc19728"/>
      <w:r>
        <w:rPr>
          <w:rFonts w:hint="eastAsia" w:ascii="宋体" w:hAnsi="宋体" w:eastAsia="宋体" w:cs="宋体"/>
          <w:b/>
          <w:bCs/>
          <w:color w:val="auto"/>
          <w:kern w:val="2"/>
          <w:sz w:val="24"/>
          <w:szCs w:val="24"/>
          <w:lang w:val="en-US" w:eastAsia="zh-CN" w:bidi="ar-SA"/>
        </w:rPr>
        <w:t>3.供应商的资格要求</w:t>
      </w:r>
      <w:bookmarkEnd w:id="30"/>
      <w:bookmarkEnd w:id="31"/>
      <w:bookmarkEnd w:id="32"/>
      <w:bookmarkEnd w:id="33"/>
      <w:bookmarkEnd w:id="34"/>
    </w:p>
    <w:p w14:paraId="6FCD28A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3.1供应商是指响应谈判文件要求、参加竞争性谈判采购的法人、其他组织或者自然人。</w:t>
      </w:r>
    </w:p>
    <w:p w14:paraId="7463B53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3.2供应商应当符合【谈判须知前附表】规定的供应商资格条件。</w:t>
      </w:r>
    </w:p>
    <w:p w14:paraId="6FA1E65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3.3【谈判须知前附表】规定接受联合体形式的，供应商除应符合上述资格条件的规定外，还应遵守以下规定：</w:t>
      </w:r>
    </w:p>
    <w:p w14:paraId="292E325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（l）联合体中有同类资质的供应商按照联合体分工承担相同工作的，应当按照资质等级较低的供应商确定资质等级。</w:t>
      </w:r>
    </w:p>
    <w:p w14:paraId="0D9D296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（2）联合体各方应按谈判文件提供的格式签订联合体协议书，明确联合体牵头人和各方的权利义务、合同工作量比例；</w:t>
      </w:r>
    </w:p>
    <w:p w14:paraId="78E260AC">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（3）联合体各方签订联合体协议书后，</w:t>
      </w:r>
      <w:r>
        <w:rPr>
          <w:rFonts w:hint="eastAsia" w:ascii="宋体" w:hAnsi="宋体" w:eastAsia="宋体" w:cs="宋体"/>
          <w:color w:val="auto"/>
          <w:sz w:val="24"/>
          <w:szCs w:val="24"/>
          <w:lang w:val="zh-CN"/>
        </w:rPr>
        <w:t>不得再单独参加或者与其他供应商组成新的联合体参加同一合同项下的采购活动。</w:t>
      </w:r>
    </w:p>
    <w:p w14:paraId="6FAF5E7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5" w:name="_Toc13228"/>
      <w:bookmarkStart w:id="36" w:name="_Toc24112_WPSOffice_Level3"/>
      <w:bookmarkStart w:id="37" w:name="_Toc15386"/>
      <w:bookmarkStart w:id="38" w:name="_Toc18921"/>
      <w:bookmarkStart w:id="39" w:name="_Toc29322_WPSOffice_Level3"/>
      <w:r>
        <w:rPr>
          <w:rFonts w:hint="eastAsia" w:ascii="宋体" w:hAnsi="宋体" w:eastAsia="宋体" w:cs="宋体"/>
          <w:b/>
          <w:bCs/>
          <w:color w:val="auto"/>
          <w:kern w:val="2"/>
          <w:sz w:val="24"/>
          <w:szCs w:val="24"/>
          <w:lang w:val="en-US" w:eastAsia="zh-CN" w:bidi="ar-SA"/>
        </w:rPr>
        <w:t>4.谈判费用</w:t>
      </w:r>
      <w:bookmarkEnd w:id="35"/>
      <w:bookmarkEnd w:id="36"/>
      <w:bookmarkEnd w:id="37"/>
      <w:bookmarkEnd w:id="38"/>
      <w:bookmarkEnd w:id="39"/>
    </w:p>
    <w:p w14:paraId="62B338F4">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无论谈判的结果如何，供应商应自行承担所有与竞争性谈判采购活动有关的全部费用。</w:t>
      </w:r>
    </w:p>
    <w:p w14:paraId="36453553">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40" w:name="_Toc24356"/>
      <w:bookmarkStart w:id="41" w:name="_Toc5605"/>
      <w:bookmarkStart w:id="42" w:name="_Toc28758"/>
      <w:bookmarkStart w:id="43" w:name="_Toc24182"/>
      <w:bookmarkStart w:id="44" w:name="_Toc19663_WPSOffice_Level2"/>
      <w:bookmarkStart w:id="45" w:name="_Toc2404_WPSOffice_Level2"/>
      <w:bookmarkStart w:id="46" w:name="_Toc4912_WPSOffice_Level2"/>
      <w:bookmarkStart w:id="47" w:name="_Toc34637766"/>
      <w:r>
        <w:rPr>
          <w:rFonts w:hint="eastAsia" w:ascii="宋体" w:hAnsi="宋体" w:eastAsia="宋体" w:cs="宋体"/>
          <w:b/>
          <w:bCs/>
          <w:color w:val="auto"/>
          <w:kern w:val="2"/>
          <w:sz w:val="28"/>
          <w:szCs w:val="28"/>
          <w:lang w:val="en-US" w:eastAsia="zh-CN" w:bidi="ar-SA"/>
        </w:rPr>
        <w:t>二、谈判文件</w:t>
      </w:r>
      <w:bookmarkEnd w:id="40"/>
      <w:bookmarkEnd w:id="41"/>
      <w:bookmarkEnd w:id="42"/>
      <w:bookmarkEnd w:id="43"/>
      <w:bookmarkEnd w:id="44"/>
      <w:bookmarkEnd w:id="45"/>
      <w:bookmarkEnd w:id="46"/>
      <w:bookmarkEnd w:id="47"/>
    </w:p>
    <w:p w14:paraId="3EC9F6E6">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48" w:name="_Toc19841"/>
      <w:bookmarkStart w:id="49" w:name="_Toc29785_WPSOffice_Level3"/>
      <w:bookmarkStart w:id="50" w:name="_Toc18786_WPSOffice_Level3"/>
      <w:bookmarkStart w:id="51" w:name="_Toc1826"/>
      <w:bookmarkStart w:id="52" w:name="_Toc14464"/>
      <w:r>
        <w:rPr>
          <w:rFonts w:hint="eastAsia" w:ascii="宋体" w:hAnsi="宋体" w:eastAsia="宋体" w:cs="宋体"/>
          <w:b/>
          <w:bCs/>
          <w:color w:val="auto"/>
          <w:kern w:val="2"/>
          <w:sz w:val="24"/>
          <w:szCs w:val="24"/>
          <w:lang w:val="en-US" w:eastAsia="zh-CN" w:bidi="ar-SA"/>
        </w:rPr>
        <w:t>5.谈判文件的组成</w:t>
      </w:r>
      <w:bookmarkEnd w:id="48"/>
      <w:bookmarkEnd w:id="49"/>
      <w:bookmarkEnd w:id="50"/>
      <w:bookmarkEnd w:id="51"/>
      <w:bookmarkEnd w:id="52"/>
    </w:p>
    <w:p w14:paraId="4859A45E">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5.1谈判文件由下列文件组成：</w:t>
      </w:r>
    </w:p>
    <w:p w14:paraId="241768ED">
      <w:pPr>
        <w:pStyle w:val="9"/>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谈判须知前附表</w:t>
      </w:r>
    </w:p>
    <w:p w14:paraId="48A48B16">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（2）谈判须知</w:t>
      </w:r>
    </w:p>
    <w:p w14:paraId="4EAFE48E">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（3）采购需求</w:t>
      </w:r>
    </w:p>
    <w:p w14:paraId="3B3EC2DB">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（4）响应文件格式</w:t>
      </w:r>
    </w:p>
    <w:p w14:paraId="2E1F4938">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（5）青海省政府采购项目合同书</w:t>
      </w:r>
    </w:p>
    <w:p w14:paraId="7970A940">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5.2采购人、采购代理机构或者谈判小组在提交首次响应文件截止之日前对已发出的谈判文件进行的澄清或者修改，构成谈判文件的组成部分。</w:t>
      </w:r>
    </w:p>
    <w:p w14:paraId="5E422581">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5.3谈判文件中，谈判小组根据与供应商谈判情况可能实质性变动的内容见【谈判须知前附表】。对谈判文件作出的实质性变动是谈判文件的有效组成部分。</w:t>
      </w:r>
    </w:p>
    <w:p w14:paraId="7AACABD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3" w:name="_Toc1317"/>
      <w:bookmarkStart w:id="54" w:name="_Toc25455_WPSOffice_Level3"/>
      <w:bookmarkStart w:id="55" w:name="_Toc18056"/>
      <w:bookmarkStart w:id="56" w:name="_Toc31604_WPSOffice_Level3"/>
      <w:bookmarkStart w:id="57" w:name="_Toc27269"/>
      <w:r>
        <w:rPr>
          <w:rFonts w:hint="eastAsia" w:ascii="宋体" w:hAnsi="宋体" w:eastAsia="宋体" w:cs="宋体"/>
          <w:b/>
          <w:bCs/>
          <w:color w:val="auto"/>
          <w:kern w:val="2"/>
          <w:sz w:val="24"/>
          <w:szCs w:val="24"/>
          <w:lang w:val="en-US" w:eastAsia="zh-CN" w:bidi="ar-SA"/>
        </w:rPr>
        <w:t>6.谈判文件的澄清</w:t>
      </w:r>
      <w:r>
        <w:rPr>
          <w:rFonts w:hint="eastAsia" w:ascii="宋体" w:hAnsi="宋体" w:eastAsia="宋体" w:cs="宋体"/>
          <w:b/>
          <w:bCs/>
          <w:color w:val="auto"/>
          <w:kern w:val="2"/>
          <w:sz w:val="24"/>
          <w:szCs w:val="24"/>
          <w:lang w:val="zh-CN" w:eastAsia="zh-CN" w:bidi="ar-SA"/>
        </w:rPr>
        <w:t>或者</w:t>
      </w:r>
      <w:r>
        <w:rPr>
          <w:rFonts w:hint="eastAsia" w:ascii="宋体" w:hAnsi="宋体" w:eastAsia="宋体" w:cs="宋体"/>
          <w:b/>
          <w:bCs/>
          <w:color w:val="auto"/>
          <w:kern w:val="2"/>
          <w:sz w:val="24"/>
          <w:szCs w:val="24"/>
          <w:lang w:val="en-US" w:eastAsia="zh-CN" w:bidi="ar-SA"/>
        </w:rPr>
        <w:t>修改</w:t>
      </w:r>
      <w:bookmarkEnd w:id="53"/>
      <w:bookmarkEnd w:id="54"/>
      <w:bookmarkEnd w:id="55"/>
      <w:bookmarkEnd w:id="56"/>
      <w:bookmarkEnd w:id="57"/>
    </w:p>
    <w:p w14:paraId="490CD71C">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6.1在提交首次响应文件截止之日前，采购人、采购代理机构或者谈判小组可以对已发出的谈判文件进行必要的澄清或者修改。</w:t>
      </w:r>
    </w:p>
    <w:p w14:paraId="7445B332">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4F1A33C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8" w:name="_Toc27617"/>
      <w:bookmarkStart w:id="59" w:name="_Toc27004"/>
      <w:bookmarkStart w:id="60" w:name="_Toc4138_WPSOffice_Level3"/>
      <w:bookmarkStart w:id="61" w:name="_Toc30"/>
      <w:bookmarkStart w:id="62" w:name="_Toc6866_WPSOffice_Level3"/>
      <w:bookmarkStart w:id="63" w:name="_Toc25126"/>
      <w:bookmarkStart w:id="64" w:name="_Toc34637767"/>
      <w:r>
        <w:rPr>
          <w:rFonts w:hint="eastAsia" w:ascii="宋体" w:hAnsi="宋体" w:eastAsia="宋体" w:cs="宋体"/>
          <w:b/>
          <w:bCs/>
          <w:color w:val="auto"/>
          <w:kern w:val="2"/>
          <w:sz w:val="24"/>
          <w:szCs w:val="24"/>
          <w:lang w:val="en-US" w:eastAsia="zh-CN" w:bidi="ar-SA"/>
        </w:rPr>
        <w:t>7.谈判文件的询问或质疑</w:t>
      </w:r>
      <w:bookmarkEnd w:id="58"/>
      <w:bookmarkEnd w:id="59"/>
      <w:bookmarkEnd w:id="60"/>
      <w:bookmarkEnd w:id="61"/>
      <w:bookmarkEnd w:id="62"/>
      <w:bookmarkEnd w:id="63"/>
    </w:p>
    <w:p w14:paraId="4FD538D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7.1供应商对谈判文件有疑问的，可以向采购人、采购代理机构提出询问。</w:t>
      </w:r>
    </w:p>
    <w:p w14:paraId="08852DA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1B5808E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7.3供应商认为谈判文件使自己的权益受到损害的，应以书面形式提出质疑（不接受匿名质疑），供应商须在法定质疑期内一次性提出针对同一采购程序环节的质疑。</w:t>
      </w:r>
    </w:p>
    <w:p w14:paraId="32FB6E08">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65" w:name="_Toc12997"/>
      <w:bookmarkStart w:id="66" w:name="_Toc955_WPSOffice_Level2"/>
      <w:bookmarkStart w:id="67" w:name="_Toc16902"/>
      <w:bookmarkStart w:id="68" w:name="_Toc28815"/>
      <w:bookmarkStart w:id="69" w:name="_Toc23235_WPSOffice_Level2"/>
      <w:bookmarkStart w:id="70" w:name="_Toc5732_WPSOffice_Level2"/>
      <w:r>
        <w:rPr>
          <w:rFonts w:hint="eastAsia" w:ascii="宋体" w:hAnsi="宋体" w:eastAsia="宋体" w:cs="宋体"/>
          <w:b/>
          <w:bCs/>
          <w:color w:val="auto"/>
          <w:kern w:val="2"/>
          <w:sz w:val="28"/>
          <w:szCs w:val="28"/>
          <w:lang w:val="en-US" w:eastAsia="zh-CN" w:bidi="ar-SA"/>
        </w:rPr>
        <w:t>三、响应文件</w:t>
      </w:r>
      <w:bookmarkEnd w:id="64"/>
      <w:bookmarkEnd w:id="65"/>
      <w:bookmarkEnd w:id="66"/>
      <w:bookmarkEnd w:id="67"/>
      <w:bookmarkEnd w:id="68"/>
      <w:bookmarkEnd w:id="69"/>
      <w:bookmarkEnd w:id="70"/>
    </w:p>
    <w:p w14:paraId="2A6354E4">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1" w:name="_Toc16540"/>
      <w:bookmarkStart w:id="72" w:name="_Toc10843_WPSOffice_Level3"/>
      <w:bookmarkStart w:id="73" w:name="_Toc17983"/>
      <w:bookmarkStart w:id="74" w:name="_Toc22063"/>
      <w:bookmarkStart w:id="75" w:name="_Toc2475"/>
      <w:bookmarkStart w:id="76" w:name="_Toc1096_WPSOffice_Level3"/>
      <w:r>
        <w:rPr>
          <w:rFonts w:hint="eastAsia" w:ascii="宋体" w:hAnsi="宋体" w:eastAsia="宋体" w:cs="宋体"/>
          <w:b/>
          <w:bCs/>
          <w:color w:val="auto"/>
          <w:kern w:val="2"/>
          <w:sz w:val="24"/>
          <w:szCs w:val="24"/>
          <w:lang w:val="en-US" w:eastAsia="zh-CN" w:bidi="ar-SA"/>
        </w:rPr>
        <w:t>8.一般要求</w:t>
      </w:r>
      <w:bookmarkEnd w:id="71"/>
      <w:bookmarkEnd w:id="72"/>
      <w:bookmarkEnd w:id="73"/>
      <w:bookmarkEnd w:id="74"/>
      <w:bookmarkEnd w:id="75"/>
      <w:bookmarkEnd w:id="76"/>
    </w:p>
    <w:p w14:paraId="6CAF3EB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204B2B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D11A4D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8.3除谈判文件中另有规定外，响应文件所使用的度量衡单位，均须采用国家法定计量单位。未列明时应默认为我国法定计量单位。</w:t>
      </w:r>
    </w:p>
    <w:p w14:paraId="045A79F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8.4响应文件应采用书面形式，电报、传真、电子邮件形式的响应文件概不接受。</w:t>
      </w:r>
    </w:p>
    <w:p w14:paraId="2747D29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w:t>
      </w:r>
      <w:r>
        <w:rPr>
          <w:rFonts w:hint="eastAsia" w:ascii="宋体" w:hAnsi="宋体" w:eastAsia="宋体" w:cs="宋体"/>
          <w:b/>
          <w:bCs/>
          <w:color w:val="auto"/>
          <w:kern w:val="2"/>
          <w:sz w:val="24"/>
          <w:szCs w:val="24"/>
          <w:lang w:val="en-US" w:eastAsia="zh-CN" w:bidi="ar-SA"/>
        </w:rPr>
        <w:t>供应商应按谈判文件中提供的响应文件格式进行填写。</w:t>
      </w:r>
    </w:p>
    <w:p w14:paraId="373A42AF">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7" w:name="_Toc16030"/>
      <w:bookmarkStart w:id="78" w:name="_Toc14527_WPSOffice_Level3"/>
      <w:bookmarkStart w:id="79" w:name="_Toc20423_WPSOffice_Level3"/>
      <w:bookmarkStart w:id="80" w:name="_Toc25922"/>
      <w:bookmarkStart w:id="81" w:name="_Toc12007"/>
      <w:r>
        <w:rPr>
          <w:rFonts w:hint="eastAsia" w:ascii="宋体" w:hAnsi="宋体" w:eastAsia="宋体" w:cs="宋体"/>
          <w:b/>
          <w:bCs/>
          <w:color w:val="auto"/>
          <w:kern w:val="2"/>
          <w:sz w:val="24"/>
          <w:szCs w:val="24"/>
          <w:lang w:val="en-US" w:eastAsia="zh-CN" w:bidi="ar-SA"/>
        </w:rPr>
        <w:t>9.报价要求</w:t>
      </w:r>
      <w:bookmarkEnd w:id="77"/>
      <w:bookmarkEnd w:id="78"/>
      <w:bookmarkEnd w:id="79"/>
      <w:bookmarkEnd w:id="80"/>
      <w:bookmarkEnd w:id="81"/>
    </w:p>
    <w:p w14:paraId="698D73F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9.1供应商应当根据谈判文件“分项报价表”逐一报价；</w:t>
      </w:r>
    </w:p>
    <w:p w14:paraId="6271D8B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9.2在首次报价表、分项报价表、最后报价表填写报价时应注意下列要求：</w:t>
      </w:r>
    </w:p>
    <w:p w14:paraId="77AE6BA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（1）采购需求要求的</w:t>
      </w:r>
      <w:r>
        <w:rPr>
          <w:rFonts w:hint="eastAsia" w:ascii="宋体" w:hAnsi="宋体" w:eastAsia="宋体" w:cs="宋体"/>
          <w:bCs/>
          <w:color w:val="auto"/>
          <w:sz w:val="24"/>
          <w:szCs w:val="24"/>
          <w:u w:val="none"/>
          <w:lang w:eastAsia="zh-CN"/>
        </w:rPr>
        <w:t>产品费、验收费、手续费、包装费、运输费、保险费、售后服务费、代理服务费、税金及不可预见费等全部费用</w:t>
      </w:r>
      <w:r>
        <w:rPr>
          <w:rFonts w:hint="eastAsia" w:ascii="宋体" w:hAnsi="宋体" w:eastAsia="宋体" w:cs="宋体"/>
          <w:bCs/>
          <w:color w:val="auto"/>
          <w:sz w:val="24"/>
          <w:szCs w:val="24"/>
          <w:u w:val="none"/>
          <w:lang w:eastAsia="zh-CN"/>
        </w:rPr>
        <w:t>。</w:t>
      </w:r>
    </w:p>
    <w:p w14:paraId="29E289C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（2）所有根据合同或其它原因应由供应商交纳和支付的税款和费用。</w:t>
      </w:r>
    </w:p>
    <w:p w14:paraId="102B816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（3）供应商报价应为完成本竞争性谈判文件中所要求的服务所应包括内容的所有价格。</w:t>
      </w:r>
    </w:p>
    <w:p w14:paraId="64AC87B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kern w:val="2"/>
          <w:sz w:val="24"/>
          <w:szCs w:val="24"/>
          <w:lang w:val="zh-CN" w:eastAsia="zh-CN" w:bidi="ar-SA"/>
        </w:rPr>
        <w:t>供应商</w:t>
      </w:r>
      <w:r>
        <w:rPr>
          <w:rFonts w:hint="eastAsia" w:ascii="宋体" w:hAnsi="宋体" w:eastAsia="宋体" w:cs="宋体"/>
          <w:color w:val="auto"/>
          <w:kern w:val="2"/>
          <w:sz w:val="24"/>
          <w:szCs w:val="24"/>
          <w:lang w:val="en-US" w:eastAsia="zh-CN" w:bidi="ar-SA"/>
        </w:rPr>
        <w:t>的</w:t>
      </w:r>
      <w:r>
        <w:rPr>
          <w:rFonts w:hint="eastAsia" w:ascii="宋体" w:hAnsi="宋体" w:eastAsia="宋体" w:cs="宋体"/>
          <w:b/>
          <w:bCs/>
          <w:color w:val="auto"/>
          <w:kern w:val="2"/>
          <w:sz w:val="24"/>
          <w:szCs w:val="24"/>
          <w:lang w:val="en-US" w:eastAsia="zh-CN" w:bidi="ar-SA"/>
        </w:rPr>
        <w:t>每次报价均不得超过采购项目预算，否则视为无效响应</w:t>
      </w:r>
      <w:r>
        <w:rPr>
          <w:rFonts w:hint="eastAsia" w:ascii="宋体" w:hAnsi="宋体" w:eastAsia="宋体" w:cs="宋体"/>
          <w:color w:val="auto"/>
          <w:kern w:val="2"/>
          <w:sz w:val="24"/>
          <w:szCs w:val="24"/>
          <w:lang w:val="en-US" w:eastAsia="zh-CN" w:bidi="ar-SA"/>
        </w:rPr>
        <w:t>。采购项目预算见【谈判须知前附表】。</w:t>
      </w:r>
    </w:p>
    <w:p w14:paraId="077E68F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9.4供应商提交的最后报价在</w:t>
      </w:r>
      <w:r>
        <w:rPr>
          <w:rFonts w:hint="eastAsia" w:ascii="宋体" w:hAnsi="宋体" w:eastAsia="宋体" w:cs="宋体"/>
          <w:b/>
          <w:bCs/>
          <w:color w:val="auto"/>
          <w:kern w:val="2"/>
          <w:sz w:val="24"/>
          <w:szCs w:val="24"/>
          <w:lang w:val="en-US" w:eastAsia="zh-CN" w:bidi="ar-SA"/>
        </w:rPr>
        <w:t>合同执行过程中是固定不变的</w:t>
      </w:r>
      <w:r>
        <w:rPr>
          <w:rFonts w:hint="eastAsia" w:ascii="宋体" w:hAnsi="宋体" w:eastAsia="宋体" w:cs="宋体"/>
          <w:color w:val="auto"/>
          <w:kern w:val="2"/>
          <w:sz w:val="24"/>
          <w:szCs w:val="24"/>
          <w:lang w:val="en-US" w:eastAsia="zh-CN" w:bidi="ar-SA"/>
        </w:rPr>
        <w:t>，不得以任何理由予以变更。</w:t>
      </w:r>
      <w:r>
        <w:rPr>
          <w:rFonts w:hint="eastAsia" w:ascii="宋体" w:hAnsi="宋体" w:eastAsia="宋体" w:cs="宋体"/>
          <w:b/>
          <w:bCs/>
          <w:color w:val="auto"/>
          <w:kern w:val="2"/>
          <w:sz w:val="24"/>
          <w:szCs w:val="24"/>
          <w:lang w:val="en-US" w:eastAsia="zh-CN" w:bidi="ar-SA"/>
        </w:rPr>
        <w:t>以可变动价格提交的报价将被认为是非实质响应而被拒绝。</w:t>
      </w:r>
    </w:p>
    <w:p w14:paraId="5606C7E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9.5</w:t>
      </w:r>
      <w:r>
        <w:rPr>
          <w:rFonts w:hint="eastAsia" w:ascii="宋体" w:hAnsi="宋体" w:eastAsia="宋体" w:cs="宋体"/>
          <w:b/>
          <w:bCs/>
          <w:color w:val="auto"/>
          <w:kern w:val="2"/>
          <w:sz w:val="24"/>
          <w:szCs w:val="24"/>
          <w:lang w:val="en-US" w:eastAsia="zh-CN" w:bidi="ar-SA"/>
        </w:rPr>
        <w:t>谈判报价为总价</w:t>
      </w:r>
      <w:r>
        <w:rPr>
          <w:rFonts w:hint="eastAsia" w:ascii="宋体" w:hAnsi="宋体" w:eastAsia="宋体" w:cs="宋体"/>
          <w:color w:val="auto"/>
          <w:kern w:val="2"/>
          <w:sz w:val="24"/>
          <w:szCs w:val="24"/>
          <w:lang w:val="en-US" w:eastAsia="zh-CN" w:bidi="ar-SA"/>
        </w:rPr>
        <w:t>。供应商须按要求填写谈判总报价，最后报价不得出现两个或两个以上的报价方案。</w:t>
      </w:r>
    </w:p>
    <w:p w14:paraId="2080C04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9.6报价币种为人民币。</w:t>
      </w:r>
    </w:p>
    <w:p w14:paraId="74FAAF7E">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2" w:name="_Toc30839"/>
      <w:bookmarkStart w:id="83" w:name="_Toc27585"/>
      <w:bookmarkStart w:id="84" w:name="_Toc30481"/>
      <w:bookmarkStart w:id="85" w:name="_Toc19609_WPSOffice_Level3"/>
      <w:bookmarkStart w:id="86" w:name="_Toc24956_WPSOffice_Level3"/>
      <w:r>
        <w:rPr>
          <w:rFonts w:hint="eastAsia" w:ascii="宋体" w:hAnsi="宋体" w:eastAsia="宋体" w:cs="宋体"/>
          <w:b/>
          <w:bCs/>
          <w:color w:val="auto"/>
          <w:kern w:val="2"/>
          <w:sz w:val="24"/>
          <w:szCs w:val="24"/>
          <w:lang w:val="en-US" w:eastAsia="zh-CN" w:bidi="ar-SA"/>
        </w:rPr>
        <w:t>10.保证金</w:t>
      </w:r>
      <w:bookmarkEnd w:id="82"/>
      <w:bookmarkEnd w:id="83"/>
      <w:bookmarkEnd w:id="84"/>
      <w:bookmarkEnd w:id="85"/>
      <w:bookmarkEnd w:id="86"/>
    </w:p>
    <w:p w14:paraId="21FED25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10.1供应商应按【谈判须知前附表】的规定，在</w:t>
      </w:r>
      <w:r>
        <w:rPr>
          <w:rFonts w:hint="eastAsia" w:ascii="宋体" w:hAnsi="宋体" w:eastAsia="宋体" w:cs="宋体"/>
          <w:b/>
          <w:bCs/>
          <w:color w:val="auto"/>
          <w:kern w:val="2"/>
          <w:sz w:val="24"/>
          <w:szCs w:val="24"/>
          <w:lang w:val="en-US" w:eastAsia="zh-CN" w:bidi="ar-SA"/>
        </w:rPr>
        <w:t>提交响应文件的截止时间前</w:t>
      </w:r>
      <w:r>
        <w:rPr>
          <w:rFonts w:hint="eastAsia" w:ascii="宋体" w:hAnsi="宋体" w:eastAsia="宋体" w:cs="宋体"/>
          <w:color w:val="auto"/>
          <w:kern w:val="2"/>
          <w:sz w:val="24"/>
          <w:szCs w:val="24"/>
          <w:lang w:val="en-US" w:eastAsia="zh-CN" w:bidi="ar-SA"/>
        </w:rPr>
        <w:t>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1D07E70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10.2</w:t>
      </w:r>
      <w:r>
        <w:rPr>
          <w:rFonts w:hint="eastAsia" w:ascii="宋体" w:hAnsi="宋体" w:eastAsia="宋体" w:cs="宋体"/>
          <w:color w:val="auto"/>
          <w:kern w:val="2"/>
          <w:sz w:val="24"/>
          <w:szCs w:val="24"/>
          <w:lang w:val="zh-CN" w:eastAsia="zh-CN" w:bidi="ar-SA"/>
        </w:rPr>
        <w:t>供应商为联合体的，可以由联合体中的一方或者共同交纳保证金，其交纳的保证金，对联合体各方均具有约束力。</w:t>
      </w:r>
    </w:p>
    <w:p w14:paraId="1BB315A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10.3</w:t>
      </w:r>
      <w:r>
        <w:rPr>
          <w:rFonts w:hint="eastAsia" w:ascii="宋体" w:hAnsi="宋体" w:eastAsia="宋体" w:cs="宋体"/>
          <w:b/>
          <w:bCs/>
          <w:color w:val="auto"/>
          <w:kern w:val="2"/>
          <w:sz w:val="24"/>
          <w:szCs w:val="24"/>
          <w:lang w:val="en-US" w:eastAsia="zh-CN" w:bidi="ar-SA"/>
        </w:rPr>
        <w:t>保证金的退还按以下规定办理：</w:t>
      </w:r>
    </w:p>
    <w:p w14:paraId="0F86187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（1）成交供应商的保证金，在政府采购合同签订后5个工作日内退还，但因供应商自身原因导致无法退还的除外。</w:t>
      </w:r>
    </w:p>
    <w:p w14:paraId="2B9E1DB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（2）未成交供应商的保证金，在成交通知书发出后5个工作日内退还。</w:t>
      </w:r>
    </w:p>
    <w:p w14:paraId="3D1992B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（3）终止竞争性谈判采购活动的，在发布项目终止公告后5个工作日内退还。</w:t>
      </w:r>
    </w:p>
    <w:p w14:paraId="582198B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10.4</w:t>
      </w:r>
      <w:r>
        <w:rPr>
          <w:rFonts w:hint="eastAsia" w:ascii="宋体" w:hAnsi="宋体" w:eastAsia="宋体" w:cs="宋体"/>
          <w:b/>
          <w:bCs/>
          <w:color w:val="auto"/>
          <w:kern w:val="2"/>
          <w:sz w:val="24"/>
          <w:szCs w:val="24"/>
          <w:lang w:val="en-US" w:eastAsia="zh-CN" w:bidi="ar-SA"/>
        </w:rPr>
        <w:t>有下列情形之一的，保证金不予退还，并上缴同级财政国库</w:t>
      </w:r>
      <w:r>
        <w:rPr>
          <w:rFonts w:hint="eastAsia" w:ascii="宋体" w:hAnsi="宋体" w:eastAsia="宋体" w:cs="宋体"/>
          <w:color w:val="auto"/>
          <w:kern w:val="2"/>
          <w:sz w:val="24"/>
          <w:szCs w:val="24"/>
          <w:lang w:val="en-US" w:eastAsia="zh-CN" w:bidi="ar-SA"/>
        </w:rPr>
        <w:t>：</w:t>
      </w:r>
    </w:p>
    <w:p w14:paraId="3A83253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（1）供应商在提交响应文件截止时间后撤回响应文件的；</w:t>
      </w:r>
    </w:p>
    <w:p w14:paraId="786E6E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（2）供应商在响应文件中提供虚假材料的；</w:t>
      </w:r>
    </w:p>
    <w:p w14:paraId="23DE1E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（3）除因不可抗力或谈判文件认可的情形以外，成交供应商不与采购人签订合同的；</w:t>
      </w:r>
    </w:p>
    <w:p w14:paraId="1230F4A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（4）供应商与采购人、其他供应商或者采购代理机构恶意串通的；</w:t>
      </w:r>
    </w:p>
    <w:p w14:paraId="73BEFDB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（5）谈判文件规定的其他情形。</w:t>
      </w:r>
    </w:p>
    <w:p w14:paraId="2BE0448D">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7" w:name="_Toc7718"/>
      <w:bookmarkStart w:id="88" w:name="_Toc4945_WPSOffice_Level3"/>
      <w:bookmarkStart w:id="89" w:name="_Toc5897"/>
      <w:bookmarkStart w:id="90" w:name="_Toc18765_WPSOffice_Level3"/>
      <w:bookmarkStart w:id="91" w:name="_Toc14144"/>
      <w:r>
        <w:rPr>
          <w:rFonts w:hint="eastAsia" w:ascii="宋体" w:hAnsi="宋体" w:eastAsia="宋体" w:cs="宋体"/>
          <w:b/>
          <w:bCs/>
          <w:color w:val="auto"/>
          <w:kern w:val="2"/>
          <w:sz w:val="24"/>
          <w:szCs w:val="24"/>
          <w:lang w:val="en-US" w:eastAsia="zh-CN" w:bidi="ar-SA"/>
        </w:rPr>
        <w:t>11.响应文件的组成</w:t>
      </w:r>
      <w:bookmarkEnd w:id="87"/>
      <w:bookmarkEnd w:id="88"/>
      <w:bookmarkEnd w:id="89"/>
      <w:bookmarkEnd w:id="90"/>
      <w:bookmarkEnd w:id="91"/>
    </w:p>
    <w:p w14:paraId="74441EF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11.1响应文件包括下列内容：</w:t>
      </w:r>
    </w:p>
    <w:p w14:paraId="0351089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供应商应提交相关证明材料，作为其参加谈判和成交后有能力履行合同的证明。编写的响应文件须包括以下内容（</w:t>
      </w:r>
      <w:r>
        <w:rPr>
          <w:rFonts w:hint="eastAsia" w:ascii="宋体" w:hAnsi="宋体" w:eastAsia="宋体" w:cs="宋体"/>
          <w:color w:val="auto"/>
          <w:kern w:val="2"/>
          <w:sz w:val="24"/>
          <w:szCs w:val="24"/>
          <w:highlight w:val="none"/>
          <w:lang w:val="en-US" w:eastAsia="zh-CN" w:bidi="ar-SA"/>
        </w:rPr>
        <w:t>格式详见谈判文件第四部分内容）：</w:t>
      </w:r>
    </w:p>
    <w:p w14:paraId="0D82E076">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11.1.1</w:t>
      </w:r>
      <w:r>
        <w:rPr>
          <w:rFonts w:hint="eastAsia" w:ascii="宋体" w:hAnsi="宋体" w:eastAsia="宋体" w:cs="宋体"/>
          <w:b/>
          <w:bCs/>
          <w:color w:val="auto"/>
          <w:kern w:val="2"/>
          <w:sz w:val="24"/>
          <w:szCs w:val="24"/>
          <w:lang w:val="zh-CN" w:eastAsia="zh-CN" w:bidi="ar-SA"/>
        </w:rPr>
        <w:t>资格审查部分</w:t>
      </w:r>
    </w:p>
    <w:p w14:paraId="3698975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1、响应函</w:t>
      </w:r>
    </w:p>
    <w:p w14:paraId="4A865D4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2、法定代表人证明书</w:t>
      </w:r>
    </w:p>
    <w:p w14:paraId="4E38A30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3、法定代表人授权书</w:t>
      </w:r>
    </w:p>
    <w:p w14:paraId="41E35DC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4、供应商承诺函</w:t>
      </w:r>
    </w:p>
    <w:p w14:paraId="5A660EB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5、供应商诚信承诺书</w:t>
      </w:r>
    </w:p>
    <w:p w14:paraId="7687281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6、供应商资格证明文件</w:t>
      </w:r>
    </w:p>
    <w:p w14:paraId="56097BD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7、财务状况、缴纳税收和社会保障资金证明</w:t>
      </w:r>
    </w:p>
    <w:p w14:paraId="3511617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8、无重大违法记录声明</w:t>
      </w:r>
    </w:p>
    <w:p w14:paraId="5B3C9CE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9、谈判保证金证明</w:t>
      </w:r>
    </w:p>
    <w:p w14:paraId="51E9C213">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11.1.2有效性、完整性、响应程度审查</w:t>
      </w:r>
      <w:r>
        <w:rPr>
          <w:rFonts w:hint="eastAsia" w:ascii="宋体" w:hAnsi="宋体" w:eastAsia="宋体" w:cs="宋体"/>
          <w:b/>
          <w:bCs/>
          <w:color w:val="auto"/>
          <w:kern w:val="2"/>
          <w:sz w:val="24"/>
          <w:szCs w:val="24"/>
          <w:lang w:val="zh-CN" w:eastAsia="zh-CN" w:bidi="ar-SA"/>
        </w:rPr>
        <w:t>部分</w:t>
      </w:r>
    </w:p>
    <w:p w14:paraId="34A8F98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w:t>
      </w:r>
    </w:p>
    <w:p w14:paraId="01AA4C6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w:t>
      </w:r>
    </w:p>
    <w:p w14:paraId="477D17E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技术规格</w:t>
      </w:r>
      <w:r>
        <w:rPr>
          <w:rFonts w:hint="eastAsia" w:ascii="宋体" w:hAnsi="宋体" w:eastAsia="宋体" w:cs="宋体"/>
          <w:color w:val="auto"/>
          <w:kern w:val="2"/>
          <w:sz w:val="24"/>
          <w:szCs w:val="24"/>
          <w:lang w:val="zh-CN" w:eastAsia="zh-CN" w:bidi="ar-SA"/>
        </w:rPr>
        <w:t>响应表</w:t>
      </w:r>
    </w:p>
    <w:p w14:paraId="2C11BEA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产品相关资料（</w:t>
      </w:r>
      <w:r>
        <w:rPr>
          <w:rFonts w:hint="eastAsia" w:ascii="宋体" w:hAnsi="宋体" w:eastAsia="宋体" w:cs="宋体"/>
          <w:color w:val="auto"/>
          <w:kern w:val="2"/>
          <w:sz w:val="24"/>
          <w:szCs w:val="24"/>
          <w:lang w:val="zh-CN" w:eastAsia="zh-CN" w:bidi="ar-SA"/>
        </w:rPr>
        <w:t>具备履行合同所必须的设备和专业技术能力证明</w:t>
      </w:r>
      <w:r>
        <w:rPr>
          <w:rFonts w:hint="eastAsia" w:ascii="宋体" w:hAnsi="宋体" w:eastAsia="宋体" w:cs="宋体"/>
          <w:color w:val="auto"/>
          <w:kern w:val="2"/>
          <w:sz w:val="24"/>
          <w:szCs w:val="24"/>
          <w:lang w:val="en-US" w:eastAsia="zh-CN" w:bidi="ar-SA"/>
        </w:rPr>
        <w:t>）</w:t>
      </w:r>
    </w:p>
    <w:p w14:paraId="390DA83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w:t>
      </w:r>
    </w:p>
    <w:p w14:paraId="29EBBE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、享受政府采购政策优惠的证明资料</w:t>
      </w:r>
    </w:p>
    <w:p w14:paraId="7C6D8C6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zh-CN" w:eastAsia="zh-CN" w:bidi="ar-SA"/>
        </w:rPr>
        <w:t>其他证明材料</w:t>
      </w:r>
    </w:p>
    <w:p w14:paraId="1B52A1B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供应商须按上述内容、顺序和格式编制响应文件，并按要求编制目录、页码，并保证所提供的全部资料真实可信，自愿承担相应责任。</w:t>
      </w:r>
    </w:p>
    <w:p w14:paraId="6E95B61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11.2 在谈判过程中，</w:t>
      </w:r>
      <w:r>
        <w:rPr>
          <w:rFonts w:hint="eastAsia" w:ascii="宋体" w:hAnsi="宋体" w:eastAsia="宋体" w:cs="宋体"/>
          <w:b/>
          <w:bCs/>
          <w:color w:val="auto"/>
          <w:kern w:val="2"/>
          <w:sz w:val="24"/>
          <w:szCs w:val="24"/>
          <w:lang w:val="en-US" w:eastAsia="zh-CN" w:bidi="ar-SA"/>
        </w:rPr>
        <w:t>供应商根据谈判小组书面形式要求提交的最后报价(或者重新提交的响应文件和最后报价)</w:t>
      </w:r>
      <w:r>
        <w:rPr>
          <w:rFonts w:hint="eastAsia" w:ascii="宋体" w:hAnsi="宋体" w:eastAsia="宋体" w:cs="宋体"/>
          <w:color w:val="auto"/>
          <w:kern w:val="2"/>
          <w:sz w:val="24"/>
          <w:szCs w:val="24"/>
          <w:lang w:val="en-US" w:eastAsia="zh-CN" w:bidi="ar-SA"/>
        </w:rPr>
        <w:t>是响应文件的有效组成部分。</w:t>
      </w:r>
    </w:p>
    <w:p w14:paraId="6C6C1B21">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2" w:name="_Toc3694_WPSOffice_Level3"/>
      <w:bookmarkStart w:id="93" w:name="_Toc14930_WPSOffice_Level3"/>
      <w:bookmarkStart w:id="94" w:name="_Toc3004"/>
      <w:bookmarkStart w:id="95" w:name="_Toc26621"/>
      <w:bookmarkStart w:id="96" w:name="_Toc11674"/>
      <w:r>
        <w:rPr>
          <w:rFonts w:hint="eastAsia" w:ascii="宋体" w:hAnsi="宋体" w:eastAsia="宋体" w:cs="宋体"/>
          <w:b/>
          <w:bCs/>
          <w:color w:val="auto"/>
          <w:kern w:val="2"/>
          <w:sz w:val="24"/>
          <w:szCs w:val="24"/>
          <w:lang w:val="en-US" w:eastAsia="zh-CN" w:bidi="ar-SA"/>
        </w:rPr>
        <w:t>12.响应文件有效期</w:t>
      </w:r>
      <w:bookmarkEnd w:id="92"/>
      <w:bookmarkEnd w:id="93"/>
      <w:bookmarkEnd w:id="94"/>
      <w:bookmarkEnd w:id="95"/>
      <w:bookmarkEnd w:id="96"/>
    </w:p>
    <w:p w14:paraId="231A2F95">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响应文件有效期见【谈判须知前附表】，在此期间响应文件对供应商具有法律约束力，从提交首次响应文件截止时间之日起计算。</w:t>
      </w:r>
      <w:r>
        <w:rPr>
          <w:rFonts w:hint="eastAsia" w:ascii="宋体" w:hAnsi="宋体" w:eastAsia="宋体" w:cs="宋体"/>
          <w:b/>
          <w:bCs/>
          <w:color w:val="auto"/>
          <w:kern w:val="2"/>
          <w:sz w:val="24"/>
          <w:szCs w:val="24"/>
          <w:lang w:val="zh-CN" w:eastAsia="zh-CN" w:bidi="ar-SA"/>
        </w:rPr>
        <w:t>响应文件有效期不足的将被视为无效响应。</w:t>
      </w:r>
    </w:p>
    <w:p w14:paraId="4720FB47">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7" w:name="_Toc20265"/>
      <w:bookmarkStart w:id="98" w:name="_Toc8507_WPSOffice_Level3"/>
      <w:bookmarkStart w:id="99" w:name="_Toc21033"/>
      <w:bookmarkStart w:id="100" w:name="_Toc29012"/>
      <w:bookmarkStart w:id="101" w:name="_Toc31682_WPSOffice_Level3"/>
      <w:r>
        <w:rPr>
          <w:rFonts w:hint="eastAsia" w:ascii="宋体" w:hAnsi="宋体" w:eastAsia="宋体" w:cs="宋体"/>
          <w:b/>
          <w:bCs/>
          <w:color w:val="auto"/>
          <w:kern w:val="2"/>
          <w:sz w:val="24"/>
          <w:szCs w:val="24"/>
          <w:lang w:val="en-US" w:eastAsia="zh-CN" w:bidi="ar-SA"/>
        </w:rPr>
        <w:t>13.响应文件的签署及规定</w:t>
      </w:r>
      <w:bookmarkEnd w:id="97"/>
      <w:bookmarkEnd w:id="98"/>
      <w:bookmarkEnd w:id="99"/>
      <w:bookmarkEnd w:id="100"/>
      <w:bookmarkEnd w:id="101"/>
    </w:p>
    <w:p w14:paraId="45B703C2">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1C556F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13.2</w:t>
      </w:r>
      <w:r>
        <w:rPr>
          <w:rFonts w:hint="eastAsia" w:ascii="宋体" w:hAnsi="宋体" w:eastAsia="宋体" w:cs="宋体"/>
          <w:color w:val="auto"/>
          <w:kern w:val="2"/>
          <w:sz w:val="24"/>
          <w:szCs w:val="24"/>
          <w:lang w:val="zh-CN" w:eastAsia="zh-CN" w:bidi="ar-SA"/>
        </w:rPr>
        <w:t>供应商应按照谈判文件所提供的文件格式，分别填写谈判文件</w:t>
      </w:r>
      <w:r>
        <w:rPr>
          <w:rFonts w:hint="eastAsia" w:ascii="宋体" w:hAnsi="宋体" w:eastAsia="宋体" w:cs="宋体"/>
          <w:color w:val="auto"/>
          <w:kern w:val="2"/>
          <w:sz w:val="24"/>
          <w:szCs w:val="24"/>
          <w:highlight w:val="none"/>
          <w:lang w:val="zh-CN" w:eastAsia="zh-CN" w:bidi="ar-SA"/>
        </w:rPr>
        <w:t>第四部分</w:t>
      </w:r>
      <w:r>
        <w:rPr>
          <w:rFonts w:hint="eastAsia" w:ascii="宋体" w:hAnsi="宋体" w:eastAsia="宋体" w:cs="宋体"/>
          <w:color w:val="auto"/>
          <w:kern w:val="2"/>
          <w:sz w:val="24"/>
          <w:szCs w:val="24"/>
          <w:lang w:val="zh-CN" w:eastAsia="zh-CN" w:bidi="ar-SA"/>
        </w:rPr>
        <w:t>的内容；谈判文件要求签字、盖章的地方必须由供应商的法定代表人或委托代理人签字、盖章。</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rPr>
        <w:t>须提交</w:t>
      </w: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kern w:val="0"/>
          <w:sz w:val="24"/>
          <w:szCs w:val="24"/>
        </w:rPr>
        <w:t>份</w:t>
      </w:r>
      <w:r>
        <w:rPr>
          <w:rFonts w:hint="eastAsia" w:ascii="宋体" w:hAnsi="宋体" w:eastAsia="宋体" w:cs="宋体"/>
          <w:b/>
          <w:bCs/>
          <w:color w:val="auto"/>
          <w:kern w:val="0"/>
          <w:sz w:val="24"/>
          <w:szCs w:val="24"/>
          <w:lang w:val="en-US" w:eastAsia="zh-CN"/>
        </w:rPr>
        <w:t>电子响应</w:t>
      </w:r>
      <w:r>
        <w:rPr>
          <w:rFonts w:hint="eastAsia" w:ascii="宋体" w:hAnsi="宋体" w:eastAsia="宋体" w:cs="宋体"/>
          <w:b/>
          <w:bCs/>
          <w:color w:val="auto"/>
          <w:kern w:val="0"/>
          <w:sz w:val="24"/>
          <w:szCs w:val="24"/>
          <w:lang w:eastAsia="zh-CN"/>
        </w:rPr>
        <w:t>文件，</w:t>
      </w:r>
      <w:r>
        <w:rPr>
          <w:rFonts w:hint="eastAsia" w:ascii="宋体" w:hAnsi="宋体" w:eastAsia="宋体" w:cs="宋体"/>
          <w:b/>
          <w:bCs/>
          <w:color w:val="auto"/>
          <w:kern w:val="0"/>
          <w:sz w:val="24"/>
          <w:szCs w:val="24"/>
          <w:lang w:val="en-US" w:eastAsia="zh-CN"/>
        </w:rPr>
        <w:t>电子响应</w:t>
      </w:r>
      <w:r>
        <w:rPr>
          <w:rFonts w:hint="eastAsia" w:ascii="宋体" w:hAnsi="宋体" w:eastAsia="宋体" w:cs="宋体"/>
          <w:b/>
          <w:bCs/>
          <w:color w:val="auto"/>
          <w:kern w:val="0"/>
          <w:sz w:val="24"/>
          <w:szCs w:val="24"/>
          <w:lang w:eastAsia="zh-CN"/>
        </w:rPr>
        <w:t>文件</w:t>
      </w:r>
      <w:r>
        <w:rPr>
          <w:rFonts w:hint="eastAsia" w:ascii="宋体" w:hAnsi="宋体" w:eastAsia="宋体" w:cs="宋体"/>
          <w:b/>
          <w:bCs/>
          <w:color w:val="auto"/>
          <w:sz w:val="24"/>
          <w:szCs w:val="24"/>
          <w:lang w:val="en-US" w:eastAsia="zh-CN"/>
        </w:rPr>
        <w:t>为</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sz w:val="24"/>
          <w:szCs w:val="24"/>
          <w:lang w:val="en-US" w:eastAsia="zh-CN"/>
        </w:rPr>
        <w:t>按11.1和13.2要求编制并确认纸质</w:t>
      </w:r>
      <w:r>
        <w:rPr>
          <w:rFonts w:hint="eastAsia" w:ascii="宋体" w:hAnsi="宋体" w:eastAsia="宋体" w:cs="宋体"/>
          <w:b/>
          <w:bCs/>
          <w:color w:val="auto"/>
          <w:kern w:val="0"/>
          <w:sz w:val="24"/>
          <w:szCs w:val="24"/>
          <w:lang w:val="en-US" w:eastAsia="zh-CN"/>
        </w:rPr>
        <w:t>响应</w:t>
      </w:r>
      <w:r>
        <w:rPr>
          <w:rFonts w:hint="eastAsia" w:ascii="宋体" w:hAnsi="宋体" w:eastAsia="宋体" w:cs="宋体"/>
          <w:b/>
          <w:bCs/>
          <w:color w:val="auto"/>
          <w:sz w:val="24"/>
          <w:szCs w:val="24"/>
          <w:lang w:val="en-US" w:eastAsia="zh-CN"/>
        </w:rPr>
        <w:t>文件后的扫描件。</w:t>
      </w:r>
    </w:p>
    <w:p w14:paraId="12D82A78">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102" w:name="_Toc24112_WPSOffice_Level2"/>
      <w:bookmarkStart w:id="103" w:name="_Toc30575"/>
      <w:bookmarkStart w:id="104" w:name="_Toc32627_WPSOffice_Level2"/>
      <w:bookmarkStart w:id="105" w:name="_Toc34637768"/>
      <w:bookmarkStart w:id="106" w:name="_Toc25869"/>
      <w:bookmarkStart w:id="107" w:name="_Toc16239"/>
      <w:bookmarkStart w:id="108" w:name="_Toc31349_WPSOffice_Level2"/>
      <w:bookmarkStart w:id="109" w:name="_Toc8361"/>
      <w:r>
        <w:rPr>
          <w:rFonts w:hint="eastAsia" w:ascii="宋体" w:hAnsi="宋体" w:eastAsia="宋体" w:cs="宋体"/>
          <w:b/>
          <w:bCs/>
          <w:color w:val="auto"/>
          <w:kern w:val="2"/>
          <w:sz w:val="28"/>
          <w:szCs w:val="28"/>
          <w:lang w:val="en-US" w:eastAsia="zh-CN" w:bidi="ar-SA"/>
        </w:rPr>
        <w:t>四、响应文件的递交</w:t>
      </w:r>
      <w:bookmarkEnd w:id="102"/>
      <w:bookmarkEnd w:id="103"/>
      <w:bookmarkEnd w:id="104"/>
      <w:bookmarkEnd w:id="105"/>
      <w:bookmarkEnd w:id="106"/>
      <w:bookmarkEnd w:id="107"/>
      <w:bookmarkEnd w:id="108"/>
      <w:bookmarkEnd w:id="109"/>
      <w:r>
        <w:rPr>
          <w:rFonts w:hint="eastAsia" w:ascii="宋体" w:hAnsi="宋体" w:eastAsia="宋体" w:cs="宋体"/>
          <w:b/>
          <w:bCs/>
          <w:color w:val="auto"/>
          <w:kern w:val="2"/>
          <w:sz w:val="28"/>
          <w:szCs w:val="28"/>
          <w:lang w:val="en-US" w:eastAsia="zh-CN" w:bidi="ar-SA"/>
        </w:rPr>
        <w:t>和开启</w:t>
      </w:r>
    </w:p>
    <w:p w14:paraId="216923F3">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0" w:name="_Toc23622_WPSOffice_Level3"/>
      <w:bookmarkStart w:id="111" w:name="_Toc20825_WPSOffice_Level3"/>
      <w:bookmarkStart w:id="112" w:name="_Toc4459"/>
      <w:bookmarkStart w:id="113" w:name="_Toc6095"/>
      <w:bookmarkStart w:id="114" w:name="_Toc31398"/>
      <w:r>
        <w:rPr>
          <w:rFonts w:hint="eastAsia" w:ascii="宋体" w:hAnsi="宋体" w:eastAsia="宋体" w:cs="宋体"/>
          <w:b/>
          <w:bCs/>
          <w:color w:val="auto"/>
          <w:kern w:val="2"/>
          <w:sz w:val="24"/>
          <w:szCs w:val="24"/>
          <w:lang w:val="en-US" w:eastAsia="zh-CN" w:bidi="ar-SA"/>
        </w:rPr>
        <w:t>14.响应文件的密封和标记</w:t>
      </w:r>
      <w:bookmarkEnd w:id="110"/>
      <w:bookmarkEnd w:id="111"/>
      <w:bookmarkEnd w:id="112"/>
      <w:bookmarkEnd w:id="113"/>
      <w:bookmarkEnd w:id="114"/>
    </w:p>
    <w:p w14:paraId="1B4CEE84">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p>
    <w:p w14:paraId="2931B96E">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5" w:name="_Toc12764"/>
      <w:bookmarkStart w:id="116" w:name="_Toc1241"/>
      <w:bookmarkStart w:id="117" w:name="_Toc13231_WPSOffice_Level3"/>
      <w:bookmarkStart w:id="118" w:name="_Toc18048"/>
      <w:bookmarkStart w:id="119" w:name="_Toc7845_WPSOffice_Level3"/>
      <w:r>
        <w:rPr>
          <w:rFonts w:hint="eastAsia" w:ascii="宋体" w:hAnsi="宋体" w:eastAsia="宋体" w:cs="宋体"/>
          <w:b/>
          <w:bCs/>
          <w:color w:val="auto"/>
          <w:kern w:val="2"/>
          <w:sz w:val="24"/>
          <w:szCs w:val="24"/>
          <w:lang w:val="en-US" w:eastAsia="zh-CN" w:bidi="ar-SA"/>
        </w:rPr>
        <w:t>15.响应文件的递交</w:t>
      </w:r>
      <w:bookmarkEnd w:id="115"/>
      <w:bookmarkEnd w:id="116"/>
      <w:bookmarkEnd w:id="117"/>
      <w:bookmarkEnd w:id="118"/>
      <w:bookmarkEnd w:id="119"/>
      <w:r>
        <w:rPr>
          <w:rFonts w:hint="eastAsia" w:ascii="宋体" w:hAnsi="宋体" w:eastAsia="宋体" w:cs="宋体"/>
          <w:b/>
          <w:bCs/>
          <w:color w:val="auto"/>
          <w:kern w:val="2"/>
          <w:sz w:val="24"/>
          <w:szCs w:val="24"/>
          <w:lang w:val="en-US" w:eastAsia="zh-CN" w:bidi="ar-SA"/>
        </w:rPr>
        <w:t>和开启</w:t>
      </w:r>
    </w:p>
    <w:p w14:paraId="4F4D9668">
      <w:pPr>
        <w:pageBreakBefore w:val="0"/>
        <w:widowControl w:val="0"/>
        <w:kinsoku/>
        <w:wordWrap/>
        <w:overflowPunct/>
        <w:topLinePunct w:val="0"/>
        <w:autoSpaceDE/>
        <w:autoSpaceDN/>
        <w:bidi w:val="0"/>
        <w:adjustRightInd/>
        <w:snapToGrid/>
        <w:spacing w:before="157" w:beforeLines="50" w:line="360" w:lineRule="auto"/>
        <w:ind w:firstLine="241"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15.1供应商应当按照谈判文件规定和电子交易系统操作规范的要求编制、确认、签章、加密响应文件，并在</w:t>
      </w:r>
      <w:r>
        <w:rPr>
          <w:rFonts w:hint="eastAsia" w:ascii="宋体" w:hAnsi="宋体" w:eastAsia="宋体" w:cs="宋体"/>
          <w:b/>
          <w:bCs/>
          <w:color w:val="auto"/>
          <w:kern w:val="2"/>
          <w:sz w:val="24"/>
          <w:szCs w:val="24"/>
          <w:lang w:val="en-US" w:eastAsia="zh-CN" w:bidi="ar-SA"/>
        </w:rPr>
        <w:t>提交响应文件的截止时间</w:t>
      </w:r>
      <w:r>
        <w:rPr>
          <w:rFonts w:hint="eastAsia" w:ascii="宋体" w:hAnsi="宋体" w:eastAsia="宋体" w:cs="宋体"/>
          <w:b/>
          <w:bCs/>
          <w:color w:val="auto"/>
          <w:sz w:val="24"/>
          <w:szCs w:val="24"/>
          <w:lang w:val="en-US" w:eastAsia="zh-CN"/>
        </w:rPr>
        <w:t>前通过电子交易系统上传已加密的响应文件。</w:t>
      </w:r>
      <w:r>
        <w:rPr>
          <w:rFonts w:hint="eastAsia" w:ascii="宋体" w:hAnsi="宋体" w:eastAsia="宋体" w:cs="宋体"/>
          <w:b/>
          <w:bCs/>
          <w:color w:val="auto"/>
          <w:kern w:val="2"/>
          <w:sz w:val="24"/>
          <w:szCs w:val="24"/>
          <w:lang w:val="en-US" w:eastAsia="zh-CN" w:bidi="ar-SA"/>
        </w:rPr>
        <w:t>提交响应文件的截止时间</w:t>
      </w:r>
      <w:r>
        <w:rPr>
          <w:rFonts w:hint="eastAsia" w:ascii="宋体" w:hAnsi="宋体" w:eastAsia="宋体" w:cs="宋体"/>
          <w:b/>
          <w:bCs/>
          <w:color w:val="auto"/>
          <w:sz w:val="24"/>
          <w:szCs w:val="24"/>
          <w:lang w:val="en-US" w:eastAsia="zh-CN"/>
        </w:rPr>
        <w:t>前未完成传输的，视为撤回响应文件。</w:t>
      </w:r>
      <w:r>
        <w:rPr>
          <w:rFonts w:hint="eastAsia" w:ascii="宋体" w:hAnsi="宋体" w:eastAsia="宋体" w:cs="宋体"/>
          <w:b/>
          <w:bCs/>
          <w:color w:val="auto"/>
          <w:kern w:val="2"/>
          <w:sz w:val="24"/>
          <w:szCs w:val="24"/>
          <w:lang w:val="en-US" w:eastAsia="zh-CN" w:bidi="ar-SA"/>
        </w:rPr>
        <w:t>提交响应文件的截止时间</w:t>
      </w:r>
      <w:r>
        <w:rPr>
          <w:rFonts w:hint="eastAsia" w:ascii="宋体" w:hAnsi="宋体" w:eastAsia="宋体" w:cs="宋体"/>
          <w:b/>
          <w:bCs/>
          <w:color w:val="auto"/>
          <w:sz w:val="24"/>
          <w:szCs w:val="24"/>
          <w:lang w:val="en-US" w:eastAsia="zh-CN"/>
        </w:rPr>
        <w:t>后递交的响应文件，电子交易系统应当拒收。</w:t>
      </w:r>
    </w:p>
    <w:p w14:paraId="61C59D67">
      <w:pPr>
        <w:pageBreakBefore w:val="0"/>
        <w:widowControl w:val="0"/>
        <w:kinsoku/>
        <w:wordWrap/>
        <w:overflowPunct/>
        <w:topLinePunct w:val="0"/>
        <w:autoSpaceDE/>
        <w:autoSpaceDN/>
        <w:bidi w:val="0"/>
        <w:adjustRightInd/>
        <w:snapToGrid/>
        <w:spacing w:before="157" w:beforeLines="50" w:line="360" w:lineRule="auto"/>
        <w:ind w:firstLine="241"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15.2采购人及采购代理机构通过电子交易系统按照谈判文件规定的时间、地点组织开启响应文件，电子化采购活动各参与方均应当准时在线参加。</w:t>
      </w:r>
    </w:p>
    <w:p w14:paraId="63976503">
      <w:pPr>
        <w:pageBreakBefore w:val="0"/>
        <w:widowControl w:val="0"/>
        <w:kinsoku/>
        <w:wordWrap/>
        <w:overflowPunct/>
        <w:topLinePunct w:val="0"/>
        <w:autoSpaceDE/>
        <w:autoSpaceDN/>
        <w:bidi w:val="0"/>
        <w:adjustRightInd/>
        <w:snapToGrid/>
        <w:spacing w:before="157" w:beforeLines="50" w:line="360" w:lineRule="auto"/>
        <w:ind w:firstLine="241"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15.3开启时，电子交易系统自动提取所有响应文件，并提示供应商按照谈判文件规定按时在线解密，解密时间为60分钟。因供应商原因造成响应文件未解密的，视为撤销其响应文件。</w:t>
      </w:r>
    </w:p>
    <w:p w14:paraId="6333AD8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20" w:name="_Toc5063_WPSOffice_Level3"/>
      <w:bookmarkStart w:id="121" w:name="_Toc1373"/>
      <w:bookmarkStart w:id="122" w:name="_Toc31959"/>
      <w:bookmarkStart w:id="123" w:name="_Toc17912"/>
      <w:bookmarkStart w:id="124" w:name="_Toc19521_WPSOffice_Level3"/>
      <w:r>
        <w:rPr>
          <w:rFonts w:hint="eastAsia" w:ascii="宋体" w:hAnsi="宋体" w:eastAsia="宋体" w:cs="宋体"/>
          <w:b/>
          <w:bCs/>
          <w:color w:val="auto"/>
          <w:kern w:val="2"/>
          <w:sz w:val="24"/>
          <w:szCs w:val="24"/>
          <w:lang w:val="en-US" w:eastAsia="zh-CN" w:bidi="ar-SA"/>
        </w:rPr>
        <w:t>16.响应文件的</w:t>
      </w:r>
      <w:r>
        <w:rPr>
          <w:rFonts w:hint="eastAsia" w:ascii="宋体" w:hAnsi="宋体" w:eastAsia="宋体" w:cs="宋体"/>
          <w:b/>
          <w:bCs/>
          <w:color w:val="auto"/>
          <w:kern w:val="2"/>
          <w:sz w:val="24"/>
          <w:szCs w:val="24"/>
          <w:lang w:val="zh-CN" w:eastAsia="zh-CN" w:bidi="ar-SA"/>
        </w:rPr>
        <w:t>补充、修改或者撤回</w:t>
      </w:r>
      <w:bookmarkEnd w:id="120"/>
      <w:bookmarkEnd w:id="121"/>
      <w:bookmarkEnd w:id="122"/>
      <w:bookmarkEnd w:id="123"/>
      <w:bookmarkEnd w:id="124"/>
    </w:p>
    <w:p w14:paraId="57D407EB">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25" w:name="_Toc34637769"/>
      <w:r>
        <w:rPr>
          <w:rFonts w:hint="eastAsia" w:ascii="宋体" w:hAnsi="宋体" w:eastAsia="宋体" w:cs="宋体"/>
          <w:color w:val="auto"/>
          <w:kern w:val="2"/>
          <w:sz w:val="24"/>
          <w:szCs w:val="24"/>
          <w:lang w:val="en-US" w:eastAsia="zh-CN" w:bidi="ar-SA"/>
        </w:rPr>
        <w:t>供应商在谈判文件开启时间前，可以对所上传的响应文件进行补充、修改或者撤回，补充、修改或者撤回的内容作为响应文件的组成部分。</w:t>
      </w:r>
    </w:p>
    <w:p w14:paraId="3E5CB580">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val="0"/>
          <w:bCs w:val="0"/>
          <w:color w:val="auto"/>
          <w:kern w:val="2"/>
          <w:sz w:val="28"/>
          <w:szCs w:val="28"/>
          <w:lang w:val="en-US" w:eastAsia="zh-CN" w:bidi="ar-SA"/>
        </w:rPr>
      </w:pPr>
      <w:bookmarkStart w:id="126" w:name="_Toc12974"/>
      <w:bookmarkStart w:id="127" w:name="_Toc18610_WPSOffice_Level2"/>
      <w:bookmarkStart w:id="128" w:name="_Toc29785_WPSOffice_Level2"/>
      <w:bookmarkStart w:id="129" w:name="_Toc10968"/>
      <w:bookmarkStart w:id="130" w:name="_Toc31993"/>
      <w:bookmarkStart w:id="131" w:name="_Toc17502"/>
      <w:bookmarkStart w:id="132" w:name="_Toc25721_WPSOffice_Level2"/>
      <w:r>
        <w:rPr>
          <w:rFonts w:hint="eastAsia" w:ascii="宋体" w:hAnsi="宋体" w:eastAsia="宋体" w:cs="宋体"/>
          <w:b/>
          <w:bCs/>
          <w:color w:val="auto"/>
          <w:kern w:val="2"/>
          <w:sz w:val="28"/>
          <w:szCs w:val="28"/>
          <w:lang w:val="en-US" w:eastAsia="zh-CN" w:bidi="ar-SA"/>
        </w:rPr>
        <w:t>五、响应文件的评审与谈判</w:t>
      </w:r>
      <w:bookmarkEnd w:id="125"/>
      <w:bookmarkEnd w:id="126"/>
      <w:bookmarkEnd w:id="127"/>
      <w:bookmarkEnd w:id="128"/>
      <w:bookmarkEnd w:id="129"/>
      <w:bookmarkEnd w:id="130"/>
      <w:bookmarkEnd w:id="131"/>
      <w:bookmarkEnd w:id="132"/>
    </w:p>
    <w:p w14:paraId="358EE6EA">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3" w:name="_Toc19596_WPSOffice_Level3"/>
      <w:bookmarkStart w:id="134" w:name="_Toc18713_WPSOffice_Level3"/>
      <w:bookmarkStart w:id="135" w:name="_Toc26446"/>
      <w:bookmarkStart w:id="136" w:name="_Toc11267"/>
      <w:bookmarkStart w:id="137" w:name="_Toc174"/>
      <w:r>
        <w:rPr>
          <w:rFonts w:hint="eastAsia" w:ascii="宋体" w:hAnsi="宋体" w:eastAsia="宋体" w:cs="宋体"/>
          <w:b/>
          <w:bCs/>
          <w:color w:val="auto"/>
          <w:kern w:val="2"/>
          <w:sz w:val="24"/>
          <w:szCs w:val="24"/>
          <w:lang w:val="en-US" w:eastAsia="zh-CN" w:bidi="ar-SA"/>
        </w:rPr>
        <w:t>17.谈判小组</w:t>
      </w:r>
      <w:bookmarkEnd w:id="133"/>
      <w:bookmarkEnd w:id="134"/>
      <w:bookmarkEnd w:id="135"/>
      <w:bookmarkEnd w:id="136"/>
      <w:bookmarkEnd w:id="137"/>
    </w:p>
    <w:p w14:paraId="53AECD5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17.1竞争性谈判小组由采购人代表和评审专家共</w:t>
      </w:r>
      <w:r>
        <w:rPr>
          <w:rFonts w:hint="eastAsia" w:ascii="宋体" w:hAnsi="宋体" w:eastAsia="宋体" w:cs="宋体"/>
          <w:color w:val="auto"/>
          <w:kern w:val="2"/>
          <w:sz w:val="24"/>
          <w:szCs w:val="24"/>
          <w:u w:val="none"/>
          <w:lang w:val="en-US" w:eastAsia="zh-CN" w:bidi="ar-SA"/>
        </w:rPr>
        <w:t>3</w:t>
      </w:r>
      <w:r>
        <w:rPr>
          <w:rFonts w:hint="eastAsia" w:ascii="宋体" w:hAnsi="宋体" w:eastAsia="宋体" w:cs="宋体"/>
          <w:color w:val="auto"/>
          <w:kern w:val="2"/>
          <w:sz w:val="24"/>
          <w:szCs w:val="24"/>
          <w:lang w:val="en-US" w:eastAsia="zh-CN" w:bidi="ar-SA"/>
        </w:rPr>
        <w:t>人以上单数组成，其中评审专家不得少于竞争性谈判小组成员总数的2/3。采购人不得以评审专家身份参加本采购项目的评审。谈判小组评审专家从政府采购评审专家库内相关专业的专家名单中随机抽取。</w:t>
      </w:r>
    </w:p>
    <w:p w14:paraId="176ABF6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17.2谈判由采购代理机构负责组织，具体谈判事务由依法组建的谈判小组负责，</w:t>
      </w:r>
      <w:r>
        <w:rPr>
          <w:rFonts w:hint="eastAsia" w:ascii="宋体" w:hAnsi="宋体" w:eastAsia="宋体" w:cs="宋体"/>
          <w:b/>
          <w:bCs/>
          <w:color w:val="auto"/>
          <w:kern w:val="2"/>
          <w:sz w:val="24"/>
          <w:szCs w:val="24"/>
          <w:lang w:val="en-US" w:eastAsia="zh-CN" w:bidi="ar-SA"/>
        </w:rPr>
        <w:t>并独立履行下列职责</w:t>
      </w:r>
      <w:r>
        <w:rPr>
          <w:rFonts w:hint="eastAsia" w:ascii="宋体" w:hAnsi="宋体" w:eastAsia="宋体" w:cs="宋体"/>
          <w:color w:val="auto"/>
          <w:kern w:val="2"/>
          <w:sz w:val="24"/>
          <w:szCs w:val="24"/>
          <w:lang w:val="en-US" w:eastAsia="zh-CN" w:bidi="ar-SA"/>
        </w:rPr>
        <w:t>：</w:t>
      </w:r>
    </w:p>
    <w:p w14:paraId="5226D4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none"/>
          <w:lang w:val="en-US" w:eastAsia="zh-CN" w:bidi="ar-SA"/>
        </w:rPr>
        <w:t>确认谈判文件</w:t>
      </w:r>
      <w:r>
        <w:rPr>
          <w:rFonts w:hint="eastAsia" w:ascii="宋体" w:hAnsi="宋体" w:eastAsia="宋体" w:cs="宋体"/>
          <w:color w:val="auto"/>
          <w:kern w:val="2"/>
          <w:sz w:val="24"/>
          <w:szCs w:val="24"/>
          <w:lang w:val="en-US" w:eastAsia="zh-CN" w:bidi="ar-SA"/>
        </w:rPr>
        <w:t>；</w:t>
      </w:r>
    </w:p>
    <w:p w14:paraId="735C548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（2）审查供应商的响应文件并作出评价；</w:t>
      </w:r>
    </w:p>
    <w:p w14:paraId="169524D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（3）要求供应商对谈判文件有关事项作出澄清或者说明；</w:t>
      </w:r>
    </w:p>
    <w:p w14:paraId="03B0EC0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（4）编写评审报告；</w:t>
      </w:r>
    </w:p>
    <w:p w14:paraId="7696F7A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（5）确定成交候选人名单，以及根据采购人委托直接确定成交供应商；</w:t>
      </w:r>
    </w:p>
    <w:p w14:paraId="5112171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（6）告知采购人、采购代理机构在评审过程中发现的供应商的违法违规行为。</w:t>
      </w:r>
    </w:p>
    <w:p w14:paraId="651B9DE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17.3</w:t>
      </w:r>
      <w:r>
        <w:rPr>
          <w:rFonts w:hint="eastAsia" w:ascii="宋体" w:hAnsi="宋体" w:eastAsia="宋体" w:cs="宋体"/>
          <w:b/>
          <w:bCs/>
          <w:color w:val="auto"/>
          <w:kern w:val="2"/>
          <w:sz w:val="24"/>
          <w:szCs w:val="24"/>
          <w:lang w:val="en-US" w:eastAsia="zh-CN" w:bidi="ar-SA"/>
        </w:rPr>
        <w:t>谈判小组应遵守并履行下列义务：</w:t>
      </w:r>
    </w:p>
    <w:p w14:paraId="34F6708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（1）遵纪守法，客观、公正、廉洁地履行职责；</w:t>
      </w:r>
    </w:p>
    <w:p w14:paraId="184927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（2）按照谈判文件规定的成交方法评审，对评审意见承担谈判小组成员责任；</w:t>
      </w:r>
    </w:p>
    <w:p w14:paraId="363E6C5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（3）对响应文件、谈判情况和谈判中获悉的国家秘密、商业秘密保密；</w:t>
      </w:r>
    </w:p>
    <w:p w14:paraId="35FFB81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（4）参与评审报告的起草；</w:t>
      </w:r>
    </w:p>
    <w:p w14:paraId="43F68F2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（5）配合采购人、采购代理机构答复供应商提出的质疑；</w:t>
      </w:r>
    </w:p>
    <w:p w14:paraId="788B800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（6）配合财政部门的投诉处理和监督检查工作。</w:t>
      </w:r>
    </w:p>
    <w:p w14:paraId="20F31BE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17.4</w:t>
      </w:r>
      <w:r>
        <w:rPr>
          <w:rFonts w:hint="eastAsia" w:ascii="宋体" w:hAnsi="宋体" w:eastAsia="宋体" w:cs="宋体"/>
          <w:b/>
          <w:bCs/>
          <w:color w:val="auto"/>
          <w:kern w:val="2"/>
          <w:sz w:val="24"/>
          <w:szCs w:val="24"/>
          <w:lang w:val="en-US" w:eastAsia="zh-CN" w:bidi="ar-SA"/>
        </w:rPr>
        <w:t>谈判小组成员有下列情形之一的，应当回避</w:t>
      </w:r>
      <w:r>
        <w:rPr>
          <w:rFonts w:hint="eastAsia" w:ascii="宋体" w:hAnsi="宋体" w:eastAsia="宋体" w:cs="宋体"/>
          <w:color w:val="auto"/>
          <w:kern w:val="2"/>
          <w:sz w:val="24"/>
          <w:szCs w:val="24"/>
          <w:lang w:val="en-US" w:eastAsia="zh-CN" w:bidi="ar-SA"/>
        </w:rPr>
        <w:t>：</w:t>
      </w:r>
    </w:p>
    <w:p w14:paraId="428F5BB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（1）参加采购活动前 3 年内与供应商存在劳动关系；</w:t>
      </w:r>
    </w:p>
    <w:p w14:paraId="145687C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（2）参加采购活动前 3 年内担任供应商的董事、监事；</w:t>
      </w:r>
    </w:p>
    <w:p w14:paraId="797C0E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（3）参加采购活动前 3 年内是供应商的控股股东或者实际控制人；</w:t>
      </w:r>
    </w:p>
    <w:p w14:paraId="74DEB34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（4）与供应商的法定代表人或者负责人有夫妻、直系血亲、三代以内旁系血亲或者近姻亲关系；</w:t>
      </w:r>
    </w:p>
    <w:p w14:paraId="619B6F2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（5）与供应商有其他可能影响政府采购活动公平、公正进行的关系。</w:t>
      </w:r>
      <w:bookmarkStart w:id="138" w:name="_Toc19122"/>
      <w:bookmarkStart w:id="139" w:name="_Toc16350_WPSOffice_Level3"/>
    </w:p>
    <w:p w14:paraId="0AA0381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0" w:name="_Toc21386"/>
      <w:bookmarkStart w:id="141" w:name="_Toc22044_WPSOffice_Level3"/>
      <w:r>
        <w:rPr>
          <w:rFonts w:hint="eastAsia" w:ascii="宋体" w:hAnsi="宋体" w:eastAsia="宋体" w:cs="宋体"/>
          <w:b/>
          <w:bCs/>
          <w:color w:val="auto"/>
          <w:kern w:val="2"/>
          <w:sz w:val="24"/>
          <w:szCs w:val="24"/>
          <w:lang w:val="en-US" w:eastAsia="zh-CN" w:bidi="ar-SA"/>
        </w:rPr>
        <w:t>18.响应文件审查</w:t>
      </w:r>
      <w:bookmarkEnd w:id="138"/>
      <w:bookmarkEnd w:id="139"/>
      <w:bookmarkEnd w:id="140"/>
      <w:bookmarkEnd w:id="141"/>
    </w:p>
    <w:p w14:paraId="6DBEBE2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18.1谈判小组应当对响应文件进行评审，并根据谈判文件规定的程序、评定成交的标准等事项与</w:t>
      </w:r>
      <w:r>
        <w:rPr>
          <w:rFonts w:hint="eastAsia" w:ascii="宋体" w:hAnsi="宋体" w:eastAsia="宋体" w:cs="宋体"/>
          <w:b/>
          <w:bCs/>
          <w:color w:val="auto"/>
          <w:kern w:val="2"/>
          <w:sz w:val="24"/>
          <w:szCs w:val="24"/>
          <w:lang w:val="en-US" w:eastAsia="zh-CN" w:bidi="ar-SA"/>
        </w:rPr>
        <w:t>实质性响应谈判文件要求的供应商进行谈判</w:t>
      </w:r>
      <w:r>
        <w:rPr>
          <w:rFonts w:hint="eastAsia" w:ascii="宋体" w:hAnsi="宋体" w:eastAsia="宋体" w:cs="宋体"/>
          <w:color w:val="auto"/>
          <w:kern w:val="2"/>
          <w:sz w:val="24"/>
          <w:szCs w:val="24"/>
          <w:lang w:val="en-US" w:eastAsia="zh-CN" w:bidi="ar-SA"/>
        </w:rPr>
        <w:t>。</w:t>
      </w:r>
    </w:p>
    <w:p w14:paraId="54EF034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18.2在对供应商进行审查时，</w:t>
      </w:r>
      <w:r>
        <w:rPr>
          <w:rFonts w:hint="eastAsia" w:ascii="宋体" w:hAnsi="宋体" w:eastAsia="宋体" w:cs="宋体"/>
          <w:b/>
          <w:bCs/>
          <w:color w:val="auto"/>
          <w:kern w:val="2"/>
          <w:sz w:val="24"/>
          <w:szCs w:val="24"/>
          <w:lang w:val="en-US" w:eastAsia="zh-CN" w:bidi="ar-SA"/>
        </w:rPr>
        <w:t>存在下列情况之一的，按无效处理：</w:t>
      </w:r>
    </w:p>
    <w:p w14:paraId="5CE093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（1）不符合谈判文件第一部分  谈判须知前附表“供应商资格条件”的；</w:t>
      </w:r>
    </w:p>
    <w:p w14:paraId="478C9BD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（2）未按第11.1.1款“</w:t>
      </w:r>
      <w:r>
        <w:rPr>
          <w:rFonts w:hint="eastAsia" w:ascii="宋体" w:hAnsi="宋体" w:eastAsia="宋体" w:cs="宋体"/>
          <w:color w:val="auto"/>
          <w:kern w:val="2"/>
          <w:sz w:val="24"/>
          <w:szCs w:val="24"/>
          <w:lang w:val="zh-CN" w:eastAsia="zh-CN" w:bidi="ar-SA"/>
        </w:rPr>
        <w:t>资格审查部分</w:t>
      </w:r>
      <w:r>
        <w:rPr>
          <w:rFonts w:hint="eastAsia" w:ascii="宋体" w:hAnsi="宋体" w:eastAsia="宋体" w:cs="宋体"/>
          <w:color w:val="auto"/>
          <w:kern w:val="2"/>
          <w:sz w:val="24"/>
          <w:szCs w:val="24"/>
          <w:lang w:val="en-US" w:eastAsia="zh-CN" w:bidi="ar-SA"/>
        </w:rPr>
        <w:t>”要求提供相关资料的；</w:t>
      </w:r>
    </w:p>
    <w:p w14:paraId="06BA040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（3）交货时间、交货地点及质保期不能满足谈判文件要求的；</w:t>
      </w:r>
    </w:p>
    <w:p w14:paraId="108480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（4）响应文件没有按谈判文件规定和要求签字、盖章的；</w:t>
      </w:r>
    </w:p>
    <w:p w14:paraId="19EA388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（5）谈判有效期不能满足谈判文件要求的；</w:t>
      </w:r>
    </w:p>
    <w:p w14:paraId="426AE4C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（6）谈判报价超过谈判文件规定的采购预算额度的；</w:t>
      </w:r>
    </w:p>
    <w:p w14:paraId="331B9B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（7）所提供产品的技术规格、技术标准明显不符合采购项目要求的；</w:t>
      </w:r>
    </w:p>
    <w:p w14:paraId="2122D66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（8）响应文件含有采购人不能接受的附加条件的；</w:t>
      </w:r>
    </w:p>
    <w:p w14:paraId="1B26E67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（9）响应文件不满足谈判文件实质性要求和条件的；</w:t>
      </w:r>
    </w:p>
    <w:p w14:paraId="11E7368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（10）谈判小组认为应按无效谈判处理的其他情况；</w:t>
      </w:r>
    </w:p>
    <w:p w14:paraId="211699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（11）法律、法规规定的其他情形。</w:t>
      </w:r>
    </w:p>
    <w:p w14:paraId="116B8B8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2" w:name="_Toc17197"/>
      <w:bookmarkStart w:id="143" w:name="_Toc17887_WPSOffice_Level3"/>
      <w:bookmarkStart w:id="144" w:name="_Toc7233"/>
      <w:bookmarkStart w:id="145" w:name="_Toc11154"/>
      <w:bookmarkStart w:id="146" w:name="_Toc1673_WPSOffice_Level3"/>
      <w:r>
        <w:rPr>
          <w:rFonts w:hint="eastAsia" w:ascii="宋体" w:hAnsi="宋体" w:eastAsia="宋体" w:cs="宋体"/>
          <w:b/>
          <w:bCs/>
          <w:color w:val="auto"/>
          <w:kern w:val="2"/>
          <w:sz w:val="24"/>
          <w:szCs w:val="24"/>
          <w:lang w:val="en-US" w:eastAsia="zh-CN" w:bidi="ar-SA"/>
        </w:rPr>
        <w:t>19.谈判程序</w:t>
      </w:r>
      <w:bookmarkEnd w:id="142"/>
      <w:bookmarkEnd w:id="143"/>
      <w:bookmarkEnd w:id="144"/>
      <w:bookmarkEnd w:id="145"/>
      <w:bookmarkEnd w:id="146"/>
    </w:p>
    <w:p w14:paraId="3A059B9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19.1在谈判过程中，谈判小组所有成员集中与单一供应商分别进行谈判，负责审议所有通过资格条件供应商的响应文件，给予所有参加谈判的供应商平等的谈判机会。供应商应派其代表参加谈判。在谈判过程中谈判的任何一方不得向他人透露与谈判有关的技术资料、价格或其他信息。</w:t>
      </w:r>
    </w:p>
    <w:p w14:paraId="37121EA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19.2在谈判过程中，</w:t>
      </w:r>
      <w:r>
        <w:rPr>
          <w:rFonts w:hint="eastAsia" w:ascii="宋体" w:hAnsi="宋体" w:eastAsia="宋体" w:cs="宋体"/>
          <w:color w:val="auto"/>
          <w:kern w:val="2"/>
          <w:sz w:val="24"/>
          <w:szCs w:val="24"/>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color w:val="auto"/>
          <w:kern w:val="2"/>
          <w:sz w:val="24"/>
          <w:szCs w:val="24"/>
          <w:lang w:val="en-US" w:eastAsia="zh-CN" w:bidi="ar-SA"/>
        </w:rPr>
        <w:t>实质性变动的内容，须经采购人代表确认，谈判小组将以书面形式将修改内容同时通知所有参加谈判的供应商。</w:t>
      </w:r>
    </w:p>
    <w:p w14:paraId="3047C26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19.3</w:t>
      </w:r>
      <w:r>
        <w:rPr>
          <w:rFonts w:hint="eastAsia" w:ascii="宋体" w:hAnsi="宋体" w:eastAsia="宋体" w:cs="宋体"/>
          <w:color w:val="auto"/>
          <w:kern w:val="2"/>
          <w:sz w:val="24"/>
          <w:szCs w:val="24"/>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260AF2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19.4响应文件中首次报价表内的报价为首次报价，根据技术、服务等满足谈判文件要求的情况，供应商可进行二次报价。</w:t>
      </w:r>
    </w:p>
    <w:p w14:paraId="36FA4430">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未在最终轮次规定时间内（60分钟）进行响应报价的，按首轮报价进行评审，退出谈判的除外。</w:t>
      </w:r>
    </w:p>
    <w:p w14:paraId="72E3F19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color="auto"/>
          <w:lang w:val="en-US" w:eastAsia="zh-CN" w:bidi="ar-SA"/>
        </w:rPr>
      </w:pPr>
      <w:r>
        <w:rPr>
          <w:rFonts w:hint="eastAsia" w:ascii="宋体" w:hAnsi="宋体" w:eastAsia="宋体" w:cs="宋体"/>
          <w:color w:val="auto"/>
          <w:kern w:val="2"/>
          <w:sz w:val="24"/>
          <w:szCs w:val="24"/>
          <w:lang w:val="en-US" w:eastAsia="zh-CN" w:bidi="ar-SA"/>
        </w:rPr>
        <w:t>19.5</w:t>
      </w:r>
      <w:r>
        <w:rPr>
          <w:rFonts w:hint="eastAsia" w:ascii="宋体" w:hAnsi="宋体" w:eastAsia="宋体" w:cs="宋体"/>
          <w:color w:val="auto"/>
          <w:kern w:val="2"/>
          <w:sz w:val="24"/>
          <w:szCs w:val="24"/>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30EC89F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19.6谈判工作在有关部门的监督下依法开展，任何单位和个人不得非法干预、影响谈判工作和谈判结果。</w:t>
      </w:r>
    </w:p>
    <w:p w14:paraId="7B60E3C3">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7" w:name="_Toc14903"/>
      <w:bookmarkStart w:id="148" w:name="_Toc24288_WPSOffice_Level3"/>
      <w:bookmarkStart w:id="149" w:name="_Toc25644_WPSOffice_Level3"/>
      <w:bookmarkStart w:id="150" w:name="_Toc2176"/>
      <w:bookmarkStart w:id="151" w:name="_Toc13352"/>
      <w:r>
        <w:rPr>
          <w:rFonts w:hint="eastAsia" w:ascii="宋体" w:hAnsi="宋体" w:eastAsia="宋体" w:cs="宋体"/>
          <w:b/>
          <w:bCs/>
          <w:color w:val="auto"/>
          <w:kern w:val="2"/>
          <w:sz w:val="24"/>
          <w:szCs w:val="24"/>
          <w:lang w:val="en-US" w:eastAsia="zh-CN" w:bidi="ar-SA"/>
        </w:rPr>
        <w:t>20.澄清</w:t>
      </w:r>
      <w:bookmarkEnd w:id="147"/>
      <w:bookmarkEnd w:id="148"/>
      <w:bookmarkEnd w:id="149"/>
      <w:bookmarkEnd w:id="150"/>
      <w:bookmarkEnd w:id="151"/>
    </w:p>
    <w:p w14:paraId="284D9AB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5F8206C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3D76EE9D">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20.3评审中需要供应商对响应文件作出澄清、说明或者补正的，谈判小组和供应商应当通过电子交易系统交换数据电文，给予供应商提交澄清说明或补正的时间为60分钟，供应商已经明确表示澄清说明或补正完毕的除外。未在规定时间内进行澄清补正，视同默认原文相关内容。</w:t>
      </w:r>
    </w:p>
    <w:p w14:paraId="4FEB351D">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2" w:name="_Toc18040"/>
      <w:bookmarkStart w:id="153" w:name="_Toc4997"/>
      <w:bookmarkStart w:id="154" w:name="_Toc13262_WPSOffice_Level3"/>
      <w:bookmarkStart w:id="155" w:name="_Toc6898_WPSOffice_Level3"/>
      <w:bookmarkStart w:id="156" w:name="_Toc8374"/>
      <w:r>
        <w:rPr>
          <w:rFonts w:hint="eastAsia" w:ascii="宋体" w:hAnsi="宋体" w:eastAsia="宋体" w:cs="宋体"/>
          <w:b/>
          <w:bCs/>
          <w:color w:val="auto"/>
          <w:kern w:val="2"/>
          <w:sz w:val="24"/>
          <w:szCs w:val="24"/>
          <w:lang w:val="en-US" w:eastAsia="zh-CN" w:bidi="ar-SA"/>
        </w:rPr>
        <w:t>21.退出谈判</w:t>
      </w:r>
      <w:bookmarkEnd w:id="152"/>
      <w:bookmarkEnd w:id="153"/>
      <w:bookmarkEnd w:id="154"/>
      <w:bookmarkEnd w:id="155"/>
      <w:bookmarkEnd w:id="156"/>
    </w:p>
    <w:p w14:paraId="2536E891">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52B8089A">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7" w:name="_Toc18169_WPSOffice_Level3"/>
      <w:bookmarkStart w:id="158" w:name="_Toc5048_WPSOffice_Level3"/>
      <w:bookmarkStart w:id="159" w:name="_Toc32003"/>
      <w:bookmarkStart w:id="160" w:name="_Toc14748"/>
      <w:bookmarkStart w:id="161" w:name="_Toc12522"/>
      <w:r>
        <w:rPr>
          <w:rFonts w:hint="eastAsia" w:ascii="宋体" w:hAnsi="宋体" w:eastAsia="宋体" w:cs="宋体"/>
          <w:b/>
          <w:bCs/>
          <w:color w:val="auto"/>
          <w:kern w:val="2"/>
          <w:sz w:val="24"/>
          <w:szCs w:val="24"/>
          <w:lang w:val="en-US" w:eastAsia="zh-CN" w:bidi="ar-SA"/>
        </w:rPr>
        <w:t>22.最后报价</w:t>
      </w:r>
      <w:bookmarkEnd w:id="157"/>
      <w:bookmarkEnd w:id="158"/>
      <w:bookmarkEnd w:id="159"/>
      <w:bookmarkEnd w:id="160"/>
      <w:bookmarkEnd w:id="161"/>
    </w:p>
    <w:p w14:paraId="64653D4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057D2A9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504120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22.3最后报价的评审</w:t>
      </w:r>
    </w:p>
    <w:p w14:paraId="4349541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（1）最后报价出现大写金额和小写金额不一致的，以大写金额为准。</w:t>
      </w:r>
    </w:p>
    <w:p w14:paraId="7EF9627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（2）需落实政府采购政策的，按相关规定进行价格扣除。</w:t>
      </w:r>
    </w:p>
    <w:p w14:paraId="05FC8FC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22.4</w:t>
      </w:r>
      <w:r>
        <w:rPr>
          <w:rFonts w:hint="eastAsia" w:ascii="宋体" w:hAnsi="宋体" w:eastAsia="宋体" w:cs="宋体"/>
          <w:color w:val="auto"/>
          <w:kern w:val="2"/>
          <w:sz w:val="24"/>
          <w:szCs w:val="24"/>
          <w:u w:val="none" w:color="auto"/>
          <w:lang w:val="en-US" w:eastAsia="zh-CN" w:bidi="ar-SA"/>
        </w:rPr>
        <w:t>最后报价如果高于其响应文件中的首次报价的，以最后报价为准。</w:t>
      </w:r>
    </w:p>
    <w:p w14:paraId="73A3DF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22.5采购人、采购代理机构在按规定公布供应商的最后报价前，不得公开供应商的技术资料、价格和其他信息。</w:t>
      </w:r>
    </w:p>
    <w:p w14:paraId="53BE84A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22.6若最后报价时出现最低价相同的情形，谈判小组应召集报价相同的供应商进行再次报价。</w:t>
      </w:r>
    </w:p>
    <w:p w14:paraId="21278C36">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2" w:name="_Toc16084_WPSOffice_Level3"/>
      <w:bookmarkStart w:id="163" w:name="_Toc1797"/>
      <w:bookmarkStart w:id="164" w:name="_Toc16163"/>
      <w:bookmarkStart w:id="165" w:name="_Toc8242_WPSOffice_Level3"/>
      <w:bookmarkStart w:id="166" w:name="_Toc7275"/>
      <w:r>
        <w:rPr>
          <w:rFonts w:hint="eastAsia" w:ascii="宋体" w:hAnsi="宋体" w:eastAsia="宋体" w:cs="宋体"/>
          <w:b/>
          <w:bCs/>
          <w:color w:val="auto"/>
          <w:kern w:val="2"/>
          <w:sz w:val="24"/>
          <w:szCs w:val="24"/>
          <w:lang w:val="en-US" w:eastAsia="zh-CN" w:bidi="ar-SA"/>
        </w:rPr>
        <w:t>23.确定成交供应商</w:t>
      </w:r>
      <w:bookmarkEnd w:id="162"/>
      <w:bookmarkEnd w:id="163"/>
      <w:bookmarkEnd w:id="164"/>
      <w:bookmarkEnd w:id="165"/>
      <w:bookmarkEnd w:id="166"/>
    </w:p>
    <w:p w14:paraId="69D17AD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20E853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64A49E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23.3采购代理机构应当在评审结束后2个工作日内将评审报告送采购人确认。</w:t>
      </w:r>
    </w:p>
    <w:p w14:paraId="3F28E89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CE53E2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23.5采购人逾期未确定成交供应商且不提出异议的，视为确定评审报告提出的最后报价最低的供应商为成交供应商。</w:t>
      </w:r>
    </w:p>
    <w:p w14:paraId="32CE3AE3">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7" w:name="_Toc17639_WPSOffice_Level3"/>
      <w:bookmarkStart w:id="168" w:name="_Toc22206"/>
      <w:bookmarkStart w:id="169" w:name="_Toc24684"/>
      <w:bookmarkStart w:id="170" w:name="_Toc10295"/>
      <w:bookmarkStart w:id="171" w:name="_Toc20869_WPSOffice_Level3"/>
      <w:r>
        <w:rPr>
          <w:rFonts w:hint="eastAsia" w:ascii="宋体" w:hAnsi="宋体" w:eastAsia="宋体" w:cs="宋体"/>
          <w:b/>
          <w:bCs/>
          <w:color w:val="auto"/>
          <w:kern w:val="2"/>
          <w:sz w:val="24"/>
          <w:szCs w:val="24"/>
          <w:lang w:val="en-US" w:eastAsia="zh-CN" w:bidi="ar-SA"/>
        </w:rPr>
        <w:t>24.重新评审</w:t>
      </w:r>
      <w:bookmarkEnd w:id="167"/>
      <w:bookmarkEnd w:id="168"/>
      <w:bookmarkEnd w:id="169"/>
      <w:bookmarkEnd w:id="170"/>
      <w:bookmarkEnd w:id="171"/>
    </w:p>
    <w:p w14:paraId="67E0EF4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24.1除资格审查认定错误和价格计算错误外，采购人、采购代理机构不以任何理由组织重新评审。</w:t>
      </w:r>
    </w:p>
    <w:p w14:paraId="61743C2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24.2采购人、采购代理机构发现谈判小组未按照谈判文件规定的评定成交标准进行评审的，应当重新开展采购活动，并同时书面报告同级财政部门。</w:t>
      </w:r>
    </w:p>
    <w:p w14:paraId="1FD4EF44">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2" w:name="_Toc26374_WPSOffice_Level3"/>
      <w:bookmarkStart w:id="173" w:name="_Toc3509"/>
      <w:bookmarkStart w:id="174" w:name="_Toc1388_WPSOffice_Level3"/>
      <w:bookmarkStart w:id="175" w:name="_Toc12673"/>
      <w:bookmarkStart w:id="176" w:name="_Toc2122"/>
      <w:r>
        <w:rPr>
          <w:rFonts w:hint="eastAsia" w:ascii="宋体" w:hAnsi="宋体" w:eastAsia="宋体" w:cs="宋体"/>
          <w:b/>
          <w:bCs/>
          <w:color w:val="auto"/>
          <w:kern w:val="2"/>
          <w:sz w:val="24"/>
          <w:szCs w:val="24"/>
          <w:lang w:val="en-US" w:eastAsia="zh-CN" w:bidi="ar-SA"/>
        </w:rPr>
        <w:t>25.谈判终止</w:t>
      </w:r>
      <w:bookmarkEnd w:id="172"/>
      <w:bookmarkEnd w:id="173"/>
      <w:bookmarkEnd w:id="174"/>
      <w:bookmarkEnd w:id="175"/>
      <w:bookmarkEnd w:id="176"/>
    </w:p>
    <w:p w14:paraId="6464BF4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25.1出现下列情形之一的，采购人、采购代理机构应当终止竞争性谈判采购活动，在指定的媒体上发布项目终止公告并说明原因，重新开展采购活动：</w:t>
      </w:r>
    </w:p>
    <w:p w14:paraId="32FE5FA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（1）因情况变化，不再符合规定的竞争性谈判采购方式适用情形的；</w:t>
      </w:r>
    </w:p>
    <w:p w14:paraId="3C72190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（2）出现影响采购公正的违法、违规行为的；</w:t>
      </w:r>
    </w:p>
    <w:p w14:paraId="74FF542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（3）在采购过程中符合谈判要求的供应商或者报价未超过采购预算的供应商不足3家的，或者提交最后报价的供应商少于3家的；</w:t>
      </w:r>
    </w:p>
    <w:p w14:paraId="6E33E5B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（4）因重大变故，采购任务取消的。</w:t>
      </w:r>
    </w:p>
    <w:p w14:paraId="5E9D300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25.2</w:t>
      </w:r>
      <w:r>
        <w:rPr>
          <w:rFonts w:hint="eastAsia" w:ascii="宋体" w:hAnsi="宋体" w:eastAsia="宋体" w:cs="宋体"/>
          <w:b/>
          <w:bCs/>
          <w:color w:val="auto"/>
          <w:kern w:val="2"/>
          <w:sz w:val="24"/>
          <w:szCs w:val="24"/>
          <w:lang w:val="en-US" w:eastAsia="zh-CN" w:bidi="ar-SA"/>
        </w:rPr>
        <w:t>中止或终止采购活动</w:t>
      </w:r>
    </w:p>
    <w:p w14:paraId="60FDAEE4">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采购过程中出现以下情形，导致电子交易系统无法正常运行，或者无法保证电子交易的公平、公正和安全时，采购人及采购代理机构可中止电子交易活动：</w:t>
      </w:r>
    </w:p>
    <w:p w14:paraId="7A985AFC">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（1）电子交易系统发生故障而无法登录访问的；</w:t>
      </w:r>
    </w:p>
    <w:p w14:paraId="00D4B3C1">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（2）电子交易系统应用或数据库出现错误，不能进行正常操作的；</w:t>
      </w:r>
    </w:p>
    <w:p w14:paraId="5F997C09">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（3）电子交易系统发现严重安全漏洞，有潜在泄密危险的；</w:t>
      </w:r>
    </w:p>
    <w:p w14:paraId="0E450F6E">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（4）因计算机病毒发作导致不能进行正常操作的；</w:t>
      </w:r>
    </w:p>
    <w:p w14:paraId="46023BA2">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（5）其他无法保证电子交易的公平、公正和安全的情况。</w:t>
      </w:r>
    </w:p>
    <w:p w14:paraId="695A31CC">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出现前款规定情形，不影响采购公平、公正性的，采购人及采购代理机构可以待上述情形消除后继续组织采购活动；出现违法违规情形，影响或可能影响采购公平、公正性的，应当依法废标或者终止采购活动。</w:t>
      </w:r>
    </w:p>
    <w:p w14:paraId="0E367ED2">
      <w:pPr>
        <w:pStyle w:val="4"/>
        <w:keepNext/>
        <w:keepLines/>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7" w:name="_Toc32730"/>
      <w:bookmarkStart w:id="178" w:name="_Toc20688_WPSOffice_Level3"/>
      <w:bookmarkStart w:id="179" w:name="_Toc18635_WPSOffice_Level3"/>
      <w:bookmarkStart w:id="180" w:name="_Toc3325"/>
      <w:bookmarkStart w:id="181" w:name="_Toc11721"/>
      <w:r>
        <w:rPr>
          <w:rFonts w:hint="eastAsia" w:ascii="宋体" w:hAnsi="宋体" w:eastAsia="宋体" w:cs="宋体"/>
          <w:b/>
          <w:bCs/>
          <w:color w:val="auto"/>
          <w:kern w:val="2"/>
          <w:sz w:val="24"/>
          <w:szCs w:val="24"/>
          <w:lang w:val="en-US" w:eastAsia="zh-CN" w:bidi="ar-SA"/>
        </w:rPr>
        <w:t>26.串通情形认定及处理</w:t>
      </w:r>
      <w:bookmarkEnd w:id="177"/>
      <w:bookmarkEnd w:id="178"/>
      <w:bookmarkEnd w:id="179"/>
      <w:bookmarkEnd w:id="180"/>
      <w:bookmarkEnd w:id="181"/>
    </w:p>
    <w:p w14:paraId="1ABDB6D7">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color w:val="auto"/>
          <w:sz w:val="24"/>
          <w:szCs w:val="24"/>
          <w:lang w:val="en-US" w:eastAsia="zh-CN"/>
        </w:rPr>
        <w:t>采购工作。</w:t>
      </w:r>
    </w:p>
    <w:p w14:paraId="19A6E593">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26.2</w:t>
      </w:r>
      <w:r>
        <w:rPr>
          <w:rFonts w:hint="eastAsia" w:ascii="宋体" w:hAnsi="宋体" w:eastAsia="宋体" w:cs="宋体"/>
          <w:b/>
          <w:bCs/>
          <w:color w:val="auto"/>
          <w:sz w:val="24"/>
          <w:szCs w:val="24"/>
          <w:lang w:val="en-US" w:eastAsia="zh-CN"/>
        </w:rPr>
        <w:t>有下列情形之一的，成交无效，</w:t>
      </w:r>
      <w:r>
        <w:rPr>
          <w:rFonts w:hint="eastAsia" w:ascii="宋体" w:hAnsi="宋体" w:eastAsia="宋体" w:cs="宋体"/>
          <w:color w:val="auto"/>
          <w:sz w:val="24"/>
          <w:szCs w:val="24"/>
          <w:lang w:val="en-US" w:eastAsia="zh-CN"/>
        </w:rPr>
        <w:t>对供应商</w:t>
      </w:r>
      <w:r>
        <w:rPr>
          <w:rFonts w:hint="eastAsia" w:ascii="宋体" w:hAnsi="宋体" w:eastAsia="宋体" w:cs="宋体"/>
          <w:color w:val="auto"/>
          <w:sz w:val="24"/>
          <w:szCs w:val="24"/>
          <w:lang w:val="zh-CN" w:eastAsia="zh-CN"/>
        </w:rPr>
        <w:t>依照《政府采购法》第七十七条的规定追究法律责任：</w:t>
      </w:r>
    </w:p>
    <w:p w14:paraId="0EE65DD6">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bookmarkStart w:id="182" w:name="_Toc34637770"/>
      <w:bookmarkStart w:id="183" w:name="_Toc22761"/>
      <w:r>
        <w:rPr>
          <w:rFonts w:hint="eastAsia" w:ascii="宋体" w:hAnsi="宋体" w:eastAsia="宋体" w:cs="宋体"/>
          <w:color w:val="auto"/>
          <w:sz w:val="24"/>
          <w:szCs w:val="24"/>
          <w:lang w:val="en-US" w:eastAsia="zh-CN"/>
        </w:rPr>
        <w:t xml:space="preserve">  （1）供应商直接或者间接从采购人或者采购代理机构处获得其他供应商的相关情况并修改其响应文件；</w:t>
      </w:r>
    </w:p>
    <w:p w14:paraId="7A597B31">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（2）供应商按照采购人或者采购代理机构的授意撤换、修改响应文件；</w:t>
      </w:r>
    </w:p>
    <w:p w14:paraId="5C0211D9">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（3）供应商之间协商报价、技术方案等响应文件的实质性内容；</w:t>
      </w:r>
    </w:p>
    <w:p w14:paraId="743C206D">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（4）属于同一集团、协会、商会等组织成员的供应商按照该组织要求协同参加政府采购活动；</w:t>
      </w:r>
    </w:p>
    <w:p w14:paraId="758C0DBC">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（5）供应商之间事先约定由某一特定供应商成交；</w:t>
      </w:r>
    </w:p>
    <w:p w14:paraId="22B01186">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（6）供应商之间商定部分供应商放弃参加政府采购活动或者放弃成交；</w:t>
      </w:r>
    </w:p>
    <w:p w14:paraId="25A61EB8">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（7）供应商与采购人或者采购代理机构之间、供应商相互之间，为谋求特定供应商成交或者排斥其他供应商的其他串通行为。</w:t>
      </w:r>
    </w:p>
    <w:p w14:paraId="6F0B2BDF">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26.3 </w:t>
      </w:r>
      <w:r>
        <w:rPr>
          <w:rFonts w:hint="eastAsia" w:ascii="宋体" w:hAnsi="宋体" w:eastAsia="宋体" w:cs="宋体"/>
          <w:b/>
          <w:bCs/>
          <w:color w:val="auto"/>
          <w:sz w:val="24"/>
          <w:szCs w:val="24"/>
          <w:lang w:val="en-US" w:eastAsia="zh-CN"/>
        </w:rPr>
        <w:t>有下列情形之一的，视为供应商串通，其响应无效：</w:t>
      </w:r>
    </w:p>
    <w:p w14:paraId="4F8E1E6C">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（1）不同供应商的响应文件由同一单位或者个人编制；</w:t>
      </w:r>
    </w:p>
    <w:p w14:paraId="0007CE7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（2）不同供应商委托同一单位或者个人办理谈判事宜；</w:t>
      </w:r>
    </w:p>
    <w:p w14:paraId="2D4B0FF2">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（3）不同供应商的响应文件载明的项目管理成员或者联系人员为同一人；</w:t>
      </w:r>
    </w:p>
    <w:p w14:paraId="5AF0964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（4）不同供应商的响应文件异常一致或者报价呈规律性差异；</w:t>
      </w:r>
    </w:p>
    <w:p w14:paraId="780B3C4D">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（5）不同供应商的响应文件相互混装；</w:t>
      </w:r>
    </w:p>
    <w:p w14:paraId="45B4107E">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（6）不同供应商的保证金从同一单位或者个人的账户转出。</w:t>
      </w:r>
    </w:p>
    <w:p w14:paraId="3DADBB99">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184" w:name="_Toc27536"/>
      <w:r>
        <w:rPr>
          <w:rFonts w:hint="eastAsia" w:ascii="宋体" w:hAnsi="宋体" w:eastAsia="宋体" w:cs="宋体"/>
          <w:b/>
          <w:bCs/>
          <w:color w:val="auto"/>
          <w:kern w:val="2"/>
          <w:sz w:val="28"/>
          <w:szCs w:val="28"/>
          <w:highlight w:val="none"/>
          <w:lang w:val="en-US" w:eastAsia="zh-CN" w:bidi="ar-SA"/>
        </w:rPr>
        <w:t>六、成交结果信息公布与授予合同</w:t>
      </w:r>
      <w:bookmarkEnd w:id="182"/>
      <w:bookmarkEnd w:id="183"/>
      <w:bookmarkEnd w:id="184"/>
    </w:p>
    <w:p w14:paraId="006C47D2">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5" w:name="_Toc947"/>
      <w:bookmarkStart w:id="186" w:name="_Toc30784_WPSOffice_Level3"/>
      <w:bookmarkStart w:id="187" w:name="_Toc23126"/>
      <w:bookmarkStart w:id="188" w:name="_Toc8130"/>
      <w:bookmarkStart w:id="189" w:name="_Toc8339_WPSOffice_Level3"/>
      <w:r>
        <w:rPr>
          <w:rFonts w:hint="eastAsia" w:ascii="宋体" w:hAnsi="宋体" w:eastAsia="宋体" w:cs="宋体"/>
          <w:b/>
          <w:bCs/>
          <w:color w:val="auto"/>
          <w:kern w:val="2"/>
          <w:sz w:val="24"/>
          <w:szCs w:val="24"/>
          <w:lang w:val="en-US" w:eastAsia="zh-CN" w:bidi="ar-SA"/>
        </w:rPr>
        <w:t>27.成交信息的公布与通知</w:t>
      </w:r>
      <w:bookmarkEnd w:id="185"/>
      <w:bookmarkEnd w:id="186"/>
      <w:bookmarkEnd w:id="187"/>
      <w:bookmarkEnd w:id="188"/>
      <w:bookmarkEnd w:id="189"/>
    </w:p>
    <w:p w14:paraId="73FDECB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27.1采购代理机构应自确定成交供应商之日起2个工作日内在</w:t>
      </w:r>
      <w:r>
        <w:rPr>
          <w:rFonts w:hint="eastAsia" w:ascii="宋体" w:hAnsi="宋体" w:eastAsia="宋体" w:cs="宋体"/>
          <w:color w:val="auto"/>
          <w:sz w:val="24"/>
        </w:rPr>
        <w:t>《</w:t>
      </w:r>
      <w:r>
        <w:rPr>
          <w:rFonts w:hint="eastAsia" w:ascii="宋体" w:hAnsi="宋体" w:eastAsia="宋体" w:cs="宋体"/>
          <w:color w:val="auto"/>
          <w:sz w:val="24"/>
          <w:lang w:eastAsia="zh-CN"/>
        </w:rPr>
        <w:t>青海政府采购网</w:t>
      </w:r>
      <w:r>
        <w:rPr>
          <w:rFonts w:hint="eastAsia" w:ascii="宋体" w:hAnsi="宋体" w:eastAsia="宋体" w:cs="宋体"/>
          <w:color w:val="auto"/>
          <w:sz w:val="24"/>
        </w:rPr>
        <w:t>》</w:t>
      </w:r>
      <w:r>
        <w:rPr>
          <w:rFonts w:hint="eastAsia" w:ascii="宋体" w:hAnsi="宋体" w:eastAsia="宋体" w:cs="宋体"/>
          <w:color w:val="auto"/>
          <w:kern w:val="2"/>
          <w:sz w:val="24"/>
          <w:szCs w:val="24"/>
          <w:lang w:val="en-US" w:eastAsia="zh-CN" w:bidi="ar-SA"/>
        </w:rPr>
        <w:t>上公告成交结果，同时向成交供应商发出《成交通知书》。成交通知书对采购人和成交供应商具有同等法律效力。</w:t>
      </w:r>
    </w:p>
    <w:p w14:paraId="75C760D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27.2成交结果公告应当包括以下内容：</w:t>
      </w:r>
    </w:p>
    <w:p w14:paraId="154233C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（1）采购人和采购代理机构的名称、地址和联系方式；</w:t>
      </w:r>
    </w:p>
    <w:p w14:paraId="787A721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（2）项目名称和项目编号；</w:t>
      </w:r>
    </w:p>
    <w:p w14:paraId="169403E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（3）成交供应商名称、地址和成交金额；</w:t>
      </w:r>
    </w:p>
    <w:p w14:paraId="355C5DD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（4）主要成交标的的名称、规格型号、数量、单价、服务要求；</w:t>
      </w:r>
    </w:p>
    <w:p w14:paraId="7953638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（5）谈判小组成员名单。</w:t>
      </w:r>
    </w:p>
    <w:p w14:paraId="179E0C2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27.3《成交通知书》发出后，采购人不得违法改变采购结果，成交供应商无正当理由不得放弃。</w:t>
      </w:r>
    </w:p>
    <w:p w14:paraId="3C816DA3">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0" w:name="_Toc4510"/>
      <w:bookmarkStart w:id="191" w:name="_Toc13860_WPSOffice_Level3"/>
      <w:bookmarkStart w:id="192" w:name="_Toc29441"/>
      <w:bookmarkStart w:id="193" w:name="_Toc5068_WPSOffice_Level3"/>
      <w:bookmarkStart w:id="194" w:name="_Toc20586"/>
      <w:r>
        <w:rPr>
          <w:rFonts w:hint="eastAsia" w:ascii="宋体" w:hAnsi="宋体" w:eastAsia="宋体" w:cs="宋体"/>
          <w:b/>
          <w:bCs/>
          <w:color w:val="auto"/>
          <w:kern w:val="2"/>
          <w:sz w:val="24"/>
          <w:szCs w:val="24"/>
          <w:lang w:val="en-US" w:eastAsia="zh-CN" w:bidi="ar-SA"/>
        </w:rPr>
        <w:t>28.授予合同</w:t>
      </w:r>
      <w:bookmarkEnd w:id="190"/>
      <w:bookmarkEnd w:id="191"/>
      <w:bookmarkEnd w:id="192"/>
      <w:bookmarkEnd w:id="193"/>
      <w:bookmarkEnd w:id="194"/>
    </w:p>
    <w:p w14:paraId="4C8C7F4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28.1谈判文件、成交供应商的响应文件及其补充的响应文件、成交通知书等均为签订政府采购合同的依据。</w:t>
      </w:r>
    </w:p>
    <w:p w14:paraId="40443E4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14:paraId="173585F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3013DC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95" w:name="_Toc376936761"/>
      <w:bookmarkStart w:id="196" w:name="_Toc325726030"/>
      <w:r>
        <w:rPr>
          <w:rFonts w:hint="eastAsia" w:ascii="宋体" w:hAnsi="宋体" w:eastAsia="宋体" w:cs="宋体"/>
          <w:color w:val="auto"/>
          <w:kern w:val="2"/>
          <w:sz w:val="24"/>
          <w:szCs w:val="24"/>
          <w:lang w:val="en-US" w:eastAsia="zh-CN" w:bidi="ar-SA"/>
        </w:rPr>
        <w:t>28.4采购人或采购代理机构应当自采购合同签订之日起2个工作日内，将采购合同在青海政府采购信息网上公告，但政府采购合同中涉及国家秘密、商业秘密的内容除外。</w:t>
      </w:r>
    </w:p>
    <w:p w14:paraId="175E699B">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7" w:name="_Toc32538"/>
      <w:bookmarkStart w:id="198" w:name="_Toc22051"/>
      <w:bookmarkStart w:id="199" w:name="_Toc16374"/>
      <w:bookmarkStart w:id="200" w:name="_Toc8740_WPSOffice_Level3"/>
      <w:bookmarkStart w:id="201" w:name="_Toc16258_WPSOffice_Level3"/>
      <w:r>
        <w:rPr>
          <w:rFonts w:hint="eastAsia" w:ascii="宋体" w:hAnsi="宋体" w:eastAsia="宋体" w:cs="宋体"/>
          <w:b/>
          <w:bCs/>
          <w:color w:val="auto"/>
          <w:kern w:val="2"/>
          <w:sz w:val="24"/>
          <w:szCs w:val="24"/>
          <w:lang w:val="en-US" w:eastAsia="zh-CN" w:bidi="ar-SA"/>
        </w:rPr>
        <w:t>29.履约验收</w:t>
      </w:r>
      <w:bookmarkEnd w:id="197"/>
      <w:bookmarkEnd w:id="198"/>
      <w:bookmarkEnd w:id="199"/>
      <w:bookmarkEnd w:id="200"/>
      <w:bookmarkEnd w:id="201"/>
    </w:p>
    <w:p w14:paraId="75F218A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29.1</w:t>
      </w:r>
      <w:r>
        <w:rPr>
          <w:rFonts w:hint="eastAsia" w:ascii="宋体" w:hAnsi="宋体" w:eastAsia="宋体" w:cs="宋体"/>
          <w:b w:val="0"/>
          <w:bCs w:val="0"/>
          <w:color w:val="auto"/>
          <w:kern w:val="2"/>
          <w:sz w:val="24"/>
          <w:szCs w:val="24"/>
          <w:u w:val="none"/>
          <w:lang w:val="en-US" w:eastAsia="zh-CN" w:bidi="ar-SA"/>
        </w:rPr>
        <w:t>履约保证金：签订合同时，成交供应商应当以支票、汇票、本票或者金融机构、担保机构出具的保函等非现金形式向采购人指定的账户交纳履约保证金。</w:t>
      </w:r>
      <w:r>
        <w:rPr>
          <w:rFonts w:hint="eastAsia" w:ascii="宋体" w:hAnsi="宋体" w:eastAsia="宋体" w:cs="宋体"/>
          <w:b/>
          <w:bCs/>
          <w:color w:val="auto"/>
          <w:kern w:val="2"/>
          <w:sz w:val="24"/>
          <w:szCs w:val="24"/>
          <w:u w:val="none"/>
          <w:lang w:val="en-US" w:eastAsia="zh-CN" w:bidi="ar-SA"/>
        </w:rPr>
        <w:t>本项目履约保证金金额为成交金额的5％。</w:t>
      </w:r>
    </w:p>
    <w:p w14:paraId="02019B8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14:paraId="3D3CD7A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29.3采购人可以邀请参加本项目的其他供应商或者第三方机构参与验收。参与验收的供应商或者第三方机构的意见作为验收书的参考资料一并存档。</w:t>
      </w:r>
    </w:p>
    <w:p w14:paraId="7DF4385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381E77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29.5采购人、采购代理机构应当建立真实完整的谈判档案，妥善保存谈判的相关资料。</w:t>
      </w:r>
    </w:p>
    <w:p w14:paraId="255C75BF">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02" w:name="_Toc2658_WPSOffice_Level2"/>
      <w:bookmarkStart w:id="203" w:name="_Toc31604_WPSOffice_Level2"/>
      <w:bookmarkStart w:id="204" w:name="_Toc6881"/>
      <w:bookmarkStart w:id="205" w:name="_Toc32362"/>
      <w:bookmarkStart w:id="206" w:name="_Toc3517_WPSOffice_Level2"/>
      <w:bookmarkStart w:id="207" w:name="_Toc10745"/>
      <w:bookmarkStart w:id="208" w:name="_Toc4328"/>
      <w:r>
        <w:rPr>
          <w:rFonts w:hint="eastAsia" w:ascii="宋体" w:hAnsi="宋体" w:eastAsia="宋体" w:cs="宋体"/>
          <w:b/>
          <w:bCs/>
          <w:color w:val="auto"/>
          <w:kern w:val="2"/>
          <w:sz w:val="28"/>
          <w:szCs w:val="28"/>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5D5CDD01">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09" w:name="_Toc29785"/>
      <w:bookmarkStart w:id="210" w:name="_Toc23314_WPSOffice_Level3"/>
      <w:bookmarkStart w:id="211" w:name="_Toc21641"/>
      <w:bookmarkStart w:id="212" w:name="_Toc25982_WPSOffice_Level3"/>
      <w:bookmarkStart w:id="213" w:name="_Toc15153"/>
      <w:r>
        <w:rPr>
          <w:rFonts w:hint="eastAsia" w:ascii="宋体" w:hAnsi="宋体" w:eastAsia="宋体" w:cs="宋体"/>
          <w:b/>
          <w:bCs/>
          <w:color w:val="auto"/>
          <w:kern w:val="2"/>
          <w:sz w:val="24"/>
          <w:szCs w:val="24"/>
          <w:lang w:val="en-US" w:eastAsia="zh-CN" w:bidi="ar-SA"/>
        </w:rPr>
        <w:t>30.对采购过程、结果的询问及质疑</w:t>
      </w:r>
      <w:bookmarkEnd w:id="209"/>
      <w:bookmarkEnd w:id="210"/>
      <w:bookmarkEnd w:id="211"/>
      <w:bookmarkEnd w:id="212"/>
      <w:bookmarkEnd w:id="213"/>
    </w:p>
    <w:p w14:paraId="15FDA80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30.1供应商对政府采购过程、结果有疑问的，可以向采购人、采购代理机构提出询问。</w:t>
      </w:r>
    </w:p>
    <w:p w14:paraId="1526AA2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3ADF8DF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30.3供应商应在法定质疑期内一次性提出针对同一采购程序环节的质疑。</w:t>
      </w:r>
    </w:p>
    <w:p w14:paraId="17A30B15">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14" w:name="_Toc34637771"/>
      <w:bookmarkStart w:id="215" w:name="_Toc22889"/>
      <w:bookmarkStart w:id="216" w:name="_Toc6866_WPSOffice_Level2"/>
      <w:bookmarkStart w:id="217" w:name="_Toc4534"/>
      <w:bookmarkStart w:id="218" w:name="_Toc21832"/>
      <w:bookmarkStart w:id="219" w:name="_Toc9701_WPSOffice_Level2"/>
      <w:bookmarkStart w:id="220" w:name="_Toc22201076"/>
      <w:bookmarkStart w:id="221" w:name="_Toc20109"/>
      <w:bookmarkStart w:id="222" w:name="_Toc11509_WPSOffice_Level2"/>
      <w:r>
        <w:rPr>
          <w:rFonts w:hint="eastAsia" w:ascii="宋体" w:hAnsi="宋体" w:eastAsia="宋体" w:cs="宋体"/>
          <w:b/>
          <w:bCs/>
          <w:color w:val="auto"/>
          <w:kern w:val="2"/>
          <w:sz w:val="28"/>
          <w:szCs w:val="28"/>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14:paraId="4C6A6B86">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23" w:name="_Toc14303"/>
      <w:bookmarkStart w:id="224" w:name="_Toc27584"/>
      <w:bookmarkStart w:id="225" w:name="_Toc16893"/>
      <w:bookmarkStart w:id="226" w:name="_Toc19360_WPSOffice_Level3"/>
      <w:bookmarkStart w:id="227" w:name="_Toc17253_WPSOffice_Level3"/>
      <w:r>
        <w:rPr>
          <w:rFonts w:hint="eastAsia" w:ascii="宋体" w:hAnsi="宋体" w:eastAsia="宋体" w:cs="宋体"/>
          <w:b/>
          <w:bCs/>
          <w:color w:val="auto"/>
          <w:kern w:val="2"/>
          <w:sz w:val="24"/>
          <w:szCs w:val="24"/>
          <w:lang w:val="en-US" w:eastAsia="zh-CN" w:bidi="ar-SA"/>
        </w:rPr>
        <w:t>31.政府采购政策</w:t>
      </w:r>
      <w:bookmarkEnd w:id="223"/>
      <w:bookmarkEnd w:id="224"/>
      <w:bookmarkEnd w:id="225"/>
      <w:bookmarkEnd w:id="226"/>
      <w:bookmarkEnd w:id="227"/>
    </w:p>
    <w:p w14:paraId="2CE29AD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31.1节能产品、环境标志产品的采购：</w:t>
      </w:r>
    </w:p>
    <w:p w14:paraId="24FC4D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根据《关于调整优化节能产品、环境标志产品政府采购执行机制的通知》（财库〔2019〕9号）的要求，</w:t>
      </w:r>
      <w:r>
        <w:rPr>
          <w:rFonts w:hint="eastAsia" w:ascii="宋体" w:hAnsi="宋体" w:eastAsia="宋体" w:cs="宋体"/>
          <w:color w:val="auto"/>
          <w:sz w:val="24"/>
          <w:szCs w:val="24"/>
          <w:lang w:val="en-US" w:eastAsia="zh-CN"/>
        </w:rPr>
        <w:t>所投产品属于《节能产品政府采购品目清单》范围内且获得国家确定的认证机构出具的、处于有效期之内的《节能产品认证证书》的和所投产品属于《环境标志产品政府采购品目清单》范围内且获得国家确定的认证机构出具的、处于有效期之内的《环境标志产品认证证书》的</w:t>
      </w:r>
      <w:r>
        <w:rPr>
          <w:rFonts w:hint="eastAsia" w:ascii="宋体" w:hAnsi="宋体" w:eastAsia="宋体" w:cs="宋体"/>
          <w:color w:val="auto"/>
          <w:sz w:val="24"/>
          <w:szCs w:val="24"/>
          <w:u w:val="none"/>
          <w:lang w:val="en-US" w:eastAsia="zh-CN"/>
        </w:rPr>
        <w:t>实施政府优先采购或强制采购。</w:t>
      </w:r>
    </w:p>
    <w:p w14:paraId="0CE5F99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31.2价格评审优惠：</w:t>
      </w:r>
    </w:p>
    <w:p w14:paraId="04BB870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u w:val="none"/>
          <w:lang w:val="en-US" w:eastAsia="zh-CN"/>
        </w:rPr>
        <w:t>对</w:t>
      </w:r>
      <w:r>
        <w:rPr>
          <w:rFonts w:hint="eastAsia" w:ascii="宋体" w:hAnsi="宋体" w:eastAsia="宋体" w:cs="宋体"/>
          <w:color w:val="auto"/>
          <w:sz w:val="24"/>
          <w:szCs w:val="24"/>
        </w:rPr>
        <w:t>符合《政府采购促进中小企业发展管理办法》规定的小微企业的报价，残疾人福利性单位、监狱企业的报价</w:t>
      </w:r>
      <w:r>
        <w:rPr>
          <w:rFonts w:hint="eastAsia" w:ascii="宋体" w:hAnsi="宋体" w:eastAsia="宋体" w:cs="宋体"/>
          <w:color w:val="auto"/>
          <w:sz w:val="24"/>
          <w:szCs w:val="24"/>
          <w:u w:val="none"/>
          <w:lang w:val="en-US" w:eastAsia="zh-CN"/>
        </w:rPr>
        <w:t>给予10%的价格扣除</w:t>
      </w:r>
      <w:r>
        <w:rPr>
          <w:rFonts w:hint="eastAsia" w:ascii="宋体" w:hAnsi="宋体" w:eastAsia="宋体" w:cs="宋体"/>
          <w:color w:val="auto"/>
          <w:kern w:val="2"/>
          <w:sz w:val="24"/>
          <w:szCs w:val="24"/>
          <w:lang w:val="en-US" w:eastAsia="zh-CN" w:bidi="ar-SA"/>
        </w:rPr>
        <w:t>（最后报价），用扣除后的价格参与评审，须提供《中小企业声明函》、《残疾人福利性单位声明函》、监狱企业证明材料；</w:t>
      </w:r>
    </w:p>
    <w:p w14:paraId="3DB1ED3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本项目采购标的所属行业为：</w:t>
      </w:r>
      <w:r>
        <w:rPr>
          <w:rFonts w:hint="eastAsia" w:ascii="宋体" w:hAnsi="宋体" w:eastAsia="宋体" w:cs="宋体"/>
          <w:b/>
          <w:bCs/>
          <w:color w:val="auto"/>
          <w:kern w:val="2"/>
          <w:sz w:val="24"/>
          <w:szCs w:val="24"/>
          <w:lang w:val="en-US" w:eastAsia="zh-CN" w:bidi="ar-SA"/>
        </w:rPr>
        <w:t>工业</w:t>
      </w:r>
    </w:p>
    <w:p w14:paraId="5CCC64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（2）监狱企业、残疾人福利性单位视同小型、微型企业，享受评审中价格扣除等促进中小企业发展的政府采购政策。</w:t>
      </w:r>
    </w:p>
    <w:p w14:paraId="7710A2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31.3供应商同时符合小型、微型企业及监狱企业、残疾人福利性单位要求的，评审时只有一种类型享受价格评审优惠政策；</w:t>
      </w:r>
    </w:p>
    <w:p w14:paraId="7AC588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31.4响应文件符合前款规定的，供应商应提供相关证明资料，且所提供资料必须真实可信。如有虚假，将依法承担相应责任。</w:t>
      </w:r>
    </w:p>
    <w:p w14:paraId="4F4BC99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60B425C5">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228" w:name="_Toc28078_WPSOffice_Level2"/>
      <w:bookmarkStart w:id="229" w:name="_Toc3719_WPSOffice_Level2"/>
      <w:bookmarkStart w:id="230" w:name="_Toc15805"/>
      <w:bookmarkStart w:id="231" w:name="_Toc30960"/>
      <w:bookmarkStart w:id="232" w:name="_Toc10843_WPSOffice_Level2"/>
      <w:bookmarkStart w:id="233" w:name="_Toc26727"/>
      <w:bookmarkStart w:id="234" w:name="_Toc15316"/>
      <w:bookmarkStart w:id="235" w:name="_Toc34637772"/>
      <w:r>
        <w:rPr>
          <w:rFonts w:hint="eastAsia" w:ascii="宋体" w:hAnsi="宋体" w:eastAsia="宋体" w:cs="宋体"/>
          <w:b/>
          <w:bCs/>
          <w:color w:val="auto"/>
          <w:kern w:val="2"/>
          <w:sz w:val="28"/>
          <w:szCs w:val="28"/>
          <w:highlight w:val="none"/>
          <w:lang w:val="en-US" w:eastAsia="zh-CN" w:bidi="ar-SA"/>
        </w:rPr>
        <w:t>九、其他规定</w:t>
      </w:r>
      <w:bookmarkEnd w:id="228"/>
      <w:bookmarkEnd w:id="229"/>
      <w:bookmarkEnd w:id="230"/>
      <w:bookmarkEnd w:id="231"/>
      <w:bookmarkEnd w:id="232"/>
      <w:bookmarkEnd w:id="233"/>
      <w:bookmarkEnd w:id="234"/>
      <w:bookmarkEnd w:id="235"/>
    </w:p>
    <w:p w14:paraId="68AA0A26">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36" w:name="_Toc10855"/>
      <w:bookmarkStart w:id="237" w:name="_Toc19781"/>
      <w:bookmarkStart w:id="238" w:name="_Toc12390_WPSOffice_Level3"/>
      <w:bookmarkStart w:id="239" w:name="_Toc22185_WPSOffice_Level3"/>
      <w:bookmarkStart w:id="240" w:name="_Toc10247"/>
      <w:r>
        <w:rPr>
          <w:rFonts w:hint="eastAsia" w:ascii="宋体" w:hAnsi="宋体" w:eastAsia="宋体" w:cs="宋体"/>
          <w:b/>
          <w:bCs/>
          <w:color w:val="auto"/>
          <w:kern w:val="2"/>
          <w:sz w:val="24"/>
          <w:szCs w:val="24"/>
          <w:lang w:val="en-US" w:eastAsia="zh-CN" w:bidi="ar-SA"/>
        </w:rPr>
        <w:t>32.代理服务费</w:t>
      </w:r>
      <w:bookmarkEnd w:id="236"/>
      <w:bookmarkEnd w:id="237"/>
      <w:bookmarkEnd w:id="238"/>
      <w:bookmarkEnd w:id="239"/>
      <w:bookmarkEnd w:id="240"/>
    </w:p>
    <w:p w14:paraId="56966FA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采购代理服务费由成交供应商支付的，供应商应按【谈判须知前附表】规定向采购代理机构交纳代理服务费。</w:t>
      </w:r>
    </w:p>
    <w:p w14:paraId="58CE96E9">
      <w:pPr>
        <w:pStyle w:val="4"/>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41" w:name="_Toc27699_WPSOffice_Level3"/>
      <w:bookmarkStart w:id="242" w:name="_Toc1461_WPSOffice_Level3"/>
      <w:bookmarkStart w:id="243" w:name="_Toc14580"/>
      <w:bookmarkStart w:id="244" w:name="_Toc18298"/>
      <w:bookmarkStart w:id="245" w:name="_Toc18975"/>
      <w:r>
        <w:rPr>
          <w:rFonts w:hint="eastAsia" w:ascii="宋体" w:hAnsi="宋体" w:eastAsia="宋体" w:cs="宋体"/>
          <w:b/>
          <w:bCs/>
          <w:color w:val="auto"/>
          <w:kern w:val="2"/>
          <w:sz w:val="24"/>
          <w:szCs w:val="24"/>
          <w:lang w:val="en-US" w:eastAsia="zh-CN" w:bidi="ar-SA"/>
        </w:rPr>
        <w:t>33.其他规定</w:t>
      </w:r>
      <w:bookmarkEnd w:id="241"/>
      <w:bookmarkEnd w:id="242"/>
      <w:bookmarkEnd w:id="243"/>
      <w:bookmarkEnd w:id="244"/>
      <w:bookmarkEnd w:id="245"/>
    </w:p>
    <w:p w14:paraId="0A37E74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Cs w:val="21"/>
        </w:rPr>
      </w:pPr>
      <w:r>
        <w:rPr>
          <w:rFonts w:hint="eastAsia" w:ascii="宋体" w:hAnsi="宋体" w:eastAsia="宋体" w:cs="宋体"/>
          <w:color w:val="auto"/>
          <w:kern w:val="2"/>
          <w:sz w:val="24"/>
          <w:szCs w:val="24"/>
          <w:lang w:val="en-US" w:eastAsia="zh-CN" w:bidi="ar-SA"/>
        </w:rPr>
        <w:t>谈判文件的其他规定见【谈判须知前附表】。</w:t>
      </w:r>
    </w:p>
    <w:p w14:paraId="2EF28581">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b w:val="0"/>
          <w:bCs w:val="0"/>
          <w:color w:val="auto"/>
          <w:sz w:val="44"/>
          <w:szCs w:val="44"/>
          <w:highlight w:val="none"/>
          <w:lang w:val="en-US" w:eastAsia="zh-CN"/>
        </w:rPr>
      </w:pPr>
      <w:bookmarkStart w:id="246" w:name="_Toc2404_WPSOffice_Level1"/>
      <w:bookmarkStart w:id="247" w:name="_Toc31765_WPSOffice_Level1"/>
      <w:bookmarkStart w:id="248" w:name="_Toc4912_WPSOffice_Level1"/>
      <w:bookmarkStart w:id="249" w:name="_Toc20750"/>
      <w:bookmarkStart w:id="250" w:name="_Toc13204"/>
      <w:bookmarkStart w:id="251" w:name="_Toc7780_WPSOffice_Level1"/>
      <w:bookmarkStart w:id="252" w:name="_Toc7566"/>
      <w:bookmarkStart w:id="253" w:name="_Toc29561_WPSOffice_Level1"/>
      <w:bookmarkStart w:id="254" w:name="_Toc18130_WPSOffice_Level1"/>
      <w:bookmarkStart w:id="255" w:name="_Toc34637773"/>
      <w:r>
        <w:rPr>
          <w:rFonts w:hint="eastAsia" w:ascii="宋体" w:hAnsi="宋体" w:eastAsia="宋体" w:cs="宋体"/>
          <w:b w:val="0"/>
          <w:bCs w:val="0"/>
          <w:color w:val="auto"/>
          <w:sz w:val="44"/>
          <w:szCs w:val="44"/>
          <w:highlight w:val="none"/>
          <w:lang w:val="en-US" w:eastAsia="zh-CN"/>
        </w:rPr>
        <w:br w:type="page"/>
      </w:r>
      <w:bookmarkStart w:id="256" w:name="_Toc31195"/>
      <w:r>
        <w:rPr>
          <w:rFonts w:hint="eastAsia" w:ascii="宋体" w:hAnsi="宋体" w:eastAsia="宋体" w:cs="宋体"/>
          <w:b/>
          <w:bCs/>
          <w:color w:val="auto"/>
          <w:sz w:val="32"/>
          <w:szCs w:val="32"/>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3C9512FB">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4"/>
          <w:szCs w:val="24"/>
          <w:highlight w:val="none"/>
          <w:lang w:val="zh-CN" w:eastAsia="zh-CN" w:bidi="ar-SA"/>
        </w:rPr>
      </w:pPr>
      <w:bookmarkStart w:id="257" w:name="_Toc8656"/>
      <w:bookmarkStart w:id="258" w:name="_Toc515908232"/>
      <w:bookmarkStart w:id="259" w:name="_Toc20423_WPSOffice_Level2"/>
      <w:bookmarkStart w:id="260" w:name="_Toc19812_WPSOffice_Level2"/>
      <w:bookmarkStart w:id="261" w:name="_Toc28010"/>
      <w:bookmarkStart w:id="262" w:name="_Toc13326_WPSOffice_Level2"/>
      <w:bookmarkStart w:id="263" w:name="_Toc17070"/>
      <w:bookmarkStart w:id="264" w:name="_Toc4601"/>
      <w:r>
        <w:rPr>
          <w:rFonts w:hint="eastAsia" w:ascii="宋体" w:hAnsi="宋体" w:eastAsia="宋体" w:cs="宋体"/>
          <w:b/>
          <w:bCs/>
          <w:color w:val="auto"/>
          <w:kern w:val="2"/>
          <w:sz w:val="28"/>
          <w:szCs w:val="28"/>
          <w:highlight w:val="none"/>
          <w:lang w:val="zh-CN" w:eastAsia="zh-CN" w:bidi="ar-SA"/>
        </w:rPr>
        <w:t>十、响应说明</w:t>
      </w:r>
      <w:bookmarkEnd w:id="257"/>
      <w:bookmarkEnd w:id="258"/>
      <w:bookmarkEnd w:id="259"/>
      <w:bookmarkEnd w:id="260"/>
      <w:bookmarkEnd w:id="261"/>
      <w:bookmarkEnd w:id="262"/>
      <w:bookmarkEnd w:id="263"/>
      <w:bookmarkEnd w:id="264"/>
    </w:p>
    <w:p w14:paraId="21BF97C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供应商可以按照谈判文件规定的包号选择响应，但必须对所响应包号中的所有内容作为一个整体进行响应，不能拆分或少报，</w:t>
      </w:r>
      <w:r>
        <w:rPr>
          <w:rFonts w:hint="eastAsia" w:ascii="宋体" w:hAnsi="宋体" w:eastAsia="宋体" w:cs="宋体"/>
          <w:color w:val="auto"/>
          <w:kern w:val="2"/>
          <w:sz w:val="24"/>
          <w:szCs w:val="24"/>
          <w:highlight w:val="none"/>
          <w:lang w:val="en-US" w:eastAsia="zh-CN" w:bidi="ar-SA"/>
        </w:rPr>
        <w:t>如有缺项、漏项，其响应无效。</w:t>
      </w:r>
    </w:p>
    <w:p w14:paraId="12F895C3">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2.谈判</w:t>
      </w:r>
      <w:r>
        <w:rPr>
          <w:rFonts w:hint="eastAsia" w:ascii="宋体" w:hAnsi="宋体" w:eastAsia="宋体" w:cs="宋体"/>
          <w:color w:val="auto"/>
          <w:kern w:val="2"/>
          <w:sz w:val="24"/>
          <w:szCs w:val="24"/>
          <w:highlight w:val="none"/>
          <w:lang w:val="zh-CN" w:eastAsia="zh-CN" w:bidi="ar-SA"/>
        </w:rPr>
        <w:t>内容中未特别标注为“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”字样的产品，供应商必须提供国产产品；标注为“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”字样的产品，供应商应该提供进口产品，但如果因信息不对称等原因，仍有满足采购需求的国内产品要求参与采购竞争的，可以提供国产产品，并且按照公平竞争原则实施采购。</w:t>
      </w:r>
    </w:p>
    <w:p w14:paraId="4E7A16CF">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3.所提供产品或其任何一部分不得侵犯专利权、著作权、商标权和工业设计权等知识产权。</w:t>
      </w:r>
    </w:p>
    <w:p w14:paraId="1D43408A">
      <w:pPr>
        <w:widowControl w:val="0"/>
        <w:wordWrap/>
        <w:adjustRightInd w:val="0"/>
        <w:snapToGrid w:val="0"/>
        <w:spacing w:before="157" w:beforeLines="50" w:line="560" w:lineRule="exact"/>
        <w:ind w:right="0"/>
        <w:jc w:val="center"/>
        <w:textAlignment w:val="auto"/>
        <w:outlineLvl w:val="1"/>
        <w:rPr>
          <w:rFonts w:hint="eastAsia" w:ascii="宋体" w:hAnsi="宋体" w:eastAsia="宋体" w:cs="宋体"/>
          <w:b/>
          <w:bCs/>
          <w:color w:val="auto"/>
          <w:kern w:val="2"/>
          <w:sz w:val="28"/>
          <w:szCs w:val="28"/>
          <w:highlight w:val="none"/>
          <w:lang w:val="zh-CN" w:eastAsia="zh-CN" w:bidi="ar-SA"/>
        </w:rPr>
      </w:pPr>
      <w:bookmarkStart w:id="265" w:name="_Toc19609_WPSOffice_Level2"/>
      <w:bookmarkStart w:id="266" w:name="_Toc28791"/>
      <w:bookmarkStart w:id="267" w:name="_Toc26560_WPSOffice_Level2"/>
      <w:bookmarkStart w:id="268" w:name="_Toc22092"/>
      <w:bookmarkStart w:id="269" w:name="_Toc16271_WPSOffice_Level2"/>
      <w:bookmarkStart w:id="270" w:name="_Toc1475"/>
      <w:bookmarkStart w:id="271" w:name="_Toc515908233"/>
      <w:bookmarkStart w:id="272" w:name="_Toc27034"/>
      <w:r>
        <w:rPr>
          <w:rFonts w:hint="eastAsia" w:ascii="宋体" w:hAnsi="宋体" w:eastAsia="宋体" w:cs="宋体"/>
          <w:b/>
          <w:bCs/>
          <w:color w:val="auto"/>
          <w:kern w:val="2"/>
          <w:sz w:val="28"/>
          <w:szCs w:val="28"/>
          <w:highlight w:val="none"/>
          <w:lang w:val="zh-CN" w:eastAsia="zh-CN" w:bidi="ar-SA"/>
        </w:rPr>
        <w:t>十一、重要指标</w:t>
      </w:r>
      <w:bookmarkEnd w:id="265"/>
      <w:bookmarkEnd w:id="266"/>
      <w:bookmarkEnd w:id="267"/>
      <w:bookmarkEnd w:id="268"/>
      <w:bookmarkEnd w:id="269"/>
      <w:bookmarkEnd w:id="270"/>
      <w:bookmarkEnd w:id="271"/>
      <w:bookmarkEnd w:id="272"/>
    </w:p>
    <w:p w14:paraId="3E7924D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bookmarkStart w:id="273" w:name="_Toc18880"/>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谈判文件在技术参数中列出了采购人可以接受的最低技术指标，供应商必须对“项目概况及技术参数表”中各项产品和指标进行实质性响应，所</w:t>
      </w:r>
      <w:r>
        <w:rPr>
          <w:rFonts w:hint="eastAsia" w:ascii="宋体" w:hAnsi="宋体" w:eastAsia="宋体" w:cs="宋体"/>
          <w:color w:val="auto"/>
          <w:kern w:val="2"/>
          <w:sz w:val="24"/>
          <w:szCs w:val="24"/>
          <w:highlight w:val="none"/>
          <w:lang w:val="en-US" w:eastAsia="zh-CN" w:bidi="ar-SA"/>
        </w:rPr>
        <w:t>投</w:t>
      </w:r>
      <w:r>
        <w:rPr>
          <w:rFonts w:hint="eastAsia" w:ascii="宋体" w:hAnsi="宋体" w:eastAsia="宋体" w:cs="宋体"/>
          <w:color w:val="auto"/>
          <w:kern w:val="2"/>
          <w:sz w:val="24"/>
          <w:szCs w:val="24"/>
          <w:highlight w:val="none"/>
          <w:lang w:val="zh-CN" w:eastAsia="zh-CN" w:bidi="ar-SA"/>
        </w:rPr>
        <w:t>的每一项产品在性能上不能低于所列的各项指标。否则，响应无效。</w:t>
      </w:r>
    </w:p>
    <w:p w14:paraId="74BA7D3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14:paraId="4A8902E1">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技术参数”中除注明签订合同时提供</w:t>
      </w:r>
      <w:r>
        <w:rPr>
          <w:rFonts w:hint="eastAsia" w:ascii="宋体" w:hAnsi="宋体" w:eastAsia="宋体" w:cs="宋体"/>
          <w:color w:val="auto"/>
          <w:kern w:val="2"/>
          <w:sz w:val="24"/>
          <w:szCs w:val="24"/>
          <w:highlight w:val="none"/>
          <w:lang w:val="en-US" w:eastAsia="zh-CN" w:bidi="ar-SA"/>
        </w:rPr>
        <w:t>的相关授权、服务承诺等资料以外，其余相关资料在响应时必须附在响应文件中。</w:t>
      </w:r>
    </w:p>
    <w:p w14:paraId="16E7F847">
      <w:pPr>
        <w:widowControl w:val="0"/>
        <w:wordWrap/>
        <w:adjustRightInd w:val="0"/>
        <w:snapToGrid w:val="0"/>
        <w:spacing w:line="560" w:lineRule="exact"/>
        <w:ind w:left="0" w:leftChars="0" w:right="0" w:firstLine="482" w:firstLineChars="200"/>
        <w:jc w:val="left"/>
        <w:textAlignment w:val="auto"/>
        <w:rPr>
          <w:rFonts w:hint="eastAsia" w:ascii="宋体" w:hAnsi="宋体" w:eastAsia="宋体" w:cs="宋体"/>
          <w:color w:val="auto"/>
          <w:sz w:val="24"/>
          <w:szCs w:val="24"/>
          <w:lang w:val="zh-CN"/>
        </w:rPr>
      </w:pPr>
      <w:bookmarkStart w:id="274" w:name="_Toc24486"/>
      <w:bookmarkStart w:id="275" w:name="_Toc8338"/>
      <w:bookmarkStart w:id="276" w:name="_Toc5036"/>
      <w:r>
        <w:rPr>
          <w:rFonts w:hint="eastAsia" w:ascii="宋体" w:hAnsi="宋体" w:eastAsia="宋体" w:cs="宋体"/>
          <w:b/>
          <w:bCs/>
          <w:color w:val="auto"/>
          <w:sz w:val="24"/>
          <w:szCs w:val="24"/>
          <w:lang w:val="zh-CN"/>
        </w:rPr>
        <w:t>4.商务要求</w:t>
      </w:r>
      <w:bookmarkEnd w:id="274"/>
      <w:bookmarkEnd w:id="275"/>
      <w:bookmarkEnd w:id="276"/>
    </w:p>
    <w:p w14:paraId="4B9037A4">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4.1.</w:t>
      </w:r>
      <w:r>
        <w:rPr>
          <w:rFonts w:hint="eastAsia" w:ascii="宋体" w:hAnsi="宋体" w:eastAsia="宋体" w:cs="宋体"/>
          <w:color w:val="auto"/>
          <w:sz w:val="24"/>
          <w:szCs w:val="24"/>
        </w:rPr>
        <w:t>交货时间</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lang w:val="en-US" w:eastAsia="zh-CN"/>
        </w:rPr>
        <w:t>合同签订后60天内</w:t>
      </w:r>
    </w:p>
    <w:p w14:paraId="47100429">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4.2.</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w:t>
      </w:r>
      <w:r>
        <w:rPr>
          <w:rFonts w:hint="eastAsia" w:ascii="宋体" w:hAnsi="宋体" w:eastAsia="宋体" w:cs="宋体"/>
          <w:b/>
          <w:bCs/>
          <w:color w:val="auto"/>
          <w:sz w:val="24"/>
          <w:szCs w:val="24"/>
          <w:lang w:val="en-US" w:eastAsia="zh-CN"/>
        </w:rPr>
        <w:t>采购人指定地点</w:t>
      </w:r>
    </w:p>
    <w:p w14:paraId="4B0970EE">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4.3.付款方式：</w:t>
      </w:r>
      <w:r>
        <w:rPr>
          <w:rFonts w:hint="eastAsia" w:ascii="宋体" w:hAnsi="宋体" w:eastAsia="宋体" w:cs="宋体"/>
          <w:color w:val="auto"/>
          <w:sz w:val="24"/>
          <w:szCs w:val="24"/>
        </w:rPr>
        <w:t>详见“第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部分  采购项目合同书”中“四、付款方式”的规定</w:t>
      </w:r>
    </w:p>
    <w:p w14:paraId="3FF78AC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zh-CN"/>
        </w:rPr>
        <w:t>4.4.免费质量保证期：</w:t>
      </w:r>
      <w:r>
        <w:rPr>
          <w:rFonts w:hint="eastAsia" w:ascii="宋体" w:hAnsi="宋体" w:eastAsia="宋体" w:cs="宋体"/>
          <w:b/>
          <w:bCs/>
          <w:color w:val="auto"/>
          <w:sz w:val="24"/>
          <w:szCs w:val="24"/>
          <w:lang w:val="en-US" w:eastAsia="zh-CN"/>
        </w:rPr>
        <w:t>3年。</w:t>
      </w:r>
    </w:p>
    <w:p w14:paraId="5654486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264094AA">
      <w:pPr>
        <w:pStyle w:val="15"/>
        <w:spacing w:before="0" w:after="0" w:line="360" w:lineRule="auto"/>
        <w:ind w:firstLine="0" w:firstLineChars="0"/>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color w:val="auto"/>
          <w:sz w:val="28"/>
          <w:szCs w:val="28"/>
          <w:lang w:val="zh-CN"/>
        </w:rPr>
        <w:t>项目概况及技术参数</w:t>
      </w:r>
    </w:p>
    <w:bookmarkEnd w:id="273"/>
    <w:p w14:paraId="770E1790">
      <w:pPr>
        <w:bidi w:val="0"/>
        <w:rPr>
          <w:rFonts w:hint="eastAsia" w:ascii="宋体" w:hAnsi="宋体" w:eastAsia="宋体" w:cs="宋体"/>
          <w:color w:val="auto"/>
          <w:lang w:eastAsia="zh-CN"/>
        </w:rPr>
      </w:pPr>
      <w:bookmarkStart w:id="277" w:name="_Toc22544"/>
      <w:bookmarkStart w:id="278" w:name="_Toc31138"/>
      <w:bookmarkStart w:id="279" w:name="_Toc19363"/>
      <w:bookmarkStart w:id="280" w:name="_Toc15487_WPSOffice_Level1"/>
      <w:bookmarkStart w:id="281" w:name="_Toc18643_WPSOffice_Level1"/>
      <w:bookmarkStart w:id="282" w:name="_Toc5732_WPSOffice_Level1"/>
      <w:bookmarkStart w:id="283" w:name="_Toc6923_WPSOffice_Level1"/>
      <w:bookmarkStart w:id="284" w:name="_Toc955_WPSOffice_Level1"/>
      <w:bookmarkStart w:id="285" w:name="_Toc18208_WPSOffice_Level1"/>
    </w:p>
    <w:tbl>
      <w:tblPr>
        <w:tblStyle w:val="17"/>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376"/>
        <w:gridCol w:w="943"/>
        <w:gridCol w:w="541"/>
        <w:gridCol w:w="612"/>
        <w:gridCol w:w="7733"/>
      </w:tblGrid>
      <w:tr w14:paraId="7FFD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D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9B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98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E4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4C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r>
      <w:tr w14:paraId="0B7C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1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9A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桌面式裸眼虚拟现实终端（教师端）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E6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FE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58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1、桌面式裸眼虚拟现实终端VR设备，系统为一体化设计，可自由调整使用角度，设备配置不小于27英寸，实现软件资源的裸眼3D显示技术展示，无需佩戴3D眼镜即可观看到虚拟现实出屏和临场感效果；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2、桌面式虚拟现实操作平台设备1套，包括：不小于27英寸的高清立体显示电脑、空间交互笔1支、电源适配器1个、AC连接线1根。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3、系统硬件配置：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（1）CPU：性能不低于intel I7-12700F，不低于十二核心二十线程，性能核基本频率不低于2.1GHz；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（2）硬盘：≥512GB 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（3）内存：≥16 GB DDR5；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（4）显卡：相当于或优于QUADRO T1000，专业图形显卡，显存不低于4GB DDR6；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（5）端口: USB 3.0* 2个、USB 2.0* 5个 、MiniDP*2；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（6）网络：支持以太网连接，支持802.11a/b/g/n/ac高速无线传输，支持蓝牙4.0。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（7）内置两个扬声器，阻抗不低于8欧姆，功耗不超过3W。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4、显示参数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显示技术：采用≥27英寸电控可切换式液晶光栅裸眼3D显示技术（非贴膜式柱镜光栅技术），裸眼3D显示屏具有2D工作模式与3D工作模式，在2D工作模式下，显示屏分辨率及清晰度不受任何影响，可通过软件自动控制或者使用按键任意切换显示屏的2D与3D工作模式；3D显示刷新率≥60hz，2D显示分辨率:不低于3840*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（2）裸眼3D显示屏尺寸：≥27英寸；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（3）对比度：≥1000:1(typ.)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（4）2D可视角度：水平≥85° 垂直≥80°；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（5）响应时间：≤14ms(GTG)；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（6）3D串扰度：≤2.5%；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（7）3D观看视角：水平≥±20°；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5、硬件设备功能要求：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有虚拟现实显示方式与普通2D显示方式，当打开3D内容软件，显示方式由普通2D显示屏方式自动切换成3D显示方式，眼球追踪系统追踪到主观看者眼球后即可单人观看裸眼3D显示效果；当关闭3D内容软件后，显示方式自动切换至普通2D显示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（2）具有眼球追踪功能，裸眼3D显示系统能够根据眼球追踪系统实时探测到的人眼位置进行3D图像精准处理，使观看者能够实时观看到清晰的3D立体图像；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（3）支持左右格式的3D信号源；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（4）支持2D/3D自动切换；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（5）具有按键切换2D与3D工作模式功能；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（6）电容式触控：为保证课堂的使用和互动，整机具备电容触控技术，支持10点触控，触控响应时间≤25ms。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6、裸眼式3D显示跟踪系统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（1）3D显示追踪系统支持一键控制信号源切换；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D显示跟踪系统包含：≥3组红外传感器，每组红外传感器都包含2个同步双目相机，单组红外传感器即可实现对目标物的实时跟踪；3组红外传感器协同工作，可提升对目标物追踪的覆盖范围及追踪系统的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（3）3D显示跟踪系统的追踪系统可实时输出当前显示系统的姿态信息，并将当前显示系统的姿态信息映射到虚拟场景，获得最精准的3D显示图像；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（4）3D显示跟踪系统支持全屏3D，60Hz或以上刷新率。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（1）配备空间交互笔：支持6自由度坐标轴和空中姿态追踪；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8、内置XR控制面板工具软件，通过可视化界面操作，使用者可快速、便捷地对桌面VR设备进行硬件及环境检测、功能验证、故障自动修复、故障排查等工作。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内置XR投屏工具软件，可搭配外接AR摄像头和外接大屏扩展显示，实现AR功能效果展示，即在桌面VR设备端交互拖动3D模型，可以在外接大屏同步观看3D模型被拖出屏幕到现实空间中的视觉效果，结合现实环境进行AR效果教学或展示；可搭配带3D显示功能的大屏做扩屏模式显示，实现立体3d的VR投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10、可拓展连接裸眼3D显示器，供学生课后体验使用。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11、提供相应的检测报告</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相关</w:t>
            </w:r>
            <w:r>
              <w:rPr>
                <w:rFonts w:hint="eastAsia" w:ascii="宋体" w:hAnsi="宋体" w:cs="宋体"/>
                <w:i w:val="0"/>
                <w:iCs w:val="0"/>
                <w:color w:val="auto"/>
                <w:kern w:val="0"/>
                <w:sz w:val="24"/>
                <w:szCs w:val="24"/>
                <w:u w:val="none"/>
                <w:lang w:val="en-US" w:eastAsia="zh-CN" w:bidi="ar"/>
              </w:rPr>
              <w:t>产品</w:t>
            </w:r>
            <w:r>
              <w:rPr>
                <w:rFonts w:hint="eastAsia" w:ascii="宋体" w:hAnsi="宋体" w:eastAsia="宋体" w:cs="宋体"/>
                <w:i w:val="0"/>
                <w:iCs w:val="0"/>
                <w:color w:val="auto"/>
                <w:kern w:val="0"/>
                <w:sz w:val="24"/>
                <w:szCs w:val="24"/>
                <w:u w:val="none"/>
                <w:lang w:val="en-US" w:eastAsia="zh-CN" w:bidi="ar"/>
              </w:rPr>
              <w:t>证明材料。</w:t>
            </w:r>
          </w:p>
        </w:tc>
      </w:tr>
      <w:tr w14:paraId="6C63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C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73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LCD/3D交互终端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64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09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B898">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显示区域对角线尺寸不小于 86 英寸；显示区域尺寸不低于1895mm*1065mm；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偏光式3D液晶显示技术，物理分辨率≥3840*2160；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支持偏光式3D眼镜，无需电池，即戴即用，便携轻巧，免维护；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支持左右格式、上下格式的3D内容；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整机背光亮度≥300cd/m2，对比度≥5000:1；寿命≥30000小时；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整机可视角度≥178°（水平）/178°（垂直）；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HDMI2.0接口，支持4K@60Hz输入；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支持H.264、VP9、H.265等全4K；格式硬解码（特别支持H.265 4K@60Hz 10bit超高清解码，支持所有4K片源）；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硬件参数：内存容量≥3GB，存储容量≥16GB；系统硬件接口：HDMI IN*3, 多媒体USB2.0*1, USB2.0*1, USB3.0*1, EARPHONE*1, TF卡槽*1, RJ45 OUT*1, RJ45 IN*1, 3D GLASS*1, SPDIF OUT*1, VGA*1, RS232*1;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本机配置有智慧无线控制系统，无线发射控制单元和无线接收控制单元，能够实现教师对教学大屏的工作模式智能控制，无线发射控制单元和无线接收控制单元不依赖任何外部蓝牙、WIFI及有线网络，能够自组无线网络，实现控制指令的无线传输，安装使用稳定便捷，免布线，具备无线控制单元：该控制单元与教师机采用USB连接，即插即用，接受教学软件、教学平台发出的控制指令，并将该指令无线传输给大屏上的无线接收单元；支持教师手动控制切换教学大屏的2D、3D左右、3D上下工作模式；发射控制单元与接收控制单元无需配对，可自组网络，无线网络有效覆盖范围≥10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触摸采用红外识别技术，支持最大20点触摸，可实现对象的拖动，放大缩小旋转等；触摸感应功能，在使用触摸时，自动降低亮度，有效保护使用者的视力；一个触摸框可以在多个信号源下进行切换使用，根据当前信号源自动切换对应触摸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书写屏表面硬度≥7H；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远程开关机切换信号，实现集控管理（针对多台）；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可开启自动识别信号源，自动接入信号时，自动跳转到插入的信号源通道；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多功能一体化设计：集电脑、电视、电子白板、功放音响和教学资源库为一体；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 多媒体接口，具有电影、音乐图片和文本播放功能支持，支持 U盘， USB 移动硬盘，读卡器等 USB 存储设备；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 防眩光玻璃，观看舒适，有效保护师生视力；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 具有按键式一键切换2D/3D功能；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支持RS232串口智能控制2D/3D显示模式，系统配置有无线发射单元及无线接收单元，可实现教师机对本机的2D与3D工作状态进行无线智能化控制；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 内置两个扬声器，功耗不低于15W；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 整机输入电源：100-240V ~ 50/60Hz；整机功耗：≤350W；待机功耗：≤0.5W；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 提供相应的检测报告</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相关</w:t>
            </w:r>
            <w:r>
              <w:rPr>
                <w:rFonts w:hint="eastAsia" w:ascii="宋体" w:hAnsi="宋体" w:cs="宋体"/>
                <w:i w:val="0"/>
                <w:iCs w:val="0"/>
                <w:color w:val="auto"/>
                <w:kern w:val="0"/>
                <w:sz w:val="24"/>
                <w:szCs w:val="24"/>
                <w:u w:val="none"/>
                <w:lang w:val="en-US" w:eastAsia="zh-CN" w:bidi="ar"/>
              </w:rPr>
              <w:t>产品</w:t>
            </w:r>
            <w:r>
              <w:rPr>
                <w:rFonts w:hint="eastAsia" w:ascii="宋体" w:hAnsi="宋体" w:eastAsia="宋体" w:cs="宋体"/>
                <w:i w:val="0"/>
                <w:iCs w:val="0"/>
                <w:color w:val="auto"/>
                <w:kern w:val="0"/>
                <w:sz w:val="24"/>
                <w:szCs w:val="24"/>
                <w:u w:val="none"/>
                <w:lang w:val="en-US" w:eastAsia="zh-CN" w:bidi="ar"/>
              </w:rPr>
              <w:t>证明材料。</w:t>
            </w:r>
          </w:p>
        </w:tc>
      </w:tr>
      <w:tr w14:paraId="58E9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EFD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2C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大屏</w:t>
            </w:r>
          </w:p>
          <w:p w14:paraId="38DDB2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眼镜</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2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6AD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AB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采用轻便的偏光式3D眼镜，无需电池及开关，即戴即用，免开关、免维护；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采用人体工学设计，佩戴舒适，通用性强；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镜框材质：环保PC。</w:t>
            </w:r>
          </w:p>
        </w:tc>
      </w:tr>
      <w:tr w14:paraId="3573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E3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E8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3D交互终端（学生端）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2A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DE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09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一、整体设计要求：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D显示单元、光学追踪定位单元、电脑单元采用一体式设计，显示尺寸：≥15.6英寸；亮度：≥350cd/m2，对比度：500:1；全高清偏光式3D显示技术（非隔行式3D显示技术），3D显示刷新率：120hz；3D显示物理分辨率:1920*1080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2.可实现AR/VR交互操作；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3.支持播放上下、左右、帧顺序格式的3D视频资源；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4.支持触摸式2D/3D切换；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5.支持键鼠、触摸、光学追踪空间交互笔等三种交互方式；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6.支持虚拟现实显示方式与普通显示方式自动切换功能，当3D光学追踪眼镜离开屏幕范围时自动切换到普通显示模式；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7.支持实时将虚拟现实交互场景立体展示至其它显示设备，让旁观者也置身于虚拟现实交互场景；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8.设备内置两个8欧1瓦的扬声器；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二、虚拟现实(VR)教学系统PAD参数：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1.SOC：≥8核64位处理器，GPU：650，ROM（存储容量）：≥256GB UFS3.1；内存：≥8GB LPDDR5; 定位系统：GPS+BDS（北斗）；电池容量≥58.85Wh(额定容量)；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2.操作系统：android10及以上；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3.电脑端口: USB 3.1 TypeA* 2个、USB 3.1 TypeC* 2个 、HDMI out*1、TF card socket*1、MIC*1；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4.支持以太网连接，支持802.11a/b/g/n/ac/ax 80MHz频宽高速无线传输，支持蓝牙5.1以上；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三、偏光式式3D显示跟踪系统参数：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1.3D显示跟踪系统内置智慧控制系统，可实现教学软件对显示器工作模式的智能控制功能；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2.3D显示跟踪系统包含：3组红外传感器，每组红外传感器都包含1个相机和1颗高亮红外LED灯；3组红外传感器协同工作，可提升对目标物追踪的覆盖范围及追踪系统的精度；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3.3D显示跟踪系统的追踪系统可实时输出当前显示系统的姿态信息，并将当前显示系统的姿态信息映射到虚拟场景，获得最精准的3D显示图像；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4.3D显示跟踪系统支持全屏3D，120Hz刷新率；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四、光学追踪及3D眼镜参数：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1.系统配备3D光学追踪眼镜,采用轻便的偏光式3D眼镜，无需电池及开关，即戴即用，免开关、免维护；具有5个追踪mark点设计，3点以上即准确判断眼镜位置,从而转换不同视角下的显示内容；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系统配备空间交互笔:支持6自由度坐标轴和空中姿态转动；追踪精度&lt;1mm,角度精度&lt;0.1度；空间交互笔与主机采用有线连接方式保证信号稳定；空间交互笔无需电池供电；采用握笔式设计，空间交互笔内置振动器,可以通过震动方式来反馈用户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3.设备具备头部3D眼镜位置追踪功能；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4.系统支持配备高清摄像头；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五、提供相应的检测报告</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相关</w:t>
            </w:r>
            <w:r>
              <w:rPr>
                <w:rFonts w:hint="eastAsia" w:ascii="宋体" w:hAnsi="宋体" w:cs="宋体"/>
                <w:i w:val="0"/>
                <w:iCs w:val="0"/>
                <w:color w:val="auto"/>
                <w:kern w:val="0"/>
                <w:sz w:val="24"/>
                <w:szCs w:val="24"/>
                <w:u w:val="none"/>
                <w:lang w:val="en-US" w:eastAsia="zh-CN" w:bidi="ar"/>
              </w:rPr>
              <w:t>产品</w:t>
            </w:r>
            <w:r>
              <w:rPr>
                <w:rFonts w:hint="eastAsia" w:ascii="宋体" w:hAnsi="宋体" w:eastAsia="宋体" w:cs="宋体"/>
                <w:i w:val="0"/>
                <w:iCs w:val="0"/>
                <w:color w:val="auto"/>
                <w:kern w:val="0"/>
                <w:sz w:val="24"/>
                <w:szCs w:val="24"/>
                <w:u w:val="none"/>
                <w:lang w:val="en-US" w:eastAsia="zh-CN" w:bidi="ar"/>
              </w:rPr>
              <w:t>证明材料。</w:t>
            </w:r>
          </w:p>
        </w:tc>
      </w:tr>
      <w:tr w14:paraId="0749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35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B3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初中理化生VR资源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F5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71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92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软件要求提供与国家课程标准中知识点同步的实验，完整实验数量不少于240个，要求其中物理不少于100个，化学不少于80个，生物不少于60个。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要求所有实验中的模型为3D高精度模型，为学生直观的展示实验的反应现象或抽象化的实验原理，比如化学实验不仅能重现化学反应的效果，更可深入微观世界观察元素的化学反应过程，实验中的爆炸、火星喷溅、燃烧等反应能呈现出逼真的实验现象和严谨的实验结果，却不用担心出现实验意外；物理实验通过虚拟仿真的方式呈现难以理解的抽象化的实验原理、微观现象及类似气流流动、看不见摸不着的磁场以磁力线等不可视场景的可视化展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要求学科实验内容模块根据知识点分类，提供与课标内容同步的实验目的、实验原理、实验器材、实验步骤等实验相关的说明文字。充分呈现课本中的演示实验与学生分组实验，如：反应前后物质的质量关系、加热高锰酸钾制取氧气、一氧化碳与氧化铁的反应、线圈不能连续转动、通电螺线管的磁场是什么样的、观察草履虫、用显微镜观察人血的永久涂片等实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要求所有实验支持在任意视角下对实验进行观察和交互式操作。要求所有实验中的模型为3D高精度模型，实验模型高保真。支持用户从任意视角、任意距离观察实验台；学生能够随时随地验证自己的想法， 无需受到特定的实验室环境和器材限制。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5.软件要求在保持既有实验场景内容的前提下，支持通过3D红外眼镜的摘戴实现硬件屏幕的2D/3D出屏效果的切换，且切换后仍可继续进行原有实验步骤的交互操作。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软件要求支持在3D视角下通过交互笔对实验进行观察和交互式操作，支持用户平移、旋转视角，实现实验空间中的空间平移操作。在实验操作中，根据实验的观察需求，支持通过交互笔按钮多角度移动实验台进行实验现象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软件要求满足多种教学场景，包括但不限于：普通PC平面显示输出、桌面交互一体机屏外3D显示输出。要求实验操作既可以通过佩戴3D红外眼镜通过交互笔进行深度交互式操作，同时又可以支持在硬件中通过鼠标独立进行实验交互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3447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40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AD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初中地理VR资源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BC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CE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C1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1.软件应支持运行于桌面级虚拟现实设备，使用者戴上3D眼镜即可观看到模型的出屏或景深效果；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2.软件应支持利用触控笔实现三维操控，使用触控笔可虚拟“拿起”3D模型，对其进行360°观察及放大、缩小的操作，并能够对模型进行拆分与组合。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3.软件应支持球面、平面地图及动画的显示；应支持球面与平面以动画形式进行圆柱投影式切换，应展示出球面到平面投影的动态变化；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软件应提供地球公转运动的课程，应支持公转俯视视角与近距离同时观察，支持独立控制地球自转和公转，支持快速切换地球公转位置观察重要节气昼夜分布和太阳直射点位置，支持在地球上进行黄赤交角、经纬线、政区线的显示叠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5.软件应支持中国地形立体到平面切换；支持中国立体地形沿30°纬线弧度剖面展开。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6.软件应提供人类至少三个时期演化的三维动态演示，要求不同时期的人类模型可支持拿取及旋转观察。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要求提供配套初中课程资源不少于16课，课程应依据义务教育地理新课标开发，应包含“地球的自转、地球的公转、大洲和大洋、世界的气候、人口和人种、亚洲、欧洲西部、美国、长江、中国的农业、中国的气候、自然灾害、地形和地势、西北地区、北京、台湾”等教学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5D5A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DB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1E1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初中历史VR资源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AC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2F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83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1.软件应支持运行于桌面级虚拟现实设备，使用者戴上3D眼镜即可观看到模型的出屏或景深效果；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2.软件应支持利用触控笔实现三维操控，使用触控笔可虚拟“拿起”3D模型，对其进行360°观察及放大、缩小的操作，并能够对模型进行拆分与组合。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3.软件应支持实物展示时文物的简介描述、尺寸显示、细节说明以及相应动画、视频和拓展交互；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软件应提供基于北京人虚拟场景的体验，可对场景中的人物或模型做移动、旋转、抓取、点击及其他相应的交互操作。通过3D观察，配合文字说明，探究北京人的体态特征、使用的石器、保存火种、利用火吃熟食等行为，了解北京人的生活面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应支持展示历史地图（包括静态地图、动画效果）以及地图中包含的时间、位置及相关知识点等内容，历史地图应支持缩放显示控制。软件应支持动态历史地图的播放控制，包括播放、暂停以及通过拖动滑动条操作地图的显示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要求提供奥林匹亚神庙的虚拟场景，通过抓取、旋转、缩放等交互操作，可对奥林匹亚神庙进行360度细节观察，应支持对神庙的尺寸标注显示，可通过内外部的切换实现场景漫游，帮助体验者感受世界文明的多样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初中历史VR教学系统应按照初中历史课程标准要求，包括统编初中七、八、九年级历史教科书内容，软件应对3D历史地图、3D历史场景、知识结构、时间轴、实物史料、文献史料、图像史料、历史解释等历史教学素材和资源进行系统整合。要求至少包含初中历史VR课程数量不少于30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452E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19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2A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基础教育示范、国宝博览、海洋生物科普资源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9D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62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79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基础教育示范VR软件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软件需包含埃及文明、宇宙科学、曹冲称象、自然科学及生物科学五个部分，展示方式在达到教学目的的同时，要具有课堂趣味性。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1.1埃及文明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（1）软件需要包含古埃及文明介绍，包括但不限于金字塔内、外部环境，神庙，古埃及人等。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（2）金字塔内部包括长廊、国王墓地、王后墓地的结构及文字介绍，通过三者的模型搭建，清晰直观得表现三者内部的结构关联。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1.2宇宙科学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（1）软件需包含行星序列、太阳系运动、地日运动、地月系统、地球预览等内容。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（2）行星序列按照一定规律排列，同时对每个行星都有相应的名称和文字介绍，以便更好的理解八大行星的特征。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（3）太阳系运动包含八大行星，配合动画和特效，展示运动原理，同时表现八大行星绕日运动的区别。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（4）地日运动包含地球绕日公转的同时进行自转，由公转所产生的春分、夏至、秋分、冬至四个节气。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（5）地月运动包含日食、月食、月相变化、潮汐效应，以及月相小游戏，利用全方位的动态动画对地月运动内容进行展示，增强课堂的趣味性。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（6）地球简介包括预览基础知识以及进入教学模式，教学模式中能够在模型上同步实现光照、经纬网、温度带的展示，让学生对地球形成体系化的认识。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1.3曹冲称象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软件需包含但不限于大象、船、画线笔、石头、秤及秤砣，除了必须称象的工具以外，还有外在背景环境的搭建，使整体协调统一。学生可体验整个曹冲称象的过程：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（1）把大象放置到小船上，在船身稳定后，在船身和水平面相接处，划一道红色记号；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（2）把象移下船，船身上浮，红线离水面有一定距离；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（3）点击光亮处往船上填石头，直到红线变绿；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（4）停止投石，开始称船上石头的总重量；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（5）右边放置石头，左边移动秤砣，直至平衡，重复操作，直到所有石头重量称完；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（6）得到大象重量。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1.4自然科学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（1）软件应包括但不限于潜艇的外观、荷花的组成、桃子的内部结构、鱼类的介绍。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（2）对潜艇进行外观展示、内部剖面展示、浮沉原理展示，特别在潜艇浮沉操作过程中，对尾舱水量、中舱水量、首舱水量进行增减，可以模拟潜艇在水中下沉、上浮的状态，并自由调节。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（2）从桃树、桃子到果皮、种子，将桃各个组成部位细化展示，同时从桃果实形成的过程进行详细的介绍，对桃的整个体系完整认识，帮助学生提升对桃的认知。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（4）对几种鱼类的生长环境、外部特征、分布范围进行图文介绍，通过360°旋转、拖拽，清晰直观的认识了解几种鱼的外部特征。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1.5生物科学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（1）软件包括但不于体细胞、植物细胞、脱氧核糖核酸的介绍，拥有全动态的模型内容展示，可以生动的体现整个细胞的各个部位的功能动画。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（2）体细胞进行整体、剖面的展示和认知介绍，对内部组成细胞膜、细胞质、细胞核、细胞骨架以及细胞器进行展示和文字介绍，重点突出细胞器的功能以及内部联系。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（3）植物细胞进行整体、剖面的展示和认知介绍，对内部组成细胞壁、细胞膜、细胞质、细胞核、细胞骨架以及细胞器进行展示和认知介绍，重点突出细胞器的功能以及内部联系。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（4）脱氧核糖核酸的整体和组成结构进行展示和认知介绍。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（5）对蕨类植物、种子植物、苔藓植物、藻类植物进行展示和认知介绍。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国宝博览VR软件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1、系统采用unity开发，将传统文物以3D的形式展示，通过视频、音频、动画、仿真等多样技术，将文物自身承载的故事、知识转化为更生动，易理解的多媒体形式。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2、通过虚拟现实的技术将文物的应用场景和工作原理以仿真的形式展示，让学生对中国古代器物整体结构，真实再现真实再现文物古代应用场景及使用原理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从历史人物、故事、社会、科技、人文等多方面呈现出文物所承载的知识多样性，打破博物馆间的壁垒，跨越地域汇聚在课程中，打造中国传统文化大数据，通过不同品类的文物鉴赏，对中国传统文化艺术有全面的认识和感受，了解其背后的艺术文化所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高精准的三维数据触控操作，支持用户实时对文物数据全方位的查看，操作简便，识别准确，突破传统博物馆中展柜的限制，传统展览展示对文物最多仅能展示其三个方面，通过数字化技术，提供查看鉴赏的机会。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5、软件至少包含以下内容： （1）长信宫灯 （2）铜奔马 （3）青铜神树 （4）四神纹玉铺首 （5）水陆攻战铜壶 （6）里耶秦简乘法口诀表 （7）马踏匈奴 （8）五星出东方锦 （9）大秦景教流行中国碑 （10）昭陵六骏 （11）绢衣彩绘木俑 （12）昭陵三彩马 （13）镇墓兽 （14）竹林七贤画像砖 （15）萧何月下追韩信瓷瓶 （16）贝叶草虫图 （17）千里江山图 （18）瑶池献寿图 （19）富春山居图 （20）清明上河图 （21）溪山旅行图 （22）错金博山炉 （23）寒食帖 （24）渎山大玉海 （提供演示或演示视频）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6、长信宫灯、铜奔马、清明上河图、水陆攻战铜壶、五星出东方锦、昭陵六骏、萧何月下追韩信瓷瓶、错金博山炉、渎山大玉海等配置专家讲解视频。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海洋生物VR科普软件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软件内部包含海底生物、海洋刺胞生物、海洋棘皮动物、海洋软体动物、海洋鱼类、海洋节肢动物、海洋爬行动物、海洋哺乳动物、海洋大型植物等多类型的海洋生物。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1.1海洋刺胞生物至少有珊瑚、钵水母纲、水螅纲等3种生物类型。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1.2海洋棘皮动物至少有海百合纲、海星纲、蛇尾纲、海胆纲、海参纲等5中动物类型。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1.3海洋软体动物至少有多板纲、双壳纲、腹足纲、头足纲等4种动物类型。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1.4海洋鱼类至少有文昌鱼纲、圆口纲、软骨鱼纲、硬骨鱼纲等4种鱼类。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1.5海洋节肢动物至少有十足目、口足目等2种动物类型。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1.6海洋爬行动物至少有龟鳖目、蛇目等2种类型。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1.7海洋哺乳动物至少有鲸目、鳍脚目等2种类型。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1.8海洋大型植物至少有绿藻门、褐藻门、红藻门、维管 植物等4种类型。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以上软件要求</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1E36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E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8C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小学科学实验资源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27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50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1F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要求提供的软件贴合最新小学科学课程标准要求，需包含物质科学、生命科学、地球与宇宙科学、技术与工程四个领域。要求提供的内容需支持学生进行探究式学习，不能是单一的图片或PPT资源。涵盖科学实验、观察对象、抽象模型等内容，要求能够逼真准确的呈现模型结构、实验现象及对象位移状态。要求所有内容对象支持在任意视角下进行观察和交互式操作。要求所有实验中的模型为3D高精度模型，对象模型高保真。支持用户从任意视角、任意距离观察实验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软件要求提供的全部内容资源不少于220个，其中物质科学领域中的内容数量不少于60个，生命科学领域中的内容数量不少于50个，地球与宇宙科学领域中的内容数量不少于60个，技术与工程领域中的内容数量不少于50个。要求提供的内容需按照一级二级知识点目录方式排序，其中重难点模型，需提供标注、拆分、动画展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要求在科学实验类资源中，提供实验步骤操作引导，学生可以根据实验标准步骤和引导进行实验操作，能按照标准的实验步骤完成实验。基于小学学生对实验器材的认知有限，需提供实验器材标注功能，根据实验学习的需求可以打开及关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软件要求满足多种教学场景，包括但不限于：普通pad平面显示输出、沉浸式桌面VR显示输出。软件要求实验操作方式既可以支持手指触控硬件屏幕直接操作软件，同时又可以通过佩戴3D红外眼镜后通过交互笔进行深度交互式操作。软件要求在保持既有实验场景内容的前提下，支持通过3D红外眼镜的摘戴实现硬件屏幕的2D/3D出屏效果的切换，且切换后仍可继续进行原有实验步骤的交互操作。支持在3D视角下通过交互笔对实验进行观察和交互式操作，支持用户通过交互笔抓取实验对象；平移、旋转实验视角等。能通过交互笔实现实验空间中上下、左右、前后的空间平移操作。在实验操作中，根据实验的观察需求，支持通过交互笔按钮360度旋转实验台进行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21E8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F0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87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智能制造VR科普软件</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02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D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C3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6F60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BD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0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生物医疗VR科普软件</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0C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8D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4C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医疗VR科普软件，通过VR模型展示、VR模型交互对生物医疗的相关内容进行科普，使用户对生物医疗的基本知识产生直观形象的认知，提高用户对生物医疗知识的兴趣。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（1）海底世界：海底世界模块包含海底生物的活动场景，利用VR一体机的特点，用户可以感受丰富多彩的海洋生物近在眼前的效果 ，还可以抓起游过的生物，360观察它的形态和动作。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（3）解密新冠病毒：解密新冠病毒模块，展示了三种新冠病毒的假想结构模型，并剖面展示了新冠病毒的内部结构。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（4）独特的神经元：独特的神经元模块，展示了神经元的内部及外部结构，并使用动画及特效展示神经冲动的传导过程，神经冲动从神经元的树突传导到胞体，再传导到轴突的过程。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（5）⼤脑的交通要塞:突触模块，展示了神经末梢的两个突触的典型结构。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软件要求</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2B0B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AC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82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蓝牙数字功放</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87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25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F6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1、需无风扇设计，便于维护；嵌入式蓝牙数字功放；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2、支持数字调节方式，可根据实际需要设置，每次开机可自动恢复音乐和麦克风音量的预设音量，并可限制最大音量，便于管理；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3、具有不低于5路麦克风输入，方便接入不同类型的麦克风，支持为鹅颈话筒幻象电源供电；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4、具有不低于4路立体声混音输入，无需考虑信道切换问题；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2、5、具有不低于2路音频输出，支持输出到录播或电脑；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6、具有LCD中文菜单显示，清晰直观；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7、需具备蓝牙接收功能，采用标准蓝牙技术；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8、具有不低于2路USB接口，可同时接电脑和笔记本，支持通过蓝牙麦克风实现翻页功能；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9、支持串口控制功能，可在中控液晶面板上实时显示当前连接蓝牙麦电量信息；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10、与蓝牙麦克风连接后，支持蓝牙麦克风开关状态、电池电量等信息远程管理；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11、与蓝牙麦克风连接后，支持聚光灯功能，可通过蓝牙麦克风实现聚光灯区域大小、位置调整；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12、技术指标：频率响应：50 Hz～20 KHz；灵敏度：≥-82 dBm (1% BER)；信噪比：≥90dB；输出功率：200W×2；推导阻抗:4-16Ω。</w:t>
            </w:r>
          </w:p>
        </w:tc>
      </w:tr>
      <w:tr w14:paraId="6599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D4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13</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B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B7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93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13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1、单元类型： 8"×1(BASS)，3"×1(TREBLE)两分频音箱；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2、额定功率：不低于80W；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3、阻抗：4-8Ω；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4、灵敏度：不低于88dB 1w1m；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5、频率响应：55Hz—20kHz；</w:t>
            </w:r>
          </w:p>
        </w:tc>
      </w:tr>
      <w:tr w14:paraId="5271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A2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2F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蓝牙麦克风</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F0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31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3F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1、设备需具备麦克风、翻页器及激光教鞭功能；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2、采用标准蓝牙技术；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3、具备近距离联接机制以及信号强度筛选功能，5米内自动对频，隔墙不联，防止教室之间误联现象；连接成功后15米范围内无遮挡及干扰情况下无噪音、断音、无死角；；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4、采用充电式锂电池，满电状态下可连续使用时间不小于12小时；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5、具有闲置静音功能，在不使用且不关机的情况下平放，自动静音，防止啸叫，敲击键盘等杂音，不会带入音箱；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6、具有内置咪头，支持手持扩声， 也支持外接咪头实现领夹扩声，需要含外接咪头一只及挂绳一根，支持颈挂扩声，挂绳和麦克通过磁吸方式连接；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7、使用翻页器功能时，只需麦克风与接收设备成功对频即可使用，无需另外安装翻页接收器；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8、剩余电量显示功能，发射器具有低电提示功能，提示使用者及时充电，防止设备因电量不足影响使用，在出现低电提示后仍可使用2小时以上；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9、支持USB口充电和磁吸接口两种充电方式；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10、技术指标：发射使用频率：2402 – 2480 MHz；调制方法：GFSK，BT = 0.5 Gaussian；拾音范围：60度夹角，心型指向；供电方式：聚合物锂电池。</w:t>
            </w:r>
          </w:p>
        </w:tc>
      </w:tr>
      <w:tr w14:paraId="2D7D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0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2A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磁吸充电座</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18E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1A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ED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1、麦克风配套磁吸式充电器，充电接口需采用强磁吸附方式，即放即充，方便拿取，避免充电接口反复插拔；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2、具有充电状态指示灯显示，充电饱和后可自动停止充电；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3、支持麦克风在位检测，支持麦克风充电状态反馈，方便中控等设备实现智能联动及管理。</w:t>
            </w:r>
          </w:p>
        </w:tc>
      </w:tr>
      <w:tr w14:paraId="5DAD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29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16</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6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无线</w:t>
            </w:r>
          </w:p>
          <w:p w14:paraId="7E1E3B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路由器</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DD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0C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09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无线路由性能：Wan口数量（无线路由）：≥2个； Lan口数量（无线路由）：≥3个；无线桥接：支持；天线可拆卸：支持；天线增益：5dbi；无线传输率：1200Mbps；传输标准：IEEE 802.11b/g/n。</w:t>
            </w:r>
          </w:p>
        </w:tc>
      </w:tr>
      <w:tr w14:paraId="5EA1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2F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17</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3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教师VR操作台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33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DF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B71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规格：长≥1100mm、宽≥780mm、高≥1000mm; 台面采用实木，做防潮、防虫处理；柜体整体采用 &gt;1.2mm 厚冷轧钢板折弯、焊接;经环氧树脂静电粉末喷涂，粉末喷涂厚度 ≥75 um;拉手采用铝合金暗拉手;机柜加装机 械锁具;底脚采用316#不锈钢底脚，外包橡胶，具有防滑减震的作用。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坐垫采用高密度海绵坐垫，舒适透气;靠背采用多位透气涤纶网布，人体工学C弧椅背，柔性弹力可调节腰枕;≥20°轻逍遥后仰功能;≥90°可翻转扶手;升降杆采用三级气压棒，升降高度 ≥8cm，可360°旋转;底脚采用PP五星椅脚，PU包裹静音轮，高≥890mm（含靠背），坐垫宽≥470mm，坐垫长≥430mm。</w:t>
            </w:r>
          </w:p>
        </w:tc>
      </w:tr>
      <w:tr w14:paraId="3505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03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01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学生</w:t>
            </w:r>
          </w:p>
          <w:p w14:paraId="165C32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VR操作台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BF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22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9A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规格：对角距≥1380mm侧面≥690mm对面≥1195mm（六角形)，高度≥780mm；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台面采用E1级≥18mm厚暖白色三聚氰 胺板；≥2mm厚黑色 PVC 封边；桌架采用≥1.2mm 厚 40*60方钢焊接，喷涂采用环氧树脂白色静电粉末喷涂底脚采用316#不锈钢底脚外包橡胶，具有防滑减震作用，高度可调节 30-50mm；桌面预留中≥50mm 穿线孔，搭配PVC线孔盖；配套6把椅子，高≥40cm，坐垫宽≥40cm，坐垫长≥35cm。</w:t>
            </w:r>
          </w:p>
        </w:tc>
      </w:tr>
      <w:tr w14:paraId="3725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10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F2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装修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7E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14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E0C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括设备布局、环境技术指标的设定、线缆布放、配电箱设置、灯光开关及插座配置、电源安排等、接地系统、防雷电系统、防火、防水等措施、铝方通吊顶、卡布灯箱、吊顶射灯造型、形象墙木饰面板、水晶字、雕刻 2cmPVC+UV+亮片、挂图等，按照教室实际大小装修。</w:t>
            </w:r>
          </w:p>
        </w:tc>
      </w:tr>
    </w:tbl>
    <w:p w14:paraId="394E38E6">
      <w:pPr>
        <w:pStyle w:val="24"/>
        <w:ind w:left="0" w:leftChars="0"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备注：1.提供产品质量及服务的承诺书，否则响应无效。</w:t>
      </w:r>
    </w:p>
    <w:p w14:paraId="5F0023BF">
      <w:p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14:paraId="1B11E993">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color w:val="auto"/>
        </w:rPr>
      </w:pPr>
      <w:r>
        <w:rPr>
          <w:rFonts w:hint="eastAsia" w:ascii="宋体" w:hAnsi="宋体" w:eastAsia="宋体" w:cs="宋体"/>
          <w:b/>
          <w:bCs/>
          <w:color w:val="auto"/>
          <w:sz w:val="32"/>
          <w:szCs w:val="32"/>
          <w:lang w:eastAsia="zh-CN"/>
        </w:rPr>
        <w:t>第四部分</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响应文件格式</w:t>
      </w:r>
      <w:bookmarkEnd w:id="277"/>
      <w:bookmarkEnd w:id="278"/>
      <w:bookmarkEnd w:id="279"/>
      <w:bookmarkEnd w:id="280"/>
      <w:bookmarkEnd w:id="281"/>
      <w:bookmarkEnd w:id="282"/>
      <w:bookmarkEnd w:id="283"/>
      <w:bookmarkEnd w:id="284"/>
      <w:bookmarkEnd w:id="285"/>
    </w:p>
    <w:p w14:paraId="53E2B4FF">
      <w:pPr>
        <w:pStyle w:val="2"/>
        <w:bidi w:val="0"/>
        <w:rPr>
          <w:rFonts w:hint="eastAsia" w:ascii="宋体" w:hAnsi="宋体" w:eastAsia="宋体" w:cs="宋体"/>
          <w:color w:val="auto"/>
          <w:kern w:val="2"/>
          <w:szCs w:val="32"/>
          <w:lang w:val="en-US" w:eastAsia="zh-CN" w:bidi="ar-SA"/>
        </w:rPr>
      </w:pPr>
      <w:bookmarkStart w:id="286" w:name="_Toc11968"/>
      <w:bookmarkStart w:id="287" w:name="_Toc20166_WPSOffice_Level2"/>
      <w:bookmarkStart w:id="288" w:name="_Toc12691_WPSOffice_Level2"/>
      <w:bookmarkStart w:id="289" w:name="_Toc20524"/>
      <w:bookmarkStart w:id="290" w:name="_Toc4945_WPSOffice_Level2"/>
      <w:r>
        <w:rPr>
          <w:rFonts w:hint="eastAsia" w:ascii="宋体" w:hAnsi="宋体" w:eastAsia="宋体" w:cs="宋体"/>
          <w:color w:val="auto"/>
          <w:sz w:val="28"/>
          <w:szCs w:val="28"/>
          <w:lang w:val="en-US" w:eastAsia="zh-CN"/>
        </w:rPr>
        <w:t>十二、响应</w:t>
      </w:r>
      <w:r>
        <w:rPr>
          <w:rFonts w:hint="eastAsia" w:ascii="宋体" w:hAnsi="宋体" w:eastAsia="宋体" w:cs="宋体"/>
          <w:b/>
          <w:bCs/>
          <w:color w:val="auto"/>
          <w:kern w:val="2"/>
          <w:sz w:val="28"/>
          <w:szCs w:val="28"/>
          <w:lang w:val="en-US" w:eastAsia="zh-CN" w:bidi="ar-SA"/>
        </w:rPr>
        <w:t>文件的组成</w:t>
      </w:r>
      <w:bookmarkEnd w:id="286"/>
      <w:bookmarkEnd w:id="287"/>
      <w:bookmarkEnd w:id="288"/>
      <w:bookmarkEnd w:id="289"/>
      <w:bookmarkEnd w:id="290"/>
    </w:p>
    <w:p w14:paraId="7C9021FE">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291" w:name="_Toc22172"/>
      <w:bookmarkStart w:id="292" w:name="_Toc31451_WPSOffice_Level3"/>
      <w:bookmarkStart w:id="293" w:name="_Toc30546"/>
      <w:bookmarkStart w:id="294" w:name="_Toc185_WPSOffice_Level2"/>
      <w:r>
        <w:rPr>
          <w:rFonts w:hint="eastAsia" w:ascii="宋体" w:hAnsi="宋体" w:eastAsia="宋体" w:cs="宋体"/>
          <w:b/>
          <w:bCs/>
          <w:color w:val="auto"/>
          <w:kern w:val="2"/>
          <w:sz w:val="24"/>
          <w:szCs w:val="24"/>
          <w:lang w:val="zh-CN" w:eastAsia="zh-CN" w:bidi="ar-SA"/>
        </w:rPr>
        <w:t>（一）资格审查部分</w:t>
      </w:r>
      <w:bookmarkEnd w:id="291"/>
      <w:bookmarkEnd w:id="292"/>
      <w:bookmarkEnd w:id="293"/>
      <w:bookmarkEnd w:id="294"/>
    </w:p>
    <w:p w14:paraId="70F81AE2">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5" w:name="_Toc19260_WPSOffice_Level3"/>
      <w:r>
        <w:rPr>
          <w:rFonts w:hint="eastAsia" w:ascii="宋体" w:hAnsi="宋体" w:eastAsia="宋体" w:cs="宋体"/>
          <w:color w:val="auto"/>
          <w:kern w:val="2"/>
          <w:sz w:val="24"/>
          <w:szCs w:val="24"/>
          <w:lang w:val="zh-CN" w:eastAsia="zh-CN" w:bidi="ar-SA"/>
        </w:rPr>
        <w:t>1、响应函（见附件1）</w:t>
      </w:r>
      <w:bookmarkEnd w:id="295"/>
    </w:p>
    <w:p w14:paraId="0DE9C5B0">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6" w:name="_Toc13122_WPSOffice_Level3"/>
      <w:r>
        <w:rPr>
          <w:rFonts w:hint="eastAsia" w:ascii="宋体" w:hAnsi="宋体" w:eastAsia="宋体" w:cs="宋体"/>
          <w:color w:val="auto"/>
          <w:kern w:val="2"/>
          <w:sz w:val="24"/>
          <w:szCs w:val="24"/>
          <w:lang w:val="zh-CN" w:eastAsia="zh-CN" w:bidi="ar-SA"/>
        </w:rPr>
        <w:t>2、法定代表人证明书（见附件2）</w:t>
      </w:r>
      <w:bookmarkEnd w:id="296"/>
    </w:p>
    <w:p w14:paraId="6AA3A6B1">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7" w:name="_Toc5677_WPSOffice_Level3"/>
      <w:r>
        <w:rPr>
          <w:rFonts w:hint="eastAsia" w:ascii="宋体" w:hAnsi="宋体" w:eastAsia="宋体" w:cs="宋体"/>
          <w:color w:val="auto"/>
          <w:kern w:val="2"/>
          <w:sz w:val="24"/>
          <w:szCs w:val="24"/>
          <w:lang w:val="zh-CN" w:eastAsia="zh-CN" w:bidi="ar-SA"/>
        </w:rPr>
        <w:t>3、法定代表人授权书（见附件3）</w:t>
      </w:r>
      <w:bookmarkEnd w:id="297"/>
    </w:p>
    <w:p w14:paraId="41EA801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8" w:name="_Toc1890_WPSOffice_Level3"/>
      <w:r>
        <w:rPr>
          <w:rFonts w:hint="eastAsia" w:ascii="宋体" w:hAnsi="宋体" w:eastAsia="宋体" w:cs="宋体"/>
          <w:color w:val="auto"/>
          <w:kern w:val="2"/>
          <w:sz w:val="24"/>
          <w:szCs w:val="24"/>
          <w:lang w:val="zh-CN" w:eastAsia="zh-CN" w:bidi="ar-SA"/>
        </w:rPr>
        <w:t>4、供应商承诺函（见附件4）</w:t>
      </w:r>
      <w:bookmarkEnd w:id="298"/>
    </w:p>
    <w:p w14:paraId="275B1B7D">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9" w:name="_Toc25873_WPSOffice_Level3"/>
      <w:r>
        <w:rPr>
          <w:rFonts w:hint="eastAsia" w:ascii="宋体" w:hAnsi="宋体" w:eastAsia="宋体" w:cs="宋体"/>
          <w:color w:val="auto"/>
          <w:kern w:val="2"/>
          <w:sz w:val="24"/>
          <w:szCs w:val="24"/>
          <w:lang w:val="zh-CN" w:eastAsia="zh-CN" w:bidi="ar-SA"/>
        </w:rPr>
        <w:t>5、供应商诚信承诺书（见附件5）</w:t>
      </w:r>
      <w:bookmarkEnd w:id="299"/>
    </w:p>
    <w:p w14:paraId="45B6070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0" w:name="_Toc31370_WPSOffice_Level3"/>
      <w:r>
        <w:rPr>
          <w:rFonts w:hint="eastAsia" w:ascii="宋体" w:hAnsi="宋体" w:eastAsia="宋体" w:cs="宋体"/>
          <w:color w:val="auto"/>
          <w:kern w:val="2"/>
          <w:sz w:val="24"/>
          <w:szCs w:val="24"/>
          <w:lang w:val="zh-CN" w:eastAsia="zh-CN" w:bidi="ar-SA"/>
        </w:rPr>
        <w:t>6、供应商资格证明文件（见附件6）</w:t>
      </w:r>
      <w:bookmarkEnd w:id="300"/>
    </w:p>
    <w:p w14:paraId="656929D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1" w:name="_Toc10045_WPSOffice_Level3"/>
      <w:r>
        <w:rPr>
          <w:rFonts w:hint="eastAsia" w:ascii="宋体" w:hAnsi="宋体" w:eastAsia="宋体" w:cs="宋体"/>
          <w:color w:val="auto"/>
          <w:kern w:val="2"/>
          <w:sz w:val="24"/>
          <w:szCs w:val="24"/>
          <w:lang w:val="zh-CN" w:eastAsia="zh-CN" w:bidi="ar-SA"/>
        </w:rPr>
        <w:t>7、财务状况、缴纳税收和社会保障资金证明（见附件7）</w:t>
      </w:r>
      <w:bookmarkEnd w:id="301"/>
    </w:p>
    <w:p w14:paraId="633005A5">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2" w:name="_Toc12223_WPSOffice_Level3"/>
      <w:r>
        <w:rPr>
          <w:rFonts w:hint="eastAsia" w:ascii="宋体" w:hAnsi="宋体" w:eastAsia="宋体" w:cs="宋体"/>
          <w:color w:val="auto"/>
          <w:kern w:val="2"/>
          <w:sz w:val="24"/>
          <w:szCs w:val="24"/>
          <w:lang w:val="zh-CN" w:eastAsia="zh-CN" w:bidi="ar-SA"/>
        </w:rPr>
        <w:t>8、无重大违法记录声明（见附件</w:t>
      </w: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zh-CN" w:eastAsia="zh-CN" w:bidi="ar-SA"/>
        </w:rPr>
        <w:t>）</w:t>
      </w:r>
      <w:bookmarkEnd w:id="302"/>
    </w:p>
    <w:p w14:paraId="2660FAB5">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03" w:name="_Toc10394_WPSOffice_Level3"/>
      <w:r>
        <w:rPr>
          <w:rFonts w:hint="eastAsia" w:ascii="宋体" w:hAnsi="宋体" w:eastAsia="宋体" w:cs="宋体"/>
          <w:color w:val="auto"/>
          <w:kern w:val="2"/>
          <w:sz w:val="24"/>
          <w:szCs w:val="24"/>
          <w:lang w:val="en-US" w:eastAsia="zh-CN" w:bidi="ar-SA"/>
        </w:rPr>
        <w:t>9、谈判保证金证明（见附件9）</w:t>
      </w:r>
      <w:bookmarkEnd w:id="303"/>
    </w:p>
    <w:p w14:paraId="4F880C12">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304" w:name="_Toc21135"/>
      <w:bookmarkStart w:id="305" w:name="_Toc1423"/>
      <w:bookmarkStart w:id="306" w:name="_Toc3154_WPSOffice_Level2"/>
      <w:bookmarkStart w:id="307" w:name="_Toc18301_WPSOffice_Level3"/>
      <w:r>
        <w:rPr>
          <w:rFonts w:hint="eastAsia" w:ascii="宋体" w:hAnsi="宋体" w:eastAsia="宋体" w:cs="宋体"/>
          <w:b/>
          <w:bCs/>
          <w:color w:val="auto"/>
          <w:kern w:val="2"/>
          <w:sz w:val="24"/>
          <w:szCs w:val="24"/>
          <w:lang w:val="zh-CN" w:eastAsia="zh-CN" w:bidi="ar-SA"/>
        </w:rPr>
        <w:t>（二）有效性、完整性、响应程度审查部分</w:t>
      </w:r>
      <w:bookmarkEnd w:id="304"/>
      <w:bookmarkEnd w:id="305"/>
      <w:bookmarkEnd w:id="306"/>
      <w:bookmarkEnd w:id="307"/>
    </w:p>
    <w:p w14:paraId="6359BCD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8" w:name="_Toc9730_WPSOffice_Level3"/>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、谈判首次报价表（见附件</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w:t>
      </w:r>
      <w:bookmarkEnd w:id="308"/>
    </w:p>
    <w:p w14:paraId="69D9885E">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9" w:name="_Toc15196_WPSOffice_Level3"/>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、分项报价表（见附件1</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w:t>
      </w:r>
      <w:bookmarkEnd w:id="309"/>
    </w:p>
    <w:p w14:paraId="0FD54A5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0" w:name="_Toc319_WPSOffice_Level3"/>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技术规格</w:t>
      </w:r>
      <w:r>
        <w:rPr>
          <w:rFonts w:hint="eastAsia" w:ascii="宋体" w:hAnsi="宋体" w:eastAsia="宋体" w:cs="宋体"/>
          <w:color w:val="auto"/>
          <w:kern w:val="2"/>
          <w:sz w:val="24"/>
          <w:szCs w:val="24"/>
          <w:lang w:val="zh-CN" w:eastAsia="zh-CN" w:bidi="ar-SA"/>
        </w:rPr>
        <w:t>响应表（见附件1</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w:t>
      </w:r>
      <w:bookmarkEnd w:id="310"/>
    </w:p>
    <w:p w14:paraId="747F6FE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1" w:name="_Toc22060_WPSOffice_Level3"/>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、产品相关资料（具备履行合同所必须的设备和专业技术能力证明）（附件1</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p>
    <w:bookmarkEnd w:id="311"/>
    <w:p w14:paraId="3AF9C5AB">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2" w:name="_Toc16307_WPSOffice_Level3"/>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、供应商认为在其他方面有必要说明的事项（格式自定）</w:t>
      </w:r>
      <w:bookmarkEnd w:id="312"/>
    </w:p>
    <w:p w14:paraId="6B8114D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3" w:name="_Toc1748_WPSOffice_Level3"/>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享受政府采购政策优惠的证明资料（见附件</w:t>
      </w:r>
      <w:r>
        <w:rPr>
          <w:rFonts w:hint="eastAsia" w:ascii="宋体" w:hAnsi="宋体" w:eastAsia="宋体" w:cs="宋体"/>
          <w:color w:val="auto"/>
          <w:kern w:val="2"/>
          <w:sz w:val="24"/>
          <w:szCs w:val="24"/>
          <w:lang w:val="en-US" w:eastAsia="zh-CN" w:bidi="ar-SA"/>
        </w:rPr>
        <w:t>14</w:t>
      </w:r>
      <w:r>
        <w:rPr>
          <w:rFonts w:hint="eastAsia" w:ascii="宋体" w:hAnsi="宋体" w:eastAsia="宋体" w:cs="宋体"/>
          <w:color w:val="auto"/>
          <w:kern w:val="2"/>
          <w:sz w:val="24"/>
          <w:szCs w:val="24"/>
          <w:lang w:val="zh-CN" w:eastAsia="zh-CN" w:bidi="ar-SA"/>
        </w:rPr>
        <w:t>）</w:t>
      </w:r>
      <w:bookmarkEnd w:id="313"/>
    </w:p>
    <w:p w14:paraId="603E2108">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14" w:name="_Toc5088_WPSOffice_Level3"/>
      <w:r>
        <w:rPr>
          <w:rFonts w:hint="eastAsia" w:ascii="宋体" w:hAnsi="宋体" w:eastAsia="宋体" w:cs="宋体"/>
          <w:color w:val="auto"/>
          <w:kern w:val="2"/>
          <w:sz w:val="24"/>
          <w:szCs w:val="24"/>
          <w:lang w:val="en-US" w:eastAsia="zh-CN" w:bidi="ar-SA"/>
        </w:rPr>
        <w:t>7、其他证明材料（格式自定）</w:t>
      </w:r>
      <w:bookmarkEnd w:id="314"/>
    </w:p>
    <w:p w14:paraId="11F48131">
      <w:pPr>
        <w:widowControl w:val="0"/>
        <w:wordWrap/>
        <w:adjustRightInd w:val="0"/>
        <w:snapToGrid w:val="0"/>
        <w:spacing w:line="560" w:lineRule="exact"/>
        <w:jc w:val="left"/>
        <w:textAlignment w:val="auto"/>
        <w:rPr>
          <w:rFonts w:hint="eastAsia" w:ascii="宋体" w:hAnsi="宋体" w:eastAsia="宋体" w:cs="宋体"/>
          <w:color w:val="auto"/>
          <w:lang w:val="en-US" w:eastAsia="zh-CN"/>
        </w:rPr>
      </w:pPr>
      <w:bookmarkStart w:id="315" w:name="_Toc30100_WPSOffice_Level3"/>
      <w:r>
        <w:rPr>
          <w:rFonts w:hint="eastAsia" w:ascii="宋体" w:hAnsi="宋体" w:eastAsia="宋体" w:cs="宋体"/>
          <w:color w:val="auto"/>
          <w:kern w:val="2"/>
          <w:sz w:val="24"/>
          <w:szCs w:val="24"/>
          <w:lang w:val="en-US" w:eastAsia="zh-CN" w:bidi="ar-SA"/>
        </w:rPr>
        <w:t>8、谈判最后报价表（见附件15）</w:t>
      </w:r>
      <w:bookmarkEnd w:id="315"/>
    </w:p>
    <w:p w14:paraId="6358D6EA">
      <w:pPr>
        <w:widowControl w:val="0"/>
        <w:wordWrap/>
        <w:adjustRightInd w:val="0"/>
        <w:snapToGrid w:val="0"/>
        <w:spacing w:line="560" w:lineRule="exact"/>
        <w:jc w:val="left"/>
        <w:textAlignment w:val="auto"/>
        <w:rPr>
          <w:rFonts w:hint="eastAsia" w:ascii="宋体" w:hAnsi="宋体" w:eastAsia="宋体" w:cs="宋体"/>
          <w:color w:val="auto"/>
          <w:kern w:val="2"/>
          <w:sz w:val="32"/>
          <w:szCs w:val="32"/>
          <w:lang w:val="en-US" w:eastAsia="zh-CN" w:bidi="ar-SA"/>
        </w:rPr>
      </w:pPr>
    </w:p>
    <w:p w14:paraId="2A77E98D">
      <w:pPr>
        <w:rPr>
          <w:rFonts w:hint="eastAsia" w:ascii="宋体" w:hAnsi="宋体" w:eastAsia="宋体" w:cs="宋体"/>
          <w:b/>
          <w:bCs/>
          <w:color w:val="auto"/>
          <w:kern w:val="2"/>
          <w:sz w:val="28"/>
          <w:szCs w:val="28"/>
          <w:lang w:val="en-US" w:eastAsia="zh-CN" w:bidi="ar-SA"/>
        </w:rPr>
      </w:pPr>
      <w:bookmarkStart w:id="316" w:name="_Toc5252_WPSOffice_Level2"/>
      <w:bookmarkStart w:id="317" w:name="_Toc11918"/>
      <w:bookmarkStart w:id="318" w:name="_Toc14930_WPSOffice_Level2"/>
      <w:bookmarkStart w:id="319" w:name="_Toc1684_WPSOffice_Level2"/>
      <w:r>
        <w:rPr>
          <w:rFonts w:hint="eastAsia" w:ascii="宋体" w:hAnsi="宋体" w:eastAsia="宋体" w:cs="宋体"/>
          <w:b/>
          <w:bCs/>
          <w:color w:val="auto"/>
          <w:kern w:val="2"/>
          <w:sz w:val="28"/>
          <w:szCs w:val="28"/>
          <w:lang w:val="en-US" w:eastAsia="zh-CN" w:bidi="ar-SA"/>
        </w:rPr>
        <w:br w:type="page"/>
      </w:r>
    </w:p>
    <w:p w14:paraId="06483B69">
      <w:pPr>
        <w:widowControl w:val="0"/>
        <w:wordWrap/>
        <w:adjustRightInd w:val="0"/>
        <w:snapToGrid w:val="0"/>
        <w:spacing w:line="560" w:lineRule="exact"/>
        <w:jc w:val="center"/>
        <w:textAlignment w:val="auto"/>
        <w:outlineLvl w:val="1"/>
        <w:rPr>
          <w:rFonts w:hint="eastAsia" w:ascii="宋体" w:hAnsi="宋体" w:eastAsia="宋体" w:cs="宋体"/>
          <w:b/>
          <w:bCs/>
          <w:color w:val="auto"/>
          <w:kern w:val="2"/>
          <w:sz w:val="28"/>
          <w:szCs w:val="28"/>
          <w:lang w:val="en-US" w:eastAsia="zh-CN" w:bidi="ar-SA"/>
        </w:rPr>
      </w:pPr>
      <w:bookmarkStart w:id="320" w:name="_Toc10743"/>
      <w:r>
        <w:rPr>
          <w:rFonts w:hint="eastAsia" w:ascii="宋体" w:hAnsi="宋体" w:eastAsia="宋体" w:cs="宋体"/>
          <w:b/>
          <w:bCs/>
          <w:color w:val="auto"/>
          <w:kern w:val="2"/>
          <w:sz w:val="28"/>
          <w:szCs w:val="28"/>
          <w:lang w:val="en-US" w:eastAsia="zh-CN" w:bidi="ar-SA"/>
        </w:rPr>
        <w:t>十三、</w:t>
      </w:r>
      <w:bookmarkEnd w:id="316"/>
      <w:bookmarkEnd w:id="317"/>
      <w:bookmarkEnd w:id="318"/>
      <w:bookmarkEnd w:id="319"/>
      <w:bookmarkEnd w:id="320"/>
      <w:r>
        <w:rPr>
          <w:rFonts w:hint="eastAsia" w:ascii="宋体" w:hAnsi="宋体" w:eastAsia="宋体" w:cs="宋体"/>
          <w:b/>
          <w:bCs/>
          <w:color w:val="auto"/>
          <w:kern w:val="2"/>
          <w:sz w:val="28"/>
          <w:szCs w:val="28"/>
          <w:lang w:val="en-US" w:eastAsia="zh-CN" w:bidi="ar-SA"/>
        </w:rPr>
        <w:t>响应文件</w:t>
      </w:r>
    </w:p>
    <w:p w14:paraId="6EAAD4BF">
      <w:pPr>
        <w:wordWrap/>
        <w:spacing w:before="157" w:beforeLines="50" w:line="560" w:lineRule="exact"/>
        <w:jc w:val="center"/>
        <w:outlineLvl w:val="9"/>
        <w:rPr>
          <w:rFonts w:hint="eastAsia" w:ascii="宋体" w:hAnsi="宋体" w:eastAsia="宋体" w:cs="宋体"/>
          <w:b/>
          <w:color w:val="auto"/>
          <w:sz w:val="44"/>
          <w:szCs w:val="44"/>
        </w:rPr>
      </w:pPr>
      <w:bookmarkStart w:id="321" w:name="_Toc10997_WPSOffice_Level2"/>
      <w:bookmarkStart w:id="322" w:name="_Toc28269_WPSOffice_Level3"/>
      <w:bookmarkStart w:id="323" w:name="_Toc31682_WPSOffice_Level2"/>
    </w:p>
    <w:p w14:paraId="66363E29">
      <w:pPr>
        <w:wordWrap/>
        <w:spacing w:before="157" w:beforeLines="50" w:line="560" w:lineRule="exact"/>
        <w:jc w:val="center"/>
        <w:outlineLvl w:val="9"/>
        <w:rPr>
          <w:rFonts w:hint="eastAsia" w:ascii="宋体" w:hAnsi="宋体" w:eastAsia="宋体" w:cs="宋体"/>
          <w:b/>
          <w:color w:val="auto"/>
          <w:sz w:val="44"/>
          <w:szCs w:val="44"/>
        </w:rPr>
      </w:pPr>
      <w:r>
        <w:rPr>
          <w:rFonts w:hint="eastAsia" w:ascii="宋体" w:hAnsi="宋体" w:eastAsia="宋体" w:cs="宋体"/>
          <w:b/>
          <w:color w:val="auto"/>
          <w:sz w:val="44"/>
          <w:szCs w:val="44"/>
        </w:rPr>
        <w:t>青海省政府采购项目</w:t>
      </w:r>
      <w:bookmarkEnd w:id="321"/>
      <w:bookmarkEnd w:id="322"/>
      <w:bookmarkEnd w:id="323"/>
      <w:bookmarkStart w:id="324" w:name="_Toc23622_WPSOffice_Level2"/>
      <w:bookmarkStart w:id="325" w:name="_Toc25378_WPSOffice_Level2"/>
    </w:p>
    <w:bookmarkEnd w:id="324"/>
    <w:bookmarkEnd w:id="325"/>
    <w:p w14:paraId="229E3EDF">
      <w:pPr>
        <w:wordWrap/>
        <w:spacing w:before="157" w:beforeLines="50" w:line="560" w:lineRule="exact"/>
        <w:jc w:val="center"/>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7D904CC2">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bookmarkStart w:id="326" w:name="_Toc13231_WPSOffice_Level2"/>
      <w:bookmarkStart w:id="327" w:name="_Toc28825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资格审查部分</w:t>
      </w:r>
      <w:r>
        <w:rPr>
          <w:rFonts w:hint="eastAsia" w:ascii="宋体" w:hAnsi="宋体" w:eastAsia="宋体" w:cs="宋体"/>
          <w:b/>
          <w:bCs/>
          <w:color w:val="auto"/>
          <w:sz w:val="32"/>
          <w:szCs w:val="32"/>
        </w:rPr>
        <w:t>）</w:t>
      </w:r>
    </w:p>
    <w:p w14:paraId="7B515A5F">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p>
    <w:bookmarkEnd w:id="326"/>
    <w:bookmarkEnd w:id="327"/>
    <w:p w14:paraId="2C1E50CA">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55812F1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8E6CF37">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4AD0A261">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28" w:name="_Toc19521_WPSOffice_Level2"/>
      <w:bookmarkStart w:id="329" w:name="_Toc29803_WPSOffice_Level2"/>
      <w:r>
        <w:rPr>
          <w:rFonts w:hint="eastAsia" w:ascii="宋体" w:hAnsi="宋体" w:eastAsia="宋体" w:cs="宋体"/>
          <w:b/>
          <w:bCs/>
          <w:color w:val="auto"/>
          <w:sz w:val="32"/>
          <w:szCs w:val="32"/>
        </w:rPr>
        <w:t>采购项目编号:</w:t>
      </w:r>
      <w:bookmarkEnd w:id="328"/>
      <w:bookmarkEnd w:id="329"/>
    </w:p>
    <w:p w14:paraId="2E625447">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330" w:name="_Toc14786_WPSOffice_Level2"/>
      <w:bookmarkStart w:id="331" w:name="_Toc18713_WPSOffice_Level2"/>
      <w:r>
        <w:rPr>
          <w:rFonts w:hint="eastAsia" w:ascii="宋体" w:hAnsi="宋体" w:eastAsia="宋体" w:cs="宋体"/>
          <w:b/>
          <w:bCs/>
          <w:color w:val="auto"/>
          <w:sz w:val="32"/>
          <w:szCs w:val="32"/>
        </w:rPr>
        <w:t>采购项目名称:</w:t>
      </w:r>
      <w:bookmarkEnd w:id="330"/>
      <w:bookmarkEnd w:id="331"/>
    </w:p>
    <w:p w14:paraId="199EF1F5">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32" w:name="_Toc14087_WPSOffice_Level2"/>
      <w:bookmarkStart w:id="333" w:name="_Toc22044_WPSOffice_Level2"/>
      <w:r>
        <w:rPr>
          <w:rFonts w:hint="eastAsia" w:ascii="宋体" w:hAnsi="宋体" w:eastAsia="宋体" w:cs="宋体"/>
          <w:b/>
          <w:bCs/>
          <w:color w:val="auto"/>
          <w:sz w:val="32"/>
          <w:szCs w:val="32"/>
          <w:lang w:eastAsia="zh-CN"/>
        </w:rPr>
        <w:t>供应商名称：</w:t>
      </w:r>
      <w:bookmarkEnd w:id="332"/>
      <w:bookmarkEnd w:id="333"/>
    </w:p>
    <w:p w14:paraId="36DC1341">
      <w:pPr>
        <w:wordWrap/>
        <w:spacing w:before="157" w:beforeLines="50" w:line="560" w:lineRule="exact"/>
        <w:jc w:val="center"/>
        <w:outlineLvl w:val="9"/>
        <w:rPr>
          <w:rFonts w:hint="eastAsia" w:ascii="宋体" w:hAnsi="宋体" w:eastAsia="宋体" w:cs="宋体"/>
          <w:b/>
          <w:bCs/>
          <w:color w:val="auto"/>
          <w:sz w:val="32"/>
          <w:szCs w:val="32"/>
        </w:rPr>
      </w:pPr>
    </w:p>
    <w:p w14:paraId="2C983D16">
      <w:pPr>
        <w:wordWrap/>
        <w:spacing w:before="157" w:beforeLines="50" w:line="560" w:lineRule="exact"/>
        <w:jc w:val="center"/>
        <w:outlineLvl w:val="9"/>
        <w:rPr>
          <w:rFonts w:hint="eastAsia" w:ascii="宋体" w:hAnsi="宋体" w:eastAsia="宋体" w:cs="宋体"/>
          <w:b/>
          <w:color w:val="auto"/>
          <w:sz w:val="32"/>
          <w:szCs w:val="32"/>
        </w:rPr>
      </w:pPr>
      <w:bookmarkStart w:id="334" w:name="_Toc1142_WPSOffice_Level3"/>
      <w:r>
        <w:rPr>
          <w:rFonts w:hint="eastAsia" w:ascii="宋体" w:hAnsi="宋体" w:eastAsia="宋体" w:cs="宋体"/>
          <w:b/>
          <w:color w:val="auto"/>
          <w:sz w:val="32"/>
          <w:szCs w:val="32"/>
        </w:rPr>
        <w:t xml:space="preserve">年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 xml:space="preserve">月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日</w:t>
      </w:r>
      <w:bookmarkEnd w:id="334"/>
    </w:p>
    <w:p w14:paraId="3BA06634">
      <w:pPr>
        <w:widowControl/>
        <w:wordWrap/>
        <w:snapToGrid w:val="0"/>
        <w:spacing w:before="157" w:beforeLines="50" w:line="560" w:lineRule="exact"/>
        <w:jc w:val="left"/>
        <w:outlineLvl w:val="9"/>
        <w:rPr>
          <w:rFonts w:hint="eastAsia" w:ascii="宋体" w:hAnsi="宋体" w:eastAsia="宋体" w:cs="宋体"/>
          <w:b/>
          <w:color w:val="auto"/>
          <w:sz w:val="28"/>
          <w:szCs w:val="28"/>
        </w:rPr>
      </w:pPr>
    </w:p>
    <w:p w14:paraId="673DDA18">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335" w:name="_Toc32479_WPSOffice_Level3"/>
      <w:bookmarkStart w:id="336" w:name="_Toc19203"/>
      <w:bookmarkStart w:id="337" w:name="_Toc27578"/>
      <w:bookmarkStart w:id="338" w:name="_Toc27597"/>
    </w:p>
    <w:p w14:paraId="312DA7AD">
      <w:pPr>
        <w:keepNext w:val="0"/>
        <w:keepLines w:val="0"/>
        <w:pageBreakBefore w:val="0"/>
        <w:widowControl/>
        <w:kinsoku/>
        <w:wordWrap/>
        <w:overflowPunct/>
        <w:topLinePunct w:val="0"/>
        <w:autoSpaceDE/>
        <w:autoSpaceDN/>
        <w:bidi w:val="0"/>
        <w:adjustRightInd/>
        <w:snapToGrid/>
        <w:spacing w:line="360" w:lineRule="auto"/>
        <w:ind w:right="0"/>
        <w:textAlignment w:val="auto"/>
        <w:outlineLvl w:val="1"/>
        <w:rPr>
          <w:rFonts w:hint="eastAsia" w:ascii="宋体" w:hAnsi="宋体" w:eastAsia="宋体" w:cs="宋体"/>
          <w:b/>
          <w:color w:val="auto"/>
          <w:sz w:val="24"/>
          <w:szCs w:val="24"/>
        </w:rPr>
      </w:pPr>
      <w:bookmarkStart w:id="339" w:name="_Toc214"/>
      <w:r>
        <w:rPr>
          <w:rFonts w:hint="eastAsia" w:ascii="宋体" w:hAnsi="宋体" w:eastAsia="宋体" w:cs="宋体"/>
          <w:b/>
          <w:color w:val="auto"/>
          <w:sz w:val="28"/>
          <w:szCs w:val="28"/>
          <w:lang w:eastAsia="zh-CN"/>
        </w:rPr>
        <w:t>附件1：响应函</w:t>
      </w:r>
      <w:bookmarkEnd w:id="335"/>
      <w:bookmarkEnd w:id="336"/>
      <w:bookmarkEnd w:id="337"/>
      <w:bookmarkEnd w:id="338"/>
      <w:bookmarkEnd w:id="339"/>
    </w:p>
    <w:p w14:paraId="45BB1DF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color w:val="auto"/>
          <w:sz w:val="24"/>
          <w:szCs w:val="24"/>
        </w:rPr>
      </w:pPr>
      <w:bookmarkStart w:id="340" w:name="_Toc22598_WPSOffice_Level2"/>
      <w:bookmarkStart w:id="341" w:name="_Toc24288_WPSOffice_Level2"/>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函</w:t>
      </w:r>
      <w:bookmarkEnd w:id="340"/>
      <w:bookmarkEnd w:id="341"/>
    </w:p>
    <w:p w14:paraId="6A241BDB">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val="0"/>
          <w:bCs w:val="0"/>
          <w:color w:val="auto"/>
          <w:sz w:val="24"/>
          <w:szCs w:val="24"/>
        </w:rPr>
      </w:pPr>
      <w:bookmarkStart w:id="342" w:name="_Toc16867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42"/>
    </w:p>
    <w:p w14:paraId="6764B1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eastAsia="宋体" w:cs="宋体"/>
          <w:color w:val="auto"/>
          <w:sz w:val="24"/>
          <w:szCs w:val="24"/>
        </w:rPr>
        <w:t>谈判文件，经研究，法定代表人（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3B37F91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3BC377A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1、我方已详阅谈判文件的全部内容，包括澄清、修改条款等有关附件，承诺对其完全理解并接受。</w:t>
      </w:r>
    </w:p>
    <w:p w14:paraId="1BCAB08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保证金将被贵方没收。</w:t>
      </w:r>
    </w:p>
    <w:p w14:paraId="542AB35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有关的一切数据或资料，理解并接受贵方制定的评标办法。</w:t>
      </w:r>
    </w:p>
    <w:p w14:paraId="64D6AF0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次竞争性谈判</w:t>
      </w:r>
      <w:r>
        <w:rPr>
          <w:rFonts w:hint="eastAsia" w:ascii="宋体" w:hAnsi="宋体" w:eastAsia="宋体" w:cs="宋体"/>
          <w:color w:val="auto"/>
          <w:sz w:val="24"/>
          <w:szCs w:val="24"/>
        </w:rPr>
        <w:t>有关的一切正式往来通讯请寄：</w:t>
      </w:r>
    </w:p>
    <w:p w14:paraId="35A198A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w:t>
      </w:r>
    </w:p>
    <w:p w14:paraId="7E85C2B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邮编：______________</w:t>
      </w:r>
    </w:p>
    <w:p w14:paraId="6B0F42E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w:t>
      </w:r>
    </w:p>
    <w:p w14:paraId="24931C6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传真：______________</w:t>
      </w:r>
    </w:p>
    <w:p w14:paraId="1F4A248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法定代表人姓名：___________</w:t>
      </w:r>
    </w:p>
    <w:p w14:paraId="1900DAC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职务：_________</w:t>
      </w:r>
    </w:p>
    <w:p w14:paraId="112DF7B2">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rPr>
      </w:pPr>
    </w:p>
    <w:p w14:paraId="44185F31">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bookmarkStart w:id="343" w:name="_Toc28112_WPSOffice_Level3"/>
      <w:bookmarkStart w:id="344" w:name="_Toc1506_WPSOffice_Level3"/>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bookmarkEnd w:id="343"/>
      <w:bookmarkEnd w:id="344"/>
    </w:p>
    <w:p w14:paraId="5F07A128">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bookmarkStart w:id="345" w:name="_Toc28651_WPSOffice_Level3"/>
      <w:bookmarkStart w:id="346" w:name="_Toc6385_WPSOffice_Level3"/>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bookmarkEnd w:id="345"/>
      <w:bookmarkEnd w:id="346"/>
    </w:p>
    <w:p w14:paraId="43BE287E">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bookmarkStart w:id="347" w:name="_Toc130_WPSOffice_Level3"/>
      <w:bookmarkStart w:id="348" w:name="_Toc13325_WPSOffice_Level3"/>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bookmarkEnd w:id="347"/>
      <w:bookmarkEnd w:id="348"/>
    </w:p>
    <w:p w14:paraId="3B9FA004">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0D94071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49" w:name="_Toc12487"/>
      <w:bookmarkStart w:id="350" w:name="_Toc3082"/>
      <w:bookmarkStart w:id="351" w:name="_Toc17887_WPSOffice_Level2"/>
      <w:bookmarkStart w:id="352" w:name="_Toc20882_WPSOffice_Level3"/>
      <w:bookmarkStart w:id="353" w:name="_Toc16050"/>
      <w:bookmarkStart w:id="354" w:name="_Toc26257_WPSOffice_Level2"/>
      <w:r>
        <w:rPr>
          <w:rFonts w:hint="eastAsia" w:ascii="宋体" w:hAnsi="宋体" w:eastAsia="宋体" w:cs="宋体"/>
          <w:b/>
          <w:color w:val="auto"/>
          <w:sz w:val="28"/>
          <w:szCs w:val="28"/>
          <w:lang w:eastAsia="zh-CN"/>
        </w:rPr>
        <w:br w:type="page"/>
      </w:r>
    </w:p>
    <w:p w14:paraId="7070D23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bCs/>
          <w:color w:val="auto"/>
          <w:sz w:val="28"/>
          <w:szCs w:val="28"/>
        </w:rPr>
      </w:pPr>
      <w:bookmarkStart w:id="355" w:name="_Toc23458"/>
      <w:r>
        <w:rPr>
          <w:rFonts w:hint="eastAsia" w:ascii="宋体" w:hAnsi="宋体" w:eastAsia="宋体" w:cs="宋体"/>
          <w:b/>
          <w:color w:val="auto"/>
          <w:sz w:val="28"/>
          <w:szCs w:val="28"/>
          <w:lang w:eastAsia="zh-CN"/>
        </w:rPr>
        <w:t>附件2：法定代表人证明书</w:t>
      </w:r>
      <w:bookmarkEnd w:id="349"/>
      <w:bookmarkEnd w:id="350"/>
      <w:bookmarkEnd w:id="351"/>
      <w:bookmarkEnd w:id="352"/>
      <w:bookmarkEnd w:id="353"/>
      <w:bookmarkEnd w:id="354"/>
      <w:bookmarkEnd w:id="355"/>
    </w:p>
    <w:p w14:paraId="393F2750">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56" w:name="_Toc14917_WPSOffice_Level1"/>
      <w:bookmarkStart w:id="357" w:name="_Toc32036_WPSOffice_Level1"/>
      <w:bookmarkStart w:id="358" w:name="_Toc28170_WPSOffice_Level2"/>
      <w:bookmarkStart w:id="359" w:name="_Toc6898_WPSOffice_Level2"/>
      <w:r>
        <w:rPr>
          <w:rFonts w:hint="eastAsia" w:ascii="宋体" w:hAnsi="宋体" w:eastAsia="宋体" w:cs="宋体"/>
          <w:b/>
          <w:color w:val="auto"/>
          <w:sz w:val="24"/>
          <w:szCs w:val="24"/>
          <w:lang w:eastAsia="zh-CN"/>
        </w:rPr>
        <w:t>法定代表人证明书</w:t>
      </w:r>
      <w:bookmarkEnd w:id="356"/>
      <w:bookmarkEnd w:id="357"/>
      <w:bookmarkEnd w:id="358"/>
      <w:bookmarkEnd w:id="359"/>
    </w:p>
    <w:p w14:paraId="79381567">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val="0"/>
          <w:bCs w:val="0"/>
          <w:color w:val="auto"/>
          <w:kern w:val="0"/>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3D392B8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14:paraId="40B49C1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14:paraId="1600F536">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14:paraId="1B48E276">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14:paraId="1A826F4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14:paraId="415B6577">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附法定代表人第二代身份证双面扫描</w:t>
      </w:r>
      <w:r>
        <w:rPr>
          <w:rFonts w:hint="eastAsia" w:ascii="宋体" w:hAnsi="宋体" w:eastAsia="宋体" w:cs="宋体"/>
          <w:b w:val="0"/>
          <w:bCs w:val="0"/>
          <w:color w:val="auto"/>
          <w:sz w:val="24"/>
          <w:szCs w:val="24"/>
          <w:lang w:eastAsia="zh-CN"/>
        </w:rPr>
        <w:t>或其他身份证明材料</w:t>
      </w:r>
      <w:r>
        <w:rPr>
          <w:rFonts w:hint="eastAsia" w:ascii="宋体" w:hAnsi="宋体" w:eastAsia="宋体" w:cs="宋体"/>
          <w:b w:val="0"/>
          <w:bCs w:val="0"/>
          <w:color w:val="auto"/>
          <w:sz w:val="24"/>
          <w:szCs w:val="24"/>
        </w:rPr>
        <w:t>（复印件</w:t>
      </w:r>
      <w:r>
        <w:rPr>
          <w:rFonts w:hint="eastAsia" w:ascii="宋体" w:hAnsi="宋体" w:eastAsia="宋体" w:cs="宋体"/>
          <w:color w:val="auto"/>
          <w:sz w:val="24"/>
          <w:szCs w:val="24"/>
          <w:lang w:eastAsia="zh-CN"/>
        </w:rPr>
        <w:t>）</w:t>
      </w:r>
    </w:p>
    <w:p w14:paraId="5DDC8A32">
      <w:pPr>
        <w:keepNext w:val="0"/>
        <w:keepLines w:val="0"/>
        <w:pageBreakBefore w:val="0"/>
        <w:kinsoku/>
        <w:wordWrap/>
        <w:overflowPunct/>
        <w:topLinePunct w:val="0"/>
        <w:autoSpaceDE w:val="0"/>
        <w:autoSpaceDN w:val="0"/>
        <w:bidi w:val="0"/>
        <w:adjustRightInd/>
        <w:snapToGrid/>
        <w:spacing w:line="360" w:lineRule="auto"/>
        <w:ind w:right="0"/>
        <w:jc w:val="left"/>
        <w:outlineLvl w:val="9"/>
        <w:rPr>
          <w:rFonts w:hint="eastAsia" w:ascii="宋体" w:hAnsi="宋体" w:eastAsia="宋体" w:cs="宋体"/>
          <w:color w:val="auto"/>
          <w:kern w:val="0"/>
          <w:sz w:val="24"/>
          <w:szCs w:val="24"/>
        </w:rPr>
      </w:pPr>
    </w:p>
    <w:p w14:paraId="483A238F">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7AFA2EE1">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p>
    <w:p w14:paraId="08418236">
      <w:pPr>
        <w:keepNext w:val="0"/>
        <w:keepLines w:val="0"/>
        <w:pageBreakBefore w:val="0"/>
        <w:kinsoku/>
        <w:wordWrap/>
        <w:overflowPunct/>
        <w:topLinePunct w:val="0"/>
        <w:autoSpaceDE w:val="0"/>
        <w:autoSpaceDN w:val="0"/>
        <w:bidi w:val="0"/>
        <w:adjustRightInd/>
        <w:snapToGrid/>
        <w:spacing w:line="360" w:lineRule="auto"/>
        <w:ind w:right="0"/>
        <w:jc w:val="center"/>
        <w:outlineLvl w:val="9"/>
        <w:rPr>
          <w:rFonts w:hint="eastAsia" w:ascii="宋体" w:hAnsi="宋体" w:eastAsia="宋体" w:cs="宋体"/>
          <w:b/>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701BAD38">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p>
    <w:p w14:paraId="6CC04DF0">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60" w:name="_Toc21545_WPSOffice_Level3"/>
      <w:bookmarkStart w:id="361" w:name="_Toc18183"/>
      <w:bookmarkStart w:id="362" w:name="_Toc31901"/>
      <w:bookmarkStart w:id="363" w:name="_Toc23035_WPSOffice_Level2"/>
      <w:bookmarkStart w:id="364" w:name="_Toc27782"/>
      <w:r>
        <w:rPr>
          <w:rFonts w:hint="eastAsia" w:ascii="宋体" w:hAnsi="宋体" w:eastAsia="宋体" w:cs="宋体"/>
          <w:b/>
          <w:color w:val="auto"/>
          <w:sz w:val="28"/>
          <w:szCs w:val="28"/>
          <w:lang w:eastAsia="zh-CN"/>
        </w:rPr>
        <w:br w:type="page"/>
      </w:r>
    </w:p>
    <w:p w14:paraId="1F8B10E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65" w:name="_Toc27119"/>
      <w:r>
        <w:rPr>
          <w:rFonts w:hint="eastAsia" w:ascii="宋体" w:hAnsi="宋体" w:eastAsia="宋体" w:cs="宋体"/>
          <w:b/>
          <w:color w:val="auto"/>
          <w:sz w:val="28"/>
          <w:szCs w:val="28"/>
          <w:lang w:eastAsia="zh-CN"/>
        </w:rPr>
        <w:t>附件3：法定代表人授权书</w:t>
      </w:r>
      <w:bookmarkEnd w:id="360"/>
      <w:bookmarkEnd w:id="361"/>
      <w:bookmarkEnd w:id="362"/>
      <w:bookmarkEnd w:id="363"/>
      <w:bookmarkEnd w:id="364"/>
      <w:bookmarkEnd w:id="365"/>
    </w:p>
    <w:p w14:paraId="5C41F1BF">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66" w:name="_Toc26434_WPSOffice_Level2"/>
      <w:bookmarkStart w:id="367" w:name="_Toc5048_WPSOffice_Level2"/>
      <w:bookmarkStart w:id="368" w:name="_Toc1148_WPSOffice_Level3"/>
      <w:r>
        <w:rPr>
          <w:rFonts w:hint="eastAsia" w:ascii="宋体" w:hAnsi="宋体" w:eastAsia="宋体" w:cs="宋体"/>
          <w:b/>
          <w:color w:val="auto"/>
          <w:sz w:val="24"/>
          <w:szCs w:val="24"/>
          <w:lang w:eastAsia="zh-CN"/>
        </w:rPr>
        <w:t>法定代表人授权书</w:t>
      </w:r>
      <w:bookmarkEnd w:id="366"/>
      <w:bookmarkEnd w:id="367"/>
      <w:bookmarkEnd w:id="368"/>
    </w:p>
    <w:p w14:paraId="2094C71A">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sz w:val="24"/>
          <w:szCs w:val="24"/>
          <w:u w:val="single"/>
        </w:rPr>
      </w:pPr>
      <w:bookmarkStart w:id="369" w:name="_Toc6307_WPSOffice_Level2"/>
      <w:bookmarkStart w:id="370" w:name="_Toc16084_WPSOffice_Level2"/>
      <w:bookmarkStart w:id="371" w:name="_Toc25306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69"/>
      <w:bookmarkEnd w:id="370"/>
      <w:bookmarkEnd w:id="371"/>
    </w:p>
    <w:p w14:paraId="10472FB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8EF7A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eastAsia="宋体" w:cs="宋体"/>
          <w:color w:val="auto"/>
          <w:sz w:val="24"/>
          <w:szCs w:val="24"/>
          <w:lang w:eastAsia="zh-CN"/>
        </w:rPr>
        <w:t>谈判、答疑</w:t>
      </w:r>
      <w:r>
        <w:rPr>
          <w:rFonts w:hint="eastAsia" w:ascii="宋体" w:hAnsi="宋体" w:eastAsia="宋体" w:cs="宋体"/>
          <w:color w:val="auto"/>
          <w:sz w:val="24"/>
          <w:szCs w:val="24"/>
        </w:rPr>
        <w:t>等具体工作，并签署全部有关的文件、资料。</w:t>
      </w:r>
    </w:p>
    <w:p w14:paraId="32D443D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517C800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314773F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14:paraId="35CF0E8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2502F59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44CD8D6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附被授权人第二代身份证双面扫描（或复印）件</w:t>
      </w:r>
    </w:p>
    <w:p w14:paraId="780FF19D">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kern w:val="0"/>
          <w:sz w:val="24"/>
          <w:szCs w:val="24"/>
        </w:rPr>
      </w:pPr>
    </w:p>
    <w:p w14:paraId="65F86C1F">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6917C15F">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37553D74">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1934946E">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bCs/>
          <w:color w:val="auto"/>
          <w:sz w:val="24"/>
          <w:szCs w:val="24"/>
        </w:rPr>
      </w:pPr>
    </w:p>
    <w:p w14:paraId="131714AD">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72" w:name="_Toc26653_WPSOffice_Level3"/>
      <w:bookmarkStart w:id="373" w:name="_Toc16704"/>
      <w:bookmarkStart w:id="374" w:name="_Toc23618"/>
      <w:bookmarkStart w:id="375" w:name="_Toc30919"/>
      <w:bookmarkStart w:id="376" w:name="_Toc7737_WPSOffice_Level3"/>
      <w:r>
        <w:rPr>
          <w:rFonts w:hint="eastAsia" w:ascii="宋体" w:hAnsi="宋体" w:eastAsia="宋体" w:cs="宋体"/>
          <w:b/>
          <w:color w:val="auto"/>
          <w:sz w:val="28"/>
          <w:szCs w:val="28"/>
          <w:lang w:eastAsia="zh-CN"/>
        </w:rPr>
        <w:br w:type="page"/>
      </w:r>
    </w:p>
    <w:p w14:paraId="49179035">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377" w:name="_Toc27688"/>
      <w:r>
        <w:rPr>
          <w:rFonts w:hint="eastAsia" w:ascii="宋体" w:hAnsi="宋体" w:eastAsia="宋体" w:cs="宋体"/>
          <w:b/>
          <w:color w:val="auto"/>
          <w:sz w:val="28"/>
          <w:szCs w:val="28"/>
          <w:lang w:eastAsia="zh-CN"/>
        </w:rPr>
        <w:t>附件4：供应商承诺函</w:t>
      </w:r>
      <w:bookmarkEnd w:id="372"/>
      <w:bookmarkEnd w:id="373"/>
      <w:bookmarkEnd w:id="374"/>
      <w:bookmarkEnd w:id="375"/>
      <w:bookmarkEnd w:id="376"/>
      <w:bookmarkEnd w:id="377"/>
    </w:p>
    <w:p w14:paraId="14D715D7">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78" w:name="_Toc27597_WPSOffice_Level3"/>
      <w:bookmarkStart w:id="379" w:name="_Toc2453_WPSOffice_Level2"/>
      <w:bookmarkStart w:id="380" w:name="_Toc17639_WPSOffice_Level2"/>
      <w:r>
        <w:rPr>
          <w:rFonts w:hint="eastAsia" w:ascii="宋体" w:hAnsi="宋体" w:eastAsia="宋体" w:cs="宋体"/>
          <w:b/>
          <w:color w:val="auto"/>
          <w:sz w:val="24"/>
          <w:szCs w:val="24"/>
          <w:lang w:eastAsia="zh-CN"/>
        </w:rPr>
        <w:t>供应商承诺函</w:t>
      </w:r>
      <w:bookmarkEnd w:id="378"/>
      <w:bookmarkEnd w:id="379"/>
      <w:bookmarkEnd w:id="380"/>
    </w:p>
    <w:p w14:paraId="31851B3C">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2A34F0E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关于贵方</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（项目名称及编号）</w:t>
      </w:r>
      <w:r>
        <w:rPr>
          <w:rFonts w:hint="eastAsia" w:ascii="宋体" w:hAnsi="宋体" w:eastAsia="宋体" w:cs="宋体"/>
          <w:b w:val="0"/>
          <w:bCs w:val="0"/>
          <w:color w:val="auto"/>
          <w:sz w:val="24"/>
          <w:szCs w:val="24"/>
        </w:rPr>
        <w:t>采购项目，本签字人愿意参加</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，提供采购一览表中要求的所有产品，并证实提交的所有资料是准确的和真实的。同时，我代表</w:t>
      </w:r>
      <w:r>
        <w:rPr>
          <w:rFonts w:hint="eastAsia" w:ascii="宋体" w:hAnsi="宋体" w:eastAsia="宋体" w:cs="宋体"/>
          <w:b w:val="0"/>
          <w:bCs w:val="0"/>
          <w:color w:val="auto"/>
          <w:sz w:val="24"/>
          <w:szCs w:val="24"/>
          <w:u w:val="single"/>
        </w:rPr>
        <w:t>（供应商名称）</w:t>
      </w:r>
      <w:r>
        <w:rPr>
          <w:rFonts w:hint="eastAsia" w:ascii="宋体" w:hAnsi="宋体" w:eastAsia="宋体" w:cs="宋体"/>
          <w:b w:val="0"/>
          <w:bCs w:val="0"/>
          <w:color w:val="auto"/>
          <w:sz w:val="24"/>
          <w:szCs w:val="24"/>
        </w:rPr>
        <w:t>，在此作如下承诺：</w:t>
      </w:r>
    </w:p>
    <w:p w14:paraId="16075F4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1、完全理解和接受谈判文件的一切规定和要求；</w:t>
      </w:r>
    </w:p>
    <w:p w14:paraId="1260E2F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2、若</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76296E1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lang w:eastAsia="zh-CN"/>
        </w:rPr>
        <w:t>违反</w:t>
      </w:r>
      <w:r>
        <w:rPr>
          <w:rFonts w:hint="eastAsia" w:ascii="宋体" w:hAnsi="宋体" w:eastAsia="宋体" w:cs="宋体"/>
          <w:b w:val="0"/>
          <w:bCs w:val="0"/>
          <w:color w:val="auto"/>
          <w:sz w:val="24"/>
          <w:szCs w:val="24"/>
        </w:rPr>
        <w:t>，愿承担相应的一切责任。</w:t>
      </w:r>
    </w:p>
    <w:p w14:paraId="5E6DFFF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4、我方承诺，除谈判文件中规定的优质产品外，所投的产品均为国产产品，且均符合国家强制性标准。若有不实，愿承担相应的责任。</w:t>
      </w:r>
    </w:p>
    <w:p w14:paraId="5DAFB6C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5、在整个谈判过程中我方若有违规行为，贵方可按谈判文件之规定给予处罚，我方完全接受。</w:t>
      </w:r>
    </w:p>
    <w:p w14:paraId="76D8E24B">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6、若成交，本承诺将成为合同不可分割的一部分，与合同具有同等的法律效力。</w:t>
      </w:r>
    </w:p>
    <w:p w14:paraId="24807928">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6F9A7011">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54989C3F">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1287DEF9">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2A40122E">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4C66591E">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494E863A">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bCs w:val="0"/>
          <w:color w:val="auto"/>
          <w:sz w:val="24"/>
          <w:szCs w:val="24"/>
        </w:rPr>
      </w:pPr>
    </w:p>
    <w:p w14:paraId="4E714DE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bookmarkStart w:id="381" w:name="_Toc6416"/>
      <w:bookmarkStart w:id="382" w:name="_Toc653_WPSOffice_Level3"/>
      <w:bookmarkStart w:id="383" w:name="_Toc25740"/>
      <w:bookmarkStart w:id="384" w:name="_Toc26773_WPSOffice_Level3"/>
      <w:bookmarkStart w:id="385" w:name="_Toc20884"/>
      <w:r>
        <w:rPr>
          <w:rFonts w:hint="eastAsia" w:ascii="宋体" w:hAnsi="宋体" w:eastAsia="宋体" w:cs="宋体"/>
          <w:b/>
          <w:color w:val="auto"/>
          <w:sz w:val="24"/>
          <w:szCs w:val="24"/>
        </w:rPr>
        <w:br w:type="page"/>
      </w:r>
    </w:p>
    <w:p w14:paraId="046AF59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4"/>
          <w:szCs w:val="24"/>
        </w:rPr>
      </w:pPr>
      <w:bookmarkStart w:id="386" w:name="_Toc659"/>
      <w:r>
        <w:rPr>
          <w:rFonts w:hint="eastAsia" w:ascii="宋体" w:hAnsi="宋体" w:eastAsia="宋体" w:cs="宋体"/>
          <w:b/>
          <w:color w:val="auto"/>
          <w:sz w:val="28"/>
          <w:szCs w:val="28"/>
          <w:lang w:eastAsia="zh-CN"/>
        </w:rPr>
        <w:t>附件5：供应商诚信承诺书</w:t>
      </w:r>
      <w:bookmarkEnd w:id="381"/>
      <w:bookmarkEnd w:id="382"/>
      <w:bookmarkEnd w:id="383"/>
      <w:bookmarkEnd w:id="384"/>
      <w:bookmarkEnd w:id="385"/>
      <w:bookmarkEnd w:id="386"/>
    </w:p>
    <w:p w14:paraId="0C0F3A27">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387" w:name="_Toc22989_WPSOffice_Level3"/>
      <w:bookmarkStart w:id="388" w:name="_Toc22537_WPSOffice_Level3"/>
      <w:r>
        <w:rPr>
          <w:rFonts w:hint="eastAsia" w:ascii="宋体" w:hAnsi="宋体" w:eastAsia="宋体" w:cs="宋体"/>
          <w:b/>
          <w:color w:val="auto"/>
          <w:sz w:val="24"/>
          <w:szCs w:val="24"/>
          <w:lang w:eastAsia="zh-CN"/>
        </w:rPr>
        <w:t>供应商诚信承诺书</w:t>
      </w:r>
      <w:bookmarkEnd w:id="387"/>
      <w:bookmarkEnd w:id="388"/>
    </w:p>
    <w:p w14:paraId="76A122A3">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238DB1D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为了诚实、客观、有序地参与青海省政府采购活动，愿就以下内容作出承诺：</w:t>
      </w:r>
    </w:p>
    <w:p w14:paraId="28AFB79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、自觉遵守各项法律、法规、规章、制度以及社会公德，维护廉洁环境，与同场竞争的供应商平等参加政府采购活动。</w:t>
      </w:r>
    </w:p>
    <w:p w14:paraId="55EF270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、参加</w:t>
      </w:r>
      <w:r>
        <w:rPr>
          <w:rFonts w:hint="eastAsia" w:ascii="宋体" w:hAnsi="宋体" w:eastAsia="宋体" w:cs="宋体"/>
          <w:b w:val="0"/>
          <w:bCs w:val="0"/>
          <w:color w:val="auto"/>
          <w:sz w:val="24"/>
          <w:szCs w:val="24"/>
          <w:lang w:eastAsia="zh-CN"/>
        </w:rPr>
        <w:t>青海鼎钊招标代理有限公司</w:t>
      </w:r>
      <w:r>
        <w:rPr>
          <w:rFonts w:hint="eastAsia" w:ascii="宋体" w:hAnsi="宋体" w:eastAsia="宋体" w:cs="宋体"/>
          <w:b w:val="0"/>
          <w:bCs w:val="0"/>
          <w:color w:val="auto"/>
          <w:sz w:val="24"/>
          <w:szCs w:val="24"/>
        </w:rPr>
        <w:t>组织的政府采购活动时，严格按照谈判文件的规定和要求提供所需的相关材料，并对所提供的各类资料的真实性负责，不虚假</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，不虚列业绩。</w:t>
      </w:r>
    </w:p>
    <w:p w14:paraId="51E2D33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、尊重参与政府采购活动各相关方的合法行为，接受政府采购活动依法形成的意见、结果。</w:t>
      </w:r>
    </w:p>
    <w:p w14:paraId="21365F1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、依法参加政府采购活动，不围标、串标，维护市场秩序，不提供“三无”产品、以次充好。</w:t>
      </w:r>
    </w:p>
    <w:p w14:paraId="2DC173E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、积极推动政府采购活动健康开展，对采购活动有疑问、异议时，按法律规定的程序实名（加盖单位</w:t>
      </w:r>
      <w:r>
        <w:rPr>
          <w:rFonts w:hint="eastAsia" w:ascii="宋体" w:hAnsi="宋体" w:eastAsia="宋体" w:cs="宋体"/>
          <w:b w:val="0"/>
          <w:bCs w:val="0"/>
          <w:color w:val="auto"/>
          <w:sz w:val="24"/>
          <w:szCs w:val="24"/>
          <w:lang w:eastAsia="zh-CN"/>
        </w:rPr>
        <w:t>公</w:t>
      </w:r>
      <w:r>
        <w:rPr>
          <w:rFonts w:hint="eastAsia" w:ascii="宋体" w:hAnsi="宋体" w:eastAsia="宋体" w:cs="宋体"/>
          <w:b w:val="0"/>
          <w:bCs w:val="0"/>
          <w:color w:val="auto"/>
          <w:sz w:val="24"/>
          <w:szCs w:val="24"/>
        </w:rPr>
        <w:t>章和法定代表人签名）反映情况，不恶意中伤、无事生非，以和谐、平等的心态参加政府采购活动。</w:t>
      </w:r>
    </w:p>
    <w:p w14:paraId="01B74AC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、认真履行成交供应商应承担的责任和义务，全面执行采购合同规定的各项内容，保质保量地按时提供采购物品。</w:t>
      </w:r>
    </w:p>
    <w:p w14:paraId="7193187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若本企业（单位）发生有悖于上述承诺的行为，愿意接受《中华人民共和国政府采购法》和《政府采购法实施条例》中对供应商的相关处理。</w:t>
      </w:r>
    </w:p>
    <w:p w14:paraId="26F66E4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本承诺是采购项目</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的组成部分。</w:t>
      </w:r>
    </w:p>
    <w:p w14:paraId="07D782E3">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0BE255CA">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4E021334">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56BBA4F7">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72853DF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bCs w:val="0"/>
          <w:color w:val="auto"/>
          <w:sz w:val="24"/>
          <w:szCs w:val="24"/>
        </w:rPr>
      </w:pPr>
    </w:p>
    <w:p w14:paraId="42F43DCF">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89" w:name="_Toc19930_WPSOffice_Level3"/>
      <w:bookmarkStart w:id="390" w:name="_Toc6033"/>
      <w:bookmarkStart w:id="391" w:name="_Toc8368_WPSOffice_Level3"/>
      <w:bookmarkStart w:id="392" w:name="_Toc16847"/>
      <w:bookmarkStart w:id="393" w:name="_Toc25242"/>
      <w:r>
        <w:rPr>
          <w:rFonts w:hint="eastAsia" w:ascii="宋体" w:hAnsi="宋体" w:eastAsia="宋体" w:cs="宋体"/>
          <w:b/>
          <w:color w:val="auto"/>
          <w:sz w:val="28"/>
          <w:szCs w:val="28"/>
          <w:lang w:eastAsia="zh-CN"/>
        </w:rPr>
        <w:br w:type="page"/>
      </w:r>
    </w:p>
    <w:p w14:paraId="16F5F5D3">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94" w:name="_Toc15042"/>
      <w:r>
        <w:rPr>
          <w:rFonts w:hint="eastAsia" w:ascii="宋体" w:hAnsi="宋体" w:eastAsia="宋体" w:cs="宋体"/>
          <w:b/>
          <w:color w:val="auto"/>
          <w:sz w:val="28"/>
          <w:szCs w:val="28"/>
          <w:lang w:eastAsia="zh-CN"/>
        </w:rPr>
        <w:t>附件6：供应商资格证明文件</w:t>
      </w:r>
      <w:bookmarkEnd w:id="389"/>
      <w:bookmarkEnd w:id="390"/>
      <w:bookmarkEnd w:id="391"/>
      <w:bookmarkEnd w:id="392"/>
      <w:bookmarkEnd w:id="393"/>
      <w:bookmarkEnd w:id="394"/>
    </w:p>
    <w:p w14:paraId="03FCD1D6">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color w:val="auto"/>
          <w:sz w:val="24"/>
          <w:szCs w:val="24"/>
        </w:rPr>
      </w:pPr>
      <w:bookmarkStart w:id="395" w:name="_Toc23997_WPSOffice_Level3"/>
      <w:bookmarkStart w:id="396" w:name="_Toc9360_WPSOffice_Level3"/>
      <w:r>
        <w:rPr>
          <w:rFonts w:hint="eastAsia" w:ascii="宋体" w:hAnsi="宋体" w:eastAsia="宋体" w:cs="宋体"/>
          <w:b/>
          <w:color w:val="auto"/>
          <w:sz w:val="24"/>
          <w:szCs w:val="24"/>
          <w:lang w:eastAsia="zh-CN"/>
        </w:rPr>
        <w:t>供应商资格证明文件</w:t>
      </w:r>
      <w:bookmarkEnd w:id="395"/>
      <w:bookmarkEnd w:id="396"/>
    </w:p>
    <w:p w14:paraId="3AACFD3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14:paraId="78B319A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DDEDFC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14:paraId="123316E9">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6355142A">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97" w:name="_Toc5898"/>
      <w:bookmarkStart w:id="398" w:name="_Toc7499_WPSOffice_Level3"/>
      <w:bookmarkStart w:id="399" w:name="_Toc6573"/>
      <w:bookmarkStart w:id="400" w:name="_Toc12925"/>
      <w:bookmarkStart w:id="401" w:name="_Toc29082_WPSOffice_Level3"/>
      <w:r>
        <w:rPr>
          <w:rFonts w:hint="eastAsia" w:ascii="宋体" w:hAnsi="宋体" w:eastAsia="宋体" w:cs="宋体"/>
          <w:b/>
          <w:color w:val="auto"/>
          <w:sz w:val="28"/>
          <w:szCs w:val="28"/>
          <w:lang w:eastAsia="zh-CN"/>
        </w:rPr>
        <w:br w:type="page"/>
      </w:r>
    </w:p>
    <w:p w14:paraId="0C7FEEE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402" w:name="_Toc26577"/>
      <w:r>
        <w:rPr>
          <w:rFonts w:hint="eastAsia" w:ascii="宋体" w:hAnsi="宋体" w:eastAsia="宋体" w:cs="宋体"/>
          <w:b/>
          <w:color w:val="auto"/>
          <w:sz w:val="28"/>
          <w:szCs w:val="28"/>
          <w:lang w:eastAsia="zh-CN"/>
        </w:rPr>
        <w:t>附件7：财务状况、缴纳税收和社会保障资金证明</w:t>
      </w:r>
      <w:bookmarkEnd w:id="397"/>
      <w:bookmarkEnd w:id="398"/>
      <w:bookmarkEnd w:id="399"/>
      <w:bookmarkEnd w:id="400"/>
      <w:bookmarkEnd w:id="401"/>
      <w:bookmarkEnd w:id="402"/>
    </w:p>
    <w:p w14:paraId="4860B16F">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403" w:name="_Toc22184_WPSOffice_Level3"/>
      <w:bookmarkStart w:id="404" w:name="_Toc2355_WPSOffice_Level3"/>
      <w:r>
        <w:rPr>
          <w:rFonts w:hint="eastAsia" w:ascii="宋体" w:hAnsi="宋体" w:eastAsia="宋体" w:cs="宋体"/>
          <w:b/>
          <w:color w:val="auto"/>
          <w:sz w:val="24"/>
          <w:szCs w:val="24"/>
          <w:lang w:eastAsia="zh-CN"/>
        </w:rPr>
        <w:t>财务状况、缴纳税收和社会保障资金证明</w:t>
      </w:r>
      <w:bookmarkEnd w:id="403"/>
      <w:bookmarkEnd w:id="404"/>
    </w:p>
    <w:p w14:paraId="52150395">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按照《政府采购法》第22条规定提供以下相关材料</w:t>
      </w:r>
      <w:r>
        <w:rPr>
          <w:rFonts w:hint="eastAsia" w:ascii="宋体" w:hAnsi="宋体" w:eastAsia="宋体" w:cs="宋体"/>
          <w:color w:val="auto"/>
          <w:sz w:val="24"/>
          <w:szCs w:val="24"/>
          <w:lang w:eastAsia="zh-CN"/>
        </w:rPr>
        <w:t>：</w:t>
      </w:r>
    </w:p>
    <w:p w14:paraId="7E0A6579">
      <w:pPr>
        <w:wordWrap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rPr>
        <w:t>1、供应商是法人的，提供</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年度经审计的</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rPr>
        <w:t>包括资产负债表、利润表、现金流量表及其附注，或其基本开户银行</w:t>
      </w:r>
      <w:r>
        <w:rPr>
          <w:rFonts w:hint="eastAsia" w:ascii="宋体" w:hAnsi="宋体" w:eastAsia="宋体" w:cs="宋体"/>
          <w:color w:val="auto"/>
          <w:sz w:val="24"/>
          <w:szCs w:val="24"/>
          <w:u w:val="none"/>
          <w:lang w:val="en-US" w:eastAsia="zh-CN"/>
        </w:rPr>
        <w:t>近三个月内</w:t>
      </w:r>
      <w:r>
        <w:rPr>
          <w:rFonts w:hint="eastAsia" w:ascii="宋体" w:hAnsi="宋体" w:eastAsia="宋体" w:cs="宋体"/>
          <w:color w:val="auto"/>
          <w:sz w:val="24"/>
          <w:szCs w:val="24"/>
        </w:rPr>
        <w:t>出具的资信证明；供应商是其他组织和自然人，没有经审计的财务报告，可以提供基本开户银行出具的资信证明</w:t>
      </w:r>
      <w:r>
        <w:rPr>
          <w:rFonts w:hint="eastAsia" w:ascii="宋体" w:hAnsi="宋体" w:eastAsia="宋体" w:cs="宋体"/>
          <w:color w:val="auto"/>
          <w:sz w:val="24"/>
          <w:lang w:val="zh-CN"/>
        </w:rPr>
        <w:t>（同时提供基本存款账户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14:paraId="63A687A1">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2、近半年内</w:t>
      </w:r>
      <w:r>
        <w:rPr>
          <w:rFonts w:hint="eastAsia" w:ascii="宋体" w:hAnsi="宋体" w:eastAsia="宋体" w:cs="宋体"/>
          <w:color w:val="auto"/>
          <w:sz w:val="24"/>
          <w:szCs w:val="24"/>
          <w:lang w:val="en-US" w:eastAsia="zh-CN"/>
        </w:rPr>
        <w:t>至少1个月的</w:t>
      </w:r>
      <w:r>
        <w:rPr>
          <w:rFonts w:hint="eastAsia" w:ascii="宋体" w:hAnsi="宋体" w:eastAsia="宋体" w:cs="宋体"/>
          <w:color w:val="auto"/>
          <w:sz w:val="24"/>
          <w:szCs w:val="24"/>
          <w:lang w:val="zh-CN"/>
        </w:rPr>
        <w:t>依法缴纳税收和社会保障资金记录的证明材料；依法免税或不需要缴纳社会保障资金的投标人须提供相应文件证明其依法免税或不需要缴纳社会保障资金。</w:t>
      </w:r>
    </w:p>
    <w:p w14:paraId="33B0BA2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405" w:name="_Toc21984"/>
      <w:bookmarkStart w:id="406" w:name="_Toc17387_WPSOffice_Level3"/>
      <w:bookmarkStart w:id="407" w:name="_Toc16098"/>
      <w:bookmarkStart w:id="408" w:name="_Toc22959_WPSOffice_Level3"/>
      <w:bookmarkStart w:id="409" w:name="_Toc13266"/>
      <w:r>
        <w:rPr>
          <w:rFonts w:hint="eastAsia" w:ascii="宋体" w:hAnsi="宋体" w:eastAsia="宋体" w:cs="宋体"/>
          <w:b/>
          <w:color w:val="auto"/>
          <w:sz w:val="28"/>
          <w:szCs w:val="28"/>
          <w:lang w:eastAsia="zh-CN"/>
        </w:rPr>
        <w:br w:type="page"/>
      </w:r>
    </w:p>
    <w:p w14:paraId="712FF42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410" w:name="_Toc18432"/>
      <w:r>
        <w:rPr>
          <w:rFonts w:hint="eastAsia" w:ascii="宋体" w:hAnsi="宋体" w:eastAsia="宋体" w:cs="宋体"/>
          <w:b/>
          <w:color w:val="auto"/>
          <w:sz w:val="28"/>
          <w:szCs w:val="28"/>
          <w:lang w:eastAsia="zh-CN"/>
        </w:rPr>
        <w:t>附件8：</w:t>
      </w:r>
      <w:bookmarkEnd w:id="405"/>
      <w:r>
        <w:rPr>
          <w:rFonts w:hint="eastAsia" w:ascii="宋体" w:hAnsi="宋体" w:eastAsia="宋体" w:cs="宋体"/>
          <w:b/>
          <w:color w:val="auto"/>
          <w:sz w:val="28"/>
          <w:szCs w:val="28"/>
          <w:lang w:eastAsia="zh-CN"/>
        </w:rPr>
        <w:t>无重大违法记录声明</w:t>
      </w:r>
      <w:bookmarkEnd w:id="406"/>
      <w:bookmarkEnd w:id="407"/>
      <w:bookmarkEnd w:id="410"/>
    </w:p>
    <w:p w14:paraId="1835D6A7">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sz w:val="24"/>
          <w:szCs w:val="24"/>
        </w:rPr>
      </w:pPr>
      <w:bookmarkStart w:id="411" w:name="_Toc25610_WPSOffice_Level3"/>
      <w:r>
        <w:rPr>
          <w:rFonts w:hint="eastAsia" w:ascii="宋体" w:hAnsi="宋体" w:eastAsia="宋体" w:cs="宋体"/>
          <w:b/>
          <w:color w:val="auto"/>
          <w:sz w:val="24"/>
          <w:szCs w:val="24"/>
          <w:lang w:val="zh-CN" w:eastAsia="zh-CN"/>
        </w:rPr>
        <w:t>无重大违法记录声明</w:t>
      </w:r>
      <w:bookmarkEnd w:id="411"/>
    </w:p>
    <w:p w14:paraId="23AAB698">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702CE77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资格条</w:t>
      </w:r>
      <w:r>
        <w:rPr>
          <w:rFonts w:hint="eastAsia" w:ascii="宋体" w:hAnsi="宋体" w:eastAsia="宋体" w:cs="宋体"/>
          <w:color w:val="auto"/>
          <w:sz w:val="24"/>
          <w:szCs w:val="24"/>
          <w:shd w:val="clear" w:color="auto" w:fill="FFFFFF"/>
        </w:rPr>
        <w:t>件。我方对此声明负全部法律责任。</w:t>
      </w:r>
    </w:p>
    <w:p w14:paraId="6F3F1AF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1A4E88F4">
      <w:pPr>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outlineLvl w:val="9"/>
        <w:rPr>
          <w:rFonts w:hint="eastAsia" w:ascii="宋体" w:hAnsi="宋体" w:eastAsia="宋体" w:cs="宋体"/>
          <w:color w:val="auto"/>
          <w:kern w:val="0"/>
          <w:sz w:val="24"/>
          <w:szCs w:val="24"/>
          <w:lang w:val="zh-CN"/>
        </w:rPr>
      </w:pPr>
    </w:p>
    <w:p w14:paraId="12EEBC9E">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7DFB2FD3">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148A2988">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28DD0D48">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5BACB279">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7F403B6C">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bCs w:val="0"/>
          <w:color w:val="auto"/>
          <w:sz w:val="24"/>
          <w:szCs w:val="24"/>
        </w:rPr>
      </w:pPr>
    </w:p>
    <w:p w14:paraId="61404AD6">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lang w:eastAsia="zh-CN"/>
        </w:rPr>
      </w:pPr>
      <w:bookmarkStart w:id="412" w:name="_Toc132_WPSOffice_Level3"/>
      <w:bookmarkStart w:id="413" w:name="_Toc24810"/>
      <w:r>
        <w:rPr>
          <w:rFonts w:hint="eastAsia" w:ascii="宋体" w:hAnsi="宋体" w:eastAsia="宋体" w:cs="宋体"/>
          <w:b/>
          <w:color w:val="auto"/>
          <w:sz w:val="24"/>
          <w:szCs w:val="24"/>
          <w:lang w:eastAsia="zh-CN"/>
        </w:rPr>
        <w:br w:type="page"/>
      </w:r>
    </w:p>
    <w:p w14:paraId="7D4CE025">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color w:val="auto"/>
          <w:sz w:val="24"/>
          <w:szCs w:val="24"/>
          <w:lang w:val="zh-CN"/>
        </w:rPr>
      </w:pPr>
      <w:bookmarkStart w:id="414" w:name="_Toc30928"/>
      <w:r>
        <w:rPr>
          <w:rFonts w:hint="eastAsia" w:ascii="宋体" w:hAnsi="宋体" w:eastAsia="宋体" w:cs="宋体"/>
          <w:b/>
          <w:bCs w:val="0"/>
          <w:color w:val="auto"/>
          <w:kern w:val="2"/>
          <w:sz w:val="28"/>
          <w:szCs w:val="28"/>
          <w:lang w:val="en-US" w:eastAsia="zh-CN" w:bidi="ar-SA"/>
        </w:rPr>
        <w:t>附件9：谈判</w:t>
      </w:r>
      <w:r>
        <w:rPr>
          <w:rFonts w:hint="eastAsia" w:ascii="宋体" w:hAnsi="宋体" w:eastAsia="宋体" w:cs="宋体"/>
          <w:b/>
          <w:bCs w:val="0"/>
          <w:color w:val="auto"/>
          <w:kern w:val="2"/>
          <w:sz w:val="28"/>
          <w:szCs w:val="28"/>
          <w:lang w:val="zh-CN" w:eastAsia="zh-CN" w:bidi="ar-SA"/>
        </w:rPr>
        <w:t>保证金证明</w:t>
      </w:r>
      <w:bookmarkEnd w:id="408"/>
      <w:bookmarkEnd w:id="409"/>
      <w:bookmarkEnd w:id="412"/>
      <w:bookmarkEnd w:id="413"/>
      <w:bookmarkEnd w:id="414"/>
    </w:p>
    <w:p w14:paraId="71F1DCFA">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kern w:val="0"/>
          <w:sz w:val="24"/>
          <w:szCs w:val="24"/>
          <w:lang w:val="zh-CN"/>
        </w:rPr>
      </w:pPr>
      <w:bookmarkStart w:id="415" w:name="_Toc27502_WPSOffice_Level3"/>
      <w:r>
        <w:rPr>
          <w:rFonts w:hint="eastAsia" w:ascii="宋体" w:hAnsi="宋体" w:eastAsia="宋体" w:cs="宋体"/>
          <w:b/>
          <w:color w:val="auto"/>
          <w:sz w:val="24"/>
          <w:szCs w:val="24"/>
          <w:lang w:val="zh-CN" w:eastAsia="zh-CN"/>
        </w:rPr>
        <w:t>谈判保证金证明</w:t>
      </w:r>
      <w:bookmarkEnd w:id="415"/>
    </w:p>
    <w:p w14:paraId="7085C815">
      <w:pPr>
        <w:spacing w:line="360" w:lineRule="auto"/>
        <w:ind w:firstLine="0" w:firstLineChars="0"/>
        <w:rPr>
          <w:rFonts w:hint="eastAsia" w:ascii="宋体" w:hAnsi="宋体" w:eastAsia="宋体" w:cs="宋体"/>
          <w:b/>
          <w:color w:val="auto"/>
          <w:sz w:val="24"/>
          <w:szCs w:val="24"/>
        </w:rPr>
      </w:pPr>
    </w:p>
    <w:p w14:paraId="4D157FFC">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保证金交款证明扫描件。</w:t>
      </w:r>
    </w:p>
    <w:p w14:paraId="1B8BD8E1">
      <w:pPr>
        <w:keepNext w:val="0"/>
        <w:keepLines w:val="0"/>
        <w:pageBreakBefore w:val="0"/>
        <w:kinsoku/>
        <w:wordWrap/>
        <w:overflowPunct/>
        <w:topLinePunct w:val="0"/>
        <w:autoSpaceDE w:val="0"/>
        <w:autoSpaceDN w:val="0"/>
        <w:bidi w:val="0"/>
        <w:adjustRightInd/>
        <w:snapToGrid/>
        <w:spacing w:line="360" w:lineRule="auto"/>
        <w:ind w:right="0"/>
        <w:outlineLvl w:val="9"/>
        <w:rPr>
          <w:rFonts w:hint="eastAsia" w:ascii="宋体" w:hAnsi="宋体" w:eastAsia="宋体" w:cs="宋体"/>
          <w:b/>
          <w:bCs/>
          <w:color w:val="auto"/>
          <w:kern w:val="0"/>
          <w:lang w:val="zh-CN"/>
        </w:rPr>
      </w:pPr>
    </w:p>
    <w:p w14:paraId="1FB003FE">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rPr>
      </w:pPr>
      <w:r>
        <w:rPr>
          <w:rFonts w:hint="eastAsia" w:ascii="宋体" w:hAnsi="宋体" w:eastAsia="宋体" w:cs="宋体"/>
          <w:b/>
          <w:bCs/>
          <w:color w:val="auto"/>
          <w:kern w:val="0"/>
          <w:lang w:val="zh-CN"/>
        </w:rPr>
        <w:br w:type="page"/>
      </w:r>
      <w:bookmarkStart w:id="416" w:name="_Toc24560_WPSOffice_Level2"/>
      <w:bookmarkStart w:id="417" w:name="_Toc20688_WPSOffice_Level2"/>
      <w:r>
        <w:rPr>
          <w:rFonts w:hint="eastAsia" w:ascii="宋体" w:hAnsi="宋体" w:eastAsia="宋体" w:cs="宋体"/>
          <w:b/>
          <w:color w:val="auto"/>
          <w:sz w:val="44"/>
          <w:szCs w:val="44"/>
        </w:rPr>
        <w:t>青海省政府采购项目</w:t>
      </w:r>
      <w:bookmarkEnd w:id="416"/>
      <w:bookmarkEnd w:id="417"/>
    </w:p>
    <w:p w14:paraId="43B9ED67">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01DCA908">
      <w:pPr>
        <w:wordWrap/>
        <w:adjustRightInd w:val="0"/>
        <w:spacing w:before="157" w:beforeLines="50" w:line="560" w:lineRule="exact"/>
        <w:jc w:val="center"/>
        <w:textAlignment w:val="baseline"/>
        <w:outlineLvl w:val="9"/>
        <w:rPr>
          <w:rFonts w:hint="eastAsia" w:ascii="宋体" w:hAnsi="宋体" w:eastAsia="宋体" w:cs="宋体"/>
          <w:b/>
          <w:bCs/>
          <w:color w:val="auto"/>
          <w:sz w:val="32"/>
          <w:szCs w:val="32"/>
        </w:rPr>
      </w:pPr>
      <w:bookmarkStart w:id="418" w:name="_Toc5068_WPSOffice_Level2"/>
      <w:bookmarkStart w:id="419" w:name="_Toc24224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有效性、完整性、响应程度审查部分</w:t>
      </w:r>
      <w:r>
        <w:rPr>
          <w:rFonts w:hint="eastAsia" w:ascii="宋体" w:hAnsi="宋体" w:eastAsia="宋体" w:cs="宋体"/>
          <w:b/>
          <w:bCs/>
          <w:color w:val="auto"/>
          <w:sz w:val="32"/>
          <w:szCs w:val="32"/>
        </w:rPr>
        <w:t>）</w:t>
      </w:r>
      <w:bookmarkEnd w:id="418"/>
      <w:bookmarkEnd w:id="419"/>
    </w:p>
    <w:p w14:paraId="5270435B">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82F921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0D08C4CA">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3A0CB650">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420" w:name="_Toc14028_WPSOffice_Level2"/>
      <w:bookmarkStart w:id="421" w:name="_Toc16258_WPSOffice_Level2"/>
      <w:r>
        <w:rPr>
          <w:rFonts w:hint="eastAsia" w:ascii="宋体" w:hAnsi="宋体" w:eastAsia="宋体" w:cs="宋体"/>
          <w:b/>
          <w:bCs/>
          <w:color w:val="auto"/>
          <w:sz w:val="32"/>
          <w:szCs w:val="32"/>
        </w:rPr>
        <w:t>采购项目编号:</w:t>
      </w:r>
      <w:bookmarkEnd w:id="420"/>
      <w:bookmarkEnd w:id="421"/>
    </w:p>
    <w:p w14:paraId="081A68A1">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422" w:name="_Toc173_WPSOffice_Level2"/>
      <w:bookmarkStart w:id="423" w:name="_Toc25982_WPSOffice_Level2"/>
      <w:r>
        <w:rPr>
          <w:rFonts w:hint="eastAsia" w:ascii="宋体" w:hAnsi="宋体" w:eastAsia="宋体" w:cs="宋体"/>
          <w:b/>
          <w:bCs/>
          <w:color w:val="auto"/>
          <w:sz w:val="32"/>
          <w:szCs w:val="32"/>
        </w:rPr>
        <w:t>采购项目名称:</w:t>
      </w:r>
      <w:bookmarkEnd w:id="422"/>
      <w:bookmarkEnd w:id="423"/>
    </w:p>
    <w:p w14:paraId="352F6E2B">
      <w:pPr>
        <w:wordWrap/>
        <w:spacing w:before="157" w:beforeLines="50" w:line="560" w:lineRule="exact"/>
        <w:ind w:left="2530" w:hanging="2249" w:hangingChars="700"/>
        <w:jc w:val="left"/>
        <w:outlineLvl w:val="9"/>
        <w:rPr>
          <w:rFonts w:hint="eastAsia" w:ascii="宋体" w:hAnsi="宋体" w:eastAsia="宋体" w:cs="宋体"/>
          <w:b/>
          <w:bCs/>
          <w:color w:val="auto"/>
          <w:sz w:val="32"/>
          <w:szCs w:val="32"/>
          <w:lang w:eastAsia="zh-CN"/>
        </w:rPr>
      </w:pPr>
      <w:bookmarkStart w:id="424" w:name="_Toc19360_WPSOffice_Level2"/>
      <w:bookmarkStart w:id="425" w:name="_Toc24014_WPSOffice_Level2"/>
      <w:r>
        <w:rPr>
          <w:rFonts w:hint="eastAsia" w:ascii="宋体" w:hAnsi="宋体" w:eastAsia="宋体" w:cs="宋体"/>
          <w:b/>
          <w:bCs/>
          <w:color w:val="auto"/>
          <w:sz w:val="32"/>
          <w:szCs w:val="32"/>
          <w:lang w:eastAsia="zh-CN"/>
        </w:rPr>
        <w:t>供应商名称：</w:t>
      </w:r>
      <w:bookmarkEnd w:id="424"/>
      <w:bookmarkEnd w:id="425"/>
    </w:p>
    <w:p w14:paraId="278E3018">
      <w:pPr>
        <w:wordWrap/>
        <w:spacing w:before="157" w:beforeLines="50" w:line="560" w:lineRule="exact"/>
        <w:jc w:val="center"/>
        <w:outlineLvl w:val="9"/>
        <w:rPr>
          <w:rFonts w:hint="eastAsia" w:ascii="宋体" w:hAnsi="宋体" w:eastAsia="宋体" w:cs="宋体"/>
          <w:b/>
          <w:bCs/>
          <w:color w:val="auto"/>
          <w:sz w:val="32"/>
          <w:szCs w:val="32"/>
        </w:rPr>
      </w:pPr>
    </w:p>
    <w:p w14:paraId="63E9B348">
      <w:pPr>
        <w:wordWrap/>
        <w:spacing w:before="157" w:beforeLines="50" w:line="560" w:lineRule="exact"/>
        <w:jc w:val="center"/>
        <w:outlineLvl w:val="9"/>
        <w:rPr>
          <w:rFonts w:hint="eastAsia" w:ascii="宋体" w:hAnsi="宋体" w:eastAsia="宋体" w:cs="宋体"/>
          <w:b/>
          <w:color w:val="auto"/>
          <w:sz w:val="32"/>
          <w:szCs w:val="32"/>
        </w:rPr>
      </w:pPr>
      <w:bookmarkStart w:id="426" w:name="_Toc17697_WPSOffice_Level3"/>
      <w:r>
        <w:rPr>
          <w:rFonts w:hint="eastAsia" w:ascii="宋体" w:hAnsi="宋体" w:eastAsia="宋体" w:cs="宋体"/>
          <w:b/>
          <w:color w:val="auto"/>
          <w:sz w:val="32"/>
          <w:szCs w:val="32"/>
        </w:rPr>
        <w:t>年  月  日</w:t>
      </w:r>
      <w:bookmarkEnd w:id="426"/>
    </w:p>
    <w:p w14:paraId="58E4BE47">
      <w:pPr>
        <w:widowControl/>
        <w:wordWrap/>
        <w:snapToGrid w:val="0"/>
        <w:spacing w:before="157" w:beforeLines="50" w:line="560" w:lineRule="exact"/>
        <w:outlineLvl w:val="9"/>
        <w:rPr>
          <w:rFonts w:hint="eastAsia" w:ascii="宋体" w:hAnsi="宋体" w:eastAsia="宋体" w:cs="宋体"/>
          <w:b/>
          <w:color w:val="auto"/>
          <w:sz w:val="28"/>
          <w:szCs w:val="28"/>
        </w:rPr>
      </w:pPr>
    </w:p>
    <w:p w14:paraId="22A81E70">
      <w:pPr>
        <w:rPr>
          <w:rFonts w:hint="eastAsia" w:ascii="宋体" w:hAnsi="宋体" w:eastAsia="宋体" w:cs="宋体"/>
          <w:color w:val="auto"/>
        </w:rPr>
      </w:pPr>
      <w:r>
        <w:rPr>
          <w:rFonts w:hint="eastAsia" w:ascii="宋体" w:hAnsi="宋体" w:eastAsia="宋体" w:cs="宋体"/>
          <w:color w:val="auto"/>
          <w:kern w:val="0"/>
          <w:lang w:val="zh-CN"/>
        </w:rPr>
        <w:br w:type="page"/>
      </w:r>
    </w:p>
    <w:p w14:paraId="356A96F8">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27" w:name="_Toc7156"/>
      <w:bookmarkStart w:id="428" w:name="_Toc28116"/>
      <w:bookmarkStart w:id="429" w:name="_Toc18715"/>
      <w:bookmarkStart w:id="430" w:name="_Toc13416_WPSOffice_Level3"/>
      <w:bookmarkStart w:id="431" w:name="_Toc2646_WPSOffice_Level3"/>
      <w:bookmarkStart w:id="432" w:name="_Toc3360"/>
      <w:r>
        <w:rPr>
          <w:rFonts w:hint="eastAsia" w:ascii="宋体" w:hAnsi="宋体" w:eastAsia="宋体" w:cs="宋体"/>
          <w:b/>
          <w:bCs w:val="0"/>
          <w:color w:val="auto"/>
          <w:kern w:val="2"/>
          <w:sz w:val="24"/>
          <w:szCs w:val="24"/>
          <w:lang w:val="en-US" w:eastAsia="zh-CN" w:bidi="ar-SA"/>
        </w:rPr>
        <w:t>附件10：谈判首次报价表</w:t>
      </w:r>
      <w:bookmarkEnd w:id="427"/>
      <w:bookmarkEnd w:id="428"/>
      <w:bookmarkEnd w:id="429"/>
      <w:bookmarkEnd w:id="430"/>
      <w:bookmarkEnd w:id="431"/>
      <w:bookmarkEnd w:id="432"/>
    </w:p>
    <w:p w14:paraId="1235F86F">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33" w:name="_Toc17115_WPSOffice_Level3"/>
      <w:bookmarkStart w:id="434" w:name="_Toc8724_WPSOffice_Level1"/>
      <w:bookmarkStart w:id="435" w:name="_Toc17322_WPSOffice_Level1"/>
      <w:r>
        <w:rPr>
          <w:rFonts w:hint="eastAsia" w:ascii="宋体" w:hAnsi="宋体" w:eastAsia="宋体" w:cs="宋体"/>
          <w:b/>
          <w:color w:val="auto"/>
          <w:sz w:val="24"/>
          <w:szCs w:val="24"/>
          <w:lang w:val="zh-CN" w:eastAsia="zh-CN"/>
        </w:rPr>
        <w:t>谈判首次报价表</w:t>
      </w:r>
      <w:bookmarkEnd w:id="433"/>
      <w:bookmarkEnd w:id="434"/>
      <w:bookmarkEnd w:id="435"/>
    </w:p>
    <w:p w14:paraId="4F65FD34">
      <w:pPr>
        <w:keepNext w:val="0"/>
        <w:keepLines w:val="0"/>
        <w:pageBreakBefore w:val="0"/>
        <w:widowControl w:val="0"/>
        <w:kinsoku/>
        <w:wordWrap/>
        <w:overflowPunct/>
        <w:topLinePunct w:val="0"/>
        <w:bidi w:val="0"/>
        <w:adjustRightInd/>
        <w:snapToGrid/>
        <w:spacing w:line="360" w:lineRule="auto"/>
        <w:ind w:left="0" w:leftChars="0"/>
        <w:jc w:val="center"/>
        <w:outlineLvl w:val="9"/>
        <w:rPr>
          <w:rFonts w:hint="eastAsia" w:ascii="宋体" w:hAnsi="宋体" w:eastAsia="宋体" w:cs="宋体"/>
          <w:b w:val="0"/>
          <w:bCs/>
          <w:color w:val="auto"/>
          <w:sz w:val="24"/>
          <w:szCs w:val="24"/>
        </w:rPr>
      </w:pPr>
    </w:p>
    <w:p w14:paraId="2FFCF408">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3632"/>
        <w:gridCol w:w="2132"/>
        <w:gridCol w:w="1504"/>
      </w:tblGrid>
      <w:tr w14:paraId="4834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803" w:type="dxa"/>
            <w:vAlign w:val="center"/>
          </w:tcPr>
          <w:p w14:paraId="33831709">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3632" w:type="dxa"/>
            <w:vAlign w:val="center"/>
          </w:tcPr>
          <w:p w14:paraId="7259DA7B">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首次</w:t>
            </w:r>
            <w:r>
              <w:rPr>
                <w:rFonts w:hint="eastAsia" w:ascii="宋体" w:hAnsi="宋体" w:eastAsia="宋体" w:cs="宋体"/>
                <w:b w:val="0"/>
                <w:bCs/>
                <w:color w:val="auto"/>
                <w:sz w:val="24"/>
                <w:szCs w:val="24"/>
              </w:rPr>
              <w:t>报价</w:t>
            </w:r>
          </w:p>
        </w:tc>
        <w:tc>
          <w:tcPr>
            <w:tcW w:w="2132" w:type="dxa"/>
            <w:vAlign w:val="center"/>
          </w:tcPr>
          <w:p w14:paraId="3161EB75">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交货时间</w:t>
            </w:r>
          </w:p>
        </w:tc>
        <w:tc>
          <w:tcPr>
            <w:tcW w:w="1504" w:type="dxa"/>
            <w:vAlign w:val="center"/>
          </w:tcPr>
          <w:p w14:paraId="2770ADC7">
            <w:pPr>
              <w:keepNext w:val="0"/>
              <w:keepLines w:val="0"/>
              <w:pageBreakBefore w:val="0"/>
              <w:widowControl w:val="0"/>
              <w:kinsoku/>
              <w:wordWrap/>
              <w:overflowPunct/>
              <w:topLinePunct w:val="0"/>
              <w:bidi w:val="0"/>
              <w:adjustRightInd/>
              <w:snapToGrid/>
              <w:spacing w:line="360" w:lineRule="auto"/>
              <w:ind w:left="240" w:leftChars="0" w:hanging="240" w:hangingChars="100"/>
              <w:jc w:val="center"/>
              <w:textAlignment w:val="baseline"/>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免费质保期</w:t>
            </w:r>
          </w:p>
        </w:tc>
      </w:tr>
      <w:tr w14:paraId="547D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803" w:type="dxa"/>
            <w:vMerge w:val="restart"/>
            <w:vAlign w:val="center"/>
          </w:tcPr>
          <w:p w14:paraId="3B7F3227">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32" w:type="dxa"/>
            <w:vAlign w:val="top"/>
          </w:tcPr>
          <w:p w14:paraId="63E62263">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tc>
        <w:tc>
          <w:tcPr>
            <w:tcW w:w="2132" w:type="dxa"/>
            <w:vMerge w:val="restart"/>
            <w:vAlign w:val="center"/>
          </w:tcPr>
          <w:p w14:paraId="3344EBC9">
            <w:pPr>
              <w:keepNext w:val="0"/>
              <w:keepLines w:val="0"/>
              <w:pageBreakBefore w:val="0"/>
              <w:widowControl w:val="0"/>
              <w:kinsoku/>
              <w:wordWrap/>
              <w:overflowPunct/>
              <w:topLinePunct w:val="0"/>
              <w:bidi w:val="0"/>
              <w:adjustRightInd/>
              <w:snapToGrid/>
              <w:spacing w:line="360" w:lineRule="auto"/>
              <w:ind w:left="0" w:leftChars="0" w:firstLine="196" w:firstLineChars="82"/>
              <w:jc w:val="both"/>
              <w:textAlignment w:val="baseline"/>
              <w:outlineLvl w:val="9"/>
              <w:rPr>
                <w:rFonts w:hint="eastAsia" w:ascii="宋体" w:hAnsi="宋体" w:eastAsia="宋体" w:cs="宋体"/>
                <w:b w:val="0"/>
                <w:bCs/>
                <w:color w:val="auto"/>
                <w:sz w:val="24"/>
                <w:szCs w:val="24"/>
              </w:rPr>
            </w:pPr>
          </w:p>
        </w:tc>
        <w:tc>
          <w:tcPr>
            <w:tcW w:w="1504" w:type="dxa"/>
            <w:vMerge w:val="restart"/>
            <w:vAlign w:val="center"/>
          </w:tcPr>
          <w:p w14:paraId="7EA76F48">
            <w:pPr>
              <w:keepNext w:val="0"/>
              <w:keepLines w:val="0"/>
              <w:pageBreakBefore w:val="0"/>
              <w:widowControl w:val="0"/>
              <w:kinsoku/>
              <w:wordWrap/>
              <w:overflowPunct/>
              <w:topLinePunct w:val="0"/>
              <w:bidi w:val="0"/>
              <w:adjustRightInd/>
              <w:snapToGrid/>
              <w:spacing w:line="360" w:lineRule="auto"/>
              <w:ind w:left="0" w:leftChars="0"/>
              <w:jc w:val="both"/>
              <w:textAlignment w:val="baseline"/>
              <w:outlineLvl w:val="9"/>
              <w:rPr>
                <w:rFonts w:hint="eastAsia" w:ascii="宋体" w:hAnsi="宋体" w:eastAsia="宋体" w:cs="宋体"/>
                <w:b w:val="0"/>
                <w:bCs/>
                <w:color w:val="auto"/>
                <w:sz w:val="24"/>
                <w:szCs w:val="24"/>
              </w:rPr>
            </w:pPr>
          </w:p>
        </w:tc>
      </w:tr>
      <w:tr w14:paraId="190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803" w:type="dxa"/>
            <w:vMerge w:val="continue"/>
            <w:vAlign w:val="center"/>
          </w:tcPr>
          <w:p w14:paraId="799255D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32" w:type="dxa"/>
            <w:vAlign w:val="top"/>
          </w:tcPr>
          <w:p w14:paraId="7F70DA31">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c>
          <w:tcPr>
            <w:tcW w:w="2132" w:type="dxa"/>
            <w:vMerge w:val="continue"/>
            <w:vAlign w:val="top"/>
          </w:tcPr>
          <w:p w14:paraId="3381BF2A">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1504" w:type="dxa"/>
            <w:vMerge w:val="continue"/>
            <w:vAlign w:val="top"/>
          </w:tcPr>
          <w:p w14:paraId="7DD94A35">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p>
        </w:tc>
      </w:tr>
      <w:tr w14:paraId="0EE3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9071" w:type="dxa"/>
            <w:gridSpan w:val="4"/>
            <w:vAlign w:val="center"/>
          </w:tcPr>
          <w:p w14:paraId="613EF931">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bl>
    <w:p w14:paraId="73A22397">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注：1、填写此表时不得改变表格形式。</w:t>
      </w:r>
    </w:p>
    <w:p w14:paraId="31A2A327">
      <w:pPr>
        <w:keepNext w:val="0"/>
        <w:keepLines w:val="0"/>
        <w:pageBreakBefore w:val="0"/>
        <w:widowControl w:val="0"/>
        <w:kinsoku/>
        <w:wordWrap/>
        <w:overflowPunct/>
        <w:topLinePunct w:val="0"/>
        <w:bidi w:val="0"/>
        <w:adjustRightInd/>
        <w:snapToGrid/>
        <w:spacing w:line="360" w:lineRule="auto"/>
        <w:ind w:left="0" w:lef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报价为总价。包括</w:t>
      </w:r>
      <w:r>
        <w:rPr>
          <w:rFonts w:hint="eastAsia" w:ascii="宋体" w:hAnsi="宋体" w:eastAsia="宋体" w:cs="宋体"/>
          <w:color w:val="auto"/>
          <w:sz w:val="24"/>
          <w:szCs w:val="24"/>
          <w:lang w:val="zh-CN"/>
        </w:rPr>
        <w:t>产品费、验收费、手续费、包装费、运输费、保险费、售后服务费、代理服务费、税金及不可预见费等全部费用。</w:t>
      </w:r>
    </w:p>
    <w:p w14:paraId="212A629D">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121445F3">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1FAA22C9">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5095D742">
      <w:pPr>
        <w:keepNext w:val="0"/>
        <w:keepLines w:val="0"/>
        <w:pageBreakBefore w:val="0"/>
        <w:kinsoku/>
        <w:wordWrap/>
        <w:overflowPunct/>
        <w:topLinePunct w:val="0"/>
        <w:bidi w:val="0"/>
        <w:adjustRightInd/>
        <w:snapToGrid/>
        <w:spacing w:line="360" w:lineRule="auto"/>
        <w:ind w:left="0" w:leftChars="0" w:firstLine="482" w:firstLineChars="20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62389487">
      <w:pPr>
        <w:keepNext w:val="0"/>
        <w:keepLines w:val="0"/>
        <w:pageBreakBefore w:val="0"/>
        <w:kinsoku/>
        <w:wordWrap/>
        <w:overflowPunct/>
        <w:topLinePunct w:val="0"/>
        <w:bidi w:val="0"/>
        <w:adjustRightInd/>
        <w:snapToGrid/>
        <w:spacing w:line="360" w:lineRule="auto"/>
        <w:jc w:val="both"/>
        <w:outlineLvl w:val="9"/>
        <w:rPr>
          <w:rFonts w:hint="eastAsia" w:ascii="宋体" w:hAnsi="宋体" w:eastAsia="宋体" w:cs="宋体"/>
          <w:b/>
          <w:bCs w:val="0"/>
          <w:color w:val="auto"/>
          <w:sz w:val="24"/>
          <w:szCs w:val="24"/>
        </w:rPr>
      </w:pPr>
    </w:p>
    <w:p w14:paraId="6D84C431">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rPr>
      </w:pPr>
      <w:bookmarkStart w:id="436" w:name="_Toc31202"/>
      <w:bookmarkStart w:id="437" w:name="_Toc3352_WPSOffice_Level3"/>
      <w:bookmarkStart w:id="438" w:name="_Toc13192"/>
      <w:bookmarkStart w:id="439" w:name="_Toc7532"/>
      <w:bookmarkStart w:id="440" w:name="_Toc18824_WPSOffice_Level3"/>
      <w:r>
        <w:rPr>
          <w:rFonts w:hint="eastAsia" w:ascii="宋体" w:hAnsi="宋体" w:eastAsia="宋体" w:cs="宋体"/>
          <w:b/>
          <w:color w:val="auto"/>
          <w:sz w:val="24"/>
          <w:szCs w:val="24"/>
        </w:rPr>
        <w:br w:type="page"/>
      </w:r>
    </w:p>
    <w:p w14:paraId="3006E35A">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41" w:name="_Toc21692"/>
      <w:r>
        <w:rPr>
          <w:rFonts w:hint="eastAsia" w:ascii="宋体" w:hAnsi="宋体" w:eastAsia="宋体" w:cs="宋体"/>
          <w:b/>
          <w:bCs w:val="0"/>
          <w:color w:val="auto"/>
          <w:kern w:val="2"/>
          <w:sz w:val="28"/>
          <w:szCs w:val="28"/>
          <w:lang w:val="en-US" w:eastAsia="zh-CN" w:bidi="ar-SA"/>
        </w:rPr>
        <w:t>附件11：分项报价表</w:t>
      </w:r>
      <w:bookmarkEnd w:id="436"/>
      <w:bookmarkEnd w:id="437"/>
      <w:bookmarkEnd w:id="438"/>
      <w:bookmarkEnd w:id="439"/>
      <w:bookmarkEnd w:id="440"/>
      <w:bookmarkEnd w:id="441"/>
    </w:p>
    <w:p w14:paraId="34722B1C">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42" w:name="_Toc31256_WPSOffice_Level3"/>
      <w:bookmarkStart w:id="443" w:name="_Toc19937_WPSOffice_Level1"/>
      <w:bookmarkStart w:id="444" w:name="_Toc12587_WPSOffice_Level1"/>
      <w:r>
        <w:rPr>
          <w:rFonts w:hint="eastAsia" w:ascii="宋体" w:hAnsi="宋体" w:eastAsia="宋体" w:cs="宋体"/>
          <w:b/>
          <w:color w:val="auto"/>
          <w:sz w:val="24"/>
          <w:szCs w:val="24"/>
          <w:lang w:val="zh-CN" w:eastAsia="zh-CN"/>
        </w:rPr>
        <w:t>分项报价表</w:t>
      </w:r>
      <w:bookmarkEnd w:id="442"/>
      <w:bookmarkEnd w:id="443"/>
      <w:bookmarkEnd w:id="444"/>
    </w:p>
    <w:p w14:paraId="45B35226">
      <w:pPr>
        <w:keepNext w:val="0"/>
        <w:keepLines w:val="0"/>
        <w:pageBreakBefore w:val="0"/>
        <w:widowControl w:val="0"/>
        <w:kinsoku/>
        <w:wordWrap/>
        <w:overflowPunct/>
        <w:topLinePunct w:val="0"/>
        <w:bidi w:val="0"/>
        <w:adjustRightInd/>
        <w:snapToGrid/>
        <w:spacing w:line="360" w:lineRule="auto"/>
        <w:ind w:left="0" w:leftChars="0"/>
        <w:jc w:val="both"/>
        <w:outlineLvl w:val="9"/>
        <w:rPr>
          <w:rFonts w:hint="eastAsia" w:ascii="宋体" w:hAnsi="宋体" w:eastAsia="宋体" w:cs="宋体"/>
          <w:b w:val="0"/>
          <w:bCs/>
          <w:color w:val="auto"/>
          <w:sz w:val="24"/>
          <w:szCs w:val="24"/>
        </w:rPr>
      </w:pPr>
    </w:p>
    <w:p w14:paraId="1C1D88DE">
      <w:pPr>
        <w:keepNext w:val="0"/>
        <w:keepLines w:val="0"/>
        <w:pageBreakBefore w:val="0"/>
        <w:widowControl w:val="0"/>
        <w:kinsoku/>
        <w:wordWrap/>
        <w:overflowPunct/>
        <w:topLinePunct w:val="0"/>
        <w:bidi w:val="0"/>
        <w:adjustRightInd/>
        <w:snapToGrid/>
        <w:spacing w:line="360" w:lineRule="auto"/>
        <w:ind w:left="0" w:leftChars="0"/>
        <w:jc w:val="both"/>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4"/>
        <w:gridCol w:w="1154"/>
        <w:gridCol w:w="855"/>
        <w:gridCol w:w="1103"/>
        <w:gridCol w:w="1068"/>
        <w:gridCol w:w="919"/>
        <w:gridCol w:w="848"/>
        <w:gridCol w:w="1110"/>
        <w:gridCol w:w="1253"/>
        <w:gridCol w:w="1311"/>
      </w:tblGrid>
      <w:tr w14:paraId="1360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584" w:type="dxa"/>
            <w:vAlign w:val="center"/>
          </w:tcPr>
          <w:p w14:paraId="43D172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154" w:type="dxa"/>
            <w:vAlign w:val="center"/>
          </w:tcPr>
          <w:p w14:paraId="4A66C1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val="zh-CN"/>
              </w:rPr>
              <w:t>产品名称</w:t>
            </w:r>
          </w:p>
        </w:tc>
        <w:tc>
          <w:tcPr>
            <w:tcW w:w="855" w:type="dxa"/>
            <w:vAlign w:val="center"/>
          </w:tcPr>
          <w:p w14:paraId="1B46B01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03" w:type="dxa"/>
            <w:vAlign w:val="center"/>
          </w:tcPr>
          <w:p w14:paraId="552B331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068" w:type="dxa"/>
            <w:vAlign w:val="center"/>
          </w:tcPr>
          <w:p w14:paraId="2AB6DC3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919" w:type="dxa"/>
            <w:vAlign w:val="center"/>
          </w:tcPr>
          <w:p w14:paraId="7B9DD17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kern w:val="0"/>
                <w:sz w:val="24"/>
                <w:szCs w:val="24"/>
                <w:lang w:val="zh-CN"/>
              </w:rPr>
              <w:t>数量</w:t>
            </w:r>
          </w:p>
        </w:tc>
        <w:tc>
          <w:tcPr>
            <w:tcW w:w="848" w:type="dxa"/>
            <w:vAlign w:val="center"/>
          </w:tcPr>
          <w:p w14:paraId="4739E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zh-CN"/>
              </w:rPr>
              <w:t>单位</w:t>
            </w:r>
          </w:p>
        </w:tc>
        <w:tc>
          <w:tcPr>
            <w:tcW w:w="1110" w:type="dxa"/>
            <w:vAlign w:val="center"/>
          </w:tcPr>
          <w:p w14:paraId="4C3569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单价</w:t>
            </w:r>
          </w:p>
        </w:tc>
        <w:tc>
          <w:tcPr>
            <w:tcW w:w="1253" w:type="dxa"/>
            <w:vAlign w:val="center"/>
          </w:tcPr>
          <w:p w14:paraId="485A31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1311" w:type="dxa"/>
            <w:vAlign w:val="center"/>
          </w:tcPr>
          <w:p w14:paraId="31AFE66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备注</w:t>
            </w:r>
          </w:p>
        </w:tc>
      </w:tr>
      <w:tr w14:paraId="251C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56DCC9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154" w:type="dxa"/>
            <w:vAlign w:val="center"/>
          </w:tcPr>
          <w:p w14:paraId="25399E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47E75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5F4CAA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2B26DB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41C15E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1FB098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49FF90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21BFE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58F631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24DF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43DE44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154" w:type="dxa"/>
            <w:vAlign w:val="center"/>
          </w:tcPr>
          <w:p w14:paraId="17F09C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0404A2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34D616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352AA9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594B11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6CFEA1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65D7AB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62F326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5DA23B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7347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0CFFF2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1154" w:type="dxa"/>
            <w:vAlign w:val="center"/>
          </w:tcPr>
          <w:p w14:paraId="113B00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FE2F4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1F3644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2BA075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7322940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76C4ED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06B660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3D2841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79A036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143B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5DD386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1154" w:type="dxa"/>
            <w:vAlign w:val="center"/>
          </w:tcPr>
          <w:p w14:paraId="3149ACD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5E4A9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69FF5F4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32E0BA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280451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2BAA07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1792A5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9C6E5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419895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4F9B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6115EF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1154" w:type="dxa"/>
            <w:vAlign w:val="center"/>
          </w:tcPr>
          <w:p w14:paraId="27303D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1CEAA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08F81B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6C8ACB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37791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5971B4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1BE05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586F7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73699B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2CC4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5" w:hRule="atLeast"/>
          <w:jc w:val="center"/>
        </w:trPr>
        <w:tc>
          <w:tcPr>
            <w:tcW w:w="10205" w:type="dxa"/>
            <w:gridSpan w:val="10"/>
            <w:vAlign w:val="center"/>
          </w:tcPr>
          <w:p w14:paraId="69373F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r w14:paraId="5CD8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1" w:hRule="atLeast"/>
          <w:jc w:val="center"/>
        </w:trPr>
        <w:tc>
          <w:tcPr>
            <w:tcW w:w="4764" w:type="dxa"/>
            <w:gridSpan w:val="5"/>
            <w:vAlign w:val="center"/>
          </w:tcPr>
          <w:p w14:paraId="79AFC9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总价</w:t>
            </w:r>
          </w:p>
        </w:tc>
        <w:tc>
          <w:tcPr>
            <w:tcW w:w="5441" w:type="dxa"/>
            <w:gridSpan w:val="5"/>
            <w:vAlign w:val="center"/>
          </w:tcPr>
          <w:p w14:paraId="5A93D5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p w14:paraId="4D5E3C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r>
    </w:tbl>
    <w:p w14:paraId="06E97D17">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zh-CN" w:eastAsia="zh-CN"/>
        </w:rPr>
      </w:pPr>
      <w:bookmarkStart w:id="445" w:name="_Toc698"/>
      <w:r>
        <w:rPr>
          <w:rFonts w:hint="eastAsia" w:ascii="宋体" w:hAnsi="宋体" w:eastAsia="宋体" w:cs="宋体"/>
          <w:b w:val="0"/>
          <w:bCs/>
          <w:color w:val="auto"/>
          <w:sz w:val="24"/>
          <w:szCs w:val="24"/>
          <w:lang w:val="zh-CN" w:eastAsia="zh-CN"/>
        </w:rPr>
        <w:t>注：</w:t>
      </w:r>
      <w:r>
        <w:rPr>
          <w:rFonts w:hint="eastAsia" w:ascii="宋体" w:hAnsi="宋体" w:eastAsia="宋体" w:cs="宋体"/>
          <w:b w:val="0"/>
          <w:bCs/>
          <w:color w:val="auto"/>
          <w:sz w:val="24"/>
          <w:szCs w:val="24"/>
          <w:lang w:eastAsia="zh-CN"/>
        </w:rPr>
        <w:t>1.</w:t>
      </w:r>
      <w:r>
        <w:rPr>
          <w:rFonts w:hint="eastAsia" w:ascii="宋体" w:hAnsi="宋体" w:eastAsia="宋体" w:cs="宋体"/>
          <w:b w:val="0"/>
          <w:bCs/>
          <w:color w:val="auto"/>
          <w:sz w:val="24"/>
          <w:szCs w:val="24"/>
          <w:lang w:val="zh-CN" w:eastAsia="zh-CN"/>
        </w:rPr>
        <w:t>本表应按照“项目概况及技术参数”中的产品序号按顺序逐项填写，不得遗漏，</w:t>
      </w:r>
      <w:r>
        <w:rPr>
          <w:rFonts w:hint="eastAsia" w:ascii="宋体" w:hAnsi="宋体" w:eastAsia="宋体" w:cs="宋体"/>
          <w:b w:val="0"/>
          <w:bCs/>
          <w:color w:val="auto"/>
          <w:sz w:val="24"/>
          <w:szCs w:val="24"/>
          <w:lang w:eastAsia="zh-CN"/>
        </w:rPr>
        <w:t>否则，按无效投标处理</w:t>
      </w:r>
      <w:r>
        <w:rPr>
          <w:rFonts w:hint="eastAsia" w:ascii="宋体" w:hAnsi="宋体" w:eastAsia="宋体" w:cs="宋体"/>
          <w:b w:val="0"/>
          <w:bCs/>
          <w:color w:val="auto"/>
          <w:sz w:val="24"/>
          <w:szCs w:val="24"/>
          <w:lang w:val="zh-CN" w:eastAsia="zh-CN"/>
        </w:rPr>
        <w:t>。</w:t>
      </w:r>
    </w:p>
    <w:p w14:paraId="3ADDEE5E">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 xml:space="preserve">    2.</w:t>
      </w:r>
      <w:r>
        <w:rPr>
          <w:rFonts w:hint="eastAsia" w:ascii="宋体" w:hAnsi="宋体" w:eastAsia="宋体" w:cs="宋体"/>
          <w:b w:val="0"/>
          <w:bCs/>
          <w:color w:val="auto"/>
          <w:sz w:val="24"/>
          <w:szCs w:val="24"/>
          <w:lang w:val="zh-CN" w:eastAsia="zh-CN"/>
        </w:rPr>
        <w:t>投标报价不能有两个或两个以上的报价方案。</w:t>
      </w:r>
    </w:p>
    <w:p w14:paraId="062DAD0C">
      <w:pPr>
        <w:pStyle w:val="24"/>
        <w:ind w:left="0" w:leftChars="0" w:firstLine="0" w:firstLineChars="0"/>
        <w:rPr>
          <w:rFonts w:hint="eastAsia" w:ascii="宋体" w:hAnsi="宋体" w:eastAsia="宋体" w:cs="宋体"/>
          <w:color w:val="auto"/>
          <w:lang w:eastAsia="zh-CN"/>
        </w:rPr>
      </w:pPr>
    </w:p>
    <w:p w14:paraId="357FBBEB">
      <w:pPr>
        <w:pStyle w:val="24"/>
        <w:ind w:left="0" w:leftChars="0" w:firstLine="0" w:firstLineChars="0"/>
        <w:rPr>
          <w:rFonts w:hint="eastAsia" w:ascii="宋体" w:hAnsi="宋体" w:eastAsia="宋体" w:cs="宋体"/>
          <w:color w:val="auto"/>
          <w:lang w:eastAsia="zh-CN"/>
        </w:rPr>
      </w:pPr>
    </w:p>
    <w:p w14:paraId="6394C6D7">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val="0"/>
          <w:color w:val="auto"/>
          <w:sz w:val="24"/>
          <w:szCs w:val="24"/>
          <w:lang w:eastAsia="zh-CN"/>
        </w:rPr>
      </w:pPr>
    </w:p>
    <w:p w14:paraId="15B30F5A">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53D9EF1D">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7B104FA3">
      <w:pPr>
        <w:keepNext w:val="0"/>
        <w:keepLines w:val="0"/>
        <w:pageBreakBefore w:val="0"/>
        <w:widowControl w:val="0"/>
        <w:kinsoku/>
        <w:wordWrap/>
        <w:overflowPunct/>
        <w:topLinePunct w:val="0"/>
        <w:bidi w:val="0"/>
        <w:adjustRightInd/>
        <w:snapToGrid/>
        <w:spacing w:line="360" w:lineRule="auto"/>
        <w:ind w:left="0" w:leftChars="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0657920B">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sz w:val="24"/>
          <w:szCs w:val="24"/>
        </w:rPr>
      </w:pPr>
    </w:p>
    <w:p w14:paraId="28F757D5">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eastAsia="zh-CN"/>
        </w:rPr>
      </w:pPr>
      <w:bookmarkStart w:id="446" w:name="_Toc28398"/>
      <w:bookmarkStart w:id="447" w:name="_Toc13098_WPSOffice_Level3"/>
      <w:bookmarkStart w:id="448" w:name="_Toc28315_WPSOffice_Level3"/>
      <w:bookmarkStart w:id="449" w:name="_Toc20734"/>
      <w:r>
        <w:rPr>
          <w:rFonts w:hint="eastAsia" w:ascii="宋体" w:hAnsi="宋体" w:eastAsia="宋体" w:cs="宋体"/>
          <w:b/>
          <w:color w:val="auto"/>
          <w:sz w:val="24"/>
          <w:szCs w:val="24"/>
          <w:lang w:eastAsia="zh-CN"/>
        </w:rPr>
        <w:br w:type="page"/>
      </w:r>
    </w:p>
    <w:p w14:paraId="2E3D366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50" w:name="_Toc15096"/>
      <w:r>
        <w:rPr>
          <w:rFonts w:hint="eastAsia" w:ascii="宋体" w:hAnsi="宋体" w:eastAsia="宋体" w:cs="宋体"/>
          <w:b/>
          <w:bCs w:val="0"/>
          <w:color w:val="auto"/>
          <w:kern w:val="2"/>
          <w:sz w:val="28"/>
          <w:szCs w:val="28"/>
          <w:lang w:val="en-US" w:eastAsia="zh-CN" w:bidi="ar-SA"/>
        </w:rPr>
        <w:t>附件12：</w:t>
      </w:r>
      <w:bookmarkEnd w:id="445"/>
      <w:bookmarkEnd w:id="446"/>
      <w:bookmarkEnd w:id="447"/>
      <w:bookmarkEnd w:id="448"/>
      <w:bookmarkEnd w:id="449"/>
      <w:bookmarkEnd w:id="450"/>
      <w:r>
        <w:rPr>
          <w:rFonts w:hint="eastAsia" w:ascii="宋体" w:hAnsi="宋体" w:eastAsia="宋体" w:cs="宋体"/>
          <w:b/>
          <w:bCs w:val="0"/>
          <w:color w:val="auto"/>
          <w:kern w:val="2"/>
          <w:sz w:val="28"/>
          <w:szCs w:val="28"/>
          <w:lang w:val="en-US" w:eastAsia="zh-CN" w:bidi="ar-SA"/>
        </w:rPr>
        <w:t>技术规格响应表</w:t>
      </w:r>
    </w:p>
    <w:p w14:paraId="0F28FABC">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lang w:val="zh-CN" w:eastAsia="zh-CN"/>
        </w:rPr>
      </w:pPr>
      <w:r>
        <w:rPr>
          <w:rFonts w:hint="eastAsia" w:ascii="宋体" w:hAnsi="宋体" w:eastAsia="宋体" w:cs="宋体"/>
          <w:b/>
          <w:bCs/>
          <w:color w:val="auto"/>
          <w:sz w:val="24"/>
          <w:szCs w:val="24"/>
          <w:lang w:val="zh-CN"/>
        </w:rPr>
        <w:t>技术规格响应表</w:t>
      </w:r>
    </w:p>
    <w:p w14:paraId="296CCFC8">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lang w:val="en-US" w:eastAsia="zh-CN"/>
        </w:rPr>
      </w:pPr>
      <w:bookmarkStart w:id="451" w:name="_Toc14764_WPSOffice_Level2"/>
      <w:r>
        <w:rPr>
          <w:rFonts w:hint="eastAsia" w:ascii="宋体" w:hAnsi="宋体" w:eastAsia="宋体" w:cs="宋体"/>
          <w:b w:val="0"/>
          <w:bCs/>
          <w:color w:val="auto"/>
          <w:sz w:val="24"/>
          <w:szCs w:val="24"/>
        </w:rPr>
        <w:t>供应商名称</w:t>
      </w:r>
      <w:bookmarkEnd w:id="451"/>
      <w:r>
        <w:rPr>
          <w:rFonts w:hint="eastAsia" w:ascii="宋体" w:hAnsi="宋体" w:eastAsia="宋体" w:cs="宋体"/>
          <w:b w:val="0"/>
          <w:bCs/>
          <w:color w:val="auto"/>
          <w:sz w:val="24"/>
          <w:szCs w:val="24"/>
          <w:lang w:eastAsia="zh-CN"/>
        </w:rPr>
        <w:t>：</w:t>
      </w:r>
    </w:p>
    <w:tbl>
      <w:tblPr>
        <w:tblStyle w:val="17"/>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3E4D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29F8C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3652" w:type="dxa"/>
            <w:gridSpan w:val="2"/>
            <w:vAlign w:val="top"/>
          </w:tcPr>
          <w:p w14:paraId="643CAD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采购需求技术参数、指标</w:t>
            </w:r>
          </w:p>
        </w:tc>
        <w:tc>
          <w:tcPr>
            <w:tcW w:w="3795" w:type="dxa"/>
            <w:gridSpan w:val="2"/>
            <w:vAlign w:val="top"/>
          </w:tcPr>
          <w:p w14:paraId="24AA49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投标产品技术参数、指标</w:t>
            </w:r>
          </w:p>
        </w:tc>
        <w:tc>
          <w:tcPr>
            <w:tcW w:w="873" w:type="dxa"/>
            <w:vAlign w:val="center"/>
          </w:tcPr>
          <w:p w14:paraId="5D95B5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099F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C8DD2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86" w:type="dxa"/>
            <w:vAlign w:val="center"/>
          </w:tcPr>
          <w:p w14:paraId="088CFD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766" w:type="dxa"/>
            <w:vAlign w:val="center"/>
          </w:tcPr>
          <w:p w14:paraId="37A1FB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技术参数及配置</w:t>
            </w:r>
          </w:p>
        </w:tc>
        <w:tc>
          <w:tcPr>
            <w:tcW w:w="915" w:type="dxa"/>
            <w:vAlign w:val="center"/>
          </w:tcPr>
          <w:p w14:paraId="2872D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880" w:type="dxa"/>
            <w:vAlign w:val="center"/>
          </w:tcPr>
          <w:p w14:paraId="2628C1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技术参数及配置</w:t>
            </w:r>
          </w:p>
        </w:tc>
        <w:tc>
          <w:tcPr>
            <w:tcW w:w="873" w:type="dxa"/>
            <w:vAlign w:val="top"/>
          </w:tcPr>
          <w:p w14:paraId="3A43AF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24C0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3CF4F8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86" w:type="dxa"/>
            <w:vAlign w:val="top"/>
          </w:tcPr>
          <w:p w14:paraId="73E7AF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E9C96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1FACA3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520C3B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26579C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0A0A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E83352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86" w:type="dxa"/>
            <w:vAlign w:val="top"/>
          </w:tcPr>
          <w:p w14:paraId="51D87E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435A2F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040657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0BDC8A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391B8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58F9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5F57E1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886" w:type="dxa"/>
            <w:vAlign w:val="top"/>
          </w:tcPr>
          <w:p w14:paraId="56466D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6EEA4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341454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6D785D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92187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bl>
    <w:p w14:paraId="31F9303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w:t>
      </w:r>
      <w:r>
        <w:rPr>
          <w:rFonts w:hint="eastAsia" w:ascii="宋体" w:hAnsi="宋体" w:eastAsia="宋体" w:cs="宋体"/>
          <w:b/>
          <w:bCs/>
          <w:color w:val="auto"/>
          <w:sz w:val="24"/>
          <w:szCs w:val="24"/>
          <w:lang w:val="zh-CN"/>
        </w:rPr>
        <w:t>项目概况及技术参数</w:t>
      </w:r>
      <w:r>
        <w:rPr>
          <w:rFonts w:hint="eastAsia" w:ascii="宋体" w:hAnsi="宋体" w:eastAsia="宋体" w:cs="宋体"/>
          <w:color w:val="auto"/>
          <w:sz w:val="24"/>
          <w:szCs w:val="24"/>
          <w:lang w:val="zh-CN"/>
        </w:rPr>
        <w:t>”中产品序号的指标逐项填写，不得遗漏，否则，按无效投标处理。</w:t>
      </w:r>
    </w:p>
    <w:p w14:paraId="5C5BC5D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“投标产品技术参数、指标”必须与</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文件中提供的产品检测报告、彩页等证明材料的实质性响应情况相一致。若在</w:t>
      </w:r>
      <w:r>
        <w:rPr>
          <w:rFonts w:hint="eastAsia" w:ascii="宋体" w:hAnsi="宋体" w:eastAsia="宋体" w:cs="宋体"/>
          <w:color w:val="auto"/>
          <w:sz w:val="24"/>
          <w:szCs w:val="24"/>
        </w:rPr>
        <w:t>评审</w:t>
      </w:r>
      <w:r>
        <w:rPr>
          <w:rFonts w:hint="eastAsia" w:ascii="宋体" w:hAnsi="宋体" w:eastAsia="宋体" w:cs="宋体"/>
          <w:color w:val="auto"/>
          <w:sz w:val="24"/>
          <w:szCs w:val="24"/>
          <w:lang w:val="zh-CN"/>
        </w:rPr>
        <w:t>环节发现该项与</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文件中提供的产品检测报告、彩页（或厂家公开发布的资料参数）等证明材料的实质性响应情况不一致或直接复制</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lang w:val="zh-CN"/>
        </w:rPr>
        <w:t>文件“采购需求技术参数、指标”内容的，按无效投标处理。</w:t>
      </w:r>
    </w:p>
    <w:p w14:paraId="22E86A8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填写此表时以</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项目参数要求为基本投标要求，满足</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项目参数要求的指标需列出“0”；超出、不满足招标项目参数要求的指标需列出“+”、“-”偏差，并做出详细说明；如果只注明“+”、“-”或未填写，将视为该项指标不响应。</w:t>
      </w:r>
    </w:p>
    <w:p w14:paraId="10875D02">
      <w:pPr>
        <w:widowControl w:val="0"/>
        <w:wordWrap/>
        <w:adjustRightInd/>
        <w:snapToGrid/>
        <w:spacing w:line="360" w:lineRule="auto"/>
        <w:ind w:firstLine="240" w:firstLineChars="1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响应采购需求应具体、明确，含糊不清、不确切或伪造、编造证明材料的，按照实质性不响应处理。对伪造、编造证明材料的，将报告本级财政部门。</w:t>
      </w:r>
    </w:p>
    <w:p w14:paraId="59E43B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u w:val="single"/>
        </w:rPr>
      </w:pPr>
    </w:p>
    <w:p w14:paraId="0956EDA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u w:val="single"/>
        </w:rPr>
      </w:pPr>
    </w:p>
    <w:p w14:paraId="79A15F89">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356065C2">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1079C717">
      <w:pPr>
        <w:keepNext w:val="0"/>
        <w:keepLines w:val="0"/>
        <w:pageBreakBefore w:val="0"/>
        <w:widowControl w:val="0"/>
        <w:kinsoku/>
        <w:wordWrap/>
        <w:overflowPunct/>
        <w:topLinePunct w:val="0"/>
        <w:bidi w:val="0"/>
        <w:adjustRightInd/>
        <w:snapToGrid/>
        <w:spacing w:line="360" w:lineRule="auto"/>
        <w:ind w:left="0" w:leftChars="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633F8CA3">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sz w:val="24"/>
          <w:szCs w:val="24"/>
        </w:rPr>
      </w:pPr>
    </w:p>
    <w:p w14:paraId="4A9BCA18">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52" w:name="_Toc14547"/>
      <w:bookmarkStart w:id="453" w:name="_Toc6913_WPSOffice_Level3"/>
      <w:bookmarkStart w:id="454" w:name="_Toc7597"/>
      <w:bookmarkStart w:id="455" w:name="_Toc28501"/>
      <w:bookmarkStart w:id="456" w:name="_Toc18025_WPSOffice_Level3"/>
      <w:r>
        <w:rPr>
          <w:rFonts w:hint="eastAsia" w:ascii="宋体" w:hAnsi="宋体" w:eastAsia="宋体" w:cs="宋体"/>
          <w:b/>
          <w:bCs w:val="0"/>
          <w:color w:val="auto"/>
          <w:kern w:val="2"/>
          <w:sz w:val="28"/>
          <w:szCs w:val="28"/>
          <w:lang w:val="en-US" w:eastAsia="zh-CN" w:bidi="ar-SA"/>
        </w:rPr>
        <w:br w:type="page"/>
      </w:r>
    </w:p>
    <w:p w14:paraId="1D0C2076">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57" w:name="_Toc12537"/>
      <w:r>
        <w:rPr>
          <w:rFonts w:hint="eastAsia" w:ascii="宋体" w:hAnsi="宋体" w:eastAsia="宋体" w:cs="宋体"/>
          <w:b/>
          <w:bCs w:val="0"/>
          <w:color w:val="auto"/>
          <w:kern w:val="2"/>
          <w:sz w:val="28"/>
          <w:szCs w:val="28"/>
          <w:lang w:val="en-US" w:eastAsia="zh-CN" w:bidi="ar-SA"/>
        </w:rPr>
        <w:t>附件13：</w:t>
      </w:r>
      <w:bookmarkEnd w:id="452"/>
      <w:bookmarkEnd w:id="453"/>
      <w:bookmarkEnd w:id="454"/>
      <w:r>
        <w:rPr>
          <w:rFonts w:hint="eastAsia" w:ascii="宋体" w:hAnsi="宋体" w:eastAsia="宋体" w:cs="宋体"/>
          <w:b/>
          <w:bCs w:val="0"/>
          <w:color w:val="auto"/>
          <w:kern w:val="2"/>
          <w:sz w:val="28"/>
          <w:szCs w:val="28"/>
          <w:lang w:val="en-US" w:eastAsia="zh-CN" w:bidi="ar-SA"/>
        </w:rPr>
        <w:t>产品相关资料</w:t>
      </w:r>
      <w:bookmarkEnd w:id="455"/>
      <w:bookmarkEnd w:id="456"/>
      <w:bookmarkEnd w:id="457"/>
      <w:r>
        <w:rPr>
          <w:rFonts w:hint="eastAsia" w:ascii="宋体" w:hAnsi="宋体" w:eastAsia="宋体" w:cs="宋体"/>
          <w:b/>
          <w:bCs w:val="0"/>
          <w:color w:val="auto"/>
          <w:kern w:val="2"/>
          <w:sz w:val="28"/>
          <w:szCs w:val="28"/>
          <w:lang w:val="en-US" w:eastAsia="zh-CN" w:bidi="ar-SA"/>
        </w:rPr>
        <w:t>（具备履行合同所必须的设备和专业技术能力证明）</w:t>
      </w:r>
    </w:p>
    <w:p w14:paraId="504F4B28">
      <w:pPr>
        <w:keepNext w:val="0"/>
        <w:keepLines w:val="0"/>
        <w:pageBreakBefore w:val="0"/>
        <w:kinsoku/>
        <w:wordWrap/>
        <w:overflowPunct/>
        <w:topLinePunct w:val="0"/>
        <w:bidi w:val="0"/>
        <w:adjustRightInd/>
        <w:snapToGrid/>
        <w:spacing w:line="360" w:lineRule="auto"/>
        <w:ind w:left="0" w:leftChars="0"/>
        <w:jc w:val="both"/>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根据采购项目内容，投标时提供国家认可的质监机构出具的投标产品的产品检验报告、证明技术参数响应的相关资料、彩页（或厂家公开发布的资料参数）、相关认证等资料。</w:t>
      </w:r>
    </w:p>
    <w:p w14:paraId="07C24380">
      <w:pPr>
        <w:keepNext w:val="0"/>
        <w:keepLines w:val="0"/>
        <w:pageBreakBefore w:val="0"/>
        <w:widowControl/>
        <w:kinsoku/>
        <w:wordWrap/>
        <w:overflowPunct/>
        <w:topLinePunct w:val="0"/>
        <w:bidi w:val="0"/>
        <w:adjustRightInd/>
        <w:snapToGrid/>
        <w:spacing w:line="360" w:lineRule="auto"/>
        <w:ind w:left="0" w:leftChars="0" w:firstLine="504" w:firstLineChars="200"/>
        <w:jc w:val="left"/>
        <w:rPr>
          <w:rFonts w:hint="eastAsia" w:ascii="宋体" w:hAnsi="宋体" w:eastAsia="宋体" w:cs="宋体"/>
          <w:color w:val="auto"/>
          <w:spacing w:val="6"/>
          <w:kern w:val="0"/>
          <w:sz w:val="24"/>
          <w:szCs w:val="24"/>
          <w:lang w:val="zh-CN" w:eastAsia="zh-CN"/>
        </w:rPr>
      </w:pPr>
      <w:r>
        <w:rPr>
          <w:rFonts w:hint="eastAsia" w:ascii="宋体" w:hAnsi="宋体" w:eastAsia="宋体" w:cs="宋体"/>
          <w:color w:val="auto"/>
          <w:spacing w:val="6"/>
          <w:kern w:val="0"/>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spacing w:val="6"/>
          <w:kern w:val="0"/>
          <w:sz w:val="24"/>
          <w:szCs w:val="24"/>
          <w:lang w:val="zh-CN" w:eastAsia="zh-CN"/>
        </w:rPr>
        <w:t>或</w:t>
      </w:r>
      <w:r>
        <w:rPr>
          <w:rFonts w:hint="eastAsia" w:ascii="宋体" w:hAnsi="宋体" w:eastAsia="宋体" w:cs="宋体"/>
          <w:color w:val="auto"/>
          <w:spacing w:val="6"/>
          <w:kern w:val="0"/>
          <w:sz w:val="24"/>
          <w:szCs w:val="24"/>
          <w:lang w:val="zh-CN"/>
        </w:rPr>
        <w:t>用工合同等证明材料。</w:t>
      </w:r>
    </w:p>
    <w:p w14:paraId="2645BE07">
      <w:pPr>
        <w:keepNext w:val="0"/>
        <w:keepLines w:val="0"/>
        <w:pageBreakBefore w:val="0"/>
        <w:widowControl/>
        <w:kinsoku/>
        <w:wordWrap/>
        <w:overflowPunct/>
        <w:topLinePunct w:val="0"/>
        <w:bidi w:val="0"/>
        <w:adjustRightInd/>
        <w:snapToGrid/>
        <w:spacing w:line="360" w:lineRule="auto"/>
        <w:ind w:left="0" w:leftChars="0"/>
        <w:jc w:val="left"/>
        <w:rPr>
          <w:rFonts w:hint="eastAsia" w:ascii="宋体" w:hAnsi="宋体" w:eastAsia="宋体" w:cs="宋体"/>
          <w:color w:val="auto"/>
          <w:spacing w:val="6"/>
          <w:kern w:val="0"/>
          <w:sz w:val="24"/>
          <w:szCs w:val="24"/>
        </w:rPr>
      </w:pPr>
    </w:p>
    <w:p w14:paraId="32FFCA06">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58" w:name="_Toc31301_WPSOffice_Level3"/>
      <w:bookmarkStart w:id="459" w:name="_Toc3146_WPSOffice_Level3"/>
      <w:bookmarkStart w:id="460" w:name="_Toc11887"/>
      <w:bookmarkStart w:id="461" w:name="_Toc10368"/>
      <w:bookmarkStart w:id="462" w:name="_Toc4925"/>
      <w:r>
        <w:rPr>
          <w:rFonts w:hint="eastAsia" w:ascii="宋体" w:hAnsi="宋体" w:eastAsia="宋体" w:cs="宋体"/>
          <w:b/>
          <w:bCs w:val="0"/>
          <w:color w:val="auto"/>
          <w:kern w:val="2"/>
          <w:sz w:val="28"/>
          <w:szCs w:val="28"/>
          <w:lang w:val="en-US" w:eastAsia="zh-CN" w:bidi="ar-SA"/>
        </w:rPr>
        <w:br w:type="page"/>
      </w:r>
    </w:p>
    <w:p w14:paraId="038BF80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bookmarkStart w:id="463" w:name="_Toc1417"/>
      <w:r>
        <w:rPr>
          <w:rFonts w:hint="eastAsia" w:ascii="宋体" w:hAnsi="宋体" w:eastAsia="宋体" w:cs="宋体"/>
          <w:b/>
          <w:bCs w:val="0"/>
          <w:color w:val="auto"/>
          <w:kern w:val="2"/>
          <w:sz w:val="28"/>
          <w:szCs w:val="28"/>
          <w:lang w:val="en-US" w:eastAsia="zh-CN" w:bidi="ar-SA"/>
        </w:rPr>
        <w:t>附件14：享受政府采购政策优惠的证明资料</w:t>
      </w:r>
      <w:bookmarkEnd w:id="458"/>
      <w:bookmarkEnd w:id="459"/>
      <w:bookmarkEnd w:id="460"/>
      <w:bookmarkEnd w:id="461"/>
      <w:bookmarkEnd w:id="462"/>
      <w:bookmarkEnd w:id="463"/>
    </w:p>
    <w:p w14:paraId="3D9C3287">
      <w:pPr>
        <w:keepNext w:val="0"/>
        <w:keepLines w:val="0"/>
        <w:pageBreakBefore w:val="0"/>
        <w:numPr>
          <w:ilvl w:val="0"/>
          <w:numId w:val="0"/>
        </w:numPr>
        <w:kinsoku/>
        <w:wordWrap/>
        <w:overflowPunct/>
        <w:topLinePunct w:val="0"/>
        <w:bidi w:val="0"/>
        <w:adjustRightInd/>
        <w:snapToGrid/>
        <w:spacing w:line="360" w:lineRule="auto"/>
        <w:jc w:val="center"/>
        <w:outlineLvl w:val="9"/>
        <w:rPr>
          <w:rFonts w:hint="eastAsia" w:ascii="宋体" w:hAnsi="宋体" w:eastAsia="宋体" w:cs="宋体"/>
          <w:b/>
          <w:bCs/>
          <w:color w:val="auto"/>
          <w:kern w:val="2"/>
          <w:sz w:val="24"/>
          <w:szCs w:val="24"/>
          <w:lang w:val="en-US" w:eastAsia="zh-CN" w:bidi="ar-SA"/>
        </w:rPr>
      </w:pPr>
      <w:bookmarkStart w:id="464" w:name="_Toc25276"/>
      <w:r>
        <w:rPr>
          <w:rFonts w:hint="eastAsia" w:ascii="宋体" w:hAnsi="宋体" w:eastAsia="宋体" w:cs="宋体"/>
          <w:b/>
          <w:bCs/>
          <w:color w:val="auto"/>
          <w:kern w:val="2"/>
          <w:sz w:val="24"/>
          <w:szCs w:val="24"/>
          <w:lang w:val="en-US" w:eastAsia="zh-CN" w:bidi="ar-SA"/>
        </w:rPr>
        <w:t>1.节能产品、环境标志产品证明材料</w:t>
      </w:r>
      <w:bookmarkEnd w:id="464"/>
    </w:p>
    <w:p w14:paraId="1C6422EA">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w:t>
      </w:r>
      <w:r>
        <w:rPr>
          <w:rFonts w:hint="eastAsia" w:ascii="宋体" w:hAnsi="宋体" w:eastAsia="宋体" w:cs="宋体"/>
          <w:bCs/>
          <w:color w:val="auto"/>
          <w:sz w:val="24"/>
          <w:szCs w:val="24"/>
        </w:rPr>
        <w:t>属于</w:t>
      </w:r>
      <w:r>
        <w:rPr>
          <w:rFonts w:hint="eastAsia" w:ascii="宋体" w:hAnsi="宋体" w:eastAsia="宋体" w:cs="宋体"/>
          <w:bCs/>
          <w:color w:val="auto"/>
          <w:sz w:val="24"/>
          <w:szCs w:val="24"/>
          <w:lang w:eastAsia="zh-CN"/>
        </w:rPr>
        <w:t>品目清单范围的</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eastAsia="zh-CN"/>
        </w:rPr>
        <w:t>实施政府优先采购和强制采购。</w:t>
      </w:r>
      <w:r>
        <w:rPr>
          <w:rFonts w:hint="eastAsia" w:ascii="宋体" w:hAnsi="宋体" w:eastAsia="宋体" w:cs="宋体"/>
          <w:color w:val="auto"/>
          <w:sz w:val="24"/>
          <w:szCs w:val="24"/>
        </w:rPr>
        <w:t>供应商应</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国家确定的认证机构出具的、处于有效期之内的节能产品、环境标志产品认证证书，并加盖供应商单位公章。</w:t>
      </w:r>
    </w:p>
    <w:p w14:paraId="044BE0E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kern w:val="2"/>
          <w:sz w:val="24"/>
          <w:szCs w:val="24"/>
          <w:lang w:val="en-US" w:eastAsia="zh-CN" w:bidi="ar-SA"/>
        </w:rPr>
      </w:pPr>
    </w:p>
    <w:p w14:paraId="435C0BD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1990ADBC">
      <w:pPr>
        <w:autoSpaceDE w:val="0"/>
        <w:autoSpaceDN w:val="0"/>
        <w:spacing w:line="360" w:lineRule="auto"/>
        <w:jc w:val="center"/>
        <w:rPr>
          <w:rFonts w:hint="eastAsia" w:ascii="宋体" w:hAnsi="宋体" w:eastAsia="宋体" w:cs="宋体"/>
          <w:b/>
          <w:bCs/>
          <w:color w:val="auto"/>
          <w:kern w:val="0"/>
          <w:sz w:val="24"/>
          <w:szCs w:val="24"/>
          <w:lang w:val="zh-CN" w:eastAsia="zh-CN"/>
        </w:rPr>
      </w:pPr>
      <w:bookmarkStart w:id="465" w:name="_Toc6454"/>
      <w:bookmarkStart w:id="466" w:name="_Toc31539"/>
      <w:bookmarkStart w:id="467" w:name="_Toc22784_WPSOffice_Level3"/>
      <w:r>
        <w:rPr>
          <w:rFonts w:hint="eastAsia" w:ascii="宋体" w:hAnsi="宋体" w:eastAsia="宋体" w:cs="宋体"/>
          <w:b/>
          <w:bCs/>
          <w:color w:val="auto"/>
          <w:kern w:val="2"/>
          <w:sz w:val="24"/>
          <w:szCs w:val="24"/>
          <w:lang w:val="en-US" w:eastAsia="zh-CN" w:bidi="ar-SA"/>
        </w:rPr>
        <w:t>2.</w:t>
      </w:r>
      <w:bookmarkEnd w:id="465"/>
      <w:bookmarkEnd w:id="466"/>
      <w:bookmarkEnd w:id="467"/>
      <w:r>
        <w:rPr>
          <w:rFonts w:hint="eastAsia" w:ascii="宋体" w:hAnsi="宋体" w:eastAsia="宋体" w:cs="宋体"/>
          <w:b/>
          <w:bCs/>
          <w:color w:val="auto"/>
          <w:kern w:val="0"/>
          <w:sz w:val="24"/>
          <w:szCs w:val="24"/>
          <w:lang w:eastAsia="zh-CN"/>
        </w:rPr>
        <w:t>中小企业声明函</w:t>
      </w:r>
    </w:p>
    <w:p w14:paraId="39C33177">
      <w:pPr>
        <w:autoSpaceDE w:val="0"/>
        <w:autoSpaceDN w:val="0"/>
        <w:spacing w:line="360" w:lineRule="auto"/>
        <w:ind w:left="0" w:leftChars="0" w:firstLine="0" w:firstLineChars="0"/>
        <w:rPr>
          <w:rFonts w:hint="eastAsia" w:ascii="宋体" w:hAnsi="宋体" w:eastAsia="宋体" w:cs="宋体"/>
          <w:color w:val="auto"/>
          <w:kern w:val="0"/>
          <w:sz w:val="24"/>
          <w:szCs w:val="24"/>
          <w:lang w:val="zh-CN"/>
        </w:rPr>
      </w:pPr>
      <w:bookmarkStart w:id="468" w:name="_Toc11740"/>
      <w:bookmarkStart w:id="469" w:name="_Toc14211_WPSOffice_Level3"/>
      <w:bookmarkStart w:id="470" w:name="_Toc12160"/>
      <w:r>
        <w:rPr>
          <w:rFonts w:hint="eastAsia" w:ascii="宋体" w:hAnsi="宋体" w:eastAsia="宋体" w:cs="宋体"/>
          <w:b/>
          <w:bCs/>
          <w:color w:val="auto"/>
          <w:kern w:val="0"/>
          <w:sz w:val="24"/>
          <w:szCs w:val="24"/>
          <w:lang w:val="zh-CN"/>
        </w:rPr>
        <w:t>致：青海鼎钊招标代理有限公司</w:t>
      </w:r>
    </w:p>
    <w:p w14:paraId="2123392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4"/>
          <w:szCs w:val="24"/>
          <w:u w:val="single"/>
          <w:lang w:val="en-US" w:eastAsia="zh-CN" w:bidi="ar"/>
        </w:rPr>
        <w:t>（单位名称）的（项目名称）</w:t>
      </w:r>
      <w:r>
        <w:rPr>
          <w:rFonts w:hint="eastAsia" w:ascii="宋体" w:hAnsi="宋体" w:eastAsia="宋体" w:cs="宋体"/>
          <w:i w:val="0"/>
          <w:iCs w:val="0"/>
          <w:color w:val="auto"/>
          <w:kern w:val="0"/>
          <w:sz w:val="24"/>
          <w:szCs w:val="24"/>
          <w:lang w:val="en-US" w:eastAsia="zh-CN" w:bidi="ar"/>
        </w:rPr>
        <w:t>采购活动，提供的货物由符合政策要求的中小企业制造。相关企业的具体情况如下：</w:t>
      </w:r>
    </w:p>
    <w:p w14:paraId="48FD7C59">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2BCAAAA8">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55508DBF">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14:paraId="299EB7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14:paraId="0B0F411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本企业对上述声明内容的真实性负责。如有虚假，将依法承担相应责任。</w:t>
      </w:r>
    </w:p>
    <w:p w14:paraId="3AA440E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349D452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5B05CED6">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2C64479C">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企业名称（盖章）：</w:t>
      </w:r>
    </w:p>
    <w:p w14:paraId="4F3654AB">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日 期：</w:t>
      </w:r>
    </w:p>
    <w:p w14:paraId="2B393D23">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注：1.</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从业人员、营业收入、资产总额填报上一年度数据，无上一年度数据的新成立企业可不填报。</w:t>
      </w:r>
    </w:p>
    <w:p w14:paraId="30239B77">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2.成交供应商享受《政府采购促进中小企业发展管理办法》规定的中小企业扶持政策的，采购代理机构应当随成交结果公开成交供应商的《中小企业声明函》。</w:t>
      </w:r>
    </w:p>
    <w:p w14:paraId="3E6B809F">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3.若无此项内容，可不提供此函。</w:t>
      </w:r>
    </w:p>
    <w:p w14:paraId="7FB0CF20">
      <w:pPr>
        <w:keepNext w:val="0"/>
        <w:keepLines w:val="0"/>
        <w:widowControl/>
        <w:suppressLineNumbers w:val="0"/>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D3A7F21">
      <w:pPr>
        <w:widowControl/>
        <w:spacing w:line="240" w:lineRule="auto"/>
        <w:ind w:left="0" w:leftChars="0" w:firstLine="0" w:firstLineChars="0"/>
        <w:jc w:val="left"/>
        <w:rPr>
          <w:rFonts w:hint="eastAsia" w:ascii="宋体" w:hAnsi="宋体" w:eastAsia="宋体" w:cs="宋体"/>
          <w:color w:val="auto"/>
          <w:kern w:val="0"/>
          <w:sz w:val="32"/>
          <w:szCs w:val="32"/>
        </w:rPr>
      </w:pPr>
      <w:r>
        <w:rPr>
          <w:rFonts w:hint="eastAsia" w:ascii="宋体" w:hAnsi="宋体" w:eastAsia="宋体" w:cs="宋体"/>
          <w:b/>
          <w:bCs/>
          <w:color w:val="auto"/>
          <w:kern w:val="0"/>
          <w:sz w:val="28"/>
          <w:szCs w:val="28"/>
        </w:rPr>
        <w:t>附表</w:t>
      </w:r>
    </w:p>
    <w:p w14:paraId="1E1058FB">
      <w:pPr>
        <w:widowControl/>
        <w:spacing w:line="360" w:lineRule="auto"/>
        <w:jc w:val="center"/>
        <w:rPr>
          <w:rFonts w:hint="eastAsia" w:ascii="宋体" w:hAnsi="宋体" w:eastAsia="宋体" w:cs="宋体"/>
          <w:color w:val="auto"/>
          <w:kern w:val="0"/>
          <w:sz w:val="36"/>
          <w:szCs w:val="32"/>
        </w:rPr>
      </w:pPr>
      <w:r>
        <w:rPr>
          <w:rFonts w:hint="eastAsia" w:ascii="宋体" w:hAnsi="宋体" w:eastAsia="宋体" w:cs="宋体"/>
          <w:b/>
          <w:bCs/>
          <w:color w:val="auto"/>
          <w:kern w:val="0"/>
          <w:sz w:val="28"/>
          <w:szCs w:val="28"/>
        </w:rPr>
        <w:t>大中小微型企业划分标准</w:t>
      </w:r>
    </w:p>
    <w:tbl>
      <w:tblPr>
        <w:tblStyle w:val="1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23B0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11B1670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行业名称</w:t>
            </w:r>
          </w:p>
        </w:tc>
        <w:tc>
          <w:tcPr>
            <w:tcW w:w="1410" w:type="dxa"/>
            <w:noWrap w:val="0"/>
            <w:vAlign w:val="center"/>
          </w:tcPr>
          <w:p w14:paraId="46B1E5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指标名称</w:t>
            </w:r>
          </w:p>
        </w:tc>
        <w:tc>
          <w:tcPr>
            <w:tcW w:w="1065" w:type="dxa"/>
            <w:noWrap w:val="0"/>
            <w:vAlign w:val="center"/>
          </w:tcPr>
          <w:p w14:paraId="20B465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计量单位</w:t>
            </w:r>
          </w:p>
        </w:tc>
        <w:tc>
          <w:tcPr>
            <w:tcW w:w="1217" w:type="dxa"/>
            <w:noWrap w:val="0"/>
            <w:vAlign w:val="center"/>
          </w:tcPr>
          <w:p w14:paraId="5CDEC9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大型</w:t>
            </w:r>
          </w:p>
        </w:tc>
        <w:tc>
          <w:tcPr>
            <w:tcW w:w="1708" w:type="dxa"/>
            <w:noWrap w:val="0"/>
            <w:vAlign w:val="center"/>
          </w:tcPr>
          <w:p w14:paraId="0B5066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中型</w:t>
            </w:r>
          </w:p>
        </w:tc>
        <w:tc>
          <w:tcPr>
            <w:tcW w:w="1674" w:type="dxa"/>
            <w:noWrap w:val="0"/>
            <w:vAlign w:val="center"/>
          </w:tcPr>
          <w:p w14:paraId="6C7AA4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小型</w:t>
            </w:r>
          </w:p>
        </w:tc>
        <w:tc>
          <w:tcPr>
            <w:tcW w:w="1073" w:type="dxa"/>
            <w:noWrap w:val="0"/>
            <w:vAlign w:val="center"/>
          </w:tcPr>
          <w:p w14:paraId="046CC69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微型</w:t>
            </w:r>
          </w:p>
        </w:tc>
      </w:tr>
      <w:tr w14:paraId="5FF3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47F0E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农、林、牧、渔业</w:t>
            </w:r>
          </w:p>
        </w:tc>
        <w:tc>
          <w:tcPr>
            <w:tcW w:w="1410" w:type="dxa"/>
            <w:noWrap w:val="0"/>
            <w:vAlign w:val="center"/>
          </w:tcPr>
          <w:p w14:paraId="559C18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97D2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E64F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4A9000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04FA41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073" w:type="dxa"/>
            <w:noWrap w:val="0"/>
            <w:vAlign w:val="center"/>
          </w:tcPr>
          <w:p w14:paraId="6BAA6B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016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E0120D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工业*</w:t>
            </w:r>
          </w:p>
        </w:tc>
        <w:tc>
          <w:tcPr>
            <w:tcW w:w="1410" w:type="dxa"/>
            <w:noWrap w:val="0"/>
            <w:vAlign w:val="center"/>
          </w:tcPr>
          <w:p w14:paraId="32829D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从业人员(X)</w:t>
            </w:r>
          </w:p>
        </w:tc>
        <w:tc>
          <w:tcPr>
            <w:tcW w:w="1065" w:type="dxa"/>
            <w:noWrap w:val="0"/>
            <w:vAlign w:val="center"/>
          </w:tcPr>
          <w:p w14:paraId="32D515A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w:t>
            </w:r>
          </w:p>
        </w:tc>
        <w:tc>
          <w:tcPr>
            <w:tcW w:w="1217" w:type="dxa"/>
            <w:noWrap w:val="0"/>
            <w:vAlign w:val="center"/>
          </w:tcPr>
          <w:p w14:paraId="0065B49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X≥1000</w:t>
            </w:r>
          </w:p>
        </w:tc>
        <w:tc>
          <w:tcPr>
            <w:tcW w:w="1708" w:type="dxa"/>
            <w:noWrap w:val="0"/>
            <w:vAlign w:val="center"/>
          </w:tcPr>
          <w:p w14:paraId="023F1E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300≤X＜1000</w:t>
            </w:r>
          </w:p>
        </w:tc>
        <w:tc>
          <w:tcPr>
            <w:tcW w:w="1674" w:type="dxa"/>
            <w:noWrap w:val="0"/>
            <w:vAlign w:val="center"/>
          </w:tcPr>
          <w:p w14:paraId="3FB5E1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20≤X＜300</w:t>
            </w:r>
          </w:p>
        </w:tc>
        <w:tc>
          <w:tcPr>
            <w:tcW w:w="1073" w:type="dxa"/>
            <w:noWrap w:val="0"/>
            <w:vAlign w:val="center"/>
          </w:tcPr>
          <w:p w14:paraId="4FB3C6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X＜20</w:t>
            </w:r>
          </w:p>
        </w:tc>
      </w:tr>
      <w:tr w14:paraId="0667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108F4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p>
        </w:tc>
        <w:tc>
          <w:tcPr>
            <w:tcW w:w="1410" w:type="dxa"/>
            <w:noWrap w:val="0"/>
            <w:vAlign w:val="center"/>
          </w:tcPr>
          <w:p w14:paraId="331C25E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营业收入(Y)</w:t>
            </w:r>
          </w:p>
        </w:tc>
        <w:tc>
          <w:tcPr>
            <w:tcW w:w="1065" w:type="dxa"/>
            <w:noWrap w:val="0"/>
            <w:vAlign w:val="center"/>
          </w:tcPr>
          <w:p w14:paraId="45E9D9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万元</w:t>
            </w:r>
          </w:p>
        </w:tc>
        <w:tc>
          <w:tcPr>
            <w:tcW w:w="1217" w:type="dxa"/>
            <w:noWrap w:val="0"/>
            <w:vAlign w:val="center"/>
          </w:tcPr>
          <w:p w14:paraId="451C6F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Y≥40000</w:t>
            </w:r>
          </w:p>
        </w:tc>
        <w:tc>
          <w:tcPr>
            <w:tcW w:w="1708" w:type="dxa"/>
            <w:noWrap w:val="0"/>
            <w:vAlign w:val="center"/>
          </w:tcPr>
          <w:p w14:paraId="647861C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2000≤Y＜40000</w:t>
            </w:r>
          </w:p>
        </w:tc>
        <w:tc>
          <w:tcPr>
            <w:tcW w:w="1674" w:type="dxa"/>
            <w:noWrap w:val="0"/>
            <w:vAlign w:val="center"/>
          </w:tcPr>
          <w:p w14:paraId="1CF6F0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300≤Y＜2000</w:t>
            </w:r>
          </w:p>
        </w:tc>
        <w:tc>
          <w:tcPr>
            <w:tcW w:w="1073" w:type="dxa"/>
            <w:noWrap w:val="0"/>
            <w:vAlign w:val="center"/>
          </w:tcPr>
          <w:p w14:paraId="58A215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Y＜300</w:t>
            </w:r>
          </w:p>
        </w:tc>
      </w:tr>
      <w:tr w14:paraId="32EA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EA90B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建筑业</w:t>
            </w:r>
          </w:p>
        </w:tc>
        <w:tc>
          <w:tcPr>
            <w:tcW w:w="1410" w:type="dxa"/>
            <w:noWrap w:val="0"/>
            <w:vAlign w:val="center"/>
          </w:tcPr>
          <w:p w14:paraId="5F9579F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1C2960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A434E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Y≥80000</w:t>
            </w:r>
          </w:p>
        </w:tc>
        <w:tc>
          <w:tcPr>
            <w:tcW w:w="1708" w:type="dxa"/>
            <w:noWrap w:val="0"/>
            <w:vAlign w:val="center"/>
          </w:tcPr>
          <w:p w14:paraId="53141E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6000≤Y＜80000</w:t>
            </w:r>
          </w:p>
        </w:tc>
        <w:tc>
          <w:tcPr>
            <w:tcW w:w="1674" w:type="dxa"/>
            <w:noWrap w:val="0"/>
            <w:vAlign w:val="center"/>
          </w:tcPr>
          <w:p w14:paraId="7C86EA8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300≤Y＜6000</w:t>
            </w:r>
          </w:p>
        </w:tc>
        <w:tc>
          <w:tcPr>
            <w:tcW w:w="1073" w:type="dxa"/>
            <w:noWrap w:val="0"/>
            <w:vAlign w:val="center"/>
          </w:tcPr>
          <w:p w14:paraId="6D1E63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09DF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44CB3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64C14E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B1C86A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530C79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Z≥80000</w:t>
            </w:r>
          </w:p>
        </w:tc>
        <w:tc>
          <w:tcPr>
            <w:tcW w:w="1708" w:type="dxa"/>
            <w:noWrap w:val="0"/>
            <w:vAlign w:val="center"/>
          </w:tcPr>
          <w:p w14:paraId="06C32B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5000≤Z＜80000</w:t>
            </w:r>
          </w:p>
        </w:tc>
        <w:tc>
          <w:tcPr>
            <w:tcW w:w="1674" w:type="dxa"/>
            <w:noWrap w:val="0"/>
            <w:vAlign w:val="center"/>
          </w:tcPr>
          <w:p w14:paraId="7EC4340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300≤Z＜5000</w:t>
            </w:r>
          </w:p>
        </w:tc>
        <w:tc>
          <w:tcPr>
            <w:tcW w:w="1073" w:type="dxa"/>
            <w:noWrap w:val="0"/>
            <w:vAlign w:val="center"/>
          </w:tcPr>
          <w:p w14:paraId="687E97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Z＜300</w:t>
            </w:r>
          </w:p>
        </w:tc>
      </w:tr>
      <w:tr w14:paraId="74F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DA8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批发业</w:t>
            </w:r>
          </w:p>
        </w:tc>
        <w:tc>
          <w:tcPr>
            <w:tcW w:w="1410" w:type="dxa"/>
            <w:noWrap w:val="0"/>
            <w:vAlign w:val="center"/>
          </w:tcPr>
          <w:p w14:paraId="6F6B3DC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从业人员(X)</w:t>
            </w:r>
          </w:p>
        </w:tc>
        <w:tc>
          <w:tcPr>
            <w:tcW w:w="1065" w:type="dxa"/>
            <w:noWrap w:val="0"/>
            <w:vAlign w:val="center"/>
          </w:tcPr>
          <w:p w14:paraId="61D2EF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人</w:t>
            </w:r>
          </w:p>
        </w:tc>
        <w:tc>
          <w:tcPr>
            <w:tcW w:w="1217" w:type="dxa"/>
            <w:noWrap w:val="0"/>
            <w:vAlign w:val="center"/>
          </w:tcPr>
          <w:p w14:paraId="4186D9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X≥200</w:t>
            </w:r>
          </w:p>
        </w:tc>
        <w:tc>
          <w:tcPr>
            <w:tcW w:w="1708" w:type="dxa"/>
            <w:noWrap w:val="0"/>
            <w:vAlign w:val="center"/>
          </w:tcPr>
          <w:p w14:paraId="0FF816C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20≤X＜200</w:t>
            </w:r>
          </w:p>
        </w:tc>
        <w:tc>
          <w:tcPr>
            <w:tcW w:w="1674" w:type="dxa"/>
            <w:noWrap w:val="0"/>
            <w:vAlign w:val="center"/>
          </w:tcPr>
          <w:p w14:paraId="03B27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5≤X＜20</w:t>
            </w:r>
          </w:p>
        </w:tc>
        <w:tc>
          <w:tcPr>
            <w:tcW w:w="1073" w:type="dxa"/>
            <w:noWrap w:val="0"/>
            <w:vAlign w:val="center"/>
          </w:tcPr>
          <w:p w14:paraId="62C9BF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X＜5</w:t>
            </w:r>
          </w:p>
        </w:tc>
      </w:tr>
      <w:tr w14:paraId="689A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89437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p>
        </w:tc>
        <w:tc>
          <w:tcPr>
            <w:tcW w:w="1410" w:type="dxa"/>
            <w:noWrap w:val="0"/>
            <w:vAlign w:val="center"/>
          </w:tcPr>
          <w:p w14:paraId="416BC8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164325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596702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Y≥40000</w:t>
            </w:r>
          </w:p>
        </w:tc>
        <w:tc>
          <w:tcPr>
            <w:tcW w:w="1708" w:type="dxa"/>
            <w:noWrap w:val="0"/>
            <w:vAlign w:val="center"/>
          </w:tcPr>
          <w:p w14:paraId="670B51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5000≤Y＜40000</w:t>
            </w:r>
          </w:p>
        </w:tc>
        <w:tc>
          <w:tcPr>
            <w:tcW w:w="1674" w:type="dxa"/>
            <w:noWrap w:val="0"/>
            <w:vAlign w:val="center"/>
          </w:tcPr>
          <w:p w14:paraId="6B984B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1000≤Y＜5000</w:t>
            </w:r>
          </w:p>
        </w:tc>
        <w:tc>
          <w:tcPr>
            <w:tcW w:w="1073" w:type="dxa"/>
            <w:noWrap w:val="0"/>
            <w:vAlign w:val="center"/>
          </w:tcPr>
          <w:p w14:paraId="4A64C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Y＜1000</w:t>
            </w:r>
          </w:p>
        </w:tc>
      </w:tr>
      <w:tr w14:paraId="5B75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F8DA7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零售业</w:t>
            </w:r>
          </w:p>
        </w:tc>
        <w:tc>
          <w:tcPr>
            <w:tcW w:w="1410" w:type="dxa"/>
            <w:noWrap w:val="0"/>
            <w:vAlign w:val="center"/>
          </w:tcPr>
          <w:p w14:paraId="5663681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86D0F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44996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757BCD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674" w:type="dxa"/>
            <w:noWrap w:val="0"/>
            <w:vAlign w:val="center"/>
          </w:tcPr>
          <w:p w14:paraId="7DAE5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10≤X＜50</w:t>
            </w:r>
          </w:p>
        </w:tc>
        <w:tc>
          <w:tcPr>
            <w:tcW w:w="1073" w:type="dxa"/>
            <w:noWrap w:val="0"/>
            <w:vAlign w:val="center"/>
          </w:tcPr>
          <w:p w14:paraId="02AB88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56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AAB78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71DC89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DE6D5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BFD61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6637E6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767F61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100≤Y＜500</w:t>
            </w:r>
          </w:p>
        </w:tc>
        <w:tc>
          <w:tcPr>
            <w:tcW w:w="1073" w:type="dxa"/>
            <w:noWrap w:val="0"/>
            <w:vAlign w:val="center"/>
          </w:tcPr>
          <w:p w14:paraId="3E0646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02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6B9B4E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交通运输业*</w:t>
            </w:r>
          </w:p>
        </w:tc>
        <w:tc>
          <w:tcPr>
            <w:tcW w:w="1410" w:type="dxa"/>
            <w:noWrap w:val="0"/>
            <w:vAlign w:val="center"/>
          </w:tcPr>
          <w:p w14:paraId="094E6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601ED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31EFC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A0DAF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026A026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046F03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4F32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4FBED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54E7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8004D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EF85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392175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674" w:type="dxa"/>
            <w:noWrap w:val="0"/>
            <w:vAlign w:val="center"/>
          </w:tcPr>
          <w:p w14:paraId="59ECE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073" w:type="dxa"/>
            <w:noWrap w:val="0"/>
            <w:vAlign w:val="center"/>
          </w:tcPr>
          <w:p w14:paraId="23DA90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0CC7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AEBF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仓储业*</w:t>
            </w:r>
          </w:p>
        </w:tc>
        <w:tc>
          <w:tcPr>
            <w:tcW w:w="1410" w:type="dxa"/>
            <w:noWrap w:val="0"/>
            <w:vAlign w:val="center"/>
          </w:tcPr>
          <w:p w14:paraId="3FDB72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C5D7B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18609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w:t>
            </w:r>
          </w:p>
        </w:tc>
        <w:tc>
          <w:tcPr>
            <w:tcW w:w="1708" w:type="dxa"/>
            <w:noWrap w:val="0"/>
            <w:vAlign w:val="center"/>
          </w:tcPr>
          <w:p w14:paraId="1FDDE0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674" w:type="dxa"/>
            <w:noWrap w:val="0"/>
            <w:vAlign w:val="center"/>
          </w:tcPr>
          <w:p w14:paraId="10B294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073" w:type="dxa"/>
            <w:noWrap w:val="0"/>
            <w:vAlign w:val="center"/>
          </w:tcPr>
          <w:p w14:paraId="2ECD6A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14EE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C052F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9C82E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3ECB42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F80D3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2B3BC8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674" w:type="dxa"/>
            <w:noWrap w:val="0"/>
            <w:vAlign w:val="center"/>
          </w:tcPr>
          <w:p w14:paraId="5215C2D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2CDC8D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842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2BF64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邮政业</w:t>
            </w:r>
          </w:p>
        </w:tc>
        <w:tc>
          <w:tcPr>
            <w:tcW w:w="1410" w:type="dxa"/>
            <w:noWrap w:val="0"/>
            <w:vAlign w:val="center"/>
          </w:tcPr>
          <w:p w14:paraId="3C83B84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20E44E2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0685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13DB5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2FFDC9E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605A0D0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212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396A2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F556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0342B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AF1E7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615A4AA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674" w:type="dxa"/>
            <w:noWrap w:val="0"/>
            <w:vAlign w:val="center"/>
          </w:tcPr>
          <w:p w14:paraId="0444BC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4D7E8C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52F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51D04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住宿业</w:t>
            </w:r>
          </w:p>
        </w:tc>
        <w:tc>
          <w:tcPr>
            <w:tcW w:w="1410" w:type="dxa"/>
            <w:noWrap w:val="0"/>
            <w:vAlign w:val="center"/>
          </w:tcPr>
          <w:p w14:paraId="2F1C25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9F049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2C3F68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6E846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4994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16DFEA8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647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1371BD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A8DF0E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2EF2D6E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7F2595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220BBEF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338EF91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2F2DA1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085A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61454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餐饮业</w:t>
            </w:r>
          </w:p>
        </w:tc>
        <w:tc>
          <w:tcPr>
            <w:tcW w:w="1410" w:type="dxa"/>
            <w:noWrap w:val="0"/>
            <w:vAlign w:val="center"/>
          </w:tcPr>
          <w:p w14:paraId="1CB2656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E197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55A98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372D5A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8CFC42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4B942E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2A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53C377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D7EAF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45B841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A23927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486A69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7C318B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34318C3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240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4CF935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信息传输业*</w:t>
            </w:r>
          </w:p>
        </w:tc>
        <w:tc>
          <w:tcPr>
            <w:tcW w:w="1410" w:type="dxa"/>
            <w:noWrap w:val="0"/>
            <w:vAlign w:val="center"/>
          </w:tcPr>
          <w:p w14:paraId="794EBE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B941E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3D2F0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X≥2000</w:t>
            </w:r>
          </w:p>
        </w:tc>
        <w:tc>
          <w:tcPr>
            <w:tcW w:w="1708" w:type="dxa"/>
            <w:noWrap w:val="0"/>
            <w:vAlign w:val="center"/>
          </w:tcPr>
          <w:p w14:paraId="5A1980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674" w:type="dxa"/>
            <w:noWrap w:val="0"/>
            <w:vAlign w:val="center"/>
          </w:tcPr>
          <w:p w14:paraId="1FD686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0BE512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70E4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4DC68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22B16D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A8140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3E140E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Y≥100000</w:t>
            </w:r>
          </w:p>
        </w:tc>
        <w:tc>
          <w:tcPr>
            <w:tcW w:w="1708" w:type="dxa"/>
            <w:noWrap w:val="0"/>
            <w:vAlign w:val="center"/>
          </w:tcPr>
          <w:p w14:paraId="249DDA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674" w:type="dxa"/>
            <w:noWrap w:val="0"/>
            <w:vAlign w:val="center"/>
          </w:tcPr>
          <w:p w14:paraId="35D5B7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F37E3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37B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EB25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r>
              <w:rPr>
                <w:rFonts w:hint="eastAsia" w:ascii="宋体" w:hAnsi="宋体" w:eastAsia="宋体" w:cs="宋体"/>
                <w:color w:val="auto"/>
                <w:spacing w:val="-12"/>
                <w:kern w:val="0"/>
                <w:sz w:val="21"/>
                <w:szCs w:val="21"/>
              </w:rPr>
              <w:t>软件和信息技术服</w:t>
            </w:r>
            <w:r>
              <w:rPr>
                <w:rFonts w:hint="eastAsia" w:ascii="宋体" w:hAnsi="宋体" w:eastAsia="宋体" w:cs="宋体"/>
                <w:color w:val="auto"/>
                <w:kern w:val="0"/>
                <w:sz w:val="21"/>
                <w:szCs w:val="21"/>
              </w:rPr>
              <w:t>务业</w:t>
            </w:r>
          </w:p>
        </w:tc>
        <w:tc>
          <w:tcPr>
            <w:tcW w:w="1410" w:type="dxa"/>
            <w:noWrap w:val="0"/>
            <w:vAlign w:val="center"/>
          </w:tcPr>
          <w:p w14:paraId="6296748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A91A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2CB15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48392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09D2A0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E1033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33EF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FAB47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p>
        </w:tc>
        <w:tc>
          <w:tcPr>
            <w:tcW w:w="1410" w:type="dxa"/>
            <w:noWrap w:val="0"/>
            <w:vAlign w:val="center"/>
          </w:tcPr>
          <w:p w14:paraId="173899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20371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8C484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55F135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w:t>
            </w:r>
          </w:p>
        </w:tc>
        <w:tc>
          <w:tcPr>
            <w:tcW w:w="1674" w:type="dxa"/>
            <w:noWrap w:val="0"/>
            <w:vAlign w:val="center"/>
          </w:tcPr>
          <w:p w14:paraId="16055BB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50≤Y＜1000</w:t>
            </w:r>
          </w:p>
        </w:tc>
        <w:tc>
          <w:tcPr>
            <w:tcW w:w="1073" w:type="dxa"/>
            <w:noWrap w:val="0"/>
            <w:vAlign w:val="center"/>
          </w:tcPr>
          <w:p w14:paraId="559E87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183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0A301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房地产开发经营</w:t>
            </w:r>
          </w:p>
        </w:tc>
        <w:tc>
          <w:tcPr>
            <w:tcW w:w="1410" w:type="dxa"/>
            <w:noWrap w:val="0"/>
            <w:vAlign w:val="center"/>
          </w:tcPr>
          <w:p w14:paraId="57AF8E9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7797C65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5B19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Y≥200000</w:t>
            </w:r>
          </w:p>
        </w:tc>
        <w:tc>
          <w:tcPr>
            <w:tcW w:w="1708" w:type="dxa"/>
            <w:noWrap w:val="0"/>
            <w:vAlign w:val="center"/>
          </w:tcPr>
          <w:p w14:paraId="337F0D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674" w:type="dxa"/>
            <w:noWrap w:val="0"/>
            <w:vAlign w:val="center"/>
          </w:tcPr>
          <w:p w14:paraId="672817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5EDA6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9B5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1BB1A0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E4DD8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5298846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51EF72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Z≥10000</w:t>
            </w:r>
          </w:p>
        </w:tc>
        <w:tc>
          <w:tcPr>
            <w:tcW w:w="1708" w:type="dxa"/>
            <w:noWrap w:val="0"/>
            <w:vAlign w:val="center"/>
          </w:tcPr>
          <w:p w14:paraId="79C0A4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674" w:type="dxa"/>
            <w:noWrap w:val="0"/>
            <w:vAlign w:val="center"/>
          </w:tcPr>
          <w:p w14:paraId="42B676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2000≤Z＜5000</w:t>
            </w:r>
          </w:p>
        </w:tc>
        <w:tc>
          <w:tcPr>
            <w:tcW w:w="1073" w:type="dxa"/>
            <w:noWrap w:val="0"/>
            <w:vAlign w:val="center"/>
          </w:tcPr>
          <w:p w14:paraId="1CE624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Z＜2000</w:t>
            </w:r>
          </w:p>
        </w:tc>
      </w:tr>
      <w:tr w14:paraId="4CF3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435D7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物业管理</w:t>
            </w:r>
          </w:p>
        </w:tc>
        <w:tc>
          <w:tcPr>
            <w:tcW w:w="1410" w:type="dxa"/>
            <w:noWrap w:val="0"/>
            <w:vAlign w:val="center"/>
          </w:tcPr>
          <w:p w14:paraId="21C6B1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6FD400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F7AAE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7C29DB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1DF37C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073" w:type="dxa"/>
            <w:noWrap w:val="0"/>
            <w:vAlign w:val="center"/>
          </w:tcPr>
          <w:p w14:paraId="06F7153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6553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803F6F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7E773B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403B0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41814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Y≥5000</w:t>
            </w:r>
          </w:p>
        </w:tc>
        <w:tc>
          <w:tcPr>
            <w:tcW w:w="1708" w:type="dxa"/>
            <w:noWrap w:val="0"/>
            <w:vAlign w:val="center"/>
          </w:tcPr>
          <w:p w14:paraId="1219E7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1000≤Y＜5000</w:t>
            </w:r>
          </w:p>
        </w:tc>
        <w:tc>
          <w:tcPr>
            <w:tcW w:w="1674" w:type="dxa"/>
            <w:noWrap w:val="0"/>
            <w:vAlign w:val="center"/>
          </w:tcPr>
          <w:p w14:paraId="244E1E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073" w:type="dxa"/>
            <w:noWrap w:val="0"/>
            <w:vAlign w:val="center"/>
          </w:tcPr>
          <w:p w14:paraId="78DE55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4390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A04208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租赁和商务服务业</w:t>
            </w:r>
          </w:p>
        </w:tc>
        <w:tc>
          <w:tcPr>
            <w:tcW w:w="1410" w:type="dxa"/>
            <w:noWrap w:val="0"/>
            <w:vAlign w:val="center"/>
          </w:tcPr>
          <w:p w14:paraId="0B8CA18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73BE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A576D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232827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51653B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09687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ED8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B4D1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65D1B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6599A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40413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Z≥120000</w:t>
            </w:r>
          </w:p>
        </w:tc>
        <w:tc>
          <w:tcPr>
            <w:tcW w:w="1708" w:type="dxa"/>
            <w:noWrap w:val="0"/>
            <w:vAlign w:val="center"/>
          </w:tcPr>
          <w:p w14:paraId="13CE5C3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8000≤Z＜120000</w:t>
            </w:r>
          </w:p>
        </w:tc>
        <w:tc>
          <w:tcPr>
            <w:tcW w:w="1674" w:type="dxa"/>
            <w:noWrap w:val="0"/>
            <w:vAlign w:val="center"/>
          </w:tcPr>
          <w:p w14:paraId="4A449E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100≤Z＜8000</w:t>
            </w:r>
          </w:p>
        </w:tc>
        <w:tc>
          <w:tcPr>
            <w:tcW w:w="1073" w:type="dxa"/>
            <w:noWrap w:val="0"/>
            <w:vAlign w:val="center"/>
          </w:tcPr>
          <w:p w14:paraId="226ABA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w:t>
            </w:r>
          </w:p>
        </w:tc>
      </w:tr>
      <w:tr w14:paraId="13B5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372187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其他未列明行业*</w:t>
            </w:r>
          </w:p>
        </w:tc>
        <w:tc>
          <w:tcPr>
            <w:tcW w:w="1410" w:type="dxa"/>
            <w:noWrap w:val="0"/>
            <w:vAlign w:val="center"/>
          </w:tcPr>
          <w:p w14:paraId="7C756E9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0FDBFE1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95A06C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001500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1B280C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7F547D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7D4440DA">
      <w:pPr>
        <w:rPr>
          <w:rFonts w:hint="eastAsia"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br w:type="page"/>
      </w:r>
    </w:p>
    <w:p w14:paraId="7D3A72B4">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26CC2826">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1EA27F0F">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3D225583">
      <w:pPr>
        <w:spacing w:line="360" w:lineRule="auto"/>
        <w:ind w:left="0" w:leftChars="0" w:firstLine="512"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65974C50">
      <w:pPr>
        <w:spacing w:line="360" w:lineRule="auto"/>
        <w:rPr>
          <w:rFonts w:hint="eastAsia" w:ascii="宋体" w:hAnsi="宋体" w:eastAsia="宋体" w:cs="宋体"/>
          <w:color w:val="auto"/>
          <w:spacing w:val="8"/>
          <w:kern w:val="0"/>
          <w:sz w:val="24"/>
          <w:szCs w:val="24"/>
        </w:rPr>
      </w:pPr>
    </w:p>
    <w:p w14:paraId="32E5E1DB">
      <w:p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CE85E55">
      <w:pPr>
        <w:autoSpaceDE w:val="0"/>
        <w:autoSpaceDN w:val="0"/>
        <w:spacing w:line="360" w:lineRule="auto"/>
        <w:jc w:val="center"/>
        <w:rPr>
          <w:rFonts w:hint="eastAsia" w:ascii="宋体" w:hAnsi="宋体" w:eastAsia="宋体" w:cs="宋体"/>
          <w:color w:val="auto"/>
          <w:lang w:val="en-US" w:eastAsia="zh-CN"/>
        </w:rPr>
      </w:pPr>
      <w:r>
        <w:rPr>
          <w:rFonts w:hint="eastAsia" w:ascii="宋体" w:hAnsi="宋体" w:eastAsia="宋体" w:cs="宋体"/>
          <w:b/>
          <w:bCs/>
          <w:color w:val="auto"/>
          <w:sz w:val="24"/>
          <w:szCs w:val="24"/>
          <w:lang w:val="en-US" w:eastAsia="zh-CN"/>
        </w:rPr>
        <w:t>3.残疾人福利性单位声明函</w:t>
      </w:r>
      <w:bookmarkEnd w:id="468"/>
      <w:bookmarkEnd w:id="469"/>
      <w:bookmarkEnd w:id="470"/>
    </w:p>
    <w:p w14:paraId="5B7D6F08">
      <w:pPr>
        <w:spacing w:after="120" w:afterLines="50" w:line="360" w:lineRule="auto"/>
        <w:ind w:left="0" w:leftChars="0" w:firstLine="0" w:firstLineChars="0"/>
        <w:rPr>
          <w:rFonts w:hint="eastAsia" w:ascii="宋体" w:hAnsi="宋体" w:eastAsia="宋体" w:cs="宋体"/>
          <w:b/>
          <w:bCs/>
          <w:color w:val="auto"/>
          <w:sz w:val="24"/>
          <w:szCs w:val="24"/>
        </w:rPr>
      </w:pPr>
      <w:bookmarkStart w:id="471" w:name="_Toc9477"/>
      <w:bookmarkStart w:id="472" w:name="_Toc30801"/>
      <w:r>
        <w:rPr>
          <w:rFonts w:hint="eastAsia" w:ascii="宋体" w:hAnsi="宋体" w:eastAsia="宋体" w:cs="宋体"/>
          <w:b/>
          <w:bCs/>
          <w:color w:val="auto"/>
          <w:sz w:val="24"/>
          <w:szCs w:val="24"/>
        </w:rPr>
        <w:t>致：</w:t>
      </w:r>
      <w:r>
        <w:rPr>
          <w:rFonts w:hint="eastAsia" w:ascii="宋体" w:hAnsi="宋体" w:eastAsia="宋体" w:cs="宋体"/>
          <w:b/>
          <w:bCs/>
          <w:color w:val="auto"/>
          <w:kern w:val="0"/>
          <w:sz w:val="24"/>
          <w:szCs w:val="24"/>
          <w:lang w:val="zh-CN"/>
        </w:rPr>
        <w:t>青海鼎钊招标代理有限公司</w:t>
      </w:r>
    </w:p>
    <w:p w14:paraId="4AF53F08">
      <w:pPr>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人，安置的残疾人人数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人。且本单位参加</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单位的</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项目采购活动提供本单位制造的货物（由本单位承担工程/提供服务），或者提供其他残疾人福利性单位制造的货物（不包括使用非残疾人福利性单位注册商标的货物）。</w:t>
      </w:r>
    </w:p>
    <w:p w14:paraId="49110558">
      <w:pPr>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本单位对上述声明的真实性负责。如有虚假，将依法承担相应责任。</w:t>
      </w:r>
    </w:p>
    <w:p w14:paraId="664107F9">
      <w:pPr>
        <w:spacing w:line="360" w:lineRule="auto"/>
        <w:ind w:firstLine="0" w:firstLineChars="0"/>
        <w:rPr>
          <w:rFonts w:hint="eastAsia" w:ascii="宋体" w:hAnsi="宋体" w:eastAsia="宋体" w:cs="宋体"/>
          <w:color w:val="auto"/>
          <w:kern w:val="2"/>
          <w:sz w:val="24"/>
          <w:szCs w:val="24"/>
        </w:rPr>
      </w:pPr>
    </w:p>
    <w:p w14:paraId="2EC0E215">
      <w:pPr>
        <w:spacing w:line="360" w:lineRule="auto"/>
        <w:ind w:firstLine="0" w:firstLineChars="0"/>
        <w:rPr>
          <w:rFonts w:hint="eastAsia" w:ascii="宋体" w:hAnsi="宋体" w:eastAsia="宋体" w:cs="宋体"/>
          <w:color w:val="auto"/>
          <w:kern w:val="2"/>
          <w:sz w:val="24"/>
          <w:szCs w:val="24"/>
        </w:rPr>
      </w:pPr>
    </w:p>
    <w:p w14:paraId="43907A20">
      <w:pPr>
        <w:spacing w:line="360" w:lineRule="auto"/>
        <w:ind w:firstLine="0" w:firstLineChars="0"/>
        <w:rPr>
          <w:rFonts w:hint="eastAsia" w:ascii="宋体" w:hAnsi="宋体" w:eastAsia="宋体" w:cs="宋体"/>
          <w:color w:val="auto"/>
          <w:kern w:val="2"/>
          <w:sz w:val="24"/>
          <w:szCs w:val="24"/>
        </w:rPr>
      </w:pPr>
    </w:p>
    <w:p w14:paraId="1A9D1123">
      <w:pPr>
        <w:spacing w:line="360" w:lineRule="auto"/>
        <w:ind w:firstLine="0" w:firstLineChars="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企业名称：</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kern w:val="2"/>
          <w:sz w:val="24"/>
          <w:szCs w:val="24"/>
        </w:rPr>
        <w:t>（公章）</w:t>
      </w:r>
    </w:p>
    <w:p w14:paraId="42DE5824">
      <w:pPr>
        <w:spacing w:line="360" w:lineRule="auto"/>
        <w:ind w:firstLine="482" w:firstLineChars="0"/>
        <w:jc w:val="righ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企业法定代表人：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kern w:val="2"/>
          <w:sz w:val="24"/>
          <w:szCs w:val="24"/>
        </w:rPr>
        <w:t>（签字或盖章）</w:t>
      </w:r>
    </w:p>
    <w:p w14:paraId="68FAA05C">
      <w:pPr>
        <w:spacing w:line="240" w:lineRule="auto"/>
        <w:ind w:firstLine="482" w:firstLineChars="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年   月   日</w:t>
      </w:r>
    </w:p>
    <w:p w14:paraId="562B7E5D">
      <w:pPr>
        <w:widowControl w:val="0"/>
        <w:autoSpaceDE w:val="0"/>
        <w:autoSpaceDN w:val="0"/>
        <w:adjustRightInd w:val="0"/>
        <w:spacing w:line="360" w:lineRule="auto"/>
        <w:rPr>
          <w:rFonts w:hint="eastAsia" w:ascii="宋体" w:hAnsi="宋体" w:eastAsia="宋体" w:cs="宋体"/>
          <w:color w:val="auto"/>
          <w:sz w:val="24"/>
          <w:szCs w:val="24"/>
          <w:lang w:val="en-US" w:eastAsia="zh-CN" w:bidi="ar-SA"/>
        </w:rPr>
      </w:pPr>
    </w:p>
    <w:p w14:paraId="0514910F">
      <w:pPr>
        <w:spacing w:line="360" w:lineRule="auto"/>
        <w:ind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注：</w:t>
      </w:r>
      <w:r>
        <w:rPr>
          <w:rFonts w:hint="eastAsia" w:ascii="宋体" w:hAnsi="宋体" w:eastAsia="宋体" w:cs="宋体"/>
          <w:color w:val="auto"/>
          <w:kern w:val="2"/>
          <w:sz w:val="24"/>
          <w:szCs w:val="24"/>
          <w:lang w:val="en-US" w:eastAsia="zh-CN"/>
        </w:rPr>
        <w:t>1.成交供应商为残疾人福利性单位的，采购代理机构应当随成交结果同时公告其《残疾人福利性单位声明函》。</w:t>
      </w:r>
    </w:p>
    <w:p w14:paraId="1902AA36">
      <w:pPr>
        <w:ind w:firstLine="482"/>
        <w:jc w:val="both"/>
        <w:rPr>
          <w:rFonts w:hint="eastAsia" w:ascii="宋体" w:hAnsi="宋体" w:eastAsia="宋体" w:cs="宋体"/>
          <w:b/>
          <w:color w:val="auto"/>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若无此项内容，可不提供此函。</w:t>
      </w:r>
    </w:p>
    <w:p w14:paraId="29739937">
      <w:pPr>
        <w:keepNext w:val="0"/>
        <w:keepLines w:val="0"/>
        <w:pageBreakBefore w:val="0"/>
        <w:numPr>
          <w:ilvl w:val="0"/>
          <w:numId w:val="0"/>
        </w:numPr>
        <w:kinsoku/>
        <w:wordWrap/>
        <w:overflowPunct/>
        <w:topLinePunct w:val="0"/>
        <w:bidi w:val="0"/>
        <w:adjustRightInd/>
        <w:snapToGrid/>
        <w:spacing w:line="360" w:lineRule="auto"/>
        <w:ind w:left="0" w:leftChars="0"/>
        <w:jc w:val="center"/>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lang w:val="zh-CN"/>
        </w:rPr>
        <w:br w:type="page"/>
      </w:r>
      <w:r>
        <w:rPr>
          <w:rFonts w:hint="eastAsia" w:ascii="宋体" w:hAnsi="宋体" w:eastAsia="宋体" w:cs="宋体"/>
          <w:b/>
          <w:bCs/>
          <w:color w:val="auto"/>
          <w:kern w:val="2"/>
          <w:sz w:val="24"/>
          <w:szCs w:val="24"/>
          <w:lang w:val="en-US" w:eastAsia="zh-CN" w:bidi="ar-SA"/>
        </w:rPr>
        <w:t>4.监狱企业证明资料</w:t>
      </w:r>
      <w:bookmarkEnd w:id="471"/>
      <w:bookmarkEnd w:id="472"/>
    </w:p>
    <w:p w14:paraId="231C98D2">
      <w:pPr>
        <w:spacing w:line="360" w:lineRule="auto"/>
        <w:ind w:firstLine="480" w:firstLineChars="200"/>
        <w:rPr>
          <w:rFonts w:hint="eastAsia" w:ascii="宋体" w:hAnsi="宋体" w:eastAsia="宋体" w:cs="宋体"/>
          <w:color w:val="auto"/>
          <w:kern w:val="2"/>
          <w:sz w:val="24"/>
          <w:szCs w:val="24"/>
          <w:lang w:val="en-US" w:eastAsia="zh-CN"/>
        </w:rPr>
      </w:pPr>
      <w:bookmarkStart w:id="473" w:name="_Toc4623"/>
      <w:bookmarkStart w:id="474" w:name="_Toc21346"/>
      <w:bookmarkStart w:id="475" w:name="_Toc23033_WPSOffice_Level3"/>
      <w:bookmarkStart w:id="476" w:name="_Toc12068_WPSOffice_Level3"/>
      <w:r>
        <w:rPr>
          <w:rFonts w:hint="eastAsia" w:ascii="宋体" w:hAnsi="宋体" w:eastAsia="宋体" w:cs="宋体"/>
          <w:color w:val="auto"/>
          <w:kern w:val="2"/>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E081DB">
      <w:pPr>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监狱企业参加政府采购活动时，应当提供由省级以上监狱管理局、戒毒管理局（含新疆生产建设兵团）出具的属于监狱企业的证明文件。</w:t>
      </w:r>
    </w:p>
    <w:p w14:paraId="3FA2CF33">
      <w:pPr>
        <w:spacing w:line="360" w:lineRule="auto"/>
        <w:ind w:firstLine="0" w:firstLineChars="0"/>
        <w:rPr>
          <w:rFonts w:hint="eastAsia" w:ascii="宋体" w:hAnsi="宋体" w:eastAsia="宋体" w:cs="宋体"/>
          <w:color w:val="auto"/>
          <w:kern w:val="2"/>
          <w:sz w:val="24"/>
          <w:szCs w:val="24"/>
        </w:rPr>
      </w:pPr>
    </w:p>
    <w:p w14:paraId="64673903">
      <w:pPr>
        <w:spacing w:line="360" w:lineRule="auto"/>
        <w:ind w:firstLine="0" w:firstLineChars="0"/>
        <w:rPr>
          <w:rFonts w:hint="eastAsia" w:ascii="宋体" w:hAnsi="宋体" w:eastAsia="宋体" w:cs="宋体"/>
          <w:color w:val="auto"/>
          <w:kern w:val="2"/>
          <w:sz w:val="24"/>
          <w:szCs w:val="24"/>
        </w:rPr>
      </w:pPr>
    </w:p>
    <w:p w14:paraId="3DA5C304">
      <w:pPr>
        <w:widowControl w:val="0"/>
        <w:snapToGrid w:val="0"/>
        <w:jc w:val="left"/>
        <w:rPr>
          <w:rFonts w:hint="eastAsia" w:ascii="宋体" w:hAnsi="宋体" w:eastAsia="宋体" w:cs="宋体"/>
          <w:color w:val="auto"/>
          <w:kern w:val="2"/>
          <w:sz w:val="18"/>
          <w:szCs w:val="18"/>
          <w:lang w:val="en-US" w:eastAsia="zh-CN" w:bidi="ar-SA"/>
        </w:rPr>
      </w:pPr>
    </w:p>
    <w:p w14:paraId="2174DDC2">
      <w:pPr>
        <w:spacing w:line="360" w:lineRule="auto"/>
        <w:rPr>
          <w:rFonts w:hint="eastAsia" w:ascii="宋体" w:hAnsi="宋体" w:eastAsia="宋体" w:cs="宋体"/>
          <w:color w:val="auto"/>
        </w:rPr>
      </w:pPr>
      <w:r>
        <w:rPr>
          <w:rFonts w:hint="eastAsia" w:ascii="宋体" w:hAnsi="宋体" w:eastAsia="宋体" w:cs="宋体"/>
          <w:color w:val="auto"/>
          <w:kern w:val="2"/>
          <w:sz w:val="24"/>
          <w:szCs w:val="24"/>
        </w:rPr>
        <w:t>注：若无此项内容，可不提供。</w:t>
      </w:r>
    </w:p>
    <w:p w14:paraId="0A4F31C0">
      <w:pPr>
        <w:rPr>
          <w:rFonts w:hint="eastAsia" w:ascii="宋体" w:hAnsi="宋体" w:eastAsia="宋体" w:cs="宋体"/>
          <w:color w:val="auto"/>
        </w:rPr>
      </w:pPr>
    </w:p>
    <w:p w14:paraId="6BA209DC">
      <w:pPr>
        <w:rPr>
          <w:rFonts w:hint="eastAsia" w:ascii="宋体" w:hAnsi="宋体" w:eastAsia="宋体" w:cs="宋体"/>
          <w:color w:val="auto"/>
        </w:rPr>
      </w:pPr>
      <w:r>
        <w:rPr>
          <w:rFonts w:hint="eastAsia" w:ascii="宋体" w:hAnsi="宋体" w:eastAsia="宋体" w:cs="宋体"/>
          <w:b/>
          <w:color w:val="auto"/>
          <w:kern w:val="28"/>
          <w:sz w:val="36"/>
          <w:szCs w:val="20"/>
        </w:rPr>
        <w:br w:type="page"/>
      </w:r>
    </w:p>
    <w:p w14:paraId="3ED4B6A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8"/>
          <w:szCs w:val="28"/>
          <w:lang w:val="en-US" w:eastAsia="zh-CN" w:bidi="ar-SA"/>
        </w:rPr>
        <w:t>附件15：最后报价表</w:t>
      </w:r>
      <w:bookmarkEnd w:id="473"/>
      <w:bookmarkEnd w:id="474"/>
      <w:bookmarkEnd w:id="475"/>
      <w:bookmarkEnd w:id="476"/>
    </w:p>
    <w:p w14:paraId="20757899">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2"/>
          <w:sz w:val="24"/>
          <w:szCs w:val="24"/>
          <w:lang w:val="en-US" w:eastAsia="zh-CN" w:bidi="ar-SA"/>
        </w:rPr>
        <w:t>最后报价表</w:t>
      </w:r>
    </w:p>
    <w:p w14:paraId="52A1D11F">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b/>
          <w:bCs w:val="0"/>
          <w:color w:val="auto"/>
          <w:sz w:val="24"/>
          <w:szCs w:val="24"/>
        </w:rPr>
      </w:pPr>
      <w:bookmarkStart w:id="477" w:name="_Toc31451_WPSOffice_Level2"/>
      <w:bookmarkStart w:id="478" w:name="_Toc26632_WPSOffice_Level2"/>
      <w:r>
        <w:rPr>
          <w:rFonts w:hint="eastAsia" w:ascii="宋体" w:hAnsi="宋体" w:eastAsia="宋体" w:cs="宋体"/>
          <w:b/>
          <w:bCs w:val="0"/>
          <w:color w:val="auto"/>
          <w:sz w:val="24"/>
          <w:szCs w:val="24"/>
        </w:rPr>
        <w:t>项目名称：</w:t>
      </w:r>
      <w:bookmarkEnd w:id="477"/>
      <w:bookmarkEnd w:id="478"/>
    </w:p>
    <w:p w14:paraId="4EC194F4">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val="0"/>
          <w:color w:val="auto"/>
          <w:sz w:val="24"/>
          <w:szCs w:val="24"/>
          <w:lang w:val="en-US" w:eastAsia="zh-CN"/>
        </w:rPr>
      </w:pPr>
      <w:bookmarkStart w:id="479" w:name="_Toc18301_WPSOffice_Level2"/>
      <w:bookmarkStart w:id="480" w:name="_Toc16830_WPSOffice_Level2"/>
      <w:r>
        <w:rPr>
          <w:rFonts w:hint="eastAsia" w:ascii="宋体" w:hAnsi="宋体" w:eastAsia="宋体" w:cs="宋体"/>
          <w:b/>
          <w:bCs w:val="0"/>
          <w:color w:val="auto"/>
          <w:sz w:val="24"/>
          <w:szCs w:val="24"/>
        </w:rPr>
        <w:t>项目编号：</w:t>
      </w:r>
    </w:p>
    <w:p w14:paraId="18E3D362">
      <w:pPr>
        <w:keepNext w:val="0"/>
        <w:keepLines w:val="0"/>
        <w:pageBreakBefore w:val="0"/>
        <w:kinsoku/>
        <w:wordWrap/>
        <w:overflowPunct/>
        <w:topLinePunct w:val="0"/>
        <w:bidi w:val="0"/>
        <w:adjustRightInd/>
        <w:snapToGrid/>
        <w:spacing w:line="360" w:lineRule="auto"/>
        <w:jc w:val="right"/>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单位：</w:t>
      </w:r>
      <w:r>
        <w:rPr>
          <w:rFonts w:hint="eastAsia" w:ascii="宋体" w:hAnsi="宋体" w:eastAsia="宋体" w:cs="宋体"/>
          <w:bCs/>
          <w:color w:val="auto"/>
          <w:sz w:val="24"/>
          <w:szCs w:val="24"/>
        </w:rPr>
        <w:t>人民币(元)</w:t>
      </w:r>
      <w:bookmarkEnd w:id="479"/>
      <w:bookmarkEnd w:id="480"/>
    </w:p>
    <w:tbl>
      <w:tblPr>
        <w:tblStyle w:val="17"/>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3065"/>
        <w:gridCol w:w="1879"/>
      </w:tblGrid>
      <w:tr w14:paraId="3AD0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center"/>
          </w:tcPr>
          <w:p w14:paraId="273204DF">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最初报价</w:t>
            </w:r>
          </w:p>
        </w:tc>
        <w:tc>
          <w:tcPr>
            <w:tcW w:w="3065" w:type="dxa"/>
            <w:vAlign w:val="center"/>
          </w:tcPr>
          <w:p w14:paraId="11A9103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最后报价</w:t>
            </w:r>
          </w:p>
        </w:tc>
        <w:tc>
          <w:tcPr>
            <w:tcW w:w="1879" w:type="dxa"/>
            <w:vAlign w:val="center"/>
          </w:tcPr>
          <w:p w14:paraId="3323F68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交货时间</w:t>
            </w:r>
          </w:p>
        </w:tc>
      </w:tr>
      <w:tr w14:paraId="13CF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top"/>
          </w:tcPr>
          <w:p w14:paraId="6214C127">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3065" w:type="dxa"/>
            <w:vAlign w:val="top"/>
          </w:tcPr>
          <w:p w14:paraId="0429EF08">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1879" w:type="dxa"/>
            <w:vMerge w:val="restart"/>
            <w:vAlign w:val="center"/>
          </w:tcPr>
          <w:p w14:paraId="7AF2E875">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0D9D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top"/>
          </w:tcPr>
          <w:p w14:paraId="2B85A56C">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3065" w:type="dxa"/>
            <w:vAlign w:val="top"/>
          </w:tcPr>
          <w:p w14:paraId="169B7CD9">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1879" w:type="dxa"/>
            <w:vMerge w:val="continue"/>
            <w:vAlign w:val="center"/>
          </w:tcPr>
          <w:p w14:paraId="553C523D">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3C88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9152" w:type="dxa"/>
            <w:gridSpan w:val="3"/>
            <w:tcBorders>
              <w:bottom w:val="single" w:color="auto" w:sz="4" w:space="0"/>
            </w:tcBorders>
            <w:vAlign w:val="top"/>
          </w:tcPr>
          <w:p w14:paraId="52B49ECA">
            <w:pPr>
              <w:keepNext w:val="0"/>
              <w:keepLines w:val="0"/>
              <w:pageBreakBefore w:val="0"/>
              <w:widowControl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最终确定的质量保证及服务承诺</w:t>
            </w:r>
            <w:r>
              <w:rPr>
                <w:rFonts w:hint="eastAsia" w:ascii="宋体" w:hAnsi="宋体" w:eastAsia="宋体" w:cs="宋体"/>
                <w:b/>
                <w:bCs w:val="0"/>
                <w:color w:val="auto"/>
                <w:sz w:val="24"/>
                <w:szCs w:val="24"/>
                <w:lang w:eastAsia="zh-CN"/>
              </w:rPr>
              <w:t>：</w:t>
            </w:r>
          </w:p>
          <w:p w14:paraId="5FB298AB">
            <w:pPr>
              <w:keepNext w:val="0"/>
              <w:keepLines w:val="0"/>
              <w:pageBreakBefore w:val="0"/>
              <w:widowControl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bCs w:val="0"/>
                <w:color w:val="auto"/>
                <w:sz w:val="24"/>
                <w:szCs w:val="24"/>
                <w:lang w:eastAsia="zh-CN"/>
              </w:rPr>
            </w:pPr>
          </w:p>
        </w:tc>
      </w:tr>
    </w:tbl>
    <w:p w14:paraId="3EC692D1">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此表不需装订在响应文件中，供应商事先须盖章、签字。在</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期间，由</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小组确定合格的供应商</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填写</w:t>
      </w:r>
      <w:r>
        <w:rPr>
          <w:rFonts w:hint="eastAsia" w:ascii="宋体" w:hAnsi="宋体" w:eastAsia="宋体" w:cs="宋体"/>
          <w:color w:val="auto"/>
          <w:sz w:val="24"/>
          <w:szCs w:val="24"/>
          <w:lang w:val="en-US" w:eastAsia="zh-CN"/>
        </w:rPr>
        <w:t>并上传</w:t>
      </w:r>
      <w:r>
        <w:rPr>
          <w:rFonts w:hint="eastAsia" w:ascii="宋体" w:hAnsi="宋体" w:eastAsia="宋体" w:cs="宋体"/>
          <w:color w:val="auto"/>
          <w:sz w:val="24"/>
          <w:szCs w:val="24"/>
        </w:rPr>
        <w:t>。</w:t>
      </w:r>
    </w:p>
    <w:p w14:paraId="3FBE9343">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2.未在最终轮次规定时间（60分钟）内进行响应报价的，按首轮报价进行评审，退出谈判的除外。</w:t>
      </w:r>
    </w:p>
    <w:p w14:paraId="710E7169">
      <w:pPr>
        <w:pStyle w:val="44"/>
        <w:spacing w:line="360" w:lineRule="auto"/>
        <w:ind w:left="0" w:leftChars="0" w:firstLine="0" w:firstLineChars="0"/>
        <w:rPr>
          <w:rFonts w:hint="eastAsia" w:ascii="宋体" w:hAnsi="宋体" w:eastAsia="宋体" w:cs="宋体"/>
          <w:b/>
          <w:bCs w:val="0"/>
          <w:color w:val="auto"/>
          <w:sz w:val="24"/>
          <w:szCs w:val="24"/>
          <w:lang w:val="en-US" w:eastAsia="zh-CN"/>
        </w:rPr>
      </w:pPr>
    </w:p>
    <w:p w14:paraId="6C1DC369">
      <w:pPr>
        <w:pStyle w:val="44"/>
        <w:spacing w:line="360" w:lineRule="auto"/>
        <w:ind w:left="0" w:leftChars="0" w:firstLine="0" w:firstLineChars="0"/>
        <w:rPr>
          <w:rFonts w:hint="eastAsia" w:ascii="宋体" w:hAnsi="宋体" w:eastAsia="宋体" w:cs="宋体"/>
          <w:b/>
          <w:bCs w:val="0"/>
          <w:color w:val="auto"/>
          <w:sz w:val="24"/>
          <w:szCs w:val="24"/>
          <w:lang w:val="en-US" w:eastAsia="zh-CN"/>
        </w:rPr>
      </w:pPr>
    </w:p>
    <w:p w14:paraId="5C52D989">
      <w:pPr>
        <w:pStyle w:val="44"/>
        <w:spacing w:line="360" w:lineRule="auto"/>
        <w:ind w:left="0" w:leftChars="0" w:firstLine="0" w:firstLineChars="0"/>
        <w:rPr>
          <w:rFonts w:hint="eastAsia" w:ascii="宋体" w:hAnsi="宋体" w:eastAsia="宋体" w:cs="宋体"/>
          <w:b/>
          <w:bCs w:val="0"/>
          <w:color w:val="auto"/>
          <w:sz w:val="24"/>
          <w:szCs w:val="24"/>
          <w:lang w:val="en-US" w:eastAsia="zh-CN"/>
        </w:rPr>
      </w:pPr>
    </w:p>
    <w:p w14:paraId="312C67C4">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015A9B5D">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4C1B406A">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0E94EB50">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p>
    <w:p w14:paraId="6070802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rPr>
      </w:pPr>
      <w:r>
        <w:rPr>
          <w:rFonts w:hint="eastAsia" w:ascii="宋体" w:hAnsi="宋体" w:eastAsia="宋体" w:cs="宋体"/>
          <w:b/>
          <w:color w:val="auto"/>
          <w:sz w:val="24"/>
        </w:rPr>
        <w:br w:type="page"/>
      </w:r>
    </w:p>
    <w:p w14:paraId="60644DBE">
      <w:pPr>
        <w:widowControl/>
        <w:wordWrap/>
        <w:spacing w:before="157" w:beforeLines="50" w:line="560" w:lineRule="exact"/>
        <w:jc w:val="center"/>
        <w:outlineLvl w:val="0"/>
        <w:rPr>
          <w:rFonts w:hint="eastAsia" w:ascii="宋体" w:hAnsi="宋体" w:eastAsia="宋体" w:cs="宋体"/>
          <w:b/>
          <w:bCs/>
          <w:color w:val="auto"/>
          <w:sz w:val="32"/>
          <w:szCs w:val="32"/>
        </w:rPr>
      </w:pPr>
      <w:bookmarkStart w:id="481" w:name="_Toc376936766"/>
      <w:bookmarkStart w:id="482" w:name="_Toc1031"/>
      <w:bookmarkStart w:id="483" w:name="_Toc24112_WPSOffice_Level1"/>
      <w:bookmarkStart w:id="484" w:name="_Toc7329_WPSOffice_Level1"/>
      <w:bookmarkStart w:id="485" w:name="_Toc5169"/>
      <w:bookmarkStart w:id="486" w:name="_Toc23722_WPSOffice_Level1"/>
      <w:bookmarkStart w:id="487" w:name="_Toc16779_WPSOffice_Level1"/>
      <w:bookmarkStart w:id="488" w:name="_Toc416183225"/>
      <w:bookmarkStart w:id="489" w:name="_Toc16082_WPSOffice_Level1"/>
      <w:bookmarkStart w:id="490" w:name="_Toc23740"/>
      <w:bookmarkStart w:id="491" w:name="_Toc5233"/>
      <w:bookmarkStart w:id="492" w:name="_Toc12949996"/>
      <w:bookmarkStart w:id="493" w:name="_Toc27557_WPSOffice_Level1"/>
      <w:r>
        <w:rPr>
          <w:rFonts w:hint="eastAsia" w:ascii="宋体" w:hAnsi="宋体" w:eastAsia="宋体" w:cs="宋体"/>
          <w:b/>
          <w:bCs/>
          <w:color w:val="auto"/>
          <w:sz w:val="32"/>
          <w:szCs w:val="32"/>
          <w:lang w:eastAsia="zh-CN"/>
        </w:rPr>
        <w:t>第五部分</w:t>
      </w:r>
      <w:r>
        <w:rPr>
          <w:rFonts w:hint="eastAsia" w:ascii="宋体" w:hAnsi="宋体" w:eastAsia="宋体" w:cs="宋体"/>
          <w:b/>
          <w:bCs/>
          <w:color w:val="auto"/>
          <w:sz w:val="32"/>
          <w:szCs w:val="32"/>
        </w:rPr>
        <w:t xml:space="preserve"> </w:t>
      </w:r>
      <w:bookmarkEnd w:id="481"/>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青海省政府采购项目合同书</w:t>
      </w:r>
      <w:bookmarkEnd w:id="482"/>
      <w:bookmarkEnd w:id="483"/>
      <w:bookmarkEnd w:id="484"/>
      <w:bookmarkEnd w:id="485"/>
    </w:p>
    <w:p w14:paraId="3CA840CC">
      <w:pPr>
        <w:bidi w:val="0"/>
        <w:jc w:val="both"/>
        <w:rPr>
          <w:rFonts w:hint="eastAsia" w:ascii="宋体" w:hAnsi="宋体" w:eastAsia="宋体" w:cs="宋体"/>
          <w:color w:val="auto"/>
          <w:sz w:val="32"/>
          <w:szCs w:val="32"/>
        </w:rPr>
      </w:pPr>
      <w:bookmarkStart w:id="494" w:name="_Toc32639"/>
      <w:bookmarkStart w:id="495" w:name="_Toc29785_WPSOffice_Level1"/>
      <w:bookmarkStart w:id="496" w:name="_Toc22776_WPSOffice_Level1"/>
    </w:p>
    <w:p w14:paraId="667EA5C9">
      <w:pPr>
        <w:bidi w:val="0"/>
        <w:jc w:val="center"/>
        <w:rPr>
          <w:rFonts w:hint="eastAsia" w:ascii="宋体" w:hAnsi="宋体" w:eastAsia="宋体" w:cs="宋体"/>
          <w:color w:val="auto"/>
          <w:sz w:val="44"/>
          <w:szCs w:val="52"/>
        </w:rPr>
      </w:pPr>
      <w:r>
        <w:rPr>
          <w:rFonts w:hint="eastAsia" w:ascii="宋体" w:hAnsi="宋体" w:eastAsia="宋体" w:cs="宋体"/>
          <w:color w:val="auto"/>
          <w:sz w:val="44"/>
          <w:szCs w:val="52"/>
        </w:rPr>
        <w:t>（</w:t>
      </w:r>
      <w:r>
        <w:rPr>
          <w:rFonts w:hint="eastAsia" w:ascii="宋体" w:hAnsi="宋体" w:eastAsia="宋体" w:cs="宋体"/>
          <w:color w:val="auto"/>
          <w:sz w:val="44"/>
          <w:szCs w:val="52"/>
          <w:lang w:val="en-US" w:eastAsia="zh-CN"/>
        </w:rPr>
        <w:t>货物</w:t>
      </w:r>
      <w:r>
        <w:rPr>
          <w:rFonts w:hint="eastAsia" w:ascii="宋体" w:hAnsi="宋体" w:eastAsia="宋体" w:cs="宋体"/>
          <w:color w:val="auto"/>
          <w:sz w:val="44"/>
          <w:szCs w:val="52"/>
        </w:rPr>
        <w:t>类）</w:t>
      </w:r>
      <w:bookmarkEnd w:id="486"/>
      <w:bookmarkEnd w:id="487"/>
      <w:bookmarkEnd w:id="488"/>
      <w:bookmarkEnd w:id="489"/>
      <w:bookmarkEnd w:id="490"/>
      <w:bookmarkEnd w:id="491"/>
      <w:bookmarkEnd w:id="492"/>
      <w:bookmarkEnd w:id="493"/>
      <w:bookmarkEnd w:id="494"/>
      <w:bookmarkEnd w:id="495"/>
      <w:bookmarkEnd w:id="496"/>
    </w:p>
    <w:p w14:paraId="185986E7">
      <w:pPr>
        <w:bidi w:val="0"/>
        <w:rPr>
          <w:rFonts w:hint="eastAsia" w:ascii="宋体" w:hAnsi="宋体" w:eastAsia="宋体" w:cs="宋体"/>
          <w:color w:val="auto"/>
          <w:sz w:val="32"/>
          <w:szCs w:val="32"/>
        </w:rPr>
      </w:pPr>
      <w:bookmarkStart w:id="497" w:name="_Toc373936315"/>
      <w:bookmarkStart w:id="498" w:name="_Toc375576842"/>
      <w:bookmarkStart w:id="499" w:name="_Toc373954603"/>
    </w:p>
    <w:bookmarkEnd w:id="497"/>
    <w:bookmarkEnd w:id="498"/>
    <w:bookmarkEnd w:id="499"/>
    <w:p w14:paraId="011CE863">
      <w:pPr>
        <w:keepNext/>
        <w:keepLines/>
        <w:widowControl/>
        <w:wordWrap/>
        <w:snapToGrid w:val="0"/>
        <w:spacing w:before="157" w:beforeLines="50" w:line="560" w:lineRule="exact"/>
        <w:jc w:val="center"/>
        <w:outlineLvl w:val="9"/>
        <w:rPr>
          <w:rFonts w:hint="eastAsia" w:ascii="宋体" w:hAnsi="宋体" w:eastAsia="宋体" w:cs="宋体"/>
          <w:b/>
          <w:bCs w:val="0"/>
          <w:color w:val="auto"/>
          <w:kern w:val="28"/>
          <w:sz w:val="32"/>
          <w:szCs w:val="32"/>
        </w:rPr>
      </w:pPr>
      <w:bookmarkStart w:id="500" w:name="_Toc9715"/>
      <w:bookmarkStart w:id="501" w:name="_Toc10999_WPSOffice_Level1"/>
      <w:bookmarkStart w:id="502" w:name="_Toc416183226"/>
      <w:bookmarkStart w:id="503" w:name="_Toc8067_WPSOffice_Level1"/>
      <w:bookmarkStart w:id="504" w:name="_Toc9152_WPSOffice_Level1"/>
      <w:bookmarkStart w:id="505" w:name="_Toc31604_WPSOffice_Level1"/>
      <w:bookmarkStart w:id="506" w:name="_Toc3676_WPSOffice_Level1"/>
      <w:bookmarkStart w:id="507" w:name="_Toc4308"/>
      <w:bookmarkStart w:id="508" w:name="_Toc12949997"/>
      <w:r>
        <w:rPr>
          <w:rFonts w:hint="eastAsia" w:ascii="宋体" w:hAnsi="宋体" w:eastAsia="宋体" w:cs="宋体"/>
          <w:b/>
          <w:bCs w:val="0"/>
          <w:color w:val="auto"/>
          <w:kern w:val="28"/>
          <w:sz w:val="32"/>
          <w:szCs w:val="32"/>
        </w:rPr>
        <w:t>青海省政府采购项目合同书</w:t>
      </w:r>
      <w:bookmarkEnd w:id="500"/>
      <w:bookmarkEnd w:id="501"/>
      <w:bookmarkEnd w:id="502"/>
      <w:bookmarkEnd w:id="503"/>
      <w:bookmarkEnd w:id="504"/>
      <w:bookmarkEnd w:id="505"/>
      <w:bookmarkEnd w:id="506"/>
      <w:bookmarkEnd w:id="507"/>
      <w:bookmarkEnd w:id="508"/>
    </w:p>
    <w:p w14:paraId="77950FD3">
      <w:pPr>
        <w:pStyle w:val="25"/>
        <w:rPr>
          <w:rFonts w:hint="eastAsia" w:ascii="宋体" w:hAnsi="宋体" w:eastAsia="宋体" w:cs="宋体"/>
          <w:b/>
          <w:bCs w:val="0"/>
          <w:color w:val="auto"/>
          <w:kern w:val="28"/>
          <w:sz w:val="32"/>
          <w:szCs w:val="32"/>
          <w:lang w:val="zh-CN" w:eastAsia="zh-CN" w:bidi="ar-SA"/>
        </w:rPr>
      </w:pPr>
    </w:p>
    <w:p w14:paraId="0F49A703">
      <w:pPr>
        <w:pStyle w:val="25"/>
        <w:rPr>
          <w:rFonts w:hint="eastAsia" w:ascii="宋体" w:hAnsi="宋体" w:eastAsia="宋体" w:cs="宋体"/>
          <w:b/>
          <w:bCs w:val="0"/>
          <w:color w:val="auto"/>
          <w:kern w:val="28"/>
          <w:sz w:val="32"/>
          <w:szCs w:val="32"/>
          <w:lang w:val="en-US" w:eastAsia="zh-CN" w:bidi="ar-SA"/>
        </w:rPr>
      </w:pPr>
    </w:p>
    <w:p w14:paraId="239C5FD1">
      <w:pPr>
        <w:wordWrap/>
        <w:spacing w:before="157" w:beforeLines="50" w:line="560" w:lineRule="exact"/>
        <w:jc w:val="both"/>
        <w:outlineLvl w:val="9"/>
        <w:rPr>
          <w:rFonts w:hint="eastAsia" w:ascii="宋体" w:hAnsi="宋体" w:eastAsia="宋体" w:cs="宋体"/>
          <w:b w:val="0"/>
          <w:bCs/>
          <w:color w:val="auto"/>
          <w:sz w:val="32"/>
          <w:szCs w:val="32"/>
        </w:rPr>
      </w:pPr>
    </w:p>
    <w:p w14:paraId="0443034A">
      <w:pPr>
        <w:pStyle w:val="10"/>
        <w:rPr>
          <w:rFonts w:hint="eastAsia" w:ascii="宋体" w:hAnsi="宋体" w:eastAsia="宋体" w:cs="宋体"/>
          <w:b w:val="0"/>
          <w:bCs/>
          <w:color w:val="auto"/>
          <w:sz w:val="32"/>
          <w:szCs w:val="32"/>
        </w:rPr>
      </w:pPr>
    </w:p>
    <w:p w14:paraId="19061F99">
      <w:pPr>
        <w:pStyle w:val="10"/>
        <w:rPr>
          <w:rFonts w:hint="eastAsia" w:ascii="宋体" w:hAnsi="宋体" w:eastAsia="宋体" w:cs="宋体"/>
          <w:b w:val="0"/>
          <w:bCs/>
          <w:color w:val="auto"/>
          <w:sz w:val="32"/>
          <w:szCs w:val="32"/>
        </w:rPr>
      </w:pPr>
    </w:p>
    <w:p w14:paraId="3C41A4BC">
      <w:pPr>
        <w:pStyle w:val="10"/>
        <w:rPr>
          <w:rFonts w:hint="eastAsia" w:ascii="宋体" w:hAnsi="宋体" w:eastAsia="宋体" w:cs="宋体"/>
          <w:b w:val="0"/>
          <w:bCs/>
          <w:color w:val="auto"/>
          <w:sz w:val="32"/>
          <w:szCs w:val="32"/>
        </w:rPr>
      </w:pPr>
    </w:p>
    <w:p w14:paraId="68D9D450">
      <w:pPr>
        <w:pStyle w:val="10"/>
        <w:rPr>
          <w:rFonts w:hint="eastAsia" w:ascii="宋体" w:hAnsi="宋体" w:eastAsia="宋体" w:cs="宋体"/>
          <w:b w:val="0"/>
          <w:bCs/>
          <w:color w:val="auto"/>
          <w:sz w:val="32"/>
          <w:szCs w:val="32"/>
        </w:rPr>
      </w:pPr>
    </w:p>
    <w:p w14:paraId="41F31D8D">
      <w:pPr>
        <w:wordWrap/>
        <w:spacing w:before="157" w:beforeLines="50" w:line="560" w:lineRule="exact"/>
        <w:outlineLvl w:val="9"/>
        <w:rPr>
          <w:rFonts w:hint="eastAsia" w:ascii="宋体" w:hAnsi="宋体" w:eastAsia="宋体" w:cs="宋体"/>
          <w:b/>
          <w:bCs w:val="0"/>
          <w:color w:val="auto"/>
          <w:sz w:val="28"/>
          <w:szCs w:val="28"/>
          <w:u w:val="single"/>
          <w:lang w:val="en-US"/>
        </w:rPr>
      </w:pPr>
      <w:bookmarkStart w:id="509" w:name="_Toc19373_WPSOffice_Level1"/>
      <w:bookmarkStart w:id="510" w:name="_Toc23548_WPSOffice_Level1"/>
      <w:bookmarkStart w:id="511" w:name="_Toc23338_WPSOffice_Level1"/>
      <w:bookmarkStart w:id="512" w:name="_Toc18140_WPSOffice_Level1"/>
      <w:r>
        <w:rPr>
          <w:rFonts w:hint="eastAsia" w:ascii="宋体" w:hAnsi="宋体" w:eastAsia="宋体" w:cs="宋体"/>
          <w:b/>
          <w:bCs w:val="0"/>
          <w:color w:val="auto"/>
          <w:sz w:val="28"/>
          <w:szCs w:val="28"/>
        </w:rPr>
        <w:t>采购项目名称：</w:t>
      </w:r>
      <w:bookmarkEnd w:id="509"/>
      <w:bookmarkEnd w:id="510"/>
      <w:bookmarkEnd w:id="511"/>
      <w:bookmarkEnd w:id="512"/>
      <w:r>
        <w:rPr>
          <w:rFonts w:hint="eastAsia" w:ascii="宋体" w:hAnsi="宋体" w:eastAsia="宋体" w:cs="宋体"/>
          <w:b/>
          <w:bCs w:val="0"/>
          <w:color w:val="auto"/>
          <w:sz w:val="28"/>
          <w:szCs w:val="28"/>
          <w:u w:val="single"/>
          <w:lang w:val="en-US" w:eastAsia="zh-CN"/>
        </w:rPr>
        <w:t>2025年乌兰县智慧教育项目</w:t>
      </w:r>
    </w:p>
    <w:p w14:paraId="4DCEB9AE">
      <w:pPr>
        <w:wordWrap/>
        <w:spacing w:before="157" w:beforeLines="50" w:line="560" w:lineRule="exact"/>
        <w:outlineLvl w:val="9"/>
        <w:rPr>
          <w:rFonts w:hint="eastAsia" w:ascii="宋体" w:hAnsi="宋体" w:eastAsia="宋体" w:cs="宋体"/>
          <w:b/>
          <w:bCs w:val="0"/>
          <w:color w:val="auto"/>
          <w:sz w:val="28"/>
          <w:szCs w:val="28"/>
          <w:u w:val="single"/>
        </w:rPr>
      </w:pPr>
      <w:bookmarkStart w:id="513" w:name="_Toc2770_WPSOffice_Level1"/>
      <w:bookmarkStart w:id="514" w:name="_Toc2957_WPSOffice_Level1"/>
      <w:bookmarkStart w:id="515" w:name="_Toc19950_WPSOffice_Level1"/>
      <w:bookmarkStart w:id="516" w:name="_Toc20437_WPSOffice_Level1"/>
      <w:r>
        <w:rPr>
          <w:rFonts w:hint="eastAsia" w:ascii="宋体" w:hAnsi="宋体" w:eastAsia="宋体" w:cs="宋体"/>
          <w:b/>
          <w:bCs w:val="0"/>
          <w:color w:val="auto"/>
          <w:sz w:val="28"/>
          <w:szCs w:val="28"/>
        </w:rPr>
        <w:t>采购项目编号：</w:t>
      </w:r>
      <w:bookmarkEnd w:id="513"/>
      <w:bookmarkEnd w:id="514"/>
      <w:bookmarkEnd w:id="515"/>
      <w:bookmarkEnd w:id="516"/>
      <w:r>
        <w:rPr>
          <w:rFonts w:hint="eastAsia" w:ascii="宋体" w:hAnsi="宋体" w:eastAsia="宋体" w:cs="宋体"/>
          <w:b/>
          <w:bCs w:val="0"/>
          <w:color w:val="auto"/>
          <w:sz w:val="28"/>
          <w:szCs w:val="28"/>
          <w:u w:val="single"/>
          <w:lang w:val="en-US" w:eastAsia="zh-CN"/>
        </w:rPr>
        <w:t>青海鼎钊竞谈（货物）2025-029</w:t>
      </w:r>
    </w:p>
    <w:p w14:paraId="7D8EBE0C">
      <w:pPr>
        <w:wordWrap/>
        <w:spacing w:before="157" w:beforeLines="50" w:line="560" w:lineRule="exact"/>
        <w:outlineLvl w:val="9"/>
        <w:rPr>
          <w:rFonts w:hint="eastAsia" w:ascii="宋体" w:hAnsi="宋体" w:eastAsia="宋体" w:cs="宋体"/>
          <w:b/>
          <w:bCs w:val="0"/>
          <w:color w:val="auto"/>
          <w:sz w:val="28"/>
          <w:szCs w:val="28"/>
        </w:rPr>
      </w:pPr>
      <w:bookmarkStart w:id="517" w:name="_Toc31508_WPSOffice_Level1"/>
      <w:bookmarkStart w:id="518" w:name="_Toc19490_WPSOffice_Level1"/>
      <w:bookmarkStart w:id="519" w:name="_Toc3022_WPSOffice_Level1"/>
      <w:bookmarkStart w:id="520" w:name="_Toc1998_WPSOffice_Level1"/>
      <w:r>
        <w:rPr>
          <w:rFonts w:hint="eastAsia" w:ascii="宋体" w:hAnsi="宋体" w:eastAsia="宋体" w:cs="宋体"/>
          <w:b/>
          <w:bCs w:val="0"/>
          <w:color w:val="auto"/>
          <w:sz w:val="28"/>
          <w:szCs w:val="28"/>
        </w:rPr>
        <w:t>采购合同编号：</w:t>
      </w:r>
      <w:bookmarkEnd w:id="517"/>
      <w:bookmarkEnd w:id="518"/>
      <w:bookmarkEnd w:id="519"/>
      <w:bookmarkEnd w:id="520"/>
      <w:r>
        <w:rPr>
          <w:rFonts w:hint="eastAsia" w:ascii="宋体" w:hAnsi="宋体" w:eastAsia="宋体" w:cs="宋体"/>
          <w:b/>
          <w:bCs w:val="0"/>
          <w:color w:val="auto"/>
          <w:sz w:val="28"/>
          <w:szCs w:val="28"/>
          <w:u w:val="single"/>
          <w:lang w:val="en-US" w:eastAsia="zh-CN"/>
        </w:rPr>
        <w:t xml:space="preserve">QHDZ-2025-029                </w:t>
      </w:r>
    </w:p>
    <w:p w14:paraId="3FE85412">
      <w:pPr>
        <w:wordWrap/>
        <w:spacing w:before="157" w:beforeLines="50" w:line="560" w:lineRule="exact"/>
        <w:outlineLvl w:val="9"/>
        <w:rPr>
          <w:rFonts w:hint="eastAsia" w:ascii="宋体" w:hAnsi="宋体" w:eastAsia="宋体" w:cs="宋体"/>
          <w:b/>
          <w:bCs w:val="0"/>
          <w:color w:val="auto"/>
          <w:sz w:val="28"/>
          <w:szCs w:val="28"/>
        </w:rPr>
      </w:pPr>
      <w:bookmarkStart w:id="521" w:name="_Toc24942_WPSOffice_Level1"/>
      <w:bookmarkStart w:id="522" w:name="_Toc8063_WPSOffice_Level1"/>
      <w:bookmarkStart w:id="523" w:name="_Toc5994_WPSOffice_Level1"/>
      <w:bookmarkStart w:id="524" w:name="_Toc2711_WPSOffice_Level1"/>
      <w:r>
        <w:rPr>
          <w:rFonts w:hint="eastAsia" w:ascii="宋体" w:hAnsi="宋体" w:eastAsia="宋体" w:cs="宋体"/>
          <w:b/>
          <w:bCs w:val="0"/>
          <w:color w:val="auto"/>
          <w:sz w:val="28"/>
          <w:szCs w:val="28"/>
        </w:rPr>
        <w:t>合同金额（人民币）：</w:t>
      </w:r>
      <w:bookmarkEnd w:id="521"/>
      <w:bookmarkEnd w:id="522"/>
      <w:bookmarkEnd w:id="523"/>
      <w:bookmarkEnd w:id="524"/>
      <w:r>
        <w:rPr>
          <w:rFonts w:hint="eastAsia" w:ascii="宋体" w:hAnsi="宋体" w:eastAsia="宋体" w:cs="宋体"/>
          <w:b/>
          <w:bCs w:val="0"/>
          <w:color w:val="auto"/>
          <w:sz w:val="28"/>
          <w:szCs w:val="28"/>
          <w:u w:val="single"/>
        </w:rPr>
        <w:t xml:space="preserve">                           </w:t>
      </w:r>
    </w:p>
    <w:p w14:paraId="6C8C039A">
      <w:pPr>
        <w:wordWrap/>
        <w:spacing w:before="157" w:beforeLines="50" w:line="560" w:lineRule="exact"/>
        <w:jc w:val="left"/>
        <w:outlineLvl w:val="9"/>
        <w:rPr>
          <w:rFonts w:hint="eastAsia" w:ascii="宋体" w:hAnsi="宋体" w:eastAsia="宋体" w:cs="宋体"/>
          <w:b/>
          <w:bCs w:val="0"/>
          <w:color w:val="auto"/>
          <w:sz w:val="28"/>
          <w:szCs w:val="28"/>
        </w:rPr>
      </w:pPr>
      <w:bookmarkStart w:id="525" w:name="_Toc6126_WPSOffice_Level1"/>
      <w:bookmarkStart w:id="526" w:name="_Toc10610_WPSOffice_Level1"/>
      <w:bookmarkStart w:id="527" w:name="_Toc31793_WPSOffice_Level1"/>
      <w:bookmarkStart w:id="528" w:name="_Toc3522_WPSOffice_Level1"/>
      <w:r>
        <w:rPr>
          <w:rFonts w:hint="eastAsia" w:ascii="宋体" w:hAnsi="宋体" w:eastAsia="宋体" w:cs="宋体"/>
          <w:b/>
          <w:bCs w:val="0"/>
          <w:color w:val="auto"/>
          <w:sz w:val="28"/>
          <w:szCs w:val="28"/>
          <w:lang w:val="zh-CN"/>
        </w:rPr>
        <w:t>采</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bCs w:val="0"/>
          <w:color w:val="auto"/>
          <w:sz w:val="28"/>
          <w:szCs w:val="28"/>
          <w:lang w:val="zh-CN"/>
        </w:rPr>
        <w:t>购</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bCs w:val="0"/>
          <w:color w:val="auto"/>
          <w:sz w:val="28"/>
          <w:szCs w:val="28"/>
          <w:lang w:val="zh-CN"/>
        </w:rPr>
        <w:t>人</w:t>
      </w:r>
      <w:r>
        <w:rPr>
          <w:rFonts w:hint="eastAsia" w:ascii="宋体" w:hAnsi="宋体" w:eastAsia="宋体" w:cs="宋体"/>
          <w:b/>
          <w:bCs w:val="0"/>
          <w:color w:val="auto"/>
          <w:sz w:val="28"/>
          <w:szCs w:val="28"/>
        </w:rPr>
        <w:t>（甲方）：</w:t>
      </w:r>
      <w:r>
        <w:rPr>
          <w:rFonts w:hint="eastAsia" w:ascii="宋体" w:hAnsi="宋体" w:eastAsia="宋体" w:cs="宋体"/>
          <w:b/>
          <w:bCs w:val="0"/>
          <w:color w:val="auto"/>
          <w:sz w:val="28"/>
          <w:szCs w:val="28"/>
          <w:u w:val="single"/>
        </w:rPr>
        <w:t xml:space="preserve">                        </w:t>
      </w:r>
      <w:r>
        <w:rPr>
          <w:rFonts w:hint="eastAsia" w:ascii="宋体" w:hAnsi="宋体" w:eastAsia="宋体" w:cs="宋体"/>
          <w:b/>
          <w:bCs w:val="0"/>
          <w:color w:val="auto"/>
          <w:sz w:val="28"/>
          <w:szCs w:val="28"/>
        </w:rPr>
        <w:t>（盖章）</w:t>
      </w:r>
      <w:bookmarkEnd w:id="525"/>
      <w:bookmarkEnd w:id="526"/>
      <w:bookmarkEnd w:id="527"/>
      <w:bookmarkEnd w:id="528"/>
    </w:p>
    <w:p w14:paraId="45BD1079">
      <w:pPr>
        <w:wordWrap/>
        <w:spacing w:before="157" w:beforeLines="50" w:line="560" w:lineRule="exact"/>
        <w:jc w:val="left"/>
        <w:outlineLvl w:val="9"/>
        <w:rPr>
          <w:rFonts w:hint="eastAsia" w:ascii="宋体" w:hAnsi="宋体" w:eastAsia="宋体" w:cs="宋体"/>
          <w:b/>
          <w:bCs w:val="0"/>
          <w:color w:val="auto"/>
          <w:sz w:val="32"/>
          <w:szCs w:val="32"/>
          <w:u w:val="single"/>
        </w:rPr>
      </w:pPr>
      <w:bookmarkStart w:id="529" w:name="_Toc382_WPSOffice_Level1"/>
      <w:bookmarkStart w:id="530" w:name="_Toc14960_WPSOffice_Level1"/>
      <w:bookmarkStart w:id="531" w:name="_Toc7246_WPSOffice_Level1"/>
      <w:bookmarkStart w:id="532" w:name="_Toc22516_WPSOffice_Level1"/>
      <w:r>
        <w:rPr>
          <w:rFonts w:hint="eastAsia" w:ascii="宋体" w:hAnsi="宋体" w:eastAsia="宋体" w:cs="宋体"/>
          <w:b/>
          <w:bCs w:val="0"/>
          <w:color w:val="auto"/>
          <w:sz w:val="28"/>
          <w:szCs w:val="28"/>
        </w:rPr>
        <w:t>成交供应商（乙方）：</w:t>
      </w:r>
      <w:r>
        <w:rPr>
          <w:rFonts w:hint="eastAsia" w:ascii="宋体" w:hAnsi="宋体" w:eastAsia="宋体" w:cs="宋体"/>
          <w:b/>
          <w:bCs w:val="0"/>
          <w:color w:val="auto"/>
          <w:sz w:val="28"/>
          <w:szCs w:val="28"/>
          <w:u w:val="single"/>
        </w:rPr>
        <w:t xml:space="preserve">                      </w:t>
      </w:r>
      <w:r>
        <w:rPr>
          <w:rFonts w:hint="eastAsia" w:ascii="宋体" w:hAnsi="宋体" w:eastAsia="宋体" w:cs="宋体"/>
          <w:b/>
          <w:bCs w:val="0"/>
          <w:color w:val="auto"/>
          <w:sz w:val="28"/>
          <w:szCs w:val="28"/>
          <w:u w:val="single"/>
          <w:lang w:val="en-US" w:eastAsia="zh-CN"/>
        </w:rPr>
        <w:t xml:space="preserve">  </w:t>
      </w:r>
      <w:r>
        <w:rPr>
          <w:rFonts w:hint="eastAsia" w:ascii="宋体" w:hAnsi="宋体" w:eastAsia="宋体" w:cs="宋体"/>
          <w:b/>
          <w:bCs w:val="0"/>
          <w:color w:val="auto"/>
          <w:sz w:val="28"/>
          <w:szCs w:val="28"/>
        </w:rPr>
        <w:t>（盖章）</w:t>
      </w:r>
      <w:bookmarkEnd w:id="529"/>
      <w:bookmarkEnd w:id="530"/>
      <w:bookmarkEnd w:id="531"/>
      <w:bookmarkEnd w:id="532"/>
    </w:p>
    <w:p w14:paraId="7CEA242A">
      <w:pPr>
        <w:widowControl w:val="0"/>
        <w:wordWrap/>
        <w:adjustRightInd w:val="0"/>
        <w:snapToGrid w:val="0"/>
        <w:spacing w:line="560" w:lineRule="exact"/>
        <w:textAlignment w:val="auto"/>
        <w:outlineLvl w:val="9"/>
        <w:rPr>
          <w:rFonts w:hint="eastAsia" w:ascii="宋体" w:hAnsi="宋体" w:eastAsia="宋体" w:cs="宋体"/>
          <w:b/>
          <w:bCs w:val="0"/>
          <w:color w:val="auto"/>
          <w:sz w:val="32"/>
          <w:szCs w:val="32"/>
        </w:rPr>
      </w:pPr>
    </w:p>
    <w:p w14:paraId="78BC0426">
      <w:pPr>
        <w:widowControl w:val="0"/>
        <w:wordWrap/>
        <w:adjustRightInd w:val="0"/>
        <w:snapToGrid w:val="0"/>
        <w:spacing w:line="560" w:lineRule="exact"/>
        <w:textAlignment w:val="auto"/>
        <w:outlineLvl w:val="9"/>
        <w:rPr>
          <w:rFonts w:hint="eastAsia" w:ascii="宋体" w:hAnsi="宋体" w:eastAsia="宋体" w:cs="宋体"/>
          <w:bCs/>
          <w:color w:val="auto"/>
          <w:sz w:val="32"/>
          <w:szCs w:val="32"/>
        </w:rPr>
      </w:pPr>
    </w:p>
    <w:p w14:paraId="1EE1244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Cs/>
          <w:color w:val="auto"/>
          <w:szCs w:val="21"/>
        </w:rPr>
        <w:br w:type="page"/>
      </w:r>
      <w:r>
        <w:rPr>
          <w:rFonts w:hint="eastAsia" w:ascii="宋体" w:hAnsi="宋体" w:eastAsia="宋体" w:cs="宋体"/>
          <w:b/>
          <w:bCs/>
          <w:color w:val="auto"/>
          <w:sz w:val="28"/>
          <w:szCs w:val="28"/>
          <w:lang w:val="zh-CN"/>
        </w:rPr>
        <w:t>采购人（以下简称甲方）：</w:t>
      </w:r>
    </w:p>
    <w:p w14:paraId="2DBDDAA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Cs w:val="21"/>
          <w:lang w:val="en-US" w:eastAsia="zh-CN"/>
        </w:rPr>
      </w:pPr>
      <w:r>
        <w:rPr>
          <w:rFonts w:hint="eastAsia" w:ascii="宋体" w:hAnsi="宋体" w:eastAsia="宋体" w:cs="宋体"/>
          <w:b/>
          <w:bCs/>
          <w:color w:val="auto"/>
          <w:sz w:val="28"/>
          <w:szCs w:val="28"/>
          <w:lang w:val="zh-CN"/>
        </w:rPr>
        <w:t>供应商（以下简称乙方）：</w:t>
      </w:r>
    </w:p>
    <w:p w14:paraId="70262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color w:val="auto"/>
          <w:kern w:val="0"/>
          <w:sz w:val="24"/>
          <w:lang w:val="zh-CN"/>
        </w:rPr>
        <w:t>甲、乙双方根据</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日“</w:t>
      </w:r>
      <w:r>
        <w:rPr>
          <w:rFonts w:hint="eastAsia" w:ascii="宋体" w:hAnsi="宋体" w:eastAsia="宋体" w:cs="宋体"/>
          <w:color w:val="auto"/>
          <w:kern w:val="0"/>
          <w:sz w:val="24"/>
          <w:lang w:val="zh-CN" w:eastAsia="zh-CN"/>
        </w:rPr>
        <w:t>2025年乌兰县智慧教育项目</w:t>
      </w:r>
      <w:r>
        <w:rPr>
          <w:rFonts w:hint="eastAsia" w:ascii="宋体" w:hAnsi="宋体" w:eastAsia="宋体" w:cs="宋体"/>
          <w:color w:val="auto"/>
          <w:kern w:val="0"/>
          <w:sz w:val="24"/>
          <w:lang w:val="zh-CN"/>
        </w:rPr>
        <w:t>”（项目编号：</w:t>
      </w:r>
      <w:r>
        <w:rPr>
          <w:rFonts w:hint="eastAsia" w:ascii="宋体" w:hAnsi="宋体" w:eastAsia="宋体" w:cs="宋体"/>
          <w:color w:val="auto"/>
          <w:kern w:val="0"/>
          <w:sz w:val="24"/>
          <w:lang w:val="zh-CN" w:eastAsia="zh-CN"/>
        </w:rPr>
        <w:t>青海鼎钊竞谈（货物）2025-029</w:t>
      </w:r>
      <w:r>
        <w:rPr>
          <w:rFonts w:hint="eastAsia" w:ascii="宋体" w:hAnsi="宋体" w:eastAsia="宋体" w:cs="宋体"/>
          <w:color w:val="auto"/>
          <w:kern w:val="0"/>
          <w:sz w:val="24"/>
          <w:lang w:val="zh-CN"/>
        </w:rPr>
        <w:t>）的</w:t>
      </w:r>
      <w:r>
        <w:rPr>
          <w:rFonts w:hint="eastAsia" w:ascii="宋体" w:hAnsi="宋体" w:eastAsia="宋体" w:cs="宋体"/>
          <w:color w:val="auto"/>
          <w:kern w:val="0"/>
          <w:sz w:val="24"/>
          <w:lang w:val="en-US" w:eastAsia="zh-CN"/>
        </w:rPr>
        <w:t>谈判</w:t>
      </w:r>
      <w:r>
        <w:rPr>
          <w:rFonts w:hint="eastAsia" w:ascii="宋体" w:hAnsi="宋体" w:eastAsia="宋体" w:cs="宋体"/>
          <w:color w:val="auto"/>
          <w:kern w:val="0"/>
          <w:sz w:val="24"/>
          <w:lang w:val="zh-CN"/>
        </w:rPr>
        <w:t>文件要求和青海鼎钊招标代理有限公司出具的《</w:t>
      </w:r>
      <w:r>
        <w:rPr>
          <w:rFonts w:hint="eastAsia" w:ascii="宋体" w:hAnsi="宋体" w:eastAsia="宋体" w:cs="宋体"/>
          <w:color w:val="auto"/>
          <w:kern w:val="0"/>
          <w:sz w:val="24"/>
          <w:lang w:val="en-US" w:eastAsia="zh-CN"/>
        </w:rPr>
        <w:t>成交</w:t>
      </w:r>
      <w:r>
        <w:rPr>
          <w:rFonts w:hint="eastAsia" w:ascii="宋体" w:hAnsi="宋体" w:eastAsia="宋体" w:cs="宋体"/>
          <w:color w:val="auto"/>
          <w:kern w:val="0"/>
          <w:sz w:val="24"/>
          <w:lang w:val="zh-CN"/>
        </w:rPr>
        <w:t>通知书》，并经双方协商一致，签订本合同协议书。</w:t>
      </w:r>
    </w:p>
    <w:p w14:paraId="3CF3376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24"/>
          <w:szCs w:val="24"/>
          <w:lang w:val="zh-CN"/>
        </w:rPr>
      </w:pPr>
      <w:bookmarkStart w:id="533" w:name="_Toc6866_WPSOffice_Level1"/>
      <w:bookmarkStart w:id="534" w:name="_Toc96_WPSOffice_Level1"/>
      <w:bookmarkStart w:id="535" w:name="_Toc6055_WPSOffice_Level1"/>
      <w:bookmarkStart w:id="536" w:name="_Toc16675_WPSOffice_Level1"/>
      <w:bookmarkStart w:id="537" w:name="_Toc28036_WPSOffice_Level1"/>
      <w:bookmarkStart w:id="538" w:name="_Toc29795_WPSOffice_Level1"/>
      <w:r>
        <w:rPr>
          <w:rFonts w:hint="eastAsia" w:ascii="宋体" w:hAnsi="宋体" w:eastAsia="宋体" w:cs="宋体"/>
          <w:b/>
          <w:bCs w:val="0"/>
          <w:color w:val="auto"/>
          <w:sz w:val="24"/>
          <w:szCs w:val="24"/>
          <w:lang w:val="zh-CN"/>
        </w:rPr>
        <w:t>一、签订本政府采购合同的依据</w:t>
      </w:r>
      <w:bookmarkEnd w:id="533"/>
      <w:bookmarkEnd w:id="534"/>
      <w:bookmarkEnd w:id="535"/>
      <w:bookmarkEnd w:id="536"/>
      <w:bookmarkEnd w:id="537"/>
      <w:bookmarkEnd w:id="538"/>
    </w:p>
    <w:p w14:paraId="199F6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本政府采购合同所附下列文件是构成本政府采购合同不可分割的部分：</w:t>
      </w:r>
    </w:p>
    <w:p w14:paraId="6FB85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39" w:name="_Toc29065_WPSOffice_Level2"/>
      <w:bookmarkStart w:id="540" w:name="_Toc32479_WPSOffice_Level2"/>
      <w:bookmarkStart w:id="541" w:name="_Toc7329_WPSOffice_Level2"/>
      <w:r>
        <w:rPr>
          <w:rFonts w:hint="eastAsia" w:ascii="宋体" w:hAnsi="宋体" w:eastAsia="宋体" w:cs="宋体"/>
          <w:bCs/>
          <w:color w:val="auto"/>
          <w:sz w:val="24"/>
          <w:szCs w:val="24"/>
          <w:lang w:val="zh-CN"/>
        </w:rPr>
        <w:t>1.谈判文件；</w:t>
      </w:r>
      <w:bookmarkEnd w:id="539"/>
      <w:bookmarkEnd w:id="540"/>
      <w:bookmarkEnd w:id="541"/>
    </w:p>
    <w:p w14:paraId="4B1BE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2" w:name="_Toc8989_WPSOffice_Level2"/>
      <w:bookmarkStart w:id="543" w:name="_Toc22776_WPSOffice_Level2"/>
      <w:bookmarkStart w:id="544" w:name="_Toc28112_WPSOffice_Level2"/>
      <w:r>
        <w:rPr>
          <w:rFonts w:hint="eastAsia" w:ascii="宋体" w:hAnsi="宋体" w:eastAsia="宋体" w:cs="宋体"/>
          <w:bCs/>
          <w:color w:val="auto"/>
          <w:sz w:val="24"/>
          <w:szCs w:val="24"/>
          <w:lang w:val="zh-CN"/>
        </w:rPr>
        <w:t>2.谈判文件的更正、变更公告；</w:t>
      </w:r>
      <w:bookmarkEnd w:id="542"/>
      <w:bookmarkEnd w:id="543"/>
      <w:bookmarkEnd w:id="544"/>
    </w:p>
    <w:p w14:paraId="6EDD7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5" w:name="_Toc29795_WPSOffice_Level2"/>
      <w:bookmarkStart w:id="546" w:name="_Toc28651_WPSOffice_Level2"/>
      <w:bookmarkStart w:id="547" w:name="_Toc29221_WPSOffice_Level2"/>
      <w:r>
        <w:rPr>
          <w:rFonts w:hint="eastAsia" w:ascii="宋体" w:hAnsi="宋体" w:eastAsia="宋体" w:cs="宋体"/>
          <w:bCs/>
          <w:color w:val="auto"/>
          <w:sz w:val="24"/>
          <w:szCs w:val="24"/>
          <w:lang w:val="zh-CN"/>
        </w:rPr>
        <w:t>3.成交供应商提交的响应文件；</w:t>
      </w:r>
      <w:bookmarkEnd w:id="545"/>
      <w:bookmarkEnd w:id="546"/>
      <w:bookmarkEnd w:id="547"/>
    </w:p>
    <w:p w14:paraId="79081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8" w:name="_Toc130_WPSOffice_Level2"/>
      <w:bookmarkStart w:id="549" w:name="_Toc10173_WPSOffice_Level2"/>
      <w:bookmarkStart w:id="550" w:name="_Toc13685_WPSOffice_Level2"/>
      <w:r>
        <w:rPr>
          <w:rFonts w:hint="eastAsia" w:ascii="宋体" w:hAnsi="宋体" w:eastAsia="宋体" w:cs="宋体"/>
          <w:bCs/>
          <w:color w:val="auto"/>
          <w:sz w:val="24"/>
          <w:szCs w:val="24"/>
          <w:lang w:val="zh-CN"/>
        </w:rPr>
        <w:t>4.</w:t>
      </w:r>
      <w:bookmarkEnd w:id="548"/>
      <w:bookmarkEnd w:id="549"/>
      <w:bookmarkEnd w:id="550"/>
      <w:bookmarkStart w:id="551" w:name="_Toc1858_WPSOffice_Level2"/>
      <w:bookmarkStart w:id="552" w:name="_Toc16117_WPSOffice_Level2"/>
      <w:bookmarkStart w:id="553" w:name="_Toc22537_WPSOffice_Level2"/>
      <w:r>
        <w:rPr>
          <w:rFonts w:hint="eastAsia" w:ascii="宋体" w:hAnsi="宋体" w:eastAsia="宋体" w:cs="宋体"/>
          <w:bCs/>
          <w:color w:val="auto"/>
          <w:sz w:val="24"/>
          <w:szCs w:val="24"/>
          <w:lang w:val="zh-CN"/>
        </w:rPr>
        <w:t>成交通知书</w:t>
      </w:r>
      <w:bookmarkEnd w:id="551"/>
      <w:bookmarkEnd w:id="552"/>
      <w:bookmarkEnd w:id="553"/>
      <w:r>
        <w:rPr>
          <w:rFonts w:hint="eastAsia" w:ascii="宋体" w:hAnsi="宋体" w:eastAsia="宋体" w:cs="宋体"/>
          <w:bCs/>
          <w:color w:val="auto"/>
          <w:sz w:val="24"/>
          <w:szCs w:val="24"/>
          <w:lang w:val="zh-CN"/>
        </w:rPr>
        <w:t>；</w:t>
      </w:r>
    </w:p>
    <w:p w14:paraId="27204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bCs/>
          <w:color w:val="auto"/>
          <w:sz w:val="24"/>
          <w:szCs w:val="24"/>
          <w:lang w:val="en-US" w:eastAsia="zh-CN"/>
        </w:rPr>
        <w:t>5.履约保证金凭证。</w:t>
      </w:r>
    </w:p>
    <w:p w14:paraId="6F1DA1C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sz w:val="24"/>
          <w:szCs w:val="24"/>
          <w:lang w:val="zh-CN"/>
        </w:rPr>
      </w:pPr>
      <w:bookmarkStart w:id="554" w:name="_Toc12658_WPSOffice_Level1"/>
      <w:bookmarkStart w:id="555" w:name="_Toc10173_WPSOffice_Level1"/>
      <w:bookmarkStart w:id="556" w:name="_Toc7426_WPSOffice_Level1"/>
      <w:bookmarkStart w:id="557" w:name="_Toc4921_WPSOffice_Level1"/>
      <w:bookmarkStart w:id="558" w:name="_Toc10843_WPSOffice_Level1"/>
      <w:bookmarkStart w:id="559" w:name="_Toc29813_WPSOffice_Level1"/>
      <w:r>
        <w:rPr>
          <w:rFonts w:hint="eastAsia" w:ascii="宋体" w:hAnsi="宋体" w:eastAsia="宋体" w:cs="宋体"/>
          <w:b/>
          <w:bCs w:val="0"/>
          <w:color w:val="auto"/>
          <w:sz w:val="24"/>
          <w:szCs w:val="24"/>
          <w:lang w:val="zh-CN"/>
        </w:rPr>
        <w:t xml:space="preserve">二、合同标的及金额 </w:t>
      </w:r>
      <w:r>
        <w:rPr>
          <w:rFonts w:hint="eastAsia" w:ascii="宋体" w:hAnsi="宋体" w:eastAsia="宋体" w:cs="宋体"/>
          <w:bCs/>
          <w:color w:val="auto"/>
          <w:sz w:val="24"/>
          <w:szCs w:val="24"/>
          <w:lang w:val="zh-CN"/>
        </w:rPr>
        <w:t xml:space="preserve">                                      单位：元</w:t>
      </w:r>
      <w:bookmarkEnd w:id="554"/>
      <w:bookmarkEnd w:id="555"/>
      <w:bookmarkEnd w:id="556"/>
      <w:bookmarkEnd w:id="557"/>
      <w:bookmarkEnd w:id="558"/>
      <w:bookmarkEnd w:id="559"/>
    </w:p>
    <w:tbl>
      <w:tblPr>
        <w:tblStyle w:val="17"/>
        <w:tblW w:w="10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1946"/>
        <w:gridCol w:w="1436"/>
        <w:gridCol w:w="1279"/>
        <w:gridCol w:w="1151"/>
        <w:gridCol w:w="1151"/>
        <w:gridCol w:w="1149"/>
        <w:gridCol w:w="1343"/>
      </w:tblGrid>
      <w:tr w14:paraId="46E9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17BB11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序</w:t>
            </w:r>
            <w:r>
              <w:rPr>
                <w:rFonts w:hint="eastAsia" w:ascii="宋体" w:hAnsi="宋体" w:eastAsia="宋体" w:cs="宋体"/>
                <w:bCs/>
                <w:color w:val="auto"/>
                <w:sz w:val="24"/>
                <w:szCs w:val="24"/>
                <w:lang w:val="zh-CN"/>
              </w:rPr>
              <w:t>号</w:t>
            </w:r>
          </w:p>
        </w:tc>
        <w:tc>
          <w:tcPr>
            <w:tcW w:w="1946" w:type="dxa"/>
            <w:tcBorders>
              <w:top w:val="single" w:color="auto" w:sz="4" w:space="0"/>
              <w:left w:val="single" w:color="auto" w:sz="4" w:space="0"/>
              <w:bottom w:val="single" w:color="auto" w:sz="4" w:space="0"/>
              <w:right w:val="single" w:color="auto" w:sz="4" w:space="0"/>
            </w:tcBorders>
            <w:vAlign w:val="center"/>
          </w:tcPr>
          <w:p w14:paraId="4B5E88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标的名称</w:t>
            </w:r>
          </w:p>
        </w:tc>
        <w:tc>
          <w:tcPr>
            <w:tcW w:w="1436" w:type="dxa"/>
            <w:tcBorders>
              <w:top w:val="single" w:color="auto" w:sz="4" w:space="0"/>
              <w:left w:val="single" w:color="auto" w:sz="4" w:space="0"/>
              <w:bottom w:val="single" w:color="auto" w:sz="4" w:space="0"/>
              <w:right w:val="single" w:color="auto" w:sz="4" w:space="0"/>
            </w:tcBorders>
            <w:vAlign w:val="center"/>
          </w:tcPr>
          <w:p w14:paraId="6F66E4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规格型号</w:t>
            </w:r>
          </w:p>
        </w:tc>
        <w:tc>
          <w:tcPr>
            <w:tcW w:w="1279" w:type="dxa"/>
            <w:tcBorders>
              <w:top w:val="single" w:color="auto" w:sz="4" w:space="0"/>
              <w:left w:val="single" w:color="auto" w:sz="4" w:space="0"/>
              <w:bottom w:val="single" w:color="auto" w:sz="4" w:space="0"/>
              <w:right w:val="single" w:color="auto" w:sz="4" w:space="0"/>
            </w:tcBorders>
            <w:vAlign w:val="center"/>
          </w:tcPr>
          <w:p w14:paraId="655726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61277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单位</w:t>
            </w:r>
          </w:p>
        </w:tc>
        <w:tc>
          <w:tcPr>
            <w:tcW w:w="1151" w:type="dxa"/>
            <w:tcBorders>
              <w:top w:val="single" w:color="auto" w:sz="4" w:space="0"/>
              <w:left w:val="single" w:color="auto" w:sz="4" w:space="0"/>
              <w:bottom w:val="single" w:color="auto" w:sz="4" w:space="0"/>
              <w:right w:val="single" w:color="auto" w:sz="4" w:space="0"/>
            </w:tcBorders>
            <w:vAlign w:val="center"/>
          </w:tcPr>
          <w:p w14:paraId="7A416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4C3FA5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合计</w:t>
            </w:r>
          </w:p>
        </w:tc>
        <w:tc>
          <w:tcPr>
            <w:tcW w:w="1343" w:type="dxa"/>
            <w:tcBorders>
              <w:top w:val="single" w:color="auto" w:sz="4" w:space="0"/>
              <w:left w:val="single" w:color="auto" w:sz="4" w:space="0"/>
              <w:bottom w:val="single" w:color="auto" w:sz="4" w:space="0"/>
              <w:right w:val="single" w:color="auto" w:sz="4" w:space="0"/>
            </w:tcBorders>
            <w:vAlign w:val="center"/>
          </w:tcPr>
          <w:p w14:paraId="1C1F77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备注</w:t>
            </w:r>
          </w:p>
        </w:tc>
      </w:tr>
      <w:tr w14:paraId="024A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51EA09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46F868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65A0F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7E7214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6DB16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7FB0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7D4FF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4A592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r w14:paraId="32A5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0D7310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715E6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74E0F0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2385D9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D061C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5B911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28D2BC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1D437C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r w14:paraId="568C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0589D0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15C8F6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028A21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171368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1BAD6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0BE3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208327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CA207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bl>
    <w:p w14:paraId="63CB3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根据上述政府采购合同文件要求，本政府采购合同的总金额为人民币</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元。</w:t>
      </w:r>
    </w:p>
    <w:p w14:paraId="27086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本合同以人民币进行结算，合同总价包括：</w:t>
      </w:r>
      <w:r>
        <w:rPr>
          <w:rFonts w:hint="eastAsia" w:ascii="宋体" w:hAnsi="宋体" w:eastAsia="宋体" w:cs="宋体"/>
          <w:color w:val="auto"/>
          <w:sz w:val="24"/>
          <w:szCs w:val="24"/>
          <w:lang w:val="zh-CN"/>
        </w:rPr>
        <w:t>产品费、验收费、手续费、包装费、运输费、保险费、售后服务费、代理服务费、税金及不可预见费等全部费用。</w:t>
      </w:r>
    </w:p>
    <w:p w14:paraId="3B6FEB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color w:val="auto"/>
          <w:sz w:val="24"/>
          <w:szCs w:val="24"/>
        </w:rPr>
      </w:pPr>
      <w:bookmarkStart w:id="560" w:name="_Toc22537_WPSOffice_Level1"/>
      <w:bookmarkStart w:id="561" w:name="_Toc28888_WPSOffice_Level1"/>
      <w:bookmarkStart w:id="562" w:name="_Toc7098_WPSOffice_Level1"/>
      <w:bookmarkStart w:id="563" w:name="_Toc23899_WPSOffice_Level1"/>
      <w:bookmarkStart w:id="564" w:name="_Toc6168_WPSOffice_Level1"/>
      <w:bookmarkStart w:id="565" w:name="_Toc20423_WPSOffice_Level1"/>
      <w:r>
        <w:rPr>
          <w:rFonts w:hint="eastAsia" w:ascii="宋体" w:hAnsi="宋体" w:eastAsia="宋体" w:cs="宋体"/>
          <w:b/>
          <w:bCs w:val="0"/>
          <w:color w:val="auto"/>
          <w:sz w:val="24"/>
          <w:szCs w:val="24"/>
          <w:lang w:val="zh-CN"/>
        </w:rPr>
        <w:t>三、</w:t>
      </w:r>
      <w:bookmarkEnd w:id="560"/>
      <w:bookmarkEnd w:id="561"/>
      <w:bookmarkEnd w:id="562"/>
      <w:bookmarkEnd w:id="563"/>
      <w:bookmarkEnd w:id="564"/>
      <w:bookmarkEnd w:id="565"/>
      <w:r>
        <w:rPr>
          <w:rFonts w:hint="eastAsia" w:ascii="宋体" w:hAnsi="宋体" w:eastAsia="宋体" w:cs="宋体"/>
          <w:b/>
          <w:bCs w:val="0"/>
          <w:color w:val="auto"/>
          <w:sz w:val="24"/>
          <w:szCs w:val="24"/>
          <w:lang w:val="zh-CN"/>
        </w:rPr>
        <w:t>交货时间、地点和要求</w:t>
      </w:r>
    </w:p>
    <w:p w14:paraId="0B92D6F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1.交货时间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p>
    <w:p w14:paraId="1F0AE5F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乙方提供不符合谈判文件、响应文件和本合同规定的产品，甲方有权拒绝接受。</w:t>
      </w:r>
    </w:p>
    <w:p w14:paraId="4A22153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14:paraId="6682906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14:paraId="43286B2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甲方在验收过程中发现乙方有违约问题，可按谈判文件、响应文件的规定要求乙方及时予以解决。</w:t>
      </w:r>
    </w:p>
    <w:p w14:paraId="27DC418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乙方向甲方提供产品相关完税销售发票。</w:t>
      </w:r>
    </w:p>
    <w:p w14:paraId="6E640FC3">
      <w:pPr>
        <w:autoSpaceDE w:val="0"/>
        <w:autoSpaceDN w:val="0"/>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四、付款方式</w:t>
      </w:r>
    </w:p>
    <w:p w14:paraId="383E252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合同签订前，乙方向甲方交纳合同金额的</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%作为履约保证金，即人民币（大写）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元；待</w:t>
      </w:r>
      <w:r>
        <w:rPr>
          <w:rFonts w:hint="eastAsia" w:ascii="宋体" w:hAnsi="宋体" w:cs="宋体"/>
          <w:b/>
          <w:bCs/>
          <w:color w:val="auto"/>
          <w:sz w:val="24"/>
          <w:szCs w:val="24"/>
          <w:lang w:val="en-US" w:eastAsia="zh-CN"/>
        </w:rPr>
        <w:t>验收合格后</w:t>
      </w:r>
      <w:r>
        <w:rPr>
          <w:rFonts w:hint="eastAsia" w:ascii="宋体" w:hAnsi="宋体" w:eastAsia="宋体" w:cs="宋体"/>
          <w:b/>
          <w:bCs/>
          <w:color w:val="auto"/>
          <w:sz w:val="24"/>
          <w:szCs w:val="24"/>
        </w:rPr>
        <w:t>，由乙方提出书面申请，甲方以转账方式予以无息退还。</w:t>
      </w:r>
    </w:p>
    <w:p w14:paraId="346E1864">
      <w:pPr>
        <w:autoSpaceDE w:val="0"/>
        <w:autoSpaceDN w:val="0"/>
        <w:spacing w:line="360" w:lineRule="auto"/>
        <w:ind w:firstLine="482"/>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合同签订后，甲方向乙方支付合同总价款的50%，</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乙方所交付的产品由甲方验收，验收合格后由甲方按合同金额向乙方支付合同总价款的</w:t>
      </w:r>
      <w:r>
        <w:rPr>
          <w:rFonts w:hint="eastAsia" w:ascii="宋体" w:hAnsi="宋体" w:eastAsia="宋体" w:cs="宋体"/>
          <w:b/>
          <w:bCs/>
          <w:color w:val="auto"/>
          <w:sz w:val="24"/>
          <w:szCs w:val="24"/>
          <w:lang w:val="en-US" w:eastAsia="zh-CN"/>
        </w:rPr>
        <w:t>50</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同时乙方向甲方</w:t>
      </w:r>
      <w:r>
        <w:rPr>
          <w:rFonts w:hint="eastAsia" w:ascii="宋体" w:hAnsi="宋体" w:eastAsia="宋体" w:cs="宋体"/>
          <w:b/>
          <w:bCs/>
          <w:color w:val="auto"/>
          <w:sz w:val="24"/>
          <w:szCs w:val="24"/>
        </w:rPr>
        <w:t>交纳合同金额的</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作为</w:t>
      </w:r>
      <w:r>
        <w:rPr>
          <w:rFonts w:hint="eastAsia" w:ascii="宋体" w:hAnsi="宋体" w:cs="宋体"/>
          <w:b/>
          <w:bCs/>
          <w:color w:val="auto"/>
          <w:sz w:val="24"/>
          <w:szCs w:val="24"/>
          <w:lang w:val="en-US" w:eastAsia="zh-CN"/>
        </w:rPr>
        <w:t>质量保证金，待质保期满3年后，产品无质量问题，</w:t>
      </w:r>
      <w:r>
        <w:rPr>
          <w:rFonts w:hint="eastAsia" w:ascii="宋体" w:hAnsi="宋体" w:eastAsia="宋体" w:cs="宋体"/>
          <w:b/>
          <w:bCs/>
          <w:color w:val="auto"/>
          <w:sz w:val="24"/>
          <w:szCs w:val="24"/>
        </w:rPr>
        <w:t>由乙方提出书面申请，甲方以转账方式予以无息退还。</w:t>
      </w:r>
    </w:p>
    <w:p w14:paraId="16410E2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五、</w:t>
      </w:r>
      <w:r>
        <w:rPr>
          <w:rFonts w:hint="eastAsia" w:ascii="宋体" w:hAnsi="宋体" w:eastAsia="宋体" w:cs="宋体"/>
          <w:b/>
          <w:bCs/>
          <w:color w:val="auto"/>
          <w:sz w:val="24"/>
          <w:szCs w:val="24"/>
          <w:lang w:val="zh-CN"/>
        </w:rPr>
        <w:t>甲方的权利和义务</w:t>
      </w:r>
    </w:p>
    <w:p w14:paraId="44C9B6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1.签署合同后，甲方应确定项目负责人（或项目联系人），负责与本合同有关的事务。甲方有权对乙方的履约行为进行检查，并及时确认乙方提交的事项。甲方应当配合乙方完成相关项目实施工作。</w:t>
      </w:r>
    </w:p>
    <w:p w14:paraId="4BC74F9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2.甲方有权要求乙方按时提交各阶段有关安排计划，并有权定期核对乙方提供货物数量、规格、质量等内容。甲方有权督促乙方工作并要求乙方更换不符合要求的货物。</w:t>
      </w:r>
    </w:p>
    <w:p w14:paraId="05ED47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3.甲方有权要求乙方对缺陷部分予以修复，并按合同约定享有货物保修及其他合同约定的权利。</w:t>
      </w:r>
    </w:p>
    <w:p w14:paraId="5FBC53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4.甲方应当按照合同约定及时对交付的货物进行验收，未在约定的期限内对乙方履约提出任何异议或者向乙方作出任何说明的，视为验收通过。</w:t>
      </w:r>
    </w:p>
    <w:p w14:paraId="75E19A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5.甲方应当根据合同约定及时向乙方支付合同价款，不得以内部人员变更、履行内部付款流程等为由，拒绝或迟延支付。</w:t>
      </w:r>
    </w:p>
    <w:p w14:paraId="26BBDAF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6.国家法律法规规定及合同约定应由甲方承担的其他义务和责任。</w:t>
      </w:r>
    </w:p>
    <w:p w14:paraId="34D1A294">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六、</w:t>
      </w:r>
      <w:r>
        <w:rPr>
          <w:rFonts w:hint="eastAsia" w:ascii="宋体" w:hAnsi="宋体" w:eastAsia="宋体" w:cs="宋体"/>
          <w:b/>
          <w:bCs/>
          <w:color w:val="auto"/>
          <w:sz w:val="24"/>
          <w:szCs w:val="24"/>
          <w:lang w:val="zh-CN"/>
        </w:rPr>
        <w:t>乙方的权利和义务</w:t>
      </w:r>
    </w:p>
    <w:p w14:paraId="1077CC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签署合同后，乙方</w:t>
      </w:r>
      <w:r>
        <w:rPr>
          <w:rFonts w:hint="eastAsia" w:ascii="宋体" w:hAnsi="宋体" w:eastAsia="宋体" w:cs="宋体"/>
          <w:color w:val="auto"/>
          <w:sz w:val="24"/>
          <w:szCs w:val="24"/>
          <w:lang w:val="zh-CN" w:eastAsia="zh-CN"/>
        </w:rPr>
        <w:t>应</w:t>
      </w:r>
      <w:r>
        <w:rPr>
          <w:rFonts w:hint="eastAsia" w:ascii="宋体" w:hAnsi="宋体" w:eastAsia="宋体" w:cs="宋体"/>
          <w:color w:val="auto"/>
          <w:sz w:val="24"/>
          <w:szCs w:val="24"/>
          <w:lang w:val="zh-CN"/>
        </w:rPr>
        <w:t>确定</w:t>
      </w:r>
      <w:r>
        <w:rPr>
          <w:rFonts w:hint="eastAsia" w:ascii="宋体" w:hAnsi="宋体" w:eastAsia="宋体" w:cs="宋体"/>
          <w:color w:val="auto"/>
          <w:sz w:val="24"/>
          <w:szCs w:val="24"/>
          <w:lang w:val="zh-CN" w:eastAsia="zh-CN"/>
        </w:rPr>
        <w:t>项目负责人（或项目联系人）</w:t>
      </w:r>
      <w:r>
        <w:rPr>
          <w:rFonts w:hint="eastAsia" w:ascii="宋体" w:hAnsi="宋体" w:eastAsia="宋体" w:cs="宋体"/>
          <w:color w:val="auto"/>
          <w:sz w:val="24"/>
          <w:szCs w:val="24"/>
          <w:lang w:val="zh-CN"/>
        </w:rPr>
        <w:t>，负责与本合同有关的事务。</w:t>
      </w:r>
    </w:p>
    <w:p w14:paraId="6338F9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乙方应按照合同要求履约，充分合理安排，确保提供的货物</w:t>
      </w:r>
      <w:r>
        <w:rPr>
          <w:rFonts w:hint="eastAsia" w:ascii="宋体" w:hAnsi="宋体" w:eastAsia="宋体" w:cs="宋体"/>
          <w:color w:val="auto"/>
          <w:sz w:val="24"/>
          <w:szCs w:val="24"/>
          <w:lang w:val="zh-CN" w:eastAsia="zh-CN"/>
        </w:rPr>
        <w:t>及相关</w:t>
      </w:r>
      <w:r>
        <w:rPr>
          <w:rFonts w:hint="eastAsia" w:ascii="宋体" w:hAnsi="宋体" w:eastAsia="宋体" w:cs="宋体"/>
          <w:color w:val="auto"/>
          <w:sz w:val="24"/>
          <w:szCs w:val="24"/>
          <w:lang w:val="zh-CN"/>
        </w:rPr>
        <w:t>服务符合合同</w:t>
      </w:r>
      <w:r>
        <w:rPr>
          <w:rFonts w:hint="eastAsia" w:ascii="宋体" w:hAnsi="宋体" w:eastAsia="宋体" w:cs="宋体"/>
          <w:color w:val="auto"/>
          <w:sz w:val="24"/>
          <w:szCs w:val="24"/>
          <w:lang w:val="zh-CN" w:eastAsia="zh-CN"/>
        </w:rPr>
        <w:t>有关</w:t>
      </w:r>
      <w:r>
        <w:rPr>
          <w:rFonts w:hint="eastAsia" w:ascii="宋体" w:hAnsi="宋体" w:eastAsia="宋体" w:cs="宋体"/>
          <w:color w:val="auto"/>
          <w:sz w:val="24"/>
          <w:szCs w:val="24"/>
          <w:lang w:val="zh-CN"/>
        </w:rPr>
        <w:t>要求。接受项目行业管理部门及政府有关部门的指导，配合甲方的履约检查</w:t>
      </w:r>
      <w:r>
        <w:rPr>
          <w:rFonts w:hint="eastAsia" w:ascii="宋体" w:hAnsi="宋体" w:eastAsia="宋体" w:cs="宋体"/>
          <w:color w:val="auto"/>
          <w:sz w:val="24"/>
          <w:szCs w:val="24"/>
          <w:lang w:val="zh-CN" w:eastAsia="zh-CN"/>
        </w:rPr>
        <w:t>及验收</w:t>
      </w:r>
      <w:r>
        <w:rPr>
          <w:rFonts w:hint="eastAsia" w:ascii="宋体" w:hAnsi="宋体" w:eastAsia="宋体" w:cs="宋体"/>
          <w:color w:val="auto"/>
          <w:sz w:val="24"/>
          <w:szCs w:val="24"/>
          <w:lang w:val="zh-CN"/>
        </w:rPr>
        <w:t>，并负责项目实施过程中的所有协调工作。</w:t>
      </w:r>
    </w:p>
    <w:p w14:paraId="1DF2CD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乙方有权根据合同约定向甲方收取</w:t>
      </w:r>
      <w:r>
        <w:rPr>
          <w:rFonts w:hint="eastAsia" w:ascii="宋体" w:hAnsi="宋体" w:eastAsia="宋体" w:cs="宋体"/>
          <w:color w:val="auto"/>
          <w:sz w:val="24"/>
          <w:szCs w:val="24"/>
          <w:lang w:val="zh-CN" w:eastAsia="zh-CN"/>
        </w:rPr>
        <w:t>合同价款</w:t>
      </w:r>
      <w:r>
        <w:rPr>
          <w:rFonts w:hint="eastAsia" w:ascii="宋体" w:hAnsi="宋体" w:eastAsia="宋体" w:cs="宋体"/>
          <w:color w:val="auto"/>
          <w:sz w:val="24"/>
          <w:szCs w:val="24"/>
          <w:lang w:val="zh-CN"/>
        </w:rPr>
        <w:t>。</w:t>
      </w:r>
    </w:p>
    <w:p w14:paraId="1DF32E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国家法律法规规定</w:t>
      </w:r>
      <w:r>
        <w:rPr>
          <w:rFonts w:hint="eastAsia" w:ascii="宋体" w:hAnsi="宋体" w:eastAsia="宋体" w:cs="宋体"/>
          <w:color w:val="auto"/>
          <w:sz w:val="24"/>
          <w:szCs w:val="24"/>
          <w:lang w:val="zh-CN" w:eastAsia="zh-CN"/>
        </w:rPr>
        <w:t>及合同约定应</w:t>
      </w:r>
      <w:r>
        <w:rPr>
          <w:rFonts w:hint="eastAsia" w:ascii="宋体" w:hAnsi="宋体" w:eastAsia="宋体" w:cs="宋体"/>
          <w:color w:val="auto"/>
          <w:sz w:val="24"/>
          <w:szCs w:val="24"/>
          <w:lang w:val="zh-CN"/>
        </w:rPr>
        <w:t>由乙方承担的其他义务和责任。</w:t>
      </w:r>
    </w:p>
    <w:p w14:paraId="4167EBE2">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七</w:t>
      </w:r>
      <w:r>
        <w:rPr>
          <w:rFonts w:hint="eastAsia" w:ascii="宋体" w:hAnsi="宋体" w:eastAsia="宋体" w:cs="宋体"/>
          <w:b/>
          <w:bCs/>
          <w:color w:val="auto"/>
          <w:sz w:val="24"/>
          <w:szCs w:val="24"/>
          <w:lang w:val="zh-CN"/>
        </w:rPr>
        <w:t>、合同的变更、终止与转让</w:t>
      </w:r>
    </w:p>
    <w:p w14:paraId="5BF86A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1.除《中华人民共和国政府采购法》第50条规定的情形外，本合同一经签订，甲乙双方不得擅自变更、中止或终止。</w:t>
      </w:r>
    </w:p>
    <w:p w14:paraId="21DC00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2.乙方不得擅自转让其应履行的合同义务。</w:t>
      </w:r>
    </w:p>
    <w:p w14:paraId="1EEAE6B1">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八</w:t>
      </w:r>
      <w:r>
        <w:rPr>
          <w:rFonts w:hint="eastAsia" w:ascii="宋体" w:hAnsi="宋体" w:eastAsia="宋体" w:cs="宋体"/>
          <w:b/>
          <w:bCs/>
          <w:color w:val="auto"/>
          <w:sz w:val="24"/>
          <w:szCs w:val="24"/>
          <w:lang w:val="zh-CN"/>
        </w:rPr>
        <w:t>、违约责任</w:t>
      </w:r>
    </w:p>
    <w:p w14:paraId="33FAF1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3DB71B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2.乙方提供的货物如侵犯了第三方权益而引发纠纷或诉讼的，均由乙方负责交涉并承担全部责任。</w:t>
      </w:r>
    </w:p>
    <w:p w14:paraId="2C9E52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3.因包装、运输引起的货物损坏，按质量不合格处罚。</w:t>
      </w:r>
    </w:p>
    <w:p w14:paraId="68FE3A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4.甲方无故延期接受货物和乙方逾期交货的，每天应向对方偿付未交货物的货款3‰的违约金，但违约金累计不得超过违约货款的5%，超过    天对方有权解除合同，违约方承担因此给对方造成的经济损失。</w:t>
      </w:r>
    </w:p>
    <w:p w14:paraId="3178742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5.乙方未按本合同和投标文件中规定的服务承诺提供售后服务的，乙方应按本合同合计金额的5%向甲方支付违约金。</w:t>
      </w:r>
    </w:p>
    <w:p w14:paraId="529CFD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6.乙方提供的货物在质量保证期内，因设计、工艺或材料的缺陷和其它质量原因造成的问题，由乙方负责，费用从履约保证金中扣除，不足另补。</w:t>
      </w:r>
    </w:p>
    <w:p w14:paraId="608CAF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7.其它违约行为按违约货款额5%收取违约金并赔偿经济损失。</w:t>
      </w:r>
    </w:p>
    <w:p w14:paraId="4888DD1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九</w:t>
      </w:r>
      <w:r>
        <w:rPr>
          <w:rFonts w:hint="eastAsia" w:ascii="宋体" w:hAnsi="宋体" w:eastAsia="宋体" w:cs="宋体"/>
          <w:b/>
          <w:bCs/>
          <w:color w:val="auto"/>
          <w:sz w:val="24"/>
          <w:szCs w:val="24"/>
          <w:lang w:val="zh-CN"/>
        </w:rPr>
        <w:t>、不可抗力</w:t>
      </w:r>
    </w:p>
    <w:p w14:paraId="4EB0E7E8">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天内达成进一步履行合同的协议，因不可抗力致使合同不能履行的，合同终止。</w:t>
      </w:r>
    </w:p>
    <w:p w14:paraId="320D7C60">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w:t>
      </w:r>
      <w:r>
        <w:rPr>
          <w:rFonts w:hint="eastAsia" w:ascii="宋体" w:hAnsi="宋体" w:eastAsia="宋体" w:cs="宋体"/>
          <w:b/>
          <w:bCs/>
          <w:color w:val="auto"/>
          <w:sz w:val="24"/>
          <w:szCs w:val="24"/>
          <w:lang w:val="zh-CN"/>
        </w:rPr>
        <w:t>、知识产权：详见合同通用条款</w:t>
      </w:r>
    </w:p>
    <w:p w14:paraId="64967877">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十一</w:t>
      </w:r>
      <w:r>
        <w:rPr>
          <w:rFonts w:hint="eastAsia" w:ascii="宋体" w:hAnsi="宋体" w:eastAsia="宋体" w:cs="宋体"/>
          <w:b/>
          <w:bCs/>
          <w:color w:val="auto"/>
          <w:sz w:val="24"/>
          <w:szCs w:val="24"/>
          <w:lang w:val="zh-CN"/>
        </w:rPr>
        <w:t>、其他约定：</w:t>
      </w:r>
    </w:p>
    <w:p w14:paraId="57EB329E">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zh-CN"/>
        </w:rPr>
        <w:t>、合同争议解决</w:t>
      </w:r>
    </w:p>
    <w:p w14:paraId="6989DE19">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1.因产品质量问题发生争议的，应邀请国家认可的质量检测机构进行鉴定。产品符合标准的，鉴定费由甲方承担；产品不符合标准的，鉴定费由乙方承担。</w:t>
      </w:r>
    </w:p>
    <w:p w14:paraId="571A5936">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38B74907">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3.诉讼期间，本合同继续履行。</w:t>
      </w:r>
    </w:p>
    <w:p w14:paraId="0D66CF3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三</w:t>
      </w:r>
      <w:r>
        <w:rPr>
          <w:rFonts w:hint="eastAsia" w:ascii="宋体" w:hAnsi="宋体" w:eastAsia="宋体" w:cs="宋体"/>
          <w:b/>
          <w:bCs/>
          <w:color w:val="auto"/>
          <w:sz w:val="24"/>
          <w:szCs w:val="24"/>
          <w:lang w:val="zh-CN"/>
        </w:rPr>
        <w:t>、合同生效及其它：</w:t>
      </w:r>
    </w:p>
    <w:p w14:paraId="18F39112">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1.本合同一式</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份，经双方签字，并加盖公章即为生效。</w:t>
      </w:r>
    </w:p>
    <w:p w14:paraId="673B255C">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2.本合同未尽事宜，按民法典有关规定处理。</w:t>
      </w:r>
    </w:p>
    <w:p w14:paraId="5BE13CC2">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3.本合同的组成包含《合同通用条款》。</w:t>
      </w:r>
    </w:p>
    <w:p w14:paraId="502DF444">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甲方（盖章）：                         乙方（盖章）：</w:t>
      </w:r>
    </w:p>
    <w:p w14:paraId="4310B90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法定代表人或委托代理人：               法定代表人或委托代理人：</w:t>
      </w:r>
    </w:p>
    <w:p w14:paraId="07B3BE35">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开户银行：</w:t>
      </w:r>
    </w:p>
    <w:p w14:paraId="1CC4959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账号：</w:t>
      </w:r>
    </w:p>
    <w:p w14:paraId="380B87A9">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                                 地址：</w:t>
      </w:r>
    </w:p>
    <w:p w14:paraId="4469BDAB">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                             联系电话：</w:t>
      </w:r>
    </w:p>
    <w:p w14:paraId="63423AAF">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签约时间：    年    月    日</w:t>
      </w:r>
    </w:p>
    <w:p w14:paraId="284BCA3D">
      <w:pPr>
        <w:autoSpaceDE w:val="0"/>
        <w:autoSpaceDN w:val="0"/>
        <w:spacing w:line="360" w:lineRule="auto"/>
        <w:ind w:firstLine="0" w:firstLineChars="0"/>
        <w:rPr>
          <w:rFonts w:hint="eastAsia" w:ascii="宋体" w:hAnsi="宋体" w:eastAsia="宋体" w:cs="宋体"/>
          <w:color w:val="auto"/>
          <w:sz w:val="24"/>
          <w:szCs w:val="24"/>
          <w:lang w:val="zh-CN"/>
        </w:rPr>
      </w:pPr>
    </w:p>
    <w:p w14:paraId="29CB4740">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14:paraId="3E2BE4B2">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3E5A2C4B">
      <w:pPr>
        <w:autoSpaceDE w:val="0"/>
        <w:autoSpaceDN w:val="0"/>
        <w:spacing w:line="360" w:lineRule="auto"/>
        <w:ind w:firstLine="960" w:firstLineChars="4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时间：    年    月    日</w:t>
      </w:r>
    </w:p>
    <w:p w14:paraId="643368D7">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14:paraId="73D9C9C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7232C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14:paraId="3CD68B9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6BD2EFC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330192B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3A62E67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“合同条款”指本合同条款。</w:t>
      </w:r>
    </w:p>
    <w:p w14:paraId="1B7D6EA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6B6DCDC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2B239A8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“甲方”指购买货物和服务的单位。</w:t>
      </w:r>
    </w:p>
    <w:p w14:paraId="3835B4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“乙方”指提供本合同条款下货物和服务的公司或其他实体。</w:t>
      </w:r>
    </w:p>
    <w:p w14:paraId="5C1BF60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“现场”指合同规定货物将要运至和安装的地点。</w:t>
      </w:r>
    </w:p>
    <w:p w14:paraId="7339DC2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19F4073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7B1784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原产地：指产品的生产地，或提供服务的来源地。</w:t>
      </w:r>
    </w:p>
    <w:p w14:paraId="2EF4475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“工作日”指国家法定工作日，“天”指日历天数。</w:t>
      </w:r>
    </w:p>
    <w:p w14:paraId="41941EA2">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14:paraId="3CA8F91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本合同条款下提交货物的技术规格要求应等于或优于谈判文件、响应文件技术规格要求。若技术规格要求中无相应规定，则应符合相应的国家有关部门最新颁布的相应正式标准。</w:t>
      </w:r>
    </w:p>
    <w:p w14:paraId="30723F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乙方应向甲方提供货物及服务有关的标准的中文文本。</w:t>
      </w:r>
    </w:p>
    <w:p w14:paraId="53C5B6E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除非技术规范中另有规定，计量单位均采用中华人民共和国法定计量单位。</w:t>
      </w:r>
    </w:p>
    <w:p w14:paraId="10CA293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14:paraId="02C8626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7439D0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175B351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26DCB5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14:paraId="653B12B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0CFD118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BFA3BD9">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14:paraId="6B42E8A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1430C7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5D75C3E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067ED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52180D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23CCC0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14:paraId="1B50C67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C18579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6DBF715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任何涉及对方过去、现在或将来的商业计划、规章制度、操作规程、处理手段、财务信息；</w:t>
      </w:r>
    </w:p>
    <w:p w14:paraId="3AA218B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任何对方的技术措施、技术方案、软件应用及开发，硬件设备的品种、质量、数量、品牌等；</w:t>
      </w:r>
    </w:p>
    <w:p w14:paraId="75F9A1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任何对方的技术秘密或专有知识、文件、报告、数据、客户软件、流程图、数据库、发明、知识、贸易秘密。</w:t>
      </w:r>
    </w:p>
    <w:p w14:paraId="3367D2D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1933751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val="zh-CN"/>
        </w:rPr>
        <w:t>质量保证</w:t>
      </w:r>
    </w:p>
    <w:p w14:paraId="5066109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货物质量保证</w:t>
      </w:r>
    </w:p>
    <w:p w14:paraId="45B731F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4190AF8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7340A6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AA811B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466EF7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6F2A77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14:paraId="42E22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A6FDE6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7DE9274D">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14:paraId="4A16020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38FD901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14:paraId="437016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14:paraId="72EF915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35534B6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4EEA532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2772E81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价格</w:t>
      </w:r>
    </w:p>
    <w:p w14:paraId="35C0552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144481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1ECF0F0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检验费用</w:t>
      </w:r>
    </w:p>
    <w:p w14:paraId="60D691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573E9F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4F2ACB1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4B7CE5F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14:paraId="711F5923">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73611E9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14:paraId="63EB747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5E56ACC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14:paraId="5D500A2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开箱验收</w:t>
      </w:r>
    </w:p>
    <w:p w14:paraId="36F2506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5E8818B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C512EE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2D5615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057E1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419932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32FBE6A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1A7D7F0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4C8AF39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4CC3100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04C0B5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4914E7A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2324AA9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B97E02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64EB93D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14:paraId="314238D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本合同条款下的付款方法和条件在“采购合同书”中具体规定。</w:t>
      </w:r>
    </w:p>
    <w:p w14:paraId="7628A540">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14:paraId="462616E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乙方应在合同签订前，按谈判文件的约定提交履约保证金。</w:t>
      </w:r>
    </w:p>
    <w:p w14:paraId="0B1BA4F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履约保证金用于补偿甲方因乙方不能履行其合同义务而蒙受的损失。</w:t>
      </w:r>
    </w:p>
    <w:p w14:paraId="4928A59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履约保证金应使用本合同货币，按下述方式之一提交（谈判文件中另有约定的除外）：</w:t>
      </w:r>
    </w:p>
    <w:p w14:paraId="5A692C9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甲方可接受的在中华人民共和国注册和营业的银行出具的履约保函；</w:t>
      </w:r>
    </w:p>
    <w:p w14:paraId="2E37637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3F81276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567719D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14:paraId="63A2564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D4C8E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281D6A7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CA51A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40B1888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A0A6FE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14CBCF8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14:paraId="68067EF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7BA2C58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69926BD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191660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14:paraId="611407E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2DDCD11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14:paraId="79187AD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484029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受事故影响的一方应在不可抗力的事故发生后以书面形式通知另一方。</w:t>
      </w:r>
    </w:p>
    <w:p w14:paraId="2F76881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24FBC5B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14:paraId="21F3C49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6FB8C7B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14:paraId="2CC75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甲方和乙方由于本合同的履行而发生任何争议时，双方可先通过协商解决。</w:t>
      </w:r>
    </w:p>
    <w:p w14:paraId="4AC131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09345B64">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14:paraId="7C49C99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69185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乙方未能在合同规定的限期或甲方同意延长的限期内，提供全部或部分货物的；</w:t>
      </w:r>
    </w:p>
    <w:p w14:paraId="37C48E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乙方未能履行合同规定的其它主要义务的；</w:t>
      </w:r>
    </w:p>
    <w:p w14:paraId="5DAAE45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乙方在本合同履行过程中有欺诈行为的。</w:t>
      </w:r>
    </w:p>
    <w:p w14:paraId="2983707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75188B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14:paraId="1EF5C5A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C3A4E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14:paraId="1A1675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采购合同不能转让。</w:t>
      </w:r>
    </w:p>
    <w:p w14:paraId="6A2E50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38418D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14:paraId="0E3E27C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3B2B2C7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14:paraId="3555D68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051D4D8D">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14:paraId="4BF41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4CAC97D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14:paraId="463202B4">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lang w:val="zh-CN"/>
        </w:rPr>
        <w:t>本合同按照中华人民共和国的相关法律进行解释。</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F1B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E73B">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455E73B">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B68E">
    <w:pPr>
      <w:pStyle w:val="11"/>
      <w:jc w:val="center"/>
      <w:rPr>
        <w:rFonts w:hint="default" w:eastAsia="宋体"/>
        <w:lang w:val="en-US" w:eastAsia="zh-CN"/>
      </w:rPr>
    </w:pPr>
    <w:r>
      <w:rPr>
        <w:rFonts w:hint="eastAsia" w:ascii="宋体" w:hAnsi="宋体" w:eastAsia="宋体" w:cs="宋体"/>
        <w:lang w:val="zh-CN"/>
      </w:rPr>
      <w:t>青海鼎钊招标代理有限公司</w:t>
    </w:r>
    <w:r>
      <w:rPr>
        <w:rFonts w:hint="eastAsia" w:ascii="宋体" w:hAnsi="宋体" w:eastAsia="宋体" w:cs="宋体"/>
        <w:lang w:val="en-US" w:eastAsia="zh-CN"/>
      </w:rPr>
      <w:t xml:space="preserve">                                    </w:t>
    </w:r>
    <w:r>
      <w:rPr>
        <w:rFonts w:hint="eastAsia" w:ascii="宋体" w:hAnsi="宋体" w:cs="宋体"/>
        <w:lang w:val="en-US" w:eastAsia="zh-CN"/>
      </w:rPr>
      <w:t>青海鼎钊竞谈（货物）2025-029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ECF8D"/>
    <w:multiLevelType w:val="singleLevel"/>
    <w:tmpl w:val="BE4ECF8D"/>
    <w:lvl w:ilvl="0" w:tentative="0">
      <w:start w:val="1"/>
      <w:numFmt w:val="decimal"/>
      <w:suff w:val="space"/>
      <w:lvlText w:val="%1."/>
      <w:lvlJc w:val="left"/>
    </w:lvl>
  </w:abstractNum>
  <w:abstractNum w:abstractNumId="1">
    <w:nsid w:val="5EC64F27"/>
    <w:multiLevelType w:val="singleLevel"/>
    <w:tmpl w:val="5EC64F2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kzMTk0NmI0ODFjNGUxMGVmYTUwNmZkODlkMzcifQ=="/>
  </w:docVars>
  <w:rsids>
    <w:rsidRoot w:val="7D9B5E16"/>
    <w:rsid w:val="00411CA3"/>
    <w:rsid w:val="00490B57"/>
    <w:rsid w:val="00535E7A"/>
    <w:rsid w:val="00661709"/>
    <w:rsid w:val="0077223C"/>
    <w:rsid w:val="007D6E67"/>
    <w:rsid w:val="007E0A21"/>
    <w:rsid w:val="00863B59"/>
    <w:rsid w:val="00975D66"/>
    <w:rsid w:val="00A40483"/>
    <w:rsid w:val="00A45AE6"/>
    <w:rsid w:val="00A77BFD"/>
    <w:rsid w:val="00AA4C39"/>
    <w:rsid w:val="00AC446D"/>
    <w:rsid w:val="01097CE8"/>
    <w:rsid w:val="011E3D92"/>
    <w:rsid w:val="01211B1D"/>
    <w:rsid w:val="01360BD1"/>
    <w:rsid w:val="0147778C"/>
    <w:rsid w:val="01565C22"/>
    <w:rsid w:val="01715306"/>
    <w:rsid w:val="01826A17"/>
    <w:rsid w:val="01C42B8B"/>
    <w:rsid w:val="01D152A8"/>
    <w:rsid w:val="01EE19B6"/>
    <w:rsid w:val="02377457"/>
    <w:rsid w:val="02637B1D"/>
    <w:rsid w:val="02664A99"/>
    <w:rsid w:val="02757C38"/>
    <w:rsid w:val="027619AC"/>
    <w:rsid w:val="027C5214"/>
    <w:rsid w:val="02A9297E"/>
    <w:rsid w:val="02CB7F49"/>
    <w:rsid w:val="02DE7C7D"/>
    <w:rsid w:val="02EF1E8A"/>
    <w:rsid w:val="02F4124E"/>
    <w:rsid w:val="03062D2F"/>
    <w:rsid w:val="03165668"/>
    <w:rsid w:val="031D31DA"/>
    <w:rsid w:val="032558AB"/>
    <w:rsid w:val="03287C8E"/>
    <w:rsid w:val="03304250"/>
    <w:rsid w:val="03435D32"/>
    <w:rsid w:val="03442F30"/>
    <w:rsid w:val="034C16B5"/>
    <w:rsid w:val="034E0176"/>
    <w:rsid w:val="03553B11"/>
    <w:rsid w:val="036C1D15"/>
    <w:rsid w:val="03950013"/>
    <w:rsid w:val="03A34D06"/>
    <w:rsid w:val="03DA48E8"/>
    <w:rsid w:val="03E53D21"/>
    <w:rsid w:val="03F1316B"/>
    <w:rsid w:val="040000C7"/>
    <w:rsid w:val="042167B5"/>
    <w:rsid w:val="04387860"/>
    <w:rsid w:val="043B10FF"/>
    <w:rsid w:val="04474517"/>
    <w:rsid w:val="044807EB"/>
    <w:rsid w:val="04770945"/>
    <w:rsid w:val="04854128"/>
    <w:rsid w:val="04A62A1C"/>
    <w:rsid w:val="04C9670A"/>
    <w:rsid w:val="04CE5ACF"/>
    <w:rsid w:val="04DE17B1"/>
    <w:rsid w:val="04EC3613"/>
    <w:rsid w:val="04F70BD1"/>
    <w:rsid w:val="05157BA2"/>
    <w:rsid w:val="05210BC9"/>
    <w:rsid w:val="052A53FB"/>
    <w:rsid w:val="052E5261"/>
    <w:rsid w:val="053D1DE9"/>
    <w:rsid w:val="05563495"/>
    <w:rsid w:val="055D0822"/>
    <w:rsid w:val="056913B5"/>
    <w:rsid w:val="05941F13"/>
    <w:rsid w:val="05BE5B43"/>
    <w:rsid w:val="05E12013"/>
    <w:rsid w:val="05FD3580"/>
    <w:rsid w:val="05FD48BE"/>
    <w:rsid w:val="05FE3B9A"/>
    <w:rsid w:val="06057AFB"/>
    <w:rsid w:val="0624278B"/>
    <w:rsid w:val="063302DF"/>
    <w:rsid w:val="064C75F3"/>
    <w:rsid w:val="069114AA"/>
    <w:rsid w:val="069C28B1"/>
    <w:rsid w:val="06A4021B"/>
    <w:rsid w:val="06DC1152"/>
    <w:rsid w:val="06F2641E"/>
    <w:rsid w:val="07041C7C"/>
    <w:rsid w:val="07520C39"/>
    <w:rsid w:val="076B3AA9"/>
    <w:rsid w:val="076D7821"/>
    <w:rsid w:val="07867AF5"/>
    <w:rsid w:val="07CA4C73"/>
    <w:rsid w:val="07D77390"/>
    <w:rsid w:val="07DC6755"/>
    <w:rsid w:val="07F41CF0"/>
    <w:rsid w:val="07F615C4"/>
    <w:rsid w:val="081544F8"/>
    <w:rsid w:val="08297BEC"/>
    <w:rsid w:val="08353F26"/>
    <w:rsid w:val="087D7F38"/>
    <w:rsid w:val="088017D6"/>
    <w:rsid w:val="08803584"/>
    <w:rsid w:val="0891104C"/>
    <w:rsid w:val="08934557"/>
    <w:rsid w:val="08C01BD2"/>
    <w:rsid w:val="08DF64FD"/>
    <w:rsid w:val="09376339"/>
    <w:rsid w:val="095F763D"/>
    <w:rsid w:val="097D3829"/>
    <w:rsid w:val="09E813E1"/>
    <w:rsid w:val="09F935EE"/>
    <w:rsid w:val="0A536242"/>
    <w:rsid w:val="0A546A76"/>
    <w:rsid w:val="0A61051F"/>
    <w:rsid w:val="0A6A44EC"/>
    <w:rsid w:val="0A801DDE"/>
    <w:rsid w:val="0A910426"/>
    <w:rsid w:val="0ACF434F"/>
    <w:rsid w:val="0AED28F4"/>
    <w:rsid w:val="0B1306DF"/>
    <w:rsid w:val="0B24469B"/>
    <w:rsid w:val="0B2B4C7E"/>
    <w:rsid w:val="0B492B80"/>
    <w:rsid w:val="0B584344"/>
    <w:rsid w:val="0B640F3B"/>
    <w:rsid w:val="0B8B368D"/>
    <w:rsid w:val="0B9F6417"/>
    <w:rsid w:val="0BB54002"/>
    <w:rsid w:val="0BB91287"/>
    <w:rsid w:val="0BBC7B0E"/>
    <w:rsid w:val="0BCF0AAA"/>
    <w:rsid w:val="0BD75BB1"/>
    <w:rsid w:val="0BE8391A"/>
    <w:rsid w:val="0BF23610"/>
    <w:rsid w:val="0BF62499"/>
    <w:rsid w:val="0BF83A12"/>
    <w:rsid w:val="0C076962"/>
    <w:rsid w:val="0C142961"/>
    <w:rsid w:val="0C2C7CAB"/>
    <w:rsid w:val="0C411129"/>
    <w:rsid w:val="0C566AD6"/>
    <w:rsid w:val="0C601702"/>
    <w:rsid w:val="0C661388"/>
    <w:rsid w:val="0C902153"/>
    <w:rsid w:val="0CA710DF"/>
    <w:rsid w:val="0CA87A52"/>
    <w:rsid w:val="0CAD246E"/>
    <w:rsid w:val="0CB657C6"/>
    <w:rsid w:val="0CC51EAD"/>
    <w:rsid w:val="0CEE31B2"/>
    <w:rsid w:val="0D256ADD"/>
    <w:rsid w:val="0D38442D"/>
    <w:rsid w:val="0D572EC9"/>
    <w:rsid w:val="0D616E1A"/>
    <w:rsid w:val="0D711167"/>
    <w:rsid w:val="0D933D59"/>
    <w:rsid w:val="0DC739FA"/>
    <w:rsid w:val="0DCF044E"/>
    <w:rsid w:val="0DD56120"/>
    <w:rsid w:val="0DED16BC"/>
    <w:rsid w:val="0E045213"/>
    <w:rsid w:val="0E1A1D85"/>
    <w:rsid w:val="0E1C2E87"/>
    <w:rsid w:val="0E500CAE"/>
    <w:rsid w:val="0E783BEB"/>
    <w:rsid w:val="0E874D29"/>
    <w:rsid w:val="0E900E79"/>
    <w:rsid w:val="0E930373"/>
    <w:rsid w:val="0E9E667F"/>
    <w:rsid w:val="0EB2020F"/>
    <w:rsid w:val="0EB65F51"/>
    <w:rsid w:val="0EB83A78"/>
    <w:rsid w:val="0EE526EA"/>
    <w:rsid w:val="0EF97BEC"/>
    <w:rsid w:val="0F144A26"/>
    <w:rsid w:val="0F166D2F"/>
    <w:rsid w:val="0F305725"/>
    <w:rsid w:val="0F3A0931"/>
    <w:rsid w:val="0F625791"/>
    <w:rsid w:val="0FAB538A"/>
    <w:rsid w:val="10161A44"/>
    <w:rsid w:val="10507CE0"/>
    <w:rsid w:val="1054157E"/>
    <w:rsid w:val="107734BE"/>
    <w:rsid w:val="10795489"/>
    <w:rsid w:val="109055EB"/>
    <w:rsid w:val="10944070"/>
    <w:rsid w:val="10B95885"/>
    <w:rsid w:val="10BC748A"/>
    <w:rsid w:val="10D47789"/>
    <w:rsid w:val="10D80401"/>
    <w:rsid w:val="10DB1C9F"/>
    <w:rsid w:val="10DE48CA"/>
    <w:rsid w:val="10FE629D"/>
    <w:rsid w:val="11312A9F"/>
    <w:rsid w:val="113E3FDC"/>
    <w:rsid w:val="11670CE3"/>
    <w:rsid w:val="11C10E95"/>
    <w:rsid w:val="11C646FD"/>
    <w:rsid w:val="11CC15E8"/>
    <w:rsid w:val="11FB2BE7"/>
    <w:rsid w:val="12080872"/>
    <w:rsid w:val="120D1F67"/>
    <w:rsid w:val="123C01CE"/>
    <w:rsid w:val="12400F8A"/>
    <w:rsid w:val="12883761"/>
    <w:rsid w:val="1289645E"/>
    <w:rsid w:val="12AF5192"/>
    <w:rsid w:val="12C64289"/>
    <w:rsid w:val="12DC3AAD"/>
    <w:rsid w:val="130D1EB8"/>
    <w:rsid w:val="132F5B17"/>
    <w:rsid w:val="134C478E"/>
    <w:rsid w:val="1362694F"/>
    <w:rsid w:val="138F127E"/>
    <w:rsid w:val="139B74C4"/>
    <w:rsid w:val="13BC0277"/>
    <w:rsid w:val="13D2255B"/>
    <w:rsid w:val="13E0137B"/>
    <w:rsid w:val="141B23B3"/>
    <w:rsid w:val="14526E5B"/>
    <w:rsid w:val="145853B5"/>
    <w:rsid w:val="14972381"/>
    <w:rsid w:val="14A5684C"/>
    <w:rsid w:val="14E46C49"/>
    <w:rsid w:val="14E530ED"/>
    <w:rsid w:val="14F96B98"/>
    <w:rsid w:val="151E03AD"/>
    <w:rsid w:val="1532490E"/>
    <w:rsid w:val="155F6B7B"/>
    <w:rsid w:val="15695ACC"/>
    <w:rsid w:val="156C1118"/>
    <w:rsid w:val="15915022"/>
    <w:rsid w:val="159673EF"/>
    <w:rsid w:val="159863B1"/>
    <w:rsid w:val="15A20FDE"/>
    <w:rsid w:val="15D1541F"/>
    <w:rsid w:val="15E94352"/>
    <w:rsid w:val="15F00916"/>
    <w:rsid w:val="15F101D1"/>
    <w:rsid w:val="15F6771B"/>
    <w:rsid w:val="160A7634"/>
    <w:rsid w:val="161617D4"/>
    <w:rsid w:val="161C1F83"/>
    <w:rsid w:val="16224EA1"/>
    <w:rsid w:val="163D0D06"/>
    <w:rsid w:val="168C1346"/>
    <w:rsid w:val="16932406"/>
    <w:rsid w:val="16AB5CFC"/>
    <w:rsid w:val="16DC051F"/>
    <w:rsid w:val="16FE0496"/>
    <w:rsid w:val="17365E81"/>
    <w:rsid w:val="17B514B3"/>
    <w:rsid w:val="17C76AD9"/>
    <w:rsid w:val="1802614F"/>
    <w:rsid w:val="181531AE"/>
    <w:rsid w:val="181C1040"/>
    <w:rsid w:val="183A72AB"/>
    <w:rsid w:val="18420856"/>
    <w:rsid w:val="184B4CB4"/>
    <w:rsid w:val="18512847"/>
    <w:rsid w:val="185A675A"/>
    <w:rsid w:val="18631644"/>
    <w:rsid w:val="18AF5EEB"/>
    <w:rsid w:val="18C211CC"/>
    <w:rsid w:val="18CA0F64"/>
    <w:rsid w:val="18DA0A8E"/>
    <w:rsid w:val="18F70083"/>
    <w:rsid w:val="18F71640"/>
    <w:rsid w:val="18FF04F5"/>
    <w:rsid w:val="190A3CFE"/>
    <w:rsid w:val="191D4CB5"/>
    <w:rsid w:val="19212A44"/>
    <w:rsid w:val="19227628"/>
    <w:rsid w:val="192946A2"/>
    <w:rsid w:val="195039F5"/>
    <w:rsid w:val="195048A6"/>
    <w:rsid w:val="196071E6"/>
    <w:rsid w:val="19AC242B"/>
    <w:rsid w:val="19AC5F87"/>
    <w:rsid w:val="19CA0B03"/>
    <w:rsid w:val="19CF1C75"/>
    <w:rsid w:val="19D11E91"/>
    <w:rsid w:val="19D454DE"/>
    <w:rsid w:val="19E10B40"/>
    <w:rsid w:val="19FE255B"/>
    <w:rsid w:val="1A1A1D9C"/>
    <w:rsid w:val="1A345F7C"/>
    <w:rsid w:val="1A4408B5"/>
    <w:rsid w:val="1A472154"/>
    <w:rsid w:val="1A472CA9"/>
    <w:rsid w:val="1A5D1977"/>
    <w:rsid w:val="1A6F02EB"/>
    <w:rsid w:val="1A78230D"/>
    <w:rsid w:val="1A977682"/>
    <w:rsid w:val="1A9A6727"/>
    <w:rsid w:val="1A9D6217"/>
    <w:rsid w:val="1ACC3E1B"/>
    <w:rsid w:val="1AD11780"/>
    <w:rsid w:val="1AE469B6"/>
    <w:rsid w:val="1AEF3DAC"/>
    <w:rsid w:val="1AF8515B"/>
    <w:rsid w:val="1B213295"/>
    <w:rsid w:val="1B612829"/>
    <w:rsid w:val="1B662DBF"/>
    <w:rsid w:val="1B6D7998"/>
    <w:rsid w:val="1B7B0307"/>
    <w:rsid w:val="1B866CAC"/>
    <w:rsid w:val="1B99253B"/>
    <w:rsid w:val="1B9DB910"/>
    <w:rsid w:val="1BAF7FB0"/>
    <w:rsid w:val="1BD04F77"/>
    <w:rsid w:val="1BDE43F2"/>
    <w:rsid w:val="1BE428CB"/>
    <w:rsid w:val="1C0363DF"/>
    <w:rsid w:val="1C166281"/>
    <w:rsid w:val="1C1C46B8"/>
    <w:rsid w:val="1C200EAE"/>
    <w:rsid w:val="1C2F5B31"/>
    <w:rsid w:val="1C625023"/>
    <w:rsid w:val="1C676ADD"/>
    <w:rsid w:val="1CC01D49"/>
    <w:rsid w:val="1D2B351D"/>
    <w:rsid w:val="1D4D5CD3"/>
    <w:rsid w:val="1D7542D0"/>
    <w:rsid w:val="1D903E12"/>
    <w:rsid w:val="1D9A4A78"/>
    <w:rsid w:val="1DF93765"/>
    <w:rsid w:val="1E1C4D5D"/>
    <w:rsid w:val="1E1E4F79"/>
    <w:rsid w:val="1E2F4669"/>
    <w:rsid w:val="1E3429EF"/>
    <w:rsid w:val="1E37603B"/>
    <w:rsid w:val="1E662D79"/>
    <w:rsid w:val="1E682698"/>
    <w:rsid w:val="1E756FFB"/>
    <w:rsid w:val="1E780B2E"/>
    <w:rsid w:val="1ED74A41"/>
    <w:rsid w:val="1EED3CFC"/>
    <w:rsid w:val="1EF220FA"/>
    <w:rsid w:val="1EF36406"/>
    <w:rsid w:val="1EF65831"/>
    <w:rsid w:val="1F084C78"/>
    <w:rsid w:val="1F1220B1"/>
    <w:rsid w:val="1F132C50"/>
    <w:rsid w:val="1F1D4355"/>
    <w:rsid w:val="1F525822"/>
    <w:rsid w:val="1FF70178"/>
    <w:rsid w:val="1FF92180"/>
    <w:rsid w:val="2019175E"/>
    <w:rsid w:val="201B4CE7"/>
    <w:rsid w:val="20525060"/>
    <w:rsid w:val="20684BD2"/>
    <w:rsid w:val="207B2B57"/>
    <w:rsid w:val="207F0C88"/>
    <w:rsid w:val="2080016D"/>
    <w:rsid w:val="20875058"/>
    <w:rsid w:val="20983709"/>
    <w:rsid w:val="20E34258"/>
    <w:rsid w:val="20ED75FE"/>
    <w:rsid w:val="214F6B44"/>
    <w:rsid w:val="215A6C10"/>
    <w:rsid w:val="216C24A0"/>
    <w:rsid w:val="21983295"/>
    <w:rsid w:val="219A0747"/>
    <w:rsid w:val="21B634AE"/>
    <w:rsid w:val="21C422F5"/>
    <w:rsid w:val="21C83B7A"/>
    <w:rsid w:val="22203F2D"/>
    <w:rsid w:val="22497BDD"/>
    <w:rsid w:val="224D22D1"/>
    <w:rsid w:val="226C6BFB"/>
    <w:rsid w:val="2272669E"/>
    <w:rsid w:val="227F4D71"/>
    <w:rsid w:val="2280389A"/>
    <w:rsid w:val="229121BE"/>
    <w:rsid w:val="22C31AFD"/>
    <w:rsid w:val="22D569A0"/>
    <w:rsid w:val="231A452F"/>
    <w:rsid w:val="23386ADD"/>
    <w:rsid w:val="23461B9F"/>
    <w:rsid w:val="234E76BD"/>
    <w:rsid w:val="235D02F2"/>
    <w:rsid w:val="23A0431E"/>
    <w:rsid w:val="23A423C5"/>
    <w:rsid w:val="23A777BF"/>
    <w:rsid w:val="23C40371"/>
    <w:rsid w:val="23CC4733"/>
    <w:rsid w:val="23DC0222"/>
    <w:rsid w:val="23F549CE"/>
    <w:rsid w:val="23FC7CA6"/>
    <w:rsid w:val="241223D6"/>
    <w:rsid w:val="241E5CD3"/>
    <w:rsid w:val="2435126F"/>
    <w:rsid w:val="244F40DF"/>
    <w:rsid w:val="24763D61"/>
    <w:rsid w:val="24782AD4"/>
    <w:rsid w:val="247C2A7C"/>
    <w:rsid w:val="249441E7"/>
    <w:rsid w:val="24C90335"/>
    <w:rsid w:val="24CA5E5B"/>
    <w:rsid w:val="24E63832"/>
    <w:rsid w:val="24E76A0D"/>
    <w:rsid w:val="24FD76C4"/>
    <w:rsid w:val="25070E5D"/>
    <w:rsid w:val="25075E28"/>
    <w:rsid w:val="25076767"/>
    <w:rsid w:val="254E083A"/>
    <w:rsid w:val="255045B2"/>
    <w:rsid w:val="25537BFE"/>
    <w:rsid w:val="25565941"/>
    <w:rsid w:val="25657932"/>
    <w:rsid w:val="25733194"/>
    <w:rsid w:val="25956469"/>
    <w:rsid w:val="25A60401"/>
    <w:rsid w:val="25BA7C7E"/>
    <w:rsid w:val="25C718A8"/>
    <w:rsid w:val="25CB1E8B"/>
    <w:rsid w:val="25D845A8"/>
    <w:rsid w:val="26072B40"/>
    <w:rsid w:val="26084E8D"/>
    <w:rsid w:val="26151358"/>
    <w:rsid w:val="26153106"/>
    <w:rsid w:val="261C26E6"/>
    <w:rsid w:val="261F5D33"/>
    <w:rsid w:val="26215F4F"/>
    <w:rsid w:val="26282E39"/>
    <w:rsid w:val="26722306"/>
    <w:rsid w:val="2677349D"/>
    <w:rsid w:val="2677791D"/>
    <w:rsid w:val="26806F3F"/>
    <w:rsid w:val="26856E0D"/>
    <w:rsid w:val="26A76454"/>
    <w:rsid w:val="26B0198D"/>
    <w:rsid w:val="26B80661"/>
    <w:rsid w:val="26DE174A"/>
    <w:rsid w:val="26F45411"/>
    <w:rsid w:val="26F929A0"/>
    <w:rsid w:val="26FB67A0"/>
    <w:rsid w:val="270F7B55"/>
    <w:rsid w:val="27165D37"/>
    <w:rsid w:val="272C4BAB"/>
    <w:rsid w:val="27480DF9"/>
    <w:rsid w:val="274A7F66"/>
    <w:rsid w:val="278F5CF9"/>
    <w:rsid w:val="279F35CF"/>
    <w:rsid w:val="27A72484"/>
    <w:rsid w:val="27B32BD6"/>
    <w:rsid w:val="28246CCB"/>
    <w:rsid w:val="282D0BDB"/>
    <w:rsid w:val="282D2989"/>
    <w:rsid w:val="283850E7"/>
    <w:rsid w:val="284F6DA3"/>
    <w:rsid w:val="28553C8E"/>
    <w:rsid w:val="28585AA1"/>
    <w:rsid w:val="286F2FA1"/>
    <w:rsid w:val="28773DCD"/>
    <w:rsid w:val="28812CD5"/>
    <w:rsid w:val="28942A08"/>
    <w:rsid w:val="28D15A0A"/>
    <w:rsid w:val="28D93D8C"/>
    <w:rsid w:val="28ED597C"/>
    <w:rsid w:val="291B0A33"/>
    <w:rsid w:val="29422464"/>
    <w:rsid w:val="295C2DFA"/>
    <w:rsid w:val="295E3016"/>
    <w:rsid w:val="29712103"/>
    <w:rsid w:val="298B4E72"/>
    <w:rsid w:val="29907531"/>
    <w:rsid w:val="29946A38"/>
    <w:rsid w:val="29DA067B"/>
    <w:rsid w:val="29DD218D"/>
    <w:rsid w:val="2A2658E2"/>
    <w:rsid w:val="2A353D77"/>
    <w:rsid w:val="2A3C3357"/>
    <w:rsid w:val="2A4B3200"/>
    <w:rsid w:val="2A64465C"/>
    <w:rsid w:val="2A6C5B33"/>
    <w:rsid w:val="2A8C0A2C"/>
    <w:rsid w:val="2AAE58D7"/>
    <w:rsid w:val="2AB16E2B"/>
    <w:rsid w:val="2ABB6B22"/>
    <w:rsid w:val="2AD8222D"/>
    <w:rsid w:val="2ADE5E46"/>
    <w:rsid w:val="2B116592"/>
    <w:rsid w:val="2B5D3585"/>
    <w:rsid w:val="2B78699C"/>
    <w:rsid w:val="2B794137"/>
    <w:rsid w:val="2B797C93"/>
    <w:rsid w:val="2B8534D0"/>
    <w:rsid w:val="2B861E09"/>
    <w:rsid w:val="2B924EA7"/>
    <w:rsid w:val="2B967B5D"/>
    <w:rsid w:val="2B9D1BD3"/>
    <w:rsid w:val="2BC25ADE"/>
    <w:rsid w:val="2BDB094E"/>
    <w:rsid w:val="2BE912BD"/>
    <w:rsid w:val="2BFB4B4C"/>
    <w:rsid w:val="2C2E0A7D"/>
    <w:rsid w:val="2C2E5CBB"/>
    <w:rsid w:val="2C3047F6"/>
    <w:rsid w:val="2C3D5164"/>
    <w:rsid w:val="2C4D184B"/>
    <w:rsid w:val="2C6E17C2"/>
    <w:rsid w:val="2C83526D"/>
    <w:rsid w:val="2C9638AE"/>
    <w:rsid w:val="2CA23219"/>
    <w:rsid w:val="2CC30608"/>
    <w:rsid w:val="2CC55886"/>
    <w:rsid w:val="2CD30EEF"/>
    <w:rsid w:val="2CEB4BC0"/>
    <w:rsid w:val="2D154D7E"/>
    <w:rsid w:val="2D1C7470"/>
    <w:rsid w:val="2D202ABC"/>
    <w:rsid w:val="2D5B3AF4"/>
    <w:rsid w:val="2D5B7F98"/>
    <w:rsid w:val="2D6D2063"/>
    <w:rsid w:val="2D7503AA"/>
    <w:rsid w:val="2D957F46"/>
    <w:rsid w:val="2DA27975"/>
    <w:rsid w:val="2DB651CE"/>
    <w:rsid w:val="2DDD275B"/>
    <w:rsid w:val="2DEA131C"/>
    <w:rsid w:val="2DEE2BBA"/>
    <w:rsid w:val="2E19750B"/>
    <w:rsid w:val="2E3D769E"/>
    <w:rsid w:val="2E6E3CFB"/>
    <w:rsid w:val="2E996D68"/>
    <w:rsid w:val="2EB54D10"/>
    <w:rsid w:val="2EC25066"/>
    <w:rsid w:val="2ED31DB0"/>
    <w:rsid w:val="2EE67D35"/>
    <w:rsid w:val="2EF57F78"/>
    <w:rsid w:val="2EFC30B5"/>
    <w:rsid w:val="2F173B14"/>
    <w:rsid w:val="2F3A5686"/>
    <w:rsid w:val="2F3F2FA2"/>
    <w:rsid w:val="2F6125CE"/>
    <w:rsid w:val="2F7A1819"/>
    <w:rsid w:val="2F7B1CC0"/>
    <w:rsid w:val="2FB219C5"/>
    <w:rsid w:val="2FCF2953"/>
    <w:rsid w:val="2FD600FB"/>
    <w:rsid w:val="2FD74D0A"/>
    <w:rsid w:val="2FDB53C0"/>
    <w:rsid w:val="2FF87D20"/>
    <w:rsid w:val="302428C3"/>
    <w:rsid w:val="30466CDD"/>
    <w:rsid w:val="307C6D0A"/>
    <w:rsid w:val="307F505D"/>
    <w:rsid w:val="30997731"/>
    <w:rsid w:val="30A12166"/>
    <w:rsid w:val="30B46ED7"/>
    <w:rsid w:val="30C61BCC"/>
    <w:rsid w:val="30D047F9"/>
    <w:rsid w:val="30D84A6D"/>
    <w:rsid w:val="31216E03"/>
    <w:rsid w:val="31496359"/>
    <w:rsid w:val="31865B3F"/>
    <w:rsid w:val="319375DC"/>
    <w:rsid w:val="31C970ED"/>
    <w:rsid w:val="31CA1248"/>
    <w:rsid w:val="31CD6FAF"/>
    <w:rsid w:val="31F167D5"/>
    <w:rsid w:val="32081D71"/>
    <w:rsid w:val="323808A8"/>
    <w:rsid w:val="325A3A2B"/>
    <w:rsid w:val="325B00F2"/>
    <w:rsid w:val="32764F2C"/>
    <w:rsid w:val="3279344C"/>
    <w:rsid w:val="328B4E7C"/>
    <w:rsid w:val="328E2276"/>
    <w:rsid w:val="32B43807"/>
    <w:rsid w:val="32B85545"/>
    <w:rsid w:val="32C57C62"/>
    <w:rsid w:val="33016EEC"/>
    <w:rsid w:val="3304078A"/>
    <w:rsid w:val="33182487"/>
    <w:rsid w:val="333853AE"/>
    <w:rsid w:val="333E1EEE"/>
    <w:rsid w:val="33784BF7"/>
    <w:rsid w:val="337E053C"/>
    <w:rsid w:val="338A1C5E"/>
    <w:rsid w:val="338A5133"/>
    <w:rsid w:val="33BA52ED"/>
    <w:rsid w:val="33D12D62"/>
    <w:rsid w:val="33D44600"/>
    <w:rsid w:val="33D97E69"/>
    <w:rsid w:val="33DB598F"/>
    <w:rsid w:val="33E04D53"/>
    <w:rsid w:val="33E74334"/>
    <w:rsid w:val="33F24A86"/>
    <w:rsid w:val="34034EE6"/>
    <w:rsid w:val="34050C5E"/>
    <w:rsid w:val="34184F37"/>
    <w:rsid w:val="342873FA"/>
    <w:rsid w:val="343155AF"/>
    <w:rsid w:val="345614B9"/>
    <w:rsid w:val="348875DC"/>
    <w:rsid w:val="34C74165"/>
    <w:rsid w:val="34E81C26"/>
    <w:rsid w:val="35061DD1"/>
    <w:rsid w:val="351554C0"/>
    <w:rsid w:val="35433124"/>
    <w:rsid w:val="354E03E2"/>
    <w:rsid w:val="356B65D3"/>
    <w:rsid w:val="356C2617"/>
    <w:rsid w:val="35904557"/>
    <w:rsid w:val="35A3456B"/>
    <w:rsid w:val="35B446E9"/>
    <w:rsid w:val="35CD4C0A"/>
    <w:rsid w:val="35D703D8"/>
    <w:rsid w:val="35F05BDE"/>
    <w:rsid w:val="35F1149A"/>
    <w:rsid w:val="361D0D1B"/>
    <w:rsid w:val="36297806"/>
    <w:rsid w:val="36352607"/>
    <w:rsid w:val="364B0521"/>
    <w:rsid w:val="366003CD"/>
    <w:rsid w:val="36940077"/>
    <w:rsid w:val="36987B67"/>
    <w:rsid w:val="36A71B58"/>
    <w:rsid w:val="36AA1648"/>
    <w:rsid w:val="36AC3612"/>
    <w:rsid w:val="36C3270A"/>
    <w:rsid w:val="36E52470"/>
    <w:rsid w:val="36F6663C"/>
    <w:rsid w:val="37270EEB"/>
    <w:rsid w:val="37321D6A"/>
    <w:rsid w:val="3747333B"/>
    <w:rsid w:val="37500442"/>
    <w:rsid w:val="3751610B"/>
    <w:rsid w:val="3786627E"/>
    <w:rsid w:val="37B31CC9"/>
    <w:rsid w:val="37BF1F63"/>
    <w:rsid w:val="37D526F5"/>
    <w:rsid w:val="37E21BB6"/>
    <w:rsid w:val="37EA0A78"/>
    <w:rsid w:val="37EC3AB6"/>
    <w:rsid w:val="37F708BD"/>
    <w:rsid w:val="381009F4"/>
    <w:rsid w:val="38147538"/>
    <w:rsid w:val="38177AC2"/>
    <w:rsid w:val="382D2531"/>
    <w:rsid w:val="38330237"/>
    <w:rsid w:val="385828C1"/>
    <w:rsid w:val="387463B2"/>
    <w:rsid w:val="38795776"/>
    <w:rsid w:val="38925C27"/>
    <w:rsid w:val="38AA3B82"/>
    <w:rsid w:val="38D8249D"/>
    <w:rsid w:val="38F80D91"/>
    <w:rsid w:val="39052016"/>
    <w:rsid w:val="39194863"/>
    <w:rsid w:val="391B4A7F"/>
    <w:rsid w:val="39224FD0"/>
    <w:rsid w:val="392456E2"/>
    <w:rsid w:val="39292CF8"/>
    <w:rsid w:val="392A540E"/>
    <w:rsid w:val="39333B77"/>
    <w:rsid w:val="39365415"/>
    <w:rsid w:val="39472B23"/>
    <w:rsid w:val="39513AD4"/>
    <w:rsid w:val="39777F08"/>
    <w:rsid w:val="3986014B"/>
    <w:rsid w:val="398E34A3"/>
    <w:rsid w:val="39E61C93"/>
    <w:rsid w:val="39F747FF"/>
    <w:rsid w:val="39FA28E7"/>
    <w:rsid w:val="3A1C285D"/>
    <w:rsid w:val="3A396F6B"/>
    <w:rsid w:val="3A712BA9"/>
    <w:rsid w:val="3A754535"/>
    <w:rsid w:val="3A9C74FA"/>
    <w:rsid w:val="3AB94550"/>
    <w:rsid w:val="3ACF5B21"/>
    <w:rsid w:val="3AD61226"/>
    <w:rsid w:val="3AE50EA1"/>
    <w:rsid w:val="3AE96BE3"/>
    <w:rsid w:val="3AF96301"/>
    <w:rsid w:val="3B2319C9"/>
    <w:rsid w:val="3B762441"/>
    <w:rsid w:val="3B7A3CDF"/>
    <w:rsid w:val="3B862684"/>
    <w:rsid w:val="3B9A38FD"/>
    <w:rsid w:val="3B9D5E5A"/>
    <w:rsid w:val="3BA0301A"/>
    <w:rsid w:val="3BB70A8F"/>
    <w:rsid w:val="3BD51E28"/>
    <w:rsid w:val="3C0E6A8C"/>
    <w:rsid w:val="3C126A18"/>
    <w:rsid w:val="3C1E0B0E"/>
    <w:rsid w:val="3C236125"/>
    <w:rsid w:val="3C30439E"/>
    <w:rsid w:val="3C355E58"/>
    <w:rsid w:val="3C575D49"/>
    <w:rsid w:val="3C6329C5"/>
    <w:rsid w:val="3C687FDC"/>
    <w:rsid w:val="3C805325"/>
    <w:rsid w:val="3CA1529C"/>
    <w:rsid w:val="3CAF79B9"/>
    <w:rsid w:val="3CDA061D"/>
    <w:rsid w:val="3CFB2BFE"/>
    <w:rsid w:val="3D0B0176"/>
    <w:rsid w:val="3D4C7081"/>
    <w:rsid w:val="3D532A3A"/>
    <w:rsid w:val="3D5440BC"/>
    <w:rsid w:val="3D9F3525"/>
    <w:rsid w:val="3DCC1178"/>
    <w:rsid w:val="3DCF0187"/>
    <w:rsid w:val="3DE23DBE"/>
    <w:rsid w:val="3E004C98"/>
    <w:rsid w:val="3E104487"/>
    <w:rsid w:val="3E174EC3"/>
    <w:rsid w:val="3E2117F6"/>
    <w:rsid w:val="3E304B29"/>
    <w:rsid w:val="3E3B0987"/>
    <w:rsid w:val="3E524A9F"/>
    <w:rsid w:val="3E6D498B"/>
    <w:rsid w:val="3E6E73FF"/>
    <w:rsid w:val="3E6F1C2A"/>
    <w:rsid w:val="3E8135D7"/>
    <w:rsid w:val="3E8B153F"/>
    <w:rsid w:val="3E8B6203"/>
    <w:rsid w:val="3E9D5040"/>
    <w:rsid w:val="3EC9196F"/>
    <w:rsid w:val="3EDE6333"/>
    <w:rsid w:val="3EE020AB"/>
    <w:rsid w:val="3EEA117C"/>
    <w:rsid w:val="3F000963"/>
    <w:rsid w:val="3F140CE0"/>
    <w:rsid w:val="3F204B9E"/>
    <w:rsid w:val="3F235948"/>
    <w:rsid w:val="3F2521B4"/>
    <w:rsid w:val="3F6251B6"/>
    <w:rsid w:val="3F7647BE"/>
    <w:rsid w:val="3F9D61EE"/>
    <w:rsid w:val="3FA56E51"/>
    <w:rsid w:val="3FBE7F13"/>
    <w:rsid w:val="3FC62645"/>
    <w:rsid w:val="3FCC1BB2"/>
    <w:rsid w:val="3FD55988"/>
    <w:rsid w:val="3FFA1B0C"/>
    <w:rsid w:val="40185875"/>
    <w:rsid w:val="402A0AE0"/>
    <w:rsid w:val="403D352D"/>
    <w:rsid w:val="407C4056"/>
    <w:rsid w:val="408E5B37"/>
    <w:rsid w:val="409018AF"/>
    <w:rsid w:val="40A77C4E"/>
    <w:rsid w:val="40AA0BC3"/>
    <w:rsid w:val="40B97554"/>
    <w:rsid w:val="40E13EB9"/>
    <w:rsid w:val="40E83499"/>
    <w:rsid w:val="411B386E"/>
    <w:rsid w:val="41276809"/>
    <w:rsid w:val="415A0F9A"/>
    <w:rsid w:val="416A0352"/>
    <w:rsid w:val="419453CF"/>
    <w:rsid w:val="41C17B42"/>
    <w:rsid w:val="41C73BAC"/>
    <w:rsid w:val="41CB6863"/>
    <w:rsid w:val="4205007B"/>
    <w:rsid w:val="421A1A4F"/>
    <w:rsid w:val="42204EB5"/>
    <w:rsid w:val="42295B17"/>
    <w:rsid w:val="423170C2"/>
    <w:rsid w:val="42642FF3"/>
    <w:rsid w:val="42650575"/>
    <w:rsid w:val="429F4CCE"/>
    <w:rsid w:val="42B05AFD"/>
    <w:rsid w:val="42B775C7"/>
    <w:rsid w:val="42E1293B"/>
    <w:rsid w:val="42E934F8"/>
    <w:rsid w:val="42EA1B91"/>
    <w:rsid w:val="42EA799C"/>
    <w:rsid w:val="42EE0B0F"/>
    <w:rsid w:val="430640AA"/>
    <w:rsid w:val="43137493"/>
    <w:rsid w:val="43486471"/>
    <w:rsid w:val="437152C3"/>
    <w:rsid w:val="43803F8D"/>
    <w:rsid w:val="43815049"/>
    <w:rsid w:val="438751EB"/>
    <w:rsid w:val="439367F3"/>
    <w:rsid w:val="439A7D10"/>
    <w:rsid w:val="43A22025"/>
    <w:rsid w:val="43E30CD8"/>
    <w:rsid w:val="440A5A5D"/>
    <w:rsid w:val="44107D9B"/>
    <w:rsid w:val="441F3676"/>
    <w:rsid w:val="44307631"/>
    <w:rsid w:val="443F7874"/>
    <w:rsid w:val="444B7008"/>
    <w:rsid w:val="4453331F"/>
    <w:rsid w:val="448C05DF"/>
    <w:rsid w:val="44915BF6"/>
    <w:rsid w:val="44B87626"/>
    <w:rsid w:val="44D44EB9"/>
    <w:rsid w:val="44D577C1"/>
    <w:rsid w:val="44D63F79"/>
    <w:rsid w:val="44ED4569"/>
    <w:rsid w:val="44F41C55"/>
    <w:rsid w:val="44F80CBF"/>
    <w:rsid w:val="451B412B"/>
    <w:rsid w:val="4597548E"/>
    <w:rsid w:val="45B222C8"/>
    <w:rsid w:val="45C67B21"/>
    <w:rsid w:val="45EE208A"/>
    <w:rsid w:val="45FE72BB"/>
    <w:rsid w:val="460515BC"/>
    <w:rsid w:val="465B295F"/>
    <w:rsid w:val="46A105A3"/>
    <w:rsid w:val="46DA7D28"/>
    <w:rsid w:val="46E25A83"/>
    <w:rsid w:val="46EA71D0"/>
    <w:rsid w:val="47084895"/>
    <w:rsid w:val="470E3181"/>
    <w:rsid w:val="47176167"/>
    <w:rsid w:val="471D1690"/>
    <w:rsid w:val="473A2575"/>
    <w:rsid w:val="475C073D"/>
    <w:rsid w:val="479E0D55"/>
    <w:rsid w:val="479E2B03"/>
    <w:rsid w:val="47AD0F98"/>
    <w:rsid w:val="47B6609F"/>
    <w:rsid w:val="47BE75C1"/>
    <w:rsid w:val="47C462E6"/>
    <w:rsid w:val="47CF0B1D"/>
    <w:rsid w:val="47D429C9"/>
    <w:rsid w:val="47DA59EE"/>
    <w:rsid w:val="47E23378"/>
    <w:rsid w:val="47F22E4F"/>
    <w:rsid w:val="482A25E9"/>
    <w:rsid w:val="48627FD5"/>
    <w:rsid w:val="486378A9"/>
    <w:rsid w:val="48E215C3"/>
    <w:rsid w:val="48F350D1"/>
    <w:rsid w:val="49221512"/>
    <w:rsid w:val="492A3696"/>
    <w:rsid w:val="49437E06"/>
    <w:rsid w:val="494B2460"/>
    <w:rsid w:val="495C7CDB"/>
    <w:rsid w:val="4968786D"/>
    <w:rsid w:val="49956188"/>
    <w:rsid w:val="49A2349F"/>
    <w:rsid w:val="49B900C8"/>
    <w:rsid w:val="49BD7227"/>
    <w:rsid w:val="4A0D491F"/>
    <w:rsid w:val="4A1672C9"/>
    <w:rsid w:val="4A426816"/>
    <w:rsid w:val="4AC62A9D"/>
    <w:rsid w:val="4ACC5BD9"/>
    <w:rsid w:val="4AD87F7A"/>
    <w:rsid w:val="4ADC6818"/>
    <w:rsid w:val="4AF21F89"/>
    <w:rsid w:val="4B0D0700"/>
    <w:rsid w:val="4B1C50F9"/>
    <w:rsid w:val="4B1F3F5B"/>
    <w:rsid w:val="4B3519D1"/>
    <w:rsid w:val="4B5736F5"/>
    <w:rsid w:val="4B603D34"/>
    <w:rsid w:val="4B702A09"/>
    <w:rsid w:val="4B7778F3"/>
    <w:rsid w:val="4B885FA4"/>
    <w:rsid w:val="4B9F2679"/>
    <w:rsid w:val="4BA97CC9"/>
    <w:rsid w:val="4BC93EC7"/>
    <w:rsid w:val="4C193AAC"/>
    <w:rsid w:val="4C6D519A"/>
    <w:rsid w:val="4C8B1B64"/>
    <w:rsid w:val="4C8D39F2"/>
    <w:rsid w:val="4C940979"/>
    <w:rsid w:val="4C9576B7"/>
    <w:rsid w:val="4C995F8F"/>
    <w:rsid w:val="4CA74208"/>
    <w:rsid w:val="4CB10ACF"/>
    <w:rsid w:val="4CB24246"/>
    <w:rsid w:val="4CB42DC9"/>
    <w:rsid w:val="4CC01E86"/>
    <w:rsid w:val="4CC2180F"/>
    <w:rsid w:val="4CEC2563"/>
    <w:rsid w:val="4D2717ED"/>
    <w:rsid w:val="4D2B7562"/>
    <w:rsid w:val="4D6A2CF5"/>
    <w:rsid w:val="4D704F42"/>
    <w:rsid w:val="4D8046B5"/>
    <w:rsid w:val="4D907A56"/>
    <w:rsid w:val="4DB03590"/>
    <w:rsid w:val="4DBF37D4"/>
    <w:rsid w:val="4DDA23BB"/>
    <w:rsid w:val="4DDB03B5"/>
    <w:rsid w:val="4DED4A76"/>
    <w:rsid w:val="4E035DB6"/>
    <w:rsid w:val="4E0631B0"/>
    <w:rsid w:val="4E2A1318"/>
    <w:rsid w:val="4E361CE8"/>
    <w:rsid w:val="4E3C454D"/>
    <w:rsid w:val="4E52289A"/>
    <w:rsid w:val="4E766588"/>
    <w:rsid w:val="4E7D7917"/>
    <w:rsid w:val="4E9C58C3"/>
    <w:rsid w:val="4EAB5A6E"/>
    <w:rsid w:val="4EB578C5"/>
    <w:rsid w:val="4ED72EBD"/>
    <w:rsid w:val="4EDE5EDB"/>
    <w:rsid w:val="4EE202E0"/>
    <w:rsid w:val="4EE5726A"/>
    <w:rsid w:val="4F0E4A13"/>
    <w:rsid w:val="4F18763F"/>
    <w:rsid w:val="4F3F2E1E"/>
    <w:rsid w:val="4F5C1D7A"/>
    <w:rsid w:val="4F754A92"/>
    <w:rsid w:val="4F776199"/>
    <w:rsid w:val="4F7D2F66"/>
    <w:rsid w:val="4F950C90"/>
    <w:rsid w:val="4FA709C3"/>
    <w:rsid w:val="50045AFA"/>
    <w:rsid w:val="504B134F"/>
    <w:rsid w:val="50546F19"/>
    <w:rsid w:val="50615016"/>
    <w:rsid w:val="5074015B"/>
    <w:rsid w:val="50874A7C"/>
    <w:rsid w:val="50B82E88"/>
    <w:rsid w:val="512178AF"/>
    <w:rsid w:val="51271052"/>
    <w:rsid w:val="51581F75"/>
    <w:rsid w:val="5176769E"/>
    <w:rsid w:val="517F39A6"/>
    <w:rsid w:val="519017FF"/>
    <w:rsid w:val="519A258E"/>
    <w:rsid w:val="51B03B5F"/>
    <w:rsid w:val="51B22AB2"/>
    <w:rsid w:val="51B43FDF"/>
    <w:rsid w:val="51BD2EC4"/>
    <w:rsid w:val="51BF3DA2"/>
    <w:rsid w:val="51C30881"/>
    <w:rsid w:val="51FE4E47"/>
    <w:rsid w:val="51FE73D1"/>
    <w:rsid w:val="521C7446"/>
    <w:rsid w:val="52456432"/>
    <w:rsid w:val="526037D7"/>
    <w:rsid w:val="52756B57"/>
    <w:rsid w:val="529D29BD"/>
    <w:rsid w:val="52A511EA"/>
    <w:rsid w:val="52C673B2"/>
    <w:rsid w:val="52CC2C1B"/>
    <w:rsid w:val="53057EDB"/>
    <w:rsid w:val="533E33EC"/>
    <w:rsid w:val="534A1D91"/>
    <w:rsid w:val="534D3630"/>
    <w:rsid w:val="53534733"/>
    <w:rsid w:val="535B4140"/>
    <w:rsid w:val="53A2777C"/>
    <w:rsid w:val="53B41740"/>
    <w:rsid w:val="53BA0A12"/>
    <w:rsid w:val="53DD2C05"/>
    <w:rsid w:val="53E43F94"/>
    <w:rsid w:val="53E9079A"/>
    <w:rsid w:val="53EB3BE6"/>
    <w:rsid w:val="53F43369"/>
    <w:rsid w:val="54085ED4"/>
    <w:rsid w:val="54120B01"/>
    <w:rsid w:val="547C241E"/>
    <w:rsid w:val="54882B71"/>
    <w:rsid w:val="54966C7E"/>
    <w:rsid w:val="549707FA"/>
    <w:rsid w:val="54AB36A4"/>
    <w:rsid w:val="54B41BB8"/>
    <w:rsid w:val="54BE47E5"/>
    <w:rsid w:val="54C85664"/>
    <w:rsid w:val="54EA03CE"/>
    <w:rsid w:val="551045B4"/>
    <w:rsid w:val="552A59D6"/>
    <w:rsid w:val="55627866"/>
    <w:rsid w:val="5563713A"/>
    <w:rsid w:val="5571016F"/>
    <w:rsid w:val="557F61CB"/>
    <w:rsid w:val="55A87547"/>
    <w:rsid w:val="55B04C26"/>
    <w:rsid w:val="55C1045E"/>
    <w:rsid w:val="55D911AB"/>
    <w:rsid w:val="55E055C2"/>
    <w:rsid w:val="55EF09CE"/>
    <w:rsid w:val="55F04E72"/>
    <w:rsid w:val="55F51E57"/>
    <w:rsid w:val="560E354A"/>
    <w:rsid w:val="561072C2"/>
    <w:rsid w:val="56290384"/>
    <w:rsid w:val="564156AD"/>
    <w:rsid w:val="565D002E"/>
    <w:rsid w:val="56690780"/>
    <w:rsid w:val="5682736F"/>
    <w:rsid w:val="569972B8"/>
    <w:rsid w:val="56A47A0A"/>
    <w:rsid w:val="56B45E9F"/>
    <w:rsid w:val="56CE1471"/>
    <w:rsid w:val="56E524FD"/>
    <w:rsid w:val="56FB2B1E"/>
    <w:rsid w:val="572F19CA"/>
    <w:rsid w:val="574C257C"/>
    <w:rsid w:val="57512862"/>
    <w:rsid w:val="57582859"/>
    <w:rsid w:val="57757B5A"/>
    <w:rsid w:val="578A30A4"/>
    <w:rsid w:val="57A368C3"/>
    <w:rsid w:val="57A9177C"/>
    <w:rsid w:val="57B35D3A"/>
    <w:rsid w:val="57B41ECF"/>
    <w:rsid w:val="57C31664"/>
    <w:rsid w:val="57D367F9"/>
    <w:rsid w:val="57D91936"/>
    <w:rsid w:val="57EC78BB"/>
    <w:rsid w:val="57EE718F"/>
    <w:rsid w:val="57F27B11"/>
    <w:rsid w:val="58012C2D"/>
    <w:rsid w:val="58122FAA"/>
    <w:rsid w:val="58584F50"/>
    <w:rsid w:val="58627B7D"/>
    <w:rsid w:val="586478ED"/>
    <w:rsid w:val="587D00AE"/>
    <w:rsid w:val="587F072F"/>
    <w:rsid w:val="588E44CE"/>
    <w:rsid w:val="589A7317"/>
    <w:rsid w:val="589E1D6D"/>
    <w:rsid w:val="58C123C1"/>
    <w:rsid w:val="58CE0D6F"/>
    <w:rsid w:val="58E757E0"/>
    <w:rsid w:val="58F63137"/>
    <w:rsid w:val="591B0458"/>
    <w:rsid w:val="59361F1D"/>
    <w:rsid w:val="593C03CE"/>
    <w:rsid w:val="593C3F2A"/>
    <w:rsid w:val="59725B9E"/>
    <w:rsid w:val="59785D57"/>
    <w:rsid w:val="59875AED"/>
    <w:rsid w:val="59A26483"/>
    <w:rsid w:val="59AC7302"/>
    <w:rsid w:val="59D24C95"/>
    <w:rsid w:val="59E44CEE"/>
    <w:rsid w:val="5A034045"/>
    <w:rsid w:val="5A1B7FE4"/>
    <w:rsid w:val="5A28422F"/>
    <w:rsid w:val="5A64644D"/>
    <w:rsid w:val="5A8E77E6"/>
    <w:rsid w:val="5AA26202"/>
    <w:rsid w:val="5AA93841"/>
    <w:rsid w:val="5AB3646E"/>
    <w:rsid w:val="5AB50438"/>
    <w:rsid w:val="5ACD57F6"/>
    <w:rsid w:val="5ADF3707"/>
    <w:rsid w:val="5AEF00AC"/>
    <w:rsid w:val="5B0B0058"/>
    <w:rsid w:val="5B2B24A8"/>
    <w:rsid w:val="5B451187"/>
    <w:rsid w:val="5B4B66A7"/>
    <w:rsid w:val="5B530396"/>
    <w:rsid w:val="5B5B5B3E"/>
    <w:rsid w:val="5B6D0D13"/>
    <w:rsid w:val="5B70610D"/>
    <w:rsid w:val="5B834092"/>
    <w:rsid w:val="5B85605C"/>
    <w:rsid w:val="5B86741A"/>
    <w:rsid w:val="5BB22BCA"/>
    <w:rsid w:val="5BB478E2"/>
    <w:rsid w:val="5BC14BBB"/>
    <w:rsid w:val="5BD91F04"/>
    <w:rsid w:val="5BFA2163"/>
    <w:rsid w:val="5C007491"/>
    <w:rsid w:val="5C1949F7"/>
    <w:rsid w:val="5C1D0043"/>
    <w:rsid w:val="5C514191"/>
    <w:rsid w:val="5C5B6DBD"/>
    <w:rsid w:val="5C7D6D34"/>
    <w:rsid w:val="5CB36BF9"/>
    <w:rsid w:val="5CC26747"/>
    <w:rsid w:val="5CC84CFD"/>
    <w:rsid w:val="5CD34BA6"/>
    <w:rsid w:val="5CEE7C31"/>
    <w:rsid w:val="5D057DF3"/>
    <w:rsid w:val="5D080CF3"/>
    <w:rsid w:val="5D1A0A26"/>
    <w:rsid w:val="5D2C4642"/>
    <w:rsid w:val="5D30024A"/>
    <w:rsid w:val="5D347D3A"/>
    <w:rsid w:val="5D46181B"/>
    <w:rsid w:val="5D4A3A21"/>
    <w:rsid w:val="5D6408DE"/>
    <w:rsid w:val="5D902BE3"/>
    <w:rsid w:val="5DD9443E"/>
    <w:rsid w:val="5DDE3802"/>
    <w:rsid w:val="5DE74DAC"/>
    <w:rsid w:val="5E652175"/>
    <w:rsid w:val="5E814705"/>
    <w:rsid w:val="5EA06FBA"/>
    <w:rsid w:val="5EEB0B5D"/>
    <w:rsid w:val="5EFD415C"/>
    <w:rsid w:val="5F13572D"/>
    <w:rsid w:val="5F200A95"/>
    <w:rsid w:val="5F223BC2"/>
    <w:rsid w:val="5F2B2A77"/>
    <w:rsid w:val="5F3F4774"/>
    <w:rsid w:val="5F6146EB"/>
    <w:rsid w:val="5F683B20"/>
    <w:rsid w:val="5F8038FF"/>
    <w:rsid w:val="5F9D1C73"/>
    <w:rsid w:val="5FCE7A0F"/>
    <w:rsid w:val="5FEC2A61"/>
    <w:rsid w:val="5FF82CFA"/>
    <w:rsid w:val="5FFC654F"/>
    <w:rsid w:val="60194FC5"/>
    <w:rsid w:val="60296692"/>
    <w:rsid w:val="607E751E"/>
    <w:rsid w:val="609B2D54"/>
    <w:rsid w:val="60A32AE1"/>
    <w:rsid w:val="60AE2DC5"/>
    <w:rsid w:val="60D86C2E"/>
    <w:rsid w:val="60F25329"/>
    <w:rsid w:val="60F82E2D"/>
    <w:rsid w:val="615F4C5A"/>
    <w:rsid w:val="618B1EF3"/>
    <w:rsid w:val="61B72CE8"/>
    <w:rsid w:val="61B96A60"/>
    <w:rsid w:val="61F16A83"/>
    <w:rsid w:val="61F66CF7"/>
    <w:rsid w:val="61FF0CA7"/>
    <w:rsid w:val="62031A89"/>
    <w:rsid w:val="622765CB"/>
    <w:rsid w:val="62397BA1"/>
    <w:rsid w:val="62426A55"/>
    <w:rsid w:val="62593D9F"/>
    <w:rsid w:val="625D388F"/>
    <w:rsid w:val="62775FD3"/>
    <w:rsid w:val="627E55B4"/>
    <w:rsid w:val="62C51434"/>
    <w:rsid w:val="62CA07F9"/>
    <w:rsid w:val="62CF4061"/>
    <w:rsid w:val="62EF64B1"/>
    <w:rsid w:val="63212B0F"/>
    <w:rsid w:val="632919C3"/>
    <w:rsid w:val="632B573B"/>
    <w:rsid w:val="633D546F"/>
    <w:rsid w:val="63407655"/>
    <w:rsid w:val="634E142A"/>
    <w:rsid w:val="635051A2"/>
    <w:rsid w:val="63585E05"/>
    <w:rsid w:val="635F3637"/>
    <w:rsid w:val="635F7193"/>
    <w:rsid w:val="63601EFC"/>
    <w:rsid w:val="63640C4D"/>
    <w:rsid w:val="63754C08"/>
    <w:rsid w:val="6377272F"/>
    <w:rsid w:val="63892462"/>
    <w:rsid w:val="639302F4"/>
    <w:rsid w:val="639B3FA6"/>
    <w:rsid w:val="63AD4FAE"/>
    <w:rsid w:val="63CF2C49"/>
    <w:rsid w:val="63E36016"/>
    <w:rsid w:val="63EE0517"/>
    <w:rsid w:val="63F05A25"/>
    <w:rsid w:val="644654DC"/>
    <w:rsid w:val="64520AA6"/>
    <w:rsid w:val="647A412F"/>
    <w:rsid w:val="64897C1D"/>
    <w:rsid w:val="64A13896"/>
    <w:rsid w:val="64A31301"/>
    <w:rsid w:val="64A37553"/>
    <w:rsid w:val="64B13A1E"/>
    <w:rsid w:val="64C056AD"/>
    <w:rsid w:val="64CC2606"/>
    <w:rsid w:val="64F61D79"/>
    <w:rsid w:val="650807B8"/>
    <w:rsid w:val="650A694C"/>
    <w:rsid w:val="651D4188"/>
    <w:rsid w:val="652E102B"/>
    <w:rsid w:val="653A7EB8"/>
    <w:rsid w:val="654C1999"/>
    <w:rsid w:val="655232BF"/>
    <w:rsid w:val="655820EC"/>
    <w:rsid w:val="656C203B"/>
    <w:rsid w:val="656E5DB3"/>
    <w:rsid w:val="65962C14"/>
    <w:rsid w:val="65B17A4E"/>
    <w:rsid w:val="65B37C6A"/>
    <w:rsid w:val="65C9123C"/>
    <w:rsid w:val="66141BCD"/>
    <w:rsid w:val="661E127D"/>
    <w:rsid w:val="661E1616"/>
    <w:rsid w:val="6628294C"/>
    <w:rsid w:val="664D3C1B"/>
    <w:rsid w:val="6658601C"/>
    <w:rsid w:val="666E6D57"/>
    <w:rsid w:val="668C4743"/>
    <w:rsid w:val="668C6B1C"/>
    <w:rsid w:val="66A00B1A"/>
    <w:rsid w:val="66AB0941"/>
    <w:rsid w:val="66B07D06"/>
    <w:rsid w:val="66DF6D75"/>
    <w:rsid w:val="66E1441D"/>
    <w:rsid w:val="66F81DD8"/>
    <w:rsid w:val="67281F92"/>
    <w:rsid w:val="672C0C6D"/>
    <w:rsid w:val="67466E44"/>
    <w:rsid w:val="677961F6"/>
    <w:rsid w:val="67B101D9"/>
    <w:rsid w:val="67D11C12"/>
    <w:rsid w:val="67E4235D"/>
    <w:rsid w:val="68322BB5"/>
    <w:rsid w:val="683F7593"/>
    <w:rsid w:val="68464DC5"/>
    <w:rsid w:val="685D5724"/>
    <w:rsid w:val="689B5C8E"/>
    <w:rsid w:val="68DB72BC"/>
    <w:rsid w:val="68E02B24"/>
    <w:rsid w:val="68FE11FC"/>
    <w:rsid w:val="69000A2F"/>
    <w:rsid w:val="69034A64"/>
    <w:rsid w:val="690B56C7"/>
    <w:rsid w:val="6917406C"/>
    <w:rsid w:val="69203458"/>
    <w:rsid w:val="6922138F"/>
    <w:rsid w:val="693E5EAC"/>
    <w:rsid w:val="695D23C7"/>
    <w:rsid w:val="6966360B"/>
    <w:rsid w:val="69886D18"/>
    <w:rsid w:val="698B6C53"/>
    <w:rsid w:val="69A30E1A"/>
    <w:rsid w:val="69A71894"/>
    <w:rsid w:val="69B0699A"/>
    <w:rsid w:val="69B61B05"/>
    <w:rsid w:val="69E91EAC"/>
    <w:rsid w:val="69FB05A1"/>
    <w:rsid w:val="6A082C8B"/>
    <w:rsid w:val="6A265D97"/>
    <w:rsid w:val="6A4C56A7"/>
    <w:rsid w:val="6A4D243B"/>
    <w:rsid w:val="6A611A43"/>
    <w:rsid w:val="6A7259FE"/>
    <w:rsid w:val="6A7318D2"/>
    <w:rsid w:val="6A8B3798"/>
    <w:rsid w:val="6ABE0EF6"/>
    <w:rsid w:val="6AC11213"/>
    <w:rsid w:val="6ACE538B"/>
    <w:rsid w:val="6AD95A7D"/>
    <w:rsid w:val="6B144D07"/>
    <w:rsid w:val="6B1704BF"/>
    <w:rsid w:val="6B3453A9"/>
    <w:rsid w:val="6B43739A"/>
    <w:rsid w:val="6B560E7C"/>
    <w:rsid w:val="6B8C2AEF"/>
    <w:rsid w:val="6B8F25DF"/>
    <w:rsid w:val="6B9E07C2"/>
    <w:rsid w:val="6BB169FA"/>
    <w:rsid w:val="6BB6488D"/>
    <w:rsid w:val="6BC0391C"/>
    <w:rsid w:val="6BC524A5"/>
    <w:rsid w:val="6BF07522"/>
    <w:rsid w:val="6BFD1C3F"/>
    <w:rsid w:val="6C523D39"/>
    <w:rsid w:val="6C711CE5"/>
    <w:rsid w:val="6C77554D"/>
    <w:rsid w:val="6C7D068A"/>
    <w:rsid w:val="6CB51DAA"/>
    <w:rsid w:val="6D1301DD"/>
    <w:rsid w:val="6D305867"/>
    <w:rsid w:val="6D3D723E"/>
    <w:rsid w:val="6D401191"/>
    <w:rsid w:val="6D484EC2"/>
    <w:rsid w:val="6DA07B3F"/>
    <w:rsid w:val="6E02353D"/>
    <w:rsid w:val="6E0E3C8F"/>
    <w:rsid w:val="6E0E5729"/>
    <w:rsid w:val="6E3B6A4F"/>
    <w:rsid w:val="6E501734"/>
    <w:rsid w:val="6E526272"/>
    <w:rsid w:val="6E5755DA"/>
    <w:rsid w:val="6E587601"/>
    <w:rsid w:val="6E672B2B"/>
    <w:rsid w:val="6E91041D"/>
    <w:rsid w:val="6EA840E4"/>
    <w:rsid w:val="6EB62D12"/>
    <w:rsid w:val="6EBC7B8F"/>
    <w:rsid w:val="6EC86534"/>
    <w:rsid w:val="6ED00F45"/>
    <w:rsid w:val="6F0155A2"/>
    <w:rsid w:val="6F1C062E"/>
    <w:rsid w:val="6F40256E"/>
    <w:rsid w:val="6F443BEB"/>
    <w:rsid w:val="6F5002D8"/>
    <w:rsid w:val="6F675D4D"/>
    <w:rsid w:val="6F72024E"/>
    <w:rsid w:val="6F77220A"/>
    <w:rsid w:val="6F7922B4"/>
    <w:rsid w:val="6F8166E3"/>
    <w:rsid w:val="6F9B79AD"/>
    <w:rsid w:val="6FAA79E8"/>
    <w:rsid w:val="6FB2689C"/>
    <w:rsid w:val="6FB27730"/>
    <w:rsid w:val="6FB824BF"/>
    <w:rsid w:val="7017014C"/>
    <w:rsid w:val="702459EC"/>
    <w:rsid w:val="702F4391"/>
    <w:rsid w:val="703D09CF"/>
    <w:rsid w:val="70455963"/>
    <w:rsid w:val="705A19BC"/>
    <w:rsid w:val="70683D6E"/>
    <w:rsid w:val="713E2ADE"/>
    <w:rsid w:val="714656D3"/>
    <w:rsid w:val="7148570A"/>
    <w:rsid w:val="71494FDF"/>
    <w:rsid w:val="714C1AB3"/>
    <w:rsid w:val="715A71EC"/>
    <w:rsid w:val="717C53B4"/>
    <w:rsid w:val="719646C8"/>
    <w:rsid w:val="71970FEB"/>
    <w:rsid w:val="71B11502"/>
    <w:rsid w:val="71B903B6"/>
    <w:rsid w:val="71DF2252"/>
    <w:rsid w:val="71E271F8"/>
    <w:rsid w:val="71E64DF1"/>
    <w:rsid w:val="7202096F"/>
    <w:rsid w:val="720A0C12"/>
    <w:rsid w:val="721970A7"/>
    <w:rsid w:val="721C357F"/>
    <w:rsid w:val="72247F25"/>
    <w:rsid w:val="726063F0"/>
    <w:rsid w:val="729F75AC"/>
    <w:rsid w:val="72BD7A32"/>
    <w:rsid w:val="72E96A79"/>
    <w:rsid w:val="72EE408F"/>
    <w:rsid w:val="72F0558E"/>
    <w:rsid w:val="7309711B"/>
    <w:rsid w:val="7320390F"/>
    <w:rsid w:val="73337CF4"/>
    <w:rsid w:val="736B313E"/>
    <w:rsid w:val="736B3932"/>
    <w:rsid w:val="738B2556"/>
    <w:rsid w:val="73972F2B"/>
    <w:rsid w:val="73AD01CF"/>
    <w:rsid w:val="73BE7F06"/>
    <w:rsid w:val="73C44DF0"/>
    <w:rsid w:val="73D634A1"/>
    <w:rsid w:val="73E221E3"/>
    <w:rsid w:val="74116287"/>
    <w:rsid w:val="74387CB8"/>
    <w:rsid w:val="74435D47"/>
    <w:rsid w:val="74493C73"/>
    <w:rsid w:val="746F7452"/>
    <w:rsid w:val="7490269B"/>
    <w:rsid w:val="74D6302D"/>
    <w:rsid w:val="75053FA4"/>
    <w:rsid w:val="75092374"/>
    <w:rsid w:val="75181898"/>
    <w:rsid w:val="75501031"/>
    <w:rsid w:val="757F7E3A"/>
    <w:rsid w:val="75894543"/>
    <w:rsid w:val="758B02BC"/>
    <w:rsid w:val="75BE3D92"/>
    <w:rsid w:val="75BF7F65"/>
    <w:rsid w:val="75C55D9A"/>
    <w:rsid w:val="75C612F4"/>
    <w:rsid w:val="75ED4AD2"/>
    <w:rsid w:val="760C079B"/>
    <w:rsid w:val="761F0029"/>
    <w:rsid w:val="76275612"/>
    <w:rsid w:val="762F50EB"/>
    <w:rsid w:val="763B583E"/>
    <w:rsid w:val="76473B85"/>
    <w:rsid w:val="76852F5D"/>
    <w:rsid w:val="76BD6253"/>
    <w:rsid w:val="76D57A40"/>
    <w:rsid w:val="76FE6E62"/>
    <w:rsid w:val="772C162A"/>
    <w:rsid w:val="773D297D"/>
    <w:rsid w:val="77543075"/>
    <w:rsid w:val="77701517"/>
    <w:rsid w:val="77864563"/>
    <w:rsid w:val="77BA69B4"/>
    <w:rsid w:val="77C41863"/>
    <w:rsid w:val="77C57C4A"/>
    <w:rsid w:val="77D0645A"/>
    <w:rsid w:val="77E31CE9"/>
    <w:rsid w:val="77F42148"/>
    <w:rsid w:val="77FF15D9"/>
    <w:rsid w:val="78397B5B"/>
    <w:rsid w:val="785724B6"/>
    <w:rsid w:val="78796757"/>
    <w:rsid w:val="788435CF"/>
    <w:rsid w:val="789B0816"/>
    <w:rsid w:val="789F6743"/>
    <w:rsid w:val="78AE02B8"/>
    <w:rsid w:val="78CC4E73"/>
    <w:rsid w:val="78DF4BA6"/>
    <w:rsid w:val="78F671A8"/>
    <w:rsid w:val="79181E66"/>
    <w:rsid w:val="79344461"/>
    <w:rsid w:val="794013BD"/>
    <w:rsid w:val="79465555"/>
    <w:rsid w:val="79592BB3"/>
    <w:rsid w:val="79627585"/>
    <w:rsid w:val="79892A5F"/>
    <w:rsid w:val="798E578B"/>
    <w:rsid w:val="79CD4BFB"/>
    <w:rsid w:val="79E461EC"/>
    <w:rsid w:val="79F7BD84"/>
    <w:rsid w:val="79F91C98"/>
    <w:rsid w:val="7A1A39BC"/>
    <w:rsid w:val="7A1C5986"/>
    <w:rsid w:val="7A1C7734"/>
    <w:rsid w:val="7A230AC3"/>
    <w:rsid w:val="7A28432B"/>
    <w:rsid w:val="7A8552D9"/>
    <w:rsid w:val="7A9E142F"/>
    <w:rsid w:val="7AB931D5"/>
    <w:rsid w:val="7ACA3634"/>
    <w:rsid w:val="7AEA7832"/>
    <w:rsid w:val="7AF83CFD"/>
    <w:rsid w:val="7B205002"/>
    <w:rsid w:val="7B2E5971"/>
    <w:rsid w:val="7B454A69"/>
    <w:rsid w:val="7B66335D"/>
    <w:rsid w:val="7B75534E"/>
    <w:rsid w:val="7B837EAD"/>
    <w:rsid w:val="7B9C6D7F"/>
    <w:rsid w:val="7BBF01B6"/>
    <w:rsid w:val="7BCE0F02"/>
    <w:rsid w:val="7BEC3136"/>
    <w:rsid w:val="7BF64461"/>
    <w:rsid w:val="7BFF10BB"/>
    <w:rsid w:val="7C224876"/>
    <w:rsid w:val="7C355CCF"/>
    <w:rsid w:val="7C4453CC"/>
    <w:rsid w:val="7C4F3DF1"/>
    <w:rsid w:val="7C5C4760"/>
    <w:rsid w:val="7C5E2286"/>
    <w:rsid w:val="7CA51C63"/>
    <w:rsid w:val="7CAD14C7"/>
    <w:rsid w:val="7CB71996"/>
    <w:rsid w:val="7CE02C9B"/>
    <w:rsid w:val="7CE5560B"/>
    <w:rsid w:val="7CEA3B1A"/>
    <w:rsid w:val="7CF229CE"/>
    <w:rsid w:val="7D146DE8"/>
    <w:rsid w:val="7D38495C"/>
    <w:rsid w:val="7D4476CE"/>
    <w:rsid w:val="7D584F27"/>
    <w:rsid w:val="7D7B40BC"/>
    <w:rsid w:val="7D7D2BE0"/>
    <w:rsid w:val="7D9A72EE"/>
    <w:rsid w:val="7D9B5E16"/>
    <w:rsid w:val="7DA0067C"/>
    <w:rsid w:val="7DDC7906"/>
    <w:rsid w:val="7DE26685"/>
    <w:rsid w:val="7E0B1F99"/>
    <w:rsid w:val="7E143686"/>
    <w:rsid w:val="7E4D4360"/>
    <w:rsid w:val="7E5A55AC"/>
    <w:rsid w:val="7E7F7D0E"/>
    <w:rsid w:val="7E8F1AE4"/>
    <w:rsid w:val="7EC42148"/>
    <w:rsid w:val="7EE73E3D"/>
    <w:rsid w:val="7F264BB1"/>
    <w:rsid w:val="7F337F3D"/>
    <w:rsid w:val="7F57F5BB"/>
    <w:rsid w:val="7F7D6EC7"/>
    <w:rsid w:val="7F9B559F"/>
    <w:rsid w:val="7FBC7F56"/>
    <w:rsid w:val="7FC00AF9"/>
    <w:rsid w:val="7FCA19E0"/>
    <w:rsid w:val="7FCC39AA"/>
    <w:rsid w:val="7FDC1E3F"/>
    <w:rsid w:val="7FEB2083"/>
    <w:rsid w:val="7FF55E62"/>
    <w:rsid w:val="7FF627D5"/>
    <w:rsid w:val="FF7DCE0C"/>
    <w:rsid w:val="FFF30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0"/>
    <w:pPr>
      <w:widowControl/>
      <w:spacing w:line="360" w:lineRule="auto"/>
      <w:jc w:val="left"/>
    </w:pPr>
    <w:rPr>
      <w:rFonts w:ascii="仿宋体" w:hAnsi="Times New Roman" w:eastAsia="仿宋体"/>
      <w:kern w:val="0"/>
      <w:sz w:val="24"/>
      <w:szCs w:val="20"/>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paragraph" w:styleId="16">
    <w:name w:val="Body Text First Indent"/>
    <w:basedOn w:val="7"/>
    <w:unhideWhenUsed/>
    <w:qFormat/>
    <w:uiPriority w:val="99"/>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Default"/>
    <w:next w:val="2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7">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qFormat/>
    <w:uiPriority w:val="0"/>
    <w:pPr>
      <w:widowControl/>
    </w:pPr>
    <w:rPr>
      <w:kern w:val="0"/>
      <w:szCs w:val="21"/>
    </w:rPr>
  </w:style>
  <w:style w:type="paragraph" w:customStyle="1" w:styleId="3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5">
    <w:name w:val="gjfg"/>
    <w:basedOn w:val="19"/>
    <w:qFormat/>
    <w:uiPriority w:val="0"/>
  </w:style>
  <w:style w:type="character" w:customStyle="1" w:styleId="36">
    <w:name w:val="displayarti"/>
    <w:basedOn w:val="19"/>
    <w:qFormat/>
    <w:uiPriority w:val="0"/>
    <w:rPr>
      <w:color w:val="FFFFFF"/>
      <w:shd w:val="clear" w:color="010000" w:fill="A00000"/>
    </w:rPr>
  </w:style>
  <w:style w:type="character" w:customStyle="1" w:styleId="37">
    <w:name w:val="redfilefwwh"/>
    <w:basedOn w:val="19"/>
    <w:qFormat/>
    <w:uiPriority w:val="0"/>
    <w:rPr>
      <w:color w:val="BA2636"/>
      <w:sz w:val="14"/>
      <w:szCs w:val="14"/>
    </w:rPr>
  </w:style>
  <w:style w:type="character" w:customStyle="1" w:styleId="38">
    <w:name w:val="redfilenumber"/>
    <w:basedOn w:val="19"/>
    <w:qFormat/>
    <w:uiPriority w:val="0"/>
    <w:rPr>
      <w:color w:val="BA2636"/>
      <w:sz w:val="14"/>
      <w:szCs w:val="14"/>
    </w:rPr>
  </w:style>
  <w:style w:type="character" w:customStyle="1" w:styleId="39">
    <w:name w:val="qxdate"/>
    <w:basedOn w:val="19"/>
    <w:qFormat/>
    <w:uiPriority w:val="0"/>
    <w:rPr>
      <w:color w:val="333333"/>
      <w:sz w:val="14"/>
      <w:szCs w:val="14"/>
    </w:rPr>
  </w:style>
  <w:style w:type="character" w:customStyle="1" w:styleId="40">
    <w:name w:val="cfdate"/>
    <w:basedOn w:val="19"/>
    <w:qFormat/>
    <w:uiPriority w:val="0"/>
    <w:rPr>
      <w:color w:val="333333"/>
      <w:sz w:val="14"/>
      <w:szCs w:val="14"/>
    </w:rPr>
  </w:style>
  <w:style w:type="character" w:customStyle="1" w:styleId="41">
    <w:name w:val="标题 1 Char"/>
    <w:link w:val="2"/>
    <w:qFormat/>
    <w:uiPriority w:val="0"/>
    <w:rPr>
      <w:b/>
      <w:bCs/>
      <w:sz w:val="24"/>
      <w:szCs w:val="20"/>
    </w:rPr>
  </w:style>
  <w:style w:type="character" w:customStyle="1" w:styleId="42">
    <w:name w:val="标题 3 Char"/>
    <w:link w:val="4"/>
    <w:qFormat/>
    <w:uiPriority w:val="0"/>
    <w:rPr>
      <w:b/>
      <w:bCs/>
      <w:sz w:val="32"/>
      <w:szCs w:val="32"/>
    </w:rPr>
  </w:style>
  <w:style w:type="paragraph" w:customStyle="1" w:styleId="43">
    <w:name w:val="样式 标题 3 + 首行缩进:  2 字符"/>
    <w:basedOn w:val="4"/>
    <w:qFormat/>
    <w:uiPriority w:val="0"/>
    <w:pPr>
      <w:tabs>
        <w:tab w:val="left" w:pos="0"/>
      </w:tabs>
      <w:spacing w:before="0" w:after="0" w:line="480" w:lineRule="exact"/>
    </w:pPr>
    <w:rPr>
      <w:sz w:val="28"/>
      <w:szCs w:val="28"/>
      <w:lang w:bidi="ar-DZ"/>
    </w:rPr>
  </w:style>
  <w:style w:type="paragraph" w:customStyle="1" w:styleId="44">
    <w:name w:val="正文（首行缩进2字符）211"/>
    <w:basedOn w:val="1"/>
    <w:qFormat/>
    <w:uiPriority w:val="99"/>
    <w:pPr>
      <w:ind w:firstLine="480"/>
    </w:pPr>
    <w:rPr>
      <w:rFonts w:ascii="Times New Roman" w:hAnsi="Times New Roman" w:cs="Times New Roman"/>
    </w:rPr>
  </w:style>
  <w:style w:type="character" w:customStyle="1" w:styleId="45">
    <w:name w:val="15_10"/>
    <w:qFormat/>
    <w:uiPriority w:val="0"/>
    <w:rPr>
      <w:rFonts w:hint="default" w:ascii="Times New Roman" w:hAnsi="Times New Roman" w:cs="Times New Roman"/>
    </w:rPr>
  </w:style>
  <w:style w:type="character" w:customStyle="1" w:styleId="46">
    <w:name w:val="15_6"/>
    <w:qFormat/>
    <w:uiPriority w:val="0"/>
    <w:rPr>
      <w:rFonts w:hint="default" w:ascii="Times New Roman" w:hAnsi="Times New Roman" w:cs="Times New Roman"/>
    </w:rPr>
  </w:style>
  <w:style w:type="character" w:customStyle="1" w:styleId="47">
    <w:name w:val="15_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21808</Words>
  <Characters>23366</Characters>
  <Lines>0</Lines>
  <Paragraphs>0</Paragraphs>
  <TotalTime>16</TotalTime>
  <ScaleCrop>false</ScaleCrop>
  <LinksUpToDate>false</LinksUpToDate>
  <CharactersWithSpaces>23661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2020-04-01T16:51:00Z</dcterms:created>
  <dc:creator>Administrator</dc:creator>
  <cp:lastModifiedBy>Administrator</cp:lastModifiedBy>
  <cp:lastPrinted>2022-06-08T17:17:00Z</cp:lastPrinted>
  <dcterms:modified xsi:type="dcterms:W3CDTF">2025-07-03T09:57:40Z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479DE045C0C240F197989BE1D5BD1A99_13</vt:lpwstr>
  </property>
  <property fmtid="{D5CDD505-2E9C-101B-9397-08002B2CF9AE}" pid="4" name="KSOTemplateDocerSaveRecord">
    <vt:lpwstr>eyJoZGlkIjoiNzAzMGY0MWE3ODA1NTQ4MDExOGE4MjNiZGQwYWQyYmMiLCJ1c2VySWQiOiIyOTc4ODcxNjEifQ==</vt:lpwstr>
  </property>
</Properties>
</file>