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0AE07">
      <w:pPr>
        <w:pStyle w:val="10"/>
        <w:wordWrap/>
        <w:spacing w:before="157" w:beforeLines="50" w:line="360" w:lineRule="auto"/>
        <w:jc w:val="both"/>
        <w:rPr>
          <w:rFonts w:hint="eastAsia" w:ascii="宋体" w:hAnsi="宋体" w:eastAsia="宋体" w:cs="宋体"/>
          <w:color w:val="auto"/>
          <w:sz w:val="30"/>
          <w:szCs w:val="30"/>
        </w:rPr>
      </w:pPr>
    </w:p>
    <w:p w14:paraId="27E7239E">
      <w:pPr>
        <w:pStyle w:val="10"/>
        <w:wordWrap/>
        <w:spacing w:before="157" w:beforeLines="50" w:line="360" w:lineRule="auto"/>
        <w:jc w:val="both"/>
        <w:rPr>
          <w:rFonts w:hint="eastAsia" w:ascii="宋体" w:hAnsi="宋体" w:eastAsia="宋体" w:cs="宋体"/>
          <w:color w:val="auto"/>
          <w:sz w:val="30"/>
          <w:szCs w:val="30"/>
        </w:rPr>
      </w:pPr>
    </w:p>
    <w:p w14:paraId="0F10E365">
      <w:pPr>
        <w:pStyle w:val="10"/>
        <w:widowControl w:val="0"/>
        <w:wordWrap/>
        <w:spacing w:before="313" w:beforeLines="100" w:line="360" w:lineRule="auto"/>
        <w:jc w:val="center"/>
        <w:textAlignment w:val="auto"/>
        <w:rPr>
          <w:rFonts w:hint="eastAsia" w:ascii="宋体" w:hAnsi="宋体" w:eastAsia="宋体" w:cs="宋体"/>
          <w:bCs/>
          <w:color w:val="auto"/>
          <w:sz w:val="72"/>
          <w:szCs w:val="72"/>
        </w:rPr>
      </w:pPr>
      <w:r>
        <w:rPr>
          <w:rFonts w:hint="eastAsia" w:ascii="宋体" w:hAnsi="宋体" w:eastAsia="宋体" w:cs="宋体"/>
          <w:color w:val="auto"/>
          <w:sz w:val="72"/>
          <w:szCs w:val="72"/>
        </w:rPr>
        <w:t>政府采购</w:t>
      </w:r>
    </w:p>
    <w:p w14:paraId="50A3893D">
      <w:pPr>
        <w:pStyle w:val="10"/>
        <w:widowControl w:val="0"/>
        <w:wordWrap/>
        <w:adjustRightInd w:val="0"/>
        <w:snapToGrid w:val="0"/>
        <w:spacing w:before="313" w:beforeLines="100" w:line="360" w:lineRule="auto"/>
        <w:jc w:val="center"/>
        <w:textAlignment w:val="auto"/>
        <w:rPr>
          <w:rFonts w:hint="eastAsia" w:ascii="宋体" w:hAnsi="宋体" w:eastAsia="宋体" w:cs="宋体"/>
          <w:color w:val="auto"/>
          <w:sz w:val="72"/>
          <w:szCs w:val="72"/>
        </w:rPr>
      </w:pPr>
      <w:r>
        <w:rPr>
          <w:rFonts w:hint="eastAsia" w:ascii="宋体" w:hAnsi="宋体" w:eastAsia="宋体" w:cs="宋体"/>
          <w:color w:val="auto"/>
          <w:sz w:val="72"/>
          <w:szCs w:val="72"/>
        </w:rPr>
        <w:t>竞争性谈判文件</w:t>
      </w:r>
    </w:p>
    <w:p w14:paraId="5E37C46D">
      <w:pPr>
        <w:pStyle w:val="10"/>
        <w:widowControl w:val="0"/>
        <w:wordWrap/>
        <w:adjustRightInd w:val="0"/>
        <w:snapToGrid w:val="0"/>
        <w:spacing w:before="313" w:beforeLines="100" w:line="360" w:lineRule="auto"/>
        <w:textAlignment w:val="auto"/>
        <w:rPr>
          <w:rFonts w:hint="eastAsia" w:ascii="宋体" w:hAnsi="宋体" w:eastAsia="宋体" w:cs="宋体"/>
          <w:color w:val="auto"/>
          <w:sz w:val="30"/>
          <w:szCs w:val="30"/>
        </w:rPr>
      </w:pPr>
    </w:p>
    <w:p w14:paraId="4A2D605E">
      <w:pPr>
        <w:pStyle w:val="10"/>
        <w:widowControl w:val="0"/>
        <w:wordWrap/>
        <w:adjustRightInd w:val="0"/>
        <w:snapToGrid w:val="0"/>
        <w:spacing w:before="313" w:beforeLines="100" w:line="360" w:lineRule="auto"/>
        <w:textAlignment w:val="auto"/>
        <w:rPr>
          <w:rFonts w:hint="eastAsia" w:ascii="宋体" w:hAnsi="宋体" w:eastAsia="宋体" w:cs="宋体"/>
          <w:color w:val="auto"/>
          <w:sz w:val="30"/>
          <w:szCs w:val="30"/>
        </w:rPr>
      </w:pPr>
    </w:p>
    <w:p w14:paraId="0D938050">
      <w:pPr>
        <w:widowControl w:val="0"/>
        <w:wordWrap/>
        <w:adjustRightInd w:val="0"/>
        <w:snapToGrid w:val="0"/>
        <w:spacing w:before="157" w:beforeLines="50" w:line="360" w:lineRule="auto"/>
        <w:ind w:firstLine="0" w:firstLineChars="0"/>
        <w:textAlignment w:val="auto"/>
        <w:rPr>
          <w:rFonts w:hint="eastAsia" w:ascii="宋体" w:hAnsi="宋体" w:eastAsia="宋体" w:cs="宋体"/>
          <w:b/>
          <w:bCs w:val="0"/>
          <w:color w:val="auto"/>
          <w:sz w:val="32"/>
          <w:szCs w:val="32"/>
          <w:highlight w:val="none"/>
          <w:u w:val="none"/>
          <w:lang w:val="en-US" w:eastAsia="zh-CN"/>
        </w:rPr>
      </w:pPr>
      <w:r>
        <w:rPr>
          <w:rFonts w:hint="eastAsia" w:ascii="宋体" w:hAnsi="宋体" w:eastAsia="宋体" w:cs="宋体"/>
          <w:b/>
          <w:bCs w:val="0"/>
          <w:color w:val="auto"/>
          <w:sz w:val="32"/>
          <w:szCs w:val="32"/>
        </w:rPr>
        <w:t>采购项目名</w:t>
      </w:r>
      <w:r>
        <w:rPr>
          <w:rFonts w:hint="eastAsia" w:ascii="宋体" w:hAnsi="宋体" w:eastAsia="宋体" w:cs="宋体"/>
          <w:b/>
          <w:bCs w:val="0"/>
          <w:color w:val="auto"/>
          <w:sz w:val="32"/>
          <w:szCs w:val="32"/>
          <w:u w:val="none"/>
        </w:rPr>
        <w:t>称</w:t>
      </w:r>
      <w:r>
        <w:rPr>
          <w:rFonts w:hint="eastAsia" w:ascii="宋体" w:hAnsi="宋体" w:eastAsia="宋体" w:cs="宋体"/>
          <w:b/>
          <w:bCs w:val="0"/>
          <w:color w:val="auto"/>
          <w:sz w:val="32"/>
          <w:szCs w:val="32"/>
          <w:u w:val="none"/>
          <w:lang w:eastAsia="zh-CN"/>
        </w:rPr>
        <w:t>：</w:t>
      </w:r>
      <w:r>
        <w:rPr>
          <w:rFonts w:hint="eastAsia" w:ascii="宋体" w:hAnsi="宋体" w:eastAsia="宋体" w:cs="宋体"/>
          <w:b/>
          <w:bCs w:val="0"/>
          <w:color w:val="auto"/>
          <w:sz w:val="32"/>
          <w:szCs w:val="32"/>
          <w:highlight w:val="none"/>
          <w:lang w:val="en-US" w:eastAsia="zh-CN"/>
        </w:rPr>
        <w:t>2025年义务教育薄弱环节改善与能力提升-乌兰县第二中学建设项目</w:t>
      </w:r>
    </w:p>
    <w:p w14:paraId="37AA7145">
      <w:pPr>
        <w:widowControl w:val="0"/>
        <w:wordWrap/>
        <w:adjustRightInd w:val="0"/>
        <w:snapToGrid w:val="0"/>
        <w:spacing w:before="157" w:beforeLines="50" w:line="360" w:lineRule="auto"/>
        <w:ind w:firstLine="0" w:firstLineChars="0"/>
        <w:textAlignment w:val="auto"/>
        <w:rPr>
          <w:rFonts w:hint="eastAsia" w:ascii="宋体" w:hAnsi="宋体" w:eastAsia="宋体" w:cs="宋体"/>
          <w:b/>
          <w:bCs w:val="0"/>
          <w:color w:val="auto"/>
          <w:sz w:val="32"/>
          <w:szCs w:val="32"/>
          <w:lang w:val="en-US" w:eastAsia="zh-CN"/>
        </w:rPr>
      </w:pPr>
      <w:r>
        <w:rPr>
          <w:rFonts w:hint="eastAsia" w:ascii="宋体" w:hAnsi="宋体" w:eastAsia="宋体" w:cs="宋体"/>
          <w:b/>
          <w:bCs w:val="0"/>
          <w:color w:val="auto"/>
          <w:sz w:val="32"/>
          <w:szCs w:val="32"/>
        </w:rPr>
        <w:t>采购项目编号：</w:t>
      </w:r>
      <w:r>
        <w:rPr>
          <w:rFonts w:hint="eastAsia" w:ascii="宋体" w:hAnsi="宋体" w:eastAsia="宋体" w:cs="宋体"/>
          <w:b/>
          <w:bCs w:val="0"/>
          <w:color w:val="auto"/>
          <w:sz w:val="32"/>
          <w:szCs w:val="32"/>
          <w:lang w:val="en-US" w:eastAsia="zh-CN"/>
        </w:rPr>
        <w:t>青海鼎钊竞谈（工程）2025-034</w:t>
      </w:r>
    </w:p>
    <w:p w14:paraId="239CEC52">
      <w:pPr>
        <w:widowControl w:val="0"/>
        <w:wordWrap/>
        <w:adjustRightInd w:val="0"/>
        <w:snapToGrid w:val="0"/>
        <w:spacing w:before="157" w:beforeLines="50" w:line="360" w:lineRule="auto"/>
        <w:ind w:firstLine="0" w:firstLineChars="0"/>
        <w:textAlignment w:val="auto"/>
        <w:rPr>
          <w:rFonts w:hint="eastAsia" w:ascii="宋体" w:hAnsi="宋体" w:eastAsia="宋体" w:cs="宋体"/>
          <w:b/>
          <w:bCs w:val="0"/>
          <w:color w:val="auto"/>
          <w:sz w:val="32"/>
          <w:szCs w:val="32"/>
          <w:lang w:val="en-US" w:eastAsia="zh-CN"/>
        </w:rPr>
      </w:pPr>
      <w:r>
        <w:rPr>
          <w:rFonts w:hint="eastAsia" w:ascii="宋体" w:hAnsi="宋体" w:eastAsia="宋体" w:cs="宋体"/>
          <w:b/>
          <w:bCs w:val="0"/>
          <w:color w:val="auto"/>
          <w:sz w:val="32"/>
          <w:szCs w:val="32"/>
          <w:lang w:val="en-US" w:eastAsia="zh-CN"/>
        </w:rPr>
        <w:t>采   购   人：</w:t>
      </w:r>
      <w:r>
        <w:rPr>
          <w:rFonts w:hint="eastAsia" w:ascii="宋体" w:hAnsi="宋体" w:eastAsia="宋体" w:cs="宋体"/>
          <w:b/>
          <w:bCs w:val="0"/>
          <w:color w:val="auto"/>
          <w:sz w:val="32"/>
          <w:szCs w:val="32"/>
          <w:lang w:val="en-US" w:eastAsia="zh-CN"/>
        </w:rPr>
        <w:t>乌兰县教育局</w:t>
      </w:r>
    </w:p>
    <w:p w14:paraId="7866166B">
      <w:pPr>
        <w:widowControl w:val="0"/>
        <w:wordWrap/>
        <w:adjustRightInd w:val="0"/>
        <w:snapToGrid w:val="0"/>
        <w:spacing w:before="157" w:beforeLines="50" w:line="360" w:lineRule="auto"/>
        <w:ind w:firstLine="0" w:firstLineChars="0"/>
        <w:textAlignment w:val="auto"/>
        <w:rPr>
          <w:rFonts w:hint="eastAsia" w:ascii="宋体" w:hAnsi="宋体" w:eastAsia="宋体" w:cs="宋体"/>
          <w:b w:val="0"/>
          <w:bCs/>
          <w:color w:val="auto"/>
          <w:sz w:val="32"/>
          <w:szCs w:val="32"/>
        </w:rPr>
      </w:pPr>
      <w:r>
        <w:rPr>
          <w:rFonts w:hint="eastAsia" w:ascii="宋体" w:hAnsi="宋体" w:eastAsia="宋体" w:cs="宋体"/>
          <w:b/>
          <w:bCs w:val="0"/>
          <w:color w:val="auto"/>
          <w:sz w:val="32"/>
          <w:szCs w:val="32"/>
        </w:rPr>
        <w:t>采购代理机构：</w:t>
      </w:r>
      <w:r>
        <w:rPr>
          <w:rFonts w:hint="eastAsia" w:ascii="宋体" w:hAnsi="宋体" w:eastAsia="宋体" w:cs="宋体"/>
          <w:b/>
          <w:bCs w:val="0"/>
          <w:color w:val="auto"/>
          <w:sz w:val="32"/>
          <w:szCs w:val="32"/>
          <w:lang w:val="zh-CN" w:eastAsia="zh-CN"/>
        </w:rPr>
        <w:t>青海鼎钊招标代理有限公司</w:t>
      </w:r>
    </w:p>
    <w:p w14:paraId="48855FA6">
      <w:pPr>
        <w:wordWrap/>
        <w:autoSpaceDE w:val="0"/>
        <w:autoSpaceDN w:val="0"/>
        <w:adjustRightInd w:val="0"/>
        <w:spacing w:before="157" w:beforeLines="50" w:line="360" w:lineRule="auto"/>
        <w:jc w:val="left"/>
        <w:rPr>
          <w:rFonts w:hint="eastAsia" w:ascii="宋体" w:hAnsi="宋体" w:eastAsia="宋体" w:cs="宋体"/>
          <w:color w:val="auto"/>
          <w:kern w:val="0"/>
          <w:sz w:val="30"/>
          <w:szCs w:val="30"/>
          <w:lang w:val="zh-CN"/>
        </w:rPr>
      </w:pPr>
    </w:p>
    <w:p w14:paraId="180F5B6D">
      <w:pPr>
        <w:wordWrap/>
        <w:autoSpaceDE w:val="0"/>
        <w:autoSpaceDN w:val="0"/>
        <w:adjustRightInd w:val="0"/>
        <w:spacing w:before="157" w:beforeLines="50" w:line="360" w:lineRule="auto"/>
        <w:jc w:val="left"/>
        <w:rPr>
          <w:rFonts w:hint="eastAsia" w:ascii="宋体" w:hAnsi="宋体" w:eastAsia="宋体" w:cs="宋体"/>
          <w:color w:val="auto"/>
          <w:kern w:val="0"/>
          <w:sz w:val="30"/>
          <w:szCs w:val="30"/>
          <w:lang w:val="zh-CN"/>
        </w:rPr>
      </w:pPr>
    </w:p>
    <w:p w14:paraId="283D72B4">
      <w:pPr>
        <w:jc w:val="center"/>
        <w:rPr>
          <w:rFonts w:hint="eastAsia" w:ascii="宋体" w:hAnsi="宋体" w:eastAsia="宋体" w:cs="宋体"/>
          <w:b/>
          <w:bCs w:val="0"/>
          <w:color w:val="auto"/>
          <w:sz w:val="32"/>
          <w:szCs w:val="32"/>
          <w:lang w:val="en-US" w:eastAsia="zh-CN"/>
        </w:rPr>
      </w:pPr>
      <w:r>
        <w:rPr>
          <w:rFonts w:hint="eastAsia" w:ascii="宋体" w:hAnsi="宋体" w:eastAsia="宋体" w:cs="宋体"/>
          <w:b/>
          <w:bCs w:val="0"/>
          <w:color w:val="auto"/>
          <w:sz w:val="32"/>
          <w:szCs w:val="32"/>
          <w:lang w:val="en-US" w:eastAsia="zh-CN"/>
        </w:rPr>
        <w:t>2025年07月</w:t>
      </w:r>
    </w:p>
    <w:p w14:paraId="6B08BAED">
      <w:pPr>
        <w:jc w:val="center"/>
        <w:rPr>
          <w:rFonts w:hint="eastAsia" w:ascii="宋体" w:hAnsi="宋体" w:eastAsia="宋体" w:cs="宋体"/>
          <w:color w:val="auto"/>
          <w:kern w:val="0"/>
          <w:sz w:val="44"/>
          <w:szCs w:val="44"/>
          <w:lang w:val="zh-CN"/>
        </w:rPr>
      </w:pPr>
      <w:r>
        <w:rPr>
          <w:rFonts w:hint="eastAsia" w:ascii="宋体" w:hAnsi="宋体" w:eastAsia="宋体" w:cs="宋体"/>
          <w:color w:val="auto"/>
          <w:kern w:val="0"/>
          <w:sz w:val="44"/>
          <w:szCs w:val="44"/>
          <w:lang w:val="zh-CN"/>
        </w:rPr>
        <w:br w:type="page"/>
      </w:r>
    </w:p>
    <w:p w14:paraId="555EB083">
      <w:pPr>
        <w:spacing w:before="0" w:beforeLines="0" w:after="0" w:afterLines="0" w:line="240" w:lineRule="auto"/>
        <w:ind w:left="0" w:leftChars="0" w:right="0" w:firstLine="0" w:firstLineChars="0"/>
        <w:jc w:val="center"/>
        <w:rPr>
          <w:rFonts w:hint="eastAsia" w:ascii="宋体" w:hAnsi="宋体" w:eastAsia="宋体" w:cs="宋体"/>
          <w:color w:val="auto"/>
        </w:rPr>
      </w:pPr>
      <w:r>
        <w:rPr>
          <w:rFonts w:hint="eastAsia" w:ascii="宋体" w:hAnsi="宋体" w:eastAsia="宋体" w:cs="宋体"/>
          <w:color w:val="auto"/>
          <w:sz w:val="44"/>
          <w:szCs w:val="44"/>
        </w:rPr>
        <w:t>目</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rPr>
        <w:t>录</w:t>
      </w:r>
    </w:p>
    <w:p w14:paraId="34485AD2">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TOC \o "1-3" \h \u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_Toc28893 </w:instrText>
      </w:r>
      <w:r>
        <w:rPr>
          <w:rFonts w:hint="eastAsia" w:ascii="宋体" w:hAnsi="宋体" w:eastAsia="宋体" w:cs="宋体"/>
          <w:color w:val="auto"/>
          <w:sz w:val="24"/>
          <w:szCs w:val="24"/>
        </w:rPr>
        <w:fldChar w:fldCharType="separate"/>
      </w:r>
      <w:r>
        <w:rPr>
          <w:rFonts w:hint="eastAsia" w:ascii="宋体" w:hAnsi="宋体" w:eastAsia="宋体" w:cs="宋体"/>
          <w:bCs/>
          <w:color w:val="auto"/>
          <w:kern w:val="2"/>
          <w:sz w:val="24"/>
          <w:szCs w:val="24"/>
          <w:lang w:val="en-US" w:eastAsia="zh-CN" w:bidi="ar-SA"/>
        </w:rPr>
        <w:t xml:space="preserve">第一部分  </w:t>
      </w:r>
      <w:r>
        <w:rPr>
          <w:rFonts w:hint="eastAsia" w:ascii="宋体" w:hAnsi="宋体" w:eastAsia="宋体" w:cs="宋体"/>
          <w:bCs/>
          <w:color w:val="auto"/>
          <w:sz w:val="24"/>
          <w:szCs w:val="24"/>
          <w:lang w:val="en-US" w:eastAsia="zh-CN"/>
        </w:rPr>
        <w:t>谈判须知前附表</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_Toc28893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5</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4F81DB9A">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_Toc23659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sz w:val="24"/>
          <w:szCs w:val="24"/>
          <w:lang w:val="en-US" w:eastAsia="zh-CN"/>
        </w:rPr>
        <w:t>第二部分  谈判须知</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_Toc23659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2AA86D28">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_Toc25858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一、说明</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_Toc25858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136A0C5">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_Toc12971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1.适用范围</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_Toc12971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36549B5B">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_Toc30676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2.采购人及代理机构</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_Toc30676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158776E4">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_Toc12444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3.供应商的资格要求</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_Toc12444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2B2673B8">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_Toc30063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4.谈判费用</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_Toc30063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2E470C6B">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_Toc417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二、谈判文件</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_Toc417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5D745DC4">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_Toc5242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5.谈判文件的组成</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_Toc5242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1E38E317">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_Toc8019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6.谈判文件的澄清</w:t>
      </w:r>
      <w:r>
        <w:rPr>
          <w:rFonts w:hint="eastAsia" w:ascii="宋体" w:hAnsi="宋体" w:eastAsia="宋体" w:cs="宋体"/>
          <w:bCs/>
          <w:color w:val="auto"/>
          <w:kern w:val="2"/>
          <w:sz w:val="24"/>
          <w:szCs w:val="24"/>
          <w:lang w:val="zh-CN" w:eastAsia="zh-CN" w:bidi="ar-SA"/>
        </w:rPr>
        <w:t>或者</w:t>
      </w:r>
      <w:r>
        <w:rPr>
          <w:rFonts w:hint="eastAsia" w:ascii="宋体" w:hAnsi="宋体" w:eastAsia="宋体" w:cs="宋体"/>
          <w:bCs/>
          <w:color w:val="auto"/>
          <w:kern w:val="2"/>
          <w:sz w:val="24"/>
          <w:szCs w:val="24"/>
          <w:lang w:val="en-US" w:eastAsia="zh-CN" w:bidi="ar-SA"/>
        </w:rPr>
        <w:t>修改</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_Toc8019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9</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E17FEE1">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_Toc14221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7.谈判文件的询问或质疑</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_Toc14221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9</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3594D06A">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_Toc31681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三、响应文件</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_Toc31681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9</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2E475809">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_Toc8939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8.一般要求</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_Toc8939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9</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2FC82F91">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_Toc17103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9.报价要求</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_Toc17103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10</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2E3A62BF">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_Toc4330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10.保证金</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_Toc4330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10</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28B800BF">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_Toc4978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11.响应文件的组成</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_Toc4978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23B1B649">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_Toc8896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12.响应文件有效期</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_Toc8896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13666426">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_Toc22485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13.响应文件的签署及规定</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_Toc22485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23C76A81">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_Toc22668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四、响应文件的递交和开启</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_Toc22668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00F823FD">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_Toc23473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14.响应文件的密封和标记</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_Toc23473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74E98CC0">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_Toc21205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15.响应文件的递交和开启</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_Toc21205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109F85B1">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_Toc31326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16.响应文件的</w:t>
      </w:r>
      <w:r>
        <w:rPr>
          <w:rFonts w:hint="eastAsia" w:ascii="宋体" w:hAnsi="宋体" w:eastAsia="宋体" w:cs="宋体"/>
          <w:bCs/>
          <w:color w:val="auto"/>
          <w:kern w:val="2"/>
          <w:sz w:val="24"/>
          <w:szCs w:val="24"/>
          <w:lang w:val="zh-CN" w:eastAsia="zh-CN" w:bidi="ar-SA"/>
        </w:rPr>
        <w:t>补充、修改或者撤回</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_Toc31326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7C033C77">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_Toc28887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五、响应文件的评审与谈判</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_Toc28887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550AAA66">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_Toc19042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17.谈判小组</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_Toc19042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1F2922A3">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_Toc14928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18.响应文件审查</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_Toc14928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14</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7B947C6">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_Toc6797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19.谈判程序</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_Toc6797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15</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EDACD9D">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_Toc14513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20.澄清</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_Toc14513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16</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5CF718F6">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_Toc29923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21.退出谈判</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_Toc29923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16</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3342294A">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_Toc17118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22.最后报价</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_Toc17118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16</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58206891">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_Toc15843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23.确定成交供应商</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_Toc15843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7FC675AC">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_Toc6115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24.重新评审</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_Toc6115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5A5B8E5">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_Toc31463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25.终止或中止谈判</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_Toc31463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329E3A2D">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_Toc18496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26.串通情形认定及处理</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_Toc18496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1084D204">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_Toc24758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highlight w:val="none"/>
          <w:lang w:val="en-US" w:eastAsia="zh-CN" w:bidi="ar-SA"/>
        </w:rPr>
        <w:t>六、成交结果信息公布与授予合同</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_Toc24758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19</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E8846B9">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_Toc10946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27.成交信息的公布与通知</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_Toc10946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19</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46BBE487">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_Toc4994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28.授予合同</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_Toc4994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20</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2A6F617B">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_Toc16647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29.履约验收</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_Toc16647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20</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456A458D">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_Toc3039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highlight w:val="none"/>
          <w:lang w:val="en-US" w:eastAsia="zh-CN" w:bidi="ar-SA"/>
        </w:rPr>
        <w:t>七、询问与质疑</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_Toc3039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07CAEB3B">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_Toc20752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30.对采购过程、结果的询问及质疑</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_Toc20752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76D53800">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_Toc28800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highlight w:val="none"/>
          <w:lang w:val="en-US" w:eastAsia="zh-CN" w:bidi="ar-SA"/>
        </w:rPr>
        <w:t>八、政府采购政策</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_Toc28800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50638C0B">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_Toc25755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31.政府采购政策</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_Toc25755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C594AB6">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_Toc29364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highlight w:val="none"/>
          <w:lang w:val="en-US" w:eastAsia="zh-CN" w:bidi="ar-SA"/>
        </w:rPr>
        <w:t>九、其他规定</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_Toc29364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0067787A">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_Toc9245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32.代理服务费</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_Toc9245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1A244634">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_Toc27643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33.其他规定</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_Toc27643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05BEC995">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_Toc29314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sz w:val="24"/>
          <w:szCs w:val="24"/>
          <w:highlight w:val="none"/>
          <w:lang w:val="en-US" w:eastAsia="zh-CN"/>
        </w:rPr>
        <w:t>第三部分  采购需求</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_Toc29314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30FC80B3">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_Toc11574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highlight w:val="none"/>
          <w:lang w:val="zh-CN" w:eastAsia="zh-CN" w:bidi="ar-SA"/>
        </w:rPr>
        <w:t>十、响应说明</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_Toc11574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0AEC3733">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_Toc6193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highlight w:val="none"/>
          <w:lang w:val="zh-CN" w:eastAsia="zh-CN" w:bidi="ar-SA"/>
        </w:rPr>
        <w:t>十一、重要指标</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_Toc6193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53ED4E8">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_Toc13357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zh-CN"/>
        </w:rPr>
        <w:t>采购需求</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_Toc13357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2A3BB649">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_Toc25083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sz w:val="24"/>
          <w:szCs w:val="24"/>
          <w:lang w:eastAsia="zh-CN"/>
        </w:rPr>
        <w:t>第四部分</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lang w:eastAsia="zh-CN"/>
        </w:rPr>
        <w:t>响应文件格式</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_Toc25083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172EF650">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_Toc3213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十二、响应</w:t>
      </w:r>
      <w:r>
        <w:rPr>
          <w:rFonts w:hint="eastAsia" w:ascii="宋体" w:hAnsi="宋体" w:eastAsia="宋体" w:cs="宋体"/>
          <w:bCs/>
          <w:color w:val="auto"/>
          <w:kern w:val="2"/>
          <w:sz w:val="24"/>
          <w:szCs w:val="24"/>
          <w:lang w:val="en-US" w:eastAsia="zh-CN" w:bidi="ar-SA"/>
        </w:rPr>
        <w:t>文件的组成</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_Toc3213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C8942F0">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_Toc840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zh-CN" w:eastAsia="zh-CN" w:bidi="ar-SA"/>
        </w:rPr>
        <w:t>（一）资格审查部分</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_Toc840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0C8CBFC">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_Toc8307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zh-CN" w:eastAsia="zh-CN" w:bidi="ar-SA"/>
        </w:rPr>
        <w:t>（二）有效性、完整性、响应程度审查部分</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_Toc8307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52E60A4F">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_Toc22222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kern w:val="2"/>
          <w:sz w:val="24"/>
          <w:szCs w:val="24"/>
          <w:lang w:val="en-US" w:eastAsia="zh-CN" w:bidi="ar-SA"/>
        </w:rPr>
        <w:t>十三、响应文件</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_Toc22222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7F61A190">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_Toc5207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eastAsia="zh-CN"/>
        </w:rPr>
        <w:t>附件1：响应函</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_Toc5207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29</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726FF0B6">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_Toc23390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eastAsia="zh-CN"/>
        </w:rPr>
        <w:t>附件2：法定代表人证明书</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_Toc23390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30</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01C7CC6">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_Toc25359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eastAsia="zh-CN"/>
        </w:rPr>
        <w:t>附件3：法定代表人授权书</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_Toc25359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60A4BBE1">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_Toc25241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eastAsia="zh-CN"/>
        </w:rPr>
        <w:t>附件4：供应商承诺函</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_Toc25241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1BF4C990">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_Toc22871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eastAsia="zh-CN"/>
        </w:rPr>
        <w:t>附件5：供应商诚信承诺书</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_Toc22871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453A0DD3">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_Toc10622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eastAsia="zh-CN"/>
        </w:rPr>
        <w:t>附件6：供应商资格证明文件</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_Toc10622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34</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4EEBF91E">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_Toc7830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eastAsia="zh-CN"/>
        </w:rPr>
        <w:t>附件7：财务状况、缴纳税收和社会保障资金证明</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_Toc7830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35</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59DEC787">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_Toc18071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eastAsia="zh-CN"/>
        </w:rPr>
        <w:t>附件8：无重大违法记录声明</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_Toc18071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36</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1DD22CB4">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_Toc20715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val="0"/>
          <w:color w:val="auto"/>
          <w:kern w:val="2"/>
          <w:sz w:val="24"/>
          <w:szCs w:val="24"/>
          <w:lang w:val="en-US" w:eastAsia="zh-CN" w:bidi="ar-SA"/>
        </w:rPr>
        <w:t>附件9：谈判</w:t>
      </w:r>
      <w:r>
        <w:rPr>
          <w:rFonts w:hint="eastAsia" w:ascii="宋体" w:hAnsi="宋体" w:eastAsia="宋体" w:cs="宋体"/>
          <w:bCs w:val="0"/>
          <w:color w:val="auto"/>
          <w:kern w:val="2"/>
          <w:sz w:val="24"/>
          <w:szCs w:val="24"/>
          <w:lang w:val="zh-CN" w:eastAsia="zh-CN" w:bidi="ar-SA"/>
        </w:rPr>
        <w:t>保证金证明</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_Toc20715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57E4D9E7">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_Toc8794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val="0"/>
          <w:color w:val="auto"/>
          <w:kern w:val="2"/>
          <w:sz w:val="24"/>
          <w:szCs w:val="24"/>
          <w:lang w:val="en-US" w:eastAsia="zh-CN" w:bidi="ar-SA"/>
        </w:rPr>
        <w:t>附件10：谈判首次报价表</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_Toc8794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39</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362ECFE4">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_Toc13949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val="0"/>
          <w:color w:val="auto"/>
          <w:kern w:val="2"/>
          <w:sz w:val="24"/>
          <w:szCs w:val="24"/>
          <w:lang w:val="en-US" w:eastAsia="zh-CN" w:bidi="ar-SA"/>
        </w:rPr>
        <w:t>附件11：已标价的工程量清单</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_Toc13949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40</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31DD7B60">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_Toc5044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val="0"/>
          <w:color w:val="auto"/>
          <w:kern w:val="2"/>
          <w:sz w:val="24"/>
          <w:szCs w:val="24"/>
          <w:lang w:val="en-US" w:eastAsia="zh-CN" w:bidi="ar-SA"/>
        </w:rPr>
        <w:t>附件12：施工组织设计</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_Toc5044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41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520BFE0D">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_Toc22110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val="0"/>
          <w:color w:val="auto"/>
          <w:kern w:val="2"/>
          <w:sz w:val="24"/>
          <w:szCs w:val="24"/>
          <w:lang w:val="en-US" w:eastAsia="zh-CN" w:bidi="ar-SA"/>
        </w:rPr>
        <w:t>附件13：具备履行合同所必须的设备和专业技术能力证明</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_Toc22110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43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7199BBFA">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_Toc13810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val="0"/>
          <w:color w:val="auto"/>
          <w:kern w:val="2"/>
          <w:sz w:val="24"/>
          <w:szCs w:val="24"/>
          <w:lang w:val="en-US" w:eastAsia="zh-CN" w:bidi="ar-SA"/>
        </w:rPr>
        <w:t>附件14：享受政府采购政策优惠的证明资料</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_Toc13810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44</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78A34900">
      <w:pPr>
        <w:pStyle w:val="16"/>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_Toc6332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val="0"/>
          <w:color w:val="auto"/>
          <w:kern w:val="2"/>
          <w:sz w:val="24"/>
          <w:szCs w:val="24"/>
          <w:lang w:val="en-US" w:eastAsia="zh-CN" w:bidi="ar-SA"/>
        </w:rPr>
        <w:t>附件15：最后报价表</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_Toc6332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50</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5893058D">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_Toc31166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bCs/>
          <w:color w:val="auto"/>
          <w:sz w:val="24"/>
          <w:szCs w:val="24"/>
          <w:lang w:eastAsia="zh-CN"/>
        </w:rPr>
        <w:t>第五部分</w:t>
      </w:r>
      <w:r>
        <w:rPr>
          <w:rFonts w:hint="eastAsia" w:ascii="宋体" w:hAnsi="宋体" w:eastAsia="宋体" w:cs="宋体"/>
          <w:bCs/>
          <w:color w:val="auto"/>
          <w:sz w:val="24"/>
          <w:szCs w:val="24"/>
        </w:rPr>
        <w:t xml:space="preserve"> </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青海省政府采购项目合同书</w:t>
      </w:r>
      <w:bookmarkStart w:id="549" w:name="_GoBack"/>
      <w:bookmarkEnd w:id="549"/>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_Toc31166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52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lang w:val="en-US" w:eastAsia="zh-CN"/>
        </w:rPr>
        <w:fldChar w:fldCharType="end"/>
      </w:r>
    </w:p>
    <w:p w14:paraId="5EB266D9">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lang w:val="en-US" w:eastAsia="zh-CN"/>
        </w:rPr>
      </w:pPr>
      <w:r>
        <w:rPr>
          <w:rFonts w:hint="eastAsia" w:ascii="宋体" w:hAnsi="宋体" w:eastAsia="宋体" w:cs="宋体"/>
          <w:color w:val="auto"/>
          <w:sz w:val="24"/>
          <w:szCs w:val="24"/>
          <w:lang w:val="en-US" w:eastAsia="zh-CN"/>
        </w:rPr>
        <w:fldChar w:fldCharType="end"/>
      </w:r>
      <w:bookmarkStart w:id="0" w:name="_Toc20903"/>
    </w:p>
    <w:p w14:paraId="1E82A70B">
      <w:pPr>
        <w:rPr>
          <w:rFonts w:hint="eastAsia" w:ascii="宋体" w:hAnsi="宋体" w:eastAsia="宋体" w:cs="宋体"/>
          <w:color w:val="auto"/>
          <w:kern w:val="2"/>
          <w:szCs w:val="32"/>
          <w:lang w:val="en-US" w:eastAsia="zh-CN" w:bidi="ar-SA"/>
        </w:rPr>
      </w:pPr>
      <w:r>
        <w:rPr>
          <w:rFonts w:hint="eastAsia" w:ascii="宋体" w:hAnsi="宋体" w:eastAsia="宋体" w:cs="宋体"/>
          <w:color w:val="auto"/>
          <w:kern w:val="2"/>
          <w:szCs w:val="32"/>
          <w:lang w:val="en-US" w:eastAsia="zh-CN" w:bidi="ar-SA"/>
        </w:rPr>
        <w:br w:type="page"/>
      </w:r>
    </w:p>
    <w:p w14:paraId="0DA2BB55">
      <w:pPr>
        <w:pStyle w:val="3"/>
        <w:keepNext/>
        <w:widowControl w:val="0"/>
        <w:numPr>
          <w:ilvl w:val="0"/>
          <w:numId w:val="0"/>
        </w:numPr>
        <w:wordWrap/>
        <w:adjustRightInd w:val="0"/>
        <w:snapToGrid w:val="0"/>
        <w:spacing w:before="157" w:beforeLines="50" w:line="560" w:lineRule="exact"/>
        <w:jc w:val="center"/>
        <w:textAlignment w:val="auto"/>
        <w:outlineLvl w:val="0"/>
        <w:rPr>
          <w:rFonts w:hint="eastAsia" w:ascii="宋体" w:hAnsi="宋体" w:eastAsia="宋体" w:cs="宋体"/>
          <w:b/>
          <w:bCs/>
          <w:color w:val="auto"/>
          <w:sz w:val="32"/>
          <w:szCs w:val="32"/>
          <w:lang w:val="en-US" w:eastAsia="zh-CN"/>
        </w:rPr>
      </w:pPr>
      <w:bookmarkStart w:id="1" w:name="_Toc28893"/>
      <w:r>
        <w:rPr>
          <w:rFonts w:hint="eastAsia" w:ascii="宋体" w:hAnsi="宋体" w:eastAsia="宋体" w:cs="宋体"/>
          <w:b/>
          <w:bCs/>
          <w:color w:val="auto"/>
          <w:kern w:val="2"/>
          <w:sz w:val="32"/>
          <w:szCs w:val="32"/>
          <w:lang w:val="en-US" w:eastAsia="zh-CN" w:bidi="ar-SA"/>
        </w:rPr>
        <w:t xml:space="preserve">第一部分  </w:t>
      </w:r>
      <w:bookmarkEnd w:id="0"/>
      <w:r>
        <w:rPr>
          <w:rFonts w:hint="eastAsia" w:ascii="宋体" w:hAnsi="宋体" w:eastAsia="宋体" w:cs="宋体"/>
          <w:b/>
          <w:bCs/>
          <w:color w:val="auto"/>
          <w:sz w:val="32"/>
          <w:szCs w:val="32"/>
          <w:lang w:val="en-US" w:eastAsia="zh-CN"/>
        </w:rPr>
        <w:t>谈判须知前附表</w:t>
      </w:r>
      <w:bookmarkEnd w:id="1"/>
    </w:p>
    <w:p w14:paraId="21CC0A26">
      <w:pPr>
        <w:numPr>
          <w:ilvl w:val="0"/>
          <w:numId w:val="0"/>
        </w:numPr>
        <w:rPr>
          <w:rFonts w:hint="eastAsia" w:ascii="宋体" w:hAnsi="宋体" w:eastAsia="宋体" w:cs="宋体"/>
          <w:color w:val="auto"/>
        </w:rPr>
      </w:pPr>
    </w:p>
    <w:tbl>
      <w:tblPr>
        <w:tblStyle w:val="21"/>
        <w:tblW w:w="1020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40" w:type="dxa"/>
          <w:bottom w:w="0" w:type="dxa"/>
          <w:right w:w="40" w:type="dxa"/>
        </w:tblCellMar>
      </w:tblPr>
      <w:tblGrid>
        <w:gridCol w:w="2328"/>
        <w:gridCol w:w="7877"/>
      </w:tblGrid>
      <w:tr w14:paraId="2D72FC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497DEEE0">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采购项目</w:t>
            </w:r>
            <w:r>
              <w:rPr>
                <w:rFonts w:hint="eastAsia" w:ascii="宋体" w:hAnsi="宋体" w:eastAsia="宋体" w:cs="宋体"/>
                <w:color w:val="auto"/>
                <w:sz w:val="24"/>
                <w:szCs w:val="24"/>
                <w:lang w:eastAsia="zh-CN"/>
              </w:rPr>
              <w:t>名称</w:t>
            </w:r>
          </w:p>
        </w:tc>
        <w:tc>
          <w:tcPr>
            <w:tcW w:w="7877" w:type="dxa"/>
            <w:tcBorders>
              <w:tl2br w:val="nil"/>
              <w:tr2bl w:val="nil"/>
            </w:tcBorders>
            <w:vAlign w:val="top"/>
          </w:tcPr>
          <w:p w14:paraId="459F45EA">
            <w:pPr>
              <w:keepNext w:val="0"/>
              <w:keepLines w:val="0"/>
              <w:pageBreakBefore w:val="0"/>
              <w:widowControl w:val="0"/>
              <w:kinsoku/>
              <w:wordWrap/>
              <w:overflowPunct/>
              <w:topLinePunct w:val="0"/>
              <w:bidi w:val="0"/>
              <w:adjustRightInd/>
              <w:snapToGrid/>
              <w:spacing w:line="264" w:lineRule="auto"/>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2025年义务教育薄弱环节改善与能力提升-乌兰县第二中学建设项目</w:t>
            </w:r>
          </w:p>
        </w:tc>
      </w:tr>
      <w:tr w14:paraId="0AD0F4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188AC83C">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采购项目编号</w:t>
            </w:r>
          </w:p>
        </w:tc>
        <w:tc>
          <w:tcPr>
            <w:tcW w:w="7877" w:type="dxa"/>
            <w:tcBorders>
              <w:tl2br w:val="nil"/>
              <w:tr2bl w:val="nil"/>
            </w:tcBorders>
            <w:vAlign w:val="top"/>
          </w:tcPr>
          <w:p w14:paraId="160E14EC">
            <w:pPr>
              <w:keepNext w:val="0"/>
              <w:keepLines w:val="0"/>
              <w:pageBreakBefore w:val="0"/>
              <w:widowControl w:val="0"/>
              <w:kinsoku/>
              <w:wordWrap/>
              <w:overflowPunct/>
              <w:topLinePunct w:val="0"/>
              <w:bidi w:val="0"/>
              <w:adjustRightInd/>
              <w:snapToGrid/>
              <w:spacing w:line="264" w:lineRule="auto"/>
              <w:ind w:firstLine="0" w:firstLineChars="0"/>
              <w:jc w:val="left"/>
              <w:textAlignment w:val="auto"/>
              <w:rPr>
                <w:rFonts w:hint="eastAsia" w:ascii="宋体" w:hAnsi="宋体" w:eastAsia="宋体" w:cs="宋体"/>
                <w:color w:val="auto"/>
                <w:kern w:val="2"/>
                <w:sz w:val="24"/>
                <w:szCs w:val="24"/>
                <w:u w:val="single"/>
                <w:lang w:val="zh-CN"/>
              </w:rPr>
            </w:pPr>
            <w:r>
              <w:rPr>
                <w:rFonts w:hint="eastAsia" w:ascii="宋体" w:hAnsi="宋体" w:eastAsia="宋体" w:cs="宋体"/>
                <w:b w:val="0"/>
                <w:bCs/>
                <w:color w:val="auto"/>
                <w:kern w:val="0"/>
                <w:sz w:val="24"/>
                <w:szCs w:val="24"/>
                <w:u w:val="none"/>
                <w:lang w:val="en-US" w:eastAsia="zh-CN"/>
              </w:rPr>
              <w:t>青海鼎钊竞谈（工程）2025-034</w:t>
            </w:r>
          </w:p>
        </w:tc>
      </w:tr>
      <w:tr w14:paraId="65F07D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5F6EB6D4">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采购方式</w:t>
            </w:r>
          </w:p>
        </w:tc>
        <w:tc>
          <w:tcPr>
            <w:tcW w:w="7877" w:type="dxa"/>
            <w:tcBorders>
              <w:tl2br w:val="nil"/>
              <w:tr2bl w:val="nil"/>
            </w:tcBorders>
            <w:vAlign w:val="top"/>
          </w:tcPr>
          <w:p w14:paraId="4B0DEE1B">
            <w:pPr>
              <w:keepNext w:val="0"/>
              <w:keepLines w:val="0"/>
              <w:pageBreakBefore w:val="0"/>
              <w:widowControl w:val="0"/>
              <w:kinsoku/>
              <w:wordWrap/>
              <w:overflowPunct/>
              <w:topLinePunct w:val="0"/>
              <w:bidi w:val="0"/>
              <w:adjustRightInd/>
              <w:snapToGrid/>
              <w:spacing w:line="264" w:lineRule="auto"/>
              <w:ind w:firstLine="0" w:firstLineChars="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竞争性谈判</w:t>
            </w:r>
          </w:p>
        </w:tc>
      </w:tr>
      <w:tr w14:paraId="643F46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42923B68">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采购预算额度</w:t>
            </w:r>
          </w:p>
        </w:tc>
        <w:tc>
          <w:tcPr>
            <w:tcW w:w="7877" w:type="dxa"/>
            <w:tcBorders>
              <w:tl2br w:val="nil"/>
              <w:tr2bl w:val="nil"/>
            </w:tcBorders>
            <w:vAlign w:val="top"/>
          </w:tcPr>
          <w:p w14:paraId="4784322C">
            <w:pPr>
              <w:keepNext w:val="0"/>
              <w:keepLines w:val="0"/>
              <w:pageBreakBefore w:val="0"/>
              <w:widowControl w:val="0"/>
              <w:kinsoku/>
              <w:wordWrap/>
              <w:overflowPunct/>
              <w:topLinePunct w:val="0"/>
              <w:bidi w:val="0"/>
              <w:adjustRightInd/>
              <w:snapToGrid/>
              <w:spacing w:line="264" w:lineRule="auto"/>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1328960.04元</w:t>
            </w:r>
          </w:p>
        </w:tc>
      </w:tr>
      <w:tr w14:paraId="6964BE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7DB0D675">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项目分包个数</w:t>
            </w:r>
          </w:p>
        </w:tc>
        <w:tc>
          <w:tcPr>
            <w:tcW w:w="7877" w:type="dxa"/>
            <w:tcBorders>
              <w:tl2br w:val="nil"/>
              <w:tr2bl w:val="nil"/>
            </w:tcBorders>
            <w:vAlign w:val="top"/>
          </w:tcPr>
          <w:p w14:paraId="12E09773">
            <w:pPr>
              <w:keepNext w:val="0"/>
              <w:keepLines w:val="0"/>
              <w:pageBreakBefore w:val="0"/>
              <w:widowControl w:val="0"/>
              <w:kinsoku/>
              <w:wordWrap/>
              <w:overflowPunct/>
              <w:topLinePunct w:val="0"/>
              <w:bidi w:val="0"/>
              <w:adjustRightInd/>
              <w:snapToGrid/>
              <w:spacing w:line="264" w:lineRule="auto"/>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w:t>
            </w:r>
          </w:p>
        </w:tc>
      </w:tr>
      <w:tr w14:paraId="706617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42585329">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供应商</w:t>
            </w:r>
            <w:r>
              <w:rPr>
                <w:rFonts w:hint="eastAsia" w:ascii="宋体" w:hAnsi="宋体" w:eastAsia="宋体" w:cs="宋体"/>
                <w:color w:val="auto"/>
                <w:sz w:val="24"/>
                <w:szCs w:val="24"/>
              </w:rPr>
              <w:t>资格条件</w:t>
            </w:r>
          </w:p>
        </w:tc>
        <w:tc>
          <w:tcPr>
            <w:tcW w:w="7877" w:type="dxa"/>
            <w:tcBorders>
              <w:tl2br w:val="nil"/>
              <w:tr2bl w:val="nil"/>
            </w:tcBorders>
            <w:vAlign w:val="top"/>
          </w:tcPr>
          <w:p w14:paraId="4D636817">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合格的供应商：</w:t>
            </w:r>
          </w:p>
          <w:p w14:paraId="20D7480D">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1.符合《政府采购法》第22条条件，并提供下列材料：</w:t>
            </w:r>
          </w:p>
          <w:p w14:paraId="0842CA11">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（1）供应商的营业执照等证明文件，自然人的身份证明。</w:t>
            </w:r>
          </w:p>
          <w:p w14:paraId="1FC098B9">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（2）财务状况报告，依法缴纳税收和社会保障资金的相关材料。</w:t>
            </w:r>
          </w:p>
          <w:p w14:paraId="06CCA7B8">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（3）具备履行合同所必需的设备和专业技术能力的证明材料。</w:t>
            </w:r>
          </w:p>
          <w:p w14:paraId="636B0BCF">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（4）参加政府采购活动前3年内在经营活动中没有重大违法记录的书面声明。</w:t>
            </w:r>
          </w:p>
          <w:p w14:paraId="65FBB76C">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（5）具备法律、行政法规规定的其他条件的证明材料。</w:t>
            </w:r>
          </w:p>
          <w:p w14:paraId="1030FBC7">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2.落实政府采购政策需满足的资格要求：本项目为专门面向中小企业采购，供应商须提供《中小企业声明函》或《残疾人福利性单位声明函》或《监狱企业证明材料》，本项目采购标的所属行业为建筑业；</w:t>
            </w:r>
          </w:p>
          <w:p w14:paraId="5BCEFE77">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经信用中国（www.creditchina.gov.cn）、中国政府采购网（www.ccgp.gov.cn）等渠道查询后，列入失信被执行人、重大税收违法案件当事人名单、政府采购严重违法失信行为记录名单的，取消投标资格；（以评审现场查询结果为准并打印留存）</w:t>
            </w:r>
          </w:p>
          <w:p w14:paraId="20D8BC05">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4.单位负责人为同一人或者存在直接控股、管理关系的不同供应商，不得参加同一合同项下的政府采购活动。否则，皆取消投标资格；</w:t>
            </w:r>
          </w:p>
          <w:p w14:paraId="7276EDAA">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5.为本采购项目提供整体设计、规范编制或者项目管理、监理、检测等服务的供应商，不得再参加该采购项目的其他采购活动；</w:t>
            </w:r>
          </w:p>
          <w:p w14:paraId="6D3026EF">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供应商须具备建筑装修装饰工程专业承包二级（含）以上资质，并具有有效的安全生产许可证；企业注册地不在青海省辖区内的企业,应提供青海省省外建设工程企业信息登记册。省外进青企业登记应符合省级住房城乡建设主管部门的有关规定；</w:t>
            </w:r>
          </w:p>
          <w:p w14:paraId="58F6CFB3">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供应商拟派的项目经理须具备建筑工程专业二级（含以上级）注册建造师执业资格，项目经理应在《青海省工程建设监管和信用管理平台》记录有效；小型项目负责人应满足《青海省住房和城乡建设厅关于加强我省房屋建筑和市政小型工程项目施工管理及明确小型工程项目负责人任职条件的通知》（青建工〔2017〕520 号）要求；提供拟派项目经理无在建项目承诺书；</w:t>
            </w:r>
          </w:p>
          <w:p w14:paraId="07F1081E">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8.信誉要求：2022年1月1日至投标截止日，未因安全、质量、违法违纪问题被国家和青海省建设行政主管部门禁止、限制投标活动的情形，并在资金、人员、设备、技术等方面具有相应的能力；</w:t>
            </w:r>
          </w:p>
          <w:p w14:paraId="134A5EE6">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9.拟提供施工机械设备：配置满足工程要求。</w:t>
            </w:r>
          </w:p>
          <w:p w14:paraId="1712D38D">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编制合理的施工组织设计（施工方案与技术措施、质量管理体系与措施、安全管理体系与措施、环境保护管理体系与措施、工程进度计划与措施、资源配备计划、危险性较大的分部分项工程安全专项施工方案），提供项目管理机构人员名单，同时按照有关规定提供工程保修服务承诺。</w:t>
            </w:r>
          </w:p>
          <w:p w14:paraId="78453A01">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供应商不得存在下列情形之一：</w:t>
            </w:r>
          </w:p>
          <w:p w14:paraId="29E58CAB">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strike w:val="0"/>
                <w:dstrike w:val="0"/>
                <w:color w:val="auto"/>
                <w:sz w:val="24"/>
                <w:szCs w:val="24"/>
                <w:lang w:val="en-US" w:eastAsia="zh-CN"/>
              </w:rPr>
              <w:t>为采购人不具有独立法人资格的附属机构（单位）</w:t>
            </w:r>
            <w:r>
              <w:rPr>
                <w:rFonts w:hint="eastAsia" w:ascii="宋体" w:hAnsi="宋体" w:eastAsia="宋体" w:cs="宋体"/>
                <w:color w:val="auto"/>
                <w:sz w:val="24"/>
                <w:szCs w:val="24"/>
                <w:lang w:val="en-US" w:eastAsia="zh-CN"/>
              </w:rPr>
              <w:t>；</w:t>
            </w:r>
          </w:p>
          <w:p w14:paraId="09FF2B36">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2.为本采购项目前期准备提供设计或咨询服务的，但设计施工总承包的除外；</w:t>
            </w:r>
          </w:p>
          <w:p w14:paraId="7D174782">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3.为本采购项目的监理人；</w:t>
            </w:r>
          </w:p>
          <w:p w14:paraId="789C6290">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4.为本采购项目的代建人；</w:t>
            </w:r>
          </w:p>
          <w:p w14:paraId="3F0CCE17">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5.为本采购项目提供招标代理服务的；</w:t>
            </w:r>
          </w:p>
          <w:p w14:paraId="22764307">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6.与本采购项目的监理人或代建人或招标代理机构同为一个法定代表人的；</w:t>
            </w:r>
          </w:p>
          <w:p w14:paraId="6F58D14C">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7.与本采购项目的监理人或代建人或招标代理机构相互控股或参股的；</w:t>
            </w:r>
          </w:p>
          <w:p w14:paraId="0C4919B6">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8.与本采购项目的监理人或代建人或招标代理机构相互任职或工作的；</w:t>
            </w:r>
          </w:p>
          <w:p w14:paraId="616BEC4A">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9.被责令停业的；</w:t>
            </w:r>
          </w:p>
          <w:p w14:paraId="51C2E509">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10.被暂停或取消投标资格的；</w:t>
            </w:r>
          </w:p>
          <w:p w14:paraId="24E6D7F2">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11.财产被接管或冻结的；</w:t>
            </w:r>
          </w:p>
          <w:p w14:paraId="647CE1A5">
            <w:pPr>
              <w:pStyle w:val="2"/>
              <w:keepNext w:val="0"/>
              <w:keepLines w:val="0"/>
              <w:pageBreakBefore w:val="0"/>
              <w:widowControl w:val="0"/>
              <w:kinsoku/>
              <w:wordWrap/>
              <w:overflowPunct/>
              <w:topLinePunct w:val="0"/>
              <w:bidi w:val="0"/>
              <w:adjustRightInd/>
              <w:snapToGrid/>
              <w:spacing w:line="264"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12.在最近三年内有骗取中标或严重违约或重大工程质量问题的。</w:t>
            </w:r>
          </w:p>
        </w:tc>
      </w:tr>
      <w:tr w14:paraId="5E195A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209D644D">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bCs/>
                <w:color w:val="auto"/>
                <w:sz w:val="24"/>
                <w:szCs w:val="24"/>
              </w:rPr>
            </w:pPr>
            <w:r>
              <w:rPr>
                <w:rFonts w:hint="eastAsia" w:ascii="宋体" w:hAnsi="宋体" w:eastAsia="宋体" w:cs="宋体"/>
                <w:color w:val="auto"/>
                <w:sz w:val="24"/>
                <w:szCs w:val="24"/>
              </w:rPr>
              <w:t>是否接收联合体形式</w:t>
            </w:r>
          </w:p>
        </w:tc>
        <w:tc>
          <w:tcPr>
            <w:tcW w:w="7877" w:type="dxa"/>
            <w:tcBorders>
              <w:tl2br w:val="nil"/>
              <w:tr2bl w:val="nil"/>
            </w:tcBorders>
            <w:vAlign w:val="top"/>
          </w:tcPr>
          <w:p w14:paraId="1565CDB6">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u w:val="none"/>
                <w:lang w:val="zh-CN"/>
              </w:rPr>
              <w:t>本项目</w:t>
            </w:r>
            <w:r>
              <w:rPr>
                <w:rFonts w:hint="eastAsia" w:ascii="宋体" w:hAnsi="宋体" w:eastAsia="宋体" w:cs="宋体"/>
                <w:color w:val="auto"/>
                <w:kern w:val="0"/>
                <w:sz w:val="24"/>
                <w:szCs w:val="24"/>
                <w:u w:val="none"/>
                <w:lang w:val="en-US" w:eastAsia="zh-CN"/>
              </w:rPr>
              <w:t>不接受</w:t>
            </w:r>
            <w:r>
              <w:rPr>
                <w:rFonts w:hint="eastAsia" w:ascii="宋体" w:hAnsi="宋体" w:eastAsia="宋体" w:cs="宋体"/>
                <w:color w:val="auto"/>
                <w:kern w:val="0"/>
                <w:sz w:val="24"/>
                <w:szCs w:val="24"/>
                <w:u w:val="none"/>
                <w:lang w:val="zh-CN"/>
              </w:rPr>
              <w:t>供应商以联合体方式进行谈判</w:t>
            </w:r>
          </w:p>
        </w:tc>
      </w:tr>
      <w:tr w14:paraId="506B26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6E5B80B6">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进口产品</w:t>
            </w:r>
          </w:p>
        </w:tc>
        <w:tc>
          <w:tcPr>
            <w:tcW w:w="7877" w:type="dxa"/>
            <w:tcBorders>
              <w:tl2br w:val="nil"/>
              <w:tr2bl w:val="nil"/>
            </w:tcBorders>
            <w:vAlign w:val="center"/>
          </w:tcPr>
          <w:p w14:paraId="45893296">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kern w:val="0"/>
                <w:sz w:val="24"/>
                <w:szCs w:val="24"/>
                <w:lang w:val="zh-CN"/>
              </w:rPr>
            </w:pPr>
            <w:r>
              <w:rPr>
                <w:rFonts w:hint="eastAsia" w:ascii="宋体" w:hAnsi="宋体" w:eastAsia="宋体" w:cs="宋体"/>
                <w:b w:val="0"/>
                <w:bCs/>
                <w:color w:val="auto"/>
                <w:sz w:val="24"/>
                <w:szCs w:val="24"/>
                <w:u w:val="none"/>
              </w:rPr>
              <w:t>本项目拒绝进</w:t>
            </w:r>
            <w:r>
              <w:rPr>
                <w:rFonts w:hint="eastAsia" w:ascii="宋体" w:hAnsi="宋体" w:eastAsia="宋体" w:cs="宋体"/>
                <w:color w:val="auto"/>
                <w:sz w:val="24"/>
                <w:szCs w:val="24"/>
                <w:u w:val="none"/>
              </w:rPr>
              <w:t>口产品参加谈判采购</w:t>
            </w:r>
          </w:p>
        </w:tc>
      </w:tr>
      <w:tr w14:paraId="080D6F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650AA259">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公告发布时间</w:t>
            </w:r>
          </w:p>
        </w:tc>
        <w:tc>
          <w:tcPr>
            <w:tcW w:w="7877" w:type="dxa"/>
            <w:tcBorders>
              <w:tl2br w:val="nil"/>
              <w:tr2bl w:val="nil"/>
            </w:tcBorders>
            <w:vAlign w:val="top"/>
          </w:tcPr>
          <w:p w14:paraId="0F95EFCC">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2025年07月14日</w:t>
            </w:r>
          </w:p>
        </w:tc>
      </w:tr>
      <w:tr w14:paraId="0FED75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5AD9E1CD">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bCs/>
                <w:color w:val="auto"/>
                <w:sz w:val="24"/>
                <w:szCs w:val="24"/>
                <w:lang w:eastAsia="zh-CN"/>
              </w:rPr>
            </w:pPr>
            <w:r>
              <w:rPr>
                <w:rFonts w:hint="eastAsia" w:ascii="宋体" w:hAnsi="宋体" w:eastAsia="宋体" w:cs="宋体"/>
                <w:color w:val="auto"/>
                <w:sz w:val="24"/>
                <w:szCs w:val="24"/>
              </w:rPr>
              <w:t>文件发售起止时间</w:t>
            </w:r>
          </w:p>
        </w:tc>
        <w:tc>
          <w:tcPr>
            <w:tcW w:w="7877" w:type="dxa"/>
            <w:tcBorders>
              <w:tl2br w:val="nil"/>
              <w:tr2bl w:val="nil"/>
            </w:tcBorders>
            <w:vAlign w:val="top"/>
          </w:tcPr>
          <w:p w14:paraId="5DFBB7D3">
            <w:pPr>
              <w:pStyle w:val="2"/>
              <w:keepNext w:val="0"/>
              <w:keepLines w:val="0"/>
              <w:pageBreakBefore w:val="0"/>
              <w:widowControl w:val="0"/>
              <w:kinsoku/>
              <w:wordWrap/>
              <w:overflowPunct/>
              <w:topLinePunct w:val="0"/>
              <w:bidi w:val="0"/>
              <w:adjustRightInd/>
              <w:spacing w:line="264" w:lineRule="auto"/>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zh-CN"/>
              </w:rPr>
              <w:t>2025年07月14日至07月</w:t>
            </w: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lang w:val="zh-CN"/>
              </w:rPr>
              <w:t>日</w:t>
            </w:r>
          </w:p>
        </w:tc>
      </w:tr>
      <w:tr w14:paraId="5BAC05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42F9DD8A">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获取</w:t>
            </w:r>
            <w:r>
              <w:rPr>
                <w:rFonts w:hint="eastAsia" w:ascii="宋体" w:hAnsi="宋体" w:eastAsia="宋体" w:cs="宋体"/>
                <w:b w:val="0"/>
                <w:bCs w:val="0"/>
                <w:color w:val="auto"/>
                <w:sz w:val="24"/>
                <w:szCs w:val="24"/>
              </w:rPr>
              <w:t>谈判文件</w:t>
            </w:r>
            <w:r>
              <w:rPr>
                <w:rFonts w:hint="eastAsia" w:ascii="宋体" w:hAnsi="宋体" w:eastAsia="宋体" w:cs="宋体"/>
                <w:bCs/>
                <w:color w:val="auto"/>
                <w:sz w:val="24"/>
                <w:szCs w:val="24"/>
                <w:lang w:eastAsia="zh-CN"/>
              </w:rPr>
              <w:t>方式</w:t>
            </w:r>
          </w:p>
        </w:tc>
        <w:tc>
          <w:tcPr>
            <w:tcW w:w="7877" w:type="dxa"/>
            <w:tcBorders>
              <w:tl2br w:val="nil"/>
              <w:tr2bl w:val="nil"/>
            </w:tcBorders>
            <w:vAlign w:val="center"/>
          </w:tcPr>
          <w:p w14:paraId="2B01200D">
            <w:pPr>
              <w:keepNext w:val="0"/>
              <w:keepLines w:val="0"/>
              <w:pageBreakBefore w:val="0"/>
              <w:widowControl w:val="0"/>
              <w:tabs>
                <w:tab w:val="left" w:pos="320"/>
              </w:tabs>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lang w:val="zh-CN"/>
              </w:rPr>
              <w:t>供应商</w:t>
            </w:r>
            <w:r>
              <w:rPr>
                <w:rFonts w:hint="eastAsia" w:ascii="宋体" w:hAnsi="宋体" w:eastAsia="宋体" w:cs="宋体"/>
                <w:color w:val="auto"/>
                <w:sz w:val="24"/>
                <w:szCs w:val="24"/>
              </w:rPr>
              <w:t>登录政采云平台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https://www.zcygov.cn/</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在线申请获取采购文件（进入“项目采购”应用，在获取采购文件菜单中选择项目，申请获取采购文件）</w:t>
            </w:r>
          </w:p>
        </w:tc>
      </w:tr>
      <w:tr w14:paraId="4A77D8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7265AFCB">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bCs/>
                <w:color w:val="auto"/>
                <w:sz w:val="24"/>
                <w:szCs w:val="24"/>
                <w:lang w:eastAsia="zh-CN"/>
              </w:rPr>
            </w:pPr>
            <w:r>
              <w:rPr>
                <w:rFonts w:hint="eastAsia" w:ascii="宋体" w:hAnsi="宋体" w:eastAsia="宋体" w:cs="宋体"/>
                <w:b w:val="0"/>
                <w:bCs w:val="0"/>
                <w:color w:val="auto"/>
                <w:sz w:val="24"/>
                <w:szCs w:val="24"/>
              </w:rPr>
              <w:t>谈判</w:t>
            </w:r>
            <w:r>
              <w:rPr>
                <w:rFonts w:hint="eastAsia" w:ascii="宋体" w:hAnsi="宋体" w:eastAsia="宋体" w:cs="宋体"/>
                <w:color w:val="auto"/>
                <w:sz w:val="24"/>
                <w:szCs w:val="24"/>
              </w:rPr>
              <w:t>文件售价</w:t>
            </w:r>
          </w:p>
        </w:tc>
        <w:tc>
          <w:tcPr>
            <w:tcW w:w="7877" w:type="dxa"/>
            <w:tcBorders>
              <w:tl2br w:val="nil"/>
              <w:tr2bl w:val="nil"/>
            </w:tcBorders>
            <w:vAlign w:val="center"/>
          </w:tcPr>
          <w:p w14:paraId="1CCDD445">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none"/>
                <w:lang w:val="en-US" w:eastAsia="zh-CN"/>
              </w:rPr>
              <w:t>0</w:t>
            </w:r>
          </w:p>
        </w:tc>
      </w:tr>
      <w:tr w14:paraId="261D4A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019F4DA2">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rPr>
              <w:t>获取谈判文件地点</w:t>
            </w:r>
          </w:p>
        </w:tc>
        <w:tc>
          <w:tcPr>
            <w:tcW w:w="7877" w:type="dxa"/>
            <w:tcBorders>
              <w:tl2br w:val="nil"/>
              <w:tr2bl w:val="nil"/>
            </w:tcBorders>
            <w:vAlign w:val="center"/>
          </w:tcPr>
          <w:p w14:paraId="58CE68F3">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政采云平台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https://www.zcygov.cn/</w:t>
            </w:r>
            <w:r>
              <w:rPr>
                <w:rFonts w:hint="eastAsia" w:ascii="宋体" w:hAnsi="宋体" w:eastAsia="宋体" w:cs="宋体"/>
                <w:color w:val="auto"/>
                <w:sz w:val="24"/>
                <w:szCs w:val="24"/>
                <w:lang w:eastAsia="zh-CN"/>
              </w:rPr>
              <w:t>）</w:t>
            </w:r>
          </w:p>
        </w:tc>
      </w:tr>
      <w:tr w14:paraId="19814A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79D34E5D">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提交响应文件地点</w:t>
            </w:r>
          </w:p>
        </w:tc>
        <w:tc>
          <w:tcPr>
            <w:tcW w:w="7877" w:type="dxa"/>
            <w:tcBorders>
              <w:tl2br w:val="nil"/>
              <w:tr2bl w:val="nil"/>
            </w:tcBorders>
            <w:vAlign w:val="center"/>
          </w:tcPr>
          <w:p w14:paraId="34BADCDF">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rPr>
              <w:t>政采云平台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https://www.zcygov.cn/</w:t>
            </w:r>
            <w:r>
              <w:rPr>
                <w:rFonts w:hint="eastAsia" w:ascii="宋体" w:hAnsi="宋体" w:eastAsia="宋体" w:cs="宋体"/>
                <w:color w:val="auto"/>
                <w:sz w:val="24"/>
                <w:szCs w:val="24"/>
                <w:lang w:eastAsia="zh-CN"/>
              </w:rPr>
              <w:t>）</w:t>
            </w:r>
          </w:p>
        </w:tc>
      </w:tr>
      <w:tr w14:paraId="405DAE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1CD04D8E">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bCs/>
                <w:color w:val="auto"/>
                <w:sz w:val="24"/>
                <w:szCs w:val="24"/>
              </w:rPr>
            </w:pPr>
            <w:r>
              <w:rPr>
                <w:rFonts w:hint="eastAsia" w:ascii="宋体" w:hAnsi="宋体" w:eastAsia="宋体" w:cs="宋体"/>
                <w:color w:val="auto"/>
                <w:sz w:val="24"/>
                <w:szCs w:val="24"/>
              </w:rPr>
              <w:t>采购人名称、地址、电话、联系人</w:t>
            </w:r>
          </w:p>
        </w:tc>
        <w:tc>
          <w:tcPr>
            <w:tcW w:w="7877" w:type="dxa"/>
            <w:tcBorders>
              <w:tl2br w:val="nil"/>
              <w:tr2bl w:val="nil"/>
            </w:tcBorders>
            <w:vAlign w:val="top"/>
          </w:tcPr>
          <w:p w14:paraId="653E88F7">
            <w:pPr>
              <w:keepNext w:val="0"/>
              <w:keepLines w:val="0"/>
              <w:pageBreakBefore w:val="0"/>
              <w:widowControl w:val="0"/>
              <w:kinsoku/>
              <w:wordWrap/>
              <w:overflowPunct/>
              <w:topLinePunct w:val="0"/>
              <w:autoSpaceDE w:val="0"/>
              <w:autoSpaceDN w:val="0"/>
              <w:bidi w:val="0"/>
              <w:adjustRightInd/>
              <w:snapToGrid/>
              <w:spacing w:line="264" w:lineRule="auto"/>
              <w:ind w:firstLine="0" w:firstLineChars="0"/>
              <w:textAlignment w:val="auto"/>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采购人：乌兰县教育局</w:t>
            </w:r>
          </w:p>
          <w:p w14:paraId="3440DA3E">
            <w:pPr>
              <w:keepNext w:val="0"/>
              <w:keepLines w:val="0"/>
              <w:pageBreakBefore w:val="0"/>
              <w:widowControl w:val="0"/>
              <w:kinsoku/>
              <w:wordWrap/>
              <w:overflowPunct/>
              <w:topLinePunct w:val="0"/>
              <w:autoSpaceDE w:val="0"/>
              <w:autoSpaceDN w:val="0"/>
              <w:bidi w:val="0"/>
              <w:adjustRightInd/>
              <w:snapToGrid/>
              <w:spacing w:line="264" w:lineRule="auto"/>
              <w:ind w:firstLine="0" w:firstLine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zh-CN"/>
              </w:rPr>
              <w:t>联系人：党老师</w:t>
            </w:r>
          </w:p>
          <w:p w14:paraId="7E9DBECA">
            <w:pPr>
              <w:keepNext w:val="0"/>
              <w:keepLines w:val="0"/>
              <w:pageBreakBefore w:val="0"/>
              <w:widowControl w:val="0"/>
              <w:kinsoku/>
              <w:wordWrap/>
              <w:overflowPunct/>
              <w:topLinePunct w:val="0"/>
              <w:autoSpaceDE w:val="0"/>
              <w:autoSpaceDN w:val="0"/>
              <w:bidi w:val="0"/>
              <w:adjustRightInd/>
              <w:snapToGrid/>
              <w:spacing w:line="264" w:lineRule="auto"/>
              <w:ind w:firstLine="0" w:firstLine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zh-CN"/>
              </w:rPr>
              <w:t>联系电话：</w:t>
            </w:r>
            <w:r>
              <w:rPr>
                <w:rFonts w:hint="eastAsia" w:ascii="宋体" w:hAnsi="宋体" w:eastAsia="宋体" w:cs="宋体"/>
                <w:color w:val="auto"/>
                <w:kern w:val="0"/>
                <w:sz w:val="24"/>
                <w:szCs w:val="24"/>
                <w:lang w:val="en-US" w:eastAsia="zh-CN"/>
              </w:rPr>
              <w:t>0977-8243715</w:t>
            </w:r>
          </w:p>
          <w:p w14:paraId="3B6B1053">
            <w:pPr>
              <w:keepNext w:val="0"/>
              <w:keepLines w:val="0"/>
              <w:pageBreakBefore w:val="0"/>
              <w:widowControl w:val="0"/>
              <w:kinsoku/>
              <w:wordWrap/>
              <w:overflowPunct/>
              <w:topLinePunct w:val="0"/>
              <w:autoSpaceDE w:val="0"/>
              <w:autoSpaceDN w:val="0"/>
              <w:bidi w:val="0"/>
              <w:adjustRightInd/>
              <w:snapToGrid/>
              <w:spacing w:line="264" w:lineRule="auto"/>
              <w:ind w:firstLine="0" w:firstLineChars="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kern w:val="0"/>
                <w:sz w:val="24"/>
                <w:szCs w:val="24"/>
                <w:lang w:val="zh-CN"/>
              </w:rPr>
              <w:t>联系地址：乌兰县希里沟镇西大街6号</w:t>
            </w:r>
          </w:p>
        </w:tc>
      </w:tr>
      <w:tr w14:paraId="6F3958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5A313C06">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采购代理机构及联系人电话</w:t>
            </w:r>
          </w:p>
        </w:tc>
        <w:tc>
          <w:tcPr>
            <w:tcW w:w="7877" w:type="dxa"/>
            <w:tcBorders>
              <w:tl2br w:val="nil"/>
              <w:tr2bl w:val="nil"/>
            </w:tcBorders>
            <w:vAlign w:val="top"/>
          </w:tcPr>
          <w:p w14:paraId="0B51B768">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采购代理机构：青海鼎钊招标代理有限公司</w:t>
            </w:r>
          </w:p>
          <w:p w14:paraId="48C393EA">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联系人：</w:t>
            </w:r>
            <w:r>
              <w:rPr>
                <w:rFonts w:hint="eastAsia" w:ascii="宋体" w:hAnsi="宋体" w:eastAsia="宋体" w:cs="宋体"/>
                <w:color w:val="auto"/>
                <w:kern w:val="0"/>
                <w:sz w:val="24"/>
                <w:szCs w:val="24"/>
                <w:lang w:val="en-US" w:eastAsia="zh-CN"/>
              </w:rPr>
              <w:t>王先生、马女士</w:t>
            </w:r>
          </w:p>
          <w:p w14:paraId="0488774C">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联系电话：</w:t>
            </w:r>
            <w:r>
              <w:rPr>
                <w:rFonts w:hint="eastAsia" w:ascii="宋体" w:hAnsi="宋体" w:eastAsia="宋体" w:cs="宋体"/>
                <w:color w:val="auto"/>
                <w:kern w:val="0"/>
                <w:sz w:val="24"/>
                <w:szCs w:val="24"/>
                <w:lang w:val="en-US" w:eastAsia="zh-CN"/>
              </w:rPr>
              <w:t>0971-8179517</w:t>
            </w:r>
          </w:p>
          <w:p w14:paraId="77693626">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联系地址：</w:t>
            </w:r>
            <w:r>
              <w:rPr>
                <w:rFonts w:hint="eastAsia" w:ascii="宋体" w:hAnsi="宋体" w:eastAsia="宋体" w:cs="宋体"/>
                <w:color w:val="auto"/>
                <w:sz w:val="24"/>
                <w:szCs w:val="24"/>
                <w:lang w:eastAsia="zh-CN"/>
              </w:rPr>
              <w:t>西宁市东川工业园区金桥路39号1号楼2楼（新力景瑞新城）</w:t>
            </w:r>
          </w:p>
        </w:tc>
      </w:tr>
      <w:tr w14:paraId="14008B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169C7554">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保证金</w:t>
            </w:r>
          </w:p>
        </w:tc>
        <w:tc>
          <w:tcPr>
            <w:tcW w:w="7877" w:type="dxa"/>
            <w:tcBorders>
              <w:tl2br w:val="nil"/>
              <w:tr2bl w:val="nil"/>
            </w:tcBorders>
            <w:vAlign w:val="center"/>
          </w:tcPr>
          <w:p w14:paraId="722DEC06">
            <w:pPr>
              <w:keepNext w:val="0"/>
              <w:keepLines w:val="0"/>
              <w:pageBreakBefore w:val="0"/>
              <w:widowControl w:val="0"/>
              <w:numPr>
                <w:ilvl w:val="0"/>
                <w:numId w:val="0"/>
              </w:numPr>
              <w:kinsoku/>
              <w:wordWrap/>
              <w:overflowPunct/>
              <w:topLinePunct w:val="0"/>
              <w:bidi w:val="0"/>
              <w:adjustRightInd/>
              <w:snapToGrid/>
              <w:spacing w:line="264"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none"/>
                <w:lang w:val="en-US" w:eastAsia="zh-CN"/>
              </w:rPr>
              <w:t>1.谈判保证金金额：</w:t>
            </w:r>
            <w:r>
              <w:rPr>
                <w:rFonts w:hint="eastAsia" w:ascii="宋体" w:hAnsi="宋体" w:eastAsia="宋体" w:cs="宋体"/>
                <w:b/>
                <w:bCs/>
                <w:color w:val="auto"/>
                <w:sz w:val="24"/>
                <w:szCs w:val="24"/>
                <w:u w:val="none"/>
                <w:lang w:val="en-US" w:eastAsia="zh-CN"/>
              </w:rPr>
              <w:t>20000.00元</w:t>
            </w:r>
          </w:p>
          <w:p w14:paraId="7211188B">
            <w:pPr>
              <w:keepNext w:val="0"/>
              <w:keepLines w:val="0"/>
              <w:pageBreakBefore w:val="0"/>
              <w:widowControl w:val="0"/>
              <w:numPr>
                <w:ilvl w:val="0"/>
                <w:numId w:val="0"/>
              </w:numPr>
              <w:kinsoku/>
              <w:wordWrap/>
              <w:overflowPunct/>
              <w:topLinePunct w:val="0"/>
              <w:bidi w:val="0"/>
              <w:adjustRightInd/>
              <w:snapToGrid/>
              <w:spacing w:line="264" w:lineRule="auto"/>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2.开户银行：</w:t>
            </w:r>
            <w:r>
              <w:rPr>
                <w:rFonts w:hint="eastAsia" w:ascii="宋体" w:hAnsi="宋体" w:eastAsia="宋体" w:cs="宋体"/>
                <w:color w:val="auto"/>
                <w:sz w:val="24"/>
                <w:szCs w:val="24"/>
                <w:lang w:val="zh-CN"/>
              </w:rPr>
              <w:t>上海浦东发展银行股份有限公司西宁城东支行</w:t>
            </w:r>
          </w:p>
          <w:p w14:paraId="0D008364">
            <w:pPr>
              <w:keepNext w:val="0"/>
              <w:keepLines w:val="0"/>
              <w:pageBreakBefore w:val="0"/>
              <w:widowControl w:val="0"/>
              <w:numPr>
                <w:ilvl w:val="0"/>
                <w:numId w:val="0"/>
              </w:numPr>
              <w:kinsoku/>
              <w:wordWrap/>
              <w:overflowPunct/>
              <w:topLinePunct w:val="0"/>
              <w:bidi w:val="0"/>
              <w:adjustRightInd/>
              <w:snapToGrid/>
              <w:spacing w:line="264" w:lineRule="auto"/>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u w:val="none"/>
                <w:lang w:val="en-US" w:eastAsia="zh-CN"/>
              </w:rPr>
              <w:t>收款账号：</w:t>
            </w:r>
            <w:r>
              <w:rPr>
                <w:rFonts w:hint="eastAsia" w:ascii="宋体" w:hAnsi="宋体" w:eastAsia="宋体" w:cs="宋体"/>
                <w:color w:val="auto"/>
                <w:sz w:val="24"/>
                <w:szCs w:val="24"/>
                <w:lang w:eastAsia="zh-CN"/>
              </w:rPr>
              <w:t>35030078801500000377</w:t>
            </w:r>
          </w:p>
          <w:p w14:paraId="3ECF9AE9">
            <w:pPr>
              <w:pStyle w:val="30"/>
              <w:keepNext w:val="0"/>
              <w:keepLines w:val="0"/>
              <w:pageBreakBefore w:val="0"/>
              <w:widowControl w:val="0"/>
              <w:kinsoku/>
              <w:wordWrap/>
              <w:overflowPunct/>
              <w:topLinePunct w:val="0"/>
              <w:bidi w:val="0"/>
              <w:adjustRightInd/>
              <w:spacing w:line="264"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收款人：青海鼎钊招标代理有限公司</w:t>
            </w:r>
          </w:p>
          <w:p w14:paraId="34CE2BFE">
            <w:pPr>
              <w:keepNext w:val="0"/>
              <w:keepLines w:val="0"/>
              <w:pageBreakBefore w:val="0"/>
              <w:widowControl w:val="0"/>
              <w:numPr>
                <w:ilvl w:val="0"/>
                <w:numId w:val="0"/>
              </w:numPr>
              <w:kinsoku/>
              <w:wordWrap/>
              <w:overflowPunct/>
              <w:topLinePunct w:val="0"/>
              <w:bidi w:val="0"/>
              <w:adjustRightInd/>
              <w:snapToGrid/>
              <w:spacing w:line="264" w:lineRule="auto"/>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color w:val="auto"/>
                <w:sz w:val="24"/>
                <w:szCs w:val="24"/>
                <w:u w:val="none"/>
                <w:lang w:val="en-US" w:eastAsia="zh-CN"/>
              </w:rPr>
              <w:t>3.交付方式：</w:t>
            </w:r>
            <w:r>
              <w:rPr>
                <w:rFonts w:hint="eastAsia" w:ascii="宋体" w:hAnsi="宋体" w:eastAsia="宋体" w:cs="宋体"/>
                <w:b w:val="0"/>
                <w:bCs w:val="0"/>
                <w:color w:val="auto"/>
                <w:sz w:val="24"/>
                <w:szCs w:val="24"/>
              </w:rPr>
              <w:t>谈判保证金</w:t>
            </w:r>
            <w:r>
              <w:rPr>
                <w:rFonts w:hint="eastAsia" w:ascii="宋体" w:hAnsi="宋体" w:eastAsia="宋体" w:cs="宋体"/>
                <w:color w:val="auto"/>
                <w:sz w:val="24"/>
                <w:szCs w:val="24"/>
                <w:lang w:val="zh-CN"/>
              </w:rPr>
              <w:t>保证金应当以支票、汇票、本票或者金融机构、担保机构出具的保函等非现金形式提交。供应商未按照</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lang w:val="zh-CN"/>
              </w:rPr>
              <w:t>文件要求提交谈判保证金的，投标无效。</w:t>
            </w:r>
          </w:p>
          <w:p w14:paraId="0D1BD37A">
            <w:pPr>
              <w:keepNext w:val="0"/>
              <w:keepLines w:val="0"/>
              <w:pageBreakBefore w:val="0"/>
              <w:widowControl w:val="0"/>
              <w:numPr>
                <w:ilvl w:val="0"/>
                <w:numId w:val="0"/>
              </w:numPr>
              <w:kinsoku/>
              <w:wordWrap/>
              <w:overflowPunct/>
              <w:topLinePunct w:val="0"/>
              <w:bidi w:val="0"/>
              <w:adjustRightInd/>
              <w:snapToGrid/>
              <w:spacing w:line="264"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4.其他注意事项（详见谈判文件）</w:t>
            </w:r>
          </w:p>
        </w:tc>
      </w:tr>
      <w:tr w14:paraId="54746A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1EE207ED">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响应文件有效期</w:t>
            </w:r>
          </w:p>
        </w:tc>
        <w:tc>
          <w:tcPr>
            <w:tcW w:w="7877" w:type="dxa"/>
            <w:tcBorders>
              <w:tl2br w:val="nil"/>
              <w:tr2bl w:val="nil"/>
            </w:tcBorders>
            <w:vAlign w:val="center"/>
          </w:tcPr>
          <w:p w14:paraId="38E563DD">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提交响应文件截止之日起</w:t>
            </w:r>
            <w:r>
              <w:rPr>
                <w:rFonts w:hint="eastAsia" w:ascii="宋体" w:hAnsi="宋体" w:eastAsia="宋体" w:cs="宋体"/>
                <w:color w:val="auto"/>
                <w:sz w:val="24"/>
                <w:szCs w:val="24"/>
                <w:u w:val="none"/>
                <w:lang w:val="en-US" w:eastAsia="zh-CN"/>
              </w:rPr>
              <w:t>60</w:t>
            </w:r>
            <w:r>
              <w:rPr>
                <w:rFonts w:hint="eastAsia" w:ascii="宋体" w:hAnsi="宋体" w:eastAsia="宋体" w:cs="宋体"/>
                <w:color w:val="auto"/>
                <w:sz w:val="24"/>
                <w:szCs w:val="24"/>
                <w:lang w:val="en-US" w:eastAsia="zh-CN"/>
              </w:rPr>
              <w:t>天</w:t>
            </w:r>
          </w:p>
        </w:tc>
      </w:tr>
      <w:tr w14:paraId="7D1231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2A2F8625">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提交响应文件的截止时间</w:t>
            </w:r>
          </w:p>
        </w:tc>
        <w:tc>
          <w:tcPr>
            <w:tcW w:w="7877" w:type="dxa"/>
            <w:tcBorders>
              <w:tl2br w:val="nil"/>
              <w:tr2bl w:val="nil"/>
            </w:tcBorders>
            <w:vAlign w:val="center"/>
          </w:tcPr>
          <w:p w14:paraId="328F09BB">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zh-CN"/>
              </w:rPr>
              <w:t>2025年07月18日上午9:30</w:t>
            </w:r>
          </w:p>
        </w:tc>
      </w:tr>
      <w:tr w14:paraId="3E2771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13CC8BBC">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开启时间及谈判地点</w:t>
            </w:r>
          </w:p>
        </w:tc>
        <w:tc>
          <w:tcPr>
            <w:tcW w:w="7877" w:type="dxa"/>
            <w:tcBorders>
              <w:tl2br w:val="nil"/>
              <w:tr2bl w:val="nil"/>
            </w:tcBorders>
            <w:vAlign w:val="center"/>
          </w:tcPr>
          <w:p w14:paraId="355DD3C5">
            <w:pPr>
              <w:keepNext w:val="0"/>
              <w:keepLines w:val="0"/>
              <w:pageBreakBefore w:val="0"/>
              <w:widowControl w:val="0"/>
              <w:numPr>
                <w:ilvl w:val="0"/>
                <w:numId w:val="0"/>
              </w:numPr>
              <w:kinsoku/>
              <w:wordWrap/>
              <w:overflowPunct/>
              <w:topLinePunct w:val="0"/>
              <w:bidi w:val="0"/>
              <w:adjustRightInd/>
              <w:snapToGrid/>
              <w:spacing w:line="264" w:lineRule="auto"/>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1.响应文件开启时间：</w:t>
            </w:r>
            <w:r>
              <w:rPr>
                <w:rFonts w:hint="eastAsia" w:ascii="宋体" w:hAnsi="宋体" w:eastAsia="宋体" w:cs="宋体"/>
                <w:color w:val="auto"/>
                <w:sz w:val="24"/>
                <w:szCs w:val="24"/>
                <w:lang w:val="zh-CN"/>
              </w:rPr>
              <w:t>2025年07月18日上午9:30</w:t>
            </w:r>
          </w:p>
          <w:p w14:paraId="6EE674BE">
            <w:pPr>
              <w:keepNext w:val="0"/>
              <w:keepLines w:val="0"/>
              <w:pageBreakBefore w:val="0"/>
              <w:widowControl w:val="0"/>
              <w:numPr>
                <w:ilvl w:val="0"/>
                <w:numId w:val="0"/>
              </w:numPr>
              <w:kinsoku/>
              <w:wordWrap/>
              <w:overflowPunct/>
              <w:topLinePunct w:val="0"/>
              <w:bidi w:val="0"/>
              <w:adjustRightInd/>
              <w:snapToGrid/>
              <w:spacing w:line="264" w:lineRule="auto"/>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2.谈判地点：</w:t>
            </w:r>
            <w:r>
              <w:rPr>
                <w:rFonts w:hint="eastAsia" w:ascii="宋体" w:hAnsi="宋体" w:eastAsia="宋体" w:cs="宋体"/>
                <w:color w:val="auto"/>
                <w:sz w:val="24"/>
                <w:szCs w:val="24"/>
                <w:lang w:eastAsia="zh-CN"/>
              </w:rPr>
              <w:t>西宁市东川工业园区金桥路39号1号楼2楼（新力景瑞新城）</w:t>
            </w:r>
          </w:p>
        </w:tc>
      </w:tr>
      <w:tr w14:paraId="206514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44B06F91">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bCs/>
                <w:color w:val="auto"/>
                <w:sz w:val="24"/>
                <w:szCs w:val="24"/>
              </w:rPr>
            </w:pPr>
            <w:r>
              <w:rPr>
                <w:rFonts w:hint="eastAsia" w:ascii="宋体" w:hAnsi="宋体" w:eastAsia="宋体" w:cs="宋体"/>
                <w:color w:val="auto"/>
                <w:sz w:val="24"/>
                <w:szCs w:val="24"/>
              </w:rPr>
              <w:t>财政部门指定的媒体</w:t>
            </w:r>
          </w:p>
        </w:tc>
        <w:tc>
          <w:tcPr>
            <w:tcW w:w="7877" w:type="dxa"/>
            <w:tcBorders>
              <w:tl2br w:val="nil"/>
              <w:tr2bl w:val="nil"/>
            </w:tcBorders>
            <w:vAlign w:val="center"/>
          </w:tcPr>
          <w:p w14:paraId="725647AF">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青海政府采购网</w:t>
            </w:r>
            <w:r>
              <w:rPr>
                <w:rFonts w:hint="eastAsia" w:ascii="宋体" w:hAnsi="宋体" w:eastAsia="宋体" w:cs="宋体"/>
                <w:color w:val="auto"/>
                <w:sz w:val="24"/>
                <w:szCs w:val="24"/>
              </w:rPr>
              <w:t>》</w:t>
            </w:r>
          </w:p>
        </w:tc>
      </w:tr>
      <w:tr w14:paraId="177687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7AA7F0D1">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政策功能</w:t>
            </w:r>
          </w:p>
        </w:tc>
        <w:tc>
          <w:tcPr>
            <w:tcW w:w="7877" w:type="dxa"/>
            <w:tcBorders>
              <w:tl2br w:val="nil"/>
              <w:tr2bl w:val="nil"/>
            </w:tcBorders>
            <w:vAlign w:val="center"/>
          </w:tcPr>
          <w:p w14:paraId="685EA598">
            <w:pPr>
              <w:keepNext w:val="0"/>
              <w:keepLines w:val="0"/>
              <w:pageBreakBefore w:val="0"/>
              <w:widowControl w:val="0"/>
              <w:numPr>
                <w:ilvl w:val="0"/>
                <w:numId w:val="0"/>
              </w:numPr>
              <w:kinsoku/>
              <w:wordWrap/>
              <w:overflowPunct/>
              <w:topLinePunct w:val="0"/>
              <w:bidi w:val="0"/>
              <w:adjustRightInd/>
              <w:snapToGrid/>
              <w:spacing w:line="264" w:lineRule="auto"/>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所投产品属于《节能产品政府采购品目清单》范围内且获得国家确定的认证机构出具的、处于有效期之内的《节能产品认证证书》的和所投产品属于《环境标志产品政府采购品目清单》范围内且获得国家确定的认证机构出具的、处于有效期之内的《环境标志产品认证证书》的实施</w:t>
            </w:r>
            <w:r>
              <w:rPr>
                <w:rFonts w:hint="eastAsia" w:ascii="宋体" w:hAnsi="宋体" w:eastAsia="宋体" w:cs="宋体"/>
                <w:color w:val="auto"/>
                <w:sz w:val="24"/>
                <w:szCs w:val="24"/>
                <w:u w:val="none"/>
                <w:lang w:val="en-US" w:eastAsia="zh-CN"/>
              </w:rPr>
              <w:t>政府</w:t>
            </w:r>
            <w:r>
              <w:rPr>
                <w:rFonts w:hint="eastAsia" w:ascii="宋体" w:hAnsi="宋体" w:eastAsia="宋体" w:cs="宋体"/>
                <w:color w:val="auto"/>
                <w:sz w:val="24"/>
                <w:szCs w:val="24"/>
                <w:lang w:val="en-US" w:eastAsia="zh-CN"/>
              </w:rPr>
              <w:t>优先采购或强制采购。本项目为专门面向中小企业采购，供应商须提供《中小企业声明函》或《残疾人福利性单位声明函》或《监狱企业证明材料》，本项目采购标的所属行业为建筑业。</w:t>
            </w:r>
          </w:p>
        </w:tc>
      </w:tr>
      <w:tr w14:paraId="50FCDB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33F3D178">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rPr>
              <w:t>代理服务费</w:t>
            </w:r>
          </w:p>
        </w:tc>
        <w:tc>
          <w:tcPr>
            <w:tcW w:w="7877" w:type="dxa"/>
            <w:tcBorders>
              <w:tl2br w:val="nil"/>
              <w:tr2bl w:val="nil"/>
            </w:tcBorders>
            <w:vAlign w:val="center"/>
          </w:tcPr>
          <w:p w14:paraId="123F59F1">
            <w:pPr>
              <w:keepNext w:val="0"/>
              <w:keepLines w:val="0"/>
              <w:pageBreakBefore w:val="0"/>
              <w:widowControl w:val="0"/>
              <w:kinsoku/>
              <w:wordWrap/>
              <w:overflowPunct/>
              <w:topLinePunct w:val="0"/>
              <w:autoSpaceDE w:val="0"/>
              <w:autoSpaceDN w:val="0"/>
              <w:bidi w:val="0"/>
              <w:adjustRightInd/>
              <w:spacing w:line="264" w:lineRule="auto"/>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收取对象：</w:t>
            </w:r>
            <w:r>
              <w:rPr>
                <w:rFonts w:hint="eastAsia" w:ascii="宋体" w:hAnsi="宋体" w:eastAsia="宋体" w:cs="宋体"/>
                <w:b/>
                <w:bCs/>
                <w:color w:val="auto"/>
                <w:sz w:val="24"/>
                <w:szCs w:val="24"/>
                <w:lang w:val="en-US" w:eastAsia="zh-CN"/>
              </w:rPr>
              <w:t>采购人</w:t>
            </w:r>
          </w:p>
          <w:p w14:paraId="7E14314E">
            <w:pPr>
              <w:keepNext w:val="0"/>
              <w:keepLines w:val="0"/>
              <w:pageBreakBefore w:val="0"/>
              <w:widowControl w:val="0"/>
              <w:kinsoku/>
              <w:wordWrap/>
              <w:overflowPunct/>
              <w:topLinePunct w:val="0"/>
              <w:autoSpaceDE w:val="0"/>
              <w:autoSpaceDN w:val="0"/>
              <w:bidi w:val="0"/>
              <w:adjustRightInd/>
              <w:spacing w:line="264" w:lineRule="auto"/>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收费金额：</w:t>
            </w:r>
            <w:r>
              <w:rPr>
                <w:rFonts w:hint="eastAsia" w:ascii="宋体" w:hAnsi="宋体" w:eastAsia="宋体" w:cs="宋体"/>
                <w:b/>
                <w:bCs/>
                <w:color w:val="auto"/>
                <w:sz w:val="24"/>
                <w:szCs w:val="24"/>
                <w:lang w:val="en-US" w:eastAsia="zh-CN"/>
              </w:rPr>
              <w:t>7000.00</w:t>
            </w:r>
            <w:r>
              <w:rPr>
                <w:rFonts w:hint="eastAsia" w:ascii="宋体" w:hAnsi="宋体" w:eastAsia="宋体" w:cs="宋体"/>
                <w:b/>
                <w:bCs/>
                <w:color w:val="auto"/>
                <w:sz w:val="24"/>
                <w:szCs w:val="24"/>
                <w:lang w:val="zh-CN" w:eastAsia="zh-CN"/>
              </w:rPr>
              <w:t>元</w:t>
            </w:r>
          </w:p>
          <w:p w14:paraId="4D8FA3AE">
            <w:pPr>
              <w:keepNext w:val="0"/>
              <w:keepLines w:val="0"/>
              <w:pageBreakBefore w:val="0"/>
              <w:widowControl w:val="0"/>
              <w:kinsoku/>
              <w:wordWrap/>
              <w:overflowPunct/>
              <w:topLinePunct w:val="0"/>
              <w:autoSpaceDE w:val="0"/>
              <w:autoSpaceDN w:val="0"/>
              <w:bidi w:val="0"/>
              <w:adjustRightInd/>
              <w:spacing w:line="264" w:lineRule="auto"/>
              <w:ind w:firstLine="0" w:firstLineChars="0"/>
              <w:jc w:val="left"/>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收款单位：青海鼎钊招标代理有限公司</w:t>
            </w:r>
          </w:p>
          <w:p w14:paraId="1DA402CA">
            <w:pPr>
              <w:keepNext w:val="0"/>
              <w:keepLines w:val="0"/>
              <w:pageBreakBefore w:val="0"/>
              <w:widowControl w:val="0"/>
              <w:kinsoku/>
              <w:wordWrap/>
              <w:overflowPunct/>
              <w:topLinePunct w:val="0"/>
              <w:autoSpaceDE w:val="0"/>
              <w:autoSpaceDN w:val="0"/>
              <w:bidi w:val="0"/>
              <w:adjustRightInd/>
              <w:spacing w:line="264" w:lineRule="auto"/>
              <w:ind w:firstLine="0" w:firstLineChars="0"/>
              <w:jc w:val="left"/>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开户行：</w:t>
            </w:r>
            <w:r>
              <w:rPr>
                <w:rFonts w:hint="eastAsia" w:ascii="宋体" w:hAnsi="宋体" w:eastAsia="宋体" w:cs="宋体"/>
                <w:color w:val="auto"/>
                <w:sz w:val="24"/>
                <w:szCs w:val="24"/>
                <w:lang w:eastAsia="zh-CN"/>
              </w:rPr>
              <w:t>中国农业银行股份有限公司西宁城东经济技术开发区支行</w:t>
            </w:r>
          </w:p>
          <w:p w14:paraId="540BC977">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zh-CN" w:eastAsia="zh-CN"/>
              </w:rPr>
              <w:t>银行账号：</w:t>
            </w:r>
            <w:r>
              <w:rPr>
                <w:rFonts w:hint="eastAsia" w:ascii="宋体" w:hAnsi="宋体" w:eastAsia="宋体" w:cs="宋体"/>
                <w:color w:val="auto"/>
                <w:sz w:val="24"/>
                <w:szCs w:val="24"/>
                <w:lang w:eastAsia="zh-CN"/>
              </w:rPr>
              <w:t>2801 2001 0400 0229 1</w:t>
            </w:r>
          </w:p>
        </w:tc>
      </w:tr>
      <w:tr w14:paraId="73D9C3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00119B34">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lang w:val="en-US"/>
              </w:rPr>
            </w:pPr>
            <w:r>
              <w:rPr>
                <w:rFonts w:hint="eastAsia" w:ascii="宋体" w:hAnsi="宋体" w:eastAsia="宋体" w:cs="宋体"/>
                <w:color w:val="auto"/>
                <w:kern w:val="2"/>
                <w:sz w:val="24"/>
                <w:szCs w:val="24"/>
                <w:lang w:val="en-US" w:eastAsia="zh-CN" w:bidi="ar-SA"/>
              </w:rPr>
              <w:t>实质性变动的内容</w:t>
            </w:r>
          </w:p>
        </w:tc>
        <w:tc>
          <w:tcPr>
            <w:tcW w:w="7877" w:type="dxa"/>
            <w:tcBorders>
              <w:tl2br w:val="nil"/>
              <w:tr2bl w:val="nil"/>
            </w:tcBorders>
            <w:vAlign w:val="center"/>
          </w:tcPr>
          <w:p w14:paraId="4C3A52A3">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tc>
      </w:tr>
      <w:tr w14:paraId="2F87DB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5A31AC2E">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其他规定</w:t>
            </w:r>
          </w:p>
        </w:tc>
        <w:tc>
          <w:tcPr>
            <w:tcW w:w="7877" w:type="dxa"/>
            <w:tcBorders>
              <w:tl2br w:val="nil"/>
              <w:tr2bl w:val="nil"/>
            </w:tcBorders>
            <w:vAlign w:val="center"/>
          </w:tcPr>
          <w:p w14:paraId="042A79A0">
            <w:pPr>
              <w:keepNext w:val="0"/>
              <w:keepLines w:val="0"/>
              <w:pageBreakBefore w:val="0"/>
              <w:widowControl w:val="0"/>
              <w:kinsoku/>
              <w:wordWrap/>
              <w:overflowPunct/>
              <w:topLinePunct w:val="0"/>
              <w:bidi w:val="0"/>
              <w:adjustRightInd/>
              <w:snapToGrid/>
              <w:spacing w:line="264" w:lineRule="auto"/>
              <w:ind w:firstLine="0" w:firstLineChars="0"/>
              <w:jc w:val="left"/>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val="zh-CN" w:eastAsia="zh-CN"/>
              </w:rPr>
              <w:t>公告发布</w:t>
            </w:r>
            <w:r>
              <w:rPr>
                <w:rFonts w:hint="eastAsia" w:ascii="宋体" w:hAnsi="宋体" w:eastAsia="宋体" w:cs="宋体"/>
                <w:color w:val="auto"/>
                <w:sz w:val="24"/>
                <w:szCs w:val="24"/>
                <w:lang w:val="en-US" w:eastAsia="zh-CN"/>
              </w:rPr>
              <w:t>网站</w:t>
            </w:r>
            <w:r>
              <w:rPr>
                <w:rFonts w:hint="eastAsia" w:ascii="宋体" w:hAnsi="宋体" w:eastAsia="宋体" w:cs="宋体"/>
                <w:color w:val="auto"/>
                <w:sz w:val="24"/>
                <w:szCs w:val="24"/>
                <w:lang w:val="zh-CN" w:eastAsia="zh-CN"/>
              </w:rPr>
              <w:t>：《青海政府采购网》、《青海省电子招标投标公共服务平台》、《青海项目信息网》，公告内容以《青海政府采购网》发布的为准。</w:t>
            </w:r>
          </w:p>
          <w:p w14:paraId="4612BFEF">
            <w:pPr>
              <w:keepNext w:val="0"/>
              <w:keepLines w:val="0"/>
              <w:pageBreakBefore w:val="0"/>
              <w:widowControl w:val="0"/>
              <w:kinsoku/>
              <w:wordWrap/>
              <w:overflowPunct/>
              <w:topLinePunct w:val="0"/>
              <w:bidi w:val="0"/>
              <w:adjustRightInd/>
              <w:snapToGrid/>
              <w:spacing w:line="264" w:lineRule="auto"/>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2.本次采购采用线上提交电子响应文件的方式进行采购，电子响应文件须在提交响应文件截止时间前上传。</w:t>
            </w:r>
          </w:p>
          <w:p w14:paraId="64A51650">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3.若对项目采购电子交易系统（政采云平台）操作有疑问，可登录</w:t>
            </w:r>
            <w:r>
              <w:rPr>
                <w:rFonts w:hint="eastAsia" w:ascii="宋体" w:hAnsi="宋体" w:eastAsia="宋体" w:cs="宋体"/>
                <w:color w:val="auto"/>
                <w:sz w:val="24"/>
                <w:szCs w:val="24"/>
                <w:lang w:val="zh-CN"/>
              </w:rPr>
              <w:t>政采云平台</w:t>
            </w:r>
            <w:r>
              <w:rPr>
                <w:rFonts w:hint="eastAsia" w:ascii="宋体" w:hAnsi="宋体" w:eastAsia="宋体" w:cs="宋体"/>
                <w:color w:val="auto"/>
                <w:sz w:val="24"/>
                <w:szCs w:val="24"/>
                <w:lang w:val="en-US" w:eastAsia="zh-CN"/>
              </w:rPr>
              <w:t>点击右侧咨询小采或拨打政采云服务热线95763。</w:t>
            </w:r>
          </w:p>
        </w:tc>
      </w:tr>
      <w:tr w14:paraId="35C5AC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0" w:type="dxa"/>
            <w:bottom w:w="0" w:type="dxa"/>
            <w:right w:w="40" w:type="dxa"/>
          </w:tblCellMar>
        </w:tblPrEx>
        <w:trPr>
          <w:trHeight w:val="23" w:hRule="atLeast"/>
          <w:jc w:val="center"/>
        </w:trPr>
        <w:tc>
          <w:tcPr>
            <w:tcW w:w="2328" w:type="dxa"/>
            <w:tcBorders>
              <w:tl2br w:val="nil"/>
              <w:tr2bl w:val="nil"/>
            </w:tcBorders>
            <w:vAlign w:val="center"/>
          </w:tcPr>
          <w:p w14:paraId="01BFF24C">
            <w:pPr>
              <w:keepNext w:val="0"/>
              <w:keepLines w:val="0"/>
              <w:pageBreakBefore w:val="0"/>
              <w:widowControl w:val="0"/>
              <w:kinsoku/>
              <w:wordWrap/>
              <w:overflowPunct/>
              <w:topLinePunct w:val="0"/>
              <w:bidi w:val="0"/>
              <w:adjustRightInd/>
              <w:snapToGrid/>
              <w:spacing w:line="264" w:lineRule="auto"/>
              <w:ind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财政监管部门及电话</w:t>
            </w:r>
          </w:p>
        </w:tc>
        <w:tc>
          <w:tcPr>
            <w:tcW w:w="7877" w:type="dxa"/>
            <w:tcBorders>
              <w:tl2br w:val="nil"/>
              <w:tr2bl w:val="nil"/>
            </w:tcBorders>
            <w:vAlign w:val="center"/>
          </w:tcPr>
          <w:p w14:paraId="083AD639">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zh-CN"/>
              </w:rPr>
              <w:t>监督单位：</w:t>
            </w:r>
            <w:r>
              <w:rPr>
                <w:rFonts w:hint="eastAsia" w:ascii="宋体" w:hAnsi="宋体" w:eastAsia="宋体" w:cs="宋体"/>
                <w:color w:val="auto"/>
                <w:kern w:val="0"/>
                <w:sz w:val="24"/>
                <w:szCs w:val="24"/>
                <w:lang w:val="en-US" w:eastAsia="zh-CN"/>
              </w:rPr>
              <w:t>乌兰县财政局</w:t>
            </w:r>
          </w:p>
          <w:p w14:paraId="396DD327">
            <w:pPr>
              <w:keepNext w:val="0"/>
              <w:keepLines w:val="0"/>
              <w:pageBreakBefore w:val="0"/>
              <w:widowControl w:val="0"/>
              <w:kinsoku/>
              <w:wordWrap/>
              <w:overflowPunct/>
              <w:topLinePunct w:val="0"/>
              <w:bidi w:val="0"/>
              <w:adjustRightInd/>
              <w:snapToGrid/>
              <w:spacing w:line="264" w:lineRule="auto"/>
              <w:ind w:firstLine="0" w:firstLineChars="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kern w:val="0"/>
                <w:sz w:val="24"/>
                <w:szCs w:val="24"/>
                <w:lang w:val="zh-CN"/>
              </w:rPr>
              <w:t>联系电话：0977-8243909</w:t>
            </w:r>
          </w:p>
        </w:tc>
      </w:tr>
    </w:tbl>
    <w:p w14:paraId="412C8715">
      <w:pPr>
        <w:spacing w:line="360" w:lineRule="auto"/>
        <w:jc w:val="right"/>
        <w:rPr>
          <w:rFonts w:hint="eastAsia" w:ascii="宋体" w:hAnsi="宋体" w:eastAsia="宋体" w:cs="宋体"/>
          <w:b w:val="0"/>
          <w:bCs w:val="0"/>
          <w:color w:val="auto"/>
          <w:sz w:val="24"/>
          <w:szCs w:val="24"/>
          <w:lang w:val="en-US" w:eastAsia="zh-CN"/>
        </w:rPr>
      </w:pPr>
      <w:bookmarkStart w:id="2" w:name="_Toc68"/>
      <w:bookmarkStart w:id="3" w:name="_Toc29806_WPSOffice_Level1"/>
      <w:bookmarkStart w:id="4" w:name="_Toc7063_WPSOffice_Level1"/>
      <w:bookmarkStart w:id="5" w:name="_Toc17554"/>
      <w:bookmarkStart w:id="6" w:name="_Toc29348_WPSOffice_Level1"/>
      <w:bookmarkStart w:id="7" w:name="_Toc26774_WPSOffice_Level1"/>
      <w:bookmarkStart w:id="8" w:name="_Toc25918_WPSOffice_Level1"/>
      <w:bookmarkStart w:id="9" w:name="_Toc13430_WPSOffice_Level1"/>
      <w:bookmarkStart w:id="10" w:name="_Toc19849"/>
      <w:r>
        <w:rPr>
          <w:rFonts w:hint="eastAsia" w:ascii="宋体" w:hAnsi="宋体" w:eastAsia="宋体" w:cs="宋体"/>
          <w:b w:val="0"/>
          <w:bCs w:val="0"/>
          <w:color w:val="auto"/>
          <w:sz w:val="24"/>
          <w:szCs w:val="24"/>
          <w:lang w:val="en-US" w:eastAsia="zh-CN"/>
        </w:rPr>
        <w:t>青海鼎钊招标代理有限公司</w:t>
      </w:r>
    </w:p>
    <w:p w14:paraId="0808C35B">
      <w:pPr>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2025年07月14日</w:t>
      </w:r>
    </w:p>
    <w:p w14:paraId="52C7F2C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44"/>
          <w:szCs w:val="44"/>
          <w:lang w:val="en-US" w:eastAsia="zh-CN"/>
        </w:rPr>
        <w:br w:type="page"/>
      </w:r>
    </w:p>
    <w:p w14:paraId="6FBBF24B">
      <w:pPr>
        <w:pStyle w:val="3"/>
        <w:numPr>
          <w:ilvl w:val="0"/>
          <w:numId w:val="0"/>
        </w:numPr>
        <w:wordWrap/>
        <w:adjustRightInd w:val="0"/>
        <w:snapToGrid w:val="0"/>
        <w:spacing w:before="157" w:beforeLines="50" w:line="560" w:lineRule="exact"/>
        <w:jc w:val="center"/>
        <w:outlineLvl w:val="0"/>
        <w:rPr>
          <w:rFonts w:hint="eastAsia" w:ascii="宋体" w:hAnsi="宋体" w:eastAsia="宋体" w:cs="宋体"/>
          <w:b/>
          <w:bCs/>
          <w:color w:val="auto"/>
          <w:sz w:val="32"/>
          <w:szCs w:val="32"/>
          <w:lang w:val="en-US" w:eastAsia="zh-CN"/>
        </w:rPr>
      </w:pPr>
      <w:bookmarkStart w:id="11" w:name="_Toc23659"/>
      <w:r>
        <w:rPr>
          <w:rFonts w:hint="eastAsia" w:ascii="宋体" w:hAnsi="宋体" w:eastAsia="宋体" w:cs="宋体"/>
          <w:b/>
          <w:bCs/>
          <w:color w:val="auto"/>
          <w:sz w:val="32"/>
          <w:szCs w:val="32"/>
          <w:lang w:val="en-US" w:eastAsia="zh-CN"/>
        </w:rPr>
        <w:t>第二部分  谈判须知</w:t>
      </w:r>
      <w:bookmarkEnd w:id="2"/>
      <w:bookmarkEnd w:id="3"/>
      <w:bookmarkEnd w:id="4"/>
      <w:bookmarkEnd w:id="5"/>
      <w:bookmarkEnd w:id="6"/>
      <w:bookmarkEnd w:id="7"/>
      <w:bookmarkEnd w:id="8"/>
      <w:bookmarkEnd w:id="9"/>
      <w:bookmarkEnd w:id="10"/>
      <w:bookmarkEnd w:id="11"/>
    </w:p>
    <w:p w14:paraId="43EC3A25">
      <w:pPr>
        <w:pageBreakBefore w:val="0"/>
        <w:widowControl w:val="0"/>
        <w:kinsoku/>
        <w:wordWrap/>
        <w:overflowPunct/>
        <w:topLinePunct w:val="0"/>
        <w:autoSpaceDE/>
        <w:autoSpaceDN/>
        <w:bidi w:val="0"/>
        <w:adjustRightInd/>
        <w:snapToGrid/>
        <w:spacing w:before="157" w:beforeLines="50" w:line="360" w:lineRule="auto"/>
        <w:ind w:firstLine="0" w:firstLineChars="0"/>
        <w:jc w:val="center"/>
        <w:textAlignment w:val="auto"/>
        <w:outlineLvl w:val="1"/>
        <w:rPr>
          <w:rFonts w:hint="eastAsia" w:ascii="宋体" w:hAnsi="宋体" w:eastAsia="宋体" w:cs="宋体"/>
          <w:b/>
          <w:bCs/>
          <w:color w:val="auto"/>
          <w:kern w:val="2"/>
          <w:sz w:val="28"/>
          <w:szCs w:val="28"/>
          <w:lang w:val="en-US" w:eastAsia="zh-CN" w:bidi="ar-SA"/>
        </w:rPr>
      </w:pPr>
      <w:bookmarkStart w:id="12" w:name="_Toc9336"/>
      <w:bookmarkStart w:id="13" w:name="_Toc27795"/>
      <w:bookmarkStart w:id="14" w:name="_Toc34637765"/>
      <w:bookmarkStart w:id="15" w:name="_Toc7063_WPSOffice_Level2"/>
      <w:bookmarkStart w:id="16" w:name="_Toc25858"/>
      <w:bookmarkStart w:id="17" w:name="_Toc16562"/>
      <w:bookmarkStart w:id="18" w:name="_Toc29348_WPSOffice_Level2"/>
      <w:bookmarkStart w:id="19" w:name="_Toc17019_WPSOffice_Level2"/>
      <w:r>
        <w:rPr>
          <w:rFonts w:hint="eastAsia" w:ascii="宋体" w:hAnsi="宋体" w:eastAsia="宋体" w:cs="宋体"/>
          <w:b/>
          <w:bCs/>
          <w:color w:val="auto"/>
          <w:kern w:val="2"/>
          <w:sz w:val="28"/>
          <w:szCs w:val="28"/>
          <w:lang w:val="en-US" w:eastAsia="zh-CN" w:bidi="ar-SA"/>
        </w:rPr>
        <w:t>一、说明</w:t>
      </w:r>
      <w:bookmarkEnd w:id="12"/>
      <w:bookmarkEnd w:id="13"/>
      <w:bookmarkEnd w:id="14"/>
      <w:bookmarkEnd w:id="15"/>
      <w:bookmarkEnd w:id="16"/>
      <w:bookmarkEnd w:id="17"/>
      <w:bookmarkEnd w:id="18"/>
      <w:bookmarkEnd w:id="19"/>
    </w:p>
    <w:p w14:paraId="5915A75D">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20" w:name="_Toc13645"/>
      <w:bookmarkStart w:id="21" w:name="_Toc29026"/>
      <w:bookmarkStart w:id="22" w:name="_Toc7063_WPSOffice_Level3"/>
      <w:bookmarkStart w:id="23" w:name="_Toc12971"/>
      <w:bookmarkStart w:id="24" w:name="_Toc11775_WPSOffice_Level3"/>
      <w:r>
        <w:rPr>
          <w:rFonts w:hint="eastAsia" w:ascii="宋体" w:hAnsi="宋体" w:eastAsia="宋体" w:cs="宋体"/>
          <w:b/>
          <w:bCs/>
          <w:color w:val="auto"/>
          <w:kern w:val="2"/>
          <w:sz w:val="24"/>
          <w:szCs w:val="24"/>
          <w:lang w:val="en-US" w:eastAsia="zh-CN" w:bidi="ar-SA"/>
        </w:rPr>
        <w:t>1.适用范围</w:t>
      </w:r>
      <w:bookmarkEnd w:id="20"/>
      <w:bookmarkEnd w:id="21"/>
      <w:bookmarkEnd w:id="22"/>
      <w:bookmarkEnd w:id="23"/>
      <w:bookmarkEnd w:id="24"/>
    </w:p>
    <w:p w14:paraId="1769E62E">
      <w:pPr>
        <w:pageBreakBefore w:val="0"/>
        <w:widowControl w:val="0"/>
        <w:kinsoku/>
        <w:wordWrap/>
        <w:overflowPunct/>
        <w:topLinePunct w:val="0"/>
        <w:autoSpaceDE/>
        <w:autoSpaceDN/>
        <w:bidi w:val="0"/>
        <w:adjustRightInd/>
        <w:snapToGrid/>
        <w:spacing w:before="157" w:beforeLines="50" w:line="360" w:lineRule="auto"/>
        <w:ind w:firstLine="240" w:firstLineChars="1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本竞争性谈判文件仅适用于</w:t>
      </w:r>
      <w:r>
        <w:rPr>
          <w:rFonts w:hint="eastAsia" w:ascii="宋体" w:hAnsi="宋体" w:eastAsia="宋体" w:cs="宋体"/>
          <w:color w:val="auto"/>
          <w:sz w:val="24"/>
          <w:szCs w:val="24"/>
          <w:lang w:eastAsia="zh-CN"/>
        </w:rPr>
        <w:t>前述</w:t>
      </w:r>
      <w:r>
        <w:rPr>
          <w:rFonts w:hint="eastAsia" w:ascii="宋体" w:hAnsi="宋体" w:eastAsia="宋体" w:cs="宋体"/>
          <w:b/>
          <w:color w:val="auto"/>
          <w:sz w:val="24"/>
          <w:szCs w:val="24"/>
        </w:rPr>
        <w:t>【</w:t>
      </w:r>
      <w:r>
        <w:rPr>
          <w:rFonts w:hint="eastAsia" w:ascii="宋体" w:hAnsi="宋体" w:eastAsia="宋体" w:cs="宋体"/>
          <w:b w:val="0"/>
          <w:bCs/>
          <w:color w:val="auto"/>
          <w:sz w:val="24"/>
          <w:szCs w:val="24"/>
          <w:lang w:eastAsia="zh-CN"/>
        </w:rPr>
        <w:t>谈判须知前附表</w:t>
      </w:r>
      <w:r>
        <w:rPr>
          <w:rFonts w:hint="eastAsia" w:ascii="宋体" w:hAnsi="宋体" w:eastAsia="宋体" w:cs="宋体"/>
          <w:b/>
          <w:color w:val="auto"/>
          <w:sz w:val="24"/>
          <w:szCs w:val="24"/>
        </w:rPr>
        <w:t>】</w:t>
      </w:r>
      <w:r>
        <w:rPr>
          <w:rFonts w:hint="eastAsia" w:ascii="宋体" w:hAnsi="宋体" w:eastAsia="宋体" w:cs="宋体"/>
          <w:color w:val="auto"/>
          <w:sz w:val="24"/>
          <w:szCs w:val="24"/>
        </w:rPr>
        <w:t>中所叙述的采购项目。</w:t>
      </w:r>
    </w:p>
    <w:p w14:paraId="1CEE6062">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25" w:name="_Toc15754_WPSOffice_Level3"/>
      <w:bookmarkStart w:id="26" w:name="_Toc2404_WPSOffice_Level3"/>
      <w:bookmarkStart w:id="27" w:name="_Toc30676"/>
      <w:bookmarkStart w:id="28" w:name="_Toc12080"/>
      <w:bookmarkStart w:id="29" w:name="_Toc1646"/>
      <w:r>
        <w:rPr>
          <w:rFonts w:hint="eastAsia" w:ascii="宋体" w:hAnsi="宋体" w:eastAsia="宋体" w:cs="宋体"/>
          <w:b/>
          <w:bCs/>
          <w:color w:val="auto"/>
          <w:kern w:val="2"/>
          <w:sz w:val="24"/>
          <w:szCs w:val="24"/>
          <w:lang w:val="en-US" w:eastAsia="zh-CN" w:bidi="ar-SA"/>
        </w:rPr>
        <w:t>2.采购人及代理机构</w:t>
      </w:r>
      <w:bookmarkEnd w:id="25"/>
      <w:bookmarkEnd w:id="26"/>
      <w:bookmarkEnd w:id="27"/>
      <w:bookmarkEnd w:id="28"/>
      <w:bookmarkEnd w:id="29"/>
    </w:p>
    <w:p w14:paraId="62031387">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采购人名称、地址、电话、联系人见【</w:t>
      </w:r>
      <w:r>
        <w:rPr>
          <w:rFonts w:hint="eastAsia" w:ascii="宋体" w:hAnsi="宋体" w:eastAsia="宋体" w:cs="宋体"/>
          <w:color w:val="auto"/>
          <w:sz w:val="24"/>
          <w:szCs w:val="24"/>
          <w:lang w:eastAsia="zh-CN"/>
        </w:rPr>
        <w:t>谈判须知前附表</w:t>
      </w:r>
      <w:r>
        <w:rPr>
          <w:rFonts w:hint="eastAsia" w:ascii="宋体" w:hAnsi="宋体" w:eastAsia="宋体" w:cs="宋体"/>
          <w:color w:val="auto"/>
          <w:sz w:val="24"/>
          <w:szCs w:val="24"/>
        </w:rPr>
        <w:t>】。</w:t>
      </w:r>
    </w:p>
    <w:p w14:paraId="0300D739">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采购</w:t>
      </w:r>
      <w:r>
        <w:rPr>
          <w:rFonts w:hint="eastAsia" w:ascii="宋体" w:hAnsi="宋体" w:eastAsia="宋体" w:cs="宋体"/>
          <w:color w:val="auto"/>
          <w:sz w:val="24"/>
          <w:szCs w:val="24"/>
          <w:lang w:val="zh-CN"/>
        </w:rPr>
        <w:t>代理机构名称</w:t>
      </w:r>
      <w:r>
        <w:rPr>
          <w:rFonts w:hint="eastAsia" w:ascii="宋体" w:hAnsi="宋体" w:eastAsia="宋体" w:cs="宋体"/>
          <w:color w:val="auto"/>
          <w:sz w:val="24"/>
          <w:szCs w:val="24"/>
        </w:rPr>
        <w:t>、地址、电话、联系人</w:t>
      </w:r>
      <w:r>
        <w:rPr>
          <w:rFonts w:hint="eastAsia" w:ascii="宋体" w:hAnsi="宋体" w:eastAsia="宋体" w:cs="宋体"/>
          <w:color w:val="auto"/>
          <w:sz w:val="24"/>
          <w:szCs w:val="24"/>
          <w:lang w:eastAsia="zh-CN"/>
        </w:rPr>
        <w:t>、邮箱</w:t>
      </w:r>
      <w:r>
        <w:rPr>
          <w:rFonts w:hint="eastAsia" w:ascii="宋体" w:hAnsi="宋体" w:eastAsia="宋体" w:cs="宋体"/>
          <w:color w:val="auto"/>
          <w:sz w:val="24"/>
          <w:szCs w:val="24"/>
        </w:rPr>
        <w:t>见【</w:t>
      </w:r>
      <w:r>
        <w:rPr>
          <w:rFonts w:hint="eastAsia" w:ascii="宋体" w:hAnsi="宋体" w:eastAsia="宋体" w:cs="宋体"/>
          <w:color w:val="auto"/>
          <w:sz w:val="24"/>
          <w:szCs w:val="24"/>
          <w:lang w:eastAsia="zh-CN"/>
        </w:rPr>
        <w:t>谈判须知前附表</w:t>
      </w:r>
      <w:r>
        <w:rPr>
          <w:rFonts w:hint="eastAsia" w:ascii="宋体" w:hAnsi="宋体" w:eastAsia="宋体" w:cs="宋体"/>
          <w:color w:val="auto"/>
          <w:sz w:val="24"/>
          <w:szCs w:val="24"/>
        </w:rPr>
        <w:t>】。</w:t>
      </w:r>
    </w:p>
    <w:p w14:paraId="425EB7EC">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30" w:name="_Toc8089_WPSOffice_Level3"/>
      <w:bookmarkStart w:id="31" w:name="_Toc21695"/>
      <w:bookmarkStart w:id="32" w:name="_Toc31395"/>
      <w:bookmarkStart w:id="33" w:name="_Toc955_WPSOffice_Level3"/>
      <w:bookmarkStart w:id="34" w:name="_Toc12444"/>
      <w:r>
        <w:rPr>
          <w:rFonts w:hint="eastAsia" w:ascii="宋体" w:hAnsi="宋体" w:eastAsia="宋体" w:cs="宋体"/>
          <w:b/>
          <w:bCs/>
          <w:color w:val="auto"/>
          <w:kern w:val="2"/>
          <w:sz w:val="24"/>
          <w:szCs w:val="24"/>
          <w:lang w:val="en-US" w:eastAsia="zh-CN" w:bidi="ar-SA"/>
        </w:rPr>
        <w:t>3.供应商的资格要求</w:t>
      </w:r>
      <w:bookmarkEnd w:id="30"/>
      <w:bookmarkEnd w:id="31"/>
      <w:bookmarkEnd w:id="32"/>
      <w:bookmarkEnd w:id="33"/>
      <w:bookmarkEnd w:id="34"/>
    </w:p>
    <w:p w14:paraId="6FCD28AF">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3.1供应商是指响应谈判文件要求、参加竞争性谈判采购的法人、其他组织或者自然人。</w:t>
      </w:r>
    </w:p>
    <w:p w14:paraId="7463B535">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3.2供应商应当符合【谈判须知前附表】规定的供应商资格条件。</w:t>
      </w:r>
    </w:p>
    <w:p w14:paraId="6FA1E65A">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3.3【谈判须知前附表】规定接受联合体形式的，供应商除应符合上述资格条件的规定外，还应遵守以下规定：</w:t>
      </w:r>
    </w:p>
    <w:p w14:paraId="292E325F">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（l）联合体中有同类资质的供应商按照联合体分工承担相同工作的，应当按照资质等级较低的供应商确定资质等级。</w:t>
      </w:r>
    </w:p>
    <w:p w14:paraId="0D9D2963">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（2）联合体各方应按谈判文件提供的格式签订联合体协议书，明确联合体牵头人和各方的权利义务、合同工作量比例；</w:t>
      </w:r>
    </w:p>
    <w:p w14:paraId="78E260AC">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rPr>
        <w:t>（3）联合体各方签订联合体协议书后，</w:t>
      </w:r>
      <w:r>
        <w:rPr>
          <w:rFonts w:hint="eastAsia" w:ascii="宋体" w:hAnsi="宋体" w:eastAsia="宋体" w:cs="宋体"/>
          <w:color w:val="auto"/>
          <w:sz w:val="24"/>
          <w:szCs w:val="24"/>
          <w:lang w:val="zh-CN"/>
        </w:rPr>
        <w:t>不得再单独参加或者与其他供应商组成新的联合体参加同一合同项下的采购活动。</w:t>
      </w:r>
    </w:p>
    <w:p w14:paraId="6FAF5E75">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35" w:name="_Toc24112_WPSOffice_Level3"/>
      <w:bookmarkStart w:id="36" w:name="_Toc18921"/>
      <w:bookmarkStart w:id="37" w:name="_Toc29322_WPSOffice_Level3"/>
      <w:bookmarkStart w:id="38" w:name="_Toc15386"/>
      <w:bookmarkStart w:id="39" w:name="_Toc30063"/>
      <w:r>
        <w:rPr>
          <w:rFonts w:hint="eastAsia" w:ascii="宋体" w:hAnsi="宋体" w:eastAsia="宋体" w:cs="宋体"/>
          <w:b/>
          <w:bCs/>
          <w:color w:val="auto"/>
          <w:kern w:val="2"/>
          <w:sz w:val="24"/>
          <w:szCs w:val="24"/>
          <w:lang w:val="en-US" w:eastAsia="zh-CN" w:bidi="ar-SA"/>
        </w:rPr>
        <w:t>4.谈判费用</w:t>
      </w:r>
      <w:bookmarkEnd w:id="35"/>
      <w:bookmarkEnd w:id="36"/>
      <w:bookmarkEnd w:id="37"/>
      <w:bookmarkEnd w:id="38"/>
      <w:bookmarkEnd w:id="39"/>
    </w:p>
    <w:p w14:paraId="62B338F4">
      <w:pPr>
        <w:pageBreakBefore w:val="0"/>
        <w:widowControl w:val="0"/>
        <w:kinsoku/>
        <w:wordWrap/>
        <w:overflowPunct/>
        <w:topLinePunct w:val="0"/>
        <w:autoSpaceDE/>
        <w:autoSpaceDN/>
        <w:bidi w:val="0"/>
        <w:adjustRightInd/>
        <w:snapToGrid/>
        <w:spacing w:before="157" w:beforeLines="50" w:line="360" w:lineRule="auto"/>
        <w:ind w:firstLine="240" w:firstLineChars="1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无论谈判的结果如何，供应商应自行承担所有与竞争性谈判采购活动有关的全部费用。</w:t>
      </w:r>
    </w:p>
    <w:p w14:paraId="36453553">
      <w:pPr>
        <w:pageBreakBefore w:val="0"/>
        <w:widowControl w:val="0"/>
        <w:kinsoku/>
        <w:wordWrap/>
        <w:overflowPunct/>
        <w:topLinePunct w:val="0"/>
        <w:autoSpaceDE/>
        <w:autoSpaceDN/>
        <w:bidi w:val="0"/>
        <w:adjustRightInd/>
        <w:snapToGrid/>
        <w:spacing w:before="157" w:beforeLines="50" w:line="360" w:lineRule="auto"/>
        <w:jc w:val="center"/>
        <w:textAlignment w:val="auto"/>
        <w:outlineLvl w:val="1"/>
        <w:rPr>
          <w:rFonts w:hint="eastAsia" w:ascii="宋体" w:hAnsi="宋体" w:eastAsia="宋体" w:cs="宋体"/>
          <w:b/>
          <w:bCs/>
          <w:color w:val="auto"/>
          <w:kern w:val="2"/>
          <w:sz w:val="28"/>
          <w:szCs w:val="28"/>
          <w:lang w:val="en-US" w:eastAsia="zh-CN" w:bidi="ar-SA"/>
        </w:rPr>
      </w:pPr>
      <w:bookmarkStart w:id="40" w:name="_Toc19663_WPSOffice_Level2"/>
      <w:bookmarkStart w:id="41" w:name="_Toc34637766"/>
      <w:bookmarkStart w:id="42" w:name="_Toc417"/>
      <w:bookmarkStart w:id="43" w:name="_Toc24182"/>
      <w:bookmarkStart w:id="44" w:name="_Toc4912_WPSOffice_Level2"/>
      <w:bookmarkStart w:id="45" w:name="_Toc2404_WPSOffice_Level2"/>
      <w:bookmarkStart w:id="46" w:name="_Toc24356"/>
      <w:bookmarkStart w:id="47" w:name="_Toc28758"/>
      <w:r>
        <w:rPr>
          <w:rFonts w:hint="eastAsia" w:ascii="宋体" w:hAnsi="宋体" w:eastAsia="宋体" w:cs="宋体"/>
          <w:b/>
          <w:bCs/>
          <w:color w:val="auto"/>
          <w:kern w:val="2"/>
          <w:sz w:val="28"/>
          <w:szCs w:val="28"/>
          <w:lang w:val="en-US" w:eastAsia="zh-CN" w:bidi="ar-SA"/>
        </w:rPr>
        <w:t>二、谈判文件</w:t>
      </w:r>
      <w:bookmarkEnd w:id="40"/>
      <w:bookmarkEnd w:id="41"/>
      <w:bookmarkEnd w:id="42"/>
      <w:bookmarkEnd w:id="43"/>
      <w:bookmarkEnd w:id="44"/>
      <w:bookmarkEnd w:id="45"/>
      <w:bookmarkEnd w:id="46"/>
      <w:bookmarkEnd w:id="47"/>
    </w:p>
    <w:p w14:paraId="3EC9F6E6">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48" w:name="_Toc1826"/>
      <w:bookmarkStart w:id="49" w:name="_Toc29785_WPSOffice_Level3"/>
      <w:bookmarkStart w:id="50" w:name="_Toc14464"/>
      <w:bookmarkStart w:id="51" w:name="_Toc5242"/>
      <w:bookmarkStart w:id="52" w:name="_Toc18786_WPSOffice_Level3"/>
      <w:r>
        <w:rPr>
          <w:rFonts w:hint="eastAsia" w:ascii="宋体" w:hAnsi="宋体" w:eastAsia="宋体" w:cs="宋体"/>
          <w:b/>
          <w:bCs/>
          <w:color w:val="auto"/>
          <w:kern w:val="2"/>
          <w:sz w:val="24"/>
          <w:szCs w:val="24"/>
          <w:lang w:val="en-US" w:eastAsia="zh-CN" w:bidi="ar-SA"/>
        </w:rPr>
        <w:t>5.谈判文件的组成</w:t>
      </w:r>
      <w:bookmarkEnd w:id="48"/>
      <w:bookmarkEnd w:id="49"/>
      <w:bookmarkEnd w:id="50"/>
      <w:bookmarkEnd w:id="51"/>
      <w:bookmarkEnd w:id="52"/>
    </w:p>
    <w:p w14:paraId="4859A45E">
      <w:pPr>
        <w:pStyle w:val="1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5.1谈判文件由下列文件组成：</w:t>
      </w:r>
    </w:p>
    <w:p w14:paraId="241768ED">
      <w:pPr>
        <w:pStyle w:val="1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（1）谈判须知前附表</w:t>
      </w:r>
    </w:p>
    <w:p w14:paraId="48A48B16">
      <w:pPr>
        <w:pStyle w:val="1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（2）谈判须知</w:t>
      </w:r>
    </w:p>
    <w:p w14:paraId="4EAFE48E">
      <w:pPr>
        <w:pStyle w:val="1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（3）采购需求</w:t>
      </w:r>
    </w:p>
    <w:p w14:paraId="3B3EC2DB">
      <w:pPr>
        <w:pStyle w:val="1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（4）响应文件格式</w:t>
      </w:r>
    </w:p>
    <w:p w14:paraId="2E1F4938">
      <w:pPr>
        <w:pStyle w:val="1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（5）青海省政府采购项目合同书</w:t>
      </w:r>
    </w:p>
    <w:p w14:paraId="5E422581">
      <w:pPr>
        <w:pStyle w:val="1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5.2谈判文件中，谈判小组根据与供应商谈判情况可能实质性变动的内容见【谈判须知前附表】。对谈判文件作出的实质性变动是谈判文件的有效组成部分。</w:t>
      </w:r>
    </w:p>
    <w:p w14:paraId="7AACABD5">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53" w:name="_Toc8019"/>
      <w:bookmarkStart w:id="54" w:name="_Toc31604_WPSOffice_Level3"/>
      <w:bookmarkStart w:id="55" w:name="_Toc18056"/>
      <w:bookmarkStart w:id="56" w:name="_Toc25455_WPSOffice_Level3"/>
      <w:bookmarkStart w:id="57" w:name="_Toc1317"/>
      <w:r>
        <w:rPr>
          <w:rFonts w:hint="eastAsia" w:ascii="宋体" w:hAnsi="宋体" w:eastAsia="宋体" w:cs="宋体"/>
          <w:b/>
          <w:bCs/>
          <w:color w:val="auto"/>
          <w:kern w:val="2"/>
          <w:sz w:val="24"/>
          <w:szCs w:val="24"/>
          <w:lang w:val="en-US" w:eastAsia="zh-CN" w:bidi="ar-SA"/>
        </w:rPr>
        <w:t>6.谈判文件的澄清</w:t>
      </w:r>
      <w:r>
        <w:rPr>
          <w:rFonts w:hint="eastAsia" w:ascii="宋体" w:hAnsi="宋体" w:eastAsia="宋体" w:cs="宋体"/>
          <w:b/>
          <w:bCs/>
          <w:color w:val="auto"/>
          <w:kern w:val="2"/>
          <w:sz w:val="24"/>
          <w:szCs w:val="24"/>
          <w:lang w:val="zh-CN" w:eastAsia="zh-CN" w:bidi="ar-SA"/>
        </w:rPr>
        <w:t>或者</w:t>
      </w:r>
      <w:r>
        <w:rPr>
          <w:rFonts w:hint="eastAsia" w:ascii="宋体" w:hAnsi="宋体" w:eastAsia="宋体" w:cs="宋体"/>
          <w:b/>
          <w:bCs/>
          <w:color w:val="auto"/>
          <w:kern w:val="2"/>
          <w:sz w:val="24"/>
          <w:szCs w:val="24"/>
          <w:lang w:val="en-US" w:eastAsia="zh-CN" w:bidi="ar-SA"/>
        </w:rPr>
        <w:t>修改</w:t>
      </w:r>
      <w:bookmarkEnd w:id="53"/>
      <w:bookmarkEnd w:id="54"/>
      <w:bookmarkEnd w:id="55"/>
      <w:bookmarkEnd w:id="56"/>
      <w:bookmarkEnd w:id="57"/>
    </w:p>
    <w:p w14:paraId="490CD71C">
      <w:pPr>
        <w:pStyle w:val="1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6.1提交首次响应文件截止之日前，采购人、采购代理机构或者谈判小组可以对已发出的谈判文件进行必要的澄清或者修改，澄清或者修改的内容作为谈判文件的组成部分。澄清或者修改的内容可能影响响应文件编制的，采购人、采购代理机构或者谈判小组应当在提交首次响应文件截止之日3个工作日前，以书面形式通知所有接收谈判文件的供应商，不足3个工作日的，应当顺延提交首次响应文件截止之日。</w:t>
      </w:r>
    </w:p>
    <w:p w14:paraId="4F1A33C5">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58" w:name="_Toc30"/>
      <w:bookmarkStart w:id="59" w:name="_Toc14221"/>
      <w:bookmarkStart w:id="60" w:name="_Toc4138_WPSOffice_Level3"/>
      <w:bookmarkStart w:id="61" w:name="_Toc25126"/>
      <w:bookmarkStart w:id="62" w:name="_Toc6866_WPSOffice_Level3"/>
      <w:bookmarkStart w:id="63" w:name="_Toc27004"/>
      <w:bookmarkStart w:id="64" w:name="_Toc34637767"/>
      <w:r>
        <w:rPr>
          <w:rFonts w:hint="eastAsia" w:ascii="宋体" w:hAnsi="宋体" w:eastAsia="宋体" w:cs="宋体"/>
          <w:b/>
          <w:bCs/>
          <w:color w:val="auto"/>
          <w:kern w:val="2"/>
          <w:sz w:val="24"/>
          <w:szCs w:val="24"/>
          <w:lang w:val="en-US" w:eastAsia="zh-CN" w:bidi="ar-SA"/>
        </w:rPr>
        <w:t>7.谈判文件的询问或质疑</w:t>
      </w:r>
      <w:bookmarkEnd w:id="58"/>
      <w:bookmarkEnd w:id="59"/>
      <w:bookmarkEnd w:id="60"/>
      <w:bookmarkEnd w:id="61"/>
      <w:bookmarkEnd w:id="62"/>
      <w:bookmarkEnd w:id="63"/>
    </w:p>
    <w:p w14:paraId="4FD538D3">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7.1供应商对谈判文件有疑问的，可以向采购人或者采购代理机构提出询问，采购人或者采购代理机构应当在3个工作日内对供应商依法提出的询问作出答复，但答复的内容不得涉及商业秘密。</w:t>
      </w:r>
    </w:p>
    <w:p w14:paraId="08852DA7">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7.2供应商认为谈判文件使自己的权益受到损害的，可以在知道或者应知其权益受到损害之日起7个工作日内，以书面形式向采购人、采购代理机构提出质疑。潜在供应商已依法获取其可质疑的谈判文件的，可以对该文件提出质疑。对谈判文件提出质疑的，应当在获取谈判文件或者谈判文件公告期限届满之日起7个工作日内提出。</w:t>
      </w:r>
    </w:p>
    <w:p w14:paraId="1B5808E5">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7.3</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rPr>
        <w:t>在法定质疑期内一次性提出针对同一采购程序环节的质疑。</w:t>
      </w:r>
    </w:p>
    <w:p w14:paraId="32FB6E08">
      <w:pPr>
        <w:pageBreakBefore w:val="0"/>
        <w:widowControl w:val="0"/>
        <w:kinsoku/>
        <w:wordWrap/>
        <w:overflowPunct/>
        <w:topLinePunct w:val="0"/>
        <w:autoSpaceDE/>
        <w:autoSpaceDN/>
        <w:bidi w:val="0"/>
        <w:adjustRightInd/>
        <w:snapToGrid/>
        <w:spacing w:before="157" w:beforeLines="50" w:line="360" w:lineRule="auto"/>
        <w:jc w:val="center"/>
        <w:textAlignment w:val="auto"/>
        <w:outlineLvl w:val="1"/>
        <w:rPr>
          <w:rFonts w:hint="eastAsia" w:ascii="宋体" w:hAnsi="宋体" w:eastAsia="宋体" w:cs="宋体"/>
          <w:b/>
          <w:bCs/>
          <w:color w:val="auto"/>
          <w:kern w:val="2"/>
          <w:sz w:val="28"/>
          <w:szCs w:val="28"/>
          <w:lang w:val="en-US" w:eastAsia="zh-CN" w:bidi="ar-SA"/>
        </w:rPr>
      </w:pPr>
      <w:bookmarkStart w:id="65" w:name="_Toc23235_WPSOffice_Level2"/>
      <w:bookmarkStart w:id="66" w:name="_Toc31681"/>
      <w:bookmarkStart w:id="67" w:name="_Toc16902"/>
      <w:bookmarkStart w:id="68" w:name="_Toc955_WPSOffice_Level2"/>
      <w:bookmarkStart w:id="69" w:name="_Toc28815"/>
      <w:bookmarkStart w:id="70" w:name="_Toc5732_WPSOffice_Level2"/>
      <w:r>
        <w:rPr>
          <w:rFonts w:hint="eastAsia" w:ascii="宋体" w:hAnsi="宋体" w:eastAsia="宋体" w:cs="宋体"/>
          <w:b/>
          <w:bCs/>
          <w:color w:val="auto"/>
          <w:kern w:val="2"/>
          <w:sz w:val="28"/>
          <w:szCs w:val="28"/>
          <w:lang w:val="en-US" w:eastAsia="zh-CN" w:bidi="ar-SA"/>
        </w:rPr>
        <w:t>三、响应文件</w:t>
      </w:r>
      <w:bookmarkEnd w:id="64"/>
      <w:bookmarkEnd w:id="65"/>
      <w:bookmarkEnd w:id="66"/>
      <w:bookmarkEnd w:id="67"/>
      <w:bookmarkEnd w:id="68"/>
      <w:bookmarkEnd w:id="69"/>
      <w:bookmarkEnd w:id="70"/>
    </w:p>
    <w:p w14:paraId="2A6354E4">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71" w:name="_Toc2475"/>
      <w:bookmarkStart w:id="72" w:name="_Toc8939"/>
      <w:bookmarkStart w:id="73" w:name="_Toc1096_WPSOffice_Level3"/>
      <w:bookmarkStart w:id="74" w:name="_Toc17983"/>
      <w:bookmarkStart w:id="75" w:name="_Toc22063"/>
      <w:bookmarkStart w:id="76" w:name="_Toc10843_WPSOffice_Level3"/>
      <w:r>
        <w:rPr>
          <w:rFonts w:hint="eastAsia" w:ascii="宋体" w:hAnsi="宋体" w:eastAsia="宋体" w:cs="宋体"/>
          <w:b/>
          <w:bCs/>
          <w:color w:val="auto"/>
          <w:kern w:val="2"/>
          <w:sz w:val="24"/>
          <w:szCs w:val="24"/>
          <w:lang w:val="en-US" w:eastAsia="zh-CN" w:bidi="ar-SA"/>
        </w:rPr>
        <w:t>8.一般要求</w:t>
      </w:r>
      <w:bookmarkEnd w:id="71"/>
      <w:bookmarkEnd w:id="72"/>
      <w:bookmarkEnd w:id="73"/>
      <w:bookmarkEnd w:id="74"/>
      <w:bookmarkEnd w:id="75"/>
      <w:bookmarkEnd w:id="76"/>
    </w:p>
    <w:p w14:paraId="6CAF3EB1">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8.1供应商应仔细阅读谈判文件的所有内容，按谈判文件的要求编制响应文件，并保证所提供的全部资料的真实性，以使其响应文件对谈判文件做出实质性的响应。任何对谈判文件的忽略或误解不能作为响应文件存在缺陷或瑕疵的理由，其风险由供应商承担。</w:t>
      </w:r>
    </w:p>
    <w:p w14:paraId="204B2B4D">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8.2供应商提交的响应文件及供应商与采购人或采购代理机构、谈判小组就有关谈判的所有来往函电均使用中文。附有外文资料的，须翻译成中文并加盖供应商公章，若翻译的中文资料与外文资料存在差异和矛盾，则以中文资料为准。其准确性由供应商负责。</w:t>
      </w:r>
    </w:p>
    <w:p w14:paraId="0D11A4DB">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8.3除谈判文件中另有规定外，响应文件所使用的度量衡单位，均须采用国家法定计量单位。未列明时应默认为我国法定计量单位。</w:t>
      </w:r>
    </w:p>
    <w:p w14:paraId="2747D29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8.4</w:t>
      </w:r>
      <w:r>
        <w:rPr>
          <w:rFonts w:hint="eastAsia" w:ascii="宋体" w:hAnsi="宋体" w:eastAsia="宋体" w:cs="宋体"/>
          <w:b/>
          <w:bCs/>
          <w:color w:val="auto"/>
          <w:kern w:val="2"/>
          <w:sz w:val="24"/>
          <w:szCs w:val="24"/>
          <w:lang w:val="en-US" w:eastAsia="zh-CN" w:bidi="ar-SA"/>
        </w:rPr>
        <w:t>供应商应按谈判文件中提供的响应文件格式进行填写。</w:t>
      </w:r>
    </w:p>
    <w:p w14:paraId="373A42AF">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77" w:name="_Toc17103"/>
      <w:bookmarkStart w:id="78" w:name="_Toc20423_WPSOffice_Level3"/>
      <w:bookmarkStart w:id="79" w:name="_Toc12007"/>
      <w:bookmarkStart w:id="80" w:name="_Toc14527_WPSOffice_Level3"/>
      <w:bookmarkStart w:id="81" w:name="_Toc16030"/>
      <w:r>
        <w:rPr>
          <w:rFonts w:hint="eastAsia" w:ascii="宋体" w:hAnsi="宋体" w:eastAsia="宋体" w:cs="宋体"/>
          <w:b/>
          <w:bCs/>
          <w:color w:val="auto"/>
          <w:kern w:val="2"/>
          <w:sz w:val="24"/>
          <w:szCs w:val="24"/>
          <w:lang w:val="en-US" w:eastAsia="zh-CN" w:bidi="ar-SA"/>
        </w:rPr>
        <w:t>9.报价要求</w:t>
      </w:r>
      <w:bookmarkEnd w:id="77"/>
      <w:bookmarkEnd w:id="78"/>
      <w:bookmarkEnd w:id="79"/>
      <w:bookmarkEnd w:id="80"/>
      <w:bookmarkEnd w:id="81"/>
    </w:p>
    <w:p w14:paraId="698D73F0">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9.1供应商应当根据谈判文件</w:t>
      </w:r>
      <w:r>
        <w:rPr>
          <w:rFonts w:hint="eastAsia" w:ascii="宋体" w:hAnsi="宋体" w:eastAsia="宋体" w:cs="宋体"/>
          <w:color w:val="auto"/>
          <w:kern w:val="2"/>
          <w:sz w:val="24"/>
          <w:szCs w:val="24"/>
          <w:lang w:val="en-US" w:eastAsia="zh-CN" w:bidi="ar-SA"/>
        </w:rPr>
        <w:t>工程量清单编写已标价的工程量清单</w:t>
      </w:r>
      <w:r>
        <w:rPr>
          <w:rFonts w:hint="eastAsia" w:ascii="宋体" w:hAnsi="宋体" w:eastAsia="宋体" w:cs="宋体"/>
          <w:color w:val="auto"/>
          <w:kern w:val="2"/>
          <w:sz w:val="24"/>
          <w:szCs w:val="24"/>
          <w:lang w:val="en-US" w:eastAsia="zh-CN" w:bidi="ar-SA"/>
        </w:rPr>
        <w:t>；</w:t>
      </w:r>
    </w:p>
    <w:p w14:paraId="6271D8B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9.2在首次报价表、</w:t>
      </w:r>
      <w:r>
        <w:rPr>
          <w:rFonts w:hint="eastAsia" w:ascii="宋体" w:hAnsi="宋体" w:eastAsia="宋体" w:cs="宋体"/>
          <w:color w:val="auto"/>
          <w:kern w:val="2"/>
          <w:sz w:val="24"/>
          <w:szCs w:val="24"/>
          <w:lang w:val="en-US" w:eastAsia="zh-CN" w:bidi="ar-SA"/>
        </w:rPr>
        <w:t>已标价的工程量清单</w:t>
      </w:r>
      <w:r>
        <w:rPr>
          <w:rFonts w:hint="eastAsia" w:ascii="宋体" w:hAnsi="宋体" w:eastAsia="宋体" w:cs="宋体"/>
          <w:color w:val="auto"/>
          <w:kern w:val="2"/>
          <w:sz w:val="24"/>
          <w:szCs w:val="24"/>
          <w:lang w:val="en-US" w:eastAsia="zh-CN" w:bidi="ar-SA"/>
        </w:rPr>
        <w:t>、最后报价表填写报价时应注意下列要求：</w:t>
      </w:r>
    </w:p>
    <w:p w14:paraId="77AE6BA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（1）采购需求要求的</w:t>
      </w:r>
      <w:r>
        <w:rPr>
          <w:rFonts w:hint="eastAsia" w:ascii="宋体" w:hAnsi="宋体" w:eastAsia="宋体" w:cs="宋体"/>
          <w:bCs/>
          <w:color w:val="auto"/>
          <w:sz w:val="24"/>
          <w:szCs w:val="24"/>
          <w:u w:val="none"/>
          <w:lang w:eastAsia="zh-CN"/>
        </w:rPr>
        <w:t>施工总价（安全防护、文明施工措施费等费用）、保险费、税金及不可预见费等全部费用</w:t>
      </w:r>
      <w:r>
        <w:rPr>
          <w:rFonts w:hint="eastAsia" w:ascii="宋体" w:hAnsi="宋体" w:eastAsia="宋体" w:cs="宋体"/>
          <w:bCs/>
          <w:color w:val="auto"/>
          <w:sz w:val="24"/>
          <w:szCs w:val="24"/>
          <w:u w:val="none"/>
          <w:lang w:eastAsia="zh-CN"/>
        </w:rPr>
        <w:t>。</w:t>
      </w:r>
    </w:p>
    <w:p w14:paraId="29E289C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（2）所有根据合同或其它原因应由供应商交纳和支付的税款和费用。</w:t>
      </w:r>
    </w:p>
    <w:p w14:paraId="102B816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（3）供应商报价应为完成本竞争性谈判文件中所要求的</w:t>
      </w:r>
      <w:r>
        <w:rPr>
          <w:rFonts w:hint="eastAsia" w:ascii="宋体" w:hAnsi="宋体" w:eastAsia="宋体" w:cs="宋体"/>
          <w:color w:val="auto"/>
          <w:kern w:val="2"/>
          <w:sz w:val="24"/>
          <w:szCs w:val="24"/>
          <w:lang w:val="en-US" w:eastAsia="zh-CN" w:bidi="ar-SA"/>
        </w:rPr>
        <w:t>工程施工应</w:t>
      </w:r>
      <w:r>
        <w:rPr>
          <w:rFonts w:hint="eastAsia" w:ascii="宋体" w:hAnsi="宋体" w:eastAsia="宋体" w:cs="宋体"/>
          <w:color w:val="auto"/>
          <w:kern w:val="2"/>
          <w:sz w:val="24"/>
          <w:szCs w:val="24"/>
          <w:lang w:val="en-US" w:eastAsia="zh-CN" w:bidi="ar-SA"/>
        </w:rPr>
        <w:t>包括内容的所有价格。</w:t>
      </w:r>
    </w:p>
    <w:p w14:paraId="64AC87B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9.3</w:t>
      </w:r>
      <w:r>
        <w:rPr>
          <w:rFonts w:hint="eastAsia" w:ascii="宋体" w:hAnsi="宋体" w:eastAsia="宋体" w:cs="宋体"/>
          <w:color w:val="auto"/>
          <w:kern w:val="2"/>
          <w:sz w:val="24"/>
          <w:szCs w:val="24"/>
          <w:lang w:val="zh-CN" w:eastAsia="zh-CN" w:bidi="ar-SA"/>
        </w:rPr>
        <w:t>供应商</w:t>
      </w:r>
      <w:r>
        <w:rPr>
          <w:rFonts w:hint="eastAsia" w:ascii="宋体" w:hAnsi="宋体" w:eastAsia="宋体" w:cs="宋体"/>
          <w:color w:val="auto"/>
          <w:kern w:val="2"/>
          <w:sz w:val="24"/>
          <w:szCs w:val="24"/>
          <w:lang w:val="en-US" w:eastAsia="zh-CN" w:bidi="ar-SA"/>
        </w:rPr>
        <w:t>的</w:t>
      </w:r>
      <w:r>
        <w:rPr>
          <w:rFonts w:hint="eastAsia" w:ascii="宋体" w:hAnsi="宋体" w:eastAsia="宋体" w:cs="宋体"/>
          <w:b/>
          <w:bCs/>
          <w:color w:val="auto"/>
          <w:kern w:val="2"/>
          <w:sz w:val="24"/>
          <w:szCs w:val="24"/>
          <w:lang w:val="en-US" w:eastAsia="zh-CN" w:bidi="ar-SA"/>
        </w:rPr>
        <w:t>每次报价均不得超过采购项目预算，否则视为无效响应</w:t>
      </w:r>
      <w:r>
        <w:rPr>
          <w:rFonts w:hint="eastAsia" w:ascii="宋体" w:hAnsi="宋体" w:eastAsia="宋体" w:cs="宋体"/>
          <w:color w:val="auto"/>
          <w:kern w:val="2"/>
          <w:sz w:val="24"/>
          <w:szCs w:val="24"/>
          <w:lang w:val="en-US" w:eastAsia="zh-CN" w:bidi="ar-SA"/>
        </w:rPr>
        <w:t>。采购项目预算见【谈判须知前附表】。</w:t>
      </w:r>
    </w:p>
    <w:p w14:paraId="5606C7E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9.4</w:t>
      </w:r>
      <w:r>
        <w:rPr>
          <w:rFonts w:hint="eastAsia" w:ascii="宋体" w:hAnsi="宋体" w:eastAsia="宋体" w:cs="宋体"/>
          <w:b/>
          <w:bCs/>
          <w:color w:val="auto"/>
          <w:kern w:val="2"/>
          <w:sz w:val="24"/>
          <w:szCs w:val="24"/>
          <w:lang w:val="en-US" w:eastAsia="zh-CN" w:bidi="ar-SA"/>
        </w:rPr>
        <w:t>谈判报价为总价</w:t>
      </w:r>
      <w:r>
        <w:rPr>
          <w:rFonts w:hint="eastAsia" w:ascii="宋体" w:hAnsi="宋体" w:eastAsia="宋体" w:cs="宋体"/>
          <w:color w:val="auto"/>
          <w:kern w:val="2"/>
          <w:sz w:val="24"/>
          <w:szCs w:val="24"/>
          <w:lang w:val="en-US" w:eastAsia="zh-CN" w:bidi="ar-SA"/>
        </w:rPr>
        <w:t>。供应商须按要求填写谈判总报价，最后报价不得出现两个或两个以上的报价方案。</w:t>
      </w:r>
    </w:p>
    <w:p w14:paraId="2080C049">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w:t>
      </w: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kern w:val="2"/>
          <w:sz w:val="24"/>
          <w:szCs w:val="24"/>
          <w:lang w:val="en-US" w:eastAsia="zh-CN" w:bidi="ar-SA"/>
        </w:rPr>
        <w:t>报价币种为人民币。</w:t>
      </w:r>
    </w:p>
    <w:p w14:paraId="74FAAF7E">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82" w:name="_Toc30481"/>
      <w:bookmarkStart w:id="83" w:name="_Toc4330"/>
      <w:bookmarkStart w:id="84" w:name="_Toc19609_WPSOffice_Level3"/>
      <w:bookmarkStart w:id="85" w:name="_Toc30839"/>
      <w:bookmarkStart w:id="86" w:name="_Toc24956_WPSOffice_Level3"/>
      <w:r>
        <w:rPr>
          <w:rFonts w:hint="eastAsia" w:ascii="宋体" w:hAnsi="宋体" w:eastAsia="宋体" w:cs="宋体"/>
          <w:b/>
          <w:bCs/>
          <w:color w:val="auto"/>
          <w:kern w:val="2"/>
          <w:sz w:val="24"/>
          <w:szCs w:val="24"/>
          <w:lang w:val="en-US" w:eastAsia="zh-CN" w:bidi="ar-SA"/>
        </w:rPr>
        <w:t>10.保证金</w:t>
      </w:r>
      <w:bookmarkEnd w:id="82"/>
      <w:bookmarkEnd w:id="83"/>
      <w:bookmarkEnd w:id="84"/>
      <w:bookmarkEnd w:id="85"/>
      <w:bookmarkEnd w:id="86"/>
    </w:p>
    <w:p w14:paraId="21FED251">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10.1供应商应按【谈判须知前附表】的规定，在</w:t>
      </w:r>
      <w:r>
        <w:rPr>
          <w:rFonts w:hint="eastAsia" w:ascii="宋体" w:hAnsi="宋体" w:eastAsia="宋体" w:cs="宋体"/>
          <w:b/>
          <w:bCs/>
          <w:color w:val="auto"/>
          <w:kern w:val="2"/>
          <w:sz w:val="24"/>
          <w:szCs w:val="24"/>
          <w:lang w:val="en-US" w:eastAsia="zh-CN" w:bidi="ar-SA"/>
        </w:rPr>
        <w:t>提交响应文件的截止时间前</w:t>
      </w:r>
      <w:r>
        <w:rPr>
          <w:rFonts w:hint="eastAsia" w:ascii="宋体" w:hAnsi="宋体" w:eastAsia="宋体" w:cs="宋体"/>
          <w:color w:val="auto"/>
          <w:kern w:val="2"/>
          <w:sz w:val="24"/>
          <w:szCs w:val="24"/>
          <w:lang w:val="en-US" w:eastAsia="zh-CN" w:bidi="ar-SA"/>
        </w:rPr>
        <w:t>提交不少于本谈判文件规定的人民币金额的谈判保证金。谈判保证金应当以转账、支票、本票或者金融机构、担保机构出具的保函等非现金形式提交。供应商未按照谈判文件要求提交谈判保证金的，视为非实质性响应，其响应文件不予接受。谈判保证金所有递交方式均以到账时间为准。</w:t>
      </w:r>
    </w:p>
    <w:p w14:paraId="1D07E70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10.2</w:t>
      </w:r>
      <w:r>
        <w:rPr>
          <w:rFonts w:hint="eastAsia" w:ascii="宋体" w:hAnsi="宋体" w:eastAsia="宋体" w:cs="宋体"/>
          <w:color w:val="auto"/>
          <w:kern w:val="2"/>
          <w:sz w:val="24"/>
          <w:szCs w:val="24"/>
          <w:lang w:val="zh-CN" w:eastAsia="zh-CN" w:bidi="ar-SA"/>
        </w:rPr>
        <w:t>供应商为联合体的，可以由联合体中的一方或者共同交纳保证金，其交纳的保证金，对联合体各方均具有约束力。</w:t>
      </w:r>
    </w:p>
    <w:p w14:paraId="1BB315A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10.3</w:t>
      </w:r>
      <w:r>
        <w:rPr>
          <w:rFonts w:hint="eastAsia" w:ascii="宋体" w:hAnsi="宋体" w:eastAsia="宋体" w:cs="宋体"/>
          <w:b/>
          <w:bCs/>
          <w:color w:val="auto"/>
          <w:kern w:val="2"/>
          <w:sz w:val="24"/>
          <w:szCs w:val="24"/>
          <w:lang w:val="en-US" w:eastAsia="zh-CN" w:bidi="ar-SA"/>
        </w:rPr>
        <w:t>保证金的退还按以下规定办理：</w:t>
      </w:r>
    </w:p>
    <w:p w14:paraId="0F86187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（1）成交供应商的保证金，在政府采购合同签订后5个工作日内退还，但因供应商自身原因导致无法退还的除外。</w:t>
      </w:r>
    </w:p>
    <w:p w14:paraId="2B9E1DBE">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（2）未成交供应商的保证金，在成交通知书发出后5个工作日内退还。</w:t>
      </w:r>
    </w:p>
    <w:p w14:paraId="3D1992BE">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（3）终止竞争性谈判采购活动的，在发布项目终止公告后5个工作日内退还。</w:t>
      </w:r>
    </w:p>
    <w:p w14:paraId="582198B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10.4</w:t>
      </w:r>
      <w:r>
        <w:rPr>
          <w:rFonts w:hint="eastAsia" w:ascii="宋体" w:hAnsi="宋体" w:eastAsia="宋体" w:cs="宋体"/>
          <w:b/>
          <w:bCs/>
          <w:color w:val="auto"/>
          <w:kern w:val="2"/>
          <w:sz w:val="24"/>
          <w:szCs w:val="24"/>
          <w:lang w:val="en-US" w:eastAsia="zh-CN" w:bidi="ar-SA"/>
        </w:rPr>
        <w:t>有下列情形之一的，保证金不予退还，并上缴同级财政国库</w:t>
      </w:r>
      <w:r>
        <w:rPr>
          <w:rFonts w:hint="eastAsia" w:ascii="宋体" w:hAnsi="宋体" w:eastAsia="宋体" w:cs="宋体"/>
          <w:color w:val="auto"/>
          <w:kern w:val="2"/>
          <w:sz w:val="24"/>
          <w:szCs w:val="24"/>
          <w:lang w:val="en-US" w:eastAsia="zh-CN" w:bidi="ar-SA"/>
        </w:rPr>
        <w:t>：</w:t>
      </w:r>
    </w:p>
    <w:p w14:paraId="3A83253D">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（1）供应商在提交响应文件截止时间后撤回响应文件的；</w:t>
      </w:r>
    </w:p>
    <w:p w14:paraId="786E6E37">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（2）供应商在响应文件中提供虚假材料的；</w:t>
      </w:r>
    </w:p>
    <w:p w14:paraId="23DE1E7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（3）除因不可抗力或谈判文件认可的情形以外，成交供应商不与采购人签订合同的；</w:t>
      </w:r>
    </w:p>
    <w:p w14:paraId="1230F4AA">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（4）供应商与采购人、其他供应商或者采购代理机构恶意串通的；</w:t>
      </w:r>
    </w:p>
    <w:p w14:paraId="73BEFDB9">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（5）谈判文件规定的其他情形。</w:t>
      </w:r>
    </w:p>
    <w:p w14:paraId="2BE0448D">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87" w:name="_Toc18765_WPSOffice_Level3"/>
      <w:bookmarkStart w:id="88" w:name="_Toc4945_WPSOffice_Level3"/>
      <w:bookmarkStart w:id="89" w:name="_Toc4978"/>
      <w:bookmarkStart w:id="90" w:name="_Toc5897"/>
      <w:bookmarkStart w:id="91" w:name="_Toc14144"/>
      <w:r>
        <w:rPr>
          <w:rFonts w:hint="eastAsia" w:ascii="宋体" w:hAnsi="宋体" w:eastAsia="宋体" w:cs="宋体"/>
          <w:b/>
          <w:bCs/>
          <w:color w:val="auto"/>
          <w:kern w:val="2"/>
          <w:sz w:val="24"/>
          <w:szCs w:val="24"/>
          <w:lang w:val="en-US" w:eastAsia="zh-CN" w:bidi="ar-SA"/>
        </w:rPr>
        <w:t>11.响应文件的组成</w:t>
      </w:r>
      <w:bookmarkEnd w:id="87"/>
      <w:bookmarkEnd w:id="88"/>
      <w:bookmarkEnd w:id="89"/>
      <w:bookmarkEnd w:id="90"/>
      <w:bookmarkEnd w:id="91"/>
    </w:p>
    <w:p w14:paraId="74441EF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11.1响应文件包括下列内容：</w:t>
      </w:r>
    </w:p>
    <w:p w14:paraId="0351089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lang w:val="en-US" w:eastAsia="zh-CN" w:bidi="ar-SA"/>
        </w:rPr>
        <w:t>供应商应提交相关证明材料，作为其参加谈判和成交后有能力履行合同的证明。编写的响应文件须包括以下内容（</w:t>
      </w:r>
      <w:r>
        <w:rPr>
          <w:rFonts w:hint="eastAsia" w:ascii="宋体" w:hAnsi="宋体" w:eastAsia="宋体" w:cs="宋体"/>
          <w:color w:val="auto"/>
          <w:kern w:val="2"/>
          <w:sz w:val="24"/>
          <w:szCs w:val="24"/>
          <w:highlight w:val="none"/>
          <w:lang w:val="en-US" w:eastAsia="zh-CN" w:bidi="ar-SA"/>
        </w:rPr>
        <w:t>格式详见谈判文件第四部分内容）：</w:t>
      </w:r>
    </w:p>
    <w:p w14:paraId="0D82E076">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b/>
          <w:bCs/>
          <w:color w:val="auto"/>
          <w:kern w:val="2"/>
          <w:sz w:val="24"/>
          <w:szCs w:val="24"/>
          <w:lang w:val="zh-CN" w:eastAsia="zh-CN" w:bidi="ar-SA"/>
        </w:rPr>
      </w:pPr>
      <w:r>
        <w:rPr>
          <w:rFonts w:hint="eastAsia" w:ascii="宋体" w:hAnsi="宋体" w:eastAsia="宋体" w:cs="宋体"/>
          <w:b/>
          <w:bCs/>
          <w:color w:val="auto"/>
          <w:kern w:val="2"/>
          <w:sz w:val="24"/>
          <w:szCs w:val="24"/>
          <w:lang w:val="en-US" w:eastAsia="zh-CN" w:bidi="ar-SA"/>
        </w:rPr>
        <w:t>11.1.1</w:t>
      </w:r>
      <w:r>
        <w:rPr>
          <w:rFonts w:hint="eastAsia" w:ascii="宋体" w:hAnsi="宋体" w:eastAsia="宋体" w:cs="宋体"/>
          <w:b/>
          <w:bCs/>
          <w:color w:val="auto"/>
          <w:kern w:val="2"/>
          <w:sz w:val="24"/>
          <w:szCs w:val="24"/>
          <w:lang w:val="zh-CN" w:eastAsia="zh-CN" w:bidi="ar-SA"/>
        </w:rPr>
        <w:t>资格审查部分</w:t>
      </w:r>
    </w:p>
    <w:p w14:paraId="3698975B">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1、响应函</w:t>
      </w:r>
    </w:p>
    <w:p w14:paraId="4A865D4B">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2、法定代表人证明书</w:t>
      </w:r>
    </w:p>
    <w:p w14:paraId="4E38A30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3、法定代表人授权书</w:t>
      </w:r>
    </w:p>
    <w:p w14:paraId="41E35DC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4、供应商承诺函</w:t>
      </w:r>
    </w:p>
    <w:p w14:paraId="5A660EB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5、供应商诚信承诺书</w:t>
      </w:r>
    </w:p>
    <w:p w14:paraId="7687281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6、供应商资格证明文件</w:t>
      </w:r>
    </w:p>
    <w:p w14:paraId="56097BD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7、财务状况、缴纳税收和社会保障资金证明</w:t>
      </w:r>
    </w:p>
    <w:p w14:paraId="35116170">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8、无重大违法记录声明</w:t>
      </w:r>
    </w:p>
    <w:p w14:paraId="5B3C9CE0">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9、谈判保证金证明</w:t>
      </w:r>
    </w:p>
    <w:p w14:paraId="51E9C213">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b/>
          <w:bCs/>
          <w:color w:val="auto"/>
          <w:kern w:val="2"/>
          <w:sz w:val="24"/>
          <w:szCs w:val="24"/>
          <w:lang w:val="zh-CN" w:eastAsia="zh-CN" w:bidi="ar-SA"/>
        </w:rPr>
      </w:pPr>
      <w:r>
        <w:rPr>
          <w:rFonts w:hint="eastAsia" w:ascii="宋体" w:hAnsi="宋体" w:eastAsia="宋体" w:cs="宋体"/>
          <w:b/>
          <w:bCs/>
          <w:color w:val="auto"/>
          <w:kern w:val="2"/>
          <w:sz w:val="24"/>
          <w:szCs w:val="24"/>
          <w:lang w:val="en-US" w:eastAsia="zh-CN" w:bidi="ar-SA"/>
        </w:rPr>
        <w:t>11.1.2有效性、完整性、响应程度审查</w:t>
      </w:r>
      <w:r>
        <w:rPr>
          <w:rFonts w:hint="eastAsia" w:ascii="宋体" w:hAnsi="宋体" w:eastAsia="宋体" w:cs="宋体"/>
          <w:b/>
          <w:bCs/>
          <w:color w:val="auto"/>
          <w:kern w:val="2"/>
          <w:sz w:val="24"/>
          <w:szCs w:val="24"/>
          <w:lang w:val="zh-CN" w:eastAsia="zh-CN" w:bidi="ar-SA"/>
        </w:rPr>
        <w:t>部分</w:t>
      </w:r>
    </w:p>
    <w:p w14:paraId="34A8F98B">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zh-CN" w:eastAsia="zh-CN" w:bidi="ar-SA"/>
        </w:rPr>
        <w:t>、谈判首次报价表</w:t>
      </w:r>
    </w:p>
    <w:p w14:paraId="01AA4C6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kern w:val="2"/>
          <w:sz w:val="24"/>
          <w:szCs w:val="24"/>
          <w:lang w:val="zh-CN" w:eastAsia="zh-CN" w:bidi="ar-SA"/>
        </w:rPr>
        <w:t>、</w:t>
      </w:r>
      <w:r>
        <w:rPr>
          <w:rFonts w:hint="eastAsia" w:ascii="宋体" w:hAnsi="宋体" w:eastAsia="宋体" w:cs="宋体"/>
          <w:color w:val="auto"/>
          <w:kern w:val="2"/>
          <w:sz w:val="24"/>
          <w:szCs w:val="24"/>
          <w:lang w:val="zh-CN" w:eastAsia="zh-CN" w:bidi="ar-SA"/>
        </w:rPr>
        <w:t>已标价的工程量清单</w:t>
      </w:r>
    </w:p>
    <w:p w14:paraId="477D17E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kern w:val="2"/>
          <w:sz w:val="24"/>
          <w:szCs w:val="24"/>
          <w:lang w:val="zh-CN" w:eastAsia="zh-CN" w:bidi="ar-SA"/>
        </w:rPr>
        <w:t>、</w:t>
      </w:r>
      <w:r>
        <w:rPr>
          <w:rFonts w:hint="eastAsia" w:ascii="宋体" w:hAnsi="宋体" w:eastAsia="宋体" w:cs="宋体"/>
          <w:color w:val="auto"/>
          <w:kern w:val="2"/>
          <w:sz w:val="24"/>
          <w:szCs w:val="24"/>
          <w:lang w:val="en-US" w:eastAsia="zh-CN" w:bidi="ar-SA"/>
        </w:rPr>
        <w:t>施工组织设计</w:t>
      </w:r>
    </w:p>
    <w:p w14:paraId="2C11BEA1">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en-US" w:eastAsia="zh-CN" w:bidi="ar-SA"/>
        </w:rPr>
        <w:t>4</w:t>
      </w:r>
      <w:r>
        <w:rPr>
          <w:rFonts w:hint="eastAsia" w:ascii="宋体" w:hAnsi="宋体" w:eastAsia="宋体" w:cs="宋体"/>
          <w:color w:val="auto"/>
          <w:kern w:val="2"/>
          <w:sz w:val="24"/>
          <w:szCs w:val="24"/>
          <w:lang w:val="zh-CN" w:eastAsia="zh-CN" w:bidi="ar-SA"/>
        </w:rPr>
        <w:t>、</w:t>
      </w:r>
      <w:r>
        <w:rPr>
          <w:rFonts w:hint="eastAsia" w:ascii="宋体" w:hAnsi="宋体" w:eastAsia="宋体" w:cs="宋体"/>
          <w:color w:val="auto"/>
          <w:kern w:val="2"/>
          <w:sz w:val="24"/>
          <w:szCs w:val="24"/>
          <w:lang w:val="en-US" w:eastAsia="zh-CN" w:bidi="ar-SA"/>
        </w:rPr>
        <w:t>具备履行合同所必须的设备和专业技术能力证明</w:t>
      </w:r>
    </w:p>
    <w:p w14:paraId="390DA83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kern w:val="2"/>
          <w:sz w:val="24"/>
          <w:szCs w:val="24"/>
          <w:lang w:val="zh-CN" w:eastAsia="zh-CN" w:bidi="ar-SA"/>
        </w:rPr>
        <w:t>、供应商认为在其他方面有必要说明的事项</w:t>
      </w:r>
    </w:p>
    <w:p w14:paraId="29EBBE50">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en-US" w:eastAsia="zh-CN" w:bidi="ar-SA"/>
        </w:rPr>
        <w:t>6</w:t>
      </w:r>
      <w:r>
        <w:rPr>
          <w:rFonts w:hint="eastAsia" w:ascii="宋体" w:hAnsi="宋体" w:eastAsia="宋体" w:cs="宋体"/>
          <w:color w:val="auto"/>
          <w:kern w:val="2"/>
          <w:sz w:val="24"/>
          <w:szCs w:val="24"/>
          <w:lang w:val="zh-CN" w:eastAsia="zh-CN" w:bidi="ar-SA"/>
        </w:rPr>
        <w:t>、享受政府采购政策优惠的证明资料</w:t>
      </w:r>
    </w:p>
    <w:p w14:paraId="7C6D8C6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w:t>
      </w:r>
      <w:r>
        <w:rPr>
          <w:rFonts w:hint="eastAsia" w:ascii="宋体" w:hAnsi="宋体" w:eastAsia="宋体" w:cs="宋体"/>
          <w:color w:val="auto"/>
          <w:kern w:val="2"/>
          <w:sz w:val="24"/>
          <w:szCs w:val="24"/>
          <w:lang w:val="zh-CN" w:eastAsia="zh-CN" w:bidi="ar-SA"/>
        </w:rPr>
        <w:t>其他证明材料</w:t>
      </w:r>
    </w:p>
    <w:p w14:paraId="1B52A1B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供应商须按上述内容、顺序和格式编制响应文件，并按要求编制目录、页码，并保证所提供的全部资料真实可信，自愿承担相应责任。</w:t>
      </w:r>
    </w:p>
    <w:p w14:paraId="6E95B61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11.2 在谈判过程中，</w:t>
      </w:r>
      <w:r>
        <w:rPr>
          <w:rFonts w:hint="eastAsia" w:ascii="宋体" w:hAnsi="宋体" w:eastAsia="宋体" w:cs="宋体"/>
          <w:b/>
          <w:bCs/>
          <w:color w:val="auto"/>
          <w:kern w:val="2"/>
          <w:sz w:val="24"/>
          <w:szCs w:val="24"/>
          <w:lang w:val="en-US" w:eastAsia="zh-CN" w:bidi="ar-SA"/>
        </w:rPr>
        <w:t>供应商根据谈判小组书面形式要求提交的最后报价(或者重新提交的响应文件和最后报价)</w:t>
      </w:r>
      <w:r>
        <w:rPr>
          <w:rFonts w:hint="eastAsia" w:ascii="宋体" w:hAnsi="宋体" w:eastAsia="宋体" w:cs="宋体"/>
          <w:color w:val="auto"/>
          <w:kern w:val="2"/>
          <w:sz w:val="24"/>
          <w:szCs w:val="24"/>
          <w:lang w:val="en-US" w:eastAsia="zh-CN" w:bidi="ar-SA"/>
        </w:rPr>
        <w:t>是响应文件的有效组成部分。</w:t>
      </w:r>
    </w:p>
    <w:p w14:paraId="6C6C1B21">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92" w:name="_Toc14930_WPSOffice_Level3"/>
      <w:bookmarkStart w:id="93" w:name="_Toc26621"/>
      <w:bookmarkStart w:id="94" w:name="_Toc11674"/>
      <w:bookmarkStart w:id="95" w:name="_Toc8896"/>
      <w:bookmarkStart w:id="96" w:name="_Toc3694_WPSOffice_Level3"/>
      <w:r>
        <w:rPr>
          <w:rFonts w:hint="eastAsia" w:ascii="宋体" w:hAnsi="宋体" w:eastAsia="宋体" w:cs="宋体"/>
          <w:b/>
          <w:bCs/>
          <w:color w:val="auto"/>
          <w:kern w:val="2"/>
          <w:sz w:val="24"/>
          <w:szCs w:val="24"/>
          <w:lang w:val="en-US" w:eastAsia="zh-CN" w:bidi="ar-SA"/>
        </w:rPr>
        <w:t>12.响应文件有效期</w:t>
      </w:r>
      <w:bookmarkEnd w:id="92"/>
      <w:bookmarkEnd w:id="93"/>
      <w:bookmarkEnd w:id="94"/>
      <w:bookmarkEnd w:id="95"/>
      <w:bookmarkEnd w:id="96"/>
    </w:p>
    <w:p w14:paraId="231A2F95">
      <w:pPr>
        <w:pageBreakBefore w:val="0"/>
        <w:widowControl w:val="0"/>
        <w:kinsoku/>
        <w:wordWrap/>
        <w:overflowPunct/>
        <w:topLinePunct w:val="0"/>
        <w:autoSpaceDE/>
        <w:autoSpaceDN/>
        <w:bidi w:val="0"/>
        <w:adjustRightInd/>
        <w:snapToGrid/>
        <w:spacing w:before="157" w:beforeLines="50" w:line="360" w:lineRule="auto"/>
        <w:ind w:firstLine="240" w:firstLineChars="100"/>
        <w:jc w:val="left"/>
        <w:textAlignment w:val="auto"/>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响应文件有效期见【谈判须知前附表】，在此期间响应文件对供应商具有法律约束力，从提交首次响应文件截止时间之日起计算。</w:t>
      </w:r>
      <w:r>
        <w:rPr>
          <w:rFonts w:hint="eastAsia" w:ascii="宋体" w:hAnsi="宋体" w:eastAsia="宋体" w:cs="宋体"/>
          <w:b/>
          <w:bCs/>
          <w:color w:val="auto"/>
          <w:kern w:val="2"/>
          <w:sz w:val="24"/>
          <w:szCs w:val="24"/>
          <w:lang w:val="zh-CN" w:eastAsia="zh-CN" w:bidi="ar-SA"/>
        </w:rPr>
        <w:t>响应文件有效期不足的将被视为无效响应。</w:t>
      </w:r>
    </w:p>
    <w:p w14:paraId="4720FB47">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97" w:name="_Toc21033"/>
      <w:bookmarkStart w:id="98" w:name="_Toc20265"/>
      <w:bookmarkStart w:id="99" w:name="_Toc8507_WPSOffice_Level3"/>
      <w:bookmarkStart w:id="100" w:name="_Toc22485"/>
      <w:bookmarkStart w:id="101" w:name="_Toc31682_WPSOffice_Level3"/>
      <w:r>
        <w:rPr>
          <w:rFonts w:hint="eastAsia" w:ascii="宋体" w:hAnsi="宋体" w:eastAsia="宋体" w:cs="宋体"/>
          <w:b/>
          <w:bCs/>
          <w:color w:val="auto"/>
          <w:kern w:val="2"/>
          <w:sz w:val="24"/>
          <w:szCs w:val="24"/>
          <w:lang w:val="en-US" w:eastAsia="zh-CN" w:bidi="ar-SA"/>
        </w:rPr>
        <w:t>13.响应文件的签署及规定</w:t>
      </w:r>
      <w:bookmarkEnd w:id="97"/>
      <w:bookmarkEnd w:id="98"/>
      <w:bookmarkEnd w:id="99"/>
      <w:bookmarkEnd w:id="100"/>
      <w:bookmarkEnd w:id="101"/>
    </w:p>
    <w:p w14:paraId="45B703C2">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13.1响应文件应按谈判文件要求签字、盖章。供应商代表可为供应商法定代表人(非法人组织为负责人或合伙人、个体工商户为负责人，谈判文件统称单位负责人)；供应商代表不是供应商的法定代表人（单位负责人）的，应提供法定代表人（单位负责人）授权委托书。</w:t>
      </w:r>
    </w:p>
    <w:p w14:paraId="21C556FA">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13.2</w:t>
      </w:r>
      <w:r>
        <w:rPr>
          <w:rFonts w:hint="eastAsia" w:ascii="宋体" w:hAnsi="宋体" w:eastAsia="宋体" w:cs="宋体"/>
          <w:color w:val="auto"/>
          <w:kern w:val="2"/>
          <w:sz w:val="24"/>
          <w:szCs w:val="24"/>
          <w:lang w:val="zh-CN" w:eastAsia="zh-CN" w:bidi="ar-SA"/>
        </w:rPr>
        <w:t>供应商应按照谈判文件所提供的文件格式，分别填写谈判文件</w:t>
      </w:r>
      <w:r>
        <w:rPr>
          <w:rFonts w:hint="eastAsia" w:ascii="宋体" w:hAnsi="宋体" w:eastAsia="宋体" w:cs="宋体"/>
          <w:color w:val="auto"/>
          <w:kern w:val="2"/>
          <w:sz w:val="24"/>
          <w:szCs w:val="24"/>
          <w:highlight w:val="none"/>
          <w:lang w:val="zh-CN" w:eastAsia="zh-CN" w:bidi="ar-SA"/>
        </w:rPr>
        <w:t>第四部分</w:t>
      </w:r>
      <w:r>
        <w:rPr>
          <w:rFonts w:hint="eastAsia" w:ascii="宋体" w:hAnsi="宋体" w:eastAsia="宋体" w:cs="宋体"/>
          <w:color w:val="auto"/>
          <w:kern w:val="2"/>
          <w:sz w:val="24"/>
          <w:szCs w:val="24"/>
          <w:lang w:val="zh-CN" w:eastAsia="zh-CN" w:bidi="ar-SA"/>
        </w:rPr>
        <w:t>的内容；谈判文件要求签字、盖章的地方必须由供应商的法定代表人或委托代理人签字、盖章。</w:t>
      </w:r>
      <w:r>
        <w:rPr>
          <w:rFonts w:hint="eastAsia" w:ascii="宋体" w:hAnsi="宋体" w:eastAsia="宋体" w:cs="宋体"/>
          <w:b/>
          <w:bCs/>
          <w:color w:val="auto"/>
          <w:kern w:val="0"/>
          <w:sz w:val="24"/>
          <w:szCs w:val="24"/>
          <w:lang w:val="en-US" w:eastAsia="zh-CN"/>
        </w:rPr>
        <w:t>供应商</w:t>
      </w:r>
      <w:r>
        <w:rPr>
          <w:rFonts w:hint="eastAsia" w:ascii="宋体" w:hAnsi="宋体" w:eastAsia="宋体" w:cs="宋体"/>
          <w:b/>
          <w:bCs/>
          <w:color w:val="auto"/>
          <w:kern w:val="0"/>
          <w:sz w:val="24"/>
          <w:szCs w:val="24"/>
        </w:rPr>
        <w:t>须提交</w:t>
      </w:r>
      <w:r>
        <w:rPr>
          <w:rFonts w:hint="eastAsia" w:ascii="宋体" w:hAnsi="宋体" w:eastAsia="宋体" w:cs="宋体"/>
          <w:b/>
          <w:bCs/>
          <w:color w:val="auto"/>
          <w:kern w:val="0"/>
          <w:sz w:val="24"/>
          <w:szCs w:val="24"/>
          <w:lang w:val="en-US" w:eastAsia="zh-CN"/>
        </w:rPr>
        <w:t>一</w:t>
      </w:r>
      <w:r>
        <w:rPr>
          <w:rFonts w:hint="eastAsia" w:ascii="宋体" w:hAnsi="宋体" w:eastAsia="宋体" w:cs="宋体"/>
          <w:b/>
          <w:bCs/>
          <w:color w:val="auto"/>
          <w:kern w:val="0"/>
          <w:sz w:val="24"/>
          <w:szCs w:val="24"/>
        </w:rPr>
        <w:t>份</w:t>
      </w:r>
      <w:r>
        <w:rPr>
          <w:rFonts w:hint="eastAsia" w:ascii="宋体" w:hAnsi="宋体" w:eastAsia="宋体" w:cs="宋体"/>
          <w:b/>
          <w:bCs/>
          <w:color w:val="auto"/>
          <w:kern w:val="0"/>
          <w:sz w:val="24"/>
          <w:szCs w:val="24"/>
          <w:lang w:val="en-US" w:eastAsia="zh-CN"/>
        </w:rPr>
        <w:t>电子响应</w:t>
      </w:r>
      <w:r>
        <w:rPr>
          <w:rFonts w:hint="eastAsia" w:ascii="宋体" w:hAnsi="宋体" w:eastAsia="宋体" w:cs="宋体"/>
          <w:b/>
          <w:bCs/>
          <w:color w:val="auto"/>
          <w:kern w:val="0"/>
          <w:sz w:val="24"/>
          <w:szCs w:val="24"/>
          <w:lang w:eastAsia="zh-CN"/>
        </w:rPr>
        <w:t>文件，</w:t>
      </w:r>
      <w:r>
        <w:rPr>
          <w:rFonts w:hint="eastAsia" w:ascii="宋体" w:hAnsi="宋体" w:eastAsia="宋体" w:cs="宋体"/>
          <w:b/>
          <w:bCs/>
          <w:color w:val="auto"/>
          <w:kern w:val="0"/>
          <w:sz w:val="24"/>
          <w:szCs w:val="24"/>
          <w:lang w:val="en-US" w:eastAsia="zh-CN"/>
        </w:rPr>
        <w:t>电子响应</w:t>
      </w:r>
      <w:r>
        <w:rPr>
          <w:rFonts w:hint="eastAsia" w:ascii="宋体" w:hAnsi="宋体" w:eastAsia="宋体" w:cs="宋体"/>
          <w:b/>
          <w:bCs/>
          <w:color w:val="auto"/>
          <w:kern w:val="0"/>
          <w:sz w:val="24"/>
          <w:szCs w:val="24"/>
          <w:lang w:eastAsia="zh-CN"/>
        </w:rPr>
        <w:t>文件</w:t>
      </w:r>
      <w:r>
        <w:rPr>
          <w:rFonts w:hint="eastAsia" w:ascii="宋体" w:hAnsi="宋体" w:eastAsia="宋体" w:cs="宋体"/>
          <w:b/>
          <w:bCs/>
          <w:color w:val="auto"/>
          <w:sz w:val="24"/>
          <w:szCs w:val="24"/>
          <w:lang w:val="en-US" w:eastAsia="zh-CN"/>
        </w:rPr>
        <w:t>为</w:t>
      </w:r>
      <w:r>
        <w:rPr>
          <w:rFonts w:hint="eastAsia" w:ascii="宋体" w:hAnsi="宋体" w:eastAsia="宋体" w:cs="宋体"/>
          <w:b/>
          <w:bCs/>
          <w:color w:val="auto"/>
          <w:kern w:val="0"/>
          <w:sz w:val="24"/>
          <w:szCs w:val="24"/>
          <w:lang w:val="en-US" w:eastAsia="zh-CN"/>
        </w:rPr>
        <w:t>供应商</w:t>
      </w:r>
      <w:r>
        <w:rPr>
          <w:rFonts w:hint="eastAsia" w:ascii="宋体" w:hAnsi="宋体" w:eastAsia="宋体" w:cs="宋体"/>
          <w:b/>
          <w:bCs/>
          <w:color w:val="auto"/>
          <w:sz w:val="24"/>
          <w:szCs w:val="24"/>
          <w:lang w:val="en-US" w:eastAsia="zh-CN"/>
        </w:rPr>
        <w:t>按11.1和13.2要求编制并确认纸质</w:t>
      </w:r>
      <w:r>
        <w:rPr>
          <w:rFonts w:hint="eastAsia" w:ascii="宋体" w:hAnsi="宋体" w:eastAsia="宋体" w:cs="宋体"/>
          <w:b/>
          <w:bCs/>
          <w:color w:val="auto"/>
          <w:kern w:val="0"/>
          <w:sz w:val="24"/>
          <w:szCs w:val="24"/>
          <w:lang w:val="en-US" w:eastAsia="zh-CN"/>
        </w:rPr>
        <w:t>响应</w:t>
      </w:r>
      <w:r>
        <w:rPr>
          <w:rFonts w:hint="eastAsia" w:ascii="宋体" w:hAnsi="宋体" w:eastAsia="宋体" w:cs="宋体"/>
          <w:b/>
          <w:bCs/>
          <w:color w:val="auto"/>
          <w:sz w:val="24"/>
          <w:szCs w:val="24"/>
          <w:lang w:val="en-US" w:eastAsia="zh-CN"/>
        </w:rPr>
        <w:t>文件后的扫描件。</w:t>
      </w:r>
    </w:p>
    <w:p w14:paraId="12D82A78">
      <w:pPr>
        <w:pageBreakBefore w:val="0"/>
        <w:widowControl w:val="0"/>
        <w:kinsoku/>
        <w:wordWrap/>
        <w:overflowPunct/>
        <w:topLinePunct w:val="0"/>
        <w:autoSpaceDE/>
        <w:autoSpaceDN/>
        <w:bidi w:val="0"/>
        <w:adjustRightInd/>
        <w:snapToGrid/>
        <w:spacing w:before="157" w:beforeLines="50" w:line="360" w:lineRule="auto"/>
        <w:jc w:val="center"/>
        <w:textAlignment w:val="auto"/>
        <w:outlineLvl w:val="1"/>
        <w:rPr>
          <w:rFonts w:hint="eastAsia" w:ascii="宋体" w:hAnsi="宋体" w:eastAsia="宋体" w:cs="宋体"/>
          <w:b/>
          <w:bCs/>
          <w:color w:val="auto"/>
          <w:kern w:val="2"/>
          <w:sz w:val="28"/>
          <w:szCs w:val="28"/>
          <w:lang w:val="en-US" w:eastAsia="zh-CN" w:bidi="ar-SA"/>
        </w:rPr>
      </w:pPr>
      <w:bookmarkStart w:id="102" w:name="_Toc32627_WPSOffice_Level2"/>
      <w:bookmarkStart w:id="103" w:name="_Toc25869"/>
      <w:bookmarkStart w:id="104" w:name="_Toc24112_WPSOffice_Level2"/>
      <w:bookmarkStart w:id="105" w:name="_Toc8361"/>
      <w:bookmarkStart w:id="106" w:name="_Toc31349_WPSOffice_Level2"/>
      <w:bookmarkStart w:id="107" w:name="_Toc34637768"/>
      <w:bookmarkStart w:id="108" w:name="_Toc30575"/>
      <w:bookmarkStart w:id="109" w:name="_Toc22668"/>
      <w:r>
        <w:rPr>
          <w:rFonts w:hint="eastAsia" w:ascii="宋体" w:hAnsi="宋体" w:eastAsia="宋体" w:cs="宋体"/>
          <w:b/>
          <w:bCs/>
          <w:color w:val="auto"/>
          <w:kern w:val="2"/>
          <w:sz w:val="28"/>
          <w:szCs w:val="28"/>
          <w:lang w:val="en-US" w:eastAsia="zh-CN" w:bidi="ar-SA"/>
        </w:rPr>
        <w:t>四、响应文件的递交</w:t>
      </w:r>
      <w:bookmarkEnd w:id="102"/>
      <w:bookmarkEnd w:id="103"/>
      <w:bookmarkEnd w:id="104"/>
      <w:bookmarkEnd w:id="105"/>
      <w:bookmarkEnd w:id="106"/>
      <w:bookmarkEnd w:id="107"/>
      <w:bookmarkEnd w:id="108"/>
      <w:r>
        <w:rPr>
          <w:rFonts w:hint="eastAsia" w:ascii="宋体" w:hAnsi="宋体" w:eastAsia="宋体" w:cs="宋体"/>
          <w:b/>
          <w:bCs/>
          <w:color w:val="auto"/>
          <w:kern w:val="2"/>
          <w:sz w:val="28"/>
          <w:szCs w:val="28"/>
          <w:lang w:val="en-US" w:eastAsia="zh-CN" w:bidi="ar-SA"/>
        </w:rPr>
        <w:t>和开启</w:t>
      </w:r>
      <w:bookmarkEnd w:id="109"/>
    </w:p>
    <w:p w14:paraId="216923F3">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10" w:name="_Toc20825_WPSOffice_Level3"/>
      <w:bookmarkStart w:id="111" w:name="_Toc6095"/>
      <w:bookmarkStart w:id="112" w:name="_Toc23622_WPSOffice_Level3"/>
      <w:bookmarkStart w:id="113" w:name="_Toc4459"/>
      <w:bookmarkStart w:id="114" w:name="_Toc23473"/>
      <w:r>
        <w:rPr>
          <w:rFonts w:hint="eastAsia" w:ascii="宋体" w:hAnsi="宋体" w:eastAsia="宋体" w:cs="宋体"/>
          <w:b/>
          <w:bCs/>
          <w:color w:val="auto"/>
          <w:kern w:val="2"/>
          <w:sz w:val="24"/>
          <w:szCs w:val="24"/>
          <w:lang w:val="en-US" w:eastAsia="zh-CN" w:bidi="ar-SA"/>
        </w:rPr>
        <w:t>14.响应文件的密封和标记</w:t>
      </w:r>
      <w:bookmarkEnd w:id="110"/>
      <w:bookmarkEnd w:id="111"/>
      <w:bookmarkEnd w:id="112"/>
      <w:bookmarkEnd w:id="113"/>
      <w:bookmarkEnd w:id="114"/>
    </w:p>
    <w:p w14:paraId="1B4CEE84">
      <w:pPr>
        <w:pageBreakBefore w:val="0"/>
        <w:widowControl w:val="0"/>
        <w:kinsoku/>
        <w:wordWrap/>
        <w:overflowPunct/>
        <w:topLinePunct w:val="0"/>
        <w:autoSpaceDE/>
        <w:autoSpaceDN/>
        <w:bidi w:val="0"/>
        <w:adjustRightInd/>
        <w:snapToGrid/>
        <w:spacing w:before="157" w:beforeLines="50" w:line="360" w:lineRule="auto"/>
        <w:ind w:firstLine="240" w:firstLineChars="10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w:t>
      </w:r>
    </w:p>
    <w:p w14:paraId="2931B96E">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15" w:name="_Toc1241"/>
      <w:bookmarkStart w:id="116" w:name="_Toc13231_WPSOffice_Level3"/>
      <w:bookmarkStart w:id="117" w:name="_Toc18048"/>
      <w:bookmarkStart w:id="118" w:name="_Toc7845_WPSOffice_Level3"/>
      <w:bookmarkStart w:id="119" w:name="_Toc21205"/>
      <w:r>
        <w:rPr>
          <w:rFonts w:hint="eastAsia" w:ascii="宋体" w:hAnsi="宋体" w:eastAsia="宋体" w:cs="宋体"/>
          <w:b/>
          <w:bCs/>
          <w:color w:val="auto"/>
          <w:kern w:val="2"/>
          <w:sz w:val="24"/>
          <w:szCs w:val="24"/>
          <w:lang w:val="en-US" w:eastAsia="zh-CN" w:bidi="ar-SA"/>
        </w:rPr>
        <w:t>15.响应文件的递交</w:t>
      </w:r>
      <w:bookmarkEnd w:id="115"/>
      <w:bookmarkEnd w:id="116"/>
      <w:bookmarkEnd w:id="117"/>
      <w:bookmarkEnd w:id="118"/>
      <w:r>
        <w:rPr>
          <w:rFonts w:hint="eastAsia" w:ascii="宋体" w:hAnsi="宋体" w:eastAsia="宋体" w:cs="宋体"/>
          <w:b/>
          <w:bCs/>
          <w:color w:val="auto"/>
          <w:kern w:val="2"/>
          <w:sz w:val="24"/>
          <w:szCs w:val="24"/>
          <w:lang w:val="en-US" w:eastAsia="zh-CN" w:bidi="ar-SA"/>
        </w:rPr>
        <w:t>和开启</w:t>
      </w:r>
      <w:bookmarkEnd w:id="119"/>
    </w:p>
    <w:p w14:paraId="4F4D9668">
      <w:pPr>
        <w:pageBreakBefore w:val="0"/>
        <w:widowControl w:val="0"/>
        <w:kinsoku/>
        <w:wordWrap/>
        <w:overflowPunct/>
        <w:topLinePunct w:val="0"/>
        <w:autoSpaceDE/>
        <w:autoSpaceDN/>
        <w:bidi w:val="0"/>
        <w:adjustRightInd/>
        <w:snapToGrid/>
        <w:spacing w:before="157" w:beforeLines="50" w:line="360" w:lineRule="auto"/>
        <w:ind w:firstLine="241" w:firstLineChars="1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15.1供应商应当按照谈判文件规定和电子交易系统操作规范的要求编制、确认、签章、加密响应文件，并在</w:t>
      </w:r>
      <w:r>
        <w:rPr>
          <w:rFonts w:hint="eastAsia" w:ascii="宋体" w:hAnsi="宋体" w:eastAsia="宋体" w:cs="宋体"/>
          <w:b/>
          <w:bCs/>
          <w:color w:val="auto"/>
          <w:kern w:val="2"/>
          <w:sz w:val="24"/>
          <w:szCs w:val="24"/>
          <w:lang w:val="en-US" w:eastAsia="zh-CN" w:bidi="ar-SA"/>
        </w:rPr>
        <w:t>提交响应文件的截止时间</w:t>
      </w:r>
      <w:r>
        <w:rPr>
          <w:rFonts w:hint="eastAsia" w:ascii="宋体" w:hAnsi="宋体" w:eastAsia="宋体" w:cs="宋体"/>
          <w:b/>
          <w:bCs/>
          <w:color w:val="auto"/>
          <w:sz w:val="24"/>
          <w:szCs w:val="24"/>
          <w:lang w:val="en-US" w:eastAsia="zh-CN"/>
        </w:rPr>
        <w:t>前通过电子交易系统上传已加密的响应文件。</w:t>
      </w:r>
      <w:r>
        <w:rPr>
          <w:rFonts w:hint="eastAsia" w:ascii="宋体" w:hAnsi="宋体" w:eastAsia="宋体" w:cs="宋体"/>
          <w:b/>
          <w:bCs/>
          <w:color w:val="auto"/>
          <w:kern w:val="2"/>
          <w:sz w:val="24"/>
          <w:szCs w:val="24"/>
          <w:lang w:val="en-US" w:eastAsia="zh-CN" w:bidi="ar-SA"/>
        </w:rPr>
        <w:t>提交响应文件的截止时间</w:t>
      </w:r>
      <w:r>
        <w:rPr>
          <w:rFonts w:hint="eastAsia" w:ascii="宋体" w:hAnsi="宋体" w:eastAsia="宋体" w:cs="宋体"/>
          <w:b/>
          <w:bCs/>
          <w:color w:val="auto"/>
          <w:sz w:val="24"/>
          <w:szCs w:val="24"/>
          <w:lang w:val="en-US" w:eastAsia="zh-CN"/>
        </w:rPr>
        <w:t>前未完成传输的，视为撤回响应文件。</w:t>
      </w:r>
      <w:r>
        <w:rPr>
          <w:rFonts w:hint="eastAsia" w:ascii="宋体" w:hAnsi="宋体" w:eastAsia="宋体" w:cs="宋体"/>
          <w:b/>
          <w:bCs/>
          <w:color w:val="auto"/>
          <w:kern w:val="2"/>
          <w:sz w:val="24"/>
          <w:szCs w:val="24"/>
          <w:lang w:val="en-US" w:eastAsia="zh-CN" w:bidi="ar-SA"/>
        </w:rPr>
        <w:t>提交响应文件的截止时间</w:t>
      </w:r>
      <w:r>
        <w:rPr>
          <w:rFonts w:hint="eastAsia" w:ascii="宋体" w:hAnsi="宋体" w:eastAsia="宋体" w:cs="宋体"/>
          <w:b/>
          <w:bCs/>
          <w:color w:val="auto"/>
          <w:sz w:val="24"/>
          <w:szCs w:val="24"/>
          <w:lang w:val="en-US" w:eastAsia="zh-CN"/>
        </w:rPr>
        <w:t>后递交的响应文件，电子交易系统应当拒收。</w:t>
      </w:r>
    </w:p>
    <w:p w14:paraId="61C59D67">
      <w:pPr>
        <w:pageBreakBefore w:val="0"/>
        <w:widowControl w:val="0"/>
        <w:kinsoku/>
        <w:wordWrap/>
        <w:overflowPunct/>
        <w:topLinePunct w:val="0"/>
        <w:autoSpaceDE/>
        <w:autoSpaceDN/>
        <w:bidi w:val="0"/>
        <w:adjustRightInd/>
        <w:snapToGrid/>
        <w:spacing w:before="157" w:beforeLines="50" w:line="360" w:lineRule="auto"/>
        <w:ind w:firstLine="241" w:firstLineChars="1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15.2采购人及采购代理机构通过电子交易系统按照谈判文件规定的时间、地点组织开启响应文件，电子化采购活动各参与方均应当准时在线参加。</w:t>
      </w:r>
    </w:p>
    <w:p w14:paraId="63976503">
      <w:pPr>
        <w:pageBreakBefore w:val="0"/>
        <w:widowControl w:val="0"/>
        <w:kinsoku/>
        <w:wordWrap/>
        <w:overflowPunct/>
        <w:topLinePunct w:val="0"/>
        <w:autoSpaceDE/>
        <w:autoSpaceDN/>
        <w:bidi w:val="0"/>
        <w:adjustRightInd/>
        <w:snapToGrid/>
        <w:spacing w:before="157" w:beforeLines="50" w:line="360" w:lineRule="auto"/>
        <w:ind w:firstLine="241" w:firstLineChars="1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15.3开启时，电子交易系统自动提取所有响应文件，并提示供应商按照谈判文件规定按时在线解密，解密时间为60分钟。因供应商原因造成响应文件未解密的，视为撤销其响应文件。</w:t>
      </w:r>
    </w:p>
    <w:p w14:paraId="6333AD85">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20" w:name="_Toc5063_WPSOffice_Level3"/>
      <w:bookmarkStart w:id="121" w:name="_Toc31959"/>
      <w:bookmarkStart w:id="122" w:name="_Toc17912"/>
      <w:bookmarkStart w:id="123" w:name="_Toc19521_WPSOffice_Level3"/>
      <w:bookmarkStart w:id="124" w:name="_Toc31326"/>
      <w:r>
        <w:rPr>
          <w:rFonts w:hint="eastAsia" w:ascii="宋体" w:hAnsi="宋体" w:eastAsia="宋体" w:cs="宋体"/>
          <w:b/>
          <w:bCs/>
          <w:color w:val="auto"/>
          <w:kern w:val="2"/>
          <w:sz w:val="24"/>
          <w:szCs w:val="24"/>
          <w:lang w:val="en-US" w:eastAsia="zh-CN" w:bidi="ar-SA"/>
        </w:rPr>
        <w:t>16.响应文件的</w:t>
      </w:r>
      <w:r>
        <w:rPr>
          <w:rFonts w:hint="eastAsia" w:ascii="宋体" w:hAnsi="宋体" w:eastAsia="宋体" w:cs="宋体"/>
          <w:b/>
          <w:bCs/>
          <w:color w:val="auto"/>
          <w:kern w:val="2"/>
          <w:sz w:val="24"/>
          <w:szCs w:val="24"/>
          <w:lang w:val="zh-CN" w:eastAsia="zh-CN" w:bidi="ar-SA"/>
        </w:rPr>
        <w:t>补充、修改或者撤回</w:t>
      </w:r>
      <w:bookmarkEnd w:id="120"/>
      <w:bookmarkEnd w:id="121"/>
      <w:bookmarkEnd w:id="122"/>
      <w:bookmarkEnd w:id="123"/>
      <w:bookmarkEnd w:id="124"/>
    </w:p>
    <w:p w14:paraId="57D407EB">
      <w:pPr>
        <w:pageBreakBefore w:val="0"/>
        <w:widowControl w:val="0"/>
        <w:kinsoku/>
        <w:wordWrap/>
        <w:overflowPunct/>
        <w:topLinePunct w:val="0"/>
        <w:autoSpaceDE/>
        <w:autoSpaceDN/>
        <w:bidi w:val="0"/>
        <w:adjustRightInd/>
        <w:snapToGrid/>
        <w:spacing w:before="157" w:beforeLines="50"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bookmarkStart w:id="125" w:name="_Toc34637769"/>
      <w:r>
        <w:rPr>
          <w:rFonts w:hint="eastAsia" w:ascii="宋体" w:hAnsi="宋体" w:eastAsia="宋体" w:cs="宋体"/>
          <w:color w:val="auto"/>
          <w:kern w:val="2"/>
          <w:sz w:val="24"/>
          <w:szCs w:val="24"/>
          <w:lang w:val="en-US" w:eastAsia="zh-CN" w:bidi="ar-SA"/>
        </w:rPr>
        <w:t>供应商在谈判文件开启时间前，可以对所上传的响应文件进行补充、修改或者撤回，补充、修改或者撤回的内容作为响应文件的组成部分。</w:t>
      </w:r>
    </w:p>
    <w:p w14:paraId="3E5CB580">
      <w:pPr>
        <w:pageBreakBefore w:val="0"/>
        <w:widowControl w:val="0"/>
        <w:kinsoku/>
        <w:wordWrap/>
        <w:overflowPunct/>
        <w:topLinePunct w:val="0"/>
        <w:autoSpaceDE/>
        <w:autoSpaceDN/>
        <w:bidi w:val="0"/>
        <w:adjustRightInd/>
        <w:snapToGrid/>
        <w:spacing w:before="157" w:beforeLines="50" w:line="360" w:lineRule="auto"/>
        <w:jc w:val="center"/>
        <w:textAlignment w:val="auto"/>
        <w:outlineLvl w:val="1"/>
        <w:rPr>
          <w:rFonts w:hint="eastAsia" w:ascii="宋体" w:hAnsi="宋体" w:eastAsia="宋体" w:cs="宋体"/>
          <w:b w:val="0"/>
          <w:bCs w:val="0"/>
          <w:color w:val="auto"/>
          <w:kern w:val="2"/>
          <w:sz w:val="28"/>
          <w:szCs w:val="28"/>
          <w:lang w:val="en-US" w:eastAsia="zh-CN" w:bidi="ar-SA"/>
        </w:rPr>
      </w:pPr>
      <w:bookmarkStart w:id="126" w:name="_Toc10968"/>
      <w:bookmarkStart w:id="127" w:name="_Toc31993"/>
      <w:bookmarkStart w:id="128" w:name="_Toc28887"/>
      <w:bookmarkStart w:id="129" w:name="_Toc29785_WPSOffice_Level2"/>
      <w:bookmarkStart w:id="130" w:name="_Toc18610_WPSOffice_Level2"/>
      <w:bookmarkStart w:id="131" w:name="_Toc12974"/>
      <w:bookmarkStart w:id="132" w:name="_Toc25721_WPSOffice_Level2"/>
      <w:r>
        <w:rPr>
          <w:rFonts w:hint="eastAsia" w:ascii="宋体" w:hAnsi="宋体" w:eastAsia="宋体" w:cs="宋体"/>
          <w:b/>
          <w:bCs/>
          <w:color w:val="auto"/>
          <w:kern w:val="2"/>
          <w:sz w:val="28"/>
          <w:szCs w:val="28"/>
          <w:lang w:val="en-US" w:eastAsia="zh-CN" w:bidi="ar-SA"/>
        </w:rPr>
        <w:t>五、响应文件的评审与谈判</w:t>
      </w:r>
      <w:bookmarkEnd w:id="125"/>
      <w:bookmarkEnd w:id="126"/>
      <w:bookmarkEnd w:id="127"/>
      <w:bookmarkEnd w:id="128"/>
      <w:bookmarkEnd w:id="129"/>
      <w:bookmarkEnd w:id="130"/>
      <w:bookmarkEnd w:id="131"/>
      <w:bookmarkEnd w:id="132"/>
    </w:p>
    <w:p w14:paraId="358EE6EA">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33" w:name="_Toc19596_WPSOffice_Level3"/>
      <w:bookmarkStart w:id="134" w:name="_Toc26446"/>
      <w:bookmarkStart w:id="135" w:name="_Toc174"/>
      <w:bookmarkStart w:id="136" w:name="_Toc18713_WPSOffice_Level3"/>
      <w:bookmarkStart w:id="137" w:name="_Toc19042"/>
      <w:r>
        <w:rPr>
          <w:rFonts w:hint="eastAsia" w:ascii="宋体" w:hAnsi="宋体" w:eastAsia="宋体" w:cs="宋体"/>
          <w:b/>
          <w:bCs/>
          <w:color w:val="auto"/>
          <w:kern w:val="2"/>
          <w:sz w:val="24"/>
          <w:szCs w:val="24"/>
          <w:lang w:val="en-US" w:eastAsia="zh-CN" w:bidi="ar-SA"/>
        </w:rPr>
        <w:t>17.谈判小组</w:t>
      </w:r>
      <w:bookmarkEnd w:id="133"/>
      <w:bookmarkEnd w:id="134"/>
      <w:bookmarkEnd w:id="135"/>
      <w:bookmarkEnd w:id="136"/>
      <w:bookmarkEnd w:id="137"/>
    </w:p>
    <w:p w14:paraId="53AECD5E">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17.1竞争性谈判小组由采购人代表和评审专家共</w:t>
      </w:r>
      <w:r>
        <w:rPr>
          <w:rFonts w:hint="eastAsia" w:ascii="宋体" w:hAnsi="宋体" w:eastAsia="宋体" w:cs="宋体"/>
          <w:color w:val="auto"/>
          <w:kern w:val="2"/>
          <w:sz w:val="24"/>
          <w:szCs w:val="24"/>
          <w:u w:val="none"/>
          <w:lang w:val="en-US" w:eastAsia="zh-CN" w:bidi="ar-SA"/>
        </w:rPr>
        <w:t>3</w:t>
      </w:r>
      <w:r>
        <w:rPr>
          <w:rFonts w:hint="eastAsia" w:ascii="宋体" w:hAnsi="宋体" w:eastAsia="宋体" w:cs="宋体"/>
          <w:color w:val="auto"/>
          <w:kern w:val="2"/>
          <w:sz w:val="24"/>
          <w:szCs w:val="24"/>
          <w:lang w:val="en-US" w:eastAsia="zh-CN" w:bidi="ar-SA"/>
        </w:rPr>
        <w:t>人以上单数组成，其中评审专家不得少于竞争性谈判小组成员总数的2/3。采购人不得以评审专家身份参加本采购项目的评审。谈判小组评审专家从政府采购评审专家库内相关专业的专家名单中随机抽取。</w:t>
      </w:r>
    </w:p>
    <w:p w14:paraId="176ABF61">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17.2谈判由采购代理机构负责组织，具体谈判事务由依法组建的谈判小组负责，</w:t>
      </w:r>
      <w:r>
        <w:rPr>
          <w:rFonts w:hint="eastAsia" w:ascii="宋体" w:hAnsi="宋体" w:eastAsia="宋体" w:cs="宋体"/>
          <w:b/>
          <w:bCs/>
          <w:color w:val="auto"/>
          <w:kern w:val="2"/>
          <w:sz w:val="24"/>
          <w:szCs w:val="24"/>
          <w:lang w:val="en-US" w:eastAsia="zh-CN" w:bidi="ar-SA"/>
        </w:rPr>
        <w:t>并独立履行下列职责</w:t>
      </w:r>
      <w:r>
        <w:rPr>
          <w:rFonts w:hint="eastAsia" w:ascii="宋体" w:hAnsi="宋体" w:eastAsia="宋体" w:cs="宋体"/>
          <w:color w:val="auto"/>
          <w:kern w:val="2"/>
          <w:sz w:val="24"/>
          <w:szCs w:val="24"/>
          <w:lang w:val="en-US" w:eastAsia="zh-CN" w:bidi="ar-SA"/>
        </w:rPr>
        <w:t>：</w:t>
      </w:r>
    </w:p>
    <w:p w14:paraId="23A83C7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（1）确认谈判文件；</w:t>
      </w:r>
    </w:p>
    <w:p w14:paraId="42530AB0">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（2）从符合相应资格条件的供应商名单中确定不少于3家的供应商参加谈判；</w:t>
      </w:r>
    </w:p>
    <w:p w14:paraId="44062BFB">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（3）审查供应商的响应文件并作出评价；</w:t>
      </w:r>
    </w:p>
    <w:p w14:paraId="11502BE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（4）要求供应商解释或者澄清其响应文件；</w:t>
      </w:r>
    </w:p>
    <w:p w14:paraId="20CFAA19">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（5）编写评审报告；</w:t>
      </w:r>
    </w:p>
    <w:p w14:paraId="0784DB37">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（6）告知采购人、采购代理机构在评审过程中发现的供应商的违法违规行为。</w:t>
      </w:r>
    </w:p>
    <w:p w14:paraId="651B9DE1">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17.3</w:t>
      </w:r>
      <w:r>
        <w:rPr>
          <w:rFonts w:hint="eastAsia" w:ascii="宋体" w:hAnsi="宋体" w:eastAsia="宋体" w:cs="宋体"/>
          <w:b/>
          <w:bCs/>
          <w:color w:val="auto"/>
          <w:kern w:val="2"/>
          <w:sz w:val="24"/>
          <w:szCs w:val="24"/>
          <w:lang w:val="en-US" w:eastAsia="zh-CN" w:bidi="ar-SA"/>
        </w:rPr>
        <w:t>谈判小组应遵守并履行下列义务：</w:t>
      </w:r>
    </w:p>
    <w:p w14:paraId="7CA2892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（1）遵纪守法，客观、公正、廉洁地履行职责；</w:t>
      </w:r>
    </w:p>
    <w:p w14:paraId="7DC31B6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（2）根据采购文件的规定独立进行评审，对个人的评审意见承担法律责任；</w:t>
      </w:r>
    </w:p>
    <w:p w14:paraId="1D600ED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（3）参与评审报告的起草；</w:t>
      </w:r>
    </w:p>
    <w:p w14:paraId="59494971">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（4）配合采购人、采购代理机构答复供应商提出的质疑；</w:t>
      </w:r>
    </w:p>
    <w:p w14:paraId="3C5ED68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（5）配合财政部门的投诉处理和监督检查工作。</w:t>
      </w:r>
    </w:p>
    <w:p w14:paraId="20F31BE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17.4</w:t>
      </w:r>
      <w:r>
        <w:rPr>
          <w:rFonts w:hint="eastAsia" w:ascii="宋体" w:hAnsi="宋体" w:eastAsia="宋体" w:cs="宋体"/>
          <w:b/>
          <w:bCs/>
          <w:color w:val="auto"/>
          <w:kern w:val="2"/>
          <w:sz w:val="24"/>
          <w:szCs w:val="24"/>
          <w:lang w:val="en-US" w:eastAsia="zh-CN" w:bidi="ar-SA"/>
        </w:rPr>
        <w:t>评审专家与参加采购活动的供应商存在下列利害关系之一的,应当回避：</w:t>
      </w:r>
    </w:p>
    <w:p w14:paraId="5E815649">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bookmarkStart w:id="138" w:name="_Toc16350_WPSOffice_Level3"/>
      <w:bookmarkStart w:id="139" w:name="_Toc19122"/>
      <w:r>
        <w:rPr>
          <w:rFonts w:hint="eastAsia" w:ascii="宋体" w:hAnsi="宋体" w:eastAsia="宋体" w:cs="宋体"/>
          <w:color w:val="auto"/>
          <w:kern w:val="2"/>
          <w:sz w:val="24"/>
          <w:szCs w:val="24"/>
          <w:lang w:val="en-US" w:eastAsia="zh-CN" w:bidi="ar-SA"/>
        </w:rPr>
        <w:t>（1）参加采购活动前三年内,与供应商存在劳动关系,或者担任过供应商的董事、监事,或者是供应商的控股股东或实际控制人；</w:t>
      </w:r>
    </w:p>
    <w:p w14:paraId="184C475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（2）与供应商的法定代表人或者负责人有夫妻、直系血亲、三代以内旁系血亲或者近姻亲关系；</w:t>
      </w:r>
    </w:p>
    <w:p w14:paraId="12DF8F8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（3）与供应商有其他可能影响政府采购活动公平、公正进行的关系。</w:t>
      </w:r>
    </w:p>
    <w:p w14:paraId="3F0AC5F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评审专家发现本人与参加采购活动的供应商有利害关系的,应当主动提出回避。采购人或者采购代理机构发现评审专家与参加采购活动的供应商有利害关系的,应当要求其回避。</w:t>
      </w:r>
    </w:p>
    <w:p w14:paraId="0AA03815">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40" w:name="_Toc22044_WPSOffice_Level3"/>
      <w:bookmarkStart w:id="141" w:name="_Toc14928"/>
      <w:r>
        <w:rPr>
          <w:rFonts w:hint="eastAsia" w:ascii="宋体" w:hAnsi="宋体" w:eastAsia="宋体" w:cs="宋体"/>
          <w:b/>
          <w:bCs/>
          <w:color w:val="auto"/>
          <w:kern w:val="2"/>
          <w:sz w:val="24"/>
          <w:szCs w:val="24"/>
          <w:lang w:val="en-US" w:eastAsia="zh-CN" w:bidi="ar-SA"/>
        </w:rPr>
        <w:t>18.响应文件审查</w:t>
      </w:r>
      <w:bookmarkEnd w:id="138"/>
      <w:bookmarkEnd w:id="139"/>
      <w:bookmarkEnd w:id="140"/>
      <w:bookmarkEnd w:id="141"/>
    </w:p>
    <w:p w14:paraId="6DBEBE27">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18.1谈判小组应当对响应文件进行评审，并根据谈判文件规定的程序、评定成交的标准等事项与</w:t>
      </w:r>
      <w:r>
        <w:rPr>
          <w:rFonts w:hint="eastAsia" w:ascii="宋体" w:hAnsi="宋体" w:eastAsia="宋体" w:cs="宋体"/>
          <w:b/>
          <w:bCs/>
          <w:color w:val="auto"/>
          <w:kern w:val="2"/>
          <w:sz w:val="24"/>
          <w:szCs w:val="24"/>
          <w:lang w:val="en-US" w:eastAsia="zh-CN" w:bidi="ar-SA"/>
        </w:rPr>
        <w:t>实质性响应谈判文件要求的供应商进行谈判</w:t>
      </w:r>
      <w:r>
        <w:rPr>
          <w:rFonts w:hint="eastAsia" w:ascii="宋体" w:hAnsi="宋体" w:eastAsia="宋体" w:cs="宋体"/>
          <w:color w:val="auto"/>
          <w:kern w:val="2"/>
          <w:sz w:val="24"/>
          <w:szCs w:val="24"/>
          <w:lang w:val="en-US" w:eastAsia="zh-CN" w:bidi="ar-SA"/>
        </w:rPr>
        <w:t>。</w:t>
      </w:r>
    </w:p>
    <w:p w14:paraId="54EF034A">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18.2在对供应商进行审查时，</w:t>
      </w:r>
      <w:r>
        <w:rPr>
          <w:rFonts w:hint="eastAsia" w:ascii="宋体" w:hAnsi="宋体" w:eastAsia="宋体" w:cs="宋体"/>
          <w:b/>
          <w:bCs/>
          <w:color w:val="auto"/>
          <w:kern w:val="2"/>
          <w:sz w:val="24"/>
          <w:szCs w:val="24"/>
          <w:lang w:val="en-US" w:eastAsia="zh-CN" w:bidi="ar-SA"/>
        </w:rPr>
        <w:t>存在下列情况之一的，按无效处理：</w:t>
      </w:r>
    </w:p>
    <w:p w14:paraId="5CE0937E">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不符合谈判文件第一部分  谈判须知前附表“供应商资格条件”的</w:t>
      </w:r>
      <w:r>
        <w:rPr>
          <w:rFonts w:hint="eastAsia" w:ascii="宋体" w:hAnsi="宋体" w:eastAsia="宋体" w:cs="宋体"/>
          <w:color w:val="auto"/>
          <w:kern w:val="2"/>
          <w:sz w:val="24"/>
          <w:szCs w:val="24"/>
          <w:lang w:val="en-US" w:eastAsia="zh-CN" w:bidi="ar-SA"/>
        </w:rPr>
        <w:t>；</w:t>
      </w:r>
    </w:p>
    <w:p w14:paraId="478C9BDA">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kern w:val="2"/>
          <w:sz w:val="24"/>
          <w:szCs w:val="24"/>
          <w:lang w:val="en-US" w:eastAsia="zh-CN" w:bidi="ar-SA"/>
        </w:rPr>
        <w:t>未按第11.1.1款“</w:t>
      </w:r>
      <w:r>
        <w:rPr>
          <w:rFonts w:hint="eastAsia" w:ascii="宋体" w:hAnsi="宋体" w:eastAsia="宋体" w:cs="宋体"/>
          <w:color w:val="auto"/>
          <w:kern w:val="2"/>
          <w:sz w:val="24"/>
          <w:szCs w:val="24"/>
          <w:lang w:val="zh-CN" w:eastAsia="zh-CN" w:bidi="ar-SA"/>
        </w:rPr>
        <w:t>资格审查部分</w:t>
      </w:r>
      <w:r>
        <w:rPr>
          <w:rFonts w:hint="eastAsia" w:ascii="宋体" w:hAnsi="宋体" w:eastAsia="宋体" w:cs="宋体"/>
          <w:color w:val="auto"/>
          <w:kern w:val="2"/>
          <w:sz w:val="24"/>
          <w:szCs w:val="24"/>
          <w:lang w:val="en-US" w:eastAsia="zh-CN" w:bidi="ar-SA"/>
        </w:rPr>
        <w:t>”要求提供相关资料的</w:t>
      </w:r>
      <w:r>
        <w:rPr>
          <w:rFonts w:hint="eastAsia" w:ascii="宋体" w:hAnsi="宋体" w:eastAsia="宋体" w:cs="宋体"/>
          <w:color w:val="auto"/>
          <w:kern w:val="2"/>
          <w:sz w:val="24"/>
          <w:szCs w:val="24"/>
          <w:lang w:val="en-US" w:eastAsia="zh-CN" w:bidi="ar-SA"/>
        </w:rPr>
        <w:t>；</w:t>
      </w:r>
    </w:p>
    <w:p w14:paraId="06BA040B">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kern w:val="2"/>
          <w:sz w:val="24"/>
          <w:szCs w:val="24"/>
          <w:lang w:val="en-US" w:eastAsia="zh-CN" w:bidi="ar-SA"/>
        </w:rPr>
        <w:t>施工工期、施工地点及质量保修期不能满足谈判文件要求的</w:t>
      </w:r>
      <w:r>
        <w:rPr>
          <w:rFonts w:hint="eastAsia" w:ascii="宋体" w:hAnsi="宋体" w:eastAsia="宋体" w:cs="宋体"/>
          <w:color w:val="auto"/>
          <w:kern w:val="2"/>
          <w:sz w:val="24"/>
          <w:szCs w:val="24"/>
          <w:lang w:val="en-US" w:eastAsia="zh-CN" w:bidi="ar-SA"/>
        </w:rPr>
        <w:t>；</w:t>
      </w:r>
    </w:p>
    <w:p w14:paraId="1084805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（4）响应文件没有按谈判文件规定和要求签字、盖章的；</w:t>
      </w:r>
    </w:p>
    <w:p w14:paraId="19EA388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kern w:val="2"/>
          <w:sz w:val="24"/>
          <w:szCs w:val="24"/>
          <w:lang w:val="en-US" w:eastAsia="zh-CN" w:bidi="ar-SA"/>
        </w:rPr>
        <w:t>响应文件有效期不能满足谈判文件要求的；</w:t>
      </w:r>
    </w:p>
    <w:p w14:paraId="426AE4C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w:t>
      </w:r>
      <w:r>
        <w:rPr>
          <w:rFonts w:hint="eastAsia" w:ascii="宋体" w:hAnsi="宋体" w:eastAsia="宋体" w:cs="宋体"/>
          <w:color w:val="auto"/>
          <w:kern w:val="2"/>
          <w:sz w:val="24"/>
          <w:szCs w:val="24"/>
          <w:lang w:val="en-US" w:eastAsia="zh-CN" w:bidi="ar-SA"/>
        </w:rPr>
        <w:t>谈判报价超过谈判文件规定的采购预算额度的；</w:t>
      </w:r>
    </w:p>
    <w:p w14:paraId="331B9B4D">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w:t>
      </w:r>
      <w:r>
        <w:rPr>
          <w:rFonts w:hint="eastAsia" w:ascii="宋体" w:hAnsi="宋体" w:eastAsia="宋体" w:cs="宋体"/>
          <w:color w:val="auto"/>
          <w:kern w:val="2"/>
          <w:sz w:val="24"/>
          <w:szCs w:val="24"/>
          <w:lang w:val="en-US" w:eastAsia="zh-CN" w:bidi="ar-SA"/>
        </w:rPr>
        <w:t>所提供产品的技术规格、技术标准明显不符合采购项目要求的；</w:t>
      </w:r>
    </w:p>
    <w:p w14:paraId="2122D66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（8）响应文件含有采购人不能接受的附加条件的；</w:t>
      </w:r>
    </w:p>
    <w:p w14:paraId="1B26E67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（9）响应文件不满足谈判文件实质性要求和条件的；</w:t>
      </w:r>
    </w:p>
    <w:p w14:paraId="11E7368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（10）谈判小组认为应按无效谈判处理的其他情况；</w:t>
      </w:r>
    </w:p>
    <w:p w14:paraId="2116993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（11）法律、法规和谈判文件规定的其他情形。</w:t>
      </w:r>
    </w:p>
    <w:p w14:paraId="116B8B85">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42" w:name="_Toc6797"/>
      <w:bookmarkStart w:id="143" w:name="_Toc11154"/>
      <w:bookmarkStart w:id="144" w:name="_Toc17197"/>
      <w:bookmarkStart w:id="145" w:name="_Toc1673_WPSOffice_Level3"/>
      <w:bookmarkStart w:id="146" w:name="_Toc17887_WPSOffice_Level3"/>
      <w:r>
        <w:rPr>
          <w:rFonts w:hint="eastAsia" w:ascii="宋体" w:hAnsi="宋体" w:eastAsia="宋体" w:cs="宋体"/>
          <w:b/>
          <w:bCs/>
          <w:color w:val="auto"/>
          <w:kern w:val="2"/>
          <w:sz w:val="24"/>
          <w:szCs w:val="24"/>
          <w:lang w:val="en-US" w:eastAsia="zh-CN" w:bidi="ar-SA"/>
        </w:rPr>
        <w:t>19.谈判程序</w:t>
      </w:r>
      <w:bookmarkEnd w:id="142"/>
      <w:bookmarkEnd w:id="143"/>
      <w:bookmarkEnd w:id="144"/>
      <w:bookmarkEnd w:id="145"/>
      <w:bookmarkEnd w:id="146"/>
    </w:p>
    <w:p w14:paraId="3A059B9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19.1在谈判过程中，谈判小组所有成员集中与单一供应商分别进行谈判，负责审议所有通过资格条件供应商的响应文件，给予所有参加谈判的供应商平等的谈判机会。供应商应派其代表参加谈判。在谈判过程中谈判的任何一方不得向他人透露与谈判有关的技术资料、价格或其他信息。</w:t>
      </w:r>
    </w:p>
    <w:p w14:paraId="37121EAE">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19.2在谈判过程中，</w:t>
      </w:r>
      <w:r>
        <w:rPr>
          <w:rFonts w:hint="eastAsia" w:ascii="宋体" w:hAnsi="宋体" w:eastAsia="宋体" w:cs="宋体"/>
          <w:color w:val="auto"/>
          <w:kern w:val="2"/>
          <w:sz w:val="24"/>
          <w:szCs w:val="24"/>
          <w:u w:val="none"/>
          <w:lang w:val="en-US" w:eastAsia="zh-CN" w:bidi="ar-SA"/>
        </w:rPr>
        <w:t>谈判小组可以根据谈判文件和谈判情况实质性变动技术标准及要求中的技术、服务要求以及合同草案条款，但不得变动谈判文件中的其他内容。</w:t>
      </w:r>
      <w:r>
        <w:rPr>
          <w:rFonts w:hint="eastAsia" w:ascii="宋体" w:hAnsi="宋体" w:eastAsia="宋体" w:cs="宋体"/>
          <w:color w:val="auto"/>
          <w:kern w:val="2"/>
          <w:sz w:val="24"/>
          <w:szCs w:val="24"/>
          <w:lang w:val="en-US" w:eastAsia="zh-CN" w:bidi="ar-SA"/>
        </w:rPr>
        <w:t>实质性变动的内容，须经采购人代表确认，谈判小组将以书面形式将修改内容同时通知所有参加谈判的供应商。</w:t>
      </w:r>
    </w:p>
    <w:p w14:paraId="3047C26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u w:val="single"/>
          <w:lang w:val="en-US" w:eastAsia="zh-CN" w:bidi="ar-SA"/>
        </w:rPr>
      </w:pPr>
      <w:r>
        <w:rPr>
          <w:rFonts w:hint="eastAsia" w:ascii="宋体" w:hAnsi="宋体" w:eastAsia="宋体" w:cs="宋体"/>
          <w:color w:val="auto"/>
          <w:kern w:val="2"/>
          <w:sz w:val="24"/>
          <w:szCs w:val="24"/>
          <w:lang w:val="en-US" w:eastAsia="zh-CN" w:bidi="ar-SA"/>
        </w:rPr>
        <w:t>19.3</w:t>
      </w:r>
      <w:r>
        <w:rPr>
          <w:rFonts w:hint="eastAsia" w:ascii="宋体" w:hAnsi="宋体" w:eastAsia="宋体" w:cs="宋体"/>
          <w:color w:val="auto"/>
          <w:kern w:val="2"/>
          <w:sz w:val="24"/>
          <w:szCs w:val="24"/>
          <w:u w:val="none"/>
          <w:lang w:val="en-US" w:eastAsia="zh-CN" w:bidi="ar-SA"/>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p>
    <w:p w14:paraId="5260AF2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19.4响应文件中首次报价表内的报价为首次报价，根据技术、服务等满足谈判文件要求的情况，供应商可进行二次报价。</w:t>
      </w:r>
    </w:p>
    <w:p w14:paraId="36FA4430">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bCs/>
          <w:color w:val="auto"/>
          <w:sz w:val="24"/>
          <w:szCs w:val="24"/>
          <w:lang w:val="en-US" w:eastAsia="zh-CN"/>
        </w:rPr>
        <w:t>未在最终轮次规定时间内（60分钟）进行响应报价的，按首轮报价进行评审，退出谈判的除外。</w:t>
      </w:r>
    </w:p>
    <w:p w14:paraId="72E3F19B">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u w:val="single" w:color="auto"/>
          <w:lang w:val="en-US" w:eastAsia="zh-CN" w:bidi="ar-SA"/>
        </w:rPr>
      </w:pPr>
      <w:r>
        <w:rPr>
          <w:rFonts w:hint="eastAsia" w:ascii="宋体" w:hAnsi="宋体" w:eastAsia="宋体" w:cs="宋体"/>
          <w:color w:val="auto"/>
          <w:kern w:val="2"/>
          <w:sz w:val="24"/>
          <w:szCs w:val="24"/>
          <w:lang w:val="en-US" w:eastAsia="zh-CN" w:bidi="ar-SA"/>
        </w:rPr>
        <w:t>19.5</w:t>
      </w:r>
      <w:r>
        <w:rPr>
          <w:rFonts w:hint="eastAsia" w:ascii="宋体" w:hAnsi="宋体" w:eastAsia="宋体" w:cs="宋体"/>
          <w:color w:val="auto"/>
          <w:kern w:val="2"/>
          <w:sz w:val="24"/>
          <w:szCs w:val="24"/>
          <w:u w:val="none" w:color="auto"/>
          <w:lang w:val="en-US" w:eastAsia="zh-CN" w:bidi="ar-SA"/>
        </w:rPr>
        <w:t>谈判小组认为供应商的最后报价明显低于其他通过有效性、完整性、响应程度审查供应商的报价，有可能影响产品质量或者不能诚信履约的，应当要求其在谈判现场合理的时间内提供书面说明，必要时提交相关证明材料；供应商不能证明其报价合理性的，谈判小组应当将其作为无效谈判处理。</w:t>
      </w:r>
    </w:p>
    <w:p w14:paraId="30EC89F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19.6谈判工作在有关部门的监督下依法开展，任何单位和个人不得非法干预、影响谈判工作和谈判结果。</w:t>
      </w:r>
    </w:p>
    <w:p w14:paraId="7B60E3C3">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47" w:name="_Toc25644_WPSOffice_Level3"/>
      <w:bookmarkStart w:id="148" w:name="_Toc24288_WPSOffice_Level3"/>
      <w:bookmarkStart w:id="149" w:name="_Toc14513"/>
      <w:bookmarkStart w:id="150" w:name="_Toc2176"/>
      <w:bookmarkStart w:id="151" w:name="_Toc14903"/>
      <w:r>
        <w:rPr>
          <w:rFonts w:hint="eastAsia" w:ascii="宋体" w:hAnsi="宋体" w:eastAsia="宋体" w:cs="宋体"/>
          <w:b/>
          <w:bCs/>
          <w:color w:val="auto"/>
          <w:kern w:val="2"/>
          <w:sz w:val="24"/>
          <w:szCs w:val="24"/>
          <w:lang w:val="en-US" w:eastAsia="zh-CN" w:bidi="ar-SA"/>
        </w:rPr>
        <w:t>20.澄清</w:t>
      </w:r>
      <w:bookmarkEnd w:id="147"/>
      <w:bookmarkEnd w:id="148"/>
      <w:bookmarkEnd w:id="149"/>
      <w:bookmarkEnd w:id="150"/>
      <w:bookmarkEnd w:id="151"/>
    </w:p>
    <w:p w14:paraId="284D9AB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20.1谈判小组在对响应文件(包括首次提交的响应文件、重新提交的响应文件)的有效性、完整性和对谈判文件的响应程度进行审查时，可以要求供应商对响应文件中含义不明确、同类问题表述不一致或者有明显文字和计算错误的内容等作出必要的澄清、说明或者更正。</w:t>
      </w:r>
    </w:p>
    <w:p w14:paraId="5F8206CD">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20.2供应商的澄清、说明或者更正响应文件应当采用书面形式，由法定代表人或其授权代表签字或者加盖公章。由授权代表签字的，应当附法定代表人授权书。供应商为自然人的，应当由本人签字并附身份证明，供应商的澄清、说明或者更正不得超出谈判文件的范围或者改变响应文件的实质性内容。</w:t>
      </w:r>
    </w:p>
    <w:p w14:paraId="3D76EE9D">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bCs/>
          <w:color w:val="auto"/>
          <w:sz w:val="24"/>
          <w:szCs w:val="24"/>
          <w:lang w:val="en-US" w:eastAsia="zh-CN"/>
        </w:rPr>
        <w:t>20.3评审中需要供应商对响应文件作出澄清、说明或者补正的，谈判小组和供应商应当通过电子交易系统交换数据电文，给予供应商提交澄清说明或补正的时间为60分钟，供应商已经明确表示澄清说明或补正完毕的除外。未在规定时间内进行澄清补正，视同默认原文相关内容。</w:t>
      </w:r>
    </w:p>
    <w:p w14:paraId="4FEB351D">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52" w:name="_Toc6898_WPSOffice_Level3"/>
      <w:bookmarkStart w:id="153" w:name="_Toc8374"/>
      <w:bookmarkStart w:id="154" w:name="_Toc4997"/>
      <w:bookmarkStart w:id="155" w:name="_Toc29923"/>
      <w:bookmarkStart w:id="156" w:name="_Toc13262_WPSOffice_Level3"/>
      <w:r>
        <w:rPr>
          <w:rFonts w:hint="eastAsia" w:ascii="宋体" w:hAnsi="宋体" w:eastAsia="宋体" w:cs="宋体"/>
          <w:b/>
          <w:bCs/>
          <w:color w:val="auto"/>
          <w:kern w:val="2"/>
          <w:sz w:val="24"/>
          <w:szCs w:val="24"/>
          <w:lang w:val="en-US" w:eastAsia="zh-CN" w:bidi="ar-SA"/>
        </w:rPr>
        <w:t>21.退出谈判</w:t>
      </w:r>
      <w:bookmarkEnd w:id="152"/>
      <w:bookmarkEnd w:id="153"/>
      <w:bookmarkEnd w:id="154"/>
      <w:bookmarkEnd w:id="155"/>
      <w:bookmarkEnd w:id="156"/>
    </w:p>
    <w:p w14:paraId="2536E891">
      <w:pPr>
        <w:pageBreakBefore w:val="0"/>
        <w:widowControl w:val="0"/>
        <w:kinsoku/>
        <w:wordWrap/>
        <w:overflowPunct/>
        <w:topLinePunct w:val="0"/>
        <w:autoSpaceDE/>
        <w:autoSpaceDN/>
        <w:bidi w:val="0"/>
        <w:adjustRightInd/>
        <w:snapToGrid/>
        <w:spacing w:before="157" w:beforeLines="50"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商在提交最后报价之前，可以根据谈判情况退出谈判，并由法定代表人或其授权代表签字或加盖公章书面通知采购人、采购代理机构或者谈判小组。采购人、采购代理机构按规定退还退出谈判的供应商的保证金。</w:t>
      </w:r>
    </w:p>
    <w:p w14:paraId="52B8089A">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57" w:name="_Toc18169_WPSOffice_Level3"/>
      <w:bookmarkStart w:id="158" w:name="_Toc14748"/>
      <w:bookmarkStart w:id="159" w:name="_Toc17118"/>
      <w:bookmarkStart w:id="160" w:name="_Toc5048_WPSOffice_Level3"/>
      <w:bookmarkStart w:id="161" w:name="_Toc32003"/>
      <w:r>
        <w:rPr>
          <w:rFonts w:hint="eastAsia" w:ascii="宋体" w:hAnsi="宋体" w:eastAsia="宋体" w:cs="宋体"/>
          <w:b/>
          <w:bCs/>
          <w:color w:val="auto"/>
          <w:kern w:val="2"/>
          <w:sz w:val="24"/>
          <w:szCs w:val="24"/>
          <w:lang w:val="en-US" w:eastAsia="zh-CN" w:bidi="ar-SA"/>
        </w:rPr>
        <w:t>22.最后报价</w:t>
      </w:r>
      <w:bookmarkEnd w:id="157"/>
      <w:bookmarkEnd w:id="158"/>
      <w:bookmarkEnd w:id="159"/>
      <w:bookmarkEnd w:id="160"/>
      <w:bookmarkEnd w:id="161"/>
    </w:p>
    <w:p w14:paraId="7FCE680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22.1谈判文件能够详细列明采购标的的技术、服务要求的，谈判结束后，谈判小组应当要求所有继续参加谈判的供应商在规定时间内提交最后报价，提交最后报价的供应商不得少于3家。</w:t>
      </w:r>
    </w:p>
    <w:p w14:paraId="1057609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22.2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p>
    <w:p w14:paraId="45041200">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22.3最后报价的评审</w:t>
      </w:r>
    </w:p>
    <w:p w14:paraId="4349541D">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（1）最后报价出现大写金额和小写金额不一致的，以大写金额为准。</w:t>
      </w:r>
    </w:p>
    <w:p w14:paraId="7EF9627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（2）需落实政府采购政策的，按相关规定进行价格扣除。</w:t>
      </w:r>
    </w:p>
    <w:p w14:paraId="05FC8FC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22.4</w:t>
      </w:r>
      <w:r>
        <w:rPr>
          <w:rFonts w:hint="eastAsia" w:ascii="宋体" w:hAnsi="宋体" w:eastAsia="宋体" w:cs="宋体"/>
          <w:b/>
          <w:bCs/>
          <w:color w:val="auto"/>
          <w:kern w:val="2"/>
          <w:sz w:val="24"/>
          <w:szCs w:val="24"/>
          <w:u w:val="none" w:color="auto"/>
          <w:lang w:val="en-US" w:eastAsia="zh-CN" w:bidi="ar-SA"/>
        </w:rPr>
        <w:t>最后报价如果高于其响应文件中的首次报价的，以最后报价为准。</w:t>
      </w:r>
    </w:p>
    <w:p w14:paraId="73A3DF50">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22.5采购人、采购代理机构在按规定公布供应商的最后报价前，不得公开供应商的技术资料、价格和其他信息。</w:t>
      </w:r>
    </w:p>
    <w:p w14:paraId="53BE84A0">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u w:val="none" w:color="auto"/>
          <w:lang w:val="en-US" w:eastAsia="zh-CN" w:bidi="ar-SA"/>
        </w:rPr>
      </w:pPr>
      <w:r>
        <w:rPr>
          <w:rFonts w:hint="eastAsia" w:ascii="宋体" w:hAnsi="宋体" w:eastAsia="宋体" w:cs="宋体"/>
          <w:color w:val="auto"/>
          <w:kern w:val="2"/>
          <w:sz w:val="24"/>
          <w:szCs w:val="24"/>
          <w:u w:val="none" w:color="auto"/>
          <w:lang w:val="en-US" w:eastAsia="zh-CN" w:bidi="ar-SA"/>
        </w:rPr>
        <w:t>22.6</w:t>
      </w:r>
      <w:r>
        <w:rPr>
          <w:rFonts w:hint="eastAsia" w:ascii="宋体" w:hAnsi="宋体" w:eastAsia="宋体" w:cs="宋体"/>
          <w:b/>
          <w:bCs/>
          <w:color w:val="auto"/>
          <w:kern w:val="2"/>
          <w:sz w:val="24"/>
          <w:szCs w:val="24"/>
          <w:u w:val="none" w:color="auto"/>
          <w:lang w:val="en-US" w:eastAsia="zh-CN" w:bidi="ar-SA"/>
        </w:rPr>
        <w:t>若最后报价时出现最低价相同的情形，谈判小组应召集报价相同的供应商进行再次报价。</w:t>
      </w:r>
    </w:p>
    <w:p w14:paraId="21278C36">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62" w:name="_Toc7275"/>
      <w:bookmarkStart w:id="163" w:name="_Toc16084_WPSOffice_Level3"/>
      <w:bookmarkStart w:id="164" w:name="_Toc8242_WPSOffice_Level3"/>
      <w:bookmarkStart w:id="165" w:name="_Toc1797"/>
      <w:bookmarkStart w:id="166" w:name="_Toc15843"/>
      <w:r>
        <w:rPr>
          <w:rFonts w:hint="eastAsia" w:ascii="宋体" w:hAnsi="宋体" w:eastAsia="宋体" w:cs="宋体"/>
          <w:b/>
          <w:bCs/>
          <w:color w:val="auto"/>
          <w:kern w:val="2"/>
          <w:sz w:val="24"/>
          <w:szCs w:val="24"/>
          <w:lang w:val="en-US" w:eastAsia="zh-CN" w:bidi="ar-SA"/>
        </w:rPr>
        <w:t>23.确定成交供应商</w:t>
      </w:r>
      <w:bookmarkEnd w:id="162"/>
      <w:bookmarkEnd w:id="163"/>
      <w:bookmarkEnd w:id="164"/>
      <w:bookmarkEnd w:id="165"/>
      <w:bookmarkEnd w:id="166"/>
    </w:p>
    <w:p w14:paraId="6625D34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23.1谈判小组应当从质量和服务均能满足采购文件实质性响应要求的供应商中，按照最后报价由低到高的顺序提出3名以上成交候选人，并编写评审报告。</w:t>
      </w:r>
    </w:p>
    <w:p w14:paraId="69D17AD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供应商最后报价涉及算术修正、需落实政府采购政策的，按上款规定由低到高顺序排序。</w:t>
      </w:r>
    </w:p>
    <w:p w14:paraId="20E8537E">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23.2谈判小组应当根据评审记录和评审结果编写评审报告。评审报告应当由谈判小组全体人员签字认可。谈判小组成员对评审报告有异议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164A49E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23.3采购代理机构应当在评审结束后2个工作日内将评审报告送采购人确认。</w:t>
      </w:r>
    </w:p>
    <w:p w14:paraId="6CE53E2D">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23.4采购人应当在收到评审报告后5个工作日内，从评审报告提出的成交候选人中，根据质量和服务均能满足采购文件实质性响应要求且最后报价最低的原则确定成交供应商，也可以书面授权谈判小组直接确定成交供应商。采购人逾期未确定成交供应商且不提出异议的，视为确定评审报告提出的最后报价最低的供应商为成交供应商。</w:t>
      </w:r>
    </w:p>
    <w:p w14:paraId="32CE3AE3">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67" w:name="_Toc20869_WPSOffice_Level3"/>
      <w:bookmarkStart w:id="168" w:name="_Toc17639_WPSOffice_Level3"/>
      <w:bookmarkStart w:id="169" w:name="_Toc6115"/>
      <w:bookmarkStart w:id="170" w:name="_Toc10295"/>
      <w:bookmarkStart w:id="171" w:name="_Toc24684"/>
      <w:r>
        <w:rPr>
          <w:rFonts w:hint="eastAsia" w:ascii="宋体" w:hAnsi="宋体" w:eastAsia="宋体" w:cs="宋体"/>
          <w:b/>
          <w:bCs/>
          <w:color w:val="auto"/>
          <w:kern w:val="2"/>
          <w:sz w:val="24"/>
          <w:szCs w:val="24"/>
          <w:lang w:val="en-US" w:eastAsia="zh-CN" w:bidi="ar-SA"/>
        </w:rPr>
        <w:t>24.重新评审</w:t>
      </w:r>
      <w:bookmarkEnd w:id="167"/>
      <w:bookmarkEnd w:id="168"/>
      <w:bookmarkEnd w:id="169"/>
      <w:bookmarkEnd w:id="170"/>
      <w:bookmarkEnd w:id="171"/>
    </w:p>
    <w:p w14:paraId="61743C2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24.1</w:t>
      </w:r>
      <w:r>
        <w:rPr>
          <w:rFonts w:hint="eastAsia" w:ascii="宋体" w:hAnsi="宋体" w:eastAsia="宋体" w:cs="宋体"/>
          <w:b/>
          <w:bCs/>
          <w:color w:val="auto"/>
          <w:kern w:val="2"/>
          <w:sz w:val="24"/>
          <w:szCs w:val="24"/>
          <w:lang w:val="en-US" w:eastAsia="zh-CN" w:bidi="ar-SA"/>
        </w:rPr>
        <w:t>除资格性审查认定错误和价格计算错误外，采购人或者采购代理机构不得以任何理由组织重新评审。采购人、采购代理机构发现谈判小组未按照采购文件规定的评定成交的标准进行评审的，应当重新开展采购活动，并同时书面报告本级财政部门。</w:t>
      </w:r>
    </w:p>
    <w:p w14:paraId="1FD4EF44">
      <w:pPr>
        <w:pStyle w:val="5"/>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72" w:name="_Toc31463"/>
      <w:r>
        <w:rPr>
          <w:rFonts w:hint="eastAsia" w:ascii="宋体" w:hAnsi="宋体" w:eastAsia="宋体" w:cs="宋体"/>
          <w:b/>
          <w:bCs/>
          <w:color w:val="auto"/>
          <w:kern w:val="2"/>
          <w:sz w:val="24"/>
          <w:szCs w:val="24"/>
          <w:lang w:val="en-US" w:eastAsia="zh-CN" w:bidi="ar-SA"/>
        </w:rPr>
        <w:t>25.终止或中止谈判</w:t>
      </w:r>
      <w:bookmarkEnd w:id="172"/>
    </w:p>
    <w:p w14:paraId="4D6F481E">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25.1终止竞争性谈判采购活动</w:t>
      </w:r>
    </w:p>
    <w:p w14:paraId="12D7FF6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出现下列情形之一的，采购人或者采购代理机构应当终止竞争性谈判采购活动，发布项目终止公告并说明原因，重新开展采购活动：</w:t>
      </w:r>
    </w:p>
    <w:p w14:paraId="2345A6E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（1）因情况变化，不再符合规定的竞争性谈判采购方式适用情形的；</w:t>
      </w:r>
    </w:p>
    <w:p w14:paraId="1D8C4B7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（2）出现影响采购公正的违法、违规行为的；</w:t>
      </w:r>
    </w:p>
    <w:p w14:paraId="78E3E35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（3）在采购过程中符合竞争要求的供应商或者报价未超过采购预算的供应商不足3家的。</w:t>
      </w:r>
    </w:p>
    <w:p w14:paraId="5E9D300F">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25.2中止或终止采购活动</w:t>
      </w:r>
    </w:p>
    <w:p w14:paraId="60FDAEE4">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采购过程中出现以下情形，导致电子交易系统无法正常运行，或者无法保证电子交易的公平、公正和安全时，采购人及采购代理机构可中止电子交易活动：</w:t>
      </w:r>
    </w:p>
    <w:p w14:paraId="7A985AFC">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（1）电子交易系统发生故障而无法登录访问的；</w:t>
      </w:r>
    </w:p>
    <w:p w14:paraId="00D4B3C1">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（2）电子交易系统应用或数据库出现错误，不能进行正常操作的；</w:t>
      </w:r>
    </w:p>
    <w:p w14:paraId="5F997C09">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（3）电子交易系统发现严重安全漏洞，有潜在泄密危险的；</w:t>
      </w:r>
    </w:p>
    <w:p w14:paraId="0E450F6E">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（4）因计算机病毒发作导致不能进行正常操作的；</w:t>
      </w:r>
    </w:p>
    <w:p w14:paraId="46023BA2">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（5）其他无法保证电子交易的公平、公正和安全的情况。</w:t>
      </w:r>
    </w:p>
    <w:p w14:paraId="695A31CC">
      <w:pPr>
        <w:keepNext w:val="0"/>
        <w:keepLines w:val="0"/>
        <w:pageBreakBefore w:val="0"/>
        <w:widowControl w:val="0"/>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出现前款规定情形，不影响采购公平、公正性的，采购人及采购代理机构可以待上述情形消除后继续组织采购活动；出现违法违规情形，影响或可能影响采购公平、公正性的，应当依法废标或者终止采购活动。</w:t>
      </w:r>
    </w:p>
    <w:p w14:paraId="0E367ED2">
      <w:pPr>
        <w:pStyle w:val="5"/>
        <w:keepNext/>
        <w:keepLines/>
        <w:pageBreakBefore w:val="0"/>
        <w:widowControl w:val="0"/>
        <w:kinsoku/>
        <w:wordWrap/>
        <w:overflowPunct/>
        <w:topLinePunct w:val="0"/>
        <w:autoSpaceDE/>
        <w:autoSpaceDN/>
        <w:bidi w:val="0"/>
        <w:adjustRightInd/>
        <w:snapToGrid/>
        <w:spacing w:before="157" w:beforeLines="50" w:after="0" w:line="360" w:lineRule="auto"/>
        <w:ind w:firstLine="0" w:firstLineChars="0"/>
        <w:textAlignment w:val="auto"/>
        <w:outlineLvl w:val="2"/>
        <w:rPr>
          <w:rFonts w:hint="eastAsia" w:ascii="宋体" w:hAnsi="宋体" w:eastAsia="宋体" w:cs="宋体"/>
          <w:b/>
          <w:bCs/>
          <w:color w:val="auto"/>
          <w:kern w:val="2"/>
          <w:sz w:val="24"/>
          <w:szCs w:val="24"/>
          <w:lang w:val="en-US" w:eastAsia="zh-CN" w:bidi="ar-SA"/>
        </w:rPr>
      </w:pPr>
      <w:bookmarkStart w:id="173" w:name="_Toc18496"/>
      <w:bookmarkStart w:id="174" w:name="_Toc32730"/>
      <w:bookmarkStart w:id="175" w:name="_Toc20688_WPSOffice_Level3"/>
      <w:bookmarkStart w:id="176" w:name="_Toc18635_WPSOffice_Level3"/>
      <w:bookmarkStart w:id="177" w:name="_Toc11721"/>
      <w:r>
        <w:rPr>
          <w:rFonts w:hint="eastAsia" w:ascii="宋体" w:hAnsi="宋体" w:eastAsia="宋体" w:cs="宋体"/>
          <w:b/>
          <w:bCs/>
          <w:color w:val="auto"/>
          <w:kern w:val="2"/>
          <w:sz w:val="24"/>
          <w:szCs w:val="24"/>
          <w:lang w:val="en-US" w:eastAsia="zh-CN" w:bidi="ar-SA"/>
        </w:rPr>
        <w:t>26.串通情形认定及处理</w:t>
      </w:r>
      <w:bookmarkEnd w:id="173"/>
      <w:bookmarkEnd w:id="174"/>
      <w:bookmarkEnd w:id="175"/>
      <w:bookmarkEnd w:id="176"/>
      <w:bookmarkEnd w:id="177"/>
    </w:p>
    <w:p w14:paraId="1ABDB6D7">
      <w:pPr>
        <w:pageBreakBefore w:val="0"/>
        <w:widowControl w:val="0"/>
        <w:kinsoku/>
        <w:wordWrap/>
        <w:overflowPunct/>
        <w:topLinePunct w:val="0"/>
        <w:autoSpaceDE/>
        <w:autoSpaceDN/>
        <w:bidi w:val="0"/>
        <w:adjustRightInd/>
        <w:snapToGrid/>
        <w:spacing w:line="360" w:lineRule="auto"/>
        <w:ind w:right="0" w:firstLine="240" w:firstLineChars="1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26.1供应商不得与采购人、采购代理机构、其他供应商恶意串通；不得向采购人、采购代理机构或者谈判小组成员行贿或者提供其他不正当利益；不得提供虚假材料谋取成交；不得以任何方式干扰、影响</w:t>
      </w:r>
      <w:r>
        <w:rPr>
          <w:rFonts w:hint="eastAsia" w:ascii="宋体" w:hAnsi="宋体" w:eastAsia="宋体" w:cs="宋体"/>
          <w:color w:val="auto"/>
          <w:sz w:val="24"/>
          <w:szCs w:val="24"/>
          <w:lang w:val="en-US" w:eastAsia="zh-CN"/>
        </w:rPr>
        <w:t>采购工作。</w:t>
      </w:r>
    </w:p>
    <w:p w14:paraId="19A6E593">
      <w:pPr>
        <w:pageBreakBefore w:val="0"/>
        <w:widowControl w:val="0"/>
        <w:kinsoku/>
        <w:wordWrap/>
        <w:overflowPunct/>
        <w:topLinePunct w:val="0"/>
        <w:autoSpaceDE/>
        <w:autoSpaceDN/>
        <w:bidi w:val="0"/>
        <w:adjustRightInd/>
        <w:snapToGrid/>
        <w:spacing w:line="360" w:lineRule="auto"/>
        <w:ind w:right="0" w:firstLine="240" w:firstLineChars="100"/>
        <w:textAlignment w:val="auto"/>
        <w:outlineLvl w:val="9"/>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en-US" w:eastAsia="zh-CN"/>
        </w:rPr>
        <w:t>26.2</w:t>
      </w:r>
      <w:r>
        <w:rPr>
          <w:rFonts w:hint="eastAsia" w:ascii="宋体" w:hAnsi="宋体" w:eastAsia="宋体" w:cs="宋体"/>
          <w:b/>
          <w:bCs/>
          <w:color w:val="auto"/>
          <w:sz w:val="24"/>
          <w:szCs w:val="24"/>
          <w:lang w:val="en-US" w:eastAsia="zh-CN"/>
        </w:rPr>
        <w:t>有下列情形之一的，成交无效，</w:t>
      </w:r>
      <w:r>
        <w:rPr>
          <w:rFonts w:hint="eastAsia" w:ascii="宋体" w:hAnsi="宋体" w:eastAsia="宋体" w:cs="宋体"/>
          <w:color w:val="auto"/>
          <w:sz w:val="24"/>
          <w:szCs w:val="24"/>
          <w:lang w:val="en-US" w:eastAsia="zh-CN"/>
        </w:rPr>
        <w:t>对供应商</w:t>
      </w:r>
      <w:r>
        <w:rPr>
          <w:rFonts w:hint="eastAsia" w:ascii="宋体" w:hAnsi="宋体" w:eastAsia="宋体" w:cs="宋体"/>
          <w:color w:val="auto"/>
          <w:sz w:val="24"/>
          <w:szCs w:val="24"/>
          <w:lang w:val="zh-CN" w:eastAsia="zh-CN"/>
        </w:rPr>
        <w:t>依照《政府采购法》第七十七条的规定追究法律责任：</w:t>
      </w:r>
    </w:p>
    <w:p w14:paraId="0EE65DD6">
      <w:pPr>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宋体" w:hAnsi="宋体" w:eastAsia="宋体" w:cs="宋体"/>
          <w:color w:val="auto"/>
          <w:sz w:val="24"/>
          <w:szCs w:val="24"/>
          <w:lang w:val="en-US" w:eastAsia="zh-CN"/>
        </w:rPr>
      </w:pPr>
      <w:bookmarkStart w:id="178" w:name="_Toc34637770"/>
      <w:bookmarkStart w:id="179" w:name="_Toc22761"/>
      <w:r>
        <w:rPr>
          <w:rFonts w:hint="eastAsia" w:ascii="宋体" w:hAnsi="宋体" w:eastAsia="宋体" w:cs="宋体"/>
          <w:color w:val="auto"/>
          <w:sz w:val="24"/>
          <w:szCs w:val="24"/>
          <w:lang w:val="en-US" w:eastAsia="zh-CN"/>
        </w:rPr>
        <w:t xml:space="preserve">  （1）供应商直接或者间接从采购人或者采购代理机构处获得其他供应商的相关情况并修改其响应文件；</w:t>
      </w:r>
    </w:p>
    <w:p w14:paraId="7A597B31">
      <w:pPr>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（2）供应商按照采购人或者采购代理机构的授意撤换、修改响应文件；</w:t>
      </w:r>
    </w:p>
    <w:p w14:paraId="5C0211D9">
      <w:pPr>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（3）供应商之间协商报价、技术方案等响应文件的实质性内容；</w:t>
      </w:r>
    </w:p>
    <w:p w14:paraId="743C206D">
      <w:pPr>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（4）属于同一集团、协会、商会等组织成员的供应商按照该组织要求协同参加政府采购活动；</w:t>
      </w:r>
    </w:p>
    <w:p w14:paraId="758C0DBC">
      <w:pPr>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（5）供应商之间事先约定由某一特定供应商成交；</w:t>
      </w:r>
    </w:p>
    <w:p w14:paraId="22B01186">
      <w:pPr>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（6）供应商之间商定部分供应商放弃参加政府采购活动或者放弃成交；</w:t>
      </w:r>
    </w:p>
    <w:p w14:paraId="25A61EB8">
      <w:pPr>
        <w:pageBreakBefore w:val="0"/>
        <w:widowControl w:val="0"/>
        <w:kinsoku/>
        <w:wordWrap/>
        <w:overflowPunct/>
        <w:topLinePunct w:val="0"/>
        <w:autoSpaceDE/>
        <w:autoSpaceDN/>
        <w:bidi w:val="0"/>
        <w:adjustRightInd/>
        <w:snapToGrid/>
        <w:spacing w:line="360" w:lineRule="auto"/>
        <w:ind w:right="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（7）供应商与采购人或者采购代理机构之间、供应商相互之间，为谋求特定供应商成交或者排斥其他供应商的其他串通行为。</w:t>
      </w:r>
    </w:p>
    <w:p w14:paraId="6F0B2BDF">
      <w:pPr>
        <w:pageBreakBefore w:val="0"/>
        <w:widowControl w:val="0"/>
        <w:kinsoku/>
        <w:wordWrap/>
        <w:overflowPunct/>
        <w:topLinePunct w:val="0"/>
        <w:autoSpaceDE/>
        <w:autoSpaceDN/>
        <w:bidi w:val="0"/>
        <w:adjustRightInd/>
        <w:snapToGrid/>
        <w:spacing w:line="360" w:lineRule="auto"/>
        <w:ind w:right="0" w:firstLine="240" w:firstLineChars="1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26.3 </w:t>
      </w:r>
      <w:r>
        <w:rPr>
          <w:rFonts w:hint="eastAsia" w:ascii="宋体" w:hAnsi="宋体" w:eastAsia="宋体" w:cs="宋体"/>
          <w:b/>
          <w:bCs/>
          <w:color w:val="auto"/>
          <w:sz w:val="24"/>
          <w:szCs w:val="24"/>
          <w:lang w:val="en-US" w:eastAsia="zh-CN"/>
        </w:rPr>
        <w:t>有下列情形之一的，视为供应商串通，其响应无效：</w:t>
      </w:r>
    </w:p>
    <w:p w14:paraId="4F8E1E6C">
      <w:pPr>
        <w:keepNext w:val="0"/>
        <w:keepLines w:val="0"/>
        <w:pageBreakBefore w:val="0"/>
        <w:widowControl w:val="0"/>
        <w:kinsoku/>
        <w:wordWrap/>
        <w:overflowPunct/>
        <w:topLinePunct w:val="0"/>
        <w:autoSpaceDE/>
        <w:autoSpaceDN/>
        <w:bidi w:val="0"/>
        <w:adjustRightInd/>
        <w:snapToGrid/>
        <w:spacing w:line="360" w:lineRule="auto"/>
        <w:ind w:right="0" w:firstLine="240" w:firstLineChars="1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（1）不同供应商的响应文件由同一单位或者个人编制；</w:t>
      </w:r>
    </w:p>
    <w:p w14:paraId="0007CE79">
      <w:pPr>
        <w:keepNext w:val="0"/>
        <w:keepLines w:val="0"/>
        <w:pageBreakBefore w:val="0"/>
        <w:widowControl w:val="0"/>
        <w:kinsoku/>
        <w:wordWrap/>
        <w:overflowPunct/>
        <w:topLinePunct w:val="0"/>
        <w:autoSpaceDE/>
        <w:autoSpaceDN/>
        <w:bidi w:val="0"/>
        <w:adjustRightInd/>
        <w:snapToGrid/>
        <w:spacing w:line="360" w:lineRule="auto"/>
        <w:ind w:right="0" w:firstLine="240" w:firstLineChars="1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（2）不同供应商委托同一单位或者个人办理谈判事宜；</w:t>
      </w:r>
    </w:p>
    <w:p w14:paraId="2D4B0FF2">
      <w:pPr>
        <w:keepNext w:val="0"/>
        <w:keepLines w:val="0"/>
        <w:pageBreakBefore w:val="0"/>
        <w:widowControl w:val="0"/>
        <w:kinsoku/>
        <w:wordWrap/>
        <w:overflowPunct/>
        <w:topLinePunct w:val="0"/>
        <w:autoSpaceDE/>
        <w:autoSpaceDN/>
        <w:bidi w:val="0"/>
        <w:adjustRightInd/>
        <w:snapToGrid/>
        <w:spacing w:line="360" w:lineRule="auto"/>
        <w:ind w:right="0" w:firstLine="240" w:firstLineChars="1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（3）不同供应商的响应文件载明的项目管理成员或者联系人员为同一人；</w:t>
      </w:r>
    </w:p>
    <w:p w14:paraId="5AF09649">
      <w:pPr>
        <w:keepNext w:val="0"/>
        <w:keepLines w:val="0"/>
        <w:pageBreakBefore w:val="0"/>
        <w:widowControl w:val="0"/>
        <w:kinsoku/>
        <w:wordWrap/>
        <w:overflowPunct/>
        <w:topLinePunct w:val="0"/>
        <w:autoSpaceDE/>
        <w:autoSpaceDN/>
        <w:bidi w:val="0"/>
        <w:adjustRightInd/>
        <w:snapToGrid/>
        <w:spacing w:line="360" w:lineRule="auto"/>
        <w:ind w:right="0" w:firstLine="240" w:firstLineChars="1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（4）不同供应商的响应文件异常一致或者报价呈规律性差异；</w:t>
      </w:r>
    </w:p>
    <w:p w14:paraId="780B3C4D">
      <w:pPr>
        <w:keepNext w:val="0"/>
        <w:keepLines w:val="0"/>
        <w:pageBreakBefore w:val="0"/>
        <w:widowControl w:val="0"/>
        <w:kinsoku/>
        <w:wordWrap/>
        <w:overflowPunct/>
        <w:topLinePunct w:val="0"/>
        <w:autoSpaceDE/>
        <w:autoSpaceDN/>
        <w:bidi w:val="0"/>
        <w:adjustRightInd/>
        <w:snapToGrid/>
        <w:spacing w:line="360" w:lineRule="auto"/>
        <w:ind w:right="0" w:firstLine="240" w:firstLineChars="1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（5）不同供应商的响应文件相互混装；</w:t>
      </w:r>
    </w:p>
    <w:p w14:paraId="45B4107E">
      <w:pPr>
        <w:keepNext w:val="0"/>
        <w:keepLines w:val="0"/>
        <w:pageBreakBefore w:val="0"/>
        <w:widowControl w:val="0"/>
        <w:kinsoku/>
        <w:wordWrap/>
        <w:overflowPunct/>
        <w:topLinePunct w:val="0"/>
        <w:autoSpaceDE/>
        <w:autoSpaceDN/>
        <w:bidi w:val="0"/>
        <w:adjustRightInd/>
        <w:snapToGrid/>
        <w:spacing w:line="360" w:lineRule="auto"/>
        <w:ind w:right="0" w:firstLine="240" w:firstLineChars="1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（6）不同供应商的保证金从同一单位或者个人的账户转出。</w:t>
      </w:r>
    </w:p>
    <w:p w14:paraId="3DADBB99">
      <w:pPr>
        <w:pageBreakBefore w:val="0"/>
        <w:widowControl w:val="0"/>
        <w:kinsoku/>
        <w:wordWrap/>
        <w:overflowPunct/>
        <w:topLinePunct w:val="0"/>
        <w:autoSpaceDE/>
        <w:autoSpaceDN/>
        <w:bidi w:val="0"/>
        <w:adjustRightInd/>
        <w:snapToGrid/>
        <w:spacing w:before="157" w:beforeLines="50" w:line="360" w:lineRule="auto"/>
        <w:jc w:val="center"/>
        <w:textAlignment w:val="auto"/>
        <w:outlineLvl w:val="1"/>
        <w:rPr>
          <w:rFonts w:hint="eastAsia" w:ascii="宋体" w:hAnsi="宋体" w:eastAsia="宋体" w:cs="宋体"/>
          <w:b/>
          <w:bCs/>
          <w:color w:val="auto"/>
          <w:kern w:val="2"/>
          <w:sz w:val="28"/>
          <w:szCs w:val="28"/>
          <w:highlight w:val="none"/>
          <w:lang w:val="en-US" w:eastAsia="zh-CN" w:bidi="ar-SA"/>
        </w:rPr>
      </w:pPr>
      <w:bookmarkStart w:id="180" w:name="_Toc24758"/>
      <w:r>
        <w:rPr>
          <w:rFonts w:hint="eastAsia" w:ascii="宋体" w:hAnsi="宋体" w:eastAsia="宋体" w:cs="宋体"/>
          <w:b/>
          <w:bCs/>
          <w:color w:val="auto"/>
          <w:kern w:val="2"/>
          <w:sz w:val="28"/>
          <w:szCs w:val="28"/>
          <w:highlight w:val="none"/>
          <w:lang w:val="en-US" w:eastAsia="zh-CN" w:bidi="ar-SA"/>
        </w:rPr>
        <w:t>六、成交结果信息公布与授予合同</w:t>
      </w:r>
      <w:bookmarkEnd w:id="178"/>
      <w:bookmarkEnd w:id="179"/>
      <w:bookmarkEnd w:id="180"/>
    </w:p>
    <w:p w14:paraId="006C47D2">
      <w:pPr>
        <w:pStyle w:val="5"/>
        <w:keepNext/>
        <w:keepLines/>
        <w:pageBreakBefore w:val="0"/>
        <w:widowControl w:val="0"/>
        <w:kinsoku/>
        <w:wordWrap/>
        <w:overflowPunct/>
        <w:topLinePunct w:val="0"/>
        <w:autoSpaceDE/>
        <w:autoSpaceDN/>
        <w:bidi w:val="0"/>
        <w:adjustRightInd/>
        <w:snapToGrid/>
        <w:spacing w:before="157" w:beforeLines="50" w:after="0" w:line="360" w:lineRule="auto"/>
        <w:textAlignment w:val="auto"/>
        <w:outlineLvl w:val="2"/>
        <w:rPr>
          <w:rFonts w:hint="eastAsia" w:ascii="宋体" w:hAnsi="宋体" w:eastAsia="宋体" w:cs="宋体"/>
          <w:b/>
          <w:bCs/>
          <w:color w:val="auto"/>
          <w:kern w:val="2"/>
          <w:sz w:val="24"/>
          <w:szCs w:val="24"/>
          <w:lang w:val="en-US" w:eastAsia="zh-CN" w:bidi="ar-SA"/>
        </w:rPr>
      </w:pPr>
      <w:bookmarkStart w:id="181" w:name="_Toc23126"/>
      <w:bookmarkStart w:id="182" w:name="_Toc8339_WPSOffice_Level3"/>
      <w:bookmarkStart w:id="183" w:name="_Toc30784_WPSOffice_Level3"/>
      <w:bookmarkStart w:id="184" w:name="_Toc947"/>
      <w:bookmarkStart w:id="185" w:name="_Toc10946"/>
      <w:r>
        <w:rPr>
          <w:rFonts w:hint="eastAsia" w:ascii="宋体" w:hAnsi="宋体" w:eastAsia="宋体" w:cs="宋体"/>
          <w:b/>
          <w:bCs/>
          <w:color w:val="auto"/>
          <w:kern w:val="2"/>
          <w:sz w:val="24"/>
          <w:szCs w:val="24"/>
          <w:lang w:val="en-US" w:eastAsia="zh-CN" w:bidi="ar-SA"/>
        </w:rPr>
        <w:t>27.成交信息的公布与通知</w:t>
      </w:r>
      <w:bookmarkEnd w:id="181"/>
      <w:bookmarkEnd w:id="182"/>
      <w:bookmarkEnd w:id="183"/>
      <w:bookmarkEnd w:id="184"/>
      <w:bookmarkEnd w:id="185"/>
    </w:p>
    <w:p w14:paraId="73FDECBD">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27.1采购代理机构应当在成交供应商确定后2个工作日内，在《青海政府采购网》上公告成交结果，同时向成交供应商发出成交通知书。成交通知书对采购人和成交供应商具有同等法律效力。</w:t>
      </w:r>
    </w:p>
    <w:p w14:paraId="75C760D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27.2成交结果公告应当包括以下内容：</w:t>
      </w:r>
    </w:p>
    <w:p w14:paraId="154233C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（1）采购人和采购代理机构的名称、地址和联系方式；</w:t>
      </w:r>
    </w:p>
    <w:p w14:paraId="787A7219">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（2）项目名称和项目编号；</w:t>
      </w:r>
    </w:p>
    <w:p w14:paraId="169403E9">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（3）成交供应商名称、地址和成交金额；</w:t>
      </w:r>
    </w:p>
    <w:p w14:paraId="355C5DD9">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（4）主要成交标的的名称、规格型号、数量、单价、服务要求；</w:t>
      </w:r>
    </w:p>
    <w:p w14:paraId="7953638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（5）谈判小组成员名单。</w:t>
      </w:r>
    </w:p>
    <w:p w14:paraId="179E0C2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27.3《成交通知书》发出后，采购人不得违法改变采购结果，成交供应商无正当理由不得放弃。</w:t>
      </w:r>
    </w:p>
    <w:p w14:paraId="3C816DA3">
      <w:pPr>
        <w:pStyle w:val="5"/>
        <w:keepNext/>
        <w:keepLines/>
        <w:pageBreakBefore w:val="0"/>
        <w:widowControl w:val="0"/>
        <w:kinsoku/>
        <w:wordWrap/>
        <w:overflowPunct/>
        <w:topLinePunct w:val="0"/>
        <w:autoSpaceDE/>
        <w:autoSpaceDN/>
        <w:bidi w:val="0"/>
        <w:adjustRightInd/>
        <w:snapToGrid/>
        <w:spacing w:before="157" w:beforeLines="50" w:after="0" w:line="360" w:lineRule="auto"/>
        <w:textAlignment w:val="auto"/>
        <w:outlineLvl w:val="2"/>
        <w:rPr>
          <w:rFonts w:hint="eastAsia" w:ascii="宋体" w:hAnsi="宋体" w:eastAsia="宋体" w:cs="宋体"/>
          <w:b/>
          <w:bCs/>
          <w:color w:val="auto"/>
          <w:kern w:val="2"/>
          <w:sz w:val="24"/>
          <w:szCs w:val="24"/>
          <w:lang w:val="en-US" w:eastAsia="zh-CN" w:bidi="ar-SA"/>
        </w:rPr>
      </w:pPr>
      <w:bookmarkStart w:id="186" w:name="_Toc13860_WPSOffice_Level3"/>
      <w:bookmarkStart w:id="187" w:name="_Toc20586"/>
      <w:bookmarkStart w:id="188" w:name="_Toc29441"/>
      <w:bookmarkStart w:id="189" w:name="_Toc5068_WPSOffice_Level3"/>
      <w:bookmarkStart w:id="190" w:name="_Toc4994"/>
      <w:r>
        <w:rPr>
          <w:rFonts w:hint="eastAsia" w:ascii="宋体" w:hAnsi="宋体" w:eastAsia="宋体" w:cs="宋体"/>
          <w:b/>
          <w:bCs/>
          <w:color w:val="auto"/>
          <w:kern w:val="2"/>
          <w:sz w:val="24"/>
          <w:szCs w:val="24"/>
          <w:lang w:val="en-US" w:eastAsia="zh-CN" w:bidi="ar-SA"/>
        </w:rPr>
        <w:t>28.授予合同</w:t>
      </w:r>
      <w:bookmarkEnd w:id="186"/>
      <w:bookmarkEnd w:id="187"/>
      <w:bookmarkEnd w:id="188"/>
      <w:bookmarkEnd w:id="189"/>
      <w:bookmarkEnd w:id="190"/>
    </w:p>
    <w:p w14:paraId="4C8C7F4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28.1谈判文件、成交供应商的响应文件及其补充的响应文件、成交通知书等均为签订政府采购合同的依据。</w:t>
      </w:r>
    </w:p>
    <w:p w14:paraId="40443E4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28.2采购人与成交供应商应当在成交通知书发出之日起30日内，按照采购文件确定的合同文本以及采购标的、规格型号、采购金额、采购数量、技术和服务要求等事项签订政府采购合同。</w:t>
      </w:r>
    </w:p>
    <w:p w14:paraId="173585F7">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28.3采购人不得向成交供应商提出超出采购文件以外的任何要求作为签订合同的条件，不得与成交供应商订立背离采购文件确定的合同文本以及采购标的、规格型号、采购金额、采购数量、技术和服务要求等实质性内容的协议。</w:t>
      </w:r>
    </w:p>
    <w:p w14:paraId="3013DC7E">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bookmarkStart w:id="191" w:name="_Toc376936761"/>
      <w:bookmarkStart w:id="192" w:name="_Toc325726030"/>
      <w:r>
        <w:rPr>
          <w:rFonts w:hint="eastAsia" w:ascii="宋体" w:hAnsi="宋体" w:eastAsia="宋体" w:cs="宋体"/>
          <w:color w:val="auto"/>
          <w:kern w:val="2"/>
          <w:sz w:val="24"/>
          <w:szCs w:val="24"/>
          <w:lang w:val="en-US" w:eastAsia="zh-CN" w:bidi="ar-SA"/>
        </w:rPr>
        <w:t>28.4采购人应当自政府采购合同签订之日起2个工作日内，将政府采购合同在《青海政府采购网》上公告，但政府采购合同中涉及国家秘密、商业秘密的内容除外。</w:t>
      </w:r>
    </w:p>
    <w:p w14:paraId="175E699B">
      <w:pPr>
        <w:pStyle w:val="5"/>
        <w:keepNext/>
        <w:keepLines/>
        <w:pageBreakBefore w:val="0"/>
        <w:widowControl w:val="0"/>
        <w:kinsoku/>
        <w:wordWrap/>
        <w:overflowPunct/>
        <w:topLinePunct w:val="0"/>
        <w:autoSpaceDE/>
        <w:autoSpaceDN/>
        <w:bidi w:val="0"/>
        <w:adjustRightInd/>
        <w:snapToGrid/>
        <w:spacing w:before="157" w:beforeLines="50" w:after="0" w:line="360" w:lineRule="auto"/>
        <w:textAlignment w:val="auto"/>
        <w:outlineLvl w:val="2"/>
        <w:rPr>
          <w:rFonts w:hint="eastAsia" w:ascii="宋体" w:hAnsi="宋体" w:eastAsia="宋体" w:cs="宋体"/>
          <w:b/>
          <w:bCs/>
          <w:color w:val="auto"/>
          <w:kern w:val="2"/>
          <w:sz w:val="24"/>
          <w:szCs w:val="24"/>
          <w:lang w:val="en-US" w:eastAsia="zh-CN" w:bidi="ar-SA"/>
        </w:rPr>
      </w:pPr>
      <w:bookmarkStart w:id="193" w:name="_Toc16374"/>
      <w:bookmarkStart w:id="194" w:name="_Toc32538"/>
      <w:bookmarkStart w:id="195" w:name="_Toc8740_WPSOffice_Level3"/>
      <w:bookmarkStart w:id="196" w:name="_Toc16647"/>
      <w:bookmarkStart w:id="197" w:name="_Toc16258_WPSOffice_Level3"/>
      <w:r>
        <w:rPr>
          <w:rFonts w:hint="eastAsia" w:ascii="宋体" w:hAnsi="宋体" w:eastAsia="宋体" w:cs="宋体"/>
          <w:b/>
          <w:bCs/>
          <w:color w:val="auto"/>
          <w:kern w:val="2"/>
          <w:sz w:val="24"/>
          <w:szCs w:val="24"/>
          <w:lang w:val="en-US" w:eastAsia="zh-CN" w:bidi="ar-SA"/>
        </w:rPr>
        <w:t>29.履约验收</w:t>
      </w:r>
      <w:bookmarkEnd w:id="193"/>
      <w:bookmarkEnd w:id="194"/>
      <w:bookmarkEnd w:id="195"/>
      <w:bookmarkEnd w:id="196"/>
      <w:bookmarkEnd w:id="197"/>
    </w:p>
    <w:p w14:paraId="75F218A0">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29.1</w:t>
      </w:r>
      <w:r>
        <w:rPr>
          <w:rFonts w:hint="eastAsia" w:ascii="宋体" w:hAnsi="宋体" w:eastAsia="宋体" w:cs="宋体"/>
          <w:b w:val="0"/>
          <w:bCs w:val="0"/>
          <w:color w:val="auto"/>
          <w:kern w:val="2"/>
          <w:sz w:val="24"/>
          <w:szCs w:val="24"/>
          <w:u w:val="none"/>
          <w:lang w:val="en-US" w:eastAsia="zh-CN" w:bidi="ar-SA"/>
        </w:rPr>
        <w:t>履约保证金：签订合同时，成交供应商应当以支票、汇票、本票或者金融机构、担保机构出具的保函等非现金形式向采购人指定的账户交纳履约保证金。</w:t>
      </w:r>
      <w:r>
        <w:rPr>
          <w:rFonts w:hint="eastAsia" w:ascii="宋体" w:hAnsi="宋体" w:eastAsia="宋体" w:cs="宋体"/>
          <w:b/>
          <w:bCs/>
          <w:color w:val="auto"/>
          <w:kern w:val="2"/>
          <w:sz w:val="24"/>
          <w:szCs w:val="24"/>
          <w:u w:val="none"/>
          <w:lang w:val="en-US" w:eastAsia="zh-CN" w:bidi="ar-SA"/>
        </w:rPr>
        <w:t>本项目履约保证金金额为成交金额的</w:t>
      </w:r>
      <w:r>
        <w:rPr>
          <w:rFonts w:hint="eastAsia" w:ascii="宋体" w:hAnsi="宋体" w:eastAsia="宋体" w:cs="宋体"/>
          <w:b/>
          <w:bCs/>
          <w:color w:val="auto"/>
          <w:kern w:val="2"/>
          <w:sz w:val="24"/>
          <w:szCs w:val="24"/>
          <w:u w:val="none"/>
          <w:lang w:val="en-US" w:eastAsia="zh-CN" w:bidi="ar-SA"/>
        </w:rPr>
        <w:t>5</w:t>
      </w:r>
      <w:r>
        <w:rPr>
          <w:rFonts w:hint="eastAsia" w:ascii="宋体" w:hAnsi="宋体" w:eastAsia="宋体" w:cs="宋体"/>
          <w:b/>
          <w:bCs/>
          <w:color w:val="auto"/>
          <w:kern w:val="2"/>
          <w:sz w:val="24"/>
          <w:szCs w:val="24"/>
          <w:u w:val="none"/>
          <w:lang w:val="en-US" w:eastAsia="zh-CN" w:bidi="ar-SA"/>
        </w:rPr>
        <w:t>％。</w:t>
      </w:r>
    </w:p>
    <w:p w14:paraId="02019B8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29.2采购人或者采购代理机构应当按照政府采购合同规定的技术、服务、安全标准组织对供应商履约情况进行验收，并出具验收书。验收书应当包括每一项技术、服务、安全标准的履约情况。</w:t>
      </w:r>
    </w:p>
    <w:p w14:paraId="3D3CD7A9">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29.3采购人可以邀请参加本项目的其他供应商或者第三方机构参与验收。参与验收的供应商或者第三方机构的意见作为验收书的参考资料一并存档。</w:t>
      </w:r>
    </w:p>
    <w:p w14:paraId="7DF4385A">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29.4采购人应当加强履约管理，并按照采购合同约定，及时向成交供应商支付采购资金。对于成交供应商违反采购合同约定的行为，采购人应当及时处理，依法追究其违约责任。</w:t>
      </w:r>
    </w:p>
    <w:p w14:paraId="381E777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29.5采购人、采购代理机构应当建立真实完整的谈判档案，妥善保存谈判的相关资料。</w:t>
      </w:r>
    </w:p>
    <w:p w14:paraId="255C75BF">
      <w:pPr>
        <w:pageBreakBefore w:val="0"/>
        <w:widowControl w:val="0"/>
        <w:kinsoku/>
        <w:wordWrap/>
        <w:overflowPunct/>
        <w:topLinePunct w:val="0"/>
        <w:autoSpaceDE/>
        <w:autoSpaceDN/>
        <w:bidi w:val="0"/>
        <w:adjustRightInd/>
        <w:snapToGrid/>
        <w:spacing w:before="157" w:beforeLines="50" w:line="360" w:lineRule="auto"/>
        <w:jc w:val="center"/>
        <w:textAlignment w:val="auto"/>
        <w:outlineLvl w:val="1"/>
        <w:rPr>
          <w:rFonts w:hint="eastAsia" w:ascii="宋体" w:hAnsi="宋体" w:eastAsia="宋体" w:cs="宋体"/>
          <w:b/>
          <w:bCs/>
          <w:color w:val="auto"/>
          <w:kern w:val="2"/>
          <w:sz w:val="28"/>
          <w:szCs w:val="28"/>
          <w:highlight w:val="none"/>
          <w:lang w:val="en-US" w:eastAsia="zh-CN" w:bidi="ar-SA"/>
        </w:rPr>
      </w:pPr>
      <w:bookmarkStart w:id="198" w:name="_Toc3517_WPSOffice_Level2"/>
      <w:bookmarkStart w:id="199" w:name="_Toc2658_WPSOffice_Level2"/>
      <w:bookmarkStart w:id="200" w:name="_Toc4328"/>
      <w:bookmarkStart w:id="201" w:name="_Toc6881"/>
      <w:bookmarkStart w:id="202" w:name="_Toc31604_WPSOffice_Level2"/>
      <w:bookmarkStart w:id="203" w:name="_Toc3039"/>
      <w:bookmarkStart w:id="204" w:name="_Toc32362"/>
      <w:r>
        <w:rPr>
          <w:rFonts w:hint="eastAsia" w:ascii="宋体" w:hAnsi="宋体" w:eastAsia="宋体" w:cs="宋体"/>
          <w:b/>
          <w:bCs/>
          <w:color w:val="auto"/>
          <w:kern w:val="2"/>
          <w:sz w:val="28"/>
          <w:szCs w:val="28"/>
          <w:highlight w:val="none"/>
          <w:lang w:val="en-US" w:eastAsia="zh-CN" w:bidi="ar-SA"/>
        </w:rPr>
        <w:t>七、询问与质疑</w:t>
      </w:r>
      <w:bookmarkEnd w:id="191"/>
      <w:bookmarkEnd w:id="192"/>
      <w:bookmarkEnd w:id="198"/>
      <w:bookmarkEnd w:id="199"/>
      <w:bookmarkEnd w:id="200"/>
      <w:bookmarkEnd w:id="201"/>
      <w:bookmarkEnd w:id="202"/>
      <w:bookmarkEnd w:id="203"/>
      <w:bookmarkEnd w:id="204"/>
    </w:p>
    <w:p w14:paraId="5D5CDD01">
      <w:pPr>
        <w:pStyle w:val="5"/>
        <w:keepNext/>
        <w:keepLines/>
        <w:pageBreakBefore w:val="0"/>
        <w:widowControl w:val="0"/>
        <w:kinsoku/>
        <w:wordWrap/>
        <w:overflowPunct/>
        <w:topLinePunct w:val="0"/>
        <w:autoSpaceDE/>
        <w:autoSpaceDN/>
        <w:bidi w:val="0"/>
        <w:adjustRightInd/>
        <w:snapToGrid/>
        <w:spacing w:before="157" w:beforeLines="50" w:after="0" w:line="360" w:lineRule="auto"/>
        <w:textAlignment w:val="auto"/>
        <w:outlineLvl w:val="2"/>
        <w:rPr>
          <w:rFonts w:hint="eastAsia" w:ascii="宋体" w:hAnsi="宋体" w:eastAsia="宋体" w:cs="宋体"/>
          <w:b/>
          <w:bCs/>
          <w:color w:val="auto"/>
          <w:kern w:val="2"/>
          <w:sz w:val="24"/>
          <w:szCs w:val="24"/>
          <w:lang w:val="en-US" w:eastAsia="zh-CN" w:bidi="ar-SA"/>
        </w:rPr>
      </w:pPr>
      <w:bookmarkStart w:id="205" w:name="_Toc21641"/>
      <w:bookmarkStart w:id="206" w:name="_Toc29785"/>
      <w:bookmarkStart w:id="207" w:name="_Toc23314_WPSOffice_Level3"/>
      <w:bookmarkStart w:id="208" w:name="_Toc20752"/>
      <w:bookmarkStart w:id="209" w:name="_Toc25982_WPSOffice_Level3"/>
      <w:r>
        <w:rPr>
          <w:rFonts w:hint="eastAsia" w:ascii="宋体" w:hAnsi="宋体" w:eastAsia="宋体" w:cs="宋体"/>
          <w:b/>
          <w:bCs/>
          <w:color w:val="auto"/>
          <w:kern w:val="2"/>
          <w:sz w:val="24"/>
          <w:szCs w:val="24"/>
          <w:lang w:val="en-US" w:eastAsia="zh-CN" w:bidi="ar-SA"/>
        </w:rPr>
        <w:t>30.对采购过程、结果的询问及质疑</w:t>
      </w:r>
      <w:bookmarkEnd w:id="205"/>
      <w:bookmarkEnd w:id="206"/>
      <w:bookmarkEnd w:id="207"/>
      <w:bookmarkEnd w:id="208"/>
      <w:bookmarkEnd w:id="209"/>
    </w:p>
    <w:p w14:paraId="15FDA80D">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30.1供应商对采购过程、结果有疑问的，可以向采购人或者采购代理机构提出询问，采购人或者采购代理机构应当在3个工作日内对供应商依法提出的询问作出答复，但答复的内容不得涉及商业秘密。</w:t>
      </w:r>
    </w:p>
    <w:p w14:paraId="2AF2C31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30.2供应商认为采购过程、成交结果使自己的权益受到损害的，可以在知道或者应知其权益受到损害之日起7个工作日内，以书面形式向采购人、采购代理机构提出质疑，</w:t>
      </w:r>
      <w:r>
        <w:rPr>
          <w:rFonts w:hint="eastAsia" w:ascii="宋体" w:hAnsi="宋体" w:eastAsia="宋体" w:cs="宋体"/>
          <w:color w:val="auto"/>
          <w:sz w:val="24"/>
          <w:szCs w:val="24"/>
        </w:rPr>
        <w:t>提出质疑的供应商应当是参与所质疑项目采购活动的供应商。</w:t>
      </w:r>
    </w:p>
    <w:p w14:paraId="071858F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30.3</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rPr>
        <w:t>在法定质疑期内一次性提出针对同一采购程序环节的质疑。</w:t>
      </w:r>
    </w:p>
    <w:p w14:paraId="17A30B15">
      <w:pPr>
        <w:pageBreakBefore w:val="0"/>
        <w:widowControl w:val="0"/>
        <w:kinsoku/>
        <w:wordWrap/>
        <w:overflowPunct/>
        <w:topLinePunct w:val="0"/>
        <w:autoSpaceDE/>
        <w:autoSpaceDN/>
        <w:bidi w:val="0"/>
        <w:adjustRightInd/>
        <w:snapToGrid/>
        <w:spacing w:before="157" w:beforeLines="50" w:line="360" w:lineRule="auto"/>
        <w:jc w:val="center"/>
        <w:textAlignment w:val="auto"/>
        <w:outlineLvl w:val="1"/>
        <w:rPr>
          <w:rFonts w:hint="eastAsia" w:ascii="宋体" w:hAnsi="宋体" w:eastAsia="宋体" w:cs="宋体"/>
          <w:b/>
          <w:bCs/>
          <w:color w:val="auto"/>
          <w:kern w:val="2"/>
          <w:sz w:val="28"/>
          <w:szCs w:val="28"/>
          <w:highlight w:val="none"/>
          <w:lang w:val="en-US" w:eastAsia="zh-CN" w:bidi="ar-SA"/>
        </w:rPr>
      </w:pPr>
      <w:bookmarkStart w:id="210" w:name="_Toc34637771"/>
      <w:bookmarkStart w:id="211" w:name="_Toc28800"/>
      <w:bookmarkStart w:id="212" w:name="_Toc22889"/>
      <w:bookmarkStart w:id="213" w:name="_Toc21832"/>
      <w:bookmarkStart w:id="214" w:name="_Toc22201076"/>
      <w:bookmarkStart w:id="215" w:name="_Toc6866_WPSOffice_Level2"/>
      <w:bookmarkStart w:id="216" w:name="_Toc9701_WPSOffice_Level2"/>
      <w:bookmarkStart w:id="217" w:name="_Toc4534"/>
      <w:bookmarkStart w:id="218" w:name="_Toc11509_WPSOffice_Level2"/>
      <w:r>
        <w:rPr>
          <w:rFonts w:hint="eastAsia" w:ascii="宋体" w:hAnsi="宋体" w:eastAsia="宋体" w:cs="宋体"/>
          <w:b/>
          <w:bCs/>
          <w:color w:val="auto"/>
          <w:kern w:val="2"/>
          <w:sz w:val="28"/>
          <w:szCs w:val="28"/>
          <w:highlight w:val="none"/>
          <w:lang w:val="en-US" w:eastAsia="zh-CN" w:bidi="ar-SA"/>
        </w:rPr>
        <w:t>八、政府采购政策</w:t>
      </w:r>
      <w:bookmarkEnd w:id="210"/>
      <w:bookmarkEnd w:id="211"/>
      <w:bookmarkEnd w:id="212"/>
      <w:bookmarkEnd w:id="213"/>
      <w:bookmarkEnd w:id="214"/>
      <w:bookmarkEnd w:id="215"/>
      <w:bookmarkEnd w:id="216"/>
      <w:bookmarkEnd w:id="217"/>
      <w:bookmarkEnd w:id="218"/>
    </w:p>
    <w:p w14:paraId="4C6A6B86">
      <w:pPr>
        <w:pStyle w:val="5"/>
        <w:keepNext/>
        <w:keepLines/>
        <w:pageBreakBefore w:val="0"/>
        <w:widowControl w:val="0"/>
        <w:kinsoku/>
        <w:wordWrap/>
        <w:overflowPunct/>
        <w:topLinePunct w:val="0"/>
        <w:autoSpaceDE/>
        <w:autoSpaceDN/>
        <w:bidi w:val="0"/>
        <w:adjustRightInd/>
        <w:snapToGrid/>
        <w:spacing w:before="157" w:beforeLines="50" w:after="0" w:line="360" w:lineRule="auto"/>
        <w:textAlignment w:val="auto"/>
        <w:outlineLvl w:val="2"/>
        <w:rPr>
          <w:rFonts w:hint="eastAsia" w:ascii="宋体" w:hAnsi="宋体" w:eastAsia="宋体" w:cs="宋体"/>
          <w:b/>
          <w:bCs/>
          <w:color w:val="auto"/>
          <w:kern w:val="2"/>
          <w:sz w:val="24"/>
          <w:szCs w:val="24"/>
          <w:lang w:val="en-US" w:eastAsia="zh-CN" w:bidi="ar-SA"/>
        </w:rPr>
      </w:pPr>
      <w:bookmarkStart w:id="219" w:name="_Toc27584"/>
      <w:bookmarkStart w:id="220" w:name="_Toc17253_WPSOffice_Level3"/>
      <w:bookmarkStart w:id="221" w:name="_Toc25755"/>
      <w:bookmarkStart w:id="222" w:name="_Toc19360_WPSOffice_Level3"/>
      <w:bookmarkStart w:id="223" w:name="_Toc16893"/>
      <w:r>
        <w:rPr>
          <w:rFonts w:hint="eastAsia" w:ascii="宋体" w:hAnsi="宋体" w:eastAsia="宋体" w:cs="宋体"/>
          <w:b/>
          <w:bCs/>
          <w:color w:val="auto"/>
          <w:kern w:val="2"/>
          <w:sz w:val="24"/>
          <w:szCs w:val="24"/>
          <w:lang w:val="en-US" w:eastAsia="zh-CN" w:bidi="ar-SA"/>
        </w:rPr>
        <w:t>31.政府采购政策</w:t>
      </w:r>
      <w:bookmarkEnd w:id="219"/>
      <w:bookmarkEnd w:id="220"/>
      <w:bookmarkEnd w:id="221"/>
      <w:bookmarkEnd w:id="222"/>
      <w:bookmarkEnd w:id="223"/>
    </w:p>
    <w:p w14:paraId="2CE29ADD">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31.1</w:t>
      </w:r>
      <w:r>
        <w:rPr>
          <w:rFonts w:hint="eastAsia" w:ascii="宋体" w:hAnsi="宋体" w:eastAsia="宋体" w:cs="宋体"/>
          <w:color w:val="auto"/>
          <w:kern w:val="2"/>
          <w:sz w:val="24"/>
          <w:szCs w:val="24"/>
          <w:lang w:val="en-US" w:eastAsia="zh-CN" w:bidi="ar-SA"/>
        </w:rPr>
        <w:t>节能产品、环境标志产品的采购：</w:t>
      </w:r>
    </w:p>
    <w:p w14:paraId="24FC4D5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根据《关于调整优化节能产品、环境标志产品政府采购执行机制的通知》（财库〔2019〕9号）的要求，</w:t>
      </w:r>
      <w:r>
        <w:rPr>
          <w:rFonts w:hint="eastAsia" w:ascii="宋体" w:hAnsi="宋体" w:eastAsia="宋体" w:cs="宋体"/>
          <w:color w:val="auto"/>
          <w:sz w:val="24"/>
          <w:szCs w:val="24"/>
          <w:lang w:val="en-US" w:eastAsia="zh-CN"/>
        </w:rPr>
        <w:t>所投产品属于《节能产品政府采购品目清单》范围内且获得国家确定的认证机构出具的、处于有效期之内的《节能产品认证证书》的和所投产品属于《环境标志产品政府采购品目清单》范围内且获得国家确定的认证机构出具的、处于有效期之内的《环境标志产品认证证书》的</w:t>
      </w:r>
      <w:r>
        <w:rPr>
          <w:rFonts w:hint="eastAsia" w:ascii="宋体" w:hAnsi="宋体" w:eastAsia="宋体" w:cs="宋体"/>
          <w:color w:val="auto"/>
          <w:sz w:val="24"/>
          <w:szCs w:val="24"/>
          <w:u w:val="none"/>
          <w:lang w:val="en-US" w:eastAsia="zh-CN"/>
        </w:rPr>
        <w:t>实施政府优先采购或强制采购。</w:t>
      </w:r>
    </w:p>
    <w:p w14:paraId="0CE5F999">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31.2</w:t>
      </w:r>
      <w:r>
        <w:rPr>
          <w:rFonts w:hint="eastAsia" w:ascii="宋体" w:hAnsi="宋体" w:eastAsia="宋体" w:cs="宋体"/>
          <w:b/>
          <w:bCs/>
          <w:color w:val="auto"/>
          <w:kern w:val="2"/>
          <w:sz w:val="24"/>
          <w:szCs w:val="24"/>
          <w:lang w:val="en-US" w:eastAsia="zh-CN" w:bidi="ar-SA"/>
        </w:rPr>
        <w:t>预留份额：</w:t>
      </w:r>
    </w:p>
    <w:p w14:paraId="5CCC643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trike/>
          <w:dstrike w:val="0"/>
          <w:color w:val="auto"/>
          <w:kern w:val="2"/>
          <w:sz w:val="24"/>
          <w:szCs w:val="24"/>
          <w:lang w:val="en-US" w:eastAsia="zh-CN" w:bidi="ar-SA"/>
        </w:rPr>
      </w:pPr>
      <w:r>
        <w:rPr>
          <w:rFonts w:hint="eastAsia" w:ascii="宋体" w:hAnsi="宋体" w:eastAsia="宋体" w:cs="宋体"/>
          <w:color w:val="auto"/>
          <w:sz w:val="24"/>
          <w:szCs w:val="24"/>
          <w:lang w:val="en-US" w:eastAsia="zh-CN"/>
        </w:rPr>
        <w:t>本项目为专门面向中小企业采购，供应商须提供《中小企业声明函》或《残疾人福利性单位声明函》或《监狱企业证明材料》，本项目采购标的所属行业为建筑业。</w:t>
      </w:r>
    </w:p>
    <w:p w14:paraId="7710A27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trike/>
          <w:dstrike w:val="0"/>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31.3</w:t>
      </w:r>
      <w:r>
        <w:rPr>
          <w:rFonts w:hint="eastAsia" w:ascii="宋体" w:hAnsi="宋体" w:eastAsia="宋体" w:cs="宋体"/>
          <w:strike w:val="0"/>
          <w:dstrike w:val="0"/>
          <w:color w:val="auto"/>
          <w:kern w:val="2"/>
          <w:sz w:val="24"/>
          <w:szCs w:val="24"/>
          <w:lang w:val="en-US" w:eastAsia="zh-CN" w:bidi="ar-SA"/>
        </w:rPr>
        <w:t>残疾人福利性单位、监狱企业视同小型、微型企业。</w:t>
      </w:r>
    </w:p>
    <w:p w14:paraId="7AC5884D">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31.4响应文件符合前款规定的，供应商应提供相关证明资料，且所提供资料必须真实可信。如有虚假，将依法承担相应责任。</w:t>
      </w:r>
    </w:p>
    <w:p w14:paraId="4F4BC99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31.5进口产品是指符合《政府采购进口产品管理办法》（财库〔2007〕119号）和《关于政府采购进口产品管理有关问题的通知》（财办库〔2008〕248号）文件规定的产品。除【谈判须知前附表】另有规定外，采购项目拒绝进口产品参加谈判。本款规定同意购买进口产品的，不限制满足谈判文件要求的国内产品参与谈判竞争。</w:t>
      </w:r>
    </w:p>
    <w:p w14:paraId="60B425C5">
      <w:pPr>
        <w:pageBreakBefore w:val="0"/>
        <w:widowControl w:val="0"/>
        <w:kinsoku/>
        <w:wordWrap/>
        <w:overflowPunct/>
        <w:topLinePunct w:val="0"/>
        <w:autoSpaceDE/>
        <w:autoSpaceDN/>
        <w:bidi w:val="0"/>
        <w:adjustRightInd/>
        <w:snapToGrid/>
        <w:spacing w:before="157" w:beforeLines="50" w:line="360" w:lineRule="auto"/>
        <w:jc w:val="center"/>
        <w:textAlignment w:val="auto"/>
        <w:outlineLvl w:val="1"/>
        <w:rPr>
          <w:rFonts w:hint="eastAsia" w:ascii="宋体" w:hAnsi="宋体" w:eastAsia="宋体" w:cs="宋体"/>
          <w:b w:val="0"/>
          <w:bCs w:val="0"/>
          <w:color w:val="auto"/>
          <w:kern w:val="2"/>
          <w:sz w:val="24"/>
          <w:szCs w:val="24"/>
          <w:highlight w:val="none"/>
          <w:lang w:val="en-US" w:eastAsia="zh-CN" w:bidi="ar-SA"/>
        </w:rPr>
      </w:pPr>
      <w:bookmarkStart w:id="224" w:name="_Toc10843_WPSOffice_Level2"/>
      <w:bookmarkStart w:id="225" w:name="_Toc30960"/>
      <w:bookmarkStart w:id="226" w:name="_Toc15805"/>
      <w:bookmarkStart w:id="227" w:name="_Toc28078_WPSOffice_Level2"/>
      <w:bookmarkStart w:id="228" w:name="_Toc15316"/>
      <w:bookmarkStart w:id="229" w:name="_Toc34637772"/>
      <w:bookmarkStart w:id="230" w:name="_Toc29364"/>
      <w:bookmarkStart w:id="231" w:name="_Toc3719_WPSOffice_Level2"/>
      <w:r>
        <w:rPr>
          <w:rFonts w:hint="eastAsia" w:ascii="宋体" w:hAnsi="宋体" w:eastAsia="宋体" w:cs="宋体"/>
          <w:b/>
          <w:bCs/>
          <w:color w:val="auto"/>
          <w:kern w:val="2"/>
          <w:sz w:val="28"/>
          <w:szCs w:val="28"/>
          <w:highlight w:val="none"/>
          <w:lang w:val="en-US" w:eastAsia="zh-CN" w:bidi="ar-SA"/>
        </w:rPr>
        <w:t>九、其他规定</w:t>
      </w:r>
      <w:bookmarkEnd w:id="224"/>
      <w:bookmarkEnd w:id="225"/>
      <w:bookmarkEnd w:id="226"/>
      <w:bookmarkEnd w:id="227"/>
      <w:bookmarkEnd w:id="228"/>
      <w:bookmarkEnd w:id="229"/>
      <w:bookmarkEnd w:id="230"/>
      <w:bookmarkEnd w:id="231"/>
    </w:p>
    <w:p w14:paraId="68AA0A26">
      <w:pPr>
        <w:pStyle w:val="5"/>
        <w:keepNext/>
        <w:keepLines/>
        <w:pageBreakBefore w:val="0"/>
        <w:widowControl w:val="0"/>
        <w:kinsoku/>
        <w:wordWrap/>
        <w:overflowPunct/>
        <w:topLinePunct w:val="0"/>
        <w:autoSpaceDE/>
        <w:autoSpaceDN/>
        <w:bidi w:val="0"/>
        <w:adjustRightInd/>
        <w:snapToGrid/>
        <w:spacing w:before="157" w:beforeLines="50" w:after="0" w:line="360" w:lineRule="auto"/>
        <w:textAlignment w:val="auto"/>
        <w:outlineLvl w:val="2"/>
        <w:rPr>
          <w:rFonts w:hint="eastAsia" w:ascii="宋体" w:hAnsi="宋体" w:eastAsia="宋体" w:cs="宋体"/>
          <w:b/>
          <w:bCs/>
          <w:color w:val="auto"/>
          <w:kern w:val="2"/>
          <w:sz w:val="24"/>
          <w:szCs w:val="24"/>
          <w:lang w:val="en-US" w:eastAsia="zh-CN" w:bidi="ar-SA"/>
        </w:rPr>
      </w:pPr>
      <w:bookmarkStart w:id="232" w:name="_Toc10247"/>
      <w:bookmarkStart w:id="233" w:name="_Toc22185_WPSOffice_Level3"/>
      <w:bookmarkStart w:id="234" w:name="_Toc10855"/>
      <w:bookmarkStart w:id="235" w:name="_Toc12390_WPSOffice_Level3"/>
      <w:bookmarkStart w:id="236" w:name="_Toc9245"/>
      <w:r>
        <w:rPr>
          <w:rFonts w:hint="eastAsia" w:ascii="宋体" w:hAnsi="宋体" w:eastAsia="宋体" w:cs="宋体"/>
          <w:b/>
          <w:bCs/>
          <w:color w:val="auto"/>
          <w:kern w:val="2"/>
          <w:sz w:val="24"/>
          <w:szCs w:val="24"/>
          <w:lang w:val="en-US" w:eastAsia="zh-CN" w:bidi="ar-SA"/>
        </w:rPr>
        <w:t>32.代理服务费</w:t>
      </w:r>
      <w:bookmarkEnd w:id="232"/>
      <w:bookmarkEnd w:id="233"/>
      <w:bookmarkEnd w:id="234"/>
      <w:bookmarkEnd w:id="235"/>
      <w:bookmarkEnd w:id="236"/>
    </w:p>
    <w:p w14:paraId="56966FAF">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采购代理服务费由成交供应商支付的，供应商应按【谈判须知前附表】规定向采购代理机构交纳代理服务费。</w:t>
      </w:r>
    </w:p>
    <w:p w14:paraId="58CE96E9">
      <w:pPr>
        <w:pStyle w:val="5"/>
        <w:pageBreakBefore w:val="0"/>
        <w:widowControl w:val="0"/>
        <w:kinsoku/>
        <w:wordWrap/>
        <w:overflowPunct/>
        <w:topLinePunct w:val="0"/>
        <w:autoSpaceDE/>
        <w:autoSpaceDN/>
        <w:bidi w:val="0"/>
        <w:adjustRightInd/>
        <w:snapToGrid/>
        <w:spacing w:before="157" w:beforeLines="50" w:after="0" w:line="360" w:lineRule="auto"/>
        <w:textAlignment w:val="auto"/>
        <w:outlineLvl w:val="2"/>
        <w:rPr>
          <w:rFonts w:hint="eastAsia" w:ascii="宋体" w:hAnsi="宋体" w:eastAsia="宋体" w:cs="宋体"/>
          <w:b/>
          <w:bCs/>
          <w:color w:val="auto"/>
          <w:kern w:val="2"/>
          <w:sz w:val="24"/>
          <w:szCs w:val="24"/>
          <w:lang w:val="en-US" w:eastAsia="zh-CN" w:bidi="ar-SA"/>
        </w:rPr>
      </w:pPr>
      <w:bookmarkStart w:id="237" w:name="_Toc1461_WPSOffice_Level3"/>
      <w:bookmarkStart w:id="238" w:name="_Toc27699_WPSOffice_Level3"/>
      <w:bookmarkStart w:id="239" w:name="_Toc14580"/>
      <w:bookmarkStart w:id="240" w:name="_Toc18975"/>
      <w:bookmarkStart w:id="241" w:name="_Toc27643"/>
      <w:r>
        <w:rPr>
          <w:rFonts w:hint="eastAsia" w:ascii="宋体" w:hAnsi="宋体" w:eastAsia="宋体" w:cs="宋体"/>
          <w:b/>
          <w:bCs/>
          <w:color w:val="auto"/>
          <w:kern w:val="2"/>
          <w:sz w:val="24"/>
          <w:szCs w:val="24"/>
          <w:lang w:val="en-US" w:eastAsia="zh-CN" w:bidi="ar-SA"/>
        </w:rPr>
        <w:t>33.其他规定</w:t>
      </w:r>
      <w:bookmarkEnd w:id="237"/>
      <w:bookmarkEnd w:id="238"/>
      <w:bookmarkEnd w:id="239"/>
      <w:bookmarkEnd w:id="240"/>
      <w:bookmarkEnd w:id="241"/>
    </w:p>
    <w:p w14:paraId="0A37E745">
      <w:pPr>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auto"/>
          <w:szCs w:val="21"/>
        </w:rPr>
      </w:pPr>
      <w:r>
        <w:rPr>
          <w:rFonts w:hint="eastAsia" w:ascii="宋体" w:hAnsi="宋体" w:eastAsia="宋体" w:cs="宋体"/>
          <w:color w:val="auto"/>
          <w:kern w:val="2"/>
          <w:sz w:val="24"/>
          <w:szCs w:val="24"/>
          <w:lang w:val="en-US" w:eastAsia="zh-CN" w:bidi="ar-SA"/>
        </w:rPr>
        <w:t>谈判文件的其他规定见【谈判须知前附表】。</w:t>
      </w:r>
    </w:p>
    <w:p w14:paraId="2EF28581">
      <w:pPr>
        <w:pStyle w:val="3"/>
        <w:keepNext/>
        <w:widowControl w:val="0"/>
        <w:numPr>
          <w:ilvl w:val="0"/>
          <w:numId w:val="0"/>
        </w:numPr>
        <w:wordWrap/>
        <w:adjustRightInd w:val="0"/>
        <w:snapToGrid w:val="0"/>
        <w:spacing w:before="157" w:beforeLines="50" w:line="560" w:lineRule="exact"/>
        <w:jc w:val="center"/>
        <w:textAlignment w:val="auto"/>
        <w:outlineLvl w:val="0"/>
        <w:rPr>
          <w:rFonts w:hint="eastAsia" w:ascii="宋体" w:hAnsi="宋体" w:eastAsia="宋体" w:cs="宋体"/>
          <w:b w:val="0"/>
          <w:bCs w:val="0"/>
          <w:color w:val="auto"/>
          <w:sz w:val="44"/>
          <w:szCs w:val="44"/>
          <w:highlight w:val="none"/>
          <w:lang w:val="en-US" w:eastAsia="zh-CN"/>
        </w:rPr>
      </w:pPr>
      <w:bookmarkStart w:id="242" w:name="_Toc13204"/>
      <w:bookmarkStart w:id="243" w:name="_Toc31765_WPSOffice_Level1"/>
      <w:bookmarkStart w:id="244" w:name="_Toc18130_WPSOffice_Level1"/>
      <w:bookmarkStart w:id="245" w:name="_Toc29561_WPSOffice_Level1"/>
      <w:bookmarkStart w:id="246" w:name="_Toc2404_WPSOffice_Level1"/>
      <w:bookmarkStart w:id="247" w:name="_Toc7780_WPSOffice_Level1"/>
      <w:bookmarkStart w:id="248" w:name="_Toc7566"/>
      <w:bookmarkStart w:id="249" w:name="_Toc4912_WPSOffice_Level1"/>
      <w:bookmarkStart w:id="250" w:name="_Toc20750"/>
      <w:bookmarkStart w:id="251" w:name="_Toc34637773"/>
      <w:r>
        <w:rPr>
          <w:rFonts w:hint="eastAsia" w:ascii="宋体" w:hAnsi="宋体" w:eastAsia="宋体" w:cs="宋体"/>
          <w:b w:val="0"/>
          <w:bCs w:val="0"/>
          <w:color w:val="auto"/>
          <w:sz w:val="44"/>
          <w:szCs w:val="44"/>
          <w:highlight w:val="none"/>
          <w:lang w:val="en-US" w:eastAsia="zh-CN"/>
        </w:rPr>
        <w:br w:type="page"/>
      </w:r>
      <w:bookmarkStart w:id="252" w:name="_Toc29314"/>
      <w:r>
        <w:rPr>
          <w:rFonts w:hint="eastAsia" w:ascii="宋体" w:hAnsi="宋体" w:eastAsia="宋体" w:cs="宋体"/>
          <w:b/>
          <w:bCs/>
          <w:color w:val="auto"/>
          <w:sz w:val="32"/>
          <w:szCs w:val="32"/>
          <w:highlight w:val="none"/>
          <w:lang w:val="en-US" w:eastAsia="zh-CN"/>
        </w:rPr>
        <w:t>第三部分  采购需求</w:t>
      </w:r>
      <w:bookmarkEnd w:id="242"/>
      <w:bookmarkEnd w:id="243"/>
      <w:bookmarkEnd w:id="244"/>
      <w:bookmarkEnd w:id="245"/>
      <w:bookmarkEnd w:id="246"/>
      <w:bookmarkEnd w:id="247"/>
      <w:bookmarkEnd w:id="248"/>
      <w:bookmarkEnd w:id="249"/>
      <w:bookmarkEnd w:id="250"/>
      <w:bookmarkEnd w:id="251"/>
      <w:bookmarkEnd w:id="252"/>
    </w:p>
    <w:p w14:paraId="3C9512FB">
      <w:pPr>
        <w:widowControl w:val="0"/>
        <w:wordWrap/>
        <w:adjustRightInd w:val="0"/>
        <w:snapToGrid w:val="0"/>
        <w:spacing w:before="157" w:beforeLines="50" w:line="560" w:lineRule="exact"/>
        <w:jc w:val="center"/>
        <w:textAlignment w:val="auto"/>
        <w:outlineLvl w:val="1"/>
        <w:rPr>
          <w:rFonts w:hint="eastAsia" w:ascii="宋体" w:hAnsi="宋体" w:eastAsia="宋体" w:cs="宋体"/>
          <w:b w:val="0"/>
          <w:bCs w:val="0"/>
          <w:color w:val="auto"/>
          <w:kern w:val="2"/>
          <w:sz w:val="24"/>
          <w:szCs w:val="24"/>
          <w:highlight w:val="none"/>
          <w:lang w:val="zh-CN" w:eastAsia="zh-CN" w:bidi="ar-SA"/>
        </w:rPr>
      </w:pPr>
      <w:bookmarkStart w:id="253" w:name="_Toc11574"/>
      <w:bookmarkStart w:id="254" w:name="_Toc8656"/>
      <w:bookmarkStart w:id="255" w:name="_Toc13326_WPSOffice_Level2"/>
      <w:bookmarkStart w:id="256" w:name="_Toc4601"/>
      <w:bookmarkStart w:id="257" w:name="_Toc20423_WPSOffice_Level2"/>
      <w:bookmarkStart w:id="258" w:name="_Toc17070"/>
      <w:bookmarkStart w:id="259" w:name="_Toc515908232"/>
      <w:bookmarkStart w:id="260" w:name="_Toc19812_WPSOffice_Level2"/>
      <w:r>
        <w:rPr>
          <w:rFonts w:hint="eastAsia" w:ascii="宋体" w:hAnsi="宋体" w:eastAsia="宋体" w:cs="宋体"/>
          <w:b/>
          <w:bCs/>
          <w:color w:val="auto"/>
          <w:kern w:val="2"/>
          <w:sz w:val="28"/>
          <w:szCs w:val="28"/>
          <w:highlight w:val="none"/>
          <w:lang w:val="zh-CN" w:eastAsia="zh-CN" w:bidi="ar-SA"/>
        </w:rPr>
        <w:t>十、响应说明</w:t>
      </w:r>
      <w:bookmarkEnd w:id="253"/>
      <w:bookmarkEnd w:id="254"/>
      <w:bookmarkEnd w:id="255"/>
      <w:bookmarkEnd w:id="256"/>
      <w:bookmarkEnd w:id="257"/>
      <w:bookmarkEnd w:id="258"/>
      <w:bookmarkEnd w:id="259"/>
      <w:bookmarkEnd w:id="260"/>
    </w:p>
    <w:p w14:paraId="21BF97C0">
      <w:pPr>
        <w:widowControl w:val="0"/>
        <w:wordWrap/>
        <w:adjustRightInd w:val="0"/>
        <w:snapToGrid w:val="0"/>
        <w:spacing w:line="560" w:lineRule="exact"/>
        <w:ind w:left="0" w:leftChars="0" w:right="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zh-CN" w:eastAsia="zh-CN" w:bidi="ar-SA"/>
        </w:rPr>
        <w:t>供应商可以按照谈判文件规定的包号选择响应，但必须对所响应包号中的所有内容作为一个整体进行响应，不能拆分或少报，</w:t>
      </w:r>
      <w:r>
        <w:rPr>
          <w:rFonts w:hint="eastAsia" w:ascii="宋体" w:hAnsi="宋体" w:eastAsia="宋体" w:cs="宋体"/>
          <w:color w:val="auto"/>
          <w:kern w:val="2"/>
          <w:sz w:val="24"/>
          <w:szCs w:val="24"/>
          <w:highlight w:val="none"/>
          <w:lang w:val="en-US" w:eastAsia="zh-CN" w:bidi="ar-SA"/>
        </w:rPr>
        <w:t>如有缺项、漏项，其响应无效。</w:t>
      </w:r>
    </w:p>
    <w:p w14:paraId="12F895C3">
      <w:pPr>
        <w:widowControl w:val="0"/>
        <w:wordWrap/>
        <w:adjustRightInd w:val="0"/>
        <w:snapToGrid w:val="0"/>
        <w:spacing w:line="560" w:lineRule="exact"/>
        <w:ind w:left="0" w:leftChars="0" w:right="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2.采购内容中未特别标注为“原装进口”字样的产品，供应商必须投国产产品；标注为“原装进口”字样的产品，供应商可以投进口产品，但如果因信息不对称等原因，仍有满足采购需求的国内产品要求参与采购竞争的，可以投国产产品，必须提供充分的证明材料，并且按照公平竞争原则实施采购。</w:t>
      </w:r>
    </w:p>
    <w:p w14:paraId="4E7A16CF">
      <w:pPr>
        <w:widowControl w:val="0"/>
        <w:wordWrap/>
        <w:adjustRightInd w:val="0"/>
        <w:snapToGrid w:val="0"/>
        <w:spacing w:line="560" w:lineRule="exact"/>
        <w:ind w:left="0" w:leftChars="0" w:right="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3.所提供产品或其任何一部分不得侵犯专利权、著作权、商标权和工业设计权等知识产权。</w:t>
      </w:r>
    </w:p>
    <w:p w14:paraId="1D43408A">
      <w:pPr>
        <w:widowControl w:val="0"/>
        <w:wordWrap/>
        <w:adjustRightInd w:val="0"/>
        <w:snapToGrid w:val="0"/>
        <w:spacing w:before="157" w:beforeLines="50" w:line="560" w:lineRule="exact"/>
        <w:ind w:right="0"/>
        <w:jc w:val="center"/>
        <w:textAlignment w:val="auto"/>
        <w:outlineLvl w:val="1"/>
        <w:rPr>
          <w:rFonts w:hint="eastAsia" w:ascii="宋体" w:hAnsi="宋体" w:eastAsia="宋体" w:cs="宋体"/>
          <w:b/>
          <w:bCs/>
          <w:color w:val="auto"/>
          <w:kern w:val="2"/>
          <w:sz w:val="28"/>
          <w:szCs w:val="28"/>
          <w:highlight w:val="none"/>
          <w:lang w:val="zh-CN" w:eastAsia="zh-CN" w:bidi="ar-SA"/>
        </w:rPr>
      </w:pPr>
      <w:bookmarkStart w:id="261" w:name="_Toc19609_WPSOffice_Level2"/>
      <w:bookmarkStart w:id="262" w:name="_Toc6193"/>
      <w:bookmarkStart w:id="263" w:name="_Toc515908233"/>
      <w:bookmarkStart w:id="264" w:name="_Toc16271_WPSOffice_Level2"/>
      <w:bookmarkStart w:id="265" w:name="_Toc28791"/>
      <w:bookmarkStart w:id="266" w:name="_Toc26560_WPSOffice_Level2"/>
      <w:bookmarkStart w:id="267" w:name="_Toc22092"/>
      <w:bookmarkStart w:id="268" w:name="_Toc1475"/>
      <w:r>
        <w:rPr>
          <w:rFonts w:hint="eastAsia" w:ascii="宋体" w:hAnsi="宋体" w:eastAsia="宋体" w:cs="宋体"/>
          <w:b/>
          <w:bCs/>
          <w:color w:val="auto"/>
          <w:kern w:val="2"/>
          <w:sz w:val="28"/>
          <w:szCs w:val="28"/>
          <w:highlight w:val="none"/>
          <w:lang w:val="zh-CN" w:eastAsia="zh-CN" w:bidi="ar-SA"/>
        </w:rPr>
        <w:t>十一、重要指标</w:t>
      </w:r>
      <w:bookmarkEnd w:id="261"/>
      <w:bookmarkEnd w:id="262"/>
      <w:bookmarkEnd w:id="263"/>
      <w:bookmarkEnd w:id="264"/>
      <w:bookmarkEnd w:id="265"/>
      <w:bookmarkEnd w:id="266"/>
      <w:bookmarkEnd w:id="267"/>
      <w:bookmarkEnd w:id="268"/>
    </w:p>
    <w:p w14:paraId="264094AA">
      <w:pPr>
        <w:pStyle w:val="18"/>
        <w:spacing w:before="0" w:after="0" w:line="360" w:lineRule="auto"/>
        <w:ind w:firstLine="0" w:firstLineChars="0"/>
        <w:rPr>
          <w:rFonts w:hint="eastAsia" w:ascii="宋体" w:hAnsi="宋体" w:eastAsia="宋体" w:cs="宋体"/>
          <w:b/>
          <w:bCs/>
          <w:color w:val="auto"/>
          <w:kern w:val="2"/>
          <w:sz w:val="28"/>
          <w:szCs w:val="28"/>
          <w:highlight w:val="none"/>
          <w:lang w:val="zh-CN" w:eastAsia="zh-CN" w:bidi="ar-SA"/>
        </w:rPr>
      </w:pPr>
      <w:bookmarkStart w:id="269" w:name="_Toc13357"/>
      <w:bookmarkStart w:id="270" w:name="_Toc18880"/>
      <w:r>
        <w:rPr>
          <w:rFonts w:hint="eastAsia" w:ascii="宋体" w:hAnsi="宋体" w:eastAsia="宋体" w:cs="宋体"/>
          <w:color w:val="auto"/>
          <w:sz w:val="28"/>
          <w:szCs w:val="28"/>
          <w:lang w:val="zh-CN"/>
        </w:rPr>
        <w:t>采购需求</w:t>
      </w:r>
      <w:bookmarkEnd w:id="269"/>
    </w:p>
    <w:bookmarkEnd w:id="270"/>
    <w:p w14:paraId="74DD6942">
      <w:pPr>
        <w:keepNext/>
        <w:keepLines/>
        <w:pageBreakBefore w:val="0"/>
        <w:widowControl w:val="0"/>
        <w:kinsoku/>
        <w:wordWrap/>
        <w:overflowPunct/>
        <w:topLinePunct w:val="0"/>
        <w:bidi w:val="0"/>
        <w:adjustRightInd/>
        <w:snapToGrid/>
        <w:spacing w:before="0" w:after="0" w:line="360" w:lineRule="auto"/>
        <w:jc w:val="both"/>
        <w:textAlignment w:val="auto"/>
        <w:outlineLvl w:val="1"/>
        <w:rPr>
          <w:rFonts w:hint="eastAsia" w:ascii="宋体" w:hAnsi="宋体" w:eastAsia="宋体" w:cs="宋体"/>
          <w:b/>
          <w:bCs/>
          <w:color w:val="auto"/>
          <w:kern w:val="2"/>
          <w:sz w:val="24"/>
          <w:szCs w:val="24"/>
          <w:lang w:val="en-US" w:eastAsia="zh-CN" w:bidi="ar-SA"/>
        </w:rPr>
      </w:pPr>
      <w:bookmarkStart w:id="271" w:name="_Toc325726053"/>
      <w:bookmarkStart w:id="272" w:name="_Toc376936784"/>
      <w:bookmarkStart w:id="273" w:name="_Toc458079961"/>
      <w:bookmarkStart w:id="274" w:name="_Toc32479"/>
      <w:bookmarkStart w:id="275" w:name="_Toc1384"/>
      <w:bookmarkStart w:id="276" w:name="_Toc29534"/>
      <w:bookmarkStart w:id="277" w:name="_Toc7138"/>
      <w:bookmarkStart w:id="278" w:name="_Toc31138"/>
      <w:bookmarkStart w:id="279" w:name="_Toc15487_WPSOffice_Level1"/>
      <w:bookmarkStart w:id="280" w:name="_Toc5732_WPSOffice_Level1"/>
      <w:bookmarkStart w:id="281" w:name="_Toc955_WPSOffice_Level1"/>
      <w:bookmarkStart w:id="282" w:name="_Toc18208_WPSOffice_Level1"/>
      <w:bookmarkStart w:id="283" w:name="_Toc6923_WPSOffice_Level1"/>
      <w:bookmarkStart w:id="284" w:name="_Toc22544"/>
      <w:bookmarkStart w:id="285" w:name="_Toc18643_WPSOffice_Level1"/>
      <w:r>
        <w:rPr>
          <w:rFonts w:hint="eastAsia" w:ascii="宋体" w:hAnsi="宋体" w:eastAsia="宋体" w:cs="宋体"/>
          <w:b/>
          <w:bCs/>
          <w:color w:val="auto"/>
          <w:kern w:val="2"/>
          <w:sz w:val="24"/>
          <w:szCs w:val="24"/>
          <w:lang w:val="en-US" w:eastAsia="zh-CN" w:bidi="ar-SA"/>
        </w:rPr>
        <w:t>一、</w:t>
      </w:r>
      <w:bookmarkEnd w:id="271"/>
      <w:bookmarkEnd w:id="272"/>
      <w:r>
        <w:rPr>
          <w:rFonts w:hint="eastAsia" w:ascii="宋体" w:hAnsi="宋体" w:eastAsia="宋体" w:cs="宋体"/>
          <w:b/>
          <w:bCs/>
          <w:color w:val="auto"/>
          <w:kern w:val="2"/>
          <w:sz w:val="24"/>
          <w:szCs w:val="24"/>
          <w:lang w:val="en-US" w:eastAsia="zh-CN" w:bidi="ar-SA"/>
        </w:rPr>
        <w:t>谈判内容</w:t>
      </w:r>
      <w:bookmarkEnd w:id="273"/>
      <w:bookmarkEnd w:id="274"/>
      <w:bookmarkEnd w:id="275"/>
      <w:bookmarkEnd w:id="276"/>
      <w:bookmarkEnd w:id="277"/>
    </w:p>
    <w:p w14:paraId="2C15A30E">
      <w:pPr>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w:t>
      </w: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文件中所含所有内容，包括</w:t>
      </w:r>
      <w:r>
        <w:rPr>
          <w:rFonts w:hint="eastAsia" w:ascii="宋体" w:hAnsi="宋体" w:eastAsia="宋体" w:cs="宋体"/>
          <w:color w:val="auto"/>
          <w:sz w:val="24"/>
          <w:szCs w:val="24"/>
          <w:lang w:val="en-US" w:eastAsia="zh-CN"/>
        </w:rPr>
        <w:t>图纸、</w:t>
      </w:r>
      <w:r>
        <w:rPr>
          <w:rFonts w:hint="eastAsia" w:ascii="宋体" w:hAnsi="宋体" w:eastAsia="宋体" w:cs="宋体"/>
          <w:color w:val="auto"/>
          <w:sz w:val="24"/>
          <w:szCs w:val="24"/>
        </w:rPr>
        <w:t>工程量清单等。</w:t>
      </w:r>
    </w:p>
    <w:p w14:paraId="7216210A">
      <w:pPr>
        <w:keepNext/>
        <w:keepLines/>
        <w:pageBreakBefore w:val="0"/>
        <w:widowControl w:val="0"/>
        <w:kinsoku/>
        <w:wordWrap/>
        <w:overflowPunct/>
        <w:topLinePunct w:val="0"/>
        <w:bidi w:val="0"/>
        <w:adjustRightInd/>
        <w:snapToGrid/>
        <w:spacing w:before="0" w:after="0" w:line="360" w:lineRule="auto"/>
        <w:jc w:val="both"/>
        <w:textAlignment w:val="auto"/>
        <w:outlineLvl w:val="1"/>
        <w:rPr>
          <w:rFonts w:hint="eastAsia" w:ascii="宋体" w:hAnsi="宋体" w:eastAsia="宋体" w:cs="宋体"/>
          <w:b/>
          <w:bCs/>
          <w:color w:val="auto"/>
          <w:kern w:val="2"/>
          <w:sz w:val="24"/>
          <w:szCs w:val="24"/>
          <w:lang w:val="en-US" w:eastAsia="zh-CN" w:bidi="ar-SA"/>
        </w:rPr>
      </w:pPr>
      <w:bookmarkStart w:id="286" w:name="_Toc458079964"/>
      <w:bookmarkStart w:id="287" w:name="_Toc4873"/>
      <w:bookmarkStart w:id="288" w:name="_Toc15180"/>
      <w:bookmarkStart w:id="289" w:name="_Toc416875922"/>
      <w:bookmarkStart w:id="290" w:name="_Toc25227"/>
      <w:bookmarkStart w:id="291" w:name="_Toc14160"/>
      <w:r>
        <w:rPr>
          <w:rFonts w:hint="eastAsia" w:ascii="宋体" w:hAnsi="宋体" w:eastAsia="宋体" w:cs="宋体"/>
          <w:b/>
          <w:bCs/>
          <w:color w:val="auto"/>
          <w:kern w:val="2"/>
          <w:sz w:val="24"/>
          <w:szCs w:val="24"/>
          <w:lang w:val="en-US" w:eastAsia="zh-CN" w:bidi="ar-SA"/>
        </w:rPr>
        <w:t>二、技术标准和要求</w:t>
      </w:r>
      <w:bookmarkEnd w:id="286"/>
      <w:bookmarkEnd w:id="287"/>
      <w:bookmarkEnd w:id="288"/>
      <w:bookmarkEnd w:id="289"/>
      <w:bookmarkEnd w:id="290"/>
      <w:bookmarkEnd w:id="291"/>
    </w:p>
    <w:p w14:paraId="63440B2A">
      <w:pPr>
        <w:pageBreakBefore w:val="0"/>
        <w:widowControl w:val="0"/>
        <w:kinsoku/>
        <w:wordWrap/>
        <w:overflowPunct/>
        <w:topLinePunct w:val="0"/>
        <w:bidi w:val="0"/>
        <w:adjustRightInd/>
        <w:snapToGrid/>
        <w:spacing w:before="0" w:after="0" w:line="360" w:lineRule="auto"/>
        <w:ind w:left="0" w:leftChars="0" w:firstLine="480" w:firstLineChars="200"/>
        <w:jc w:val="both"/>
        <w:textAlignment w:val="auto"/>
        <w:outlineLvl w:val="2"/>
        <w:rPr>
          <w:rFonts w:hint="eastAsia" w:ascii="宋体" w:hAnsi="宋体" w:eastAsia="宋体" w:cs="宋体"/>
          <w:iCs/>
          <w:color w:val="auto"/>
          <w:kern w:val="2"/>
          <w:sz w:val="24"/>
          <w:szCs w:val="24"/>
          <w:lang w:val="en-US" w:eastAsia="zh-CN" w:bidi="ar-SA"/>
        </w:rPr>
      </w:pPr>
      <w:bookmarkStart w:id="292" w:name="_Toc28229"/>
      <w:bookmarkStart w:id="293" w:name="_Toc19758"/>
      <w:bookmarkStart w:id="294" w:name="_Toc28306"/>
      <w:r>
        <w:rPr>
          <w:rFonts w:hint="eastAsia" w:ascii="宋体" w:hAnsi="宋体" w:eastAsia="宋体" w:cs="宋体"/>
          <w:iCs/>
          <w:color w:val="auto"/>
          <w:kern w:val="2"/>
          <w:sz w:val="24"/>
          <w:szCs w:val="24"/>
          <w:lang w:val="en-US" w:eastAsia="zh-CN" w:bidi="ar-SA"/>
        </w:rPr>
        <w:t>1、现场施工条件：</w:t>
      </w:r>
      <w:r>
        <w:rPr>
          <w:rFonts w:hint="eastAsia" w:ascii="宋体" w:hAnsi="宋体" w:eastAsia="宋体" w:cs="宋体"/>
          <w:iCs/>
          <w:color w:val="auto"/>
          <w:kern w:val="2"/>
          <w:sz w:val="24"/>
          <w:szCs w:val="24"/>
          <w:lang w:val="en-US" w:eastAsia="zh-CN" w:bidi="ar-SA"/>
        </w:rPr>
        <w:t>现场已具备施工条件</w:t>
      </w:r>
      <w:r>
        <w:rPr>
          <w:rFonts w:hint="eastAsia" w:ascii="宋体" w:hAnsi="宋体" w:eastAsia="宋体" w:cs="宋体"/>
          <w:iCs/>
          <w:color w:val="auto"/>
          <w:kern w:val="2"/>
          <w:sz w:val="24"/>
          <w:szCs w:val="24"/>
          <w:lang w:val="en-US" w:eastAsia="zh-CN" w:bidi="ar-SA"/>
        </w:rPr>
        <w:t>。</w:t>
      </w:r>
      <w:bookmarkEnd w:id="292"/>
      <w:bookmarkEnd w:id="293"/>
      <w:bookmarkEnd w:id="294"/>
      <w:bookmarkStart w:id="295" w:name="_Toc30386154"/>
      <w:bookmarkStart w:id="296" w:name="_Toc49912620"/>
    </w:p>
    <w:bookmarkEnd w:id="295"/>
    <w:bookmarkEnd w:id="296"/>
    <w:p w14:paraId="3774183F">
      <w:pPr>
        <w:pageBreakBefore w:val="0"/>
        <w:widowControl w:val="0"/>
        <w:kinsoku/>
        <w:wordWrap/>
        <w:overflowPunct/>
        <w:topLinePunct w:val="0"/>
        <w:bidi w:val="0"/>
        <w:adjustRightInd/>
        <w:snapToGrid/>
        <w:spacing w:line="360" w:lineRule="auto"/>
        <w:ind w:firstLine="480" w:firstLineChars="200"/>
        <w:textAlignment w:val="auto"/>
        <w:outlineLvl w:val="2"/>
        <w:rPr>
          <w:rFonts w:hint="eastAsia" w:ascii="宋体" w:hAnsi="宋体" w:eastAsia="宋体" w:cs="宋体"/>
          <w:color w:val="auto"/>
          <w:sz w:val="24"/>
          <w:szCs w:val="24"/>
        </w:rPr>
      </w:pPr>
      <w:bookmarkStart w:id="297" w:name="_Toc23037"/>
      <w:bookmarkStart w:id="298" w:name="_Toc27010"/>
      <w:bookmarkStart w:id="299" w:name="_Toc15576"/>
      <w:r>
        <w:rPr>
          <w:rFonts w:hint="eastAsia" w:ascii="宋体" w:hAnsi="宋体" w:eastAsia="宋体" w:cs="宋体"/>
          <w:color w:val="auto"/>
          <w:sz w:val="24"/>
          <w:szCs w:val="24"/>
        </w:rPr>
        <w:t>2、基本要求</w:t>
      </w:r>
      <w:bookmarkEnd w:id="297"/>
      <w:bookmarkEnd w:id="298"/>
      <w:bookmarkEnd w:id="299"/>
    </w:p>
    <w:p w14:paraId="2286B7BD">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2.1本工程项目管理目标：</w:t>
      </w:r>
    </w:p>
    <w:p w14:paraId="6328B09E">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2.1.1</w:t>
      </w:r>
      <w:r>
        <w:rPr>
          <w:rFonts w:hint="eastAsia" w:ascii="宋体" w:hAnsi="宋体" w:eastAsia="宋体" w:cs="宋体"/>
          <w:b/>
          <w:bCs/>
          <w:color w:val="auto"/>
          <w:sz w:val="24"/>
          <w:szCs w:val="24"/>
        </w:rPr>
        <w:t>质量：合格</w:t>
      </w:r>
      <w:r>
        <w:rPr>
          <w:rFonts w:hint="eastAsia" w:ascii="宋体" w:hAnsi="宋体" w:eastAsia="宋体" w:cs="宋体"/>
          <w:color w:val="auto"/>
          <w:sz w:val="24"/>
          <w:szCs w:val="24"/>
        </w:rPr>
        <w:t>；</w:t>
      </w:r>
    </w:p>
    <w:p w14:paraId="11DFA0B2">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2.1.2</w:t>
      </w:r>
      <w:r>
        <w:rPr>
          <w:rFonts w:hint="eastAsia" w:ascii="宋体" w:hAnsi="宋体" w:eastAsia="宋体" w:cs="宋体"/>
          <w:b/>
          <w:color w:val="auto"/>
          <w:sz w:val="24"/>
          <w:szCs w:val="24"/>
        </w:rPr>
        <w:t>施工工期：</w:t>
      </w:r>
      <w:r>
        <w:rPr>
          <w:rFonts w:hint="eastAsia" w:ascii="宋体" w:hAnsi="宋体" w:eastAsia="宋体" w:cs="宋体"/>
          <w:b/>
          <w:color w:val="auto"/>
          <w:sz w:val="24"/>
          <w:lang w:val="en-US" w:eastAsia="zh-CN"/>
        </w:rPr>
        <w:t>计划开工日期：</w:t>
      </w:r>
      <w:r>
        <w:rPr>
          <w:rFonts w:hint="eastAsia" w:ascii="宋体" w:hAnsi="宋体" w:eastAsia="宋体" w:cs="宋体"/>
          <w:b/>
          <w:color w:val="auto"/>
          <w:sz w:val="24"/>
          <w:u w:val="single"/>
          <w:lang w:val="en-US" w:eastAsia="zh-CN"/>
        </w:rPr>
        <w:t>2025年7月23日</w:t>
      </w:r>
      <w:r>
        <w:rPr>
          <w:rFonts w:hint="eastAsia" w:ascii="宋体" w:hAnsi="宋体" w:eastAsia="宋体" w:cs="宋体"/>
          <w:b/>
          <w:color w:val="auto"/>
          <w:sz w:val="24"/>
          <w:lang w:val="en-US" w:eastAsia="zh-CN"/>
        </w:rPr>
        <w:t>，计划竣工日期：</w:t>
      </w:r>
      <w:r>
        <w:rPr>
          <w:rFonts w:hint="eastAsia" w:ascii="宋体" w:hAnsi="宋体" w:eastAsia="宋体" w:cs="宋体"/>
          <w:b/>
          <w:color w:val="auto"/>
          <w:sz w:val="24"/>
          <w:u w:val="single"/>
          <w:lang w:val="en-US" w:eastAsia="zh-CN"/>
        </w:rPr>
        <w:t>2025年8月31日</w:t>
      </w:r>
      <w:r>
        <w:rPr>
          <w:rFonts w:hint="eastAsia" w:ascii="宋体" w:hAnsi="宋体" w:eastAsia="宋体" w:cs="宋体"/>
          <w:b/>
          <w:color w:val="auto"/>
          <w:sz w:val="24"/>
          <w:lang w:val="en-US" w:eastAsia="zh-CN"/>
        </w:rPr>
        <w:t>，工期总日历天数：</w:t>
      </w:r>
      <w:r>
        <w:rPr>
          <w:rFonts w:hint="eastAsia" w:ascii="宋体" w:hAnsi="宋体" w:eastAsia="宋体" w:cs="宋体"/>
          <w:b/>
          <w:color w:val="auto"/>
          <w:sz w:val="24"/>
          <w:u w:val="single"/>
          <w:lang w:val="en-US" w:eastAsia="zh-CN"/>
        </w:rPr>
        <w:t>40</w:t>
      </w:r>
      <w:r>
        <w:rPr>
          <w:rFonts w:hint="eastAsia" w:ascii="宋体" w:hAnsi="宋体" w:eastAsia="宋体" w:cs="宋体"/>
          <w:b/>
          <w:color w:val="auto"/>
          <w:sz w:val="24"/>
          <w:u w:val="none"/>
          <w:lang w:val="en-US" w:eastAsia="zh-CN"/>
        </w:rPr>
        <w:t>天</w:t>
      </w:r>
      <w:r>
        <w:rPr>
          <w:rFonts w:hint="eastAsia" w:ascii="宋体" w:hAnsi="宋体" w:eastAsia="宋体" w:cs="宋体"/>
          <w:color w:val="auto"/>
          <w:sz w:val="24"/>
          <w:lang w:val="en-US" w:eastAsia="zh-CN"/>
        </w:rPr>
        <w:t>。</w:t>
      </w:r>
      <w:r>
        <w:rPr>
          <w:rFonts w:hint="eastAsia" w:ascii="宋体" w:hAnsi="宋体" w:eastAsia="宋体" w:cs="宋体"/>
          <w:b/>
          <w:bCs/>
          <w:color w:val="auto"/>
          <w:sz w:val="24"/>
          <w:szCs w:val="24"/>
          <w:lang w:eastAsia="zh-CN"/>
        </w:rPr>
        <w:t>施工地点</w:t>
      </w:r>
      <w:r>
        <w:rPr>
          <w:rFonts w:hint="eastAsia" w:ascii="宋体" w:hAnsi="宋体" w:eastAsia="宋体" w:cs="宋体"/>
          <w:b/>
          <w:bCs/>
          <w:color w:val="auto"/>
          <w:sz w:val="24"/>
          <w:szCs w:val="24"/>
          <w:lang w:val="zh-CN"/>
        </w:rPr>
        <w:t>：</w:t>
      </w:r>
      <w:r>
        <w:rPr>
          <w:rFonts w:hint="eastAsia" w:ascii="宋体" w:hAnsi="宋体" w:eastAsia="宋体" w:cs="宋体"/>
          <w:b/>
          <w:bCs/>
          <w:color w:val="auto"/>
          <w:sz w:val="24"/>
          <w:szCs w:val="24"/>
          <w:u w:val="single"/>
          <w:lang w:val="en-US" w:eastAsia="zh-CN"/>
        </w:rPr>
        <w:t>乌兰县第二中学</w:t>
      </w:r>
      <w:r>
        <w:rPr>
          <w:rFonts w:hint="eastAsia" w:ascii="宋体" w:hAnsi="宋体" w:eastAsia="宋体" w:cs="宋体"/>
          <w:b/>
          <w:bCs/>
          <w:color w:val="auto"/>
          <w:sz w:val="24"/>
          <w:szCs w:val="24"/>
          <w:u w:val="none"/>
          <w:lang w:val="en-US" w:eastAsia="zh-CN"/>
        </w:rPr>
        <w:t>。</w:t>
      </w:r>
    </w:p>
    <w:p w14:paraId="3D22F0EB">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2.1.3施工现场应做好安全生产及文明施工。</w:t>
      </w:r>
    </w:p>
    <w:p w14:paraId="2DC04CD8">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2.2承包人必须按照本工程的施工图纸及国家现行施工验收规范、质量检验评定标准组织施工。建立和健全质量保证体系，以承包人主体行为规范和施工人员的工作质量确保施工质量。</w:t>
      </w:r>
    </w:p>
    <w:p w14:paraId="5CC21332">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2.3本工程所需主要施工材料均由承包人负责供应，施工所用的材料、设备、调剂材料必须满足设计要求和符合国家标准，并征得建设单位确认。加工订货成品、半成品及构件的供应方式，由承包人按进度、设计要求和标准，在征得建设单位同意确认后，负责加工订货，建设单位有权对质量进行监督。进场的材料、设备必须有生产许可证、质量保证（修）书、出厂合格证，否则，由此造成的经济损失和质量缺陷，由订货单位负责。</w:t>
      </w:r>
    </w:p>
    <w:p w14:paraId="2F0C1358">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2.4</w:t>
      </w:r>
      <w:r>
        <w:rPr>
          <w:rFonts w:hint="eastAsia" w:ascii="宋体" w:hAnsi="宋体" w:eastAsia="宋体" w:cs="宋体"/>
          <w:color w:val="auto"/>
          <w:sz w:val="24"/>
          <w:szCs w:val="24"/>
          <w:lang w:eastAsia="zh-CN"/>
        </w:rPr>
        <w:t>市政工程</w:t>
      </w:r>
      <w:r>
        <w:rPr>
          <w:rFonts w:hint="eastAsia" w:ascii="宋体" w:hAnsi="宋体" w:eastAsia="宋体" w:cs="宋体"/>
          <w:color w:val="auto"/>
          <w:sz w:val="24"/>
          <w:szCs w:val="24"/>
        </w:rPr>
        <w:t>采用的主要材料、半成品、成品、建筑构配件、器具和设备应进行现场验收。凡涉及安全、功能的有关产品，应按各分部工程质量验收规范规定进行复验和抽验，并经监理工程师（建设单位技术负责人）签字认可。</w:t>
      </w:r>
    </w:p>
    <w:p w14:paraId="5DD69AAD">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2.5突出抓好施工过程控制，加强全过程质量管理。在施工过程中要认真做好施工节奏控制、工序质量控制、现场管理控制；加强每道工序的质量管理，对各工序间的交接检验及专业工种之间交接环节的工程质量应采取有效措施，加强自检和复检，并形成记录。未经监理工程师（建设单位技术负责人）检查认可，不得进行下一道工序施工。应健全满足施工图设计和建筑物功能要求的抽验检查和检测制度。</w:t>
      </w:r>
    </w:p>
    <w:p w14:paraId="429789B8">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2.6承包人必须编制切实可行的施工进度计划，以保证施工连续均衡、有节奏地进行，合理使用人力、物力和财力，确保工程按期完成。</w:t>
      </w:r>
    </w:p>
    <w:p w14:paraId="14DD7110">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2.7承包人应建立和健全安全生产保障体系和安全生产责任制，认真执行《建筑施工安全检查标准（JGJ59－2011）》，提高安全生产工作和文明施工的管理水平。减少施工噪音和对周围环境的污染，争创“施工现场文明工地”。</w:t>
      </w:r>
    </w:p>
    <w:p w14:paraId="53A0FB91">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b/>
          <w:iCs/>
          <w:color w:val="auto"/>
          <w:sz w:val="24"/>
          <w:szCs w:val="24"/>
        </w:rPr>
      </w:pPr>
      <w:r>
        <w:rPr>
          <w:rFonts w:hint="eastAsia" w:ascii="宋体" w:hAnsi="宋体" w:eastAsia="宋体" w:cs="宋体"/>
          <w:color w:val="auto"/>
          <w:sz w:val="24"/>
          <w:szCs w:val="24"/>
        </w:rPr>
        <w:t>2.8承包人在质量保修期内，应按照有关法律、法规的管理规定和双方在合同中的约定，承担本工程质量保修责任。</w:t>
      </w:r>
      <w:bookmarkStart w:id="300" w:name="_Toc194999250"/>
      <w:bookmarkStart w:id="301" w:name="_Toc30386155"/>
      <w:bookmarkStart w:id="302" w:name="_Toc49912621"/>
      <w:bookmarkStart w:id="303" w:name="_Toc201287632"/>
      <w:bookmarkStart w:id="304" w:name="_Toc459031217"/>
    </w:p>
    <w:p w14:paraId="3871F72E">
      <w:pPr>
        <w:pageBreakBefore w:val="0"/>
        <w:widowControl w:val="0"/>
        <w:kinsoku/>
        <w:wordWrap/>
        <w:overflowPunct/>
        <w:topLinePunct w:val="0"/>
        <w:bidi w:val="0"/>
        <w:adjustRightInd/>
        <w:snapToGrid/>
        <w:spacing w:line="360" w:lineRule="auto"/>
        <w:ind w:firstLine="480" w:firstLineChars="200"/>
        <w:textAlignment w:val="auto"/>
        <w:outlineLvl w:val="2"/>
        <w:rPr>
          <w:rFonts w:hint="eastAsia" w:ascii="宋体" w:hAnsi="宋体" w:eastAsia="宋体" w:cs="宋体"/>
          <w:bCs/>
          <w:iCs/>
          <w:color w:val="auto"/>
          <w:sz w:val="24"/>
          <w:szCs w:val="24"/>
        </w:rPr>
      </w:pPr>
      <w:bookmarkStart w:id="305" w:name="_Toc26681"/>
      <w:bookmarkStart w:id="306" w:name="_Toc982"/>
      <w:bookmarkStart w:id="307" w:name="_Toc16193"/>
      <w:bookmarkStart w:id="308" w:name="_Toc23069"/>
      <w:r>
        <w:rPr>
          <w:rFonts w:hint="eastAsia" w:ascii="宋体" w:hAnsi="宋体" w:eastAsia="宋体" w:cs="宋体"/>
          <w:bCs/>
          <w:iCs/>
          <w:color w:val="auto"/>
          <w:sz w:val="24"/>
          <w:szCs w:val="24"/>
        </w:rPr>
        <w:t>3、工程建设应执行的技术规范</w:t>
      </w:r>
      <w:bookmarkEnd w:id="300"/>
      <w:bookmarkEnd w:id="301"/>
      <w:bookmarkEnd w:id="302"/>
      <w:bookmarkEnd w:id="303"/>
      <w:bookmarkEnd w:id="304"/>
      <w:bookmarkEnd w:id="305"/>
      <w:bookmarkEnd w:id="306"/>
      <w:bookmarkEnd w:id="307"/>
      <w:bookmarkEnd w:id="308"/>
    </w:p>
    <w:p w14:paraId="62D94943">
      <w:pPr>
        <w:pageBreakBefore w:val="0"/>
        <w:widowControl w:val="0"/>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本工程在施工过程中必须严格执行国家、行业的现行有关各专业工程施工质量验收规范及验收统一标准。</w:t>
      </w:r>
    </w:p>
    <w:p w14:paraId="0C233803">
      <w:pPr>
        <w:pageBreakBefore w:val="0"/>
        <w:widowControl w:val="0"/>
        <w:kinsoku/>
        <w:wordWrap/>
        <w:overflowPunct/>
        <w:topLinePunct w:val="0"/>
        <w:bidi w:val="0"/>
        <w:adjustRightInd/>
        <w:snapToGrid/>
        <w:spacing w:line="360" w:lineRule="auto"/>
        <w:ind w:firstLine="482" w:firstLineChars="200"/>
        <w:textAlignment w:val="auto"/>
        <w:outlineLvl w:val="2"/>
        <w:rPr>
          <w:rFonts w:hint="eastAsia" w:ascii="宋体" w:hAnsi="宋体" w:eastAsia="宋体" w:cs="宋体"/>
          <w:color w:val="auto"/>
          <w:sz w:val="24"/>
          <w:szCs w:val="24"/>
          <w:lang w:val="en-US" w:eastAsia="zh-CN"/>
        </w:rPr>
      </w:pPr>
      <w:bookmarkStart w:id="309" w:name="_Toc12187"/>
      <w:bookmarkStart w:id="310" w:name="_Toc30638"/>
      <w:bookmarkStart w:id="311" w:name="_Toc23636"/>
      <w:r>
        <w:rPr>
          <w:rFonts w:hint="eastAsia" w:ascii="宋体" w:hAnsi="宋体" w:eastAsia="宋体" w:cs="宋体"/>
          <w:b/>
          <w:bCs/>
          <w:color w:val="auto"/>
          <w:sz w:val="24"/>
          <w:szCs w:val="24"/>
        </w:rPr>
        <w:t>4</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免费</w:t>
      </w:r>
      <w:r>
        <w:rPr>
          <w:rFonts w:hint="eastAsia" w:ascii="宋体" w:hAnsi="宋体" w:eastAsia="宋体" w:cs="宋体"/>
          <w:b/>
          <w:bCs/>
          <w:color w:val="auto"/>
          <w:sz w:val="24"/>
          <w:szCs w:val="24"/>
        </w:rPr>
        <w:t>质量保修期：</w:t>
      </w:r>
      <w:bookmarkEnd w:id="309"/>
      <w:r>
        <w:rPr>
          <w:rFonts w:hint="eastAsia" w:ascii="宋体" w:hAnsi="宋体" w:eastAsia="宋体" w:cs="宋体"/>
          <w:b/>
          <w:bCs/>
          <w:color w:val="auto"/>
          <w:sz w:val="24"/>
          <w:szCs w:val="24"/>
          <w:lang w:val="en-US" w:eastAsia="zh-CN"/>
        </w:rPr>
        <w:t>按国家相关标准执行。</w:t>
      </w:r>
      <w:bookmarkEnd w:id="310"/>
      <w:bookmarkEnd w:id="311"/>
    </w:p>
    <w:p w14:paraId="15AF662B">
      <w:pPr>
        <w:keepNext/>
        <w:keepLines/>
        <w:pageBreakBefore w:val="0"/>
        <w:widowControl w:val="0"/>
        <w:kinsoku/>
        <w:wordWrap/>
        <w:overflowPunct/>
        <w:topLinePunct w:val="0"/>
        <w:bidi w:val="0"/>
        <w:adjustRightInd/>
        <w:snapToGrid/>
        <w:spacing w:before="0" w:after="0" w:line="360" w:lineRule="auto"/>
        <w:jc w:val="both"/>
        <w:textAlignment w:val="auto"/>
        <w:outlineLvl w:val="1"/>
        <w:rPr>
          <w:rFonts w:hint="eastAsia" w:ascii="宋体" w:hAnsi="宋体" w:eastAsia="宋体" w:cs="宋体"/>
          <w:b/>
          <w:bCs/>
          <w:color w:val="auto"/>
          <w:sz w:val="24"/>
          <w:szCs w:val="24"/>
          <w:lang w:val="en-US" w:eastAsia="zh-CN"/>
        </w:rPr>
      </w:pPr>
      <w:bookmarkStart w:id="312" w:name="_Toc21106"/>
      <w:r>
        <w:rPr>
          <w:rFonts w:hint="eastAsia" w:ascii="宋体" w:hAnsi="宋体" w:eastAsia="宋体" w:cs="宋体"/>
          <w:b/>
          <w:bCs/>
          <w:color w:val="auto"/>
          <w:sz w:val="24"/>
          <w:szCs w:val="24"/>
          <w:lang w:val="en-US" w:eastAsia="zh-CN"/>
        </w:rPr>
        <w:t>三、工程量清单</w:t>
      </w:r>
      <w:bookmarkEnd w:id="312"/>
    </w:p>
    <w:p w14:paraId="0FD77588">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outlineLvl w:val="1"/>
        <w:rPr>
          <w:rFonts w:hint="eastAsia" w:ascii="宋体" w:hAnsi="宋体" w:eastAsia="宋体" w:cs="宋体"/>
          <w:b/>
          <w:color w:val="auto"/>
          <w:kern w:val="0"/>
          <w:sz w:val="24"/>
          <w:szCs w:val="24"/>
          <w:lang w:val="en-US" w:eastAsia="zh-CN" w:bidi="ar-SA"/>
        </w:rPr>
      </w:pPr>
      <w:bookmarkStart w:id="313" w:name="_Toc201287621"/>
      <w:bookmarkStart w:id="314" w:name="_Toc25329"/>
      <w:bookmarkStart w:id="315" w:name="_Toc12539"/>
      <w:bookmarkStart w:id="316" w:name="_Toc18928"/>
      <w:bookmarkStart w:id="317" w:name="_Toc459031208"/>
      <w:r>
        <w:rPr>
          <w:rFonts w:hint="eastAsia" w:ascii="宋体" w:hAnsi="宋体" w:eastAsia="宋体" w:cs="宋体"/>
          <w:b/>
          <w:color w:val="auto"/>
          <w:kern w:val="0"/>
          <w:sz w:val="24"/>
          <w:szCs w:val="24"/>
          <w:lang w:val="en-US" w:eastAsia="zh-CN" w:bidi="ar-SA"/>
        </w:rPr>
        <w:t>1.</w:t>
      </w:r>
      <w:bookmarkEnd w:id="313"/>
      <w:r>
        <w:rPr>
          <w:rFonts w:hint="eastAsia" w:ascii="宋体" w:hAnsi="宋体" w:eastAsia="宋体" w:cs="宋体"/>
          <w:b/>
          <w:color w:val="auto"/>
          <w:kern w:val="0"/>
          <w:sz w:val="24"/>
          <w:szCs w:val="24"/>
          <w:lang w:val="en-US" w:eastAsia="zh-CN" w:bidi="ar-SA"/>
        </w:rPr>
        <w:t>工程量清单说明</w:t>
      </w:r>
      <w:bookmarkEnd w:id="314"/>
      <w:bookmarkEnd w:id="315"/>
      <w:bookmarkEnd w:id="316"/>
      <w:bookmarkEnd w:id="317"/>
    </w:p>
    <w:p w14:paraId="6DAEE64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1.1本工程量清单根据《建设工程工程量清单计价规范》（GB50500-2013）编制。</w:t>
      </w:r>
    </w:p>
    <w:p w14:paraId="6E18B74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1.2本工程量清单应与</w:t>
      </w:r>
      <w:r>
        <w:rPr>
          <w:rFonts w:hint="eastAsia" w:ascii="宋体" w:hAnsi="宋体" w:eastAsia="宋体" w:cs="宋体"/>
          <w:color w:val="auto"/>
          <w:sz w:val="24"/>
          <w:szCs w:val="24"/>
          <w:lang w:eastAsia="zh-CN"/>
        </w:rPr>
        <w:t>谈判文件</w:t>
      </w:r>
      <w:r>
        <w:rPr>
          <w:rFonts w:hint="eastAsia" w:ascii="宋体" w:hAnsi="宋体" w:eastAsia="宋体" w:cs="宋体"/>
          <w:color w:val="auto"/>
          <w:sz w:val="24"/>
          <w:szCs w:val="24"/>
        </w:rPr>
        <w:t>中的</w:t>
      </w:r>
      <w:r>
        <w:rPr>
          <w:rFonts w:hint="eastAsia" w:ascii="宋体" w:hAnsi="宋体" w:eastAsia="宋体" w:cs="宋体"/>
          <w:color w:val="auto"/>
          <w:sz w:val="24"/>
          <w:szCs w:val="24"/>
          <w:lang w:eastAsia="zh-CN"/>
        </w:rPr>
        <w:t>谈判须知</w:t>
      </w:r>
      <w:r>
        <w:rPr>
          <w:rFonts w:hint="eastAsia" w:ascii="宋体" w:hAnsi="宋体" w:eastAsia="宋体" w:cs="宋体"/>
          <w:color w:val="auto"/>
          <w:sz w:val="24"/>
          <w:szCs w:val="24"/>
        </w:rPr>
        <w:t>、通用合同条款、专用合同条款、技术标准和要求及施工图纸等一起阅读和理解。</w:t>
      </w:r>
    </w:p>
    <w:p w14:paraId="170CEAE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1.3本工程量清单仅是</w:t>
      </w:r>
      <w:r>
        <w:rPr>
          <w:rFonts w:hint="eastAsia" w:ascii="宋体" w:hAnsi="宋体" w:eastAsia="宋体" w:cs="宋体"/>
          <w:color w:val="auto"/>
          <w:sz w:val="24"/>
          <w:szCs w:val="24"/>
          <w:lang w:eastAsia="zh-CN"/>
        </w:rPr>
        <w:t>响应报价</w:t>
      </w:r>
      <w:r>
        <w:rPr>
          <w:rFonts w:hint="eastAsia" w:ascii="宋体" w:hAnsi="宋体" w:eastAsia="宋体" w:cs="宋体"/>
          <w:color w:val="auto"/>
          <w:sz w:val="24"/>
          <w:szCs w:val="24"/>
        </w:rPr>
        <w:t>的共同基础，竣工结算的工程量按合同约定确定。实际工程计量和工程价款的支付应遵循合同条款和</w:t>
      </w:r>
      <w:r>
        <w:rPr>
          <w:rFonts w:hint="eastAsia" w:ascii="宋体" w:hAnsi="宋体" w:eastAsia="宋体" w:cs="宋体"/>
          <w:color w:val="auto"/>
          <w:sz w:val="24"/>
          <w:szCs w:val="24"/>
          <w:lang w:val="en-US" w:eastAsia="zh-CN"/>
        </w:rPr>
        <w:t>本文件</w:t>
      </w:r>
      <w:r>
        <w:rPr>
          <w:rFonts w:hint="eastAsia" w:ascii="宋体" w:hAnsi="宋体" w:eastAsia="宋体" w:cs="宋体"/>
          <w:color w:val="auto"/>
          <w:sz w:val="24"/>
          <w:szCs w:val="24"/>
        </w:rPr>
        <w:t>有关规定。</w:t>
      </w:r>
    </w:p>
    <w:p w14:paraId="45A680E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1.4供应商在计价时应按</w:t>
      </w:r>
      <w:r>
        <w:rPr>
          <w:rFonts w:hint="eastAsia" w:ascii="宋体" w:hAnsi="宋体" w:eastAsia="宋体" w:cs="宋体"/>
          <w:color w:val="auto"/>
          <w:sz w:val="24"/>
          <w:szCs w:val="24"/>
          <w:lang w:eastAsia="zh-CN"/>
        </w:rPr>
        <w:t>谈判文件</w:t>
      </w:r>
      <w:r>
        <w:rPr>
          <w:rFonts w:hint="eastAsia" w:ascii="宋体" w:hAnsi="宋体" w:eastAsia="宋体" w:cs="宋体"/>
          <w:color w:val="auto"/>
          <w:sz w:val="24"/>
          <w:szCs w:val="24"/>
        </w:rPr>
        <w:t>的要求，根据采购人提供的工程量清单，参照国家和青海省颁布的有关规定以及企业自身情况计算报价。</w:t>
      </w:r>
    </w:p>
    <w:p w14:paraId="443C6B7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1.5规费和税金的取费标准：按照国家和青海省颁布的有关规定执行，不得作为竞争性费用。</w:t>
      </w:r>
    </w:p>
    <w:p w14:paraId="494C707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1.6措施项目清单中的安全防护、文明施工措施费应按照国家和青海省颁布的有关规定计价，不得作为竞争性费用，报价时单例。</w:t>
      </w:r>
    </w:p>
    <w:p w14:paraId="68B9E1A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1.7材料价按照市场价确定；</w:t>
      </w:r>
    </w:p>
    <w:p w14:paraId="627264F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1.8施工过程中若发生设计变更增减工程量，按量按实调整；</w:t>
      </w:r>
    </w:p>
    <w:p w14:paraId="4AC49DB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1.9采购人提供的工程量清单发生增减，量差在±5%（不含本数）以外时按监理工程师核定后的数量调整。</w:t>
      </w:r>
    </w:p>
    <w:p w14:paraId="0854DD6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1.10供应商应按采购人提供的工程量清单中列出的工程项目和工程量填报单价和合价。每一项目只允许有一个报价。任何有选择的报价将不予接受。供应商未填单价或合价的工程项目，在实施后，采购人将不予以支付，并视为该项费用已包括在其他项目的单价或合价内。</w:t>
      </w:r>
    </w:p>
    <w:p w14:paraId="0039760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w:t>
      </w:r>
      <w:r>
        <w:rPr>
          <w:rFonts w:hint="eastAsia" w:ascii="宋体" w:hAnsi="宋体" w:eastAsia="宋体" w:cs="宋体"/>
          <w:color w:val="auto"/>
          <w:sz w:val="24"/>
          <w:szCs w:val="24"/>
          <w:lang w:eastAsia="zh-CN"/>
        </w:rPr>
        <w:t>报价</w:t>
      </w:r>
      <w:r>
        <w:rPr>
          <w:rFonts w:hint="eastAsia" w:ascii="宋体" w:hAnsi="宋体" w:eastAsia="宋体" w:cs="宋体"/>
          <w:color w:val="auto"/>
          <w:sz w:val="24"/>
          <w:szCs w:val="24"/>
        </w:rPr>
        <w:t>包括完成本工程项目的成本、利润、税金、风险费（包括材料涨价因素）、政策性文件规定费用等所有费用，</w:t>
      </w:r>
      <w:r>
        <w:rPr>
          <w:rFonts w:hint="eastAsia" w:ascii="宋体" w:hAnsi="宋体" w:eastAsia="宋体" w:cs="宋体"/>
          <w:color w:val="auto"/>
          <w:sz w:val="24"/>
          <w:szCs w:val="24"/>
          <w:lang w:eastAsia="zh-CN"/>
        </w:rPr>
        <w:t>响应报价</w:t>
      </w:r>
      <w:r>
        <w:rPr>
          <w:rFonts w:hint="eastAsia" w:ascii="宋体" w:hAnsi="宋体" w:eastAsia="宋体" w:cs="宋体"/>
          <w:color w:val="auto"/>
          <w:sz w:val="24"/>
          <w:szCs w:val="24"/>
        </w:rPr>
        <w:t>为供应商在响应文件中提出的各项支付金额的总和。</w:t>
      </w:r>
    </w:p>
    <w:p w14:paraId="028E1443">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outlineLvl w:val="1"/>
        <w:rPr>
          <w:rFonts w:hint="eastAsia" w:ascii="宋体" w:hAnsi="宋体" w:eastAsia="宋体" w:cs="宋体"/>
          <w:b/>
          <w:color w:val="auto"/>
          <w:kern w:val="0"/>
          <w:sz w:val="24"/>
          <w:szCs w:val="24"/>
          <w:lang w:val="en-US" w:eastAsia="zh-CN" w:bidi="ar-SA"/>
        </w:rPr>
      </w:pPr>
      <w:bookmarkStart w:id="318" w:name="_Toc31818"/>
      <w:bookmarkStart w:id="319" w:name="_Toc23166"/>
      <w:bookmarkStart w:id="320" w:name="_Toc459031209"/>
      <w:bookmarkStart w:id="321" w:name="_Toc657"/>
      <w:r>
        <w:rPr>
          <w:rFonts w:hint="eastAsia" w:ascii="宋体" w:hAnsi="宋体" w:eastAsia="宋体" w:cs="宋体"/>
          <w:b/>
          <w:color w:val="auto"/>
          <w:kern w:val="0"/>
          <w:sz w:val="24"/>
          <w:szCs w:val="24"/>
          <w:lang w:val="en-US" w:eastAsia="zh-CN" w:bidi="ar-SA"/>
        </w:rPr>
        <w:t>2.工程量清单规范用词说明</w:t>
      </w:r>
      <w:bookmarkEnd w:id="318"/>
      <w:bookmarkEnd w:id="319"/>
      <w:bookmarkEnd w:id="320"/>
      <w:bookmarkEnd w:id="321"/>
    </w:p>
    <w:p w14:paraId="4D893F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2.1 为便于在执行工程量清单规范条文时区别对待，对要求严格程度 不同的用词说明如下：</w:t>
      </w:r>
    </w:p>
    <w:p w14:paraId="4E5592D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bookmarkStart w:id="322" w:name="_Toc18949"/>
      <w:bookmarkStart w:id="323" w:name="_Toc18842"/>
      <w:r>
        <w:rPr>
          <w:rFonts w:hint="eastAsia" w:ascii="宋体" w:hAnsi="宋体" w:eastAsia="宋体" w:cs="宋体"/>
          <w:color w:val="auto"/>
          <w:sz w:val="24"/>
          <w:szCs w:val="24"/>
        </w:rPr>
        <w:t>（1）表示很严格，非这样做不可的：</w:t>
      </w:r>
      <w:bookmarkEnd w:id="322"/>
      <w:bookmarkEnd w:id="323"/>
    </w:p>
    <w:p w14:paraId="0E5AF33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正面词采用“必须”，反面词采用“严禁”；</w:t>
      </w:r>
    </w:p>
    <w:p w14:paraId="578234E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bookmarkStart w:id="324" w:name="_Toc8207"/>
      <w:bookmarkStart w:id="325" w:name="_Toc8775"/>
      <w:r>
        <w:rPr>
          <w:rFonts w:hint="eastAsia" w:ascii="宋体" w:hAnsi="宋体" w:eastAsia="宋体" w:cs="宋体"/>
          <w:color w:val="auto"/>
          <w:sz w:val="24"/>
          <w:szCs w:val="24"/>
        </w:rPr>
        <w:t>（2）表示严格，在正常情况下均应这样做的：</w:t>
      </w:r>
      <w:bookmarkEnd w:id="324"/>
      <w:bookmarkEnd w:id="325"/>
    </w:p>
    <w:p w14:paraId="41039E2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正面词采用“应“，反面词采用“不应”或“不得”；</w:t>
      </w:r>
    </w:p>
    <w:p w14:paraId="51E768B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bookmarkStart w:id="326" w:name="_Toc15667"/>
      <w:bookmarkStart w:id="327" w:name="_Toc24500"/>
      <w:r>
        <w:rPr>
          <w:rFonts w:hint="eastAsia" w:ascii="宋体" w:hAnsi="宋体" w:eastAsia="宋体" w:cs="宋体"/>
          <w:color w:val="auto"/>
          <w:sz w:val="24"/>
          <w:szCs w:val="24"/>
        </w:rPr>
        <w:t>（3）表示允许稍有选择，在条件许可时首先应这样做的：</w:t>
      </w:r>
      <w:bookmarkEnd w:id="326"/>
      <w:bookmarkEnd w:id="327"/>
    </w:p>
    <w:p w14:paraId="2AFE070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正面词采用“宜“，反面词采用“不宜”；</w:t>
      </w:r>
    </w:p>
    <w:p w14:paraId="4DB9325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bookmarkStart w:id="328" w:name="_Toc23216"/>
      <w:bookmarkStart w:id="329" w:name="_Toc7425"/>
      <w:r>
        <w:rPr>
          <w:rFonts w:hint="eastAsia" w:ascii="宋体" w:hAnsi="宋体" w:eastAsia="宋体" w:cs="宋体"/>
          <w:color w:val="auto"/>
          <w:sz w:val="24"/>
          <w:szCs w:val="24"/>
        </w:rPr>
        <w:t>（4）表示有选择，在一定条件下可以这样做的，采用“可”。</w:t>
      </w:r>
      <w:bookmarkEnd w:id="328"/>
      <w:bookmarkEnd w:id="329"/>
    </w:p>
    <w:p w14:paraId="100FBC5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2.2 条文中指明应按其他有关标准执行的写法为“应符合……的规定”或“应按……执行”。</w:t>
      </w:r>
    </w:p>
    <w:p w14:paraId="66E0CD72">
      <w:pPr>
        <w:pStyle w:val="2"/>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3.具体</w:t>
      </w:r>
      <w:r>
        <w:rPr>
          <w:rFonts w:hint="eastAsia" w:ascii="宋体" w:hAnsi="宋体" w:eastAsia="宋体" w:cs="宋体"/>
          <w:b/>
          <w:color w:val="auto"/>
          <w:kern w:val="0"/>
          <w:sz w:val="24"/>
          <w:szCs w:val="24"/>
          <w:lang w:val="en-US" w:eastAsia="zh-CN" w:bidi="ar-SA"/>
        </w:rPr>
        <w:t>工程量清单：详见附件</w:t>
      </w:r>
    </w:p>
    <w:p w14:paraId="2AE3031D">
      <w:pPr>
        <w:keepNext/>
        <w:keepLines/>
        <w:pageBreakBefore w:val="0"/>
        <w:widowControl w:val="0"/>
        <w:kinsoku/>
        <w:wordWrap/>
        <w:overflowPunct/>
        <w:topLinePunct w:val="0"/>
        <w:bidi w:val="0"/>
        <w:adjustRightInd/>
        <w:snapToGrid/>
        <w:spacing w:before="0" w:after="0" w:line="360" w:lineRule="auto"/>
        <w:jc w:val="both"/>
        <w:textAlignment w:val="auto"/>
        <w:outlineLvl w:val="1"/>
        <w:rPr>
          <w:rFonts w:hint="eastAsia" w:ascii="宋体" w:hAnsi="宋体" w:eastAsia="宋体" w:cs="宋体"/>
          <w:b/>
          <w:bCs/>
          <w:color w:val="auto"/>
          <w:sz w:val="24"/>
          <w:szCs w:val="24"/>
          <w:lang w:eastAsia="zh-CN"/>
        </w:rPr>
      </w:pPr>
      <w:bookmarkStart w:id="330" w:name="_Toc5733"/>
      <w:r>
        <w:rPr>
          <w:rFonts w:hint="eastAsia" w:ascii="宋体" w:hAnsi="宋体" w:eastAsia="宋体" w:cs="宋体"/>
          <w:b/>
          <w:bCs/>
          <w:color w:val="auto"/>
          <w:sz w:val="24"/>
          <w:szCs w:val="24"/>
          <w:lang w:val="en-US" w:eastAsia="zh-CN"/>
        </w:rPr>
        <w:t>四、施工图纸：</w:t>
      </w:r>
      <w:r>
        <w:rPr>
          <w:rFonts w:hint="eastAsia" w:ascii="宋体" w:hAnsi="宋体" w:eastAsia="宋体" w:cs="宋体"/>
          <w:b/>
          <w:color w:val="auto"/>
          <w:kern w:val="0"/>
          <w:sz w:val="24"/>
          <w:szCs w:val="24"/>
          <w:lang w:val="en-US" w:eastAsia="zh-CN" w:bidi="ar-SA"/>
        </w:rPr>
        <w:t>详见附件</w:t>
      </w:r>
      <w:bookmarkEnd w:id="330"/>
    </w:p>
    <w:p w14:paraId="27797F97">
      <w:pPr>
        <w:pStyle w:val="27"/>
        <w:ind w:left="0" w:leftChars="0" w:firstLine="0" w:firstLineChars="0"/>
        <w:rPr>
          <w:rFonts w:hint="eastAsia" w:ascii="宋体" w:hAnsi="宋体" w:eastAsia="宋体" w:cs="宋体"/>
          <w:b/>
          <w:bCs/>
          <w:color w:val="auto"/>
          <w:sz w:val="24"/>
          <w:szCs w:val="24"/>
          <w:lang w:eastAsia="zh-CN"/>
        </w:rPr>
      </w:pPr>
    </w:p>
    <w:p w14:paraId="0748240B">
      <w:pPr>
        <w:pStyle w:val="27"/>
        <w:ind w:left="0" w:leftChars="0" w:firstLine="0" w:firstLineChars="0"/>
        <w:rPr>
          <w:rFonts w:hint="eastAsia" w:ascii="宋体" w:hAnsi="宋体" w:eastAsia="宋体" w:cs="宋体"/>
          <w:b/>
          <w:bCs/>
          <w:color w:val="auto"/>
          <w:sz w:val="24"/>
          <w:szCs w:val="24"/>
          <w:lang w:eastAsia="zh-CN"/>
        </w:rPr>
      </w:pPr>
    </w:p>
    <w:p w14:paraId="5F0023BF">
      <w:pPr>
        <w:rPr>
          <w:rFonts w:hint="eastAsia"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br w:type="page"/>
      </w:r>
    </w:p>
    <w:p w14:paraId="1B11E993">
      <w:pPr>
        <w:pStyle w:val="3"/>
        <w:keepNext/>
        <w:widowControl w:val="0"/>
        <w:numPr>
          <w:ilvl w:val="0"/>
          <w:numId w:val="0"/>
        </w:numPr>
        <w:wordWrap/>
        <w:adjustRightInd w:val="0"/>
        <w:snapToGrid w:val="0"/>
        <w:spacing w:before="157" w:beforeLines="50" w:line="560" w:lineRule="exact"/>
        <w:jc w:val="center"/>
        <w:textAlignment w:val="auto"/>
        <w:outlineLvl w:val="0"/>
        <w:rPr>
          <w:rFonts w:hint="eastAsia" w:ascii="宋体" w:hAnsi="宋体" w:eastAsia="宋体" w:cs="宋体"/>
          <w:color w:val="auto"/>
        </w:rPr>
      </w:pPr>
      <w:bookmarkStart w:id="331" w:name="_Toc25083"/>
      <w:r>
        <w:rPr>
          <w:rFonts w:hint="eastAsia" w:ascii="宋体" w:hAnsi="宋体" w:eastAsia="宋体" w:cs="宋体"/>
          <w:b/>
          <w:bCs/>
          <w:color w:val="auto"/>
          <w:sz w:val="32"/>
          <w:szCs w:val="32"/>
          <w:lang w:eastAsia="zh-CN"/>
        </w:rPr>
        <w:t>第四部分</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lang w:eastAsia="zh-CN"/>
        </w:rPr>
        <w:t>响应文件格式</w:t>
      </w:r>
      <w:bookmarkEnd w:id="278"/>
      <w:bookmarkEnd w:id="279"/>
      <w:bookmarkEnd w:id="280"/>
      <w:bookmarkEnd w:id="281"/>
      <w:bookmarkEnd w:id="282"/>
      <w:bookmarkEnd w:id="283"/>
      <w:bookmarkEnd w:id="284"/>
      <w:bookmarkEnd w:id="285"/>
      <w:bookmarkEnd w:id="331"/>
    </w:p>
    <w:p w14:paraId="53E2B4FF">
      <w:pPr>
        <w:pStyle w:val="3"/>
        <w:bidi w:val="0"/>
        <w:rPr>
          <w:rFonts w:hint="eastAsia" w:ascii="宋体" w:hAnsi="宋体" w:eastAsia="宋体" w:cs="宋体"/>
          <w:color w:val="auto"/>
          <w:kern w:val="2"/>
          <w:szCs w:val="32"/>
          <w:lang w:val="en-US" w:eastAsia="zh-CN" w:bidi="ar-SA"/>
        </w:rPr>
      </w:pPr>
      <w:bookmarkStart w:id="332" w:name="_Toc11968"/>
      <w:bookmarkStart w:id="333" w:name="_Toc20166_WPSOffice_Level2"/>
      <w:bookmarkStart w:id="334" w:name="_Toc4945_WPSOffice_Level2"/>
      <w:bookmarkStart w:id="335" w:name="_Toc3213"/>
      <w:bookmarkStart w:id="336" w:name="_Toc12691_WPSOffice_Level2"/>
      <w:r>
        <w:rPr>
          <w:rFonts w:hint="eastAsia" w:ascii="宋体" w:hAnsi="宋体" w:eastAsia="宋体" w:cs="宋体"/>
          <w:color w:val="auto"/>
          <w:sz w:val="28"/>
          <w:szCs w:val="28"/>
          <w:lang w:val="en-US" w:eastAsia="zh-CN"/>
        </w:rPr>
        <w:t>十二、响应</w:t>
      </w:r>
      <w:r>
        <w:rPr>
          <w:rFonts w:hint="eastAsia" w:ascii="宋体" w:hAnsi="宋体" w:eastAsia="宋体" w:cs="宋体"/>
          <w:b/>
          <w:bCs/>
          <w:color w:val="auto"/>
          <w:kern w:val="2"/>
          <w:sz w:val="28"/>
          <w:szCs w:val="28"/>
          <w:lang w:val="en-US" w:eastAsia="zh-CN" w:bidi="ar-SA"/>
        </w:rPr>
        <w:t>文件的组成</w:t>
      </w:r>
      <w:bookmarkEnd w:id="332"/>
      <w:bookmarkEnd w:id="333"/>
      <w:bookmarkEnd w:id="334"/>
      <w:bookmarkEnd w:id="335"/>
      <w:bookmarkEnd w:id="336"/>
    </w:p>
    <w:p w14:paraId="7C9021FE">
      <w:pPr>
        <w:widowControl w:val="0"/>
        <w:wordWrap/>
        <w:adjustRightInd w:val="0"/>
        <w:snapToGrid w:val="0"/>
        <w:spacing w:line="560" w:lineRule="exact"/>
        <w:jc w:val="left"/>
        <w:textAlignment w:val="auto"/>
        <w:outlineLvl w:val="2"/>
        <w:rPr>
          <w:rFonts w:hint="eastAsia" w:ascii="宋体" w:hAnsi="宋体" w:eastAsia="宋体" w:cs="宋体"/>
          <w:b/>
          <w:bCs/>
          <w:color w:val="auto"/>
          <w:kern w:val="2"/>
          <w:sz w:val="24"/>
          <w:szCs w:val="24"/>
          <w:lang w:val="zh-CN" w:eastAsia="zh-CN" w:bidi="ar-SA"/>
        </w:rPr>
      </w:pPr>
      <w:bookmarkStart w:id="337" w:name="_Toc22172"/>
      <w:bookmarkStart w:id="338" w:name="_Toc31451_WPSOffice_Level3"/>
      <w:bookmarkStart w:id="339" w:name="_Toc840"/>
      <w:bookmarkStart w:id="340" w:name="_Toc185_WPSOffice_Level2"/>
      <w:r>
        <w:rPr>
          <w:rFonts w:hint="eastAsia" w:ascii="宋体" w:hAnsi="宋体" w:eastAsia="宋体" w:cs="宋体"/>
          <w:b/>
          <w:bCs/>
          <w:color w:val="auto"/>
          <w:kern w:val="2"/>
          <w:sz w:val="24"/>
          <w:szCs w:val="24"/>
          <w:lang w:val="zh-CN" w:eastAsia="zh-CN" w:bidi="ar-SA"/>
        </w:rPr>
        <w:t>（一）资格审查部分</w:t>
      </w:r>
      <w:bookmarkEnd w:id="337"/>
      <w:bookmarkEnd w:id="338"/>
      <w:bookmarkEnd w:id="339"/>
      <w:bookmarkEnd w:id="340"/>
    </w:p>
    <w:p w14:paraId="70F81AE2">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41" w:name="_Toc19260_WPSOffice_Level3"/>
      <w:r>
        <w:rPr>
          <w:rFonts w:hint="eastAsia" w:ascii="宋体" w:hAnsi="宋体" w:eastAsia="宋体" w:cs="宋体"/>
          <w:color w:val="auto"/>
          <w:kern w:val="2"/>
          <w:sz w:val="24"/>
          <w:szCs w:val="24"/>
          <w:lang w:val="zh-CN" w:eastAsia="zh-CN" w:bidi="ar-SA"/>
        </w:rPr>
        <w:t>1、响应函（见附件1）</w:t>
      </w:r>
      <w:bookmarkEnd w:id="341"/>
    </w:p>
    <w:p w14:paraId="0DE9C5B0">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42" w:name="_Toc13122_WPSOffice_Level3"/>
      <w:r>
        <w:rPr>
          <w:rFonts w:hint="eastAsia" w:ascii="宋体" w:hAnsi="宋体" w:eastAsia="宋体" w:cs="宋体"/>
          <w:color w:val="auto"/>
          <w:kern w:val="2"/>
          <w:sz w:val="24"/>
          <w:szCs w:val="24"/>
          <w:lang w:val="zh-CN" w:eastAsia="zh-CN" w:bidi="ar-SA"/>
        </w:rPr>
        <w:t>2、法定代表人证明书（见附件2）</w:t>
      </w:r>
      <w:bookmarkEnd w:id="342"/>
    </w:p>
    <w:p w14:paraId="6AA3A6B1">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43" w:name="_Toc5677_WPSOffice_Level3"/>
      <w:r>
        <w:rPr>
          <w:rFonts w:hint="eastAsia" w:ascii="宋体" w:hAnsi="宋体" w:eastAsia="宋体" w:cs="宋体"/>
          <w:color w:val="auto"/>
          <w:kern w:val="2"/>
          <w:sz w:val="24"/>
          <w:szCs w:val="24"/>
          <w:lang w:val="zh-CN" w:eastAsia="zh-CN" w:bidi="ar-SA"/>
        </w:rPr>
        <w:t>3、法定代表人授权书（见附件3）</w:t>
      </w:r>
      <w:bookmarkEnd w:id="343"/>
    </w:p>
    <w:p w14:paraId="41EA8016">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44" w:name="_Toc1890_WPSOffice_Level3"/>
      <w:r>
        <w:rPr>
          <w:rFonts w:hint="eastAsia" w:ascii="宋体" w:hAnsi="宋体" w:eastAsia="宋体" w:cs="宋体"/>
          <w:color w:val="auto"/>
          <w:kern w:val="2"/>
          <w:sz w:val="24"/>
          <w:szCs w:val="24"/>
          <w:lang w:val="zh-CN" w:eastAsia="zh-CN" w:bidi="ar-SA"/>
        </w:rPr>
        <w:t>4、供应商承诺函（见附件4）</w:t>
      </w:r>
      <w:bookmarkEnd w:id="344"/>
    </w:p>
    <w:p w14:paraId="275B1B7D">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45" w:name="_Toc25873_WPSOffice_Level3"/>
      <w:r>
        <w:rPr>
          <w:rFonts w:hint="eastAsia" w:ascii="宋体" w:hAnsi="宋体" w:eastAsia="宋体" w:cs="宋体"/>
          <w:color w:val="auto"/>
          <w:kern w:val="2"/>
          <w:sz w:val="24"/>
          <w:szCs w:val="24"/>
          <w:lang w:val="zh-CN" w:eastAsia="zh-CN" w:bidi="ar-SA"/>
        </w:rPr>
        <w:t>5、供应商诚信承诺书（见附件5）</w:t>
      </w:r>
      <w:bookmarkEnd w:id="345"/>
    </w:p>
    <w:p w14:paraId="45B60706">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46" w:name="_Toc31370_WPSOffice_Level3"/>
      <w:r>
        <w:rPr>
          <w:rFonts w:hint="eastAsia" w:ascii="宋体" w:hAnsi="宋体" w:eastAsia="宋体" w:cs="宋体"/>
          <w:color w:val="auto"/>
          <w:kern w:val="2"/>
          <w:sz w:val="24"/>
          <w:szCs w:val="24"/>
          <w:lang w:val="zh-CN" w:eastAsia="zh-CN" w:bidi="ar-SA"/>
        </w:rPr>
        <w:t>6、供应商资格证明文件（见附件6）</w:t>
      </w:r>
      <w:bookmarkEnd w:id="346"/>
    </w:p>
    <w:p w14:paraId="656929D6">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47" w:name="_Toc10045_WPSOffice_Level3"/>
      <w:r>
        <w:rPr>
          <w:rFonts w:hint="eastAsia" w:ascii="宋体" w:hAnsi="宋体" w:eastAsia="宋体" w:cs="宋体"/>
          <w:color w:val="auto"/>
          <w:kern w:val="2"/>
          <w:sz w:val="24"/>
          <w:szCs w:val="24"/>
          <w:lang w:val="zh-CN" w:eastAsia="zh-CN" w:bidi="ar-SA"/>
        </w:rPr>
        <w:t>7、财务状况、缴纳税收和社会保障资金证明（见附件7）</w:t>
      </w:r>
      <w:bookmarkEnd w:id="347"/>
    </w:p>
    <w:p w14:paraId="633005A5">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48" w:name="_Toc12223_WPSOffice_Level3"/>
      <w:r>
        <w:rPr>
          <w:rFonts w:hint="eastAsia" w:ascii="宋体" w:hAnsi="宋体" w:eastAsia="宋体" w:cs="宋体"/>
          <w:color w:val="auto"/>
          <w:kern w:val="2"/>
          <w:sz w:val="24"/>
          <w:szCs w:val="24"/>
          <w:lang w:val="zh-CN" w:eastAsia="zh-CN" w:bidi="ar-SA"/>
        </w:rPr>
        <w:t>8、无重大违法记录声明（见附件</w:t>
      </w:r>
      <w:r>
        <w:rPr>
          <w:rFonts w:hint="eastAsia" w:ascii="宋体" w:hAnsi="宋体" w:eastAsia="宋体" w:cs="宋体"/>
          <w:color w:val="auto"/>
          <w:kern w:val="2"/>
          <w:sz w:val="24"/>
          <w:szCs w:val="24"/>
          <w:lang w:val="en-US" w:eastAsia="zh-CN" w:bidi="ar-SA"/>
        </w:rPr>
        <w:t>8</w:t>
      </w:r>
      <w:r>
        <w:rPr>
          <w:rFonts w:hint="eastAsia" w:ascii="宋体" w:hAnsi="宋体" w:eastAsia="宋体" w:cs="宋体"/>
          <w:color w:val="auto"/>
          <w:kern w:val="2"/>
          <w:sz w:val="24"/>
          <w:szCs w:val="24"/>
          <w:lang w:val="zh-CN" w:eastAsia="zh-CN" w:bidi="ar-SA"/>
        </w:rPr>
        <w:t>）</w:t>
      </w:r>
      <w:bookmarkEnd w:id="348"/>
    </w:p>
    <w:p w14:paraId="2660FAB5">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en-US" w:eastAsia="zh-CN" w:bidi="ar-SA"/>
        </w:rPr>
      </w:pPr>
      <w:bookmarkStart w:id="349" w:name="_Toc10394_WPSOffice_Level3"/>
      <w:r>
        <w:rPr>
          <w:rFonts w:hint="eastAsia" w:ascii="宋体" w:hAnsi="宋体" w:eastAsia="宋体" w:cs="宋体"/>
          <w:color w:val="auto"/>
          <w:kern w:val="2"/>
          <w:sz w:val="24"/>
          <w:szCs w:val="24"/>
          <w:lang w:val="en-US" w:eastAsia="zh-CN" w:bidi="ar-SA"/>
        </w:rPr>
        <w:t>9、谈判保证金证明（见附件9）</w:t>
      </w:r>
      <w:bookmarkEnd w:id="349"/>
    </w:p>
    <w:p w14:paraId="4F880C12">
      <w:pPr>
        <w:widowControl w:val="0"/>
        <w:wordWrap/>
        <w:adjustRightInd w:val="0"/>
        <w:snapToGrid w:val="0"/>
        <w:spacing w:line="560" w:lineRule="exact"/>
        <w:jc w:val="left"/>
        <w:textAlignment w:val="auto"/>
        <w:outlineLvl w:val="2"/>
        <w:rPr>
          <w:rFonts w:hint="eastAsia" w:ascii="宋体" w:hAnsi="宋体" w:eastAsia="宋体" w:cs="宋体"/>
          <w:b/>
          <w:bCs/>
          <w:color w:val="auto"/>
          <w:kern w:val="2"/>
          <w:sz w:val="24"/>
          <w:szCs w:val="24"/>
          <w:lang w:val="zh-CN" w:eastAsia="zh-CN" w:bidi="ar-SA"/>
        </w:rPr>
      </w:pPr>
      <w:bookmarkStart w:id="350" w:name="_Toc21135"/>
      <w:bookmarkStart w:id="351" w:name="_Toc18301_WPSOffice_Level3"/>
      <w:bookmarkStart w:id="352" w:name="_Toc3154_WPSOffice_Level2"/>
      <w:bookmarkStart w:id="353" w:name="_Toc8307"/>
      <w:r>
        <w:rPr>
          <w:rFonts w:hint="eastAsia" w:ascii="宋体" w:hAnsi="宋体" w:eastAsia="宋体" w:cs="宋体"/>
          <w:b/>
          <w:bCs/>
          <w:color w:val="auto"/>
          <w:kern w:val="2"/>
          <w:sz w:val="24"/>
          <w:szCs w:val="24"/>
          <w:lang w:val="zh-CN" w:eastAsia="zh-CN" w:bidi="ar-SA"/>
        </w:rPr>
        <w:t>（二）有效性、完整性、响应程度审查部分</w:t>
      </w:r>
      <w:bookmarkEnd w:id="350"/>
      <w:bookmarkEnd w:id="351"/>
      <w:bookmarkEnd w:id="352"/>
      <w:bookmarkEnd w:id="353"/>
    </w:p>
    <w:p w14:paraId="6359BCD4">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54" w:name="_Toc9730_WPSOffice_Level3"/>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zh-CN" w:eastAsia="zh-CN" w:bidi="ar-SA"/>
        </w:rPr>
        <w:t>、谈判首次报价表（见附件</w:t>
      </w:r>
      <w:r>
        <w:rPr>
          <w:rFonts w:hint="eastAsia" w:ascii="宋体" w:hAnsi="宋体" w:eastAsia="宋体" w:cs="宋体"/>
          <w:color w:val="auto"/>
          <w:kern w:val="2"/>
          <w:sz w:val="24"/>
          <w:szCs w:val="24"/>
          <w:lang w:val="en-US" w:eastAsia="zh-CN" w:bidi="ar-SA"/>
        </w:rPr>
        <w:t>10</w:t>
      </w:r>
      <w:r>
        <w:rPr>
          <w:rFonts w:hint="eastAsia" w:ascii="宋体" w:hAnsi="宋体" w:eastAsia="宋体" w:cs="宋体"/>
          <w:color w:val="auto"/>
          <w:kern w:val="2"/>
          <w:sz w:val="24"/>
          <w:szCs w:val="24"/>
          <w:lang w:val="zh-CN" w:eastAsia="zh-CN" w:bidi="ar-SA"/>
        </w:rPr>
        <w:t>）</w:t>
      </w:r>
      <w:bookmarkEnd w:id="354"/>
    </w:p>
    <w:p w14:paraId="69D9885E">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55" w:name="_Toc15196_WPSOffice_Level3"/>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kern w:val="2"/>
          <w:sz w:val="24"/>
          <w:szCs w:val="24"/>
          <w:lang w:val="zh-CN" w:eastAsia="zh-CN" w:bidi="ar-SA"/>
        </w:rPr>
        <w:t>、已标价的工程量清单（见附件1</w:t>
      </w: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zh-CN" w:eastAsia="zh-CN" w:bidi="ar-SA"/>
        </w:rPr>
        <w:t>）</w:t>
      </w:r>
      <w:bookmarkEnd w:id="355"/>
    </w:p>
    <w:p w14:paraId="0FD54A54">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56" w:name="_Toc319_WPSOffice_Level3"/>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kern w:val="2"/>
          <w:sz w:val="24"/>
          <w:szCs w:val="24"/>
          <w:lang w:val="zh-CN" w:eastAsia="zh-CN" w:bidi="ar-SA"/>
        </w:rPr>
        <w:t>、</w:t>
      </w:r>
      <w:r>
        <w:rPr>
          <w:rFonts w:hint="eastAsia" w:ascii="宋体" w:hAnsi="宋体" w:eastAsia="宋体" w:cs="宋体"/>
          <w:color w:val="auto"/>
          <w:kern w:val="2"/>
          <w:sz w:val="24"/>
          <w:szCs w:val="24"/>
          <w:lang w:val="en-US" w:eastAsia="zh-CN" w:bidi="ar-SA"/>
        </w:rPr>
        <w:t>施工组织设计</w:t>
      </w:r>
      <w:r>
        <w:rPr>
          <w:rFonts w:hint="eastAsia" w:ascii="宋体" w:hAnsi="宋体" w:eastAsia="宋体" w:cs="宋体"/>
          <w:color w:val="auto"/>
          <w:kern w:val="2"/>
          <w:sz w:val="24"/>
          <w:szCs w:val="24"/>
          <w:lang w:val="zh-CN" w:eastAsia="zh-CN" w:bidi="ar-SA"/>
        </w:rPr>
        <w:t>（见附件1</w:t>
      </w: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kern w:val="2"/>
          <w:sz w:val="24"/>
          <w:szCs w:val="24"/>
          <w:lang w:val="zh-CN" w:eastAsia="zh-CN" w:bidi="ar-SA"/>
        </w:rPr>
        <w:t>）</w:t>
      </w:r>
      <w:bookmarkEnd w:id="356"/>
    </w:p>
    <w:p w14:paraId="747F6FE6">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57" w:name="_Toc22060_WPSOffice_Level3"/>
      <w:r>
        <w:rPr>
          <w:rFonts w:hint="eastAsia" w:ascii="宋体" w:hAnsi="宋体" w:eastAsia="宋体" w:cs="宋体"/>
          <w:color w:val="auto"/>
          <w:kern w:val="2"/>
          <w:sz w:val="24"/>
          <w:szCs w:val="24"/>
          <w:lang w:val="en-US" w:eastAsia="zh-CN" w:bidi="ar-SA"/>
        </w:rPr>
        <w:t>4</w:t>
      </w:r>
      <w:r>
        <w:rPr>
          <w:rFonts w:hint="eastAsia" w:ascii="宋体" w:hAnsi="宋体" w:eastAsia="宋体" w:cs="宋体"/>
          <w:color w:val="auto"/>
          <w:kern w:val="2"/>
          <w:sz w:val="24"/>
          <w:szCs w:val="24"/>
          <w:lang w:val="zh-CN" w:eastAsia="zh-CN" w:bidi="ar-SA"/>
        </w:rPr>
        <w:t>、具备履行合同所必须的设备和专业技术能力证明（附件1</w:t>
      </w: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kern w:val="2"/>
          <w:sz w:val="24"/>
          <w:szCs w:val="24"/>
          <w:lang w:val="zh-CN" w:eastAsia="zh-CN" w:bidi="ar-SA"/>
        </w:rPr>
        <w:t>）</w:t>
      </w:r>
    </w:p>
    <w:bookmarkEnd w:id="357"/>
    <w:p w14:paraId="3AF9C5AB">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58" w:name="_Toc16307_WPSOffice_Level3"/>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kern w:val="2"/>
          <w:sz w:val="24"/>
          <w:szCs w:val="24"/>
          <w:lang w:val="zh-CN" w:eastAsia="zh-CN" w:bidi="ar-SA"/>
        </w:rPr>
        <w:t>、供应商认为在其他方面有必要说明的事项（格式自定）</w:t>
      </w:r>
      <w:bookmarkEnd w:id="358"/>
    </w:p>
    <w:p w14:paraId="6B8114D6">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zh-CN" w:eastAsia="zh-CN" w:bidi="ar-SA"/>
        </w:rPr>
      </w:pPr>
      <w:bookmarkStart w:id="359" w:name="_Toc1748_WPSOffice_Level3"/>
      <w:r>
        <w:rPr>
          <w:rFonts w:hint="eastAsia" w:ascii="宋体" w:hAnsi="宋体" w:eastAsia="宋体" w:cs="宋体"/>
          <w:color w:val="auto"/>
          <w:kern w:val="2"/>
          <w:sz w:val="24"/>
          <w:szCs w:val="24"/>
          <w:lang w:val="en-US" w:eastAsia="zh-CN" w:bidi="ar-SA"/>
        </w:rPr>
        <w:t>6、</w:t>
      </w:r>
      <w:r>
        <w:rPr>
          <w:rFonts w:hint="eastAsia" w:ascii="宋体" w:hAnsi="宋体" w:eastAsia="宋体" w:cs="宋体"/>
          <w:color w:val="auto"/>
          <w:kern w:val="2"/>
          <w:sz w:val="24"/>
          <w:szCs w:val="24"/>
          <w:lang w:val="zh-CN" w:eastAsia="zh-CN" w:bidi="ar-SA"/>
        </w:rPr>
        <w:t>享受政府采购政策优惠的证明资料（见附件</w:t>
      </w:r>
      <w:r>
        <w:rPr>
          <w:rFonts w:hint="eastAsia" w:ascii="宋体" w:hAnsi="宋体" w:eastAsia="宋体" w:cs="宋体"/>
          <w:color w:val="auto"/>
          <w:kern w:val="2"/>
          <w:sz w:val="24"/>
          <w:szCs w:val="24"/>
          <w:lang w:val="en-US" w:eastAsia="zh-CN" w:bidi="ar-SA"/>
        </w:rPr>
        <w:t>14</w:t>
      </w:r>
      <w:r>
        <w:rPr>
          <w:rFonts w:hint="eastAsia" w:ascii="宋体" w:hAnsi="宋体" w:eastAsia="宋体" w:cs="宋体"/>
          <w:color w:val="auto"/>
          <w:kern w:val="2"/>
          <w:sz w:val="24"/>
          <w:szCs w:val="24"/>
          <w:lang w:val="zh-CN" w:eastAsia="zh-CN" w:bidi="ar-SA"/>
        </w:rPr>
        <w:t>）</w:t>
      </w:r>
      <w:bookmarkEnd w:id="359"/>
    </w:p>
    <w:p w14:paraId="603E2108">
      <w:pPr>
        <w:widowControl w:val="0"/>
        <w:wordWrap/>
        <w:adjustRightInd w:val="0"/>
        <w:snapToGrid w:val="0"/>
        <w:spacing w:line="560" w:lineRule="exact"/>
        <w:jc w:val="left"/>
        <w:textAlignment w:val="auto"/>
        <w:rPr>
          <w:rFonts w:hint="eastAsia" w:ascii="宋体" w:hAnsi="宋体" w:eastAsia="宋体" w:cs="宋体"/>
          <w:color w:val="auto"/>
          <w:kern w:val="2"/>
          <w:sz w:val="24"/>
          <w:szCs w:val="24"/>
          <w:lang w:val="en-US" w:eastAsia="zh-CN" w:bidi="ar-SA"/>
        </w:rPr>
      </w:pPr>
      <w:bookmarkStart w:id="360" w:name="_Toc5088_WPSOffice_Level3"/>
      <w:r>
        <w:rPr>
          <w:rFonts w:hint="eastAsia" w:ascii="宋体" w:hAnsi="宋体" w:eastAsia="宋体" w:cs="宋体"/>
          <w:color w:val="auto"/>
          <w:kern w:val="2"/>
          <w:sz w:val="24"/>
          <w:szCs w:val="24"/>
          <w:lang w:val="en-US" w:eastAsia="zh-CN" w:bidi="ar-SA"/>
        </w:rPr>
        <w:t>7、其他证明材料（格式自定）</w:t>
      </w:r>
      <w:bookmarkEnd w:id="360"/>
    </w:p>
    <w:p w14:paraId="11F48131">
      <w:pPr>
        <w:widowControl w:val="0"/>
        <w:wordWrap/>
        <w:adjustRightInd w:val="0"/>
        <w:snapToGrid w:val="0"/>
        <w:spacing w:line="560" w:lineRule="exact"/>
        <w:jc w:val="left"/>
        <w:textAlignment w:val="auto"/>
        <w:rPr>
          <w:rFonts w:hint="eastAsia" w:ascii="宋体" w:hAnsi="宋体" w:eastAsia="宋体" w:cs="宋体"/>
          <w:color w:val="auto"/>
          <w:lang w:val="en-US" w:eastAsia="zh-CN"/>
        </w:rPr>
      </w:pPr>
      <w:bookmarkStart w:id="361" w:name="_Toc30100_WPSOffice_Level3"/>
      <w:r>
        <w:rPr>
          <w:rFonts w:hint="eastAsia" w:ascii="宋体" w:hAnsi="宋体" w:eastAsia="宋体" w:cs="宋体"/>
          <w:color w:val="auto"/>
          <w:kern w:val="2"/>
          <w:sz w:val="24"/>
          <w:szCs w:val="24"/>
          <w:lang w:val="en-US" w:eastAsia="zh-CN" w:bidi="ar-SA"/>
        </w:rPr>
        <w:t>8、谈判最后报价表（见附件15）</w:t>
      </w:r>
      <w:bookmarkEnd w:id="361"/>
    </w:p>
    <w:p w14:paraId="6358D6EA">
      <w:pPr>
        <w:widowControl w:val="0"/>
        <w:wordWrap/>
        <w:adjustRightInd w:val="0"/>
        <w:snapToGrid w:val="0"/>
        <w:spacing w:line="560" w:lineRule="exact"/>
        <w:jc w:val="left"/>
        <w:textAlignment w:val="auto"/>
        <w:rPr>
          <w:rFonts w:hint="eastAsia" w:ascii="宋体" w:hAnsi="宋体" w:eastAsia="宋体" w:cs="宋体"/>
          <w:color w:val="auto"/>
          <w:kern w:val="2"/>
          <w:sz w:val="32"/>
          <w:szCs w:val="32"/>
          <w:lang w:val="en-US" w:eastAsia="zh-CN" w:bidi="ar-SA"/>
        </w:rPr>
      </w:pPr>
    </w:p>
    <w:p w14:paraId="2A77E98D">
      <w:pPr>
        <w:rPr>
          <w:rFonts w:hint="eastAsia" w:ascii="宋体" w:hAnsi="宋体" w:eastAsia="宋体" w:cs="宋体"/>
          <w:b/>
          <w:bCs/>
          <w:color w:val="auto"/>
          <w:kern w:val="2"/>
          <w:sz w:val="28"/>
          <w:szCs w:val="28"/>
          <w:lang w:val="en-US" w:eastAsia="zh-CN" w:bidi="ar-SA"/>
        </w:rPr>
      </w:pPr>
      <w:bookmarkStart w:id="362" w:name="_Toc1684_WPSOffice_Level2"/>
      <w:bookmarkStart w:id="363" w:name="_Toc5252_WPSOffice_Level2"/>
      <w:bookmarkStart w:id="364" w:name="_Toc14930_WPSOffice_Level2"/>
      <w:bookmarkStart w:id="365" w:name="_Toc11918"/>
      <w:r>
        <w:rPr>
          <w:rFonts w:hint="eastAsia" w:ascii="宋体" w:hAnsi="宋体" w:eastAsia="宋体" w:cs="宋体"/>
          <w:b/>
          <w:bCs/>
          <w:color w:val="auto"/>
          <w:kern w:val="2"/>
          <w:sz w:val="28"/>
          <w:szCs w:val="28"/>
          <w:lang w:val="en-US" w:eastAsia="zh-CN" w:bidi="ar-SA"/>
        </w:rPr>
        <w:br w:type="page"/>
      </w:r>
    </w:p>
    <w:p w14:paraId="06483B69">
      <w:pPr>
        <w:widowControl w:val="0"/>
        <w:wordWrap/>
        <w:adjustRightInd w:val="0"/>
        <w:snapToGrid w:val="0"/>
        <w:spacing w:line="560" w:lineRule="exact"/>
        <w:jc w:val="center"/>
        <w:textAlignment w:val="auto"/>
        <w:outlineLvl w:val="1"/>
        <w:rPr>
          <w:rFonts w:hint="eastAsia" w:ascii="宋体" w:hAnsi="宋体" w:eastAsia="宋体" w:cs="宋体"/>
          <w:b/>
          <w:bCs/>
          <w:color w:val="auto"/>
          <w:kern w:val="2"/>
          <w:sz w:val="28"/>
          <w:szCs w:val="28"/>
          <w:lang w:val="en-US" w:eastAsia="zh-CN" w:bidi="ar-SA"/>
        </w:rPr>
      </w:pPr>
      <w:bookmarkStart w:id="366" w:name="_Toc22222"/>
      <w:r>
        <w:rPr>
          <w:rFonts w:hint="eastAsia" w:ascii="宋体" w:hAnsi="宋体" w:eastAsia="宋体" w:cs="宋体"/>
          <w:b/>
          <w:bCs/>
          <w:color w:val="auto"/>
          <w:kern w:val="2"/>
          <w:sz w:val="28"/>
          <w:szCs w:val="28"/>
          <w:lang w:val="en-US" w:eastAsia="zh-CN" w:bidi="ar-SA"/>
        </w:rPr>
        <w:t>十三、</w:t>
      </w:r>
      <w:bookmarkEnd w:id="362"/>
      <w:bookmarkEnd w:id="363"/>
      <w:bookmarkEnd w:id="364"/>
      <w:bookmarkEnd w:id="365"/>
      <w:r>
        <w:rPr>
          <w:rFonts w:hint="eastAsia" w:ascii="宋体" w:hAnsi="宋体" w:eastAsia="宋体" w:cs="宋体"/>
          <w:b/>
          <w:bCs/>
          <w:color w:val="auto"/>
          <w:kern w:val="2"/>
          <w:sz w:val="28"/>
          <w:szCs w:val="28"/>
          <w:lang w:val="en-US" w:eastAsia="zh-CN" w:bidi="ar-SA"/>
        </w:rPr>
        <w:t>响应文件</w:t>
      </w:r>
      <w:bookmarkEnd w:id="366"/>
    </w:p>
    <w:p w14:paraId="6EAAD4BF">
      <w:pPr>
        <w:wordWrap/>
        <w:spacing w:before="157" w:beforeLines="50" w:line="560" w:lineRule="exact"/>
        <w:jc w:val="center"/>
        <w:outlineLvl w:val="9"/>
        <w:rPr>
          <w:rFonts w:hint="eastAsia" w:ascii="宋体" w:hAnsi="宋体" w:eastAsia="宋体" w:cs="宋体"/>
          <w:b/>
          <w:color w:val="auto"/>
          <w:sz w:val="44"/>
          <w:szCs w:val="44"/>
        </w:rPr>
      </w:pPr>
      <w:bookmarkStart w:id="367" w:name="_Toc28269_WPSOffice_Level3"/>
      <w:bookmarkStart w:id="368" w:name="_Toc31682_WPSOffice_Level2"/>
      <w:bookmarkStart w:id="369" w:name="_Toc10997_WPSOffice_Level2"/>
    </w:p>
    <w:p w14:paraId="66363E29">
      <w:pPr>
        <w:wordWrap/>
        <w:spacing w:before="157" w:beforeLines="50" w:line="560" w:lineRule="exact"/>
        <w:jc w:val="center"/>
        <w:outlineLvl w:val="9"/>
        <w:rPr>
          <w:rFonts w:hint="eastAsia" w:ascii="宋体" w:hAnsi="宋体" w:eastAsia="宋体" w:cs="宋体"/>
          <w:b/>
          <w:color w:val="auto"/>
          <w:sz w:val="44"/>
          <w:szCs w:val="44"/>
        </w:rPr>
      </w:pPr>
      <w:r>
        <w:rPr>
          <w:rFonts w:hint="eastAsia" w:ascii="宋体" w:hAnsi="宋体" w:eastAsia="宋体" w:cs="宋体"/>
          <w:b/>
          <w:color w:val="auto"/>
          <w:sz w:val="44"/>
          <w:szCs w:val="44"/>
        </w:rPr>
        <w:t>青海省政府采购项目</w:t>
      </w:r>
      <w:bookmarkEnd w:id="367"/>
      <w:bookmarkEnd w:id="368"/>
      <w:bookmarkEnd w:id="369"/>
      <w:bookmarkStart w:id="370" w:name="_Toc25378_WPSOffice_Level2"/>
      <w:bookmarkStart w:id="371" w:name="_Toc23622_WPSOffice_Level2"/>
    </w:p>
    <w:bookmarkEnd w:id="370"/>
    <w:bookmarkEnd w:id="371"/>
    <w:p w14:paraId="229E3EDF">
      <w:pPr>
        <w:wordWrap/>
        <w:spacing w:before="157" w:beforeLines="50" w:line="560" w:lineRule="exact"/>
        <w:jc w:val="center"/>
        <w:outlineLvl w:val="9"/>
        <w:rPr>
          <w:rFonts w:hint="eastAsia" w:ascii="宋体" w:hAnsi="宋体" w:eastAsia="宋体" w:cs="宋体"/>
          <w:b/>
          <w:color w:val="auto"/>
          <w:sz w:val="44"/>
          <w:szCs w:val="44"/>
          <w:lang w:eastAsia="zh-CN"/>
        </w:rPr>
      </w:pPr>
      <w:r>
        <w:rPr>
          <w:rFonts w:hint="eastAsia" w:ascii="宋体" w:hAnsi="宋体" w:eastAsia="宋体" w:cs="宋体"/>
          <w:b/>
          <w:color w:val="auto"/>
          <w:sz w:val="44"/>
          <w:szCs w:val="44"/>
          <w:lang w:eastAsia="zh-CN"/>
        </w:rPr>
        <w:t>响应文件</w:t>
      </w:r>
    </w:p>
    <w:p w14:paraId="7D904CC2">
      <w:pPr>
        <w:wordWrap/>
        <w:adjustRightInd w:val="0"/>
        <w:spacing w:before="157" w:beforeLines="50" w:line="560" w:lineRule="exact"/>
        <w:ind w:firstLine="3052" w:firstLineChars="950"/>
        <w:textAlignment w:val="baseline"/>
        <w:outlineLvl w:val="9"/>
        <w:rPr>
          <w:rFonts w:hint="eastAsia" w:ascii="宋体" w:hAnsi="宋体" w:eastAsia="宋体" w:cs="宋体"/>
          <w:b/>
          <w:bCs/>
          <w:color w:val="auto"/>
          <w:sz w:val="32"/>
          <w:szCs w:val="32"/>
        </w:rPr>
      </w:pPr>
      <w:bookmarkStart w:id="372" w:name="_Toc13231_WPSOffice_Level2"/>
      <w:bookmarkStart w:id="373" w:name="_Toc28825_WPSOffice_Level2"/>
      <w:r>
        <w:rPr>
          <w:rFonts w:hint="eastAsia" w:ascii="宋体" w:hAnsi="宋体" w:eastAsia="宋体" w:cs="宋体"/>
          <w:b/>
          <w:bCs/>
          <w:color w:val="auto"/>
          <w:sz w:val="32"/>
          <w:szCs w:val="32"/>
        </w:rPr>
        <w:t>（</w:t>
      </w:r>
      <w:r>
        <w:rPr>
          <w:rFonts w:hint="eastAsia" w:ascii="宋体" w:hAnsi="宋体" w:eastAsia="宋体" w:cs="宋体"/>
          <w:b w:val="0"/>
          <w:bCs w:val="0"/>
          <w:color w:val="auto"/>
          <w:kern w:val="2"/>
          <w:sz w:val="32"/>
          <w:szCs w:val="32"/>
          <w:lang w:val="en-US" w:eastAsia="zh-CN" w:bidi="ar-SA"/>
        </w:rPr>
        <w:t>资格审查部分</w:t>
      </w:r>
      <w:r>
        <w:rPr>
          <w:rFonts w:hint="eastAsia" w:ascii="宋体" w:hAnsi="宋体" w:eastAsia="宋体" w:cs="宋体"/>
          <w:b/>
          <w:bCs/>
          <w:color w:val="auto"/>
          <w:sz w:val="32"/>
          <w:szCs w:val="32"/>
        </w:rPr>
        <w:t>）</w:t>
      </w:r>
    </w:p>
    <w:p w14:paraId="7B515A5F">
      <w:pPr>
        <w:wordWrap/>
        <w:adjustRightInd w:val="0"/>
        <w:spacing w:before="157" w:beforeLines="50" w:line="560" w:lineRule="exact"/>
        <w:ind w:firstLine="3052" w:firstLineChars="950"/>
        <w:textAlignment w:val="baseline"/>
        <w:outlineLvl w:val="9"/>
        <w:rPr>
          <w:rFonts w:hint="eastAsia" w:ascii="宋体" w:hAnsi="宋体" w:eastAsia="宋体" w:cs="宋体"/>
          <w:b/>
          <w:bCs/>
          <w:color w:val="auto"/>
          <w:sz w:val="32"/>
          <w:szCs w:val="32"/>
        </w:rPr>
      </w:pPr>
    </w:p>
    <w:bookmarkEnd w:id="372"/>
    <w:bookmarkEnd w:id="373"/>
    <w:p w14:paraId="2C1E50CA">
      <w:pPr>
        <w:wordWrap/>
        <w:adjustRightInd w:val="0"/>
        <w:spacing w:before="157" w:beforeLines="50" w:line="560" w:lineRule="exact"/>
        <w:textAlignment w:val="baseline"/>
        <w:outlineLvl w:val="9"/>
        <w:rPr>
          <w:rFonts w:hint="eastAsia" w:ascii="宋体" w:hAnsi="宋体" w:eastAsia="宋体" w:cs="宋体"/>
          <w:b/>
          <w:bCs/>
          <w:color w:val="auto"/>
          <w:sz w:val="32"/>
          <w:szCs w:val="32"/>
        </w:rPr>
      </w:pPr>
    </w:p>
    <w:p w14:paraId="55812F19">
      <w:pPr>
        <w:wordWrap/>
        <w:adjustRightInd w:val="0"/>
        <w:spacing w:before="157" w:beforeLines="50" w:line="560" w:lineRule="exact"/>
        <w:textAlignment w:val="baseline"/>
        <w:outlineLvl w:val="9"/>
        <w:rPr>
          <w:rFonts w:hint="eastAsia" w:ascii="宋体" w:hAnsi="宋体" w:eastAsia="宋体" w:cs="宋体"/>
          <w:b/>
          <w:bCs/>
          <w:color w:val="auto"/>
          <w:sz w:val="32"/>
          <w:szCs w:val="32"/>
        </w:rPr>
      </w:pPr>
    </w:p>
    <w:p w14:paraId="68E6CF37">
      <w:pPr>
        <w:wordWrap/>
        <w:adjustRightInd w:val="0"/>
        <w:spacing w:before="157" w:beforeLines="50" w:line="560" w:lineRule="exact"/>
        <w:textAlignment w:val="baseline"/>
        <w:outlineLvl w:val="9"/>
        <w:rPr>
          <w:rFonts w:hint="eastAsia" w:ascii="宋体" w:hAnsi="宋体" w:eastAsia="宋体" w:cs="宋体"/>
          <w:b/>
          <w:bCs/>
          <w:color w:val="auto"/>
          <w:sz w:val="32"/>
          <w:szCs w:val="32"/>
        </w:rPr>
      </w:pPr>
    </w:p>
    <w:p w14:paraId="4AD0A261">
      <w:pPr>
        <w:wordWrap/>
        <w:adjustRightInd w:val="0"/>
        <w:spacing w:before="157" w:beforeLines="50" w:line="560" w:lineRule="exact"/>
        <w:textAlignment w:val="baseline"/>
        <w:outlineLvl w:val="9"/>
        <w:rPr>
          <w:rFonts w:hint="eastAsia" w:ascii="宋体" w:hAnsi="宋体" w:eastAsia="宋体" w:cs="宋体"/>
          <w:b/>
          <w:bCs/>
          <w:color w:val="auto"/>
          <w:sz w:val="32"/>
          <w:szCs w:val="32"/>
          <w:lang w:eastAsia="zh-CN"/>
        </w:rPr>
      </w:pPr>
      <w:bookmarkStart w:id="374" w:name="_Toc29803_WPSOffice_Level2"/>
      <w:bookmarkStart w:id="375" w:name="_Toc19521_WPSOffice_Level2"/>
      <w:r>
        <w:rPr>
          <w:rFonts w:hint="eastAsia" w:ascii="宋体" w:hAnsi="宋体" w:eastAsia="宋体" w:cs="宋体"/>
          <w:b/>
          <w:bCs/>
          <w:color w:val="auto"/>
          <w:sz w:val="32"/>
          <w:szCs w:val="32"/>
        </w:rPr>
        <w:t>采购项目编号:</w:t>
      </w:r>
      <w:bookmarkEnd w:id="374"/>
      <w:bookmarkEnd w:id="375"/>
    </w:p>
    <w:p w14:paraId="2E625447">
      <w:pPr>
        <w:wordWrap/>
        <w:spacing w:before="157" w:beforeLines="50" w:line="560" w:lineRule="exact"/>
        <w:ind w:left="2530" w:hanging="2249" w:hangingChars="700"/>
        <w:jc w:val="left"/>
        <w:outlineLvl w:val="9"/>
        <w:rPr>
          <w:rFonts w:hint="eastAsia" w:ascii="宋体" w:hAnsi="宋体" w:eastAsia="宋体" w:cs="宋体"/>
          <w:b/>
          <w:bCs/>
          <w:color w:val="auto"/>
          <w:sz w:val="32"/>
          <w:szCs w:val="32"/>
        </w:rPr>
      </w:pPr>
      <w:bookmarkStart w:id="376" w:name="_Toc18713_WPSOffice_Level2"/>
      <w:bookmarkStart w:id="377" w:name="_Toc14786_WPSOffice_Level2"/>
      <w:r>
        <w:rPr>
          <w:rFonts w:hint="eastAsia" w:ascii="宋体" w:hAnsi="宋体" w:eastAsia="宋体" w:cs="宋体"/>
          <w:b/>
          <w:bCs/>
          <w:color w:val="auto"/>
          <w:sz w:val="32"/>
          <w:szCs w:val="32"/>
        </w:rPr>
        <w:t>采购项目名称:</w:t>
      </w:r>
      <w:bookmarkEnd w:id="376"/>
      <w:bookmarkEnd w:id="377"/>
    </w:p>
    <w:p w14:paraId="199EF1F5">
      <w:pPr>
        <w:wordWrap/>
        <w:adjustRightInd w:val="0"/>
        <w:spacing w:before="157" w:beforeLines="50" w:line="560" w:lineRule="exact"/>
        <w:textAlignment w:val="baseline"/>
        <w:outlineLvl w:val="9"/>
        <w:rPr>
          <w:rFonts w:hint="eastAsia" w:ascii="宋体" w:hAnsi="宋体" w:eastAsia="宋体" w:cs="宋体"/>
          <w:b/>
          <w:bCs/>
          <w:color w:val="auto"/>
          <w:sz w:val="32"/>
          <w:szCs w:val="32"/>
          <w:lang w:eastAsia="zh-CN"/>
        </w:rPr>
      </w:pPr>
      <w:bookmarkStart w:id="378" w:name="_Toc22044_WPSOffice_Level2"/>
      <w:bookmarkStart w:id="379" w:name="_Toc14087_WPSOffice_Level2"/>
      <w:r>
        <w:rPr>
          <w:rFonts w:hint="eastAsia" w:ascii="宋体" w:hAnsi="宋体" w:eastAsia="宋体" w:cs="宋体"/>
          <w:b/>
          <w:bCs/>
          <w:color w:val="auto"/>
          <w:sz w:val="32"/>
          <w:szCs w:val="32"/>
          <w:lang w:eastAsia="zh-CN"/>
        </w:rPr>
        <w:t>供应商名称：</w:t>
      </w:r>
      <w:bookmarkEnd w:id="378"/>
      <w:bookmarkEnd w:id="379"/>
    </w:p>
    <w:p w14:paraId="36DC1341">
      <w:pPr>
        <w:wordWrap/>
        <w:spacing w:before="157" w:beforeLines="50" w:line="560" w:lineRule="exact"/>
        <w:jc w:val="center"/>
        <w:outlineLvl w:val="9"/>
        <w:rPr>
          <w:rFonts w:hint="eastAsia" w:ascii="宋体" w:hAnsi="宋体" w:eastAsia="宋体" w:cs="宋体"/>
          <w:b/>
          <w:bCs/>
          <w:color w:val="auto"/>
          <w:sz w:val="32"/>
          <w:szCs w:val="32"/>
        </w:rPr>
      </w:pPr>
    </w:p>
    <w:p w14:paraId="2C983D16">
      <w:pPr>
        <w:wordWrap/>
        <w:spacing w:before="157" w:beforeLines="50" w:line="560" w:lineRule="exact"/>
        <w:jc w:val="center"/>
        <w:outlineLvl w:val="9"/>
        <w:rPr>
          <w:rFonts w:hint="eastAsia" w:ascii="宋体" w:hAnsi="宋体" w:eastAsia="宋体" w:cs="宋体"/>
          <w:b/>
          <w:color w:val="auto"/>
          <w:sz w:val="32"/>
          <w:szCs w:val="32"/>
        </w:rPr>
      </w:pPr>
      <w:bookmarkStart w:id="380" w:name="_Toc1142_WPSOffice_Level3"/>
      <w:r>
        <w:rPr>
          <w:rFonts w:hint="eastAsia" w:ascii="宋体" w:hAnsi="宋体" w:eastAsia="宋体" w:cs="宋体"/>
          <w:b/>
          <w:color w:val="auto"/>
          <w:sz w:val="32"/>
          <w:szCs w:val="32"/>
        </w:rPr>
        <w:t xml:space="preserve">年  </w:t>
      </w:r>
      <w:r>
        <w:rPr>
          <w:rFonts w:hint="eastAsia" w:ascii="宋体" w:hAnsi="宋体" w:eastAsia="宋体" w:cs="宋体"/>
          <w:b/>
          <w:color w:val="auto"/>
          <w:sz w:val="32"/>
          <w:szCs w:val="32"/>
          <w:lang w:val="en-US" w:eastAsia="zh-CN"/>
        </w:rPr>
        <w:t xml:space="preserve"> </w:t>
      </w:r>
      <w:r>
        <w:rPr>
          <w:rFonts w:hint="eastAsia" w:ascii="宋体" w:hAnsi="宋体" w:eastAsia="宋体" w:cs="宋体"/>
          <w:b/>
          <w:color w:val="auto"/>
          <w:sz w:val="32"/>
          <w:szCs w:val="32"/>
        </w:rPr>
        <w:t xml:space="preserve">月  </w:t>
      </w:r>
      <w:r>
        <w:rPr>
          <w:rFonts w:hint="eastAsia" w:ascii="宋体" w:hAnsi="宋体" w:eastAsia="宋体" w:cs="宋体"/>
          <w:b/>
          <w:color w:val="auto"/>
          <w:sz w:val="32"/>
          <w:szCs w:val="32"/>
          <w:lang w:val="en-US" w:eastAsia="zh-CN"/>
        </w:rPr>
        <w:t xml:space="preserve"> </w:t>
      </w:r>
      <w:r>
        <w:rPr>
          <w:rFonts w:hint="eastAsia" w:ascii="宋体" w:hAnsi="宋体" w:eastAsia="宋体" w:cs="宋体"/>
          <w:b/>
          <w:color w:val="auto"/>
          <w:sz w:val="32"/>
          <w:szCs w:val="32"/>
        </w:rPr>
        <w:t>日</w:t>
      </w:r>
      <w:bookmarkEnd w:id="380"/>
    </w:p>
    <w:p w14:paraId="3BA06634">
      <w:pPr>
        <w:widowControl/>
        <w:wordWrap/>
        <w:snapToGrid w:val="0"/>
        <w:spacing w:before="157" w:beforeLines="50" w:line="560" w:lineRule="exact"/>
        <w:jc w:val="left"/>
        <w:outlineLvl w:val="9"/>
        <w:rPr>
          <w:rFonts w:hint="eastAsia" w:ascii="宋体" w:hAnsi="宋体" w:eastAsia="宋体" w:cs="宋体"/>
          <w:b/>
          <w:color w:val="auto"/>
          <w:sz w:val="28"/>
          <w:szCs w:val="28"/>
        </w:rPr>
      </w:pPr>
    </w:p>
    <w:p w14:paraId="673DDA18">
      <w:pPr>
        <w:rPr>
          <w:rFonts w:hint="eastAsia" w:ascii="宋体" w:hAnsi="宋体" w:eastAsia="宋体" w:cs="宋体"/>
          <w:b/>
          <w:color w:val="auto"/>
          <w:sz w:val="28"/>
          <w:szCs w:val="28"/>
        </w:rPr>
      </w:pPr>
      <w:r>
        <w:rPr>
          <w:rFonts w:hint="eastAsia" w:ascii="宋体" w:hAnsi="宋体" w:eastAsia="宋体" w:cs="宋体"/>
          <w:b/>
          <w:color w:val="auto"/>
          <w:sz w:val="28"/>
          <w:szCs w:val="28"/>
        </w:rPr>
        <w:br w:type="page"/>
      </w:r>
      <w:bookmarkStart w:id="381" w:name="_Toc19203"/>
      <w:bookmarkStart w:id="382" w:name="_Toc27597"/>
      <w:bookmarkStart w:id="383" w:name="_Toc27578"/>
      <w:bookmarkStart w:id="384" w:name="_Toc32479_WPSOffice_Level3"/>
    </w:p>
    <w:p w14:paraId="312DA7AD">
      <w:pPr>
        <w:keepNext w:val="0"/>
        <w:keepLines w:val="0"/>
        <w:pageBreakBefore w:val="0"/>
        <w:widowControl/>
        <w:kinsoku/>
        <w:wordWrap/>
        <w:overflowPunct/>
        <w:topLinePunct w:val="0"/>
        <w:autoSpaceDE/>
        <w:autoSpaceDN/>
        <w:bidi w:val="0"/>
        <w:adjustRightInd/>
        <w:snapToGrid/>
        <w:spacing w:line="360" w:lineRule="auto"/>
        <w:ind w:right="0"/>
        <w:textAlignment w:val="auto"/>
        <w:outlineLvl w:val="1"/>
        <w:rPr>
          <w:rFonts w:hint="eastAsia" w:ascii="宋体" w:hAnsi="宋体" w:eastAsia="宋体" w:cs="宋体"/>
          <w:b/>
          <w:color w:val="auto"/>
          <w:sz w:val="24"/>
          <w:szCs w:val="24"/>
        </w:rPr>
      </w:pPr>
      <w:bookmarkStart w:id="385" w:name="_Toc5207"/>
      <w:r>
        <w:rPr>
          <w:rFonts w:hint="eastAsia" w:ascii="宋体" w:hAnsi="宋体" w:eastAsia="宋体" w:cs="宋体"/>
          <w:b/>
          <w:color w:val="auto"/>
          <w:sz w:val="28"/>
          <w:szCs w:val="28"/>
          <w:lang w:eastAsia="zh-CN"/>
        </w:rPr>
        <w:t>附件1：响应函</w:t>
      </w:r>
      <w:bookmarkEnd w:id="381"/>
      <w:bookmarkEnd w:id="382"/>
      <w:bookmarkEnd w:id="383"/>
      <w:bookmarkEnd w:id="384"/>
      <w:bookmarkEnd w:id="385"/>
    </w:p>
    <w:p w14:paraId="45BB1DF0">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outlineLvl w:val="9"/>
        <w:rPr>
          <w:rFonts w:hint="eastAsia" w:ascii="宋体" w:hAnsi="宋体" w:eastAsia="宋体" w:cs="宋体"/>
          <w:b/>
          <w:color w:val="auto"/>
          <w:sz w:val="24"/>
          <w:szCs w:val="24"/>
        </w:rPr>
      </w:pPr>
      <w:bookmarkStart w:id="386" w:name="_Toc22598_WPSOffice_Level2"/>
      <w:bookmarkStart w:id="387" w:name="_Toc24288_WPSOffice_Level2"/>
      <w:r>
        <w:rPr>
          <w:rFonts w:hint="eastAsia" w:ascii="宋体" w:hAnsi="宋体" w:eastAsia="宋体" w:cs="宋体"/>
          <w:b/>
          <w:color w:val="auto"/>
          <w:sz w:val="24"/>
          <w:szCs w:val="24"/>
          <w:lang w:eastAsia="zh-CN"/>
        </w:rPr>
        <w:t>响</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lang w:eastAsia="zh-CN"/>
        </w:rPr>
        <w:t>应</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函</w:t>
      </w:r>
      <w:bookmarkEnd w:id="386"/>
      <w:bookmarkEnd w:id="387"/>
    </w:p>
    <w:p w14:paraId="2F575AFF">
      <w:pPr>
        <w:adjustRightInd w:val="0"/>
        <w:spacing w:line="400" w:lineRule="exact"/>
        <w:ind w:firstLine="0" w:firstLineChars="0"/>
        <w:textAlignment w:val="baseline"/>
        <w:rPr>
          <w:rFonts w:hint="eastAsia" w:ascii="宋体" w:hAnsi="宋体" w:eastAsia="宋体" w:cs="宋体"/>
          <w:b/>
          <w:color w:val="auto"/>
          <w:sz w:val="24"/>
          <w:lang w:eastAsia="zh-CN"/>
        </w:rPr>
      </w:pPr>
      <w:r>
        <w:rPr>
          <w:rFonts w:hint="eastAsia" w:ascii="宋体" w:hAnsi="宋体" w:eastAsia="宋体" w:cs="宋体"/>
          <w:b/>
          <w:color w:val="auto"/>
          <w:sz w:val="24"/>
        </w:rPr>
        <w:t>致：</w:t>
      </w:r>
      <w:r>
        <w:rPr>
          <w:rFonts w:hint="eastAsia" w:ascii="宋体" w:hAnsi="宋体" w:eastAsia="宋体" w:cs="宋体"/>
          <w:b/>
          <w:color w:val="auto"/>
          <w:sz w:val="24"/>
          <w:lang w:eastAsia="zh-CN"/>
        </w:rPr>
        <w:t>青海鼎钊招标代理有限公司</w:t>
      </w:r>
    </w:p>
    <w:p w14:paraId="350B9EC7">
      <w:pPr>
        <w:spacing w:line="4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1.我方已仔细研究了</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sz w:val="24"/>
        </w:rPr>
        <w:t>（项目名称）</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u w:val="none"/>
          <w:lang w:eastAsia="zh-CN"/>
        </w:rPr>
        <w:t>（</w:t>
      </w:r>
      <w:r>
        <w:rPr>
          <w:rFonts w:hint="eastAsia" w:ascii="宋体" w:hAnsi="宋体" w:eastAsia="宋体" w:cs="宋体"/>
          <w:color w:val="auto"/>
          <w:kern w:val="0"/>
          <w:sz w:val="24"/>
          <w:u w:val="none"/>
          <w:lang w:val="en-US" w:eastAsia="zh-CN"/>
        </w:rPr>
        <w:t>项目编号</w:t>
      </w:r>
      <w:r>
        <w:rPr>
          <w:rFonts w:hint="eastAsia" w:ascii="宋体" w:hAnsi="宋体" w:eastAsia="宋体" w:cs="宋体"/>
          <w:color w:val="auto"/>
          <w:kern w:val="0"/>
          <w:sz w:val="24"/>
          <w:u w:val="none"/>
          <w:lang w:eastAsia="zh-CN"/>
        </w:rPr>
        <w:t>）</w:t>
      </w:r>
      <w:r>
        <w:rPr>
          <w:rFonts w:hint="eastAsia" w:ascii="宋体" w:hAnsi="宋体" w:eastAsia="宋体" w:cs="宋体"/>
          <w:color w:val="auto"/>
          <w:sz w:val="24"/>
          <w:lang w:eastAsia="zh-CN"/>
        </w:rPr>
        <w:t>谈判文件</w:t>
      </w:r>
      <w:r>
        <w:rPr>
          <w:rFonts w:hint="eastAsia" w:ascii="宋体" w:hAnsi="宋体" w:eastAsia="宋体" w:cs="宋体"/>
          <w:color w:val="auto"/>
          <w:sz w:val="24"/>
        </w:rPr>
        <w:t>的全部内容，愿意以人民币（大写）</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sz w:val="24"/>
        </w:rPr>
        <w:t>元（¥</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sz w:val="24"/>
        </w:rPr>
        <w:t>）的</w:t>
      </w:r>
      <w:r>
        <w:rPr>
          <w:rFonts w:hint="eastAsia" w:ascii="宋体" w:hAnsi="宋体" w:eastAsia="宋体" w:cs="宋体"/>
          <w:color w:val="auto"/>
          <w:kern w:val="2"/>
          <w:sz w:val="24"/>
          <w:szCs w:val="24"/>
          <w:lang w:val="en-US" w:eastAsia="zh-CN" w:bidi="ar-SA"/>
        </w:rPr>
        <w:t>谈判总报价</w:t>
      </w:r>
      <w:r>
        <w:rPr>
          <w:rFonts w:hint="eastAsia" w:ascii="宋体" w:hAnsi="宋体" w:eastAsia="宋体" w:cs="宋体"/>
          <w:color w:val="auto"/>
          <w:sz w:val="24"/>
        </w:rPr>
        <w:t>，施工工期</w:t>
      </w:r>
      <w:r>
        <w:rPr>
          <w:rFonts w:hint="eastAsia" w:ascii="宋体" w:hAnsi="宋体" w:eastAsia="宋体" w:cs="宋体"/>
          <w:color w:val="auto"/>
          <w:sz w:val="24"/>
          <w:lang w:eastAsia="zh-CN"/>
        </w:rPr>
        <w:t>：</w:t>
      </w:r>
      <w:r>
        <w:rPr>
          <w:rFonts w:hint="eastAsia" w:ascii="宋体" w:hAnsi="宋体" w:eastAsia="宋体" w:cs="宋体"/>
          <w:b/>
          <w:color w:val="auto"/>
          <w:sz w:val="24"/>
          <w:lang w:val="en-US" w:eastAsia="zh-CN"/>
        </w:rPr>
        <w:t>计划开工日期：</w:t>
      </w:r>
      <w:r>
        <w:rPr>
          <w:rFonts w:hint="eastAsia" w:ascii="宋体" w:hAnsi="宋体" w:eastAsia="宋体" w:cs="宋体"/>
          <w:b/>
          <w:color w:val="auto"/>
          <w:sz w:val="24"/>
          <w:u w:val="single"/>
          <w:lang w:val="en-US" w:eastAsia="zh-CN"/>
        </w:rPr>
        <w:t xml:space="preserve">   </w:t>
      </w:r>
      <w:r>
        <w:rPr>
          <w:rFonts w:hint="eastAsia" w:ascii="宋体" w:hAnsi="宋体" w:eastAsia="宋体" w:cs="宋体"/>
          <w:b/>
          <w:color w:val="auto"/>
          <w:sz w:val="24"/>
          <w:lang w:val="en-US" w:eastAsia="zh-CN"/>
        </w:rPr>
        <w:t>，计划竣工日期：</w:t>
      </w:r>
      <w:r>
        <w:rPr>
          <w:rFonts w:hint="eastAsia" w:ascii="宋体" w:hAnsi="宋体" w:eastAsia="宋体" w:cs="宋体"/>
          <w:b/>
          <w:color w:val="auto"/>
          <w:sz w:val="24"/>
          <w:u w:val="single"/>
          <w:lang w:val="en-US" w:eastAsia="zh-CN"/>
        </w:rPr>
        <w:t xml:space="preserve">   </w:t>
      </w:r>
      <w:r>
        <w:rPr>
          <w:rFonts w:hint="eastAsia" w:ascii="宋体" w:hAnsi="宋体" w:eastAsia="宋体" w:cs="宋体"/>
          <w:b/>
          <w:color w:val="auto"/>
          <w:sz w:val="24"/>
          <w:lang w:val="en-US" w:eastAsia="zh-CN"/>
        </w:rPr>
        <w:t>，工期总日历天数：</w:t>
      </w:r>
      <w:r>
        <w:rPr>
          <w:rFonts w:hint="eastAsia" w:ascii="宋体" w:hAnsi="宋体" w:eastAsia="宋体" w:cs="宋体"/>
          <w:b/>
          <w:color w:val="auto"/>
          <w:sz w:val="24"/>
          <w:u w:val="single"/>
          <w:lang w:val="en-US" w:eastAsia="zh-CN"/>
        </w:rPr>
        <w:t xml:space="preserve">   </w:t>
      </w:r>
      <w:r>
        <w:rPr>
          <w:rFonts w:hint="eastAsia" w:ascii="宋体" w:hAnsi="宋体" w:eastAsia="宋体" w:cs="宋体"/>
          <w:b/>
          <w:color w:val="auto"/>
          <w:sz w:val="24"/>
          <w:u w:val="none"/>
          <w:lang w:val="en-US" w:eastAsia="zh-CN"/>
        </w:rPr>
        <w:t>天</w:t>
      </w:r>
      <w:r>
        <w:rPr>
          <w:rFonts w:hint="eastAsia" w:ascii="宋体" w:hAnsi="宋体" w:eastAsia="宋体" w:cs="宋体"/>
          <w:color w:val="auto"/>
          <w:sz w:val="24"/>
        </w:rPr>
        <w:t>，</w:t>
      </w:r>
      <w:r>
        <w:rPr>
          <w:rFonts w:hint="eastAsia" w:ascii="宋体" w:hAnsi="宋体" w:eastAsia="宋体" w:cs="宋体"/>
          <w:color w:val="auto"/>
          <w:sz w:val="24"/>
          <w:szCs w:val="24"/>
          <w:lang w:eastAsia="zh-CN"/>
        </w:rPr>
        <w:t>施工地点：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rPr>
        <w:t>按合同约定实施和完成承包工程，修补工程中的任何缺陷，</w:t>
      </w:r>
      <w:r>
        <w:rPr>
          <w:rFonts w:hint="eastAsia" w:ascii="宋体" w:hAnsi="宋体" w:eastAsia="宋体" w:cs="宋体"/>
          <w:color w:val="auto"/>
          <w:sz w:val="24"/>
        </w:rPr>
        <w:t>工程质量</w:t>
      </w:r>
      <w:r>
        <w:rPr>
          <w:rFonts w:hint="eastAsia" w:ascii="宋体" w:hAnsi="宋体" w:eastAsia="宋体" w:cs="宋体"/>
          <w:color w:val="auto"/>
          <w:sz w:val="24"/>
          <w:lang w:eastAsia="zh-CN"/>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p>
    <w:p w14:paraId="4E36C0ED">
      <w:pPr>
        <w:autoSpaceDE w:val="0"/>
        <w:autoSpaceDN w:val="0"/>
        <w:adjustRightInd w:val="0"/>
        <w:spacing w:line="4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我方的上述报价中，包括：安全文明施工费：</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rPr>
        <w:t>元；规费：</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rPr>
        <w:t>元；人工费：</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rPr>
        <w:t>元；暂列金额：</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rPr>
        <w:t>元；暂估价：</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rPr>
        <w:t>元。</w:t>
      </w:r>
    </w:p>
    <w:p w14:paraId="34AC838A">
      <w:pPr>
        <w:autoSpaceDE w:val="0"/>
        <w:autoSpaceDN w:val="0"/>
        <w:adjustRightInd w:val="0"/>
        <w:spacing w:line="4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w:t>
      </w:r>
      <w:r>
        <w:rPr>
          <w:rFonts w:hint="eastAsia" w:ascii="宋体" w:hAnsi="宋体" w:eastAsia="宋体" w:cs="宋体"/>
          <w:bCs/>
          <w:color w:val="auto"/>
          <w:sz w:val="24"/>
          <w:szCs w:val="24"/>
        </w:rPr>
        <w:t>响应文件有效期</w:t>
      </w:r>
      <w:r>
        <w:rPr>
          <w:rFonts w:hint="eastAsia" w:ascii="宋体" w:hAnsi="宋体" w:eastAsia="宋体" w:cs="宋体"/>
          <w:color w:val="auto"/>
          <w:sz w:val="24"/>
        </w:rPr>
        <w:t>自</w:t>
      </w:r>
      <w:r>
        <w:rPr>
          <w:rFonts w:hint="eastAsia" w:ascii="宋体" w:hAnsi="宋体" w:eastAsia="宋体" w:cs="宋体"/>
          <w:color w:val="auto"/>
          <w:sz w:val="24"/>
          <w:szCs w:val="24"/>
          <w:lang w:val="en-US" w:eastAsia="zh-CN"/>
        </w:rPr>
        <w:t>提交响应文件截止之日起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天</w:t>
      </w:r>
      <w:r>
        <w:rPr>
          <w:rFonts w:hint="eastAsia" w:ascii="宋体" w:hAnsi="宋体" w:eastAsia="宋体" w:cs="宋体"/>
          <w:color w:val="auto"/>
          <w:sz w:val="24"/>
        </w:rPr>
        <w:t>内有效。</w:t>
      </w:r>
      <w:r>
        <w:rPr>
          <w:rFonts w:hint="eastAsia" w:ascii="宋体" w:hAnsi="宋体" w:eastAsia="宋体" w:cs="宋体"/>
          <w:color w:val="auto"/>
          <w:kern w:val="0"/>
          <w:sz w:val="24"/>
        </w:rPr>
        <w:t>我方承诺在</w:t>
      </w:r>
      <w:r>
        <w:rPr>
          <w:rFonts w:hint="eastAsia" w:ascii="宋体" w:hAnsi="宋体" w:eastAsia="宋体" w:cs="宋体"/>
          <w:bCs/>
          <w:color w:val="auto"/>
          <w:sz w:val="24"/>
          <w:szCs w:val="24"/>
        </w:rPr>
        <w:t>响应文件有效期</w:t>
      </w:r>
      <w:r>
        <w:rPr>
          <w:rFonts w:hint="eastAsia" w:ascii="宋体" w:hAnsi="宋体" w:eastAsia="宋体" w:cs="宋体"/>
          <w:color w:val="auto"/>
          <w:kern w:val="0"/>
          <w:sz w:val="24"/>
        </w:rPr>
        <w:t>内不修改、撤销</w:t>
      </w:r>
      <w:r>
        <w:rPr>
          <w:rFonts w:hint="eastAsia" w:ascii="宋体" w:hAnsi="宋体" w:eastAsia="宋体" w:cs="宋体"/>
          <w:color w:val="auto"/>
          <w:kern w:val="0"/>
          <w:sz w:val="24"/>
          <w:lang w:eastAsia="zh-CN"/>
        </w:rPr>
        <w:t>响应文件</w:t>
      </w:r>
      <w:r>
        <w:rPr>
          <w:rFonts w:hint="eastAsia" w:ascii="宋体" w:hAnsi="宋体" w:eastAsia="宋体" w:cs="宋体"/>
          <w:color w:val="auto"/>
          <w:kern w:val="0"/>
          <w:sz w:val="24"/>
        </w:rPr>
        <w:t>。</w:t>
      </w:r>
    </w:p>
    <w:p w14:paraId="5FBD2490">
      <w:pPr>
        <w:autoSpaceDE w:val="0"/>
        <w:autoSpaceDN w:val="0"/>
        <w:adjustRightInd w:val="0"/>
        <w:spacing w:line="4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3.随同本</w:t>
      </w:r>
      <w:r>
        <w:rPr>
          <w:rFonts w:hint="eastAsia" w:ascii="宋体" w:hAnsi="宋体" w:eastAsia="宋体" w:cs="宋体"/>
          <w:b w:val="0"/>
          <w:bCs/>
          <w:color w:val="auto"/>
          <w:sz w:val="24"/>
          <w:szCs w:val="24"/>
          <w:lang w:eastAsia="zh-CN"/>
        </w:rPr>
        <w:t>响应</w:t>
      </w:r>
      <w:r>
        <w:rPr>
          <w:rFonts w:hint="eastAsia" w:ascii="宋体" w:hAnsi="宋体" w:eastAsia="宋体" w:cs="宋体"/>
          <w:b w:val="0"/>
          <w:bCs/>
          <w:color w:val="auto"/>
          <w:sz w:val="24"/>
          <w:szCs w:val="24"/>
        </w:rPr>
        <w:t>函</w:t>
      </w:r>
      <w:r>
        <w:rPr>
          <w:rFonts w:hint="eastAsia" w:ascii="宋体" w:hAnsi="宋体" w:eastAsia="宋体" w:cs="宋体"/>
          <w:color w:val="auto"/>
          <w:kern w:val="0"/>
          <w:sz w:val="24"/>
        </w:rPr>
        <w:t>提交</w:t>
      </w:r>
      <w:r>
        <w:rPr>
          <w:rFonts w:hint="eastAsia" w:ascii="宋体" w:hAnsi="宋体" w:eastAsia="宋体" w:cs="宋体"/>
          <w:color w:val="auto"/>
          <w:kern w:val="2"/>
          <w:sz w:val="24"/>
          <w:szCs w:val="24"/>
          <w:lang w:val="en-US" w:eastAsia="zh-CN" w:bidi="ar-SA"/>
        </w:rPr>
        <w:t>谈判保证金</w:t>
      </w:r>
      <w:r>
        <w:rPr>
          <w:rFonts w:hint="eastAsia" w:ascii="宋体" w:hAnsi="宋体" w:eastAsia="宋体" w:cs="宋体"/>
          <w:color w:val="auto"/>
          <w:kern w:val="0"/>
          <w:sz w:val="24"/>
        </w:rPr>
        <w:t>一份，金额为</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rPr>
        <w:t>。</w:t>
      </w:r>
    </w:p>
    <w:p w14:paraId="6003B2D0">
      <w:pPr>
        <w:autoSpaceDE w:val="0"/>
        <w:autoSpaceDN w:val="0"/>
        <w:adjustRightInd w:val="0"/>
        <w:spacing w:line="4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4.如我方</w:t>
      </w:r>
      <w:r>
        <w:rPr>
          <w:rFonts w:hint="eastAsia" w:ascii="宋体" w:hAnsi="宋体" w:eastAsia="宋体" w:cs="宋体"/>
          <w:color w:val="auto"/>
          <w:kern w:val="0"/>
          <w:sz w:val="24"/>
          <w:lang w:val="en-US" w:eastAsia="zh-CN"/>
        </w:rPr>
        <w:t>成交</w:t>
      </w:r>
      <w:r>
        <w:rPr>
          <w:rFonts w:hint="eastAsia" w:ascii="宋体" w:hAnsi="宋体" w:eastAsia="宋体" w:cs="宋体"/>
          <w:color w:val="auto"/>
          <w:kern w:val="0"/>
          <w:sz w:val="24"/>
        </w:rPr>
        <w:t>：</w:t>
      </w:r>
    </w:p>
    <w:p w14:paraId="23B349FA">
      <w:pPr>
        <w:autoSpaceDE w:val="0"/>
        <w:autoSpaceDN w:val="0"/>
        <w:adjustRightInd w:val="0"/>
        <w:spacing w:line="4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（1）我方承诺在收到成交通知书后，在成交通知书规定的期限内与采购人签订合同。</w:t>
      </w:r>
    </w:p>
    <w:p w14:paraId="38A341A2">
      <w:pPr>
        <w:autoSpaceDE w:val="0"/>
        <w:autoSpaceDN w:val="0"/>
        <w:adjustRightInd w:val="0"/>
        <w:spacing w:line="4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（2）随同本</w:t>
      </w:r>
      <w:r>
        <w:rPr>
          <w:rFonts w:hint="eastAsia" w:ascii="宋体" w:hAnsi="宋体" w:eastAsia="宋体" w:cs="宋体"/>
          <w:b w:val="0"/>
          <w:bCs/>
          <w:color w:val="auto"/>
          <w:sz w:val="24"/>
          <w:szCs w:val="24"/>
          <w:lang w:eastAsia="zh-CN"/>
        </w:rPr>
        <w:t>响应</w:t>
      </w:r>
      <w:r>
        <w:rPr>
          <w:rFonts w:hint="eastAsia" w:ascii="宋体" w:hAnsi="宋体" w:eastAsia="宋体" w:cs="宋体"/>
          <w:b w:val="0"/>
          <w:bCs/>
          <w:color w:val="auto"/>
          <w:sz w:val="24"/>
          <w:szCs w:val="24"/>
        </w:rPr>
        <w:t>函</w:t>
      </w:r>
      <w:r>
        <w:rPr>
          <w:rFonts w:hint="eastAsia" w:ascii="宋体" w:hAnsi="宋体" w:eastAsia="宋体" w:cs="宋体"/>
          <w:color w:val="auto"/>
          <w:kern w:val="0"/>
          <w:sz w:val="24"/>
        </w:rPr>
        <w:t>递交的</w:t>
      </w:r>
      <w:r>
        <w:rPr>
          <w:rFonts w:hint="eastAsia" w:ascii="宋体" w:hAnsi="宋体" w:eastAsia="宋体" w:cs="宋体"/>
          <w:color w:val="auto"/>
          <w:kern w:val="0"/>
          <w:sz w:val="24"/>
          <w:lang w:val="en-US" w:eastAsia="zh-CN"/>
        </w:rPr>
        <w:t>已标价的工程量清单</w:t>
      </w:r>
      <w:r>
        <w:rPr>
          <w:rFonts w:hint="eastAsia" w:ascii="宋体" w:hAnsi="宋体" w:eastAsia="宋体" w:cs="宋体"/>
          <w:color w:val="auto"/>
          <w:kern w:val="0"/>
          <w:sz w:val="24"/>
        </w:rPr>
        <w:t>属于合同文件的组成部分。</w:t>
      </w:r>
    </w:p>
    <w:p w14:paraId="6931B655">
      <w:pPr>
        <w:autoSpaceDE w:val="0"/>
        <w:autoSpaceDN w:val="0"/>
        <w:adjustRightInd w:val="0"/>
        <w:spacing w:line="4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（3）我方承诺在合同约定的期限内完成并移交全部合同工程。</w:t>
      </w:r>
    </w:p>
    <w:p w14:paraId="4957C64A">
      <w:pPr>
        <w:autoSpaceDE w:val="0"/>
        <w:autoSpaceDN w:val="0"/>
        <w:adjustRightInd w:val="0"/>
        <w:spacing w:line="4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5.我方在此声明，所递交的</w:t>
      </w:r>
      <w:r>
        <w:rPr>
          <w:rFonts w:hint="eastAsia" w:ascii="宋体" w:hAnsi="宋体" w:eastAsia="宋体" w:cs="宋体"/>
          <w:color w:val="auto"/>
          <w:kern w:val="0"/>
          <w:sz w:val="24"/>
          <w:lang w:eastAsia="zh-CN"/>
        </w:rPr>
        <w:t>响应文件</w:t>
      </w:r>
      <w:r>
        <w:rPr>
          <w:rFonts w:hint="eastAsia" w:ascii="宋体" w:hAnsi="宋体" w:eastAsia="宋体" w:cs="宋体"/>
          <w:color w:val="auto"/>
          <w:kern w:val="0"/>
          <w:sz w:val="24"/>
        </w:rPr>
        <w:t>及有关资料内容完整、真实和准确。</w:t>
      </w:r>
    </w:p>
    <w:p w14:paraId="47607BDA">
      <w:pPr>
        <w:spacing w:line="400" w:lineRule="exact"/>
        <w:ind w:firstLine="560" w:firstLineChars="200"/>
        <w:jc w:val="both"/>
        <w:rPr>
          <w:rFonts w:hint="eastAsia" w:ascii="宋体" w:hAnsi="宋体" w:eastAsia="宋体" w:cs="宋体"/>
          <w:color w:val="auto"/>
          <w:sz w:val="28"/>
          <w:szCs w:val="28"/>
        </w:rPr>
      </w:pPr>
    </w:p>
    <w:p w14:paraId="029419FE">
      <w:pPr>
        <w:adjustRightInd w:val="0"/>
        <w:spacing w:line="400" w:lineRule="exact"/>
        <w:ind w:firstLine="560" w:firstLineChars="200"/>
        <w:textAlignment w:val="baseline"/>
        <w:rPr>
          <w:rFonts w:hint="eastAsia" w:ascii="宋体" w:hAnsi="宋体" w:eastAsia="宋体" w:cs="宋体"/>
          <w:color w:val="auto"/>
          <w:sz w:val="28"/>
          <w:szCs w:val="28"/>
        </w:rPr>
      </w:pPr>
    </w:p>
    <w:p w14:paraId="6D3EB512">
      <w:pPr>
        <w:adjustRightInd w:val="0"/>
        <w:spacing w:line="400" w:lineRule="exact"/>
        <w:ind w:firstLine="560" w:firstLineChars="200"/>
        <w:textAlignment w:val="baseline"/>
        <w:rPr>
          <w:rFonts w:hint="eastAsia" w:ascii="宋体" w:hAnsi="宋体" w:eastAsia="宋体" w:cs="宋体"/>
          <w:color w:val="auto"/>
          <w:sz w:val="28"/>
          <w:szCs w:val="28"/>
        </w:rPr>
      </w:pPr>
    </w:p>
    <w:p w14:paraId="7F6314F0">
      <w:pPr>
        <w:keepNext w:val="0"/>
        <w:keepLines w:val="0"/>
        <w:pageBreakBefore w:val="0"/>
        <w:kinsoku/>
        <w:wordWrap/>
        <w:overflowPunct/>
        <w:topLinePunct w:val="0"/>
        <w:autoSpaceDE/>
        <w:autoSpaceDN/>
        <w:bidi w:val="0"/>
        <w:adjustRightInd/>
        <w:snapToGrid/>
        <w:spacing w:line="360" w:lineRule="auto"/>
        <w:ind w:right="0" w:firstLine="482" w:firstLineChars="200"/>
        <w:jc w:val="both"/>
        <w:textAlignment w:val="auto"/>
        <w:outlineLvl w:val="9"/>
        <w:rPr>
          <w:rFonts w:hint="eastAsia" w:ascii="宋体" w:hAnsi="宋体" w:eastAsia="宋体" w:cs="宋体"/>
          <w:b/>
          <w:bCs w:val="0"/>
          <w:color w:val="auto"/>
          <w:sz w:val="24"/>
          <w:szCs w:val="24"/>
          <w:lang w:eastAsia="zh-CN"/>
        </w:rPr>
      </w:pPr>
      <w:bookmarkStart w:id="388" w:name="_Toc1506_WPSOffice_Level3"/>
      <w:bookmarkStart w:id="389" w:name="_Toc28112_WPSOffice_Level3"/>
    </w:p>
    <w:p w14:paraId="44185F31">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eastAsia="zh-CN"/>
        </w:rPr>
        <w:t>单</w:t>
      </w:r>
      <w:r>
        <w:rPr>
          <w:rFonts w:hint="eastAsia" w:ascii="宋体" w:hAnsi="宋体" w:eastAsia="宋体" w:cs="宋体"/>
          <w:b/>
          <w:bCs w:val="0"/>
          <w:color w:val="auto"/>
          <w:sz w:val="24"/>
          <w:szCs w:val="24"/>
        </w:rPr>
        <w:t>位</w:t>
      </w:r>
      <w:r>
        <w:rPr>
          <w:rFonts w:hint="eastAsia" w:ascii="宋体" w:hAnsi="宋体" w:eastAsia="宋体" w:cs="宋体"/>
          <w:b/>
          <w:bCs w:val="0"/>
          <w:color w:val="auto"/>
          <w:sz w:val="24"/>
          <w:szCs w:val="24"/>
          <w:lang w:eastAsia="zh-CN"/>
        </w:rPr>
        <w:t>名称</w:t>
      </w: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rPr>
        <w:t>（公章）</w:t>
      </w:r>
      <w:bookmarkEnd w:id="388"/>
      <w:bookmarkEnd w:id="389"/>
    </w:p>
    <w:p w14:paraId="5F07A128">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bookmarkStart w:id="390" w:name="_Toc28651_WPSOffice_Level3"/>
      <w:bookmarkStart w:id="391" w:name="_Toc6385_WPSOffice_Level3"/>
      <w:r>
        <w:rPr>
          <w:rFonts w:hint="eastAsia" w:ascii="宋体" w:hAnsi="宋体" w:eastAsia="宋体" w:cs="宋体"/>
          <w:b/>
          <w:bCs w:val="0"/>
          <w:color w:val="auto"/>
          <w:sz w:val="24"/>
          <w:szCs w:val="24"/>
        </w:rPr>
        <w:t>法定代表人或委托代理人：</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rPr>
        <w:t>（签字或盖章）</w:t>
      </w:r>
      <w:bookmarkEnd w:id="390"/>
      <w:bookmarkEnd w:id="391"/>
    </w:p>
    <w:p w14:paraId="43BE287E">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bookmarkStart w:id="392" w:name="_Toc13325_WPSOffice_Level3"/>
      <w:bookmarkStart w:id="393" w:name="_Toc130_WPSOffice_Level3"/>
      <w:r>
        <w:rPr>
          <w:rFonts w:hint="eastAsia" w:ascii="宋体" w:hAnsi="宋体" w:eastAsia="宋体" w:cs="宋体"/>
          <w:b/>
          <w:bCs w:val="0"/>
          <w:color w:val="auto"/>
          <w:sz w:val="24"/>
          <w:szCs w:val="24"/>
        </w:rPr>
        <w:t xml:space="preserve">年   月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 xml:space="preserve"> 日</w:t>
      </w:r>
      <w:bookmarkEnd w:id="392"/>
      <w:bookmarkEnd w:id="393"/>
    </w:p>
    <w:p w14:paraId="3B9FA004">
      <w:pPr>
        <w:keepNext w:val="0"/>
        <w:keepLines w:val="0"/>
        <w:pageBreakBefore w:val="0"/>
        <w:widowControl/>
        <w:kinsoku/>
        <w:wordWrap/>
        <w:overflowPunct/>
        <w:topLinePunct w:val="0"/>
        <w:bidi w:val="0"/>
        <w:adjustRightInd/>
        <w:snapToGrid/>
        <w:spacing w:line="360" w:lineRule="auto"/>
        <w:ind w:right="0"/>
        <w:outlineLvl w:val="9"/>
        <w:rPr>
          <w:rFonts w:hint="eastAsia" w:ascii="宋体" w:hAnsi="宋体" w:eastAsia="宋体" w:cs="宋体"/>
          <w:b/>
          <w:color w:val="auto"/>
          <w:sz w:val="24"/>
          <w:szCs w:val="24"/>
        </w:rPr>
      </w:pPr>
    </w:p>
    <w:p w14:paraId="0D940712">
      <w:pPr>
        <w:keepNext w:val="0"/>
        <w:keepLines w:val="0"/>
        <w:pageBreakBefore w:val="0"/>
        <w:kinsoku/>
        <w:wordWrap/>
        <w:overflowPunct/>
        <w:topLinePunct w:val="0"/>
        <w:bidi w:val="0"/>
        <w:adjustRightInd/>
        <w:snapToGrid/>
        <w:spacing w:line="360" w:lineRule="auto"/>
        <w:ind w:right="0"/>
        <w:rPr>
          <w:rFonts w:hint="eastAsia" w:ascii="宋体" w:hAnsi="宋体" w:eastAsia="宋体" w:cs="宋体"/>
          <w:b/>
          <w:color w:val="auto"/>
          <w:sz w:val="28"/>
          <w:szCs w:val="28"/>
          <w:lang w:eastAsia="zh-CN"/>
        </w:rPr>
      </w:pPr>
      <w:bookmarkStart w:id="394" w:name="_Toc12487"/>
      <w:bookmarkStart w:id="395" w:name="_Toc3082"/>
      <w:bookmarkStart w:id="396" w:name="_Toc20882_WPSOffice_Level3"/>
      <w:bookmarkStart w:id="397" w:name="_Toc16050"/>
      <w:bookmarkStart w:id="398" w:name="_Toc26257_WPSOffice_Level2"/>
      <w:bookmarkStart w:id="399" w:name="_Toc17887_WPSOffice_Level2"/>
      <w:r>
        <w:rPr>
          <w:rFonts w:hint="eastAsia" w:ascii="宋体" w:hAnsi="宋体" w:eastAsia="宋体" w:cs="宋体"/>
          <w:b/>
          <w:color w:val="auto"/>
          <w:sz w:val="28"/>
          <w:szCs w:val="28"/>
          <w:lang w:eastAsia="zh-CN"/>
        </w:rPr>
        <w:br w:type="page"/>
      </w:r>
    </w:p>
    <w:p w14:paraId="7070D239">
      <w:pPr>
        <w:keepNext w:val="0"/>
        <w:keepLines w:val="0"/>
        <w:pageBreakBefore w:val="0"/>
        <w:widowControl/>
        <w:kinsoku/>
        <w:wordWrap/>
        <w:overflowPunct/>
        <w:topLinePunct w:val="0"/>
        <w:bidi w:val="0"/>
        <w:adjustRightInd/>
        <w:snapToGrid/>
        <w:spacing w:line="360" w:lineRule="auto"/>
        <w:ind w:right="0"/>
        <w:outlineLvl w:val="1"/>
        <w:rPr>
          <w:rFonts w:hint="eastAsia" w:ascii="宋体" w:hAnsi="宋体" w:eastAsia="宋体" w:cs="宋体"/>
          <w:b/>
          <w:bCs/>
          <w:color w:val="auto"/>
          <w:sz w:val="28"/>
          <w:szCs w:val="28"/>
        </w:rPr>
      </w:pPr>
      <w:bookmarkStart w:id="400" w:name="_Toc23390"/>
      <w:r>
        <w:rPr>
          <w:rFonts w:hint="eastAsia" w:ascii="宋体" w:hAnsi="宋体" w:eastAsia="宋体" w:cs="宋体"/>
          <w:b/>
          <w:color w:val="auto"/>
          <w:sz w:val="28"/>
          <w:szCs w:val="28"/>
          <w:lang w:eastAsia="zh-CN"/>
        </w:rPr>
        <w:t>附件2：法定代表人证明书</w:t>
      </w:r>
      <w:bookmarkEnd w:id="394"/>
      <w:bookmarkEnd w:id="395"/>
      <w:bookmarkEnd w:id="396"/>
      <w:bookmarkEnd w:id="397"/>
      <w:bookmarkEnd w:id="398"/>
      <w:bookmarkEnd w:id="399"/>
      <w:bookmarkEnd w:id="400"/>
    </w:p>
    <w:p w14:paraId="393F2750">
      <w:pPr>
        <w:keepNext w:val="0"/>
        <w:keepLines w:val="0"/>
        <w:pageBreakBefore w:val="0"/>
        <w:widowControl w:val="0"/>
        <w:kinsoku/>
        <w:wordWrap/>
        <w:overflowPunct/>
        <w:topLinePunct w:val="0"/>
        <w:bidi w:val="0"/>
        <w:adjustRightInd/>
        <w:snapToGrid/>
        <w:spacing w:line="360" w:lineRule="auto"/>
        <w:ind w:right="0"/>
        <w:jc w:val="center"/>
        <w:textAlignment w:val="auto"/>
        <w:outlineLvl w:val="9"/>
        <w:rPr>
          <w:rFonts w:hint="eastAsia" w:ascii="宋体" w:hAnsi="宋体" w:eastAsia="宋体" w:cs="宋体"/>
          <w:b/>
          <w:color w:val="auto"/>
          <w:sz w:val="24"/>
          <w:szCs w:val="24"/>
          <w:lang w:eastAsia="zh-CN"/>
        </w:rPr>
      </w:pPr>
      <w:bookmarkStart w:id="401" w:name="_Toc32036_WPSOffice_Level1"/>
      <w:bookmarkStart w:id="402" w:name="_Toc6898_WPSOffice_Level2"/>
      <w:bookmarkStart w:id="403" w:name="_Toc28170_WPSOffice_Level2"/>
      <w:bookmarkStart w:id="404" w:name="_Toc14917_WPSOffice_Level1"/>
      <w:r>
        <w:rPr>
          <w:rFonts w:hint="eastAsia" w:ascii="宋体" w:hAnsi="宋体" w:eastAsia="宋体" w:cs="宋体"/>
          <w:b/>
          <w:color w:val="auto"/>
          <w:sz w:val="24"/>
          <w:szCs w:val="24"/>
          <w:lang w:eastAsia="zh-CN"/>
        </w:rPr>
        <w:t>法定代表人证明书</w:t>
      </w:r>
      <w:bookmarkEnd w:id="401"/>
      <w:bookmarkEnd w:id="402"/>
      <w:bookmarkEnd w:id="403"/>
      <w:bookmarkEnd w:id="404"/>
    </w:p>
    <w:p w14:paraId="79381567">
      <w:pPr>
        <w:keepNext w:val="0"/>
        <w:keepLines w:val="0"/>
        <w:pageBreakBefore w:val="0"/>
        <w:kinsoku/>
        <w:wordWrap/>
        <w:overflowPunct/>
        <w:topLinePunct w:val="0"/>
        <w:bidi w:val="0"/>
        <w:adjustRightInd/>
        <w:snapToGrid/>
        <w:spacing w:line="360" w:lineRule="auto"/>
        <w:ind w:right="0"/>
        <w:outlineLvl w:val="9"/>
        <w:rPr>
          <w:rFonts w:hint="eastAsia" w:ascii="宋体" w:hAnsi="宋体" w:eastAsia="宋体" w:cs="宋体"/>
          <w:b w:val="0"/>
          <w:bCs w:val="0"/>
          <w:color w:val="auto"/>
          <w:kern w:val="0"/>
          <w:sz w:val="24"/>
          <w:szCs w:val="24"/>
        </w:rPr>
      </w:pPr>
      <w:r>
        <w:rPr>
          <w:rFonts w:hint="eastAsia" w:ascii="宋体" w:hAnsi="宋体" w:eastAsia="宋体" w:cs="宋体"/>
          <w:b/>
          <w:bCs/>
          <w:color w:val="auto"/>
          <w:sz w:val="24"/>
          <w:szCs w:val="24"/>
        </w:rPr>
        <w:t>致：</w:t>
      </w:r>
      <w:r>
        <w:rPr>
          <w:rFonts w:hint="eastAsia" w:ascii="宋体" w:hAnsi="宋体" w:eastAsia="宋体" w:cs="宋体"/>
          <w:b/>
          <w:bCs/>
          <w:color w:val="auto"/>
          <w:sz w:val="24"/>
          <w:szCs w:val="24"/>
          <w:u w:val="none"/>
          <w:lang w:eastAsia="zh-CN"/>
        </w:rPr>
        <w:t>青海鼎钊招标代理有限公司</w:t>
      </w:r>
    </w:p>
    <w:p w14:paraId="3D392B8B">
      <w:pPr>
        <w:keepNext w:val="0"/>
        <w:keepLines w:val="0"/>
        <w:pageBreakBefore w:val="0"/>
        <w:kinsoku/>
        <w:wordWrap/>
        <w:overflowPunct/>
        <w:topLinePunct w:val="0"/>
        <w:autoSpaceDE w:val="0"/>
        <w:autoSpaceDN w:val="0"/>
        <w:bidi w:val="0"/>
        <w:adjustRightInd/>
        <w:snapToGrid/>
        <w:spacing w:line="360" w:lineRule="auto"/>
        <w:ind w:right="0" w:firstLine="480" w:firstLineChars="200"/>
        <w:jc w:val="left"/>
        <w:outlineLvl w:val="9"/>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u w:val="single"/>
        </w:rPr>
        <w:t xml:space="preserve">  （法定代表人姓名）  </w:t>
      </w:r>
      <w:r>
        <w:rPr>
          <w:rFonts w:hint="eastAsia" w:ascii="宋体" w:hAnsi="宋体" w:eastAsia="宋体" w:cs="宋体"/>
          <w:b w:val="0"/>
          <w:bCs w:val="0"/>
          <w:color w:val="auto"/>
          <w:sz w:val="24"/>
          <w:szCs w:val="24"/>
        </w:rPr>
        <w:t>现任我单位</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职务，为法定代表人，特此证明。</w:t>
      </w:r>
    </w:p>
    <w:p w14:paraId="40B49C1B">
      <w:pPr>
        <w:keepNext w:val="0"/>
        <w:keepLines w:val="0"/>
        <w:pageBreakBefore w:val="0"/>
        <w:kinsoku/>
        <w:wordWrap/>
        <w:overflowPunct/>
        <w:topLinePunct w:val="0"/>
        <w:autoSpaceDE w:val="0"/>
        <w:autoSpaceDN w:val="0"/>
        <w:bidi w:val="0"/>
        <w:adjustRightInd/>
        <w:snapToGrid/>
        <w:spacing w:line="360" w:lineRule="auto"/>
        <w:ind w:right="0" w:firstLine="480" w:firstLineChars="200"/>
        <w:jc w:val="left"/>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法定代表人基本情况：</w:t>
      </w:r>
    </w:p>
    <w:p w14:paraId="1600F536">
      <w:pPr>
        <w:keepNext w:val="0"/>
        <w:keepLines w:val="0"/>
        <w:pageBreakBefore w:val="0"/>
        <w:kinsoku/>
        <w:wordWrap/>
        <w:overflowPunct/>
        <w:topLinePunct w:val="0"/>
        <w:autoSpaceDE w:val="0"/>
        <w:autoSpaceDN w:val="0"/>
        <w:bidi w:val="0"/>
        <w:adjustRightInd/>
        <w:snapToGrid/>
        <w:spacing w:line="360" w:lineRule="auto"/>
        <w:ind w:right="0" w:firstLine="480" w:firstLineChars="200"/>
        <w:jc w:val="left"/>
        <w:outlineLvl w:val="9"/>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性别：</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年龄：</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民族：</w:t>
      </w:r>
      <w:r>
        <w:rPr>
          <w:rFonts w:hint="eastAsia" w:ascii="宋体" w:hAnsi="宋体" w:eastAsia="宋体" w:cs="宋体"/>
          <w:b w:val="0"/>
          <w:bCs w:val="0"/>
          <w:color w:val="auto"/>
          <w:sz w:val="24"/>
          <w:szCs w:val="24"/>
          <w:u w:val="single"/>
        </w:rPr>
        <w:t xml:space="preserve">     </w:t>
      </w:r>
    </w:p>
    <w:p w14:paraId="1B48E276">
      <w:pPr>
        <w:keepNext w:val="0"/>
        <w:keepLines w:val="0"/>
        <w:pageBreakBefore w:val="0"/>
        <w:kinsoku/>
        <w:wordWrap/>
        <w:overflowPunct/>
        <w:topLinePunct w:val="0"/>
        <w:autoSpaceDE w:val="0"/>
        <w:autoSpaceDN w:val="0"/>
        <w:bidi w:val="0"/>
        <w:adjustRightInd/>
        <w:snapToGrid/>
        <w:spacing w:line="360" w:lineRule="auto"/>
        <w:ind w:right="0" w:firstLine="480" w:firstLineChars="200"/>
        <w:jc w:val="left"/>
        <w:outlineLvl w:val="9"/>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地址：</w:t>
      </w:r>
      <w:r>
        <w:rPr>
          <w:rFonts w:hint="eastAsia" w:ascii="宋体" w:hAnsi="宋体" w:eastAsia="宋体" w:cs="宋体"/>
          <w:b w:val="0"/>
          <w:bCs w:val="0"/>
          <w:color w:val="auto"/>
          <w:sz w:val="24"/>
          <w:szCs w:val="24"/>
          <w:u w:val="single"/>
        </w:rPr>
        <w:t xml:space="preserve">                             </w:t>
      </w:r>
    </w:p>
    <w:p w14:paraId="1A826F4B">
      <w:pPr>
        <w:keepNext w:val="0"/>
        <w:keepLines w:val="0"/>
        <w:pageBreakBefore w:val="0"/>
        <w:kinsoku/>
        <w:wordWrap/>
        <w:overflowPunct/>
        <w:topLinePunct w:val="0"/>
        <w:autoSpaceDE w:val="0"/>
        <w:autoSpaceDN w:val="0"/>
        <w:bidi w:val="0"/>
        <w:adjustRightInd/>
        <w:snapToGrid/>
        <w:spacing w:line="360" w:lineRule="auto"/>
        <w:ind w:right="0" w:firstLine="480" w:firstLineChars="200"/>
        <w:jc w:val="left"/>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身份证号码：</w:t>
      </w:r>
      <w:r>
        <w:rPr>
          <w:rFonts w:hint="eastAsia" w:ascii="宋体" w:hAnsi="宋体" w:eastAsia="宋体" w:cs="宋体"/>
          <w:b w:val="0"/>
          <w:bCs w:val="0"/>
          <w:color w:val="auto"/>
          <w:sz w:val="24"/>
          <w:szCs w:val="24"/>
          <w:u w:val="single"/>
        </w:rPr>
        <w:t xml:space="preserve">                       </w:t>
      </w:r>
    </w:p>
    <w:p w14:paraId="415B6577">
      <w:pPr>
        <w:keepNext w:val="0"/>
        <w:keepLines w:val="0"/>
        <w:pageBreakBefore w:val="0"/>
        <w:kinsoku/>
        <w:wordWrap/>
        <w:overflowPunct/>
        <w:topLinePunct w:val="0"/>
        <w:autoSpaceDE w:val="0"/>
        <w:autoSpaceDN w:val="0"/>
        <w:bidi w:val="0"/>
        <w:adjustRightInd/>
        <w:snapToGrid/>
        <w:spacing w:line="360" w:lineRule="auto"/>
        <w:ind w:right="0" w:firstLine="480" w:firstLineChars="200"/>
        <w:jc w:val="left"/>
        <w:outlineLvl w:val="9"/>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附法定代表人第二代身份证双面扫描</w:t>
      </w:r>
      <w:r>
        <w:rPr>
          <w:rFonts w:hint="eastAsia" w:ascii="宋体" w:hAnsi="宋体" w:eastAsia="宋体" w:cs="宋体"/>
          <w:b w:val="0"/>
          <w:bCs w:val="0"/>
          <w:color w:val="auto"/>
          <w:sz w:val="24"/>
          <w:szCs w:val="24"/>
          <w:lang w:eastAsia="zh-CN"/>
        </w:rPr>
        <w:t>或其他身份证明材料</w:t>
      </w:r>
      <w:r>
        <w:rPr>
          <w:rFonts w:hint="eastAsia" w:ascii="宋体" w:hAnsi="宋体" w:eastAsia="宋体" w:cs="宋体"/>
          <w:b w:val="0"/>
          <w:bCs w:val="0"/>
          <w:color w:val="auto"/>
          <w:sz w:val="24"/>
          <w:szCs w:val="24"/>
        </w:rPr>
        <w:t>（复印件</w:t>
      </w:r>
      <w:r>
        <w:rPr>
          <w:rFonts w:hint="eastAsia" w:ascii="宋体" w:hAnsi="宋体" w:eastAsia="宋体" w:cs="宋体"/>
          <w:color w:val="auto"/>
          <w:sz w:val="24"/>
          <w:szCs w:val="24"/>
          <w:lang w:eastAsia="zh-CN"/>
        </w:rPr>
        <w:t>）</w:t>
      </w:r>
    </w:p>
    <w:p w14:paraId="5DDC8A32">
      <w:pPr>
        <w:keepNext w:val="0"/>
        <w:keepLines w:val="0"/>
        <w:pageBreakBefore w:val="0"/>
        <w:kinsoku/>
        <w:wordWrap/>
        <w:overflowPunct/>
        <w:topLinePunct w:val="0"/>
        <w:autoSpaceDE w:val="0"/>
        <w:autoSpaceDN w:val="0"/>
        <w:bidi w:val="0"/>
        <w:adjustRightInd/>
        <w:snapToGrid/>
        <w:spacing w:line="360" w:lineRule="auto"/>
        <w:ind w:right="0"/>
        <w:jc w:val="left"/>
        <w:outlineLvl w:val="9"/>
        <w:rPr>
          <w:rFonts w:hint="eastAsia" w:ascii="宋体" w:hAnsi="宋体" w:eastAsia="宋体" w:cs="宋体"/>
          <w:color w:val="auto"/>
          <w:kern w:val="0"/>
          <w:sz w:val="24"/>
          <w:szCs w:val="24"/>
        </w:rPr>
      </w:pPr>
    </w:p>
    <w:p w14:paraId="1D1A41D9">
      <w:pPr>
        <w:pStyle w:val="2"/>
        <w:rPr>
          <w:rFonts w:hint="eastAsia" w:ascii="宋体" w:hAnsi="宋体" w:eastAsia="宋体" w:cs="宋体"/>
          <w:color w:val="auto"/>
          <w:kern w:val="0"/>
          <w:sz w:val="24"/>
          <w:szCs w:val="24"/>
        </w:rPr>
      </w:pPr>
    </w:p>
    <w:p w14:paraId="7B9A640E">
      <w:pPr>
        <w:pStyle w:val="2"/>
        <w:rPr>
          <w:rFonts w:hint="eastAsia" w:ascii="宋体" w:hAnsi="宋体" w:eastAsia="宋体" w:cs="宋体"/>
          <w:color w:val="auto"/>
          <w:kern w:val="0"/>
          <w:sz w:val="24"/>
          <w:szCs w:val="24"/>
        </w:rPr>
      </w:pPr>
    </w:p>
    <w:p w14:paraId="1BCABA24">
      <w:pPr>
        <w:pStyle w:val="2"/>
        <w:rPr>
          <w:rFonts w:hint="eastAsia" w:ascii="宋体" w:hAnsi="宋体" w:eastAsia="宋体" w:cs="宋体"/>
          <w:color w:val="auto"/>
          <w:kern w:val="0"/>
          <w:sz w:val="24"/>
          <w:szCs w:val="24"/>
        </w:rPr>
      </w:pPr>
    </w:p>
    <w:p w14:paraId="66BA983F">
      <w:pPr>
        <w:pStyle w:val="2"/>
        <w:rPr>
          <w:rFonts w:hint="eastAsia" w:ascii="宋体" w:hAnsi="宋体" w:eastAsia="宋体" w:cs="宋体"/>
          <w:color w:val="auto"/>
          <w:kern w:val="0"/>
          <w:sz w:val="24"/>
          <w:szCs w:val="24"/>
        </w:rPr>
      </w:pPr>
    </w:p>
    <w:p w14:paraId="483A238F">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eastAsia="zh-CN"/>
        </w:rPr>
        <w:t>单</w:t>
      </w:r>
      <w:r>
        <w:rPr>
          <w:rFonts w:hint="eastAsia" w:ascii="宋体" w:hAnsi="宋体" w:eastAsia="宋体" w:cs="宋体"/>
          <w:b/>
          <w:bCs w:val="0"/>
          <w:color w:val="auto"/>
          <w:sz w:val="24"/>
          <w:szCs w:val="24"/>
        </w:rPr>
        <w:t>位</w:t>
      </w:r>
      <w:r>
        <w:rPr>
          <w:rFonts w:hint="eastAsia" w:ascii="宋体" w:hAnsi="宋体" w:eastAsia="宋体" w:cs="宋体"/>
          <w:b/>
          <w:bCs w:val="0"/>
          <w:color w:val="auto"/>
          <w:sz w:val="24"/>
          <w:szCs w:val="24"/>
          <w:lang w:eastAsia="zh-CN"/>
        </w:rPr>
        <w:t>名称</w:t>
      </w: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rPr>
        <w:t>（公章）</w:t>
      </w:r>
    </w:p>
    <w:p w14:paraId="7AFA2EE1">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p>
    <w:p w14:paraId="08418236">
      <w:pPr>
        <w:keepNext w:val="0"/>
        <w:keepLines w:val="0"/>
        <w:pageBreakBefore w:val="0"/>
        <w:kinsoku/>
        <w:wordWrap/>
        <w:overflowPunct/>
        <w:topLinePunct w:val="0"/>
        <w:autoSpaceDE w:val="0"/>
        <w:autoSpaceDN w:val="0"/>
        <w:bidi w:val="0"/>
        <w:adjustRightInd/>
        <w:snapToGrid/>
        <w:spacing w:line="360" w:lineRule="auto"/>
        <w:ind w:right="0"/>
        <w:jc w:val="center"/>
        <w:outlineLvl w:val="9"/>
        <w:rPr>
          <w:rFonts w:hint="eastAsia" w:ascii="宋体" w:hAnsi="宋体" w:eastAsia="宋体" w:cs="宋体"/>
          <w:b/>
          <w:color w:val="auto"/>
          <w:sz w:val="24"/>
          <w:szCs w:val="24"/>
        </w:rPr>
      </w:pPr>
      <w:r>
        <w:rPr>
          <w:rFonts w:hint="eastAsia" w:ascii="宋体" w:hAnsi="宋体" w:eastAsia="宋体" w:cs="宋体"/>
          <w:b/>
          <w:bCs w:val="0"/>
          <w:color w:val="auto"/>
          <w:sz w:val="24"/>
          <w:szCs w:val="24"/>
        </w:rPr>
        <w:t xml:space="preserve">年   月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 xml:space="preserve"> 日</w:t>
      </w:r>
    </w:p>
    <w:p w14:paraId="701BAD38">
      <w:pPr>
        <w:keepNext w:val="0"/>
        <w:keepLines w:val="0"/>
        <w:pageBreakBefore w:val="0"/>
        <w:kinsoku/>
        <w:wordWrap/>
        <w:overflowPunct/>
        <w:topLinePunct w:val="0"/>
        <w:bidi w:val="0"/>
        <w:adjustRightInd/>
        <w:snapToGrid/>
        <w:spacing w:line="360" w:lineRule="auto"/>
        <w:ind w:right="0"/>
        <w:rPr>
          <w:rFonts w:hint="eastAsia" w:ascii="宋体" w:hAnsi="宋体" w:eastAsia="宋体" w:cs="宋体"/>
          <w:b/>
          <w:color w:val="auto"/>
          <w:sz w:val="24"/>
          <w:szCs w:val="24"/>
        </w:rPr>
      </w:pPr>
    </w:p>
    <w:p w14:paraId="6CC04DF0">
      <w:pPr>
        <w:keepNext w:val="0"/>
        <w:keepLines w:val="0"/>
        <w:pageBreakBefore w:val="0"/>
        <w:kinsoku/>
        <w:wordWrap/>
        <w:overflowPunct/>
        <w:topLinePunct w:val="0"/>
        <w:bidi w:val="0"/>
        <w:adjustRightInd/>
        <w:snapToGrid/>
        <w:spacing w:line="360" w:lineRule="auto"/>
        <w:ind w:right="0"/>
        <w:rPr>
          <w:rFonts w:hint="eastAsia" w:ascii="宋体" w:hAnsi="宋体" w:eastAsia="宋体" w:cs="宋体"/>
          <w:b/>
          <w:color w:val="auto"/>
          <w:sz w:val="28"/>
          <w:szCs w:val="28"/>
          <w:lang w:eastAsia="zh-CN"/>
        </w:rPr>
      </w:pPr>
      <w:bookmarkStart w:id="405" w:name="_Toc18183"/>
      <w:bookmarkStart w:id="406" w:name="_Toc31901"/>
      <w:bookmarkStart w:id="407" w:name="_Toc27782"/>
      <w:bookmarkStart w:id="408" w:name="_Toc23035_WPSOffice_Level2"/>
      <w:bookmarkStart w:id="409" w:name="_Toc21545_WPSOffice_Level3"/>
      <w:r>
        <w:rPr>
          <w:rFonts w:hint="eastAsia" w:ascii="宋体" w:hAnsi="宋体" w:eastAsia="宋体" w:cs="宋体"/>
          <w:b/>
          <w:color w:val="auto"/>
          <w:sz w:val="28"/>
          <w:szCs w:val="28"/>
          <w:lang w:eastAsia="zh-CN"/>
        </w:rPr>
        <w:br w:type="page"/>
      </w:r>
    </w:p>
    <w:p w14:paraId="1F8B10E9">
      <w:pPr>
        <w:keepNext w:val="0"/>
        <w:keepLines w:val="0"/>
        <w:pageBreakBefore w:val="0"/>
        <w:widowControl/>
        <w:kinsoku/>
        <w:wordWrap/>
        <w:overflowPunct/>
        <w:topLinePunct w:val="0"/>
        <w:bidi w:val="0"/>
        <w:adjustRightInd/>
        <w:snapToGrid/>
        <w:spacing w:line="360" w:lineRule="auto"/>
        <w:ind w:right="0"/>
        <w:outlineLvl w:val="1"/>
        <w:rPr>
          <w:rFonts w:hint="eastAsia" w:ascii="宋体" w:hAnsi="宋体" w:eastAsia="宋体" w:cs="宋体"/>
          <w:b/>
          <w:color w:val="auto"/>
          <w:sz w:val="28"/>
          <w:szCs w:val="28"/>
        </w:rPr>
      </w:pPr>
      <w:bookmarkStart w:id="410" w:name="_Toc25359"/>
      <w:r>
        <w:rPr>
          <w:rFonts w:hint="eastAsia" w:ascii="宋体" w:hAnsi="宋体" w:eastAsia="宋体" w:cs="宋体"/>
          <w:b/>
          <w:color w:val="auto"/>
          <w:sz w:val="28"/>
          <w:szCs w:val="28"/>
          <w:lang w:eastAsia="zh-CN"/>
        </w:rPr>
        <w:t>附件3：法定代表人授权书</w:t>
      </w:r>
      <w:bookmarkEnd w:id="405"/>
      <w:bookmarkEnd w:id="406"/>
      <w:bookmarkEnd w:id="407"/>
      <w:bookmarkEnd w:id="408"/>
      <w:bookmarkEnd w:id="409"/>
      <w:bookmarkEnd w:id="410"/>
    </w:p>
    <w:p w14:paraId="5C41F1BF">
      <w:pPr>
        <w:keepNext w:val="0"/>
        <w:keepLines w:val="0"/>
        <w:pageBreakBefore w:val="0"/>
        <w:widowControl w:val="0"/>
        <w:kinsoku/>
        <w:wordWrap/>
        <w:overflowPunct/>
        <w:topLinePunct w:val="0"/>
        <w:bidi w:val="0"/>
        <w:adjustRightInd/>
        <w:snapToGrid/>
        <w:spacing w:line="360" w:lineRule="auto"/>
        <w:ind w:right="0"/>
        <w:jc w:val="center"/>
        <w:textAlignment w:val="auto"/>
        <w:outlineLvl w:val="9"/>
        <w:rPr>
          <w:rFonts w:hint="eastAsia" w:ascii="宋体" w:hAnsi="宋体" w:eastAsia="宋体" w:cs="宋体"/>
          <w:b/>
          <w:color w:val="auto"/>
          <w:sz w:val="24"/>
          <w:szCs w:val="24"/>
          <w:lang w:eastAsia="zh-CN"/>
        </w:rPr>
      </w:pPr>
      <w:bookmarkStart w:id="411" w:name="_Toc5048_WPSOffice_Level2"/>
      <w:bookmarkStart w:id="412" w:name="_Toc1148_WPSOffice_Level3"/>
      <w:bookmarkStart w:id="413" w:name="_Toc26434_WPSOffice_Level2"/>
      <w:r>
        <w:rPr>
          <w:rFonts w:hint="eastAsia" w:ascii="宋体" w:hAnsi="宋体" w:eastAsia="宋体" w:cs="宋体"/>
          <w:b/>
          <w:color w:val="auto"/>
          <w:sz w:val="24"/>
          <w:szCs w:val="24"/>
          <w:lang w:eastAsia="zh-CN"/>
        </w:rPr>
        <w:t>法定代表人授权书</w:t>
      </w:r>
      <w:bookmarkEnd w:id="411"/>
      <w:bookmarkEnd w:id="412"/>
      <w:bookmarkEnd w:id="413"/>
    </w:p>
    <w:p w14:paraId="2094C71A">
      <w:pPr>
        <w:keepNext w:val="0"/>
        <w:keepLines w:val="0"/>
        <w:pageBreakBefore w:val="0"/>
        <w:widowControl w:val="0"/>
        <w:kinsoku/>
        <w:wordWrap/>
        <w:overflowPunct/>
        <w:topLinePunct w:val="0"/>
        <w:bidi w:val="0"/>
        <w:adjustRightInd/>
        <w:snapToGrid/>
        <w:spacing w:line="360" w:lineRule="auto"/>
        <w:ind w:right="0"/>
        <w:textAlignment w:val="auto"/>
        <w:outlineLvl w:val="9"/>
        <w:rPr>
          <w:rFonts w:hint="eastAsia" w:ascii="宋体" w:hAnsi="宋体" w:eastAsia="宋体" w:cs="宋体"/>
          <w:color w:val="auto"/>
          <w:sz w:val="24"/>
          <w:szCs w:val="24"/>
          <w:u w:val="single"/>
        </w:rPr>
      </w:pPr>
      <w:bookmarkStart w:id="414" w:name="_Toc25306_WPSOffice_Level2"/>
      <w:bookmarkStart w:id="415" w:name="_Toc16084_WPSOffice_Level2"/>
      <w:bookmarkStart w:id="416" w:name="_Toc6307_WPSOffice_Level2"/>
      <w:r>
        <w:rPr>
          <w:rFonts w:hint="eastAsia" w:ascii="宋体" w:hAnsi="宋体" w:eastAsia="宋体" w:cs="宋体"/>
          <w:b/>
          <w:bCs/>
          <w:color w:val="auto"/>
          <w:sz w:val="24"/>
          <w:szCs w:val="24"/>
        </w:rPr>
        <w:t>致：</w:t>
      </w:r>
      <w:r>
        <w:rPr>
          <w:rFonts w:hint="eastAsia" w:ascii="宋体" w:hAnsi="宋体" w:eastAsia="宋体" w:cs="宋体"/>
          <w:b/>
          <w:bCs/>
          <w:color w:val="auto"/>
          <w:sz w:val="24"/>
          <w:szCs w:val="24"/>
          <w:u w:val="none"/>
          <w:lang w:eastAsia="zh-CN"/>
        </w:rPr>
        <w:t>青海鼎钊招标代理有限公司</w:t>
      </w:r>
      <w:bookmarkEnd w:id="414"/>
      <w:bookmarkEnd w:id="415"/>
      <w:bookmarkEnd w:id="416"/>
    </w:p>
    <w:p w14:paraId="10472FBF">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（供应商名称）  </w:t>
      </w:r>
      <w:r>
        <w:rPr>
          <w:rFonts w:hint="eastAsia" w:ascii="宋体" w:hAnsi="宋体" w:eastAsia="宋体" w:cs="宋体"/>
          <w:color w:val="auto"/>
          <w:sz w:val="24"/>
          <w:szCs w:val="24"/>
        </w:rPr>
        <w:t>系中华人民共和国合法企业，法定地址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C8EF7A5">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（法定代表人姓名）   </w:t>
      </w:r>
      <w:r>
        <w:rPr>
          <w:rFonts w:hint="eastAsia" w:ascii="宋体" w:hAnsi="宋体" w:eastAsia="宋体" w:cs="宋体"/>
          <w:color w:val="auto"/>
          <w:sz w:val="24"/>
          <w:szCs w:val="24"/>
        </w:rPr>
        <w:t>特授权</w:t>
      </w:r>
      <w:r>
        <w:rPr>
          <w:rFonts w:hint="eastAsia" w:ascii="宋体" w:hAnsi="宋体" w:eastAsia="宋体" w:cs="宋体"/>
          <w:color w:val="auto"/>
          <w:sz w:val="24"/>
          <w:szCs w:val="24"/>
          <w:u w:val="single"/>
        </w:rPr>
        <w:t xml:space="preserve"> （委托代理人姓名）    </w:t>
      </w:r>
      <w:r>
        <w:rPr>
          <w:rFonts w:hint="eastAsia" w:ascii="宋体" w:hAnsi="宋体" w:eastAsia="宋体" w:cs="宋体"/>
          <w:color w:val="auto"/>
          <w:sz w:val="24"/>
          <w:szCs w:val="24"/>
        </w:rPr>
        <w:t>代表我单位全权办理针对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项目的</w:t>
      </w:r>
      <w:r>
        <w:rPr>
          <w:rFonts w:hint="eastAsia" w:ascii="宋体" w:hAnsi="宋体" w:eastAsia="宋体" w:cs="宋体"/>
          <w:color w:val="auto"/>
          <w:sz w:val="24"/>
          <w:szCs w:val="24"/>
          <w:lang w:eastAsia="zh-CN"/>
        </w:rPr>
        <w:t>谈判、答疑</w:t>
      </w:r>
      <w:r>
        <w:rPr>
          <w:rFonts w:hint="eastAsia" w:ascii="宋体" w:hAnsi="宋体" w:eastAsia="宋体" w:cs="宋体"/>
          <w:color w:val="auto"/>
          <w:sz w:val="24"/>
          <w:szCs w:val="24"/>
        </w:rPr>
        <w:t>等具体工作，并签署全部有关的文件、资料。</w:t>
      </w:r>
    </w:p>
    <w:p w14:paraId="32D443DF">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我单位对被授权人的签名负全部责任。</w:t>
      </w:r>
    </w:p>
    <w:p w14:paraId="517C800F">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在撤销授权的书面通知以前，本授权书一直有效，被授权人签署的所有文件（在授权书有效期内签署的）不因授权的撤销而失效。</w:t>
      </w:r>
    </w:p>
    <w:p w14:paraId="314773F5">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被授权人联系电话：</w:t>
      </w:r>
      <w:r>
        <w:rPr>
          <w:rFonts w:hint="eastAsia" w:ascii="宋体" w:hAnsi="宋体" w:eastAsia="宋体" w:cs="宋体"/>
          <w:color w:val="auto"/>
          <w:sz w:val="24"/>
          <w:szCs w:val="24"/>
          <w:u w:val="single"/>
        </w:rPr>
        <w:t xml:space="preserve">          </w:t>
      </w:r>
    </w:p>
    <w:p w14:paraId="35CF0E8A">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被授权人（委托代理人）签字或盖章：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职务：</w:t>
      </w:r>
      <w:r>
        <w:rPr>
          <w:rFonts w:hint="eastAsia" w:ascii="宋体" w:hAnsi="宋体" w:eastAsia="宋体" w:cs="宋体"/>
          <w:color w:val="auto"/>
          <w:sz w:val="24"/>
          <w:szCs w:val="24"/>
          <w:u w:val="single"/>
        </w:rPr>
        <w:t xml:space="preserve">            </w:t>
      </w:r>
    </w:p>
    <w:p w14:paraId="2502F595">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u w:val="single"/>
        </w:rPr>
      </w:pPr>
      <w:r>
        <w:rPr>
          <w:rFonts w:hint="eastAsia" w:ascii="宋体" w:hAnsi="宋体" w:eastAsia="宋体" w:cs="宋体"/>
          <w:color w:val="auto"/>
          <w:sz w:val="24"/>
          <w:szCs w:val="24"/>
        </w:rPr>
        <w:t>授权人（法定代表人）签字或盖章：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职务：</w:t>
      </w:r>
      <w:r>
        <w:rPr>
          <w:rFonts w:hint="eastAsia" w:ascii="宋体" w:hAnsi="宋体" w:eastAsia="宋体" w:cs="宋体"/>
          <w:color w:val="auto"/>
          <w:sz w:val="24"/>
          <w:szCs w:val="24"/>
          <w:u w:val="single"/>
        </w:rPr>
        <w:t xml:space="preserve">            </w:t>
      </w:r>
    </w:p>
    <w:p w14:paraId="44CD8D60">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附被授权人第二代身份证双面扫描（或复印）件</w:t>
      </w:r>
    </w:p>
    <w:p w14:paraId="780FF19D">
      <w:pPr>
        <w:keepNext w:val="0"/>
        <w:keepLines w:val="0"/>
        <w:pageBreakBefore w:val="0"/>
        <w:widowControl w:val="0"/>
        <w:kinsoku/>
        <w:wordWrap/>
        <w:overflowPunct/>
        <w:topLinePunct w:val="0"/>
        <w:bidi w:val="0"/>
        <w:adjustRightInd/>
        <w:snapToGrid/>
        <w:spacing w:line="360" w:lineRule="auto"/>
        <w:ind w:right="0"/>
        <w:textAlignment w:val="auto"/>
        <w:outlineLvl w:val="9"/>
        <w:rPr>
          <w:rFonts w:hint="eastAsia" w:ascii="宋体" w:hAnsi="宋体" w:eastAsia="宋体" w:cs="宋体"/>
          <w:color w:val="auto"/>
          <w:kern w:val="0"/>
          <w:sz w:val="24"/>
          <w:szCs w:val="24"/>
        </w:rPr>
      </w:pPr>
    </w:p>
    <w:p w14:paraId="50066D12">
      <w:pPr>
        <w:pStyle w:val="2"/>
        <w:rPr>
          <w:rFonts w:hint="eastAsia" w:ascii="宋体" w:hAnsi="宋体" w:eastAsia="宋体" w:cs="宋体"/>
          <w:color w:val="auto"/>
          <w:kern w:val="0"/>
          <w:sz w:val="24"/>
          <w:szCs w:val="24"/>
        </w:rPr>
      </w:pPr>
    </w:p>
    <w:p w14:paraId="211C0219">
      <w:pPr>
        <w:pStyle w:val="2"/>
        <w:rPr>
          <w:rFonts w:hint="eastAsia" w:ascii="宋体" w:hAnsi="宋体" w:eastAsia="宋体" w:cs="宋体"/>
          <w:color w:val="auto"/>
          <w:kern w:val="0"/>
          <w:sz w:val="24"/>
          <w:szCs w:val="24"/>
        </w:rPr>
      </w:pPr>
    </w:p>
    <w:p w14:paraId="1653156B">
      <w:pPr>
        <w:pStyle w:val="2"/>
        <w:rPr>
          <w:rFonts w:hint="eastAsia" w:ascii="宋体" w:hAnsi="宋体" w:eastAsia="宋体" w:cs="宋体"/>
          <w:color w:val="auto"/>
          <w:kern w:val="0"/>
          <w:sz w:val="24"/>
          <w:szCs w:val="24"/>
        </w:rPr>
      </w:pPr>
    </w:p>
    <w:p w14:paraId="579FF24F">
      <w:pPr>
        <w:pStyle w:val="2"/>
        <w:rPr>
          <w:rFonts w:hint="eastAsia" w:ascii="宋体" w:hAnsi="宋体" w:eastAsia="宋体" w:cs="宋体"/>
          <w:color w:val="auto"/>
          <w:kern w:val="0"/>
          <w:sz w:val="24"/>
          <w:szCs w:val="24"/>
        </w:rPr>
      </w:pPr>
    </w:p>
    <w:p w14:paraId="65F86C1F">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eastAsia="zh-CN"/>
        </w:rPr>
        <w:t>单</w:t>
      </w:r>
      <w:r>
        <w:rPr>
          <w:rFonts w:hint="eastAsia" w:ascii="宋体" w:hAnsi="宋体" w:eastAsia="宋体" w:cs="宋体"/>
          <w:b/>
          <w:bCs w:val="0"/>
          <w:color w:val="auto"/>
          <w:sz w:val="24"/>
          <w:szCs w:val="24"/>
        </w:rPr>
        <w:t>位</w:t>
      </w:r>
      <w:r>
        <w:rPr>
          <w:rFonts w:hint="eastAsia" w:ascii="宋体" w:hAnsi="宋体" w:eastAsia="宋体" w:cs="宋体"/>
          <w:b/>
          <w:bCs w:val="0"/>
          <w:color w:val="auto"/>
          <w:sz w:val="24"/>
          <w:szCs w:val="24"/>
          <w:lang w:eastAsia="zh-CN"/>
        </w:rPr>
        <w:t>名称</w:t>
      </w: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rPr>
        <w:t>（公章）</w:t>
      </w:r>
    </w:p>
    <w:p w14:paraId="6917C15F">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法定代表人或委托代理人：</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rPr>
        <w:t>（签字或盖章）</w:t>
      </w:r>
    </w:p>
    <w:p w14:paraId="37553D74">
      <w:pPr>
        <w:keepNext w:val="0"/>
        <w:keepLines w:val="0"/>
        <w:pageBreakBefore w:val="0"/>
        <w:widowControl w:val="0"/>
        <w:kinsoku/>
        <w:wordWrap/>
        <w:overflowPunct/>
        <w:topLinePunct w:val="0"/>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 xml:space="preserve">年   月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 xml:space="preserve"> 日</w:t>
      </w:r>
    </w:p>
    <w:p w14:paraId="1934946E">
      <w:pPr>
        <w:keepNext w:val="0"/>
        <w:keepLines w:val="0"/>
        <w:pageBreakBefore w:val="0"/>
        <w:kinsoku/>
        <w:wordWrap/>
        <w:overflowPunct/>
        <w:topLinePunct w:val="0"/>
        <w:bidi w:val="0"/>
        <w:adjustRightInd/>
        <w:snapToGrid/>
        <w:spacing w:line="360" w:lineRule="auto"/>
        <w:ind w:right="0"/>
        <w:outlineLvl w:val="9"/>
        <w:rPr>
          <w:rFonts w:hint="eastAsia" w:ascii="宋体" w:hAnsi="宋体" w:eastAsia="宋体" w:cs="宋体"/>
          <w:b/>
          <w:bCs/>
          <w:color w:val="auto"/>
          <w:sz w:val="24"/>
          <w:szCs w:val="24"/>
        </w:rPr>
      </w:pPr>
    </w:p>
    <w:p w14:paraId="131714AD">
      <w:pPr>
        <w:keepNext w:val="0"/>
        <w:keepLines w:val="0"/>
        <w:pageBreakBefore w:val="0"/>
        <w:kinsoku/>
        <w:wordWrap/>
        <w:overflowPunct/>
        <w:topLinePunct w:val="0"/>
        <w:bidi w:val="0"/>
        <w:adjustRightInd/>
        <w:snapToGrid/>
        <w:spacing w:line="360" w:lineRule="auto"/>
        <w:ind w:right="0"/>
        <w:rPr>
          <w:rFonts w:hint="eastAsia" w:ascii="宋体" w:hAnsi="宋体" w:eastAsia="宋体" w:cs="宋体"/>
          <w:b/>
          <w:color w:val="auto"/>
          <w:sz w:val="28"/>
          <w:szCs w:val="28"/>
          <w:lang w:eastAsia="zh-CN"/>
        </w:rPr>
      </w:pPr>
      <w:bookmarkStart w:id="417" w:name="_Toc30919"/>
      <w:bookmarkStart w:id="418" w:name="_Toc23618"/>
      <w:bookmarkStart w:id="419" w:name="_Toc26653_WPSOffice_Level3"/>
      <w:bookmarkStart w:id="420" w:name="_Toc16704"/>
      <w:bookmarkStart w:id="421" w:name="_Toc7737_WPSOffice_Level3"/>
      <w:r>
        <w:rPr>
          <w:rFonts w:hint="eastAsia" w:ascii="宋体" w:hAnsi="宋体" w:eastAsia="宋体" w:cs="宋体"/>
          <w:b/>
          <w:color w:val="auto"/>
          <w:sz w:val="28"/>
          <w:szCs w:val="28"/>
          <w:lang w:eastAsia="zh-CN"/>
        </w:rPr>
        <w:br w:type="page"/>
      </w:r>
    </w:p>
    <w:p w14:paraId="49179035">
      <w:pPr>
        <w:keepNext w:val="0"/>
        <w:keepLines w:val="0"/>
        <w:pageBreakBefore w:val="0"/>
        <w:widowControl/>
        <w:kinsoku/>
        <w:wordWrap/>
        <w:overflowPunct/>
        <w:topLinePunct w:val="0"/>
        <w:bidi w:val="0"/>
        <w:adjustRightInd/>
        <w:snapToGrid/>
        <w:spacing w:line="360" w:lineRule="auto"/>
        <w:ind w:right="0"/>
        <w:outlineLvl w:val="1"/>
        <w:rPr>
          <w:rFonts w:hint="eastAsia" w:ascii="宋体" w:hAnsi="宋体" w:eastAsia="宋体" w:cs="宋体"/>
          <w:b/>
          <w:color w:val="auto"/>
          <w:sz w:val="28"/>
          <w:szCs w:val="28"/>
          <w:lang w:eastAsia="zh-CN"/>
        </w:rPr>
      </w:pPr>
      <w:bookmarkStart w:id="422" w:name="_Toc25241"/>
      <w:r>
        <w:rPr>
          <w:rFonts w:hint="eastAsia" w:ascii="宋体" w:hAnsi="宋体" w:eastAsia="宋体" w:cs="宋体"/>
          <w:b/>
          <w:color w:val="auto"/>
          <w:sz w:val="28"/>
          <w:szCs w:val="28"/>
          <w:lang w:eastAsia="zh-CN"/>
        </w:rPr>
        <w:t>附件4：供应商承诺函</w:t>
      </w:r>
      <w:bookmarkEnd w:id="417"/>
      <w:bookmarkEnd w:id="418"/>
      <w:bookmarkEnd w:id="419"/>
      <w:bookmarkEnd w:id="420"/>
      <w:bookmarkEnd w:id="421"/>
      <w:bookmarkEnd w:id="422"/>
    </w:p>
    <w:p w14:paraId="14D715D7">
      <w:pPr>
        <w:keepNext w:val="0"/>
        <w:keepLines w:val="0"/>
        <w:pageBreakBefore w:val="0"/>
        <w:widowControl w:val="0"/>
        <w:kinsoku/>
        <w:wordWrap/>
        <w:overflowPunct/>
        <w:topLinePunct w:val="0"/>
        <w:bidi w:val="0"/>
        <w:adjustRightInd/>
        <w:snapToGrid/>
        <w:spacing w:line="360" w:lineRule="auto"/>
        <w:ind w:right="0"/>
        <w:jc w:val="center"/>
        <w:textAlignment w:val="auto"/>
        <w:outlineLvl w:val="9"/>
        <w:rPr>
          <w:rFonts w:hint="eastAsia" w:ascii="宋体" w:hAnsi="宋体" w:eastAsia="宋体" w:cs="宋体"/>
          <w:b/>
          <w:color w:val="auto"/>
          <w:sz w:val="24"/>
          <w:szCs w:val="24"/>
          <w:lang w:eastAsia="zh-CN"/>
        </w:rPr>
      </w:pPr>
      <w:bookmarkStart w:id="423" w:name="_Toc2453_WPSOffice_Level2"/>
      <w:bookmarkStart w:id="424" w:name="_Toc27597_WPSOffice_Level3"/>
      <w:bookmarkStart w:id="425" w:name="_Toc17639_WPSOffice_Level2"/>
      <w:r>
        <w:rPr>
          <w:rFonts w:hint="eastAsia" w:ascii="宋体" w:hAnsi="宋体" w:eastAsia="宋体" w:cs="宋体"/>
          <w:b/>
          <w:color w:val="auto"/>
          <w:sz w:val="24"/>
          <w:szCs w:val="24"/>
          <w:lang w:eastAsia="zh-CN"/>
        </w:rPr>
        <w:t>供应商承诺函</w:t>
      </w:r>
      <w:bookmarkEnd w:id="423"/>
      <w:bookmarkEnd w:id="424"/>
      <w:bookmarkEnd w:id="425"/>
    </w:p>
    <w:p w14:paraId="31851B3C">
      <w:pPr>
        <w:keepNext w:val="0"/>
        <w:keepLines w:val="0"/>
        <w:pageBreakBefore w:val="0"/>
        <w:widowControl w:val="0"/>
        <w:kinsoku/>
        <w:wordWrap/>
        <w:overflowPunct/>
        <w:topLinePunct w:val="0"/>
        <w:bidi w:val="0"/>
        <w:adjustRightInd/>
        <w:snapToGrid/>
        <w:spacing w:line="360" w:lineRule="auto"/>
        <w:ind w:right="0"/>
        <w:textAlignment w:val="auto"/>
        <w:outlineLvl w:val="9"/>
        <w:rPr>
          <w:rFonts w:hint="eastAsia" w:ascii="宋体" w:hAnsi="宋体" w:eastAsia="宋体" w:cs="宋体"/>
          <w:b w:val="0"/>
          <w:bCs w:val="0"/>
          <w:color w:val="auto"/>
          <w:sz w:val="24"/>
          <w:szCs w:val="24"/>
        </w:rPr>
      </w:pPr>
      <w:r>
        <w:rPr>
          <w:rFonts w:hint="eastAsia" w:ascii="宋体" w:hAnsi="宋体" w:eastAsia="宋体" w:cs="宋体"/>
          <w:b/>
          <w:bCs/>
          <w:color w:val="auto"/>
          <w:sz w:val="24"/>
          <w:szCs w:val="24"/>
        </w:rPr>
        <w:t>致：</w:t>
      </w:r>
      <w:r>
        <w:rPr>
          <w:rFonts w:hint="eastAsia" w:ascii="宋体" w:hAnsi="宋体" w:eastAsia="宋体" w:cs="宋体"/>
          <w:b/>
          <w:bCs/>
          <w:color w:val="auto"/>
          <w:sz w:val="24"/>
          <w:szCs w:val="24"/>
          <w:u w:val="none"/>
          <w:lang w:eastAsia="zh-CN"/>
        </w:rPr>
        <w:t>青海鼎钊招标代理有限公司</w:t>
      </w:r>
    </w:p>
    <w:p w14:paraId="2A34F0E6">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关于贵方</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年</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月</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日</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u w:val="single"/>
          <w:lang w:eastAsia="zh-CN"/>
        </w:rPr>
        <w:t>项目名称及编号</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采购项目，本签字人愿意参加</w:t>
      </w:r>
      <w:r>
        <w:rPr>
          <w:rFonts w:hint="eastAsia" w:ascii="宋体" w:hAnsi="宋体" w:eastAsia="宋体" w:cs="宋体"/>
          <w:b w:val="0"/>
          <w:bCs w:val="0"/>
          <w:color w:val="auto"/>
          <w:sz w:val="24"/>
          <w:szCs w:val="24"/>
          <w:lang w:eastAsia="zh-CN"/>
        </w:rPr>
        <w:t>谈判</w:t>
      </w:r>
      <w:r>
        <w:rPr>
          <w:rFonts w:hint="eastAsia" w:ascii="宋体" w:hAnsi="宋体" w:eastAsia="宋体" w:cs="宋体"/>
          <w:b w:val="0"/>
          <w:bCs w:val="0"/>
          <w:color w:val="auto"/>
          <w:sz w:val="24"/>
          <w:szCs w:val="24"/>
        </w:rPr>
        <w:t>，提供</w:t>
      </w:r>
      <w:r>
        <w:rPr>
          <w:rFonts w:hint="eastAsia" w:ascii="宋体" w:hAnsi="宋体" w:eastAsia="宋体" w:cs="宋体"/>
          <w:b w:val="0"/>
          <w:bCs w:val="0"/>
          <w:color w:val="auto"/>
          <w:sz w:val="24"/>
          <w:szCs w:val="24"/>
          <w:lang w:val="en-US" w:eastAsia="zh-CN"/>
        </w:rPr>
        <w:t>工程量清单及图纸</w:t>
      </w:r>
      <w:r>
        <w:rPr>
          <w:rFonts w:hint="eastAsia" w:ascii="宋体" w:hAnsi="宋体" w:eastAsia="宋体" w:cs="宋体"/>
          <w:b w:val="0"/>
          <w:bCs w:val="0"/>
          <w:color w:val="auto"/>
          <w:sz w:val="24"/>
          <w:szCs w:val="24"/>
        </w:rPr>
        <w:t>中要求的所有产品</w:t>
      </w:r>
      <w:r>
        <w:rPr>
          <w:rFonts w:hint="eastAsia" w:ascii="宋体" w:hAnsi="宋体" w:eastAsia="宋体" w:cs="宋体"/>
          <w:b w:val="0"/>
          <w:bCs w:val="0"/>
          <w:color w:val="auto"/>
          <w:sz w:val="24"/>
          <w:szCs w:val="24"/>
          <w:lang w:val="en-US" w:eastAsia="zh-CN"/>
        </w:rPr>
        <w:t>和材料等</w:t>
      </w:r>
      <w:r>
        <w:rPr>
          <w:rFonts w:hint="eastAsia" w:ascii="宋体" w:hAnsi="宋体" w:eastAsia="宋体" w:cs="宋体"/>
          <w:b w:val="0"/>
          <w:bCs w:val="0"/>
          <w:color w:val="auto"/>
          <w:sz w:val="24"/>
          <w:szCs w:val="24"/>
        </w:rPr>
        <w:t>，并证实提交的所有资料是准确的和真实的。同时，我代表</w:t>
      </w:r>
      <w:r>
        <w:rPr>
          <w:rFonts w:hint="eastAsia" w:ascii="宋体" w:hAnsi="宋体" w:eastAsia="宋体" w:cs="宋体"/>
          <w:b w:val="0"/>
          <w:bCs w:val="0"/>
          <w:color w:val="auto"/>
          <w:sz w:val="24"/>
          <w:szCs w:val="24"/>
          <w:u w:val="single"/>
        </w:rPr>
        <w:t>（供应商名称）</w:t>
      </w:r>
      <w:r>
        <w:rPr>
          <w:rFonts w:hint="eastAsia" w:ascii="宋体" w:hAnsi="宋体" w:eastAsia="宋体" w:cs="宋体"/>
          <w:b w:val="0"/>
          <w:bCs w:val="0"/>
          <w:color w:val="auto"/>
          <w:sz w:val="24"/>
          <w:szCs w:val="24"/>
        </w:rPr>
        <w:t>，在此作如下承诺：</w:t>
      </w:r>
    </w:p>
    <w:p w14:paraId="16075F40">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1、完全理解和接受谈判文件的一切规定和要求；</w:t>
      </w:r>
    </w:p>
    <w:p w14:paraId="1260E2F4">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2、若</w:t>
      </w:r>
      <w:r>
        <w:rPr>
          <w:rFonts w:hint="eastAsia" w:ascii="宋体" w:hAnsi="宋体" w:eastAsia="宋体" w:cs="宋体"/>
          <w:b w:val="0"/>
          <w:bCs w:val="0"/>
          <w:color w:val="auto"/>
          <w:sz w:val="24"/>
          <w:szCs w:val="24"/>
          <w:lang w:eastAsia="zh-CN"/>
        </w:rPr>
        <w:t>成交</w:t>
      </w:r>
      <w:r>
        <w:rPr>
          <w:rFonts w:hint="eastAsia" w:ascii="宋体" w:hAnsi="宋体" w:eastAsia="宋体" w:cs="宋体"/>
          <w:b w:val="0"/>
          <w:bCs w:val="0"/>
          <w:color w:val="auto"/>
          <w:sz w:val="24"/>
          <w:szCs w:val="24"/>
        </w:rPr>
        <w:t>，我方将按照谈判文件的具体规定与采购人签订采购合同，并且严格履行合同义务，</w:t>
      </w:r>
      <w:r>
        <w:rPr>
          <w:rFonts w:hint="eastAsia" w:ascii="宋体" w:hAnsi="宋体" w:eastAsia="宋体" w:cs="宋体"/>
          <w:b w:val="0"/>
          <w:bCs w:val="0"/>
          <w:color w:val="auto"/>
          <w:sz w:val="24"/>
          <w:szCs w:val="24"/>
        </w:rPr>
        <w:t>按时</w:t>
      </w:r>
      <w:r>
        <w:rPr>
          <w:rFonts w:hint="eastAsia" w:ascii="宋体" w:hAnsi="宋体" w:eastAsia="宋体" w:cs="宋体"/>
          <w:b w:val="0"/>
          <w:bCs w:val="0"/>
          <w:color w:val="auto"/>
          <w:sz w:val="24"/>
          <w:szCs w:val="24"/>
          <w:lang w:val="en-US" w:eastAsia="zh-CN"/>
        </w:rPr>
        <w:t>完工</w:t>
      </w:r>
      <w:r>
        <w:rPr>
          <w:rFonts w:hint="eastAsia" w:ascii="宋体" w:hAnsi="宋体" w:eastAsia="宋体" w:cs="宋体"/>
          <w:b w:val="0"/>
          <w:bCs w:val="0"/>
          <w:color w:val="auto"/>
          <w:sz w:val="24"/>
          <w:szCs w:val="24"/>
        </w:rPr>
        <w:t>，提供优质的产品和服务。</w:t>
      </w:r>
      <w:r>
        <w:rPr>
          <w:rFonts w:hint="eastAsia" w:ascii="宋体" w:hAnsi="宋体" w:eastAsia="宋体" w:cs="宋体"/>
          <w:b w:val="0"/>
          <w:bCs w:val="0"/>
          <w:color w:val="auto"/>
          <w:sz w:val="24"/>
          <w:szCs w:val="24"/>
        </w:rPr>
        <w:t>如果在合同执行过程中，</w:t>
      </w:r>
      <w:r>
        <w:rPr>
          <w:rFonts w:hint="eastAsia" w:ascii="宋体" w:hAnsi="宋体" w:eastAsia="宋体" w:cs="宋体"/>
          <w:b w:val="0"/>
          <w:bCs w:val="0"/>
          <w:color w:val="auto"/>
          <w:sz w:val="24"/>
          <w:szCs w:val="24"/>
        </w:rPr>
        <w:t>发现质量、数量出现问题，我方一定尽快更换或补退货，并承担相应的经济责任；</w:t>
      </w:r>
    </w:p>
    <w:p w14:paraId="76296E1F">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w:t>
      </w:r>
      <w:r>
        <w:rPr>
          <w:rFonts w:hint="eastAsia" w:ascii="宋体" w:hAnsi="宋体" w:eastAsia="宋体" w:cs="宋体"/>
          <w:b w:val="0"/>
          <w:bCs w:val="0"/>
          <w:color w:val="auto"/>
          <w:sz w:val="24"/>
          <w:szCs w:val="24"/>
        </w:rPr>
        <w:t>我方保证甲方在使用该产品或其任何一部分时，不受第三方提出的侵犯专利权、著作权、商标权和工业设计权等知识产权的起诉，若有</w:t>
      </w:r>
      <w:r>
        <w:rPr>
          <w:rFonts w:hint="eastAsia" w:ascii="宋体" w:hAnsi="宋体" w:eastAsia="宋体" w:cs="宋体"/>
          <w:b w:val="0"/>
          <w:bCs w:val="0"/>
          <w:color w:val="auto"/>
          <w:sz w:val="24"/>
          <w:szCs w:val="24"/>
          <w:lang w:eastAsia="zh-CN"/>
        </w:rPr>
        <w:t>违反</w:t>
      </w:r>
      <w:r>
        <w:rPr>
          <w:rFonts w:hint="eastAsia" w:ascii="宋体" w:hAnsi="宋体" w:eastAsia="宋体" w:cs="宋体"/>
          <w:b w:val="0"/>
          <w:bCs w:val="0"/>
          <w:color w:val="auto"/>
          <w:sz w:val="24"/>
          <w:szCs w:val="24"/>
        </w:rPr>
        <w:t>，愿承担相应的一切责任。</w:t>
      </w:r>
    </w:p>
    <w:p w14:paraId="5E6DFFFE">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4、我方承诺，</w:t>
      </w:r>
      <w:r>
        <w:rPr>
          <w:rFonts w:hint="eastAsia" w:ascii="宋体" w:hAnsi="宋体" w:eastAsia="宋体" w:cs="宋体"/>
          <w:b w:val="0"/>
          <w:bCs w:val="0"/>
          <w:strike w:val="0"/>
          <w:dstrike w:val="0"/>
          <w:color w:val="auto"/>
          <w:sz w:val="24"/>
          <w:szCs w:val="24"/>
        </w:rPr>
        <w:t>除谈判文件中规定的</w:t>
      </w:r>
      <w:r>
        <w:rPr>
          <w:rFonts w:hint="eastAsia" w:ascii="宋体" w:hAnsi="宋体" w:eastAsia="宋体" w:cs="宋体"/>
          <w:b w:val="0"/>
          <w:bCs w:val="0"/>
          <w:strike w:val="0"/>
          <w:dstrike w:val="0"/>
          <w:color w:val="auto"/>
          <w:sz w:val="24"/>
          <w:szCs w:val="24"/>
          <w:lang w:val="en-US" w:eastAsia="zh-CN"/>
        </w:rPr>
        <w:t>进口</w:t>
      </w:r>
      <w:r>
        <w:rPr>
          <w:rFonts w:hint="eastAsia" w:ascii="宋体" w:hAnsi="宋体" w:eastAsia="宋体" w:cs="宋体"/>
          <w:b w:val="0"/>
          <w:bCs w:val="0"/>
          <w:strike w:val="0"/>
          <w:dstrike w:val="0"/>
          <w:color w:val="auto"/>
          <w:sz w:val="24"/>
          <w:szCs w:val="24"/>
        </w:rPr>
        <w:t>产品外，</w:t>
      </w:r>
      <w:r>
        <w:rPr>
          <w:rFonts w:hint="eastAsia" w:ascii="宋体" w:hAnsi="宋体" w:eastAsia="宋体" w:cs="宋体"/>
          <w:b w:val="0"/>
          <w:bCs w:val="0"/>
          <w:color w:val="auto"/>
          <w:sz w:val="24"/>
          <w:szCs w:val="24"/>
        </w:rPr>
        <w:t>所投的产品均为国产产品，且均符合国家强制性标准。若有不实，愿承担相应的责任。</w:t>
      </w:r>
    </w:p>
    <w:p w14:paraId="5DAFB6C7">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5、在整个谈判过程中我方若有违规行为，</w:t>
      </w:r>
      <w:r>
        <w:rPr>
          <w:rFonts w:hint="eastAsia" w:ascii="宋体" w:hAnsi="宋体" w:eastAsia="宋体" w:cs="宋体"/>
          <w:b w:val="0"/>
          <w:bCs w:val="0"/>
          <w:color w:val="auto"/>
          <w:sz w:val="24"/>
          <w:szCs w:val="24"/>
          <w:lang w:val="en-US" w:eastAsia="zh-CN"/>
        </w:rPr>
        <w:t>采购人</w:t>
      </w:r>
      <w:r>
        <w:rPr>
          <w:rFonts w:hint="eastAsia" w:ascii="宋体" w:hAnsi="宋体" w:eastAsia="宋体" w:cs="宋体"/>
          <w:b w:val="0"/>
          <w:bCs w:val="0"/>
          <w:color w:val="auto"/>
          <w:sz w:val="24"/>
          <w:szCs w:val="24"/>
        </w:rPr>
        <w:t>可按谈判文件之规定给予处罚，我方完全接受。</w:t>
      </w:r>
    </w:p>
    <w:p w14:paraId="76D8E24B">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6、若成交，本承诺将成为合同不可分割的一部分，与合同具有同等的法律效力。</w:t>
      </w:r>
    </w:p>
    <w:p w14:paraId="24807928">
      <w:pPr>
        <w:keepNext w:val="0"/>
        <w:keepLines w:val="0"/>
        <w:pageBreakBefore w:val="0"/>
        <w:widowControl w:val="0"/>
        <w:kinsoku/>
        <w:wordWrap/>
        <w:overflowPunct/>
        <w:topLinePunct w:val="0"/>
        <w:bidi w:val="0"/>
        <w:adjustRightInd/>
        <w:snapToGrid/>
        <w:spacing w:line="360" w:lineRule="auto"/>
        <w:ind w:right="0"/>
        <w:textAlignment w:val="auto"/>
        <w:outlineLvl w:val="9"/>
        <w:rPr>
          <w:rFonts w:hint="eastAsia" w:ascii="宋体" w:hAnsi="宋体" w:eastAsia="宋体" w:cs="宋体"/>
          <w:b w:val="0"/>
          <w:bCs w:val="0"/>
          <w:color w:val="auto"/>
          <w:sz w:val="24"/>
          <w:szCs w:val="24"/>
        </w:rPr>
      </w:pPr>
    </w:p>
    <w:p w14:paraId="6F9A7011">
      <w:pPr>
        <w:keepNext w:val="0"/>
        <w:keepLines w:val="0"/>
        <w:pageBreakBefore w:val="0"/>
        <w:widowControl w:val="0"/>
        <w:kinsoku/>
        <w:wordWrap/>
        <w:overflowPunct/>
        <w:topLinePunct w:val="0"/>
        <w:bidi w:val="0"/>
        <w:adjustRightInd/>
        <w:snapToGrid/>
        <w:spacing w:line="360" w:lineRule="auto"/>
        <w:ind w:right="0"/>
        <w:textAlignment w:val="auto"/>
        <w:outlineLvl w:val="9"/>
        <w:rPr>
          <w:rFonts w:hint="eastAsia" w:ascii="宋体" w:hAnsi="宋体" w:eastAsia="宋体" w:cs="宋体"/>
          <w:b w:val="0"/>
          <w:bCs w:val="0"/>
          <w:color w:val="auto"/>
          <w:sz w:val="24"/>
          <w:szCs w:val="24"/>
        </w:rPr>
      </w:pPr>
    </w:p>
    <w:p w14:paraId="54989C3F">
      <w:pPr>
        <w:keepNext w:val="0"/>
        <w:keepLines w:val="0"/>
        <w:pageBreakBefore w:val="0"/>
        <w:widowControl w:val="0"/>
        <w:kinsoku/>
        <w:wordWrap/>
        <w:overflowPunct/>
        <w:topLinePunct w:val="0"/>
        <w:bidi w:val="0"/>
        <w:adjustRightInd/>
        <w:snapToGrid/>
        <w:spacing w:line="360" w:lineRule="auto"/>
        <w:ind w:right="0"/>
        <w:textAlignment w:val="auto"/>
        <w:outlineLvl w:val="9"/>
        <w:rPr>
          <w:rFonts w:hint="eastAsia" w:ascii="宋体" w:hAnsi="宋体" w:eastAsia="宋体" w:cs="宋体"/>
          <w:b w:val="0"/>
          <w:bCs w:val="0"/>
          <w:color w:val="auto"/>
          <w:sz w:val="24"/>
          <w:szCs w:val="24"/>
        </w:rPr>
      </w:pPr>
    </w:p>
    <w:p w14:paraId="1287DEF9">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eastAsia="zh-CN"/>
        </w:rPr>
        <w:t>单</w:t>
      </w:r>
      <w:r>
        <w:rPr>
          <w:rFonts w:hint="eastAsia" w:ascii="宋体" w:hAnsi="宋体" w:eastAsia="宋体" w:cs="宋体"/>
          <w:b/>
          <w:bCs w:val="0"/>
          <w:color w:val="auto"/>
          <w:sz w:val="24"/>
          <w:szCs w:val="24"/>
        </w:rPr>
        <w:t>位</w:t>
      </w:r>
      <w:r>
        <w:rPr>
          <w:rFonts w:hint="eastAsia" w:ascii="宋体" w:hAnsi="宋体" w:eastAsia="宋体" w:cs="宋体"/>
          <w:b/>
          <w:bCs w:val="0"/>
          <w:color w:val="auto"/>
          <w:sz w:val="24"/>
          <w:szCs w:val="24"/>
          <w:lang w:eastAsia="zh-CN"/>
        </w:rPr>
        <w:t>名称</w:t>
      </w: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rPr>
        <w:t>（公章）</w:t>
      </w:r>
    </w:p>
    <w:p w14:paraId="2A40122E">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法定代表人或委托代理人：</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rPr>
        <w:t>（签字或盖章）</w:t>
      </w:r>
    </w:p>
    <w:p w14:paraId="4C66591E">
      <w:pPr>
        <w:keepNext w:val="0"/>
        <w:keepLines w:val="0"/>
        <w:pageBreakBefore w:val="0"/>
        <w:widowControl w:val="0"/>
        <w:kinsoku/>
        <w:wordWrap/>
        <w:overflowPunct/>
        <w:topLinePunct w:val="0"/>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 xml:space="preserve">年   月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 xml:space="preserve"> 日</w:t>
      </w:r>
    </w:p>
    <w:p w14:paraId="494E863A">
      <w:pPr>
        <w:keepNext w:val="0"/>
        <w:keepLines w:val="0"/>
        <w:pageBreakBefore w:val="0"/>
        <w:widowControl w:val="0"/>
        <w:kinsoku/>
        <w:wordWrap/>
        <w:overflowPunct/>
        <w:topLinePunct w:val="0"/>
        <w:bidi w:val="0"/>
        <w:adjustRightInd/>
        <w:snapToGrid/>
        <w:spacing w:line="360" w:lineRule="auto"/>
        <w:ind w:right="0"/>
        <w:jc w:val="both"/>
        <w:textAlignment w:val="auto"/>
        <w:outlineLvl w:val="9"/>
        <w:rPr>
          <w:rFonts w:hint="eastAsia" w:ascii="宋体" w:hAnsi="宋体" w:eastAsia="宋体" w:cs="宋体"/>
          <w:b/>
          <w:bCs w:val="0"/>
          <w:color w:val="auto"/>
          <w:sz w:val="24"/>
          <w:szCs w:val="24"/>
        </w:rPr>
      </w:pPr>
    </w:p>
    <w:p w14:paraId="4E714DEB">
      <w:pPr>
        <w:keepNext w:val="0"/>
        <w:keepLines w:val="0"/>
        <w:pageBreakBefore w:val="0"/>
        <w:kinsoku/>
        <w:wordWrap/>
        <w:overflowPunct/>
        <w:topLinePunct w:val="0"/>
        <w:bidi w:val="0"/>
        <w:adjustRightInd/>
        <w:snapToGrid/>
        <w:spacing w:line="360" w:lineRule="auto"/>
        <w:ind w:right="0"/>
        <w:rPr>
          <w:rFonts w:hint="eastAsia" w:ascii="宋体" w:hAnsi="宋体" w:eastAsia="宋体" w:cs="宋体"/>
          <w:b/>
          <w:color w:val="auto"/>
          <w:sz w:val="24"/>
          <w:szCs w:val="24"/>
        </w:rPr>
      </w:pPr>
      <w:bookmarkStart w:id="426" w:name="_Toc6416"/>
      <w:bookmarkStart w:id="427" w:name="_Toc653_WPSOffice_Level3"/>
      <w:bookmarkStart w:id="428" w:name="_Toc20884"/>
      <w:bookmarkStart w:id="429" w:name="_Toc26773_WPSOffice_Level3"/>
      <w:bookmarkStart w:id="430" w:name="_Toc25740"/>
      <w:r>
        <w:rPr>
          <w:rFonts w:hint="eastAsia" w:ascii="宋体" w:hAnsi="宋体" w:eastAsia="宋体" w:cs="宋体"/>
          <w:b/>
          <w:color w:val="auto"/>
          <w:sz w:val="24"/>
          <w:szCs w:val="24"/>
        </w:rPr>
        <w:br w:type="page"/>
      </w:r>
    </w:p>
    <w:p w14:paraId="046AF596">
      <w:pPr>
        <w:keepNext w:val="0"/>
        <w:keepLines w:val="0"/>
        <w:pageBreakBefore w:val="0"/>
        <w:widowControl/>
        <w:kinsoku/>
        <w:wordWrap/>
        <w:overflowPunct/>
        <w:topLinePunct w:val="0"/>
        <w:bidi w:val="0"/>
        <w:adjustRightInd/>
        <w:snapToGrid/>
        <w:spacing w:line="360" w:lineRule="auto"/>
        <w:ind w:right="0"/>
        <w:outlineLvl w:val="1"/>
        <w:rPr>
          <w:rFonts w:hint="eastAsia" w:ascii="宋体" w:hAnsi="宋体" w:eastAsia="宋体" w:cs="宋体"/>
          <w:b/>
          <w:color w:val="auto"/>
          <w:sz w:val="24"/>
          <w:szCs w:val="24"/>
        </w:rPr>
      </w:pPr>
      <w:bookmarkStart w:id="431" w:name="_Toc22871"/>
      <w:r>
        <w:rPr>
          <w:rFonts w:hint="eastAsia" w:ascii="宋体" w:hAnsi="宋体" w:eastAsia="宋体" w:cs="宋体"/>
          <w:b/>
          <w:color w:val="auto"/>
          <w:sz w:val="28"/>
          <w:szCs w:val="28"/>
          <w:lang w:eastAsia="zh-CN"/>
        </w:rPr>
        <w:t>附件5：供应商诚信承诺书</w:t>
      </w:r>
      <w:bookmarkEnd w:id="426"/>
      <w:bookmarkEnd w:id="427"/>
      <w:bookmarkEnd w:id="428"/>
      <w:bookmarkEnd w:id="429"/>
      <w:bookmarkEnd w:id="430"/>
      <w:bookmarkEnd w:id="431"/>
    </w:p>
    <w:p w14:paraId="0C0F3A27">
      <w:pPr>
        <w:keepNext w:val="0"/>
        <w:keepLines w:val="0"/>
        <w:pageBreakBefore w:val="0"/>
        <w:kinsoku/>
        <w:wordWrap/>
        <w:overflowPunct/>
        <w:topLinePunct w:val="0"/>
        <w:bidi w:val="0"/>
        <w:adjustRightInd/>
        <w:snapToGrid/>
        <w:spacing w:line="360" w:lineRule="auto"/>
        <w:ind w:right="0"/>
        <w:jc w:val="center"/>
        <w:outlineLvl w:val="9"/>
        <w:rPr>
          <w:rFonts w:hint="eastAsia" w:ascii="宋体" w:hAnsi="宋体" w:eastAsia="宋体" w:cs="宋体"/>
          <w:b/>
          <w:color w:val="auto"/>
          <w:sz w:val="24"/>
          <w:szCs w:val="24"/>
        </w:rPr>
      </w:pPr>
      <w:bookmarkStart w:id="432" w:name="_Toc22537_WPSOffice_Level3"/>
      <w:bookmarkStart w:id="433" w:name="_Toc22989_WPSOffice_Level3"/>
      <w:r>
        <w:rPr>
          <w:rFonts w:hint="eastAsia" w:ascii="宋体" w:hAnsi="宋体" w:eastAsia="宋体" w:cs="宋体"/>
          <w:b/>
          <w:color w:val="auto"/>
          <w:sz w:val="24"/>
          <w:szCs w:val="24"/>
          <w:lang w:eastAsia="zh-CN"/>
        </w:rPr>
        <w:t>供应商诚信承诺书</w:t>
      </w:r>
      <w:bookmarkEnd w:id="432"/>
      <w:bookmarkEnd w:id="433"/>
    </w:p>
    <w:p w14:paraId="76A122A3">
      <w:pPr>
        <w:keepNext w:val="0"/>
        <w:keepLines w:val="0"/>
        <w:pageBreakBefore w:val="0"/>
        <w:widowControl w:val="0"/>
        <w:kinsoku/>
        <w:wordWrap/>
        <w:overflowPunct/>
        <w:topLinePunct w:val="0"/>
        <w:bidi w:val="0"/>
        <w:adjustRightInd/>
        <w:snapToGrid/>
        <w:spacing w:line="360" w:lineRule="auto"/>
        <w:ind w:right="0"/>
        <w:textAlignment w:val="auto"/>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致：</w:t>
      </w:r>
      <w:r>
        <w:rPr>
          <w:rFonts w:hint="eastAsia" w:ascii="宋体" w:hAnsi="宋体" w:eastAsia="宋体" w:cs="宋体"/>
          <w:b/>
          <w:bCs/>
          <w:color w:val="auto"/>
          <w:sz w:val="24"/>
          <w:szCs w:val="24"/>
          <w:u w:val="none"/>
          <w:lang w:eastAsia="zh-CN"/>
        </w:rPr>
        <w:t>青海鼎钊招标代理有限公司</w:t>
      </w:r>
    </w:p>
    <w:p w14:paraId="238DB1D6">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为了诚实、客观、有序地参与青海省政府采购活动，愿就以下内容作出承诺：</w:t>
      </w:r>
    </w:p>
    <w:p w14:paraId="28AFB797">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、自觉遵守各项法律、法规、规章、制度以及社会公德，维护廉洁环境，与同场竞争的供应商平等参加政府采购活动。</w:t>
      </w:r>
    </w:p>
    <w:p w14:paraId="55EF270A">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、参加</w:t>
      </w:r>
      <w:r>
        <w:rPr>
          <w:rFonts w:hint="eastAsia" w:ascii="宋体" w:hAnsi="宋体" w:eastAsia="宋体" w:cs="宋体"/>
          <w:b w:val="0"/>
          <w:bCs w:val="0"/>
          <w:color w:val="auto"/>
          <w:sz w:val="24"/>
          <w:szCs w:val="24"/>
          <w:lang w:eastAsia="zh-CN"/>
        </w:rPr>
        <w:t>青海鼎钊招标代理有限公司</w:t>
      </w:r>
      <w:r>
        <w:rPr>
          <w:rFonts w:hint="eastAsia" w:ascii="宋体" w:hAnsi="宋体" w:eastAsia="宋体" w:cs="宋体"/>
          <w:b w:val="0"/>
          <w:bCs w:val="0"/>
          <w:color w:val="auto"/>
          <w:sz w:val="24"/>
          <w:szCs w:val="24"/>
        </w:rPr>
        <w:t>组织的政府采购活动时，严格按照谈判文件的规定和要求提供所需的相关材料，并对所提供的各类资料的真实性负责，不虚假</w:t>
      </w:r>
      <w:r>
        <w:rPr>
          <w:rFonts w:hint="eastAsia" w:ascii="宋体" w:hAnsi="宋体" w:eastAsia="宋体" w:cs="宋体"/>
          <w:b w:val="0"/>
          <w:bCs w:val="0"/>
          <w:color w:val="auto"/>
          <w:sz w:val="24"/>
          <w:szCs w:val="24"/>
          <w:lang w:eastAsia="zh-CN"/>
        </w:rPr>
        <w:t>响应</w:t>
      </w:r>
      <w:r>
        <w:rPr>
          <w:rFonts w:hint="eastAsia" w:ascii="宋体" w:hAnsi="宋体" w:eastAsia="宋体" w:cs="宋体"/>
          <w:b w:val="0"/>
          <w:bCs w:val="0"/>
          <w:color w:val="auto"/>
          <w:sz w:val="24"/>
          <w:szCs w:val="24"/>
        </w:rPr>
        <w:t>，不虚列业绩。</w:t>
      </w:r>
    </w:p>
    <w:p w14:paraId="51E2D332">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、尊重参与政府采购活动各相关方的合法行为，接受政府采购活动依法形成的意见、结果。</w:t>
      </w:r>
    </w:p>
    <w:p w14:paraId="21365F1A">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、依法参加政府采购活动，不围标、串标，维护市场秩序，不提供“三无”产品、以次充好。</w:t>
      </w:r>
    </w:p>
    <w:p w14:paraId="2DC173ED">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、积极推动政府采购活动健康开展，对采购活动有疑问、</w:t>
      </w:r>
      <w:r>
        <w:rPr>
          <w:rFonts w:hint="eastAsia" w:ascii="宋体" w:hAnsi="宋体" w:eastAsia="宋体" w:cs="宋体"/>
          <w:b w:val="0"/>
          <w:bCs w:val="0"/>
          <w:color w:val="auto"/>
          <w:sz w:val="24"/>
          <w:szCs w:val="24"/>
          <w:lang w:val="en-US" w:eastAsia="zh-CN"/>
        </w:rPr>
        <w:t>质疑</w:t>
      </w:r>
      <w:r>
        <w:rPr>
          <w:rFonts w:hint="eastAsia" w:ascii="宋体" w:hAnsi="宋体" w:eastAsia="宋体" w:cs="宋体"/>
          <w:b w:val="0"/>
          <w:bCs w:val="0"/>
          <w:color w:val="auto"/>
          <w:sz w:val="24"/>
          <w:szCs w:val="24"/>
        </w:rPr>
        <w:t>时</w:t>
      </w:r>
      <w:r>
        <w:rPr>
          <w:rFonts w:hint="eastAsia" w:ascii="宋体" w:hAnsi="宋体" w:eastAsia="宋体" w:cs="宋体"/>
          <w:b w:val="0"/>
          <w:bCs w:val="0"/>
          <w:color w:val="auto"/>
          <w:sz w:val="24"/>
          <w:szCs w:val="24"/>
        </w:rPr>
        <w:t>，按法律规定的程序实名（加盖单位</w:t>
      </w:r>
      <w:r>
        <w:rPr>
          <w:rFonts w:hint="eastAsia" w:ascii="宋体" w:hAnsi="宋体" w:eastAsia="宋体" w:cs="宋体"/>
          <w:b w:val="0"/>
          <w:bCs w:val="0"/>
          <w:color w:val="auto"/>
          <w:sz w:val="24"/>
          <w:szCs w:val="24"/>
          <w:lang w:eastAsia="zh-CN"/>
        </w:rPr>
        <w:t>公</w:t>
      </w:r>
      <w:r>
        <w:rPr>
          <w:rFonts w:hint="eastAsia" w:ascii="宋体" w:hAnsi="宋体" w:eastAsia="宋体" w:cs="宋体"/>
          <w:b w:val="0"/>
          <w:bCs w:val="0"/>
          <w:color w:val="auto"/>
          <w:sz w:val="24"/>
          <w:szCs w:val="24"/>
        </w:rPr>
        <w:t>章和法定代表人签名）反映情况，不恶意中伤、无事生非，以和谐、平等的心态参加政府采购活动。</w:t>
      </w:r>
    </w:p>
    <w:p w14:paraId="01B74ACD">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、认真履行成交供应商应承担的责任和义务，全面执行采购合同规定的各项内容，</w:t>
      </w:r>
      <w:r>
        <w:rPr>
          <w:rFonts w:hint="eastAsia" w:ascii="宋体" w:hAnsi="宋体" w:eastAsia="宋体" w:cs="宋体"/>
          <w:b w:val="0"/>
          <w:bCs w:val="0"/>
          <w:color w:val="auto"/>
          <w:sz w:val="24"/>
          <w:szCs w:val="24"/>
        </w:rPr>
        <w:t>保质保量地按时</w:t>
      </w:r>
      <w:r>
        <w:rPr>
          <w:rFonts w:hint="eastAsia" w:ascii="宋体" w:hAnsi="宋体" w:eastAsia="宋体" w:cs="宋体"/>
          <w:b w:val="0"/>
          <w:bCs w:val="0"/>
          <w:color w:val="auto"/>
          <w:sz w:val="24"/>
          <w:szCs w:val="24"/>
          <w:lang w:val="en-US" w:eastAsia="zh-CN"/>
        </w:rPr>
        <w:t>完工</w:t>
      </w:r>
      <w:r>
        <w:rPr>
          <w:rFonts w:hint="eastAsia" w:ascii="宋体" w:hAnsi="宋体" w:eastAsia="宋体" w:cs="宋体"/>
          <w:b w:val="0"/>
          <w:bCs w:val="0"/>
          <w:color w:val="auto"/>
          <w:sz w:val="24"/>
          <w:szCs w:val="24"/>
        </w:rPr>
        <w:t>。</w:t>
      </w:r>
    </w:p>
    <w:p w14:paraId="71931877">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若本企业（单位）发生有悖于上述承诺的行为，愿意接受《中华人民共和国政府采购法》和《政府采购法实施条例》中对供应商的相关处理。</w:t>
      </w:r>
    </w:p>
    <w:p w14:paraId="26F66E41">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本承诺是采购项目</w:t>
      </w:r>
      <w:r>
        <w:rPr>
          <w:rFonts w:hint="eastAsia" w:ascii="宋体" w:hAnsi="宋体" w:eastAsia="宋体" w:cs="宋体"/>
          <w:b w:val="0"/>
          <w:bCs w:val="0"/>
          <w:color w:val="auto"/>
          <w:sz w:val="24"/>
          <w:szCs w:val="24"/>
          <w:lang w:eastAsia="zh-CN"/>
        </w:rPr>
        <w:t>响应文件</w:t>
      </w:r>
      <w:r>
        <w:rPr>
          <w:rFonts w:hint="eastAsia" w:ascii="宋体" w:hAnsi="宋体" w:eastAsia="宋体" w:cs="宋体"/>
          <w:b w:val="0"/>
          <w:bCs w:val="0"/>
          <w:color w:val="auto"/>
          <w:sz w:val="24"/>
          <w:szCs w:val="24"/>
        </w:rPr>
        <w:t>的组成部分。</w:t>
      </w:r>
    </w:p>
    <w:p w14:paraId="07D782E3">
      <w:pPr>
        <w:keepNext w:val="0"/>
        <w:keepLines w:val="0"/>
        <w:pageBreakBefore w:val="0"/>
        <w:widowControl w:val="0"/>
        <w:kinsoku/>
        <w:wordWrap/>
        <w:overflowPunct/>
        <w:topLinePunct w:val="0"/>
        <w:bidi w:val="0"/>
        <w:adjustRightInd/>
        <w:snapToGrid/>
        <w:spacing w:line="360" w:lineRule="auto"/>
        <w:ind w:right="0"/>
        <w:textAlignment w:val="auto"/>
        <w:outlineLvl w:val="9"/>
        <w:rPr>
          <w:rFonts w:hint="eastAsia" w:ascii="宋体" w:hAnsi="宋体" w:eastAsia="宋体" w:cs="宋体"/>
          <w:b w:val="0"/>
          <w:bCs w:val="0"/>
          <w:color w:val="auto"/>
          <w:sz w:val="24"/>
          <w:szCs w:val="24"/>
        </w:rPr>
      </w:pPr>
    </w:p>
    <w:p w14:paraId="2D6AB06B">
      <w:pPr>
        <w:pStyle w:val="2"/>
        <w:rPr>
          <w:rFonts w:hint="eastAsia" w:ascii="宋体" w:hAnsi="宋体" w:eastAsia="宋体" w:cs="宋体"/>
          <w:b w:val="0"/>
          <w:bCs w:val="0"/>
          <w:color w:val="auto"/>
          <w:sz w:val="24"/>
          <w:szCs w:val="24"/>
        </w:rPr>
      </w:pPr>
    </w:p>
    <w:p w14:paraId="3F9468EA">
      <w:pPr>
        <w:pStyle w:val="2"/>
        <w:rPr>
          <w:rFonts w:hint="eastAsia" w:ascii="宋体" w:hAnsi="宋体" w:eastAsia="宋体" w:cs="宋体"/>
          <w:b w:val="0"/>
          <w:bCs w:val="0"/>
          <w:color w:val="auto"/>
          <w:sz w:val="24"/>
          <w:szCs w:val="24"/>
        </w:rPr>
      </w:pPr>
    </w:p>
    <w:p w14:paraId="0BE255CA">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eastAsia="zh-CN"/>
        </w:rPr>
        <w:t>单</w:t>
      </w:r>
      <w:r>
        <w:rPr>
          <w:rFonts w:hint="eastAsia" w:ascii="宋体" w:hAnsi="宋体" w:eastAsia="宋体" w:cs="宋体"/>
          <w:b/>
          <w:bCs w:val="0"/>
          <w:color w:val="auto"/>
          <w:sz w:val="24"/>
          <w:szCs w:val="24"/>
        </w:rPr>
        <w:t>位</w:t>
      </w:r>
      <w:r>
        <w:rPr>
          <w:rFonts w:hint="eastAsia" w:ascii="宋体" w:hAnsi="宋体" w:eastAsia="宋体" w:cs="宋体"/>
          <w:b/>
          <w:bCs w:val="0"/>
          <w:color w:val="auto"/>
          <w:sz w:val="24"/>
          <w:szCs w:val="24"/>
          <w:lang w:eastAsia="zh-CN"/>
        </w:rPr>
        <w:t>名称</w:t>
      </w: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rPr>
        <w:t>（公章）</w:t>
      </w:r>
    </w:p>
    <w:p w14:paraId="4E021334">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法定代表人或委托代理人：</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rPr>
        <w:t>（签字或盖章）</w:t>
      </w:r>
    </w:p>
    <w:p w14:paraId="72853DF2">
      <w:pPr>
        <w:keepNext w:val="0"/>
        <w:keepLines w:val="0"/>
        <w:pageBreakBefore w:val="0"/>
        <w:widowControl w:val="0"/>
        <w:kinsoku/>
        <w:wordWrap/>
        <w:overflowPunct/>
        <w:topLinePunct w:val="0"/>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 xml:space="preserve">年   月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 xml:space="preserve"> 日</w:t>
      </w:r>
    </w:p>
    <w:p w14:paraId="42F43DCF">
      <w:pPr>
        <w:keepNext w:val="0"/>
        <w:keepLines w:val="0"/>
        <w:pageBreakBefore w:val="0"/>
        <w:kinsoku/>
        <w:wordWrap/>
        <w:overflowPunct/>
        <w:topLinePunct w:val="0"/>
        <w:bidi w:val="0"/>
        <w:adjustRightInd/>
        <w:snapToGrid/>
        <w:spacing w:line="360" w:lineRule="auto"/>
        <w:ind w:right="0"/>
        <w:rPr>
          <w:rFonts w:hint="eastAsia" w:ascii="宋体" w:hAnsi="宋体" w:eastAsia="宋体" w:cs="宋体"/>
          <w:b/>
          <w:color w:val="auto"/>
          <w:sz w:val="28"/>
          <w:szCs w:val="28"/>
          <w:lang w:eastAsia="zh-CN"/>
        </w:rPr>
      </w:pPr>
      <w:bookmarkStart w:id="434" w:name="_Toc6033"/>
      <w:bookmarkStart w:id="435" w:name="_Toc25242"/>
      <w:bookmarkStart w:id="436" w:name="_Toc16847"/>
      <w:bookmarkStart w:id="437" w:name="_Toc19930_WPSOffice_Level3"/>
      <w:bookmarkStart w:id="438" w:name="_Toc8368_WPSOffice_Level3"/>
      <w:r>
        <w:rPr>
          <w:rFonts w:hint="eastAsia" w:ascii="宋体" w:hAnsi="宋体" w:eastAsia="宋体" w:cs="宋体"/>
          <w:b/>
          <w:color w:val="auto"/>
          <w:sz w:val="28"/>
          <w:szCs w:val="28"/>
          <w:lang w:eastAsia="zh-CN"/>
        </w:rPr>
        <w:br w:type="page"/>
      </w:r>
    </w:p>
    <w:p w14:paraId="16F5F5D3">
      <w:pPr>
        <w:keepNext w:val="0"/>
        <w:keepLines w:val="0"/>
        <w:pageBreakBefore w:val="0"/>
        <w:widowControl/>
        <w:kinsoku/>
        <w:wordWrap/>
        <w:overflowPunct/>
        <w:topLinePunct w:val="0"/>
        <w:bidi w:val="0"/>
        <w:adjustRightInd/>
        <w:snapToGrid/>
        <w:spacing w:line="360" w:lineRule="auto"/>
        <w:ind w:right="0"/>
        <w:outlineLvl w:val="1"/>
        <w:rPr>
          <w:rFonts w:hint="eastAsia" w:ascii="宋体" w:hAnsi="宋体" w:eastAsia="宋体" w:cs="宋体"/>
          <w:b/>
          <w:color w:val="auto"/>
          <w:sz w:val="28"/>
          <w:szCs w:val="28"/>
        </w:rPr>
      </w:pPr>
      <w:bookmarkStart w:id="439" w:name="_Toc10622"/>
      <w:r>
        <w:rPr>
          <w:rFonts w:hint="eastAsia" w:ascii="宋体" w:hAnsi="宋体" w:eastAsia="宋体" w:cs="宋体"/>
          <w:b/>
          <w:color w:val="auto"/>
          <w:sz w:val="28"/>
          <w:szCs w:val="28"/>
          <w:lang w:eastAsia="zh-CN"/>
        </w:rPr>
        <w:t>附件6：供应商资格证明文件</w:t>
      </w:r>
      <w:bookmarkEnd w:id="434"/>
      <w:bookmarkEnd w:id="435"/>
      <w:bookmarkEnd w:id="436"/>
      <w:bookmarkEnd w:id="437"/>
      <w:bookmarkEnd w:id="438"/>
      <w:bookmarkEnd w:id="439"/>
    </w:p>
    <w:p w14:paraId="03FCD1D6">
      <w:pPr>
        <w:keepNext w:val="0"/>
        <w:keepLines w:val="0"/>
        <w:pageBreakBefore w:val="0"/>
        <w:kinsoku/>
        <w:wordWrap/>
        <w:overflowPunct/>
        <w:topLinePunct w:val="0"/>
        <w:bidi w:val="0"/>
        <w:adjustRightInd/>
        <w:snapToGrid/>
        <w:spacing w:line="360" w:lineRule="auto"/>
        <w:ind w:right="0"/>
        <w:jc w:val="center"/>
        <w:outlineLvl w:val="9"/>
        <w:rPr>
          <w:rFonts w:hint="eastAsia" w:ascii="宋体" w:hAnsi="宋体" w:eastAsia="宋体" w:cs="宋体"/>
          <w:color w:val="auto"/>
          <w:sz w:val="24"/>
          <w:szCs w:val="24"/>
        </w:rPr>
      </w:pPr>
      <w:bookmarkStart w:id="440" w:name="_Toc23997_WPSOffice_Level3"/>
      <w:bookmarkStart w:id="441" w:name="_Toc9360_WPSOffice_Level3"/>
      <w:r>
        <w:rPr>
          <w:rFonts w:hint="eastAsia" w:ascii="宋体" w:hAnsi="宋体" w:eastAsia="宋体" w:cs="宋体"/>
          <w:b/>
          <w:color w:val="auto"/>
          <w:sz w:val="24"/>
          <w:szCs w:val="24"/>
          <w:lang w:eastAsia="zh-CN"/>
        </w:rPr>
        <w:t>供应商资格证明文件</w:t>
      </w:r>
      <w:bookmarkEnd w:id="440"/>
      <w:bookmarkEnd w:id="441"/>
    </w:p>
    <w:p w14:paraId="3AACFD38">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资格证明材料包括：提供有效的营业执照、税务登记证、机构代码证或三证（五证）合一统一社会代码证及其他资格证明文件（扫描或复印件）。</w:t>
      </w:r>
    </w:p>
    <w:p w14:paraId="78B319A6">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1、企业法人需提交“统一社会信用代码的营业执照”，未换证的提交“营业执照、组织机构代码证、税务登记证、”；事业法人需提交 “统一社会信用代码的事业单位法人证书”，未换证的提交“事业单位法人证书或组织机构代码证”；其他组织需提交“统一社会信用代码的社会团体法人登记证书”或“统一社会信用代码的民办非企业单位登记证书”或“统一社会信用代码的基金会法人登记证书”，未换证的提交 “社会团体法人登记证书”或“民办非企业单位登记证书”或“基金会法人登记证书”和“组织机构代码证”；个体工商户需提交“统一社会信用代码的营业执照”或“营业执照、税务登记证”；自然人需提交身份证明。</w:t>
      </w:r>
    </w:p>
    <w:p w14:paraId="2DDEDFC5">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2、根据采购项目内容，提供供应商的相关资质证书、许可证等。</w:t>
      </w:r>
    </w:p>
    <w:p w14:paraId="123316E9">
      <w:pPr>
        <w:keepNext w:val="0"/>
        <w:keepLines w:val="0"/>
        <w:pageBreakBefore w:val="0"/>
        <w:widowControl/>
        <w:kinsoku/>
        <w:wordWrap/>
        <w:overflowPunct/>
        <w:topLinePunct w:val="0"/>
        <w:bidi w:val="0"/>
        <w:adjustRightInd/>
        <w:snapToGrid/>
        <w:spacing w:line="360" w:lineRule="auto"/>
        <w:ind w:right="0"/>
        <w:outlineLvl w:val="9"/>
        <w:rPr>
          <w:rFonts w:hint="eastAsia" w:ascii="宋体" w:hAnsi="宋体" w:eastAsia="宋体" w:cs="宋体"/>
          <w:b/>
          <w:color w:val="auto"/>
          <w:sz w:val="24"/>
          <w:szCs w:val="24"/>
        </w:rPr>
      </w:pPr>
    </w:p>
    <w:p w14:paraId="6355142A">
      <w:pPr>
        <w:keepNext w:val="0"/>
        <w:keepLines w:val="0"/>
        <w:pageBreakBefore w:val="0"/>
        <w:kinsoku/>
        <w:wordWrap/>
        <w:overflowPunct/>
        <w:topLinePunct w:val="0"/>
        <w:bidi w:val="0"/>
        <w:adjustRightInd/>
        <w:snapToGrid/>
        <w:spacing w:line="360" w:lineRule="auto"/>
        <w:ind w:right="0"/>
        <w:rPr>
          <w:rFonts w:hint="eastAsia" w:ascii="宋体" w:hAnsi="宋体" w:eastAsia="宋体" w:cs="宋体"/>
          <w:b/>
          <w:color w:val="auto"/>
          <w:sz w:val="28"/>
          <w:szCs w:val="28"/>
          <w:lang w:eastAsia="zh-CN"/>
        </w:rPr>
      </w:pPr>
      <w:bookmarkStart w:id="442" w:name="_Toc7499_WPSOffice_Level3"/>
      <w:bookmarkStart w:id="443" w:name="_Toc5898"/>
      <w:bookmarkStart w:id="444" w:name="_Toc12925"/>
      <w:bookmarkStart w:id="445" w:name="_Toc29082_WPSOffice_Level3"/>
      <w:bookmarkStart w:id="446" w:name="_Toc6573"/>
      <w:r>
        <w:rPr>
          <w:rFonts w:hint="eastAsia" w:ascii="宋体" w:hAnsi="宋体" w:eastAsia="宋体" w:cs="宋体"/>
          <w:b/>
          <w:color w:val="auto"/>
          <w:sz w:val="28"/>
          <w:szCs w:val="28"/>
          <w:lang w:eastAsia="zh-CN"/>
        </w:rPr>
        <w:br w:type="page"/>
      </w:r>
    </w:p>
    <w:p w14:paraId="0C7FEEE6">
      <w:pPr>
        <w:keepNext w:val="0"/>
        <w:keepLines w:val="0"/>
        <w:pageBreakBefore w:val="0"/>
        <w:widowControl/>
        <w:kinsoku/>
        <w:wordWrap/>
        <w:overflowPunct/>
        <w:topLinePunct w:val="0"/>
        <w:bidi w:val="0"/>
        <w:adjustRightInd/>
        <w:snapToGrid/>
        <w:spacing w:line="360" w:lineRule="auto"/>
        <w:ind w:right="0"/>
        <w:outlineLvl w:val="1"/>
        <w:rPr>
          <w:rFonts w:hint="eastAsia" w:ascii="宋体" w:hAnsi="宋体" w:eastAsia="宋体" w:cs="宋体"/>
          <w:b/>
          <w:color w:val="auto"/>
          <w:sz w:val="28"/>
          <w:szCs w:val="28"/>
        </w:rPr>
      </w:pPr>
      <w:bookmarkStart w:id="447" w:name="_Toc7830"/>
      <w:r>
        <w:rPr>
          <w:rFonts w:hint="eastAsia" w:ascii="宋体" w:hAnsi="宋体" w:eastAsia="宋体" w:cs="宋体"/>
          <w:b/>
          <w:color w:val="auto"/>
          <w:sz w:val="28"/>
          <w:szCs w:val="28"/>
          <w:lang w:eastAsia="zh-CN"/>
        </w:rPr>
        <w:t>附件7：财务状况、缴纳税收和社会保障资金证明</w:t>
      </w:r>
      <w:bookmarkEnd w:id="442"/>
      <w:bookmarkEnd w:id="443"/>
      <w:bookmarkEnd w:id="444"/>
      <w:bookmarkEnd w:id="445"/>
      <w:bookmarkEnd w:id="446"/>
      <w:bookmarkEnd w:id="447"/>
    </w:p>
    <w:p w14:paraId="4860B16F">
      <w:pPr>
        <w:keepNext w:val="0"/>
        <w:keepLines w:val="0"/>
        <w:pageBreakBefore w:val="0"/>
        <w:kinsoku/>
        <w:wordWrap/>
        <w:overflowPunct/>
        <w:topLinePunct w:val="0"/>
        <w:bidi w:val="0"/>
        <w:adjustRightInd/>
        <w:snapToGrid/>
        <w:spacing w:line="360" w:lineRule="auto"/>
        <w:ind w:right="0"/>
        <w:jc w:val="center"/>
        <w:outlineLvl w:val="9"/>
        <w:rPr>
          <w:rFonts w:hint="eastAsia" w:ascii="宋体" w:hAnsi="宋体" w:eastAsia="宋体" w:cs="宋体"/>
          <w:b/>
          <w:color w:val="auto"/>
          <w:sz w:val="24"/>
          <w:szCs w:val="24"/>
        </w:rPr>
      </w:pPr>
      <w:bookmarkStart w:id="448" w:name="_Toc22184_WPSOffice_Level3"/>
      <w:bookmarkStart w:id="449" w:name="_Toc2355_WPSOffice_Level3"/>
      <w:r>
        <w:rPr>
          <w:rFonts w:hint="eastAsia" w:ascii="宋体" w:hAnsi="宋体" w:eastAsia="宋体" w:cs="宋体"/>
          <w:b/>
          <w:color w:val="auto"/>
          <w:sz w:val="24"/>
          <w:szCs w:val="24"/>
          <w:lang w:eastAsia="zh-CN"/>
        </w:rPr>
        <w:t>财务状况、缴纳税收和社会保障资金证明</w:t>
      </w:r>
      <w:bookmarkEnd w:id="448"/>
      <w:bookmarkEnd w:id="449"/>
    </w:p>
    <w:p w14:paraId="52150395">
      <w:pPr>
        <w:keepNext w:val="0"/>
        <w:keepLines w:val="0"/>
        <w:pageBreakBefore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按照《政府采购法》第22条规定提供以下相关材料</w:t>
      </w:r>
      <w:r>
        <w:rPr>
          <w:rFonts w:hint="eastAsia" w:ascii="宋体" w:hAnsi="宋体" w:eastAsia="宋体" w:cs="宋体"/>
          <w:color w:val="auto"/>
          <w:sz w:val="24"/>
          <w:szCs w:val="24"/>
          <w:lang w:eastAsia="zh-CN"/>
        </w:rPr>
        <w:t>：</w:t>
      </w:r>
    </w:p>
    <w:p w14:paraId="7E0A6579">
      <w:pPr>
        <w:wordWrap w:val="0"/>
        <w:spacing w:line="360" w:lineRule="auto"/>
        <w:ind w:firstLine="480"/>
        <w:rPr>
          <w:rFonts w:hint="eastAsia" w:ascii="宋体" w:hAnsi="宋体" w:eastAsia="宋体" w:cs="宋体"/>
          <w:color w:val="auto"/>
          <w:kern w:val="0"/>
          <w:sz w:val="24"/>
          <w:szCs w:val="24"/>
          <w:lang w:val="zh-CN"/>
        </w:rPr>
      </w:pPr>
      <w:r>
        <w:rPr>
          <w:rFonts w:hint="eastAsia" w:ascii="宋体" w:hAnsi="宋体" w:eastAsia="宋体" w:cs="宋体"/>
          <w:color w:val="auto"/>
          <w:sz w:val="24"/>
          <w:szCs w:val="24"/>
        </w:rPr>
        <w:t>1、供应商是法人的，</w:t>
      </w:r>
      <w:r>
        <w:rPr>
          <w:rFonts w:hint="eastAsia" w:ascii="宋体" w:hAnsi="宋体" w:eastAsia="宋体" w:cs="宋体"/>
          <w:color w:val="auto"/>
          <w:sz w:val="24"/>
          <w:szCs w:val="24"/>
        </w:rPr>
        <w:t>提供20</w:t>
      </w:r>
      <w:r>
        <w:rPr>
          <w:rFonts w:hint="eastAsia" w:ascii="宋体" w:hAnsi="宋体" w:eastAsia="宋体" w:cs="宋体"/>
          <w:color w:val="auto"/>
          <w:sz w:val="24"/>
          <w:szCs w:val="24"/>
          <w:lang w:val="en-US" w:eastAsia="zh-CN"/>
        </w:rPr>
        <w:t>24</w:t>
      </w:r>
      <w:r>
        <w:rPr>
          <w:rFonts w:hint="eastAsia" w:ascii="宋体" w:hAnsi="宋体" w:eastAsia="宋体" w:cs="宋体"/>
          <w:color w:val="auto"/>
          <w:sz w:val="24"/>
          <w:szCs w:val="24"/>
        </w:rPr>
        <w:t>年度经审计的</w:t>
      </w:r>
      <w:r>
        <w:rPr>
          <w:rFonts w:hint="eastAsia" w:ascii="宋体" w:hAnsi="宋体" w:eastAsia="宋体" w:cs="宋体"/>
          <w:color w:val="auto"/>
          <w:sz w:val="24"/>
          <w:szCs w:val="24"/>
          <w:lang w:val="en-US" w:eastAsia="zh-CN"/>
        </w:rPr>
        <w:t>完整</w:t>
      </w:r>
      <w:r>
        <w:rPr>
          <w:rFonts w:hint="eastAsia" w:ascii="宋体" w:hAnsi="宋体" w:eastAsia="宋体" w:cs="宋体"/>
          <w:color w:val="auto"/>
          <w:sz w:val="24"/>
          <w:szCs w:val="24"/>
        </w:rPr>
        <w:t>财务状况报告，包括资产负债表、利润表、现金流量表及其附注</w:t>
      </w:r>
      <w:r>
        <w:rPr>
          <w:rFonts w:hint="eastAsia" w:ascii="宋体" w:hAnsi="宋体" w:eastAsia="宋体" w:cs="宋体"/>
          <w:color w:val="auto"/>
          <w:sz w:val="24"/>
          <w:szCs w:val="24"/>
          <w:lang w:val="en-US" w:eastAsia="zh-CN"/>
        </w:rPr>
        <w:t>等</w:t>
      </w:r>
      <w:r>
        <w:rPr>
          <w:rFonts w:hint="eastAsia" w:ascii="宋体" w:hAnsi="宋体" w:eastAsia="宋体" w:cs="宋体"/>
          <w:color w:val="auto"/>
          <w:sz w:val="24"/>
          <w:szCs w:val="24"/>
        </w:rPr>
        <w:t>，或其基本开户银行</w:t>
      </w:r>
      <w:r>
        <w:rPr>
          <w:rFonts w:hint="eastAsia" w:ascii="宋体" w:hAnsi="宋体" w:eastAsia="宋体" w:cs="宋体"/>
          <w:color w:val="auto"/>
          <w:sz w:val="24"/>
          <w:szCs w:val="24"/>
          <w:u w:val="none"/>
          <w:lang w:val="en-US" w:eastAsia="zh-CN"/>
        </w:rPr>
        <w:t>近三个月内</w:t>
      </w:r>
      <w:r>
        <w:rPr>
          <w:rFonts w:hint="eastAsia" w:ascii="宋体" w:hAnsi="宋体" w:eastAsia="宋体" w:cs="宋体"/>
          <w:color w:val="auto"/>
          <w:sz w:val="24"/>
          <w:szCs w:val="24"/>
        </w:rPr>
        <w:t>出具的资信证明；供应商是其他组织和自然人，没有经审计的财务报告，可以提供基本开户银行出具的资信证明</w:t>
      </w:r>
      <w:r>
        <w:rPr>
          <w:rFonts w:hint="eastAsia" w:ascii="宋体" w:hAnsi="宋体" w:eastAsia="宋体" w:cs="宋体"/>
          <w:color w:val="auto"/>
          <w:sz w:val="24"/>
          <w:lang w:val="zh-CN"/>
        </w:rPr>
        <w:t>（同时提供基本存款账户</w:t>
      </w:r>
      <w:r>
        <w:rPr>
          <w:rFonts w:hint="eastAsia" w:ascii="宋体" w:hAnsi="宋体" w:eastAsia="宋体" w:cs="宋体"/>
          <w:color w:val="auto"/>
          <w:sz w:val="24"/>
          <w:lang w:val="zh-CN" w:eastAsia="zh-CN"/>
        </w:rPr>
        <w:t>信息</w:t>
      </w:r>
      <w:r>
        <w:rPr>
          <w:rFonts w:hint="eastAsia" w:ascii="宋体" w:hAnsi="宋体" w:eastAsia="宋体" w:cs="宋体"/>
          <w:color w:val="auto"/>
          <w:sz w:val="24"/>
          <w:lang w:val="zh-CN"/>
        </w:rPr>
        <w:t>）。</w:t>
      </w:r>
    </w:p>
    <w:p w14:paraId="63A687A1">
      <w:pPr>
        <w:keepNext w:val="0"/>
        <w:keepLines w:val="0"/>
        <w:pageBreakBefore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zh-CN"/>
        </w:rPr>
        <w:t>2、</w:t>
      </w:r>
      <w:r>
        <w:rPr>
          <w:rFonts w:hint="eastAsia" w:ascii="宋体" w:hAnsi="宋体" w:eastAsia="宋体" w:cs="宋体"/>
          <w:color w:val="auto"/>
          <w:sz w:val="24"/>
          <w:szCs w:val="24"/>
          <w:lang w:val="zh-CN"/>
        </w:rPr>
        <w:t>近半年内</w:t>
      </w:r>
      <w:r>
        <w:rPr>
          <w:rFonts w:hint="eastAsia" w:ascii="宋体" w:hAnsi="宋体" w:eastAsia="宋体" w:cs="宋体"/>
          <w:color w:val="auto"/>
          <w:sz w:val="24"/>
          <w:szCs w:val="24"/>
          <w:lang w:val="en-US" w:eastAsia="zh-CN"/>
        </w:rPr>
        <w:t>至少1个月的</w:t>
      </w:r>
      <w:r>
        <w:rPr>
          <w:rFonts w:hint="eastAsia" w:ascii="宋体" w:hAnsi="宋体" w:eastAsia="宋体" w:cs="宋体"/>
          <w:color w:val="auto"/>
          <w:sz w:val="24"/>
          <w:szCs w:val="24"/>
          <w:lang w:val="zh-CN"/>
        </w:rPr>
        <w:t>依法缴纳税收和社会保障资金记录的证明材料</w:t>
      </w:r>
      <w:r>
        <w:rPr>
          <w:rFonts w:hint="eastAsia" w:ascii="宋体" w:hAnsi="宋体" w:eastAsia="宋体" w:cs="宋体"/>
          <w:color w:val="auto"/>
          <w:sz w:val="24"/>
          <w:szCs w:val="24"/>
          <w:lang w:val="zh-CN"/>
        </w:rPr>
        <w:t>；依法免税或不需要缴纳社会保障资金的投标人须提供相应文件证明其依法免税或不需要缴纳社会保障资金。</w:t>
      </w:r>
    </w:p>
    <w:p w14:paraId="33B0BA2B">
      <w:pPr>
        <w:keepNext w:val="0"/>
        <w:keepLines w:val="0"/>
        <w:pageBreakBefore w:val="0"/>
        <w:kinsoku/>
        <w:wordWrap/>
        <w:overflowPunct/>
        <w:topLinePunct w:val="0"/>
        <w:bidi w:val="0"/>
        <w:adjustRightInd/>
        <w:snapToGrid/>
        <w:spacing w:line="360" w:lineRule="auto"/>
        <w:ind w:right="0"/>
        <w:rPr>
          <w:rFonts w:hint="eastAsia" w:ascii="宋体" w:hAnsi="宋体" w:eastAsia="宋体" w:cs="宋体"/>
          <w:b/>
          <w:color w:val="auto"/>
          <w:sz w:val="28"/>
          <w:szCs w:val="28"/>
          <w:lang w:eastAsia="zh-CN"/>
        </w:rPr>
      </w:pPr>
      <w:bookmarkStart w:id="450" w:name="_Toc21984"/>
      <w:bookmarkStart w:id="451" w:name="_Toc17387_WPSOffice_Level3"/>
      <w:bookmarkStart w:id="452" w:name="_Toc16098"/>
      <w:bookmarkStart w:id="453" w:name="_Toc22959_WPSOffice_Level3"/>
      <w:bookmarkStart w:id="454" w:name="_Toc13266"/>
      <w:r>
        <w:rPr>
          <w:rFonts w:hint="eastAsia" w:ascii="宋体" w:hAnsi="宋体" w:eastAsia="宋体" w:cs="宋体"/>
          <w:b/>
          <w:color w:val="auto"/>
          <w:sz w:val="28"/>
          <w:szCs w:val="28"/>
          <w:lang w:eastAsia="zh-CN"/>
        </w:rPr>
        <w:br w:type="page"/>
      </w:r>
    </w:p>
    <w:p w14:paraId="712FF426">
      <w:pPr>
        <w:keepNext w:val="0"/>
        <w:keepLines w:val="0"/>
        <w:pageBreakBefore w:val="0"/>
        <w:widowControl/>
        <w:kinsoku/>
        <w:wordWrap/>
        <w:overflowPunct/>
        <w:topLinePunct w:val="0"/>
        <w:bidi w:val="0"/>
        <w:adjustRightInd/>
        <w:snapToGrid/>
        <w:spacing w:line="360" w:lineRule="auto"/>
        <w:ind w:right="0"/>
        <w:outlineLvl w:val="1"/>
        <w:rPr>
          <w:rFonts w:hint="eastAsia" w:ascii="宋体" w:hAnsi="宋体" w:eastAsia="宋体" w:cs="宋体"/>
          <w:b/>
          <w:color w:val="auto"/>
          <w:sz w:val="28"/>
          <w:szCs w:val="28"/>
          <w:lang w:eastAsia="zh-CN"/>
        </w:rPr>
      </w:pPr>
      <w:bookmarkStart w:id="455" w:name="_Toc18071"/>
      <w:r>
        <w:rPr>
          <w:rFonts w:hint="eastAsia" w:ascii="宋体" w:hAnsi="宋体" w:eastAsia="宋体" w:cs="宋体"/>
          <w:b/>
          <w:color w:val="auto"/>
          <w:sz w:val="28"/>
          <w:szCs w:val="28"/>
          <w:lang w:eastAsia="zh-CN"/>
        </w:rPr>
        <w:t>附件8：</w:t>
      </w:r>
      <w:bookmarkEnd w:id="450"/>
      <w:r>
        <w:rPr>
          <w:rFonts w:hint="eastAsia" w:ascii="宋体" w:hAnsi="宋体" w:eastAsia="宋体" w:cs="宋体"/>
          <w:b/>
          <w:color w:val="auto"/>
          <w:sz w:val="28"/>
          <w:szCs w:val="28"/>
          <w:lang w:eastAsia="zh-CN"/>
        </w:rPr>
        <w:t>无重大违法记录声明</w:t>
      </w:r>
      <w:bookmarkEnd w:id="451"/>
      <w:bookmarkEnd w:id="452"/>
      <w:bookmarkEnd w:id="455"/>
    </w:p>
    <w:p w14:paraId="1835D6A7">
      <w:pPr>
        <w:keepNext w:val="0"/>
        <w:keepLines w:val="0"/>
        <w:pageBreakBefore w:val="0"/>
        <w:kinsoku/>
        <w:wordWrap/>
        <w:overflowPunct/>
        <w:topLinePunct w:val="0"/>
        <w:bidi w:val="0"/>
        <w:adjustRightInd/>
        <w:snapToGrid/>
        <w:spacing w:line="360" w:lineRule="auto"/>
        <w:ind w:right="0"/>
        <w:jc w:val="center"/>
        <w:outlineLvl w:val="9"/>
        <w:rPr>
          <w:rFonts w:hint="eastAsia" w:ascii="宋体" w:hAnsi="宋体" w:eastAsia="宋体" w:cs="宋体"/>
          <w:b/>
          <w:bCs/>
          <w:color w:val="auto"/>
          <w:sz w:val="24"/>
          <w:szCs w:val="24"/>
        </w:rPr>
      </w:pPr>
      <w:bookmarkStart w:id="456" w:name="_Toc25610_WPSOffice_Level3"/>
      <w:r>
        <w:rPr>
          <w:rFonts w:hint="eastAsia" w:ascii="宋体" w:hAnsi="宋体" w:eastAsia="宋体" w:cs="宋体"/>
          <w:b/>
          <w:color w:val="auto"/>
          <w:sz w:val="24"/>
          <w:szCs w:val="24"/>
          <w:lang w:val="zh-CN" w:eastAsia="zh-CN"/>
        </w:rPr>
        <w:t>无重大违法记录声明</w:t>
      </w:r>
      <w:bookmarkEnd w:id="456"/>
    </w:p>
    <w:p w14:paraId="23AAB698">
      <w:pPr>
        <w:keepNext w:val="0"/>
        <w:keepLines w:val="0"/>
        <w:pageBreakBefore w:val="0"/>
        <w:widowControl w:val="0"/>
        <w:kinsoku/>
        <w:wordWrap/>
        <w:overflowPunct/>
        <w:topLinePunct w:val="0"/>
        <w:bidi w:val="0"/>
        <w:adjustRightInd/>
        <w:snapToGrid/>
        <w:spacing w:line="360" w:lineRule="auto"/>
        <w:ind w:right="0"/>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致：</w:t>
      </w:r>
      <w:r>
        <w:rPr>
          <w:rFonts w:hint="eastAsia" w:ascii="宋体" w:hAnsi="宋体" w:eastAsia="宋体" w:cs="宋体"/>
          <w:b/>
          <w:bCs/>
          <w:color w:val="auto"/>
          <w:sz w:val="24"/>
          <w:szCs w:val="24"/>
          <w:u w:val="none"/>
          <w:lang w:eastAsia="zh-CN"/>
        </w:rPr>
        <w:t>青海鼎钊招标代理有限公司</w:t>
      </w:r>
    </w:p>
    <w:p w14:paraId="702CE774">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rPr>
        <w:t>我单位参加本次政府采购项目活动前三年内，在经营活动中无重大违法活动记录，符合《政府采购法》规定的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资格条</w:t>
      </w:r>
      <w:r>
        <w:rPr>
          <w:rFonts w:hint="eastAsia" w:ascii="宋体" w:hAnsi="宋体" w:eastAsia="宋体" w:cs="宋体"/>
          <w:color w:val="auto"/>
          <w:sz w:val="24"/>
          <w:szCs w:val="24"/>
          <w:shd w:val="clear" w:color="auto" w:fill="FFFFFF"/>
        </w:rPr>
        <w:t>件。我方对此声明负全部法律责任。</w:t>
      </w:r>
    </w:p>
    <w:p w14:paraId="6F3F1AFF">
      <w:pPr>
        <w:keepNext w:val="0"/>
        <w:keepLines w:val="0"/>
        <w:pageBreakBefore w:val="0"/>
        <w:widowControl w:val="0"/>
        <w:kinsoku/>
        <w:wordWrap/>
        <w:overflowPunct/>
        <w:topLinePunct w:val="0"/>
        <w:bidi w:val="0"/>
        <w:adjustRightInd/>
        <w:snapToGrid/>
        <w:spacing w:line="360" w:lineRule="auto"/>
        <w:ind w:right="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1A4E88F4">
      <w:pPr>
        <w:keepNext w:val="0"/>
        <w:keepLines w:val="0"/>
        <w:pageBreakBefore w:val="0"/>
        <w:widowControl w:val="0"/>
        <w:kinsoku/>
        <w:wordWrap/>
        <w:overflowPunct/>
        <w:topLinePunct w:val="0"/>
        <w:autoSpaceDE w:val="0"/>
        <w:autoSpaceDN w:val="0"/>
        <w:bidi w:val="0"/>
        <w:adjustRightInd/>
        <w:snapToGrid/>
        <w:spacing w:line="360" w:lineRule="auto"/>
        <w:ind w:right="0"/>
        <w:jc w:val="left"/>
        <w:textAlignment w:val="auto"/>
        <w:outlineLvl w:val="9"/>
        <w:rPr>
          <w:rFonts w:hint="eastAsia" w:ascii="宋体" w:hAnsi="宋体" w:eastAsia="宋体" w:cs="宋体"/>
          <w:color w:val="auto"/>
          <w:kern w:val="0"/>
          <w:sz w:val="24"/>
          <w:szCs w:val="24"/>
          <w:lang w:val="zh-CN"/>
        </w:rPr>
      </w:pPr>
    </w:p>
    <w:p w14:paraId="12EEBC9E">
      <w:pPr>
        <w:keepNext w:val="0"/>
        <w:keepLines w:val="0"/>
        <w:pageBreakBefore w:val="0"/>
        <w:widowControl w:val="0"/>
        <w:kinsoku/>
        <w:wordWrap/>
        <w:overflowPunct/>
        <w:topLinePunct w:val="0"/>
        <w:bidi w:val="0"/>
        <w:adjustRightInd/>
        <w:snapToGrid/>
        <w:spacing w:line="360" w:lineRule="auto"/>
        <w:ind w:right="0"/>
        <w:jc w:val="both"/>
        <w:textAlignment w:val="auto"/>
        <w:outlineLvl w:val="9"/>
        <w:rPr>
          <w:rFonts w:hint="eastAsia" w:ascii="宋体" w:hAnsi="宋体" w:eastAsia="宋体" w:cs="宋体"/>
          <w:b w:val="0"/>
          <w:bCs/>
          <w:color w:val="auto"/>
          <w:sz w:val="24"/>
          <w:szCs w:val="24"/>
          <w:lang w:val="en-US" w:eastAsia="zh-CN"/>
        </w:rPr>
      </w:pPr>
    </w:p>
    <w:p w14:paraId="7DFB2FD3">
      <w:pPr>
        <w:keepNext w:val="0"/>
        <w:keepLines w:val="0"/>
        <w:pageBreakBefore w:val="0"/>
        <w:widowControl w:val="0"/>
        <w:kinsoku/>
        <w:wordWrap/>
        <w:overflowPunct/>
        <w:topLinePunct w:val="0"/>
        <w:bidi w:val="0"/>
        <w:adjustRightInd/>
        <w:snapToGrid/>
        <w:spacing w:line="360" w:lineRule="auto"/>
        <w:ind w:right="0"/>
        <w:jc w:val="both"/>
        <w:textAlignment w:val="auto"/>
        <w:outlineLvl w:val="9"/>
        <w:rPr>
          <w:rFonts w:hint="eastAsia" w:ascii="宋体" w:hAnsi="宋体" w:eastAsia="宋体" w:cs="宋体"/>
          <w:b w:val="0"/>
          <w:bCs/>
          <w:color w:val="auto"/>
          <w:sz w:val="24"/>
          <w:szCs w:val="24"/>
          <w:lang w:val="en-US" w:eastAsia="zh-CN"/>
        </w:rPr>
      </w:pPr>
    </w:p>
    <w:p w14:paraId="148A2988">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eastAsia="zh-CN"/>
        </w:rPr>
        <w:t>单</w:t>
      </w:r>
      <w:r>
        <w:rPr>
          <w:rFonts w:hint="eastAsia" w:ascii="宋体" w:hAnsi="宋体" w:eastAsia="宋体" w:cs="宋体"/>
          <w:b/>
          <w:bCs w:val="0"/>
          <w:color w:val="auto"/>
          <w:sz w:val="24"/>
          <w:szCs w:val="24"/>
        </w:rPr>
        <w:t>位</w:t>
      </w:r>
      <w:r>
        <w:rPr>
          <w:rFonts w:hint="eastAsia" w:ascii="宋体" w:hAnsi="宋体" w:eastAsia="宋体" w:cs="宋体"/>
          <w:b/>
          <w:bCs w:val="0"/>
          <w:color w:val="auto"/>
          <w:sz w:val="24"/>
          <w:szCs w:val="24"/>
          <w:lang w:eastAsia="zh-CN"/>
        </w:rPr>
        <w:t>名称</w:t>
      </w: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rPr>
        <w:t>（公章）</w:t>
      </w:r>
    </w:p>
    <w:p w14:paraId="28DD0D48">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法定代表人或委托代理人：</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rPr>
        <w:t>（签字或盖章）</w:t>
      </w:r>
    </w:p>
    <w:p w14:paraId="5BACB279">
      <w:pPr>
        <w:keepNext w:val="0"/>
        <w:keepLines w:val="0"/>
        <w:pageBreakBefore w:val="0"/>
        <w:widowControl w:val="0"/>
        <w:kinsoku/>
        <w:wordWrap/>
        <w:overflowPunct/>
        <w:topLinePunct w:val="0"/>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 xml:space="preserve">年   月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 xml:space="preserve"> 日</w:t>
      </w:r>
    </w:p>
    <w:p w14:paraId="7F403B6C">
      <w:pPr>
        <w:keepNext w:val="0"/>
        <w:keepLines w:val="0"/>
        <w:pageBreakBefore w:val="0"/>
        <w:widowControl w:val="0"/>
        <w:kinsoku/>
        <w:wordWrap/>
        <w:overflowPunct/>
        <w:topLinePunct w:val="0"/>
        <w:bidi w:val="0"/>
        <w:adjustRightInd/>
        <w:snapToGrid/>
        <w:spacing w:line="360" w:lineRule="auto"/>
        <w:ind w:right="0"/>
        <w:jc w:val="both"/>
        <w:textAlignment w:val="auto"/>
        <w:outlineLvl w:val="9"/>
        <w:rPr>
          <w:rFonts w:hint="eastAsia" w:ascii="宋体" w:hAnsi="宋体" w:eastAsia="宋体" w:cs="宋体"/>
          <w:b/>
          <w:bCs w:val="0"/>
          <w:color w:val="auto"/>
          <w:sz w:val="24"/>
          <w:szCs w:val="24"/>
        </w:rPr>
      </w:pPr>
    </w:p>
    <w:p w14:paraId="61404AD6">
      <w:pPr>
        <w:keepNext w:val="0"/>
        <w:keepLines w:val="0"/>
        <w:pageBreakBefore w:val="0"/>
        <w:kinsoku/>
        <w:wordWrap/>
        <w:overflowPunct/>
        <w:topLinePunct w:val="0"/>
        <w:bidi w:val="0"/>
        <w:adjustRightInd/>
        <w:snapToGrid/>
        <w:spacing w:line="360" w:lineRule="auto"/>
        <w:ind w:right="0"/>
        <w:rPr>
          <w:rFonts w:hint="eastAsia" w:ascii="宋体" w:hAnsi="宋体" w:eastAsia="宋体" w:cs="宋体"/>
          <w:b/>
          <w:color w:val="auto"/>
          <w:sz w:val="24"/>
          <w:szCs w:val="24"/>
          <w:lang w:eastAsia="zh-CN"/>
        </w:rPr>
      </w:pPr>
      <w:bookmarkStart w:id="457" w:name="_Toc24810"/>
      <w:bookmarkStart w:id="458" w:name="_Toc132_WPSOffice_Level3"/>
      <w:r>
        <w:rPr>
          <w:rFonts w:hint="eastAsia" w:ascii="宋体" w:hAnsi="宋体" w:eastAsia="宋体" w:cs="宋体"/>
          <w:b/>
          <w:color w:val="auto"/>
          <w:sz w:val="24"/>
          <w:szCs w:val="24"/>
          <w:lang w:eastAsia="zh-CN"/>
        </w:rPr>
        <w:br w:type="page"/>
      </w:r>
    </w:p>
    <w:p w14:paraId="7D4CE025">
      <w:pPr>
        <w:keepNext w:val="0"/>
        <w:keepLines w:val="0"/>
        <w:pageBreakBefore w:val="0"/>
        <w:widowControl/>
        <w:kinsoku/>
        <w:wordWrap/>
        <w:overflowPunct/>
        <w:topLinePunct w:val="0"/>
        <w:bidi w:val="0"/>
        <w:adjustRightInd/>
        <w:snapToGrid/>
        <w:spacing w:line="360" w:lineRule="auto"/>
        <w:ind w:right="0"/>
        <w:outlineLvl w:val="1"/>
        <w:rPr>
          <w:rFonts w:hint="eastAsia" w:ascii="宋体" w:hAnsi="宋体" w:eastAsia="宋体" w:cs="宋体"/>
          <w:color w:val="auto"/>
          <w:sz w:val="24"/>
          <w:szCs w:val="24"/>
          <w:lang w:val="zh-CN"/>
        </w:rPr>
      </w:pPr>
      <w:bookmarkStart w:id="459" w:name="_Toc20715"/>
      <w:r>
        <w:rPr>
          <w:rFonts w:hint="eastAsia" w:ascii="宋体" w:hAnsi="宋体" w:eastAsia="宋体" w:cs="宋体"/>
          <w:b/>
          <w:bCs w:val="0"/>
          <w:color w:val="auto"/>
          <w:kern w:val="2"/>
          <w:sz w:val="28"/>
          <w:szCs w:val="28"/>
          <w:lang w:val="en-US" w:eastAsia="zh-CN" w:bidi="ar-SA"/>
        </w:rPr>
        <w:t>附件9：谈判</w:t>
      </w:r>
      <w:r>
        <w:rPr>
          <w:rFonts w:hint="eastAsia" w:ascii="宋体" w:hAnsi="宋体" w:eastAsia="宋体" w:cs="宋体"/>
          <w:b/>
          <w:bCs w:val="0"/>
          <w:color w:val="auto"/>
          <w:kern w:val="2"/>
          <w:sz w:val="28"/>
          <w:szCs w:val="28"/>
          <w:lang w:val="zh-CN" w:eastAsia="zh-CN" w:bidi="ar-SA"/>
        </w:rPr>
        <w:t>保证金证明</w:t>
      </w:r>
      <w:bookmarkEnd w:id="453"/>
      <w:bookmarkEnd w:id="454"/>
      <w:bookmarkEnd w:id="457"/>
      <w:bookmarkEnd w:id="458"/>
      <w:bookmarkEnd w:id="459"/>
    </w:p>
    <w:p w14:paraId="71F1DCFA">
      <w:pPr>
        <w:keepNext w:val="0"/>
        <w:keepLines w:val="0"/>
        <w:pageBreakBefore w:val="0"/>
        <w:kinsoku/>
        <w:wordWrap/>
        <w:overflowPunct/>
        <w:topLinePunct w:val="0"/>
        <w:bidi w:val="0"/>
        <w:adjustRightInd/>
        <w:snapToGrid/>
        <w:spacing w:line="360" w:lineRule="auto"/>
        <w:ind w:right="0"/>
        <w:jc w:val="center"/>
        <w:outlineLvl w:val="9"/>
        <w:rPr>
          <w:rFonts w:hint="eastAsia" w:ascii="宋体" w:hAnsi="宋体" w:eastAsia="宋体" w:cs="宋体"/>
          <w:b/>
          <w:bCs/>
          <w:color w:val="auto"/>
          <w:kern w:val="0"/>
          <w:sz w:val="24"/>
          <w:szCs w:val="24"/>
          <w:lang w:val="zh-CN"/>
        </w:rPr>
      </w:pPr>
      <w:bookmarkStart w:id="460" w:name="_Toc27502_WPSOffice_Level3"/>
      <w:r>
        <w:rPr>
          <w:rFonts w:hint="eastAsia" w:ascii="宋体" w:hAnsi="宋体" w:eastAsia="宋体" w:cs="宋体"/>
          <w:b/>
          <w:color w:val="auto"/>
          <w:sz w:val="24"/>
          <w:szCs w:val="24"/>
          <w:lang w:val="zh-CN" w:eastAsia="zh-CN"/>
        </w:rPr>
        <w:t>谈判保证金证明</w:t>
      </w:r>
      <w:bookmarkEnd w:id="460"/>
    </w:p>
    <w:p w14:paraId="7085C815">
      <w:pPr>
        <w:spacing w:line="360" w:lineRule="auto"/>
        <w:ind w:firstLine="0" w:firstLineChars="0"/>
        <w:rPr>
          <w:rFonts w:hint="eastAsia" w:ascii="宋体" w:hAnsi="宋体" w:eastAsia="宋体" w:cs="宋体"/>
          <w:b/>
          <w:color w:val="auto"/>
          <w:sz w:val="24"/>
          <w:szCs w:val="24"/>
        </w:rPr>
      </w:pPr>
    </w:p>
    <w:p w14:paraId="4D157FFC">
      <w:pPr>
        <w:keepNext w:val="0"/>
        <w:keepLines w:val="0"/>
        <w:pageBreakBefore w:val="0"/>
        <w:widowControl w:val="0"/>
        <w:kinsoku/>
        <w:wordWrap/>
        <w:overflowPunct/>
        <w:topLinePunct w:val="0"/>
        <w:bidi w:val="0"/>
        <w:adjustRightInd/>
        <w:snapToGrid/>
        <w:spacing w:line="360" w:lineRule="auto"/>
        <w:ind w:right="0" w:firstLine="480" w:firstLineChars="200"/>
        <w:jc w:val="center"/>
        <w:textAlignment w:val="auto"/>
        <w:outlineLvl w:val="9"/>
        <w:rPr>
          <w:rFonts w:hint="eastAsia" w:ascii="宋体" w:hAnsi="宋体" w:eastAsia="宋体" w:cs="宋体"/>
          <w:b/>
          <w:bCs/>
          <w:color w:val="auto"/>
          <w:sz w:val="24"/>
          <w:szCs w:val="24"/>
        </w:rPr>
      </w:pPr>
      <w:r>
        <w:rPr>
          <w:rFonts w:hint="eastAsia" w:ascii="宋体" w:hAnsi="宋体" w:eastAsia="宋体" w:cs="宋体"/>
          <w:bCs/>
          <w:color w:val="auto"/>
          <w:sz w:val="24"/>
          <w:szCs w:val="24"/>
          <w:lang w:val="en-US" w:eastAsia="zh-CN"/>
        </w:rPr>
        <w:t>附</w:t>
      </w:r>
      <w:r>
        <w:rPr>
          <w:rFonts w:hint="eastAsia" w:ascii="宋体" w:hAnsi="宋体" w:eastAsia="宋体" w:cs="宋体"/>
          <w:bCs/>
          <w:color w:val="auto"/>
          <w:sz w:val="24"/>
          <w:szCs w:val="24"/>
        </w:rPr>
        <w:t>银行开具的针对本项目投标的</w:t>
      </w:r>
      <w:r>
        <w:rPr>
          <w:rFonts w:hint="eastAsia" w:ascii="宋体" w:hAnsi="宋体" w:eastAsia="宋体" w:cs="宋体"/>
          <w:bCs/>
          <w:color w:val="auto"/>
          <w:sz w:val="24"/>
          <w:szCs w:val="24"/>
          <w:lang w:eastAsia="zh-CN"/>
        </w:rPr>
        <w:t>谈判</w:t>
      </w:r>
      <w:r>
        <w:rPr>
          <w:rFonts w:hint="eastAsia" w:ascii="宋体" w:hAnsi="宋体" w:eastAsia="宋体" w:cs="宋体"/>
          <w:bCs/>
          <w:color w:val="auto"/>
          <w:sz w:val="24"/>
          <w:szCs w:val="24"/>
        </w:rPr>
        <w:t>保证金交款证明扫描件。</w:t>
      </w:r>
    </w:p>
    <w:p w14:paraId="1B8BD8E1">
      <w:pPr>
        <w:keepNext w:val="0"/>
        <w:keepLines w:val="0"/>
        <w:pageBreakBefore w:val="0"/>
        <w:kinsoku/>
        <w:wordWrap/>
        <w:overflowPunct/>
        <w:topLinePunct w:val="0"/>
        <w:autoSpaceDE w:val="0"/>
        <w:autoSpaceDN w:val="0"/>
        <w:bidi w:val="0"/>
        <w:adjustRightInd/>
        <w:snapToGrid/>
        <w:spacing w:line="360" w:lineRule="auto"/>
        <w:ind w:right="0"/>
        <w:outlineLvl w:val="9"/>
        <w:rPr>
          <w:rFonts w:hint="eastAsia" w:ascii="宋体" w:hAnsi="宋体" w:eastAsia="宋体" w:cs="宋体"/>
          <w:b/>
          <w:bCs/>
          <w:color w:val="auto"/>
          <w:kern w:val="0"/>
          <w:lang w:val="zh-CN"/>
        </w:rPr>
      </w:pPr>
    </w:p>
    <w:p w14:paraId="1FB003FE">
      <w:pPr>
        <w:keepNext w:val="0"/>
        <w:keepLines w:val="0"/>
        <w:pageBreakBefore w:val="0"/>
        <w:widowControl w:val="0"/>
        <w:kinsoku/>
        <w:wordWrap/>
        <w:overflowPunct/>
        <w:topLinePunct w:val="0"/>
        <w:autoSpaceDE/>
        <w:autoSpaceDN/>
        <w:bidi w:val="0"/>
        <w:adjustRightInd/>
        <w:snapToGrid/>
        <w:spacing w:before="157" w:beforeLines="50" w:line="560" w:lineRule="exact"/>
        <w:ind w:firstLine="0" w:firstLineChars="0"/>
        <w:jc w:val="center"/>
        <w:textAlignment w:val="auto"/>
        <w:outlineLvl w:val="9"/>
        <w:rPr>
          <w:rFonts w:hint="eastAsia" w:ascii="宋体" w:hAnsi="宋体" w:eastAsia="宋体" w:cs="宋体"/>
          <w:b/>
          <w:color w:val="auto"/>
          <w:sz w:val="44"/>
          <w:szCs w:val="44"/>
        </w:rPr>
      </w:pPr>
      <w:r>
        <w:rPr>
          <w:rFonts w:hint="eastAsia" w:ascii="宋体" w:hAnsi="宋体" w:eastAsia="宋体" w:cs="宋体"/>
          <w:b/>
          <w:bCs/>
          <w:color w:val="auto"/>
          <w:kern w:val="0"/>
          <w:lang w:val="zh-CN"/>
        </w:rPr>
        <w:br w:type="page"/>
      </w:r>
      <w:bookmarkStart w:id="461" w:name="_Toc24560_WPSOffice_Level2"/>
      <w:bookmarkStart w:id="462" w:name="_Toc20688_WPSOffice_Level2"/>
      <w:r>
        <w:rPr>
          <w:rFonts w:hint="eastAsia" w:ascii="宋体" w:hAnsi="宋体" w:eastAsia="宋体" w:cs="宋体"/>
          <w:b/>
          <w:color w:val="auto"/>
          <w:sz w:val="44"/>
          <w:szCs w:val="44"/>
        </w:rPr>
        <w:t>青海省政府采购项目</w:t>
      </w:r>
      <w:bookmarkEnd w:id="461"/>
      <w:bookmarkEnd w:id="462"/>
    </w:p>
    <w:p w14:paraId="43B9ED67">
      <w:pPr>
        <w:keepNext w:val="0"/>
        <w:keepLines w:val="0"/>
        <w:pageBreakBefore w:val="0"/>
        <w:widowControl w:val="0"/>
        <w:kinsoku/>
        <w:wordWrap/>
        <w:overflowPunct/>
        <w:topLinePunct w:val="0"/>
        <w:autoSpaceDE/>
        <w:autoSpaceDN/>
        <w:bidi w:val="0"/>
        <w:adjustRightInd/>
        <w:snapToGrid/>
        <w:spacing w:before="157" w:beforeLines="50" w:line="560" w:lineRule="exact"/>
        <w:ind w:firstLine="0" w:firstLineChars="0"/>
        <w:jc w:val="center"/>
        <w:textAlignment w:val="auto"/>
        <w:outlineLvl w:val="9"/>
        <w:rPr>
          <w:rFonts w:hint="eastAsia" w:ascii="宋体" w:hAnsi="宋体" w:eastAsia="宋体" w:cs="宋体"/>
          <w:b/>
          <w:color w:val="auto"/>
          <w:sz w:val="44"/>
          <w:szCs w:val="44"/>
          <w:lang w:eastAsia="zh-CN"/>
        </w:rPr>
      </w:pPr>
      <w:r>
        <w:rPr>
          <w:rFonts w:hint="eastAsia" w:ascii="宋体" w:hAnsi="宋体" w:eastAsia="宋体" w:cs="宋体"/>
          <w:b/>
          <w:color w:val="auto"/>
          <w:sz w:val="44"/>
          <w:szCs w:val="44"/>
          <w:lang w:eastAsia="zh-CN"/>
        </w:rPr>
        <w:t>响应文件</w:t>
      </w:r>
    </w:p>
    <w:p w14:paraId="01DCA908">
      <w:pPr>
        <w:wordWrap/>
        <w:adjustRightInd w:val="0"/>
        <w:spacing w:before="157" w:beforeLines="50" w:line="560" w:lineRule="exact"/>
        <w:jc w:val="center"/>
        <w:textAlignment w:val="baseline"/>
        <w:outlineLvl w:val="9"/>
        <w:rPr>
          <w:rFonts w:hint="eastAsia" w:ascii="宋体" w:hAnsi="宋体" w:eastAsia="宋体" w:cs="宋体"/>
          <w:b/>
          <w:bCs/>
          <w:color w:val="auto"/>
          <w:sz w:val="32"/>
          <w:szCs w:val="32"/>
        </w:rPr>
      </w:pPr>
      <w:bookmarkStart w:id="463" w:name="_Toc24224_WPSOffice_Level2"/>
      <w:bookmarkStart w:id="464" w:name="_Toc5068_WPSOffice_Level2"/>
      <w:r>
        <w:rPr>
          <w:rFonts w:hint="eastAsia" w:ascii="宋体" w:hAnsi="宋体" w:eastAsia="宋体" w:cs="宋体"/>
          <w:b/>
          <w:bCs/>
          <w:color w:val="auto"/>
          <w:sz w:val="32"/>
          <w:szCs w:val="32"/>
        </w:rPr>
        <w:t>（</w:t>
      </w:r>
      <w:r>
        <w:rPr>
          <w:rFonts w:hint="eastAsia" w:ascii="宋体" w:hAnsi="宋体" w:eastAsia="宋体" w:cs="宋体"/>
          <w:b w:val="0"/>
          <w:bCs w:val="0"/>
          <w:color w:val="auto"/>
          <w:kern w:val="2"/>
          <w:sz w:val="32"/>
          <w:szCs w:val="32"/>
          <w:lang w:val="en-US" w:eastAsia="zh-CN" w:bidi="ar-SA"/>
        </w:rPr>
        <w:t>有效性、完整性、响应程度审查部分</w:t>
      </w:r>
      <w:r>
        <w:rPr>
          <w:rFonts w:hint="eastAsia" w:ascii="宋体" w:hAnsi="宋体" w:eastAsia="宋体" w:cs="宋体"/>
          <w:b/>
          <w:bCs/>
          <w:color w:val="auto"/>
          <w:sz w:val="32"/>
          <w:szCs w:val="32"/>
        </w:rPr>
        <w:t>）</w:t>
      </w:r>
      <w:bookmarkEnd w:id="463"/>
      <w:bookmarkEnd w:id="464"/>
    </w:p>
    <w:p w14:paraId="5270435B">
      <w:pPr>
        <w:wordWrap/>
        <w:adjustRightInd w:val="0"/>
        <w:spacing w:before="157" w:beforeLines="50" w:line="560" w:lineRule="exact"/>
        <w:textAlignment w:val="baseline"/>
        <w:outlineLvl w:val="9"/>
        <w:rPr>
          <w:rFonts w:hint="eastAsia" w:ascii="宋体" w:hAnsi="宋体" w:eastAsia="宋体" w:cs="宋体"/>
          <w:b/>
          <w:bCs/>
          <w:color w:val="auto"/>
          <w:sz w:val="32"/>
          <w:szCs w:val="32"/>
        </w:rPr>
      </w:pPr>
    </w:p>
    <w:p w14:paraId="682F9219">
      <w:pPr>
        <w:wordWrap/>
        <w:adjustRightInd w:val="0"/>
        <w:spacing w:before="157" w:beforeLines="50" w:line="560" w:lineRule="exact"/>
        <w:textAlignment w:val="baseline"/>
        <w:outlineLvl w:val="9"/>
        <w:rPr>
          <w:rFonts w:hint="eastAsia" w:ascii="宋体" w:hAnsi="宋体" w:eastAsia="宋体" w:cs="宋体"/>
          <w:b/>
          <w:bCs/>
          <w:color w:val="auto"/>
          <w:sz w:val="32"/>
          <w:szCs w:val="32"/>
        </w:rPr>
      </w:pPr>
    </w:p>
    <w:p w14:paraId="0D08C4CA">
      <w:pPr>
        <w:wordWrap/>
        <w:adjustRightInd w:val="0"/>
        <w:spacing w:before="157" w:beforeLines="50" w:line="560" w:lineRule="exact"/>
        <w:textAlignment w:val="baseline"/>
        <w:outlineLvl w:val="9"/>
        <w:rPr>
          <w:rFonts w:hint="eastAsia" w:ascii="宋体" w:hAnsi="宋体" w:eastAsia="宋体" w:cs="宋体"/>
          <w:b/>
          <w:bCs/>
          <w:color w:val="auto"/>
          <w:sz w:val="32"/>
          <w:szCs w:val="32"/>
        </w:rPr>
      </w:pPr>
    </w:p>
    <w:p w14:paraId="3A0CB650">
      <w:pPr>
        <w:wordWrap/>
        <w:adjustRightInd w:val="0"/>
        <w:spacing w:before="157" w:beforeLines="50" w:line="560" w:lineRule="exact"/>
        <w:textAlignment w:val="baseline"/>
        <w:outlineLvl w:val="9"/>
        <w:rPr>
          <w:rFonts w:hint="eastAsia" w:ascii="宋体" w:hAnsi="宋体" w:eastAsia="宋体" w:cs="宋体"/>
          <w:b/>
          <w:bCs/>
          <w:color w:val="auto"/>
          <w:sz w:val="32"/>
          <w:szCs w:val="32"/>
          <w:lang w:eastAsia="zh-CN"/>
        </w:rPr>
      </w:pPr>
      <w:bookmarkStart w:id="465" w:name="_Toc16258_WPSOffice_Level2"/>
      <w:bookmarkStart w:id="466" w:name="_Toc14028_WPSOffice_Level2"/>
      <w:r>
        <w:rPr>
          <w:rFonts w:hint="eastAsia" w:ascii="宋体" w:hAnsi="宋体" w:eastAsia="宋体" w:cs="宋体"/>
          <w:b/>
          <w:bCs/>
          <w:color w:val="auto"/>
          <w:sz w:val="32"/>
          <w:szCs w:val="32"/>
        </w:rPr>
        <w:t>采购项目编号:</w:t>
      </w:r>
      <w:bookmarkEnd w:id="465"/>
      <w:bookmarkEnd w:id="466"/>
    </w:p>
    <w:p w14:paraId="081A68A1">
      <w:pPr>
        <w:wordWrap/>
        <w:spacing w:before="157" w:beforeLines="50" w:line="560" w:lineRule="exact"/>
        <w:ind w:left="2530" w:hanging="2249" w:hangingChars="700"/>
        <w:jc w:val="left"/>
        <w:outlineLvl w:val="9"/>
        <w:rPr>
          <w:rFonts w:hint="eastAsia" w:ascii="宋体" w:hAnsi="宋体" w:eastAsia="宋体" w:cs="宋体"/>
          <w:b/>
          <w:bCs/>
          <w:color w:val="auto"/>
          <w:sz w:val="32"/>
          <w:szCs w:val="32"/>
        </w:rPr>
      </w:pPr>
      <w:bookmarkStart w:id="467" w:name="_Toc173_WPSOffice_Level2"/>
      <w:bookmarkStart w:id="468" w:name="_Toc25982_WPSOffice_Level2"/>
      <w:r>
        <w:rPr>
          <w:rFonts w:hint="eastAsia" w:ascii="宋体" w:hAnsi="宋体" w:eastAsia="宋体" w:cs="宋体"/>
          <w:b/>
          <w:bCs/>
          <w:color w:val="auto"/>
          <w:sz w:val="32"/>
          <w:szCs w:val="32"/>
        </w:rPr>
        <w:t>采购项目名称:</w:t>
      </w:r>
      <w:bookmarkEnd w:id="467"/>
      <w:bookmarkEnd w:id="468"/>
    </w:p>
    <w:p w14:paraId="352F6E2B">
      <w:pPr>
        <w:wordWrap/>
        <w:spacing w:before="157" w:beforeLines="50" w:line="560" w:lineRule="exact"/>
        <w:ind w:left="2530" w:hanging="2249" w:hangingChars="700"/>
        <w:jc w:val="left"/>
        <w:outlineLvl w:val="9"/>
        <w:rPr>
          <w:rFonts w:hint="eastAsia" w:ascii="宋体" w:hAnsi="宋体" w:eastAsia="宋体" w:cs="宋体"/>
          <w:b/>
          <w:bCs/>
          <w:color w:val="auto"/>
          <w:sz w:val="32"/>
          <w:szCs w:val="32"/>
          <w:lang w:eastAsia="zh-CN"/>
        </w:rPr>
      </w:pPr>
      <w:bookmarkStart w:id="469" w:name="_Toc24014_WPSOffice_Level2"/>
      <w:bookmarkStart w:id="470" w:name="_Toc19360_WPSOffice_Level2"/>
      <w:r>
        <w:rPr>
          <w:rFonts w:hint="eastAsia" w:ascii="宋体" w:hAnsi="宋体" w:eastAsia="宋体" w:cs="宋体"/>
          <w:b/>
          <w:bCs/>
          <w:color w:val="auto"/>
          <w:sz w:val="32"/>
          <w:szCs w:val="32"/>
          <w:lang w:eastAsia="zh-CN"/>
        </w:rPr>
        <w:t>供应商名称：</w:t>
      </w:r>
      <w:bookmarkEnd w:id="469"/>
      <w:bookmarkEnd w:id="470"/>
    </w:p>
    <w:p w14:paraId="278E3018">
      <w:pPr>
        <w:wordWrap/>
        <w:spacing w:before="157" w:beforeLines="50" w:line="560" w:lineRule="exact"/>
        <w:jc w:val="center"/>
        <w:outlineLvl w:val="9"/>
        <w:rPr>
          <w:rFonts w:hint="eastAsia" w:ascii="宋体" w:hAnsi="宋体" w:eastAsia="宋体" w:cs="宋体"/>
          <w:b/>
          <w:bCs/>
          <w:color w:val="auto"/>
          <w:sz w:val="32"/>
          <w:szCs w:val="32"/>
        </w:rPr>
      </w:pPr>
    </w:p>
    <w:p w14:paraId="63E9B348">
      <w:pPr>
        <w:wordWrap/>
        <w:spacing w:before="157" w:beforeLines="50" w:line="560" w:lineRule="exact"/>
        <w:jc w:val="center"/>
        <w:outlineLvl w:val="9"/>
        <w:rPr>
          <w:rFonts w:hint="eastAsia" w:ascii="宋体" w:hAnsi="宋体" w:eastAsia="宋体" w:cs="宋体"/>
          <w:b/>
          <w:color w:val="auto"/>
          <w:sz w:val="32"/>
          <w:szCs w:val="32"/>
        </w:rPr>
      </w:pPr>
      <w:bookmarkStart w:id="471" w:name="_Toc17697_WPSOffice_Level3"/>
      <w:r>
        <w:rPr>
          <w:rFonts w:hint="eastAsia" w:ascii="宋体" w:hAnsi="宋体" w:eastAsia="宋体" w:cs="宋体"/>
          <w:b/>
          <w:color w:val="auto"/>
          <w:sz w:val="32"/>
          <w:szCs w:val="32"/>
        </w:rPr>
        <w:t>年  月  日</w:t>
      </w:r>
      <w:bookmarkEnd w:id="471"/>
    </w:p>
    <w:p w14:paraId="58E4BE47">
      <w:pPr>
        <w:widowControl/>
        <w:wordWrap/>
        <w:snapToGrid w:val="0"/>
        <w:spacing w:before="157" w:beforeLines="50" w:line="560" w:lineRule="exact"/>
        <w:outlineLvl w:val="9"/>
        <w:rPr>
          <w:rFonts w:hint="eastAsia" w:ascii="宋体" w:hAnsi="宋体" w:eastAsia="宋体" w:cs="宋体"/>
          <w:b/>
          <w:color w:val="auto"/>
          <w:sz w:val="28"/>
          <w:szCs w:val="28"/>
        </w:rPr>
      </w:pPr>
    </w:p>
    <w:p w14:paraId="22A81E70">
      <w:pPr>
        <w:rPr>
          <w:rFonts w:hint="eastAsia" w:ascii="宋体" w:hAnsi="宋体" w:eastAsia="宋体" w:cs="宋体"/>
          <w:color w:val="auto"/>
        </w:rPr>
      </w:pPr>
      <w:r>
        <w:rPr>
          <w:rFonts w:hint="eastAsia" w:ascii="宋体" w:hAnsi="宋体" w:eastAsia="宋体" w:cs="宋体"/>
          <w:color w:val="auto"/>
          <w:kern w:val="0"/>
          <w:lang w:val="zh-CN"/>
        </w:rPr>
        <w:br w:type="page"/>
      </w:r>
    </w:p>
    <w:p w14:paraId="356A96F8">
      <w:pPr>
        <w:keepNext w:val="0"/>
        <w:keepLines w:val="0"/>
        <w:pageBreakBefore w:val="0"/>
        <w:widowControl/>
        <w:kinsoku/>
        <w:wordWrap/>
        <w:overflowPunct/>
        <w:topLinePunct w:val="0"/>
        <w:bidi w:val="0"/>
        <w:adjustRightInd/>
        <w:snapToGrid/>
        <w:spacing w:line="360" w:lineRule="auto"/>
        <w:ind w:left="0" w:leftChars="0"/>
        <w:outlineLvl w:val="1"/>
        <w:rPr>
          <w:rFonts w:hint="eastAsia" w:ascii="宋体" w:hAnsi="宋体" w:eastAsia="宋体" w:cs="宋体"/>
          <w:b/>
          <w:color w:val="auto"/>
          <w:sz w:val="24"/>
          <w:szCs w:val="24"/>
        </w:rPr>
      </w:pPr>
      <w:bookmarkStart w:id="472" w:name="_Toc3360"/>
      <w:bookmarkStart w:id="473" w:name="_Toc2646_WPSOffice_Level3"/>
      <w:bookmarkStart w:id="474" w:name="_Toc13416_WPSOffice_Level3"/>
      <w:bookmarkStart w:id="475" w:name="_Toc28116"/>
      <w:bookmarkStart w:id="476" w:name="_Toc8794"/>
      <w:bookmarkStart w:id="477" w:name="_Toc18715"/>
      <w:r>
        <w:rPr>
          <w:rFonts w:hint="eastAsia" w:ascii="宋体" w:hAnsi="宋体" w:eastAsia="宋体" w:cs="宋体"/>
          <w:b/>
          <w:bCs w:val="0"/>
          <w:color w:val="auto"/>
          <w:kern w:val="2"/>
          <w:sz w:val="24"/>
          <w:szCs w:val="24"/>
          <w:lang w:val="en-US" w:eastAsia="zh-CN" w:bidi="ar-SA"/>
        </w:rPr>
        <w:t>附件10：谈判首次报价表</w:t>
      </w:r>
      <w:bookmarkEnd w:id="472"/>
      <w:bookmarkEnd w:id="473"/>
      <w:bookmarkEnd w:id="474"/>
      <w:bookmarkEnd w:id="475"/>
      <w:bookmarkEnd w:id="476"/>
      <w:bookmarkEnd w:id="477"/>
    </w:p>
    <w:p w14:paraId="1235F86F">
      <w:pPr>
        <w:keepNext w:val="0"/>
        <w:keepLines w:val="0"/>
        <w:pageBreakBefore w:val="0"/>
        <w:kinsoku/>
        <w:wordWrap/>
        <w:overflowPunct/>
        <w:topLinePunct w:val="0"/>
        <w:bidi w:val="0"/>
        <w:adjustRightInd/>
        <w:snapToGrid/>
        <w:spacing w:line="360" w:lineRule="auto"/>
        <w:ind w:left="0" w:leftChars="0"/>
        <w:jc w:val="center"/>
        <w:outlineLvl w:val="9"/>
        <w:rPr>
          <w:rFonts w:hint="eastAsia" w:ascii="宋体" w:hAnsi="宋体" w:eastAsia="宋体" w:cs="宋体"/>
          <w:b/>
          <w:color w:val="auto"/>
          <w:sz w:val="24"/>
          <w:szCs w:val="24"/>
        </w:rPr>
      </w:pPr>
      <w:bookmarkStart w:id="478" w:name="_Toc8724_WPSOffice_Level1"/>
      <w:bookmarkStart w:id="479" w:name="_Toc17322_WPSOffice_Level1"/>
      <w:bookmarkStart w:id="480" w:name="_Toc17115_WPSOffice_Level3"/>
      <w:r>
        <w:rPr>
          <w:rFonts w:hint="eastAsia" w:ascii="宋体" w:hAnsi="宋体" w:eastAsia="宋体" w:cs="宋体"/>
          <w:b/>
          <w:color w:val="auto"/>
          <w:sz w:val="24"/>
          <w:szCs w:val="24"/>
          <w:lang w:val="zh-CN" w:eastAsia="zh-CN"/>
        </w:rPr>
        <w:t>谈判首次报价表</w:t>
      </w:r>
      <w:bookmarkEnd w:id="478"/>
      <w:bookmarkEnd w:id="479"/>
      <w:bookmarkEnd w:id="480"/>
    </w:p>
    <w:p w14:paraId="4F65FD34">
      <w:pPr>
        <w:keepNext w:val="0"/>
        <w:keepLines w:val="0"/>
        <w:pageBreakBefore w:val="0"/>
        <w:widowControl w:val="0"/>
        <w:kinsoku/>
        <w:wordWrap/>
        <w:overflowPunct/>
        <w:topLinePunct w:val="0"/>
        <w:bidi w:val="0"/>
        <w:adjustRightInd/>
        <w:snapToGrid/>
        <w:spacing w:line="360" w:lineRule="auto"/>
        <w:ind w:left="0" w:leftChars="0"/>
        <w:jc w:val="center"/>
        <w:outlineLvl w:val="9"/>
        <w:rPr>
          <w:rFonts w:hint="eastAsia" w:ascii="宋体" w:hAnsi="宋体" w:eastAsia="宋体" w:cs="宋体"/>
          <w:b w:val="0"/>
          <w:bCs/>
          <w:color w:val="auto"/>
          <w:sz w:val="24"/>
          <w:szCs w:val="24"/>
        </w:rPr>
      </w:pPr>
    </w:p>
    <w:p w14:paraId="58CAF8CC">
      <w:pPr>
        <w:spacing w:line="400" w:lineRule="exact"/>
        <w:ind w:firstLine="0" w:firstLineChars="0"/>
        <w:rPr>
          <w:rFonts w:hint="eastAsia" w:ascii="宋体" w:hAnsi="宋体" w:eastAsia="宋体" w:cs="宋体"/>
          <w:b/>
          <w:color w:val="auto"/>
          <w:sz w:val="24"/>
        </w:rPr>
      </w:pPr>
      <w:r>
        <w:rPr>
          <w:rFonts w:hint="eastAsia" w:ascii="宋体" w:hAnsi="宋体" w:eastAsia="宋体" w:cs="宋体"/>
          <w:b/>
          <w:color w:val="auto"/>
          <w:sz w:val="24"/>
        </w:rPr>
        <w:t>供应商名称：</w:t>
      </w:r>
    </w:p>
    <w:p w14:paraId="01B9E4D2">
      <w:pPr>
        <w:spacing w:line="400" w:lineRule="exact"/>
        <w:ind w:firstLine="0" w:firstLineChars="0"/>
        <w:jc w:val="both"/>
        <w:rPr>
          <w:rFonts w:hint="eastAsia" w:ascii="宋体" w:hAnsi="宋体" w:eastAsia="宋体" w:cs="宋体"/>
          <w:b/>
          <w:color w:val="auto"/>
          <w:sz w:val="24"/>
        </w:rPr>
      </w:pPr>
      <w:r>
        <w:rPr>
          <w:rFonts w:hint="eastAsia" w:ascii="宋体" w:hAnsi="宋体" w:eastAsia="宋体" w:cs="宋体"/>
          <w:color w:val="auto"/>
          <w:sz w:val="24"/>
          <w:lang w:val="en-US" w:eastAsia="zh-CN"/>
        </w:rPr>
        <w:t>谈判</w:t>
      </w:r>
      <w:r>
        <w:rPr>
          <w:rFonts w:hint="eastAsia" w:ascii="宋体" w:hAnsi="宋体" w:eastAsia="宋体" w:cs="宋体"/>
          <w:color w:val="auto"/>
          <w:sz w:val="24"/>
        </w:rPr>
        <w:t>日期</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年</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月</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日</w:t>
      </w:r>
    </w:p>
    <w:tbl>
      <w:tblPr>
        <w:tblStyle w:val="20"/>
        <w:tblW w:w="9351"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53"/>
        <w:gridCol w:w="1778"/>
        <w:gridCol w:w="1170"/>
        <w:gridCol w:w="2434"/>
      </w:tblGrid>
      <w:tr w14:paraId="72224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916" w:type="dxa"/>
            <w:noWrap w:val="0"/>
            <w:vAlign w:val="center"/>
          </w:tcPr>
          <w:p w14:paraId="728605E5">
            <w:pPr>
              <w:spacing w:line="240" w:lineRule="auto"/>
              <w:ind w:firstLine="0" w:firstLineChars="0"/>
              <w:jc w:val="center"/>
              <w:rPr>
                <w:rFonts w:hint="eastAsia" w:ascii="宋体" w:hAnsi="宋体" w:eastAsia="宋体" w:cs="宋体"/>
                <w:bCs/>
                <w:color w:val="auto"/>
                <w:sz w:val="24"/>
              </w:rPr>
            </w:pPr>
            <w:r>
              <w:rPr>
                <w:rFonts w:hint="eastAsia" w:ascii="宋体" w:hAnsi="宋体" w:eastAsia="宋体" w:cs="宋体"/>
                <w:bCs/>
                <w:color w:val="auto"/>
                <w:sz w:val="24"/>
              </w:rPr>
              <w:t>序号</w:t>
            </w:r>
          </w:p>
        </w:tc>
        <w:tc>
          <w:tcPr>
            <w:tcW w:w="3053" w:type="dxa"/>
            <w:noWrap w:val="0"/>
            <w:vAlign w:val="center"/>
          </w:tcPr>
          <w:p w14:paraId="3D1C3AB0">
            <w:pPr>
              <w:spacing w:line="240" w:lineRule="auto"/>
              <w:ind w:firstLine="0" w:firstLineChars="0"/>
              <w:jc w:val="center"/>
              <w:rPr>
                <w:rFonts w:hint="eastAsia" w:ascii="宋体" w:hAnsi="宋体" w:eastAsia="宋体" w:cs="宋体"/>
                <w:bCs/>
                <w:color w:val="auto"/>
                <w:sz w:val="24"/>
              </w:rPr>
            </w:pPr>
            <w:r>
              <w:rPr>
                <w:rFonts w:hint="eastAsia" w:ascii="宋体" w:hAnsi="宋体" w:eastAsia="宋体" w:cs="宋体"/>
                <w:bCs/>
                <w:color w:val="auto"/>
                <w:sz w:val="24"/>
              </w:rPr>
              <w:t>项目名称</w:t>
            </w:r>
          </w:p>
        </w:tc>
        <w:tc>
          <w:tcPr>
            <w:tcW w:w="1778" w:type="dxa"/>
            <w:noWrap w:val="0"/>
            <w:vAlign w:val="center"/>
          </w:tcPr>
          <w:p w14:paraId="4B001DBB">
            <w:pPr>
              <w:spacing w:line="240" w:lineRule="auto"/>
              <w:ind w:firstLine="0" w:firstLineChars="0"/>
              <w:jc w:val="center"/>
              <w:rPr>
                <w:rFonts w:hint="eastAsia" w:ascii="宋体" w:hAnsi="宋体" w:eastAsia="宋体" w:cs="宋体"/>
                <w:bCs/>
                <w:color w:val="auto"/>
                <w:sz w:val="24"/>
              </w:rPr>
            </w:pPr>
            <w:r>
              <w:rPr>
                <w:rFonts w:hint="eastAsia" w:ascii="宋体" w:hAnsi="宋体" w:eastAsia="宋体" w:cs="宋体"/>
                <w:bCs/>
                <w:color w:val="auto"/>
                <w:sz w:val="24"/>
              </w:rPr>
              <w:t>建设规模</w:t>
            </w:r>
          </w:p>
          <w:p w14:paraId="263721AE">
            <w:pPr>
              <w:spacing w:line="240" w:lineRule="auto"/>
              <w:ind w:firstLine="0" w:firstLineChars="0"/>
              <w:jc w:val="center"/>
              <w:rPr>
                <w:rFonts w:hint="eastAsia" w:ascii="宋体" w:hAnsi="宋体" w:eastAsia="宋体" w:cs="宋体"/>
                <w:bCs/>
                <w:color w:val="auto"/>
                <w:sz w:val="24"/>
              </w:rPr>
            </w:pPr>
            <w:r>
              <w:rPr>
                <w:rFonts w:hint="eastAsia" w:ascii="宋体" w:hAnsi="宋体" w:eastAsia="宋体" w:cs="宋体"/>
                <w:bCs/>
                <w:color w:val="auto"/>
                <w:sz w:val="24"/>
              </w:rPr>
              <w:t>（㎡）</w:t>
            </w:r>
          </w:p>
        </w:tc>
        <w:tc>
          <w:tcPr>
            <w:tcW w:w="1170" w:type="dxa"/>
            <w:noWrap w:val="0"/>
            <w:vAlign w:val="center"/>
          </w:tcPr>
          <w:p w14:paraId="56DC67BD">
            <w:pPr>
              <w:spacing w:line="240" w:lineRule="auto"/>
              <w:ind w:firstLine="0" w:firstLineChars="0"/>
              <w:jc w:val="center"/>
              <w:rPr>
                <w:rFonts w:hint="eastAsia" w:ascii="宋体" w:hAnsi="宋体" w:eastAsia="宋体" w:cs="宋体"/>
                <w:bCs/>
                <w:color w:val="auto"/>
                <w:sz w:val="24"/>
              </w:rPr>
            </w:pPr>
            <w:r>
              <w:rPr>
                <w:rFonts w:hint="eastAsia" w:ascii="宋体" w:hAnsi="宋体" w:eastAsia="宋体" w:cs="宋体"/>
                <w:bCs/>
                <w:color w:val="auto"/>
                <w:sz w:val="24"/>
              </w:rPr>
              <w:t>工程</w:t>
            </w:r>
          </w:p>
          <w:p w14:paraId="5C738655">
            <w:pPr>
              <w:spacing w:line="240" w:lineRule="auto"/>
              <w:ind w:firstLine="0" w:firstLineChars="0"/>
              <w:jc w:val="center"/>
              <w:rPr>
                <w:rFonts w:hint="eastAsia" w:ascii="宋体" w:hAnsi="宋体" w:eastAsia="宋体" w:cs="宋体"/>
                <w:bCs/>
                <w:color w:val="auto"/>
                <w:sz w:val="24"/>
              </w:rPr>
            </w:pPr>
            <w:r>
              <w:rPr>
                <w:rFonts w:hint="eastAsia" w:ascii="宋体" w:hAnsi="宋体" w:eastAsia="宋体" w:cs="宋体"/>
                <w:bCs/>
                <w:color w:val="auto"/>
                <w:sz w:val="24"/>
              </w:rPr>
              <w:t>质量</w:t>
            </w:r>
          </w:p>
        </w:tc>
        <w:tc>
          <w:tcPr>
            <w:tcW w:w="2434" w:type="dxa"/>
            <w:noWrap w:val="0"/>
            <w:vAlign w:val="center"/>
          </w:tcPr>
          <w:p w14:paraId="3B0A0ED2">
            <w:pPr>
              <w:spacing w:line="240" w:lineRule="auto"/>
              <w:ind w:firstLine="0" w:firstLineChars="0"/>
              <w:jc w:val="center"/>
              <w:rPr>
                <w:rFonts w:hint="eastAsia" w:ascii="宋体" w:hAnsi="宋体" w:eastAsia="宋体" w:cs="宋体"/>
                <w:color w:val="auto"/>
                <w:sz w:val="24"/>
              </w:rPr>
            </w:pPr>
            <w:r>
              <w:rPr>
                <w:rFonts w:hint="eastAsia" w:ascii="宋体" w:hAnsi="宋体" w:eastAsia="宋体" w:cs="宋体"/>
                <w:color w:val="auto"/>
                <w:sz w:val="24"/>
              </w:rPr>
              <w:t>施工工期</w:t>
            </w:r>
          </w:p>
        </w:tc>
      </w:tr>
      <w:tr w14:paraId="06E4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916" w:type="dxa"/>
            <w:noWrap w:val="0"/>
            <w:vAlign w:val="center"/>
          </w:tcPr>
          <w:p w14:paraId="1B7C7171">
            <w:pPr>
              <w:spacing w:line="240" w:lineRule="auto"/>
              <w:ind w:firstLine="0" w:firstLineChars="0"/>
              <w:jc w:val="center"/>
              <w:rPr>
                <w:rFonts w:hint="eastAsia" w:ascii="宋体" w:hAnsi="宋体" w:eastAsia="宋体" w:cs="宋体"/>
                <w:color w:val="auto"/>
                <w:sz w:val="24"/>
              </w:rPr>
            </w:pPr>
          </w:p>
        </w:tc>
        <w:tc>
          <w:tcPr>
            <w:tcW w:w="3053" w:type="dxa"/>
            <w:noWrap w:val="0"/>
            <w:vAlign w:val="center"/>
          </w:tcPr>
          <w:p w14:paraId="4ECFB015">
            <w:pPr>
              <w:spacing w:line="240" w:lineRule="auto"/>
              <w:ind w:firstLine="0" w:firstLineChars="0"/>
              <w:rPr>
                <w:rFonts w:hint="eastAsia" w:ascii="宋体" w:hAnsi="宋体" w:eastAsia="宋体" w:cs="宋体"/>
                <w:color w:val="auto"/>
                <w:sz w:val="24"/>
              </w:rPr>
            </w:pPr>
          </w:p>
        </w:tc>
        <w:tc>
          <w:tcPr>
            <w:tcW w:w="1778" w:type="dxa"/>
            <w:noWrap w:val="0"/>
            <w:vAlign w:val="center"/>
          </w:tcPr>
          <w:p w14:paraId="4262C024">
            <w:pPr>
              <w:spacing w:line="240" w:lineRule="auto"/>
              <w:ind w:firstLine="0" w:firstLineChars="0"/>
              <w:rPr>
                <w:rFonts w:hint="eastAsia" w:ascii="宋体" w:hAnsi="宋体" w:eastAsia="宋体" w:cs="宋体"/>
                <w:color w:val="auto"/>
                <w:sz w:val="24"/>
              </w:rPr>
            </w:pPr>
          </w:p>
        </w:tc>
        <w:tc>
          <w:tcPr>
            <w:tcW w:w="1170" w:type="dxa"/>
            <w:noWrap w:val="0"/>
            <w:vAlign w:val="center"/>
          </w:tcPr>
          <w:p w14:paraId="4510BEA6">
            <w:pPr>
              <w:spacing w:line="240" w:lineRule="auto"/>
              <w:ind w:firstLine="0" w:firstLineChars="0"/>
              <w:rPr>
                <w:rFonts w:hint="eastAsia" w:ascii="宋体" w:hAnsi="宋体" w:eastAsia="宋体" w:cs="宋体"/>
                <w:color w:val="auto"/>
                <w:sz w:val="24"/>
              </w:rPr>
            </w:pPr>
          </w:p>
        </w:tc>
        <w:tc>
          <w:tcPr>
            <w:tcW w:w="2434" w:type="dxa"/>
            <w:noWrap w:val="0"/>
            <w:vAlign w:val="center"/>
          </w:tcPr>
          <w:p w14:paraId="6AE614E0">
            <w:pPr>
              <w:spacing w:line="240" w:lineRule="auto"/>
              <w:ind w:firstLine="0" w:firstLineChars="0"/>
              <w:rPr>
                <w:rFonts w:hint="eastAsia" w:ascii="宋体" w:hAnsi="宋体" w:eastAsia="宋体" w:cs="宋体"/>
                <w:color w:val="auto"/>
                <w:sz w:val="24"/>
              </w:rPr>
            </w:pPr>
          </w:p>
        </w:tc>
      </w:tr>
      <w:tr w14:paraId="01D8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trPr>
        <w:tc>
          <w:tcPr>
            <w:tcW w:w="3969" w:type="dxa"/>
            <w:gridSpan w:val="2"/>
            <w:noWrap w:val="0"/>
            <w:vAlign w:val="center"/>
          </w:tcPr>
          <w:p w14:paraId="3DE97F10">
            <w:pPr>
              <w:spacing w:line="240" w:lineRule="auto"/>
              <w:ind w:firstLine="1440" w:firstLineChars="600"/>
              <w:rPr>
                <w:rFonts w:hint="eastAsia" w:ascii="宋体" w:hAnsi="宋体" w:eastAsia="宋体" w:cs="宋体"/>
                <w:color w:val="auto"/>
                <w:sz w:val="24"/>
              </w:rPr>
            </w:pPr>
            <w:r>
              <w:rPr>
                <w:rFonts w:hint="eastAsia" w:ascii="宋体" w:hAnsi="宋体" w:eastAsia="宋体" w:cs="宋体"/>
                <w:color w:val="auto"/>
                <w:sz w:val="24"/>
                <w:lang w:val="en-US" w:eastAsia="zh-CN"/>
              </w:rPr>
              <w:t>谈判总报价</w:t>
            </w:r>
            <w:r>
              <w:rPr>
                <w:rFonts w:hint="eastAsia" w:ascii="宋体" w:hAnsi="宋体" w:eastAsia="宋体" w:cs="宋体"/>
                <w:color w:val="auto"/>
                <w:sz w:val="24"/>
              </w:rPr>
              <w:t>（大写）</w:t>
            </w:r>
          </w:p>
        </w:tc>
        <w:tc>
          <w:tcPr>
            <w:tcW w:w="5382" w:type="dxa"/>
            <w:gridSpan w:val="3"/>
            <w:noWrap w:val="0"/>
            <w:vAlign w:val="center"/>
          </w:tcPr>
          <w:p w14:paraId="110E77BC">
            <w:pPr>
              <w:spacing w:line="240" w:lineRule="auto"/>
              <w:ind w:firstLine="0" w:firstLineChars="0"/>
              <w:rPr>
                <w:rFonts w:hint="eastAsia" w:ascii="宋体" w:hAnsi="宋体" w:eastAsia="宋体" w:cs="宋体"/>
                <w:color w:val="auto"/>
                <w:sz w:val="24"/>
              </w:rPr>
            </w:pPr>
          </w:p>
        </w:tc>
      </w:tr>
      <w:tr w14:paraId="35AB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trPr>
        <w:tc>
          <w:tcPr>
            <w:tcW w:w="3969" w:type="dxa"/>
            <w:gridSpan w:val="2"/>
            <w:noWrap w:val="0"/>
            <w:vAlign w:val="center"/>
          </w:tcPr>
          <w:p w14:paraId="6413CB89">
            <w:pPr>
              <w:spacing w:line="240" w:lineRule="auto"/>
              <w:ind w:firstLine="2400" w:firstLineChars="1000"/>
              <w:rPr>
                <w:rFonts w:hint="eastAsia" w:ascii="宋体" w:hAnsi="宋体" w:eastAsia="宋体" w:cs="宋体"/>
                <w:color w:val="auto"/>
                <w:sz w:val="24"/>
              </w:rPr>
            </w:pPr>
            <w:r>
              <w:rPr>
                <w:rFonts w:hint="eastAsia" w:ascii="宋体" w:hAnsi="宋体" w:eastAsia="宋体" w:cs="宋体"/>
                <w:color w:val="auto"/>
                <w:sz w:val="24"/>
              </w:rPr>
              <w:t>（小写）</w:t>
            </w:r>
          </w:p>
        </w:tc>
        <w:tc>
          <w:tcPr>
            <w:tcW w:w="5382" w:type="dxa"/>
            <w:gridSpan w:val="3"/>
            <w:noWrap w:val="0"/>
            <w:vAlign w:val="center"/>
          </w:tcPr>
          <w:p w14:paraId="023B2699">
            <w:pPr>
              <w:spacing w:line="240" w:lineRule="auto"/>
              <w:ind w:firstLine="0" w:firstLineChars="0"/>
              <w:rPr>
                <w:rFonts w:hint="eastAsia" w:ascii="宋体" w:hAnsi="宋体" w:eastAsia="宋体" w:cs="宋体"/>
                <w:color w:val="auto"/>
                <w:sz w:val="24"/>
              </w:rPr>
            </w:pPr>
          </w:p>
        </w:tc>
      </w:tr>
    </w:tbl>
    <w:p w14:paraId="4841D198">
      <w:pPr>
        <w:autoSpaceDE w:val="0"/>
        <w:autoSpaceDN w:val="0"/>
        <w:adjustRightInd w:val="0"/>
        <w:spacing w:line="400" w:lineRule="exact"/>
        <w:ind w:left="0" w:leftChars="0" w:firstLine="0" w:firstLineChars="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注：1.填写此表时不得改变表格形式。</w:t>
      </w:r>
    </w:p>
    <w:p w14:paraId="62BC380D">
      <w:pPr>
        <w:autoSpaceDE w:val="0"/>
        <w:autoSpaceDN w:val="0"/>
        <w:adjustRightInd w:val="0"/>
        <w:spacing w:line="400" w:lineRule="exact"/>
        <w:ind w:firstLine="480" w:firstLineChars="200"/>
        <w:rPr>
          <w:rFonts w:hint="eastAsia" w:ascii="宋体" w:hAnsi="宋体" w:eastAsia="宋体" w:cs="宋体"/>
          <w:color w:val="auto"/>
          <w:sz w:val="24"/>
        </w:rPr>
      </w:pPr>
      <w:r>
        <w:rPr>
          <w:rFonts w:hint="eastAsia" w:ascii="宋体" w:hAnsi="宋体" w:eastAsia="宋体" w:cs="宋体"/>
          <w:color w:val="auto"/>
          <w:kern w:val="0"/>
          <w:sz w:val="24"/>
        </w:rPr>
        <w:t>2.</w:t>
      </w:r>
      <w:r>
        <w:rPr>
          <w:rFonts w:hint="eastAsia" w:ascii="宋体" w:hAnsi="宋体" w:eastAsia="宋体" w:cs="宋体"/>
          <w:color w:val="auto"/>
          <w:sz w:val="24"/>
          <w:lang w:val="en-US" w:eastAsia="zh-CN"/>
        </w:rPr>
        <w:t>谈判总报价</w:t>
      </w:r>
      <w:r>
        <w:rPr>
          <w:rFonts w:hint="eastAsia" w:ascii="宋体" w:hAnsi="宋体" w:eastAsia="宋体" w:cs="宋体"/>
          <w:color w:val="auto"/>
          <w:kern w:val="0"/>
          <w:sz w:val="24"/>
          <w:lang w:val="zh-CN"/>
        </w:rPr>
        <w:t>必须包括：</w:t>
      </w:r>
      <w:r>
        <w:rPr>
          <w:rFonts w:hint="eastAsia" w:ascii="宋体" w:hAnsi="宋体" w:eastAsia="宋体" w:cs="宋体"/>
          <w:color w:val="auto"/>
          <w:sz w:val="24"/>
          <w:lang w:eastAsia="zh-CN"/>
        </w:rPr>
        <w:t>施工总价（安全防护、文明施工措施费等费用）、保险费、税金及不可预见费等全部费用</w:t>
      </w:r>
      <w:r>
        <w:rPr>
          <w:rFonts w:hint="eastAsia" w:ascii="宋体" w:hAnsi="宋体" w:eastAsia="宋体" w:cs="宋体"/>
          <w:color w:val="auto"/>
          <w:sz w:val="24"/>
        </w:rPr>
        <w:t>。</w:t>
      </w:r>
    </w:p>
    <w:p w14:paraId="5721BAE8">
      <w:pPr>
        <w:autoSpaceDE w:val="0"/>
        <w:autoSpaceDN w:val="0"/>
        <w:adjustRightInd w:val="0"/>
        <w:spacing w:line="400" w:lineRule="exact"/>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3.“</w:t>
      </w:r>
      <w:r>
        <w:rPr>
          <w:rFonts w:hint="eastAsia" w:ascii="宋体" w:hAnsi="宋体" w:eastAsia="宋体" w:cs="宋体"/>
          <w:color w:val="auto"/>
          <w:sz w:val="24"/>
        </w:rPr>
        <w:t>施工工期</w:t>
      </w:r>
      <w:r>
        <w:rPr>
          <w:rFonts w:hint="eastAsia" w:ascii="宋体" w:hAnsi="宋体" w:eastAsia="宋体" w:cs="宋体"/>
          <w:color w:val="auto"/>
          <w:kern w:val="0"/>
          <w:sz w:val="24"/>
          <w:lang w:val="zh-CN"/>
        </w:rPr>
        <w:t>”是指供应商能够</w:t>
      </w:r>
      <w:r>
        <w:rPr>
          <w:rFonts w:hint="eastAsia" w:ascii="宋体" w:hAnsi="宋体" w:eastAsia="宋体" w:cs="宋体"/>
          <w:color w:val="auto"/>
          <w:kern w:val="0"/>
          <w:sz w:val="24"/>
          <w:lang w:val="en-US" w:eastAsia="zh-CN"/>
        </w:rPr>
        <w:t>完成</w:t>
      </w:r>
      <w:r>
        <w:rPr>
          <w:rFonts w:hint="eastAsia" w:ascii="宋体" w:hAnsi="宋体" w:eastAsia="宋体" w:cs="宋体"/>
          <w:color w:val="auto"/>
          <w:kern w:val="0"/>
          <w:sz w:val="24"/>
          <w:lang w:val="zh-CN"/>
        </w:rPr>
        <w:t>工程施工总日历天</w:t>
      </w:r>
      <w:r>
        <w:rPr>
          <w:rFonts w:hint="eastAsia" w:ascii="宋体" w:hAnsi="宋体" w:eastAsia="宋体" w:cs="宋体"/>
          <w:color w:val="auto"/>
          <w:kern w:val="0"/>
          <w:sz w:val="24"/>
          <w:lang w:val="zh-CN"/>
        </w:rPr>
        <w:t>。</w:t>
      </w:r>
    </w:p>
    <w:p w14:paraId="33BDAD59">
      <w:pPr>
        <w:autoSpaceDE w:val="0"/>
        <w:autoSpaceDN w:val="0"/>
        <w:adjustRightInd w:val="0"/>
        <w:spacing w:line="400" w:lineRule="exact"/>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rPr>
        <w:t>4.首次报价</w:t>
      </w:r>
      <w:r>
        <w:rPr>
          <w:rFonts w:hint="eastAsia" w:ascii="宋体" w:hAnsi="宋体" w:eastAsia="宋体" w:cs="宋体"/>
          <w:color w:val="auto"/>
          <w:kern w:val="0"/>
          <w:sz w:val="24"/>
          <w:lang w:val="zh-CN"/>
        </w:rPr>
        <w:t>不能有两个或两个以上的报价方案。</w:t>
      </w:r>
    </w:p>
    <w:p w14:paraId="28E43B42">
      <w:pPr>
        <w:adjustRightInd w:val="0"/>
        <w:spacing w:line="400" w:lineRule="exact"/>
        <w:ind w:firstLine="0" w:firstLineChars="0"/>
        <w:textAlignment w:val="baseline"/>
        <w:rPr>
          <w:rFonts w:hint="eastAsia" w:ascii="宋体" w:hAnsi="宋体" w:eastAsia="宋体" w:cs="宋体"/>
          <w:b/>
          <w:color w:val="auto"/>
          <w:sz w:val="24"/>
        </w:rPr>
      </w:pPr>
    </w:p>
    <w:p w14:paraId="5E6F7F62">
      <w:pPr>
        <w:adjustRightInd w:val="0"/>
        <w:spacing w:line="400" w:lineRule="exact"/>
        <w:ind w:firstLine="0" w:firstLineChars="0"/>
        <w:textAlignment w:val="baseline"/>
        <w:rPr>
          <w:rFonts w:hint="eastAsia" w:ascii="宋体" w:hAnsi="宋体" w:eastAsia="宋体" w:cs="宋体"/>
          <w:color w:val="auto"/>
          <w:sz w:val="24"/>
        </w:rPr>
      </w:pPr>
    </w:p>
    <w:p w14:paraId="449C4D8F">
      <w:pPr>
        <w:adjustRightInd w:val="0"/>
        <w:spacing w:line="400" w:lineRule="exact"/>
        <w:ind w:firstLine="0" w:firstLineChars="0"/>
        <w:textAlignment w:val="baseline"/>
        <w:rPr>
          <w:rFonts w:hint="eastAsia" w:ascii="宋体" w:hAnsi="宋体" w:eastAsia="宋体" w:cs="宋体"/>
          <w:color w:val="auto"/>
          <w:sz w:val="24"/>
        </w:rPr>
      </w:pPr>
    </w:p>
    <w:p w14:paraId="3BE44415">
      <w:pPr>
        <w:adjustRightInd w:val="0"/>
        <w:spacing w:line="400" w:lineRule="exact"/>
        <w:ind w:firstLine="0" w:firstLineChars="0"/>
        <w:textAlignment w:val="baseline"/>
        <w:rPr>
          <w:rFonts w:hint="eastAsia" w:ascii="宋体" w:hAnsi="宋体" w:eastAsia="宋体" w:cs="宋体"/>
          <w:color w:val="auto"/>
          <w:sz w:val="24"/>
        </w:rPr>
      </w:pPr>
    </w:p>
    <w:p w14:paraId="212A629D">
      <w:pPr>
        <w:keepNext w:val="0"/>
        <w:keepLines w:val="0"/>
        <w:pageBreakBefore w:val="0"/>
        <w:widowControl w:val="0"/>
        <w:kinsoku/>
        <w:wordWrap/>
        <w:overflowPunct/>
        <w:topLinePunct w:val="0"/>
        <w:bidi w:val="0"/>
        <w:adjustRightInd/>
        <w:snapToGrid/>
        <w:spacing w:line="360" w:lineRule="auto"/>
        <w:outlineLvl w:val="9"/>
        <w:rPr>
          <w:rFonts w:hint="eastAsia" w:ascii="宋体" w:hAnsi="宋体" w:eastAsia="宋体" w:cs="宋体"/>
          <w:color w:val="auto"/>
          <w:sz w:val="24"/>
          <w:szCs w:val="24"/>
        </w:rPr>
      </w:pPr>
    </w:p>
    <w:p w14:paraId="121445F3">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eastAsia="zh-CN"/>
        </w:rPr>
        <w:t>单</w:t>
      </w:r>
      <w:r>
        <w:rPr>
          <w:rFonts w:hint="eastAsia" w:ascii="宋体" w:hAnsi="宋体" w:eastAsia="宋体" w:cs="宋体"/>
          <w:b/>
          <w:bCs w:val="0"/>
          <w:color w:val="auto"/>
          <w:sz w:val="24"/>
          <w:szCs w:val="24"/>
        </w:rPr>
        <w:t>位</w:t>
      </w:r>
      <w:r>
        <w:rPr>
          <w:rFonts w:hint="eastAsia" w:ascii="宋体" w:hAnsi="宋体" w:eastAsia="宋体" w:cs="宋体"/>
          <w:b/>
          <w:bCs w:val="0"/>
          <w:color w:val="auto"/>
          <w:sz w:val="24"/>
          <w:szCs w:val="24"/>
          <w:lang w:eastAsia="zh-CN"/>
        </w:rPr>
        <w:t>名称</w:t>
      </w: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rPr>
        <w:t>（公章）</w:t>
      </w:r>
    </w:p>
    <w:p w14:paraId="1FAA22C9">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法定代表人或委托代理人：</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rPr>
        <w:t>（签字或盖章）</w:t>
      </w:r>
    </w:p>
    <w:p w14:paraId="5095D742">
      <w:pPr>
        <w:keepNext w:val="0"/>
        <w:keepLines w:val="0"/>
        <w:pageBreakBefore w:val="0"/>
        <w:kinsoku/>
        <w:wordWrap/>
        <w:overflowPunct/>
        <w:topLinePunct w:val="0"/>
        <w:bidi w:val="0"/>
        <w:adjustRightInd/>
        <w:snapToGrid/>
        <w:spacing w:line="360" w:lineRule="auto"/>
        <w:ind w:left="0" w:leftChars="0" w:firstLine="482" w:firstLineChars="200"/>
        <w:jc w:val="center"/>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 xml:space="preserve">年   月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 xml:space="preserve"> 日</w:t>
      </w:r>
    </w:p>
    <w:p w14:paraId="62389487">
      <w:pPr>
        <w:keepNext w:val="0"/>
        <w:keepLines w:val="0"/>
        <w:pageBreakBefore w:val="0"/>
        <w:kinsoku/>
        <w:wordWrap/>
        <w:overflowPunct/>
        <w:topLinePunct w:val="0"/>
        <w:bidi w:val="0"/>
        <w:adjustRightInd/>
        <w:snapToGrid/>
        <w:spacing w:line="360" w:lineRule="auto"/>
        <w:jc w:val="both"/>
        <w:outlineLvl w:val="9"/>
        <w:rPr>
          <w:rFonts w:hint="eastAsia" w:ascii="宋体" w:hAnsi="宋体" w:eastAsia="宋体" w:cs="宋体"/>
          <w:b/>
          <w:bCs w:val="0"/>
          <w:color w:val="auto"/>
          <w:sz w:val="24"/>
          <w:szCs w:val="24"/>
        </w:rPr>
      </w:pPr>
    </w:p>
    <w:p w14:paraId="6D84C431">
      <w:pPr>
        <w:keepNext w:val="0"/>
        <w:keepLines w:val="0"/>
        <w:pageBreakBefore w:val="0"/>
        <w:kinsoku/>
        <w:wordWrap/>
        <w:overflowPunct/>
        <w:topLinePunct w:val="0"/>
        <w:bidi w:val="0"/>
        <w:adjustRightInd/>
        <w:snapToGrid/>
        <w:spacing w:line="360" w:lineRule="auto"/>
        <w:ind w:left="0" w:leftChars="0"/>
        <w:rPr>
          <w:rFonts w:hint="eastAsia" w:ascii="宋体" w:hAnsi="宋体" w:eastAsia="宋体" w:cs="宋体"/>
          <w:b/>
          <w:color w:val="auto"/>
          <w:sz w:val="24"/>
          <w:szCs w:val="24"/>
        </w:rPr>
      </w:pPr>
      <w:bookmarkStart w:id="481" w:name="_Toc18824_WPSOffice_Level3"/>
      <w:bookmarkStart w:id="482" w:name="_Toc3352_WPSOffice_Level3"/>
      <w:bookmarkStart w:id="483" w:name="_Toc13192"/>
      <w:bookmarkStart w:id="484" w:name="_Toc31202"/>
      <w:bookmarkStart w:id="485" w:name="_Toc7532"/>
      <w:r>
        <w:rPr>
          <w:rFonts w:hint="eastAsia" w:ascii="宋体" w:hAnsi="宋体" w:eastAsia="宋体" w:cs="宋体"/>
          <w:b/>
          <w:color w:val="auto"/>
          <w:sz w:val="24"/>
          <w:szCs w:val="24"/>
        </w:rPr>
        <w:br w:type="page"/>
      </w:r>
    </w:p>
    <w:p w14:paraId="3006E35A">
      <w:pPr>
        <w:keepNext w:val="0"/>
        <w:keepLines w:val="0"/>
        <w:pageBreakBefore w:val="0"/>
        <w:widowControl/>
        <w:kinsoku/>
        <w:wordWrap/>
        <w:overflowPunct/>
        <w:topLinePunct w:val="0"/>
        <w:bidi w:val="0"/>
        <w:adjustRightInd/>
        <w:snapToGrid/>
        <w:spacing w:line="360" w:lineRule="auto"/>
        <w:ind w:left="0" w:leftChars="0"/>
        <w:outlineLvl w:val="1"/>
        <w:rPr>
          <w:rFonts w:hint="eastAsia" w:ascii="宋体" w:hAnsi="宋体" w:eastAsia="宋体" w:cs="宋体"/>
          <w:b/>
          <w:color w:val="auto"/>
          <w:sz w:val="24"/>
          <w:szCs w:val="24"/>
        </w:rPr>
      </w:pPr>
      <w:bookmarkStart w:id="486" w:name="_Toc13949"/>
      <w:r>
        <w:rPr>
          <w:rFonts w:hint="eastAsia" w:ascii="宋体" w:hAnsi="宋体" w:eastAsia="宋体" w:cs="宋体"/>
          <w:b/>
          <w:bCs w:val="0"/>
          <w:color w:val="auto"/>
          <w:kern w:val="2"/>
          <w:sz w:val="28"/>
          <w:szCs w:val="28"/>
          <w:lang w:val="en-US" w:eastAsia="zh-CN" w:bidi="ar-SA"/>
        </w:rPr>
        <w:t>附件11：</w:t>
      </w:r>
      <w:bookmarkEnd w:id="481"/>
      <w:bookmarkEnd w:id="482"/>
      <w:bookmarkEnd w:id="483"/>
      <w:bookmarkEnd w:id="484"/>
      <w:bookmarkEnd w:id="485"/>
      <w:r>
        <w:rPr>
          <w:rFonts w:hint="eastAsia" w:ascii="宋体" w:hAnsi="宋体" w:eastAsia="宋体" w:cs="宋体"/>
          <w:b/>
          <w:bCs w:val="0"/>
          <w:color w:val="auto"/>
          <w:kern w:val="2"/>
          <w:sz w:val="28"/>
          <w:szCs w:val="28"/>
          <w:lang w:val="en-US" w:eastAsia="zh-CN" w:bidi="ar-SA"/>
        </w:rPr>
        <w:t>已标价的工程量清单</w:t>
      </w:r>
      <w:bookmarkEnd w:id="486"/>
    </w:p>
    <w:p w14:paraId="34722B1C">
      <w:pPr>
        <w:keepNext w:val="0"/>
        <w:keepLines w:val="0"/>
        <w:pageBreakBefore w:val="0"/>
        <w:kinsoku/>
        <w:wordWrap/>
        <w:overflowPunct/>
        <w:topLinePunct w:val="0"/>
        <w:bidi w:val="0"/>
        <w:adjustRightInd/>
        <w:snapToGrid/>
        <w:spacing w:line="360" w:lineRule="auto"/>
        <w:ind w:left="0" w:leftChars="0"/>
        <w:jc w:val="center"/>
        <w:outlineLvl w:val="9"/>
        <w:rPr>
          <w:rFonts w:hint="eastAsia" w:ascii="宋体" w:hAnsi="宋体" w:eastAsia="宋体" w:cs="宋体"/>
          <w:b/>
          <w:color w:val="auto"/>
          <w:sz w:val="24"/>
          <w:szCs w:val="24"/>
        </w:rPr>
      </w:pPr>
      <w:r>
        <w:rPr>
          <w:rFonts w:hint="eastAsia" w:ascii="宋体" w:hAnsi="宋体" w:eastAsia="宋体" w:cs="宋体"/>
          <w:b/>
          <w:color w:val="auto"/>
          <w:sz w:val="24"/>
          <w:szCs w:val="24"/>
          <w:lang w:val="zh-CN" w:eastAsia="zh-CN"/>
        </w:rPr>
        <w:t>已标价的工程量清单</w:t>
      </w:r>
    </w:p>
    <w:p w14:paraId="45B35226">
      <w:pPr>
        <w:keepNext w:val="0"/>
        <w:keepLines w:val="0"/>
        <w:pageBreakBefore w:val="0"/>
        <w:widowControl w:val="0"/>
        <w:kinsoku/>
        <w:wordWrap/>
        <w:overflowPunct/>
        <w:topLinePunct w:val="0"/>
        <w:bidi w:val="0"/>
        <w:adjustRightInd/>
        <w:snapToGrid/>
        <w:spacing w:line="360" w:lineRule="auto"/>
        <w:ind w:left="0" w:leftChars="0"/>
        <w:jc w:val="both"/>
        <w:outlineLvl w:val="9"/>
        <w:rPr>
          <w:rFonts w:hint="eastAsia" w:ascii="宋体" w:hAnsi="宋体" w:eastAsia="宋体" w:cs="宋体"/>
          <w:b w:val="0"/>
          <w:bCs/>
          <w:color w:val="auto"/>
          <w:sz w:val="24"/>
          <w:szCs w:val="24"/>
        </w:rPr>
      </w:pPr>
    </w:p>
    <w:p w14:paraId="7B104FA3">
      <w:pPr>
        <w:keepNext w:val="0"/>
        <w:keepLines w:val="0"/>
        <w:pageBreakBefore w:val="0"/>
        <w:widowControl w:val="0"/>
        <w:kinsoku/>
        <w:wordWrap/>
        <w:overflowPunct/>
        <w:topLinePunct w:val="0"/>
        <w:bidi w:val="0"/>
        <w:adjustRightInd/>
        <w:snapToGrid/>
        <w:spacing w:line="360" w:lineRule="auto"/>
        <w:jc w:val="both"/>
        <w:textAlignment w:val="auto"/>
        <w:outlineLvl w:val="9"/>
        <w:rPr>
          <w:rFonts w:hint="eastAsia" w:ascii="宋体" w:hAnsi="宋体" w:eastAsia="宋体" w:cs="宋体"/>
          <w:b/>
          <w:bCs w:val="0"/>
          <w:color w:val="auto"/>
          <w:sz w:val="24"/>
          <w:szCs w:val="24"/>
        </w:rPr>
      </w:pPr>
      <w:bookmarkStart w:id="487" w:name="_Toc698"/>
    </w:p>
    <w:p w14:paraId="0657920B">
      <w:pPr>
        <w:keepNext w:val="0"/>
        <w:keepLines w:val="0"/>
        <w:pageBreakBefore w:val="0"/>
        <w:kinsoku/>
        <w:wordWrap/>
        <w:overflowPunct/>
        <w:topLinePunct w:val="0"/>
        <w:bidi w:val="0"/>
        <w:adjustRightInd/>
        <w:snapToGrid/>
        <w:spacing w:line="360" w:lineRule="auto"/>
        <w:ind w:left="0" w:leftChars="0"/>
        <w:rPr>
          <w:rFonts w:hint="eastAsia" w:ascii="宋体" w:hAnsi="宋体" w:eastAsia="宋体" w:cs="宋体"/>
          <w:b/>
          <w:bCs w:val="0"/>
          <w:color w:val="auto"/>
          <w:sz w:val="24"/>
          <w:szCs w:val="24"/>
        </w:rPr>
      </w:pPr>
    </w:p>
    <w:p w14:paraId="28F757D5">
      <w:pPr>
        <w:keepNext w:val="0"/>
        <w:keepLines w:val="0"/>
        <w:pageBreakBefore w:val="0"/>
        <w:kinsoku/>
        <w:wordWrap/>
        <w:overflowPunct/>
        <w:topLinePunct w:val="0"/>
        <w:bidi w:val="0"/>
        <w:adjustRightInd/>
        <w:snapToGrid/>
        <w:spacing w:line="360" w:lineRule="auto"/>
        <w:ind w:left="0" w:leftChars="0"/>
        <w:rPr>
          <w:rFonts w:hint="eastAsia" w:ascii="宋体" w:hAnsi="宋体" w:eastAsia="宋体" w:cs="宋体"/>
          <w:b/>
          <w:color w:val="auto"/>
          <w:sz w:val="24"/>
          <w:szCs w:val="24"/>
          <w:lang w:eastAsia="zh-CN"/>
        </w:rPr>
      </w:pPr>
      <w:bookmarkStart w:id="488" w:name="_Toc28398"/>
      <w:bookmarkStart w:id="489" w:name="_Toc20734"/>
      <w:bookmarkStart w:id="490" w:name="_Toc28315_WPSOffice_Level3"/>
      <w:bookmarkStart w:id="491" w:name="_Toc13098_WPSOffice_Level3"/>
      <w:r>
        <w:rPr>
          <w:rFonts w:hint="eastAsia" w:ascii="宋体" w:hAnsi="宋体" w:eastAsia="宋体" w:cs="宋体"/>
          <w:b/>
          <w:color w:val="auto"/>
          <w:sz w:val="24"/>
          <w:szCs w:val="24"/>
          <w:lang w:eastAsia="zh-CN"/>
        </w:rPr>
        <w:br w:type="page"/>
      </w:r>
    </w:p>
    <w:p w14:paraId="2E3D3665">
      <w:pPr>
        <w:keepNext w:val="0"/>
        <w:keepLines w:val="0"/>
        <w:pageBreakBefore w:val="0"/>
        <w:widowControl/>
        <w:kinsoku/>
        <w:wordWrap/>
        <w:overflowPunct/>
        <w:topLinePunct w:val="0"/>
        <w:bidi w:val="0"/>
        <w:adjustRightInd/>
        <w:snapToGrid/>
        <w:spacing w:line="360" w:lineRule="auto"/>
        <w:ind w:left="0" w:leftChars="0"/>
        <w:outlineLvl w:val="1"/>
        <w:rPr>
          <w:rFonts w:hint="eastAsia" w:ascii="宋体" w:hAnsi="宋体" w:eastAsia="宋体" w:cs="宋体"/>
          <w:b/>
          <w:color w:val="auto"/>
          <w:sz w:val="24"/>
          <w:szCs w:val="24"/>
        </w:rPr>
      </w:pPr>
      <w:bookmarkStart w:id="492" w:name="_Toc5044"/>
      <w:r>
        <w:rPr>
          <w:rFonts w:hint="eastAsia" w:ascii="宋体" w:hAnsi="宋体" w:eastAsia="宋体" w:cs="宋体"/>
          <w:b/>
          <w:bCs w:val="0"/>
          <w:color w:val="auto"/>
          <w:kern w:val="2"/>
          <w:sz w:val="28"/>
          <w:szCs w:val="28"/>
          <w:lang w:val="en-US" w:eastAsia="zh-CN" w:bidi="ar-SA"/>
        </w:rPr>
        <w:t>附件12：</w:t>
      </w:r>
      <w:bookmarkEnd w:id="487"/>
      <w:bookmarkEnd w:id="488"/>
      <w:bookmarkEnd w:id="489"/>
      <w:bookmarkEnd w:id="490"/>
      <w:bookmarkEnd w:id="491"/>
      <w:r>
        <w:rPr>
          <w:rFonts w:hint="eastAsia" w:ascii="宋体" w:hAnsi="宋体" w:eastAsia="宋体" w:cs="宋体"/>
          <w:b/>
          <w:bCs w:val="0"/>
          <w:color w:val="auto"/>
          <w:kern w:val="2"/>
          <w:sz w:val="28"/>
          <w:szCs w:val="28"/>
          <w:lang w:val="en-US" w:eastAsia="zh-CN" w:bidi="ar-SA"/>
        </w:rPr>
        <w:t>施工组织设计</w:t>
      </w:r>
      <w:bookmarkEnd w:id="492"/>
    </w:p>
    <w:p w14:paraId="0F28FABC">
      <w:pPr>
        <w:keepNext w:val="0"/>
        <w:keepLines w:val="0"/>
        <w:pageBreakBefore w:val="0"/>
        <w:kinsoku/>
        <w:wordWrap/>
        <w:overflowPunct/>
        <w:topLinePunct w:val="0"/>
        <w:bidi w:val="0"/>
        <w:adjustRightInd/>
        <w:snapToGrid/>
        <w:spacing w:line="360" w:lineRule="auto"/>
        <w:ind w:left="0" w:leftChars="0"/>
        <w:jc w:val="center"/>
        <w:outlineLvl w:val="9"/>
        <w:rPr>
          <w:rFonts w:hint="eastAsia" w:ascii="宋体" w:hAnsi="宋体" w:eastAsia="宋体" w:cs="宋体"/>
          <w:b/>
          <w:color w:val="auto"/>
          <w:sz w:val="24"/>
          <w:szCs w:val="24"/>
          <w:lang w:val="zh-CN" w:eastAsia="zh-CN"/>
        </w:rPr>
      </w:pPr>
      <w:r>
        <w:rPr>
          <w:rFonts w:hint="eastAsia" w:ascii="宋体" w:hAnsi="宋体" w:eastAsia="宋体" w:cs="宋体"/>
          <w:b/>
          <w:bCs/>
          <w:color w:val="auto"/>
          <w:sz w:val="24"/>
          <w:szCs w:val="24"/>
          <w:lang w:val="zh-CN"/>
        </w:rPr>
        <w:t>施工组织设计</w:t>
      </w:r>
    </w:p>
    <w:p w14:paraId="1B42401F">
      <w:pPr>
        <w:autoSpaceDE w:val="0"/>
        <w:autoSpaceDN w:val="0"/>
        <w:adjustRightInd w:val="0"/>
        <w:ind w:firstLine="480"/>
        <w:jc w:val="left"/>
        <w:rPr>
          <w:rFonts w:hint="eastAsia" w:ascii="宋体" w:hAnsi="宋体" w:eastAsia="宋体" w:cs="宋体"/>
          <w:color w:val="auto"/>
          <w:kern w:val="0"/>
        </w:rPr>
      </w:pPr>
      <w:r>
        <w:rPr>
          <w:rFonts w:hint="eastAsia" w:ascii="宋体" w:hAnsi="宋体" w:eastAsia="宋体" w:cs="宋体"/>
          <w:color w:val="auto"/>
          <w:kern w:val="0"/>
        </w:rPr>
        <w:t>1. 供应商编制施工组织设计的要求：编制时应简明扼要地说明施工方法、工程质量、安全生产、文明施工、环境保护、冬雨季施工、工程进度、技术组织等主要措施。用图表形式阐明本项目的施工总平面图、进度计划以及拟投入主要施工设备、劳动力、项目管理机构等。</w:t>
      </w:r>
    </w:p>
    <w:p w14:paraId="419CAD1E">
      <w:pPr>
        <w:autoSpaceDE w:val="0"/>
        <w:autoSpaceDN w:val="0"/>
        <w:adjustRightInd w:val="0"/>
        <w:ind w:firstLine="480"/>
        <w:jc w:val="left"/>
        <w:rPr>
          <w:rFonts w:hint="eastAsia" w:ascii="宋体" w:hAnsi="宋体" w:eastAsia="宋体" w:cs="宋体"/>
          <w:color w:val="auto"/>
          <w:kern w:val="0"/>
        </w:rPr>
      </w:pPr>
      <w:r>
        <w:rPr>
          <w:rFonts w:hint="eastAsia" w:ascii="宋体" w:hAnsi="宋体" w:eastAsia="宋体" w:cs="宋体"/>
          <w:color w:val="auto"/>
          <w:kern w:val="0"/>
        </w:rPr>
        <w:t>2.图表及格式要求：</w:t>
      </w:r>
    </w:p>
    <w:p w14:paraId="14B49EBA">
      <w:pPr>
        <w:autoSpaceDE w:val="0"/>
        <w:autoSpaceDN w:val="0"/>
        <w:adjustRightInd w:val="0"/>
        <w:ind w:firstLine="630" w:firstLineChars="300"/>
        <w:jc w:val="left"/>
        <w:rPr>
          <w:rFonts w:hint="eastAsia" w:ascii="宋体" w:hAnsi="宋体" w:eastAsia="宋体" w:cs="宋体"/>
          <w:color w:val="auto"/>
          <w:kern w:val="0"/>
        </w:rPr>
      </w:pPr>
      <w:r>
        <w:rPr>
          <w:rFonts w:hint="eastAsia" w:ascii="宋体" w:hAnsi="宋体" w:eastAsia="宋体" w:cs="宋体"/>
          <w:color w:val="auto"/>
          <w:kern w:val="0"/>
        </w:rPr>
        <w:t>（一）拟投入的主要施工设备表</w:t>
      </w:r>
    </w:p>
    <w:p w14:paraId="5DFF4F46">
      <w:pPr>
        <w:autoSpaceDE w:val="0"/>
        <w:autoSpaceDN w:val="0"/>
        <w:adjustRightInd w:val="0"/>
        <w:ind w:firstLine="630" w:firstLineChars="300"/>
        <w:jc w:val="left"/>
        <w:rPr>
          <w:rFonts w:hint="eastAsia" w:ascii="宋体" w:hAnsi="宋体" w:eastAsia="宋体" w:cs="宋体"/>
          <w:color w:val="auto"/>
          <w:kern w:val="0"/>
        </w:rPr>
      </w:pPr>
      <w:r>
        <w:rPr>
          <w:rFonts w:hint="eastAsia" w:ascii="宋体" w:hAnsi="宋体" w:eastAsia="宋体" w:cs="宋体"/>
          <w:color w:val="auto"/>
          <w:kern w:val="0"/>
        </w:rPr>
        <w:t>（二）劳动力计划表</w:t>
      </w:r>
    </w:p>
    <w:p w14:paraId="4E7E8B2E">
      <w:pPr>
        <w:autoSpaceDE w:val="0"/>
        <w:autoSpaceDN w:val="0"/>
        <w:adjustRightInd w:val="0"/>
        <w:ind w:firstLine="630" w:firstLineChars="300"/>
        <w:jc w:val="left"/>
        <w:rPr>
          <w:rFonts w:hint="eastAsia" w:ascii="宋体" w:hAnsi="宋体" w:eastAsia="宋体" w:cs="宋体"/>
          <w:color w:val="auto"/>
          <w:kern w:val="0"/>
        </w:rPr>
      </w:pPr>
      <w:r>
        <w:rPr>
          <w:rFonts w:hint="eastAsia" w:ascii="宋体" w:hAnsi="宋体" w:eastAsia="宋体" w:cs="宋体"/>
          <w:color w:val="auto"/>
          <w:kern w:val="0"/>
        </w:rPr>
        <w:t>（三）进度计划</w:t>
      </w:r>
    </w:p>
    <w:p w14:paraId="6233D582">
      <w:pPr>
        <w:spacing w:line="360" w:lineRule="auto"/>
        <w:jc w:val="center"/>
        <w:rPr>
          <w:rFonts w:hint="eastAsia" w:ascii="宋体" w:hAnsi="宋体" w:eastAsia="宋体" w:cs="宋体"/>
          <w:b/>
          <w:bCs/>
          <w:color w:val="auto"/>
          <w:sz w:val="32"/>
          <w:szCs w:val="32"/>
        </w:rPr>
      </w:pPr>
      <w:bookmarkStart w:id="493" w:name="_Toc201287657"/>
      <w:bookmarkStart w:id="494" w:name="_Toc357004108"/>
      <w:r>
        <w:rPr>
          <w:rFonts w:hint="eastAsia" w:ascii="宋体" w:hAnsi="宋体" w:eastAsia="宋体" w:cs="宋体"/>
          <w:b/>
          <w:bCs/>
          <w:color w:val="auto"/>
          <w:sz w:val="24"/>
          <w:szCs w:val="24"/>
        </w:rPr>
        <w:t>（一）拟投入本项目的主要施工设备表</w:t>
      </w:r>
      <w:bookmarkEnd w:id="493"/>
      <w:bookmarkEnd w:id="494"/>
    </w:p>
    <w:tbl>
      <w:tblPr>
        <w:tblStyle w:val="20"/>
        <w:tblW w:w="90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7"/>
        <w:gridCol w:w="2127"/>
        <w:gridCol w:w="850"/>
        <w:gridCol w:w="614"/>
        <w:gridCol w:w="700"/>
        <w:gridCol w:w="700"/>
        <w:gridCol w:w="1120"/>
        <w:gridCol w:w="700"/>
        <w:gridCol w:w="980"/>
        <w:gridCol w:w="722"/>
      </w:tblGrid>
      <w:tr w14:paraId="526B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77" w:type="dxa"/>
            <w:noWrap w:val="0"/>
            <w:vAlign w:val="center"/>
          </w:tcPr>
          <w:p w14:paraId="56505608">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2127" w:type="dxa"/>
            <w:noWrap w:val="0"/>
            <w:vAlign w:val="center"/>
          </w:tcPr>
          <w:p w14:paraId="26039C51">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设　备　名　称</w:t>
            </w:r>
          </w:p>
        </w:tc>
        <w:tc>
          <w:tcPr>
            <w:tcW w:w="850" w:type="dxa"/>
            <w:noWrap w:val="0"/>
            <w:vAlign w:val="center"/>
          </w:tcPr>
          <w:p w14:paraId="232F8B66">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型号</w:t>
            </w:r>
          </w:p>
          <w:p w14:paraId="50ADE233">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规格</w:t>
            </w:r>
          </w:p>
        </w:tc>
        <w:tc>
          <w:tcPr>
            <w:tcW w:w="614" w:type="dxa"/>
            <w:noWrap w:val="0"/>
            <w:vAlign w:val="center"/>
          </w:tcPr>
          <w:p w14:paraId="19A7C8D8">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数</w:t>
            </w:r>
          </w:p>
          <w:p w14:paraId="052D5BA1">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量</w:t>
            </w:r>
          </w:p>
        </w:tc>
        <w:tc>
          <w:tcPr>
            <w:tcW w:w="700" w:type="dxa"/>
            <w:noWrap w:val="0"/>
            <w:vAlign w:val="center"/>
          </w:tcPr>
          <w:p w14:paraId="277F1DD6">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国别</w:t>
            </w:r>
          </w:p>
          <w:p w14:paraId="00558A6D">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产地</w:t>
            </w:r>
          </w:p>
        </w:tc>
        <w:tc>
          <w:tcPr>
            <w:tcW w:w="700" w:type="dxa"/>
            <w:noWrap w:val="0"/>
            <w:vAlign w:val="center"/>
          </w:tcPr>
          <w:p w14:paraId="0D1192AC">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制造</w:t>
            </w:r>
          </w:p>
          <w:p w14:paraId="6B13440E">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年份</w:t>
            </w:r>
          </w:p>
        </w:tc>
        <w:tc>
          <w:tcPr>
            <w:tcW w:w="1120" w:type="dxa"/>
            <w:noWrap w:val="0"/>
            <w:vAlign w:val="center"/>
          </w:tcPr>
          <w:p w14:paraId="49B6DD38">
            <w:pPr>
              <w:spacing w:line="240" w:lineRule="auto"/>
              <w:ind w:left="-113" w:right="-113"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定额功率</w:t>
            </w:r>
          </w:p>
          <w:p w14:paraId="39F20D45">
            <w:pPr>
              <w:spacing w:line="240" w:lineRule="auto"/>
              <w:ind w:left="-113" w:right="-113"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（KW）</w:t>
            </w:r>
          </w:p>
        </w:tc>
        <w:tc>
          <w:tcPr>
            <w:tcW w:w="700" w:type="dxa"/>
            <w:noWrap w:val="0"/>
            <w:vAlign w:val="center"/>
          </w:tcPr>
          <w:p w14:paraId="3538C81A">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生产</w:t>
            </w:r>
          </w:p>
          <w:p w14:paraId="2E3CF208">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能力</w:t>
            </w:r>
          </w:p>
        </w:tc>
        <w:tc>
          <w:tcPr>
            <w:tcW w:w="980" w:type="dxa"/>
            <w:noWrap w:val="0"/>
            <w:vAlign w:val="center"/>
          </w:tcPr>
          <w:p w14:paraId="6DCA780C">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用于施工部位</w:t>
            </w:r>
          </w:p>
        </w:tc>
        <w:tc>
          <w:tcPr>
            <w:tcW w:w="722" w:type="dxa"/>
            <w:noWrap w:val="0"/>
            <w:vAlign w:val="center"/>
          </w:tcPr>
          <w:p w14:paraId="466BBE34">
            <w:pPr>
              <w:spacing w:line="24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备注</w:t>
            </w:r>
          </w:p>
        </w:tc>
      </w:tr>
      <w:tr w14:paraId="7AA34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577" w:type="dxa"/>
            <w:noWrap w:val="0"/>
            <w:vAlign w:val="center"/>
          </w:tcPr>
          <w:p w14:paraId="717BD6A7">
            <w:pPr>
              <w:spacing w:line="360" w:lineRule="auto"/>
              <w:ind w:firstLine="0" w:firstLineChars="0"/>
              <w:rPr>
                <w:rFonts w:hint="eastAsia" w:ascii="宋体" w:hAnsi="宋体" w:eastAsia="宋体" w:cs="宋体"/>
                <w:color w:val="auto"/>
                <w:sz w:val="21"/>
                <w:szCs w:val="21"/>
              </w:rPr>
            </w:pPr>
          </w:p>
        </w:tc>
        <w:tc>
          <w:tcPr>
            <w:tcW w:w="2127" w:type="dxa"/>
            <w:noWrap w:val="0"/>
            <w:vAlign w:val="center"/>
          </w:tcPr>
          <w:p w14:paraId="155B27F2">
            <w:pPr>
              <w:spacing w:line="360" w:lineRule="auto"/>
              <w:ind w:firstLine="0" w:firstLineChars="0"/>
              <w:rPr>
                <w:rFonts w:hint="eastAsia" w:ascii="宋体" w:hAnsi="宋体" w:eastAsia="宋体" w:cs="宋体"/>
                <w:color w:val="auto"/>
                <w:sz w:val="21"/>
                <w:szCs w:val="21"/>
              </w:rPr>
            </w:pPr>
          </w:p>
        </w:tc>
        <w:tc>
          <w:tcPr>
            <w:tcW w:w="850" w:type="dxa"/>
            <w:noWrap w:val="0"/>
            <w:vAlign w:val="center"/>
          </w:tcPr>
          <w:p w14:paraId="67EFD26D">
            <w:pPr>
              <w:spacing w:line="360" w:lineRule="auto"/>
              <w:ind w:firstLine="0" w:firstLineChars="0"/>
              <w:rPr>
                <w:rFonts w:hint="eastAsia" w:ascii="宋体" w:hAnsi="宋体" w:eastAsia="宋体" w:cs="宋体"/>
                <w:color w:val="auto"/>
                <w:sz w:val="21"/>
                <w:szCs w:val="21"/>
              </w:rPr>
            </w:pPr>
          </w:p>
        </w:tc>
        <w:tc>
          <w:tcPr>
            <w:tcW w:w="614" w:type="dxa"/>
            <w:noWrap w:val="0"/>
            <w:vAlign w:val="center"/>
          </w:tcPr>
          <w:p w14:paraId="66EFA58C">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603577D3">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746E6F3D">
            <w:pPr>
              <w:spacing w:line="360" w:lineRule="auto"/>
              <w:ind w:firstLine="0" w:firstLineChars="0"/>
              <w:rPr>
                <w:rFonts w:hint="eastAsia" w:ascii="宋体" w:hAnsi="宋体" w:eastAsia="宋体" w:cs="宋体"/>
                <w:color w:val="auto"/>
                <w:sz w:val="21"/>
                <w:szCs w:val="21"/>
              </w:rPr>
            </w:pPr>
          </w:p>
        </w:tc>
        <w:tc>
          <w:tcPr>
            <w:tcW w:w="1120" w:type="dxa"/>
            <w:noWrap w:val="0"/>
            <w:vAlign w:val="center"/>
          </w:tcPr>
          <w:p w14:paraId="1144DAB6">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21516D55">
            <w:pPr>
              <w:spacing w:line="360" w:lineRule="auto"/>
              <w:ind w:firstLine="0" w:firstLineChars="0"/>
              <w:rPr>
                <w:rFonts w:hint="eastAsia" w:ascii="宋体" w:hAnsi="宋体" w:eastAsia="宋体" w:cs="宋体"/>
                <w:color w:val="auto"/>
                <w:sz w:val="21"/>
                <w:szCs w:val="21"/>
              </w:rPr>
            </w:pPr>
          </w:p>
        </w:tc>
        <w:tc>
          <w:tcPr>
            <w:tcW w:w="980" w:type="dxa"/>
            <w:noWrap w:val="0"/>
            <w:vAlign w:val="center"/>
          </w:tcPr>
          <w:p w14:paraId="48231275">
            <w:pPr>
              <w:spacing w:line="360" w:lineRule="auto"/>
              <w:ind w:firstLine="0" w:firstLineChars="0"/>
              <w:rPr>
                <w:rFonts w:hint="eastAsia" w:ascii="宋体" w:hAnsi="宋体" w:eastAsia="宋体" w:cs="宋体"/>
                <w:color w:val="auto"/>
                <w:sz w:val="21"/>
                <w:szCs w:val="21"/>
              </w:rPr>
            </w:pPr>
          </w:p>
        </w:tc>
        <w:tc>
          <w:tcPr>
            <w:tcW w:w="722" w:type="dxa"/>
            <w:noWrap w:val="0"/>
            <w:vAlign w:val="center"/>
          </w:tcPr>
          <w:p w14:paraId="3A92F9CB">
            <w:pPr>
              <w:spacing w:line="360" w:lineRule="auto"/>
              <w:ind w:firstLine="0" w:firstLineChars="0"/>
              <w:rPr>
                <w:rFonts w:hint="eastAsia" w:ascii="宋体" w:hAnsi="宋体" w:eastAsia="宋体" w:cs="宋体"/>
                <w:color w:val="auto"/>
                <w:sz w:val="21"/>
                <w:szCs w:val="21"/>
              </w:rPr>
            </w:pPr>
          </w:p>
        </w:tc>
      </w:tr>
      <w:tr w14:paraId="669BA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577" w:type="dxa"/>
            <w:noWrap w:val="0"/>
            <w:vAlign w:val="center"/>
          </w:tcPr>
          <w:p w14:paraId="190AFA04">
            <w:pPr>
              <w:spacing w:line="360" w:lineRule="auto"/>
              <w:ind w:firstLine="0" w:firstLineChars="0"/>
              <w:rPr>
                <w:rFonts w:hint="eastAsia" w:ascii="宋体" w:hAnsi="宋体" w:eastAsia="宋体" w:cs="宋体"/>
                <w:color w:val="auto"/>
                <w:sz w:val="21"/>
                <w:szCs w:val="21"/>
              </w:rPr>
            </w:pPr>
          </w:p>
        </w:tc>
        <w:tc>
          <w:tcPr>
            <w:tcW w:w="2127" w:type="dxa"/>
            <w:noWrap w:val="0"/>
            <w:vAlign w:val="center"/>
          </w:tcPr>
          <w:p w14:paraId="0D76A484">
            <w:pPr>
              <w:spacing w:line="360" w:lineRule="auto"/>
              <w:ind w:firstLine="0" w:firstLineChars="0"/>
              <w:rPr>
                <w:rFonts w:hint="eastAsia" w:ascii="宋体" w:hAnsi="宋体" w:eastAsia="宋体" w:cs="宋体"/>
                <w:color w:val="auto"/>
                <w:sz w:val="21"/>
                <w:szCs w:val="21"/>
              </w:rPr>
            </w:pPr>
          </w:p>
        </w:tc>
        <w:tc>
          <w:tcPr>
            <w:tcW w:w="850" w:type="dxa"/>
            <w:noWrap w:val="0"/>
            <w:vAlign w:val="center"/>
          </w:tcPr>
          <w:p w14:paraId="3F2CF2CC">
            <w:pPr>
              <w:spacing w:line="360" w:lineRule="auto"/>
              <w:ind w:firstLine="0" w:firstLineChars="0"/>
              <w:rPr>
                <w:rFonts w:hint="eastAsia" w:ascii="宋体" w:hAnsi="宋体" w:eastAsia="宋体" w:cs="宋体"/>
                <w:color w:val="auto"/>
                <w:sz w:val="21"/>
                <w:szCs w:val="21"/>
              </w:rPr>
            </w:pPr>
          </w:p>
        </w:tc>
        <w:tc>
          <w:tcPr>
            <w:tcW w:w="614" w:type="dxa"/>
            <w:noWrap w:val="0"/>
            <w:vAlign w:val="center"/>
          </w:tcPr>
          <w:p w14:paraId="1D70A105">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285BC31A">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4DAE591B">
            <w:pPr>
              <w:spacing w:line="360" w:lineRule="auto"/>
              <w:ind w:firstLine="0" w:firstLineChars="0"/>
              <w:rPr>
                <w:rFonts w:hint="eastAsia" w:ascii="宋体" w:hAnsi="宋体" w:eastAsia="宋体" w:cs="宋体"/>
                <w:color w:val="auto"/>
                <w:sz w:val="21"/>
                <w:szCs w:val="21"/>
              </w:rPr>
            </w:pPr>
          </w:p>
        </w:tc>
        <w:tc>
          <w:tcPr>
            <w:tcW w:w="1120" w:type="dxa"/>
            <w:noWrap w:val="0"/>
            <w:vAlign w:val="center"/>
          </w:tcPr>
          <w:p w14:paraId="0DE5C8D8">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41186C7B">
            <w:pPr>
              <w:spacing w:line="360" w:lineRule="auto"/>
              <w:ind w:firstLine="0" w:firstLineChars="0"/>
              <w:rPr>
                <w:rFonts w:hint="eastAsia" w:ascii="宋体" w:hAnsi="宋体" w:eastAsia="宋体" w:cs="宋体"/>
                <w:color w:val="auto"/>
                <w:sz w:val="21"/>
                <w:szCs w:val="21"/>
              </w:rPr>
            </w:pPr>
          </w:p>
        </w:tc>
        <w:tc>
          <w:tcPr>
            <w:tcW w:w="980" w:type="dxa"/>
            <w:noWrap w:val="0"/>
            <w:vAlign w:val="center"/>
          </w:tcPr>
          <w:p w14:paraId="2AF5D354">
            <w:pPr>
              <w:spacing w:line="360" w:lineRule="auto"/>
              <w:ind w:firstLine="0" w:firstLineChars="0"/>
              <w:rPr>
                <w:rFonts w:hint="eastAsia" w:ascii="宋体" w:hAnsi="宋体" w:eastAsia="宋体" w:cs="宋体"/>
                <w:color w:val="auto"/>
                <w:sz w:val="21"/>
                <w:szCs w:val="21"/>
              </w:rPr>
            </w:pPr>
          </w:p>
        </w:tc>
        <w:tc>
          <w:tcPr>
            <w:tcW w:w="722" w:type="dxa"/>
            <w:noWrap w:val="0"/>
            <w:vAlign w:val="center"/>
          </w:tcPr>
          <w:p w14:paraId="464FC882">
            <w:pPr>
              <w:spacing w:line="360" w:lineRule="auto"/>
              <w:ind w:firstLine="0" w:firstLineChars="0"/>
              <w:rPr>
                <w:rFonts w:hint="eastAsia" w:ascii="宋体" w:hAnsi="宋体" w:eastAsia="宋体" w:cs="宋体"/>
                <w:color w:val="auto"/>
                <w:sz w:val="21"/>
                <w:szCs w:val="21"/>
              </w:rPr>
            </w:pPr>
          </w:p>
        </w:tc>
      </w:tr>
      <w:tr w14:paraId="0D517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577" w:type="dxa"/>
            <w:noWrap w:val="0"/>
            <w:vAlign w:val="center"/>
          </w:tcPr>
          <w:p w14:paraId="285EC369">
            <w:pPr>
              <w:spacing w:line="360" w:lineRule="auto"/>
              <w:ind w:firstLine="0" w:firstLineChars="0"/>
              <w:rPr>
                <w:rFonts w:hint="eastAsia" w:ascii="宋体" w:hAnsi="宋体" w:eastAsia="宋体" w:cs="宋体"/>
                <w:color w:val="auto"/>
                <w:sz w:val="21"/>
                <w:szCs w:val="21"/>
              </w:rPr>
            </w:pPr>
          </w:p>
        </w:tc>
        <w:tc>
          <w:tcPr>
            <w:tcW w:w="2127" w:type="dxa"/>
            <w:noWrap w:val="0"/>
            <w:vAlign w:val="center"/>
          </w:tcPr>
          <w:p w14:paraId="399E4CBB">
            <w:pPr>
              <w:spacing w:line="360" w:lineRule="auto"/>
              <w:ind w:firstLine="0" w:firstLineChars="0"/>
              <w:rPr>
                <w:rFonts w:hint="eastAsia" w:ascii="宋体" w:hAnsi="宋体" w:eastAsia="宋体" w:cs="宋体"/>
                <w:color w:val="auto"/>
                <w:sz w:val="21"/>
                <w:szCs w:val="21"/>
              </w:rPr>
            </w:pPr>
          </w:p>
        </w:tc>
        <w:tc>
          <w:tcPr>
            <w:tcW w:w="850" w:type="dxa"/>
            <w:noWrap w:val="0"/>
            <w:vAlign w:val="center"/>
          </w:tcPr>
          <w:p w14:paraId="148D86D7">
            <w:pPr>
              <w:spacing w:line="360" w:lineRule="auto"/>
              <w:ind w:firstLine="0" w:firstLineChars="0"/>
              <w:rPr>
                <w:rFonts w:hint="eastAsia" w:ascii="宋体" w:hAnsi="宋体" w:eastAsia="宋体" w:cs="宋体"/>
                <w:color w:val="auto"/>
                <w:sz w:val="21"/>
                <w:szCs w:val="21"/>
              </w:rPr>
            </w:pPr>
          </w:p>
        </w:tc>
        <w:tc>
          <w:tcPr>
            <w:tcW w:w="614" w:type="dxa"/>
            <w:noWrap w:val="0"/>
            <w:vAlign w:val="center"/>
          </w:tcPr>
          <w:p w14:paraId="3B62F5B3">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65F70903">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37D30357">
            <w:pPr>
              <w:spacing w:line="360" w:lineRule="auto"/>
              <w:ind w:firstLine="0" w:firstLineChars="0"/>
              <w:rPr>
                <w:rFonts w:hint="eastAsia" w:ascii="宋体" w:hAnsi="宋体" w:eastAsia="宋体" w:cs="宋体"/>
                <w:color w:val="auto"/>
                <w:sz w:val="21"/>
                <w:szCs w:val="21"/>
              </w:rPr>
            </w:pPr>
          </w:p>
        </w:tc>
        <w:tc>
          <w:tcPr>
            <w:tcW w:w="1120" w:type="dxa"/>
            <w:noWrap w:val="0"/>
            <w:vAlign w:val="center"/>
          </w:tcPr>
          <w:p w14:paraId="0F32AC8A">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1A021DEE">
            <w:pPr>
              <w:spacing w:line="360" w:lineRule="auto"/>
              <w:ind w:firstLine="0" w:firstLineChars="0"/>
              <w:rPr>
                <w:rFonts w:hint="eastAsia" w:ascii="宋体" w:hAnsi="宋体" w:eastAsia="宋体" w:cs="宋体"/>
                <w:color w:val="auto"/>
                <w:sz w:val="21"/>
                <w:szCs w:val="21"/>
              </w:rPr>
            </w:pPr>
          </w:p>
        </w:tc>
        <w:tc>
          <w:tcPr>
            <w:tcW w:w="980" w:type="dxa"/>
            <w:noWrap w:val="0"/>
            <w:vAlign w:val="center"/>
          </w:tcPr>
          <w:p w14:paraId="5B5B293C">
            <w:pPr>
              <w:spacing w:line="360" w:lineRule="auto"/>
              <w:ind w:firstLine="0" w:firstLineChars="0"/>
              <w:rPr>
                <w:rFonts w:hint="eastAsia" w:ascii="宋体" w:hAnsi="宋体" w:eastAsia="宋体" w:cs="宋体"/>
                <w:color w:val="auto"/>
                <w:sz w:val="21"/>
                <w:szCs w:val="21"/>
              </w:rPr>
            </w:pPr>
          </w:p>
        </w:tc>
        <w:tc>
          <w:tcPr>
            <w:tcW w:w="722" w:type="dxa"/>
            <w:noWrap w:val="0"/>
            <w:vAlign w:val="center"/>
          </w:tcPr>
          <w:p w14:paraId="5CD15F15">
            <w:pPr>
              <w:spacing w:line="360" w:lineRule="auto"/>
              <w:ind w:firstLine="0" w:firstLineChars="0"/>
              <w:rPr>
                <w:rFonts w:hint="eastAsia" w:ascii="宋体" w:hAnsi="宋体" w:eastAsia="宋体" w:cs="宋体"/>
                <w:color w:val="auto"/>
                <w:sz w:val="21"/>
                <w:szCs w:val="21"/>
              </w:rPr>
            </w:pPr>
          </w:p>
        </w:tc>
      </w:tr>
      <w:tr w14:paraId="3493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577" w:type="dxa"/>
            <w:noWrap w:val="0"/>
            <w:vAlign w:val="center"/>
          </w:tcPr>
          <w:p w14:paraId="43304332">
            <w:pPr>
              <w:spacing w:line="360" w:lineRule="auto"/>
              <w:ind w:firstLine="0" w:firstLineChars="0"/>
              <w:rPr>
                <w:rFonts w:hint="eastAsia" w:ascii="宋体" w:hAnsi="宋体" w:eastAsia="宋体" w:cs="宋体"/>
                <w:color w:val="auto"/>
                <w:sz w:val="21"/>
                <w:szCs w:val="21"/>
              </w:rPr>
            </w:pPr>
          </w:p>
        </w:tc>
        <w:tc>
          <w:tcPr>
            <w:tcW w:w="2127" w:type="dxa"/>
            <w:noWrap w:val="0"/>
            <w:vAlign w:val="center"/>
          </w:tcPr>
          <w:p w14:paraId="726FF1D1">
            <w:pPr>
              <w:spacing w:line="360" w:lineRule="auto"/>
              <w:ind w:firstLine="0" w:firstLineChars="0"/>
              <w:rPr>
                <w:rFonts w:hint="eastAsia" w:ascii="宋体" w:hAnsi="宋体" w:eastAsia="宋体" w:cs="宋体"/>
                <w:color w:val="auto"/>
                <w:sz w:val="21"/>
                <w:szCs w:val="21"/>
              </w:rPr>
            </w:pPr>
          </w:p>
        </w:tc>
        <w:tc>
          <w:tcPr>
            <w:tcW w:w="850" w:type="dxa"/>
            <w:noWrap w:val="0"/>
            <w:vAlign w:val="center"/>
          </w:tcPr>
          <w:p w14:paraId="488C52AE">
            <w:pPr>
              <w:spacing w:line="360" w:lineRule="auto"/>
              <w:ind w:firstLine="0" w:firstLineChars="0"/>
              <w:rPr>
                <w:rFonts w:hint="eastAsia" w:ascii="宋体" w:hAnsi="宋体" w:eastAsia="宋体" w:cs="宋体"/>
                <w:color w:val="auto"/>
                <w:sz w:val="21"/>
                <w:szCs w:val="21"/>
              </w:rPr>
            </w:pPr>
          </w:p>
        </w:tc>
        <w:tc>
          <w:tcPr>
            <w:tcW w:w="614" w:type="dxa"/>
            <w:noWrap w:val="0"/>
            <w:vAlign w:val="center"/>
          </w:tcPr>
          <w:p w14:paraId="2C00C9B2">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0C80896E">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396652D5">
            <w:pPr>
              <w:spacing w:line="360" w:lineRule="auto"/>
              <w:ind w:firstLine="0" w:firstLineChars="0"/>
              <w:rPr>
                <w:rFonts w:hint="eastAsia" w:ascii="宋体" w:hAnsi="宋体" w:eastAsia="宋体" w:cs="宋体"/>
                <w:color w:val="auto"/>
                <w:sz w:val="21"/>
                <w:szCs w:val="21"/>
              </w:rPr>
            </w:pPr>
          </w:p>
        </w:tc>
        <w:tc>
          <w:tcPr>
            <w:tcW w:w="1120" w:type="dxa"/>
            <w:noWrap w:val="0"/>
            <w:vAlign w:val="center"/>
          </w:tcPr>
          <w:p w14:paraId="6E375AAF">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003EF993">
            <w:pPr>
              <w:spacing w:line="360" w:lineRule="auto"/>
              <w:ind w:firstLine="0" w:firstLineChars="0"/>
              <w:rPr>
                <w:rFonts w:hint="eastAsia" w:ascii="宋体" w:hAnsi="宋体" w:eastAsia="宋体" w:cs="宋体"/>
                <w:color w:val="auto"/>
                <w:sz w:val="21"/>
                <w:szCs w:val="21"/>
              </w:rPr>
            </w:pPr>
          </w:p>
        </w:tc>
        <w:tc>
          <w:tcPr>
            <w:tcW w:w="980" w:type="dxa"/>
            <w:noWrap w:val="0"/>
            <w:vAlign w:val="center"/>
          </w:tcPr>
          <w:p w14:paraId="5668B447">
            <w:pPr>
              <w:spacing w:line="360" w:lineRule="auto"/>
              <w:ind w:firstLine="0" w:firstLineChars="0"/>
              <w:rPr>
                <w:rFonts w:hint="eastAsia" w:ascii="宋体" w:hAnsi="宋体" w:eastAsia="宋体" w:cs="宋体"/>
                <w:color w:val="auto"/>
                <w:sz w:val="21"/>
                <w:szCs w:val="21"/>
              </w:rPr>
            </w:pPr>
          </w:p>
        </w:tc>
        <w:tc>
          <w:tcPr>
            <w:tcW w:w="722" w:type="dxa"/>
            <w:noWrap w:val="0"/>
            <w:vAlign w:val="center"/>
          </w:tcPr>
          <w:p w14:paraId="480FE119">
            <w:pPr>
              <w:spacing w:line="360" w:lineRule="auto"/>
              <w:ind w:firstLine="0" w:firstLineChars="0"/>
              <w:rPr>
                <w:rFonts w:hint="eastAsia" w:ascii="宋体" w:hAnsi="宋体" w:eastAsia="宋体" w:cs="宋体"/>
                <w:color w:val="auto"/>
                <w:sz w:val="21"/>
                <w:szCs w:val="21"/>
              </w:rPr>
            </w:pPr>
          </w:p>
        </w:tc>
      </w:tr>
      <w:tr w14:paraId="36B8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577" w:type="dxa"/>
            <w:noWrap w:val="0"/>
            <w:vAlign w:val="center"/>
          </w:tcPr>
          <w:p w14:paraId="54219098">
            <w:pPr>
              <w:spacing w:line="360" w:lineRule="auto"/>
              <w:ind w:firstLine="0" w:firstLineChars="0"/>
              <w:rPr>
                <w:rFonts w:hint="eastAsia" w:ascii="宋体" w:hAnsi="宋体" w:eastAsia="宋体" w:cs="宋体"/>
                <w:color w:val="auto"/>
                <w:sz w:val="21"/>
                <w:szCs w:val="21"/>
              </w:rPr>
            </w:pPr>
          </w:p>
        </w:tc>
        <w:tc>
          <w:tcPr>
            <w:tcW w:w="2127" w:type="dxa"/>
            <w:noWrap w:val="0"/>
            <w:vAlign w:val="center"/>
          </w:tcPr>
          <w:p w14:paraId="08F1FA49">
            <w:pPr>
              <w:spacing w:line="360" w:lineRule="auto"/>
              <w:ind w:firstLine="0" w:firstLineChars="0"/>
              <w:rPr>
                <w:rFonts w:hint="eastAsia" w:ascii="宋体" w:hAnsi="宋体" w:eastAsia="宋体" w:cs="宋体"/>
                <w:color w:val="auto"/>
                <w:sz w:val="21"/>
                <w:szCs w:val="21"/>
              </w:rPr>
            </w:pPr>
          </w:p>
        </w:tc>
        <w:tc>
          <w:tcPr>
            <w:tcW w:w="850" w:type="dxa"/>
            <w:noWrap w:val="0"/>
            <w:vAlign w:val="center"/>
          </w:tcPr>
          <w:p w14:paraId="281AF132">
            <w:pPr>
              <w:spacing w:line="360" w:lineRule="auto"/>
              <w:ind w:firstLine="0" w:firstLineChars="0"/>
              <w:rPr>
                <w:rFonts w:hint="eastAsia" w:ascii="宋体" w:hAnsi="宋体" w:eastAsia="宋体" w:cs="宋体"/>
                <w:color w:val="auto"/>
                <w:sz w:val="21"/>
                <w:szCs w:val="21"/>
              </w:rPr>
            </w:pPr>
          </w:p>
        </w:tc>
        <w:tc>
          <w:tcPr>
            <w:tcW w:w="614" w:type="dxa"/>
            <w:noWrap w:val="0"/>
            <w:vAlign w:val="center"/>
          </w:tcPr>
          <w:p w14:paraId="5D5898B6">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260165CE">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785C8F70">
            <w:pPr>
              <w:spacing w:line="360" w:lineRule="auto"/>
              <w:ind w:firstLine="0" w:firstLineChars="0"/>
              <w:rPr>
                <w:rFonts w:hint="eastAsia" w:ascii="宋体" w:hAnsi="宋体" w:eastAsia="宋体" w:cs="宋体"/>
                <w:color w:val="auto"/>
                <w:sz w:val="21"/>
                <w:szCs w:val="21"/>
              </w:rPr>
            </w:pPr>
          </w:p>
        </w:tc>
        <w:tc>
          <w:tcPr>
            <w:tcW w:w="1120" w:type="dxa"/>
            <w:noWrap w:val="0"/>
            <w:vAlign w:val="center"/>
          </w:tcPr>
          <w:p w14:paraId="77443E74">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7E11C4D0">
            <w:pPr>
              <w:spacing w:line="360" w:lineRule="auto"/>
              <w:ind w:firstLine="0" w:firstLineChars="0"/>
              <w:rPr>
                <w:rFonts w:hint="eastAsia" w:ascii="宋体" w:hAnsi="宋体" w:eastAsia="宋体" w:cs="宋体"/>
                <w:color w:val="auto"/>
                <w:sz w:val="21"/>
                <w:szCs w:val="21"/>
              </w:rPr>
            </w:pPr>
          </w:p>
        </w:tc>
        <w:tc>
          <w:tcPr>
            <w:tcW w:w="980" w:type="dxa"/>
            <w:noWrap w:val="0"/>
            <w:vAlign w:val="center"/>
          </w:tcPr>
          <w:p w14:paraId="7D34AF32">
            <w:pPr>
              <w:spacing w:line="360" w:lineRule="auto"/>
              <w:ind w:firstLine="0" w:firstLineChars="0"/>
              <w:rPr>
                <w:rFonts w:hint="eastAsia" w:ascii="宋体" w:hAnsi="宋体" w:eastAsia="宋体" w:cs="宋体"/>
                <w:color w:val="auto"/>
                <w:sz w:val="21"/>
                <w:szCs w:val="21"/>
              </w:rPr>
            </w:pPr>
          </w:p>
        </w:tc>
        <w:tc>
          <w:tcPr>
            <w:tcW w:w="722" w:type="dxa"/>
            <w:noWrap w:val="0"/>
            <w:vAlign w:val="center"/>
          </w:tcPr>
          <w:p w14:paraId="1A2EC132">
            <w:pPr>
              <w:spacing w:line="360" w:lineRule="auto"/>
              <w:ind w:firstLine="0" w:firstLineChars="0"/>
              <w:rPr>
                <w:rFonts w:hint="eastAsia" w:ascii="宋体" w:hAnsi="宋体" w:eastAsia="宋体" w:cs="宋体"/>
                <w:color w:val="auto"/>
                <w:sz w:val="21"/>
                <w:szCs w:val="21"/>
              </w:rPr>
            </w:pPr>
          </w:p>
        </w:tc>
      </w:tr>
      <w:tr w14:paraId="25C7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77" w:type="dxa"/>
            <w:noWrap w:val="0"/>
            <w:vAlign w:val="center"/>
          </w:tcPr>
          <w:p w14:paraId="2DC493BB">
            <w:pPr>
              <w:spacing w:line="360" w:lineRule="auto"/>
              <w:ind w:firstLine="0" w:firstLineChars="0"/>
              <w:rPr>
                <w:rFonts w:hint="eastAsia" w:ascii="宋体" w:hAnsi="宋体" w:eastAsia="宋体" w:cs="宋体"/>
                <w:color w:val="auto"/>
                <w:sz w:val="21"/>
                <w:szCs w:val="21"/>
              </w:rPr>
            </w:pPr>
          </w:p>
        </w:tc>
        <w:tc>
          <w:tcPr>
            <w:tcW w:w="2127" w:type="dxa"/>
            <w:noWrap w:val="0"/>
            <w:vAlign w:val="center"/>
          </w:tcPr>
          <w:p w14:paraId="6D2A23DF">
            <w:pPr>
              <w:spacing w:line="360" w:lineRule="auto"/>
              <w:ind w:firstLine="0" w:firstLineChars="0"/>
              <w:rPr>
                <w:rFonts w:hint="eastAsia" w:ascii="宋体" w:hAnsi="宋体" w:eastAsia="宋体" w:cs="宋体"/>
                <w:color w:val="auto"/>
                <w:sz w:val="21"/>
                <w:szCs w:val="21"/>
              </w:rPr>
            </w:pPr>
          </w:p>
        </w:tc>
        <w:tc>
          <w:tcPr>
            <w:tcW w:w="850" w:type="dxa"/>
            <w:noWrap w:val="0"/>
            <w:vAlign w:val="center"/>
          </w:tcPr>
          <w:p w14:paraId="2692DE3C">
            <w:pPr>
              <w:spacing w:line="360" w:lineRule="auto"/>
              <w:ind w:firstLine="0" w:firstLineChars="0"/>
              <w:rPr>
                <w:rFonts w:hint="eastAsia" w:ascii="宋体" w:hAnsi="宋体" w:eastAsia="宋体" w:cs="宋体"/>
                <w:color w:val="auto"/>
                <w:sz w:val="21"/>
                <w:szCs w:val="21"/>
              </w:rPr>
            </w:pPr>
          </w:p>
        </w:tc>
        <w:tc>
          <w:tcPr>
            <w:tcW w:w="614" w:type="dxa"/>
            <w:noWrap w:val="0"/>
            <w:vAlign w:val="center"/>
          </w:tcPr>
          <w:p w14:paraId="0F0176D6">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17B583DC">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34757520">
            <w:pPr>
              <w:spacing w:line="360" w:lineRule="auto"/>
              <w:ind w:firstLine="0" w:firstLineChars="0"/>
              <w:rPr>
                <w:rFonts w:hint="eastAsia" w:ascii="宋体" w:hAnsi="宋体" w:eastAsia="宋体" w:cs="宋体"/>
                <w:color w:val="auto"/>
                <w:sz w:val="21"/>
                <w:szCs w:val="21"/>
              </w:rPr>
            </w:pPr>
          </w:p>
        </w:tc>
        <w:tc>
          <w:tcPr>
            <w:tcW w:w="1120" w:type="dxa"/>
            <w:noWrap w:val="0"/>
            <w:vAlign w:val="center"/>
          </w:tcPr>
          <w:p w14:paraId="3FB2D12E">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755A2FB4">
            <w:pPr>
              <w:spacing w:line="360" w:lineRule="auto"/>
              <w:ind w:firstLine="0" w:firstLineChars="0"/>
              <w:rPr>
                <w:rFonts w:hint="eastAsia" w:ascii="宋体" w:hAnsi="宋体" w:eastAsia="宋体" w:cs="宋体"/>
                <w:color w:val="auto"/>
                <w:sz w:val="21"/>
                <w:szCs w:val="21"/>
              </w:rPr>
            </w:pPr>
          </w:p>
        </w:tc>
        <w:tc>
          <w:tcPr>
            <w:tcW w:w="980" w:type="dxa"/>
            <w:noWrap w:val="0"/>
            <w:vAlign w:val="center"/>
          </w:tcPr>
          <w:p w14:paraId="296CB901">
            <w:pPr>
              <w:spacing w:line="360" w:lineRule="auto"/>
              <w:ind w:firstLine="0" w:firstLineChars="0"/>
              <w:rPr>
                <w:rFonts w:hint="eastAsia" w:ascii="宋体" w:hAnsi="宋体" w:eastAsia="宋体" w:cs="宋体"/>
                <w:color w:val="auto"/>
                <w:sz w:val="21"/>
                <w:szCs w:val="21"/>
              </w:rPr>
            </w:pPr>
          </w:p>
        </w:tc>
        <w:tc>
          <w:tcPr>
            <w:tcW w:w="722" w:type="dxa"/>
            <w:noWrap w:val="0"/>
            <w:vAlign w:val="center"/>
          </w:tcPr>
          <w:p w14:paraId="6737EC17">
            <w:pPr>
              <w:spacing w:line="360" w:lineRule="auto"/>
              <w:ind w:firstLine="0" w:firstLineChars="0"/>
              <w:rPr>
                <w:rFonts w:hint="eastAsia" w:ascii="宋体" w:hAnsi="宋体" w:eastAsia="宋体" w:cs="宋体"/>
                <w:color w:val="auto"/>
                <w:sz w:val="21"/>
                <w:szCs w:val="21"/>
              </w:rPr>
            </w:pPr>
          </w:p>
        </w:tc>
      </w:tr>
      <w:tr w14:paraId="73C9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577" w:type="dxa"/>
            <w:noWrap w:val="0"/>
            <w:vAlign w:val="center"/>
          </w:tcPr>
          <w:p w14:paraId="005D8BC1">
            <w:pPr>
              <w:spacing w:line="360" w:lineRule="auto"/>
              <w:ind w:firstLine="0" w:firstLineChars="0"/>
              <w:rPr>
                <w:rFonts w:hint="eastAsia" w:ascii="宋体" w:hAnsi="宋体" w:eastAsia="宋体" w:cs="宋体"/>
                <w:color w:val="auto"/>
                <w:sz w:val="21"/>
                <w:szCs w:val="21"/>
              </w:rPr>
            </w:pPr>
          </w:p>
        </w:tc>
        <w:tc>
          <w:tcPr>
            <w:tcW w:w="2127" w:type="dxa"/>
            <w:noWrap w:val="0"/>
            <w:vAlign w:val="center"/>
          </w:tcPr>
          <w:p w14:paraId="23CB61B4">
            <w:pPr>
              <w:spacing w:line="360" w:lineRule="auto"/>
              <w:ind w:firstLine="0" w:firstLineChars="0"/>
              <w:rPr>
                <w:rFonts w:hint="eastAsia" w:ascii="宋体" w:hAnsi="宋体" w:eastAsia="宋体" w:cs="宋体"/>
                <w:color w:val="auto"/>
                <w:sz w:val="21"/>
                <w:szCs w:val="21"/>
              </w:rPr>
            </w:pPr>
          </w:p>
        </w:tc>
        <w:tc>
          <w:tcPr>
            <w:tcW w:w="850" w:type="dxa"/>
            <w:noWrap w:val="0"/>
            <w:vAlign w:val="center"/>
          </w:tcPr>
          <w:p w14:paraId="0AF0BF63">
            <w:pPr>
              <w:spacing w:line="360" w:lineRule="auto"/>
              <w:ind w:firstLine="0" w:firstLineChars="0"/>
              <w:rPr>
                <w:rFonts w:hint="eastAsia" w:ascii="宋体" w:hAnsi="宋体" w:eastAsia="宋体" w:cs="宋体"/>
                <w:color w:val="auto"/>
                <w:sz w:val="21"/>
                <w:szCs w:val="21"/>
              </w:rPr>
            </w:pPr>
          </w:p>
        </w:tc>
        <w:tc>
          <w:tcPr>
            <w:tcW w:w="614" w:type="dxa"/>
            <w:noWrap w:val="0"/>
            <w:vAlign w:val="center"/>
          </w:tcPr>
          <w:p w14:paraId="07715423">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540B4FA8">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375C11DD">
            <w:pPr>
              <w:spacing w:line="360" w:lineRule="auto"/>
              <w:ind w:firstLine="0" w:firstLineChars="0"/>
              <w:rPr>
                <w:rFonts w:hint="eastAsia" w:ascii="宋体" w:hAnsi="宋体" w:eastAsia="宋体" w:cs="宋体"/>
                <w:color w:val="auto"/>
                <w:sz w:val="21"/>
                <w:szCs w:val="21"/>
              </w:rPr>
            </w:pPr>
          </w:p>
        </w:tc>
        <w:tc>
          <w:tcPr>
            <w:tcW w:w="1120" w:type="dxa"/>
            <w:noWrap w:val="0"/>
            <w:vAlign w:val="center"/>
          </w:tcPr>
          <w:p w14:paraId="4E774E98">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1A86E742">
            <w:pPr>
              <w:spacing w:line="360" w:lineRule="auto"/>
              <w:ind w:firstLine="0" w:firstLineChars="0"/>
              <w:rPr>
                <w:rFonts w:hint="eastAsia" w:ascii="宋体" w:hAnsi="宋体" w:eastAsia="宋体" w:cs="宋体"/>
                <w:color w:val="auto"/>
                <w:sz w:val="21"/>
                <w:szCs w:val="21"/>
              </w:rPr>
            </w:pPr>
          </w:p>
        </w:tc>
        <w:tc>
          <w:tcPr>
            <w:tcW w:w="980" w:type="dxa"/>
            <w:noWrap w:val="0"/>
            <w:vAlign w:val="center"/>
          </w:tcPr>
          <w:p w14:paraId="0F51C245">
            <w:pPr>
              <w:spacing w:line="360" w:lineRule="auto"/>
              <w:ind w:firstLine="0" w:firstLineChars="0"/>
              <w:rPr>
                <w:rFonts w:hint="eastAsia" w:ascii="宋体" w:hAnsi="宋体" w:eastAsia="宋体" w:cs="宋体"/>
                <w:color w:val="auto"/>
                <w:sz w:val="21"/>
                <w:szCs w:val="21"/>
              </w:rPr>
            </w:pPr>
          </w:p>
        </w:tc>
        <w:tc>
          <w:tcPr>
            <w:tcW w:w="722" w:type="dxa"/>
            <w:noWrap w:val="0"/>
            <w:vAlign w:val="center"/>
          </w:tcPr>
          <w:p w14:paraId="1DB7D1B4">
            <w:pPr>
              <w:spacing w:line="360" w:lineRule="auto"/>
              <w:ind w:firstLine="0" w:firstLineChars="0"/>
              <w:rPr>
                <w:rFonts w:hint="eastAsia" w:ascii="宋体" w:hAnsi="宋体" w:eastAsia="宋体" w:cs="宋体"/>
                <w:color w:val="auto"/>
                <w:sz w:val="21"/>
                <w:szCs w:val="21"/>
              </w:rPr>
            </w:pPr>
          </w:p>
        </w:tc>
      </w:tr>
      <w:tr w14:paraId="453E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577" w:type="dxa"/>
            <w:noWrap w:val="0"/>
            <w:vAlign w:val="center"/>
          </w:tcPr>
          <w:p w14:paraId="1DCCE382">
            <w:pPr>
              <w:spacing w:line="360" w:lineRule="auto"/>
              <w:ind w:firstLine="0" w:firstLineChars="0"/>
              <w:rPr>
                <w:rFonts w:hint="eastAsia" w:ascii="宋体" w:hAnsi="宋体" w:eastAsia="宋体" w:cs="宋体"/>
                <w:color w:val="auto"/>
                <w:sz w:val="21"/>
                <w:szCs w:val="21"/>
              </w:rPr>
            </w:pPr>
          </w:p>
        </w:tc>
        <w:tc>
          <w:tcPr>
            <w:tcW w:w="2127" w:type="dxa"/>
            <w:noWrap w:val="0"/>
            <w:vAlign w:val="center"/>
          </w:tcPr>
          <w:p w14:paraId="7160CA95">
            <w:pPr>
              <w:spacing w:line="360" w:lineRule="auto"/>
              <w:ind w:firstLine="0" w:firstLineChars="0"/>
              <w:rPr>
                <w:rFonts w:hint="eastAsia" w:ascii="宋体" w:hAnsi="宋体" w:eastAsia="宋体" w:cs="宋体"/>
                <w:color w:val="auto"/>
                <w:sz w:val="21"/>
                <w:szCs w:val="21"/>
              </w:rPr>
            </w:pPr>
          </w:p>
        </w:tc>
        <w:tc>
          <w:tcPr>
            <w:tcW w:w="850" w:type="dxa"/>
            <w:noWrap w:val="0"/>
            <w:vAlign w:val="center"/>
          </w:tcPr>
          <w:p w14:paraId="1502BBD0">
            <w:pPr>
              <w:spacing w:line="360" w:lineRule="auto"/>
              <w:ind w:firstLine="0" w:firstLineChars="0"/>
              <w:rPr>
                <w:rFonts w:hint="eastAsia" w:ascii="宋体" w:hAnsi="宋体" w:eastAsia="宋体" w:cs="宋体"/>
                <w:color w:val="auto"/>
                <w:sz w:val="21"/>
                <w:szCs w:val="21"/>
              </w:rPr>
            </w:pPr>
          </w:p>
        </w:tc>
        <w:tc>
          <w:tcPr>
            <w:tcW w:w="614" w:type="dxa"/>
            <w:noWrap w:val="0"/>
            <w:vAlign w:val="center"/>
          </w:tcPr>
          <w:p w14:paraId="294477C5">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2016BF13">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55C02631">
            <w:pPr>
              <w:spacing w:line="360" w:lineRule="auto"/>
              <w:ind w:firstLine="0" w:firstLineChars="0"/>
              <w:rPr>
                <w:rFonts w:hint="eastAsia" w:ascii="宋体" w:hAnsi="宋体" w:eastAsia="宋体" w:cs="宋体"/>
                <w:color w:val="auto"/>
                <w:sz w:val="21"/>
                <w:szCs w:val="21"/>
              </w:rPr>
            </w:pPr>
          </w:p>
        </w:tc>
        <w:tc>
          <w:tcPr>
            <w:tcW w:w="1120" w:type="dxa"/>
            <w:noWrap w:val="0"/>
            <w:vAlign w:val="center"/>
          </w:tcPr>
          <w:p w14:paraId="209E6B83">
            <w:pPr>
              <w:spacing w:line="360" w:lineRule="auto"/>
              <w:ind w:firstLine="0" w:firstLineChars="0"/>
              <w:rPr>
                <w:rFonts w:hint="eastAsia" w:ascii="宋体" w:hAnsi="宋体" w:eastAsia="宋体" w:cs="宋体"/>
                <w:color w:val="auto"/>
                <w:sz w:val="21"/>
                <w:szCs w:val="21"/>
              </w:rPr>
            </w:pPr>
          </w:p>
        </w:tc>
        <w:tc>
          <w:tcPr>
            <w:tcW w:w="700" w:type="dxa"/>
            <w:noWrap w:val="0"/>
            <w:vAlign w:val="center"/>
          </w:tcPr>
          <w:p w14:paraId="043B7329">
            <w:pPr>
              <w:spacing w:line="360" w:lineRule="auto"/>
              <w:ind w:firstLine="0" w:firstLineChars="0"/>
              <w:rPr>
                <w:rFonts w:hint="eastAsia" w:ascii="宋体" w:hAnsi="宋体" w:eastAsia="宋体" w:cs="宋体"/>
                <w:color w:val="auto"/>
                <w:sz w:val="21"/>
                <w:szCs w:val="21"/>
              </w:rPr>
            </w:pPr>
          </w:p>
        </w:tc>
        <w:tc>
          <w:tcPr>
            <w:tcW w:w="980" w:type="dxa"/>
            <w:noWrap w:val="0"/>
            <w:vAlign w:val="center"/>
          </w:tcPr>
          <w:p w14:paraId="0B5D3824">
            <w:pPr>
              <w:spacing w:line="360" w:lineRule="auto"/>
              <w:ind w:firstLine="0" w:firstLineChars="0"/>
              <w:rPr>
                <w:rFonts w:hint="eastAsia" w:ascii="宋体" w:hAnsi="宋体" w:eastAsia="宋体" w:cs="宋体"/>
                <w:color w:val="auto"/>
                <w:sz w:val="21"/>
                <w:szCs w:val="21"/>
              </w:rPr>
            </w:pPr>
          </w:p>
        </w:tc>
        <w:tc>
          <w:tcPr>
            <w:tcW w:w="722" w:type="dxa"/>
            <w:noWrap w:val="0"/>
            <w:vAlign w:val="center"/>
          </w:tcPr>
          <w:p w14:paraId="5058B8B7">
            <w:pPr>
              <w:spacing w:line="360" w:lineRule="auto"/>
              <w:ind w:firstLine="0" w:firstLineChars="0"/>
              <w:rPr>
                <w:rFonts w:hint="eastAsia" w:ascii="宋体" w:hAnsi="宋体" w:eastAsia="宋体" w:cs="宋体"/>
                <w:color w:val="auto"/>
                <w:sz w:val="21"/>
                <w:szCs w:val="21"/>
              </w:rPr>
            </w:pPr>
          </w:p>
        </w:tc>
      </w:tr>
    </w:tbl>
    <w:p w14:paraId="22B716C6">
      <w:pPr>
        <w:spacing w:line="360" w:lineRule="auto"/>
        <w:jc w:val="center"/>
        <w:rPr>
          <w:rFonts w:hint="eastAsia" w:ascii="宋体" w:hAnsi="宋体" w:eastAsia="宋体" w:cs="宋体"/>
          <w:b/>
          <w:bCs/>
          <w:color w:val="auto"/>
          <w:sz w:val="24"/>
          <w:szCs w:val="24"/>
        </w:rPr>
      </w:pPr>
      <w:bookmarkStart w:id="495" w:name="_Toc201287658"/>
      <w:bookmarkStart w:id="496" w:name="_Toc357004109"/>
      <w:r>
        <w:rPr>
          <w:rFonts w:hint="eastAsia" w:ascii="宋体" w:hAnsi="宋体" w:eastAsia="宋体" w:cs="宋体"/>
          <w:b/>
          <w:bCs/>
          <w:color w:val="auto"/>
          <w:sz w:val="24"/>
          <w:szCs w:val="24"/>
        </w:rPr>
        <w:t>（二</w:t>
      </w:r>
      <w:bookmarkEnd w:id="495"/>
      <w:bookmarkStart w:id="497" w:name="_Toc201287659"/>
      <w:r>
        <w:rPr>
          <w:rFonts w:hint="eastAsia" w:ascii="宋体" w:hAnsi="宋体" w:eastAsia="宋体" w:cs="宋体"/>
          <w:b/>
          <w:bCs/>
          <w:color w:val="auto"/>
          <w:sz w:val="24"/>
          <w:szCs w:val="24"/>
        </w:rPr>
        <w:t>）劳动力计划表</w:t>
      </w:r>
      <w:bookmarkEnd w:id="496"/>
      <w:bookmarkEnd w:id="497"/>
    </w:p>
    <w:tbl>
      <w:tblPr>
        <w:tblStyle w:val="2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064"/>
        <w:gridCol w:w="1171"/>
        <w:gridCol w:w="1171"/>
        <w:gridCol w:w="1064"/>
        <w:gridCol w:w="959"/>
        <w:gridCol w:w="959"/>
        <w:gridCol w:w="1335"/>
      </w:tblGrid>
      <w:tr w14:paraId="1CAD6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jc w:val="center"/>
        </w:trPr>
        <w:tc>
          <w:tcPr>
            <w:tcW w:w="1491" w:type="dxa"/>
            <w:vMerge w:val="restart"/>
            <w:noWrap w:val="0"/>
            <w:vAlign w:val="center"/>
          </w:tcPr>
          <w:p w14:paraId="6F248F5B">
            <w:pPr>
              <w:spacing w:line="360" w:lineRule="auto"/>
              <w:ind w:firstLine="422"/>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工种</w:t>
            </w:r>
          </w:p>
        </w:tc>
        <w:tc>
          <w:tcPr>
            <w:tcW w:w="7723" w:type="dxa"/>
            <w:gridSpan w:val="7"/>
            <w:noWrap w:val="0"/>
            <w:vAlign w:val="center"/>
          </w:tcPr>
          <w:p w14:paraId="372E7E0D">
            <w:pPr>
              <w:spacing w:line="360" w:lineRule="auto"/>
              <w:ind w:firstLine="422"/>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按工程施工阶段投入劳动力情况</w:t>
            </w:r>
          </w:p>
        </w:tc>
      </w:tr>
      <w:tr w14:paraId="6FF4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atLeast"/>
          <w:jc w:val="center"/>
        </w:trPr>
        <w:tc>
          <w:tcPr>
            <w:tcW w:w="1491" w:type="dxa"/>
            <w:vMerge w:val="continue"/>
            <w:noWrap w:val="0"/>
            <w:vAlign w:val="top"/>
          </w:tcPr>
          <w:p w14:paraId="2D7D0F08">
            <w:pPr>
              <w:spacing w:line="360" w:lineRule="auto"/>
              <w:ind w:firstLine="420"/>
              <w:jc w:val="center"/>
              <w:rPr>
                <w:rFonts w:hint="eastAsia" w:ascii="宋体" w:hAnsi="宋体" w:eastAsia="宋体" w:cs="宋体"/>
                <w:color w:val="auto"/>
                <w:sz w:val="21"/>
                <w:szCs w:val="21"/>
              </w:rPr>
            </w:pPr>
          </w:p>
        </w:tc>
        <w:tc>
          <w:tcPr>
            <w:tcW w:w="1064" w:type="dxa"/>
            <w:noWrap w:val="0"/>
            <w:vAlign w:val="top"/>
          </w:tcPr>
          <w:p w14:paraId="6D60591C">
            <w:pPr>
              <w:spacing w:line="360" w:lineRule="auto"/>
              <w:ind w:firstLine="420"/>
              <w:jc w:val="center"/>
              <w:rPr>
                <w:rFonts w:hint="eastAsia" w:ascii="宋体" w:hAnsi="宋体" w:eastAsia="宋体" w:cs="宋体"/>
                <w:color w:val="auto"/>
                <w:sz w:val="21"/>
                <w:szCs w:val="21"/>
              </w:rPr>
            </w:pPr>
          </w:p>
        </w:tc>
        <w:tc>
          <w:tcPr>
            <w:tcW w:w="1171" w:type="dxa"/>
            <w:noWrap w:val="0"/>
            <w:vAlign w:val="top"/>
          </w:tcPr>
          <w:p w14:paraId="76B9CB73">
            <w:pPr>
              <w:spacing w:line="360" w:lineRule="auto"/>
              <w:ind w:firstLine="420"/>
              <w:jc w:val="center"/>
              <w:rPr>
                <w:rFonts w:hint="eastAsia" w:ascii="宋体" w:hAnsi="宋体" w:eastAsia="宋体" w:cs="宋体"/>
                <w:color w:val="auto"/>
                <w:sz w:val="21"/>
                <w:szCs w:val="21"/>
              </w:rPr>
            </w:pPr>
          </w:p>
        </w:tc>
        <w:tc>
          <w:tcPr>
            <w:tcW w:w="1171" w:type="dxa"/>
            <w:noWrap w:val="0"/>
            <w:vAlign w:val="top"/>
          </w:tcPr>
          <w:p w14:paraId="156C9EAE">
            <w:pPr>
              <w:spacing w:line="360" w:lineRule="auto"/>
              <w:ind w:firstLine="420"/>
              <w:jc w:val="center"/>
              <w:rPr>
                <w:rFonts w:hint="eastAsia" w:ascii="宋体" w:hAnsi="宋体" w:eastAsia="宋体" w:cs="宋体"/>
                <w:color w:val="auto"/>
                <w:sz w:val="21"/>
                <w:szCs w:val="21"/>
              </w:rPr>
            </w:pPr>
          </w:p>
        </w:tc>
        <w:tc>
          <w:tcPr>
            <w:tcW w:w="1064" w:type="dxa"/>
            <w:noWrap w:val="0"/>
            <w:vAlign w:val="top"/>
          </w:tcPr>
          <w:p w14:paraId="7918AF15">
            <w:pPr>
              <w:spacing w:line="360" w:lineRule="auto"/>
              <w:ind w:firstLine="420"/>
              <w:jc w:val="center"/>
              <w:rPr>
                <w:rFonts w:hint="eastAsia" w:ascii="宋体" w:hAnsi="宋体" w:eastAsia="宋体" w:cs="宋体"/>
                <w:color w:val="auto"/>
                <w:sz w:val="21"/>
                <w:szCs w:val="21"/>
              </w:rPr>
            </w:pPr>
          </w:p>
        </w:tc>
        <w:tc>
          <w:tcPr>
            <w:tcW w:w="959" w:type="dxa"/>
            <w:noWrap w:val="0"/>
            <w:vAlign w:val="top"/>
          </w:tcPr>
          <w:p w14:paraId="1A007F47">
            <w:pPr>
              <w:spacing w:line="360" w:lineRule="auto"/>
              <w:ind w:left="-113" w:right="-113" w:firstLine="420"/>
              <w:jc w:val="center"/>
              <w:rPr>
                <w:rFonts w:hint="eastAsia" w:ascii="宋体" w:hAnsi="宋体" w:eastAsia="宋体" w:cs="宋体"/>
                <w:color w:val="auto"/>
                <w:sz w:val="21"/>
                <w:szCs w:val="21"/>
              </w:rPr>
            </w:pPr>
          </w:p>
        </w:tc>
        <w:tc>
          <w:tcPr>
            <w:tcW w:w="959" w:type="dxa"/>
            <w:noWrap w:val="0"/>
            <w:vAlign w:val="top"/>
          </w:tcPr>
          <w:p w14:paraId="08BD36D0">
            <w:pPr>
              <w:spacing w:line="360" w:lineRule="auto"/>
              <w:ind w:firstLine="420"/>
              <w:jc w:val="center"/>
              <w:rPr>
                <w:rFonts w:hint="eastAsia" w:ascii="宋体" w:hAnsi="宋体" w:eastAsia="宋体" w:cs="宋体"/>
                <w:color w:val="auto"/>
                <w:sz w:val="21"/>
                <w:szCs w:val="21"/>
              </w:rPr>
            </w:pPr>
          </w:p>
        </w:tc>
        <w:tc>
          <w:tcPr>
            <w:tcW w:w="1335" w:type="dxa"/>
            <w:noWrap w:val="0"/>
            <w:vAlign w:val="top"/>
          </w:tcPr>
          <w:p w14:paraId="0D89AEDC">
            <w:pPr>
              <w:spacing w:line="360" w:lineRule="auto"/>
              <w:ind w:firstLine="420"/>
              <w:jc w:val="center"/>
              <w:rPr>
                <w:rFonts w:hint="eastAsia" w:ascii="宋体" w:hAnsi="宋体" w:eastAsia="宋体" w:cs="宋体"/>
                <w:color w:val="auto"/>
                <w:sz w:val="21"/>
                <w:szCs w:val="21"/>
              </w:rPr>
            </w:pPr>
          </w:p>
        </w:tc>
      </w:tr>
      <w:tr w14:paraId="79A7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 w:hRule="atLeast"/>
          <w:jc w:val="center"/>
        </w:trPr>
        <w:tc>
          <w:tcPr>
            <w:tcW w:w="1491" w:type="dxa"/>
            <w:noWrap w:val="0"/>
            <w:vAlign w:val="center"/>
          </w:tcPr>
          <w:p w14:paraId="4C566691">
            <w:pPr>
              <w:spacing w:line="360" w:lineRule="auto"/>
              <w:ind w:firstLine="420"/>
              <w:rPr>
                <w:rFonts w:hint="eastAsia" w:ascii="宋体" w:hAnsi="宋体" w:eastAsia="宋体" w:cs="宋体"/>
                <w:color w:val="auto"/>
                <w:sz w:val="21"/>
                <w:szCs w:val="21"/>
              </w:rPr>
            </w:pPr>
          </w:p>
        </w:tc>
        <w:tc>
          <w:tcPr>
            <w:tcW w:w="1064" w:type="dxa"/>
            <w:noWrap w:val="0"/>
            <w:vAlign w:val="center"/>
          </w:tcPr>
          <w:p w14:paraId="06787377">
            <w:pPr>
              <w:spacing w:line="360" w:lineRule="auto"/>
              <w:ind w:firstLine="420"/>
              <w:rPr>
                <w:rFonts w:hint="eastAsia" w:ascii="宋体" w:hAnsi="宋体" w:eastAsia="宋体" w:cs="宋体"/>
                <w:color w:val="auto"/>
                <w:sz w:val="21"/>
                <w:szCs w:val="21"/>
              </w:rPr>
            </w:pPr>
          </w:p>
        </w:tc>
        <w:tc>
          <w:tcPr>
            <w:tcW w:w="1171" w:type="dxa"/>
            <w:noWrap w:val="0"/>
            <w:vAlign w:val="center"/>
          </w:tcPr>
          <w:p w14:paraId="77FDF12C">
            <w:pPr>
              <w:spacing w:line="360" w:lineRule="auto"/>
              <w:ind w:firstLine="420"/>
              <w:rPr>
                <w:rFonts w:hint="eastAsia" w:ascii="宋体" w:hAnsi="宋体" w:eastAsia="宋体" w:cs="宋体"/>
                <w:color w:val="auto"/>
                <w:sz w:val="21"/>
                <w:szCs w:val="21"/>
              </w:rPr>
            </w:pPr>
          </w:p>
        </w:tc>
        <w:tc>
          <w:tcPr>
            <w:tcW w:w="1171" w:type="dxa"/>
            <w:noWrap w:val="0"/>
            <w:vAlign w:val="center"/>
          </w:tcPr>
          <w:p w14:paraId="51C4CEDA">
            <w:pPr>
              <w:spacing w:line="360" w:lineRule="auto"/>
              <w:ind w:firstLine="420"/>
              <w:rPr>
                <w:rFonts w:hint="eastAsia" w:ascii="宋体" w:hAnsi="宋体" w:eastAsia="宋体" w:cs="宋体"/>
                <w:color w:val="auto"/>
                <w:sz w:val="21"/>
                <w:szCs w:val="21"/>
              </w:rPr>
            </w:pPr>
          </w:p>
        </w:tc>
        <w:tc>
          <w:tcPr>
            <w:tcW w:w="1064" w:type="dxa"/>
            <w:noWrap w:val="0"/>
            <w:vAlign w:val="center"/>
          </w:tcPr>
          <w:p w14:paraId="5FAF7E92">
            <w:pPr>
              <w:spacing w:line="360" w:lineRule="auto"/>
              <w:ind w:firstLine="420"/>
              <w:rPr>
                <w:rFonts w:hint="eastAsia" w:ascii="宋体" w:hAnsi="宋体" w:eastAsia="宋体" w:cs="宋体"/>
                <w:color w:val="auto"/>
                <w:sz w:val="21"/>
                <w:szCs w:val="21"/>
              </w:rPr>
            </w:pPr>
          </w:p>
        </w:tc>
        <w:tc>
          <w:tcPr>
            <w:tcW w:w="959" w:type="dxa"/>
            <w:noWrap w:val="0"/>
            <w:vAlign w:val="center"/>
          </w:tcPr>
          <w:p w14:paraId="401CFA92">
            <w:pPr>
              <w:spacing w:line="360" w:lineRule="auto"/>
              <w:ind w:firstLine="420"/>
              <w:rPr>
                <w:rFonts w:hint="eastAsia" w:ascii="宋体" w:hAnsi="宋体" w:eastAsia="宋体" w:cs="宋体"/>
                <w:color w:val="auto"/>
                <w:sz w:val="21"/>
                <w:szCs w:val="21"/>
              </w:rPr>
            </w:pPr>
          </w:p>
        </w:tc>
        <w:tc>
          <w:tcPr>
            <w:tcW w:w="959" w:type="dxa"/>
            <w:noWrap w:val="0"/>
            <w:vAlign w:val="center"/>
          </w:tcPr>
          <w:p w14:paraId="72BC4895">
            <w:pPr>
              <w:spacing w:line="360" w:lineRule="auto"/>
              <w:ind w:firstLine="420"/>
              <w:rPr>
                <w:rFonts w:hint="eastAsia" w:ascii="宋体" w:hAnsi="宋体" w:eastAsia="宋体" w:cs="宋体"/>
                <w:color w:val="auto"/>
                <w:sz w:val="21"/>
                <w:szCs w:val="21"/>
              </w:rPr>
            </w:pPr>
          </w:p>
        </w:tc>
        <w:tc>
          <w:tcPr>
            <w:tcW w:w="1335" w:type="dxa"/>
            <w:noWrap w:val="0"/>
            <w:vAlign w:val="center"/>
          </w:tcPr>
          <w:p w14:paraId="076ACA1C">
            <w:pPr>
              <w:spacing w:line="360" w:lineRule="auto"/>
              <w:ind w:firstLine="420"/>
              <w:rPr>
                <w:rFonts w:hint="eastAsia" w:ascii="宋体" w:hAnsi="宋体" w:eastAsia="宋体" w:cs="宋体"/>
                <w:color w:val="auto"/>
                <w:sz w:val="21"/>
                <w:szCs w:val="21"/>
              </w:rPr>
            </w:pPr>
          </w:p>
        </w:tc>
      </w:tr>
      <w:tr w14:paraId="75A41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1491" w:type="dxa"/>
            <w:noWrap w:val="0"/>
            <w:vAlign w:val="center"/>
          </w:tcPr>
          <w:p w14:paraId="0086B777">
            <w:pPr>
              <w:spacing w:line="360" w:lineRule="auto"/>
              <w:ind w:firstLine="420"/>
              <w:rPr>
                <w:rFonts w:hint="eastAsia" w:ascii="宋体" w:hAnsi="宋体" w:eastAsia="宋体" w:cs="宋体"/>
                <w:color w:val="auto"/>
                <w:sz w:val="21"/>
                <w:szCs w:val="21"/>
              </w:rPr>
            </w:pPr>
          </w:p>
        </w:tc>
        <w:tc>
          <w:tcPr>
            <w:tcW w:w="1064" w:type="dxa"/>
            <w:noWrap w:val="0"/>
            <w:vAlign w:val="center"/>
          </w:tcPr>
          <w:p w14:paraId="3D200653">
            <w:pPr>
              <w:spacing w:line="360" w:lineRule="auto"/>
              <w:ind w:firstLine="420"/>
              <w:rPr>
                <w:rFonts w:hint="eastAsia" w:ascii="宋体" w:hAnsi="宋体" w:eastAsia="宋体" w:cs="宋体"/>
                <w:color w:val="auto"/>
                <w:sz w:val="21"/>
                <w:szCs w:val="21"/>
              </w:rPr>
            </w:pPr>
          </w:p>
        </w:tc>
        <w:tc>
          <w:tcPr>
            <w:tcW w:w="1171" w:type="dxa"/>
            <w:noWrap w:val="0"/>
            <w:vAlign w:val="center"/>
          </w:tcPr>
          <w:p w14:paraId="649A1720">
            <w:pPr>
              <w:spacing w:line="360" w:lineRule="auto"/>
              <w:ind w:firstLine="420"/>
              <w:rPr>
                <w:rFonts w:hint="eastAsia" w:ascii="宋体" w:hAnsi="宋体" w:eastAsia="宋体" w:cs="宋体"/>
                <w:color w:val="auto"/>
                <w:sz w:val="21"/>
                <w:szCs w:val="21"/>
              </w:rPr>
            </w:pPr>
          </w:p>
        </w:tc>
        <w:tc>
          <w:tcPr>
            <w:tcW w:w="1171" w:type="dxa"/>
            <w:noWrap w:val="0"/>
            <w:vAlign w:val="center"/>
          </w:tcPr>
          <w:p w14:paraId="4FFF79A9">
            <w:pPr>
              <w:spacing w:line="360" w:lineRule="auto"/>
              <w:ind w:firstLine="420"/>
              <w:rPr>
                <w:rFonts w:hint="eastAsia" w:ascii="宋体" w:hAnsi="宋体" w:eastAsia="宋体" w:cs="宋体"/>
                <w:color w:val="auto"/>
                <w:sz w:val="21"/>
                <w:szCs w:val="21"/>
              </w:rPr>
            </w:pPr>
          </w:p>
        </w:tc>
        <w:tc>
          <w:tcPr>
            <w:tcW w:w="1064" w:type="dxa"/>
            <w:noWrap w:val="0"/>
            <w:vAlign w:val="center"/>
          </w:tcPr>
          <w:p w14:paraId="6256C454">
            <w:pPr>
              <w:spacing w:line="360" w:lineRule="auto"/>
              <w:ind w:firstLine="420"/>
              <w:rPr>
                <w:rFonts w:hint="eastAsia" w:ascii="宋体" w:hAnsi="宋体" w:eastAsia="宋体" w:cs="宋体"/>
                <w:color w:val="auto"/>
                <w:sz w:val="21"/>
                <w:szCs w:val="21"/>
              </w:rPr>
            </w:pPr>
          </w:p>
        </w:tc>
        <w:tc>
          <w:tcPr>
            <w:tcW w:w="959" w:type="dxa"/>
            <w:noWrap w:val="0"/>
            <w:vAlign w:val="center"/>
          </w:tcPr>
          <w:p w14:paraId="593404AA">
            <w:pPr>
              <w:spacing w:line="360" w:lineRule="auto"/>
              <w:ind w:firstLine="420"/>
              <w:rPr>
                <w:rFonts w:hint="eastAsia" w:ascii="宋体" w:hAnsi="宋体" w:eastAsia="宋体" w:cs="宋体"/>
                <w:color w:val="auto"/>
                <w:sz w:val="21"/>
                <w:szCs w:val="21"/>
              </w:rPr>
            </w:pPr>
          </w:p>
        </w:tc>
        <w:tc>
          <w:tcPr>
            <w:tcW w:w="959" w:type="dxa"/>
            <w:noWrap w:val="0"/>
            <w:vAlign w:val="center"/>
          </w:tcPr>
          <w:p w14:paraId="7F379FF0">
            <w:pPr>
              <w:spacing w:line="360" w:lineRule="auto"/>
              <w:ind w:firstLine="420"/>
              <w:rPr>
                <w:rFonts w:hint="eastAsia" w:ascii="宋体" w:hAnsi="宋体" w:eastAsia="宋体" w:cs="宋体"/>
                <w:color w:val="auto"/>
                <w:sz w:val="21"/>
                <w:szCs w:val="21"/>
              </w:rPr>
            </w:pPr>
          </w:p>
        </w:tc>
        <w:tc>
          <w:tcPr>
            <w:tcW w:w="1335" w:type="dxa"/>
            <w:noWrap w:val="0"/>
            <w:vAlign w:val="center"/>
          </w:tcPr>
          <w:p w14:paraId="6CBC27DE">
            <w:pPr>
              <w:spacing w:line="360" w:lineRule="auto"/>
              <w:ind w:firstLine="420"/>
              <w:rPr>
                <w:rFonts w:hint="eastAsia" w:ascii="宋体" w:hAnsi="宋体" w:eastAsia="宋体" w:cs="宋体"/>
                <w:color w:val="auto"/>
                <w:sz w:val="21"/>
                <w:szCs w:val="21"/>
              </w:rPr>
            </w:pPr>
          </w:p>
        </w:tc>
      </w:tr>
      <w:tr w14:paraId="716D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jc w:val="center"/>
        </w:trPr>
        <w:tc>
          <w:tcPr>
            <w:tcW w:w="1491" w:type="dxa"/>
            <w:noWrap w:val="0"/>
            <w:vAlign w:val="center"/>
          </w:tcPr>
          <w:p w14:paraId="6F97DD79">
            <w:pPr>
              <w:spacing w:line="360" w:lineRule="auto"/>
              <w:ind w:firstLine="420"/>
              <w:rPr>
                <w:rFonts w:hint="eastAsia" w:ascii="宋体" w:hAnsi="宋体" w:eastAsia="宋体" w:cs="宋体"/>
                <w:color w:val="auto"/>
                <w:sz w:val="21"/>
                <w:szCs w:val="21"/>
              </w:rPr>
            </w:pPr>
          </w:p>
        </w:tc>
        <w:tc>
          <w:tcPr>
            <w:tcW w:w="1064" w:type="dxa"/>
            <w:noWrap w:val="0"/>
            <w:vAlign w:val="center"/>
          </w:tcPr>
          <w:p w14:paraId="3509E6FC">
            <w:pPr>
              <w:spacing w:line="360" w:lineRule="auto"/>
              <w:ind w:firstLine="420"/>
              <w:rPr>
                <w:rFonts w:hint="eastAsia" w:ascii="宋体" w:hAnsi="宋体" w:eastAsia="宋体" w:cs="宋体"/>
                <w:color w:val="auto"/>
                <w:sz w:val="21"/>
                <w:szCs w:val="21"/>
              </w:rPr>
            </w:pPr>
          </w:p>
        </w:tc>
        <w:tc>
          <w:tcPr>
            <w:tcW w:w="1171" w:type="dxa"/>
            <w:noWrap w:val="0"/>
            <w:vAlign w:val="center"/>
          </w:tcPr>
          <w:p w14:paraId="4045F243">
            <w:pPr>
              <w:spacing w:line="360" w:lineRule="auto"/>
              <w:ind w:firstLine="420"/>
              <w:rPr>
                <w:rFonts w:hint="eastAsia" w:ascii="宋体" w:hAnsi="宋体" w:eastAsia="宋体" w:cs="宋体"/>
                <w:color w:val="auto"/>
                <w:sz w:val="21"/>
                <w:szCs w:val="21"/>
              </w:rPr>
            </w:pPr>
          </w:p>
        </w:tc>
        <w:tc>
          <w:tcPr>
            <w:tcW w:w="1171" w:type="dxa"/>
            <w:noWrap w:val="0"/>
            <w:vAlign w:val="center"/>
          </w:tcPr>
          <w:p w14:paraId="5FACEFCA">
            <w:pPr>
              <w:spacing w:line="360" w:lineRule="auto"/>
              <w:ind w:firstLine="420"/>
              <w:rPr>
                <w:rFonts w:hint="eastAsia" w:ascii="宋体" w:hAnsi="宋体" w:eastAsia="宋体" w:cs="宋体"/>
                <w:color w:val="auto"/>
                <w:sz w:val="21"/>
                <w:szCs w:val="21"/>
              </w:rPr>
            </w:pPr>
          </w:p>
        </w:tc>
        <w:tc>
          <w:tcPr>
            <w:tcW w:w="1064" w:type="dxa"/>
            <w:noWrap w:val="0"/>
            <w:vAlign w:val="center"/>
          </w:tcPr>
          <w:p w14:paraId="542C802A">
            <w:pPr>
              <w:spacing w:line="360" w:lineRule="auto"/>
              <w:ind w:firstLine="420"/>
              <w:rPr>
                <w:rFonts w:hint="eastAsia" w:ascii="宋体" w:hAnsi="宋体" w:eastAsia="宋体" w:cs="宋体"/>
                <w:color w:val="auto"/>
                <w:sz w:val="21"/>
                <w:szCs w:val="21"/>
              </w:rPr>
            </w:pPr>
          </w:p>
        </w:tc>
        <w:tc>
          <w:tcPr>
            <w:tcW w:w="959" w:type="dxa"/>
            <w:noWrap w:val="0"/>
            <w:vAlign w:val="center"/>
          </w:tcPr>
          <w:p w14:paraId="5AEE8EAB">
            <w:pPr>
              <w:spacing w:line="360" w:lineRule="auto"/>
              <w:ind w:firstLine="420"/>
              <w:rPr>
                <w:rFonts w:hint="eastAsia" w:ascii="宋体" w:hAnsi="宋体" w:eastAsia="宋体" w:cs="宋体"/>
                <w:color w:val="auto"/>
                <w:sz w:val="21"/>
                <w:szCs w:val="21"/>
              </w:rPr>
            </w:pPr>
          </w:p>
        </w:tc>
        <w:tc>
          <w:tcPr>
            <w:tcW w:w="959" w:type="dxa"/>
            <w:noWrap w:val="0"/>
            <w:vAlign w:val="center"/>
          </w:tcPr>
          <w:p w14:paraId="3A4FE9DF">
            <w:pPr>
              <w:spacing w:line="360" w:lineRule="auto"/>
              <w:ind w:firstLine="420"/>
              <w:rPr>
                <w:rFonts w:hint="eastAsia" w:ascii="宋体" w:hAnsi="宋体" w:eastAsia="宋体" w:cs="宋体"/>
                <w:color w:val="auto"/>
                <w:sz w:val="21"/>
                <w:szCs w:val="21"/>
              </w:rPr>
            </w:pPr>
          </w:p>
        </w:tc>
        <w:tc>
          <w:tcPr>
            <w:tcW w:w="1335" w:type="dxa"/>
            <w:noWrap w:val="0"/>
            <w:vAlign w:val="center"/>
          </w:tcPr>
          <w:p w14:paraId="6077B0C5">
            <w:pPr>
              <w:spacing w:line="360" w:lineRule="auto"/>
              <w:ind w:firstLine="420"/>
              <w:rPr>
                <w:rFonts w:hint="eastAsia" w:ascii="宋体" w:hAnsi="宋体" w:eastAsia="宋体" w:cs="宋体"/>
                <w:color w:val="auto"/>
                <w:sz w:val="21"/>
                <w:szCs w:val="21"/>
              </w:rPr>
            </w:pPr>
          </w:p>
        </w:tc>
      </w:tr>
      <w:tr w14:paraId="35C7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trPr>
        <w:tc>
          <w:tcPr>
            <w:tcW w:w="1491" w:type="dxa"/>
            <w:noWrap w:val="0"/>
            <w:vAlign w:val="center"/>
          </w:tcPr>
          <w:p w14:paraId="1E012E53">
            <w:pPr>
              <w:spacing w:line="360" w:lineRule="auto"/>
              <w:ind w:firstLine="420"/>
              <w:rPr>
                <w:rFonts w:hint="eastAsia" w:ascii="宋体" w:hAnsi="宋体" w:eastAsia="宋体" w:cs="宋体"/>
                <w:color w:val="auto"/>
                <w:sz w:val="21"/>
                <w:szCs w:val="21"/>
              </w:rPr>
            </w:pPr>
          </w:p>
        </w:tc>
        <w:tc>
          <w:tcPr>
            <w:tcW w:w="1064" w:type="dxa"/>
            <w:noWrap w:val="0"/>
            <w:vAlign w:val="center"/>
          </w:tcPr>
          <w:p w14:paraId="64CBF2F7">
            <w:pPr>
              <w:spacing w:line="360" w:lineRule="auto"/>
              <w:ind w:firstLine="420"/>
              <w:rPr>
                <w:rFonts w:hint="eastAsia" w:ascii="宋体" w:hAnsi="宋体" w:eastAsia="宋体" w:cs="宋体"/>
                <w:color w:val="auto"/>
                <w:sz w:val="21"/>
                <w:szCs w:val="21"/>
              </w:rPr>
            </w:pPr>
          </w:p>
        </w:tc>
        <w:tc>
          <w:tcPr>
            <w:tcW w:w="1171" w:type="dxa"/>
            <w:noWrap w:val="0"/>
            <w:vAlign w:val="center"/>
          </w:tcPr>
          <w:p w14:paraId="44DE2F44">
            <w:pPr>
              <w:spacing w:line="360" w:lineRule="auto"/>
              <w:ind w:firstLine="420"/>
              <w:rPr>
                <w:rFonts w:hint="eastAsia" w:ascii="宋体" w:hAnsi="宋体" w:eastAsia="宋体" w:cs="宋体"/>
                <w:color w:val="auto"/>
                <w:sz w:val="21"/>
                <w:szCs w:val="21"/>
              </w:rPr>
            </w:pPr>
          </w:p>
        </w:tc>
        <w:tc>
          <w:tcPr>
            <w:tcW w:w="1171" w:type="dxa"/>
            <w:noWrap w:val="0"/>
            <w:vAlign w:val="center"/>
          </w:tcPr>
          <w:p w14:paraId="345F821E">
            <w:pPr>
              <w:spacing w:line="360" w:lineRule="auto"/>
              <w:ind w:firstLine="420"/>
              <w:rPr>
                <w:rFonts w:hint="eastAsia" w:ascii="宋体" w:hAnsi="宋体" w:eastAsia="宋体" w:cs="宋体"/>
                <w:color w:val="auto"/>
                <w:sz w:val="21"/>
                <w:szCs w:val="21"/>
              </w:rPr>
            </w:pPr>
          </w:p>
        </w:tc>
        <w:tc>
          <w:tcPr>
            <w:tcW w:w="1064" w:type="dxa"/>
            <w:noWrap w:val="0"/>
            <w:vAlign w:val="center"/>
          </w:tcPr>
          <w:p w14:paraId="2E46A96D">
            <w:pPr>
              <w:spacing w:line="360" w:lineRule="auto"/>
              <w:ind w:firstLine="420"/>
              <w:rPr>
                <w:rFonts w:hint="eastAsia" w:ascii="宋体" w:hAnsi="宋体" w:eastAsia="宋体" w:cs="宋体"/>
                <w:color w:val="auto"/>
                <w:sz w:val="21"/>
                <w:szCs w:val="21"/>
              </w:rPr>
            </w:pPr>
          </w:p>
        </w:tc>
        <w:tc>
          <w:tcPr>
            <w:tcW w:w="959" w:type="dxa"/>
            <w:noWrap w:val="0"/>
            <w:vAlign w:val="center"/>
          </w:tcPr>
          <w:p w14:paraId="630D29E6">
            <w:pPr>
              <w:spacing w:line="360" w:lineRule="auto"/>
              <w:ind w:firstLine="420"/>
              <w:rPr>
                <w:rFonts w:hint="eastAsia" w:ascii="宋体" w:hAnsi="宋体" w:eastAsia="宋体" w:cs="宋体"/>
                <w:color w:val="auto"/>
                <w:sz w:val="21"/>
                <w:szCs w:val="21"/>
              </w:rPr>
            </w:pPr>
          </w:p>
        </w:tc>
        <w:tc>
          <w:tcPr>
            <w:tcW w:w="959" w:type="dxa"/>
            <w:noWrap w:val="0"/>
            <w:vAlign w:val="center"/>
          </w:tcPr>
          <w:p w14:paraId="3F62A594">
            <w:pPr>
              <w:spacing w:line="360" w:lineRule="auto"/>
              <w:ind w:firstLine="420"/>
              <w:rPr>
                <w:rFonts w:hint="eastAsia" w:ascii="宋体" w:hAnsi="宋体" w:eastAsia="宋体" w:cs="宋体"/>
                <w:color w:val="auto"/>
                <w:sz w:val="21"/>
                <w:szCs w:val="21"/>
              </w:rPr>
            </w:pPr>
          </w:p>
        </w:tc>
        <w:tc>
          <w:tcPr>
            <w:tcW w:w="1335" w:type="dxa"/>
            <w:noWrap w:val="0"/>
            <w:vAlign w:val="center"/>
          </w:tcPr>
          <w:p w14:paraId="4A2F369B">
            <w:pPr>
              <w:spacing w:line="360" w:lineRule="auto"/>
              <w:ind w:firstLine="420"/>
              <w:rPr>
                <w:rFonts w:hint="eastAsia" w:ascii="宋体" w:hAnsi="宋体" w:eastAsia="宋体" w:cs="宋体"/>
                <w:color w:val="auto"/>
                <w:sz w:val="21"/>
                <w:szCs w:val="21"/>
              </w:rPr>
            </w:pPr>
          </w:p>
        </w:tc>
      </w:tr>
      <w:tr w14:paraId="555A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1491" w:type="dxa"/>
            <w:noWrap w:val="0"/>
            <w:vAlign w:val="center"/>
          </w:tcPr>
          <w:p w14:paraId="13450816">
            <w:pPr>
              <w:spacing w:line="360" w:lineRule="auto"/>
              <w:ind w:firstLine="420"/>
              <w:rPr>
                <w:rFonts w:hint="eastAsia" w:ascii="宋体" w:hAnsi="宋体" w:eastAsia="宋体" w:cs="宋体"/>
                <w:color w:val="auto"/>
                <w:sz w:val="21"/>
                <w:szCs w:val="21"/>
              </w:rPr>
            </w:pPr>
          </w:p>
        </w:tc>
        <w:tc>
          <w:tcPr>
            <w:tcW w:w="1064" w:type="dxa"/>
            <w:noWrap w:val="0"/>
            <w:vAlign w:val="center"/>
          </w:tcPr>
          <w:p w14:paraId="34971CA5">
            <w:pPr>
              <w:spacing w:line="360" w:lineRule="auto"/>
              <w:ind w:firstLine="420"/>
              <w:rPr>
                <w:rFonts w:hint="eastAsia" w:ascii="宋体" w:hAnsi="宋体" w:eastAsia="宋体" w:cs="宋体"/>
                <w:color w:val="auto"/>
                <w:sz w:val="21"/>
                <w:szCs w:val="21"/>
              </w:rPr>
            </w:pPr>
          </w:p>
        </w:tc>
        <w:tc>
          <w:tcPr>
            <w:tcW w:w="1171" w:type="dxa"/>
            <w:noWrap w:val="0"/>
            <w:vAlign w:val="center"/>
          </w:tcPr>
          <w:p w14:paraId="50FE201A">
            <w:pPr>
              <w:spacing w:line="360" w:lineRule="auto"/>
              <w:ind w:firstLine="420"/>
              <w:rPr>
                <w:rFonts w:hint="eastAsia" w:ascii="宋体" w:hAnsi="宋体" w:eastAsia="宋体" w:cs="宋体"/>
                <w:color w:val="auto"/>
                <w:sz w:val="21"/>
                <w:szCs w:val="21"/>
              </w:rPr>
            </w:pPr>
          </w:p>
        </w:tc>
        <w:tc>
          <w:tcPr>
            <w:tcW w:w="1171" w:type="dxa"/>
            <w:noWrap w:val="0"/>
            <w:vAlign w:val="center"/>
          </w:tcPr>
          <w:p w14:paraId="2DE7C0D4">
            <w:pPr>
              <w:spacing w:line="360" w:lineRule="auto"/>
              <w:ind w:firstLine="420"/>
              <w:rPr>
                <w:rFonts w:hint="eastAsia" w:ascii="宋体" w:hAnsi="宋体" w:eastAsia="宋体" w:cs="宋体"/>
                <w:color w:val="auto"/>
                <w:sz w:val="21"/>
                <w:szCs w:val="21"/>
              </w:rPr>
            </w:pPr>
          </w:p>
        </w:tc>
        <w:tc>
          <w:tcPr>
            <w:tcW w:w="1064" w:type="dxa"/>
            <w:noWrap w:val="0"/>
            <w:vAlign w:val="center"/>
          </w:tcPr>
          <w:p w14:paraId="4C34BAAB">
            <w:pPr>
              <w:spacing w:line="360" w:lineRule="auto"/>
              <w:ind w:firstLine="420"/>
              <w:rPr>
                <w:rFonts w:hint="eastAsia" w:ascii="宋体" w:hAnsi="宋体" w:eastAsia="宋体" w:cs="宋体"/>
                <w:color w:val="auto"/>
                <w:sz w:val="21"/>
                <w:szCs w:val="21"/>
              </w:rPr>
            </w:pPr>
          </w:p>
        </w:tc>
        <w:tc>
          <w:tcPr>
            <w:tcW w:w="959" w:type="dxa"/>
            <w:noWrap w:val="0"/>
            <w:vAlign w:val="center"/>
          </w:tcPr>
          <w:p w14:paraId="6B114BB3">
            <w:pPr>
              <w:spacing w:line="360" w:lineRule="auto"/>
              <w:ind w:firstLine="420"/>
              <w:rPr>
                <w:rFonts w:hint="eastAsia" w:ascii="宋体" w:hAnsi="宋体" w:eastAsia="宋体" w:cs="宋体"/>
                <w:color w:val="auto"/>
                <w:sz w:val="21"/>
                <w:szCs w:val="21"/>
              </w:rPr>
            </w:pPr>
          </w:p>
        </w:tc>
        <w:tc>
          <w:tcPr>
            <w:tcW w:w="959" w:type="dxa"/>
            <w:noWrap w:val="0"/>
            <w:vAlign w:val="center"/>
          </w:tcPr>
          <w:p w14:paraId="3C3FAF3E">
            <w:pPr>
              <w:spacing w:line="360" w:lineRule="auto"/>
              <w:ind w:firstLine="420"/>
              <w:rPr>
                <w:rFonts w:hint="eastAsia" w:ascii="宋体" w:hAnsi="宋体" w:eastAsia="宋体" w:cs="宋体"/>
                <w:color w:val="auto"/>
                <w:sz w:val="21"/>
                <w:szCs w:val="21"/>
              </w:rPr>
            </w:pPr>
          </w:p>
        </w:tc>
        <w:tc>
          <w:tcPr>
            <w:tcW w:w="1335" w:type="dxa"/>
            <w:noWrap w:val="0"/>
            <w:vAlign w:val="center"/>
          </w:tcPr>
          <w:p w14:paraId="1275B3D2">
            <w:pPr>
              <w:spacing w:line="360" w:lineRule="auto"/>
              <w:ind w:firstLine="420"/>
              <w:rPr>
                <w:rFonts w:hint="eastAsia" w:ascii="宋体" w:hAnsi="宋体" w:eastAsia="宋体" w:cs="宋体"/>
                <w:color w:val="auto"/>
                <w:sz w:val="21"/>
                <w:szCs w:val="21"/>
              </w:rPr>
            </w:pPr>
          </w:p>
        </w:tc>
      </w:tr>
      <w:tr w14:paraId="0262F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1491" w:type="dxa"/>
            <w:noWrap w:val="0"/>
            <w:vAlign w:val="center"/>
          </w:tcPr>
          <w:p w14:paraId="0D338F03">
            <w:pPr>
              <w:spacing w:line="360" w:lineRule="auto"/>
              <w:ind w:firstLine="420"/>
              <w:rPr>
                <w:rFonts w:hint="eastAsia" w:ascii="宋体" w:hAnsi="宋体" w:eastAsia="宋体" w:cs="宋体"/>
                <w:color w:val="auto"/>
                <w:sz w:val="21"/>
                <w:szCs w:val="21"/>
              </w:rPr>
            </w:pPr>
          </w:p>
        </w:tc>
        <w:tc>
          <w:tcPr>
            <w:tcW w:w="1064" w:type="dxa"/>
            <w:noWrap w:val="0"/>
            <w:vAlign w:val="center"/>
          </w:tcPr>
          <w:p w14:paraId="1271B6A4">
            <w:pPr>
              <w:spacing w:line="360" w:lineRule="auto"/>
              <w:ind w:firstLine="420"/>
              <w:rPr>
                <w:rFonts w:hint="eastAsia" w:ascii="宋体" w:hAnsi="宋体" w:eastAsia="宋体" w:cs="宋体"/>
                <w:color w:val="auto"/>
                <w:sz w:val="21"/>
                <w:szCs w:val="21"/>
              </w:rPr>
            </w:pPr>
          </w:p>
        </w:tc>
        <w:tc>
          <w:tcPr>
            <w:tcW w:w="1171" w:type="dxa"/>
            <w:noWrap w:val="0"/>
            <w:vAlign w:val="center"/>
          </w:tcPr>
          <w:p w14:paraId="784FA1D7">
            <w:pPr>
              <w:spacing w:line="360" w:lineRule="auto"/>
              <w:ind w:firstLine="420"/>
              <w:rPr>
                <w:rFonts w:hint="eastAsia" w:ascii="宋体" w:hAnsi="宋体" w:eastAsia="宋体" w:cs="宋体"/>
                <w:color w:val="auto"/>
                <w:sz w:val="21"/>
                <w:szCs w:val="21"/>
              </w:rPr>
            </w:pPr>
          </w:p>
        </w:tc>
        <w:tc>
          <w:tcPr>
            <w:tcW w:w="1171" w:type="dxa"/>
            <w:noWrap w:val="0"/>
            <w:vAlign w:val="center"/>
          </w:tcPr>
          <w:p w14:paraId="01B5AEA6">
            <w:pPr>
              <w:spacing w:line="360" w:lineRule="auto"/>
              <w:ind w:firstLine="420"/>
              <w:rPr>
                <w:rFonts w:hint="eastAsia" w:ascii="宋体" w:hAnsi="宋体" w:eastAsia="宋体" w:cs="宋体"/>
                <w:color w:val="auto"/>
                <w:sz w:val="21"/>
                <w:szCs w:val="21"/>
              </w:rPr>
            </w:pPr>
          </w:p>
        </w:tc>
        <w:tc>
          <w:tcPr>
            <w:tcW w:w="1064" w:type="dxa"/>
            <w:noWrap w:val="0"/>
            <w:vAlign w:val="center"/>
          </w:tcPr>
          <w:p w14:paraId="34DF0CCD">
            <w:pPr>
              <w:spacing w:line="360" w:lineRule="auto"/>
              <w:ind w:firstLine="420"/>
              <w:rPr>
                <w:rFonts w:hint="eastAsia" w:ascii="宋体" w:hAnsi="宋体" w:eastAsia="宋体" w:cs="宋体"/>
                <w:color w:val="auto"/>
                <w:sz w:val="21"/>
                <w:szCs w:val="21"/>
              </w:rPr>
            </w:pPr>
          </w:p>
        </w:tc>
        <w:tc>
          <w:tcPr>
            <w:tcW w:w="959" w:type="dxa"/>
            <w:noWrap w:val="0"/>
            <w:vAlign w:val="center"/>
          </w:tcPr>
          <w:p w14:paraId="19C001CA">
            <w:pPr>
              <w:spacing w:line="360" w:lineRule="auto"/>
              <w:ind w:firstLine="420"/>
              <w:rPr>
                <w:rFonts w:hint="eastAsia" w:ascii="宋体" w:hAnsi="宋体" w:eastAsia="宋体" w:cs="宋体"/>
                <w:color w:val="auto"/>
                <w:sz w:val="21"/>
                <w:szCs w:val="21"/>
              </w:rPr>
            </w:pPr>
          </w:p>
        </w:tc>
        <w:tc>
          <w:tcPr>
            <w:tcW w:w="959" w:type="dxa"/>
            <w:noWrap w:val="0"/>
            <w:vAlign w:val="center"/>
          </w:tcPr>
          <w:p w14:paraId="7A81F84F">
            <w:pPr>
              <w:spacing w:line="360" w:lineRule="auto"/>
              <w:ind w:firstLine="420"/>
              <w:rPr>
                <w:rFonts w:hint="eastAsia" w:ascii="宋体" w:hAnsi="宋体" w:eastAsia="宋体" w:cs="宋体"/>
                <w:color w:val="auto"/>
                <w:sz w:val="21"/>
                <w:szCs w:val="21"/>
              </w:rPr>
            </w:pPr>
          </w:p>
        </w:tc>
        <w:tc>
          <w:tcPr>
            <w:tcW w:w="1335" w:type="dxa"/>
            <w:noWrap w:val="0"/>
            <w:vAlign w:val="center"/>
          </w:tcPr>
          <w:p w14:paraId="16E041DC">
            <w:pPr>
              <w:spacing w:line="360" w:lineRule="auto"/>
              <w:ind w:firstLine="420"/>
              <w:rPr>
                <w:rFonts w:hint="eastAsia" w:ascii="宋体" w:hAnsi="宋体" w:eastAsia="宋体" w:cs="宋体"/>
                <w:color w:val="auto"/>
                <w:sz w:val="21"/>
                <w:szCs w:val="21"/>
              </w:rPr>
            </w:pPr>
          </w:p>
        </w:tc>
      </w:tr>
    </w:tbl>
    <w:p w14:paraId="496DDD2C">
      <w:pPr>
        <w:autoSpaceDE w:val="0"/>
        <w:autoSpaceDN w:val="0"/>
        <w:adjustRightInd w:val="0"/>
        <w:ind w:firstLine="360"/>
        <w:jc w:val="left"/>
        <w:rPr>
          <w:rFonts w:hint="eastAsia" w:ascii="宋体" w:hAnsi="宋体" w:eastAsia="宋体" w:cs="宋体"/>
          <w:color w:val="auto"/>
          <w:kern w:val="0"/>
          <w:sz w:val="18"/>
          <w:szCs w:val="18"/>
        </w:rPr>
      </w:pPr>
    </w:p>
    <w:p w14:paraId="16C14BA8">
      <w:pPr>
        <w:autoSpaceDE w:val="0"/>
        <w:autoSpaceDN w:val="0"/>
        <w:adjustRightInd w:val="0"/>
        <w:ind w:firstLine="360"/>
        <w:jc w:val="left"/>
        <w:rPr>
          <w:rFonts w:hint="eastAsia" w:ascii="宋体" w:hAnsi="宋体" w:eastAsia="宋体" w:cs="宋体"/>
          <w:color w:val="auto"/>
          <w:kern w:val="0"/>
          <w:sz w:val="18"/>
          <w:szCs w:val="18"/>
        </w:rPr>
      </w:pPr>
    </w:p>
    <w:p w14:paraId="2CABA0FD">
      <w:pPr>
        <w:spacing w:line="360" w:lineRule="auto"/>
        <w:jc w:val="left"/>
        <w:rPr>
          <w:rFonts w:hint="eastAsia" w:ascii="宋体" w:hAnsi="宋体" w:eastAsia="宋体" w:cs="宋体"/>
          <w:b/>
          <w:bCs/>
          <w:color w:val="auto"/>
          <w:sz w:val="32"/>
          <w:szCs w:val="32"/>
        </w:rPr>
      </w:pPr>
      <w:bookmarkStart w:id="498" w:name="_Toc357004110"/>
    </w:p>
    <w:p w14:paraId="0E9E1A44">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（三）进度计划</w:t>
      </w:r>
      <w:bookmarkEnd w:id="498"/>
    </w:p>
    <w:p w14:paraId="109E98DB">
      <w:pPr>
        <w:autoSpaceDE w:val="0"/>
        <w:autoSpaceDN w:val="0"/>
        <w:adjustRightInd w:val="0"/>
        <w:spacing w:line="240" w:lineRule="auto"/>
        <w:ind w:firstLine="480"/>
        <w:jc w:val="left"/>
        <w:rPr>
          <w:rFonts w:hint="eastAsia" w:ascii="宋体" w:hAnsi="宋体" w:eastAsia="宋体" w:cs="宋体"/>
          <w:color w:val="auto"/>
          <w:kern w:val="0"/>
        </w:rPr>
      </w:pPr>
    </w:p>
    <w:p w14:paraId="4BD07009">
      <w:pPr>
        <w:autoSpaceDE w:val="0"/>
        <w:autoSpaceDN w:val="0"/>
        <w:adjustRightInd w:val="0"/>
        <w:ind w:firstLine="480"/>
        <w:jc w:val="left"/>
        <w:rPr>
          <w:rFonts w:hint="eastAsia" w:ascii="宋体" w:hAnsi="宋体" w:eastAsia="宋体" w:cs="宋体"/>
          <w:color w:val="auto"/>
          <w:kern w:val="0"/>
        </w:rPr>
      </w:pPr>
      <w:r>
        <w:rPr>
          <w:rFonts w:hint="eastAsia" w:ascii="宋体" w:hAnsi="宋体" w:eastAsia="宋体" w:cs="宋体"/>
          <w:color w:val="auto"/>
          <w:kern w:val="0"/>
        </w:rPr>
        <w:t>1. 供应商应递交施工进度网络图或施工进度表，说明按</w:t>
      </w:r>
      <w:r>
        <w:rPr>
          <w:rFonts w:hint="eastAsia" w:ascii="宋体" w:hAnsi="宋体" w:eastAsia="宋体" w:cs="宋体"/>
          <w:color w:val="auto"/>
          <w:kern w:val="0"/>
          <w:lang w:val="en-US" w:eastAsia="zh-CN"/>
        </w:rPr>
        <w:t>谈判文件</w:t>
      </w:r>
      <w:r>
        <w:rPr>
          <w:rFonts w:hint="eastAsia" w:ascii="宋体" w:hAnsi="宋体" w:eastAsia="宋体" w:cs="宋体"/>
          <w:color w:val="auto"/>
          <w:kern w:val="0"/>
        </w:rPr>
        <w:t>要求的计划工期进行施工的各个关键日期。</w:t>
      </w:r>
    </w:p>
    <w:p w14:paraId="623EB605">
      <w:pPr>
        <w:autoSpaceDE w:val="0"/>
        <w:autoSpaceDN w:val="0"/>
        <w:adjustRightInd w:val="0"/>
        <w:ind w:firstLine="480"/>
        <w:jc w:val="left"/>
        <w:rPr>
          <w:rFonts w:hint="eastAsia" w:ascii="宋体" w:hAnsi="宋体" w:eastAsia="宋体" w:cs="宋体"/>
          <w:color w:val="auto"/>
          <w:kern w:val="0"/>
        </w:rPr>
      </w:pPr>
      <w:r>
        <w:rPr>
          <w:rFonts w:hint="eastAsia" w:ascii="宋体" w:hAnsi="宋体" w:eastAsia="宋体" w:cs="宋体"/>
          <w:color w:val="auto"/>
          <w:kern w:val="0"/>
        </w:rPr>
        <w:t>2. 施工进度表可采用网络图（或横道图）表示。</w:t>
      </w:r>
    </w:p>
    <w:p w14:paraId="603B20A3">
      <w:pPr>
        <w:autoSpaceDE w:val="0"/>
        <w:autoSpaceDN w:val="0"/>
        <w:adjustRightInd w:val="0"/>
        <w:ind w:firstLine="360"/>
        <w:jc w:val="left"/>
        <w:rPr>
          <w:rFonts w:hint="eastAsia" w:ascii="宋体" w:hAnsi="宋体" w:eastAsia="宋体" w:cs="宋体"/>
          <w:color w:val="auto"/>
          <w:kern w:val="0"/>
          <w:sz w:val="18"/>
          <w:szCs w:val="18"/>
        </w:rPr>
      </w:pPr>
    </w:p>
    <w:p w14:paraId="3F6E2D43">
      <w:pPr>
        <w:autoSpaceDE w:val="0"/>
        <w:autoSpaceDN w:val="0"/>
        <w:adjustRightInd w:val="0"/>
        <w:ind w:firstLine="360"/>
        <w:jc w:val="left"/>
        <w:rPr>
          <w:rFonts w:hint="eastAsia" w:ascii="宋体" w:hAnsi="宋体" w:eastAsia="宋体" w:cs="宋体"/>
          <w:color w:val="auto"/>
          <w:kern w:val="0"/>
          <w:sz w:val="18"/>
          <w:szCs w:val="18"/>
        </w:rPr>
      </w:pPr>
    </w:p>
    <w:p w14:paraId="5DCCEA79">
      <w:pPr>
        <w:autoSpaceDE w:val="0"/>
        <w:autoSpaceDN w:val="0"/>
        <w:adjustRightInd w:val="0"/>
        <w:ind w:firstLine="360"/>
        <w:jc w:val="left"/>
        <w:rPr>
          <w:rFonts w:hint="eastAsia" w:ascii="宋体" w:hAnsi="宋体" w:eastAsia="宋体" w:cs="宋体"/>
          <w:color w:val="auto"/>
          <w:kern w:val="0"/>
          <w:sz w:val="18"/>
          <w:szCs w:val="18"/>
        </w:rPr>
      </w:pPr>
    </w:p>
    <w:p w14:paraId="3CD07B9F">
      <w:pPr>
        <w:autoSpaceDE w:val="0"/>
        <w:autoSpaceDN w:val="0"/>
        <w:adjustRightInd w:val="0"/>
        <w:ind w:firstLine="360"/>
        <w:jc w:val="left"/>
        <w:rPr>
          <w:rFonts w:hint="eastAsia" w:ascii="宋体" w:hAnsi="宋体" w:eastAsia="宋体" w:cs="宋体"/>
          <w:color w:val="auto"/>
          <w:kern w:val="0"/>
          <w:sz w:val="18"/>
          <w:szCs w:val="18"/>
        </w:rPr>
      </w:pPr>
    </w:p>
    <w:p w14:paraId="26D896F3">
      <w:pPr>
        <w:keepNext w:val="0"/>
        <w:keepLines w:val="0"/>
        <w:pageBreakBefore w:val="0"/>
        <w:widowControl w:val="0"/>
        <w:kinsoku/>
        <w:wordWrap/>
        <w:overflowPunct/>
        <w:topLinePunct w:val="0"/>
        <w:bidi w:val="0"/>
        <w:adjustRightInd/>
        <w:snapToGrid/>
        <w:spacing w:line="360" w:lineRule="auto"/>
        <w:jc w:val="both"/>
        <w:textAlignment w:val="auto"/>
        <w:outlineLvl w:val="9"/>
        <w:rPr>
          <w:rFonts w:hint="eastAsia" w:ascii="宋体" w:hAnsi="宋体" w:eastAsia="宋体" w:cs="宋体"/>
          <w:b/>
          <w:bCs w:val="0"/>
          <w:color w:val="auto"/>
          <w:sz w:val="24"/>
          <w:szCs w:val="24"/>
        </w:rPr>
      </w:pPr>
    </w:p>
    <w:p w14:paraId="633F8CA3">
      <w:pPr>
        <w:keepNext w:val="0"/>
        <w:keepLines w:val="0"/>
        <w:pageBreakBefore w:val="0"/>
        <w:kinsoku/>
        <w:wordWrap/>
        <w:overflowPunct/>
        <w:topLinePunct w:val="0"/>
        <w:bidi w:val="0"/>
        <w:adjustRightInd/>
        <w:snapToGrid/>
        <w:spacing w:line="360" w:lineRule="auto"/>
        <w:ind w:left="0" w:leftChars="0"/>
        <w:rPr>
          <w:rFonts w:hint="eastAsia" w:ascii="宋体" w:hAnsi="宋体" w:eastAsia="宋体" w:cs="宋体"/>
          <w:b/>
          <w:bCs w:val="0"/>
          <w:color w:val="auto"/>
          <w:sz w:val="24"/>
          <w:szCs w:val="24"/>
        </w:rPr>
      </w:pPr>
    </w:p>
    <w:p w14:paraId="4A9BCA18">
      <w:pPr>
        <w:keepNext w:val="0"/>
        <w:keepLines w:val="0"/>
        <w:pageBreakBefore w:val="0"/>
        <w:kinsoku/>
        <w:wordWrap/>
        <w:overflowPunct/>
        <w:topLinePunct w:val="0"/>
        <w:bidi w:val="0"/>
        <w:adjustRightInd/>
        <w:snapToGrid/>
        <w:spacing w:line="360" w:lineRule="auto"/>
        <w:ind w:left="0" w:leftChars="0"/>
        <w:rPr>
          <w:rFonts w:hint="eastAsia" w:ascii="宋体" w:hAnsi="宋体" w:eastAsia="宋体" w:cs="宋体"/>
          <w:b/>
          <w:bCs w:val="0"/>
          <w:color w:val="auto"/>
          <w:kern w:val="2"/>
          <w:sz w:val="28"/>
          <w:szCs w:val="28"/>
          <w:lang w:val="en-US" w:eastAsia="zh-CN" w:bidi="ar-SA"/>
        </w:rPr>
      </w:pPr>
      <w:bookmarkStart w:id="499" w:name="_Toc28501"/>
      <w:bookmarkStart w:id="500" w:name="_Toc14547"/>
      <w:bookmarkStart w:id="501" w:name="_Toc6913_WPSOffice_Level3"/>
      <w:bookmarkStart w:id="502" w:name="_Toc7597"/>
      <w:bookmarkStart w:id="503" w:name="_Toc18025_WPSOffice_Level3"/>
      <w:r>
        <w:rPr>
          <w:rFonts w:hint="eastAsia" w:ascii="宋体" w:hAnsi="宋体" w:eastAsia="宋体" w:cs="宋体"/>
          <w:b/>
          <w:bCs w:val="0"/>
          <w:color w:val="auto"/>
          <w:kern w:val="2"/>
          <w:sz w:val="28"/>
          <w:szCs w:val="28"/>
          <w:lang w:val="en-US" w:eastAsia="zh-CN" w:bidi="ar-SA"/>
        </w:rPr>
        <w:br w:type="page"/>
      </w:r>
    </w:p>
    <w:p w14:paraId="1D0C2076">
      <w:pPr>
        <w:keepNext w:val="0"/>
        <w:keepLines w:val="0"/>
        <w:pageBreakBefore w:val="0"/>
        <w:widowControl/>
        <w:kinsoku/>
        <w:wordWrap/>
        <w:overflowPunct/>
        <w:topLinePunct w:val="0"/>
        <w:bidi w:val="0"/>
        <w:adjustRightInd/>
        <w:snapToGrid/>
        <w:spacing w:line="360" w:lineRule="auto"/>
        <w:ind w:left="0" w:leftChars="0"/>
        <w:outlineLvl w:val="1"/>
        <w:rPr>
          <w:rFonts w:hint="eastAsia" w:ascii="宋体" w:hAnsi="宋体" w:eastAsia="宋体" w:cs="宋体"/>
          <w:b/>
          <w:color w:val="auto"/>
          <w:sz w:val="24"/>
          <w:szCs w:val="24"/>
        </w:rPr>
      </w:pPr>
      <w:bookmarkStart w:id="504" w:name="_Toc22110"/>
      <w:r>
        <w:rPr>
          <w:rFonts w:hint="eastAsia" w:ascii="宋体" w:hAnsi="宋体" w:eastAsia="宋体" w:cs="宋体"/>
          <w:b/>
          <w:bCs w:val="0"/>
          <w:color w:val="auto"/>
          <w:kern w:val="2"/>
          <w:sz w:val="28"/>
          <w:szCs w:val="28"/>
          <w:lang w:val="en-US" w:eastAsia="zh-CN" w:bidi="ar-SA"/>
        </w:rPr>
        <w:t>附件13：</w:t>
      </w:r>
      <w:bookmarkEnd w:id="499"/>
      <w:bookmarkEnd w:id="500"/>
      <w:bookmarkEnd w:id="501"/>
      <w:bookmarkEnd w:id="502"/>
      <w:bookmarkEnd w:id="503"/>
      <w:r>
        <w:rPr>
          <w:rFonts w:hint="eastAsia" w:ascii="宋体" w:hAnsi="宋体" w:eastAsia="宋体" w:cs="宋体"/>
          <w:b/>
          <w:bCs w:val="0"/>
          <w:color w:val="auto"/>
          <w:kern w:val="2"/>
          <w:sz w:val="28"/>
          <w:szCs w:val="28"/>
          <w:lang w:val="en-US" w:eastAsia="zh-CN" w:bidi="ar-SA"/>
        </w:rPr>
        <w:t>具备履行合同所必须的设备和专业技术能力证明</w:t>
      </w:r>
      <w:bookmarkEnd w:id="504"/>
    </w:p>
    <w:p w14:paraId="07C24380">
      <w:pPr>
        <w:keepNext w:val="0"/>
        <w:keepLines w:val="0"/>
        <w:pageBreakBefore w:val="0"/>
        <w:widowControl/>
        <w:kinsoku/>
        <w:wordWrap/>
        <w:overflowPunct/>
        <w:topLinePunct w:val="0"/>
        <w:bidi w:val="0"/>
        <w:adjustRightInd/>
        <w:snapToGrid/>
        <w:spacing w:line="360" w:lineRule="auto"/>
        <w:ind w:left="0" w:leftChars="0" w:firstLine="504" w:firstLineChars="200"/>
        <w:jc w:val="left"/>
        <w:rPr>
          <w:rFonts w:hint="eastAsia" w:ascii="宋体" w:hAnsi="宋体" w:eastAsia="宋体" w:cs="宋体"/>
          <w:color w:val="auto"/>
          <w:spacing w:val="6"/>
          <w:kern w:val="0"/>
          <w:sz w:val="24"/>
          <w:szCs w:val="24"/>
          <w:lang w:val="zh-CN" w:eastAsia="zh-CN"/>
        </w:rPr>
      </w:pPr>
      <w:r>
        <w:rPr>
          <w:rFonts w:hint="eastAsia" w:ascii="宋体" w:hAnsi="宋体" w:eastAsia="宋体" w:cs="宋体"/>
          <w:color w:val="auto"/>
          <w:spacing w:val="6"/>
          <w:kern w:val="0"/>
          <w:sz w:val="24"/>
          <w:szCs w:val="24"/>
          <w:lang w:val="zh-CN"/>
        </w:rPr>
        <w:t>为保证本项目合同的顺利履行，供应商必须具备履行合同的设备和专业技术能力，须提供必须具备履行合同的设备和专业技术能力的承诺函（格式自拟），并提供相关设备的购置发票或相关人员的职称证书</w:t>
      </w:r>
      <w:r>
        <w:rPr>
          <w:rFonts w:hint="eastAsia" w:ascii="宋体" w:hAnsi="宋体" w:eastAsia="宋体" w:cs="宋体"/>
          <w:color w:val="auto"/>
          <w:spacing w:val="6"/>
          <w:kern w:val="0"/>
          <w:sz w:val="24"/>
          <w:szCs w:val="24"/>
          <w:lang w:val="zh-CN" w:eastAsia="zh-CN"/>
        </w:rPr>
        <w:t>或</w:t>
      </w:r>
      <w:r>
        <w:rPr>
          <w:rFonts w:hint="eastAsia" w:ascii="宋体" w:hAnsi="宋体" w:eastAsia="宋体" w:cs="宋体"/>
          <w:color w:val="auto"/>
          <w:spacing w:val="6"/>
          <w:kern w:val="0"/>
          <w:sz w:val="24"/>
          <w:szCs w:val="24"/>
          <w:lang w:val="zh-CN"/>
        </w:rPr>
        <w:t>用工合同等证明材料。</w:t>
      </w:r>
    </w:p>
    <w:p w14:paraId="2645BE07">
      <w:pPr>
        <w:keepNext w:val="0"/>
        <w:keepLines w:val="0"/>
        <w:pageBreakBefore w:val="0"/>
        <w:widowControl/>
        <w:kinsoku/>
        <w:wordWrap/>
        <w:overflowPunct/>
        <w:topLinePunct w:val="0"/>
        <w:bidi w:val="0"/>
        <w:adjustRightInd/>
        <w:snapToGrid/>
        <w:spacing w:line="360" w:lineRule="auto"/>
        <w:ind w:left="0" w:leftChars="0"/>
        <w:jc w:val="left"/>
        <w:rPr>
          <w:rFonts w:hint="eastAsia" w:ascii="宋体" w:hAnsi="宋体" w:eastAsia="宋体" w:cs="宋体"/>
          <w:color w:val="auto"/>
          <w:spacing w:val="6"/>
          <w:kern w:val="0"/>
          <w:sz w:val="24"/>
          <w:szCs w:val="24"/>
        </w:rPr>
      </w:pPr>
    </w:p>
    <w:p w14:paraId="3FB2F58A">
      <w:pPr>
        <w:pStyle w:val="5"/>
        <w:spacing w:before="120" w:after="120" w:line="400" w:lineRule="exact"/>
        <w:jc w:val="center"/>
        <w:rPr>
          <w:rFonts w:hint="eastAsia" w:ascii="宋体" w:hAnsi="宋体" w:eastAsia="宋体" w:cs="宋体"/>
          <w:color w:val="auto"/>
          <w:kern w:val="0"/>
          <w:szCs w:val="24"/>
        </w:rPr>
      </w:pPr>
      <w:bookmarkStart w:id="505" w:name="_Toc201287664"/>
      <w:bookmarkStart w:id="506" w:name="_Toc18912"/>
      <w:bookmarkStart w:id="507" w:name="_Toc7393"/>
      <w:bookmarkStart w:id="508" w:name="_Toc16192"/>
      <w:r>
        <w:rPr>
          <w:rFonts w:hint="eastAsia" w:ascii="宋体" w:hAnsi="宋体" w:eastAsia="宋体" w:cs="宋体"/>
          <w:color w:val="auto"/>
          <w:kern w:val="0"/>
          <w:sz w:val="24"/>
          <w:szCs w:val="24"/>
        </w:rPr>
        <w:t>（一）项目管理机构组成表</w:t>
      </w:r>
      <w:bookmarkEnd w:id="505"/>
      <w:bookmarkEnd w:id="506"/>
      <w:bookmarkEnd w:id="507"/>
      <w:bookmarkEnd w:id="508"/>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36"/>
        <w:gridCol w:w="976"/>
        <w:gridCol w:w="940"/>
        <w:gridCol w:w="1074"/>
        <w:gridCol w:w="936"/>
        <w:gridCol w:w="936"/>
        <w:gridCol w:w="1273"/>
        <w:gridCol w:w="936"/>
        <w:gridCol w:w="996"/>
      </w:tblGrid>
      <w:tr w14:paraId="1059E1F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36" w:type="dxa"/>
            <w:vMerge w:val="restart"/>
            <w:noWrap w:val="0"/>
            <w:vAlign w:val="center"/>
          </w:tcPr>
          <w:p w14:paraId="581E065D">
            <w:pPr>
              <w:autoSpaceDE w:val="0"/>
              <w:autoSpaceDN w:val="0"/>
              <w:adjustRightInd w:val="0"/>
              <w:ind w:firstLine="0" w:firstLineChars="0"/>
              <w:jc w:val="center"/>
              <w:rPr>
                <w:rFonts w:hint="eastAsia" w:ascii="宋体" w:hAnsi="宋体" w:eastAsia="宋体" w:cs="宋体"/>
                <w:color w:val="auto"/>
                <w:kern w:val="0"/>
                <w:szCs w:val="21"/>
              </w:rPr>
            </w:pPr>
            <w:r>
              <w:rPr>
                <w:rFonts w:hint="eastAsia" w:ascii="宋体" w:hAnsi="宋体" w:eastAsia="宋体" w:cs="宋体"/>
                <w:color w:val="auto"/>
                <w:kern w:val="0"/>
                <w:szCs w:val="21"/>
              </w:rPr>
              <w:t>职务</w:t>
            </w:r>
          </w:p>
        </w:tc>
        <w:tc>
          <w:tcPr>
            <w:tcW w:w="976" w:type="dxa"/>
            <w:vMerge w:val="restart"/>
            <w:noWrap w:val="0"/>
            <w:vAlign w:val="center"/>
          </w:tcPr>
          <w:p w14:paraId="6AA25455">
            <w:pPr>
              <w:autoSpaceDE w:val="0"/>
              <w:autoSpaceDN w:val="0"/>
              <w:adjustRightInd w:val="0"/>
              <w:ind w:firstLine="0" w:firstLineChars="0"/>
              <w:jc w:val="center"/>
              <w:rPr>
                <w:rFonts w:hint="eastAsia" w:ascii="宋体" w:hAnsi="宋体" w:eastAsia="宋体" w:cs="宋体"/>
                <w:color w:val="auto"/>
                <w:kern w:val="0"/>
                <w:szCs w:val="21"/>
              </w:rPr>
            </w:pPr>
            <w:r>
              <w:rPr>
                <w:rFonts w:hint="eastAsia" w:ascii="宋体" w:hAnsi="宋体" w:eastAsia="宋体" w:cs="宋体"/>
                <w:color w:val="auto"/>
                <w:kern w:val="0"/>
                <w:szCs w:val="21"/>
              </w:rPr>
              <w:t>姓名</w:t>
            </w:r>
          </w:p>
        </w:tc>
        <w:tc>
          <w:tcPr>
            <w:tcW w:w="940" w:type="dxa"/>
            <w:vMerge w:val="restart"/>
            <w:noWrap w:val="0"/>
            <w:vAlign w:val="center"/>
          </w:tcPr>
          <w:p w14:paraId="38956957">
            <w:pPr>
              <w:autoSpaceDE w:val="0"/>
              <w:autoSpaceDN w:val="0"/>
              <w:adjustRightInd w:val="0"/>
              <w:ind w:firstLine="0" w:firstLineChars="0"/>
              <w:jc w:val="center"/>
              <w:rPr>
                <w:rFonts w:hint="eastAsia" w:ascii="宋体" w:hAnsi="宋体" w:eastAsia="宋体" w:cs="宋体"/>
                <w:color w:val="auto"/>
                <w:kern w:val="0"/>
                <w:szCs w:val="21"/>
              </w:rPr>
            </w:pPr>
            <w:r>
              <w:rPr>
                <w:rFonts w:hint="eastAsia" w:ascii="宋体" w:hAnsi="宋体" w:eastAsia="宋体" w:cs="宋体"/>
                <w:color w:val="auto"/>
                <w:kern w:val="0"/>
                <w:szCs w:val="21"/>
              </w:rPr>
              <w:t>职称</w:t>
            </w:r>
          </w:p>
        </w:tc>
        <w:tc>
          <w:tcPr>
            <w:tcW w:w="5155" w:type="dxa"/>
            <w:gridSpan w:val="5"/>
            <w:noWrap w:val="0"/>
            <w:vAlign w:val="center"/>
          </w:tcPr>
          <w:p w14:paraId="326CF8C4">
            <w:pPr>
              <w:autoSpaceDE w:val="0"/>
              <w:autoSpaceDN w:val="0"/>
              <w:adjustRightInd w:val="0"/>
              <w:ind w:firstLine="0" w:firstLineChars="0"/>
              <w:jc w:val="center"/>
              <w:rPr>
                <w:rFonts w:hint="eastAsia" w:ascii="宋体" w:hAnsi="宋体" w:eastAsia="宋体" w:cs="宋体"/>
                <w:color w:val="auto"/>
                <w:kern w:val="0"/>
                <w:szCs w:val="21"/>
              </w:rPr>
            </w:pPr>
            <w:r>
              <w:rPr>
                <w:rFonts w:hint="eastAsia" w:ascii="宋体" w:hAnsi="宋体" w:eastAsia="宋体" w:cs="宋体"/>
                <w:color w:val="auto"/>
                <w:kern w:val="0"/>
                <w:szCs w:val="21"/>
              </w:rPr>
              <w:t>执业或职业资格证明</w:t>
            </w:r>
          </w:p>
        </w:tc>
        <w:tc>
          <w:tcPr>
            <w:tcW w:w="996" w:type="dxa"/>
            <w:vMerge w:val="restart"/>
            <w:noWrap w:val="0"/>
            <w:vAlign w:val="center"/>
          </w:tcPr>
          <w:p w14:paraId="0ABE2CD4">
            <w:pPr>
              <w:autoSpaceDE w:val="0"/>
              <w:autoSpaceDN w:val="0"/>
              <w:adjustRightInd w:val="0"/>
              <w:ind w:firstLine="0" w:firstLineChars="0"/>
              <w:jc w:val="center"/>
              <w:rPr>
                <w:rFonts w:hint="eastAsia" w:ascii="宋体" w:hAnsi="宋体" w:eastAsia="宋体" w:cs="宋体"/>
                <w:color w:val="auto"/>
                <w:kern w:val="0"/>
                <w:szCs w:val="21"/>
              </w:rPr>
            </w:pPr>
            <w:r>
              <w:rPr>
                <w:rFonts w:hint="eastAsia" w:ascii="宋体" w:hAnsi="宋体" w:eastAsia="宋体" w:cs="宋体"/>
                <w:color w:val="auto"/>
                <w:kern w:val="0"/>
                <w:szCs w:val="21"/>
              </w:rPr>
              <w:t>备注</w:t>
            </w:r>
          </w:p>
        </w:tc>
      </w:tr>
      <w:tr w14:paraId="7C6CE5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36" w:type="dxa"/>
            <w:vMerge w:val="continue"/>
            <w:noWrap w:val="0"/>
            <w:vAlign w:val="center"/>
          </w:tcPr>
          <w:p w14:paraId="011EF70C">
            <w:pPr>
              <w:autoSpaceDE w:val="0"/>
              <w:autoSpaceDN w:val="0"/>
              <w:adjustRightInd w:val="0"/>
              <w:ind w:firstLine="0" w:firstLineChars="0"/>
              <w:jc w:val="center"/>
              <w:rPr>
                <w:rFonts w:hint="eastAsia" w:ascii="宋体" w:hAnsi="宋体" w:eastAsia="宋体" w:cs="宋体"/>
                <w:color w:val="auto"/>
                <w:kern w:val="0"/>
                <w:szCs w:val="21"/>
              </w:rPr>
            </w:pPr>
          </w:p>
        </w:tc>
        <w:tc>
          <w:tcPr>
            <w:tcW w:w="976" w:type="dxa"/>
            <w:vMerge w:val="continue"/>
            <w:noWrap w:val="0"/>
            <w:vAlign w:val="center"/>
          </w:tcPr>
          <w:p w14:paraId="77D6AA7E">
            <w:pPr>
              <w:autoSpaceDE w:val="0"/>
              <w:autoSpaceDN w:val="0"/>
              <w:adjustRightInd w:val="0"/>
              <w:ind w:firstLine="0" w:firstLineChars="0"/>
              <w:jc w:val="center"/>
              <w:rPr>
                <w:rFonts w:hint="eastAsia" w:ascii="宋体" w:hAnsi="宋体" w:eastAsia="宋体" w:cs="宋体"/>
                <w:color w:val="auto"/>
                <w:kern w:val="0"/>
                <w:szCs w:val="21"/>
              </w:rPr>
            </w:pPr>
          </w:p>
        </w:tc>
        <w:tc>
          <w:tcPr>
            <w:tcW w:w="940" w:type="dxa"/>
            <w:vMerge w:val="continue"/>
            <w:noWrap w:val="0"/>
            <w:vAlign w:val="center"/>
          </w:tcPr>
          <w:p w14:paraId="6D3EF64A">
            <w:pPr>
              <w:autoSpaceDE w:val="0"/>
              <w:autoSpaceDN w:val="0"/>
              <w:adjustRightInd w:val="0"/>
              <w:ind w:firstLine="0" w:firstLineChars="0"/>
              <w:jc w:val="center"/>
              <w:rPr>
                <w:rFonts w:hint="eastAsia" w:ascii="宋体" w:hAnsi="宋体" w:eastAsia="宋体" w:cs="宋体"/>
                <w:color w:val="auto"/>
                <w:kern w:val="0"/>
                <w:szCs w:val="21"/>
              </w:rPr>
            </w:pPr>
          </w:p>
        </w:tc>
        <w:tc>
          <w:tcPr>
            <w:tcW w:w="1074" w:type="dxa"/>
            <w:noWrap w:val="0"/>
            <w:vAlign w:val="center"/>
          </w:tcPr>
          <w:p w14:paraId="2E62FD09">
            <w:pPr>
              <w:autoSpaceDE w:val="0"/>
              <w:autoSpaceDN w:val="0"/>
              <w:adjustRightInd w:val="0"/>
              <w:ind w:firstLine="0" w:firstLineChars="0"/>
              <w:jc w:val="center"/>
              <w:rPr>
                <w:rFonts w:hint="eastAsia" w:ascii="宋体" w:hAnsi="宋体" w:eastAsia="宋体" w:cs="宋体"/>
                <w:color w:val="auto"/>
                <w:kern w:val="0"/>
                <w:szCs w:val="21"/>
              </w:rPr>
            </w:pPr>
            <w:r>
              <w:rPr>
                <w:rFonts w:hint="eastAsia" w:ascii="宋体" w:hAnsi="宋体" w:eastAsia="宋体" w:cs="宋体"/>
                <w:color w:val="auto"/>
                <w:kern w:val="0"/>
                <w:szCs w:val="21"/>
              </w:rPr>
              <w:t>证书名称</w:t>
            </w:r>
          </w:p>
        </w:tc>
        <w:tc>
          <w:tcPr>
            <w:tcW w:w="936" w:type="dxa"/>
            <w:noWrap w:val="0"/>
            <w:vAlign w:val="center"/>
          </w:tcPr>
          <w:p w14:paraId="5AB60A9D">
            <w:pPr>
              <w:autoSpaceDE w:val="0"/>
              <w:autoSpaceDN w:val="0"/>
              <w:adjustRightInd w:val="0"/>
              <w:ind w:firstLine="0" w:firstLineChars="0"/>
              <w:jc w:val="center"/>
              <w:rPr>
                <w:rFonts w:hint="eastAsia" w:ascii="宋体" w:hAnsi="宋体" w:eastAsia="宋体" w:cs="宋体"/>
                <w:color w:val="auto"/>
                <w:kern w:val="0"/>
                <w:szCs w:val="21"/>
              </w:rPr>
            </w:pPr>
            <w:r>
              <w:rPr>
                <w:rFonts w:hint="eastAsia" w:ascii="宋体" w:hAnsi="宋体" w:eastAsia="宋体" w:cs="宋体"/>
                <w:color w:val="auto"/>
                <w:kern w:val="0"/>
                <w:szCs w:val="21"/>
              </w:rPr>
              <w:t>级别</w:t>
            </w:r>
          </w:p>
        </w:tc>
        <w:tc>
          <w:tcPr>
            <w:tcW w:w="936" w:type="dxa"/>
            <w:noWrap w:val="0"/>
            <w:vAlign w:val="center"/>
          </w:tcPr>
          <w:p w14:paraId="65AB79A3">
            <w:pPr>
              <w:autoSpaceDE w:val="0"/>
              <w:autoSpaceDN w:val="0"/>
              <w:adjustRightInd w:val="0"/>
              <w:ind w:firstLine="0" w:firstLineChars="0"/>
              <w:jc w:val="center"/>
              <w:rPr>
                <w:rFonts w:hint="eastAsia" w:ascii="宋体" w:hAnsi="宋体" w:eastAsia="宋体" w:cs="宋体"/>
                <w:color w:val="auto"/>
                <w:kern w:val="0"/>
                <w:szCs w:val="21"/>
              </w:rPr>
            </w:pPr>
            <w:r>
              <w:rPr>
                <w:rFonts w:hint="eastAsia" w:ascii="宋体" w:hAnsi="宋体" w:eastAsia="宋体" w:cs="宋体"/>
                <w:color w:val="auto"/>
                <w:kern w:val="0"/>
                <w:szCs w:val="21"/>
              </w:rPr>
              <w:t>证号</w:t>
            </w:r>
          </w:p>
        </w:tc>
        <w:tc>
          <w:tcPr>
            <w:tcW w:w="1273" w:type="dxa"/>
            <w:noWrap w:val="0"/>
            <w:vAlign w:val="center"/>
          </w:tcPr>
          <w:p w14:paraId="4F25586D">
            <w:pPr>
              <w:autoSpaceDE w:val="0"/>
              <w:autoSpaceDN w:val="0"/>
              <w:adjustRightInd w:val="0"/>
              <w:ind w:firstLine="0" w:firstLineChars="0"/>
              <w:jc w:val="center"/>
              <w:rPr>
                <w:rFonts w:hint="eastAsia" w:ascii="宋体" w:hAnsi="宋体" w:eastAsia="宋体" w:cs="宋体"/>
                <w:color w:val="auto"/>
                <w:kern w:val="0"/>
                <w:szCs w:val="21"/>
              </w:rPr>
            </w:pPr>
            <w:r>
              <w:rPr>
                <w:rFonts w:hint="eastAsia" w:ascii="宋体" w:hAnsi="宋体" w:eastAsia="宋体" w:cs="宋体"/>
                <w:color w:val="auto"/>
                <w:kern w:val="0"/>
                <w:szCs w:val="21"/>
              </w:rPr>
              <w:t>专业</w:t>
            </w:r>
          </w:p>
        </w:tc>
        <w:tc>
          <w:tcPr>
            <w:tcW w:w="936" w:type="dxa"/>
            <w:noWrap w:val="0"/>
            <w:vAlign w:val="center"/>
          </w:tcPr>
          <w:p w14:paraId="34D6C7EB">
            <w:pPr>
              <w:autoSpaceDE w:val="0"/>
              <w:autoSpaceDN w:val="0"/>
              <w:adjustRightInd w:val="0"/>
              <w:ind w:firstLine="0" w:firstLineChars="0"/>
              <w:jc w:val="center"/>
              <w:rPr>
                <w:rFonts w:hint="eastAsia" w:ascii="宋体" w:hAnsi="宋体" w:eastAsia="宋体" w:cs="宋体"/>
                <w:color w:val="auto"/>
                <w:kern w:val="0"/>
                <w:szCs w:val="21"/>
              </w:rPr>
            </w:pPr>
            <w:r>
              <w:rPr>
                <w:rFonts w:hint="eastAsia" w:ascii="宋体" w:hAnsi="宋体" w:eastAsia="宋体" w:cs="宋体"/>
                <w:color w:val="auto"/>
                <w:kern w:val="0"/>
                <w:szCs w:val="21"/>
              </w:rPr>
              <w:t>养老保险</w:t>
            </w:r>
          </w:p>
        </w:tc>
        <w:tc>
          <w:tcPr>
            <w:tcW w:w="996" w:type="dxa"/>
            <w:vMerge w:val="continue"/>
            <w:noWrap w:val="0"/>
            <w:vAlign w:val="center"/>
          </w:tcPr>
          <w:p w14:paraId="5616D013">
            <w:pPr>
              <w:autoSpaceDE w:val="0"/>
              <w:autoSpaceDN w:val="0"/>
              <w:adjustRightInd w:val="0"/>
              <w:ind w:firstLine="0" w:firstLineChars="0"/>
              <w:jc w:val="center"/>
              <w:rPr>
                <w:rFonts w:hint="eastAsia" w:ascii="宋体" w:hAnsi="宋体" w:eastAsia="宋体" w:cs="宋体"/>
                <w:color w:val="auto"/>
                <w:kern w:val="0"/>
                <w:szCs w:val="21"/>
              </w:rPr>
            </w:pPr>
          </w:p>
        </w:tc>
      </w:tr>
      <w:tr w14:paraId="3673980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36" w:type="dxa"/>
            <w:noWrap w:val="0"/>
            <w:vAlign w:val="center"/>
          </w:tcPr>
          <w:p w14:paraId="5D7089D3">
            <w:pPr>
              <w:autoSpaceDE w:val="0"/>
              <w:autoSpaceDN w:val="0"/>
              <w:adjustRightInd w:val="0"/>
              <w:ind w:firstLine="0" w:firstLineChars="0"/>
              <w:jc w:val="center"/>
              <w:rPr>
                <w:rFonts w:hint="eastAsia" w:ascii="宋体" w:hAnsi="宋体" w:eastAsia="宋体" w:cs="宋体"/>
                <w:color w:val="auto"/>
                <w:kern w:val="0"/>
                <w:szCs w:val="21"/>
              </w:rPr>
            </w:pPr>
          </w:p>
        </w:tc>
        <w:tc>
          <w:tcPr>
            <w:tcW w:w="976" w:type="dxa"/>
            <w:noWrap w:val="0"/>
            <w:vAlign w:val="center"/>
          </w:tcPr>
          <w:p w14:paraId="47CE37BA">
            <w:pPr>
              <w:autoSpaceDE w:val="0"/>
              <w:autoSpaceDN w:val="0"/>
              <w:adjustRightInd w:val="0"/>
              <w:ind w:firstLine="0" w:firstLineChars="0"/>
              <w:jc w:val="center"/>
              <w:rPr>
                <w:rFonts w:hint="eastAsia" w:ascii="宋体" w:hAnsi="宋体" w:eastAsia="宋体" w:cs="宋体"/>
                <w:color w:val="auto"/>
                <w:kern w:val="0"/>
                <w:szCs w:val="21"/>
              </w:rPr>
            </w:pPr>
          </w:p>
        </w:tc>
        <w:tc>
          <w:tcPr>
            <w:tcW w:w="940" w:type="dxa"/>
            <w:noWrap w:val="0"/>
            <w:vAlign w:val="center"/>
          </w:tcPr>
          <w:p w14:paraId="77BA1E22">
            <w:pPr>
              <w:autoSpaceDE w:val="0"/>
              <w:autoSpaceDN w:val="0"/>
              <w:adjustRightInd w:val="0"/>
              <w:ind w:firstLine="0" w:firstLineChars="0"/>
              <w:jc w:val="center"/>
              <w:rPr>
                <w:rFonts w:hint="eastAsia" w:ascii="宋体" w:hAnsi="宋体" w:eastAsia="宋体" w:cs="宋体"/>
                <w:color w:val="auto"/>
                <w:kern w:val="0"/>
                <w:szCs w:val="21"/>
              </w:rPr>
            </w:pPr>
          </w:p>
        </w:tc>
        <w:tc>
          <w:tcPr>
            <w:tcW w:w="1074" w:type="dxa"/>
            <w:noWrap w:val="0"/>
            <w:vAlign w:val="center"/>
          </w:tcPr>
          <w:p w14:paraId="781AC852">
            <w:pPr>
              <w:autoSpaceDE w:val="0"/>
              <w:autoSpaceDN w:val="0"/>
              <w:adjustRightInd w:val="0"/>
              <w:ind w:firstLine="0" w:firstLineChars="0"/>
              <w:jc w:val="center"/>
              <w:rPr>
                <w:rFonts w:hint="eastAsia" w:ascii="宋体" w:hAnsi="宋体" w:eastAsia="宋体" w:cs="宋体"/>
                <w:color w:val="auto"/>
                <w:kern w:val="0"/>
                <w:szCs w:val="21"/>
              </w:rPr>
            </w:pPr>
          </w:p>
        </w:tc>
        <w:tc>
          <w:tcPr>
            <w:tcW w:w="936" w:type="dxa"/>
            <w:noWrap w:val="0"/>
            <w:vAlign w:val="center"/>
          </w:tcPr>
          <w:p w14:paraId="10EE8EB9">
            <w:pPr>
              <w:autoSpaceDE w:val="0"/>
              <w:autoSpaceDN w:val="0"/>
              <w:adjustRightInd w:val="0"/>
              <w:ind w:firstLine="0" w:firstLineChars="0"/>
              <w:jc w:val="center"/>
              <w:rPr>
                <w:rFonts w:hint="eastAsia" w:ascii="宋体" w:hAnsi="宋体" w:eastAsia="宋体" w:cs="宋体"/>
                <w:color w:val="auto"/>
                <w:kern w:val="0"/>
                <w:szCs w:val="21"/>
              </w:rPr>
            </w:pPr>
          </w:p>
        </w:tc>
        <w:tc>
          <w:tcPr>
            <w:tcW w:w="936" w:type="dxa"/>
            <w:noWrap w:val="0"/>
            <w:vAlign w:val="center"/>
          </w:tcPr>
          <w:p w14:paraId="29B83D08">
            <w:pPr>
              <w:autoSpaceDE w:val="0"/>
              <w:autoSpaceDN w:val="0"/>
              <w:adjustRightInd w:val="0"/>
              <w:ind w:firstLine="0" w:firstLineChars="0"/>
              <w:jc w:val="center"/>
              <w:rPr>
                <w:rFonts w:hint="eastAsia" w:ascii="宋体" w:hAnsi="宋体" w:eastAsia="宋体" w:cs="宋体"/>
                <w:color w:val="auto"/>
                <w:kern w:val="0"/>
                <w:szCs w:val="21"/>
              </w:rPr>
            </w:pPr>
          </w:p>
        </w:tc>
        <w:tc>
          <w:tcPr>
            <w:tcW w:w="1273" w:type="dxa"/>
            <w:noWrap w:val="0"/>
            <w:vAlign w:val="center"/>
          </w:tcPr>
          <w:p w14:paraId="0077F3E2">
            <w:pPr>
              <w:autoSpaceDE w:val="0"/>
              <w:autoSpaceDN w:val="0"/>
              <w:adjustRightInd w:val="0"/>
              <w:ind w:firstLine="0" w:firstLineChars="0"/>
              <w:jc w:val="center"/>
              <w:rPr>
                <w:rFonts w:hint="eastAsia" w:ascii="宋体" w:hAnsi="宋体" w:eastAsia="宋体" w:cs="宋体"/>
                <w:color w:val="auto"/>
                <w:kern w:val="0"/>
                <w:szCs w:val="21"/>
              </w:rPr>
            </w:pPr>
          </w:p>
        </w:tc>
        <w:tc>
          <w:tcPr>
            <w:tcW w:w="936" w:type="dxa"/>
            <w:noWrap w:val="0"/>
            <w:vAlign w:val="center"/>
          </w:tcPr>
          <w:p w14:paraId="1AE10AC4">
            <w:pPr>
              <w:autoSpaceDE w:val="0"/>
              <w:autoSpaceDN w:val="0"/>
              <w:adjustRightInd w:val="0"/>
              <w:ind w:firstLine="0" w:firstLineChars="0"/>
              <w:jc w:val="center"/>
              <w:rPr>
                <w:rFonts w:hint="eastAsia" w:ascii="宋体" w:hAnsi="宋体" w:eastAsia="宋体" w:cs="宋体"/>
                <w:color w:val="auto"/>
                <w:kern w:val="0"/>
                <w:szCs w:val="21"/>
              </w:rPr>
            </w:pPr>
          </w:p>
        </w:tc>
        <w:tc>
          <w:tcPr>
            <w:tcW w:w="996" w:type="dxa"/>
            <w:noWrap w:val="0"/>
            <w:vAlign w:val="center"/>
          </w:tcPr>
          <w:p w14:paraId="2C066204">
            <w:pPr>
              <w:autoSpaceDE w:val="0"/>
              <w:autoSpaceDN w:val="0"/>
              <w:adjustRightInd w:val="0"/>
              <w:ind w:firstLine="0" w:firstLineChars="0"/>
              <w:jc w:val="center"/>
              <w:rPr>
                <w:rFonts w:hint="eastAsia" w:ascii="宋体" w:hAnsi="宋体" w:eastAsia="宋体" w:cs="宋体"/>
                <w:color w:val="auto"/>
                <w:kern w:val="0"/>
                <w:szCs w:val="21"/>
              </w:rPr>
            </w:pPr>
          </w:p>
        </w:tc>
      </w:tr>
      <w:tr w14:paraId="096F0EF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36" w:type="dxa"/>
            <w:noWrap w:val="0"/>
            <w:vAlign w:val="top"/>
          </w:tcPr>
          <w:p w14:paraId="08CDD4B9">
            <w:pPr>
              <w:autoSpaceDE w:val="0"/>
              <w:autoSpaceDN w:val="0"/>
              <w:adjustRightInd w:val="0"/>
              <w:ind w:firstLine="0" w:firstLineChars="0"/>
              <w:jc w:val="left"/>
              <w:rPr>
                <w:rFonts w:hint="eastAsia" w:ascii="宋体" w:hAnsi="宋体" w:eastAsia="宋体" w:cs="宋体"/>
                <w:color w:val="auto"/>
                <w:kern w:val="0"/>
                <w:szCs w:val="21"/>
              </w:rPr>
            </w:pPr>
          </w:p>
        </w:tc>
        <w:tc>
          <w:tcPr>
            <w:tcW w:w="976" w:type="dxa"/>
            <w:noWrap w:val="0"/>
            <w:vAlign w:val="top"/>
          </w:tcPr>
          <w:p w14:paraId="7A7E15A2">
            <w:pPr>
              <w:autoSpaceDE w:val="0"/>
              <w:autoSpaceDN w:val="0"/>
              <w:adjustRightInd w:val="0"/>
              <w:ind w:firstLine="0" w:firstLineChars="0"/>
              <w:jc w:val="left"/>
              <w:rPr>
                <w:rFonts w:hint="eastAsia" w:ascii="宋体" w:hAnsi="宋体" w:eastAsia="宋体" w:cs="宋体"/>
                <w:color w:val="auto"/>
                <w:kern w:val="0"/>
                <w:szCs w:val="21"/>
              </w:rPr>
            </w:pPr>
          </w:p>
        </w:tc>
        <w:tc>
          <w:tcPr>
            <w:tcW w:w="940" w:type="dxa"/>
            <w:noWrap w:val="0"/>
            <w:vAlign w:val="top"/>
          </w:tcPr>
          <w:p w14:paraId="23CFD6E2">
            <w:pPr>
              <w:autoSpaceDE w:val="0"/>
              <w:autoSpaceDN w:val="0"/>
              <w:adjustRightInd w:val="0"/>
              <w:ind w:firstLine="0" w:firstLineChars="0"/>
              <w:jc w:val="left"/>
              <w:rPr>
                <w:rFonts w:hint="eastAsia" w:ascii="宋体" w:hAnsi="宋体" w:eastAsia="宋体" w:cs="宋体"/>
                <w:color w:val="auto"/>
                <w:kern w:val="0"/>
                <w:szCs w:val="21"/>
              </w:rPr>
            </w:pPr>
          </w:p>
        </w:tc>
        <w:tc>
          <w:tcPr>
            <w:tcW w:w="1074" w:type="dxa"/>
            <w:noWrap w:val="0"/>
            <w:vAlign w:val="top"/>
          </w:tcPr>
          <w:p w14:paraId="6403C636">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191CE910">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3BCDCB78">
            <w:pPr>
              <w:autoSpaceDE w:val="0"/>
              <w:autoSpaceDN w:val="0"/>
              <w:adjustRightInd w:val="0"/>
              <w:ind w:firstLine="0" w:firstLineChars="0"/>
              <w:jc w:val="left"/>
              <w:rPr>
                <w:rFonts w:hint="eastAsia" w:ascii="宋体" w:hAnsi="宋体" w:eastAsia="宋体" w:cs="宋体"/>
                <w:color w:val="auto"/>
                <w:kern w:val="0"/>
                <w:szCs w:val="21"/>
              </w:rPr>
            </w:pPr>
          </w:p>
        </w:tc>
        <w:tc>
          <w:tcPr>
            <w:tcW w:w="1273" w:type="dxa"/>
            <w:noWrap w:val="0"/>
            <w:vAlign w:val="top"/>
          </w:tcPr>
          <w:p w14:paraId="0D2865F3">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79FE5576">
            <w:pPr>
              <w:autoSpaceDE w:val="0"/>
              <w:autoSpaceDN w:val="0"/>
              <w:adjustRightInd w:val="0"/>
              <w:ind w:firstLine="0" w:firstLineChars="0"/>
              <w:jc w:val="left"/>
              <w:rPr>
                <w:rFonts w:hint="eastAsia" w:ascii="宋体" w:hAnsi="宋体" w:eastAsia="宋体" w:cs="宋体"/>
                <w:color w:val="auto"/>
                <w:kern w:val="0"/>
                <w:szCs w:val="21"/>
              </w:rPr>
            </w:pPr>
          </w:p>
        </w:tc>
        <w:tc>
          <w:tcPr>
            <w:tcW w:w="996" w:type="dxa"/>
            <w:noWrap w:val="0"/>
            <w:vAlign w:val="top"/>
          </w:tcPr>
          <w:p w14:paraId="70B54D2B">
            <w:pPr>
              <w:autoSpaceDE w:val="0"/>
              <w:autoSpaceDN w:val="0"/>
              <w:adjustRightInd w:val="0"/>
              <w:ind w:firstLine="0" w:firstLineChars="0"/>
              <w:jc w:val="left"/>
              <w:rPr>
                <w:rFonts w:hint="eastAsia" w:ascii="宋体" w:hAnsi="宋体" w:eastAsia="宋体" w:cs="宋体"/>
                <w:color w:val="auto"/>
                <w:kern w:val="0"/>
                <w:szCs w:val="21"/>
              </w:rPr>
            </w:pPr>
          </w:p>
        </w:tc>
      </w:tr>
      <w:tr w14:paraId="6E0CA7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36" w:type="dxa"/>
            <w:noWrap w:val="0"/>
            <w:vAlign w:val="top"/>
          </w:tcPr>
          <w:p w14:paraId="447415F4">
            <w:pPr>
              <w:autoSpaceDE w:val="0"/>
              <w:autoSpaceDN w:val="0"/>
              <w:adjustRightInd w:val="0"/>
              <w:ind w:firstLine="0" w:firstLineChars="0"/>
              <w:jc w:val="left"/>
              <w:rPr>
                <w:rFonts w:hint="eastAsia" w:ascii="宋体" w:hAnsi="宋体" w:eastAsia="宋体" w:cs="宋体"/>
                <w:color w:val="auto"/>
                <w:kern w:val="0"/>
                <w:szCs w:val="21"/>
              </w:rPr>
            </w:pPr>
          </w:p>
        </w:tc>
        <w:tc>
          <w:tcPr>
            <w:tcW w:w="976" w:type="dxa"/>
            <w:noWrap w:val="0"/>
            <w:vAlign w:val="top"/>
          </w:tcPr>
          <w:p w14:paraId="427834FD">
            <w:pPr>
              <w:autoSpaceDE w:val="0"/>
              <w:autoSpaceDN w:val="0"/>
              <w:adjustRightInd w:val="0"/>
              <w:ind w:firstLine="0" w:firstLineChars="0"/>
              <w:jc w:val="left"/>
              <w:rPr>
                <w:rFonts w:hint="eastAsia" w:ascii="宋体" w:hAnsi="宋体" w:eastAsia="宋体" w:cs="宋体"/>
                <w:color w:val="auto"/>
                <w:kern w:val="0"/>
                <w:szCs w:val="21"/>
              </w:rPr>
            </w:pPr>
          </w:p>
        </w:tc>
        <w:tc>
          <w:tcPr>
            <w:tcW w:w="940" w:type="dxa"/>
            <w:noWrap w:val="0"/>
            <w:vAlign w:val="top"/>
          </w:tcPr>
          <w:p w14:paraId="172949DD">
            <w:pPr>
              <w:autoSpaceDE w:val="0"/>
              <w:autoSpaceDN w:val="0"/>
              <w:adjustRightInd w:val="0"/>
              <w:ind w:firstLine="0" w:firstLineChars="0"/>
              <w:jc w:val="left"/>
              <w:rPr>
                <w:rFonts w:hint="eastAsia" w:ascii="宋体" w:hAnsi="宋体" w:eastAsia="宋体" w:cs="宋体"/>
                <w:color w:val="auto"/>
                <w:kern w:val="0"/>
                <w:szCs w:val="21"/>
              </w:rPr>
            </w:pPr>
          </w:p>
        </w:tc>
        <w:tc>
          <w:tcPr>
            <w:tcW w:w="1074" w:type="dxa"/>
            <w:noWrap w:val="0"/>
            <w:vAlign w:val="top"/>
          </w:tcPr>
          <w:p w14:paraId="3EBFA750">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77B9BAAA">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378F5AE9">
            <w:pPr>
              <w:autoSpaceDE w:val="0"/>
              <w:autoSpaceDN w:val="0"/>
              <w:adjustRightInd w:val="0"/>
              <w:ind w:firstLine="0" w:firstLineChars="0"/>
              <w:jc w:val="left"/>
              <w:rPr>
                <w:rFonts w:hint="eastAsia" w:ascii="宋体" w:hAnsi="宋体" w:eastAsia="宋体" w:cs="宋体"/>
                <w:color w:val="auto"/>
                <w:kern w:val="0"/>
                <w:szCs w:val="21"/>
              </w:rPr>
            </w:pPr>
          </w:p>
        </w:tc>
        <w:tc>
          <w:tcPr>
            <w:tcW w:w="1273" w:type="dxa"/>
            <w:noWrap w:val="0"/>
            <w:vAlign w:val="top"/>
          </w:tcPr>
          <w:p w14:paraId="26512E4E">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5FE8D632">
            <w:pPr>
              <w:autoSpaceDE w:val="0"/>
              <w:autoSpaceDN w:val="0"/>
              <w:adjustRightInd w:val="0"/>
              <w:ind w:firstLine="0" w:firstLineChars="0"/>
              <w:jc w:val="left"/>
              <w:rPr>
                <w:rFonts w:hint="eastAsia" w:ascii="宋体" w:hAnsi="宋体" w:eastAsia="宋体" w:cs="宋体"/>
                <w:color w:val="auto"/>
                <w:kern w:val="0"/>
                <w:szCs w:val="21"/>
              </w:rPr>
            </w:pPr>
          </w:p>
        </w:tc>
        <w:tc>
          <w:tcPr>
            <w:tcW w:w="996" w:type="dxa"/>
            <w:noWrap w:val="0"/>
            <w:vAlign w:val="top"/>
          </w:tcPr>
          <w:p w14:paraId="7DB385FC">
            <w:pPr>
              <w:autoSpaceDE w:val="0"/>
              <w:autoSpaceDN w:val="0"/>
              <w:adjustRightInd w:val="0"/>
              <w:ind w:firstLine="0" w:firstLineChars="0"/>
              <w:jc w:val="left"/>
              <w:rPr>
                <w:rFonts w:hint="eastAsia" w:ascii="宋体" w:hAnsi="宋体" w:eastAsia="宋体" w:cs="宋体"/>
                <w:color w:val="auto"/>
                <w:kern w:val="0"/>
                <w:szCs w:val="21"/>
              </w:rPr>
            </w:pPr>
          </w:p>
        </w:tc>
      </w:tr>
      <w:tr w14:paraId="11FE4AB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36" w:type="dxa"/>
            <w:noWrap w:val="0"/>
            <w:vAlign w:val="top"/>
          </w:tcPr>
          <w:p w14:paraId="56292774">
            <w:pPr>
              <w:autoSpaceDE w:val="0"/>
              <w:autoSpaceDN w:val="0"/>
              <w:adjustRightInd w:val="0"/>
              <w:ind w:firstLine="0" w:firstLineChars="0"/>
              <w:jc w:val="left"/>
              <w:rPr>
                <w:rFonts w:hint="eastAsia" w:ascii="宋体" w:hAnsi="宋体" w:eastAsia="宋体" w:cs="宋体"/>
                <w:color w:val="auto"/>
                <w:kern w:val="0"/>
                <w:szCs w:val="21"/>
              </w:rPr>
            </w:pPr>
          </w:p>
        </w:tc>
        <w:tc>
          <w:tcPr>
            <w:tcW w:w="976" w:type="dxa"/>
            <w:noWrap w:val="0"/>
            <w:vAlign w:val="top"/>
          </w:tcPr>
          <w:p w14:paraId="7C25AF33">
            <w:pPr>
              <w:autoSpaceDE w:val="0"/>
              <w:autoSpaceDN w:val="0"/>
              <w:adjustRightInd w:val="0"/>
              <w:ind w:firstLine="0" w:firstLineChars="0"/>
              <w:jc w:val="left"/>
              <w:rPr>
                <w:rFonts w:hint="eastAsia" w:ascii="宋体" w:hAnsi="宋体" w:eastAsia="宋体" w:cs="宋体"/>
                <w:color w:val="auto"/>
                <w:kern w:val="0"/>
                <w:szCs w:val="21"/>
              </w:rPr>
            </w:pPr>
          </w:p>
        </w:tc>
        <w:tc>
          <w:tcPr>
            <w:tcW w:w="940" w:type="dxa"/>
            <w:noWrap w:val="0"/>
            <w:vAlign w:val="top"/>
          </w:tcPr>
          <w:p w14:paraId="150A9DC5">
            <w:pPr>
              <w:autoSpaceDE w:val="0"/>
              <w:autoSpaceDN w:val="0"/>
              <w:adjustRightInd w:val="0"/>
              <w:ind w:firstLine="0" w:firstLineChars="0"/>
              <w:jc w:val="left"/>
              <w:rPr>
                <w:rFonts w:hint="eastAsia" w:ascii="宋体" w:hAnsi="宋体" w:eastAsia="宋体" w:cs="宋体"/>
                <w:color w:val="auto"/>
                <w:kern w:val="0"/>
                <w:szCs w:val="21"/>
              </w:rPr>
            </w:pPr>
          </w:p>
        </w:tc>
        <w:tc>
          <w:tcPr>
            <w:tcW w:w="1074" w:type="dxa"/>
            <w:noWrap w:val="0"/>
            <w:vAlign w:val="top"/>
          </w:tcPr>
          <w:p w14:paraId="355CD144">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61287067">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129F8B21">
            <w:pPr>
              <w:autoSpaceDE w:val="0"/>
              <w:autoSpaceDN w:val="0"/>
              <w:adjustRightInd w:val="0"/>
              <w:ind w:firstLine="0" w:firstLineChars="0"/>
              <w:jc w:val="left"/>
              <w:rPr>
                <w:rFonts w:hint="eastAsia" w:ascii="宋体" w:hAnsi="宋体" w:eastAsia="宋体" w:cs="宋体"/>
                <w:color w:val="auto"/>
                <w:kern w:val="0"/>
                <w:szCs w:val="21"/>
              </w:rPr>
            </w:pPr>
          </w:p>
        </w:tc>
        <w:tc>
          <w:tcPr>
            <w:tcW w:w="1273" w:type="dxa"/>
            <w:noWrap w:val="0"/>
            <w:vAlign w:val="top"/>
          </w:tcPr>
          <w:p w14:paraId="45634133">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74AD63C3">
            <w:pPr>
              <w:autoSpaceDE w:val="0"/>
              <w:autoSpaceDN w:val="0"/>
              <w:adjustRightInd w:val="0"/>
              <w:ind w:firstLine="0" w:firstLineChars="0"/>
              <w:jc w:val="left"/>
              <w:rPr>
                <w:rFonts w:hint="eastAsia" w:ascii="宋体" w:hAnsi="宋体" w:eastAsia="宋体" w:cs="宋体"/>
                <w:color w:val="auto"/>
                <w:kern w:val="0"/>
                <w:szCs w:val="21"/>
              </w:rPr>
            </w:pPr>
          </w:p>
        </w:tc>
        <w:tc>
          <w:tcPr>
            <w:tcW w:w="996" w:type="dxa"/>
            <w:noWrap w:val="0"/>
            <w:vAlign w:val="top"/>
          </w:tcPr>
          <w:p w14:paraId="35661C26">
            <w:pPr>
              <w:autoSpaceDE w:val="0"/>
              <w:autoSpaceDN w:val="0"/>
              <w:adjustRightInd w:val="0"/>
              <w:ind w:firstLine="0" w:firstLineChars="0"/>
              <w:jc w:val="left"/>
              <w:rPr>
                <w:rFonts w:hint="eastAsia" w:ascii="宋体" w:hAnsi="宋体" w:eastAsia="宋体" w:cs="宋体"/>
                <w:color w:val="auto"/>
                <w:kern w:val="0"/>
                <w:szCs w:val="21"/>
              </w:rPr>
            </w:pPr>
          </w:p>
        </w:tc>
      </w:tr>
      <w:tr w14:paraId="11F9E2E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36" w:type="dxa"/>
            <w:noWrap w:val="0"/>
            <w:vAlign w:val="top"/>
          </w:tcPr>
          <w:p w14:paraId="3F48BAEA">
            <w:pPr>
              <w:autoSpaceDE w:val="0"/>
              <w:autoSpaceDN w:val="0"/>
              <w:adjustRightInd w:val="0"/>
              <w:ind w:firstLine="0" w:firstLineChars="0"/>
              <w:jc w:val="left"/>
              <w:rPr>
                <w:rFonts w:hint="eastAsia" w:ascii="宋体" w:hAnsi="宋体" w:eastAsia="宋体" w:cs="宋体"/>
                <w:color w:val="auto"/>
                <w:kern w:val="0"/>
                <w:szCs w:val="21"/>
              </w:rPr>
            </w:pPr>
          </w:p>
        </w:tc>
        <w:tc>
          <w:tcPr>
            <w:tcW w:w="976" w:type="dxa"/>
            <w:noWrap w:val="0"/>
            <w:vAlign w:val="top"/>
          </w:tcPr>
          <w:p w14:paraId="006169B8">
            <w:pPr>
              <w:autoSpaceDE w:val="0"/>
              <w:autoSpaceDN w:val="0"/>
              <w:adjustRightInd w:val="0"/>
              <w:ind w:firstLine="0" w:firstLineChars="0"/>
              <w:jc w:val="left"/>
              <w:rPr>
                <w:rFonts w:hint="eastAsia" w:ascii="宋体" w:hAnsi="宋体" w:eastAsia="宋体" w:cs="宋体"/>
                <w:color w:val="auto"/>
                <w:kern w:val="0"/>
                <w:szCs w:val="21"/>
              </w:rPr>
            </w:pPr>
          </w:p>
        </w:tc>
        <w:tc>
          <w:tcPr>
            <w:tcW w:w="940" w:type="dxa"/>
            <w:noWrap w:val="0"/>
            <w:vAlign w:val="top"/>
          </w:tcPr>
          <w:p w14:paraId="3867160A">
            <w:pPr>
              <w:autoSpaceDE w:val="0"/>
              <w:autoSpaceDN w:val="0"/>
              <w:adjustRightInd w:val="0"/>
              <w:ind w:firstLine="0" w:firstLineChars="0"/>
              <w:jc w:val="left"/>
              <w:rPr>
                <w:rFonts w:hint="eastAsia" w:ascii="宋体" w:hAnsi="宋体" w:eastAsia="宋体" w:cs="宋体"/>
                <w:color w:val="auto"/>
                <w:kern w:val="0"/>
                <w:szCs w:val="21"/>
              </w:rPr>
            </w:pPr>
          </w:p>
        </w:tc>
        <w:tc>
          <w:tcPr>
            <w:tcW w:w="1074" w:type="dxa"/>
            <w:noWrap w:val="0"/>
            <w:vAlign w:val="top"/>
          </w:tcPr>
          <w:p w14:paraId="31EFD4B7">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45CEF98E">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206BB67D">
            <w:pPr>
              <w:autoSpaceDE w:val="0"/>
              <w:autoSpaceDN w:val="0"/>
              <w:adjustRightInd w:val="0"/>
              <w:ind w:firstLine="0" w:firstLineChars="0"/>
              <w:jc w:val="left"/>
              <w:rPr>
                <w:rFonts w:hint="eastAsia" w:ascii="宋体" w:hAnsi="宋体" w:eastAsia="宋体" w:cs="宋体"/>
                <w:color w:val="auto"/>
                <w:kern w:val="0"/>
                <w:szCs w:val="21"/>
              </w:rPr>
            </w:pPr>
          </w:p>
        </w:tc>
        <w:tc>
          <w:tcPr>
            <w:tcW w:w="1273" w:type="dxa"/>
            <w:noWrap w:val="0"/>
            <w:vAlign w:val="top"/>
          </w:tcPr>
          <w:p w14:paraId="685A6C26">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0F556A77">
            <w:pPr>
              <w:autoSpaceDE w:val="0"/>
              <w:autoSpaceDN w:val="0"/>
              <w:adjustRightInd w:val="0"/>
              <w:ind w:firstLine="0" w:firstLineChars="0"/>
              <w:jc w:val="left"/>
              <w:rPr>
                <w:rFonts w:hint="eastAsia" w:ascii="宋体" w:hAnsi="宋体" w:eastAsia="宋体" w:cs="宋体"/>
                <w:color w:val="auto"/>
                <w:kern w:val="0"/>
                <w:szCs w:val="21"/>
              </w:rPr>
            </w:pPr>
          </w:p>
        </w:tc>
        <w:tc>
          <w:tcPr>
            <w:tcW w:w="996" w:type="dxa"/>
            <w:noWrap w:val="0"/>
            <w:vAlign w:val="top"/>
          </w:tcPr>
          <w:p w14:paraId="5793209C">
            <w:pPr>
              <w:autoSpaceDE w:val="0"/>
              <w:autoSpaceDN w:val="0"/>
              <w:adjustRightInd w:val="0"/>
              <w:ind w:firstLine="0" w:firstLineChars="0"/>
              <w:jc w:val="left"/>
              <w:rPr>
                <w:rFonts w:hint="eastAsia" w:ascii="宋体" w:hAnsi="宋体" w:eastAsia="宋体" w:cs="宋体"/>
                <w:color w:val="auto"/>
                <w:kern w:val="0"/>
                <w:szCs w:val="21"/>
              </w:rPr>
            </w:pPr>
          </w:p>
        </w:tc>
      </w:tr>
      <w:tr w14:paraId="5DF76E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36" w:type="dxa"/>
            <w:noWrap w:val="0"/>
            <w:vAlign w:val="top"/>
          </w:tcPr>
          <w:p w14:paraId="46F69CC8">
            <w:pPr>
              <w:autoSpaceDE w:val="0"/>
              <w:autoSpaceDN w:val="0"/>
              <w:adjustRightInd w:val="0"/>
              <w:ind w:firstLine="0" w:firstLineChars="0"/>
              <w:jc w:val="left"/>
              <w:rPr>
                <w:rFonts w:hint="eastAsia" w:ascii="宋体" w:hAnsi="宋体" w:eastAsia="宋体" w:cs="宋体"/>
                <w:color w:val="auto"/>
                <w:kern w:val="0"/>
                <w:szCs w:val="21"/>
              </w:rPr>
            </w:pPr>
          </w:p>
        </w:tc>
        <w:tc>
          <w:tcPr>
            <w:tcW w:w="976" w:type="dxa"/>
            <w:noWrap w:val="0"/>
            <w:vAlign w:val="top"/>
          </w:tcPr>
          <w:p w14:paraId="3A6C318E">
            <w:pPr>
              <w:autoSpaceDE w:val="0"/>
              <w:autoSpaceDN w:val="0"/>
              <w:adjustRightInd w:val="0"/>
              <w:ind w:firstLine="0" w:firstLineChars="0"/>
              <w:jc w:val="left"/>
              <w:rPr>
                <w:rFonts w:hint="eastAsia" w:ascii="宋体" w:hAnsi="宋体" w:eastAsia="宋体" w:cs="宋体"/>
                <w:color w:val="auto"/>
                <w:kern w:val="0"/>
                <w:szCs w:val="21"/>
              </w:rPr>
            </w:pPr>
          </w:p>
        </w:tc>
        <w:tc>
          <w:tcPr>
            <w:tcW w:w="940" w:type="dxa"/>
            <w:noWrap w:val="0"/>
            <w:vAlign w:val="top"/>
          </w:tcPr>
          <w:p w14:paraId="0F561CBD">
            <w:pPr>
              <w:autoSpaceDE w:val="0"/>
              <w:autoSpaceDN w:val="0"/>
              <w:adjustRightInd w:val="0"/>
              <w:ind w:firstLine="0" w:firstLineChars="0"/>
              <w:jc w:val="left"/>
              <w:rPr>
                <w:rFonts w:hint="eastAsia" w:ascii="宋体" w:hAnsi="宋体" w:eastAsia="宋体" w:cs="宋体"/>
                <w:color w:val="auto"/>
                <w:kern w:val="0"/>
                <w:szCs w:val="21"/>
              </w:rPr>
            </w:pPr>
          </w:p>
        </w:tc>
        <w:tc>
          <w:tcPr>
            <w:tcW w:w="1074" w:type="dxa"/>
            <w:noWrap w:val="0"/>
            <w:vAlign w:val="top"/>
          </w:tcPr>
          <w:p w14:paraId="1A92762E">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59B0D657">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2C6FF10C">
            <w:pPr>
              <w:autoSpaceDE w:val="0"/>
              <w:autoSpaceDN w:val="0"/>
              <w:adjustRightInd w:val="0"/>
              <w:ind w:firstLine="0" w:firstLineChars="0"/>
              <w:jc w:val="left"/>
              <w:rPr>
                <w:rFonts w:hint="eastAsia" w:ascii="宋体" w:hAnsi="宋体" w:eastAsia="宋体" w:cs="宋体"/>
                <w:color w:val="auto"/>
                <w:kern w:val="0"/>
                <w:szCs w:val="21"/>
              </w:rPr>
            </w:pPr>
          </w:p>
        </w:tc>
        <w:tc>
          <w:tcPr>
            <w:tcW w:w="1273" w:type="dxa"/>
            <w:noWrap w:val="0"/>
            <w:vAlign w:val="top"/>
          </w:tcPr>
          <w:p w14:paraId="3AE1C589">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23480C42">
            <w:pPr>
              <w:autoSpaceDE w:val="0"/>
              <w:autoSpaceDN w:val="0"/>
              <w:adjustRightInd w:val="0"/>
              <w:ind w:firstLine="0" w:firstLineChars="0"/>
              <w:jc w:val="left"/>
              <w:rPr>
                <w:rFonts w:hint="eastAsia" w:ascii="宋体" w:hAnsi="宋体" w:eastAsia="宋体" w:cs="宋体"/>
                <w:color w:val="auto"/>
                <w:kern w:val="0"/>
                <w:szCs w:val="21"/>
              </w:rPr>
            </w:pPr>
          </w:p>
        </w:tc>
        <w:tc>
          <w:tcPr>
            <w:tcW w:w="996" w:type="dxa"/>
            <w:noWrap w:val="0"/>
            <w:vAlign w:val="top"/>
          </w:tcPr>
          <w:p w14:paraId="1FA3A021">
            <w:pPr>
              <w:autoSpaceDE w:val="0"/>
              <w:autoSpaceDN w:val="0"/>
              <w:adjustRightInd w:val="0"/>
              <w:ind w:firstLine="0" w:firstLineChars="0"/>
              <w:jc w:val="left"/>
              <w:rPr>
                <w:rFonts w:hint="eastAsia" w:ascii="宋体" w:hAnsi="宋体" w:eastAsia="宋体" w:cs="宋体"/>
                <w:color w:val="auto"/>
                <w:kern w:val="0"/>
                <w:szCs w:val="21"/>
              </w:rPr>
            </w:pPr>
          </w:p>
        </w:tc>
      </w:tr>
      <w:tr w14:paraId="2086B9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36" w:type="dxa"/>
            <w:noWrap w:val="0"/>
            <w:vAlign w:val="top"/>
          </w:tcPr>
          <w:p w14:paraId="07E24D24">
            <w:pPr>
              <w:autoSpaceDE w:val="0"/>
              <w:autoSpaceDN w:val="0"/>
              <w:adjustRightInd w:val="0"/>
              <w:ind w:firstLine="0" w:firstLineChars="0"/>
              <w:jc w:val="left"/>
              <w:rPr>
                <w:rFonts w:hint="eastAsia" w:ascii="宋体" w:hAnsi="宋体" w:eastAsia="宋体" w:cs="宋体"/>
                <w:color w:val="auto"/>
                <w:kern w:val="0"/>
                <w:szCs w:val="21"/>
              </w:rPr>
            </w:pPr>
          </w:p>
        </w:tc>
        <w:tc>
          <w:tcPr>
            <w:tcW w:w="976" w:type="dxa"/>
            <w:noWrap w:val="0"/>
            <w:vAlign w:val="top"/>
          </w:tcPr>
          <w:p w14:paraId="54F26432">
            <w:pPr>
              <w:autoSpaceDE w:val="0"/>
              <w:autoSpaceDN w:val="0"/>
              <w:adjustRightInd w:val="0"/>
              <w:ind w:firstLine="0" w:firstLineChars="0"/>
              <w:jc w:val="left"/>
              <w:rPr>
                <w:rFonts w:hint="eastAsia" w:ascii="宋体" w:hAnsi="宋体" w:eastAsia="宋体" w:cs="宋体"/>
                <w:color w:val="auto"/>
                <w:kern w:val="0"/>
                <w:szCs w:val="21"/>
              </w:rPr>
            </w:pPr>
          </w:p>
        </w:tc>
        <w:tc>
          <w:tcPr>
            <w:tcW w:w="940" w:type="dxa"/>
            <w:noWrap w:val="0"/>
            <w:vAlign w:val="top"/>
          </w:tcPr>
          <w:p w14:paraId="659BFC3C">
            <w:pPr>
              <w:autoSpaceDE w:val="0"/>
              <w:autoSpaceDN w:val="0"/>
              <w:adjustRightInd w:val="0"/>
              <w:ind w:firstLine="0" w:firstLineChars="0"/>
              <w:jc w:val="left"/>
              <w:rPr>
                <w:rFonts w:hint="eastAsia" w:ascii="宋体" w:hAnsi="宋体" w:eastAsia="宋体" w:cs="宋体"/>
                <w:color w:val="auto"/>
                <w:kern w:val="0"/>
                <w:szCs w:val="21"/>
              </w:rPr>
            </w:pPr>
          </w:p>
        </w:tc>
        <w:tc>
          <w:tcPr>
            <w:tcW w:w="1074" w:type="dxa"/>
            <w:noWrap w:val="0"/>
            <w:vAlign w:val="top"/>
          </w:tcPr>
          <w:p w14:paraId="66E13F64">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58700933">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362BF9F5">
            <w:pPr>
              <w:autoSpaceDE w:val="0"/>
              <w:autoSpaceDN w:val="0"/>
              <w:adjustRightInd w:val="0"/>
              <w:ind w:firstLine="0" w:firstLineChars="0"/>
              <w:jc w:val="left"/>
              <w:rPr>
                <w:rFonts w:hint="eastAsia" w:ascii="宋体" w:hAnsi="宋体" w:eastAsia="宋体" w:cs="宋体"/>
                <w:color w:val="auto"/>
                <w:kern w:val="0"/>
                <w:szCs w:val="21"/>
              </w:rPr>
            </w:pPr>
          </w:p>
        </w:tc>
        <w:tc>
          <w:tcPr>
            <w:tcW w:w="1273" w:type="dxa"/>
            <w:noWrap w:val="0"/>
            <w:vAlign w:val="top"/>
          </w:tcPr>
          <w:p w14:paraId="1BE237FC">
            <w:pPr>
              <w:autoSpaceDE w:val="0"/>
              <w:autoSpaceDN w:val="0"/>
              <w:adjustRightInd w:val="0"/>
              <w:ind w:firstLine="0" w:firstLineChars="0"/>
              <w:jc w:val="left"/>
              <w:rPr>
                <w:rFonts w:hint="eastAsia" w:ascii="宋体" w:hAnsi="宋体" w:eastAsia="宋体" w:cs="宋体"/>
                <w:color w:val="auto"/>
                <w:kern w:val="0"/>
                <w:szCs w:val="21"/>
              </w:rPr>
            </w:pPr>
          </w:p>
        </w:tc>
        <w:tc>
          <w:tcPr>
            <w:tcW w:w="936" w:type="dxa"/>
            <w:noWrap w:val="0"/>
            <w:vAlign w:val="top"/>
          </w:tcPr>
          <w:p w14:paraId="0850AF82">
            <w:pPr>
              <w:autoSpaceDE w:val="0"/>
              <w:autoSpaceDN w:val="0"/>
              <w:adjustRightInd w:val="0"/>
              <w:ind w:firstLine="0" w:firstLineChars="0"/>
              <w:jc w:val="left"/>
              <w:rPr>
                <w:rFonts w:hint="eastAsia" w:ascii="宋体" w:hAnsi="宋体" w:eastAsia="宋体" w:cs="宋体"/>
                <w:color w:val="auto"/>
                <w:kern w:val="0"/>
                <w:szCs w:val="21"/>
              </w:rPr>
            </w:pPr>
          </w:p>
        </w:tc>
        <w:tc>
          <w:tcPr>
            <w:tcW w:w="996" w:type="dxa"/>
            <w:noWrap w:val="0"/>
            <w:vAlign w:val="top"/>
          </w:tcPr>
          <w:p w14:paraId="3DB309D9">
            <w:pPr>
              <w:autoSpaceDE w:val="0"/>
              <w:autoSpaceDN w:val="0"/>
              <w:adjustRightInd w:val="0"/>
              <w:ind w:firstLine="0" w:firstLineChars="0"/>
              <w:jc w:val="left"/>
              <w:rPr>
                <w:rFonts w:hint="eastAsia" w:ascii="宋体" w:hAnsi="宋体" w:eastAsia="宋体" w:cs="宋体"/>
                <w:color w:val="auto"/>
                <w:kern w:val="0"/>
                <w:szCs w:val="21"/>
              </w:rPr>
            </w:pPr>
          </w:p>
        </w:tc>
      </w:tr>
    </w:tbl>
    <w:p w14:paraId="64C97AF0">
      <w:pPr>
        <w:pStyle w:val="5"/>
        <w:spacing w:before="120" w:after="120" w:line="400" w:lineRule="exact"/>
        <w:jc w:val="center"/>
        <w:rPr>
          <w:rFonts w:hint="eastAsia" w:ascii="宋体" w:hAnsi="宋体" w:eastAsia="宋体" w:cs="宋体"/>
          <w:color w:val="auto"/>
          <w:kern w:val="0"/>
          <w:szCs w:val="24"/>
        </w:rPr>
      </w:pPr>
      <w:bookmarkStart w:id="509" w:name="_Toc10656"/>
      <w:bookmarkStart w:id="510" w:name="_Toc7561"/>
      <w:bookmarkStart w:id="511" w:name="_Toc201287665"/>
      <w:bookmarkStart w:id="512" w:name="_Toc13809"/>
      <w:r>
        <w:rPr>
          <w:rFonts w:hint="eastAsia" w:ascii="宋体" w:hAnsi="宋体" w:eastAsia="宋体" w:cs="宋体"/>
          <w:color w:val="auto"/>
          <w:kern w:val="0"/>
          <w:sz w:val="24"/>
          <w:szCs w:val="24"/>
        </w:rPr>
        <w:t>（二）主要人员简历表</w:t>
      </w:r>
      <w:bookmarkEnd w:id="509"/>
      <w:bookmarkEnd w:id="510"/>
      <w:bookmarkEnd w:id="511"/>
      <w:bookmarkEnd w:id="512"/>
    </w:p>
    <w:p w14:paraId="4CC52522">
      <w:pPr>
        <w:ind w:firstLine="480"/>
        <w:rPr>
          <w:rFonts w:hint="eastAsia" w:ascii="宋体" w:hAnsi="宋体" w:eastAsia="宋体" w:cs="宋体"/>
          <w:color w:val="auto"/>
          <w:kern w:val="0"/>
        </w:rPr>
      </w:pPr>
      <w:r>
        <w:rPr>
          <w:rFonts w:hint="eastAsia" w:ascii="宋体" w:hAnsi="宋体" w:eastAsia="宋体" w:cs="宋体"/>
          <w:color w:val="auto"/>
          <w:kern w:val="0"/>
        </w:rPr>
        <w:t>“主要人员简历表”中的项目经理应附建造师执业资格证、注册证、安全生产考核合格证书、身份证复印件，管理过的项目业绩须附生效的合同、中标（成交）通知书复印件为准</w:t>
      </w:r>
      <w:r>
        <w:rPr>
          <w:rFonts w:hint="eastAsia" w:ascii="宋体" w:hAnsi="宋体" w:eastAsia="宋体" w:cs="宋体"/>
          <w:color w:val="auto"/>
          <w:szCs w:val="21"/>
        </w:rPr>
        <w:t>；</w:t>
      </w:r>
      <w:r>
        <w:rPr>
          <w:rFonts w:hint="eastAsia" w:ascii="宋体" w:hAnsi="宋体" w:eastAsia="宋体" w:cs="宋体"/>
          <w:color w:val="auto"/>
          <w:kern w:val="0"/>
        </w:rPr>
        <w:t>其他主要人员应附职称证（执业证或上岗证书）。</w:t>
      </w:r>
    </w:p>
    <w:tbl>
      <w:tblPr>
        <w:tblStyle w:val="20"/>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7"/>
        <w:gridCol w:w="1460"/>
        <w:gridCol w:w="1029"/>
        <w:gridCol w:w="1508"/>
        <w:gridCol w:w="1733"/>
        <w:gridCol w:w="1453"/>
      </w:tblGrid>
      <w:tr w14:paraId="50FAF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94" w:type="dxa"/>
            <w:noWrap w:val="0"/>
            <w:vAlign w:val="center"/>
          </w:tcPr>
          <w:p w14:paraId="7B92AA9B">
            <w:pPr>
              <w:ind w:firstLine="0" w:firstLineChars="0"/>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677" w:type="dxa"/>
            <w:gridSpan w:val="2"/>
            <w:noWrap w:val="0"/>
            <w:vAlign w:val="center"/>
          </w:tcPr>
          <w:p w14:paraId="12CD9833">
            <w:pPr>
              <w:ind w:firstLine="0" w:firstLineChars="0"/>
              <w:jc w:val="center"/>
              <w:rPr>
                <w:rFonts w:hint="eastAsia" w:ascii="宋体" w:hAnsi="宋体" w:eastAsia="宋体" w:cs="宋体"/>
                <w:color w:val="auto"/>
                <w:szCs w:val="21"/>
              </w:rPr>
            </w:pPr>
          </w:p>
        </w:tc>
        <w:tc>
          <w:tcPr>
            <w:tcW w:w="1029" w:type="dxa"/>
            <w:noWrap w:val="0"/>
            <w:vAlign w:val="center"/>
          </w:tcPr>
          <w:p w14:paraId="4DA89397">
            <w:pPr>
              <w:ind w:firstLine="0" w:firstLineChars="0"/>
              <w:jc w:val="center"/>
              <w:rPr>
                <w:rFonts w:hint="eastAsia" w:ascii="宋体" w:hAnsi="宋体" w:eastAsia="宋体" w:cs="宋体"/>
                <w:color w:val="auto"/>
                <w:szCs w:val="21"/>
              </w:rPr>
            </w:pPr>
            <w:r>
              <w:rPr>
                <w:rFonts w:hint="eastAsia" w:ascii="宋体" w:hAnsi="宋体" w:eastAsia="宋体" w:cs="宋体"/>
                <w:color w:val="auto"/>
                <w:szCs w:val="21"/>
              </w:rPr>
              <w:t>年龄</w:t>
            </w:r>
          </w:p>
        </w:tc>
        <w:tc>
          <w:tcPr>
            <w:tcW w:w="1508" w:type="dxa"/>
            <w:noWrap w:val="0"/>
            <w:vAlign w:val="center"/>
          </w:tcPr>
          <w:p w14:paraId="521712F3">
            <w:pPr>
              <w:ind w:firstLine="0" w:firstLineChars="0"/>
              <w:jc w:val="center"/>
              <w:rPr>
                <w:rFonts w:hint="eastAsia" w:ascii="宋体" w:hAnsi="宋体" w:eastAsia="宋体" w:cs="宋体"/>
                <w:color w:val="auto"/>
                <w:szCs w:val="21"/>
              </w:rPr>
            </w:pPr>
          </w:p>
        </w:tc>
        <w:tc>
          <w:tcPr>
            <w:tcW w:w="1733" w:type="dxa"/>
            <w:noWrap w:val="0"/>
            <w:vAlign w:val="center"/>
          </w:tcPr>
          <w:p w14:paraId="0CCDAAF2">
            <w:pPr>
              <w:ind w:firstLine="0" w:firstLineChars="0"/>
              <w:jc w:val="center"/>
              <w:rPr>
                <w:rFonts w:hint="eastAsia" w:ascii="宋体" w:hAnsi="宋体" w:eastAsia="宋体" w:cs="宋体"/>
                <w:color w:val="auto"/>
                <w:szCs w:val="21"/>
              </w:rPr>
            </w:pPr>
            <w:r>
              <w:rPr>
                <w:rFonts w:hint="eastAsia" w:ascii="宋体" w:hAnsi="宋体" w:eastAsia="宋体" w:cs="宋体"/>
                <w:color w:val="auto"/>
                <w:szCs w:val="21"/>
              </w:rPr>
              <w:t>学历</w:t>
            </w:r>
          </w:p>
        </w:tc>
        <w:tc>
          <w:tcPr>
            <w:tcW w:w="1453" w:type="dxa"/>
            <w:noWrap w:val="0"/>
            <w:vAlign w:val="center"/>
          </w:tcPr>
          <w:p w14:paraId="012D71FC">
            <w:pPr>
              <w:ind w:firstLine="0" w:firstLineChars="0"/>
              <w:jc w:val="center"/>
              <w:rPr>
                <w:rFonts w:hint="eastAsia" w:ascii="宋体" w:hAnsi="宋体" w:eastAsia="宋体" w:cs="宋体"/>
                <w:color w:val="auto"/>
                <w:szCs w:val="21"/>
              </w:rPr>
            </w:pPr>
          </w:p>
        </w:tc>
      </w:tr>
      <w:tr w14:paraId="3D899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4" w:type="dxa"/>
            <w:noWrap w:val="0"/>
            <w:vAlign w:val="center"/>
          </w:tcPr>
          <w:p w14:paraId="54B1EDBE">
            <w:pPr>
              <w:ind w:firstLine="0" w:firstLineChars="0"/>
              <w:jc w:val="center"/>
              <w:rPr>
                <w:rFonts w:hint="eastAsia" w:ascii="宋体" w:hAnsi="宋体" w:eastAsia="宋体" w:cs="宋体"/>
                <w:color w:val="auto"/>
                <w:szCs w:val="21"/>
              </w:rPr>
            </w:pPr>
            <w:r>
              <w:rPr>
                <w:rFonts w:hint="eastAsia" w:ascii="宋体" w:hAnsi="宋体" w:eastAsia="宋体" w:cs="宋体"/>
                <w:color w:val="auto"/>
                <w:szCs w:val="21"/>
              </w:rPr>
              <w:t>职称</w:t>
            </w:r>
          </w:p>
        </w:tc>
        <w:tc>
          <w:tcPr>
            <w:tcW w:w="1677" w:type="dxa"/>
            <w:gridSpan w:val="2"/>
            <w:noWrap w:val="0"/>
            <w:vAlign w:val="center"/>
          </w:tcPr>
          <w:p w14:paraId="23E6F456">
            <w:pPr>
              <w:ind w:firstLine="0" w:firstLineChars="0"/>
              <w:jc w:val="center"/>
              <w:rPr>
                <w:rFonts w:hint="eastAsia" w:ascii="宋体" w:hAnsi="宋体" w:eastAsia="宋体" w:cs="宋体"/>
                <w:color w:val="auto"/>
                <w:szCs w:val="21"/>
              </w:rPr>
            </w:pPr>
          </w:p>
        </w:tc>
        <w:tc>
          <w:tcPr>
            <w:tcW w:w="1029" w:type="dxa"/>
            <w:noWrap w:val="0"/>
            <w:vAlign w:val="center"/>
          </w:tcPr>
          <w:p w14:paraId="0ECDC4C6">
            <w:pPr>
              <w:ind w:firstLine="0" w:firstLineChars="0"/>
              <w:jc w:val="center"/>
              <w:rPr>
                <w:rFonts w:hint="eastAsia" w:ascii="宋体" w:hAnsi="宋体" w:eastAsia="宋体" w:cs="宋体"/>
                <w:color w:val="auto"/>
                <w:szCs w:val="21"/>
              </w:rPr>
            </w:pPr>
            <w:r>
              <w:rPr>
                <w:rFonts w:hint="eastAsia" w:ascii="宋体" w:hAnsi="宋体" w:eastAsia="宋体" w:cs="宋体"/>
                <w:color w:val="auto"/>
                <w:szCs w:val="21"/>
              </w:rPr>
              <w:t>职务</w:t>
            </w:r>
          </w:p>
        </w:tc>
        <w:tc>
          <w:tcPr>
            <w:tcW w:w="1508" w:type="dxa"/>
            <w:noWrap w:val="0"/>
            <w:vAlign w:val="center"/>
          </w:tcPr>
          <w:p w14:paraId="3EA6ED36">
            <w:pPr>
              <w:ind w:firstLine="0" w:firstLineChars="0"/>
              <w:jc w:val="center"/>
              <w:rPr>
                <w:rFonts w:hint="eastAsia" w:ascii="宋体" w:hAnsi="宋体" w:eastAsia="宋体" w:cs="宋体"/>
                <w:color w:val="auto"/>
                <w:szCs w:val="21"/>
              </w:rPr>
            </w:pPr>
          </w:p>
        </w:tc>
        <w:tc>
          <w:tcPr>
            <w:tcW w:w="1733" w:type="dxa"/>
            <w:noWrap w:val="0"/>
            <w:vAlign w:val="center"/>
          </w:tcPr>
          <w:p w14:paraId="50E49847">
            <w:pPr>
              <w:ind w:firstLine="0" w:firstLineChars="0"/>
              <w:jc w:val="center"/>
              <w:rPr>
                <w:rFonts w:hint="eastAsia" w:ascii="宋体" w:hAnsi="宋体" w:eastAsia="宋体" w:cs="宋体"/>
                <w:color w:val="auto"/>
                <w:szCs w:val="21"/>
              </w:rPr>
            </w:pPr>
            <w:r>
              <w:rPr>
                <w:rFonts w:hint="eastAsia" w:ascii="宋体" w:hAnsi="宋体" w:eastAsia="宋体" w:cs="宋体"/>
                <w:color w:val="auto"/>
                <w:szCs w:val="21"/>
              </w:rPr>
              <w:t>拟在本合同任职</w:t>
            </w:r>
          </w:p>
        </w:tc>
        <w:tc>
          <w:tcPr>
            <w:tcW w:w="1453" w:type="dxa"/>
            <w:noWrap w:val="0"/>
            <w:vAlign w:val="center"/>
          </w:tcPr>
          <w:p w14:paraId="0F4E9F16">
            <w:pPr>
              <w:ind w:firstLine="0" w:firstLineChars="0"/>
              <w:jc w:val="center"/>
              <w:rPr>
                <w:rFonts w:hint="eastAsia" w:ascii="宋体" w:hAnsi="宋体" w:eastAsia="宋体" w:cs="宋体"/>
                <w:color w:val="auto"/>
                <w:szCs w:val="21"/>
              </w:rPr>
            </w:pPr>
          </w:p>
        </w:tc>
      </w:tr>
      <w:tr w14:paraId="13674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71" w:type="dxa"/>
            <w:gridSpan w:val="3"/>
            <w:noWrap w:val="0"/>
            <w:vAlign w:val="top"/>
          </w:tcPr>
          <w:p w14:paraId="021CFEA4">
            <w:pPr>
              <w:ind w:firstLine="0" w:firstLineChars="0"/>
              <w:jc w:val="center"/>
              <w:rPr>
                <w:rFonts w:hint="eastAsia" w:ascii="宋体" w:hAnsi="宋体" w:eastAsia="宋体" w:cs="宋体"/>
                <w:color w:val="auto"/>
                <w:szCs w:val="21"/>
              </w:rPr>
            </w:pPr>
            <w:r>
              <w:rPr>
                <w:rFonts w:hint="eastAsia" w:ascii="宋体" w:hAnsi="宋体" w:eastAsia="宋体" w:cs="宋体"/>
                <w:color w:val="auto"/>
                <w:szCs w:val="21"/>
              </w:rPr>
              <w:t>毕业学校</w:t>
            </w:r>
          </w:p>
        </w:tc>
        <w:tc>
          <w:tcPr>
            <w:tcW w:w="5723" w:type="dxa"/>
            <w:gridSpan w:val="4"/>
            <w:noWrap w:val="0"/>
            <w:vAlign w:val="top"/>
          </w:tcPr>
          <w:p w14:paraId="0D8B524E">
            <w:pPr>
              <w:pStyle w:val="14"/>
              <w:spacing w:line="400" w:lineRule="exact"/>
              <w:jc w:val="center"/>
              <w:rPr>
                <w:rFonts w:hint="eastAsia" w:ascii="宋体" w:hAnsi="宋体" w:eastAsia="宋体" w:cs="宋体"/>
                <w:color w:val="auto"/>
                <w:szCs w:val="21"/>
              </w:rPr>
            </w:pPr>
            <w:r>
              <w:rPr>
                <w:rFonts w:hint="eastAsia" w:ascii="宋体" w:hAnsi="宋体" w:eastAsia="宋体" w:cs="宋体"/>
                <w:color w:val="auto"/>
                <w:sz w:val="24"/>
                <w:szCs w:val="21"/>
              </w:rPr>
              <w:t>年毕业于 学校 专业</w:t>
            </w:r>
          </w:p>
        </w:tc>
      </w:tr>
      <w:tr w14:paraId="6ED4D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594" w:type="dxa"/>
            <w:gridSpan w:val="7"/>
            <w:noWrap w:val="0"/>
            <w:vAlign w:val="top"/>
          </w:tcPr>
          <w:p w14:paraId="2479F038">
            <w:pPr>
              <w:ind w:firstLine="0" w:firstLineChars="0"/>
              <w:jc w:val="center"/>
              <w:rPr>
                <w:rFonts w:hint="eastAsia" w:ascii="宋体" w:hAnsi="宋体" w:eastAsia="宋体" w:cs="宋体"/>
                <w:color w:val="auto"/>
                <w:szCs w:val="21"/>
              </w:rPr>
            </w:pPr>
            <w:r>
              <w:rPr>
                <w:rFonts w:hint="eastAsia" w:ascii="宋体" w:hAnsi="宋体" w:eastAsia="宋体" w:cs="宋体"/>
                <w:color w:val="auto"/>
                <w:szCs w:val="21"/>
              </w:rPr>
              <w:t>主要工作经历</w:t>
            </w:r>
          </w:p>
        </w:tc>
      </w:tr>
      <w:tr w14:paraId="037A9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center"/>
          </w:tcPr>
          <w:p w14:paraId="1EA21682">
            <w:pPr>
              <w:ind w:firstLine="0" w:firstLineChars="0"/>
              <w:jc w:val="center"/>
              <w:rPr>
                <w:rFonts w:hint="eastAsia" w:ascii="宋体" w:hAnsi="宋体" w:eastAsia="宋体" w:cs="宋体"/>
                <w:color w:val="auto"/>
                <w:szCs w:val="21"/>
              </w:rPr>
            </w:pPr>
            <w:r>
              <w:rPr>
                <w:rFonts w:hint="eastAsia" w:ascii="宋体" w:hAnsi="宋体" w:eastAsia="宋体" w:cs="宋体"/>
                <w:color w:val="auto"/>
                <w:kern w:val="0"/>
                <w:szCs w:val="21"/>
              </w:rPr>
              <w:t>时 间</w:t>
            </w:r>
          </w:p>
        </w:tc>
        <w:tc>
          <w:tcPr>
            <w:tcW w:w="3997" w:type="dxa"/>
            <w:gridSpan w:val="3"/>
            <w:noWrap w:val="0"/>
            <w:vAlign w:val="center"/>
          </w:tcPr>
          <w:p w14:paraId="0DD4378C">
            <w:pPr>
              <w:ind w:firstLine="0" w:firstLineChars="0"/>
              <w:jc w:val="center"/>
              <w:rPr>
                <w:rFonts w:hint="eastAsia" w:ascii="宋体" w:hAnsi="宋体" w:eastAsia="宋体" w:cs="宋体"/>
                <w:color w:val="auto"/>
                <w:szCs w:val="21"/>
              </w:rPr>
            </w:pPr>
            <w:r>
              <w:rPr>
                <w:rFonts w:hint="eastAsia" w:ascii="宋体" w:hAnsi="宋体" w:eastAsia="宋体" w:cs="宋体"/>
                <w:color w:val="auto"/>
                <w:kern w:val="0"/>
                <w:szCs w:val="21"/>
              </w:rPr>
              <w:t>参加过的类似项目</w:t>
            </w:r>
          </w:p>
        </w:tc>
        <w:tc>
          <w:tcPr>
            <w:tcW w:w="1733" w:type="dxa"/>
            <w:noWrap w:val="0"/>
            <w:vAlign w:val="center"/>
          </w:tcPr>
          <w:p w14:paraId="5C36B0BE">
            <w:pPr>
              <w:ind w:firstLine="0" w:firstLineChars="0"/>
              <w:jc w:val="center"/>
              <w:rPr>
                <w:rFonts w:hint="eastAsia" w:ascii="宋体" w:hAnsi="宋体" w:eastAsia="宋体" w:cs="宋体"/>
                <w:color w:val="auto"/>
                <w:szCs w:val="21"/>
              </w:rPr>
            </w:pPr>
            <w:r>
              <w:rPr>
                <w:rFonts w:hint="eastAsia" w:ascii="宋体" w:hAnsi="宋体" w:eastAsia="宋体" w:cs="宋体"/>
                <w:color w:val="auto"/>
                <w:kern w:val="0"/>
                <w:szCs w:val="21"/>
              </w:rPr>
              <w:t>担任职务</w:t>
            </w:r>
          </w:p>
        </w:tc>
        <w:tc>
          <w:tcPr>
            <w:tcW w:w="1453" w:type="dxa"/>
            <w:noWrap w:val="0"/>
            <w:vAlign w:val="center"/>
          </w:tcPr>
          <w:p w14:paraId="62AD9F33">
            <w:pPr>
              <w:ind w:firstLine="0" w:firstLineChars="0"/>
              <w:jc w:val="center"/>
              <w:rPr>
                <w:rFonts w:hint="eastAsia" w:ascii="宋体" w:hAnsi="宋体" w:eastAsia="宋体" w:cs="宋体"/>
                <w:color w:val="auto"/>
                <w:szCs w:val="21"/>
              </w:rPr>
            </w:pPr>
            <w:r>
              <w:rPr>
                <w:rFonts w:hint="eastAsia" w:ascii="宋体" w:hAnsi="宋体" w:eastAsia="宋体" w:cs="宋体"/>
                <w:color w:val="auto"/>
                <w:kern w:val="0"/>
                <w:szCs w:val="21"/>
              </w:rPr>
              <w:t>发包人及联系电话</w:t>
            </w:r>
          </w:p>
        </w:tc>
      </w:tr>
      <w:tr w14:paraId="479B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662E88C8">
            <w:pPr>
              <w:ind w:firstLine="0" w:firstLineChars="0"/>
              <w:rPr>
                <w:rFonts w:hint="eastAsia" w:ascii="宋体" w:hAnsi="宋体" w:eastAsia="宋体" w:cs="宋体"/>
                <w:color w:val="auto"/>
                <w:szCs w:val="21"/>
              </w:rPr>
            </w:pPr>
          </w:p>
        </w:tc>
        <w:tc>
          <w:tcPr>
            <w:tcW w:w="3997" w:type="dxa"/>
            <w:gridSpan w:val="3"/>
            <w:noWrap w:val="0"/>
            <w:vAlign w:val="top"/>
          </w:tcPr>
          <w:p w14:paraId="290B276B">
            <w:pPr>
              <w:ind w:firstLine="0" w:firstLineChars="0"/>
              <w:rPr>
                <w:rFonts w:hint="eastAsia" w:ascii="宋体" w:hAnsi="宋体" w:eastAsia="宋体" w:cs="宋体"/>
                <w:color w:val="auto"/>
                <w:szCs w:val="21"/>
              </w:rPr>
            </w:pPr>
          </w:p>
        </w:tc>
        <w:tc>
          <w:tcPr>
            <w:tcW w:w="1733" w:type="dxa"/>
            <w:noWrap w:val="0"/>
            <w:vAlign w:val="top"/>
          </w:tcPr>
          <w:p w14:paraId="3F607709">
            <w:pPr>
              <w:ind w:firstLine="0" w:firstLineChars="0"/>
              <w:rPr>
                <w:rFonts w:hint="eastAsia" w:ascii="宋体" w:hAnsi="宋体" w:eastAsia="宋体" w:cs="宋体"/>
                <w:color w:val="auto"/>
                <w:szCs w:val="21"/>
              </w:rPr>
            </w:pPr>
          </w:p>
        </w:tc>
        <w:tc>
          <w:tcPr>
            <w:tcW w:w="1453" w:type="dxa"/>
            <w:noWrap w:val="0"/>
            <w:vAlign w:val="top"/>
          </w:tcPr>
          <w:p w14:paraId="6CA05EC1">
            <w:pPr>
              <w:ind w:firstLine="0" w:firstLineChars="0"/>
              <w:rPr>
                <w:rFonts w:hint="eastAsia" w:ascii="宋体" w:hAnsi="宋体" w:eastAsia="宋体" w:cs="宋体"/>
                <w:color w:val="auto"/>
                <w:szCs w:val="21"/>
              </w:rPr>
            </w:pPr>
          </w:p>
        </w:tc>
      </w:tr>
      <w:tr w14:paraId="5DD7F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0483EB0F">
            <w:pPr>
              <w:ind w:firstLine="0" w:firstLineChars="0"/>
              <w:rPr>
                <w:rFonts w:hint="eastAsia" w:ascii="宋体" w:hAnsi="宋体" w:eastAsia="宋体" w:cs="宋体"/>
                <w:color w:val="auto"/>
                <w:szCs w:val="21"/>
              </w:rPr>
            </w:pPr>
          </w:p>
        </w:tc>
        <w:tc>
          <w:tcPr>
            <w:tcW w:w="3997" w:type="dxa"/>
            <w:gridSpan w:val="3"/>
            <w:noWrap w:val="0"/>
            <w:vAlign w:val="top"/>
          </w:tcPr>
          <w:p w14:paraId="5A9C34A1">
            <w:pPr>
              <w:ind w:firstLine="0" w:firstLineChars="0"/>
              <w:rPr>
                <w:rFonts w:hint="eastAsia" w:ascii="宋体" w:hAnsi="宋体" w:eastAsia="宋体" w:cs="宋体"/>
                <w:color w:val="auto"/>
                <w:szCs w:val="21"/>
              </w:rPr>
            </w:pPr>
          </w:p>
        </w:tc>
        <w:tc>
          <w:tcPr>
            <w:tcW w:w="1733" w:type="dxa"/>
            <w:noWrap w:val="0"/>
            <w:vAlign w:val="top"/>
          </w:tcPr>
          <w:p w14:paraId="06DB9C41">
            <w:pPr>
              <w:ind w:firstLine="0" w:firstLineChars="0"/>
              <w:rPr>
                <w:rFonts w:hint="eastAsia" w:ascii="宋体" w:hAnsi="宋体" w:eastAsia="宋体" w:cs="宋体"/>
                <w:color w:val="auto"/>
                <w:szCs w:val="21"/>
              </w:rPr>
            </w:pPr>
          </w:p>
        </w:tc>
        <w:tc>
          <w:tcPr>
            <w:tcW w:w="1453" w:type="dxa"/>
            <w:noWrap w:val="0"/>
            <w:vAlign w:val="top"/>
          </w:tcPr>
          <w:p w14:paraId="12F5C360">
            <w:pPr>
              <w:ind w:firstLine="0" w:firstLineChars="0"/>
              <w:rPr>
                <w:rFonts w:hint="eastAsia" w:ascii="宋体" w:hAnsi="宋体" w:eastAsia="宋体" w:cs="宋体"/>
                <w:color w:val="auto"/>
                <w:szCs w:val="21"/>
              </w:rPr>
            </w:pPr>
          </w:p>
        </w:tc>
      </w:tr>
      <w:tr w14:paraId="19BE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17F77965">
            <w:pPr>
              <w:ind w:firstLine="0" w:firstLineChars="0"/>
              <w:rPr>
                <w:rFonts w:hint="eastAsia" w:ascii="宋体" w:hAnsi="宋体" w:eastAsia="宋体" w:cs="宋体"/>
                <w:color w:val="auto"/>
                <w:szCs w:val="21"/>
              </w:rPr>
            </w:pPr>
          </w:p>
        </w:tc>
        <w:tc>
          <w:tcPr>
            <w:tcW w:w="3997" w:type="dxa"/>
            <w:gridSpan w:val="3"/>
            <w:noWrap w:val="0"/>
            <w:vAlign w:val="top"/>
          </w:tcPr>
          <w:p w14:paraId="68A924FE">
            <w:pPr>
              <w:ind w:firstLine="0" w:firstLineChars="0"/>
              <w:rPr>
                <w:rFonts w:hint="eastAsia" w:ascii="宋体" w:hAnsi="宋体" w:eastAsia="宋体" w:cs="宋体"/>
                <w:color w:val="auto"/>
                <w:szCs w:val="21"/>
              </w:rPr>
            </w:pPr>
          </w:p>
        </w:tc>
        <w:tc>
          <w:tcPr>
            <w:tcW w:w="1733" w:type="dxa"/>
            <w:noWrap w:val="0"/>
            <w:vAlign w:val="top"/>
          </w:tcPr>
          <w:p w14:paraId="6581B58E">
            <w:pPr>
              <w:ind w:firstLine="0" w:firstLineChars="0"/>
              <w:rPr>
                <w:rFonts w:hint="eastAsia" w:ascii="宋体" w:hAnsi="宋体" w:eastAsia="宋体" w:cs="宋体"/>
                <w:color w:val="auto"/>
                <w:szCs w:val="21"/>
              </w:rPr>
            </w:pPr>
          </w:p>
        </w:tc>
        <w:tc>
          <w:tcPr>
            <w:tcW w:w="1453" w:type="dxa"/>
            <w:noWrap w:val="0"/>
            <w:vAlign w:val="top"/>
          </w:tcPr>
          <w:p w14:paraId="1C1B38FF">
            <w:pPr>
              <w:ind w:firstLine="0" w:firstLineChars="0"/>
              <w:rPr>
                <w:rFonts w:hint="eastAsia" w:ascii="宋体" w:hAnsi="宋体" w:eastAsia="宋体" w:cs="宋体"/>
                <w:color w:val="auto"/>
                <w:szCs w:val="21"/>
              </w:rPr>
            </w:pPr>
          </w:p>
        </w:tc>
      </w:tr>
      <w:tr w14:paraId="4CD2A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22842A52">
            <w:pPr>
              <w:ind w:firstLine="0" w:firstLineChars="0"/>
              <w:rPr>
                <w:rFonts w:hint="eastAsia" w:ascii="宋体" w:hAnsi="宋体" w:eastAsia="宋体" w:cs="宋体"/>
                <w:color w:val="auto"/>
                <w:szCs w:val="21"/>
              </w:rPr>
            </w:pPr>
          </w:p>
        </w:tc>
        <w:tc>
          <w:tcPr>
            <w:tcW w:w="3997" w:type="dxa"/>
            <w:gridSpan w:val="3"/>
            <w:noWrap w:val="0"/>
            <w:vAlign w:val="top"/>
          </w:tcPr>
          <w:p w14:paraId="1D45A18B">
            <w:pPr>
              <w:ind w:firstLine="0" w:firstLineChars="0"/>
              <w:rPr>
                <w:rFonts w:hint="eastAsia" w:ascii="宋体" w:hAnsi="宋体" w:eastAsia="宋体" w:cs="宋体"/>
                <w:color w:val="auto"/>
                <w:szCs w:val="21"/>
              </w:rPr>
            </w:pPr>
          </w:p>
        </w:tc>
        <w:tc>
          <w:tcPr>
            <w:tcW w:w="1733" w:type="dxa"/>
            <w:noWrap w:val="0"/>
            <w:vAlign w:val="top"/>
          </w:tcPr>
          <w:p w14:paraId="5B9D6A9A">
            <w:pPr>
              <w:ind w:firstLine="0" w:firstLineChars="0"/>
              <w:rPr>
                <w:rFonts w:hint="eastAsia" w:ascii="宋体" w:hAnsi="宋体" w:eastAsia="宋体" w:cs="宋体"/>
                <w:color w:val="auto"/>
                <w:szCs w:val="21"/>
              </w:rPr>
            </w:pPr>
          </w:p>
        </w:tc>
        <w:tc>
          <w:tcPr>
            <w:tcW w:w="1453" w:type="dxa"/>
            <w:noWrap w:val="0"/>
            <w:vAlign w:val="top"/>
          </w:tcPr>
          <w:p w14:paraId="5515BC8F">
            <w:pPr>
              <w:ind w:firstLine="0" w:firstLineChars="0"/>
              <w:rPr>
                <w:rFonts w:hint="eastAsia" w:ascii="宋体" w:hAnsi="宋体" w:eastAsia="宋体" w:cs="宋体"/>
                <w:color w:val="auto"/>
                <w:szCs w:val="21"/>
              </w:rPr>
            </w:pPr>
          </w:p>
        </w:tc>
      </w:tr>
      <w:tr w14:paraId="5A57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56AA0C04">
            <w:pPr>
              <w:ind w:firstLine="0" w:firstLineChars="0"/>
              <w:rPr>
                <w:rFonts w:hint="eastAsia" w:ascii="宋体" w:hAnsi="宋体" w:eastAsia="宋体" w:cs="宋体"/>
                <w:color w:val="auto"/>
                <w:szCs w:val="21"/>
              </w:rPr>
            </w:pPr>
          </w:p>
        </w:tc>
        <w:tc>
          <w:tcPr>
            <w:tcW w:w="3997" w:type="dxa"/>
            <w:gridSpan w:val="3"/>
            <w:noWrap w:val="0"/>
            <w:vAlign w:val="top"/>
          </w:tcPr>
          <w:p w14:paraId="3B8A4D99">
            <w:pPr>
              <w:ind w:firstLine="0" w:firstLineChars="0"/>
              <w:rPr>
                <w:rFonts w:hint="eastAsia" w:ascii="宋体" w:hAnsi="宋体" w:eastAsia="宋体" w:cs="宋体"/>
                <w:color w:val="auto"/>
                <w:szCs w:val="21"/>
              </w:rPr>
            </w:pPr>
          </w:p>
        </w:tc>
        <w:tc>
          <w:tcPr>
            <w:tcW w:w="1733" w:type="dxa"/>
            <w:noWrap w:val="0"/>
            <w:vAlign w:val="top"/>
          </w:tcPr>
          <w:p w14:paraId="6F9E0A5A">
            <w:pPr>
              <w:ind w:firstLine="0" w:firstLineChars="0"/>
              <w:rPr>
                <w:rFonts w:hint="eastAsia" w:ascii="宋体" w:hAnsi="宋体" w:eastAsia="宋体" w:cs="宋体"/>
                <w:color w:val="auto"/>
                <w:szCs w:val="21"/>
              </w:rPr>
            </w:pPr>
          </w:p>
        </w:tc>
        <w:tc>
          <w:tcPr>
            <w:tcW w:w="1453" w:type="dxa"/>
            <w:noWrap w:val="0"/>
            <w:vAlign w:val="top"/>
          </w:tcPr>
          <w:p w14:paraId="006797C3">
            <w:pPr>
              <w:ind w:firstLine="0" w:firstLineChars="0"/>
              <w:rPr>
                <w:rFonts w:hint="eastAsia" w:ascii="宋体" w:hAnsi="宋体" w:eastAsia="宋体" w:cs="宋体"/>
                <w:color w:val="auto"/>
                <w:szCs w:val="21"/>
              </w:rPr>
            </w:pPr>
          </w:p>
        </w:tc>
      </w:tr>
      <w:tr w14:paraId="3A5B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199861C4">
            <w:pPr>
              <w:ind w:firstLine="0" w:firstLineChars="0"/>
              <w:rPr>
                <w:rFonts w:hint="eastAsia" w:ascii="宋体" w:hAnsi="宋体" w:eastAsia="宋体" w:cs="宋体"/>
                <w:color w:val="auto"/>
                <w:szCs w:val="21"/>
              </w:rPr>
            </w:pPr>
          </w:p>
        </w:tc>
        <w:tc>
          <w:tcPr>
            <w:tcW w:w="3997" w:type="dxa"/>
            <w:gridSpan w:val="3"/>
            <w:noWrap w:val="0"/>
            <w:vAlign w:val="top"/>
          </w:tcPr>
          <w:p w14:paraId="6D2A4BB3">
            <w:pPr>
              <w:ind w:firstLine="0" w:firstLineChars="0"/>
              <w:rPr>
                <w:rFonts w:hint="eastAsia" w:ascii="宋体" w:hAnsi="宋体" w:eastAsia="宋体" w:cs="宋体"/>
                <w:color w:val="auto"/>
                <w:szCs w:val="21"/>
              </w:rPr>
            </w:pPr>
          </w:p>
        </w:tc>
        <w:tc>
          <w:tcPr>
            <w:tcW w:w="1733" w:type="dxa"/>
            <w:noWrap w:val="0"/>
            <w:vAlign w:val="top"/>
          </w:tcPr>
          <w:p w14:paraId="485EA97D">
            <w:pPr>
              <w:ind w:firstLine="0" w:firstLineChars="0"/>
              <w:rPr>
                <w:rFonts w:hint="eastAsia" w:ascii="宋体" w:hAnsi="宋体" w:eastAsia="宋体" w:cs="宋体"/>
                <w:color w:val="auto"/>
                <w:szCs w:val="21"/>
              </w:rPr>
            </w:pPr>
          </w:p>
        </w:tc>
        <w:tc>
          <w:tcPr>
            <w:tcW w:w="1453" w:type="dxa"/>
            <w:noWrap w:val="0"/>
            <w:vAlign w:val="top"/>
          </w:tcPr>
          <w:p w14:paraId="3DF9DA01">
            <w:pPr>
              <w:ind w:firstLine="0" w:firstLineChars="0"/>
              <w:rPr>
                <w:rFonts w:hint="eastAsia" w:ascii="宋体" w:hAnsi="宋体" w:eastAsia="宋体" w:cs="宋体"/>
                <w:color w:val="auto"/>
                <w:szCs w:val="21"/>
              </w:rPr>
            </w:pPr>
          </w:p>
        </w:tc>
      </w:tr>
    </w:tbl>
    <w:p w14:paraId="40A351FC">
      <w:pPr>
        <w:pStyle w:val="2"/>
        <w:rPr>
          <w:rFonts w:hint="eastAsia" w:ascii="宋体" w:hAnsi="宋体" w:eastAsia="宋体" w:cs="宋体"/>
          <w:color w:val="auto"/>
          <w:spacing w:val="6"/>
          <w:kern w:val="0"/>
          <w:sz w:val="24"/>
          <w:szCs w:val="24"/>
        </w:rPr>
      </w:pPr>
    </w:p>
    <w:p w14:paraId="32FFCA06">
      <w:pPr>
        <w:keepNext w:val="0"/>
        <w:keepLines w:val="0"/>
        <w:pageBreakBefore w:val="0"/>
        <w:kinsoku/>
        <w:wordWrap/>
        <w:overflowPunct/>
        <w:topLinePunct w:val="0"/>
        <w:bidi w:val="0"/>
        <w:adjustRightInd/>
        <w:snapToGrid/>
        <w:spacing w:line="360" w:lineRule="auto"/>
        <w:ind w:left="0" w:leftChars="0"/>
        <w:rPr>
          <w:rFonts w:hint="eastAsia" w:ascii="宋体" w:hAnsi="宋体" w:eastAsia="宋体" w:cs="宋体"/>
          <w:b/>
          <w:bCs w:val="0"/>
          <w:color w:val="auto"/>
          <w:kern w:val="2"/>
          <w:sz w:val="28"/>
          <w:szCs w:val="28"/>
          <w:lang w:val="en-US" w:eastAsia="zh-CN" w:bidi="ar-SA"/>
        </w:rPr>
      </w:pPr>
      <w:bookmarkStart w:id="513" w:name="_Toc11887"/>
      <w:bookmarkStart w:id="514" w:name="_Toc4925"/>
      <w:bookmarkStart w:id="515" w:name="_Toc31301_WPSOffice_Level3"/>
      <w:bookmarkStart w:id="516" w:name="_Toc10368"/>
      <w:bookmarkStart w:id="517" w:name="_Toc3146_WPSOffice_Level3"/>
      <w:r>
        <w:rPr>
          <w:rFonts w:hint="eastAsia" w:ascii="宋体" w:hAnsi="宋体" w:eastAsia="宋体" w:cs="宋体"/>
          <w:b/>
          <w:bCs w:val="0"/>
          <w:color w:val="auto"/>
          <w:kern w:val="2"/>
          <w:sz w:val="28"/>
          <w:szCs w:val="28"/>
          <w:lang w:val="en-US" w:eastAsia="zh-CN" w:bidi="ar-SA"/>
        </w:rPr>
        <w:br w:type="page"/>
      </w:r>
    </w:p>
    <w:p w14:paraId="038BF805">
      <w:pPr>
        <w:keepNext w:val="0"/>
        <w:keepLines w:val="0"/>
        <w:pageBreakBefore w:val="0"/>
        <w:widowControl/>
        <w:kinsoku/>
        <w:wordWrap/>
        <w:overflowPunct/>
        <w:topLinePunct w:val="0"/>
        <w:bidi w:val="0"/>
        <w:adjustRightInd/>
        <w:snapToGrid/>
        <w:spacing w:line="360" w:lineRule="auto"/>
        <w:ind w:left="0" w:leftChars="0"/>
        <w:outlineLvl w:val="1"/>
        <w:rPr>
          <w:rFonts w:hint="eastAsia" w:ascii="宋体" w:hAnsi="宋体" w:eastAsia="宋体" w:cs="宋体"/>
          <w:b/>
          <w:bCs w:val="0"/>
          <w:color w:val="auto"/>
          <w:kern w:val="2"/>
          <w:sz w:val="24"/>
          <w:szCs w:val="24"/>
          <w:lang w:val="en-US" w:eastAsia="zh-CN" w:bidi="ar-SA"/>
        </w:rPr>
      </w:pPr>
      <w:bookmarkStart w:id="518" w:name="_Toc13810"/>
      <w:r>
        <w:rPr>
          <w:rFonts w:hint="eastAsia" w:ascii="宋体" w:hAnsi="宋体" w:eastAsia="宋体" w:cs="宋体"/>
          <w:b/>
          <w:bCs w:val="0"/>
          <w:color w:val="auto"/>
          <w:kern w:val="2"/>
          <w:sz w:val="28"/>
          <w:szCs w:val="28"/>
          <w:lang w:val="en-US" w:eastAsia="zh-CN" w:bidi="ar-SA"/>
        </w:rPr>
        <w:t>附件14：享受政府采购政策优惠的证明资料</w:t>
      </w:r>
      <w:bookmarkEnd w:id="513"/>
      <w:bookmarkEnd w:id="514"/>
      <w:bookmarkEnd w:id="515"/>
      <w:bookmarkEnd w:id="516"/>
      <w:bookmarkEnd w:id="517"/>
      <w:bookmarkEnd w:id="518"/>
    </w:p>
    <w:p w14:paraId="3D9C3287">
      <w:pPr>
        <w:keepNext w:val="0"/>
        <w:keepLines w:val="0"/>
        <w:pageBreakBefore w:val="0"/>
        <w:numPr>
          <w:ilvl w:val="0"/>
          <w:numId w:val="0"/>
        </w:numPr>
        <w:kinsoku/>
        <w:wordWrap/>
        <w:overflowPunct/>
        <w:topLinePunct w:val="0"/>
        <w:bidi w:val="0"/>
        <w:adjustRightInd/>
        <w:snapToGrid/>
        <w:spacing w:line="360" w:lineRule="auto"/>
        <w:jc w:val="center"/>
        <w:outlineLvl w:val="9"/>
        <w:rPr>
          <w:rFonts w:hint="eastAsia" w:ascii="宋体" w:hAnsi="宋体" w:eastAsia="宋体" w:cs="宋体"/>
          <w:b/>
          <w:bCs/>
          <w:color w:val="auto"/>
          <w:kern w:val="2"/>
          <w:sz w:val="24"/>
          <w:szCs w:val="24"/>
          <w:lang w:val="en-US" w:eastAsia="zh-CN" w:bidi="ar-SA"/>
        </w:rPr>
      </w:pPr>
      <w:bookmarkStart w:id="519" w:name="_Toc25276"/>
      <w:r>
        <w:rPr>
          <w:rFonts w:hint="eastAsia" w:ascii="宋体" w:hAnsi="宋体" w:eastAsia="宋体" w:cs="宋体"/>
          <w:b/>
          <w:bCs/>
          <w:color w:val="auto"/>
          <w:kern w:val="2"/>
          <w:sz w:val="24"/>
          <w:szCs w:val="24"/>
          <w:lang w:val="en-US" w:eastAsia="zh-CN" w:bidi="ar-SA"/>
        </w:rPr>
        <w:t>1.节能产品、环境标志产品证明材料</w:t>
      </w:r>
      <w:bookmarkEnd w:id="519"/>
    </w:p>
    <w:p w14:paraId="1C6422EA">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产品</w:t>
      </w:r>
      <w:r>
        <w:rPr>
          <w:rFonts w:hint="eastAsia" w:ascii="宋体" w:hAnsi="宋体" w:eastAsia="宋体" w:cs="宋体"/>
          <w:bCs/>
          <w:color w:val="auto"/>
          <w:sz w:val="24"/>
          <w:szCs w:val="24"/>
        </w:rPr>
        <w:t>属于</w:t>
      </w:r>
      <w:r>
        <w:rPr>
          <w:rFonts w:hint="eastAsia" w:ascii="宋体" w:hAnsi="宋体" w:eastAsia="宋体" w:cs="宋体"/>
          <w:bCs/>
          <w:color w:val="auto"/>
          <w:sz w:val="24"/>
          <w:szCs w:val="24"/>
          <w:lang w:eastAsia="zh-CN"/>
        </w:rPr>
        <w:t>品目清单范围的</w:t>
      </w:r>
      <w:r>
        <w:rPr>
          <w:rFonts w:hint="eastAsia" w:ascii="宋体" w:hAnsi="宋体" w:eastAsia="宋体" w:cs="宋体"/>
          <w:color w:val="auto"/>
          <w:sz w:val="24"/>
          <w:szCs w:val="24"/>
          <w:lang w:eastAsia="zh-CN"/>
        </w:rPr>
        <w:t>，</w:t>
      </w:r>
      <w:r>
        <w:rPr>
          <w:rFonts w:hint="eastAsia" w:ascii="宋体" w:hAnsi="宋体" w:eastAsia="宋体" w:cs="宋体"/>
          <w:bCs/>
          <w:color w:val="auto"/>
          <w:sz w:val="24"/>
          <w:szCs w:val="24"/>
          <w:lang w:eastAsia="zh-CN"/>
        </w:rPr>
        <w:t>实施政府优先采购和强制采购。</w:t>
      </w:r>
      <w:r>
        <w:rPr>
          <w:rFonts w:hint="eastAsia" w:ascii="宋体" w:hAnsi="宋体" w:eastAsia="宋体" w:cs="宋体"/>
          <w:color w:val="auto"/>
          <w:sz w:val="24"/>
          <w:szCs w:val="24"/>
        </w:rPr>
        <w:t>供应商应</w:t>
      </w:r>
      <w:r>
        <w:rPr>
          <w:rFonts w:hint="eastAsia" w:ascii="宋体" w:hAnsi="宋体" w:eastAsia="宋体" w:cs="宋体"/>
          <w:color w:val="auto"/>
          <w:sz w:val="24"/>
          <w:szCs w:val="24"/>
          <w:lang w:eastAsia="zh-CN"/>
        </w:rPr>
        <w:t>提供</w:t>
      </w:r>
      <w:r>
        <w:rPr>
          <w:rFonts w:hint="eastAsia" w:ascii="宋体" w:hAnsi="宋体" w:eastAsia="宋体" w:cs="宋体"/>
          <w:color w:val="auto"/>
          <w:sz w:val="24"/>
          <w:szCs w:val="24"/>
        </w:rPr>
        <w:t>国家确定的认证机构出具的、处于有效期之内的节能产品、环境标志产品认证证书，并加盖供应商单位公章。</w:t>
      </w:r>
    </w:p>
    <w:p w14:paraId="044BE0EC">
      <w:pPr>
        <w:keepNext w:val="0"/>
        <w:keepLines w:val="0"/>
        <w:pageBreakBefore w:val="0"/>
        <w:kinsoku/>
        <w:wordWrap/>
        <w:overflowPunct/>
        <w:topLinePunct w:val="0"/>
        <w:bidi w:val="0"/>
        <w:adjustRightInd/>
        <w:snapToGrid/>
        <w:spacing w:line="360" w:lineRule="auto"/>
        <w:ind w:left="0" w:leftChars="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注：如无此项内容，可不提供。</w:t>
      </w:r>
    </w:p>
    <w:p w14:paraId="435C0BDC">
      <w:pPr>
        <w:keepNext w:val="0"/>
        <w:keepLines w:val="0"/>
        <w:pageBreakBefore w:val="0"/>
        <w:kinsoku/>
        <w:wordWrap/>
        <w:overflowPunct/>
        <w:topLinePunct w:val="0"/>
        <w:bidi w:val="0"/>
        <w:adjustRightInd/>
        <w:snapToGrid/>
        <w:spacing w:line="360" w:lineRule="auto"/>
        <w:ind w:left="0" w:leftChars="0"/>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br w:type="page"/>
      </w:r>
    </w:p>
    <w:p w14:paraId="1990ADBC">
      <w:pPr>
        <w:autoSpaceDE w:val="0"/>
        <w:autoSpaceDN w:val="0"/>
        <w:spacing w:line="360" w:lineRule="auto"/>
        <w:jc w:val="center"/>
        <w:rPr>
          <w:rFonts w:hint="eastAsia" w:ascii="宋体" w:hAnsi="宋体" w:eastAsia="宋体" w:cs="宋体"/>
          <w:b/>
          <w:bCs/>
          <w:color w:val="auto"/>
          <w:kern w:val="0"/>
          <w:sz w:val="24"/>
          <w:szCs w:val="24"/>
          <w:lang w:val="zh-CN" w:eastAsia="zh-CN"/>
        </w:rPr>
      </w:pPr>
      <w:bookmarkStart w:id="520" w:name="_Toc31539"/>
      <w:bookmarkStart w:id="521" w:name="_Toc22784_WPSOffice_Level3"/>
      <w:bookmarkStart w:id="522" w:name="_Toc6454"/>
      <w:r>
        <w:rPr>
          <w:rFonts w:hint="eastAsia" w:ascii="宋体" w:hAnsi="宋体" w:eastAsia="宋体" w:cs="宋体"/>
          <w:b/>
          <w:bCs/>
          <w:color w:val="auto"/>
          <w:kern w:val="2"/>
          <w:sz w:val="24"/>
          <w:szCs w:val="24"/>
          <w:lang w:val="en-US" w:eastAsia="zh-CN" w:bidi="ar-SA"/>
        </w:rPr>
        <w:t>2.</w:t>
      </w:r>
      <w:bookmarkEnd w:id="520"/>
      <w:bookmarkEnd w:id="521"/>
      <w:bookmarkEnd w:id="522"/>
      <w:r>
        <w:rPr>
          <w:rFonts w:hint="eastAsia" w:ascii="宋体" w:hAnsi="宋体" w:eastAsia="宋体" w:cs="宋体"/>
          <w:b/>
          <w:bCs/>
          <w:color w:val="auto"/>
          <w:kern w:val="0"/>
          <w:sz w:val="24"/>
          <w:szCs w:val="24"/>
          <w:lang w:eastAsia="zh-CN"/>
        </w:rPr>
        <w:t>中小企业声明函</w:t>
      </w:r>
    </w:p>
    <w:p w14:paraId="175519EA">
      <w:pPr>
        <w:keepNext w:val="0"/>
        <w:keepLines w:val="0"/>
        <w:widowControl/>
        <w:suppressLineNumbers w:val="0"/>
        <w:spacing w:line="360" w:lineRule="auto"/>
        <w:ind w:left="0" w:leftChars="0" w:firstLine="0" w:firstLineChars="0"/>
        <w:jc w:val="left"/>
        <w:rPr>
          <w:rFonts w:hint="eastAsia" w:ascii="宋体" w:hAnsi="宋体" w:eastAsia="宋体" w:cs="宋体"/>
          <w:i w:val="0"/>
          <w:iCs w:val="0"/>
          <w:color w:val="auto"/>
          <w:kern w:val="0"/>
          <w:sz w:val="24"/>
          <w:szCs w:val="24"/>
          <w:lang w:val="en-US" w:eastAsia="zh-CN" w:bidi="ar"/>
        </w:rPr>
      </w:pPr>
      <w:bookmarkStart w:id="523" w:name="_Toc11740"/>
      <w:bookmarkStart w:id="524" w:name="_Toc14211_WPSOffice_Level3"/>
      <w:bookmarkStart w:id="525" w:name="_Toc12160"/>
      <w:r>
        <w:rPr>
          <w:rFonts w:hint="eastAsia" w:ascii="宋体" w:hAnsi="宋体" w:eastAsia="宋体" w:cs="宋体"/>
          <w:b/>
          <w:color w:val="auto"/>
          <w:sz w:val="24"/>
          <w:szCs w:val="24"/>
        </w:rPr>
        <w:t>致：</w:t>
      </w:r>
      <w:r>
        <w:rPr>
          <w:rFonts w:hint="eastAsia" w:ascii="宋体" w:hAnsi="宋体" w:eastAsia="宋体" w:cs="宋体"/>
          <w:b/>
          <w:color w:val="auto"/>
          <w:sz w:val="24"/>
          <w:szCs w:val="24"/>
          <w:lang w:eastAsia="zh-CN"/>
        </w:rPr>
        <w:t>青海鼎钊招标代理有限公司</w:t>
      </w:r>
    </w:p>
    <w:p w14:paraId="4774BA84">
      <w:pPr>
        <w:keepNext w:val="0"/>
        <w:keepLines w:val="0"/>
        <w:widowControl/>
        <w:suppressLineNumbers w:val="0"/>
        <w:spacing w:line="360" w:lineRule="auto"/>
        <w:ind w:firstLine="480" w:firstLineChars="2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本公司郑重声明，根据《政府采购促进中小企业发展管理办法》（财库﹝2020﹞46 号）的规定，本公司参加</w:t>
      </w:r>
      <w:r>
        <w:rPr>
          <w:rFonts w:hint="eastAsia" w:ascii="宋体" w:hAnsi="宋体" w:eastAsia="宋体" w:cs="宋体"/>
          <w:i w:val="0"/>
          <w:iCs w:val="0"/>
          <w:color w:val="auto"/>
          <w:kern w:val="0"/>
          <w:sz w:val="24"/>
          <w:szCs w:val="24"/>
          <w:u w:val="single"/>
          <w:lang w:val="en-US" w:eastAsia="zh-CN" w:bidi="ar"/>
        </w:rPr>
        <w:t>（乌兰县教育局）的（2025年义务教育薄弱环节改善与能力提升-乌兰县第二中学建设项目）</w:t>
      </w:r>
      <w:r>
        <w:rPr>
          <w:rFonts w:hint="eastAsia" w:ascii="宋体" w:hAnsi="宋体" w:eastAsia="宋体" w:cs="宋体"/>
          <w:i w:val="0"/>
          <w:iCs w:val="0"/>
          <w:color w:val="auto"/>
          <w:kern w:val="0"/>
          <w:sz w:val="24"/>
          <w:szCs w:val="24"/>
          <w:lang w:val="en-US" w:eastAsia="zh-CN" w:bidi="ar"/>
        </w:rPr>
        <w:t>采购活动，工程的施工单位全部为符合政策要求的中小企业承建。相关企业的具体情况如下：</w:t>
      </w:r>
    </w:p>
    <w:p w14:paraId="6FF1DEBB">
      <w:pPr>
        <w:keepNext w:val="0"/>
        <w:keepLines w:val="0"/>
        <w:widowControl/>
        <w:suppressLineNumbers w:val="0"/>
        <w:spacing w:line="360" w:lineRule="auto"/>
        <w:ind w:firstLine="480" w:firstLineChars="2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1.</w:t>
      </w:r>
      <w:r>
        <w:rPr>
          <w:rFonts w:hint="eastAsia" w:ascii="宋体" w:hAnsi="宋体" w:eastAsia="宋体" w:cs="宋体"/>
          <w:i w:val="0"/>
          <w:iCs w:val="0"/>
          <w:color w:val="auto"/>
          <w:kern w:val="0"/>
          <w:sz w:val="24"/>
          <w:szCs w:val="24"/>
          <w:u w:val="single"/>
          <w:lang w:val="en-US" w:eastAsia="zh-CN" w:bidi="ar"/>
        </w:rPr>
        <w:t>（2025年义务教育薄弱环节改善与能力提升-乌兰县第二中学建设项目）</w:t>
      </w:r>
      <w:r>
        <w:rPr>
          <w:rFonts w:hint="eastAsia" w:ascii="宋体" w:hAnsi="宋体" w:eastAsia="宋体" w:cs="宋体"/>
          <w:i w:val="0"/>
          <w:iCs w:val="0"/>
          <w:color w:val="auto"/>
          <w:kern w:val="0"/>
          <w:sz w:val="24"/>
          <w:szCs w:val="24"/>
          <w:lang w:val="en-US" w:eastAsia="zh-CN" w:bidi="ar"/>
        </w:rPr>
        <w:t>，属于</w:t>
      </w:r>
      <w:r>
        <w:rPr>
          <w:rFonts w:hint="eastAsia" w:ascii="宋体" w:hAnsi="宋体" w:eastAsia="宋体" w:cs="宋体"/>
          <w:i w:val="0"/>
          <w:iCs w:val="0"/>
          <w:color w:val="auto"/>
          <w:kern w:val="0"/>
          <w:sz w:val="24"/>
          <w:szCs w:val="24"/>
          <w:u w:val="single"/>
          <w:lang w:val="en-US" w:eastAsia="zh-CN" w:bidi="ar"/>
        </w:rPr>
        <w:t>（采购文件中明确的所属行业）</w:t>
      </w:r>
      <w:r>
        <w:rPr>
          <w:rFonts w:hint="eastAsia" w:ascii="宋体" w:hAnsi="宋体" w:eastAsia="宋体" w:cs="宋体"/>
          <w:i w:val="0"/>
          <w:iCs w:val="0"/>
          <w:color w:val="auto"/>
          <w:kern w:val="0"/>
          <w:sz w:val="24"/>
          <w:szCs w:val="24"/>
          <w:lang w:val="en-US" w:eastAsia="zh-CN" w:bidi="ar"/>
        </w:rPr>
        <w:t>；承建企业为</w:t>
      </w:r>
      <w:r>
        <w:rPr>
          <w:rFonts w:hint="eastAsia" w:ascii="宋体" w:hAnsi="宋体" w:eastAsia="宋体" w:cs="宋体"/>
          <w:i w:val="0"/>
          <w:iCs w:val="0"/>
          <w:color w:val="auto"/>
          <w:kern w:val="0"/>
          <w:sz w:val="24"/>
          <w:szCs w:val="24"/>
          <w:u w:val="single"/>
          <w:lang w:val="en-US" w:eastAsia="zh-CN" w:bidi="ar"/>
        </w:rPr>
        <w:t>（企业名称）</w:t>
      </w:r>
      <w:r>
        <w:rPr>
          <w:rFonts w:hint="eastAsia" w:ascii="宋体" w:hAnsi="宋体" w:eastAsia="宋体" w:cs="宋体"/>
          <w:i w:val="0"/>
          <w:iCs w:val="0"/>
          <w:color w:val="auto"/>
          <w:kern w:val="0"/>
          <w:sz w:val="24"/>
          <w:szCs w:val="24"/>
          <w:lang w:val="en-US" w:eastAsia="zh-CN" w:bidi="ar"/>
        </w:rPr>
        <w:t>，从业人员</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人，营业收入为</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万元，资产总额为</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万元</w:t>
      </w:r>
      <w:r>
        <w:rPr>
          <w:rFonts w:hint="eastAsia" w:ascii="宋体" w:hAnsi="宋体" w:eastAsia="宋体" w:cs="宋体"/>
          <w:i w:val="0"/>
          <w:iCs w:val="0"/>
          <w:color w:val="auto"/>
          <w:kern w:val="0"/>
          <w:sz w:val="24"/>
          <w:szCs w:val="24"/>
          <w:vertAlign w:val="superscript"/>
          <w:lang w:val="en-US" w:eastAsia="zh-CN" w:bidi="ar"/>
        </w:rPr>
        <w:t>1</w:t>
      </w:r>
      <w:r>
        <w:rPr>
          <w:rFonts w:hint="eastAsia" w:ascii="宋体" w:hAnsi="宋体" w:eastAsia="宋体" w:cs="宋体"/>
          <w:i w:val="0"/>
          <w:iCs w:val="0"/>
          <w:color w:val="auto"/>
          <w:kern w:val="0"/>
          <w:sz w:val="24"/>
          <w:szCs w:val="24"/>
          <w:lang w:val="en-US" w:eastAsia="zh-CN" w:bidi="ar"/>
        </w:rPr>
        <w:t>，属于</w:t>
      </w:r>
      <w:r>
        <w:rPr>
          <w:rFonts w:hint="eastAsia" w:ascii="宋体" w:hAnsi="宋体" w:eastAsia="宋体" w:cs="宋体"/>
          <w:i w:val="0"/>
          <w:iCs w:val="0"/>
          <w:color w:val="auto"/>
          <w:kern w:val="0"/>
          <w:sz w:val="24"/>
          <w:szCs w:val="24"/>
          <w:u w:val="single"/>
          <w:lang w:val="en-US" w:eastAsia="zh-CN" w:bidi="ar"/>
        </w:rPr>
        <w:t>（中型企业、小型企业、微型企业）</w:t>
      </w:r>
      <w:r>
        <w:rPr>
          <w:rFonts w:hint="eastAsia" w:ascii="宋体" w:hAnsi="宋体" w:eastAsia="宋体" w:cs="宋体"/>
          <w:i w:val="0"/>
          <w:iCs w:val="0"/>
          <w:color w:val="auto"/>
          <w:kern w:val="0"/>
          <w:sz w:val="24"/>
          <w:szCs w:val="24"/>
          <w:lang w:val="en-US" w:eastAsia="zh-CN" w:bidi="ar"/>
        </w:rPr>
        <w:t>；</w:t>
      </w:r>
    </w:p>
    <w:p w14:paraId="2A4C17F7">
      <w:pPr>
        <w:keepNext w:val="0"/>
        <w:keepLines w:val="0"/>
        <w:widowControl/>
        <w:suppressLineNumbers w:val="0"/>
        <w:spacing w:line="360" w:lineRule="auto"/>
        <w:ind w:firstLine="480" w:firstLineChars="200"/>
        <w:jc w:val="left"/>
        <w:rPr>
          <w:rFonts w:hint="eastAsia" w:ascii="宋体" w:hAnsi="宋体" w:eastAsia="宋体" w:cs="宋体"/>
          <w:i w:val="0"/>
          <w:iCs w:val="0"/>
          <w:color w:val="auto"/>
          <w:kern w:val="0"/>
          <w:sz w:val="24"/>
          <w:szCs w:val="24"/>
          <w:lang w:val="en-US" w:eastAsia="zh-CN" w:bidi="ar"/>
        </w:rPr>
      </w:pPr>
      <w:r>
        <w:rPr>
          <w:rFonts w:hint="eastAsia" w:ascii="宋体" w:hAnsi="宋体" w:eastAsia="宋体" w:cs="宋体"/>
          <w:i w:val="0"/>
          <w:iCs w:val="0"/>
          <w:color w:val="auto"/>
          <w:kern w:val="0"/>
          <w:sz w:val="24"/>
          <w:szCs w:val="24"/>
          <w:lang w:val="en-US" w:eastAsia="zh-CN" w:bidi="ar"/>
        </w:rPr>
        <w:t>2.</w:t>
      </w:r>
      <w:r>
        <w:rPr>
          <w:rFonts w:hint="eastAsia" w:ascii="宋体" w:hAnsi="宋体" w:eastAsia="宋体" w:cs="宋体"/>
          <w:i w:val="0"/>
          <w:iCs w:val="0"/>
          <w:color w:val="auto"/>
          <w:kern w:val="0"/>
          <w:sz w:val="24"/>
          <w:szCs w:val="24"/>
          <w:u w:val="single"/>
          <w:lang w:val="en-US" w:eastAsia="zh-CN" w:bidi="ar"/>
        </w:rPr>
        <w:t xml:space="preserve"> （标的名称） </w:t>
      </w:r>
      <w:r>
        <w:rPr>
          <w:rFonts w:hint="eastAsia" w:ascii="宋体" w:hAnsi="宋体" w:eastAsia="宋体" w:cs="宋体"/>
          <w:i w:val="0"/>
          <w:iCs w:val="0"/>
          <w:color w:val="auto"/>
          <w:kern w:val="0"/>
          <w:sz w:val="24"/>
          <w:szCs w:val="24"/>
          <w:lang w:val="en-US" w:eastAsia="zh-CN" w:bidi="ar"/>
        </w:rPr>
        <w:t>，属于</w:t>
      </w:r>
      <w:r>
        <w:rPr>
          <w:rFonts w:hint="eastAsia" w:ascii="宋体" w:hAnsi="宋体" w:eastAsia="宋体" w:cs="宋体"/>
          <w:i w:val="0"/>
          <w:iCs w:val="0"/>
          <w:color w:val="auto"/>
          <w:kern w:val="0"/>
          <w:sz w:val="24"/>
          <w:szCs w:val="24"/>
          <w:u w:val="single"/>
          <w:lang w:val="en-US" w:eastAsia="zh-CN" w:bidi="ar"/>
        </w:rPr>
        <w:t>（采购文件中明确的所属行业）</w:t>
      </w:r>
      <w:r>
        <w:rPr>
          <w:rFonts w:hint="eastAsia" w:ascii="宋体" w:hAnsi="宋体" w:eastAsia="宋体" w:cs="宋体"/>
          <w:i w:val="0"/>
          <w:iCs w:val="0"/>
          <w:color w:val="auto"/>
          <w:kern w:val="0"/>
          <w:sz w:val="24"/>
          <w:szCs w:val="24"/>
          <w:lang w:val="en-US" w:eastAsia="zh-CN" w:bidi="ar"/>
        </w:rPr>
        <w:t>；承建企业为</w:t>
      </w:r>
      <w:r>
        <w:rPr>
          <w:rFonts w:hint="eastAsia" w:ascii="宋体" w:hAnsi="宋体" w:eastAsia="宋体" w:cs="宋体"/>
          <w:i w:val="0"/>
          <w:iCs w:val="0"/>
          <w:color w:val="auto"/>
          <w:kern w:val="0"/>
          <w:sz w:val="24"/>
          <w:szCs w:val="24"/>
          <w:u w:val="single"/>
          <w:lang w:val="en-US" w:eastAsia="zh-CN" w:bidi="ar"/>
        </w:rPr>
        <w:t>（企业名称）</w:t>
      </w:r>
      <w:r>
        <w:rPr>
          <w:rFonts w:hint="eastAsia" w:ascii="宋体" w:hAnsi="宋体" w:eastAsia="宋体" w:cs="宋体"/>
          <w:i w:val="0"/>
          <w:iCs w:val="0"/>
          <w:color w:val="auto"/>
          <w:kern w:val="0"/>
          <w:sz w:val="24"/>
          <w:szCs w:val="24"/>
          <w:lang w:val="en-US" w:eastAsia="zh-CN" w:bidi="ar"/>
        </w:rPr>
        <w:t>，从业人员</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人，营业收入为</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万元，资产总额为</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万元</w:t>
      </w:r>
      <w:r>
        <w:rPr>
          <w:rFonts w:hint="eastAsia" w:ascii="宋体" w:hAnsi="宋体" w:eastAsia="宋体" w:cs="宋体"/>
          <w:i w:val="0"/>
          <w:iCs w:val="0"/>
          <w:color w:val="auto"/>
          <w:kern w:val="0"/>
          <w:sz w:val="24"/>
          <w:szCs w:val="24"/>
          <w:vertAlign w:val="superscript"/>
          <w:lang w:val="en-US" w:eastAsia="zh-CN" w:bidi="ar"/>
        </w:rPr>
        <w:t>1</w:t>
      </w:r>
      <w:r>
        <w:rPr>
          <w:rFonts w:hint="eastAsia" w:ascii="宋体" w:hAnsi="宋体" w:eastAsia="宋体" w:cs="宋体"/>
          <w:i w:val="0"/>
          <w:iCs w:val="0"/>
          <w:color w:val="auto"/>
          <w:kern w:val="0"/>
          <w:sz w:val="24"/>
          <w:szCs w:val="24"/>
          <w:lang w:val="en-US" w:eastAsia="zh-CN" w:bidi="ar"/>
        </w:rPr>
        <w:t>，属于</w:t>
      </w:r>
      <w:r>
        <w:rPr>
          <w:rFonts w:hint="eastAsia" w:ascii="宋体" w:hAnsi="宋体" w:eastAsia="宋体" w:cs="宋体"/>
          <w:i w:val="0"/>
          <w:iCs w:val="0"/>
          <w:color w:val="auto"/>
          <w:kern w:val="0"/>
          <w:sz w:val="24"/>
          <w:szCs w:val="24"/>
          <w:u w:val="single"/>
          <w:lang w:val="en-US" w:eastAsia="zh-CN" w:bidi="ar"/>
        </w:rPr>
        <w:t>（中型企业、小型企业、微型企业）</w:t>
      </w:r>
      <w:r>
        <w:rPr>
          <w:rFonts w:hint="eastAsia" w:ascii="宋体" w:hAnsi="宋体" w:eastAsia="宋体" w:cs="宋体"/>
          <w:i w:val="0"/>
          <w:iCs w:val="0"/>
          <w:color w:val="auto"/>
          <w:kern w:val="0"/>
          <w:sz w:val="24"/>
          <w:szCs w:val="24"/>
          <w:lang w:val="en-US" w:eastAsia="zh-CN" w:bidi="ar"/>
        </w:rPr>
        <w:t>；</w:t>
      </w:r>
    </w:p>
    <w:p w14:paraId="7656A093">
      <w:pPr>
        <w:keepNext w:val="0"/>
        <w:keepLines w:val="0"/>
        <w:widowControl/>
        <w:suppressLineNumbers w:val="0"/>
        <w:spacing w:line="360" w:lineRule="auto"/>
        <w:ind w:firstLine="480" w:firstLineChars="2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w:t>
      </w:r>
    </w:p>
    <w:p w14:paraId="10AB2EF8">
      <w:pPr>
        <w:keepNext w:val="0"/>
        <w:keepLines w:val="0"/>
        <w:widowControl/>
        <w:suppressLineNumbers w:val="0"/>
        <w:spacing w:line="360" w:lineRule="auto"/>
        <w:ind w:firstLine="480" w:firstLineChars="2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以上企业，不属于大企业的分支机构，不存在控股股东为大企业的情形，也不存在与大企业的负责人为同一人的情形。</w:t>
      </w:r>
    </w:p>
    <w:p w14:paraId="077A13AF">
      <w:pPr>
        <w:keepNext w:val="0"/>
        <w:keepLines w:val="0"/>
        <w:widowControl/>
        <w:suppressLineNumbers w:val="0"/>
        <w:spacing w:line="360" w:lineRule="auto"/>
        <w:ind w:firstLine="480" w:firstLineChars="2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本企业对上述声明内容的真实性负责。如有虚假，将依法承担相应责任。</w:t>
      </w:r>
    </w:p>
    <w:p w14:paraId="3ED25A1A">
      <w:pPr>
        <w:keepNext w:val="0"/>
        <w:keepLines w:val="0"/>
        <w:widowControl/>
        <w:suppressLineNumbers w:val="0"/>
        <w:spacing w:line="360" w:lineRule="auto"/>
        <w:jc w:val="both"/>
        <w:rPr>
          <w:rFonts w:hint="eastAsia" w:ascii="宋体" w:hAnsi="宋体" w:eastAsia="宋体" w:cs="宋体"/>
          <w:i w:val="0"/>
          <w:iCs w:val="0"/>
          <w:color w:val="auto"/>
          <w:kern w:val="0"/>
          <w:sz w:val="24"/>
          <w:szCs w:val="24"/>
          <w:lang w:val="en-US" w:eastAsia="zh-CN" w:bidi="ar"/>
        </w:rPr>
      </w:pPr>
    </w:p>
    <w:p w14:paraId="2EFC776E">
      <w:pPr>
        <w:pStyle w:val="2"/>
        <w:rPr>
          <w:rFonts w:hint="eastAsia" w:ascii="宋体" w:hAnsi="宋体" w:eastAsia="宋体" w:cs="宋体"/>
          <w:color w:val="auto"/>
          <w:lang w:val="en-US" w:eastAsia="zh-CN"/>
        </w:rPr>
      </w:pPr>
    </w:p>
    <w:p w14:paraId="7F610393">
      <w:pPr>
        <w:keepNext w:val="0"/>
        <w:keepLines w:val="0"/>
        <w:widowControl/>
        <w:suppressLineNumbers w:val="0"/>
        <w:spacing w:line="360" w:lineRule="auto"/>
        <w:jc w:val="both"/>
        <w:rPr>
          <w:rFonts w:hint="eastAsia" w:ascii="宋体" w:hAnsi="宋体" w:eastAsia="宋体" w:cs="宋体"/>
          <w:i w:val="0"/>
          <w:iCs w:val="0"/>
          <w:color w:val="auto"/>
          <w:kern w:val="0"/>
          <w:sz w:val="24"/>
          <w:szCs w:val="24"/>
          <w:lang w:val="en-US" w:eastAsia="zh-CN" w:bidi="ar"/>
        </w:rPr>
      </w:pPr>
    </w:p>
    <w:p w14:paraId="47784714">
      <w:pPr>
        <w:keepNext w:val="0"/>
        <w:keepLines w:val="0"/>
        <w:widowControl/>
        <w:suppressLineNumbers w:val="0"/>
        <w:spacing w:line="360" w:lineRule="auto"/>
        <w:ind w:firstLine="480" w:firstLineChars="200"/>
        <w:jc w:val="center"/>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企业名称（盖章）：</w:t>
      </w:r>
    </w:p>
    <w:p w14:paraId="0EE911DC">
      <w:pPr>
        <w:keepNext w:val="0"/>
        <w:keepLines w:val="0"/>
        <w:widowControl/>
        <w:suppressLineNumbers w:val="0"/>
        <w:spacing w:line="360" w:lineRule="auto"/>
        <w:ind w:firstLine="480" w:firstLineChars="200"/>
        <w:jc w:val="center"/>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日 期：</w:t>
      </w:r>
    </w:p>
    <w:p w14:paraId="084B8290">
      <w:pPr>
        <w:widowControl w:val="0"/>
        <w:snapToGrid w:val="0"/>
        <w:spacing w:line="400" w:lineRule="exact"/>
        <w:ind w:left="0" w:leftChars="0" w:firstLine="0" w:firstLineChars="0"/>
        <w:jc w:val="left"/>
        <w:rPr>
          <w:rFonts w:hint="eastAsia" w:ascii="宋体" w:hAnsi="宋体" w:eastAsia="宋体" w:cs="宋体"/>
          <w:color w:val="auto"/>
          <w:kern w:val="2"/>
          <w:sz w:val="18"/>
          <w:szCs w:val="20"/>
          <w:lang w:val="en-US" w:eastAsia="zh-CN" w:bidi="ar-SA"/>
        </w:rPr>
      </w:pPr>
      <w:r>
        <w:rPr>
          <w:rFonts w:hint="eastAsia" w:ascii="宋体" w:hAnsi="宋体" w:eastAsia="宋体" w:cs="宋体"/>
          <w:i w:val="0"/>
          <w:iCs w:val="0"/>
          <w:color w:val="auto"/>
          <w:kern w:val="0"/>
          <w:sz w:val="24"/>
          <w:szCs w:val="24"/>
          <w:lang w:val="en-US" w:eastAsia="zh-CN" w:bidi="ar"/>
        </w:rPr>
        <w:t>注：1.</w:t>
      </w:r>
      <w:r>
        <w:rPr>
          <w:rFonts w:hint="eastAsia" w:ascii="宋体" w:hAnsi="宋体" w:eastAsia="宋体" w:cs="宋体"/>
          <w:i w:val="0"/>
          <w:iCs w:val="0"/>
          <w:color w:val="auto"/>
          <w:kern w:val="0"/>
          <w:sz w:val="24"/>
          <w:szCs w:val="24"/>
          <w:vertAlign w:val="superscript"/>
          <w:lang w:val="en-US" w:eastAsia="zh-CN" w:bidi="ar"/>
        </w:rPr>
        <w:t>1</w:t>
      </w:r>
      <w:r>
        <w:rPr>
          <w:rFonts w:hint="eastAsia" w:ascii="宋体" w:hAnsi="宋体" w:eastAsia="宋体" w:cs="宋体"/>
          <w:i w:val="0"/>
          <w:iCs w:val="0"/>
          <w:color w:val="auto"/>
          <w:kern w:val="0"/>
          <w:sz w:val="24"/>
          <w:szCs w:val="24"/>
          <w:lang w:val="en-US" w:eastAsia="zh-CN" w:bidi="ar"/>
        </w:rPr>
        <w:t>从业人员、营业收入、资产总额填报上一年度数据，无上一年度数据的新成立企业可不填报。</w:t>
      </w:r>
    </w:p>
    <w:p w14:paraId="04D7EDCC">
      <w:pPr>
        <w:keepNext w:val="0"/>
        <w:keepLines w:val="0"/>
        <w:widowControl/>
        <w:suppressLineNumbers w:val="0"/>
        <w:spacing w:line="360" w:lineRule="auto"/>
        <w:ind w:left="0" w:leftChars="0" w:firstLine="0" w:firstLineChars="0"/>
        <w:jc w:val="left"/>
        <w:rPr>
          <w:rFonts w:hint="eastAsia" w:ascii="宋体" w:hAnsi="宋体" w:eastAsia="宋体" w:cs="宋体"/>
          <w:i w:val="0"/>
          <w:iCs w:val="0"/>
          <w:color w:val="auto"/>
          <w:kern w:val="0"/>
          <w:sz w:val="24"/>
          <w:szCs w:val="24"/>
          <w:lang w:val="en-US" w:eastAsia="zh-CN" w:bidi="ar"/>
        </w:rPr>
      </w:pPr>
      <w:r>
        <w:rPr>
          <w:rFonts w:hint="eastAsia" w:ascii="宋体" w:hAnsi="宋体" w:eastAsia="宋体" w:cs="宋体"/>
          <w:color w:val="auto"/>
          <w:sz w:val="24"/>
          <w:szCs w:val="24"/>
          <w:lang w:val="en-US" w:eastAsia="zh-CN"/>
        </w:rPr>
        <w:t>2.成交供应商享受</w:t>
      </w:r>
      <w:r>
        <w:rPr>
          <w:rFonts w:hint="eastAsia" w:ascii="宋体" w:hAnsi="宋体" w:eastAsia="宋体" w:cs="宋体"/>
          <w:i w:val="0"/>
          <w:iCs w:val="0"/>
          <w:color w:val="auto"/>
          <w:kern w:val="0"/>
          <w:sz w:val="24"/>
          <w:szCs w:val="24"/>
          <w:lang w:val="en-US" w:eastAsia="zh-CN" w:bidi="ar"/>
        </w:rPr>
        <w:t>《政府采购促进中小企业发展管理办法》规定的中小企业扶持政策的，采购代理机构应当随成交结果公开成交供应商的《中小企业声明函》</w:t>
      </w:r>
      <w:r>
        <w:rPr>
          <w:rFonts w:hint="eastAsia" w:ascii="宋体" w:hAnsi="宋体" w:eastAsia="宋体" w:cs="宋体"/>
          <w:color w:val="auto"/>
          <w:sz w:val="24"/>
          <w:szCs w:val="24"/>
          <w:lang w:val="en-US" w:eastAsia="zh-CN"/>
        </w:rPr>
        <w:t>。</w:t>
      </w:r>
    </w:p>
    <w:p w14:paraId="7FB0CF20">
      <w:pPr>
        <w:keepNext w:val="0"/>
        <w:keepLines w:val="0"/>
        <w:widowControl/>
        <w:suppressLineNumbers w:val="0"/>
        <w:spacing w:line="360" w:lineRule="auto"/>
        <w:ind w:left="0" w:leftChars="0"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D3A7F21">
      <w:pPr>
        <w:widowControl/>
        <w:spacing w:line="240" w:lineRule="auto"/>
        <w:ind w:left="0" w:leftChars="0" w:firstLine="0" w:firstLineChars="0"/>
        <w:jc w:val="left"/>
        <w:rPr>
          <w:rFonts w:hint="eastAsia" w:ascii="宋体" w:hAnsi="宋体" w:eastAsia="宋体" w:cs="宋体"/>
          <w:color w:val="auto"/>
          <w:kern w:val="0"/>
          <w:sz w:val="32"/>
          <w:szCs w:val="32"/>
        </w:rPr>
      </w:pPr>
      <w:r>
        <w:rPr>
          <w:rFonts w:hint="eastAsia" w:ascii="宋体" w:hAnsi="宋体" w:eastAsia="宋体" w:cs="宋体"/>
          <w:b/>
          <w:bCs/>
          <w:color w:val="auto"/>
          <w:kern w:val="0"/>
          <w:sz w:val="28"/>
          <w:szCs w:val="28"/>
        </w:rPr>
        <w:t>附表</w:t>
      </w:r>
    </w:p>
    <w:p w14:paraId="1E1058FB">
      <w:pPr>
        <w:widowControl/>
        <w:spacing w:line="360" w:lineRule="auto"/>
        <w:jc w:val="center"/>
        <w:rPr>
          <w:rFonts w:hint="eastAsia" w:ascii="宋体" w:hAnsi="宋体" w:eastAsia="宋体" w:cs="宋体"/>
          <w:color w:val="auto"/>
          <w:kern w:val="0"/>
          <w:sz w:val="36"/>
          <w:szCs w:val="32"/>
        </w:rPr>
      </w:pPr>
      <w:r>
        <w:rPr>
          <w:rFonts w:hint="eastAsia" w:ascii="宋体" w:hAnsi="宋体" w:eastAsia="宋体" w:cs="宋体"/>
          <w:b/>
          <w:bCs/>
          <w:color w:val="auto"/>
          <w:kern w:val="0"/>
          <w:sz w:val="28"/>
          <w:szCs w:val="28"/>
        </w:rPr>
        <w:t>大中小微型企业划分标准</w:t>
      </w:r>
    </w:p>
    <w:tbl>
      <w:tblPr>
        <w:tblStyle w:val="20"/>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058"/>
        <w:gridCol w:w="1410"/>
        <w:gridCol w:w="1065"/>
        <w:gridCol w:w="1217"/>
        <w:gridCol w:w="1708"/>
        <w:gridCol w:w="1674"/>
        <w:gridCol w:w="1073"/>
      </w:tblGrid>
      <w:tr w14:paraId="23B0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noWrap w:val="0"/>
            <w:vAlign w:val="center"/>
          </w:tcPr>
          <w:p w14:paraId="11B1670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行业名称</w:t>
            </w:r>
          </w:p>
        </w:tc>
        <w:tc>
          <w:tcPr>
            <w:tcW w:w="1410" w:type="dxa"/>
            <w:noWrap w:val="0"/>
            <w:vAlign w:val="center"/>
          </w:tcPr>
          <w:p w14:paraId="46B1E51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指标名称</w:t>
            </w:r>
          </w:p>
        </w:tc>
        <w:tc>
          <w:tcPr>
            <w:tcW w:w="1065" w:type="dxa"/>
            <w:noWrap w:val="0"/>
            <w:vAlign w:val="center"/>
          </w:tcPr>
          <w:p w14:paraId="20B4650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计量单位</w:t>
            </w:r>
          </w:p>
        </w:tc>
        <w:tc>
          <w:tcPr>
            <w:tcW w:w="1217" w:type="dxa"/>
            <w:noWrap w:val="0"/>
            <w:vAlign w:val="center"/>
          </w:tcPr>
          <w:p w14:paraId="5CDEC90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大型</w:t>
            </w:r>
          </w:p>
        </w:tc>
        <w:tc>
          <w:tcPr>
            <w:tcW w:w="1708" w:type="dxa"/>
            <w:noWrap w:val="0"/>
            <w:vAlign w:val="center"/>
          </w:tcPr>
          <w:p w14:paraId="0B5066B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中型</w:t>
            </w:r>
          </w:p>
        </w:tc>
        <w:tc>
          <w:tcPr>
            <w:tcW w:w="1674" w:type="dxa"/>
            <w:noWrap w:val="0"/>
            <w:vAlign w:val="center"/>
          </w:tcPr>
          <w:p w14:paraId="6C7AA4F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小型</w:t>
            </w:r>
          </w:p>
        </w:tc>
        <w:tc>
          <w:tcPr>
            <w:tcW w:w="1073" w:type="dxa"/>
            <w:noWrap w:val="0"/>
            <w:vAlign w:val="center"/>
          </w:tcPr>
          <w:p w14:paraId="046CC69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微型</w:t>
            </w:r>
          </w:p>
        </w:tc>
      </w:tr>
      <w:tr w14:paraId="5FF3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noWrap w:val="0"/>
            <w:vAlign w:val="center"/>
          </w:tcPr>
          <w:p w14:paraId="47F0EA7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农、林、牧、渔业</w:t>
            </w:r>
          </w:p>
        </w:tc>
        <w:tc>
          <w:tcPr>
            <w:tcW w:w="1410" w:type="dxa"/>
            <w:noWrap w:val="0"/>
            <w:vAlign w:val="center"/>
          </w:tcPr>
          <w:p w14:paraId="559C181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697D2F6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74E64F7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Y≥20000</w:t>
            </w:r>
          </w:p>
        </w:tc>
        <w:tc>
          <w:tcPr>
            <w:tcW w:w="1708" w:type="dxa"/>
            <w:noWrap w:val="0"/>
            <w:vAlign w:val="center"/>
          </w:tcPr>
          <w:p w14:paraId="4A9000B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500≤Y＜20000</w:t>
            </w:r>
          </w:p>
        </w:tc>
        <w:tc>
          <w:tcPr>
            <w:tcW w:w="1674" w:type="dxa"/>
            <w:noWrap w:val="0"/>
            <w:vAlign w:val="center"/>
          </w:tcPr>
          <w:p w14:paraId="04FA410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50≤Y＜500</w:t>
            </w:r>
          </w:p>
        </w:tc>
        <w:tc>
          <w:tcPr>
            <w:tcW w:w="1073" w:type="dxa"/>
            <w:noWrap w:val="0"/>
            <w:vAlign w:val="center"/>
          </w:tcPr>
          <w:p w14:paraId="6BAA6B7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Y＜50</w:t>
            </w:r>
          </w:p>
        </w:tc>
      </w:tr>
      <w:tr w14:paraId="5016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6E0120D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工业*</w:t>
            </w:r>
          </w:p>
        </w:tc>
        <w:tc>
          <w:tcPr>
            <w:tcW w:w="1410" w:type="dxa"/>
            <w:noWrap w:val="0"/>
            <w:vAlign w:val="center"/>
          </w:tcPr>
          <w:p w14:paraId="32829DB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从业人员(X)</w:t>
            </w:r>
          </w:p>
        </w:tc>
        <w:tc>
          <w:tcPr>
            <w:tcW w:w="1065" w:type="dxa"/>
            <w:noWrap w:val="0"/>
            <w:vAlign w:val="center"/>
          </w:tcPr>
          <w:p w14:paraId="32D515A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人</w:t>
            </w:r>
          </w:p>
        </w:tc>
        <w:tc>
          <w:tcPr>
            <w:tcW w:w="1217" w:type="dxa"/>
            <w:noWrap w:val="0"/>
            <w:vAlign w:val="center"/>
          </w:tcPr>
          <w:p w14:paraId="0065B49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X≥1000</w:t>
            </w:r>
          </w:p>
        </w:tc>
        <w:tc>
          <w:tcPr>
            <w:tcW w:w="1708" w:type="dxa"/>
            <w:noWrap w:val="0"/>
            <w:vAlign w:val="center"/>
          </w:tcPr>
          <w:p w14:paraId="023F1E9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300≤X＜1000</w:t>
            </w:r>
          </w:p>
        </w:tc>
        <w:tc>
          <w:tcPr>
            <w:tcW w:w="1674" w:type="dxa"/>
            <w:noWrap w:val="0"/>
            <w:vAlign w:val="center"/>
          </w:tcPr>
          <w:p w14:paraId="3FB5E11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20≤X＜300</w:t>
            </w:r>
          </w:p>
        </w:tc>
        <w:tc>
          <w:tcPr>
            <w:tcW w:w="1073" w:type="dxa"/>
            <w:noWrap w:val="0"/>
            <w:vAlign w:val="center"/>
          </w:tcPr>
          <w:p w14:paraId="4FB3C63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X＜20</w:t>
            </w:r>
          </w:p>
        </w:tc>
      </w:tr>
      <w:tr w14:paraId="0667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40108F4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val="0"/>
                <w:bCs w:val="0"/>
                <w:color w:val="auto"/>
                <w:kern w:val="0"/>
                <w:sz w:val="21"/>
                <w:szCs w:val="21"/>
              </w:rPr>
            </w:pPr>
          </w:p>
        </w:tc>
        <w:tc>
          <w:tcPr>
            <w:tcW w:w="1410" w:type="dxa"/>
            <w:noWrap w:val="0"/>
            <w:vAlign w:val="center"/>
          </w:tcPr>
          <w:p w14:paraId="331C25E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营业收入(Y)</w:t>
            </w:r>
          </w:p>
        </w:tc>
        <w:tc>
          <w:tcPr>
            <w:tcW w:w="1065" w:type="dxa"/>
            <w:noWrap w:val="0"/>
            <w:vAlign w:val="center"/>
          </w:tcPr>
          <w:p w14:paraId="45E9D93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万元</w:t>
            </w:r>
          </w:p>
        </w:tc>
        <w:tc>
          <w:tcPr>
            <w:tcW w:w="1217" w:type="dxa"/>
            <w:noWrap w:val="0"/>
            <w:vAlign w:val="center"/>
          </w:tcPr>
          <w:p w14:paraId="451C6FA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Y≥40000</w:t>
            </w:r>
          </w:p>
        </w:tc>
        <w:tc>
          <w:tcPr>
            <w:tcW w:w="1708" w:type="dxa"/>
            <w:noWrap w:val="0"/>
            <w:vAlign w:val="center"/>
          </w:tcPr>
          <w:p w14:paraId="647861C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2000≤Y＜40000</w:t>
            </w:r>
          </w:p>
        </w:tc>
        <w:tc>
          <w:tcPr>
            <w:tcW w:w="1674" w:type="dxa"/>
            <w:noWrap w:val="0"/>
            <w:vAlign w:val="center"/>
          </w:tcPr>
          <w:p w14:paraId="1CF6F02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300≤Y＜2000</w:t>
            </w:r>
          </w:p>
        </w:tc>
        <w:tc>
          <w:tcPr>
            <w:tcW w:w="1073" w:type="dxa"/>
            <w:noWrap w:val="0"/>
            <w:vAlign w:val="center"/>
          </w:tcPr>
          <w:p w14:paraId="58A2156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Y＜300</w:t>
            </w:r>
          </w:p>
        </w:tc>
      </w:tr>
      <w:tr w14:paraId="32EA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3EA90B1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建筑业</w:t>
            </w:r>
          </w:p>
        </w:tc>
        <w:tc>
          <w:tcPr>
            <w:tcW w:w="1410" w:type="dxa"/>
            <w:noWrap w:val="0"/>
            <w:vAlign w:val="center"/>
          </w:tcPr>
          <w:p w14:paraId="5F9579F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营业收入(Y)</w:t>
            </w:r>
          </w:p>
        </w:tc>
        <w:tc>
          <w:tcPr>
            <w:tcW w:w="1065" w:type="dxa"/>
            <w:noWrap w:val="0"/>
            <w:vAlign w:val="center"/>
          </w:tcPr>
          <w:p w14:paraId="1C29605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万元</w:t>
            </w:r>
          </w:p>
        </w:tc>
        <w:tc>
          <w:tcPr>
            <w:tcW w:w="1217" w:type="dxa"/>
            <w:noWrap w:val="0"/>
            <w:vAlign w:val="center"/>
          </w:tcPr>
          <w:p w14:paraId="6A434E3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Y≥80000</w:t>
            </w:r>
          </w:p>
        </w:tc>
        <w:tc>
          <w:tcPr>
            <w:tcW w:w="1708" w:type="dxa"/>
            <w:noWrap w:val="0"/>
            <w:vAlign w:val="center"/>
          </w:tcPr>
          <w:p w14:paraId="53141E0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6000≤Y＜80000</w:t>
            </w:r>
          </w:p>
        </w:tc>
        <w:tc>
          <w:tcPr>
            <w:tcW w:w="1674" w:type="dxa"/>
            <w:noWrap w:val="0"/>
            <w:vAlign w:val="center"/>
          </w:tcPr>
          <w:p w14:paraId="7C86EA8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300≤Y＜6000</w:t>
            </w:r>
          </w:p>
        </w:tc>
        <w:tc>
          <w:tcPr>
            <w:tcW w:w="1073" w:type="dxa"/>
            <w:noWrap w:val="0"/>
            <w:vAlign w:val="center"/>
          </w:tcPr>
          <w:p w14:paraId="6D1E632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Y＜300</w:t>
            </w:r>
          </w:p>
        </w:tc>
      </w:tr>
      <w:tr w14:paraId="09DF8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344CB3F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bCs/>
                <w:color w:val="auto"/>
                <w:kern w:val="0"/>
                <w:sz w:val="21"/>
                <w:szCs w:val="21"/>
              </w:rPr>
            </w:pPr>
          </w:p>
        </w:tc>
        <w:tc>
          <w:tcPr>
            <w:tcW w:w="1410" w:type="dxa"/>
            <w:noWrap w:val="0"/>
            <w:vAlign w:val="center"/>
          </w:tcPr>
          <w:p w14:paraId="64C14EE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资产总额(Z)</w:t>
            </w:r>
          </w:p>
        </w:tc>
        <w:tc>
          <w:tcPr>
            <w:tcW w:w="1065" w:type="dxa"/>
            <w:noWrap w:val="0"/>
            <w:vAlign w:val="center"/>
          </w:tcPr>
          <w:p w14:paraId="4B1C86A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万元</w:t>
            </w:r>
          </w:p>
        </w:tc>
        <w:tc>
          <w:tcPr>
            <w:tcW w:w="1217" w:type="dxa"/>
            <w:noWrap w:val="0"/>
            <w:vAlign w:val="center"/>
          </w:tcPr>
          <w:p w14:paraId="530C791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Z≥80000</w:t>
            </w:r>
          </w:p>
        </w:tc>
        <w:tc>
          <w:tcPr>
            <w:tcW w:w="1708" w:type="dxa"/>
            <w:noWrap w:val="0"/>
            <w:vAlign w:val="center"/>
          </w:tcPr>
          <w:p w14:paraId="06C32BA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5000≤Z＜80000</w:t>
            </w:r>
          </w:p>
        </w:tc>
        <w:tc>
          <w:tcPr>
            <w:tcW w:w="1674" w:type="dxa"/>
            <w:noWrap w:val="0"/>
            <w:vAlign w:val="center"/>
          </w:tcPr>
          <w:p w14:paraId="7EC4340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300≤Z＜5000</w:t>
            </w:r>
          </w:p>
        </w:tc>
        <w:tc>
          <w:tcPr>
            <w:tcW w:w="1073" w:type="dxa"/>
            <w:noWrap w:val="0"/>
            <w:vAlign w:val="center"/>
          </w:tcPr>
          <w:p w14:paraId="687E979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Z＜300</w:t>
            </w:r>
          </w:p>
        </w:tc>
      </w:tr>
      <w:tr w14:paraId="74F4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04DA812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批发业</w:t>
            </w:r>
          </w:p>
        </w:tc>
        <w:tc>
          <w:tcPr>
            <w:tcW w:w="1410" w:type="dxa"/>
            <w:noWrap w:val="0"/>
            <w:vAlign w:val="center"/>
          </w:tcPr>
          <w:p w14:paraId="6F6B3DC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从业人员(X)</w:t>
            </w:r>
          </w:p>
        </w:tc>
        <w:tc>
          <w:tcPr>
            <w:tcW w:w="1065" w:type="dxa"/>
            <w:noWrap w:val="0"/>
            <w:vAlign w:val="center"/>
          </w:tcPr>
          <w:p w14:paraId="61D2EF8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人</w:t>
            </w:r>
          </w:p>
        </w:tc>
        <w:tc>
          <w:tcPr>
            <w:tcW w:w="1217" w:type="dxa"/>
            <w:noWrap w:val="0"/>
            <w:vAlign w:val="center"/>
          </w:tcPr>
          <w:p w14:paraId="4186D9A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X≥200</w:t>
            </w:r>
          </w:p>
        </w:tc>
        <w:tc>
          <w:tcPr>
            <w:tcW w:w="1708" w:type="dxa"/>
            <w:noWrap w:val="0"/>
            <w:vAlign w:val="center"/>
          </w:tcPr>
          <w:p w14:paraId="0FF816C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20≤X＜200</w:t>
            </w:r>
          </w:p>
        </w:tc>
        <w:tc>
          <w:tcPr>
            <w:tcW w:w="1674" w:type="dxa"/>
            <w:noWrap w:val="0"/>
            <w:vAlign w:val="center"/>
          </w:tcPr>
          <w:p w14:paraId="03B27A7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5≤X＜20</w:t>
            </w:r>
          </w:p>
        </w:tc>
        <w:tc>
          <w:tcPr>
            <w:tcW w:w="1073" w:type="dxa"/>
            <w:noWrap w:val="0"/>
            <w:vAlign w:val="center"/>
          </w:tcPr>
          <w:p w14:paraId="62C9BF4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X＜5</w:t>
            </w:r>
          </w:p>
        </w:tc>
      </w:tr>
      <w:tr w14:paraId="689A0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489437D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val="0"/>
                <w:bCs w:val="0"/>
                <w:color w:val="auto"/>
                <w:kern w:val="0"/>
                <w:sz w:val="21"/>
                <w:szCs w:val="21"/>
              </w:rPr>
            </w:pPr>
          </w:p>
        </w:tc>
        <w:tc>
          <w:tcPr>
            <w:tcW w:w="1410" w:type="dxa"/>
            <w:noWrap w:val="0"/>
            <w:vAlign w:val="center"/>
          </w:tcPr>
          <w:p w14:paraId="416BC87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营业收入(Y)</w:t>
            </w:r>
          </w:p>
        </w:tc>
        <w:tc>
          <w:tcPr>
            <w:tcW w:w="1065" w:type="dxa"/>
            <w:noWrap w:val="0"/>
            <w:vAlign w:val="center"/>
          </w:tcPr>
          <w:p w14:paraId="1643255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万元</w:t>
            </w:r>
          </w:p>
        </w:tc>
        <w:tc>
          <w:tcPr>
            <w:tcW w:w="1217" w:type="dxa"/>
            <w:noWrap w:val="0"/>
            <w:vAlign w:val="center"/>
          </w:tcPr>
          <w:p w14:paraId="5967029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Y≥40000</w:t>
            </w:r>
          </w:p>
        </w:tc>
        <w:tc>
          <w:tcPr>
            <w:tcW w:w="1708" w:type="dxa"/>
            <w:noWrap w:val="0"/>
            <w:vAlign w:val="center"/>
          </w:tcPr>
          <w:p w14:paraId="670B514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5000≤Y＜40000</w:t>
            </w:r>
          </w:p>
        </w:tc>
        <w:tc>
          <w:tcPr>
            <w:tcW w:w="1674" w:type="dxa"/>
            <w:noWrap w:val="0"/>
            <w:vAlign w:val="center"/>
          </w:tcPr>
          <w:p w14:paraId="6B984B1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1000≤Y＜5000</w:t>
            </w:r>
          </w:p>
        </w:tc>
        <w:tc>
          <w:tcPr>
            <w:tcW w:w="1073" w:type="dxa"/>
            <w:noWrap w:val="0"/>
            <w:vAlign w:val="center"/>
          </w:tcPr>
          <w:p w14:paraId="4A64C75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Y＜1000</w:t>
            </w:r>
          </w:p>
        </w:tc>
      </w:tr>
      <w:tr w14:paraId="5B75D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5F8DA7B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零售业</w:t>
            </w:r>
          </w:p>
        </w:tc>
        <w:tc>
          <w:tcPr>
            <w:tcW w:w="1410" w:type="dxa"/>
            <w:noWrap w:val="0"/>
            <w:vAlign w:val="center"/>
          </w:tcPr>
          <w:p w14:paraId="5663681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586D0F9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744996A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X≥300</w:t>
            </w:r>
          </w:p>
        </w:tc>
        <w:tc>
          <w:tcPr>
            <w:tcW w:w="1708" w:type="dxa"/>
            <w:noWrap w:val="0"/>
            <w:vAlign w:val="center"/>
          </w:tcPr>
          <w:p w14:paraId="757BCD5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50≤X＜300</w:t>
            </w:r>
          </w:p>
        </w:tc>
        <w:tc>
          <w:tcPr>
            <w:tcW w:w="1674" w:type="dxa"/>
            <w:noWrap w:val="0"/>
            <w:vAlign w:val="center"/>
          </w:tcPr>
          <w:p w14:paraId="7DAE575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10≤X＜50</w:t>
            </w:r>
          </w:p>
        </w:tc>
        <w:tc>
          <w:tcPr>
            <w:tcW w:w="1073" w:type="dxa"/>
            <w:noWrap w:val="0"/>
            <w:vAlign w:val="center"/>
          </w:tcPr>
          <w:p w14:paraId="02AB88A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r w14:paraId="156A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4AAB782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71DC89B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0DE6D54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2BFD61D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Y≥20000</w:t>
            </w:r>
          </w:p>
        </w:tc>
        <w:tc>
          <w:tcPr>
            <w:tcW w:w="1708" w:type="dxa"/>
            <w:noWrap w:val="0"/>
            <w:vAlign w:val="center"/>
          </w:tcPr>
          <w:p w14:paraId="6637E61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500≤Y＜20000</w:t>
            </w:r>
          </w:p>
        </w:tc>
        <w:tc>
          <w:tcPr>
            <w:tcW w:w="1674" w:type="dxa"/>
            <w:noWrap w:val="0"/>
            <w:vAlign w:val="center"/>
          </w:tcPr>
          <w:p w14:paraId="767F614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100≤Y＜500</w:t>
            </w:r>
          </w:p>
        </w:tc>
        <w:tc>
          <w:tcPr>
            <w:tcW w:w="1073" w:type="dxa"/>
            <w:noWrap w:val="0"/>
            <w:vAlign w:val="center"/>
          </w:tcPr>
          <w:p w14:paraId="3E06463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1024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66B9B4E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交通运输业*</w:t>
            </w:r>
          </w:p>
        </w:tc>
        <w:tc>
          <w:tcPr>
            <w:tcW w:w="1410" w:type="dxa"/>
            <w:noWrap w:val="0"/>
            <w:vAlign w:val="center"/>
          </w:tcPr>
          <w:p w14:paraId="094E6E7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7601ED8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431EFCD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X≥1000</w:t>
            </w:r>
          </w:p>
        </w:tc>
        <w:tc>
          <w:tcPr>
            <w:tcW w:w="1708" w:type="dxa"/>
            <w:noWrap w:val="0"/>
            <w:vAlign w:val="center"/>
          </w:tcPr>
          <w:p w14:paraId="2A0DAFF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300≤X＜1000</w:t>
            </w:r>
          </w:p>
        </w:tc>
        <w:tc>
          <w:tcPr>
            <w:tcW w:w="1674" w:type="dxa"/>
            <w:noWrap w:val="0"/>
            <w:vAlign w:val="center"/>
          </w:tcPr>
          <w:p w14:paraId="026A026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20≤X＜300</w:t>
            </w:r>
          </w:p>
        </w:tc>
        <w:tc>
          <w:tcPr>
            <w:tcW w:w="1073" w:type="dxa"/>
            <w:noWrap w:val="0"/>
            <w:vAlign w:val="center"/>
          </w:tcPr>
          <w:p w14:paraId="046F03E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X＜20</w:t>
            </w:r>
          </w:p>
        </w:tc>
      </w:tr>
      <w:tr w14:paraId="4F32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24FBED8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3B54E79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58004D1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2EF85F6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Y≥30000</w:t>
            </w:r>
          </w:p>
        </w:tc>
        <w:tc>
          <w:tcPr>
            <w:tcW w:w="1708" w:type="dxa"/>
            <w:noWrap w:val="0"/>
            <w:vAlign w:val="center"/>
          </w:tcPr>
          <w:p w14:paraId="392175F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3000≤Y＜30000</w:t>
            </w:r>
          </w:p>
        </w:tc>
        <w:tc>
          <w:tcPr>
            <w:tcW w:w="1674" w:type="dxa"/>
            <w:noWrap w:val="0"/>
            <w:vAlign w:val="center"/>
          </w:tcPr>
          <w:p w14:paraId="59ECEA1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200≤Y＜3000</w:t>
            </w:r>
          </w:p>
        </w:tc>
        <w:tc>
          <w:tcPr>
            <w:tcW w:w="1073" w:type="dxa"/>
            <w:noWrap w:val="0"/>
            <w:vAlign w:val="center"/>
          </w:tcPr>
          <w:p w14:paraId="23DA90C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Y＜200</w:t>
            </w:r>
          </w:p>
        </w:tc>
      </w:tr>
      <w:tr w14:paraId="0CC7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7AEBF12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仓储业*</w:t>
            </w:r>
          </w:p>
        </w:tc>
        <w:tc>
          <w:tcPr>
            <w:tcW w:w="1410" w:type="dxa"/>
            <w:noWrap w:val="0"/>
            <w:vAlign w:val="center"/>
          </w:tcPr>
          <w:p w14:paraId="3FDB724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5C5D7B6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118609B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X≥200</w:t>
            </w:r>
          </w:p>
        </w:tc>
        <w:tc>
          <w:tcPr>
            <w:tcW w:w="1708" w:type="dxa"/>
            <w:noWrap w:val="0"/>
            <w:vAlign w:val="center"/>
          </w:tcPr>
          <w:p w14:paraId="1FDDE0D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100≤X＜200</w:t>
            </w:r>
          </w:p>
        </w:tc>
        <w:tc>
          <w:tcPr>
            <w:tcW w:w="1674" w:type="dxa"/>
            <w:noWrap w:val="0"/>
            <w:vAlign w:val="center"/>
          </w:tcPr>
          <w:p w14:paraId="10B2943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20≤X＜100</w:t>
            </w:r>
          </w:p>
        </w:tc>
        <w:tc>
          <w:tcPr>
            <w:tcW w:w="1073" w:type="dxa"/>
            <w:noWrap w:val="0"/>
            <w:vAlign w:val="center"/>
          </w:tcPr>
          <w:p w14:paraId="2ECD6AA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X＜20</w:t>
            </w:r>
          </w:p>
        </w:tc>
      </w:tr>
      <w:tr w14:paraId="14EEE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0C052F2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19C82E3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3ECB42D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0F80D31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Y≥30000</w:t>
            </w:r>
          </w:p>
        </w:tc>
        <w:tc>
          <w:tcPr>
            <w:tcW w:w="1708" w:type="dxa"/>
            <w:noWrap w:val="0"/>
            <w:vAlign w:val="center"/>
          </w:tcPr>
          <w:p w14:paraId="2B3BC82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1000≤Y＜30000</w:t>
            </w:r>
          </w:p>
        </w:tc>
        <w:tc>
          <w:tcPr>
            <w:tcW w:w="1674" w:type="dxa"/>
            <w:noWrap w:val="0"/>
            <w:vAlign w:val="center"/>
          </w:tcPr>
          <w:p w14:paraId="5215C2D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100≤Y＜1000</w:t>
            </w:r>
          </w:p>
        </w:tc>
        <w:tc>
          <w:tcPr>
            <w:tcW w:w="1073" w:type="dxa"/>
            <w:noWrap w:val="0"/>
            <w:vAlign w:val="center"/>
          </w:tcPr>
          <w:p w14:paraId="2CDC8D2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38428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22BF648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邮政业</w:t>
            </w:r>
          </w:p>
        </w:tc>
        <w:tc>
          <w:tcPr>
            <w:tcW w:w="1410" w:type="dxa"/>
            <w:noWrap w:val="0"/>
            <w:vAlign w:val="center"/>
          </w:tcPr>
          <w:p w14:paraId="3C83B84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20E44E2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1068536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X≥1000</w:t>
            </w:r>
          </w:p>
        </w:tc>
        <w:tc>
          <w:tcPr>
            <w:tcW w:w="1708" w:type="dxa"/>
            <w:noWrap w:val="0"/>
            <w:vAlign w:val="center"/>
          </w:tcPr>
          <w:p w14:paraId="213DB58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300≤X＜1000</w:t>
            </w:r>
          </w:p>
        </w:tc>
        <w:tc>
          <w:tcPr>
            <w:tcW w:w="1674" w:type="dxa"/>
            <w:noWrap w:val="0"/>
            <w:vAlign w:val="center"/>
          </w:tcPr>
          <w:p w14:paraId="2FFDC9E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20≤X＜300</w:t>
            </w:r>
          </w:p>
        </w:tc>
        <w:tc>
          <w:tcPr>
            <w:tcW w:w="1073" w:type="dxa"/>
            <w:noWrap w:val="0"/>
            <w:vAlign w:val="center"/>
          </w:tcPr>
          <w:p w14:paraId="605A0D0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X＜20</w:t>
            </w:r>
          </w:p>
        </w:tc>
      </w:tr>
      <w:tr w14:paraId="6212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2396A28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3BF556B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60342B6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4AF1E72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Y≥30000</w:t>
            </w:r>
          </w:p>
        </w:tc>
        <w:tc>
          <w:tcPr>
            <w:tcW w:w="1708" w:type="dxa"/>
            <w:noWrap w:val="0"/>
            <w:vAlign w:val="center"/>
          </w:tcPr>
          <w:p w14:paraId="615A4AA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2000≤Y＜30000</w:t>
            </w:r>
          </w:p>
        </w:tc>
        <w:tc>
          <w:tcPr>
            <w:tcW w:w="1674" w:type="dxa"/>
            <w:noWrap w:val="0"/>
            <w:vAlign w:val="center"/>
          </w:tcPr>
          <w:p w14:paraId="0444BC3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100≤Y＜2000</w:t>
            </w:r>
          </w:p>
        </w:tc>
        <w:tc>
          <w:tcPr>
            <w:tcW w:w="1073" w:type="dxa"/>
            <w:noWrap w:val="0"/>
            <w:vAlign w:val="center"/>
          </w:tcPr>
          <w:p w14:paraId="4D7E8C2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152F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551D043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住宿业</w:t>
            </w:r>
          </w:p>
        </w:tc>
        <w:tc>
          <w:tcPr>
            <w:tcW w:w="1410" w:type="dxa"/>
            <w:noWrap w:val="0"/>
            <w:vAlign w:val="center"/>
          </w:tcPr>
          <w:p w14:paraId="2F1C25B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79F049F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2C3F685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X≥300</w:t>
            </w:r>
          </w:p>
        </w:tc>
        <w:tc>
          <w:tcPr>
            <w:tcW w:w="1708" w:type="dxa"/>
            <w:noWrap w:val="0"/>
            <w:vAlign w:val="center"/>
          </w:tcPr>
          <w:p w14:paraId="6E84636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100≤X＜300</w:t>
            </w:r>
          </w:p>
        </w:tc>
        <w:tc>
          <w:tcPr>
            <w:tcW w:w="1674" w:type="dxa"/>
            <w:noWrap w:val="0"/>
            <w:vAlign w:val="center"/>
          </w:tcPr>
          <w:p w14:paraId="34994A1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10≤X＜100</w:t>
            </w:r>
          </w:p>
        </w:tc>
        <w:tc>
          <w:tcPr>
            <w:tcW w:w="1073" w:type="dxa"/>
            <w:noWrap w:val="0"/>
            <w:vAlign w:val="center"/>
          </w:tcPr>
          <w:p w14:paraId="16DFEA8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r w14:paraId="6475B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51371BD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5A8DF0E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2EF2D6E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07F2595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Y≥10000</w:t>
            </w:r>
          </w:p>
        </w:tc>
        <w:tc>
          <w:tcPr>
            <w:tcW w:w="1708" w:type="dxa"/>
            <w:noWrap w:val="0"/>
            <w:vAlign w:val="center"/>
          </w:tcPr>
          <w:p w14:paraId="220BBEF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2000≤Y＜10000</w:t>
            </w:r>
          </w:p>
        </w:tc>
        <w:tc>
          <w:tcPr>
            <w:tcW w:w="1674" w:type="dxa"/>
            <w:noWrap w:val="0"/>
            <w:vAlign w:val="center"/>
          </w:tcPr>
          <w:p w14:paraId="338EF91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100≤Y＜2000</w:t>
            </w:r>
          </w:p>
        </w:tc>
        <w:tc>
          <w:tcPr>
            <w:tcW w:w="1073" w:type="dxa"/>
            <w:noWrap w:val="0"/>
            <w:vAlign w:val="center"/>
          </w:tcPr>
          <w:p w14:paraId="2F2DA1C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085A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5614547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餐饮业</w:t>
            </w:r>
          </w:p>
        </w:tc>
        <w:tc>
          <w:tcPr>
            <w:tcW w:w="1410" w:type="dxa"/>
            <w:noWrap w:val="0"/>
            <w:vAlign w:val="center"/>
          </w:tcPr>
          <w:p w14:paraId="1CB2656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1BE1979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455A989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X≥300</w:t>
            </w:r>
          </w:p>
        </w:tc>
        <w:tc>
          <w:tcPr>
            <w:tcW w:w="1708" w:type="dxa"/>
            <w:noWrap w:val="0"/>
            <w:vAlign w:val="center"/>
          </w:tcPr>
          <w:p w14:paraId="3372D5A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100≤X＜300</w:t>
            </w:r>
          </w:p>
        </w:tc>
        <w:tc>
          <w:tcPr>
            <w:tcW w:w="1674" w:type="dxa"/>
            <w:noWrap w:val="0"/>
            <w:vAlign w:val="center"/>
          </w:tcPr>
          <w:p w14:paraId="38CFC42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10≤X＜100</w:t>
            </w:r>
          </w:p>
        </w:tc>
        <w:tc>
          <w:tcPr>
            <w:tcW w:w="1073" w:type="dxa"/>
            <w:noWrap w:val="0"/>
            <w:vAlign w:val="center"/>
          </w:tcPr>
          <w:p w14:paraId="4B942EB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r w14:paraId="12A3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053C377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4D7EAFE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45B841C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2A23927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Y≥10000</w:t>
            </w:r>
          </w:p>
        </w:tc>
        <w:tc>
          <w:tcPr>
            <w:tcW w:w="1708" w:type="dxa"/>
            <w:noWrap w:val="0"/>
            <w:vAlign w:val="center"/>
          </w:tcPr>
          <w:p w14:paraId="486A692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2000≤Y＜10000</w:t>
            </w:r>
          </w:p>
        </w:tc>
        <w:tc>
          <w:tcPr>
            <w:tcW w:w="1674" w:type="dxa"/>
            <w:noWrap w:val="0"/>
            <w:vAlign w:val="center"/>
          </w:tcPr>
          <w:p w14:paraId="7C318BD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100≤Y＜2000</w:t>
            </w:r>
          </w:p>
        </w:tc>
        <w:tc>
          <w:tcPr>
            <w:tcW w:w="1073" w:type="dxa"/>
            <w:noWrap w:val="0"/>
            <w:vAlign w:val="center"/>
          </w:tcPr>
          <w:p w14:paraId="34318C3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1240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4CF935B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信息传输业*</w:t>
            </w:r>
          </w:p>
        </w:tc>
        <w:tc>
          <w:tcPr>
            <w:tcW w:w="1410" w:type="dxa"/>
            <w:noWrap w:val="0"/>
            <w:vAlign w:val="center"/>
          </w:tcPr>
          <w:p w14:paraId="794EBE3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5B941E2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33D2F01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X≥2000</w:t>
            </w:r>
          </w:p>
        </w:tc>
        <w:tc>
          <w:tcPr>
            <w:tcW w:w="1708" w:type="dxa"/>
            <w:noWrap w:val="0"/>
            <w:vAlign w:val="center"/>
          </w:tcPr>
          <w:p w14:paraId="5A1980B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100≤X＜2000</w:t>
            </w:r>
          </w:p>
        </w:tc>
        <w:tc>
          <w:tcPr>
            <w:tcW w:w="1674" w:type="dxa"/>
            <w:noWrap w:val="0"/>
            <w:vAlign w:val="center"/>
          </w:tcPr>
          <w:p w14:paraId="1FD686E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10≤X＜100</w:t>
            </w:r>
          </w:p>
        </w:tc>
        <w:tc>
          <w:tcPr>
            <w:tcW w:w="1073" w:type="dxa"/>
            <w:noWrap w:val="0"/>
            <w:vAlign w:val="center"/>
          </w:tcPr>
          <w:p w14:paraId="0BE512B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r w14:paraId="70E4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64DC68D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522B16D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0A81409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3E140EB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Y≥100000</w:t>
            </w:r>
          </w:p>
        </w:tc>
        <w:tc>
          <w:tcPr>
            <w:tcW w:w="1708" w:type="dxa"/>
            <w:noWrap w:val="0"/>
            <w:vAlign w:val="center"/>
          </w:tcPr>
          <w:p w14:paraId="249DDA0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1000≤Y＜100000</w:t>
            </w:r>
          </w:p>
        </w:tc>
        <w:tc>
          <w:tcPr>
            <w:tcW w:w="1674" w:type="dxa"/>
            <w:noWrap w:val="0"/>
            <w:vAlign w:val="center"/>
          </w:tcPr>
          <w:p w14:paraId="35D5B74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100≤Y＜1000</w:t>
            </w:r>
          </w:p>
        </w:tc>
        <w:tc>
          <w:tcPr>
            <w:tcW w:w="1073" w:type="dxa"/>
            <w:noWrap w:val="0"/>
            <w:vAlign w:val="center"/>
          </w:tcPr>
          <w:p w14:paraId="5F37E39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737B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04EB255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spacing w:val="-12"/>
                <w:kern w:val="0"/>
                <w:sz w:val="21"/>
                <w:szCs w:val="21"/>
              </w:rPr>
            </w:pPr>
            <w:r>
              <w:rPr>
                <w:rFonts w:hint="eastAsia" w:ascii="宋体" w:hAnsi="宋体" w:eastAsia="宋体" w:cs="宋体"/>
                <w:color w:val="auto"/>
                <w:spacing w:val="-12"/>
                <w:kern w:val="0"/>
                <w:sz w:val="21"/>
                <w:szCs w:val="21"/>
              </w:rPr>
              <w:t>软件和信息技术服</w:t>
            </w:r>
            <w:r>
              <w:rPr>
                <w:rFonts w:hint="eastAsia" w:ascii="宋体" w:hAnsi="宋体" w:eastAsia="宋体" w:cs="宋体"/>
                <w:color w:val="auto"/>
                <w:kern w:val="0"/>
                <w:sz w:val="21"/>
                <w:szCs w:val="21"/>
              </w:rPr>
              <w:t>务业</w:t>
            </w:r>
          </w:p>
        </w:tc>
        <w:tc>
          <w:tcPr>
            <w:tcW w:w="1410" w:type="dxa"/>
            <w:noWrap w:val="0"/>
            <w:vAlign w:val="center"/>
          </w:tcPr>
          <w:p w14:paraId="6296748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1BA91AA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72CB152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X≥300</w:t>
            </w:r>
          </w:p>
        </w:tc>
        <w:tc>
          <w:tcPr>
            <w:tcW w:w="1708" w:type="dxa"/>
            <w:noWrap w:val="0"/>
            <w:vAlign w:val="center"/>
          </w:tcPr>
          <w:p w14:paraId="348392F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100≤X＜300</w:t>
            </w:r>
          </w:p>
        </w:tc>
        <w:tc>
          <w:tcPr>
            <w:tcW w:w="1674" w:type="dxa"/>
            <w:noWrap w:val="0"/>
            <w:vAlign w:val="center"/>
          </w:tcPr>
          <w:p w14:paraId="09D2A01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10≤X＜100</w:t>
            </w:r>
          </w:p>
        </w:tc>
        <w:tc>
          <w:tcPr>
            <w:tcW w:w="1073" w:type="dxa"/>
            <w:noWrap w:val="0"/>
            <w:vAlign w:val="center"/>
          </w:tcPr>
          <w:p w14:paraId="2E1033B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r w14:paraId="33EF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5FAB47D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spacing w:val="-12"/>
                <w:kern w:val="0"/>
                <w:sz w:val="21"/>
                <w:szCs w:val="21"/>
              </w:rPr>
            </w:pPr>
          </w:p>
        </w:tc>
        <w:tc>
          <w:tcPr>
            <w:tcW w:w="1410" w:type="dxa"/>
            <w:noWrap w:val="0"/>
            <w:vAlign w:val="center"/>
          </w:tcPr>
          <w:p w14:paraId="1738996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5203711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18C484D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Y≥10000</w:t>
            </w:r>
          </w:p>
        </w:tc>
        <w:tc>
          <w:tcPr>
            <w:tcW w:w="1708" w:type="dxa"/>
            <w:noWrap w:val="0"/>
            <w:vAlign w:val="center"/>
          </w:tcPr>
          <w:p w14:paraId="55F135F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1000≤Y＜10000</w:t>
            </w:r>
          </w:p>
        </w:tc>
        <w:tc>
          <w:tcPr>
            <w:tcW w:w="1674" w:type="dxa"/>
            <w:noWrap w:val="0"/>
            <w:vAlign w:val="center"/>
          </w:tcPr>
          <w:p w14:paraId="16055BB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50≤Y＜1000</w:t>
            </w:r>
          </w:p>
        </w:tc>
        <w:tc>
          <w:tcPr>
            <w:tcW w:w="1073" w:type="dxa"/>
            <w:noWrap w:val="0"/>
            <w:vAlign w:val="center"/>
          </w:tcPr>
          <w:p w14:paraId="559E873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Y＜50</w:t>
            </w:r>
          </w:p>
        </w:tc>
      </w:tr>
      <w:tr w14:paraId="5183D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20A3012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房地产开发经营</w:t>
            </w:r>
          </w:p>
        </w:tc>
        <w:tc>
          <w:tcPr>
            <w:tcW w:w="1410" w:type="dxa"/>
            <w:noWrap w:val="0"/>
            <w:vAlign w:val="center"/>
          </w:tcPr>
          <w:p w14:paraId="57AF8E9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7797C65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745B19D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Y≥200000</w:t>
            </w:r>
          </w:p>
        </w:tc>
        <w:tc>
          <w:tcPr>
            <w:tcW w:w="1708" w:type="dxa"/>
            <w:noWrap w:val="0"/>
            <w:vAlign w:val="center"/>
          </w:tcPr>
          <w:p w14:paraId="337F0DC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1000≤Y＜200000</w:t>
            </w:r>
          </w:p>
        </w:tc>
        <w:tc>
          <w:tcPr>
            <w:tcW w:w="1674" w:type="dxa"/>
            <w:noWrap w:val="0"/>
            <w:vAlign w:val="center"/>
          </w:tcPr>
          <w:p w14:paraId="672817B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100≤Y＜1000</w:t>
            </w:r>
          </w:p>
        </w:tc>
        <w:tc>
          <w:tcPr>
            <w:tcW w:w="1073" w:type="dxa"/>
            <w:noWrap w:val="0"/>
            <w:vAlign w:val="center"/>
          </w:tcPr>
          <w:p w14:paraId="55EDA64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79B5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31BB1A0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3E4DD81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资产总额(Z)</w:t>
            </w:r>
          </w:p>
        </w:tc>
        <w:tc>
          <w:tcPr>
            <w:tcW w:w="1065" w:type="dxa"/>
            <w:noWrap w:val="0"/>
            <w:vAlign w:val="center"/>
          </w:tcPr>
          <w:p w14:paraId="5298846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451EF72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Z≥10000</w:t>
            </w:r>
          </w:p>
        </w:tc>
        <w:tc>
          <w:tcPr>
            <w:tcW w:w="1708" w:type="dxa"/>
            <w:noWrap w:val="0"/>
            <w:vAlign w:val="center"/>
          </w:tcPr>
          <w:p w14:paraId="79C0A44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5000≤Z＜10000</w:t>
            </w:r>
          </w:p>
        </w:tc>
        <w:tc>
          <w:tcPr>
            <w:tcW w:w="1674" w:type="dxa"/>
            <w:noWrap w:val="0"/>
            <w:vAlign w:val="center"/>
          </w:tcPr>
          <w:p w14:paraId="42B676F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2000≤Z＜5000</w:t>
            </w:r>
          </w:p>
        </w:tc>
        <w:tc>
          <w:tcPr>
            <w:tcW w:w="1073" w:type="dxa"/>
            <w:noWrap w:val="0"/>
            <w:vAlign w:val="center"/>
          </w:tcPr>
          <w:p w14:paraId="1CE6249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Z＜2000</w:t>
            </w:r>
          </w:p>
        </w:tc>
      </w:tr>
      <w:tr w14:paraId="4CF38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7435D74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物业管理</w:t>
            </w:r>
          </w:p>
        </w:tc>
        <w:tc>
          <w:tcPr>
            <w:tcW w:w="1410" w:type="dxa"/>
            <w:noWrap w:val="0"/>
            <w:vAlign w:val="center"/>
          </w:tcPr>
          <w:p w14:paraId="21C6B1A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6FD400C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3F7AAE8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X≥1000</w:t>
            </w:r>
          </w:p>
        </w:tc>
        <w:tc>
          <w:tcPr>
            <w:tcW w:w="1708" w:type="dxa"/>
            <w:noWrap w:val="0"/>
            <w:vAlign w:val="center"/>
          </w:tcPr>
          <w:p w14:paraId="7C29DB6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300≤X＜1000</w:t>
            </w:r>
          </w:p>
        </w:tc>
        <w:tc>
          <w:tcPr>
            <w:tcW w:w="1674" w:type="dxa"/>
            <w:noWrap w:val="0"/>
            <w:vAlign w:val="center"/>
          </w:tcPr>
          <w:p w14:paraId="1DF37CA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100≤X＜300</w:t>
            </w:r>
          </w:p>
        </w:tc>
        <w:tc>
          <w:tcPr>
            <w:tcW w:w="1073" w:type="dxa"/>
            <w:noWrap w:val="0"/>
            <w:vAlign w:val="center"/>
          </w:tcPr>
          <w:p w14:paraId="06F7153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X＜100</w:t>
            </w:r>
          </w:p>
        </w:tc>
      </w:tr>
      <w:tr w14:paraId="6553C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2803F6F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17E773B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0403B0B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041814A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Y≥5000</w:t>
            </w:r>
          </w:p>
        </w:tc>
        <w:tc>
          <w:tcPr>
            <w:tcW w:w="1708" w:type="dxa"/>
            <w:noWrap w:val="0"/>
            <w:vAlign w:val="center"/>
          </w:tcPr>
          <w:p w14:paraId="1219E72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1000≤Y＜5000</w:t>
            </w:r>
          </w:p>
        </w:tc>
        <w:tc>
          <w:tcPr>
            <w:tcW w:w="1674" w:type="dxa"/>
            <w:noWrap w:val="0"/>
            <w:vAlign w:val="center"/>
          </w:tcPr>
          <w:p w14:paraId="244E1EE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500≤Y＜1000</w:t>
            </w:r>
          </w:p>
        </w:tc>
        <w:tc>
          <w:tcPr>
            <w:tcW w:w="1073" w:type="dxa"/>
            <w:noWrap w:val="0"/>
            <w:vAlign w:val="center"/>
          </w:tcPr>
          <w:p w14:paraId="78DE55D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Y＜500</w:t>
            </w:r>
          </w:p>
        </w:tc>
      </w:tr>
      <w:tr w14:paraId="4390D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0A04208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租赁和商务服务业</w:t>
            </w:r>
          </w:p>
        </w:tc>
        <w:tc>
          <w:tcPr>
            <w:tcW w:w="1410" w:type="dxa"/>
            <w:noWrap w:val="0"/>
            <w:vAlign w:val="center"/>
          </w:tcPr>
          <w:p w14:paraId="0B8CA18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573BEE7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7A576D1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X≥300</w:t>
            </w:r>
          </w:p>
        </w:tc>
        <w:tc>
          <w:tcPr>
            <w:tcW w:w="1708" w:type="dxa"/>
            <w:noWrap w:val="0"/>
            <w:vAlign w:val="center"/>
          </w:tcPr>
          <w:p w14:paraId="232827C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100≤X＜300</w:t>
            </w:r>
          </w:p>
        </w:tc>
        <w:tc>
          <w:tcPr>
            <w:tcW w:w="1674" w:type="dxa"/>
            <w:noWrap w:val="0"/>
            <w:vAlign w:val="center"/>
          </w:tcPr>
          <w:p w14:paraId="51653BA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10≤X＜100</w:t>
            </w:r>
          </w:p>
        </w:tc>
        <w:tc>
          <w:tcPr>
            <w:tcW w:w="1073" w:type="dxa"/>
            <w:noWrap w:val="0"/>
            <w:vAlign w:val="center"/>
          </w:tcPr>
          <w:p w14:paraId="2096870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r w14:paraId="4ED8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40B4D15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465D1BC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资产总额(Z)</w:t>
            </w:r>
          </w:p>
        </w:tc>
        <w:tc>
          <w:tcPr>
            <w:tcW w:w="1065" w:type="dxa"/>
            <w:noWrap w:val="0"/>
            <w:vAlign w:val="center"/>
          </w:tcPr>
          <w:p w14:paraId="46599AC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1404135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Z≥120000</w:t>
            </w:r>
          </w:p>
        </w:tc>
        <w:tc>
          <w:tcPr>
            <w:tcW w:w="1708" w:type="dxa"/>
            <w:noWrap w:val="0"/>
            <w:vAlign w:val="center"/>
          </w:tcPr>
          <w:p w14:paraId="13CE5C3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8000≤Z＜120000</w:t>
            </w:r>
          </w:p>
        </w:tc>
        <w:tc>
          <w:tcPr>
            <w:tcW w:w="1674" w:type="dxa"/>
            <w:noWrap w:val="0"/>
            <w:vAlign w:val="center"/>
          </w:tcPr>
          <w:p w14:paraId="4A449E3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100≤Z＜8000</w:t>
            </w:r>
          </w:p>
        </w:tc>
        <w:tc>
          <w:tcPr>
            <w:tcW w:w="1073" w:type="dxa"/>
            <w:noWrap w:val="0"/>
            <w:vAlign w:val="center"/>
          </w:tcPr>
          <w:p w14:paraId="226ABAC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Z＜100</w:t>
            </w:r>
          </w:p>
        </w:tc>
      </w:tr>
      <w:tr w14:paraId="13B5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noWrap w:val="0"/>
            <w:vAlign w:val="center"/>
          </w:tcPr>
          <w:p w14:paraId="3721875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其他未列明行业*</w:t>
            </w:r>
          </w:p>
        </w:tc>
        <w:tc>
          <w:tcPr>
            <w:tcW w:w="1410" w:type="dxa"/>
            <w:noWrap w:val="0"/>
            <w:vAlign w:val="center"/>
          </w:tcPr>
          <w:p w14:paraId="7C756E9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0FDBFE1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195A06C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X≥300</w:t>
            </w:r>
          </w:p>
        </w:tc>
        <w:tc>
          <w:tcPr>
            <w:tcW w:w="1708" w:type="dxa"/>
            <w:noWrap w:val="0"/>
            <w:vAlign w:val="center"/>
          </w:tcPr>
          <w:p w14:paraId="001500F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100≤X＜300</w:t>
            </w:r>
          </w:p>
        </w:tc>
        <w:tc>
          <w:tcPr>
            <w:tcW w:w="1674" w:type="dxa"/>
            <w:noWrap w:val="0"/>
            <w:vAlign w:val="center"/>
          </w:tcPr>
          <w:p w14:paraId="1B280CC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10≤X＜100</w:t>
            </w:r>
          </w:p>
        </w:tc>
        <w:tc>
          <w:tcPr>
            <w:tcW w:w="1073" w:type="dxa"/>
            <w:noWrap w:val="0"/>
            <w:vAlign w:val="center"/>
          </w:tcPr>
          <w:p w14:paraId="7F547D3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bl>
    <w:p w14:paraId="7D4440DA">
      <w:pPr>
        <w:rPr>
          <w:rFonts w:hint="eastAsia" w:ascii="宋体" w:hAnsi="宋体" w:eastAsia="宋体" w:cs="宋体"/>
          <w:b/>
          <w:bCs/>
          <w:color w:val="auto"/>
          <w:spacing w:val="8"/>
          <w:kern w:val="0"/>
          <w:sz w:val="24"/>
          <w:szCs w:val="24"/>
        </w:rPr>
      </w:pPr>
      <w:r>
        <w:rPr>
          <w:rFonts w:hint="eastAsia" w:ascii="宋体" w:hAnsi="宋体" w:eastAsia="宋体" w:cs="宋体"/>
          <w:b/>
          <w:bCs/>
          <w:color w:val="auto"/>
          <w:spacing w:val="8"/>
          <w:kern w:val="0"/>
          <w:sz w:val="24"/>
          <w:szCs w:val="24"/>
        </w:rPr>
        <w:br w:type="page"/>
      </w:r>
    </w:p>
    <w:p w14:paraId="7D3A72B4">
      <w:pPr>
        <w:widowControl/>
        <w:spacing w:line="360" w:lineRule="auto"/>
        <w:ind w:left="0" w:leftChars="0" w:firstLine="0" w:firstLineChars="0"/>
        <w:rPr>
          <w:rFonts w:hint="eastAsia" w:ascii="宋体" w:hAnsi="宋体" w:eastAsia="宋体" w:cs="宋体"/>
          <w:color w:val="auto"/>
          <w:spacing w:val="8"/>
          <w:kern w:val="0"/>
          <w:sz w:val="24"/>
          <w:szCs w:val="24"/>
        </w:rPr>
      </w:pPr>
      <w:r>
        <w:rPr>
          <w:rFonts w:hint="eastAsia" w:ascii="宋体" w:hAnsi="宋体" w:eastAsia="宋体" w:cs="宋体"/>
          <w:b/>
          <w:bCs/>
          <w:color w:val="auto"/>
          <w:spacing w:val="8"/>
          <w:kern w:val="0"/>
          <w:sz w:val="24"/>
          <w:szCs w:val="24"/>
        </w:rPr>
        <w:t>说明：</w:t>
      </w:r>
    </w:p>
    <w:p w14:paraId="26CC2826">
      <w:pPr>
        <w:spacing w:line="360" w:lineRule="auto"/>
        <w:ind w:left="0" w:leftChars="0" w:firstLine="0" w:firstLineChars="0"/>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　　1.大型、中型和小型企业须同时满足所列指标的</w:t>
      </w:r>
      <w:r>
        <w:rPr>
          <w:rFonts w:hint="eastAsia" w:ascii="宋体" w:hAnsi="宋体" w:eastAsia="宋体" w:cs="宋体"/>
          <w:b/>
          <w:bCs/>
          <w:color w:val="auto"/>
          <w:spacing w:val="8"/>
          <w:kern w:val="0"/>
          <w:sz w:val="24"/>
          <w:szCs w:val="24"/>
        </w:rPr>
        <w:t>下限</w:t>
      </w:r>
      <w:r>
        <w:rPr>
          <w:rFonts w:hint="eastAsia" w:ascii="宋体" w:hAnsi="宋体" w:eastAsia="宋体" w:cs="宋体"/>
          <w:color w:val="auto"/>
          <w:spacing w:val="8"/>
          <w:kern w:val="0"/>
          <w:sz w:val="24"/>
          <w:szCs w:val="24"/>
        </w:rPr>
        <w:t>，</w:t>
      </w:r>
      <w:r>
        <w:rPr>
          <w:rFonts w:hint="eastAsia" w:ascii="宋体" w:hAnsi="宋体" w:eastAsia="宋体" w:cs="宋体"/>
          <w:b/>
          <w:bCs/>
          <w:color w:val="auto"/>
          <w:spacing w:val="8"/>
          <w:kern w:val="0"/>
          <w:sz w:val="24"/>
          <w:szCs w:val="24"/>
        </w:rPr>
        <w:t>否则下划一档</w:t>
      </w:r>
      <w:r>
        <w:rPr>
          <w:rFonts w:hint="eastAsia" w:ascii="宋体" w:hAnsi="宋体" w:eastAsia="宋体" w:cs="宋体"/>
          <w:color w:val="auto"/>
          <w:spacing w:val="8"/>
          <w:kern w:val="0"/>
          <w:sz w:val="24"/>
          <w:szCs w:val="24"/>
        </w:rPr>
        <w:t>；微型企业只须满足所列指标中的</w:t>
      </w:r>
      <w:r>
        <w:rPr>
          <w:rFonts w:hint="eastAsia" w:ascii="宋体" w:hAnsi="宋体" w:eastAsia="宋体" w:cs="宋体"/>
          <w:b/>
          <w:bCs/>
          <w:color w:val="auto"/>
          <w:spacing w:val="8"/>
          <w:kern w:val="0"/>
          <w:sz w:val="24"/>
          <w:szCs w:val="24"/>
        </w:rPr>
        <w:t>一项</w:t>
      </w:r>
      <w:r>
        <w:rPr>
          <w:rFonts w:hint="eastAsia" w:ascii="宋体" w:hAnsi="宋体" w:eastAsia="宋体" w:cs="宋体"/>
          <w:color w:val="auto"/>
          <w:spacing w:val="8"/>
          <w:kern w:val="0"/>
          <w:sz w:val="24"/>
          <w:szCs w:val="24"/>
        </w:rPr>
        <w:t>即可。</w:t>
      </w:r>
    </w:p>
    <w:p w14:paraId="1EA27F0F">
      <w:pPr>
        <w:spacing w:line="360" w:lineRule="auto"/>
        <w:ind w:left="0" w:leftChars="0" w:firstLine="0" w:firstLineChars="0"/>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　　2.附表中各行业的范围以《国民经济行业分类》（GB/T4754-2017）为准。带*的项为行业组合类别，其中，</w:t>
      </w:r>
      <w:r>
        <w:rPr>
          <w:rFonts w:hint="eastAsia" w:ascii="宋体" w:hAnsi="宋体" w:eastAsia="宋体" w:cs="宋体"/>
          <w:b/>
          <w:bCs/>
          <w:color w:val="auto"/>
          <w:spacing w:val="8"/>
          <w:kern w:val="0"/>
          <w:sz w:val="24"/>
          <w:szCs w:val="24"/>
        </w:rPr>
        <w:t>工业</w:t>
      </w:r>
      <w:r>
        <w:rPr>
          <w:rFonts w:hint="eastAsia" w:ascii="宋体" w:hAnsi="宋体" w:eastAsia="宋体" w:cs="宋体"/>
          <w:color w:val="auto"/>
          <w:spacing w:val="8"/>
          <w:kern w:val="0"/>
          <w:sz w:val="24"/>
          <w:szCs w:val="24"/>
        </w:rPr>
        <w:t>包括采矿业，制造业，电力、热力、燃气及水生产和供应业；</w:t>
      </w:r>
      <w:r>
        <w:rPr>
          <w:rFonts w:hint="eastAsia" w:ascii="宋体" w:hAnsi="宋体" w:eastAsia="宋体" w:cs="宋体"/>
          <w:b/>
          <w:bCs/>
          <w:color w:val="auto"/>
          <w:spacing w:val="8"/>
          <w:kern w:val="0"/>
          <w:sz w:val="24"/>
          <w:szCs w:val="24"/>
        </w:rPr>
        <w:t>交通运输业</w:t>
      </w:r>
      <w:r>
        <w:rPr>
          <w:rFonts w:hint="eastAsia" w:ascii="宋体" w:hAnsi="宋体" w:eastAsia="宋体" w:cs="宋体"/>
          <w:color w:val="auto"/>
          <w:spacing w:val="8"/>
          <w:kern w:val="0"/>
          <w:sz w:val="24"/>
          <w:szCs w:val="24"/>
        </w:rPr>
        <w:t>包括道路运输业，水上运输业，航空运输业，管道运输业，多式联运和运输代理业、装卸搬运，不包括铁路运输业；</w:t>
      </w:r>
      <w:r>
        <w:rPr>
          <w:rFonts w:hint="eastAsia" w:ascii="宋体" w:hAnsi="宋体" w:eastAsia="宋体" w:cs="宋体"/>
          <w:b/>
          <w:bCs/>
          <w:color w:val="auto"/>
          <w:spacing w:val="8"/>
          <w:kern w:val="0"/>
          <w:sz w:val="24"/>
          <w:szCs w:val="24"/>
        </w:rPr>
        <w:t>仓储业</w:t>
      </w:r>
      <w:r>
        <w:rPr>
          <w:rFonts w:hint="eastAsia" w:ascii="宋体" w:hAnsi="宋体" w:eastAsia="宋体" w:cs="宋体"/>
          <w:color w:val="auto"/>
          <w:spacing w:val="8"/>
          <w:kern w:val="0"/>
          <w:sz w:val="24"/>
          <w:szCs w:val="24"/>
        </w:rPr>
        <w:t>包括通用仓储，低温仓储，危险品仓储，谷物、棉花等农产品仓储，中药材仓储和其他仓储业</w:t>
      </w:r>
      <w:r>
        <w:rPr>
          <w:rFonts w:hint="eastAsia" w:ascii="宋体" w:hAnsi="宋体" w:eastAsia="宋体" w:cs="宋体"/>
          <w:color w:val="auto"/>
          <w:spacing w:val="8"/>
          <w:kern w:val="0"/>
          <w:sz w:val="24"/>
          <w:szCs w:val="24"/>
          <w:lang w:eastAsia="zh-CN"/>
        </w:rPr>
        <w:t>；</w:t>
      </w:r>
      <w:r>
        <w:rPr>
          <w:rFonts w:hint="eastAsia" w:ascii="宋体" w:hAnsi="宋体" w:eastAsia="宋体" w:cs="宋体"/>
          <w:b/>
          <w:bCs/>
          <w:color w:val="auto"/>
          <w:spacing w:val="8"/>
          <w:kern w:val="0"/>
          <w:sz w:val="24"/>
          <w:szCs w:val="24"/>
        </w:rPr>
        <w:t>信息传输业</w:t>
      </w:r>
      <w:r>
        <w:rPr>
          <w:rFonts w:hint="eastAsia" w:ascii="宋体" w:hAnsi="宋体" w:eastAsia="宋体" w:cs="宋体"/>
          <w:color w:val="auto"/>
          <w:spacing w:val="8"/>
          <w:kern w:val="0"/>
          <w:sz w:val="24"/>
          <w:szCs w:val="24"/>
        </w:rPr>
        <w:t>包括电信、广播电视和卫星传输服务，互联网和相关服务；</w:t>
      </w:r>
      <w:r>
        <w:rPr>
          <w:rFonts w:hint="eastAsia" w:ascii="宋体" w:hAnsi="宋体" w:eastAsia="宋体" w:cs="宋体"/>
          <w:b/>
          <w:bCs/>
          <w:color w:val="auto"/>
          <w:spacing w:val="8"/>
          <w:kern w:val="0"/>
          <w:sz w:val="24"/>
          <w:szCs w:val="24"/>
        </w:rPr>
        <w:t>其他未列明行业</w:t>
      </w:r>
      <w:r>
        <w:rPr>
          <w:rFonts w:hint="eastAsia" w:ascii="宋体" w:hAnsi="宋体" w:eastAsia="宋体" w:cs="宋体"/>
          <w:color w:val="auto"/>
          <w:spacing w:val="8"/>
          <w:kern w:val="0"/>
          <w:sz w:val="24"/>
          <w:szCs w:val="24"/>
        </w:rPr>
        <w:t>包括科学研究和技术服务业，水利、环境和公共设施管理业，居民服务、修理和其他服务业，社会工作，文化、体育和娱乐业，以及房地产中介服务，其他房地产业等，不包括自有房地产经营活动。</w:t>
      </w:r>
    </w:p>
    <w:p w14:paraId="3D225583">
      <w:pPr>
        <w:spacing w:line="360" w:lineRule="auto"/>
        <w:ind w:left="0" w:leftChars="0" w:firstLine="512" w:firstLineChars="0"/>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3.企业划分指标以现行统计制度为准。（1）</w:t>
      </w:r>
      <w:r>
        <w:rPr>
          <w:rFonts w:hint="eastAsia" w:ascii="宋体" w:hAnsi="宋体" w:eastAsia="宋体" w:cs="宋体"/>
          <w:b/>
          <w:bCs/>
          <w:color w:val="auto"/>
          <w:spacing w:val="8"/>
          <w:kern w:val="0"/>
          <w:sz w:val="24"/>
          <w:szCs w:val="24"/>
        </w:rPr>
        <w:t>从业人员</w:t>
      </w:r>
      <w:r>
        <w:rPr>
          <w:rFonts w:hint="eastAsia" w:ascii="宋体" w:hAnsi="宋体" w:eastAsia="宋体" w:cs="宋体"/>
          <w:color w:val="auto"/>
          <w:spacing w:val="8"/>
          <w:kern w:val="0"/>
          <w:sz w:val="24"/>
          <w:szCs w:val="24"/>
        </w:rPr>
        <w:t>，是指期末从业人员数，没有期末从业人员数的，采用全年平均人员数代替。（2）</w:t>
      </w:r>
      <w:r>
        <w:rPr>
          <w:rFonts w:hint="eastAsia" w:ascii="宋体" w:hAnsi="宋体" w:eastAsia="宋体" w:cs="宋体"/>
          <w:b/>
          <w:bCs/>
          <w:color w:val="auto"/>
          <w:spacing w:val="8"/>
          <w:kern w:val="0"/>
          <w:sz w:val="24"/>
          <w:szCs w:val="24"/>
        </w:rPr>
        <w:t>营业收入</w:t>
      </w:r>
      <w:r>
        <w:rPr>
          <w:rFonts w:hint="eastAsia" w:ascii="宋体" w:hAnsi="宋体" w:eastAsia="宋体" w:cs="宋体"/>
          <w:color w:val="auto"/>
          <w:spacing w:val="8"/>
          <w:kern w:val="0"/>
          <w:sz w:val="24"/>
          <w:szCs w:val="24"/>
        </w:rPr>
        <w:t>，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w:t>
      </w:r>
      <w:r>
        <w:rPr>
          <w:rFonts w:hint="eastAsia" w:ascii="宋体" w:hAnsi="宋体" w:eastAsia="宋体" w:cs="宋体"/>
          <w:b/>
          <w:bCs/>
          <w:color w:val="auto"/>
          <w:spacing w:val="8"/>
          <w:kern w:val="0"/>
          <w:sz w:val="24"/>
          <w:szCs w:val="24"/>
        </w:rPr>
        <w:t>资产总额</w:t>
      </w:r>
      <w:r>
        <w:rPr>
          <w:rFonts w:hint="eastAsia" w:ascii="宋体" w:hAnsi="宋体" w:eastAsia="宋体" w:cs="宋体"/>
          <w:color w:val="auto"/>
          <w:spacing w:val="8"/>
          <w:kern w:val="0"/>
          <w:sz w:val="24"/>
          <w:szCs w:val="24"/>
        </w:rPr>
        <w:t>，采用资产总计代替。</w:t>
      </w:r>
    </w:p>
    <w:p w14:paraId="65974C50">
      <w:pPr>
        <w:spacing w:line="360" w:lineRule="auto"/>
        <w:rPr>
          <w:rFonts w:hint="eastAsia" w:ascii="宋体" w:hAnsi="宋体" w:eastAsia="宋体" w:cs="宋体"/>
          <w:color w:val="auto"/>
          <w:spacing w:val="8"/>
          <w:kern w:val="0"/>
          <w:sz w:val="24"/>
          <w:szCs w:val="24"/>
        </w:rPr>
      </w:pPr>
    </w:p>
    <w:p w14:paraId="32E5E1DB">
      <w:pPr>
        <w:ind w:left="0" w:leftChars="0" w:firstLine="0" w:firstLineChars="0"/>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1CE85E55">
      <w:pPr>
        <w:autoSpaceDE w:val="0"/>
        <w:autoSpaceDN w:val="0"/>
        <w:spacing w:line="360" w:lineRule="auto"/>
        <w:jc w:val="center"/>
        <w:rPr>
          <w:rFonts w:hint="eastAsia" w:ascii="宋体" w:hAnsi="宋体" w:eastAsia="宋体" w:cs="宋体"/>
          <w:color w:val="auto"/>
          <w:lang w:val="en-US" w:eastAsia="zh-CN"/>
        </w:rPr>
      </w:pPr>
      <w:r>
        <w:rPr>
          <w:rFonts w:hint="eastAsia" w:ascii="宋体" w:hAnsi="宋体" w:eastAsia="宋体" w:cs="宋体"/>
          <w:b/>
          <w:bCs/>
          <w:color w:val="auto"/>
          <w:sz w:val="24"/>
          <w:szCs w:val="24"/>
          <w:lang w:val="en-US" w:eastAsia="zh-CN"/>
        </w:rPr>
        <w:t>3.残疾人福利性单位声明函</w:t>
      </w:r>
      <w:bookmarkEnd w:id="523"/>
      <w:bookmarkEnd w:id="524"/>
      <w:bookmarkEnd w:id="525"/>
    </w:p>
    <w:p w14:paraId="5B7D6F08">
      <w:pPr>
        <w:spacing w:after="120" w:afterLines="50" w:line="360" w:lineRule="auto"/>
        <w:ind w:left="0" w:leftChars="0" w:firstLine="0" w:firstLineChars="0"/>
        <w:rPr>
          <w:rFonts w:hint="eastAsia" w:ascii="宋体" w:hAnsi="宋体" w:eastAsia="宋体" w:cs="宋体"/>
          <w:b/>
          <w:bCs/>
          <w:color w:val="auto"/>
          <w:sz w:val="24"/>
          <w:szCs w:val="24"/>
        </w:rPr>
      </w:pPr>
      <w:bookmarkStart w:id="526" w:name="_Toc30801"/>
      <w:bookmarkStart w:id="527" w:name="_Toc9477"/>
      <w:r>
        <w:rPr>
          <w:rFonts w:hint="eastAsia" w:ascii="宋体" w:hAnsi="宋体" w:eastAsia="宋体" w:cs="宋体"/>
          <w:b/>
          <w:bCs/>
          <w:color w:val="auto"/>
          <w:sz w:val="24"/>
          <w:szCs w:val="24"/>
        </w:rPr>
        <w:t>致：</w:t>
      </w:r>
      <w:r>
        <w:rPr>
          <w:rFonts w:hint="eastAsia" w:ascii="宋体" w:hAnsi="宋体" w:eastAsia="宋体" w:cs="宋体"/>
          <w:b/>
          <w:bCs/>
          <w:color w:val="auto"/>
          <w:kern w:val="0"/>
          <w:sz w:val="24"/>
          <w:szCs w:val="24"/>
          <w:lang w:val="zh-CN"/>
        </w:rPr>
        <w:t>青海鼎钊招标代理有限公司</w:t>
      </w:r>
    </w:p>
    <w:p w14:paraId="4AF53F08">
      <w:pPr>
        <w:spacing w:line="360" w:lineRule="auto"/>
        <w:ind w:firstLine="48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本单位郑重声明，根据《财政部、民政部、中国残疾人联合会关于促进残疾人就业政府采购政策的通知》（财库〔2017〕141号）的规定，本单位为符合条件的残疾人福利性单位，本单位在职职工人数为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人，安置的残疾人人数</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人。且本单位参加</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单位的</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项目采购活动提供本单位制造的货物（由本单位承担工程/提供服务），或者提供其他残疾人福利性单位制造的货物（不包括使用非残疾人福利性单位注册商标的货物）。</w:t>
      </w:r>
    </w:p>
    <w:p w14:paraId="49110558">
      <w:pPr>
        <w:spacing w:line="360" w:lineRule="auto"/>
        <w:ind w:firstLine="48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本单位对上述声明的真实性负责。如有虚假，将依法承担相应责任。</w:t>
      </w:r>
    </w:p>
    <w:p w14:paraId="664107F9">
      <w:pPr>
        <w:spacing w:line="360" w:lineRule="auto"/>
        <w:ind w:firstLine="0" w:firstLineChars="0"/>
        <w:rPr>
          <w:rFonts w:hint="eastAsia" w:ascii="宋体" w:hAnsi="宋体" w:eastAsia="宋体" w:cs="宋体"/>
          <w:color w:val="auto"/>
          <w:kern w:val="2"/>
          <w:sz w:val="24"/>
          <w:szCs w:val="24"/>
        </w:rPr>
      </w:pPr>
    </w:p>
    <w:p w14:paraId="2EC0E215">
      <w:pPr>
        <w:spacing w:line="360" w:lineRule="auto"/>
        <w:ind w:firstLine="0" w:firstLineChars="0"/>
        <w:rPr>
          <w:rFonts w:hint="eastAsia" w:ascii="宋体" w:hAnsi="宋体" w:eastAsia="宋体" w:cs="宋体"/>
          <w:color w:val="auto"/>
          <w:kern w:val="2"/>
          <w:sz w:val="24"/>
          <w:szCs w:val="24"/>
        </w:rPr>
      </w:pPr>
    </w:p>
    <w:p w14:paraId="43907A20">
      <w:pPr>
        <w:spacing w:line="360" w:lineRule="auto"/>
        <w:ind w:firstLine="0" w:firstLineChars="0"/>
        <w:rPr>
          <w:rFonts w:hint="eastAsia" w:ascii="宋体" w:hAnsi="宋体" w:eastAsia="宋体" w:cs="宋体"/>
          <w:color w:val="auto"/>
          <w:kern w:val="2"/>
          <w:sz w:val="24"/>
          <w:szCs w:val="24"/>
        </w:rPr>
      </w:pPr>
    </w:p>
    <w:p w14:paraId="1A9D1123">
      <w:pPr>
        <w:spacing w:line="360" w:lineRule="auto"/>
        <w:ind w:firstLine="0" w:firstLineChars="0"/>
        <w:jc w:val="center"/>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 xml:space="preserve">                              企业名称：</w:t>
      </w:r>
      <w:r>
        <w:rPr>
          <w:rFonts w:hint="eastAsia" w:ascii="宋体" w:hAnsi="宋体" w:eastAsia="宋体" w:cs="宋体"/>
          <w:color w:val="auto"/>
          <w:kern w:val="0"/>
          <w:sz w:val="28"/>
          <w:szCs w:val="28"/>
          <w:u w:val="single"/>
        </w:rPr>
        <w:t xml:space="preserve">       </w:t>
      </w:r>
      <w:r>
        <w:rPr>
          <w:rFonts w:hint="eastAsia" w:ascii="宋体" w:hAnsi="宋体" w:eastAsia="宋体" w:cs="宋体"/>
          <w:b/>
          <w:color w:val="auto"/>
          <w:kern w:val="2"/>
          <w:sz w:val="24"/>
          <w:szCs w:val="24"/>
        </w:rPr>
        <w:t>（公章）</w:t>
      </w:r>
    </w:p>
    <w:p w14:paraId="42DE5824">
      <w:pPr>
        <w:spacing w:line="360" w:lineRule="auto"/>
        <w:ind w:firstLine="482" w:firstLineChars="0"/>
        <w:jc w:val="right"/>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 xml:space="preserve">       企业法定代表人：</w:t>
      </w:r>
      <w:r>
        <w:rPr>
          <w:rFonts w:hint="eastAsia" w:ascii="宋体" w:hAnsi="宋体" w:eastAsia="宋体" w:cs="宋体"/>
          <w:color w:val="auto"/>
          <w:kern w:val="0"/>
          <w:sz w:val="28"/>
          <w:szCs w:val="28"/>
          <w:u w:val="single"/>
        </w:rPr>
        <w:t xml:space="preserve">       </w:t>
      </w:r>
      <w:r>
        <w:rPr>
          <w:rFonts w:hint="eastAsia" w:ascii="宋体" w:hAnsi="宋体" w:eastAsia="宋体" w:cs="宋体"/>
          <w:b/>
          <w:color w:val="auto"/>
          <w:kern w:val="2"/>
          <w:sz w:val="24"/>
          <w:szCs w:val="24"/>
        </w:rPr>
        <w:t>（签字或盖章）</w:t>
      </w:r>
    </w:p>
    <w:p w14:paraId="68FAA05C">
      <w:pPr>
        <w:spacing w:line="240" w:lineRule="auto"/>
        <w:ind w:firstLine="482" w:firstLineChars="0"/>
        <w:jc w:val="center"/>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 xml:space="preserve">              年   月   日</w:t>
      </w:r>
    </w:p>
    <w:p w14:paraId="562B7E5D">
      <w:pPr>
        <w:widowControl w:val="0"/>
        <w:autoSpaceDE w:val="0"/>
        <w:autoSpaceDN w:val="0"/>
        <w:adjustRightInd w:val="0"/>
        <w:spacing w:line="360" w:lineRule="auto"/>
        <w:rPr>
          <w:rFonts w:hint="eastAsia" w:ascii="宋体" w:hAnsi="宋体" w:eastAsia="宋体" w:cs="宋体"/>
          <w:color w:val="auto"/>
          <w:sz w:val="24"/>
          <w:szCs w:val="24"/>
          <w:lang w:val="en-US" w:eastAsia="zh-CN" w:bidi="ar-SA"/>
        </w:rPr>
      </w:pPr>
    </w:p>
    <w:p w14:paraId="0514910F">
      <w:pPr>
        <w:spacing w:line="360" w:lineRule="auto"/>
        <w:ind w:firstLine="0" w:firstLineChars="0"/>
        <w:rPr>
          <w:rFonts w:hint="eastAsia" w:ascii="宋体" w:hAnsi="宋体" w:eastAsia="宋体" w:cs="宋体"/>
          <w:color w:val="auto"/>
          <w:kern w:val="2"/>
          <w:sz w:val="24"/>
          <w:szCs w:val="24"/>
          <w:lang w:val="en-US" w:eastAsia="zh-CN"/>
        </w:rPr>
      </w:pPr>
      <w:r>
        <w:rPr>
          <w:rFonts w:hint="eastAsia" w:ascii="宋体" w:hAnsi="宋体" w:eastAsia="宋体" w:cs="宋体"/>
          <w:color w:val="auto"/>
          <w:kern w:val="2"/>
          <w:sz w:val="24"/>
          <w:szCs w:val="24"/>
        </w:rPr>
        <w:t>注：</w:t>
      </w:r>
      <w:r>
        <w:rPr>
          <w:rFonts w:hint="eastAsia" w:ascii="宋体" w:hAnsi="宋体" w:eastAsia="宋体" w:cs="宋体"/>
          <w:color w:val="auto"/>
          <w:kern w:val="2"/>
          <w:sz w:val="24"/>
          <w:szCs w:val="24"/>
          <w:lang w:val="en-US" w:eastAsia="zh-CN"/>
        </w:rPr>
        <w:t>1.成交供应商为残疾人福利性单位的，采购代理机构应当随成交结果同时公告其《残疾人福利性单位声明函》。</w:t>
      </w:r>
    </w:p>
    <w:p w14:paraId="1902AA36">
      <w:pPr>
        <w:ind w:firstLine="482"/>
        <w:jc w:val="both"/>
        <w:rPr>
          <w:rFonts w:hint="eastAsia" w:ascii="宋体" w:hAnsi="宋体" w:eastAsia="宋体" w:cs="宋体"/>
          <w:b/>
          <w:color w:val="auto"/>
        </w:rPr>
      </w:pPr>
      <w:r>
        <w:rPr>
          <w:rFonts w:hint="eastAsia" w:ascii="宋体" w:hAnsi="宋体" w:eastAsia="宋体" w:cs="宋体"/>
          <w:color w:val="auto"/>
          <w:kern w:val="2"/>
          <w:sz w:val="24"/>
          <w:szCs w:val="24"/>
          <w:lang w:val="en-US" w:eastAsia="zh-CN"/>
        </w:rPr>
        <w:t>2.</w:t>
      </w:r>
      <w:r>
        <w:rPr>
          <w:rFonts w:hint="eastAsia" w:ascii="宋体" w:hAnsi="宋体" w:eastAsia="宋体" w:cs="宋体"/>
          <w:color w:val="auto"/>
          <w:kern w:val="2"/>
          <w:sz w:val="24"/>
          <w:szCs w:val="24"/>
        </w:rPr>
        <w:t>若无此项内容，可不提供此函。</w:t>
      </w:r>
    </w:p>
    <w:p w14:paraId="29739937">
      <w:pPr>
        <w:keepNext w:val="0"/>
        <w:keepLines w:val="0"/>
        <w:pageBreakBefore w:val="0"/>
        <w:numPr>
          <w:ilvl w:val="0"/>
          <w:numId w:val="0"/>
        </w:numPr>
        <w:kinsoku/>
        <w:wordWrap/>
        <w:overflowPunct/>
        <w:topLinePunct w:val="0"/>
        <w:bidi w:val="0"/>
        <w:adjustRightInd/>
        <w:snapToGrid/>
        <w:spacing w:line="360" w:lineRule="auto"/>
        <w:ind w:left="0" w:leftChars="0"/>
        <w:jc w:val="center"/>
        <w:outlineLvl w:val="9"/>
        <w:rPr>
          <w:rFonts w:hint="eastAsia" w:ascii="宋体" w:hAnsi="宋体" w:eastAsia="宋体" w:cs="宋体"/>
          <w:b/>
          <w:bCs/>
          <w:color w:val="auto"/>
          <w:kern w:val="2"/>
          <w:sz w:val="24"/>
          <w:szCs w:val="24"/>
          <w:lang w:val="en-US" w:eastAsia="zh-CN" w:bidi="ar-SA"/>
        </w:rPr>
      </w:pPr>
      <w:r>
        <w:rPr>
          <w:rFonts w:hint="eastAsia" w:ascii="宋体" w:hAnsi="宋体" w:eastAsia="宋体" w:cs="宋体"/>
          <w:color w:val="auto"/>
          <w:lang w:val="zh-CN"/>
        </w:rPr>
        <w:br w:type="page"/>
      </w:r>
      <w:r>
        <w:rPr>
          <w:rFonts w:hint="eastAsia" w:ascii="宋体" w:hAnsi="宋体" w:eastAsia="宋体" w:cs="宋体"/>
          <w:b/>
          <w:bCs/>
          <w:color w:val="auto"/>
          <w:kern w:val="2"/>
          <w:sz w:val="24"/>
          <w:szCs w:val="24"/>
          <w:lang w:val="en-US" w:eastAsia="zh-CN" w:bidi="ar-SA"/>
        </w:rPr>
        <w:t>4.监狱企业证明资料</w:t>
      </w:r>
      <w:bookmarkEnd w:id="526"/>
      <w:bookmarkEnd w:id="527"/>
    </w:p>
    <w:p w14:paraId="231C98D2">
      <w:pPr>
        <w:spacing w:line="360" w:lineRule="auto"/>
        <w:ind w:firstLine="480" w:firstLineChars="200"/>
        <w:rPr>
          <w:rFonts w:hint="eastAsia" w:ascii="宋体" w:hAnsi="宋体" w:eastAsia="宋体" w:cs="宋体"/>
          <w:color w:val="auto"/>
          <w:kern w:val="2"/>
          <w:sz w:val="24"/>
          <w:szCs w:val="24"/>
          <w:lang w:val="en-US" w:eastAsia="zh-CN"/>
        </w:rPr>
      </w:pPr>
      <w:bookmarkStart w:id="528" w:name="_Toc21346"/>
      <w:bookmarkStart w:id="529" w:name="_Toc12068_WPSOffice_Level3"/>
      <w:bookmarkStart w:id="530" w:name="_Toc23033_WPSOffice_Level3"/>
      <w:r>
        <w:rPr>
          <w:rFonts w:hint="eastAsia" w:ascii="宋体" w:hAnsi="宋体" w:eastAsia="宋体" w:cs="宋体"/>
          <w:color w:val="auto"/>
          <w:kern w:val="2"/>
          <w:sz w:val="24"/>
          <w:szCs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6E081DB">
      <w:pPr>
        <w:spacing w:line="360" w:lineRule="auto"/>
        <w:ind w:firstLine="480" w:firstLineChars="20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监狱企业参加政府采购活动时，应当提供由省级以上监狱管理局、戒毒管理局（含新疆生产建设兵团）出具的属于监狱企业的证明文件。</w:t>
      </w:r>
    </w:p>
    <w:p w14:paraId="3FA2CF33">
      <w:pPr>
        <w:spacing w:line="360" w:lineRule="auto"/>
        <w:ind w:firstLine="0" w:firstLineChars="0"/>
        <w:rPr>
          <w:rFonts w:hint="eastAsia" w:ascii="宋体" w:hAnsi="宋体" w:eastAsia="宋体" w:cs="宋体"/>
          <w:color w:val="auto"/>
          <w:kern w:val="2"/>
          <w:sz w:val="24"/>
          <w:szCs w:val="24"/>
        </w:rPr>
      </w:pPr>
    </w:p>
    <w:p w14:paraId="64673903">
      <w:pPr>
        <w:spacing w:line="360" w:lineRule="auto"/>
        <w:ind w:firstLine="0" w:firstLineChars="0"/>
        <w:rPr>
          <w:rFonts w:hint="eastAsia" w:ascii="宋体" w:hAnsi="宋体" w:eastAsia="宋体" w:cs="宋体"/>
          <w:color w:val="auto"/>
          <w:kern w:val="2"/>
          <w:sz w:val="24"/>
          <w:szCs w:val="24"/>
        </w:rPr>
      </w:pPr>
    </w:p>
    <w:p w14:paraId="3DA5C304">
      <w:pPr>
        <w:widowControl w:val="0"/>
        <w:snapToGrid w:val="0"/>
        <w:jc w:val="left"/>
        <w:rPr>
          <w:rFonts w:hint="eastAsia" w:ascii="宋体" w:hAnsi="宋体" w:eastAsia="宋体" w:cs="宋体"/>
          <w:color w:val="auto"/>
          <w:kern w:val="2"/>
          <w:sz w:val="18"/>
          <w:szCs w:val="18"/>
          <w:lang w:val="en-US" w:eastAsia="zh-CN" w:bidi="ar-SA"/>
        </w:rPr>
      </w:pPr>
    </w:p>
    <w:p w14:paraId="2174DDC2">
      <w:pPr>
        <w:spacing w:line="360" w:lineRule="auto"/>
        <w:rPr>
          <w:rFonts w:hint="eastAsia" w:ascii="宋体" w:hAnsi="宋体" w:eastAsia="宋体" w:cs="宋体"/>
          <w:color w:val="auto"/>
        </w:rPr>
      </w:pPr>
      <w:r>
        <w:rPr>
          <w:rFonts w:hint="eastAsia" w:ascii="宋体" w:hAnsi="宋体" w:eastAsia="宋体" w:cs="宋体"/>
          <w:color w:val="auto"/>
          <w:kern w:val="2"/>
          <w:sz w:val="24"/>
          <w:szCs w:val="24"/>
        </w:rPr>
        <w:t>注：若无此项内容，可不提供。</w:t>
      </w:r>
    </w:p>
    <w:p w14:paraId="0A4F31C0">
      <w:pPr>
        <w:rPr>
          <w:rFonts w:hint="eastAsia" w:ascii="宋体" w:hAnsi="宋体" w:eastAsia="宋体" w:cs="宋体"/>
          <w:color w:val="auto"/>
        </w:rPr>
      </w:pPr>
    </w:p>
    <w:p w14:paraId="6BA209DC">
      <w:pPr>
        <w:rPr>
          <w:rFonts w:hint="eastAsia" w:ascii="宋体" w:hAnsi="宋体" w:eastAsia="宋体" w:cs="宋体"/>
          <w:color w:val="auto"/>
        </w:rPr>
      </w:pPr>
      <w:r>
        <w:rPr>
          <w:rFonts w:hint="eastAsia" w:ascii="宋体" w:hAnsi="宋体" w:eastAsia="宋体" w:cs="宋体"/>
          <w:b/>
          <w:color w:val="auto"/>
          <w:kern w:val="28"/>
          <w:sz w:val="36"/>
          <w:szCs w:val="20"/>
        </w:rPr>
        <w:br w:type="page"/>
      </w:r>
    </w:p>
    <w:p w14:paraId="3ED4B6A5">
      <w:pPr>
        <w:keepNext w:val="0"/>
        <w:keepLines w:val="0"/>
        <w:pageBreakBefore w:val="0"/>
        <w:widowControl/>
        <w:kinsoku/>
        <w:wordWrap/>
        <w:overflowPunct/>
        <w:topLinePunct w:val="0"/>
        <w:bidi w:val="0"/>
        <w:adjustRightInd/>
        <w:snapToGrid/>
        <w:spacing w:line="360" w:lineRule="auto"/>
        <w:ind w:left="0" w:leftChars="0"/>
        <w:outlineLvl w:val="1"/>
        <w:rPr>
          <w:rFonts w:hint="eastAsia" w:ascii="宋体" w:hAnsi="宋体" w:eastAsia="宋体" w:cs="宋体"/>
          <w:b/>
          <w:bCs w:val="0"/>
          <w:color w:val="auto"/>
          <w:kern w:val="2"/>
          <w:sz w:val="24"/>
          <w:szCs w:val="24"/>
          <w:lang w:val="en-US" w:eastAsia="zh-CN" w:bidi="ar-SA"/>
        </w:rPr>
      </w:pPr>
      <w:bookmarkStart w:id="531" w:name="_Toc6332"/>
      <w:r>
        <w:rPr>
          <w:rFonts w:hint="eastAsia" w:ascii="宋体" w:hAnsi="宋体" w:eastAsia="宋体" w:cs="宋体"/>
          <w:b/>
          <w:bCs w:val="0"/>
          <w:color w:val="auto"/>
          <w:kern w:val="2"/>
          <w:sz w:val="28"/>
          <w:szCs w:val="28"/>
          <w:lang w:val="en-US" w:eastAsia="zh-CN" w:bidi="ar-SA"/>
        </w:rPr>
        <w:t>附件15：最后报价表</w:t>
      </w:r>
      <w:bookmarkEnd w:id="528"/>
      <w:bookmarkEnd w:id="529"/>
      <w:bookmarkEnd w:id="530"/>
      <w:bookmarkEnd w:id="531"/>
    </w:p>
    <w:p w14:paraId="20757899">
      <w:pPr>
        <w:keepNext w:val="0"/>
        <w:keepLines w:val="0"/>
        <w:pageBreakBefore w:val="0"/>
        <w:widowControl w:val="0"/>
        <w:kinsoku/>
        <w:wordWrap/>
        <w:overflowPunct/>
        <w:topLinePunct w:val="0"/>
        <w:autoSpaceDE w:val="0"/>
        <w:autoSpaceDN w:val="0"/>
        <w:bidi w:val="0"/>
        <w:adjustRightInd/>
        <w:snapToGrid/>
        <w:spacing w:line="360" w:lineRule="auto"/>
        <w:ind w:left="0" w:leftChars="0"/>
        <w:jc w:val="center"/>
        <w:outlineLvl w:val="9"/>
        <w:rPr>
          <w:rFonts w:hint="eastAsia" w:ascii="宋体" w:hAnsi="宋体" w:eastAsia="宋体" w:cs="宋体"/>
          <w:b/>
          <w:bCs w:val="0"/>
          <w:color w:val="auto"/>
          <w:sz w:val="24"/>
          <w:szCs w:val="24"/>
          <w:lang w:val="zh-CN"/>
        </w:rPr>
      </w:pPr>
      <w:r>
        <w:rPr>
          <w:rFonts w:hint="eastAsia" w:ascii="宋体" w:hAnsi="宋体" w:eastAsia="宋体" w:cs="宋体"/>
          <w:b/>
          <w:bCs w:val="0"/>
          <w:color w:val="auto"/>
          <w:kern w:val="2"/>
          <w:sz w:val="24"/>
          <w:szCs w:val="24"/>
          <w:lang w:val="en-US" w:eastAsia="zh-CN" w:bidi="ar-SA"/>
        </w:rPr>
        <w:t>最后报价表</w:t>
      </w:r>
    </w:p>
    <w:p w14:paraId="52A1D11F">
      <w:pPr>
        <w:keepNext w:val="0"/>
        <w:keepLines w:val="0"/>
        <w:pageBreakBefore w:val="0"/>
        <w:widowControl w:val="0"/>
        <w:kinsoku/>
        <w:wordWrap/>
        <w:overflowPunct/>
        <w:topLinePunct w:val="0"/>
        <w:bidi w:val="0"/>
        <w:adjustRightInd/>
        <w:snapToGrid/>
        <w:spacing w:line="360" w:lineRule="auto"/>
        <w:ind w:left="0" w:leftChars="0"/>
        <w:outlineLvl w:val="9"/>
        <w:rPr>
          <w:rFonts w:hint="eastAsia" w:ascii="宋体" w:hAnsi="宋体" w:eastAsia="宋体" w:cs="宋体"/>
          <w:b/>
          <w:bCs w:val="0"/>
          <w:color w:val="auto"/>
          <w:sz w:val="24"/>
          <w:szCs w:val="24"/>
        </w:rPr>
      </w:pPr>
      <w:bookmarkStart w:id="532" w:name="_Toc31451_WPSOffice_Level2"/>
      <w:bookmarkStart w:id="533" w:name="_Toc26632_WPSOffice_Level2"/>
      <w:r>
        <w:rPr>
          <w:rFonts w:hint="eastAsia" w:ascii="宋体" w:hAnsi="宋体" w:eastAsia="宋体" w:cs="宋体"/>
          <w:b/>
          <w:bCs w:val="0"/>
          <w:color w:val="auto"/>
          <w:sz w:val="24"/>
          <w:szCs w:val="24"/>
        </w:rPr>
        <w:t>项目名称：</w:t>
      </w:r>
      <w:bookmarkEnd w:id="532"/>
      <w:bookmarkEnd w:id="533"/>
    </w:p>
    <w:p w14:paraId="4EC194F4">
      <w:pPr>
        <w:keepNext w:val="0"/>
        <w:keepLines w:val="0"/>
        <w:pageBreakBefore w:val="0"/>
        <w:kinsoku/>
        <w:wordWrap/>
        <w:overflowPunct/>
        <w:topLinePunct w:val="0"/>
        <w:bidi w:val="0"/>
        <w:adjustRightInd/>
        <w:snapToGrid/>
        <w:spacing w:line="360" w:lineRule="auto"/>
        <w:outlineLvl w:val="9"/>
        <w:rPr>
          <w:rFonts w:hint="eastAsia" w:ascii="宋体" w:hAnsi="宋体" w:eastAsia="宋体" w:cs="宋体"/>
          <w:b/>
          <w:bCs w:val="0"/>
          <w:color w:val="auto"/>
          <w:sz w:val="24"/>
          <w:szCs w:val="24"/>
          <w:lang w:val="en-US" w:eastAsia="zh-CN"/>
        </w:rPr>
      </w:pPr>
      <w:bookmarkStart w:id="534" w:name="_Toc16830_WPSOffice_Level2"/>
      <w:bookmarkStart w:id="535" w:name="_Toc18301_WPSOffice_Level2"/>
      <w:r>
        <w:rPr>
          <w:rFonts w:hint="eastAsia" w:ascii="宋体" w:hAnsi="宋体" w:eastAsia="宋体" w:cs="宋体"/>
          <w:b/>
          <w:bCs w:val="0"/>
          <w:color w:val="auto"/>
          <w:sz w:val="24"/>
          <w:szCs w:val="24"/>
        </w:rPr>
        <w:t>项目编号：</w:t>
      </w:r>
    </w:p>
    <w:p w14:paraId="18E3D362">
      <w:pPr>
        <w:keepNext w:val="0"/>
        <w:keepLines w:val="0"/>
        <w:pageBreakBefore w:val="0"/>
        <w:kinsoku/>
        <w:wordWrap/>
        <w:overflowPunct/>
        <w:topLinePunct w:val="0"/>
        <w:bidi w:val="0"/>
        <w:adjustRightInd/>
        <w:snapToGrid/>
        <w:spacing w:line="360" w:lineRule="auto"/>
        <w:jc w:val="right"/>
        <w:outlineLvl w:val="9"/>
        <w:rPr>
          <w:rFonts w:hint="eastAsia" w:ascii="宋体" w:hAnsi="宋体" w:eastAsia="宋体" w:cs="宋体"/>
          <w:bCs/>
          <w:color w:val="auto"/>
          <w:sz w:val="24"/>
          <w:szCs w:val="24"/>
        </w:rPr>
      </w:pPr>
      <w:r>
        <w:rPr>
          <w:rFonts w:hint="eastAsia" w:ascii="宋体" w:hAnsi="宋体" w:eastAsia="宋体" w:cs="宋体"/>
          <w:color w:val="auto"/>
          <w:sz w:val="24"/>
          <w:szCs w:val="24"/>
        </w:rPr>
        <w:t>单位：</w:t>
      </w:r>
      <w:r>
        <w:rPr>
          <w:rFonts w:hint="eastAsia" w:ascii="宋体" w:hAnsi="宋体" w:eastAsia="宋体" w:cs="宋体"/>
          <w:bCs/>
          <w:color w:val="auto"/>
          <w:sz w:val="24"/>
          <w:szCs w:val="24"/>
        </w:rPr>
        <w:t>人民币(元)</w:t>
      </w:r>
      <w:bookmarkEnd w:id="534"/>
      <w:bookmarkEnd w:id="535"/>
    </w:p>
    <w:tbl>
      <w:tblPr>
        <w:tblStyle w:val="20"/>
        <w:tblW w:w="91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8"/>
        <w:gridCol w:w="3065"/>
        <w:gridCol w:w="1879"/>
      </w:tblGrid>
      <w:tr w14:paraId="3AD00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4208" w:type="dxa"/>
            <w:vAlign w:val="center"/>
          </w:tcPr>
          <w:p w14:paraId="273204DF">
            <w:pPr>
              <w:keepNext w:val="0"/>
              <w:keepLines w:val="0"/>
              <w:pageBreakBefore w:val="0"/>
              <w:widowControl w:val="0"/>
              <w:kinsoku/>
              <w:wordWrap/>
              <w:overflowPunct/>
              <w:topLinePunct w:val="0"/>
              <w:autoSpaceDE/>
              <w:autoSpaceDN/>
              <w:bidi w:val="0"/>
              <w:adjustRightInd/>
              <w:snapToGrid/>
              <w:spacing w:line="360" w:lineRule="auto"/>
              <w:ind w:left="0" w:leftChars="0"/>
              <w:jc w:val="center"/>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最初报价</w:t>
            </w:r>
          </w:p>
        </w:tc>
        <w:tc>
          <w:tcPr>
            <w:tcW w:w="3065" w:type="dxa"/>
            <w:vAlign w:val="center"/>
          </w:tcPr>
          <w:p w14:paraId="11A91031">
            <w:pPr>
              <w:keepNext w:val="0"/>
              <w:keepLines w:val="0"/>
              <w:pageBreakBefore w:val="0"/>
              <w:widowControl w:val="0"/>
              <w:kinsoku/>
              <w:wordWrap/>
              <w:overflowPunct/>
              <w:topLinePunct w:val="0"/>
              <w:autoSpaceDE/>
              <w:autoSpaceDN/>
              <w:bidi w:val="0"/>
              <w:adjustRightInd/>
              <w:snapToGrid/>
              <w:spacing w:line="360" w:lineRule="auto"/>
              <w:ind w:left="0" w:leftChars="0"/>
              <w:jc w:val="center"/>
              <w:outlineLvl w:val="9"/>
              <w:rPr>
                <w:rFonts w:hint="eastAsia" w:ascii="宋体" w:hAnsi="宋体" w:eastAsia="宋体" w:cs="宋体"/>
                <w:b/>
                <w:bCs w:val="0"/>
                <w:color w:val="auto"/>
                <w:sz w:val="24"/>
                <w:szCs w:val="24"/>
                <w:lang w:eastAsia="zh-CN"/>
              </w:rPr>
            </w:pPr>
            <w:r>
              <w:rPr>
                <w:rFonts w:hint="eastAsia" w:ascii="宋体" w:hAnsi="宋体" w:eastAsia="宋体" w:cs="宋体"/>
                <w:b/>
                <w:bCs w:val="0"/>
                <w:color w:val="auto"/>
                <w:sz w:val="24"/>
                <w:szCs w:val="24"/>
                <w:lang w:eastAsia="zh-CN"/>
              </w:rPr>
              <w:t>最后报价</w:t>
            </w:r>
          </w:p>
        </w:tc>
        <w:tc>
          <w:tcPr>
            <w:tcW w:w="1879" w:type="dxa"/>
            <w:vAlign w:val="center"/>
          </w:tcPr>
          <w:p w14:paraId="3323F681">
            <w:pPr>
              <w:keepNext w:val="0"/>
              <w:keepLines w:val="0"/>
              <w:pageBreakBefore w:val="0"/>
              <w:widowControl w:val="0"/>
              <w:kinsoku/>
              <w:wordWrap/>
              <w:overflowPunct/>
              <w:topLinePunct w:val="0"/>
              <w:autoSpaceDE/>
              <w:autoSpaceDN/>
              <w:bidi w:val="0"/>
              <w:adjustRightInd/>
              <w:snapToGrid/>
              <w:spacing w:line="360" w:lineRule="auto"/>
              <w:ind w:left="0" w:leftChars="0"/>
              <w:jc w:val="center"/>
              <w:outlineLvl w:val="9"/>
              <w:rPr>
                <w:rFonts w:hint="eastAsia" w:ascii="宋体" w:hAnsi="宋体" w:eastAsia="宋体" w:cs="宋体"/>
                <w:b/>
                <w:bCs w:val="0"/>
                <w:color w:val="auto"/>
                <w:sz w:val="24"/>
                <w:szCs w:val="24"/>
                <w:lang w:eastAsia="zh-CN"/>
              </w:rPr>
            </w:pPr>
            <w:r>
              <w:rPr>
                <w:rFonts w:hint="eastAsia" w:ascii="宋体" w:hAnsi="宋体" w:eastAsia="宋体" w:cs="宋体"/>
                <w:b/>
                <w:bCs w:val="0"/>
                <w:color w:val="auto"/>
                <w:sz w:val="24"/>
                <w:szCs w:val="24"/>
                <w:lang w:val="en-US" w:eastAsia="zh-CN"/>
              </w:rPr>
              <w:t>施工工期</w:t>
            </w:r>
          </w:p>
        </w:tc>
      </w:tr>
      <w:tr w14:paraId="13CF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08" w:type="dxa"/>
            <w:vAlign w:val="top"/>
          </w:tcPr>
          <w:p w14:paraId="6214C127">
            <w:pPr>
              <w:keepNext w:val="0"/>
              <w:keepLines w:val="0"/>
              <w:pageBreakBefore w:val="0"/>
              <w:widowControl w:val="0"/>
              <w:kinsoku/>
              <w:wordWrap/>
              <w:overflowPunct/>
              <w:topLinePunct w:val="0"/>
              <w:autoSpaceDE/>
              <w:autoSpaceDN/>
              <w:bidi w:val="0"/>
              <w:adjustRightInd/>
              <w:snapToGrid/>
              <w:spacing w:line="360" w:lineRule="auto"/>
              <w:ind w:left="0" w:leftChars="0"/>
              <w:textAlignment w:val="baseline"/>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大写：</w:t>
            </w:r>
          </w:p>
        </w:tc>
        <w:tc>
          <w:tcPr>
            <w:tcW w:w="3065" w:type="dxa"/>
            <w:vAlign w:val="top"/>
          </w:tcPr>
          <w:p w14:paraId="0429EF08">
            <w:pPr>
              <w:keepNext w:val="0"/>
              <w:keepLines w:val="0"/>
              <w:pageBreakBefore w:val="0"/>
              <w:widowControl w:val="0"/>
              <w:kinsoku/>
              <w:wordWrap/>
              <w:overflowPunct/>
              <w:topLinePunct w:val="0"/>
              <w:autoSpaceDE/>
              <w:autoSpaceDN/>
              <w:bidi w:val="0"/>
              <w:adjustRightInd/>
              <w:snapToGrid/>
              <w:spacing w:line="360" w:lineRule="auto"/>
              <w:ind w:left="0" w:leftChars="0"/>
              <w:textAlignment w:val="baseline"/>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大写：</w:t>
            </w:r>
          </w:p>
        </w:tc>
        <w:tc>
          <w:tcPr>
            <w:tcW w:w="1879" w:type="dxa"/>
            <w:vMerge w:val="restart"/>
            <w:vAlign w:val="center"/>
          </w:tcPr>
          <w:p w14:paraId="7AF2E875">
            <w:pPr>
              <w:keepNext w:val="0"/>
              <w:keepLines w:val="0"/>
              <w:pageBreakBefore w:val="0"/>
              <w:widowControl w:val="0"/>
              <w:kinsoku/>
              <w:wordWrap/>
              <w:overflowPunct/>
              <w:topLinePunct w:val="0"/>
              <w:autoSpaceDE/>
              <w:autoSpaceDN/>
              <w:bidi w:val="0"/>
              <w:adjustRightInd/>
              <w:snapToGrid/>
              <w:spacing w:line="360" w:lineRule="auto"/>
              <w:ind w:left="0" w:leftChars="0"/>
              <w:jc w:val="center"/>
              <w:outlineLvl w:val="9"/>
              <w:rPr>
                <w:rFonts w:hint="eastAsia" w:ascii="宋体" w:hAnsi="宋体" w:eastAsia="宋体" w:cs="宋体"/>
                <w:b/>
                <w:bCs w:val="0"/>
                <w:color w:val="auto"/>
                <w:sz w:val="24"/>
                <w:szCs w:val="24"/>
              </w:rPr>
            </w:pPr>
          </w:p>
        </w:tc>
      </w:tr>
      <w:tr w14:paraId="0D9D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08" w:type="dxa"/>
            <w:vAlign w:val="top"/>
          </w:tcPr>
          <w:p w14:paraId="2B85A56C">
            <w:pPr>
              <w:keepNext w:val="0"/>
              <w:keepLines w:val="0"/>
              <w:pageBreakBefore w:val="0"/>
              <w:widowControl w:val="0"/>
              <w:kinsoku/>
              <w:wordWrap/>
              <w:overflowPunct/>
              <w:topLinePunct w:val="0"/>
              <w:autoSpaceDE/>
              <w:autoSpaceDN/>
              <w:bidi w:val="0"/>
              <w:adjustRightInd/>
              <w:snapToGrid/>
              <w:spacing w:line="360" w:lineRule="auto"/>
              <w:ind w:left="0" w:leftChars="0"/>
              <w:textAlignment w:val="baseline"/>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小写：</w:t>
            </w:r>
          </w:p>
        </w:tc>
        <w:tc>
          <w:tcPr>
            <w:tcW w:w="3065" w:type="dxa"/>
            <w:vAlign w:val="top"/>
          </w:tcPr>
          <w:p w14:paraId="169B7CD9">
            <w:pPr>
              <w:keepNext w:val="0"/>
              <w:keepLines w:val="0"/>
              <w:pageBreakBefore w:val="0"/>
              <w:widowControl w:val="0"/>
              <w:kinsoku/>
              <w:wordWrap/>
              <w:overflowPunct/>
              <w:topLinePunct w:val="0"/>
              <w:autoSpaceDE/>
              <w:autoSpaceDN/>
              <w:bidi w:val="0"/>
              <w:adjustRightInd/>
              <w:snapToGrid/>
              <w:spacing w:line="360" w:lineRule="auto"/>
              <w:ind w:left="0" w:leftChars="0"/>
              <w:textAlignment w:val="baseline"/>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小写：</w:t>
            </w:r>
          </w:p>
        </w:tc>
        <w:tc>
          <w:tcPr>
            <w:tcW w:w="1879" w:type="dxa"/>
            <w:vMerge w:val="continue"/>
            <w:vAlign w:val="center"/>
          </w:tcPr>
          <w:p w14:paraId="553C523D">
            <w:pPr>
              <w:keepNext w:val="0"/>
              <w:keepLines w:val="0"/>
              <w:pageBreakBefore w:val="0"/>
              <w:widowControl w:val="0"/>
              <w:kinsoku/>
              <w:wordWrap/>
              <w:overflowPunct/>
              <w:topLinePunct w:val="0"/>
              <w:autoSpaceDE/>
              <w:autoSpaceDN/>
              <w:bidi w:val="0"/>
              <w:adjustRightInd/>
              <w:snapToGrid/>
              <w:spacing w:line="360" w:lineRule="auto"/>
              <w:ind w:left="0" w:leftChars="0"/>
              <w:jc w:val="center"/>
              <w:outlineLvl w:val="9"/>
              <w:rPr>
                <w:rFonts w:hint="eastAsia" w:ascii="宋体" w:hAnsi="宋体" w:eastAsia="宋体" w:cs="宋体"/>
                <w:b/>
                <w:bCs w:val="0"/>
                <w:color w:val="auto"/>
                <w:sz w:val="24"/>
                <w:szCs w:val="24"/>
              </w:rPr>
            </w:pPr>
          </w:p>
        </w:tc>
      </w:tr>
      <w:tr w14:paraId="3C88A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1" w:hRule="atLeast"/>
          <w:jc w:val="center"/>
        </w:trPr>
        <w:tc>
          <w:tcPr>
            <w:tcW w:w="9152" w:type="dxa"/>
            <w:gridSpan w:val="3"/>
            <w:tcBorders>
              <w:bottom w:val="single" w:color="auto" w:sz="4" w:space="0"/>
            </w:tcBorders>
            <w:vAlign w:val="top"/>
          </w:tcPr>
          <w:p w14:paraId="52B49ECA">
            <w:pPr>
              <w:keepNext w:val="0"/>
              <w:keepLines w:val="0"/>
              <w:pageBreakBefore w:val="0"/>
              <w:widowControl w:val="0"/>
              <w:kinsoku/>
              <w:wordWrap/>
              <w:overflowPunct/>
              <w:topLinePunct w:val="0"/>
              <w:autoSpaceDE/>
              <w:autoSpaceDN/>
              <w:bidi w:val="0"/>
              <w:adjustRightInd/>
              <w:snapToGrid/>
              <w:spacing w:line="360" w:lineRule="auto"/>
              <w:ind w:left="0" w:leftChars="0"/>
              <w:jc w:val="both"/>
              <w:outlineLvl w:val="9"/>
              <w:rPr>
                <w:rFonts w:hint="eastAsia" w:ascii="宋体" w:hAnsi="宋体" w:eastAsia="宋体" w:cs="宋体"/>
                <w:b/>
                <w:bCs w:val="0"/>
                <w:color w:val="auto"/>
                <w:sz w:val="24"/>
                <w:szCs w:val="24"/>
                <w:lang w:eastAsia="zh-CN"/>
              </w:rPr>
            </w:pPr>
            <w:r>
              <w:rPr>
                <w:rFonts w:hint="eastAsia" w:ascii="宋体" w:hAnsi="宋体" w:eastAsia="宋体" w:cs="宋体"/>
                <w:b/>
                <w:bCs w:val="0"/>
                <w:color w:val="auto"/>
                <w:sz w:val="24"/>
                <w:szCs w:val="24"/>
              </w:rPr>
              <w:t>最终确定的质量保证及服务承诺</w:t>
            </w:r>
            <w:r>
              <w:rPr>
                <w:rFonts w:hint="eastAsia" w:ascii="宋体" w:hAnsi="宋体" w:eastAsia="宋体" w:cs="宋体"/>
                <w:b/>
                <w:bCs w:val="0"/>
                <w:color w:val="auto"/>
                <w:sz w:val="24"/>
                <w:szCs w:val="24"/>
                <w:lang w:eastAsia="zh-CN"/>
              </w:rPr>
              <w:t>：</w:t>
            </w:r>
          </w:p>
          <w:p w14:paraId="5FB298AB">
            <w:pPr>
              <w:keepNext w:val="0"/>
              <w:keepLines w:val="0"/>
              <w:pageBreakBefore w:val="0"/>
              <w:widowControl w:val="0"/>
              <w:kinsoku/>
              <w:wordWrap/>
              <w:overflowPunct/>
              <w:topLinePunct w:val="0"/>
              <w:autoSpaceDE/>
              <w:autoSpaceDN/>
              <w:bidi w:val="0"/>
              <w:adjustRightInd/>
              <w:snapToGrid/>
              <w:spacing w:line="360" w:lineRule="auto"/>
              <w:ind w:left="0" w:leftChars="0"/>
              <w:jc w:val="both"/>
              <w:outlineLvl w:val="9"/>
              <w:rPr>
                <w:rFonts w:hint="eastAsia" w:ascii="宋体" w:hAnsi="宋体" w:eastAsia="宋体" w:cs="宋体"/>
                <w:b/>
                <w:bCs w:val="0"/>
                <w:color w:val="auto"/>
                <w:sz w:val="24"/>
                <w:szCs w:val="24"/>
                <w:lang w:eastAsia="zh-CN"/>
              </w:rPr>
            </w:pPr>
          </w:p>
          <w:p w14:paraId="0692A076">
            <w:pPr>
              <w:pStyle w:val="2"/>
              <w:rPr>
                <w:rFonts w:hint="eastAsia" w:ascii="宋体" w:hAnsi="宋体" w:eastAsia="宋体" w:cs="宋体"/>
                <w:b/>
                <w:bCs w:val="0"/>
                <w:color w:val="auto"/>
                <w:sz w:val="24"/>
                <w:szCs w:val="24"/>
                <w:lang w:eastAsia="zh-CN"/>
              </w:rPr>
            </w:pPr>
          </w:p>
          <w:p w14:paraId="3AF9EF5E">
            <w:pPr>
              <w:pStyle w:val="2"/>
              <w:rPr>
                <w:rFonts w:hint="eastAsia" w:ascii="宋体" w:hAnsi="宋体" w:eastAsia="宋体" w:cs="宋体"/>
                <w:b/>
                <w:bCs w:val="0"/>
                <w:color w:val="auto"/>
                <w:sz w:val="24"/>
                <w:szCs w:val="24"/>
                <w:lang w:eastAsia="zh-CN"/>
              </w:rPr>
            </w:pPr>
          </w:p>
          <w:p w14:paraId="6759895D">
            <w:pPr>
              <w:pStyle w:val="2"/>
              <w:rPr>
                <w:rFonts w:hint="eastAsia" w:ascii="宋体" w:hAnsi="宋体" w:eastAsia="宋体" w:cs="宋体"/>
                <w:b/>
                <w:bCs w:val="0"/>
                <w:color w:val="auto"/>
                <w:sz w:val="24"/>
                <w:szCs w:val="24"/>
                <w:lang w:eastAsia="zh-CN"/>
              </w:rPr>
            </w:pPr>
          </w:p>
        </w:tc>
      </w:tr>
    </w:tbl>
    <w:p w14:paraId="3EC692D1">
      <w:pPr>
        <w:keepNext w:val="0"/>
        <w:keepLines w:val="0"/>
        <w:pageBreakBefore w:val="0"/>
        <w:widowControl w:val="0"/>
        <w:kinsoku/>
        <w:wordWrap/>
        <w:overflowPunct/>
        <w:topLinePunct w:val="0"/>
        <w:autoSpaceDE w:val="0"/>
        <w:autoSpaceDN w:val="0"/>
        <w:bidi w:val="0"/>
        <w:adjustRightInd/>
        <w:snapToGrid/>
        <w:spacing w:line="360" w:lineRule="auto"/>
        <w:ind w:left="0" w:leftChars="0"/>
        <w:jc w:val="both"/>
        <w:outlineLvl w:val="9"/>
        <w:rPr>
          <w:rFonts w:hint="eastAsia" w:ascii="宋体" w:hAnsi="宋体" w:eastAsia="宋体" w:cs="宋体"/>
          <w:b/>
          <w:bCs w:val="0"/>
          <w:color w:val="auto"/>
          <w:sz w:val="24"/>
          <w:szCs w:val="24"/>
          <w:lang w:val="en-US" w:eastAsia="zh-CN"/>
        </w:rPr>
      </w:pPr>
      <w:r>
        <w:rPr>
          <w:rFonts w:hint="eastAsia" w:ascii="宋体" w:hAnsi="宋体" w:eastAsia="宋体" w:cs="宋体"/>
          <w:color w:val="auto"/>
          <w:sz w:val="24"/>
          <w:szCs w:val="24"/>
        </w:rPr>
        <w:t>注：</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此表不需装订在响应文件中，供应商事先须盖章、签字。在</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期间，由</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小组确定合格的供应商</w:t>
      </w:r>
      <w:r>
        <w:rPr>
          <w:rFonts w:hint="eastAsia" w:ascii="宋体" w:hAnsi="宋体" w:eastAsia="宋体" w:cs="宋体"/>
          <w:color w:val="auto"/>
          <w:sz w:val="24"/>
          <w:szCs w:val="24"/>
          <w:lang w:val="en-US" w:eastAsia="zh-CN"/>
        </w:rPr>
        <w:t>后</w:t>
      </w:r>
      <w:r>
        <w:rPr>
          <w:rFonts w:hint="eastAsia" w:ascii="宋体" w:hAnsi="宋体" w:eastAsia="宋体" w:cs="宋体"/>
          <w:color w:val="auto"/>
          <w:sz w:val="24"/>
          <w:szCs w:val="24"/>
        </w:rPr>
        <w:t>填写</w:t>
      </w:r>
      <w:r>
        <w:rPr>
          <w:rFonts w:hint="eastAsia" w:ascii="宋体" w:hAnsi="宋体" w:eastAsia="宋体" w:cs="宋体"/>
          <w:color w:val="auto"/>
          <w:sz w:val="24"/>
          <w:szCs w:val="24"/>
          <w:lang w:val="en-US" w:eastAsia="zh-CN"/>
        </w:rPr>
        <w:t>并上传</w:t>
      </w:r>
      <w:r>
        <w:rPr>
          <w:rFonts w:hint="eastAsia" w:ascii="宋体" w:hAnsi="宋体" w:eastAsia="宋体" w:cs="宋体"/>
          <w:color w:val="auto"/>
          <w:sz w:val="24"/>
          <w:szCs w:val="24"/>
        </w:rPr>
        <w:t>。</w:t>
      </w:r>
    </w:p>
    <w:p w14:paraId="3FBE9343">
      <w:pPr>
        <w:spacing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lang w:val="en-US" w:eastAsia="zh-CN"/>
        </w:rPr>
        <w:t>未在最终轮次规定时间（60分钟）内进行响应报价的，按首轮报价进行评审，退出谈判的除外。</w:t>
      </w:r>
    </w:p>
    <w:p w14:paraId="710E7169">
      <w:pPr>
        <w:pStyle w:val="47"/>
        <w:spacing w:line="360" w:lineRule="auto"/>
        <w:ind w:left="0" w:leftChars="0" w:firstLine="0" w:firstLineChars="0"/>
        <w:rPr>
          <w:rFonts w:hint="eastAsia" w:ascii="宋体" w:hAnsi="宋体" w:eastAsia="宋体" w:cs="宋体"/>
          <w:b/>
          <w:bCs w:val="0"/>
          <w:color w:val="auto"/>
          <w:sz w:val="24"/>
          <w:szCs w:val="24"/>
          <w:lang w:val="en-US" w:eastAsia="zh-CN"/>
        </w:rPr>
      </w:pPr>
    </w:p>
    <w:p w14:paraId="6C1DC369">
      <w:pPr>
        <w:pStyle w:val="47"/>
        <w:spacing w:line="360" w:lineRule="auto"/>
        <w:ind w:left="0" w:leftChars="0" w:firstLine="0" w:firstLineChars="0"/>
        <w:rPr>
          <w:rFonts w:hint="eastAsia" w:ascii="宋体" w:hAnsi="宋体" w:eastAsia="宋体" w:cs="宋体"/>
          <w:b/>
          <w:bCs w:val="0"/>
          <w:color w:val="auto"/>
          <w:sz w:val="24"/>
          <w:szCs w:val="24"/>
          <w:lang w:val="en-US" w:eastAsia="zh-CN"/>
        </w:rPr>
      </w:pPr>
    </w:p>
    <w:p w14:paraId="5C52D989">
      <w:pPr>
        <w:pStyle w:val="47"/>
        <w:spacing w:line="360" w:lineRule="auto"/>
        <w:ind w:left="0" w:leftChars="0" w:firstLine="0" w:firstLineChars="0"/>
        <w:rPr>
          <w:rFonts w:hint="eastAsia" w:ascii="宋体" w:hAnsi="宋体" w:eastAsia="宋体" w:cs="宋体"/>
          <w:b/>
          <w:bCs w:val="0"/>
          <w:color w:val="auto"/>
          <w:sz w:val="24"/>
          <w:szCs w:val="24"/>
          <w:lang w:val="en-US" w:eastAsia="zh-CN"/>
        </w:rPr>
      </w:pPr>
    </w:p>
    <w:p w14:paraId="312C67C4">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eastAsia="zh-CN"/>
        </w:rPr>
        <w:t>单</w:t>
      </w:r>
      <w:r>
        <w:rPr>
          <w:rFonts w:hint="eastAsia" w:ascii="宋体" w:hAnsi="宋体" w:eastAsia="宋体" w:cs="宋体"/>
          <w:b/>
          <w:bCs w:val="0"/>
          <w:color w:val="auto"/>
          <w:sz w:val="24"/>
          <w:szCs w:val="24"/>
        </w:rPr>
        <w:t>位</w:t>
      </w:r>
      <w:r>
        <w:rPr>
          <w:rFonts w:hint="eastAsia" w:ascii="宋体" w:hAnsi="宋体" w:eastAsia="宋体" w:cs="宋体"/>
          <w:b/>
          <w:bCs w:val="0"/>
          <w:color w:val="auto"/>
          <w:sz w:val="24"/>
          <w:szCs w:val="24"/>
          <w:lang w:eastAsia="zh-CN"/>
        </w:rPr>
        <w:t>名称</w:t>
      </w: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rPr>
        <w:t>（公章）</w:t>
      </w:r>
    </w:p>
    <w:p w14:paraId="015A9B5D">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法定代表人或委托代理人：</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rPr>
        <w:t>（签字或盖章）</w:t>
      </w:r>
    </w:p>
    <w:p w14:paraId="4C1B406A">
      <w:pPr>
        <w:keepNext w:val="0"/>
        <w:keepLines w:val="0"/>
        <w:pageBreakBefore w:val="0"/>
        <w:widowControl w:val="0"/>
        <w:kinsoku/>
        <w:wordWrap/>
        <w:overflowPunct/>
        <w:topLinePunct w:val="0"/>
        <w:autoSpaceDE w:val="0"/>
        <w:autoSpaceDN w:val="0"/>
        <w:bidi w:val="0"/>
        <w:adjustRightInd/>
        <w:snapToGrid/>
        <w:spacing w:line="360" w:lineRule="auto"/>
        <w:ind w:left="0" w:leftChars="0"/>
        <w:jc w:val="center"/>
        <w:outlineLvl w:val="9"/>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rPr>
        <w:t xml:space="preserve">年   月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 xml:space="preserve"> 日</w:t>
      </w:r>
    </w:p>
    <w:p w14:paraId="0E94EB50">
      <w:pPr>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br w:type="page"/>
      </w:r>
    </w:p>
    <w:p w14:paraId="5897B163">
      <w:pPr>
        <w:keepNext w:val="0"/>
        <w:keepLines w:val="0"/>
        <w:widowControl/>
        <w:suppressLineNumbers w:val="0"/>
        <w:jc w:val="center"/>
        <w:rPr>
          <w:rFonts w:hint="eastAsia" w:ascii="宋体" w:hAnsi="宋体" w:eastAsia="宋体" w:cs="宋体"/>
          <w:color w:val="auto"/>
          <w:sz w:val="28"/>
          <w:szCs w:val="28"/>
        </w:rPr>
      </w:pPr>
      <w:r>
        <w:rPr>
          <w:rFonts w:hint="eastAsia" w:ascii="宋体" w:hAnsi="宋体" w:eastAsia="宋体" w:cs="宋体"/>
          <w:b/>
          <w:bCs/>
          <w:color w:val="auto"/>
          <w:kern w:val="0"/>
          <w:sz w:val="28"/>
          <w:szCs w:val="28"/>
          <w:lang w:val="en-US" w:eastAsia="zh-CN" w:bidi="ar"/>
        </w:rPr>
        <w:t>拟派项目经理无在建项目承诺书</w:t>
      </w:r>
    </w:p>
    <w:p w14:paraId="2BE7DEAE">
      <w:pPr>
        <w:pStyle w:val="56"/>
        <w:spacing w:line="520" w:lineRule="exact"/>
        <w:jc w:val="center"/>
        <w:rPr>
          <w:rStyle w:val="22"/>
          <w:rFonts w:hint="eastAsia" w:ascii="宋体" w:hAnsi="宋体" w:eastAsia="宋体" w:cs="宋体"/>
          <w:b/>
          <w:bCs/>
          <w:color w:val="auto"/>
          <w:kern w:val="0"/>
          <w:sz w:val="28"/>
          <w:szCs w:val="28"/>
        </w:rPr>
      </w:pPr>
    </w:p>
    <w:p w14:paraId="7005A221">
      <w:pPr>
        <w:pStyle w:val="56"/>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b/>
          <w:bCs/>
          <w:color w:val="auto"/>
          <w:kern w:val="0"/>
          <w:sz w:val="28"/>
          <w:szCs w:val="28"/>
        </w:rPr>
        <w:t>拟派项目经理无在建项目承诺书</w:t>
      </w:r>
      <w:r>
        <w:rPr>
          <w:rStyle w:val="22"/>
          <w:rFonts w:hint="eastAsia" w:ascii="宋体" w:hAnsi="宋体" w:eastAsia="宋体" w:cs="宋体"/>
          <w:color w:val="auto"/>
          <w:sz w:val="28"/>
          <w:szCs w:val="28"/>
        </w:rPr>
        <w:t>（参考格式）</w:t>
      </w:r>
    </w:p>
    <w:p w14:paraId="738E78A8">
      <w:pPr>
        <w:pStyle w:val="56"/>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r>
        <w:rPr>
          <w:rStyle w:val="22"/>
          <w:rFonts w:hint="eastAsia" w:ascii="宋体" w:hAnsi="宋体" w:eastAsia="宋体" w:cs="宋体"/>
          <w:color w:val="auto"/>
          <w:sz w:val="24"/>
          <w:szCs w:val="24"/>
          <w:lang w:val="en-US" w:eastAsia="zh-CN"/>
        </w:rPr>
        <w:t>采购</w:t>
      </w:r>
      <w:r>
        <w:rPr>
          <w:rStyle w:val="22"/>
          <w:rFonts w:hint="eastAsia" w:ascii="宋体" w:hAnsi="宋体" w:eastAsia="宋体" w:cs="宋体"/>
          <w:color w:val="auto"/>
          <w:sz w:val="24"/>
          <w:szCs w:val="24"/>
        </w:rPr>
        <w:t>人名称）：</w:t>
      </w:r>
    </w:p>
    <w:p w14:paraId="5879A6DF">
      <w:pPr>
        <w:pStyle w:val="56"/>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我方在此声明，我方拟派往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（项目名称）(以下简称“本工程”)的项目经理</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(项目经理姓名)身份证号码:</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，注册证书号码:</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，现阶段没有担任任何在施建设工程项目的项目经理。</w:t>
      </w:r>
    </w:p>
    <w:p w14:paraId="09AC0364">
      <w:pPr>
        <w:pStyle w:val="56"/>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我方保证上述信息的真实和准确，并愿意承担因我方就此弄虚作假所引起的一切法律后果。</w:t>
      </w:r>
    </w:p>
    <w:p w14:paraId="7B5CC62E">
      <w:pPr>
        <w:pStyle w:val="56"/>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特此承诺。</w:t>
      </w:r>
    </w:p>
    <w:p w14:paraId="290D0FA3">
      <w:pPr>
        <w:pStyle w:val="56"/>
        <w:spacing w:line="520" w:lineRule="exact"/>
        <w:jc w:val="left"/>
        <w:rPr>
          <w:rStyle w:val="22"/>
          <w:rFonts w:hint="eastAsia" w:ascii="宋体" w:hAnsi="宋体" w:eastAsia="宋体" w:cs="宋体"/>
          <w:color w:val="auto"/>
          <w:sz w:val="24"/>
          <w:szCs w:val="24"/>
        </w:rPr>
      </w:pPr>
    </w:p>
    <w:p w14:paraId="4A0F1D2B">
      <w:pPr>
        <w:pStyle w:val="56"/>
        <w:spacing w:line="520" w:lineRule="exact"/>
        <w:jc w:val="left"/>
        <w:rPr>
          <w:rStyle w:val="22"/>
          <w:rFonts w:hint="eastAsia" w:ascii="宋体" w:hAnsi="宋体" w:eastAsia="宋体" w:cs="宋体"/>
          <w:color w:val="auto"/>
          <w:sz w:val="24"/>
          <w:szCs w:val="24"/>
        </w:rPr>
      </w:pPr>
    </w:p>
    <w:p w14:paraId="7D89BBEF">
      <w:pPr>
        <w:pStyle w:val="56"/>
        <w:spacing w:line="520" w:lineRule="exact"/>
        <w:jc w:val="left"/>
        <w:rPr>
          <w:rStyle w:val="22"/>
          <w:rFonts w:hint="eastAsia" w:ascii="宋体" w:hAnsi="宋体" w:eastAsia="宋体" w:cs="宋体"/>
          <w:color w:val="auto"/>
          <w:sz w:val="24"/>
          <w:szCs w:val="24"/>
        </w:rPr>
      </w:pPr>
    </w:p>
    <w:p w14:paraId="545E66B6">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eastAsia="zh-CN"/>
        </w:rPr>
        <w:t>单</w:t>
      </w:r>
      <w:r>
        <w:rPr>
          <w:rFonts w:hint="eastAsia" w:ascii="宋体" w:hAnsi="宋体" w:eastAsia="宋体" w:cs="宋体"/>
          <w:b/>
          <w:bCs w:val="0"/>
          <w:color w:val="auto"/>
          <w:sz w:val="24"/>
          <w:szCs w:val="24"/>
        </w:rPr>
        <w:t>位</w:t>
      </w:r>
      <w:r>
        <w:rPr>
          <w:rFonts w:hint="eastAsia" w:ascii="宋体" w:hAnsi="宋体" w:eastAsia="宋体" w:cs="宋体"/>
          <w:b/>
          <w:bCs w:val="0"/>
          <w:color w:val="auto"/>
          <w:sz w:val="24"/>
          <w:szCs w:val="24"/>
          <w:lang w:eastAsia="zh-CN"/>
        </w:rPr>
        <w:t>名称</w:t>
      </w: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rPr>
        <w:t>（公章）</w:t>
      </w:r>
    </w:p>
    <w:p w14:paraId="679BC509">
      <w:pPr>
        <w:keepNext w:val="0"/>
        <w:keepLines w:val="0"/>
        <w:pageBreakBefore w:val="0"/>
        <w:kinsoku/>
        <w:wordWrap/>
        <w:overflowPunct/>
        <w:topLinePunct w:val="0"/>
        <w:autoSpaceDE/>
        <w:autoSpaceDN/>
        <w:bidi w:val="0"/>
        <w:adjustRightInd/>
        <w:snapToGrid/>
        <w:spacing w:line="360" w:lineRule="auto"/>
        <w:ind w:right="0" w:firstLine="482" w:firstLineChars="200"/>
        <w:jc w:val="center"/>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法定代表人或委托代理人：</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rPr>
        <w:t>（签字或盖章）</w:t>
      </w:r>
    </w:p>
    <w:p w14:paraId="6E8CB218">
      <w:pPr>
        <w:keepNext w:val="0"/>
        <w:keepLines w:val="0"/>
        <w:pageBreakBefore w:val="0"/>
        <w:kinsoku/>
        <w:wordWrap/>
        <w:overflowPunct/>
        <w:topLinePunct w:val="0"/>
        <w:bidi w:val="0"/>
        <w:adjustRightInd/>
        <w:snapToGrid/>
        <w:spacing w:line="360" w:lineRule="auto"/>
        <w:ind w:left="0" w:leftChars="0"/>
        <w:jc w:val="center"/>
        <w:rPr>
          <w:rStyle w:val="22"/>
          <w:rFonts w:hint="eastAsia" w:ascii="宋体" w:hAnsi="宋体" w:eastAsia="宋体" w:cs="宋体"/>
          <w:color w:val="auto"/>
          <w:szCs w:val="21"/>
        </w:rPr>
      </w:pPr>
      <w:r>
        <w:rPr>
          <w:rFonts w:hint="eastAsia" w:ascii="宋体" w:hAnsi="宋体" w:eastAsia="宋体" w:cs="宋体"/>
          <w:b/>
          <w:bCs w:val="0"/>
          <w:color w:val="auto"/>
          <w:sz w:val="24"/>
          <w:szCs w:val="24"/>
        </w:rPr>
        <w:t xml:space="preserve">年   月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 xml:space="preserve"> 日</w:t>
      </w:r>
    </w:p>
    <w:p w14:paraId="6070802D">
      <w:pPr>
        <w:keepNext w:val="0"/>
        <w:keepLines w:val="0"/>
        <w:pageBreakBefore w:val="0"/>
        <w:kinsoku/>
        <w:wordWrap/>
        <w:overflowPunct/>
        <w:topLinePunct w:val="0"/>
        <w:bidi w:val="0"/>
        <w:adjustRightInd/>
        <w:snapToGrid/>
        <w:spacing w:line="360" w:lineRule="auto"/>
        <w:ind w:left="0" w:leftChars="0"/>
        <w:rPr>
          <w:rFonts w:hint="eastAsia" w:ascii="宋体" w:hAnsi="宋体" w:eastAsia="宋体" w:cs="宋体"/>
          <w:b/>
          <w:color w:val="auto"/>
          <w:sz w:val="24"/>
        </w:rPr>
      </w:pPr>
      <w:r>
        <w:rPr>
          <w:rFonts w:hint="eastAsia" w:ascii="宋体" w:hAnsi="宋体" w:eastAsia="宋体" w:cs="宋体"/>
          <w:b/>
          <w:color w:val="auto"/>
          <w:sz w:val="24"/>
        </w:rPr>
        <w:br w:type="page"/>
      </w:r>
    </w:p>
    <w:p w14:paraId="60644DBE">
      <w:pPr>
        <w:widowControl/>
        <w:wordWrap/>
        <w:spacing w:before="157" w:beforeLines="50" w:line="560" w:lineRule="exact"/>
        <w:jc w:val="center"/>
        <w:outlineLvl w:val="0"/>
        <w:rPr>
          <w:rFonts w:hint="eastAsia" w:ascii="宋体" w:hAnsi="宋体" w:eastAsia="宋体" w:cs="宋体"/>
          <w:b/>
          <w:bCs/>
          <w:color w:val="auto"/>
          <w:sz w:val="32"/>
          <w:szCs w:val="32"/>
        </w:rPr>
      </w:pPr>
      <w:bookmarkStart w:id="536" w:name="_Toc376936766"/>
      <w:bookmarkStart w:id="537" w:name="_Toc5169"/>
      <w:bookmarkStart w:id="538" w:name="_Toc31166"/>
      <w:bookmarkStart w:id="539" w:name="_Toc24112_WPSOffice_Level1"/>
      <w:bookmarkStart w:id="540" w:name="_Toc7329_WPSOffice_Level1"/>
      <w:bookmarkStart w:id="541" w:name="_Toc5233"/>
      <w:bookmarkStart w:id="542" w:name="_Toc16082_WPSOffice_Level1"/>
      <w:bookmarkStart w:id="543" w:name="_Toc23740"/>
      <w:bookmarkStart w:id="544" w:name="_Toc416183225"/>
      <w:bookmarkStart w:id="545" w:name="_Toc23722_WPSOffice_Level1"/>
      <w:bookmarkStart w:id="546" w:name="_Toc27557_WPSOffice_Level1"/>
      <w:bookmarkStart w:id="547" w:name="_Toc16779_WPSOffice_Level1"/>
      <w:bookmarkStart w:id="548" w:name="_Toc12949996"/>
      <w:r>
        <w:rPr>
          <w:rFonts w:hint="eastAsia" w:ascii="宋体" w:hAnsi="宋体" w:eastAsia="宋体" w:cs="宋体"/>
          <w:b/>
          <w:bCs/>
          <w:color w:val="auto"/>
          <w:sz w:val="32"/>
          <w:szCs w:val="32"/>
          <w:lang w:eastAsia="zh-CN"/>
        </w:rPr>
        <w:t>第五部分</w:t>
      </w:r>
      <w:r>
        <w:rPr>
          <w:rFonts w:hint="eastAsia" w:ascii="宋体" w:hAnsi="宋体" w:eastAsia="宋体" w:cs="宋体"/>
          <w:b/>
          <w:bCs/>
          <w:color w:val="auto"/>
          <w:sz w:val="32"/>
          <w:szCs w:val="32"/>
        </w:rPr>
        <w:t xml:space="preserve"> </w:t>
      </w:r>
      <w:bookmarkEnd w:id="536"/>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青海省政府采购项目合同书</w:t>
      </w:r>
      <w:bookmarkEnd w:id="537"/>
      <w:bookmarkEnd w:id="538"/>
      <w:bookmarkEnd w:id="539"/>
      <w:bookmarkEnd w:id="540"/>
    </w:p>
    <w:bookmarkEnd w:id="541"/>
    <w:bookmarkEnd w:id="542"/>
    <w:bookmarkEnd w:id="543"/>
    <w:bookmarkEnd w:id="544"/>
    <w:bookmarkEnd w:id="545"/>
    <w:bookmarkEnd w:id="546"/>
    <w:bookmarkEnd w:id="547"/>
    <w:bookmarkEnd w:id="548"/>
    <w:p w14:paraId="7117FC76">
      <w:pPr>
        <w:keepNext w:val="0"/>
        <w:keepLines w:val="0"/>
        <w:pageBreakBefore w:val="0"/>
        <w:widowControl w:val="0"/>
        <w:kinsoku/>
        <w:wordWrap/>
        <w:overflowPunct/>
        <w:topLinePunct w:val="0"/>
        <w:autoSpaceDE w:val="0"/>
        <w:autoSpaceDN w:val="0"/>
        <w:bidi w:val="0"/>
        <w:adjustRightInd/>
        <w:snapToGrid/>
        <w:spacing w:line="360" w:lineRule="auto"/>
        <w:textAlignment w:val="auto"/>
        <w:rPr>
          <w:rStyle w:val="51"/>
          <w:rFonts w:hint="eastAsia" w:ascii="宋体" w:hAnsi="宋体" w:eastAsia="宋体" w:cs="宋体"/>
          <w:b/>
          <w:color w:val="auto"/>
          <w:kern w:val="2"/>
          <w:sz w:val="28"/>
          <w:szCs w:val="28"/>
        </w:rPr>
      </w:pPr>
      <w:r>
        <w:rPr>
          <w:rStyle w:val="51"/>
          <w:rFonts w:hint="eastAsia" w:ascii="宋体" w:hAnsi="宋体" w:eastAsia="宋体" w:cs="宋体"/>
          <w:b/>
          <w:color w:val="auto"/>
          <w:kern w:val="2"/>
          <w:sz w:val="28"/>
          <w:szCs w:val="28"/>
        </w:rPr>
        <w:t>付款方式：签订合同时约定</w:t>
      </w:r>
    </w:p>
    <w:p w14:paraId="0DD4F811">
      <w:pPr>
        <w:pStyle w:val="2"/>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color w:val="auto"/>
          <w:lang w:val="en-US" w:eastAsia="zh-CN"/>
        </w:rPr>
      </w:pPr>
      <w:r>
        <w:rPr>
          <w:rStyle w:val="51"/>
          <w:rFonts w:hint="eastAsia" w:ascii="宋体" w:hAnsi="宋体" w:eastAsia="宋体" w:cs="宋体"/>
          <w:b/>
          <w:color w:val="auto"/>
          <w:kern w:val="2"/>
          <w:sz w:val="28"/>
          <w:szCs w:val="28"/>
          <w:lang w:val="en-US" w:eastAsia="zh-CN"/>
        </w:rPr>
        <w:t>合同编号：QHDZ-2025-034</w:t>
      </w:r>
    </w:p>
    <w:p w14:paraId="463202B4">
      <w:pPr>
        <w:rPr>
          <w:rStyle w:val="51"/>
          <w:rFonts w:hint="eastAsia" w:ascii="宋体" w:hAnsi="宋体" w:eastAsia="宋体" w:cs="宋体"/>
          <w:b/>
          <w:color w:val="auto"/>
          <w:kern w:val="2"/>
          <w:sz w:val="32"/>
          <w:szCs w:val="32"/>
        </w:rPr>
      </w:pPr>
      <w:r>
        <w:rPr>
          <w:rStyle w:val="51"/>
          <w:rFonts w:hint="eastAsia" w:ascii="宋体" w:hAnsi="宋体" w:eastAsia="宋体" w:cs="宋体"/>
          <w:b/>
          <w:color w:val="auto"/>
          <w:kern w:val="2"/>
          <w:sz w:val="32"/>
          <w:szCs w:val="32"/>
        </w:rPr>
        <w:br w:type="page"/>
      </w:r>
    </w:p>
    <w:p w14:paraId="115D16EA">
      <w:pPr>
        <w:pStyle w:val="52"/>
        <w:spacing w:line="520" w:lineRule="exact"/>
        <w:jc w:val="left"/>
        <w:rPr>
          <w:rStyle w:val="22"/>
          <w:rFonts w:hint="eastAsia" w:ascii="宋体" w:hAnsi="宋体" w:eastAsia="宋体" w:cs="宋体"/>
          <w:bCs/>
          <w:color w:val="auto"/>
          <w:sz w:val="32"/>
          <w:szCs w:val="32"/>
        </w:rPr>
      </w:pPr>
      <w:r>
        <w:rPr>
          <w:rStyle w:val="22"/>
          <w:rFonts w:hint="eastAsia" w:ascii="宋体" w:hAnsi="宋体" w:eastAsia="宋体" w:cs="宋体"/>
          <w:bCs/>
          <w:color w:val="auto"/>
          <w:sz w:val="32"/>
          <w:szCs w:val="32"/>
        </w:rPr>
        <w:t>（GF—2017—0201）</w:t>
      </w:r>
    </w:p>
    <w:p w14:paraId="05EF6122">
      <w:pPr>
        <w:pStyle w:val="52"/>
        <w:spacing w:line="520" w:lineRule="exact"/>
        <w:jc w:val="center"/>
        <w:rPr>
          <w:rStyle w:val="22"/>
          <w:rFonts w:hint="eastAsia" w:ascii="宋体" w:hAnsi="宋体" w:eastAsia="宋体" w:cs="宋体"/>
          <w:b/>
          <w:color w:val="auto"/>
          <w:sz w:val="52"/>
          <w:szCs w:val="52"/>
        </w:rPr>
      </w:pPr>
    </w:p>
    <w:p w14:paraId="3352586A">
      <w:pPr>
        <w:pStyle w:val="52"/>
        <w:spacing w:line="520" w:lineRule="exact"/>
        <w:jc w:val="center"/>
        <w:rPr>
          <w:rStyle w:val="22"/>
          <w:rFonts w:hint="eastAsia" w:ascii="宋体" w:hAnsi="宋体" w:eastAsia="宋体" w:cs="宋体"/>
          <w:b/>
          <w:color w:val="auto"/>
          <w:sz w:val="52"/>
          <w:szCs w:val="52"/>
        </w:rPr>
      </w:pPr>
    </w:p>
    <w:p w14:paraId="0C3101C3">
      <w:pPr>
        <w:pStyle w:val="52"/>
        <w:spacing w:line="520" w:lineRule="exact"/>
        <w:jc w:val="center"/>
        <w:rPr>
          <w:rStyle w:val="22"/>
          <w:rFonts w:hint="eastAsia" w:ascii="宋体" w:hAnsi="宋体" w:eastAsia="宋体" w:cs="宋体"/>
          <w:b/>
          <w:color w:val="auto"/>
          <w:sz w:val="52"/>
          <w:szCs w:val="52"/>
        </w:rPr>
      </w:pPr>
    </w:p>
    <w:p w14:paraId="48DC1FA7">
      <w:pPr>
        <w:pStyle w:val="52"/>
        <w:spacing w:line="520" w:lineRule="exact"/>
        <w:jc w:val="center"/>
        <w:rPr>
          <w:rStyle w:val="22"/>
          <w:rFonts w:hint="eastAsia" w:ascii="宋体" w:hAnsi="宋体" w:eastAsia="宋体" w:cs="宋体"/>
          <w:b/>
          <w:color w:val="auto"/>
          <w:sz w:val="52"/>
          <w:szCs w:val="52"/>
        </w:rPr>
      </w:pPr>
    </w:p>
    <w:p w14:paraId="1AF4783C">
      <w:pPr>
        <w:pStyle w:val="52"/>
        <w:spacing w:line="520" w:lineRule="exact"/>
        <w:jc w:val="center"/>
        <w:rPr>
          <w:rStyle w:val="22"/>
          <w:rFonts w:hint="eastAsia" w:ascii="宋体" w:hAnsi="宋体" w:eastAsia="宋体" w:cs="宋体"/>
          <w:b/>
          <w:color w:val="auto"/>
          <w:sz w:val="52"/>
          <w:szCs w:val="52"/>
        </w:rPr>
      </w:pPr>
      <w:r>
        <w:rPr>
          <w:rStyle w:val="22"/>
          <w:rFonts w:hint="eastAsia" w:ascii="宋体" w:hAnsi="宋体" w:eastAsia="宋体" w:cs="宋体"/>
          <w:b/>
          <w:color w:val="auto"/>
          <w:sz w:val="52"/>
          <w:szCs w:val="52"/>
        </w:rPr>
        <w:t>建设工程施工合同</w:t>
      </w:r>
      <w:r>
        <w:rPr>
          <w:rStyle w:val="22"/>
          <w:rFonts w:hint="eastAsia" w:ascii="宋体" w:hAnsi="宋体" w:eastAsia="宋体" w:cs="宋体"/>
          <w:b/>
          <w:color w:val="auto"/>
          <w:sz w:val="52"/>
          <w:szCs w:val="52"/>
        </w:rPr>
        <w:br w:type="textWrapping"/>
      </w:r>
      <w:r>
        <w:rPr>
          <w:rStyle w:val="22"/>
          <w:rFonts w:hint="eastAsia" w:ascii="宋体" w:hAnsi="宋体" w:eastAsia="宋体" w:cs="宋体"/>
          <w:b/>
          <w:color w:val="auto"/>
          <w:sz w:val="52"/>
          <w:szCs w:val="52"/>
        </w:rPr>
        <w:t>（示范文本）</w:t>
      </w:r>
    </w:p>
    <w:p w14:paraId="232F138F">
      <w:pPr>
        <w:pStyle w:val="52"/>
        <w:spacing w:line="520" w:lineRule="exact"/>
        <w:jc w:val="center"/>
        <w:rPr>
          <w:rStyle w:val="22"/>
          <w:rFonts w:hint="eastAsia" w:ascii="宋体" w:hAnsi="宋体" w:eastAsia="宋体" w:cs="宋体"/>
          <w:b/>
          <w:color w:val="auto"/>
          <w:sz w:val="52"/>
          <w:szCs w:val="52"/>
        </w:rPr>
      </w:pPr>
    </w:p>
    <w:p w14:paraId="103C4749">
      <w:pPr>
        <w:pStyle w:val="52"/>
        <w:spacing w:line="520" w:lineRule="exact"/>
        <w:jc w:val="center"/>
        <w:rPr>
          <w:rStyle w:val="22"/>
          <w:rFonts w:hint="eastAsia" w:ascii="宋体" w:hAnsi="宋体" w:eastAsia="宋体" w:cs="宋体"/>
          <w:b/>
          <w:color w:val="auto"/>
          <w:sz w:val="52"/>
          <w:szCs w:val="52"/>
        </w:rPr>
      </w:pPr>
    </w:p>
    <w:p w14:paraId="72076E24">
      <w:pPr>
        <w:pStyle w:val="52"/>
        <w:spacing w:line="520" w:lineRule="exact"/>
        <w:jc w:val="center"/>
        <w:rPr>
          <w:rStyle w:val="22"/>
          <w:rFonts w:hint="eastAsia" w:ascii="宋体" w:hAnsi="宋体" w:eastAsia="宋体" w:cs="宋体"/>
          <w:b/>
          <w:color w:val="auto"/>
          <w:sz w:val="72"/>
          <w:szCs w:val="72"/>
        </w:rPr>
      </w:pPr>
    </w:p>
    <w:p w14:paraId="6AA2B545">
      <w:pPr>
        <w:pStyle w:val="52"/>
        <w:spacing w:line="520" w:lineRule="exact"/>
        <w:rPr>
          <w:rStyle w:val="22"/>
          <w:rFonts w:hint="eastAsia" w:ascii="宋体" w:hAnsi="宋体" w:eastAsia="宋体" w:cs="宋体"/>
          <w:b/>
          <w:color w:val="auto"/>
          <w:sz w:val="28"/>
          <w:szCs w:val="28"/>
        </w:rPr>
      </w:pPr>
    </w:p>
    <w:p w14:paraId="7F4B9213">
      <w:pPr>
        <w:pStyle w:val="52"/>
        <w:spacing w:line="520" w:lineRule="exact"/>
        <w:rPr>
          <w:rStyle w:val="22"/>
          <w:rFonts w:hint="eastAsia" w:ascii="宋体" w:hAnsi="宋体" w:eastAsia="宋体" w:cs="宋体"/>
          <w:b/>
          <w:color w:val="auto"/>
          <w:sz w:val="28"/>
          <w:szCs w:val="28"/>
        </w:rPr>
      </w:pPr>
    </w:p>
    <w:p w14:paraId="695045E1">
      <w:pPr>
        <w:pStyle w:val="52"/>
        <w:spacing w:line="520" w:lineRule="exact"/>
        <w:rPr>
          <w:rStyle w:val="22"/>
          <w:rFonts w:hint="eastAsia" w:ascii="宋体" w:hAnsi="宋体" w:eastAsia="宋体" w:cs="宋体"/>
          <w:b/>
          <w:color w:val="auto"/>
          <w:sz w:val="28"/>
          <w:szCs w:val="28"/>
        </w:rPr>
      </w:pPr>
    </w:p>
    <w:p w14:paraId="49C0F857">
      <w:pPr>
        <w:pStyle w:val="52"/>
        <w:spacing w:line="520" w:lineRule="exact"/>
        <w:ind w:right="2719" w:rightChars="1295" w:firstLine="2738" w:firstLineChars="1304"/>
        <w:jc w:val="distribute"/>
        <w:rPr>
          <w:rStyle w:val="22"/>
          <w:rFonts w:hint="eastAsia" w:ascii="宋体" w:hAnsi="宋体" w:eastAsia="宋体" w:cs="宋体"/>
          <w:b/>
          <w:color w:val="auto"/>
          <w:sz w:val="32"/>
          <w:szCs w:val="28"/>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6BE564BB">
                            <w:pPr>
                              <w:pStyle w:val="52"/>
                              <w:rPr>
                                <w:rStyle w:val="22"/>
                                <w:rFonts w:hint="eastAsia"/>
                                <w:b/>
                                <w:bCs/>
                                <w:sz w:val="32"/>
                              </w:rPr>
                            </w:pPr>
                            <w:r>
                              <w:rPr>
                                <w:rStyle w:val="22"/>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BMA6w8EAgAADAQAAA4AAAAAAAAAAQAgAAAAJwEA&#10;AGRycy9lMm9Eb2MueG1sUEsFBgAAAAAGAAYAWQEAAJ0FAAAAAA==&#10;">
                <v:fill on="f" focussize="0,0"/>
                <v:stroke color="#FFFFFF" joinstyle="miter"/>
                <v:imagedata o:title=""/>
                <o:lock v:ext="edit" aspectratio="f"/>
                <v:textbox>
                  <w:txbxContent>
                    <w:p w14:paraId="6BE564BB">
                      <w:pPr>
                        <w:pStyle w:val="52"/>
                        <w:rPr>
                          <w:rStyle w:val="22"/>
                          <w:rFonts w:hint="eastAsia"/>
                          <w:b/>
                          <w:bCs/>
                          <w:sz w:val="32"/>
                        </w:rPr>
                      </w:pPr>
                      <w:r>
                        <w:rPr>
                          <w:rStyle w:val="22"/>
                          <w:rFonts w:hint="eastAsia"/>
                          <w:b/>
                          <w:bCs/>
                          <w:sz w:val="32"/>
                        </w:rPr>
                        <w:t>制定</w:t>
                      </w:r>
                    </w:p>
                  </w:txbxContent>
                </v:textbox>
              </v:shape>
            </w:pict>
          </mc:Fallback>
        </mc:AlternateContent>
      </w:r>
      <w:r>
        <w:rPr>
          <w:rStyle w:val="22"/>
          <w:rFonts w:hint="eastAsia" w:ascii="宋体" w:hAnsi="宋体" w:eastAsia="宋体" w:cs="宋体"/>
          <w:b/>
          <w:color w:val="auto"/>
          <w:sz w:val="32"/>
          <w:szCs w:val="28"/>
        </w:rPr>
        <w:t>住房城乡建设部</w:t>
      </w:r>
    </w:p>
    <w:p w14:paraId="18B0B6E6">
      <w:pPr>
        <w:pStyle w:val="52"/>
        <w:spacing w:line="520" w:lineRule="exact"/>
        <w:ind w:right="2719" w:rightChars="1295" w:firstLine="2249" w:firstLineChars="700"/>
        <w:jc w:val="both"/>
        <w:rPr>
          <w:rStyle w:val="22"/>
          <w:rFonts w:hint="eastAsia" w:ascii="宋体" w:hAnsi="宋体" w:eastAsia="宋体" w:cs="宋体"/>
          <w:b/>
          <w:color w:val="auto"/>
          <w:sz w:val="32"/>
          <w:szCs w:val="28"/>
        </w:rPr>
      </w:pPr>
      <w:r>
        <w:rPr>
          <w:rStyle w:val="22"/>
          <w:rFonts w:hint="eastAsia" w:ascii="宋体" w:hAnsi="宋体" w:eastAsia="宋体" w:cs="宋体"/>
          <w:b/>
          <w:color w:val="auto"/>
          <w:sz w:val="32"/>
          <w:szCs w:val="28"/>
        </w:rPr>
        <w:t>国家工商行政管理总局</w:t>
      </w:r>
    </w:p>
    <w:p w14:paraId="13D54454">
      <w:pPr>
        <w:pStyle w:val="52"/>
        <w:spacing w:line="520" w:lineRule="exact"/>
        <w:rPr>
          <w:rStyle w:val="22"/>
          <w:rFonts w:hint="eastAsia" w:ascii="宋体" w:hAnsi="宋体" w:eastAsia="宋体" w:cs="宋体"/>
          <w:b/>
          <w:color w:val="auto"/>
        </w:rPr>
      </w:pPr>
    </w:p>
    <w:p w14:paraId="2DEFE3D0">
      <w:pPr>
        <w:pStyle w:val="53"/>
        <w:rPr>
          <w:rStyle w:val="22"/>
          <w:rFonts w:hint="eastAsia" w:ascii="宋体" w:hAnsi="宋体" w:eastAsia="宋体" w:cs="宋体"/>
          <w:color w:val="auto"/>
          <w:lang w:val="zh-CN"/>
        </w:rPr>
      </w:pPr>
      <w:r>
        <w:rPr>
          <w:rStyle w:val="22"/>
          <w:rFonts w:hint="eastAsia" w:ascii="宋体" w:hAnsi="宋体" w:eastAsia="宋体" w:cs="宋体"/>
          <w:color w:val="auto"/>
          <w:lang w:val="zh-CN"/>
        </w:rPr>
        <w:t>说  明</w:t>
      </w:r>
    </w:p>
    <w:p w14:paraId="0711BC3B">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为了指导建设工程施工合同当事人的签约行为，维护合同当事人的合法权益，依据《</w:t>
      </w:r>
      <w:r>
        <w:rPr>
          <w:rStyle w:val="22"/>
          <w:rFonts w:hint="eastAsia" w:ascii="宋体" w:hAnsi="宋体" w:eastAsia="宋体" w:cs="宋体"/>
          <w:color w:val="auto"/>
          <w:sz w:val="24"/>
          <w:szCs w:val="24"/>
        </w:rPr>
        <w:t>中华人民共和国</w:t>
      </w:r>
      <w:r>
        <w:rPr>
          <w:rStyle w:val="22"/>
          <w:rFonts w:hint="eastAsia" w:ascii="宋体" w:hAnsi="宋体" w:eastAsia="宋体" w:cs="宋体"/>
          <w:color w:val="auto"/>
          <w:sz w:val="24"/>
          <w:szCs w:val="24"/>
          <w:lang w:val="en-US" w:eastAsia="zh-CN"/>
        </w:rPr>
        <w:t>民法典</w:t>
      </w:r>
      <w:r>
        <w:rPr>
          <w:rStyle w:val="22"/>
          <w:rFonts w:hint="eastAsia" w:ascii="宋体" w:hAnsi="宋体" w:eastAsia="宋体" w:cs="宋体"/>
          <w:color w:val="auto"/>
          <w:sz w:val="24"/>
          <w:szCs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02BBF451">
      <w:pPr>
        <w:pStyle w:val="52"/>
        <w:spacing w:line="520" w:lineRule="exact"/>
        <w:ind w:firstLine="480" w:firstLineChars="200"/>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一、《示范文本》的组成</w:t>
      </w:r>
    </w:p>
    <w:p w14:paraId="0F82E2F6">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《示范文本》由合同协议书、通用合同条款和专用合同条款三部分组成。</w:t>
      </w:r>
    </w:p>
    <w:p w14:paraId="3FB4922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（一）合同协议书</w:t>
      </w:r>
    </w:p>
    <w:p w14:paraId="34D5F8ED">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39505A2B">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（二）通用合同条款</w:t>
      </w:r>
    </w:p>
    <w:p w14:paraId="151D596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通用合同条款是合同当事人根据《中华人民共和国建筑法》、《</w:t>
      </w:r>
      <w:r>
        <w:rPr>
          <w:rStyle w:val="22"/>
          <w:rFonts w:hint="eastAsia" w:ascii="宋体" w:hAnsi="宋体" w:eastAsia="宋体" w:cs="宋体"/>
          <w:color w:val="auto"/>
          <w:sz w:val="24"/>
          <w:szCs w:val="24"/>
          <w:lang w:eastAsia="zh-CN"/>
        </w:rPr>
        <w:t>中华人民共和国明法典</w:t>
      </w:r>
      <w:r>
        <w:rPr>
          <w:rStyle w:val="22"/>
          <w:rFonts w:hint="eastAsia" w:ascii="宋体" w:hAnsi="宋体" w:eastAsia="宋体" w:cs="宋体"/>
          <w:color w:val="auto"/>
          <w:sz w:val="24"/>
          <w:szCs w:val="24"/>
        </w:rPr>
        <w:t>》等法律法规的规定，就工程建设的实施及相关事项，对合同当事人的权利义务作出的原则性约定。</w:t>
      </w:r>
    </w:p>
    <w:p w14:paraId="35F48D5B">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87DEC5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（三）专用合同条款</w:t>
      </w:r>
    </w:p>
    <w:p w14:paraId="27E9EFD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56124A8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1.专用合同条款的编号应与相应的通用合同条款的编号一致；</w:t>
      </w:r>
    </w:p>
    <w:p w14:paraId="3EDBE19D">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2.合同当事人可以通过对专用合同条款的修改，满足具体建设工程的特殊要求，避免直接修改通用合同条款；</w:t>
      </w:r>
    </w:p>
    <w:p w14:paraId="596B8A9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3.在专用合同条款中有横道线的地方，合同当事人可针对相应的通用合同条款进行细化、完善、补充、修改或另行约定；如无细化、完善、补充、修改或另行约定，则填写“无”或划“/”。</w:t>
      </w:r>
    </w:p>
    <w:p w14:paraId="3F47CA38">
      <w:pPr>
        <w:pStyle w:val="52"/>
        <w:spacing w:line="520" w:lineRule="exact"/>
        <w:ind w:firstLine="480" w:firstLineChars="200"/>
        <w:rPr>
          <w:rStyle w:val="22"/>
          <w:rFonts w:hint="eastAsia" w:ascii="宋体" w:hAnsi="宋体" w:eastAsia="宋体" w:cs="宋体"/>
          <w:b/>
          <w:color w:val="auto"/>
          <w:sz w:val="24"/>
          <w:szCs w:val="24"/>
        </w:rPr>
      </w:pPr>
      <w:r>
        <w:rPr>
          <w:rStyle w:val="22"/>
          <w:rFonts w:hint="eastAsia" w:ascii="宋体" w:hAnsi="宋体" w:eastAsia="宋体" w:cs="宋体"/>
          <w:bCs/>
          <w:color w:val="auto"/>
          <w:sz w:val="24"/>
          <w:szCs w:val="24"/>
        </w:rPr>
        <w:t>二、《示范文本》的性质和适用范围</w:t>
      </w:r>
    </w:p>
    <w:p w14:paraId="67CDCCE1">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572504B9">
      <w:pPr>
        <w:pStyle w:val="52"/>
        <w:keepNext/>
        <w:keepLines/>
        <w:pageBreakBefore/>
        <w:spacing w:line="520" w:lineRule="exact"/>
        <w:jc w:val="center"/>
        <w:rPr>
          <w:rStyle w:val="22"/>
          <w:rFonts w:hint="eastAsia" w:ascii="宋体" w:hAnsi="宋体" w:eastAsia="宋体" w:cs="宋体"/>
          <w:color w:val="auto"/>
          <w:sz w:val="44"/>
          <w:szCs w:val="44"/>
        </w:rPr>
      </w:pPr>
      <w:r>
        <w:rPr>
          <w:rStyle w:val="22"/>
          <w:rFonts w:hint="eastAsia" w:ascii="宋体" w:hAnsi="宋体" w:eastAsia="宋体" w:cs="宋体"/>
          <w:color w:val="auto"/>
          <w:sz w:val="44"/>
          <w:szCs w:val="44"/>
        </w:rPr>
        <w:t>第一部分 合同协议书</w:t>
      </w:r>
    </w:p>
    <w:p w14:paraId="4E2A264C">
      <w:pPr>
        <w:pStyle w:val="52"/>
        <w:spacing w:line="520" w:lineRule="exact"/>
        <w:jc w:val="center"/>
        <w:rPr>
          <w:rStyle w:val="22"/>
          <w:rFonts w:hint="eastAsia" w:ascii="宋体" w:hAnsi="宋体" w:eastAsia="宋体" w:cs="宋体"/>
          <w:b/>
          <w:bCs/>
          <w:color w:val="auto"/>
          <w:sz w:val="24"/>
          <w:szCs w:val="24"/>
        </w:rPr>
      </w:pPr>
      <w:r>
        <w:rPr>
          <w:rStyle w:val="22"/>
          <w:rFonts w:hint="eastAsia" w:ascii="宋体" w:hAnsi="宋体" w:eastAsia="宋体" w:cs="宋体"/>
          <w:b/>
          <w:bCs/>
          <w:color w:val="auto"/>
          <w:sz w:val="24"/>
          <w:szCs w:val="24"/>
        </w:rPr>
        <w:t>第一部分 合同协议书</w:t>
      </w:r>
    </w:p>
    <w:p w14:paraId="4994CF13">
      <w:pPr>
        <w:pStyle w:val="52"/>
        <w:spacing w:line="520" w:lineRule="exact"/>
        <w:rPr>
          <w:rStyle w:val="22"/>
          <w:rFonts w:hint="eastAsia" w:ascii="宋体" w:hAnsi="宋体" w:eastAsia="宋体" w:cs="宋体"/>
          <w:b/>
          <w:color w:val="auto"/>
          <w:sz w:val="24"/>
          <w:szCs w:val="24"/>
          <w:u w:val="single"/>
        </w:rPr>
      </w:pPr>
      <w:r>
        <w:rPr>
          <w:rStyle w:val="22"/>
          <w:rFonts w:hint="eastAsia" w:ascii="宋体" w:hAnsi="宋体" w:eastAsia="宋体" w:cs="宋体"/>
          <w:b/>
          <w:color w:val="auto"/>
          <w:sz w:val="24"/>
          <w:szCs w:val="24"/>
        </w:rPr>
        <w:t>发包人（全称）：</w:t>
      </w:r>
      <w:r>
        <w:rPr>
          <w:rStyle w:val="22"/>
          <w:rFonts w:hint="eastAsia" w:ascii="宋体" w:hAnsi="宋体" w:eastAsia="宋体" w:cs="宋体"/>
          <w:b/>
          <w:color w:val="auto"/>
          <w:sz w:val="24"/>
          <w:szCs w:val="24"/>
          <w:u w:val="single"/>
        </w:rPr>
        <w:t>                       </w:t>
      </w:r>
    </w:p>
    <w:p w14:paraId="24191302">
      <w:pPr>
        <w:pStyle w:val="52"/>
        <w:spacing w:line="520" w:lineRule="exact"/>
        <w:rPr>
          <w:rStyle w:val="22"/>
          <w:rFonts w:hint="eastAsia" w:ascii="宋体" w:hAnsi="宋体" w:eastAsia="宋体" w:cs="宋体"/>
          <w:b/>
          <w:color w:val="auto"/>
          <w:sz w:val="24"/>
          <w:szCs w:val="24"/>
          <w:u w:val="single"/>
        </w:rPr>
      </w:pPr>
      <w:r>
        <w:rPr>
          <w:rStyle w:val="22"/>
          <w:rFonts w:hint="eastAsia" w:ascii="宋体" w:hAnsi="宋体" w:eastAsia="宋体" w:cs="宋体"/>
          <w:b/>
          <w:color w:val="auto"/>
          <w:sz w:val="24"/>
          <w:szCs w:val="24"/>
        </w:rPr>
        <w:t>承包人（全称）：</w:t>
      </w:r>
      <w:r>
        <w:rPr>
          <w:rStyle w:val="22"/>
          <w:rFonts w:hint="eastAsia" w:ascii="宋体" w:hAnsi="宋体" w:eastAsia="宋体" w:cs="宋体"/>
          <w:b/>
          <w:color w:val="auto"/>
          <w:sz w:val="24"/>
          <w:szCs w:val="24"/>
          <w:u w:val="single"/>
        </w:rPr>
        <w:t>                      </w:t>
      </w:r>
    </w:p>
    <w:p w14:paraId="7AE14A1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根据《</w:t>
      </w:r>
      <w:r>
        <w:rPr>
          <w:rStyle w:val="22"/>
          <w:rFonts w:hint="eastAsia" w:ascii="宋体" w:hAnsi="宋体" w:eastAsia="宋体" w:cs="宋体"/>
          <w:color w:val="auto"/>
          <w:sz w:val="24"/>
          <w:szCs w:val="24"/>
          <w:lang w:eastAsia="zh-CN"/>
        </w:rPr>
        <w:t>中华人民共和国明法典</w:t>
      </w:r>
      <w:r>
        <w:rPr>
          <w:rStyle w:val="22"/>
          <w:rFonts w:hint="eastAsia" w:ascii="宋体" w:hAnsi="宋体" w:eastAsia="宋体" w:cs="宋体"/>
          <w:color w:val="auto"/>
          <w:sz w:val="24"/>
          <w:szCs w:val="24"/>
        </w:rPr>
        <w:t>》、《中华人民共和国建筑法》及有关法律规定，遵循平等、自愿、公平和诚实信用的原则，双方就</w:t>
      </w:r>
    </w:p>
    <w:p w14:paraId="0F8980D1">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工程施工及有关事项协商一致，共同达成如下协议：</w:t>
      </w:r>
    </w:p>
    <w:p w14:paraId="798FDCB2">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一、工程概况</w:t>
      </w:r>
    </w:p>
    <w:p w14:paraId="0065990B">
      <w:pPr>
        <w:pStyle w:val="52"/>
        <w:spacing w:line="520" w:lineRule="exact"/>
        <w:ind w:firstLine="470" w:firstLineChars="196"/>
        <w:rPr>
          <w:rStyle w:val="22"/>
          <w:rFonts w:hint="eastAsia" w:ascii="宋体" w:hAnsi="宋体" w:eastAsia="宋体" w:cs="宋体"/>
          <w:color w:val="auto"/>
          <w:sz w:val="24"/>
          <w:szCs w:val="24"/>
          <w:u w:val="single"/>
        </w:rPr>
      </w:pPr>
      <w:r>
        <w:rPr>
          <w:rStyle w:val="22"/>
          <w:rFonts w:hint="eastAsia" w:ascii="宋体" w:hAnsi="宋体" w:eastAsia="宋体" w:cs="宋体"/>
          <w:bCs/>
          <w:color w:val="auto"/>
          <w:sz w:val="24"/>
          <w:szCs w:val="24"/>
        </w:rPr>
        <w:t>1.工程名称</w:t>
      </w:r>
      <w:r>
        <w:rPr>
          <w:rStyle w:val="22"/>
          <w:rFonts w:hint="eastAsia" w:ascii="宋体" w:hAnsi="宋体" w:eastAsia="宋体" w:cs="宋体"/>
          <w:color w:val="auto"/>
          <w:sz w:val="24"/>
          <w:szCs w:val="24"/>
        </w:rPr>
        <w:t>：</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w:t>
      </w:r>
    </w:p>
    <w:p w14:paraId="5C4FF4A4">
      <w:pPr>
        <w:pStyle w:val="52"/>
        <w:spacing w:line="520" w:lineRule="exact"/>
        <w:ind w:firstLine="470" w:firstLineChars="196"/>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2.工程地点：</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w:t>
      </w:r>
    </w:p>
    <w:p w14:paraId="6ECE8C48">
      <w:pPr>
        <w:pStyle w:val="52"/>
        <w:spacing w:line="520" w:lineRule="exact"/>
        <w:ind w:firstLine="470" w:firstLineChars="196"/>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3.工程立项批准文号：</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bCs/>
          <w:color w:val="auto"/>
          <w:sz w:val="24"/>
          <w:szCs w:val="24"/>
        </w:rPr>
        <w:t>。</w:t>
      </w:r>
    </w:p>
    <w:p w14:paraId="617463FF">
      <w:pPr>
        <w:pStyle w:val="52"/>
        <w:spacing w:line="520" w:lineRule="exact"/>
        <w:ind w:firstLine="470" w:firstLineChars="196"/>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4.资金来源：</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bCs/>
          <w:color w:val="auto"/>
          <w:sz w:val="24"/>
          <w:szCs w:val="24"/>
        </w:rPr>
        <w:t>。</w:t>
      </w:r>
    </w:p>
    <w:p w14:paraId="13C5FC0A">
      <w:pPr>
        <w:pStyle w:val="52"/>
        <w:spacing w:line="520" w:lineRule="exact"/>
        <w:ind w:firstLine="470" w:firstLineChars="196"/>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5.工程内容：</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bCs/>
          <w:color w:val="auto"/>
          <w:sz w:val="24"/>
          <w:szCs w:val="24"/>
        </w:rPr>
        <w:t>。</w:t>
      </w:r>
    </w:p>
    <w:p w14:paraId="4A74C57B">
      <w:pPr>
        <w:pStyle w:val="52"/>
        <w:spacing w:line="520" w:lineRule="exact"/>
        <w:ind w:firstLine="470" w:firstLineChars="196"/>
        <w:rPr>
          <w:rStyle w:val="22"/>
          <w:rFonts w:hint="eastAsia" w:ascii="宋体" w:hAnsi="宋体" w:eastAsia="宋体" w:cs="宋体"/>
          <w:bCs/>
          <w:color w:val="auto"/>
          <w:sz w:val="24"/>
          <w:szCs w:val="24"/>
        </w:rPr>
      </w:pPr>
      <w:r>
        <w:rPr>
          <w:rStyle w:val="22"/>
          <w:rFonts w:hint="eastAsia" w:ascii="宋体" w:hAnsi="宋体" w:eastAsia="宋体" w:cs="宋体"/>
          <w:color w:val="auto"/>
          <w:sz w:val="24"/>
          <w:szCs w:val="24"/>
        </w:rPr>
        <w:t>群体工程应附《承包人承揽工程项目一览表》（附件1）。</w:t>
      </w:r>
    </w:p>
    <w:p w14:paraId="6DA9BB42">
      <w:pPr>
        <w:pStyle w:val="52"/>
        <w:spacing w:line="520" w:lineRule="exact"/>
        <w:ind w:firstLine="470" w:firstLineChars="196"/>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6.工程承包范围：</w:t>
      </w:r>
    </w:p>
    <w:p w14:paraId="46AF676B">
      <w:pPr>
        <w:pStyle w:val="52"/>
        <w:spacing w:line="520" w:lineRule="exact"/>
        <w:ind w:firstLine="463" w:firstLineChars="193"/>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u w:val="single"/>
        </w:rPr>
        <w:t>   </w:t>
      </w:r>
    </w:p>
    <w:p w14:paraId="02F81172">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55786D73">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w:t>
      </w:r>
      <w:r>
        <w:rPr>
          <w:rStyle w:val="22"/>
          <w:rFonts w:hint="eastAsia" w:ascii="宋体" w:hAnsi="宋体" w:eastAsia="宋体" w:cs="宋体"/>
          <w:color w:val="auto"/>
          <w:sz w:val="24"/>
          <w:szCs w:val="24"/>
          <w:lang w:val="en-US" w:eastAsia="zh-CN"/>
        </w:rPr>
        <w:t xml:space="preserve"> </w:t>
      </w:r>
      <w:r>
        <w:rPr>
          <w:rStyle w:val="22"/>
          <w:rFonts w:hint="eastAsia" w:ascii="宋体" w:hAnsi="宋体" w:eastAsia="宋体" w:cs="宋体"/>
          <w:color w:val="auto"/>
          <w:sz w:val="24"/>
          <w:szCs w:val="24"/>
        </w:rPr>
        <w:t>二、合同工期</w:t>
      </w:r>
    </w:p>
    <w:p w14:paraId="2D7BB946">
      <w:pPr>
        <w:pStyle w:val="52"/>
        <w:spacing w:line="520" w:lineRule="exact"/>
        <w:ind w:firstLine="459"/>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计划开工日期：</w:t>
      </w:r>
      <w:r>
        <w:rPr>
          <w:rStyle w:val="22"/>
          <w:rFonts w:hint="eastAsia" w:ascii="宋体" w:hAnsi="宋体" w:eastAsia="宋体" w:cs="宋体"/>
          <w:color w:val="auto"/>
          <w:sz w:val="24"/>
          <w:szCs w:val="24"/>
          <w:u w:val="single"/>
        </w:rPr>
        <w:t></w:t>
      </w:r>
      <w:r>
        <w:rPr>
          <w:rStyle w:val="22"/>
          <w:rFonts w:hint="eastAsia" w:ascii="宋体" w:hAnsi="宋体" w:eastAsia="宋体" w:cs="宋体"/>
          <w:color w:val="auto"/>
          <w:sz w:val="24"/>
          <w:szCs w:val="24"/>
        </w:rPr>
        <w:t>年</w:t>
      </w:r>
      <w:r>
        <w:rPr>
          <w:rStyle w:val="22"/>
          <w:rFonts w:hint="eastAsia" w:ascii="宋体" w:hAnsi="宋体" w:eastAsia="宋体" w:cs="宋体"/>
          <w:color w:val="auto"/>
          <w:sz w:val="24"/>
          <w:szCs w:val="24"/>
          <w:u w:val="single"/>
        </w:rPr>
        <w:t></w:t>
      </w:r>
      <w:r>
        <w:rPr>
          <w:rStyle w:val="22"/>
          <w:rFonts w:hint="eastAsia" w:ascii="宋体" w:hAnsi="宋体" w:eastAsia="宋体" w:cs="宋体"/>
          <w:color w:val="auto"/>
          <w:sz w:val="24"/>
          <w:szCs w:val="24"/>
        </w:rPr>
        <w:t>月</w:t>
      </w:r>
      <w:r>
        <w:rPr>
          <w:rStyle w:val="22"/>
          <w:rFonts w:hint="eastAsia" w:ascii="宋体" w:hAnsi="宋体" w:eastAsia="宋体" w:cs="宋体"/>
          <w:color w:val="auto"/>
          <w:sz w:val="24"/>
          <w:szCs w:val="24"/>
          <w:u w:val="single"/>
        </w:rPr>
        <w:t></w:t>
      </w:r>
      <w:r>
        <w:rPr>
          <w:rStyle w:val="22"/>
          <w:rFonts w:hint="eastAsia" w:ascii="宋体" w:hAnsi="宋体" w:eastAsia="宋体" w:cs="宋体"/>
          <w:color w:val="auto"/>
          <w:sz w:val="24"/>
          <w:szCs w:val="24"/>
        </w:rPr>
        <w:t>日。</w:t>
      </w:r>
    </w:p>
    <w:p w14:paraId="402AB79F">
      <w:pPr>
        <w:pStyle w:val="52"/>
        <w:spacing w:line="520" w:lineRule="exact"/>
        <w:ind w:firstLine="459"/>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计划竣工日期：</w:t>
      </w:r>
      <w:r>
        <w:rPr>
          <w:rStyle w:val="22"/>
          <w:rFonts w:hint="eastAsia" w:ascii="宋体" w:hAnsi="宋体" w:eastAsia="宋体" w:cs="宋体"/>
          <w:color w:val="auto"/>
          <w:sz w:val="24"/>
          <w:szCs w:val="24"/>
          <w:u w:val="single"/>
        </w:rPr>
        <w:t></w:t>
      </w:r>
      <w:r>
        <w:rPr>
          <w:rStyle w:val="22"/>
          <w:rFonts w:hint="eastAsia" w:ascii="宋体" w:hAnsi="宋体" w:eastAsia="宋体" w:cs="宋体"/>
          <w:color w:val="auto"/>
          <w:sz w:val="24"/>
          <w:szCs w:val="24"/>
        </w:rPr>
        <w:t>年</w:t>
      </w:r>
      <w:r>
        <w:rPr>
          <w:rStyle w:val="22"/>
          <w:rFonts w:hint="eastAsia" w:ascii="宋体" w:hAnsi="宋体" w:eastAsia="宋体" w:cs="宋体"/>
          <w:color w:val="auto"/>
          <w:sz w:val="24"/>
          <w:szCs w:val="24"/>
          <w:u w:val="single"/>
        </w:rPr>
        <w:t></w:t>
      </w:r>
      <w:r>
        <w:rPr>
          <w:rStyle w:val="22"/>
          <w:rFonts w:hint="eastAsia" w:ascii="宋体" w:hAnsi="宋体" w:eastAsia="宋体" w:cs="宋体"/>
          <w:color w:val="auto"/>
          <w:sz w:val="24"/>
          <w:szCs w:val="24"/>
        </w:rPr>
        <w:t>月</w:t>
      </w:r>
      <w:r>
        <w:rPr>
          <w:rStyle w:val="22"/>
          <w:rFonts w:hint="eastAsia" w:ascii="宋体" w:hAnsi="宋体" w:eastAsia="宋体" w:cs="宋体"/>
          <w:color w:val="auto"/>
          <w:sz w:val="24"/>
          <w:szCs w:val="24"/>
          <w:u w:val="single"/>
        </w:rPr>
        <w:t></w:t>
      </w:r>
      <w:r>
        <w:rPr>
          <w:rStyle w:val="22"/>
          <w:rFonts w:hint="eastAsia" w:ascii="宋体" w:hAnsi="宋体" w:eastAsia="宋体" w:cs="宋体"/>
          <w:color w:val="auto"/>
          <w:sz w:val="24"/>
          <w:szCs w:val="24"/>
        </w:rPr>
        <w:t>日。</w:t>
      </w:r>
    </w:p>
    <w:p w14:paraId="05BEE6BF">
      <w:pPr>
        <w:pStyle w:val="52"/>
        <w:spacing w:line="520" w:lineRule="exact"/>
        <w:ind w:firstLine="459"/>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工期总日历天数：</w:t>
      </w:r>
      <w:r>
        <w:rPr>
          <w:rStyle w:val="22"/>
          <w:rFonts w:hint="eastAsia" w:ascii="宋体" w:hAnsi="宋体" w:eastAsia="宋体" w:cs="宋体"/>
          <w:color w:val="auto"/>
          <w:sz w:val="24"/>
          <w:szCs w:val="24"/>
          <w:u w:val="single"/>
        </w:rPr>
        <w:t></w:t>
      </w:r>
      <w:r>
        <w:rPr>
          <w:rStyle w:val="22"/>
          <w:rFonts w:hint="eastAsia" w:ascii="宋体" w:hAnsi="宋体" w:eastAsia="宋体" w:cs="宋体"/>
          <w:color w:val="auto"/>
          <w:sz w:val="24"/>
          <w:szCs w:val="24"/>
        </w:rPr>
        <w:t>天。工期总日历天数与根据前述计划开竣工日期计算的工期天数不一致的，以工期总日历天数为准。</w:t>
      </w:r>
    </w:p>
    <w:p w14:paraId="5D1F8EF1">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三、质量标准</w:t>
      </w:r>
    </w:p>
    <w:p w14:paraId="71811161">
      <w:pPr>
        <w:pStyle w:val="52"/>
        <w:spacing w:line="520" w:lineRule="exact"/>
        <w:ind w:firstLine="459"/>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工程质量符合</w:t>
      </w:r>
      <w:r>
        <w:rPr>
          <w:rStyle w:val="22"/>
          <w:rFonts w:hint="eastAsia" w:ascii="宋体" w:hAnsi="宋体" w:eastAsia="宋体" w:cs="宋体"/>
          <w:color w:val="auto"/>
          <w:sz w:val="24"/>
          <w:szCs w:val="24"/>
          <w:u w:val="single"/>
        </w:rPr>
        <w:t></w:t>
      </w:r>
      <w:r>
        <w:rPr>
          <w:rStyle w:val="22"/>
          <w:rFonts w:hint="eastAsia" w:ascii="宋体" w:hAnsi="宋体" w:eastAsia="宋体" w:cs="宋体"/>
          <w:color w:val="auto"/>
          <w:sz w:val="24"/>
          <w:szCs w:val="24"/>
        </w:rPr>
        <w:t>标准。</w:t>
      </w:r>
    </w:p>
    <w:p w14:paraId="7027F411">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四、签约合同价与合同价格形式</w:t>
      </w:r>
      <w:r>
        <w:rPr>
          <w:rStyle w:val="22"/>
          <w:rFonts w:hint="eastAsia" w:ascii="宋体" w:hAnsi="宋体" w:eastAsia="宋体" w:cs="宋体"/>
          <w:color w:val="auto"/>
          <w:sz w:val="24"/>
          <w:szCs w:val="24"/>
        </w:rPr>
        <w:tab/>
      </w:r>
    </w:p>
    <w:p w14:paraId="36DF25AC">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1.签约合同价为：</w:t>
      </w:r>
    </w:p>
    <w:p w14:paraId="0C5D5CF6">
      <w:pPr>
        <w:pStyle w:val="52"/>
        <w:spacing w:line="520" w:lineRule="exact"/>
        <w:ind w:firstLine="600" w:firstLineChars="25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人民币（大写）</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元)；</w:t>
      </w:r>
    </w:p>
    <w:p w14:paraId="3EF0BBA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其中：</w:t>
      </w:r>
    </w:p>
    <w:p w14:paraId="42EB5401">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（1）安全文明施工费：</w:t>
      </w:r>
    </w:p>
    <w:p w14:paraId="69BD2041">
      <w:pPr>
        <w:pStyle w:val="52"/>
        <w:spacing w:line="520" w:lineRule="exact"/>
        <w:ind w:firstLine="1080" w:firstLineChars="45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人民币（大写）</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元)；</w:t>
      </w:r>
    </w:p>
    <w:p w14:paraId="7FD60FB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（2）材料和工程设备暂估价金额：</w:t>
      </w:r>
    </w:p>
    <w:p w14:paraId="75C83E03">
      <w:pPr>
        <w:pStyle w:val="52"/>
        <w:spacing w:line="520" w:lineRule="exact"/>
        <w:ind w:firstLine="1080" w:firstLineChars="45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人民币（大写）</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元)；</w:t>
      </w:r>
    </w:p>
    <w:p w14:paraId="16CFB5C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（3）专业工程暂估价金额：</w:t>
      </w:r>
    </w:p>
    <w:p w14:paraId="66F9F6B7">
      <w:pPr>
        <w:pStyle w:val="52"/>
        <w:spacing w:line="520" w:lineRule="exact"/>
        <w:ind w:firstLine="1080" w:firstLineChars="45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人民币（大写）</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元)；</w:t>
      </w:r>
    </w:p>
    <w:p w14:paraId="7EC5B491">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（4）暂列金额：</w:t>
      </w:r>
    </w:p>
    <w:p w14:paraId="1380970F">
      <w:pPr>
        <w:pStyle w:val="52"/>
        <w:spacing w:line="520" w:lineRule="exact"/>
        <w:ind w:firstLine="1080" w:firstLineChars="45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人民币（大写）</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元)。</w:t>
      </w:r>
    </w:p>
    <w:p w14:paraId="1436F032">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2.合同价格形式：</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5D26FB2B">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五、项目经理</w:t>
      </w:r>
    </w:p>
    <w:p w14:paraId="1B23F7D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承包人项目经理：</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22565E2D">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六、合同文件构成</w:t>
      </w:r>
    </w:p>
    <w:p w14:paraId="14157ECF">
      <w:pPr>
        <w:pStyle w:val="52"/>
        <w:spacing w:line="520" w:lineRule="exact"/>
        <w:ind w:firstLine="480" w:firstLineChars="200"/>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本协议书与下列文件一起构成合同文件：</w:t>
      </w:r>
    </w:p>
    <w:p w14:paraId="72B0A63F">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（1）中标通知书（如果有）；</w:t>
      </w:r>
    </w:p>
    <w:p w14:paraId="104B021E">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（2）投标函及其附录（如果有）； </w:t>
      </w:r>
    </w:p>
    <w:p w14:paraId="7D156F69">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（3）专用合同条款及其附件；</w:t>
      </w:r>
    </w:p>
    <w:p w14:paraId="6042F91D">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（4）通用合同条款；</w:t>
      </w:r>
    </w:p>
    <w:p w14:paraId="29A5F54D">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（5）技术标准和要求；</w:t>
      </w:r>
    </w:p>
    <w:p w14:paraId="500FD31F">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（6）图纸；</w:t>
      </w:r>
    </w:p>
    <w:p w14:paraId="2798B9DC">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（7）已标价工程量清单或预算书；</w:t>
      </w:r>
    </w:p>
    <w:p w14:paraId="693F5940">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（8）其他合同文件。</w:t>
      </w:r>
    </w:p>
    <w:p w14:paraId="4DCCC898">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在合同订立及履行过程中形成的与合同有关的文件均构成合同文件组成部分。</w:t>
      </w:r>
    </w:p>
    <w:p w14:paraId="21E46056">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上述各项合同文件包括合同当事人就该项合同文件所作出的补充和修改，属于同一类内容的文件，应以最新签署的为准。专用合同条款及其附件须经合同当事人签字或盖章。</w:t>
      </w:r>
    </w:p>
    <w:p w14:paraId="3D497B64">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七、承诺</w:t>
      </w:r>
    </w:p>
    <w:p w14:paraId="1C1990F7">
      <w:pPr>
        <w:pStyle w:val="52"/>
        <w:spacing w:line="520" w:lineRule="exact"/>
        <w:ind w:firstLine="480" w:firstLineChars="200"/>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1.发包人承诺按照法律规定履行项目审批手续、筹集工程建设资金并按照合同约定的期限和方式支付合同价款。</w:t>
      </w:r>
    </w:p>
    <w:p w14:paraId="2DA6CE39">
      <w:pPr>
        <w:pStyle w:val="52"/>
        <w:spacing w:line="520" w:lineRule="exact"/>
        <w:ind w:firstLine="480" w:firstLineChars="200"/>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2.承包人承诺按照法律规定及合同约定组织完成工程施工，确保工程质量和安全，不进行转包及违法分包，并在缺陷责任期及保修期内承担相应的工程维修责任。</w:t>
      </w:r>
    </w:p>
    <w:p w14:paraId="58287E59">
      <w:pPr>
        <w:pStyle w:val="52"/>
        <w:spacing w:line="520" w:lineRule="exact"/>
        <w:ind w:firstLine="480" w:firstLineChars="200"/>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3.发包人和承包人通过招投标形式签订合同的，双方理解并承诺不再就同一工程另行签订与合同实质性内容相背离的协议。</w:t>
      </w:r>
    </w:p>
    <w:p w14:paraId="2C49B2FF">
      <w:pPr>
        <w:pStyle w:val="52"/>
        <w:spacing w:line="520" w:lineRule="exact"/>
        <w:rPr>
          <w:rStyle w:val="22"/>
          <w:rFonts w:hint="eastAsia" w:ascii="宋体" w:hAnsi="宋体" w:eastAsia="宋体" w:cs="宋体"/>
          <w:bCs/>
          <w:color w:val="auto"/>
          <w:sz w:val="24"/>
          <w:szCs w:val="24"/>
        </w:rPr>
      </w:pPr>
      <w:r>
        <w:rPr>
          <w:rStyle w:val="22"/>
          <w:rFonts w:hint="eastAsia" w:ascii="宋体" w:hAnsi="宋体" w:eastAsia="宋体" w:cs="宋体"/>
          <w:b/>
          <w:color w:val="auto"/>
          <w:sz w:val="24"/>
          <w:szCs w:val="24"/>
        </w:rPr>
        <w:t xml:space="preserve">    八、词语含义</w:t>
      </w:r>
    </w:p>
    <w:p w14:paraId="02438CC7">
      <w:pPr>
        <w:pStyle w:val="52"/>
        <w:spacing w:line="520" w:lineRule="exact"/>
        <w:ind w:firstLine="480" w:firstLineChars="200"/>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本协议书中词语含义与第二部分通用合同条款中赋予的含义相同。</w:t>
      </w:r>
    </w:p>
    <w:p w14:paraId="01B8953E">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九、签订时间</w:t>
      </w:r>
    </w:p>
    <w:p w14:paraId="3F930D69">
      <w:pPr>
        <w:pStyle w:val="52"/>
        <w:spacing w:line="520" w:lineRule="exact"/>
        <w:ind w:firstLine="480" w:firstLineChars="200"/>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本合同于</w:t>
      </w:r>
      <w:r>
        <w:rPr>
          <w:rStyle w:val="22"/>
          <w:rFonts w:hint="eastAsia" w:ascii="宋体" w:hAnsi="宋体" w:eastAsia="宋体" w:cs="宋体"/>
          <w:bCs/>
          <w:color w:val="auto"/>
          <w:sz w:val="24"/>
          <w:szCs w:val="24"/>
          <w:u w:val="single"/>
        </w:rPr>
        <w:t xml:space="preserve">         </w:t>
      </w:r>
      <w:r>
        <w:rPr>
          <w:rStyle w:val="22"/>
          <w:rFonts w:hint="eastAsia" w:ascii="宋体" w:hAnsi="宋体" w:eastAsia="宋体" w:cs="宋体"/>
          <w:bCs/>
          <w:color w:val="auto"/>
          <w:sz w:val="24"/>
          <w:szCs w:val="24"/>
        </w:rPr>
        <w:t>年</w:t>
      </w:r>
      <w:r>
        <w:rPr>
          <w:rStyle w:val="22"/>
          <w:rFonts w:hint="eastAsia" w:ascii="宋体" w:hAnsi="宋体" w:eastAsia="宋体" w:cs="宋体"/>
          <w:bCs/>
          <w:color w:val="auto"/>
          <w:sz w:val="24"/>
          <w:szCs w:val="24"/>
          <w:u w:val="single"/>
        </w:rPr>
        <w:t xml:space="preserve">    </w:t>
      </w:r>
      <w:r>
        <w:rPr>
          <w:rStyle w:val="22"/>
          <w:rFonts w:hint="eastAsia" w:ascii="宋体" w:hAnsi="宋体" w:eastAsia="宋体" w:cs="宋体"/>
          <w:bCs/>
          <w:color w:val="auto"/>
          <w:sz w:val="24"/>
          <w:szCs w:val="24"/>
        </w:rPr>
        <w:t>月</w:t>
      </w:r>
      <w:r>
        <w:rPr>
          <w:rStyle w:val="22"/>
          <w:rFonts w:hint="eastAsia" w:ascii="宋体" w:hAnsi="宋体" w:eastAsia="宋体" w:cs="宋体"/>
          <w:bCs/>
          <w:color w:val="auto"/>
          <w:sz w:val="24"/>
          <w:szCs w:val="24"/>
          <w:u w:val="single"/>
        </w:rPr>
        <w:t xml:space="preserve">    </w:t>
      </w:r>
      <w:r>
        <w:rPr>
          <w:rStyle w:val="22"/>
          <w:rFonts w:hint="eastAsia" w:ascii="宋体" w:hAnsi="宋体" w:eastAsia="宋体" w:cs="宋体"/>
          <w:bCs/>
          <w:color w:val="auto"/>
          <w:sz w:val="24"/>
          <w:szCs w:val="24"/>
        </w:rPr>
        <w:t>日签订。</w:t>
      </w:r>
    </w:p>
    <w:p w14:paraId="39DACA73">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十、签订地点</w:t>
      </w:r>
    </w:p>
    <w:p w14:paraId="233ACF62">
      <w:pPr>
        <w:pStyle w:val="52"/>
        <w:spacing w:line="520" w:lineRule="exact"/>
        <w:ind w:firstLine="480" w:firstLineChars="200"/>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本合同在</w:t>
      </w:r>
      <w:r>
        <w:rPr>
          <w:rStyle w:val="22"/>
          <w:rFonts w:hint="eastAsia" w:ascii="宋体" w:hAnsi="宋体" w:eastAsia="宋体" w:cs="宋体"/>
          <w:bCs/>
          <w:color w:val="auto"/>
          <w:sz w:val="24"/>
          <w:szCs w:val="24"/>
          <w:u w:val="single"/>
        </w:rPr>
        <w:t xml:space="preserve">                                    </w:t>
      </w:r>
      <w:r>
        <w:rPr>
          <w:rStyle w:val="22"/>
          <w:rFonts w:hint="eastAsia" w:ascii="宋体" w:hAnsi="宋体" w:eastAsia="宋体" w:cs="宋体"/>
          <w:bCs/>
          <w:color w:val="auto"/>
          <w:sz w:val="24"/>
          <w:szCs w:val="24"/>
        </w:rPr>
        <w:t>签订。</w:t>
      </w:r>
    </w:p>
    <w:p w14:paraId="44DACE61">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十一、补充协议</w:t>
      </w:r>
    </w:p>
    <w:p w14:paraId="2EE796D6">
      <w:pPr>
        <w:pStyle w:val="52"/>
        <w:spacing w:line="520" w:lineRule="exact"/>
        <w:ind w:firstLine="480" w:firstLineChars="200"/>
        <w:rPr>
          <w:rStyle w:val="22"/>
          <w:rFonts w:hint="eastAsia" w:ascii="宋体" w:hAnsi="宋体" w:eastAsia="宋体" w:cs="宋体"/>
          <w:b/>
          <w:bCs/>
          <w:color w:val="auto"/>
          <w:sz w:val="24"/>
          <w:szCs w:val="24"/>
        </w:rPr>
      </w:pPr>
      <w:r>
        <w:rPr>
          <w:rStyle w:val="22"/>
          <w:rFonts w:hint="eastAsia" w:ascii="宋体" w:hAnsi="宋体" w:eastAsia="宋体" w:cs="宋体"/>
          <w:bCs/>
          <w:color w:val="auto"/>
          <w:sz w:val="24"/>
          <w:szCs w:val="24"/>
        </w:rPr>
        <w:t>合同未尽事宜，合同当事人另行签订补充协议，补充协议是合同的组成部分。</w:t>
      </w:r>
    </w:p>
    <w:p w14:paraId="4C2A3AF1">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十二、合同生效</w:t>
      </w:r>
    </w:p>
    <w:p w14:paraId="32B6FAD1">
      <w:pPr>
        <w:pStyle w:val="52"/>
        <w:spacing w:line="520" w:lineRule="exact"/>
        <w:ind w:firstLine="480" w:firstLineChars="200"/>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本合同自</w:t>
      </w:r>
      <w:r>
        <w:rPr>
          <w:rStyle w:val="22"/>
          <w:rFonts w:hint="eastAsia" w:ascii="宋体" w:hAnsi="宋体" w:eastAsia="宋体" w:cs="宋体"/>
          <w:bCs/>
          <w:color w:val="auto"/>
          <w:sz w:val="24"/>
          <w:szCs w:val="24"/>
          <w:u w:val="single"/>
        </w:rPr>
        <w:t xml:space="preserve">                                   </w:t>
      </w:r>
      <w:r>
        <w:rPr>
          <w:rStyle w:val="22"/>
          <w:rFonts w:hint="eastAsia" w:ascii="宋体" w:hAnsi="宋体" w:eastAsia="宋体" w:cs="宋体"/>
          <w:bCs/>
          <w:color w:val="auto"/>
          <w:sz w:val="24"/>
          <w:szCs w:val="24"/>
        </w:rPr>
        <w:t>生效。</w:t>
      </w:r>
    </w:p>
    <w:p w14:paraId="48DF733D">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十三、合同份数</w:t>
      </w:r>
    </w:p>
    <w:p w14:paraId="7F263E2F">
      <w:pPr>
        <w:pStyle w:val="52"/>
        <w:spacing w:line="520" w:lineRule="exact"/>
        <w:ind w:firstLine="480" w:firstLineChars="200"/>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本合同一式</w:t>
      </w:r>
      <w:r>
        <w:rPr>
          <w:rStyle w:val="22"/>
          <w:rFonts w:hint="eastAsia" w:ascii="宋体" w:hAnsi="宋体" w:eastAsia="宋体" w:cs="宋体"/>
          <w:bCs/>
          <w:color w:val="auto"/>
          <w:sz w:val="24"/>
          <w:szCs w:val="24"/>
          <w:u w:val="single"/>
        </w:rPr>
        <w:t xml:space="preserve">   </w:t>
      </w:r>
      <w:r>
        <w:rPr>
          <w:rStyle w:val="22"/>
          <w:rFonts w:hint="eastAsia" w:ascii="宋体" w:hAnsi="宋体" w:eastAsia="宋体" w:cs="宋体"/>
          <w:bCs/>
          <w:color w:val="auto"/>
          <w:sz w:val="24"/>
          <w:szCs w:val="24"/>
        </w:rPr>
        <w:t>份，均具有同等法律效力，发包人执</w:t>
      </w:r>
      <w:r>
        <w:rPr>
          <w:rStyle w:val="22"/>
          <w:rFonts w:hint="eastAsia" w:ascii="宋体" w:hAnsi="宋体" w:eastAsia="宋体" w:cs="宋体"/>
          <w:bCs/>
          <w:color w:val="auto"/>
          <w:sz w:val="24"/>
          <w:szCs w:val="24"/>
          <w:u w:val="single"/>
        </w:rPr>
        <w:t xml:space="preserve">   </w:t>
      </w:r>
      <w:r>
        <w:rPr>
          <w:rStyle w:val="22"/>
          <w:rFonts w:hint="eastAsia" w:ascii="宋体" w:hAnsi="宋体" w:eastAsia="宋体" w:cs="宋体"/>
          <w:bCs/>
          <w:color w:val="auto"/>
          <w:sz w:val="24"/>
          <w:szCs w:val="24"/>
        </w:rPr>
        <w:t>份，承包人执</w:t>
      </w:r>
      <w:r>
        <w:rPr>
          <w:rStyle w:val="22"/>
          <w:rFonts w:hint="eastAsia" w:ascii="宋体" w:hAnsi="宋体" w:eastAsia="宋体" w:cs="宋体"/>
          <w:bCs/>
          <w:color w:val="auto"/>
          <w:sz w:val="24"/>
          <w:szCs w:val="24"/>
          <w:u w:val="single"/>
        </w:rPr>
        <w:t xml:space="preserve">   </w:t>
      </w:r>
      <w:r>
        <w:rPr>
          <w:rStyle w:val="22"/>
          <w:rFonts w:hint="eastAsia" w:ascii="宋体" w:hAnsi="宋体" w:eastAsia="宋体" w:cs="宋体"/>
          <w:bCs/>
          <w:color w:val="auto"/>
          <w:sz w:val="24"/>
          <w:szCs w:val="24"/>
        </w:rPr>
        <w:t>份。</w:t>
      </w:r>
    </w:p>
    <w:p w14:paraId="74902A43">
      <w:pPr>
        <w:pStyle w:val="52"/>
        <w:spacing w:line="520" w:lineRule="exact"/>
        <w:rPr>
          <w:rStyle w:val="22"/>
          <w:rFonts w:hint="eastAsia" w:ascii="宋体" w:hAnsi="宋体" w:eastAsia="宋体" w:cs="宋体"/>
          <w:bCs/>
          <w:color w:val="auto"/>
          <w:sz w:val="24"/>
          <w:szCs w:val="24"/>
        </w:rPr>
      </w:pPr>
    </w:p>
    <w:p w14:paraId="05CC5718">
      <w:pPr>
        <w:pStyle w:val="52"/>
        <w:spacing w:line="520" w:lineRule="exact"/>
        <w:rPr>
          <w:rStyle w:val="22"/>
          <w:rFonts w:hint="eastAsia" w:ascii="宋体" w:hAnsi="宋体" w:eastAsia="宋体" w:cs="宋体"/>
          <w:bCs/>
          <w:color w:val="auto"/>
          <w:sz w:val="24"/>
          <w:szCs w:val="24"/>
        </w:rPr>
      </w:pPr>
    </w:p>
    <w:p w14:paraId="6CAA5548">
      <w:pPr>
        <w:pStyle w:val="52"/>
        <w:spacing w:line="520" w:lineRule="exact"/>
        <w:rPr>
          <w:rStyle w:val="22"/>
          <w:rFonts w:hint="eastAsia" w:ascii="宋体" w:hAnsi="宋体" w:eastAsia="宋体" w:cs="宋体"/>
          <w:color w:val="auto"/>
          <w:sz w:val="24"/>
          <w:szCs w:val="24"/>
        </w:rPr>
      </w:pPr>
    </w:p>
    <w:p w14:paraId="76ABB37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  (公章)             承包人：  (公章)</w:t>
      </w:r>
    </w:p>
    <w:p w14:paraId="4E1C5F9E">
      <w:pPr>
        <w:pStyle w:val="52"/>
        <w:spacing w:line="520" w:lineRule="exac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 xml:space="preserve">                                 </w:t>
      </w:r>
    </w:p>
    <w:p w14:paraId="73EB2ED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法定代表人或其委托代理人：  法定代表人或其委托代理人：</w:t>
      </w:r>
    </w:p>
    <w:p w14:paraId="19A1BA0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（签字）                    （签字）</w:t>
      </w:r>
    </w:p>
    <w:p w14:paraId="2355506E">
      <w:pPr>
        <w:pStyle w:val="52"/>
        <w:spacing w:line="520" w:lineRule="exact"/>
        <w:rPr>
          <w:rStyle w:val="22"/>
          <w:rFonts w:hint="eastAsia" w:ascii="宋体" w:hAnsi="宋体" w:eastAsia="宋体" w:cs="宋体"/>
          <w:color w:val="auto"/>
          <w:sz w:val="24"/>
          <w:szCs w:val="24"/>
          <w:u w:val="single"/>
        </w:rPr>
      </w:pPr>
    </w:p>
    <w:p w14:paraId="3C5A2CCF">
      <w:pPr>
        <w:pStyle w:val="52"/>
        <w:tabs>
          <w:tab w:val="left" w:pos="4410"/>
        </w:tabs>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组织机构代码：</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 xml:space="preserve">  组织机构代码：</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 xml:space="preserve"> </w:t>
      </w:r>
    </w:p>
    <w:p w14:paraId="474E003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地  址：</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 xml:space="preserve">  地  址：</w:t>
      </w:r>
      <w:r>
        <w:rPr>
          <w:rStyle w:val="22"/>
          <w:rFonts w:hint="eastAsia" w:ascii="宋体" w:hAnsi="宋体" w:eastAsia="宋体" w:cs="宋体"/>
          <w:color w:val="auto"/>
          <w:sz w:val="24"/>
          <w:szCs w:val="24"/>
          <w:u w:val="single"/>
        </w:rPr>
        <w:t xml:space="preserve">        </w:t>
      </w:r>
    </w:p>
    <w:p w14:paraId="40F67F3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邮政编码：</w:t>
      </w:r>
      <w:r>
        <w:rPr>
          <w:rStyle w:val="22"/>
          <w:rFonts w:hint="eastAsia" w:ascii="宋体" w:hAnsi="宋体" w:eastAsia="宋体" w:cs="宋体"/>
          <w:color w:val="auto"/>
          <w:sz w:val="24"/>
          <w:szCs w:val="24"/>
          <w:u w:val="single"/>
        </w:rPr>
        <w:t xml:space="preserve">      </w:t>
      </w:r>
      <w:r>
        <w:rPr>
          <w:rStyle w:val="22"/>
          <w:rFonts w:hint="eastAsia" w:ascii="宋体" w:hAnsi="宋体" w:eastAsia="宋体" w:cs="宋体"/>
          <w:color w:val="auto"/>
          <w:sz w:val="24"/>
          <w:szCs w:val="24"/>
        </w:rPr>
        <w:t xml:space="preserve">  邮政编码：</w:t>
      </w:r>
      <w:r>
        <w:rPr>
          <w:rStyle w:val="22"/>
          <w:rFonts w:hint="eastAsia" w:ascii="宋体" w:hAnsi="宋体" w:eastAsia="宋体" w:cs="宋体"/>
          <w:color w:val="auto"/>
          <w:sz w:val="24"/>
          <w:szCs w:val="24"/>
          <w:u w:val="single"/>
        </w:rPr>
        <w:t xml:space="preserve">   </w:t>
      </w:r>
    </w:p>
    <w:p w14:paraId="6A069BAC">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法定代表人：</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 xml:space="preserve">  法定代表人：</w:t>
      </w:r>
      <w:r>
        <w:rPr>
          <w:rStyle w:val="22"/>
          <w:rFonts w:hint="eastAsia" w:ascii="宋体" w:hAnsi="宋体" w:eastAsia="宋体" w:cs="宋体"/>
          <w:color w:val="auto"/>
          <w:sz w:val="24"/>
          <w:szCs w:val="24"/>
          <w:u w:val="single"/>
        </w:rPr>
        <w:t xml:space="preserve">             </w:t>
      </w:r>
    </w:p>
    <w:p w14:paraId="1108ECE1">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委托代理人：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委托代理人：</w:t>
      </w:r>
      <w:r>
        <w:rPr>
          <w:rStyle w:val="22"/>
          <w:rFonts w:hint="eastAsia" w:ascii="宋体" w:hAnsi="宋体" w:eastAsia="宋体" w:cs="宋体"/>
          <w:color w:val="auto"/>
          <w:sz w:val="24"/>
          <w:szCs w:val="24"/>
          <w:u w:val="single"/>
        </w:rPr>
        <w:t xml:space="preserve">             </w:t>
      </w:r>
    </w:p>
    <w:p w14:paraId="4F5E329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电  话：</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电  话：</w:t>
      </w:r>
      <w:r>
        <w:rPr>
          <w:rStyle w:val="22"/>
          <w:rFonts w:hint="eastAsia" w:ascii="宋体" w:hAnsi="宋体" w:eastAsia="宋体" w:cs="宋体"/>
          <w:color w:val="auto"/>
          <w:sz w:val="24"/>
          <w:szCs w:val="24"/>
          <w:u w:val="single"/>
        </w:rPr>
        <w:t xml:space="preserve">     </w:t>
      </w:r>
    </w:p>
    <w:p w14:paraId="53A3296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传  真：</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传  真：</w:t>
      </w:r>
      <w:r>
        <w:rPr>
          <w:rStyle w:val="22"/>
          <w:rFonts w:hint="eastAsia" w:ascii="宋体" w:hAnsi="宋体" w:eastAsia="宋体" w:cs="宋体"/>
          <w:color w:val="auto"/>
          <w:sz w:val="24"/>
          <w:szCs w:val="24"/>
          <w:u w:val="single"/>
        </w:rPr>
        <w:t xml:space="preserve">     </w:t>
      </w:r>
    </w:p>
    <w:p w14:paraId="1E8A0DA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电子信箱：</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电子信箱：</w:t>
      </w:r>
      <w:r>
        <w:rPr>
          <w:rStyle w:val="22"/>
          <w:rFonts w:hint="eastAsia" w:ascii="宋体" w:hAnsi="宋体" w:eastAsia="宋体" w:cs="宋体"/>
          <w:color w:val="auto"/>
          <w:sz w:val="24"/>
          <w:szCs w:val="24"/>
          <w:u w:val="single"/>
        </w:rPr>
        <w:t xml:space="preserve">   </w:t>
      </w:r>
    </w:p>
    <w:p w14:paraId="45EF1B9C">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开户银行：</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开户银行：</w:t>
      </w:r>
      <w:r>
        <w:rPr>
          <w:rStyle w:val="22"/>
          <w:rFonts w:hint="eastAsia" w:ascii="宋体" w:hAnsi="宋体" w:eastAsia="宋体" w:cs="宋体"/>
          <w:color w:val="auto"/>
          <w:sz w:val="24"/>
          <w:szCs w:val="24"/>
          <w:u w:val="single"/>
        </w:rPr>
        <w:t xml:space="preserve">   </w:t>
      </w:r>
    </w:p>
    <w:p w14:paraId="1F7F59A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账  号：</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 xml:space="preserve">   账  号：</w:t>
      </w:r>
      <w:r>
        <w:rPr>
          <w:rStyle w:val="22"/>
          <w:rFonts w:hint="eastAsia" w:ascii="宋体" w:hAnsi="宋体" w:eastAsia="宋体" w:cs="宋体"/>
          <w:color w:val="auto"/>
          <w:sz w:val="24"/>
          <w:szCs w:val="24"/>
          <w:u w:val="single"/>
        </w:rPr>
        <w:t xml:space="preserve">     </w:t>
      </w:r>
    </w:p>
    <w:p w14:paraId="6BBB2F88">
      <w:pPr>
        <w:pStyle w:val="52"/>
        <w:keepNext/>
        <w:keepLines/>
        <w:pageBreakBefore/>
        <w:spacing w:line="520" w:lineRule="exact"/>
        <w:jc w:val="center"/>
        <w:rPr>
          <w:rStyle w:val="22"/>
          <w:rFonts w:hint="eastAsia" w:ascii="宋体" w:hAnsi="宋体" w:eastAsia="宋体" w:cs="宋体"/>
          <w:b/>
          <w:bCs/>
          <w:color w:val="auto"/>
          <w:sz w:val="24"/>
          <w:szCs w:val="24"/>
        </w:rPr>
      </w:pPr>
      <w:r>
        <w:rPr>
          <w:rStyle w:val="22"/>
          <w:rFonts w:hint="eastAsia" w:ascii="宋体" w:hAnsi="宋体" w:eastAsia="宋体" w:cs="宋体"/>
          <w:b/>
          <w:bCs/>
          <w:color w:val="auto"/>
          <w:sz w:val="24"/>
          <w:szCs w:val="24"/>
        </w:rPr>
        <w:t>第二部分 通用合同条款</w:t>
      </w:r>
    </w:p>
    <w:p w14:paraId="1070A452">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 一般约定</w:t>
      </w:r>
    </w:p>
    <w:p w14:paraId="4CF313A6">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1.1词语定义与解释</w:t>
      </w:r>
    </w:p>
    <w:p w14:paraId="4C8AABC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合同协议书、通用合同条款、专用合同条款中的下列词语具有本款所赋予的含义：</w:t>
      </w:r>
    </w:p>
    <w:p w14:paraId="2194F287">
      <w:pPr>
        <w:pStyle w:val="52"/>
        <w:autoSpaceDE w:val="0"/>
        <w:autoSpaceDN w:val="0"/>
        <w:adjustRightInd w:val="0"/>
        <w:spacing w:line="520" w:lineRule="exact"/>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    1.1.1 合同</w:t>
      </w:r>
    </w:p>
    <w:p w14:paraId="3BBCEF1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1.1.1.1 合同：是指根据法律规定和合同当事人约定具有约束力的文件，构成合同的文件包括合同协议书、中标通知书（如果有）、投标函及其附录（如果有）、专用合同条款</w:t>
      </w:r>
      <w:r>
        <w:rPr>
          <w:rStyle w:val="22"/>
          <w:rFonts w:hint="eastAsia" w:ascii="宋体" w:hAnsi="宋体" w:eastAsia="宋体" w:cs="宋体"/>
          <w:color w:val="auto"/>
          <w:sz w:val="24"/>
          <w:szCs w:val="24"/>
        </w:rPr>
        <w:t>及其附件</w:t>
      </w:r>
      <w:r>
        <w:rPr>
          <w:rStyle w:val="22"/>
          <w:rFonts w:hint="eastAsia" w:ascii="宋体" w:hAnsi="宋体" w:eastAsia="宋体" w:cs="宋体"/>
          <w:color w:val="auto"/>
          <w:kern w:val="0"/>
          <w:sz w:val="24"/>
          <w:szCs w:val="24"/>
        </w:rPr>
        <w:t>、通用合同条款、技术标准和要求、图纸、已标价工程量清单或预算书以及其他合同文件。</w:t>
      </w:r>
    </w:p>
    <w:p w14:paraId="295E859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1.1.1.2 合同协议书：是指构成合同的由发包人和承包人共同签署的称为“合同协议书”的书面文件。</w:t>
      </w:r>
    </w:p>
    <w:p w14:paraId="3884331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1.1.1.3 中标通知书：是指构成合同的由发包人通知承包人中标的书面文件。</w:t>
      </w:r>
    </w:p>
    <w:p w14:paraId="6F73BD4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1.1.1.4 投标函：是指构成合同的由承包人填写并签署的用于投标的称为“投标函”的文件。</w:t>
      </w:r>
    </w:p>
    <w:p w14:paraId="75CF5AF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1.1.1.5 投标函附录：是指构成合同的附在投标函后的称为“投标函附录”的文件。</w:t>
      </w:r>
    </w:p>
    <w:p w14:paraId="26078C7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1.1.1.6 技术标准和要求：是指构成合同的施工应当遵守的或指导施工的国家、行业或地方的技术标准和要求，以及合同约定的技术标准和要求。</w:t>
      </w:r>
    </w:p>
    <w:p w14:paraId="474C0E0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1.1.1.7 图纸：是指构成合同的图纸，包括由发包人按照合同约定提供或经发包人批准的设计文件、施工图、鸟瞰图及模型等，以及在合同履行过程中形成的图纸文件。图纸应当按照法律规定审查合格。</w:t>
      </w:r>
    </w:p>
    <w:p w14:paraId="39E9E4E8">
      <w:pPr>
        <w:pStyle w:val="52"/>
        <w:autoSpaceDE w:val="0"/>
        <w:autoSpaceDN w:val="0"/>
        <w:adjustRightInd w:val="0"/>
        <w:spacing w:line="520" w:lineRule="exact"/>
        <w:ind w:firstLine="468" w:firstLineChars="195"/>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1.1.1.8 已标价工程量清单：是指构成合同的由承包人按照规定的格式和要求填写并标明价格的工程量清单，包括说明和表格。</w:t>
      </w:r>
    </w:p>
    <w:p w14:paraId="0534F78A">
      <w:pPr>
        <w:pStyle w:val="52"/>
        <w:autoSpaceDE w:val="0"/>
        <w:autoSpaceDN w:val="0"/>
        <w:adjustRightInd w:val="0"/>
        <w:spacing w:line="520" w:lineRule="exact"/>
        <w:ind w:firstLine="468" w:firstLineChars="195"/>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1.1.1.9 预算书：是指构成合同的由承包人按照发包人规定的格式和要求编制的工程预算文件。</w:t>
      </w:r>
    </w:p>
    <w:p w14:paraId="214F69F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1.1.1.10 其他合同文件：是指经合同当事人约定的与工程施工有关的具有合同约束力的文件或书面协议。合同当事人可以在专用合同条款中进行约定。</w:t>
      </w:r>
    </w:p>
    <w:p w14:paraId="62F620F2">
      <w:pPr>
        <w:pStyle w:val="52"/>
        <w:autoSpaceDE w:val="0"/>
        <w:autoSpaceDN w:val="0"/>
        <w:adjustRightInd w:val="0"/>
        <w:spacing w:line="520" w:lineRule="exact"/>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    1.1.2 合同当事人及其他相关方</w:t>
      </w:r>
    </w:p>
    <w:p w14:paraId="45055A2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1.1.2.1 合同当事人：是指发包人和（或）承包人。</w:t>
      </w:r>
    </w:p>
    <w:p w14:paraId="17EDB73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1.1.2.2 发包人：是指与承包人签订合同协议书的当事人及取得该当事人资格的合法继承人。</w:t>
      </w:r>
    </w:p>
    <w:p w14:paraId="0E832A7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1.1.2.3 承包人：是指与发包人签订合同协议书的，具有相应工程施工承包资质的当事人及取得该当事人资格的合法继承人。</w:t>
      </w:r>
    </w:p>
    <w:p w14:paraId="662F05E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1.1.2.4 监理人：是指在专用合同条款中指明的，受发包人委托按照法律规定进行工程监督管理的法人或其他组织。</w:t>
      </w:r>
    </w:p>
    <w:p w14:paraId="6CFB3FA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1.1.2.5 设计人：是指在专用合同条款中指明的，受发包人委托负责工程设计并具备相应工程设计资质的法人或其他组织。</w:t>
      </w:r>
    </w:p>
    <w:p w14:paraId="19EF7DEE">
      <w:pPr>
        <w:pStyle w:val="52"/>
        <w:spacing w:line="520" w:lineRule="exact"/>
        <w:ind w:firstLine="468" w:firstLineChars="195"/>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1.1.2.6 分包人：是指按照法律规定和合同约定，分包部分工程或工作，并与承包人签订分包合同的具有相应资质的法人。</w:t>
      </w:r>
    </w:p>
    <w:p w14:paraId="470B43B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1.1.2.7 发包人代表：是指由发包人任命并派驻施工现场在发包人授权范围内行使发包人权利的人。</w:t>
      </w:r>
    </w:p>
    <w:p w14:paraId="1A0A544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1.1.2.8 项目经理：是指由承包人任命并派驻施工现场，在承包人授权范围内负责合同履行，且按照法律规定具有相应资格的项目负责人。</w:t>
      </w:r>
    </w:p>
    <w:p w14:paraId="015333E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1.1.2.9 总监理工程师：是指由监理人任命并派驻施工现场进行工程监理的总负责人。</w:t>
      </w:r>
    </w:p>
    <w:p w14:paraId="080E342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 工程和设备</w:t>
      </w:r>
    </w:p>
    <w:p w14:paraId="67C3BA4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1.1.3.1 工程：是指与合同协议书中工程承包范围对应的永久工程和（或）临时工程。</w:t>
      </w:r>
    </w:p>
    <w:p w14:paraId="423CD15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1.1.3.2 永久工程：是指按合同约定建造并移交给发包人的工程，包括工程设备。</w:t>
      </w:r>
    </w:p>
    <w:p w14:paraId="40C9F0D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1.1.3.3 临时工程：是指为完成合同约定的永久工程所修建的各类临时性工程，不包括施工设备。</w:t>
      </w:r>
    </w:p>
    <w:p w14:paraId="2DEA96E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1.1.3.4 单位工程：是指在合同协议书中指明的，具备独立施工条件并能形成独立使用功能的永久工程。</w:t>
      </w:r>
    </w:p>
    <w:p w14:paraId="4C34F05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1.1.3.5 工程设备：是指构成永久工程的机电设备、金属结构设备、仪器及其他类似的设备和装置。</w:t>
      </w:r>
    </w:p>
    <w:p w14:paraId="009825E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1.1.3.6 施工设备：是指为完成合同约定的各项工作所需的设备、器具和其他物品，但不包括工程设备、临时工程和材料。</w:t>
      </w:r>
    </w:p>
    <w:p w14:paraId="3E43A7D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1.1.3.7 施工现场：是指用于工程施工的场所，以及在专用合同条款中指明作为施工场所组成部分的其他场所，包括永久占地和临时占地。</w:t>
      </w:r>
    </w:p>
    <w:p w14:paraId="3ED48D1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1.1.3.8临时设施：是指为完成合同约定的各项工作所服务的临时性生产和生活设施。</w:t>
      </w:r>
    </w:p>
    <w:p w14:paraId="72A4240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1.1.3.9 永久占地：是指专用合同条款中指明为实施工程需永久占用的土地。</w:t>
      </w:r>
    </w:p>
    <w:p w14:paraId="5040F70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1.1.3.10 临时占地：是指专用合同条款中指明为实施工程需要临时占用的土地。</w:t>
      </w:r>
    </w:p>
    <w:p w14:paraId="398E3A0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1.1.4 日期和期限</w:t>
      </w:r>
    </w:p>
    <w:p w14:paraId="539CA6D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69F8B46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1.1.4.2 竣工日期：包括计划竣工日期和实际竣工日期。计划竣工日期是指合同协议书约定的竣工日期；实际竣工日期按照第13.2.3项〔竣工日期〕的约定确定。 </w:t>
      </w:r>
    </w:p>
    <w:p w14:paraId="08111F1E">
      <w:pPr>
        <w:pStyle w:val="52"/>
        <w:spacing w:line="520" w:lineRule="exact"/>
        <w:ind w:firstLine="487" w:firstLineChars="203"/>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1.1.4.3 工期：是指在合同协议书约定的承包人完成工程所需的期限，包括按照合同约定所作的期限变更。</w:t>
      </w:r>
    </w:p>
    <w:p w14:paraId="119A215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1.1.4.4 缺陷责任期：是指承包人按照合同约定承担缺陷修复义务，且发包人预留质量保证金（已缴纳履约保证金的除外）的期限，自工程实际竣工日期起计算。</w:t>
      </w:r>
    </w:p>
    <w:p w14:paraId="5DCC82D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1.1.4.5 保修期：是指承包人按照合同约定对工程承担保修责任的期限，从工程竣工验收合格之日起计算。</w:t>
      </w:r>
    </w:p>
    <w:p w14:paraId="6CC0992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1.1.4.6 基准日期：招标发包的工程以投标截止日前28天的日期为基准日期，直接发包的工程以合同签订日前28天的日期为基准日期。</w:t>
      </w:r>
    </w:p>
    <w:p w14:paraId="42B2C4B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1.1.4.7 天：除特别指明外，均指日历天。合同中按天计算时间的，开始当天不计入，从次日开始计算，期限最后一天的截止时间为当天24:00时。</w:t>
      </w:r>
    </w:p>
    <w:p w14:paraId="38AA187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1.1.5 合同价格和费用</w:t>
      </w:r>
    </w:p>
    <w:p w14:paraId="78523FA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1.1.5.1 签约合同价：是指</w:t>
      </w:r>
      <w:r>
        <w:rPr>
          <w:rStyle w:val="22"/>
          <w:rFonts w:hint="eastAsia" w:ascii="宋体" w:hAnsi="宋体" w:eastAsia="宋体" w:cs="宋体"/>
          <w:color w:val="auto"/>
          <w:sz w:val="24"/>
          <w:szCs w:val="24"/>
        </w:rPr>
        <w:t>发包人和承包人在合同协议书中确定的总金额，包括安全文明施工费、暂估价及暂列金额等。</w:t>
      </w:r>
    </w:p>
    <w:p w14:paraId="7931E15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1.1.5.2 合同价格：是指发包人用于支付承包人按照合同约定完成承包范围内全部工作的金额，包括合同履行过程中按合同约定发生的价格变化。</w:t>
      </w:r>
    </w:p>
    <w:p w14:paraId="40A644C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1.1.5.3 费用：是指为履行合同所发生的或将要发生的所有必需的开支，包括管理费和应分摊的其他费用，但不包括利润。</w:t>
      </w:r>
    </w:p>
    <w:p w14:paraId="0FF5CE6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1.1.5.4 暂估价：是指发包人在工程量清单或预算书中提供的用于支付必然发生但暂时不能确定价格的材料、工程设备的单价、专业工程以及服务工作的金额。</w:t>
      </w:r>
    </w:p>
    <w:p w14:paraId="5B1ED30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54B695B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1.1.5.6 计日工：是指合同履行过程中，承包人完成发包人提出的零星工作或需要采用计日工计价的变更工作时，按合同中约定的单价计价的一种方式。</w:t>
      </w:r>
    </w:p>
    <w:p w14:paraId="5BFE2B06">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1.1.5.7 质量保证金：是指按照第15.3款〔质量保证金〕约定承包人用于保证其在缺陷责任期内履行缺陷修补义务的担保</w:t>
      </w:r>
      <w:r>
        <w:rPr>
          <w:rStyle w:val="22"/>
          <w:rFonts w:hint="eastAsia" w:ascii="宋体" w:hAnsi="宋体" w:eastAsia="宋体" w:cs="宋体"/>
          <w:color w:val="auto"/>
          <w:sz w:val="24"/>
          <w:szCs w:val="24"/>
        </w:rPr>
        <w:t>。</w:t>
      </w:r>
    </w:p>
    <w:p w14:paraId="7B31546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1.1.5.8 总价项目：是指在现行国家、行业以及地方的计量规则中无工程量计算规则，在已标价工程量清单或预算书中以总价或以费率形式计算的项目。</w:t>
      </w:r>
    </w:p>
    <w:p w14:paraId="6653FE68">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1.1.6 其他</w:t>
      </w:r>
    </w:p>
    <w:p w14:paraId="49AE9CC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1.1.6.1 书面形式：是指合同文件、信函、电报、传真等可以有形地表现所载内容的形式。</w:t>
      </w:r>
    </w:p>
    <w:p w14:paraId="3AF99C85">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1.2语言文字</w:t>
      </w:r>
    </w:p>
    <w:p w14:paraId="3B4023B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合同以中国的汉语简体文字编写、解释和说明。合同当事人在专用合同条款中约定使用两种以上语言时，汉语为优先解释和说明合同的语言。</w:t>
      </w:r>
    </w:p>
    <w:p w14:paraId="215E9D86">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1.3法律</w:t>
      </w:r>
    </w:p>
    <w:p w14:paraId="1F23B69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合同所称法律是指中华人民共和国法律、行政法规、部门规章，以及工程所在地的地方性法规、自治条例、单行条例和地方政府规章等。</w:t>
      </w:r>
    </w:p>
    <w:p w14:paraId="6586170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合同当事人可以在专用合同条款中约定合同适用的其他规范性文件。</w:t>
      </w:r>
    </w:p>
    <w:p w14:paraId="5122F251">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 标准和规范</w:t>
      </w:r>
    </w:p>
    <w:p w14:paraId="3AAFF4F4">
      <w:pPr>
        <w:pStyle w:val="52"/>
        <w:autoSpaceDE w:val="0"/>
        <w:autoSpaceDN w:val="0"/>
        <w:adjustRightInd w:val="0"/>
        <w:spacing w:line="520" w:lineRule="exact"/>
        <w:ind w:firstLine="64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1.4.1 适用于工程的国家标准、行业标准、工程所在地的地方性标准，以及相应的规范、规程等，合同当事人有特别要求的，应在专用合同条款中约定。</w:t>
      </w:r>
    </w:p>
    <w:p w14:paraId="35E09201">
      <w:pPr>
        <w:pStyle w:val="52"/>
        <w:autoSpaceDE w:val="0"/>
        <w:autoSpaceDN w:val="0"/>
        <w:adjustRightInd w:val="0"/>
        <w:spacing w:line="520" w:lineRule="exact"/>
        <w:ind w:firstLine="64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1.4.2 发包人要求使用国外标准、规范的，发包人负责提供原文版本和中文译本，并在专用合同条款中约定提供标准规范的名称、份数和时间。</w:t>
      </w:r>
    </w:p>
    <w:p w14:paraId="47CBC36E">
      <w:pPr>
        <w:pStyle w:val="52"/>
        <w:autoSpaceDE w:val="0"/>
        <w:autoSpaceDN w:val="0"/>
        <w:adjustRightInd w:val="0"/>
        <w:spacing w:line="520" w:lineRule="exact"/>
        <w:ind w:firstLine="64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5E94383D">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 合同文件的优先顺序</w:t>
      </w:r>
    </w:p>
    <w:p w14:paraId="36CC893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组成合同的各项文件应互相解释，互为说明。除专用合同条款另有约定外，解释合同文件的优先顺序如下：</w:t>
      </w:r>
    </w:p>
    <w:p w14:paraId="3B7D5F5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（1）合同协议书；</w:t>
      </w:r>
    </w:p>
    <w:p w14:paraId="7A182A1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（2）中标通知书（如果有）；</w:t>
      </w:r>
    </w:p>
    <w:p w14:paraId="220AB1B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（3）投标函及其附录（如果有）；</w:t>
      </w:r>
    </w:p>
    <w:p w14:paraId="295F1CB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（4）专用合同条款</w:t>
      </w:r>
      <w:r>
        <w:rPr>
          <w:rStyle w:val="22"/>
          <w:rFonts w:hint="eastAsia" w:ascii="宋体" w:hAnsi="宋体" w:eastAsia="宋体" w:cs="宋体"/>
          <w:color w:val="auto"/>
          <w:sz w:val="24"/>
          <w:szCs w:val="24"/>
        </w:rPr>
        <w:t>及其附件</w:t>
      </w:r>
      <w:r>
        <w:rPr>
          <w:rStyle w:val="22"/>
          <w:rFonts w:hint="eastAsia" w:ascii="宋体" w:hAnsi="宋体" w:eastAsia="宋体" w:cs="宋体"/>
          <w:color w:val="auto"/>
          <w:kern w:val="0"/>
          <w:sz w:val="24"/>
          <w:szCs w:val="24"/>
        </w:rPr>
        <w:t>；</w:t>
      </w:r>
    </w:p>
    <w:p w14:paraId="17F3243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（5）通用合同条款；</w:t>
      </w:r>
    </w:p>
    <w:p w14:paraId="1419A03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（6）技术标准和要求；</w:t>
      </w:r>
    </w:p>
    <w:p w14:paraId="5AACEA4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（7）图纸；</w:t>
      </w:r>
    </w:p>
    <w:p w14:paraId="5E14293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（8）已标价工程量清单或预算书；</w:t>
      </w:r>
    </w:p>
    <w:p w14:paraId="241140C2">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（9）其他合同文件。</w:t>
      </w:r>
    </w:p>
    <w:p w14:paraId="0374B5AB">
      <w:pPr>
        <w:pStyle w:val="52"/>
        <w:spacing w:line="520" w:lineRule="exact"/>
        <w:ind w:firstLine="511" w:firstLineChars="213"/>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上述各项合同文件包括合同当事人就该项合同文件所作出的补充和修改，属于同一类内容的文件，应以最新签署的为准。</w:t>
      </w:r>
    </w:p>
    <w:p w14:paraId="3F53F1BB">
      <w:pPr>
        <w:pStyle w:val="52"/>
        <w:spacing w:line="520" w:lineRule="exact"/>
        <w:ind w:firstLine="511" w:firstLineChars="213"/>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在合同订立及履行过程中形成的与合同有关的文件均构成合同文件组成部分，并根据其性质确定优先解释顺序。</w:t>
      </w:r>
    </w:p>
    <w:p w14:paraId="10984503">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1.6图纸和承包人文件</w:t>
      </w:r>
    </w:p>
    <w:p w14:paraId="282F45F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1.6.1 图纸的提供和交底</w:t>
      </w:r>
    </w:p>
    <w:p w14:paraId="39562BB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573ECA5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因发包人未按合同约定提供图纸导致承包人费用增加和（或）工期延误的，按照第7.5.1项〔因发包人原因导致工期延误〕约定办理。</w:t>
      </w:r>
    </w:p>
    <w:p w14:paraId="5AA686B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1.6.2 图纸的错误</w:t>
      </w:r>
    </w:p>
    <w:p w14:paraId="148EDED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E8069A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1.6.3 图纸的修改和补充</w:t>
      </w:r>
    </w:p>
    <w:p w14:paraId="5A5A9F1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图纸需要修改和补充的，应经图纸原设计人及审批部门同意，并由监理人在工程或工程相应部位施工前将修改后的图纸或补充图纸提交给承包人，承包人应按修改或补充后的图纸施工。</w:t>
      </w:r>
    </w:p>
    <w:p w14:paraId="3C07899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1.6.4 承包人文件</w:t>
      </w:r>
    </w:p>
    <w:p w14:paraId="57E0270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承包人应按照专用合同条款的约定提供应当由其编制的与工程施工有关的文件，并按照专用合同条款约定的期限、数量和形式提交监理人，并由监理人报送发包人。</w:t>
      </w:r>
    </w:p>
    <w:p w14:paraId="2645399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516B2C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1.6.5 图纸和承包人文件的保管</w:t>
      </w:r>
    </w:p>
    <w:p w14:paraId="067159B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除专用合同条款另有约定外，承包人应在施工现场另外保存一套完整的图纸和承包人文件，供发包人、监理人及有关人员进行工程检查时使用。</w:t>
      </w:r>
    </w:p>
    <w:p w14:paraId="345E7540">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1.7联络</w:t>
      </w:r>
    </w:p>
    <w:p w14:paraId="05E8B4E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1.7.1 与合同有关的通知、批准、证明、证书、指示、指令、要求、请求、同意、意见、确定和决定等，均应采用书面形式，并应在合同约定的期限内送达接收人和送达地点。</w:t>
      </w:r>
    </w:p>
    <w:p w14:paraId="2696D47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1.7.2 发包人和承包人应在专用合同条款中约定各自的送达接收人和送达地点。任何一方合同当事人指定的接收人或送达地点发生变动的，应提前3天以书面形式通知对方。</w:t>
      </w:r>
    </w:p>
    <w:p w14:paraId="3BBEE33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1.7.3 发包人和承包人应当及时签收另一方送达至送达地点和指定接收人的来往信函。拒不签收的，由此增加的费用和（或）延误的工期由拒绝接收一方承担。</w:t>
      </w:r>
    </w:p>
    <w:p w14:paraId="2241110C">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1.8严禁贿赂</w:t>
      </w:r>
    </w:p>
    <w:p w14:paraId="6796664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合同当事人不得以贿赂或变相贿赂的方式，谋取非法利益或损害对方权益。因一方合同当事人的贿赂造成对方损失的，应赔偿损失，并承担相应的法律责任。</w:t>
      </w:r>
    </w:p>
    <w:p w14:paraId="17AF7EC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07AD8497">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1.9化石、文物</w:t>
      </w:r>
    </w:p>
    <w:p w14:paraId="0C45AD9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7F243E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发包人、监理人和承包人应按有关政府行政管理部门要求采取妥善的保护措施，由此增加的费用和（或）延误的工期由发包人承担。</w:t>
      </w:r>
    </w:p>
    <w:p w14:paraId="7D07DD7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承包人发现文物后不及时报告或隐瞒不报，致使文物丢失或损坏的，应赔偿损失，并承担相应的法律责任。</w:t>
      </w:r>
    </w:p>
    <w:p w14:paraId="6650A90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1.10交通运输</w:t>
      </w:r>
    </w:p>
    <w:p w14:paraId="1BF0616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1.10.1 出入现场的权利</w:t>
      </w:r>
    </w:p>
    <w:p w14:paraId="2A7B2D0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1ABB27E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14:paraId="72D0EDD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1.10.2 场外交通</w:t>
      </w:r>
    </w:p>
    <w:p w14:paraId="215CFB4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9B7783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1.10.3场内交通</w:t>
      </w:r>
    </w:p>
    <w:p w14:paraId="1871922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55F264D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1809455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场外交通和场内交通的边界由合同当事人在专用合同条款中约定。</w:t>
      </w:r>
    </w:p>
    <w:p w14:paraId="21F71EA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1.10.4 超大件和超重件的运输</w:t>
      </w:r>
    </w:p>
    <w:p w14:paraId="05403DE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0A80A8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1.10.5 道路和桥梁的损坏责任</w:t>
      </w:r>
    </w:p>
    <w:p w14:paraId="695C735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因承包人运输造成施工场地内外公共道路和桥梁损坏的，由承包人承担修复损坏的全部费用和可能引起的赔偿。</w:t>
      </w:r>
    </w:p>
    <w:p w14:paraId="52EEA69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1.10.6 水路和航空运输</w:t>
      </w:r>
    </w:p>
    <w:p w14:paraId="74A5F3E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本款前述各项的内容适用于水路运输和航空运输，其中“道路”一词的涵义包括河道、航线、船闸、机场、码头、堤防以及水路或航空运输中其他相似结构物；“车辆”一词的涵义包括船舶和飞机等。</w:t>
      </w:r>
    </w:p>
    <w:p w14:paraId="207C8FFC">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1.11知识产权 </w:t>
      </w:r>
    </w:p>
    <w:p w14:paraId="1D67363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ED6307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738047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8A2724C">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 xml:space="preserve">    </w:t>
      </w:r>
      <w:r>
        <w:rPr>
          <w:rStyle w:val="22"/>
          <w:rFonts w:hint="eastAsia" w:ascii="宋体" w:hAnsi="宋体" w:eastAsia="宋体" w:cs="宋体"/>
          <w:color w:val="auto"/>
          <w:sz w:val="24"/>
          <w:szCs w:val="24"/>
        </w:rPr>
        <w:t>1.11.4 除专用合同条款另有约定外，承包人在合同签订前和签订时已确定采用的专利、专有技术、技术秘密的使用费已包含在签约合同价中。</w:t>
      </w:r>
    </w:p>
    <w:p w14:paraId="55382AF8">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1.12保密</w:t>
      </w:r>
    </w:p>
    <w:p w14:paraId="4FE2CC8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除法律规定或合同另有约定外，未经发包人同意，承包人不得将发包人提供的图纸、文件以及声明需要保密的资料信息等商业秘密泄露给第三方。</w:t>
      </w:r>
    </w:p>
    <w:p w14:paraId="4197321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除法律规定或合同另有约定外，未经承包人同意，发包人不得将承包人提供的技术秘密及声明需要保密的资料信息等商业秘密泄露给第三方。</w:t>
      </w:r>
    </w:p>
    <w:p w14:paraId="65C0FB93">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1.13工程量清单错误的修正</w:t>
      </w:r>
    </w:p>
    <w:p w14:paraId="6294EC0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除专用合同条款另有约定外，发包人提供的工程量清单，应被认为是准确的和完整的。出现下列情形之一时，发包人应予以修正，并相应调整合同价格：</w:t>
      </w:r>
    </w:p>
    <w:p w14:paraId="6C7AFC1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（1）工程量清单存在缺项、漏项的；</w:t>
      </w:r>
    </w:p>
    <w:p w14:paraId="281C8F2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（2）工程量清单偏差超出专用合同条款约定的工程量偏差范围的；</w:t>
      </w:r>
    </w:p>
    <w:p w14:paraId="3AFC621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（3）未按照国家现行计量规范强制性规定计量的。</w:t>
      </w:r>
    </w:p>
    <w:p w14:paraId="183041CA">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 发包人</w:t>
      </w:r>
    </w:p>
    <w:p w14:paraId="533ED13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2.1 许可或批准</w:t>
      </w:r>
    </w:p>
    <w:p w14:paraId="72512A8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BC521D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因发包人原因未能及时办理完毕前述许可、批准或备案，由发包人承担由此增加的费用和（或）延误的工期，并支付承包人合理的利润。</w:t>
      </w:r>
    </w:p>
    <w:p w14:paraId="133F3F22">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2.2 发包人代表</w:t>
      </w:r>
    </w:p>
    <w:p w14:paraId="5024746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6D91C7D8">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发包人代表不能按照合同约定履行其职责及义务，并导致合同无法继续正常履行的，承包人可以要求发包人撤换发包人代表。</w:t>
      </w:r>
    </w:p>
    <w:p w14:paraId="6F50095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不属于法定必须监理的工程，监理人的职权可以由发包人代表或发包人指定的其他人员行使。</w:t>
      </w:r>
    </w:p>
    <w:p w14:paraId="19EA4CC6">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2.3 发包人人员</w:t>
      </w:r>
    </w:p>
    <w:p w14:paraId="0EBE3A8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发包人应要求在施工现场的发包人人员遵守法律及有关安全、质量、环境保护、文明施工等规定，并保障承包人免于承受因发包人人员未遵守上述要求给承包人造成的损失和责任。</w:t>
      </w:r>
    </w:p>
    <w:p w14:paraId="4F9EE1E0">
      <w:pPr>
        <w:pStyle w:val="52"/>
        <w:spacing w:line="520" w:lineRule="exact"/>
        <w:ind w:firstLine="64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发包人人员包括发包人代表及其他由发包人派驻施工现场的人员。</w:t>
      </w:r>
    </w:p>
    <w:p w14:paraId="65960624">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2.4 施工现场、施工条件和基础资料的提供  </w:t>
      </w:r>
    </w:p>
    <w:p w14:paraId="1BDAFF4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2.4.1 提供施工现场</w:t>
      </w:r>
    </w:p>
    <w:p w14:paraId="5A87D7A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除专用合同条款另有约定外，发包人应最迟于开工日期7天前向承包人移交施工现场。</w:t>
      </w:r>
    </w:p>
    <w:p w14:paraId="7078C6E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2.4.2 提供施工条件</w:t>
      </w:r>
    </w:p>
    <w:p w14:paraId="3B00781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除专用合同条款另有约定外，发包人应负责提供施工所需要的条件，包括：</w:t>
      </w:r>
    </w:p>
    <w:p w14:paraId="12B4F4C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（1）将施工用水、电力、通讯线路等施工所必需的条件接至施工现场内；</w:t>
      </w:r>
    </w:p>
    <w:p w14:paraId="624CA9D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（2）保证向承包人提供正常施工所需要的进入施工现场的交通条件；</w:t>
      </w:r>
    </w:p>
    <w:p w14:paraId="6BF8D00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（3）协调处理施工现场周围地下管线和邻近建筑物、构筑物、古树名木的保护工作，并承担相关费用；</w:t>
      </w:r>
    </w:p>
    <w:p w14:paraId="20F28EA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（4）按照专用合同条款约定应提供的其他设施和条件。</w:t>
      </w:r>
    </w:p>
    <w:p w14:paraId="7B6C6D12">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2.4.3 提供基础资料</w:t>
      </w:r>
    </w:p>
    <w:p w14:paraId="0C2830B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24670EF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按照法律规定确需在开工后方能提供的基础资料，发包人应尽其努力及时地在相应工程施工前的合理期限内提供，合理期限应以不影响承包人的正常施工为限。</w:t>
      </w:r>
    </w:p>
    <w:p w14:paraId="4E0707D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2.4.4 逾期提供的责任</w:t>
      </w:r>
    </w:p>
    <w:p w14:paraId="5E409FD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因发包人原因未能按合同约定及时向承包人提供施工现场、施工条件、基础资料的，由发包人承担由此增加的费用和（或）延误的工期。</w:t>
      </w:r>
    </w:p>
    <w:p w14:paraId="3552117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2.5 资金来源证明及支付担保</w:t>
      </w:r>
    </w:p>
    <w:p w14:paraId="112CE94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除专用合同条款另有约定外，发包人应在收到承包人要求提供资金来源证明的书面通知后28天内，向承包人提供能够按照合同约定支付合同价款的相应资金来源证明。</w:t>
      </w:r>
    </w:p>
    <w:p w14:paraId="65B495C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47FB9C2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2.6 支付合同价款</w:t>
      </w:r>
    </w:p>
    <w:p w14:paraId="7EF4F68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发包人应按合同约定向承包人及时支付合同价款。</w:t>
      </w:r>
    </w:p>
    <w:p w14:paraId="1527A66A">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2.7 组织竣工验收</w:t>
      </w:r>
    </w:p>
    <w:p w14:paraId="244FA18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发包人应按合同约定及时组织竣工验收。</w:t>
      </w:r>
    </w:p>
    <w:p w14:paraId="106647D2">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2.8 现场统一管理协议</w:t>
      </w:r>
    </w:p>
    <w:p w14:paraId="35D3DD2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发包人应与承包人、由发包人直接发包的专业工程的承包人签订施工现场统一管理协议，明确各方的权利义务。施工现场统一管理协议作为专用合同条款的附件。</w:t>
      </w:r>
    </w:p>
    <w:p w14:paraId="12F81493">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 承包人</w:t>
      </w:r>
    </w:p>
    <w:p w14:paraId="5486C980">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3.1 承包人的一般义务</w:t>
      </w:r>
    </w:p>
    <w:p w14:paraId="7BDF9A7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承包人在履行合同过程中应遵守法律和工程建设标准规范，并履行以下义务：</w:t>
      </w:r>
    </w:p>
    <w:p w14:paraId="7BB3CBC7">
      <w:pPr>
        <w:pStyle w:val="52"/>
        <w:numPr>
          <w:ilvl w:val="0"/>
          <w:numId w:val="1"/>
        </w:numPr>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办理法律规定应由承包人办理的许可和批准，并将办理结果书面报送发包人留存；</w:t>
      </w:r>
    </w:p>
    <w:p w14:paraId="3DF2587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（2）按法律规定和合同约定完成工程，并在保修期内承担保修义务；</w:t>
      </w:r>
    </w:p>
    <w:p w14:paraId="580B7A3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（3）按法律规定和合同约定采取施工安全和环境保护措施，办理工伤保险，确保工程及人员、材料、设备和设施的安全；</w:t>
      </w:r>
    </w:p>
    <w:p w14:paraId="2D0FA74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（4）按合同约定的工作内容和施工进度要求，编制施工组织设计和施工措施计划，并对所有施工作业和施工方法的完备性和安全可靠性负责；</w:t>
      </w:r>
    </w:p>
    <w:p w14:paraId="491E505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771A17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（6）按照第6.3款〔环境保护〕约定负责施工场地及其周边环境与生态的保护工作；</w:t>
      </w:r>
    </w:p>
    <w:p w14:paraId="6076878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（7）按第6.1款〔安全文明施工〕约定采取施工安全措施，确保工程及其人员、材料、设备和设施的安全，防止因工程施工造成的人身伤害和财产损失；</w:t>
      </w:r>
    </w:p>
    <w:p w14:paraId="69427BB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（8）将发包人按合同约定支付的各项价款专用于合同工程，且应及时支付其雇用人员工资，并及时向分包人支付合同价款；</w:t>
      </w:r>
    </w:p>
    <w:p w14:paraId="3C573F0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（9）按照法律规定和合同约定编制竣工资料，完成竣工资料立卷及归档，并按专用合同条款约定的竣工资料的套数、内容、时间等要求移交发包人；</w:t>
      </w:r>
    </w:p>
    <w:p w14:paraId="604858F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（10）应履行的其他义务。</w:t>
      </w:r>
    </w:p>
    <w:p w14:paraId="70B60ED7">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3.2 项目经理</w:t>
      </w:r>
    </w:p>
    <w:p w14:paraId="26FEE8C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28360E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84A0FF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承包人违反上述约定的，应按照专用合同条款的约定，承担违约责任。</w:t>
      </w:r>
    </w:p>
    <w:p w14:paraId="7629702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C37E69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E9A532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5B7294B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3.2.5 项目经理因特殊情况授权其下属人员履行其某项工作职责的，该下属人员应具备履行相应职责的能力，并应提前7天将上述人员的姓名和授权范围书面通知监理人，并征得发包人书面同意。</w:t>
      </w:r>
    </w:p>
    <w:p w14:paraId="15D7E8D3">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3.3 承包人人员</w:t>
      </w:r>
    </w:p>
    <w:p w14:paraId="5F9B3F6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49B58C5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582E6DD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特殊工种作业人员均应持有相应的资格证明，监理人可以随时检查。</w:t>
      </w:r>
    </w:p>
    <w:p w14:paraId="4FD0399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C8073B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7E02A27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3.3.5 承包人擅自更换主要施工管理人员，或前述人员未经监理人或发包人同意擅自离开施工现场的，应按照专用合同条款约定承担违约责任。</w:t>
      </w:r>
    </w:p>
    <w:p w14:paraId="7C9A58F4">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3.4 承包人现场查勘</w:t>
      </w:r>
    </w:p>
    <w:p w14:paraId="3D550719">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承包人应对基于发包人按照第2.4.3项〔提供基础资料〕提交的基础资料所做出的解释和推断负责，但因基础资料存在错误、遗漏导致承包人解释或推断失实的，由发包人承担责任。</w:t>
      </w:r>
    </w:p>
    <w:p w14:paraId="37C0D3D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8E48F1C">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3.5 分包</w:t>
      </w:r>
    </w:p>
    <w:p w14:paraId="21C9D2C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3.5.1 分包的一般约定</w:t>
      </w:r>
    </w:p>
    <w:p w14:paraId="1A222EC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1D99F80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承包人不得以劳务分包的名义转包或违法分包工程。</w:t>
      </w:r>
    </w:p>
    <w:p w14:paraId="36B9A80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3.5.2 分包的确定</w:t>
      </w:r>
    </w:p>
    <w:p w14:paraId="4120024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2DC241D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3.5.3 分包管理</w:t>
      </w:r>
    </w:p>
    <w:p w14:paraId="49A9FAE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承包人应向监理人提交分包人的主要施工管理人员表，并对分包人的施工人员进行实名制管理，包括但不限于进出场管理、登记造册以及各种证照的办理。</w:t>
      </w:r>
    </w:p>
    <w:p w14:paraId="0E55768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3.5.4 分包合同价款</w:t>
      </w:r>
    </w:p>
    <w:p w14:paraId="48DB005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（1）除本项第（2）目约定的情况或专用合同条款另有约定外，分包合同价款由承包人与分包人结算，未经承包人同意，发包人不得向分包人支付分包工程价款；</w:t>
      </w:r>
    </w:p>
    <w:p w14:paraId="2242796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（2）生效法律文书要求发包人向分包人支付分包合同价款的，发包人有权从应付承包人工程款中扣除该部分款项。</w:t>
      </w:r>
    </w:p>
    <w:p w14:paraId="1C269B6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3.5.5 分包合同权益的转让</w:t>
      </w:r>
    </w:p>
    <w:p w14:paraId="2B5226E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2548A68A">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3.6 工程照管与成品、半成品保护</w:t>
      </w:r>
    </w:p>
    <w:p w14:paraId="2A697F0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（1）除专用合同条款另有约定外，自发包人向承包人移交施工现场之日起，承包人应负责照管工程及工程相关的材料、工程设备，直到颁发工程接收证书之日止。</w:t>
      </w:r>
    </w:p>
    <w:p w14:paraId="3D7E881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（2）在承包人负责照管期间，因承包人原因造成工程、材料、工程设备损坏的，由承包人负责修复或更换，并承担由此增加的费用和（或）延误的工期。</w:t>
      </w:r>
    </w:p>
    <w:p w14:paraId="66A9638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14:paraId="68E0EE68">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3.7 履约担保</w:t>
      </w:r>
    </w:p>
    <w:p w14:paraId="459324B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08E12C7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因承包人原因导致工期延长的，继续提供履约担保所增加的费用由承包人承担；非因承包人原因导致工期延长的，继续提供履约担保所增加的费用由发包人承担。</w:t>
      </w:r>
    </w:p>
    <w:p w14:paraId="75C23ADF">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3.8 联合体</w:t>
      </w:r>
    </w:p>
    <w:p w14:paraId="1C258B9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3.8.1 联合体各方应共同与发包人签订合同协议书。联合体各方应为履行合同向发包人承担连带责任。</w:t>
      </w:r>
    </w:p>
    <w:p w14:paraId="748D3FE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3.8.2 联合体协议经发包人确认后作为合同附件。在履行合同过程中，未经发包人同意，不得修改联合体协议。</w:t>
      </w:r>
    </w:p>
    <w:p w14:paraId="6A6A6CF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3.8.3 联合体牵头人负责与发包人和监理人联系，并接受指示，负责组织联合体各成员全面履行合同。</w:t>
      </w:r>
    </w:p>
    <w:p w14:paraId="57C0CAF6">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 监理人</w:t>
      </w:r>
    </w:p>
    <w:p w14:paraId="05E54E2B">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4.1监理人的一般规定</w:t>
      </w:r>
    </w:p>
    <w:p w14:paraId="08F0510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153831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除专用合同条款另有约定外，监理人在施工现场的办公场所、生活场所由承包人提供，所发生的费用由发包人承担。</w:t>
      </w:r>
    </w:p>
    <w:p w14:paraId="66D5F5AD">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4.2监理人员</w:t>
      </w:r>
    </w:p>
    <w:p w14:paraId="2102B83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F5BE8F2">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4.3监理人的指示</w:t>
      </w:r>
    </w:p>
    <w:p w14:paraId="07D64AF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8D1163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43880DD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承包人对监理人发出的指示有疑问的，应向监理人提出书面异议，监理人应在48小时内对该指示予以确认、更改或撤销，监理人逾期未回复的，承包人有权拒绝执行上述指示。</w:t>
      </w:r>
    </w:p>
    <w:p w14:paraId="19DCF35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监理人对承包人的任何工作、工程或其采用的材料和工程设备未在约定的或合理期限内提出意见的，视为批准，但不免除或减轻承包人对该工作、工程、材料、工程设备等应承担的责任和义务。</w:t>
      </w:r>
    </w:p>
    <w:p w14:paraId="3BF0FA67">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4.4 商定或确定</w:t>
      </w:r>
    </w:p>
    <w:p w14:paraId="19EDA34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合同当事人进行商定或确定时，总监理工程师应当会同合同当事人尽量通过协商达成一致，不能达成一致的，由总监理工程师按照合同约定审慎做出公正的确定。</w:t>
      </w:r>
    </w:p>
    <w:p w14:paraId="44F548E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379C4D23">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 工程质量</w:t>
      </w:r>
    </w:p>
    <w:p w14:paraId="74CADBA9">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5.1质量要求</w:t>
      </w:r>
    </w:p>
    <w:p w14:paraId="2287636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5.1.1 工程质量标准必须符合现行国家有关工程施工质量验收规范和标准的要求。有关工程质量的特殊标准或要求由合同当事人在专用合同条款中约定。</w:t>
      </w:r>
    </w:p>
    <w:p w14:paraId="37F7C9A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5.1.2 因发包人原因造成工程质量未达到合同约定标准的，由发包人承担由此增加的费用和（或）延误的工期，并支付承包人合理的利润。</w:t>
      </w:r>
    </w:p>
    <w:p w14:paraId="587700D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5.1.3 因承包人原因造成工程质量未达到合同约定标准的，发包人有权要求承包人返工直至工程质量达到合同约定的标准为止，并由承包人承担由此增加的费用和（或）延误的工期。</w:t>
      </w:r>
    </w:p>
    <w:p w14:paraId="70145679">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5.2质量保证措施</w:t>
      </w:r>
    </w:p>
    <w:p w14:paraId="323D621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5.2.1 发包人的质量管理</w:t>
      </w:r>
    </w:p>
    <w:p w14:paraId="7B46F82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发包人应按照法律规定及合同约定完成与工程质量有关的各项工作。</w:t>
      </w:r>
    </w:p>
    <w:p w14:paraId="4C41982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5.2.2 承包人的质量管理</w:t>
      </w:r>
    </w:p>
    <w:p w14:paraId="0F7FE69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6C97F30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承包人应对施工人员进行质量教育和技术培训，定期考核施工人员的劳动技能，严格执行施工规范和操作规程。</w:t>
      </w:r>
    </w:p>
    <w:p w14:paraId="1398E06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D66B39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5.2.3 监理人的质量检查和检验</w:t>
      </w:r>
    </w:p>
    <w:p w14:paraId="117DA62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312683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4AD5169A">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5.3 隐蔽工程检查</w:t>
      </w:r>
    </w:p>
    <w:p w14:paraId="54FDCDC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5.3.1承包人自检</w:t>
      </w:r>
    </w:p>
    <w:p w14:paraId="5360264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承包人应当对工程隐蔽部位进行自检，并经自检确认是否具备覆盖条件。</w:t>
      </w:r>
    </w:p>
    <w:p w14:paraId="5FC1BC5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5.3.2检查程序</w:t>
      </w:r>
    </w:p>
    <w:p w14:paraId="49C2025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19D443F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40087BB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175DDEF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5.3.3 重新检查</w:t>
      </w:r>
    </w:p>
    <w:p w14:paraId="312C704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1BEA95F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5.3.4 承包人私自覆盖</w:t>
      </w:r>
    </w:p>
    <w:p w14:paraId="1052A30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14:paraId="00BBA78F">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5.4不合格工程的处理</w:t>
      </w:r>
    </w:p>
    <w:p w14:paraId="34B58FD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5115EEC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5.4.2 因发包人原因造成工程不合格的，由此增加的费用和（或）延误的工期由发包人承担，并支付承包人合理的利润。</w:t>
      </w:r>
    </w:p>
    <w:p w14:paraId="62B7655E">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5.5 质量争议检测</w:t>
      </w:r>
    </w:p>
    <w:p w14:paraId="07A3F3B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合同当事人对工程质量有争议的，由双方协商确定的工程质量检测机构鉴定，由此产生的费用及因此造成的损失，由责任方承担。</w:t>
      </w:r>
    </w:p>
    <w:p w14:paraId="329A3749">
      <w:pPr>
        <w:pStyle w:val="52"/>
        <w:autoSpaceDE w:val="0"/>
        <w:autoSpaceDN w:val="0"/>
        <w:adjustRightInd w:val="0"/>
        <w:spacing w:line="520" w:lineRule="exact"/>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合同当事人均有责任的，由双方根据其责任分别承担。合同当事人无法达成一致的，按照第4.4款〔商定或确定〕执行。</w:t>
      </w:r>
    </w:p>
    <w:p w14:paraId="1C1CDBA8">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 安全文明施工与环境保护</w:t>
      </w:r>
    </w:p>
    <w:p w14:paraId="2F5FAA2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6.1安全文明施工</w:t>
      </w:r>
    </w:p>
    <w:p w14:paraId="6174C06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6.1.1安全生产要求</w:t>
      </w:r>
    </w:p>
    <w:p w14:paraId="6F4D5B4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6AEB1A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在施工过程中，如遇到突发的地质变动、事先未知的地下施工障碍等影响施工安全的紧急情况，承包人应及时报告监理人和发包人，发包人应当及时下令停工并报</w:t>
      </w:r>
      <w:r>
        <w:rPr>
          <w:rStyle w:val="22"/>
          <w:rFonts w:hint="eastAsia" w:ascii="宋体" w:hAnsi="宋体" w:eastAsia="宋体" w:cs="宋体"/>
          <w:color w:val="auto"/>
          <w:kern w:val="0"/>
          <w:sz w:val="24"/>
          <w:szCs w:val="24"/>
        </w:rPr>
        <w:t>政府有关行政管理部门</w:t>
      </w:r>
      <w:r>
        <w:rPr>
          <w:rStyle w:val="22"/>
          <w:rFonts w:hint="eastAsia" w:ascii="宋体" w:hAnsi="宋体" w:eastAsia="宋体" w:cs="宋体"/>
          <w:color w:val="auto"/>
          <w:sz w:val="24"/>
          <w:szCs w:val="24"/>
        </w:rPr>
        <w:t>采取应急措施。</w:t>
      </w:r>
    </w:p>
    <w:p w14:paraId="5741044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因安全生产需要暂停施工的，按照第7.8款〔暂停施工〕的约定执行。</w:t>
      </w:r>
    </w:p>
    <w:p w14:paraId="11D185BC">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6.1.2 安全生产保证措施</w:t>
      </w:r>
    </w:p>
    <w:p w14:paraId="4C9A2F2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承包人应当按照有关</w:t>
      </w:r>
      <w:r>
        <w:rPr>
          <w:rStyle w:val="22"/>
          <w:rFonts w:hint="eastAsia" w:ascii="宋体" w:hAnsi="宋体" w:eastAsia="宋体" w:cs="宋体"/>
          <w:color w:val="auto"/>
          <w:kern w:val="0"/>
          <w:sz w:val="24"/>
          <w:szCs w:val="24"/>
        </w:rPr>
        <w:t>规定编制安全技术措施或者专项施工方案，</w:t>
      </w:r>
      <w:r>
        <w:rPr>
          <w:rStyle w:val="22"/>
          <w:rFonts w:hint="eastAsia" w:ascii="宋体" w:hAnsi="宋体" w:eastAsia="宋体" w:cs="宋体"/>
          <w:color w:val="auto"/>
          <w:sz w:val="24"/>
          <w:szCs w:val="24"/>
        </w:rPr>
        <w:t>建立安全生产责任制度、治安保卫制度及安全生产教育培训制度，并</w:t>
      </w:r>
      <w:r>
        <w:rPr>
          <w:rStyle w:val="22"/>
          <w:rFonts w:hint="eastAsia" w:ascii="宋体" w:hAnsi="宋体" w:eastAsia="宋体" w:cs="宋体"/>
          <w:color w:val="auto"/>
          <w:kern w:val="0"/>
          <w:sz w:val="24"/>
          <w:szCs w:val="24"/>
        </w:rPr>
        <w:t>按安全生产法律规定及合同约定履行安全职责，如实</w:t>
      </w:r>
      <w:r>
        <w:rPr>
          <w:rStyle w:val="22"/>
          <w:rFonts w:hint="eastAsia" w:ascii="宋体" w:hAnsi="宋体" w:eastAsia="宋体" w:cs="宋体"/>
          <w:color w:val="auto"/>
          <w:sz w:val="24"/>
          <w:szCs w:val="24"/>
        </w:rPr>
        <w:t>编制工程安全生产的有关记录，</w:t>
      </w:r>
      <w:r>
        <w:rPr>
          <w:rStyle w:val="22"/>
          <w:rFonts w:hint="eastAsia" w:ascii="宋体" w:hAnsi="宋体" w:eastAsia="宋体" w:cs="宋体"/>
          <w:color w:val="auto"/>
          <w:kern w:val="0"/>
          <w:sz w:val="24"/>
          <w:szCs w:val="24"/>
        </w:rPr>
        <w:t>接受发包人、监理人及政府安全监督部门的检查与监督。</w:t>
      </w:r>
    </w:p>
    <w:p w14:paraId="26C3D521">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6.1.3特别安全生产事项</w:t>
      </w:r>
    </w:p>
    <w:p w14:paraId="500637C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4B14F91">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承包人在动力设备、输电线路、地下管道、密封防震车间、易燃易爆地段以及临街交通要道附近施工时，施工开始前应向发包人和监理人提出安全防护措施，经发包人认可后实施。 </w:t>
      </w:r>
    </w:p>
    <w:p w14:paraId="546FFA9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14:paraId="48CC8672">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需单独编制危险性较大分部分项专项工程施工方案的，及要求进行专家论证的超过一定规模的危险性较大的分部分项工程，承包人应及时编制和组织论证。</w:t>
      </w:r>
    </w:p>
    <w:p w14:paraId="65F823C2">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6.1.4 治安保卫</w:t>
      </w:r>
    </w:p>
    <w:p w14:paraId="3E971090">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除专用合同条款另有约定外，发包人应与当地公安部门协商，在现场建立治安管理机构或联防组织，统一管理施工场地的治安保卫事项，履行合同工程的治安保卫职责。</w:t>
      </w:r>
    </w:p>
    <w:p w14:paraId="215AC60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发包人和承包人除应协助现场治安管理机构或联防组织维护施工场地的社会治安外，还应做好包括生活区在内的各自管辖区的治安保卫工作。</w:t>
      </w:r>
    </w:p>
    <w:p w14:paraId="7130BC30">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0470A522">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6.1.5 文明施工</w:t>
      </w:r>
    </w:p>
    <w:p w14:paraId="4DCDBD6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1F8CDE1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2CE825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6.1.6 安全文明施工费</w:t>
      </w:r>
    </w:p>
    <w:p w14:paraId="6AD31ED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安全文明施工费由发包人承担，发包人不得以任何形式扣减该部分费用。因基准日期后合同所适用的法律或政府有关规定发生变化，增加的安全文明施工费由发包人承担。</w:t>
      </w:r>
    </w:p>
    <w:p w14:paraId="4E4DCCA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13C3E1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661A65A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363565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6.1.7 紧急情况处理</w:t>
      </w:r>
    </w:p>
    <w:p w14:paraId="4F84B61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62BA0E2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6.1.8 事故处理</w:t>
      </w:r>
    </w:p>
    <w:p w14:paraId="0EF9730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701F12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6.1.9 安全生产责任</w:t>
      </w:r>
    </w:p>
    <w:p w14:paraId="0989429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6.1.9.1 发包人的安全责任</w:t>
      </w:r>
    </w:p>
    <w:p w14:paraId="1B3788E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发包人应负责赔偿以下各种情况造成的损失：</w:t>
      </w:r>
    </w:p>
    <w:p w14:paraId="5B9F5BFC">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（1）工程或工程的任何部分对土地的占用所造成的第三者财产损失；</w:t>
      </w:r>
    </w:p>
    <w:p w14:paraId="43016E5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（2）由于发包人原因在施工场地及其毗邻地带造成的第三者人身伤亡和财产损失；</w:t>
      </w:r>
    </w:p>
    <w:p w14:paraId="566109C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（3）由于发包人原因对承包人、监理人造成的人员人身伤亡和财产损失；</w:t>
      </w:r>
    </w:p>
    <w:p w14:paraId="2BA2A01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（4）由于发包人原因造成的发包人自身人员的人身伤害以及财产损失。</w:t>
      </w:r>
    </w:p>
    <w:p w14:paraId="73B2484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6.1.9.2 承包人的安全责任</w:t>
      </w:r>
    </w:p>
    <w:p w14:paraId="3697CD5B">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由于承包人原因在施工场地内及其毗邻地带造成的发包人、监理人以及第三者人员伤亡和财产损失，由承包人负责赔偿。</w:t>
      </w:r>
    </w:p>
    <w:p w14:paraId="14176FC3">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6.2 职业健康</w:t>
      </w:r>
    </w:p>
    <w:p w14:paraId="2BDD174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6.2.1 劳动保护</w:t>
      </w:r>
    </w:p>
    <w:p w14:paraId="13A7F51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6C9119E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45D92A2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14:paraId="6AFAB49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6.2.2 生活条件</w:t>
      </w:r>
    </w:p>
    <w:p w14:paraId="7BDB85B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0443F70">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6.3 环境保护</w:t>
      </w:r>
    </w:p>
    <w:p w14:paraId="46C28C1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C2B3AC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承包人应当承担因其原因引起的环境污染侵权损害赔偿责任，因上述环境污染引起纠纷而导致暂停施工的，由此增加的费用和（或）延误的工期由承包人承担。</w:t>
      </w:r>
    </w:p>
    <w:p w14:paraId="441D776E">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 工期和进度</w:t>
      </w:r>
    </w:p>
    <w:p w14:paraId="629B0F89">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7.1施工组织设计</w:t>
      </w:r>
    </w:p>
    <w:p w14:paraId="773120B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 xml:space="preserve">7.1.1 </w:t>
      </w:r>
      <w:r>
        <w:rPr>
          <w:rStyle w:val="22"/>
          <w:rFonts w:hint="eastAsia" w:ascii="宋体" w:hAnsi="宋体" w:eastAsia="宋体" w:cs="宋体"/>
          <w:color w:val="auto"/>
          <w:kern w:val="0"/>
          <w:sz w:val="24"/>
          <w:szCs w:val="24"/>
        </w:rPr>
        <w:t>施工组织设计的内容</w:t>
      </w:r>
    </w:p>
    <w:p w14:paraId="3BB99B3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施工组织设计应包含以下内容：</w:t>
      </w:r>
    </w:p>
    <w:p w14:paraId="7E32C2B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（1）施工方案； </w:t>
      </w:r>
    </w:p>
    <w:p w14:paraId="599C1E8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（2）施工现场平面布置图；</w:t>
      </w:r>
    </w:p>
    <w:p w14:paraId="78A99EF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（3）施工进度计划和保证措施； </w:t>
      </w:r>
    </w:p>
    <w:p w14:paraId="653D00B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（4）劳动力及材料供应计划；</w:t>
      </w:r>
    </w:p>
    <w:p w14:paraId="0E302E4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（5）施工机械设备的选用；</w:t>
      </w:r>
    </w:p>
    <w:p w14:paraId="662ECCE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（6）质量保证体系及措施；</w:t>
      </w:r>
    </w:p>
    <w:p w14:paraId="2CF3323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（7）安全生产、文明施工措施；</w:t>
      </w:r>
    </w:p>
    <w:p w14:paraId="6D45DF2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（8）环境保护、成本控制措施；</w:t>
      </w:r>
    </w:p>
    <w:p w14:paraId="4F34724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（9）合同当事人约定的其他内容。</w:t>
      </w:r>
    </w:p>
    <w:p w14:paraId="6426E0A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 xml:space="preserve">7.1.2 </w:t>
      </w:r>
      <w:r>
        <w:rPr>
          <w:rStyle w:val="22"/>
          <w:rFonts w:hint="eastAsia" w:ascii="宋体" w:hAnsi="宋体" w:eastAsia="宋体" w:cs="宋体"/>
          <w:color w:val="auto"/>
          <w:kern w:val="0"/>
          <w:sz w:val="24"/>
          <w:szCs w:val="24"/>
        </w:rPr>
        <w:t>施工组织设计的提交和修改</w:t>
      </w:r>
    </w:p>
    <w:p w14:paraId="2C2CA53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3284F02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施工进度计划的编制和修改按照第7.2款〔施工进度计划〕执行。</w:t>
      </w:r>
    </w:p>
    <w:p w14:paraId="3D10F90E">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7.2 施工进度计划</w:t>
      </w:r>
    </w:p>
    <w:p w14:paraId="39A6D98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7.2.1 施工进度计划的编制</w:t>
      </w:r>
    </w:p>
    <w:p w14:paraId="3014AB2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FAB0B3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7.2.2 施工进度计划的修订</w:t>
      </w:r>
    </w:p>
    <w:p w14:paraId="09DA496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6C6E061">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7.3 开工</w:t>
      </w:r>
    </w:p>
    <w:p w14:paraId="21E4FA2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7.3.1 开工准备</w:t>
      </w:r>
    </w:p>
    <w:p w14:paraId="39DCC84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C6FA90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除专用合同条款另有约定外，合同当事人应按约定完成开工准备工作。</w:t>
      </w:r>
    </w:p>
    <w:p w14:paraId="59EC1FC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7.3.2 开工通知</w:t>
      </w:r>
    </w:p>
    <w:p w14:paraId="2EF6D8F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5D7F3F3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2A486666">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7.4测量放线</w:t>
      </w:r>
    </w:p>
    <w:p w14:paraId="677FFAF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A1DF7C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8AFDAF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88FE13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施工过程中对施工现场内水准点等测量标志物的保护工作由承包人负责。</w:t>
      </w:r>
    </w:p>
    <w:p w14:paraId="2CA8CF6A">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7.5 工期延误</w:t>
      </w:r>
    </w:p>
    <w:p w14:paraId="3B006E0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7.5.1 因发包人原因导致工期延误</w:t>
      </w:r>
    </w:p>
    <w:p w14:paraId="02DCB8B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在合同履行过程中，因下列情况导致工期延误和（或）费用增加的，由发包人承担由此延误的工期和（或）增加的费用，且发包人应支付承包人合理的利润： </w:t>
      </w:r>
    </w:p>
    <w:p w14:paraId="6EBB356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（1）发包人未能按合同约定提供图纸或所提供图纸不符合合同约定的；</w:t>
      </w:r>
    </w:p>
    <w:p w14:paraId="4749407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（2）发包人未能按合同约定提供施工现场、施工条件、基础资料、许可、批准等开工条件的；</w:t>
      </w:r>
    </w:p>
    <w:p w14:paraId="26DF81A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（3）发包人提供的测量基准点、基准线和水准点及其书面资料存在错误或疏漏的；</w:t>
      </w:r>
    </w:p>
    <w:p w14:paraId="64FEDE5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（4）发包人未能在计划开工日期之日起7天内同意下达开工通知的；</w:t>
      </w:r>
    </w:p>
    <w:p w14:paraId="005684B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（5）发包人未能按合同约定日期支付工程预付款、进度款或竣工结算款的；</w:t>
      </w:r>
    </w:p>
    <w:p w14:paraId="19D7230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（6）监理人未按合同约定发出指示、批准等文件的；</w:t>
      </w:r>
    </w:p>
    <w:p w14:paraId="4BFB5D0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（7）专用合同条款中约定的其他情形。</w:t>
      </w:r>
    </w:p>
    <w:p w14:paraId="1503CD3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642E7ACE">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7.5.2 因承包人原因导致工期延误</w:t>
      </w:r>
    </w:p>
    <w:p w14:paraId="0E04D77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因承包人原因造成工期延误的，可以在专用合同条款中约定逾期竣工违约金的计算方法和逾期竣工违约金的上限。承包人支付逾期竣工违约金后，不免除承包人继续完成工程及修补缺陷的义务。</w:t>
      </w:r>
    </w:p>
    <w:p w14:paraId="34E4738C">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7.6 不利物质条件</w:t>
      </w:r>
    </w:p>
    <w:p w14:paraId="50A6B1E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4904740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14DA3128">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7.7 异常恶劣的气候条件</w:t>
      </w:r>
    </w:p>
    <w:p w14:paraId="39F34BB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4F6C42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33B5DF75">
      <w:pPr>
        <w:pStyle w:val="52"/>
        <w:autoSpaceDE w:val="0"/>
        <w:autoSpaceDN w:val="0"/>
        <w:adjustRightInd w:val="0"/>
        <w:spacing w:line="520" w:lineRule="exact"/>
        <w:ind w:firstLine="480" w:firstLineChars="200"/>
        <w:jc w:val="left"/>
        <w:rPr>
          <w:rStyle w:val="22"/>
          <w:rFonts w:hint="eastAsia" w:ascii="宋体" w:hAnsi="宋体" w:eastAsia="宋体" w:cs="宋体"/>
          <w:bCs/>
          <w:color w:val="auto"/>
          <w:sz w:val="24"/>
          <w:szCs w:val="24"/>
        </w:rPr>
      </w:pPr>
      <w:r>
        <w:rPr>
          <w:rStyle w:val="22"/>
          <w:rFonts w:hint="eastAsia" w:ascii="宋体" w:hAnsi="宋体" w:eastAsia="宋体" w:cs="宋体"/>
          <w:bCs/>
          <w:color w:val="auto"/>
          <w:sz w:val="24"/>
          <w:szCs w:val="24"/>
        </w:rPr>
        <w:t>7.8 暂停施工</w:t>
      </w:r>
    </w:p>
    <w:p w14:paraId="1179E54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7.8.1发包人原因引起的暂停施工</w:t>
      </w:r>
    </w:p>
    <w:p w14:paraId="33B3D6B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因发包人原因引起暂停施工的，监理人经发包人同意后，应及时下达暂停施工指示。情况紧急且监理人未及时下达暂停施工指示的，按照第7.8.4项〔紧急情况下的暂停施工〕执行。</w:t>
      </w:r>
    </w:p>
    <w:p w14:paraId="07AC2F2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因发包人原因引起的暂停施工，发包人应承担由此增加的费用和（或）延误的工期，并支付承包人合理的利润。</w:t>
      </w:r>
    </w:p>
    <w:p w14:paraId="2297E16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7.8.2 承包人原因引起的暂停施工</w:t>
      </w:r>
    </w:p>
    <w:p w14:paraId="2DBD847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08A0113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7.8.3 指示暂停施工</w:t>
      </w:r>
    </w:p>
    <w:p w14:paraId="01E9672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监理人认为有必要时，并经发包人批准后，可向承包人作出暂停施工的指示，承包人应按监理人指示暂停施工。</w:t>
      </w:r>
    </w:p>
    <w:p w14:paraId="15E8564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7.8.4 紧急情况下的暂停施工</w:t>
      </w:r>
    </w:p>
    <w:p w14:paraId="1118A88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3ADC3C8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7.8.5 暂停施工后的复工</w:t>
      </w:r>
    </w:p>
    <w:p w14:paraId="12192DD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1FE77CA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承包人无故拖延和拒绝复工的，承包人承担由此增加的费用和（或）延误的工期；因发包人原因无法按时复工的，按照第7.5.1项〔因发包人原因导致工期延误〕约定办理。</w:t>
      </w:r>
    </w:p>
    <w:p w14:paraId="33ACC29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7.8.6 暂停施工持续56天以上</w:t>
      </w:r>
    </w:p>
    <w:p w14:paraId="41111F16">
      <w:pPr>
        <w:pStyle w:val="52"/>
        <w:spacing w:line="520" w:lineRule="exact"/>
        <w:ind w:firstLine="468" w:firstLineChars="195"/>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5FE5A863">
      <w:pPr>
        <w:pStyle w:val="52"/>
        <w:spacing w:line="520" w:lineRule="exact"/>
        <w:ind w:firstLine="468" w:firstLineChars="195"/>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07FFCBC8">
      <w:pPr>
        <w:pStyle w:val="52"/>
        <w:spacing w:line="520" w:lineRule="exact"/>
        <w:ind w:left="16" w:firstLine="468" w:firstLineChars="195"/>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7.8.7 暂停施工期间的工程照管</w:t>
      </w:r>
    </w:p>
    <w:p w14:paraId="34A8F16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暂停施工期间，承包人应负责妥善照管工程并提供安全保障，由此增加的费用由责任方承担。</w:t>
      </w:r>
    </w:p>
    <w:p w14:paraId="5132D95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7.8.8 暂停施工的措施</w:t>
      </w:r>
    </w:p>
    <w:p w14:paraId="5B99407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暂停施工期间，发包人和承包人均应采取必要的措施确保工程质量及安全，防止因暂停施工扩大损失。</w:t>
      </w:r>
    </w:p>
    <w:p w14:paraId="14B4A6AF">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7.9提前竣工</w:t>
      </w:r>
    </w:p>
    <w:p w14:paraId="1B48E13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695223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7.9.2 发包人要求承包人提前竣工，或承包人提出提前竣工的建议能够给发包人带来效益的，合同当事人可以在专用合同条款中约定提前竣工的奖励。</w:t>
      </w:r>
    </w:p>
    <w:p w14:paraId="09AB0932">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 材料与设备</w:t>
      </w:r>
    </w:p>
    <w:p w14:paraId="709017EB">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8.1发包人供应材料与工程设备</w:t>
      </w:r>
    </w:p>
    <w:p w14:paraId="5EF7962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发包人自行供应材料、工程设备的，应在签订合同时在专用合同条款的附件《发包人供应材料设备一览表》中明确材料、工程设备的品种、规格、型号、数量、单价、质量等级和送达地点。</w:t>
      </w:r>
    </w:p>
    <w:p w14:paraId="062E344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687B9702">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8.2承包人采购材料与工程设备</w:t>
      </w:r>
    </w:p>
    <w:p w14:paraId="5C1AC8C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A9F308D">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8.3材料与工程设备的接收与拒收</w:t>
      </w:r>
    </w:p>
    <w:p w14:paraId="067AA7B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207DE0D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发包人提供的材料和工程设备的规格、数量或质量不符合合同约定的，或因发包人原因导致交货日期延误或交货地点变更等情况的，按照第16.1款〔发包人违约〕约定办理。</w:t>
      </w:r>
    </w:p>
    <w:p w14:paraId="358DF2A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570FBFFA">
      <w:pPr>
        <w:pStyle w:val="52"/>
        <w:autoSpaceDE w:val="0"/>
        <w:autoSpaceDN w:val="0"/>
        <w:adjustRightInd w:val="0"/>
        <w:spacing w:line="520" w:lineRule="exact"/>
        <w:ind w:firstLine="360" w:firstLineChars="15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D45D97D">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8.4材料与工程设备的保管与使用</w:t>
      </w:r>
    </w:p>
    <w:p w14:paraId="0F316F1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8.4.1 发包人供应</w:t>
      </w:r>
      <w:r>
        <w:rPr>
          <w:rStyle w:val="22"/>
          <w:rFonts w:hint="eastAsia" w:ascii="宋体" w:hAnsi="宋体" w:eastAsia="宋体" w:cs="宋体"/>
          <w:color w:val="auto"/>
          <w:sz w:val="24"/>
          <w:szCs w:val="24"/>
        </w:rPr>
        <w:t>材料与</w:t>
      </w:r>
      <w:r>
        <w:rPr>
          <w:rStyle w:val="22"/>
          <w:rFonts w:hint="eastAsia" w:ascii="宋体" w:hAnsi="宋体" w:eastAsia="宋体" w:cs="宋体"/>
          <w:color w:val="auto"/>
          <w:kern w:val="0"/>
          <w:sz w:val="24"/>
          <w:szCs w:val="24"/>
        </w:rPr>
        <w:t>工程</w:t>
      </w:r>
      <w:r>
        <w:rPr>
          <w:rStyle w:val="22"/>
          <w:rFonts w:hint="eastAsia" w:ascii="宋体" w:hAnsi="宋体" w:eastAsia="宋体" w:cs="宋体"/>
          <w:color w:val="auto"/>
          <w:sz w:val="24"/>
          <w:szCs w:val="24"/>
        </w:rPr>
        <w:t>设备的保管与使用</w:t>
      </w:r>
    </w:p>
    <w:p w14:paraId="0A95716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BDCA76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发包人供应的材料和工程设备使用前，由承包人负责检验，检验费用由发包人承担，不合格的不得使用。</w:t>
      </w:r>
    </w:p>
    <w:p w14:paraId="633BD4D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8.4.2 承包人采购</w:t>
      </w:r>
      <w:r>
        <w:rPr>
          <w:rStyle w:val="22"/>
          <w:rFonts w:hint="eastAsia" w:ascii="宋体" w:hAnsi="宋体" w:eastAsia="宋体" w:cs="宋体"/>
          <w:color w:val="auto"/>
          <w:sz w:val="24"/>
          <w:szCs w:val="24"/>
        </w:rPr>
        <w:t>材料与</w:t>
      </w:r>
      <w:r>
        <w:rPr>
          <w:rStyle w:val="22"/>
          <w:rFonts w:hint="eastAsia" w:ascii="宋体" w:hAnsi="宋体" w:eastAsia="宋体" w:cs="宋体"/>
          <w:color w:val="auto"/>
          <w:kern w:val="0"/>
          <w:sz w:val="24"/>
          <w:szCs w:val="24"/>
        </w:rPr>
        <w:t>工程</w:t>
      </w:r>
      <w:r>
        <w:rPr>
          <w:rStyle w:val="22"/>
          <w:rFonts w:hint="eastAsia" w:ascii="宋体" w:hAnsi="宋体" w:eastAsia="宋体" w:cs="宋体"/>
          <w:color w:val="auto"/>
          <w:sz w:val="24"/>
          <w:szCs w:val="24"/>
        </w:rPr>
        <w:t>设备的保管与使用</w:t>
      </w:r>
    </w:p>
    <w:p w14:paraId="2A3403E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C2E866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发包人或监理人发现承包人使用不符合设计或有关标准要求的材料和工程设备时，有权要求承包人进行修复、拆除或重新采购，由此增加的费用和（或）延误的工期，由承包人承担。</w:t>
      </w:r>
    </w:p>
    <w:p w14:paraId="71EB3D9E">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8.5禁止使用不合格的材料和工程设备</w:t>
      </w:r>
    </w:p>
    <w:p w14:paraId="4A9E319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8.5.1 监理人有权拒绝承包人提供的不合格材料或工程设备，并要求承包人立即进行更换。监理人应在更换后再次进行检查和检验，由此增加的费用和（或）延误的工期由承包人承担。</w:t>
      </w:r>
    </w:p>
    <w:p w14:paraId="157B3D1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8.5.2 监理人发现承包人使用了不合格的材料和工程设备，承包人应按照监理人的指示立即改正，并禁止在工程中继续使用不合格的材料和工程设备。</w:t>
      </w:r>
    </w:p>
    <w:p w14:paraId="134C788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8.5.3 发包人提供的材料或工程设备不符合合同要求的，承包人有权拒绝，并可要求发包人更换，由此增加的费用和（或）延误的工期由发包人承担，并支付承包人合理的利润。</w:t>
      </w:r>
    </w:p>
    <w:p w14:paraId="2886AAD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8.6 样品</w:t>
      </w:r>
    </w:p>
    <w:p w14:paraId="6F2AB8A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8.6.1</w:t>
      </w:r>
      <w:r>
        <w:rPr>
          <w:rStyle w:val="22"/>
          <w:rFonts w:hint="eastAsia" w:ascii="宋体" w:hAnsi="宋体" w:eastAsia="宋体" w:cs="宋体"/>
          <w:color w:val="auto"/>
          <w:kern w:val="0"/>
          <w:sz w:val="24"/>
          <w:szCs w:val="24"/>
        </w:rPr>
        <w:tab/>
      </w:r>
      <w:r>
        <w:rPr>
          <w:rStyle w:val="22"/>
          <w:rFonts w:hint="eastAsia" w:ascii="宋体" w:hAnsi="宋体" w:eastAsia="宋体" w:cs="宋体"/>
          <w:color w:val="auto"/>
          <w:kern w:val="0"/>
          <w:sz w:val="24"/>
          <w:szCs w:val="24"/>
        </w:rPr>
        <w:t>样品的报送与封存</w:t>
      </w:r>
    </w:p>
    <w:p w14:paraId="6AA90F6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需要承包人报送样品的材料或工程设备，样品的种类、名称、规格、数量等要求均应在专用合同条款中约定。样品的报送程序如下：</w:t>
      </w:r>
    </w:p>
    <w:p w14:paraId="4A6E5BE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1042852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25779B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（3）经发包人和监理人审批确认的样品应按约定的方法封样，封存的样品作为检验工程相关部分的标准之一。承包人在施工过程中不得使用与样品不符的材料或工程设备。</w:t>
      </w:r>
    </w:p>
    <w:p w14:paraId="2A9180B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5DEB71A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8.6.2 样品的保管</w:t>
      </w:r>
    </w:p>
    <w:p w14:paraId="2E8BD1C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经批准的样品应由监理人负责封存于现场，承包人应在现场为保存样品提供适当和固定的场所并保持适当和良好的存储环境条件。</w:t>
      </w:r>
    </w:p>
    <w:p w14:paraId="2405F3F1">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8.7材料与工程设备的替代</w:t>
      </w:r>
    </w:p>
    <w:p w14:paraId="067FA51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8.7.1 出现下列情况需要使用替代材料和工程设备的，承包人应按照第8.7.2项约定的程序执行：</w:t>
      </w:r>
    </w:p>
    <w:p w14:paraId="383971B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（1）基准日期后生效的法律规定禁止使用的；</w:t>
      </w:r>
    </w:p>
    <w:p w14:paraId="5E47404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（2）发包人要求使用替代品的；</w:t>
      </w:r>
    </w:p>
    <w:p w14:paraId="6473F79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（3）因其他原因必须使用替代品的。</w:t>
      </w:r>
    </w:p>
    <w:p w14:paraId="008B54F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8.7.2 承包人应在使用替代材料和工程设备28天前书面通知监理人，并附下列文件：</w:t>
      </w:r>
    </w:p>
    <w:p w14:paraId="147839B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（1）被替代的材料和工程设备的名称、数量、规格、型号、品牌、性能、价格及其他相关资料；</w:t>
      </w:r>
    </w:p>
    <w:p w14:paraId="4970674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（2）替代品的名称、数量、规格、型号、品牌、性能、价格及其他相关资料；</w:t>
      </w:r>
    </w:p>
    <w:p w14:paraId="28C6134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（3）替代品与被替代产品之间的差异以及使用替代品可能对工程产生的影响；</w:t>
      </w:r>
    </w:p>
    <w:p w14:paraId="4851E9D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（4）替代品与被替代产品的价格差异；</w:t>
      </w:r>
    </w:p>
    <w:p w14:paraId="7F44E52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（5）使用替代品的理由和原因说明；</w:t>
      </w:r>
    </w:p>
    <w:p w14:paraId="2686278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（6）监理人要求的其他文件。</w:t>
      </w:r>
    </w:p>
    <w:p w14:paraId="25675D1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监理人应在收到通知后14天内向承包人发出经发包人签认的书面指示；监理人逾期发出书面指示的，视为发包人和监理人同意使用替代品。</w:t>
      </w:r>
    </w:p>
    <w:p w14:paraId="5C77F13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5F897072">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8.8施工设备和临时设施</w:t>
      </w:r>
    </w:p>
    <w:p w14:paraId="37CE856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8.8.1 承包人提供的施工设备和临时设施</w:t>
      </w:r>
    </w:p>
    <w:p w14:paraId="6EE8711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承包人应按合同进度计划的要求，及时配置施工设备和修建临时设施。进入施工场地的承包人设备需经监理人核查后才能投入使用。承包人更换合同约定的承包人设备的，应报监理人批准。</w:t>
      </w:r>
    </w:p>
    <w:p w14:paraId="30D2E69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除专用合同条款另有约定外，承包人应自行承担修建临时设施的费用，需要临时占地的，应由发包人办理申请手续并承担相应费用。</w:t>
      </w:r>
    </w:p>
    <w:p w14:paraId="05A2C20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8.8.2发包人提供的施工设备和临时设施</w:t>
      </w:r>
    </w:p>
    <w:p w14:paraId="41F51C5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发包人提供的施工设备或临时设施在专用合同条款中约定。</w:t>
      </w:r>
    </w:p>
    <w:p w14:paraId="34AD3CD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8.8.3要求承包人增加或更换施工设备</w:t>
      </w:r>
    </w:p>
    <w:p w14:paraId="6140ABE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承包人使用的施工设备不能满足合同进度计划和（或）质量要求时，监理人有权要求承包人增加或更换施工设备，承包人应及时增加或更换，由此增加的费用和（或）延误的工期由承包人承担。</w:t>
      </w:r>
    </w:p>
    <w:p w14:paraId="099D5E9A">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8.9材料与设备专用要求</w:t>
      </w:r>
    </w:p>
    <w:p w14:paraId="0733E8D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118C5750">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9. 试验与检验</w:t>
      </w:r>
    </w:p>
    <w:p w14:paraId="4CC5E6B3">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9.1试验设备与试验人员</w:t>
      </w:r>
    </w:p>
    <w:p w14:paraId="380CC1C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02AC6EF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9.1.2 承包人应按专用合同条款的约定提供试验设备、取样装置、试验场所和试验条件，并向监理人提交相应进场计划表。</w:t>
      </w:r>
    </w:p>
    <w:p w14:paraId="3E313FE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承包人配置的试验设备要符合相应试验规程的要求并经过具有资质的检测单位检测，且在正式使用该试验设备前，需要经过监理人与承包人共同校定。</w:t>
      </w:r>
    </w:p>
    <w:p w14:paraId="6074838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9.1.3 承包人应向监理人提交试验人员的名单及其岗位、资格等证明资料，试验人员必须能够熟练进行相应的检测试验，承包人对试验人员的试验程序和试验结果的正确性负责。</w:t>
      </w:r>
    </w:p>
    <w:p w14:paraId="3F8BD760">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9.2取样</w:t>
      </w:r>
    </w:p>
    <w:p w14:paraId="5940ACC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试验属于自检性质的，承包人可以单独取样。试验属于监理人抽检性质的，可由监理人取样，也可由承包人的试验人员在监理人的监督下取样。</w:t>
      </w:r>
    </w:p>
    <w:p w14:paraId="2682FCCD">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9.3材料、工程设备和工程的试验和检验</w:t>
      </w:r>
    </w:p>
    <w:p w14:paraId="4F5612C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65967F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4BECC4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DD38478">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9.4现场工艺试验</w:t>
      </w:r>
    </w:p>
    <w:p w14:paraId="5494E58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承包人应按合同约定或监理人指示进行现场工艺试验。对大型的现场工艺试验，监理人认为必要时，承包人应根据监理人提出的工艺试验要求，编制工艺试验措施计划，报送监理人审查。</w:t>
      </w:r>
    </w:p>
    <w:p w14:paraId="62AE3910">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 变更</w:t>
      </w:r>
    </w:p>
    <w:p w14:paraId="185C962D">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10.1变更的范围</w:t>
      </w:r>
    </w:p>
    <w:p w14:paraId="3194BCC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除专用合同条款另有约定外，合同履行过程中发生以下情形的，应按照本条约定进行变更：</w:t>
      </w:r>
    </w:p>
    <w:p w14:paraId="7C3EF91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（1）增加或减少合同中任何工作，或追加额外的工作；</w:t>
      </w:r>
    </w:p>
    <w:p w14:paraId="1C80A5A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（2）取消合同中任何工作，但转由他人实施的工作除外；</w:t>
      </w:r>
    </w:p>
    <w:p w14:paraId="1E4EF94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（3）改变合同中任何工作的质量标准或其他特性；</w:t>
      </w:r>
    </w:p>
    <w:p w14:paraId="4F81BD8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（4）改变工程的基线、标高、位置和尺寸；</w:t>
      </w:r>
    </w:p>
    <w:p w14:paraId="4B20B9E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（5）改变工程的时间安排或实施顺序。</w:t>
      </w:r>
    </w:p>
    <w:p w14:paraId="0315B286">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10.2变更权</w:t>
      </w:r>
    </w:p>
    <w:p w14:paraId="71BACAE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495FD76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涉及设计变更的，应由设计人提供变更后的图纸和说明。如变更超过原设计标准或批准的建设规模时，发包人应及时办理规划、设计变更等审批手续。</w:t>
      </w:r>
    </w:p>
    <w:p w14:paraId="2C4FCF8E">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10.3变更程序</w:t>
      </w:r>
    </w:p>
    <w:p w14:paraId="632D3C7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10</w:t>
      </w:r>
      <w:r>
        <w:rPr>
          <w:rStyle w:val="22"/>
          <w:rFonts w:hint="eastAsia" w:ascii="宋体" w:hAnsi="宋体" w:eastAsia="宋体" w:cs="宋体"/>
          <w:color w:val="auto"/>
          <w:kern w:val="0"/>
          <w:sz w:val="24"/>
          <w:szCs w:val="24"/>
        </w:rPr>
        <w:t>.3.1 发包人提出变更</w:t>
      </w:r>
    </w:p>
    <w:p w14:paraId="3E03861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发包人提出变更的，应通过监理人向承包人发出变更指示，变更指示应说明计划变更的工程范围和变更的内容。</w:t>
      </w:r>
    </w:p>
    <w:p w14:paraId="2EE3DF1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10</w:t>
      </w:r>
      <w:r>
        <w:rPr>
          <w:rStyle w:val="22"/>
          <w:rFonts w:hint="eastAsia" w:ascii="宋体" w:hAnsi="宋体" w:eastAsia="宋体" w:cs="宋体"/>
          <w:color w:val="auto"/>
          <w:kern w:val="0"/>
          <w:sz w:val="24"/>
          <w:szCs w:val="24"/>
        </w:rPr>
        <w:t>.3.2 监理人提出变更建议</w:t>
      </w:r>
    </w:p>
    <w:p w14:paraId="43AEC33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9FD94B4">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10.3.3 变更执行</w:t>
      </w:r>
    </w:p>
    <w:p w14:paraId="0CF3EC9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8F7A426">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10.4变更估价</w:t>
      </w:r>
    </w:p>
    <w:p w14:paraId="026E1A9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10.4.1 变更估价原则</w:t>
      </w:r>
    </w:p>
    <w:p w14:paraId="357A336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除专用合同条款另有约定外，变更估价按照本款约定处理：</w:t>
      </w:r>
    </w:p>
    <w:p w14:paraId="359DF34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（1）已标价工程量清单或预算书有相同项目的，按照相同项目单价认定；</w:t>
      </w:r>
    </w:p>
    <w:p w14:paraId="455AECC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（2）已标价工程量清单或预算书中无相同项目，但有类似项目的，参照类似项目的单价认定；</w:t>
      </w:r>
    </w:p>
    <w:p w14:paraId="17D97DA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00C222E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10.4.2 变更估价程序</w:t>
      </w:r>
    </w:p>
    <w:p w14:paraId="36601C2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54EEDBB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因变更引起的价格调整应计入最近一期的进度款中支付。</w:t>
      </w:r>
    </w:p>
    <w:p w14:paraId="4C06864C">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10.5承包人的合理化建议</w:t>
      </w:r>
    </w:p>
    <w:p w14:paraId="3BEE980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承包人提出合理化建议的，应向监理人提交合理化建议说明，说明建议的内容和理由，以及实施该建议对合同价格和工期的影响。</w:t>
      </w:r>
    </w:p>
    <w:p w14:paraId="1981AD3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69DBCC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合理化建议降低了合同价格或者提高了工程经济效益的，发包人可对承包人给予奖励，奖励的方法和金额在专用合同条款中约定。</w:t>
      </w:r>
    </w:p>
    <w:p w14:paraId="0974D281">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10.6变更引起的工期调整   </w:t>
      </w:r>
    </w:p>
    <w:p w14:paraId="35E3B33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因变更引起工期变化的，合同当事人均可要求调整合同工期，由合同当事人按照第4.4款〔商定或确定〕并参考工程所在地的工期定额标准确定增减工期天数。</w:t>
      </w:r>
    </w:p>
    <w:p w14:paraId="0A2E6D6F">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10.7暂估价</w:t>
      </w:r>
    </w:p>
    <w:p w14:paraId="55568C8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暂估价专业分包工程、服务、材料和工程设备的明细由合同当事人在专用合同条款中约定。</w:t>
      </w:r>
    </w:p>
    <w:p w14:paraId="5D3BA29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10.7.1</w:t>
      </w:r>
      <w:r>
        <w:rPr>
          <w:rStyle w:val="22"/>
          <w:rFonts w:hint="eastAsia" w:ascii="宋体" w:hAnsi="宋体" w:eastAsia="宋体" w:cs="宋体"/>
          <w:color w:val="auto"/>
          <w:kern w:val="0"/>
          <w:sz w:val="24"/>
          <w:szCs w:val="24"/>
        </w:rPr>
        <w:t xml:space="preserve"> 依法必须招标的暂估价项目</w:t>
      </w:r>
    </w:p>
    <w:p w14:paraId="3DE3E2C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对于依法必须招标的暂估价项目，采取以下第1种方式确定。合同当事人也可以在专用合同条款中选择其他招标方式。</w:t>
      </w:r>
    </w:p>
    <w:p w14:paraId="16AC15F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第1种方式：对于依法必须招标的暂估价项目，由承包人招标，对该暂估价项目的确认和批准按照以下约定执行：</w:t>
      </w:r>
    </w:p>
    <w:p w14:paraId="607D6BD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7EC170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05173042">
      <w:pPr>
        <w:pStyle w:val="52"/>
        <w:spacing w:line="520" w:lineRule="exact"/>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46E9AD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469D25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10.7.2</w:t>
      </w:r>
      <w:r>
        <w:rPr>
          <w:rStyle w:val="22"/>
          <w:rFonts w:hint="eastAsia" w:ascii="宋体" w:hAnsi="宋体" w:eastAsia="宋体" w:cs="宋体"/>
          <w:color w:val="auto"/>
          <w:kern w:val="0"/>
          <w:sz w:val="24"/>
          <w:szCs w:val="24"/>
        </w:rPr>
        <w:t>不属于依法必须招标的暂估价项目</w:t>
      </w:r>
    </w:p>
    <w:p w14:paraId="0952A31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除专用合同条款另有约定外，对于不属于依法必须招标的暂估价项目，采取以下第1种方式确定： </w:t>
      </w:r>
    </w:p>
    <w:p w14:paraId="7180E5A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第1种方式：对于不属于依法必须招标的暂估价项目，按本项约定确认和批准：</w:t>
      </w:r>
    </w:p>
    <w:p w14:paraId="653F910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2069DE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（2）发包人认为承包人确定的供应商、分包人无法满足工程质量或合同要求的，发包人可以要求承包人重新确定暂估价项目的供应商、分包人;</w:t>
      </w:r>
    </w:p>
    <w:p w14:paraId="7C7D5AC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（3）承包人应当在签订暂估价合同后7天内，将暂估价合同副本报送发包人留存。</w:t>
      </w:r>
    </w:p>
    <w:p w14:paraId="3E7E6F7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第2种方式：承包人按照第10.7.1项〔依法必须招标的暂估价项目〕约定的第1种方式确定暂估价项目。</w:t>
      </w:r>
    </w:p>
    <w:p w14:paraId="058484B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第3种方式：</w:t>
      </w:r>
      <w:r>
        <w:rPr>
          <w:rStyle w:val="22"/>
          <w:rFonts w:hint="eastAsia" w:ascii="宋体" w:hAnsi="宋体" w:eastAsia="宋体" w:cs="宋体"/>
          <w:color w:val="auto"/>
          <w:kern w:val="0"/>
          <w:sz w:val="24"/>
          <w:szCs w:val="24"/>
        </w:rPr>
        <w:t>承包人直接实施的暂估价项目</w:t>
      </w:r>
    </w:p>
    <w:p w14:paraId="3274114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承包人具备实施暂估价项目的资格和条件的，经发包人和承包人协商一致后，可由承包人自行实施暂估价项目，合同当事人可以在专用合同条款约定具体事项。</w:t>
      </w:r>
    </w:p>
    <w:p w14:paraId="7931A77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FDB437A">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10.8暂列金额</w:t>
      </w:r>
    </w:p>
    <w:p w14:paraId="109789B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暂列金额应按照发包人的要求使用，发包人的要求应通过监理人发出。合同当事人可以在专用合同条款中协商确定有关事项。</w:t>
      </w:r>
    </w:p>
    <w:p w14:paraId="32708552">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10.9计日工 </w:t>
      </w:r>
    </w:p>
    <w:p w14:paraId="2060842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05C8B78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采用计日工计价的任何一项工作，承包人应在该项工作实施过程中，每天提交以下报表和有关凭证报送监理人审查：</w:t>
      </w:r>
    </w:p>
    <w:p w14:paraId="7F272ECB">
      <w:pPr>
        <w:pStyle w:val="52"/>
        <w:spacing w:line="520" w:lineRule="exact"/>
        <w:ind w:firstLine="360" w:firstLineChars="15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（1）工作名称、内容和数量；</w:t>
      </w:r>
    </w:p>
    <w:p w14:paraId="22A26F6A">
      <w:pPr>
        <w:pStyle w:val="52"/>
        <w:spacing w:line="520" w:lineRule="exact"/>
        <w:ind w:firstLine="360" w:firstLineChars="15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（2）投入该工作的所有人员的姓名、专业、工种、级别和耗用工时；</w:t>
      </w:r>
    </w:p>
    <w:p w14:paraId="3031E3D1">
      <w:pPr>
        <w:pStyle w:val="52"/>
        <w:spacing w:line="520" w:lineRule="exact"/>
        <w:ind w:firstLine="360" w:firstLineChars="15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（3）投入该工作的材料类别和数量；</w:t>
      </w:r>
    </w:p>
    <w:p w14:paraId="03AE15AF">
      <w:pPr>
        <w:pStyle w:val="52"/>
        <w:spacing w:line="520" w:lineRule="exact"/>
        <w:ind w:firstLine="360" w:firstLineChars="15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（4）投入该工作的施工设备型号、台数和耗用台时；</w:t>
      </w:r>
    </w:p>
    <w:p w14:paraId="6B619A1C">
      <w:pPr>
        <w:pStyle w:val="52"/>
        <w:spacing w:line="520" w:lineRule="exact"/>
        <w:ind w:firstLine="360" w:firstLineChars="15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（5）其他有关资料和凭证。</w:t>
      </w:r>
    </w:p>
    <w:p w14:paraId="401702D0">
      <w:pPr>
        <w:pStyle w:val="52"/>
        <w:spacing w:line="520" w:lineRule="exact"/>
        <w:ind w:firstLine="360" w:firstLineChars="15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 计日工由承包人汇总后，列入最近一期进度付款申请单，由监理人审查并经发包人批准后列入进度付款。</w:t>
      </w:r>
    </w:p>
    <w:p w14:paraId="2CD431E8">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 价格调整</w:t>
      </w:r>
    </w:p>
    <w:p w14:paraId="76A1969B">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11.1市场价格波动引起的调整</w:t>
      </w:r>
    </w:p>
    <w:p w14:paraId="0F72C82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除专用合同条款另有约定外，市场价格波动超过合同当事人约定的范围，合同价格应当调整。合同当事人可以在专用合同条款中约定选择以下一种方式对合同价格进行调整：</w:t>
      </w:r>
    </w:p>
    <w:p w14:paraId="6C676CC6">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第1种方式：采用价格指数进行价格调整。</w:t>
      </w:r>
    </w:p>
    <w:p w14:paraId="276BDBBE">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（1）价格调整公式</w:t>
      </w:r>
    </w:p>
    <w:p w14:paraId="291E39A5">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因人工、材料和设备等价格波动影响合同价格时，根据专用合同条款中约定的数据，按以下公式计算差额并调整合同价格：</w:t>
      </w:r>
    </w:p>
    <w:p w14:paraId="12FAE182">
      <w:pPr>
        <w:pStyle w:val="52"/>
        <w:tabs>
          <w:tab w:val="left" w:pos="0"/>
          <w:tab w:val="left" w:pos="360"/>
          <w:tab w:val="left" w:pos="540"/>
        </w:tabs>
        <w:spacing w:line="520" w:lineRule="exact"/>
        <w:ind w:firstLine="600" w:firstLineChars="200"/>
        <w:rPr>
          <w:rStyle w:val="22"/>
          <w:rFonts w:hint="eastAsia" w:ascii="宋体" w:hAnsi="宋体" w:eastAsia="宋体" w:cs="宋体"/>
          <w:color w:val="auto"/>
          <w:sz w:val="30"/>
          <w:szCs w:val="32"/>
        </w:rPr>
      </w:pPr>
      <w:r>
        <w:rPr>
          <w:rFonts w:hint="eastAsia" w:ascii="宋体" w:hAnsi="宋体" w:eastAsia="宋体" w:cs="宋体"/>
          <w:color w:val="auto"/>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73E9489A">
      <w:pPr>
        <w:pStyle w:val="52"/>
        <w:tabs>
          <w:tab w:val="left" w:pos="0"/>
          <w:tab w:val="left" w:pos="360"/>
          <w:tab w:val="left" w:pos="540"/>
        </w:tabs>
        <w:spacing w:line="520" w:lineRule="exact"/>
        <w:ind w:firstLine="64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公式中：ΔP——需调整的价格差额；</w:t>
      </w:r>
    </w:p>
    <w:p w14:paraId="430E001F">
      <w:pPr>
        <w:pStyle w:val="52"/>
        <w:tabs>
          <w:tab w:val="left" w:pos="0"/>
          <w:tab w:val="left" w:pos="360"/>
          <w:tab w:val="left" w:pos="540"/>
        </w:tabs>
        <w:spacing w:line="520" w:lineRule="exact"/>
        <w:ind w:firstLine="1440" w:firstLineChars="600"/>
        <w:rPr>
          <w:rStyle w:val="22"/>
          <w:rFonts w:hint="eastAsia" w:ascii="宋体" w:hAnsi="宋体" w:eastAsia="宋体" w:cs="宋体"/>
          <w:color w:val="auto"/>
          <w:sz w:val="24"/>
          <w:szCs w:val="24"/>
        </w:rPr>
      </w:pPr>
      <w:r>
        <w:rPr>
          <w:rFonts w:hint="eastAsia" w:ascii="宋体" w:hAnsi="宋体" w:eastAsia="宋体" w:cs="宋体"/>
          <w:color w:val="auto"/>
          <w:position w:val="-6"/>
          <w:sz w:val="24"/>
          <w:szCs w:val="24"/>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Style w:val="22"/>
          <w:rFonts w:hint="eastAsia" w:ascii="宋体" w:hAnsi="宋体" w:eastAsia="宋体" w:cs="宋体"/>
          <w:color w:val="auto"/>
          <w:sz w:val="24"/>
          <w:szCs w:val="24"/>
        </w:rPr>
        <w:t>——约定的付款证书中承包人应得到的已完成工程量的金额。此项金额应不包括价格调整、不计质量保证金的扣留和支付、预付款的支付和扣回。约定的变更及其他金额已按现行价格计价的，也不计在内；</w:t>
      </w:r>
    </w:p>
    <w:p w14:paraId="76ADF0A7">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A——定值权重（即不调部分的权重）；</w:t>
      </w:r>
    </w:p>
    <w:p w14:paraId="33A42D63">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Fonts w:hint="eastAsia" w:ascii="宋体" w:hAnsi="宋体" w:eastAsia="宋体" w:cs="宋体"/>
          <w:color w:val="auto"/>
          <w:position w:val="-10"/>
          <w:sz w:val="24"/>
          <w:szCs w:val="24"/>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Style w:val="22"/>
          <w:rFonts w:hint="eastAsia" w:ascii="宋体" w:hAnsi="宋体" w:eastAsia="宋体" w:cs="宋体"/>
          <w:color w:val="auto"/>
          <w:sz w:val="24"/>
          <w:szCs w:val="24"/>
        </w:rPr>
        <w:t>——各可调因子的变值权重（即可调部分的权重），为各可调因子在签约合同价中所占的比例；</w:t>
      </w:r>
    </w:p>
    <w:p w14:paraId="1817A25C">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Fonts w:hint="eastAsia" w:ascii="宋体" w:hAnsi="宋体" w:eastAsia="宋体" w:cs="宋体"/>
          <w:color w:val="auto"/>
          <w:position w:val="-10"/>
          <w:sz w:val="24"/>
          <w:szCs w:val="24"/>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Style w:val="22"/>
          <w:rFonts w:hint="eastAsia" w:ascii="宋体" w:hAnsi="宋体" w:eastAsia="宋体" w:cs="宋体"/>
          <w:color w:val="auto"/>
          <w:sz w:val="24"/>
          <w:szCs w:val="24"/>
        </w:rPr>
        <w:t>——各可调因子的现行价格指数，指约定的付款证书相关周期最后一天的前42天的各可调因子的价格指数；</w:t>
      </w:r>
    </w:p>
    <w:p w14:paraId="1B26F7C4">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Fonts w:hint="eastAsia" w:ascii="宋体" w:hAnsi="宋体" w:eastAsia="宋体" w:cs="宋体"/>
          <w:color w:val="auto"/>
          <w:position w:val="-10"/>
          <w:sz w:val="24"/>
          <w:szCs w:val="24"/>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Style w:val="22"/>
          <w:rFonts w:hint="eastAsia" w:ascii="宋体" w:hAnsi="宋体" w:eastAsia="宋体" w:cs="宋体"/>
          <w:color w:val="auto"/>
          <w:sz w:val="24"/>
          <w:szCs w:val="24"/>
        </w:rPr>
        <w:t>——各可调因子的基本价格指数，指基准日期的各可调因子的价格指数。</w:t>
      </w:r>
    </w:p>
    <w:p w14:paraId="727C6198">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4B795A98">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（2）暂时确定调整差额</w:t>
      </w:r>
    </w:p>
    <w:p w14:paraId="4CD625EA">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在计算调整差额时无现行价格指数的，合同当事人同意暂用前次价格指数计算。实际价格指数有调整的，合同当事人进行相应调整。</w:t>
      </w:r>
    </w:p>
    <w:p w14:paraId="3FCE4C77">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（3）权重的调整</w:t>
      </w:r>
    </w:p>
    <w:p w14:paraId="3C7F24AF">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因变更导致合同约定的权重不合理时，按照第4.4款〔商定或确定〕执行。</w:t>
      </w:r>
    </w:p>
    <w:p w14:paraId="14D24AE5">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（4）因承包人原因工期延误后的价格调整</w:t>
      </w:r>
    </w:p>
    <w:p w14:paraId="24ACFC6A">
      <w:pPr>
        <w:pStyle w:val="52"/>
        <w:tabs>
          <w:tab w:val="left" w:pos="0"/>
          <w:tab w:val="left" w:pos="360"/>
          <w:tab w:val="left" w:pos="540"/>
        </w:tabs>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因承包人原因未按期竣工的，对合同约定的竣工日期后继续施工的工程，在使用价格调整公式时，应采用计划竣工日期与实际竣工日期的两个价格指数中较低的一个作为现行价格指数。</w:t>
      </w:r>
    </w:p>
    <w:p w14:paraId="46481D2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第2种方式：采用造价信息进行价格调整。</w:t>
      </w:r>
    </w:p>
    <w:p w14:paraId="12C7A2F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51BC38B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01B826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（2）材料、工程设备价格变化的价款调整按照发包人提供的基准价格，按以下风险范围规定执行:</w:t>
      </w:r>
    </w:p>
    <w:p w14:paraId="10C363ED">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0EC60C0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210116C">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③承包人在已标价工程量清单或预算书中载明材料单价等于基准价格的：除专用合同条款另有约定外，合同履行期间材料单价涨跌幅以基准价格为基础超过±5%时，其超过部分据实调整。</w:t>
      </w:r>
    </w:p>
    <w:p w14:paraId="38F3119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47EB3B9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前述基准价格是指由发包人在招标文件或专用合同条款中给定的材料、工程设备的价格，该价格原则上应当按照省级或行业建设主管部门或其授权的工程造价管理机构发布的信息价编制。</w:t>
      </w:r>
    </w:p>
    <w:p w14:paraId="604E7C5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（3）施工机械台班单价或施工机械使用费发生变化超过省级或行业建设主管部门或其授权的工程造价管理机构规定的范围时，按规定调整合同价格。</w:t>
      </w:r>
    </w:p>
    <w:p w14:paraId="20A3DAB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第3种方式：专用合同条款约定的其他方式。</w:t>
      </w:r>
    </w:p>
    <w:p w14:paraId="4BB715B1">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11.2法律变化引起的调整</w:t>
      </w:r>
    </w:p>
    <w:p w14:paraId="3FB24D7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541B7AE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因法律变化引起的合同价格和工期调整，合同当事人无法达成一致的，由总监理工程师按第4.4款〔商定或确定〕的约定处理。</w:t>
      </w:r>
    </w:p>
    <w:p w14:paraId="2671404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因承包人原因造成工期延误，在工期延误期间出现法律变化的，由此增加的费用和（或）延误的工期由承包人承担。</w:t>
      </w:r>
    </w:p>
    <w:p w14:paraId="4DA55872">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 合同价格、计量与支付</w:t>
      </w:r>
    </w:p>
    <w:p w14:paraId="11490218">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12.1 合同价格形式</w:t>
      </w:r>
    </w:p>
    <w:p w14:paraId="23D16B1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发包人和承包人应在合同协议书中选择下列一种合同价格形式： </w:t>
      </w:r>
    </w:p>
    <w:p w14:paraId="43C970B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1.单价合同</w:t>
      </w:r>
    </w:p>
    <w:p w14:paraId="5B01FCC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单价合同是指合同当事人约定以工程量清单及其综合单价进行合同价格计算、调整和确认的建设工程施工合同，</w:t>
      </w:r>
      <w:r>
        <w:rPr>
          <w:rStyle w:val="22"/>
          <w:rFonts w:hint="eastAsia" w:ascii="宋体" w:hAnsi="宋体" w:eastAsia="宋体" w:cs="宋体"/>
          <w:color w:val="auto"/>
          <w:sz w:val="24"/>
          <w:szCs w:val="24"/>
        </w:rPr>
        <w:t>在约定的范围内合同单价不作调整</w:t>
      </w:r>
      <w:r>
        <w:rPr>
          <w:rStyle w:val="22"/>
          <w:rFonts w:hint="eastAsia" w:ascii="宋体" w:hAnsi="宋体" w:eastAsia="宋体" w:cs="宋体"/>
          <w:color w:val="auto"/>
          <w:kern w:val="0"/>
          <w:sz w:val="24"/>
          <w:szCs w:val="24"/>
        </w:rPr>
        <w:t>。合同当事人应在专用合同条款中约定综合单价包含的风险范围和风险费用的计算方法</w:t>
      </w:r>
      <w:r>
        <w:rPr>
          <w:rStyle w:val="22"/>
          <w:rFonts w:hint="eastAsia" w:ascii="宋体" w:hAnsi="宋体" w:eastAsia="宋体" w:cs="宋体"/>
          <w:color w:val="auto"/>
          <w:sz w:val="24"/>
          <w:szCs w:val="24"/>
        </w:rPr>
        <w:t>，</w:t>
      </w:r>
      <w:r>
        <w:rPr>
          <w:rStyle w:val="22"/>
          <w:rFonts w:hint="eastAsia" w:ascii="宋体" w:hAnsi="宋体" w:eastAsia="宋体" w:cs="宋体"/>
          <w:color w:val="auto"/>
          <w:kern w:val="0"/>
          <w:sz w:val="24"/>
          <w:szCs w:val="24"/>
        </w:rPr>
        <w:t>并约定风险范围以外的合同价格的调整方法，其中因市场价格波动引起的调整按第11.1款〔市场价格波动引起的调整〕约定执行。</w:t>
      </w:r>
    </w:p>
    <w:p w14:paraId="116FDA9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2.总价合同</w:t>
      </w:r>
    </w:p>
    <w:p w14:paraId="4172D4E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总价合同是指合同当事人约定以施工图、已标价工程量清单或预算书及有关条件进行合同价格计算、调整和确认的建设工程施工合同，</w:t>
      </w:r>
      <w:r>
        <w:rPr>
          <w:rStyle w:val="22"/>
          <w:rFonts w:hint="eastAsia" w:ascii="宋体" w:hAnsi="宋体" w:eastAsia="宋体" w:cs="宋体"/>
          <w:color w:val="auto"/>
          <w:sz w:val="24"/>
          <w:szCs w:val="24"/>
        </w:rPr>
        <w:t>在约定的范围内合同总价不作调整</w:t>
      </w:r>
      <w:r>
        <w:rPr>
          <w:rStyle w:val="22"/>
          <w:rFonts w:hint="eastAsia" w:ascii="宋体" w:hAnsi="宋体" w:eastAsia="宋体" w:cs="宋体"/>
          <w:color w:val="auto"/>
          <w:kern w:val="0"/>
          <w:sz w:val="24"/>
          <w:szCs w:val="24"/>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223BEB2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3.其它价格形式</w:t>
      </w:r>
    </w:p>
    <w:p w14:paraId="77763E9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合同当事人可在专用合同条款中约定其他合同价格形式。</w:t>
      </w:r>
    </w:p>
    <w:p w14:paraId="502371E9">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12.2预付款</w:t>
      </w:r>
    </w:p>
    <w:p w14:paraId="2C43ECD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12.2.</w:t>
      </w:r>
      <w:r>
        <w:rPr>
          <w:rStyle w:val="22"/>
          <w:rFonts w:hint="eastAsia" w:ascii="宋体" w:hAnsi="宋体" w:eastAsia="宋体" w:cs="宋体"/>
          <w:color w:val="auto"/>
          <w:kern w:val="0"/>
          <w:sz w:val="24"/>
          <w:szCs w:val="24"/>
        </w:rPr>
        <w:t>1预付款的支付</w:t>
      </w:r>
    </w:p>
    <w:p w14:paraId="4D8EBA2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预付款的支付按照专用合同条款约定执行，但至迟应在开工通知载明的开工日期7天前支付。预付款应当用于材料、工程设备、施工设备的采购及修建临时工程、组织施工队伍进场等。</w:t>
      </w:r>
    </w:p>
    <w:p w14:paraId="34B3F03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除专用合同条款另有约定外，预付款在进度付款中同比例扣回。在颁发工程接收证书前，提前解除合同的，尚未扣完的预付款应与合同价款一并结算。</w:t>
      </w:r>
    </w:p>
    <w:p w14:paraId="751C36D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发包人逾期支付预付款超过7天的，承包人有权向发包人发出要求预付的催告通知，发包人收到通知后7天内仍未支付的，承包人有权暂停施工，并按第16.1.1项〔发包人违约的情形〕执行。</w:t>
      </w:r>
    </w:p>
    <w:p w14:paraId="114F763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12.2.2 预付款担保</w:t>
      </w:r>
    </w:p>
    <w:p w14:paraId="7A863AE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C0D97A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发包人在工程款中逐期扣回预付款后，预付款担保额度应相应减少，但剩余的预付款担保金额不得低于未被扣回的预付款金额。</w:t>
      </w:r>
    </w:p>
    <w:p w14:paraId="03D7E69A">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12.3计量</w:t>
      </w:r>
    </w:p>
    <w:p w14:paraId="0F1FA64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12.3.1 计量原则</w:t>
      </w:r>
    </w:p>
    <w:p w14:paraId="3F5CE41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工程量计量按照合同约定的工程量计算规则、图纸及变更指示等进行计量。工程量计算规则应以相关的国家标准、行业标准等为依据，由合同当事人在专用合同条款中约定。</w:t>
      </w:r>
    </w:p>
    <w:p w14:paraId="212377F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12.3.2 计量周期</w:t>
      </w:r>
    </w:p>
    <w:p w14:paraId="171FB37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除专用合同条款另有约定外，工程量的计量按月进行。</w:t>
      </w:r>
    </w:p>
    <w:p w14:paraId="287781B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12.3.3 单价合同的计量</w:t>
      </w:r>
    </w:p>
    <w:p w14:paraId="08C189B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除专用合同条款另有约定外，单价合同的计量按照本项约定执行：</w:t>
      </w:r>
    </w:p>
    <w:p w14:paraId="60A9455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（1）承包人应于每月25日向监理人报送上月20日至当月19日已完成的工程量报告，并附具进度付款申请单、已完成工程量报表和有关资料。</w:t>
      </w:r>
    </w:p>
    <w:p w14:paraId="67B4660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5AB47CD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（3）监理人未在收到承包人提交的工程量报表后的7天内完成审核的，承包人报送的工程量报告中的工程量视为承包人实际完成的工程量，据此计算工程价款。</w:t>
      </w:r>
    </w:p>
    <w:p w14:paraId="360C7A7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12.3.4 总价合同的计量</w:t>
      </w:r>
    </w:p>
    <w:p w14:paraId="79EBB39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除专用合同条款另有约定外，按月计量支付的总价合同，按照本项约定执行：</w:t>
      </w:r>
    </w:p>
    <w:p w14:paraId="2D8AA00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（1）承包人应于每月25日向监理人报送上月20日至当月19日已完成的工程量报告，并附具进度付款申请单、已完成工程量报表和有关资料。</w:t>
      </w:r>
    </w:p>
    <w:p w14:paraId="46566A2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E36213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（3）监理人未在收到承包人提交的工程量报表后的7天内完成复核的，承包人提交的工程量报告中的工程量视为承包人实际完成的工程量。</w:t>
      </w:r>
    </w:p>
    <w:p w14:paraId="45722D5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12.3.5 总价合同采用支付分解表计量支付的，可以按照第12.3.4项〔总价合同的计量〕约定进行计量，但合同价款按照支付分解表进行支付。</w:t>
      </w:r>
    </w:p>
    <w:p w14:paraId="3F83C23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12.3.6 其他价格形式合同的计量</w:t>
      </w:r>
    </w:p>
    <w:p w14:paraId="636AEFB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合同当事人可在专用合同条款中约定其他价格形式合同的计量方式和程序。</w:t>
      </w:r>
    </w:p>
    <w:p w14:paraId="6769DF09">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12.4工程进度款支付</w:t>
      </w:r>
    </w:p>
    <w:p w14:paraId="7E0FD49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12.4</w:t>
      </w:r>
      <w:r>
        <w:rPr>
          <w:rStyle w:val="22"/>
          <w:rFonts w:hint="eastAsia" w:ascii="宋体" w:hAnsi="宋体" w:eastAsia="宋体" w:cs="宋体"/>
          <w:color w:val="auto"/>
          <w:kern w:val="0"/>
          <w:sz w:val="24"/>
          <w:szCs w:val="24"/>
        </w:rPr>
        <w:t>.1 付款周期</w:t>
      </w:r>
    </w:p>
    <w:p w14:paraId="6199B1F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除专用合同条款另有约定外，付款周期应按照第12.3.2项〔计量周期〕的约定与计量周期保持一致。</w:t>
      </w:r>
    </w:p>
    <w:p w14:paraId="06C29E5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12.4</w:t>
      </w:r>
      <w:r>
        <w:rPr>
          <w:rStyle w:val="22"/>
          <w:rFonts w:hint="eastAsia" w:ascii="宋体" w:hAnsi="宋体" w:eastAsia="宋体" w:cs="宋体"/>
          <w:color w:val="auto"/>
          <w:kern w:val="0"/>
          <w:sz w:val="24"/>
          <w:szCs w:val="24"/>
        </w:rPr>
        <w:t>.2 进度付款申请单的编制</w:t>
      </w:r>
    </w:p>
    <w:p w14:paraId="5CC9CA6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除专用合同条款另有约定外，进度付款申请单应包括下列内容：</w:t>
      </w:r>
    </w:p>
    <w:p w14:paraId="1DCBE63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（1）截至本次付款周期已完成工作对应的金额；</w:t>
      </w:r>
    </w:p>
    <w:p w14:paraId="00B300F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（2）根据第10条〔变更〕应增加和扣减的变更金额；</w:t>
      </w:r>
    </w:p>
    <w:p w14:paraId="530DDAA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（3）根据第12.2款〔预付款〕约定应支付的预付款和扣减的返还预付款；</w:t>
      </w:r>
    </w:p>
    <w:p w14:paraId="2F4B228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（4）根据第15.3款〔质量保证金〕约定应扣减的质量保证金；</w:t>
      </w:r>
    </w:p>
    <w:p w14:paraId="1B68D53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（5）根据第19条〔索赔〕应增加和扣减的索赔金额；</w:t>
      </w:r>
    </w:p>
    <w:p w14:paraId="1E08ED0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（6）对已签发的进度款支付证书中出现错误的修正，应在本次进度付款中支付或扣除的金额；</w:t>
      </w:r>
    </w:p>
    <w:p w14:paraId="43929AE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（7）根据合同约定应增加和扣减的其他金额。</w:t>
      </w:r>
    </w:p>
    <w:p w14:paraId="49473E3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12.4.3 进度付款申请单的提交</w:t>
      </w:r>
    </w:p>
    <w:p w14:paraId="5CD1444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（1）单价合同进度付款申请单的提交</w:t>
      </w:r>
    </w:p>
    <w:p w14:paraId="1B15847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48E8FD5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（2）总价合同进度付款申请单的提交</w:t>
      </w:r>
    </w:p>
    <w:p w14:paraId="45AE2F5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总价合同按月计量支付的，承包人按照第12.3.4项〔总价合同的计量〕约定的时间按月向监理人提交进度付款申请单，并附上已完成工程量报表和有关资料。</w:t>
      </w:r>
    </w:p>
    <w:p w14:paraId="6DA74BC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总价合同按支付分解表支付的，承包人应按照第12.4.6项〔支付分解表〕及第12.4.2项〔进度付款申请单的编制〕的约定向监理人提交进度付款申请单。</w:t>
      </w:r>
    </w:p>
    <w:p w14:paraId="5D6B4E2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（3）其他价格形式合同的进度付款申请单的提交</w:t>
      </w:r>
    </w:p>
    <w:p w14:paraId="556D30A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合同当事人可在专用合同条款中约定其他价格形式合同的进度付款申请单的编制和提交程序。</w:t>
      </w:r>
    </w:p>
    <w:p w14:paraId="27BF00C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12.4</w:t>
      </w:r>
      <w:r>
        <w:rPr>
          <w:rStyle w:val="22"/>
          <w:rFonts w:hint="eastAsia" w:ascii="宋体" w:hAnsi="宋体" w:eastAsia="宋体" w:cs="宋体"/>
          <w:color w:val="auto"/>
          <w:kern w:val="0"/>
          <w:sz w:val="24"/>
          <w:szCs w:val="24"/>
        </w:rPr>
        <w:t>.4 进度款审核和支付</w:t>
      </w:r>
    </w:p>
    <w:p w14:paraId="2B77F24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0899B09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040DA27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3B8B9D1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（3）发包人签发进度款支付证书或临时进度款支付证书，不表明发包人已同意、批准或接受了承包人完成的相应部分的工作。</w:t>
      </w:r>
    </w:p>
    <w:p w14:paraId="069469B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12.4.5 进度付款的修正</w:t>
      </w:r>
    </w:p>
    <w:p w14:paraId="0D33F06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237360E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12.4.6 支付分解表</w:t>
      </w:r>
    </w:p>
    <w:p w14:paraId="00B9959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1.支付分解表的编制要求</w:t>
      </w:r>
    </w:p>
    <w:p w14:paraId="79D9058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（1）支付分解表中所列的每期付款金额，应为第12.4.2项〔进度付款申请单的编制〕第（1）目的估算金额；</w:t>
      </w:r>
    </w:p>
    <w:p w14:paraId="60CE4BD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（2）实际进度与施工进度计划不一致的，合同当事人可按照第4.4款〔商定或确定〕修改支付分解表；</w:t>
      </w:r>
    </w:p>
    <w:p w14:paraId="6F6B4D0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（3）不采用支付分解表的，承包人应向发包人和监理人提交按季度编制的支付估算分解表，用于支付参考。</w:t>
      </w:r>
    </w:p>
    <w:p w14:paraId="12CE4DB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2.总价合同支付分解表的编制与审批</w:t>
      </w:r>
    </w:p>
    <w:p w14:paraId="4719647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D9FB4C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（2）监理人应在收到支付分解表后7天内完成审核并报送发包人。发包人应在收到经监理人审核的支付分解表后7天内完成审批，经发包人批准的支付分解表为有约束力的支付分解表。</w:t>
      </w:r>
    </w:p>
    <w:p w14:paraId="5379E227">
      <w:pPr>
        <w:pStyle w:val="52"/>
        <w:spacing w:line="520" w:lineRule="exact"/>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    （3）发包人逾期未完成支付分解表审批的，也未及时要求承包人进行修正和提供补充资料的，则承包人提交的支付分解表视为已经获得发包人批准。</w:t>
      </w:r>
    </w:p>
    <w:p w14:paraId="5AD59A6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3.单价合同的总价项目支付分解表的编制与审批</w:t>
      </w:r>
    </w:p>
    <w:p w14:paraId="4E6747D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764578E9">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12.5支付账户</w:t>
      </w:r>
    </w:p>
    <w:p w14:paraId="7691A3F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发包人应将合同价款支付至合同协议书中约定的承包人账户。</w:t>
      </w:r>
    </w:p>
    <w:p w14:paraId="7E6ECE79">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 验收和工程试车</w:t>
      </w:r>
    </w:p>
    <w:p w14:paraId="70D9829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13.1分部分项工程验收</w:t>
      </w:r>
    </w:p>
    <w:p w14:paraId="4621E1E1">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13.1.1 分部分项工程质量应符合国家有关工程施工验收规范、标准及合同约定，承包人应按照施工组织设计的要求完成分部分项工程施工。</w:t>
      </w:r>
    </w:p>
    <w:p w14:paraId="2AA865C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13.1.2 除专用合同条款另有约定外，分部分项工程经承包人自检合格并具备验收条件的，承包人应提前48小时通知监理人进行验收。</w:t>
      </w:r>
      <w:r>
        <w:rPr>
          <w:rStyle w:val="22"/>
          <w:rFonts w:hint="eastAsia" w:ascii="宋体" w:hAnsi="宋体" w:eastAsia="宋体" w:cs="宋体"/>
          <w:color w:val="auto"/>
          <w:kern w:val="0"/>
          <w:sz w:val="24"/>
          <w:szCs w:val="24"/>
        </w:rPr>
        <w:t>监理人不能按时进行验收的，应在验收前24小时向承包人提交书面延期要求，但延期不能超过48小时。监理人未按时进行验收，也未提出延期要求的，承包人有权自行验收，监理人应认可验收结果。</w:t>
      </w:r>
      <w:r>
        <w:rPr>
          <w:rStyle w:val="22"/>
          <w:rFonts w:hint="eastAsia" w:ascii="宋体" w:hAnsi="宋体" w:eastAsia="宋体" w:cs="宋体"/>
          <w:color w:val="auto"/>
          <w:sz w:val="24"/>
          <w:szCs w:val="24"/>
        </w:rPr>
        <w:t>分部分项工程未经验收的，不得进入下一道工序施工。</w:t>
      </w:r>
    </w:p>
    <w:p w14:paraId="6AA79ED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分部分项工程的验收资料应当作为竣工资料的组成部分。</w:t>
      </w:r>
    </w:p>
    <w:p w14:paraId="4A3E72DA">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13.2竣工验收</w:t>
      </w:r>
    </w:p>
    <w:p w14:paraId="68F9B93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13.2.1竣工验收条件</w:t>
      </w:r>
    </w:p>
    <w:p w14:paraId="594C64B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工程具备以下条件的，承包人可以申请竣工验收：</w:t>
      </w:r>
    </w:p>
    <w:p w14:paraId="32A843B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（1）除发包人同意的甩项工作和缺陷修补工作外，合同范围内的全部工程以及有关工作，包括合同要求的试验、试运行以及检验均已完成，并符合合同要求；</w:t>
      </w:r>
    </w:p>
    <w:p w14:paraId="4C37D2D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（2）已按合同约定编制了甩项工作和缺陷修补工作清单以及相应的施工计划；</w:t>
      </w:r>
    </w:p>
    <w:p w14:paraId="6804642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（3）已按合同约定的内容和份数备齐竣工资料。</w:t>
      </w:r>
    </w:p>
    <w:p w14:paraId="7C35636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13.2.2竣工验收程序</w:t>
      </w:r>
    </w:p>
    <w:p w14:paraId="1643B93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除专用合同条款另有约定外，承包人申请竣工验收的，应当按照以下程序进行：</w:t>
      </w:r>
    </w:p>
    <w:p w14:paraId="7CA6B88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3C6906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4801256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（3）竣工验收合格的，发包人应在验收合格后14天内向承包人签发工程接收证书。发包人无正当理由逾期不颁发工程接收证书的，自验收合格后第15天起视为已颁发工程接收证书。</w:t>
      </w:r>
    </w:p>
    <w:p w14:paraId="173AB70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6D6BC73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77E4836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除专用合同条款另有约定外，发包人不按照本项约定组织竣工验收、颁发工程接收证书的，每逾期一天，应以签约合同价为基数，按照中国人民银行发布的同期同类贷款基准利率支付违约金。</w:t>
      </w:r>
    </w:p>
    <w:p w14:paraId="2E05984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13.2.3竣工日期</w:t>
      </w:r>
    </w:p>
    <w:p w14:paraId="2FF3E38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31D1447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13.2.4 拒绝接收全部或部分工程</w:t>
      </w:r>
    </w:p>
    <w:p w14:paraId="70FFB68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CBE5F4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13.2.5 移交、接收全部与部分工程</w:t>
      </w:r>
    </w:p>
    <w:p w14:paraId="1079D26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除专用合同条款另有约定外，合同当事人应当在颁发工程接收证书后7天内完成工程的移交。</w:t>
      </w:r>
    </w:p>
    <w:p w14:paraId="1C9CD31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发包人无正当理由不接收工程的，发包人自应当接收工程之日起，承担工程照管、成品保护、保管等与工程有关的各项费用，合同当事人可以在专用合同条款中另行约定发包人逾期接收工程的违约责任。</w:t>
      </w:r>
    </w:p>
    <w:p w14:paraId="171EA73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承包人无正当理由不移交工程的，承包人应承担工程照管、成品保护、保管等与工程有关的各项费用，合同当事人可以在专用合同条款中另行约定承包人无正当理由不移交工程的违约责任。</w:t>
      </w:r>
    </w:p>
    <w:p w14:paraId="67C9316A">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13.3工程试车</w:t>
      </w:r>
    </w:p>
    <w:p w14:paraId="2C23999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13.3.1试车程序</w:t>
      </w:r>
    </w:p>
    <w:p w14:paraId="28E941C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工程需要试车的，除专用合同条款另有约定外，试车内容应与承包人承包范围相一致，试车费用由承包人承担。工程试车应按如下程序进行：</w:t>
      </w:r>
    </w:p>
    <w:p w14:paraId="2945F41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3B82CE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831418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DC302F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13.3.2 试车中的责任</w:t>
      </w:r>
    </w:p>
    <w:p w14:paraId="21D0421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37F6F1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124957B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13.3.3 投料试车</w:t>
      </w:r>
    </w:p>
    <w:p w14:paraId="7D85376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如需进行投料试车的，发包人应在工程竣工验收后组织投料试车。发包人要求在工程竣工验收前进行或需要承包人配合时，应征得承包人同意，并在专用合同条款中约定有关事项。</w:t>
      </w:r>
    </w:p>
    <w:p w14:paraId="7AEA5A0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72F7D31E">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13.4提前交付单位工程的验收</w:t>
      </w:r>
    </w:p>
    <w:p w14:paraId="7D9BAA3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13.4.1 发包人需要在工程竣工前使用单位工程的，或承包人提出提前交付已经竣工的单位工程且经发包人同意的，可进行单位工程验收，验收的程序按照第13.2款〔竣工验收〕的约定进行。</w:t>
      </w:r>
    </w:p>
    <w:p w14:paraId="491A1DB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586F268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13.4.2 发包人要求在工程竣工前交付单位工程，由此导致承包人费用增加和（或）工期延误的，由发包人承担由此增加的费用和（或）延误的工期，并支付承包人合理的利润。</w:t>
      </w:r>
    </w:p>
    <w:p w14:paraId="050C3682">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13.5 施工期运行</w:t>
      </w:r>
    </w:p>
    <w:p w14:paraId="537044C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8DC602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13.5.2 在施工期运行中发现工程或工程设备损坏或存在缺陷的，由承包人按第15.2款〔缺陷责任期〕约定进行修复。</w:t>
      </w:r>
    </w:p>
    <w:p w14:paraId="594BD191">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13.6 竣工退场</w:t>
      </w:r>
    </w:p>
    <w:p w14:paraId="01B016C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13.6.1 竣工退场</w:t>
      </w:r>
    </w:p>
    <w:p w14:paraId="6E87652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颁发工程接收证书后，承包人应按以下要求对施工现场进行清理：</w:t>
      </w:r>
    </w:p>
    <w:p w14:paraId="7FB210D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（1）施工现场内残留的垃圾已全部清除出场；</w:t>
      </w:r>
    </w:p>
    <w:p w14:paraId="381E004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（2）临时工程已拆除，场地已进行清理、平整或复原；</w:t>
      </w:r>
    </w:p>
    <w:p w14:paraId="163348A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（3）按合同约定应撤离的人员、承包人施工设备和剩余的材料，包括废弃的施工设备和材料，已按计划撤离施工现场；</w:t>
      </w:r>
    </w:p>
    <w:p w14:paraId="613BB3F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（4）施工现场周边及其附近道路、河道的施工堆积物，已全部清理；</w:t>
      </w:r>
    </w:p>
    <w:p w14:paraId="631E24A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（5）施工现场其他场地清理工作已全部完成。</w:t>
      </w:r>
    </w:p>
    <w:p w14:paraId="7C7A86E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25F250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13.6.2 地表还原</w:t>
      </w:r>
    </w:p>
    <w:p w14:paraId="057C131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14:paraId="010452EC">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 竣工结算</w:t>
      </w:r>
    </w:p>
    <w:p w14:paraId="05C0A3BF">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14.1 竣工结算申请</w:t>
      </w:r>
    </w:p>
    <w:p w14:paraId="04BA3ECA">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除专用合同条款另有约定外，</w:t>
      </w:r>
      <w:r>
        <w:rPr>
          <w:rStyle w:val="22"/>
          <w:rFonts w:hint="eastAsia" w:ascii="宋体" w:hAnsi="宋体" w:eastAsia="宋体" w:cs="宋体"/>
          <w:color w:val="auto"/>
          <w:sz w:val="24"/>
          <w:szCs w:val="24"/>
        </w:rPr>
        <w:t>承包人应在工程竣工验收合格后28天内向发包人和监理人提交竣工结算申请单，并提交完整的结算资料，有关竣工结算申请单的资料清单和份数等要求由合同当事人在专用合同条款中约定。</w:t>
      </w:r>
    </w:p>
    <w:p w14:paraId="618849F4">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除专用合同条款另有约定外，竣工结算申请单应包括以下内容：</w:t>
      </w:r>
    </w:p>
    <w:p w14:paraId="1CAB34D0">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（1）竣工结算合同价格；</w:t>
      </w:r>
    </w:p>
    <w:p w14:paraId="5B6E595A">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（2）发包人已支付承包人的款项；</w:t>
      </w:r>
    </w:p>
    <w:p w14:paraId="56556185">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（3）应扣留的质量保证金。已缴纳履约保证金的或提供其他工程质量担保方式的除外； </w:t>
      </w:r>
    </w:p>
    <w:p w14:paraId="20342807">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（4）发包人应支付承包人的合同价款。</w:t>
      </w:r>
    </w:p>
    <w:p w14:paraId="0E5B5D17">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14.2 竣工结算审核</w:t>
      </w:r>
    </w:p>
    <w:p w14:paraId="2DF8964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Style w:val="22"/>
          <w:rFonts w:hint="eastAsia" w:ascii="宋体" w:hAnsi="宋体" w:eastAsia="宋体" w:cs="宋体"/>
          <w:color w:val="auto"/>
          <w:sz w:val="24"/>
          <w:szCs w:val="24"/>
        </w:rPr>
        <w:t>发包人对竣工</w:t>
      </w:r>
      <w:r>
        <w:rPr>
          <w:rStyle w:val="22"/>
          <w:rFonts w:hint="eastAsia" w:ascii="宋体" w:hAnsi="宋体" w:eastAsia="宋体" w:cs="宋体"/>
          <w:color w:val="auto"/>
          <w:kern w:val="0"/>
          <w:sz w:val="24"/>
          <w:szCs w:val="24"/>
        </w:rPr>
        <w:t>结算</w:t>
      </w:r>
      <w:r>
        <w:rPr>
          <w:rStyle w:val="22"/>
          <w:rFonts w:hint="eastAsia" w:ascii="宋体" w:hAnsi="宋体" w:eastAsia="宋体" w:cs="宋体"/>
          <w:color w:val="auto"/>
          <w:sz w:val="24"/>
          <w:szCs w:val="24"/>
        </w:rPr>
        <w:t>申请单有异议的，有权要求承包人进行修正和提供补充资料，承包人应提交修正后的竣工</w:t>
      </w:r>
      <w:r>
        <w:rPr>
          <w:rStyle w:val="22"/>
          <w:rFonts w:hint="eastAsia" w:ascii="宋体" w:hAnsi="宋体" w:eastAsia="宋体" w:cs="宋体"/>
          <w:color w:val="auto"/>
          <w:kern w:val="0"/>
          <w:sz w:val="24"/>
          <w:szCs w:val="24"/>
        </w:rPr>
        <w:t>结算</w:t>
      </w:r>
      <w:r>
        <w:rPr>
          <w:rStyle w:val="22"/>
          <w:rFonts w:hint="eastAsia" w:ascii="宋体" w:hAnsi="宋体" w:eastAsia="宋体" w:cs="宋体"/>
          <w:color w:val="auto"/>
          <w:sz w:val="24"/>
          <w:szCs w:val="24"/>
        </w:rPr>
        <w:t>申请单。</w:t>
      </w:r>
    </w:p>
    <w:p w14:paraId="19CDF60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41C6629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2DBDD2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32CAFBEB">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14.3 甩项竣工协议</w:t>
      </w:r>
    </w:p>
    <w:p w14:paraId="2FEE3660">
      <w:pPr>
        <w:pStyle w:val="52"/>
        <w:autoSpaceDE w:val="0"/>
        <w:autoSpaceDN w:val="0"/>
        <w:adjustRightInd w:val="0"/>
        <w:spacing w:line="520" w:lineRule="exact"/>
        <w:ind w:firstLine="470" w:firstLineChars="196"/>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14:paraId="5294553D">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14.4 最终结清</w:t>
      </w:r>
    </w:p>
    <w:p w14:paraId="073C9E7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14.4.1 最终结清申请单</w:t>
      </w:r>
    </w:p>
    <w:p w14:paraId="6ABB61C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（1）除专用合同条款另有约定外，承包人应在缺陷责任期终止证书颁发后7天内，按专用合同条款约定的份数向发包人提交最终结清申请单，并提供相关证明材料。</w:t>
      </w:r>
    </w:p>
    <w:p w14:paraId="446E06A7">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除专用合同条款另有约定外，</w:t>
      </w:r>
      <w:r>
        <w:rPr>
          <w:rStyle w:val="22"/>
          <w:rFonts w:hint="eastAsia" w:ascii="宋体" w:hAnsi="宋体" w:eastAsia="宋体" w:cs="宋体"/>
          <w:color w:val="auto"/>
          <w:kern w:val="0"/>
          <w:sz w:val="24"/>
          <w:szCs w:val="24"/>
        </w:rPr>
        <w:t>最终结清申请单</w:t>
      </w:r>
      <w:r>
        <w:rPr>
          <w:rStyle w:val="22"/>
          <w:rFonts w:hint="eastAsia" w:ascii="宋体" w:hAnsi="宋体" w:eastAsia="宋体" w:cs="宋体"/>
          <w:color w:val="auto"/>
          <w:sz w:val="24"/>
          <w:szCs w:val="24"/>
        </w:rPr>
        <w:t>应列明质量保证金、应扣除的质量保证金、缺陷责任期内发生的增减费用。</w:t>
      </w:r>
    </w:p>
    <w:p w14:paraId="0F36ECC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（2）发包人对最终结清申请单内容有异议的，有权要求承包人进行修正和提供补充资料，承包人应向发包人提交修正后的最终结清申请单。</w:t>
      </w:r>
    </w:p>
    <w:p w14:paraId="5810569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14.4.2 最终结清证书和支付</w:t>
      </w:r>
    </w:p>
    <w:p w14:paraId="1B280F8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299A16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BC73D4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（3）承包人对发包人颁发的最终结清证书有异议的，按第20条〔争议解决〕的约定办理。</w:t>
      </w:r>
    </w:p>
    <w:p w14:paraId="256F5FE8">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 缺陷责任与保修</w:t>
      </w:r>
    </w:p>
    <w:p w14:paraId="00FA8FE2">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15.1 工程保修的原则</w:t>
      </w:r>
    </w:p>
    <w:p w14:paraId="47CB15D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在工程移交发包人后，因承包人原因产生的质量缺陷，承包人应承担质量缺陷责任和保修义务。缺陷责任期届满，承包人仍应按合同约定的工程各部位保修年限承担保修义务。</w:t>
      </w:r>
    </w:p>
    <w:p w14:paraId="6A953748">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15.2 缺陷责任期</w:t>
      </w:r>
    </w:p>
    <w:p w14:paraId="79595DB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15.2.1 缺陷责任期从工程通过竣工验收之日起计算，合同当事人应在专用合同条款约定缺陷责任期的具体期限，但该期限最长不超过24个月。</w:t>
      </w:r>
    </w:p>
    <w:p w14:paraId="1AC1CCF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6FAAC2B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Style w:val="22"/>
          <w:rFonts w:hint="eastAsia" w:ascii="宋体" w:hAnsi="宋体" w:eastAsia="宋体" w:cs="宋体"/>
          <w:bCs/>
          <w:color w:val="auto"/>
          <w:sz w:val="24"/>
          <w:szCs w:val="24"/>
        </w:rPr>
        <w:t>包人延长缺陷责任期，</w:t>
      </w:r>
      <w:r>
        <w:rPr>
          <w:rStyle w:val="22"/>
          <w:rFonts w:hint="eastAsia" w:ascii="宋体" w:hAnsi="宋体" w:eastAsia="宋体" w:cs="宋体"/>
          <w:color w:val="auto"/>
          <w:kern w:val="0"/>
          <w:sz w:val="24"/>
          <w:szCs w:val="24"/>
        </w:rPr>
        <w:t>并应在原缺陷责任期届满前发出延长通知。</w:t>
      </w:r>
      <w:r>
        <w:rPr>
          <w:rStyle w:val="22"/>
          <w:rFonts w:hint="eastAsia" w:ascii="宋体" w:hAnsi="宋体" w:eastAsia="宋体" w:cs="宋体"/>
          <w:bCs/>
          <w:color w:val="auto"/>
          <w:sz w:val="24"/>
          <w:szCs w:val="24"/>
        </w:rPr>
        <w:t>但缺陷责任期（含延长部分）最长</w:t>
      </w:r>
      <w:r>
        <w:rPr>
          <w:rStyle w:val="22"/>
          <w:rFonts w:hint="eastAsia" w:ascii="宋体" w:hAnsi="宋体" w:eastAsia="宋体" w:cs="宋体"/>
          <w:color w:val="auto"/>
          <w:kern w:val="0"/>
          <w:sz w:val="24"/>
          <w:szCs w:val="24"/>
        </w:rPr>
        <w:t>不能超过24个月。</w:t>
      </w:r>
    </w:p>
    <w:p w14:paraId="76098A0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由他人原因造成的缺陷，发包人负责组织维修，承包人不承担费用，且发包人不得从保证金中扣除费用。</w:t>
      </w:r>
    </w:p>
    <w:p w14:paraId="2228F25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15.2.3 任何一项缺陷或损坏修复后，经检查证明其影响了工程或工程设备的使用性能，承包人应重新进行合同约定的试验和试运行，试验和试运行的全部费用应由责任方承担。</w:t>
      </w:r>
    </w:p>
    <w:p w14:paraId="774FDE8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4C0368F">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15.3 质量保证金</w:t>
      </w:r>
    </w:p>
    <w:p w14:paraId="7CDA55E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经合同当事人协商一致扣留质量保证金的，应在专用合同条款中予以明确。</w:t>
      </w:r>
    </w:p>
    <w:p w14:paraId="6ED128C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在工程项目竣工前，承包人已经提供履约担保的，发包人不得同时预留工程质量保证金。</w:t>
      </w:r>
    </w:p>
    <w:p w14:paraId="32313D1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p>
    <w:p w14:paraId="3F4749C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15.3.1 承包人提供质量保证金的方式</w:t>
      </w:r>
    </w:p>
    <w:p w14:paraId="5F0F884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承包人提供质量保证金有以下三种方式：</w:t>
      </w:r>
    </w:p>
    <w:p w14:paraId="063BD65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（1）质量保证金保函； </w:t>
      </w:r>
    </w:p>
    <w:p w14:paraId="15A182A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（2）相应比例的工程款；</w:t>
      </w:r>
    </w:p>
    <w:p w14:paraId="5558F40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（3）双方约定的其他方式。</w:t>
      </w:r>
    </w:p>
    <w:p w14:paraId="59AD821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除专用合同条款另有约定外，质量保证金原则上采用上述第（1）种方式。</w:t>
      </w:r>
    </w:p>
    <w:p w14:paraId="1F1D83B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15.3.2 质量保证金的扣留</w:t>
      </w:r>
    </w:p>
    <w:p w14:paraId="5C5843F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质量保证金的扣留有以下三种方式：</w:t>
      </w:r>
    </w:p>
    <w:p w14:paraId="3D1DF3C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（1）在支付工程进度款时逐次扣留，在此情形下，质量保证金的计算基数不包括预付款的支付、扣回以及价格调整的金额；</w:t>
      </w:r>
    </w:p>
    <w:p w14:paraId="6FC8B78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（2）工程竣工结算时一次性扣留质量保证金；</w:t>
      </w:r>
    </w:p>
    <w:p w14:paraId="7A2D338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（3）双方约定的其他扣留方式。</w:t>
      </w:r>
    </w:p>
    <w:p w14:paraId="59BED56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除专用合同条款另有约定外，质量保证金的扣留原则上采用上述第（1）种方式。</w:t>
      </w:r>
    </w:p>
    <w:p w14:paraId="5B4A97E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32E1687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发包人在退还质量保证金的同时按照中国人民银行发布的同期同类贷款基准利率支付利息。</w:t>
      </w:r>
    </w:p>
    <w:p w14:paraId="551BC5D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15.3.3 </w:t>
      </w:r>
      <w:r>
        <w:rPr>
          <w:rStyle w:val="22"/>
          <w:rFonts w:hint="eastAsia" w:ascii="宋体" w:hAnsi="宋体" w:eastAsia="宋体" w:cs="宋体"/>
          <w:color w:val="auto"/>
          <w:sz w:val="24"/>
          <w:szCs w:val="24"/>
        </w:rPr>
        <w:t>质量保证金</w:t>
      </w:r>
      <w:r>
        <w:rPr>
          <w:rStyle w:val="22"/>
          <w:rFonts w:hint="eastAsia" w:ascii="宋体" w:hAnsi="宋体" w:eastAsia="宋体" w:cs="宋体"/>
          <w:color w:val="auto"/>
          <w:kern w:val="0"/>
          <w:sz w:val="24"/>
          <w:szCs w:val="24"/>
        </w:rPr>
        <w:t>的退还</w:t>
      </w:r>
    </w:p>
    <w:p w14:paraId="15FB030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缺陷责任期内，承包人认真履行合同约定的责任，到期后，承包人可向发包人申请返还保证金。</w:t>
      </w:r>
    </w:p>
    <w:p w14:paraId="1C0EC8F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0A69A42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发包人和承包人对保证金预留、返还以及工程维修质量、费用有争议的，按本合同第20条约定的争议和纠纷解决程序处理。</w:t>
      </w:r>
    </w:p>
    <w:p w14:paraId="0B36EC41">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15.4 保修</w:t>
      </w:r>
    </w:p>
    <w:p w14:paraId="433CB95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15.4.1保修责任</w:t>
      </w:r>
    </w:p>
    <w:p w14:paraId="519D64A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2FB0C259">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发包人未经竣工验收擅自使用工程的，保修期自</w:t>
      </w:r>
      <w:r>
        <w:rPr>
          <w:rStyle w:val="22"/>
          <w:rFonts w:hint="eastAsia" w:ascii="宋体" w:hAnsi="宋体" w:eastAsia="宋体" w:cs="宋体"/>
          <w:color w:val="auto"/>
          <w:kern w:val="0"/>
          <w:sz w:val="24"/>
          <w:szCs w:val="24"/>
        </w:rPr>
        <w:t>转移占有之日起算</w:t>
      </w:r>
      <w:r>
        <w:rPr>
          <w:rStyle w:val="22"/>
          <w:rFonts w:hint="eastAsia" w:ascii="宋体" w:hAnsi="宋体" w:eastAsia="宋体" w:cs="宋体"/>
          <w:color w:val="auto"/>
          <w:sz w:val="24"/>
          <w:szCs w:val="24"/>
        </w:rPr>
        <w:t>。</w:t>
      </w:r>
    </w:p>
    <w:p w14:paraId="356B313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15.4.2 修复费用</w:t>
      </w:r>
    </w:p>
    <w:p w14:paraId="158A32C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保修期内，修复的费用按照以下约定处理：</w:t>
      </w:r>
    </w:p>
    <w:p w14:paraId="3D473E0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（1）保修期内，因承包人原因造成工程的缺陷、损坏，承包人应负责修复，并承担修复的费用以及因工程的缺陷、损坏造成的人身伤害和财产损失；</w:t>
      </w:r>
    </w:p>
    <w:p w14:paraId="0D01E72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（2）保修期内，因发包人使用不当造成工程的缺陷、损坏，可以委托承包人修复，但发包人应承担修复的费用，并支付承包人合理利润；</w:t>
      </w:r>
    </w:p>
    <w:p w14:paraId="19E4816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（3）因其他原因造成工程的缺陷、损坏，可以委托承包人修复，发包人应承担修复的费用，并支付承包人合理的利润，因工程的缺陷、损坏造成的人身伤害和财产损失由责任方承担。</w:t>
      </w:r>
    </w:p>
    <w:p w14:paraId="195C38E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15.4.3 修复通知</w:t>
      </w:r>
    </w:p>
    <w:p w14:paraId="0BAA31D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27151A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15.4.4 未能修复</w:t>
      </w:r>
    </w:p>
    <w:p w14:paraId="0D589C2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2934C8B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15.4.5 承包人出入权</w:t>
      </w:r>
    </w:p>
    <w:p w14:paraId="5232D8C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754E27A7">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 违约</w:t>
      </w:r>
    </w:p>
    <w:p w14:paraId="57DFE7E3">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16.1 发包人违约</w:t>
      </w:r>
    </w:p>
    <w:p w14:paraId="1F320E5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16.1.1 发包人违约的情形</w:t>
      </w:r>
    </w:p>
    <w:p w14:paraId="5B08EDE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在合同履行过程中发生的下列情形，属于发包人违约：</w:t>
      </w:r>
    </w:p>
    <w:p w14:paraId="574ECC2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（1）因发包人原因未能在计划开工日期前7天内下达开工通知的；</w:t>
      </w:r>
    </w:p>
    <w:p w14:paraId="2D187C0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（2）因发包人原因未能按合同约定支付合同价款的；</w:t>
      </w:r>
    </w:p>
    <w:p w14:paraId="07456C0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（3）发包人违反第10.1款〔变更的范围〕第（2）项约定，自行实施被取消的工作或转由他人实施的；</w:t>
      </w:r>
    </w:p>
    <w:p w14:paraId="312B494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（4）发包人提供的材料、工程设备的规格、数量或质量不符合合同约定，或因发包人原因导致交货日期延误或交货地点变更等情况的；</w:t>
      </w:r>
    </w:p>
    <w:p w14:paraId="1CF0308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（5）因发包人违反合同约定造成暂停施工的；</w:t>
      </w:r>
    </w:p>
    <w:p w14:paraId="3A64207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（6）发包人无正当理由没有在约定期限内发出复工指示，导致承包人无法复工的；</w:t>
      </w:r>
    </w:p>
    <w:p w14:paraId="5A90222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（7）发包人明确表示或者以其行为表明不履行合同主要义务的；</w:t>
      </w:r>
    </w:p>
    <w:p w14:paraId="70500A7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（8）发包人未能按照合同约定履行其他义务的。</w:t>
      </w:r>
    </w:p>
    <w:p w14:paraId="751D077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1266E01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16.1.2 发包人违约的责任</w:t>
      </w:r>
    </w:p>
    <w:p w14:paraId="5570174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发包人应承担因其违约给承包人增加的费用和（或）延误的工期，并支付承包人合理的利润。此外，合同当事人可在专用合同条款中另行约定发包人违约责任的承担方式和计算方法。</w:t>
      </w:r>
    </w:p>
    <w:p w14:paraId="4F9154F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16.1.3 因发包人违约解除合同</w:t>
      </w:r>
    </w:p>
    <w:p w14:paraId="1864F78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7FF8426A">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16.1.4 因发包人违约解除合同后的付款</w:t>
      </w:r>
    </w:p>
    <w:p w14:paraId="3843A60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承包人按照本款约定解除合同的，发包人应在解除合同后28天内支付下列款项，并解除履约担保：</w:t>
      </w:r>
    </w:p>
    <w:p w14:paraId="6097B5C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（1）合同解除前所完成工作的价款；</w:t>
      </w:r>
    </w:p>
    <w:p w14:paraId="057059C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（2）承包人为工程施工订购并已付款的材料、工程设备和其他物品的价款；</w:t>
      </w:r>
    </w:p>
    <w:p w14:paraId="29E4614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（3）承包人撤离施工现场以及遣散承包人人员的款项；</w:t>
      </w:r>
    </w:p>
    <w:p w14:paraId="4080237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（4）按照合同约定在合同解除前应支付的违约金；</w:t>
      </w:r>
    </w:p>
    <w:p w14:paraId="21F4007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（5）按照合同约定应当支付给承包人的其他款项；</w:t>
      </w:r>
    </w:p>
    <w:p w14:paraId="1F504C8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（6）按照合同约定应退还的质量保证金；</w:t>
      </w:r>
    </w:p>
    <w:p w14:paraId="487E575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（7）因解除合同给承包人造成的损失。</w:t>
      </w:r>
    </w:p>
    <w:p w14:paraId="22BEF09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合同当事人未能就解除合同后的结清达成一致的，按照第20条〔争议解决〕的约定处理。</w:t>
      </w:r>
    </w:p>
    <w:p w14:paraId="048809A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承包人应妥善做好已完工程和与工程有关的已购材料、工程设备的保护和移交工作，并将施工设备和人员撤出施工现场，发包人应为承包人撤出提供必要条件。</w:t>
      </w:r>
    </w:p>
    <w:p w14:paraId="4D755069">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16.2 承包人违约</w:t>
      </w:r>
    </w:p>
    <w:p w14:paraId="6E72FC1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16.2.1 承包人违约的情形</w:t>
      </w:r>
    </w:p>
    <w:p w14:paraId="06ABC24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在合同履行过程中发生的下列情形，属于承包人违约：</w:t>
      </w:r>
    </w:p>
    <w:p w14:paraId="58DEB5C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（1）承包人违反合同约定进行转包或违法分包的；</w:t>
      </w:r>
    </w:p>
    <w:p w14:paraId="2FFEFC9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（2）承包人违反合同约定采购和使用不合格的材料和工程设备的；</w:t>
      </w:r>
    </w:p>
    <w:p w14:paraId="51DF512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（3）因承包人原因导致工程质量不符合合同要求的； </w:t>
      </w:r>
    </w:p>
    <w:p w14:paraId="51F98EB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（4）承包人违反第8.9款〔材料与设备专用要求〕的约定，未经批准，私自将已按照合同约定进入施工现场的材料或设备撤离施工现场的；</w:t>
      </w:r>
    </w:p>
    <w:p w14:paraId="1B84AB4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（5）承包人未能按施工进度计划及时完成合同约定的工作，造成工期延误的；</w:t>
      </w:r>
    </w:p>
    <w:p w14:paraId="3299115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（6）承包人在缺陷责任期及保修期内，未能在合理期限对工程缺陷进行修复，或拒绝按发包人要求进行修复的；</w:t>
      </w:r>
    </w:p>
    <w:p w14:paraId="4F980CE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（7）承包人明确表示或者以其行为表明不履行合同主要义务的；</w:t>
      </w:r>
    </w:p>
    <w:p w14:paraId="69FB388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（8）承包人未能按照合同约定履行其他义务的。</w:t>
      </w:r>
    </w:p>
    <w:p w14:paraId="5E8BEB1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承包人发生除本项第（7）目约定以外的其他违约情况时，监理人可向承包人发出整改通知，要求其在指定的期限内改正。</w:t>
      </w:r>
    </w:p>
    <w:p w14:paraId="62D1981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16.2.2 承包人违约的责任</w:t>
      </w:r>
    </w:p>
    <w:p w14:paraId="2AFCC48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承包人应承担因其违约行为而增加的费用和（或）延误的工期。此外，合同当事人可在专用合同条款中另行约定承包人违约责任的承担方式和计算方法。</w:t>
      </w:r>
    </w:p>
    <w:p w14:paraId="0A09623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16.2.3 因承包人违约解除合同</w:t>
      </w:r>
    </w:p>
    <w:p w14:paraId="795E9E3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69123E1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16.2.4因承包人违约解除合同后的处理</w:t>
      </w:r>
    </w:p>
    <w:p w14:paraId="2EF9AA4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因承包人原因导致合同解除的，则合同当事人应在合同解除后28天内完成估价、付款和清算，并按以下约定执行：</w:t>
      </w:r>
    </w:p>
    <w:p w14:paraId="7D37C02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（1）合同解除后，按第4.4款〔商定或确定〕商定或确定承包人实际完成工作对应的合同价款，以及承包人已提供的材料、工程设备、施工设备和临时工程等的价值；</w:t>
      </w:r>
    </w:p>
    <w:p w14:paraId="02C1CBAD">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（2）合同解除后，承包人应支付的违约金；</w:t>
      </w:r>
    </w:p>
    <w:p w14:paraId="45EFE12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（3）合同解除后，因解除合同给发包人造成的损失；</w:t>
      </w:r>
    </w:p>
    <w:p w14:paraId="63A9E29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（4）合同解除后，承包人应按照发包人要求和监理人的指示完成现场的清理和撤离；</w:t>
      </w:r>
    </w:p>
    <w:p w14:paraId="38A8C7D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（5）发包人和承包人应在合同解除后进行清算，出具最终结清付款证书，结清全部款项。</w:t>
      </w:r>
    </w:p>
    <w:p w14:paraId="23B60C4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因承包人违约解除合同的，发包人有权暂停对承包人的付款，查清各项付款和已扣款项。发包人和承包人未能就合同解除后的清算和款项支付达成一致的，按照第20条〔争议解决〕的约定处理。</w:t>
      </w:r>
    </w:p>
    <w:p w14:paraId="290C5AA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16.2.5采购合同权益转让</w:t>
      </w:r>
    </w:p>
    <w:p w14:paraId="7A2DEC9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4F7AAC8E">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16.3 第三人造成的违约</w:t>
      </w:r>
    </w:p>
    <w:p w14:paraId="6FE6920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在履行合同过程中，一方当事人因第三人的原因造成违约的，应当向对方当事人承担违约责任。一方当事人和第三人之间的纠纷，依照法律规定或者按照约定解决。</w:t>
      </w:r>
    </w:p>
    <w:p w14:paraId="69EC14A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17. 不可抗力 </w:t>
      </w:r>
    </w:p>
    <w:p w14:paraId="607252A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17.1 不可抗力的确认</w:t>
      </w:r>
    </w:p>
    <w:p w14:paraId="14D95B7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14:paraId="4760F3C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EF2CB5C">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17.2 不可抗力的通知</w:t>
      </w:r>
    </w:p>
    <w:p w14:paraId="009B3C4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合同一方当事人遇到不可抗力事件，使其履行合同义务受到阻碍时，应立即通知合同另一方当事人和监理人，书面说明不可抗力和受阻碍的详细情况，并提供必要的证明。</w:t>
      </w:r>
    </w:p>
    <w:p w14:paraId="730F19A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14:paraId="6762507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17.3 不可抗力后果的承担</w:t>
      </w:r>
    </w:p>
    <w:p w14:paraId="78CA9CE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17.3.1 不可抗力引起的后果及造成的损失由合同当事人按照法律规定及合同约定各自承担。不可抗力发生前已完成的工程应当按照合同约定进行计量支付。</w:t>
      </w:r>
    </w:p>
    <w:p w14:paraId="332A1C8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17.3.2 不可抗力导致的人员伤亡、财产损失、费用增加和（或）工期延误等后果，由合同当事人按以下原则承担：</w:t>
      </w:r>
    </w:p>
    <w:p w14:paraId="105002C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（1）永久工程、已运至施工现场的材料和工程设备的损坏，以及因工程损坏造成的第三人人员伤亡和财产损失由发包人承担；</w:t>
      </w:r>
    </w:p>
    <w:p w14:paraId="1AFC355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（2）承包人施工设备的损坏由承包人承担；</w:t>
      </w:r>
    </w:p>
    <w:p w14:paraId="66D0E21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（3）发包人和承包人承担各自人员伤亡和财产的损失；</w:t>
      </w:r>
    </w:p>
    <w:p w14:paraId="1B11A62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3F262A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（5）因不可抗力引起或将引起工期延误，发包人要求赶工的，由此增加的赶工费用由发包人承担；</w:t>
      </w:r>
    </w:p>
    <w:p w14:paraId="628081D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（6）承包人在停工期间按照发包人要求照管、清理和修复工程的费用由发包人承担。</w:t>
      </w:r>
    </w:p>
    <w:p w14:paraId="46C751D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不可抗力发生后，合同当事人均应采取措施尽量避免和减少损失的扩大，任何一方当事人没有采取有效措施导致损失扩大的，应对扩大的损失承担责任。</w:t>
      </w:r>
    </w:p>
    <w:p w14:paraId="08C2438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因合同一方迟延履行合同义务，在迟延履行期间遭遇不可抗力的，不免除其违约责任。</w:t>
      </w:r>
    </w:p>
    <w:p w14:paraId="313BAE66">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17.4 因不可抗力解除合同</w:t>
      </w:r>
    </w:p>
    <w:p w14:paraId="3EDDA06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14:paraId="2677C97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（1）合同解除前承包人已完成工作的价款；</w:t>
      </w:r>
    </w:p>
    <w:p w14:paraId="162FE45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（2）承包人为工程订购的并已交付给承包人，或承包人有责任接受交付的材料、工程设备和其他物品的价款；</w:t>
      </w:r>
    </w:p>
    <w:p w14:paraId="5BABA4C9">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（3）发包人要求承包人退货或解除订货合同而产生的费用，或因不能退货或解除合同而产生的损失；</w:t>
      </w:r>
    </w:p>
    <w:p w14:paraId="539E98F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（4）承包人撤离施工现场以及遣散承包人人员的费用；</w:t>
      </w:r>
    </w:p>
    <w:p w14:paraId="7E87292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（5）按照合同约定在合同解除前应支付给承包人的其他款项；</w:t>
      </w:r>
    </w:p>
    <w:p w14:paraId="522DD5C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（6）扣减承包人按照合同约定应向发包人支付的款项；</w:t>
      </w:r>
    </w:p>
    <w:p w14:paraId="173B547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（7）双方商定或确定的其他款项。</w:t>
      </w:r>
    </w:p>
    <w:p w14:paraId="62697E6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除专用合同条款另有约定外，合同解除后，发包人应在商定或确定上述款项后28天内完成上述款项的支付。</w:t>
      </w:r>
    </w:p>
    <w:p w14:paraId="39ECBC36">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 保险</w:t>
      </w:r>
    </w:p>
    <w:p w14:paraId="72B21471">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18.1 工程保险</w:t>
      </w:r>
    </w:p>
    <w:p w14:paraId="349ED1A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除专用合同条款另有约定外，发包人应投保建筑工程一切险或安装工程一切险；发包人委托承包人投保的，因投保产生的保险费和其他相关费用由发包人承担。</w:t>
      </w:r>
    </w:p>
    <w:p w14:paraId="074FE0BD">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18.2 工伤保险</w:t>
      </w:r>
    </w:p>
    <w:p w14:paraId="2728961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18.2.1 发包人应依照法律规定参加工伤保险，并为在施工现场的全部员工办理工伤保险，缴纳工伤保险费，并要求监理人及由发包人为履行合同聘请的第三方依法参加工伤保险。</w:t>
      </w:r>
    </w:p>
    <w:p w14:paraId="3CB218F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18.2.2 承包人应依照法律规定参加工伤保险，并为其履行合同的全部员工办理工伤保险，缴纳工伤保险费，并要求分包人及由承包人为履行合同聘请的第三方依法参加工伤保险。</w:t>
      </w:r>
    </w:p>
    <w:p w14:paraId="40D759F8">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18.3其他保险</w:t>
      </w:r>
    </w:p>
    <w:p w14:paraId="53EE5D5D">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发包人和承包人可以为其施工现场的全部人员办理意外伤害保险并支付保险费，包括其员工及为履行合同聘请的第三方的人员，具体事项由合同当事人在专用合同条款约定。</w:t>
      </w:r>
    </w:p>
    <w:p w14:paraId="5E11EE8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除专用合同条款另有约定外，承包人应为其施工设备等办理财产保险。</w:t>
      </w:r>
    </w:p>
    <w:p w14:paraId="214E0A94">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18.4持续保险</w:t>
      </w:r>
    </w:p>
    <w:p w14:paraId="4DCF9559">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合同当事人应与保险人保持联系，使保险人能够随时了解工程实施中的变动，并确保按保险合同条款要求持续保险。</w:t>
      </w:r>
    </w:p>
    <w:p w14:paraId="02151A8B">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18.5 保险凭证</w:t>
      </w:r>
    </w:p>
    <w:p w14:paraId="3AD01DB6">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合同当事人应及时向另一方当事人提交其已投保的各项保险的凭证和保险单复印件。</w:t>
      </w:r>
    </w:p>
    <w:p w14:paraId="3D89F6A9">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18.6 未按约定投保的补救</w:t>
      </w:r>
    </w:p>
    <w:p w14:paraId="2DAD17B0">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18.6.1发包人未按合同约定办理保险，或未能使保险持续有效的，则承包人可代为办理，所需费用由发包人承担。发包人未按合同约定办理保险，导致未能得到足额赔偿的，由发包人负责补足。</w:t>
      </w:r>
    </w:p>
    <w:p w14:paraId="256007A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18.6.2承包人未按合同约定办理保险，或未能使保险持续有效的，则发包人可代为办理，所需费用由承包人承担。承包人未按合同约定办理保险，导致未能得到足额赔偿的，由承包人负责补足。</w:t>
      </w:r>
    </w:p>
    <w:p w14:paraId="2EF83AE4">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18.7 通知义务</w:t>
      </w:r>
    </w:p>
    <w:p w14:paraId="1617843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14:paraId="1041FB5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保险事故发生时，投保人应按照保险合同规定的条件和期限及时向保险人报告。发包人和承包人应当在知道保险事故发生后及时通知对方。</w:t>
      </w:r>
    </w:p>
    <w:p w14:paraId="7B76F564">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19. 索赔</w:t>
      </w:r>
    </w:p>
    <w:p w14:paraId="71FFD341">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19.1承包人的索赔</w:t>
      </w:r>
    </w:p>
    <w:p w14:paraId="1CFC993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根据合同约定，承包人认为有权得到追加付款和（或）延长工期的，应按以下程序向发包人提出索赔：</w:t>
      </w:r>
    </w:p>
    <w:p w14:paraId="338B16F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70D855C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（2）承包人应在发出索赔意向通知书后28天内，向监理人正式递交索赔报告；索赔报告应详细说明索赔理由以及要求追加的付款金额和（或）延长的工期，并附必要的记录和证明材料；</w:t>
      </w:r>
    </w:p>
    <w:p w14:paraId="32C25E2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（3）索赔事件具有持续影响的，承包人应按合理时间间隔继续递交延续索赔通知，说明持续影响的实际情况和记录，列出累计的追加付款金额和（或）工期延长天数；</w:t>
      </w:r>
    </w:p>
    <w:p w14:paraId="1A652B3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（4）在索赔事件影响结束后28天内，承包人应向监理人递交最终索赔报告，说明最终要求索赔的追加付款金额和（或）延长的工期，并附必要的记录和证明材料。</w:t>
      </w:r>
    </w:p>
    <w:p w14:paraId="2A8671B6">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19.2 对承包人索赔的处理</w:t>
      </w:r>
    </w:p>
    <w:p w14:paraId="19B0F4D8">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对承包人索赔的处理如下：</w:t>
      </w:r>
    </w:p>
    <w:p w14:paraId="0061893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（1）监理人应在收到索赔报告后14天内完成审查并报送发包人。监理人对索赔报告存在异议的，有权要求承包人提交全部原始记录副本；</w:t>
      </w:r>
    </w:p>
    <w:p w14:paraId="31B254A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（2）发包人应在监理人收到索赔报告或有关索赔的进一步证明材料后的28天内，由监理人向承包人出具经发包人签认的索赔处理结果。发包人逾期答复的，则视为认可承包人的索赔要求；</w:t>
      </w:r>
    </w:p>
    <w:p w14:paraId="52E80D9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（3）承包人接受索赔处理结果的，索赔款项在当期进度款中进行支付；承包人不接受索赔处理结果的，按照第20条〔争议解决〕约定处理。</w:t>
      </w:r>
    </w:p>
    <w:p w14:paraId="4138164E">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19.3发包人的索赔</w:t>
      </w:r>
    </w:p>
    <w:p w14:paraId="15279AF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根据合同约定，发包人认为有权得到赔付金额和（或）延长缺陷责任期的，监理人应向承包人发出通知并附有详细的证明。</w:t>
      </w:r>
    </w:p>
    <w:p w14:paraId="525F4DD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4846D54C">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19.4 对发包人索赔的处理</w:t>
      </w:r>
    </w:p>
    <w:p w14:paraId="059CC20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对发包人索赔的处理如下：</w:t>
      </w:r>
    </w:p>
    <w:p w14:paraId="0646BBE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（1）承包人收到发包人提交的索赔报告后，应及时审查索赔报告的内容、查验发包人证明材料；</w:t>
      </w:r>
    </w:p>
    <w:p w14:paraId="3F4D130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（2）承包人应在收到索赔报告或有关索赔的进一步证明材料后28天内，将索赔处理结果答复发包人。如果承包人未在上述期限内作出答复的，则视为对发包人索赔要求的认可；</w:t>
      </w:r>
    </w:p>
    <w:p w14:paraId="7E870E2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（3）承包人接受索赔处理结果的，发包人可从应支付给承包人的合同价款中扣除赔付的金额或延长缺陷责任期；发包人不接受索赔处理结果的，按第20条〔争议解决〕约定处理。</w:t>
      </w:r>
    </w:p>
    <w:p w14:paraId="471FA8B0">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19.5 提出索赔的期限</w:t>
      </w:r>
    </w:p>
    <w:p w14:paraId="25BA89B7">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（1）承包人按第14.2款〔竣工结算审核〕约定接收竣工付款证书后，应被视为已无权再提出在工程接收证书颁发前所发生的任何索赔。</w:t>
      </w:r>
    </w:p>
    <w:p w14:paraId="5B5A560E">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（2）承包人按第14.4款〔最终结清〕提交的最终结清申请单中，只限于提出工程接收证书颁发后发生的索赔。提出索赔的期限自接受最终结清证书时终止。</w:t>
      </w:r>
    </w:p>
    <w:p w14:paraId="56828DBF">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 争议解决</w:t>
      </w:r>
    </w:p>
    <w:p w14:paraId="2C86464F">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20.1和解</w:t>
      </w:r>
    </w:p>
    <w:p w14:paraId="29708D8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合同当事人可以就争议自行和解，自行和解达成协议的经双方签字并盖章后作为合同补充文件，双方均应遵照执行。</w:t>
      </w:r>
    </w:p>
    <w:p w14:paraId="202AA7D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20.2调解</w:t>
      </w:r>
    </w:p>
    <w:p w14:paraId="0041CDA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合同当事人可以就争议请求建设行政主管部门、行业协会或其他第三方进行调解，调解达成协议的，经双方签字并盖章后作为合同补充文件，双方均应遵照执行。</w:t>
      </w:r>
    </w:p>
    <w:p w14:paraId="3E1FBF24">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20.3争议评审</w:t>
      </w:r>
    </w:p>
    <w:p w14:paraId="33D1ADE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合同当事人在专用合同条款中约定采取争议评审方式解决争议以及评审规则，并按下列约定执行： </w:t>
      </w:r>
    </w:p>
    <w:p w14:paraId="173FF944">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20.3.1 争议评审小组的确定</w:t>
      </w:r>
    </w:p>
    <w:p w14:paraId="5BD54E4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合同当事人可以共同选择一名或三名争议评审员，组成争议评审小组。除专用合同条款另有约定外，合同当事人应当自合同签订后28天内，或者争议发生后14天内，选定争议评审员。</w:t>
      </w:r>
    </w:p>
    <w:p w14:paraId="2B1C1BAA">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5365AFB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除专用合同条款另有约定外，评审员报酬由发包人和承包人各承担一半。</w:t>
      </w:r>
    </w:p>
    <w:p w14:paraId="7728615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20.3.2 争议评审小组的决定</w:t>
      </w:r>
    </w:p>
    <w:p w14:paraId="1BD0DCF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4B111DE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20.3.3 争议评审小组决定的效力</w:t>
      </w:r>
    </w:p>
    <w:p w14:paraId="31F9C9F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争议评审小组作出的书面决定经合同当事人签字确认后，对双方具有约束力，双方应遵照执行。</w:t>
      </w:r>
    </w:p>
    <w:p w14:paraId="719DF1D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任何一方当事人不接受争议评审小组决定或不履行争议评审小组决定的，双方可选择采用其他争议解决方式。</w:t>
      </w:r>
    </w:p>
    <w:p w14:paraId="5EFABFE5">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20.4仲裁或诉讼</w:t>
      </w:r>
    </w:p>
    <w:p w14:paraId="70E3D5AB">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因合同及合同有关事项产生的争议，合同当事人可以在专用合同条款中约定以下一种方式解决争议：</w:t>
      </w:r>
    </w:p>
    <w:p w14:paraId="36F600B0">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（1）向约定的仲裁委员会申请仲裁；</w:t>
      </w:r>
    </w:p>
    <w:p w14:paraId="64C9477D">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（2）向有管辖权的人民法院起诉。</w:t>
      </w:r>
    </w:p>
    <w:p w14:paraId="0E83C4DA">
      <w:pPr>
        <w:pStyle w:val="52"/>
        <w:keepNext/>
        <w:keepLines/>
        <w:adjustRightInd w:val="0"/>
        <w:spacing w:line="520" w:lineRule="exact"/>
        <w:ind w:firstLine="480" w:firstLineChars="200"/>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20.5争议解决条款效力</w:t>
      </w:r>
    </w:p>
    <w:p w14:paraId="2E8BEBCF">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合同有关争议解决的条款独立存在，合同的变更、解除、终止、无效或者被撤销均不影响其效力。</w:t>
      </w:r>
    </w:p>
    <w:p w14:paraId="422D3E79">
      <w:pPr>
        <w:pStyle w:val="52"/>
        <w:keepNext/>
        <w:keepLines/>
        <w:pageBreakBefore/>
        <w:spacing w:line="520" w:lineRule="exact"/>
        <w:jc w:val="center"/>
        <w:rPr>
          <w:rStyle w:val="22"/>
          <w:rFonts w:hint="eastAsia" w:ascii="宋体" w:hAnsi="宋体" w:eastAsia="宋体" w:cs="宋体"/>
          <w:b/>
          <w:bCs/>
          <w:color w:val="auto"/>
          <w:sz w:val="24"/>
          <w:szCs w:val="24"/>
        </w:rPr>
      </w:pPr>
      <w:r>
        <w:rPr>
          <w:rStyle w:val="22"/>
          <w:rFonts w:hint="eastAsia" w:ascii="宋体" w:hAnsi="宋体" w:eastAsia="宋体" w:cs="宋体"/>
          <w:b/>
          <w:bCs/>
          <w:color w:val="auto"/>
          <w:sz w:val="24"/>
          <w:szCs w:val="24"/>
        </w:rPr>
        <w:t>第三部分 专用合同条款</w:t>
      </w:r>
    </w:p>
    <w:p w14:paraId="6375D625">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 一般约定</w:t>
      </w:r>
    </w:p>
    <w:p w14:paraId="2DAC30F6">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 词语定义</w:t>
      </w:r>
    </w:p>
    <w:p w14:paraId="3C580B3D">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1.1.1合同</w:t>
      </w:r>
    </w:p>
    <w:p w14:paraId="39134F49">
      <w:pPr>
        <w:pStyle w:val="52"/>
        <w:spacing w:line="520" w:lineRule="exact"/>
        <w:ind w:left="1319" w:leftChars="228" w:hanging="840" w:hangingChars="35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1.1.1.10其他合同文件包括：</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w:t>
      </w:r>
    </w:p>
    <w:p w14:paraId="6AA27C8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1.1.2 合同当事人及其他相关方</w:t>
      </w:r>
    </w:p>
    <w:p w14:paraId="02EFD58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1.1.2.4监理人：</w:t>
      </w:r>
    </w:p>
    <w:p w14:paraId="26B5E91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名    称：</w:t>
      </w:r>
      <w:r>
        <w:rPr>
          <w:rStyle w:val="22"/>
          <w:rFonts w:hint="eastAsia" w:ascii="宋体" w:hAnsi="宋体" w:eastAsia="宋体" w:cs="宋体"/>
          <w:color w:val="auto"/>
          <w:sz w:val="24"/>
          <w:szCs w:val="24"/>
          <w:u w:val="single"/>
        </w:rPr>
        <w:t xml:space="preserve">                </w:t>
      </w:r>
      <w:r>
        <w:rPr>
          <w:rStyle w:val="22"/>
          <w:rFonts w:hint="eastAsia" w:ascii="宋体" w:hAnsi="宋体" w:eastAsia="宋体" w:cs="宋体"/>
          <w:color w:val="auto"/>
          <w:sz w:val="24"/>
          <w:szCs w:val="24"/>
        </w:rPr>
        <w:t>；</w:t>
      </w:r>
    </w:p>
    <w:p w14:paraId="6ECA280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资质类别和等级：</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sz w:val="24"/>
          <w:szCs w:val="24"/>
        </w:rPr>
        <w:t>；</w:t>
      </w:r>
    </w:p>
    <w:p w14:paraId="0A60C47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联系电话：</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36E10BB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电子信箱：</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6840962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通信地址：</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64E3572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1.1.2.5 设计人：</w:t>
      </w:r>
    </w:p>
    <w:p w14:paraId="4CD7A88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名    称：</w:t>
      </w:r>
      <w:r>
        <w:rPr>
          <w:rStyle w:val="22"/>
          <w:rFonts w:hint="eastAsia" w:ascii="宋体" w:hAnsi="宋体" w:eastAsia="宋体" w:cs="宋体"/>
          <w:color w:val="auto"/>
          <w:sz w:val="24"/>
          <w:szCs w:val="24"/>
          <w:u w:val="single"/>
        </w:rPr>
        <w:t xml:space="preserve">                 </w:t>
      </w:r>
      <w:r>
        <w:rPr>
          <w:rStyle w:val="22"/>
          <w:rFonts w:hint="eastAsia" w:ascii="宋体" w:hAnsi="宋体" w:eastAsia="宋体" w:cs="宋体"/>
          <w:color w:val="auto"/>
          <w:sz w:val="24"/>
          <w:szCs w:val="24"/>
        </w:rPr>
        <w:t>；</w:t>
      </w:r>
    </w:p>
    <w:p w14:paraId="5D86EDE0">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资质类别和等级：</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sz w:val="24"/>
          <w:szCs w:val="24"/>
        </w:rPr>
        <w:t>；</w:t>
      </w:r>
    </w:p>
    <w:p w14:paraId="086BA54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联系电话：</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sz w:val="24"/>
          <w:szCs w:val="24"/>
        </w:rPr>
        <w:t>；</w:t>
      </w:r>
    </w:p>
    <w:p w14:paraId="2BFF6200">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电子信箱：</w:t>
      </w:r>
      <w:r>
        <w:rPr>
          <w:rStyle w:val="22"/>
          <w:rFonts w:hint="eastAsia" w:ascii="宋体" w:hAnsi="宋体" w:eastAsia="宋体" w:cs="宋体"/>
          <w:color w:val="auto"/>
          <w:sz w:val="24"/>
          <w:szCs w:val="24"/>
          <w:u w:val="single"/>
        </w:rPr>
        <w:t xml:space="preserve">                    </w:t>
      </w:r>
      <w:r>
        <w:rPr>
          <w:rStyle w:val="22"/>
          <w:rFonts w:hint="eastAsia" w:ascii="宋体" w:hAnsi="宋体" w:eastAsia="宋体" w:cs="宋体"/>
          <w:color w:val="auto"/>
          <w:sz w:val="24"/>
          <w:szCs w:val="24"/>
        </w:rPr>
        <w:t>；</w:t>
      </w:r>
    </w:p>
    <w:p w14:paraId="26F1B6A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通信地址：</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28FC1522">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1.1.3 工程和设备</w:t>
      </w:r>
    </w:p>
    <w:p w14:paraId="0EA24591">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1.1.3.7 作为施工现场组成部分的其他场所包括：</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585507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1.1.3.9 永久占地包括：</w:t>
      </w:r>
      <w:r>
        <w:rPr>
          <w:rStyle w:val="22"/>
          <w:rFonts w:hint="eastAsia" w:ascii="宋体" w:hAnsi="宋体" w:eastAsia="宋体" w:cs="宋体"/>
          <w:color w:val="auto"/>
          <w:sz w:val="24"/>
          <w:szCs w:val="24"/>
          <w:u w:val="single"/>
        </w:rPr>
        <w:t xml:space="preserve">                        </w:t>
      </w:r>
      <w:r>
        <w:rPr>
          <w:rStyle w:val="22"/>
          <w:rFonts w:hint="eastAsia" w:ascii="宋体" w:hAnsi="宋体" w:eastAsia="宋体" w:cs="宋体"/>
          <w:color w:val="auto"/>
          <w:kern w:val="0"/>
          <w:sz w:val="24"/>
          <w:szCs w:val="24"/>
        </w:rPr>
        <w:t>。</w:t>
      </w:r>
    </w:p>
    <w:p w14:paraId="35566A1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1.1.3.10 临时占地包括：</w:t>
      </w:r>
      <w:r>
        <w:rPr>
          <w:rStyle w:val="22"/>
          <w:rFonts w:hint="eastAsia" w:ascii="宋体" w:hAnsi="宋体" w:eastAsia="宋体" w:cs="宋体"/>
          <w:color w:val="auto"/>
          <w:sz w:val="24"/>
          <w:szCs w:val="24"/>
          <w:u w:val="single"/>
        </w:rPr>
        <w:t xml:space="preserve">                       </w:t>
      </w:r>
      <w:r>
        <w:rPr>
          <w:rStyle w:val="22"/>
          <w:rFonts w:hint="eastAsia" w:ascii="宋体" w:hAnsi="宋体" w:eastAsia="宋体" w:cs="宋体"/>
          <w:color w:val="auto"/>
          <w:kern w:val="0"/>
          <w:sz w:val="24"/>
          <w:szCs w:val="24"/>
        </w:rPr>
        <w:t>。</w:t>
      </w:r>
    </w:p>
    <w:p w14:paraId="0EB73DA9">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1.3法律 </w:t>
      </w:r>
    </w:p>
    <w:p w14:paraId="171C4263">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适用于合同的其他规范性文件：</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w:t>
      </w:r>
    </w:p>
    <w:p w14:paraId="14793664">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 标准和规范</w:t>
      </w:r>
    </w:p>
    <w:p w14:paraId="346CEBB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1.4.1适用于工程的标准规范包括：</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 xml:space="preserve"> 。</w:t>
      </w:r>
    </w:p>
    <w:p w14:paraId="675AA240">
      <w:pPr>
        <w:pStyle w:val="52"/>
        <w:keepNext/>
        <w:keepLines/>
        <w:adjustRightInd w:val="0"/>
        <w:spacing w:line="520" w:lineRule="exact"/>
        <w:ind w:firstLine="480" w:firstLineChars="200"/>
        <w:textAlignment w:val="baseline"/>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 xml:space="preserve">1.4.2 发包人提供国外标准、规范的名称： </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65C14AD4">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发包人提供国外标准、规范的份数：</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3FBE6BC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发包人提供国外标准、规范的名称：</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71484798">
      <w:pPr>
        <w:pStyle w:val="52"/>
        <w:spacing w:line="520" w:lineRule="exact"/>
        <w:ind w:left="596" w:leftChars="284"/>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1.4.3发包人对工程的技术标准和功能要求的特殊要求：</w:t>
      </w:r>
    </w:p>
    <w:p w14:paraId="7DE2DE6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w:t>
      </w:r>
    </w:p>
    <w:p w14:paraId="5C752E9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 合同文件的优先顺序</w:t>
      </w:r>
    </w:p>
    <w:p w14:paraId="75878F8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合同文件组成及优先顺序为：</w:t>
      </w:r>
      <w:r>
        <w:rPr>
          <w:rStyle w:val="22"/>
          <w:rFonts w:hint="eastAsia" w:ascii="宋体" w:hAnsi="宋体" w:eastAsia="宋体" w:cs="宋体"/>
          <w:color w:val="auto"/>
          <w:sz w:val="24"/>
          <w:szCs w:val="24"/>
          <w:u w:val="single"/>
        </w:rPr>
        <w:t></w:t>
      </w:r>
      <w:r>
        <w:rPr>
          <w:rStyle w:val="22"/>
          <w:rFonts w:hint="eastAsia" w:ascii="宋体" w:hAnsi="宋体" w:eastAsia="宋体" w:cs="宋体"/>
          <w:color w:val="auto"/>
          <w:sz w:val="24"/>
          <w:szCs w:val="24"/>
        </w:rPr>
        <w:t>。</w:t>
      </w:r>
    </w:p>
    <w:p w14:paraId="2436CEC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 图纸和承包人文件</w:t>
      </w:r>
      <w:r>
        <w:rPr>
          <w:rStyle w:val="22"/>
          <w:rFonts w:hint="eastAsia" w:ascii="宋体" w:hAnsi="宋体" w:eastAsia="宋体" w:cs="宋体"/>
          <w:color w:val="auto"/>
          <w:sz w:val="24"/>
          <w:szCs w:val="24"/>
        </w:rPr>
        <w:tab/>
      </w:r>
    </w:p>
    <w:p w14:paraId="685A1C96">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1.6.1 图纸的提供</w:t>
      </w:r>
    </w:p>
    <w:p w14:paraId="492BC97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发包人向承包人提供图纸的期限：</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384529E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发包人向承包人提供图纸的数量：</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69135B3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发包人向承包人提供图纸的内容：</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0E308190">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1.6.4 承包人文件</w:t>
      </w:r>
    </w:p>
    <w:p w14:paraId="15800B8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需要由承包人提供的文件，包括：</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5ECA715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承包人提供的文件的期限为：</w:t>
      </w:r>
      <w:r>
        <w:rPr>
          <w:rStyle w:val="22"/>
          <w:rFonts w:hint="eastAsia" w:ascii="宋体" w:hAnsi="宋体" w:eastAsia="宋体" w:cs="宋体"/>
          <w:color w:val="auto"/>
          <w:sz w:val="24"/>
          <w:szCs w:val="24"/>
          <w:u w:val="single"/>
        </w:rPr>
        <w:t>       </w:t>
      </w:r>
      <w:r>
        <w:rPr>
          <w:rStyle w:val="22"/>
          <w:rFonts w:hint="eastAsia" w:ascii="宋体" w:hAnsi="宋体" w:eastAsia="宋体" w:cs="宋体"/>
          <w:color w:val="auto"/>
          <w:sz w:val="24"/>
          <w:szCs w:val="24"/>
        </w:rPr>
        <w:t>；</w:t>
      </w:r>
    </w:p>
    <w:p w14:paraId="23B2876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承包人提供的文件的数量为：</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3A85F79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承包人提供的文件的形式为：</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743361D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发包人审批承包人文件的期限：</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sz w:val="24"/>
          <w:szCs w:val="24"/>
        </w:rPr>
        <w:t>。</w:t>
      </w:r>
    </w:p>
    <w:p w14:paraId="4AED66F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1.6.5 现场图纸准备</w:t>
      </w:r>
    </w:p>
    <w:p w14:paraId="77D5A33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关于现场图纸准备的约定：</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sz w:val="24"/>
          <w:szCs w:val="24"/>
        </w:rPr>
        <w:t>。</w:t>
      </w:r>
    </w:p>
    <w:p w14:paraId="35C89F96">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1.7 联络</w:t>
      </w:r>
    </w:p>
    <w:p w14:paraId="5751423C">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1.7.1发包人和承包人应当在</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kern w:val="0"/>
          <w:sz w:val="24"/>
          <w:szCs w:val="24"/>
        </w:rPr>
        <w:t>天内将与合同有关的通知、批准、证明、证书、指示、指令、要求、请求、同意、意见、确定和决定等书面函件送达对方当事人。</w:t>
      </w:r>
    </w:p>
    <w:p w14:paraId="2CEC9572">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1.7.2 发包人接收文件的地点：</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kern w:val="0"/>
          <w:sz w:val="24"/>
          <w:szCs w:val="24"/>
        </w:rPr>
        <w:t>；</w:t>
      </w:r>
    </w:p>
    <w:p w14:paraId="3EC6A2DC">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发包人指定的接收人为：</w:t>
      </w:r>
      <w:r>
        <w:rPr>
          <w:rStyle w:val="22"/>
          <w:rFonts w:hint="eastAsia" w:ascii="宋体" w:hAnsi="宋体" w:eastAsia="宋体" w:cs="宋体"/>
          <w:color w:val="auto"/>
          <w:sz w:val="24"/>
          <w:szCs w:val="24"/>
          <w:u w:val="single"/>
        </w:rPr>
        <w:t>               </w:t>
      </w:r>
      <w:r>
        <w:rPr>
          <w:rStyle w:val="22"/>
          <w:rFonts w:hint="eastAsia" w:ascii="宋体" w:hAnsi="宋体" w:eastAsia="宋体" w:cs="宋体"/>
          <w:color w:val="auto"/>
          <w:kern w:val="0"/>
          <w:sz w:val="24"/>
          <w:szCs w:val="24"/>
        </w:rPr>
        <w:t>。</w:t>
      </w:r>
    </w:p>
    <w:p w14:paraId="3AE32D9F">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承包人接收文件的地点：</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kern w:val="0"/>
          <w:sz w:val="24"/>
          <w:szCs w:val="24"/>
        </w:rPr>
        <w:t>；</w:t>
      </w:r>
    </w:p>
    <w:p w14:paraId="5E150D0E">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承包人指定的接收人为：</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kern w:val="0"/>
          <w:sz w:val="24"/>
          <w:szCs w:val="24"/>
        </w:rPr>
        <w:t>。</w:t>
      </w:r>
    </w:p>
    <w:p w14:paraId="29336045">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监理人接收文件的地点：</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kern w:val="0"/>
          <w:sz w:val="24"/>
          <w:szCs w:val="24"/>
        </w:rPr>
        <w:t>；</w:t>
      </w:r>
    </w:p>
    <w:p w14:paraId="108DE926">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监理人指定的接收人为：</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kern w:val="0"/>
          <w:sz w:val="24"/>
          <w:szCs w:val="24"/>
        </w:rPr>
        <w:t>。</w:t>
      </w:r>
    </w:p>
    <w:p w14:paraId="7B46678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1.10 交通运输</w:t>
      </w:r>
    </w:p>
    <w:p w14:paraId="5FC69B0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1.10.1 出入现场的权利</w:t>
      </w:r>
    </w:p>
    <w:p w14:paraId="7E11503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关于出入现场的权利的约定：</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6C7F520C">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1.10.3 场内交通</w:t>
      </w:r>
    </w:p>
    <w:p w14:paraId="452BCFD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关于场外交通和场内交通的边界的约定：</w:t>
      </w:r>
      <w:r>
        <w:rPr>
          <w:rStyle w:val="22"/>
          <w:rFonts w:hint="eastAsia" w:ascii="宋体" w:hAnsi="宋体" w:eastAsia="宋体" w:cs="宋体"/>
          <w:color w:val="auto"/>
          <w:sz w:val="24"/>
          <w:szCs w:val="24"/>
          <w:u w:val="single"/>
        </w:rPr>
        <w:t xml:space="preserve">               </w:t>
      </w:r>
      <w:r>
        <w:rPr>
          <w:rStyle w:val="22"/>
          <w:rFonts w:hint="eastAsia" w:ascii="宋体" w:hAnsi="宋体" w:eastAsia="宋体" w:cs="宋体"/>
          <w:color w:val="auto"/>
          <w:sz w:val="24"/>
          <w:szCs w:val="24"/>
        </w:rPr>
        <w:t>。</w:t>
      </w:r>
    </w:p>
    <w:p w14:paraId="7D8B7849">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关于发包人向承包人免费提供满足工程施工需要的场内道路和交通设施的约定：</w:t>
      </w:r>
      <w:r>
        <w:rPr>
          <w:rStyle w:val="22"/>
          <w:rFonts w:hint="eastAsia" w:ascii="宋体" w:hAnsi="宋体" w:eastAsia="宋体" w:cs="宋体"/>
          <w:color w:val="auto"/>
          <w:sz w:val="24"/>
          <w:szCs w:val="24"/>
          <w:u w:val="single"/>
        </w:rPr>
        <w:t xml:space="preserve">        </w:t>
      </w:r>
      <w:r>
        <w:rPr>
          <w:rStyle w:val="22"/>
          <w:rFonts w:hint="eastAsia" w:ascii="宋体" w:hAnsi="宋体" w:eastAsia="宋体" w:cs="宋体"/>
          <w:color w:val="auto"/>
          <w:sz w:val="24"/>
          <w:szCs w:val="24"/>
        </w:rPr>
        <w:t>。</w:t>
      </w:r>
    </w:p>
    <w:p w14:paraId="4C59262E">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1.10.4超大件和超重件的运输</w:t>
      </w:r>
    </w:p>
    <w:p w14:paraId="36CAC86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运输超大件或超重件所需的道路和桥梁临时加固改造费用和其他有关费用由</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承担。</w:t>
      </w:r>
    </w:p>
    <w:p w14:paraId="0984D40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1.11 知识产权</w:t>
      </w:r>
    </w:p>
    <w:p w14:paraId="0526477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1.11.1关于发包人提供给承包人的图纸、发包人为实施工程自行编制或委托编制的技术规范以及反映发包人关于合同要求或其他类似性质的文件的著作权的归属：</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01CE955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关于发包人提供的上述文件的使用限制的要求：</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6E72766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1.11.2 关于承包人为实施工程所编制文件的著作权的归属：</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9C1CC2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关于承包人提供的上述文件的使用限制的要求：</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7AC32D3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1.11.4 承包人在施工过程中所采用的专利、专有技术、技术秘密的使用费的承担方式：</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w:t>
      </w:r>
    </w:p>
    <w:p w14:paraId="2479FE4E">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1.13工程量清单错误的修正</w:t>
      </w:r>
    </w:p>
    <w:p w14:paraId="6262C20D">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出现工程量清单错误时，是否调整合同价格：</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kern w:val="0"/>
          <w:sz w:val="24"/>
          <w:szCs w:val="24"/>
        </w:rPr>
        <w:t>。</w:t>
      </w:r>
    </w:p>
    <w:p w14:paraId="108A3CBB">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允许调整合同价格的工程量偏差范围：</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kern w:val="0"/>
          <w:sz w:val="24"/>
          <w:szCs w:val="24"/>
        </w:rPr>
        <w:t>。</w:t>
      </w:r>
    </w:p>
    <w:p w14:paraId="724F9CCC">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 发包人</w:t>
      </w:r>
    </w:p>
    <w:p w14:paraId="28BEF48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2.2 发包人代表</w:t>
      </w:r>
    </w:p>
    <w:p w14:paraId="3A305CFB">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发包人代表：</w:t>
      </w:r>
    </w:p>
    <w:p w14:paraId="776F83E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姓    名：</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sz w:val="24"/>
          <w:szCs w:val="24"/>
        </w:rPr>
        <w:t>；</w:t>
      </w:r>
    </w:p>
    <w:p w14:paraId="76F4A71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身份证号：</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sz w:val="24"/>
          <w:szCs w:val="24"/>
        </w:rPr>
        <w:t>；</w:t>
      </w:r>
    </w:p>
    <w:p w14:paraId="766199B0">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职    务：</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35C562D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联系电话：</w:t>
      </w:r>
      <w:r>
        <w:rPr>
          <w:rStyle w:val="22"/>
          <w:rFonts w:hint="eastAsia" w:ascii="宋体" w:hAnsi="宋体" w:eastAsia="宋体" w:cs="宋体"/>
          <w:color w:val="auto"/>
          <w:sz w:val="24"/>
          <w:szCs w:val="24"/>
          <w:u w:val="single"/>
        </w:rPr>
        <w:t>     </w:t>
      </w:r>
      <w:r>
        <w:rPr>
          <w:rStyle w:val="22"/>
          <w:rFonts w:hint="eastAsia" w:ascii="宋体" w:hAnsi="宋体" w:eastAsia="宋体" w:cs="宋体"/>
          <w:color w:val="auto"/>
          <w:sz w:val="24"/>
          <w:szCs w:val="24"/>
        </w:rPr>
        <w:t>；</w:t>
      </w:r>
    </w:p>
    <w:p w14:paraId="3690990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电子信箱：</w:t>
      </w:r>
      <w:r>
        <w:rPr>
          <w:rStyle w:val="22"/>
          <w:rFonts w:hint="eastAsia" w:ascii="宋体" w:hAnsi="宋体" w:eastAsia="宋体" w:cs="宋体"/>
          <w:color w:val="auto"/>
          <w:sz w:val="24"/>
          <w:szCs w:val="24"/>
          <w:u w:val="single"/>
        </w:rPr>
        <w:t>     </w:t>
      </w:r>
      <w:r>
        <w:rPr>
          <w:rStyle w:val="22"/>
          <w:rFonts w:hint="eastAsia" w:ascii="宋体" w:hAnsi="宋体" w:eastAsia="宋体" w:cs="宋体"/>
          <w:color w:val="auto"/>
          <w:sz w:val="24"/>
          <w:szCs w:val="24"/>
        </w:rPr>
        <w:t>；</w:t>
      </w:r>
    </w:p>
    <w:p w14:paraId="2C85FAE1">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通信地址：</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5044D1AF">
      <w:pPr>
        <w:pStyle w:val="52"/>
        <w:spacing w:line="520" w:lineRule="exact"/>
        <w:ind w:firstLine="480" w:firstLineChars="200"/>
        <w:rPr>
          <w:rStyle w:val="22"/>
          <w:rFonts w:hint="eastAsia" w:ascii="宋体" w:hAnsi="宋体" w:eastAsia="宋体" w:cs="宋体"/>
          <w:b/>
          <w:color w:val="auto"/>
          <w:sz w:val="24"/>
          <w:szCs w:val="24"/>
        </w:rPr>
      </w:pPr>
      <w:r>
        <w:rPr>
          <w:rStyle w:val="22"/>
          <w:rFonts w:hint="eastAsia" w:ascii="宋体" w:hAnsi="宋体" w:eastAsia="宋体" w:cs="宋体"/>
          <w:color w:val="auto"/>
          <w:sz w:val="24"/>
          <w:szCs w:val="24"/>
        </w:rPr>
        <w:t>发包人对发包人代表的授权范围如下：</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w:t>
      </w:r>
    </w:p>
    <w:p w14:paraId="55D4DED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2.4 施工现场、施工条件和基础资料的提供</w:t>
      </w:r>
    </w:p>
    <w:p w14:paraId="4E22F40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2.4.1 提供施工现场</w:t>
      </w:r>
    </w:p>
    <w:p w14:paraId="31C2588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关于发包人移交施工现场的期限要求：</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3EEF153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2.4.2 提供施工条件</w:t>
      </w:r>
    </w:p>
    <w:p w14:paraId="321D822D">
      <w:pPr>
        <w:pStyle w:val="52"/>
        <w:spacing w:line="520" w:lineRule="exact"/>
        <w:ind w:firstLine="480" w:firstLineChars="200"/>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关于发包人应负责提供施工所需要的条件，包括：</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w:t>
      </w:r>
    </w:p>
    <w:p w14:paraId="0DF10AEB">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2.5 资金来源证明及支付担保</w:t>
      </w:r>
    </w:p>
    <w:p w14:paraId="782F2AD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发包人提供资金来源证明的期限要求：</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F36F47D">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发包人是否提供支付担保：</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w:t>
      </w:r>
    </w:p>
    <w:p w14:paraId="629181CB">
      <w:pPr>
        <w:pStyle w:val="52"/>
        <w:spacing w:line="520" w:lineRule="exact"/>
        <w:ind w:firstLine="480" w:firstLineChars="200"/>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发包人提供支付担保的形式：</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502E6CA8">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 承包人</w:t>
      </w:r>
    </w:p>
    <w:p w14:paraId="0A79A4B7">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3.1 承包人的一般义务</w:t>
      </w:r>
    </w:p>
    <w:p w14:paraId="53062889">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（9）</w:t>
      </w:r>
      <w:r>
        <w:rPr>
          <w:rStyle w:val="22"/>
          <w:rFonts w:hint="eastAsia" w:ascii="宋体" w:hAnsi="宋体" w:eastAsia="宋体" w:cs="宋体"/>
          <w:color w:val="auto"/>
          <w:sz w:val="24"/>
          <w:szCs w:val="24"/>
        </w:rPr>
        <w:t>承包人提交的竣工资料的内容：</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w:t>
      </w:r>
    </w:p>
    <w:p w14:paraId="4807F9F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承包人需要提交的竣工资料套数：</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18BF674">
      <w:pPr>
        <w:pStyle w:val="52"/>
        <w:spacing w:line="520" w:lineRule="exact"/>
        <w:ind w:left="638" w:leftChars="304"/>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承包人提交的竣工资料的费用承担：</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74271A9">
      <w:pPr>
        <w:pStyle w:val="52"/>
        <w:spacing w:line="520" w:lineRule="exact"/>
        <w:ind w:left="638" w:leftChars="304"/>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承包人提交的竣工资料移交时间：</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96E93A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承包人提交的竣工资料形式要求：</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9D6C3D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（10）承包人应履行的其他义务：</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7D69FE6B">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3.2 项目经理</w:t>
      </w:r>
    </w:p>
    <w:p w14:paraId="39695C4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 xml:space="preserve">3.2.1 </w:t>
      </w:r>
      <w:r>
        <w:rPr>
          <w:rStyle w:val="22"/>
          <w:rFonts w:hint="eastAsia" w:ascii="宋体" w:hAnsi="宋体" w:eastAsia="宋体" w:cs="宋体"/>
          <w:color w:val="auto"/>
          <w:sz w:val="24"/>
          <w:szCs w:val="24"/>
        </w:rPr>
        <w:t>项目经理：</w:t>
      </w:r>
    </w:p>
    <w:p w14:paraId="307D6381">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姓    名：</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sz w:val="24"/>
          <w:szCs w:val="24"/>
        </w:rPr>
        <w:t>；</w:t>
      </w:r>
    </w:p>
    <w:p w14:paraId="3969B1DD">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身份证号：</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sz w:val="24"/>
          <w:szCs w:val="24"/>
        </w:rPr>
        <w:t>；</w:t>
      </w:r>
    </w:p>
    <w:p w14:paraId="7E64D41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建造师执业资格等级：</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2547A61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建造师注册证书号：</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273691F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建造师执业印章号：</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19824110">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安全生产考核合格证书号：</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67DAECF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联系电话：</w:t>
      </w:r>
      <w:r>
        <w:rPr>
          <w:rStyle w:val="22"/>
          <w:rFonts w:hint="eastAsia" w:ascii="宋体" w:hAnsi="宋体" w:eastAsia="宋体" w:cs="宋体"/>
          <w:color w:val="auto"/>
          <w:sz w:val="24"/>
          <w:szCs w:val="24"/>
          <w:u w:val="single"/>
        </w:rPr>
        <w:t>         </w:t>
      </w:r>
      <w:r>
        <w:rPr>
          <w:rStyle w:val="22"/>
          <w:rFonts w:hint="eastAsia" w:ascii="宋体" w:hAnsi="宋体" w:eastAsia="宋体" w:cs="宋体"/>
          <w:color w:val="auto"/>
          <w:sz w:val="24"/>
          <w:szCs w:val="24"/>
        </w:rPr>
        <w:t>；</w:t>
      </w:r>
    </w:p>
    <w:p w14:paraId="680ACFB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电子信箱：</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3ADD541B">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通信地址：</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69ED232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承包人对项目经理的授权范围如下：</w:t>
      </w:r>
      <w:r>
        <w:rPr>
          <w:rStyle w:val="22"/>
          <w:rFonts w:hint="eastAsia" w:ascii="宋体" w:hAnsi="宋体" w:eastAsia="宋体" w:cs="宋体"/>
          <w:color w:val="auto"/>
          <w:sz w:val="24"/>
          <w:szCs w:val="24"/>
          <w:u w:val="single"/>
        </w:rPr>
        <w:t></w:t>
      </w:r>
      <w:r>
        <w:rPr>
          <w:rStyle w:val="22"/>
          <w:rFonts w:hint="eastAsia" w:ascii="宋体" w:hAnsi="宋体" w:eastAsia="宋体" w:cs="宋体"/>
          <w:color w:val="auto"/>
          <w:sz w:val="24"/>
          <w:szCs w:val="24"/>
        </w:rPr>
        <w:t>。</w:t>
      </w:r>
    </w:p>
    <w:p w14:paraId="51F82167">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关于项目经理每月在施工现场的时间要求：</w:t>
      </w:r>
      <w:r>
        <w:rPr>
          <w:rStyle w:val="22"/>
          <w:rFonts w:hint="eastAsia" w:ascii="宋体" w:hAnsi="宋体" w:eastAsia="宋体" w:cs="宋体"/>
          <w:color w:val="auto"/>
          <w:sz w:val="24"/>
          <w:szCs w:val="24"/>
          <w:u w:val="single"/>
        </w:rPr>
        <w:t xml:space="preserve">          </w:t>
      </w:r>
      <w:r>
        <w:rPr>
          <w:rStyle w:val="22"/>
          <w:rFonts w:hint="eastAsia" w:ascii="宋体" w:hAnsi="宋体" w:eastAsia="宋体" w:cs="宋体"/>
          <w:color w:val="auto"/>
          <w:sz w:val="24"/>
          <w:szCs w:val="24"/>
        </w:rPr>
        <w:t xml:space="preserve"> 。</w:t>
      </w:r>
    </w:p>
    <w:p w14:paraId="67569B1F">
      <w:pPr>
        <w:pStyle w:val="52"/>
        <w:spacing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承包人未提交劳动合同，以及没有为项目经理缴纳社会保险证明的违约责任：</w:t>
      </w:r>
      <w:r>
        <w:rPr>
          <w:rStyle w:val="22"/>
          <w:rFonts w:hint="eastAsia" w:ascii="宋体" w:hAnsi="宋体" w:eastAsia="宋体" w:cs="宋体"/>
          <w:color w:val="auto"/>
          <w:sz w:val="24"/>
          <w:szCs w:val="24"/>
          <w:u w:val="single"/>
        </w:rPr>
        <w:t xml:space="preserve">                    </w:t>
      </w:r>
      <w:r>
        <w:rPr>
          <w:rStyle w:val="22"/>
          <w:rFonts w:hint="eastAsia" w:ascii="宋体" w:hAnsi="宋体" w:eastAsia="宋体" w:cs="宋体"/>
          <w:color w:val="auto"/>
          <w:sz w:val="24"/>
          <w:szCs w:val="24"/>
        </w:rPr>
        <w:t>。</w:t>
      </w:r>
    </w:p>
    <w:p w14:paraId="5CB3B92C">
      <w:pPr>
        <w:pStyle w:val="52"/>
        <w:spacing w:line="520" w:lineRule="exact"/>
        <w:ind w:firstLine="480" w:firstLineChars="200"/>
        <w:rPr>
          <w:rStyle w:val="22"/>
          <w:rFonts w:hint="eastAsia" w:ascii="宋体" w:hAnsi="宋体" w:eastAsia="宋体" w:cs="宋体"/>
          <w:color w:val="auto"/>
          <w:sz w:val="24"/>
          <w:szCs w:val="24"/>
          <w:u w:val="single"/>
        </w:rPr>
      </w:pPr>
      <w:r>
        <w:rPr>
          <w:rStyle w:val="22"/>
          <w:rFonts w:hint="eastAsia" w:ascii="宋体" w:hAnsi="宋体" w:eastAsia="宋体" w:cs="宋体"/>
          <w:color w:val="auto"/>
          <w:kern w:val="0"/>
          <w:sz w:val="24"/>
          <w:szCs w:val="24"/>
        </w:rPr>
        <w:t>项目经理未经批准，擅自离开施工现场的违约责任：</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9AA194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3.2.3 承包人擅自更换项目经理的违约责任：</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w:t>
      </w:r>
    </w:p>
    <w:p w14:paraId="693D5C8C">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3.2.4 承包人无正当理由拒绝更换项目经理的违约责任：</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w:t>
      </w:r>
    </w:p>
    <w:p w14:paraId="2088119F">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3.3 承包人人员</w:t>
      </w:r>
    </w:p>
    <w:p w14:paraId="3CFCD960">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3.3.1 承包人提交项目管理机构及施工现场管理人员安排报告的期限：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BA9B0A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3.3.3 承包人无正当理由拒绝撤换主要施工管理人员的违约责任：</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2D34B4C">
      <w:pPr>
        <w:pStyle w:val="52"/>
        <w:spacing w:line="520" w:lineRule="exact"/>
        <w:ind w:firstLine="480" w:firstLineChars="200"/>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3.3.4 承包人主要施工管理人员离开施工现场的批准要求：</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BC3073B">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3.3.5承包人擅自更换主要施工管理人员的违约责任：</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C3ABEA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承包人主要施工管理人员擅自离开施工现场的违约责任：</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862BA7F">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3.5 分包</w:t>
      </w:r>
    </w:p>
    <w:p w14:paraId="66BD38A1">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3.5.1 分包的一般约定</w:t>
      </w:r>
    </w:p>
    <w:p w14:paraId="4109571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禁止分包的工程包括：</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4696385">
      <w:pPr>
        <w:pStyle w:val="52"/>
        <w:spacing w:line="520" w:lineRule="exact"/>
        <w:ind w:firstLine="480" w:firstLineChars="200"/>
        <w:jc w:val="lef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主体结构、关键性工作的范围：</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B7204B3">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3.5.2分包的确定</w:t>
      </w:r>
    </w:p>
    <w:p w14:paraId="6927CCC4">
      <w:pPr>
        <w:pStyle w:val="52"/>
        <w:spacing w:line="520" w:lineRule="exact"/>
        <w:ind w:firstLine="480" w:firstLineChars="200"/>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允许分包的专业工程包括：</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FB14B10">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其他关于分包的约定：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494866D">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3.5.4 分包合同价款</w:t>
      </w:r>
    </w:p>
    <w:p w14:paraId="040C4DBB">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关于分包合同价款支付的约定：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D7C3809">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3.6 工程照管与成品、半成品保护</w:t>
      </w:r>
    </w:p>
    <w:p w14:paraId="56514421">
      <w:pPr>
        <w:pStyle w:val="52"/>
        <w:spacing w:before="120" w:after="120" w:line="520" w:lineRule="exact"/>
        <w:ind w:firstLine="480" w:firstLineChars="200"/>
        <w:rPr>
          <w:rStyle w:val="22"/>
          <w:rFonts w:hint="eastAsia" w:ascii="宋体" w:hAnsi="宋体" w:eastAsia="宋体" w:cs="宋体"/>
          <w:color w:val="auto"/>
          <w:kern w:val="0"/>
          <w:sz w:val="24"/>
          <w:szCs w:val="24"/>
          <w:u w:val="single"/>
        </w:rPr>
      </w:pPr>
      <w:r>
        <w:rPr>
          <w:rStyle w:val="22"/>
          <w:rFonts w:hint="eastAsia" w:ascii="宋体" w:hAnsi="宋体" w:eastAsia="宋体" w:cs="宋体"/>
          <w:color w:val="auto"/>
          <w:kern w:val="0"/>
          <w:sz w:val="24"/>
          <w:szCs w:val="24"/>
        </w:rPr>
        <w:t>承包人负责照管工程及工程相关的材料、工程设备的起始时间：</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50128D01">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3.7 履约担保</w:t>
      </w:r>
    </w:p>
    <w:p w14:paraId="38B3DD6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承包人是否提供履约担保：</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D12B5DD">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承包人提供履约担保的形式、金额及期限的：</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CD55F64">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 监理人</w:t>
      </w:r>
    </w:p>
    <w:p w14:paraId="6AF7FF54">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4.1监理人的一般规定</w:t>
      </w:r>
    </w:p>
    <w:p w14:paraId="0FD8D2C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关于监理人的监理内容：</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A4E1389">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关于监理人的监理权限：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w:t>
      </w:r>
    </w:p>
    <w:p w14:paraId="58F1F08B">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关于监理人在施工现场的办公场所、生活场所的提供和费用承担的约定：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C523043">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4.2 监理人员</w:t>
      </w:r>
    </w:p>
    <w:p w14:paraId="41BD8D9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总监理工程师：</w:t>
      </w:r>
    </w:p>
    <w:p w14:paraId="70BFB26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姓    名：</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4A5C7B3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职    务：</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56A280C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监理工程师执业资格证书号：</w:t>
      </w:r>
      <w:r>
        <w:rPr>
          <w:rStyle w:val="22"/>
          <w:rFonts w:hint="eastAsia" w:ascii="宋体" w:hAnsi="宋体" w:eastAsia="宋体" w:cs="宋体"/>
          <w:color w:val="auto"/>
          <w:sz w:val="24"/>
          <w:szCs w:val="24"/>
          <w:u w:val="single"/>
        </w:rPr>
        <w:t> </w:t>
      </w:r>
      <w:r>
        <w:rPr>
          <w:rStyle w:val="22"/>
          <w:rFonts w:hint="eastAsia" w:ascii="宋体" w:hAnsi="宋体" w:eastAsia="宋体" w:cs="宋体"/>
          <w:color w:val="auto"/>
          <w:sz w:val="24"/>
          <w:szCs w:val="24"/>
        </w:rPr>
        <w:t>；</w:t>
      </w:r>
    </w:p>
    <w:p w14:paraId="075ED106">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联系电话：</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768F52B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电子信箱：</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73C0ADD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通信地址：</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57ED797D">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关于监理人的其他约定：</w:t>
      </w:r>
      <w:r>
        <w:rPr>
          <w:rStyle w:val="22"/>
          <w:rFonts w:hint="eastAsia" w:ascii="宋体" w:hAnsi="宋体" w:eastAsia="宋体" w:cs="宋体"/>
          <w:color w:val="auto"/>
          <w:sz w:val="24"/>
          <w:szCs w:val="24"/>
          <w:u w:val="single"/>
        </w:rPr>
        <w:t>   </w:t>
      </w:r>
      <w:r>
        <w:rPr>
          <w:rStyle w:val="22"/>
          <w:rFonts w:hint="eastAsia" w:ascii="宋体" w:hAnsi="宋体" w:eastAsia="宋体" w:cs="宋体"/>
          <w:color w:val="auto"/>
          <w:sz w:val="24"/>
          <w:szCs w:val="24"/>
        </w:rPr>
        <w:t>。</w:t>
      </w:r>
    </w:p>
    <w:p w14:paraId="38AE5642">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4.4 商定或确定</w:t>
      </w:r>
    </w:p>
    <w:p w14:paraId="753494B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在发包人和承包人不能通过协商达成一致意见时，发包人授权监理人对以下事项进行确定：</w:t>
      </w:r>
    </w:p>
    <w:p w14:paraId="1AEB049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6B41935E">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307BBE7">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F1D34AE">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 工程质量</w:t>
      </w:r>
    </w:p>
    <w:p w14:paraId="37DE4CD0">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5.1 质量要求</w:t>
      </w:r>
    </w:p>
    <w:p w14:paraId="7D7F5CEB">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5.1.1 特殊质量标准和要求：</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89C561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关于工程奖项的约定：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43FA2A5">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5.3 隐蔽工程检查</w:t>
      </w:r>
    </w:p>
    <w:p w14:paraId="38FE2C8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5.3.2承包人提前通知监理人隐蔽工程检查的期限的约定：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E1A4C8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监理人不能按时进行检查时，应提前</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小时提交书面延期要求。</w:t>
      </w:r>
    </w:p>
    <w:p w14:paraId="2B99E32B">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关于延期最长不得超过：</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小时。</w:t>
      </w:r>
    </w:p>
    <w:p w14:paraId="0D5BDFF3">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 安全文明施工与环境保护</w:t>
      </w:r>
    </w:p>
    <w:p w14:paraId="000E6FBF">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6.1安全文明施工</w:t>
      </w:r>
    </w:p>
    <w:p w14:paraId="0D9B4A1A">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6.1.1 项目安全生产的达标目标及相应事项的约定：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36036F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6.1.4 关于治安保卫的特别约定：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9CDD9EE">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关于编制施工场地治安管理计划的约定：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919808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6.1.5 文明施工</w:t>
      </w:r>
    </w:p>
    <w:p w14:paraId="561CA19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合同当事人对文明施工的要求：</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31A1D71">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6.1.6 关于安全文明施工费支付比例和支付期限的约定：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49E9728">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 工期和进度</w:t>
      </w:r>
    </w:p>
    <w:p w14:paraId="356C93A5">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7.1 施工组织设计</w:t>
      </w:r>
    </w:p>
    <w:p w14:paraId="60B59B7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7.1.1 合</w:t>
      </w:r>
      <w:r>
        <w:rPr>
          <w:rStyle w:val="22"/>
          <w:rFonts w:hint="eastAsia" w:ascii="宋体" w:hAnsi="宋体" w:eastAsia="宋体" w:cs="宋体"/>
          <w:color w:val="auto"/>
          <w:kern w:val="0"/>
          <w:sz w:val="24"/>
          <w:szCs w:val="24"/>
        </w:rPr>
        <w:t>同当事人约定的施工组织设计应包括的其他内容：</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F7ADCD6">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 xml:space="preserve">7.1.2 </w:t>
      </w:r>
      <w:r>
        <w:rPr>
          <w:rStyle w:val="22"/>
          <w:rFonts w:hint="eastAsia" w:ascii="宋体" w:hAnsi="宋体" w:eastAsia="宋体" w:cs="宋体"/>
          <w:color w:val="auto"/>
          <w:kern w:val="0"/>
          <w:sz w:val="24"/>
          <w:szCs w:val="24"/>
        </w:rPr>
        <w:t>施工组织设计的提交和修改</w:t>
      </w:r>
    </w:p>
    <w:p w14:paraId="0BDED4A2">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承包人提交详细施工组织设计的期限的约定：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6C2FE7E1">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发包人和监理人在收到详细的施工组织设计后确认或提出修改意见的期限：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3227985">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7.2 施工进度计划</w:t>
      </w:r>
    </w:p>
    <w:p w14:paraId="7012A95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7.2.2 施工进度计划的修订</w:t>
      </w:r>
    </w:p>
    <w:p w14:paraId="5BE7AE4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发包人和监理人在收到修订的施工进度计划后确认或提出修改意见的期限：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F87AA68">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7.3 开工</w:t>
      </w:r>
    </w:p>
    <w:p w14:paraId="6D41F5DC">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7.3.1 开工准备</w:t>
      </w:r>
    </w:p>
    <w:p w14:paraId="6AFC659A">
      <w:pPr>
        <w:pStyle w:val="52"/>
        <w:spacing w:line="520" w:lineRule="exact"/>
        <w:ind w:firstLine="480" w:firstLineChars="200"/>
        <w:jc w:val="lef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关于承包人提交</w:t>
      </w:r>
      <w:r>
        <w:rPr>
          <w:rStyle w:val="22"/>
          <w:rFonts w:hint="eastAsia" w:ascii="宋体" w:hAnsi="宋体" w:eastAsia="宋体" w:cs="宋体"/>
          <w:color w:val="auto"/>
          <w:kern w:val="0"/>
          <w:sz w:val="24"/>
          <w:szCs w:val="24"/>
        </w:rPr>
        <w:t>工程开工报审表的期限：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7317F2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关于发包人应完成的其他开工准备工作及期限：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EBAB2DD">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关于承包人应完成的其他开工准备工作及期限：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58F3388">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7.3.2开工通知</w:t>
      </w:r>
    </w:p>
    <w:p w14:paraId="71024DC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因发包人原因造成监理人未能在计划开工日期之日起</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天内发出开工通知的，承包人有权提出价格调整要求，或者解除合同。</w:t>
      </w:r>
    </w:p>
    <w:p w14:paraId="21F9C700">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7.4 测量放线</w:t>
      </w:r>
    </w:p>
    <w:p w14:paraId="18CF672D">
      <w:pPr>
        <w:pStyle w:val="52"/>
        <w:spacing w:line="520" w:lineRule="exact"/>
        <w:ind w:firstLine="480" w:firstLineChars="200"/>
        <w:jc w:val="lef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7.4.1发包人通过监理人向承包人提供测量基准点、基准线和水准点及其书面资料的期限：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1946E97">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7.5 工期延误</w:t>
      </w:r>
    </w:p>
    <w:p w14:paraId="327C47D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7.5.1 因发包人原因导致工期延误</w:t>
      </w:r>
    </w:p>
    <w:p w14:paraId="25C2F1B1">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（7）因发包人原因导致工期延误的其他情形：</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23A019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7.5.2 因承包人原因导致工期延误</w:t>
      </w:r>
    </w:p>
    <w:p w14:paraId="42BEC24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因承包人原因造成工期延误，逾期竣工违约金的计算方法为：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602CE926">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因承包人原因造成工期延误，逾期竣工违约金的上限：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2E9305C">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7.6 不利物质条件</w:t>
      </w:r>
    </w:p>
    <w:p w14:paraId="1BE64BF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不利物质条件的其他情形和有关约定：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6736C66">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7.7异常恶劣的气候条件</w:t>
      </w:r>
    </w:p>
    <w:p w14:paraId="06BF2368">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发包人和承包人同意以下情形视为异常恶劣的气候条件：</w:t>
      </w:r>
    </w:p>
    <w:p w14:paraId="2ECCE00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CF7C6B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D85E30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9939832">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7.9 提前竣工的奖励</w:t>
      </w:r>
    </w:p>
    <w:p w14:paraId="58E9FED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7.9.2提前竣工的奖励：</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36D7AA2">
      <w:pPr>
        <w:pStyle w:val="52"/>
        <w:spacing w:after="120"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 材料与设备</w:t>
      </w:r>
    </w:p>
    <w:p w14:paraId="59D30278">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8.4材料与工程设备的保管与使用</w:t>
      </w:r>
    </w:p>
    <w:p w14:paraId="62D7822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8.4.1发包人供应的材料设备的保管费用的承担：</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15257C7">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8.6 样品</w:t>
      </w:r>
    </w:p>
    <w:p w14:paraId="10AA647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8.6.1</w:t>
      </w:r>
      <w:r>
        <w:rPr>
          <w:rStyle w:val="22"/>
          <w:rFonts w:hint="eastAsia" w:ascii="宋体" w:hAnsi="宋体" w:eastAsia="宋体" w:cs="宋体"/>
          <w:color w:val="auto"/>
          <w:kern w:val="0"/>
          <w:sz w:val="24"/>
          <w:szCs w:val="24"/>
        </w:rPr>
        <w:tab/>
      </w:r>
      <w:r>
        <w:rPr>
          <w:rStyle w:val="22"/>
          <w:rFonts w:hint="eastAsia" w:ascii="宋体" w:hAnsi="宋体" w:eastAsia="宋体" w:cs="宋体"/>
          <w:color w:val="auto"/>
          <w:kern w:val="0"/>
          <w:sz w:val="24"/>
          <w:szCs w:val="24"/>
        </w:rPr>
        <w:t>样品的报送与封存</w:t>
      </w:r>
    </w:p>
    <w:p w14:paraId="0424A362">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需要承包人报送样品的材料或工程设备，样品的种类、名称、规格、数量要求：</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187762A">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8.8 施工设备和临时设施</w:t>
      </w:r>
    </w:p>
    <w:p w14:paraId="7ED0D1A8">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8.8.1 承包人提供的施工设备和临时设施</w:t>
      </w:r>
    </w:p>
    <w:p w14:paraId="464C4583">
      <w:pPr>
        <w:pStyle w:val="52"/>
        <w:autoSpaceDE w:val="0"/>
        <w:autoSpaceDN w:val="0"/>
        <w:adjustRightInd w:val="0"/>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关于修建临时设施费用承担的约定：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4230DF2">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9. 试验与检验</w:t>
      </w:r>
    </w:p>
    <w:p w14:paraId="75930D10">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9.1试验设备与试验人员</w:t>
      </w:r>
    </w:p>
    <w:p w14:paraId="129520B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9.1.2 试验设备</w:t>
      </w:r>
    </w:p>
    <w:p w14:paraId="079CB25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施工现场需要配置的试验场所：</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w:t>
      </w:r>
    </w:p>
    <w:p w14:paraId="4302672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施工现场需要配备的试验设备：</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7B870E0">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施工现场需要具备的其他试验条件：</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EE3E1BB">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9.4 现场工艺试验 </w:t>
      </w:r>
    </w:p>
    <w:p w14:paraId="1D173556">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现场工艺试验的有关约定：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6080BEC1">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 变更</w:t>
      </w:r>
    </w:p>
    <w:p w14:paraId="5F460AB3">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10.1变更的范围</w:t>
      </w:r>
    </w:p>
    <w:p w14:paraId="141A430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关于变更的范围的约定：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C529173">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10.4 变更估价</w:t>
      </w:r>
    </w:p>
    <w:p w14:paraId="4388D7C6">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10.4.1 变更估价原则</w:t>
      </w:r>
    </w:p>
    <w:p w14:paraId="5F049317">
      <w:pPr>
        <w:pStyle w:val="52"/>
        <w:spacing w:line="520" w:lineRule="exact"/>
        <w:ind w:firstLine="480" w:firstLineChars="200"/>
        <w:jc w:val="lef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 xml:space="preserve">关于变更估价的约定: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17FF0EE">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10.5承包人的合理化建议</w:t>
      </w:r>
    </w:p>
    <w:p w14:paraId="676D004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监理人审查承包人合理化建议的期限：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978642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发包人审批承包人合理化建议的期限：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073E1FA">
      <w:pPr>
        <w:pStyle w:val="52"/>
        <w:spacing w:line="520" w:lineRule="exact"/>
        <w:ind w:firstLine="480" w:firstLineChars="200"/>
        <w:jc w:val="lef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承包人提出的合理化建议降低了合同价格或者提高了工程经济效益的奖励的方法和金额为：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F4A28CD">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10.7 暂估价</w:t>
      </w:r>
    </w:p>
    <w:p w14:paraId="5B32536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暂估价材料和工程设备的明细详见附件11：《</w:t>
      </w:r>
      <w:r>
        <w:rPr>
          <w:rStyle w:val="22"/>
          <w:rFonts w:hint="eastAsia" w:ascii="宋体" w:hAnsi="宋体" w:eastAsia="宋体" w:cs="宋体"/>
          <w:color w:val="auto"/>
          <w:sz w:val="24"/>
          <w:szCs w:val="24"/>
        </w:rPr>
        <w:t>暂估价一览表》</w:t>
      </w:r>
      <w:r>
        <w:rPr>
          <w:rStyle w:val="22"/>
          <w:rFonts w:hint="eastAsia" w:ascii="宋体" w:hAnsi="宋体" w:eastAsia="宋体" w:cs="宋体"/>
          <w:color w:val="auto"/>
          <w:kern w:val="0"/>
          <w:sz w:val="24"/>
          <w:szCs w:val="24"/>
        </w:rPr>
        <w:t>。</w:t>
      </w:r>
    </w:p>
    <w:p w14:paraId="4D98C3D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10.7.1 依法必须招标的暂估价项目</w:t>
      </w:r>
    </w:p>
    <w:p w14:paraId="2CB3695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对于依法必须招标的暂估价项目的确认和批准采取第</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种方式确定。</w:t>
      </w:r>
    </w:p>
    <w:p w14:paraId="3118701E">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10.7.2 不属于依法必须招标的暂估价项目</w:t>
      </w:r>
    </w:p>
    <w:p w14:paraId="5516D52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对于不属于依法必须招标的暂估价项目的确认和批准采取第</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种方式确定。</w:t>
      </w:r>
    </w:p>
    <w:p w14:paraId="4A9A0C0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第3种方式：</w:t>
      </w:r>
      <w:r>
        <w:rPr>
          <w:rStyle w:val="22"/>
          <w:rFonts w:hint="eastAsia" w:ascii="宋体" w:hAnsi="宋体" w:eastAsia="宋体" w:cs="宋体"/>
          <w:color w:val="auto"/>
          <w:kern w:val="0"/>
          <w:sz w:val="24"/>
          <w:szCs w:val="24"/>
        </w:rPr>
        <w:t>承包人直接实施的暂估价项目</w:t>
      </w:r>
    </w:p>
    <w:p w14:paraId="5796363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承包人直接实施的暂估价项目的约定：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FD647F6">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10.8 暂列金额</w:t>
      </w:r>
    </w:p>
    <w:p w14:paraId="1515E359">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合同当事人关于暂列金额使用的约定：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kern w:val="0"/>
          <w:sz w:val="24"/>
          <w:szCs w:val="24"/>
        </w:rPr>
        <w:t>。</w:t>
      </w:r>
    </w:p>
    <w:p w14:paraId="17493897">
      <w:pPr>
        <w:pStyle w:val="52"/>
        <w:spacing w:after="120"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 价格调整</w:t>
      </w:r>
    </w:p>
    <w:p w14:paraId="4AEDDA31">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11.1 市场价格波动引起的调整</w:t>
      </w:r>
    </w:p>
    <w:p w14:paraId="13C88E3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市场价格波动是否调整合同价格的约定：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BCD56DE">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因市场价格波动调整合同价格，采用以下第</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种方式对合同价格进行调整：</w:t>
      </w:r>
    </w:p>
    <w:p w14:paraId="469E920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第1种方式：采用价格指数进行价格调整。</w:t>
      </w:r>
    </w:p>
    <w:p w14:paraId="15194523">
      <w:pPr>
        <w:pStyle w:val="52"/>
        <w:spacing w:line="520" w:lineRule="exact"/>
        <w:ind w:firstLine="480" w:firstLineChars="200"/>
        <w:jc w:val="lef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关于各可调因子、定值和变值权重，以及基本价格指数及其来源的约定：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57F2EA1">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第2种方式：采用造价信息进行价格调整。</w:t>
      </w:r>
    </w:p>
    <w:p w14:paraId="252F3EB1">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（2）关于基准价格的约定：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D95F621">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专用合同条款①承包人在已标价工程量清单或预算书中载明的材料单价低于基准价格的：专用合同条款合同履行期间材料单价涨幅以基准价格为基础超过</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%时，或材料单价跌幅以已标价工程量清单或预算书中载明材料单价为基础超过</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%时，其超过部分据实调整。</w:t>
      </w:r>
    </w:p>
    <w:p w14:paraId="3BAD42A4">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②承包人在已标价工程量清单或预算书中载明的材料单价高于基准价格的：专用合同条款合同履行期间材料单价跌幅以基准价格为基础超过</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%时，材料单价涨幅以已标价工程量清单或预算书中载明材料单价为基础超过</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%时，其超过部分据实调整。</w:t>
      </w:r>
    </w:p>
    <w:p w14:paraId="2EBBB112">
      <w:pPr>
        <w:pStyle w:val="52"/>
        <w:spacing w:line="520" w:lineRule="exact"/>
        <w:ind w:firstLine="645"/>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③承包人在已标价工程量清单或预算书中载明的材料单价等于基准单价的：专用合同条款合同履行期间材料单价涨跌幅以基准单价为基础超过±</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%时，其超过部分据实调整。</w:t>
      </w:r>
    </w:p>
    <w:p w14:paraId="0A334AE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第3种方式：其他价格调整方式：</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5D0494A">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 合同价格、计量与支付</w:t>
      </w:r>
    </w:p>
    <w:p w14:paraId="467E0D36">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12.1 合同价格形式</w:t>
      </w:r>
    </w:p>
    <w:p w14:paraId="4E1F0970">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1、单价合同。</w:t>
      </w:r>
    </w:p>
    <w:p w14:paraId="268629D9">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综合单价包含的风险范围：</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DE13C7A">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风险费用的计算方法：</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E854A3C">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风险范围以外合同价格的调整方法：</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664CCA5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2、总价合同。</w:t>
      </w:r>
    </w:p>
    <w:p w14:paraId="6639873E">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总价包含的风险范围：</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F3402C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风险费用的计算方法：</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5058D5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风险范围以外合同价格的调整方法：</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1FB083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3、其他价格方式：</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6EE02AB">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12.2 预付款</w:t>
      </w:r>
    </w:p>
    <w:p w14:paraId="5EC0DB7C">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12.2.1 预付款的支付</w:t>
      </w:r>
    </w:p>
    <w:p w14:paraId="6CD50000">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预付款支付比例或金额：</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87B60A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预付款支付期限：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C61400E">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预付款扣回的方式：</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72788F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12.2.2 预付款担保</w:t>
      </w:r>
    </w:p>
    <w:p w14:paraId="3FA4690C">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承包人提交预付款担保的期限：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24B5B69">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预付款担保的形式为：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3210E17">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12.3 计量</w:t>
      </w:r>
    </w:p>
    <w:p w14:paraId="2678F579">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12.3.1 计量原则</w:t>
      </w:r>
    </w:p>
    <w:p w14:paraId="7ECDB098">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工程量计算规则：</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2C034E6">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12.3.2 计量周期</w:t>
      </w:r>
    </w:p>
    <w:p w14:paraId="454B5D6C">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关于计量周期的约定：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EFA612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12.3.3 单价合同的计量</w:t>
      </w:r>
    </w:p>
    <w:p w14:paraId="6538CCCD">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关于单价合同计量的约定：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1EAD941">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12.3.4 总价合同的计量</w:t>
      </w:r>
    </w:p>
    <w:p w14:paraId="2B1CF81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关于总价合同计量的约定：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DBBAA7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12.3.5总价合同采用支付分解表计量支付的，是否适用第</w:t>
      </w:r>
      <w:r>
        <w:rPr>
          <w:rStyle w:val="22"/>
          <w:rFonts w:hint="eastAsia" w:ascii="宋体" w:hAnsi="宋体" w:eastAsia="宋体" w:cs="宋体"/>
          <w:color w:val="auto"/>
          <w:kern w:val="0"/>
          <w:sz w:val="24"/>
          <w:szCs w:val="24"/>
        </w:rPr>
        <w:t xml:space="preserve">12.3.4 </w:t>
      </w:r>
      <w:r>
        <w:rPr>
          <w:rStyle w:val="22"/>
          <w:rFonts w:hint="eastAsia" w:ascii="宋体" w:hAnsi="宋体" w:eastAsia="宋体" w:cs="宋体"/>
          <w:color w:val="auto"/>
          <w:sz w:val="24"/>
          <w:szCs w:val="24"/>
        </w:rPr>
        <w:t>项</w:t>
      </w:r>
      <w:r>
        <w:rPr>
          <w:rStyle w:val="22"/>
          <w:rFonts w:hint="eastAsia" w:ascii="宋体" w:hAnsi="宋体" w:eastAsia="宋体" w:cs="宋体"/>
          <w:color w:val="auto"/>
          <w:kern w:val="0"/>
          <w:sz w:val="24"/>
          <w:szCs w:val="24"/>
        </w:rPr>
        <w:t>〔总价合同的计量〕</w:t>
      </w:r>
      <w:r>
        <w:rPr>
          <w:rStyle w:val="22"/>
          <w:rFonts w:hint="eastAsia" w:ascii="宋体" w:hAnsi="宋体" w:eastAsia="宋体" w:cs="宋体"/>
          <w:color w:val="auto"/>
          <w:sz w:val="24"/>
          <w:szCs w:val="24"/>
        </w:rPr>
        <w:t>约定进行计量：</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8D3923C">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12.3.6 其他价格形式合同的计量</w:t>
      </w:r>
    </w:p>
    <w:p w14:paraId="05F0308E">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其他价格形式的计量方式和程序：</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6CF40EB6">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12.4 工程进度款支付</w:t>
      </w:r>
    </w:p>
    <w:p w14:paraId="0980885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12.4.1 付款周期</w:t>
      </w:r>
    </w:p>
    <w:p w14:paraId="2D4AA818">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关于付款周期的约定：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B88A2D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12.4.2 进度付款申请单的编制</w:t>
      </w:r>
    </w:p>
    <w:p w14:paraId="4F5DE06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关于进度付款申请单编制的约定：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5D00598">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12.4.3 进度付款申请单的提交</w:t>
      </w:r>
    </w:p>
    <w:p w14:paraId="51217A6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（1）单价合同进度付款申请单提交的约定：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ABECBEE">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（2）总价合同进度付款申请单提交的约定：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616CB6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（3）其他价格形式合同进度付款申请单提交的约定：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8DB52F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12.4.4 进度款审核和支付</w:t>
      </w:r>
    </w:p>
    <w:p w14:paraId="25BED58C">
      <w:pPr>
        <w:pStyle w:val="52"/>
        <w:spacing w:line="520" w:lineRule="exact"/>
        <w:ind w:firstLine="480" w:firstLineChars="200"/>
        <w:jc w:val="lef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（1）监理人审查并报送发包人的期限：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18AE5E0">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发包人完成审批并签发进度款支付证书的期限：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196697E">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（2）发包人支付进度款的期限：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A7C7A0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发包人逾期支付进度款的违约金的计算方式：</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862AB6E">
      <w:pPr>
        <w:pStyle w:val="52"/>
        <w:spacing w:line="520" w:lineRule="exact"/>
        <w:ind w:firstLine="600" w:firstLineChars="25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12.4.6 支付分解表的编制</w:t>
      </w:r>
    </w:p>
    <w:p w14:paraId="1905C2F8">
      <w:pPr>
        <w:pStyle w:val="52"/>
        <w:spacing w:line="520" w:lineRule="exact"/>
        <w:ind w:left="4799" w:leftChars="228" w:hanging="4320" w:hangingChars="18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2、总价合同支付分解表的编制与审批：</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044D18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3、单价合同的总价项目支付分解表的编制与审批：</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4D0660F">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 验收和工程试车</w:t>
      </w:r>
    </w:p>
    <w:p w14:paraId="5215241C">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13.1 分部分项工程验收</w:t>
      </w:r>
    </w:p>
    <w:p w14:paraId="104F259C">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13.1.2监理人不能按时进行验收时，应提前</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小时提交书面延期要求。</w:t>
      </w:r>
    </w:p>
    <w:p w14:paraId="6F46E351">
      <w:pPr>
        <w:pStyle w:val="52"/>
        <w:spacing w:line="520" w:lineRule="exact"/>
        <w:ind w:firstLine="480" w:firstLineChars="200"/>
        <w:jc w:val="left"/>
        <w:rPr>
          <w:rStyle w:val="22"/>
          <w:rFonts w:hint="eastAsia" w:ascii="宋体" w:hAnsi="宋体" w:eastAsia="宋体" w:cs="宋体"/>
          <w:b/>
          <w:color w:val="auto"/>
          <w:sz w:val="24"/>
          <w:szCs w:val="24"/>
        </w:rPr>
      </w:pPr>
      <w:r>
        <w:rPr>
          <w:rStyle w:val="22"/>
          <w:rFonts w:hint="eastAsia" w:ascii="宋体" w:hAnsi="宋体" w:eastAsia="宋体" w:cs="宋体"/>
          <w:color w:val="auto"/>
          <w:sz w:val="24"/>
          <w:szCs w:val="24"/>
        </w:rPr>
        <w:t>关于延期最长不得超过：</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小时。</w:t>
      </w:r>
    </w:p>
    <w:p w14:paraId="547FF05A">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13.2 竣工验收</w:t>
      </w:r>
    </w:p>
    <w:p w14:paraId="07EF004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13.2.2竣工验收程序</w:t>
      </w:r>
    </w:p>
    <w:p w14:paraId="3CDAFBA9">
      <w:pPr>
        <w:pStyle w:val="52"/>
        <w:spacing w:line="520" w:lineRule="exact"/>
        <w:ind w:left="4799" w:leftChars="228" w:hanging="4320" w:hangingChars="18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关于竣工验收程序的约定：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412685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发包人不按照本项约定组织竣工验收、颁发工程接收证书的违约金的计算方法：</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1636C5E">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13.2.5移交、接收全部与部分工程</w:t>
      </w:r>
    </w:p>
    <w:p w14:paraId="3EF0BEE6">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承包人向发包人移交工程的期限：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841897F">
      <w:pPr>
        <w:pStyle w:val="52"/>
        <w:spacing w:line="520" w:lineRule="exact"/>
        <w:ind w:firstLine="480" w:firstLineChars="200"/>
        <w:jc w:val="left"/>
        <w:rPr>
          <w:rStyle w:val="22"/>
          <w:rFonts w:hint="eastAsia" w:ascii="宋体" w:hAnsi="宋体" w:eastAsia="宋体" w:cs="宋体"/>
          <w:color w:val="auto"/>
          <w:sz w:val="24"/>
          <w:szCs w:val="24"/>
          <w:u w:val="single"/>
        </w:rPr>
      </w:pPr>
      <w:r>
        <w:rPr>
          <w:rStyle w:val="22"/>
          <w:rFonts w:hint="eastAsia" w:ascii="宋体" w:hAnsi="宋体" w:eastAsia="宋体" w:cs="宋体"/>
          <w:color w:val="auto"/>
          <w:kern w:val="0"/>
          <w:sz w:val="24"/>
          <w:szCs w:val="24"/>
        </w:rPr>
        <w:t>发包人未按本合同约定接收全部或部分工程的，违约金的计算方法为：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3042BB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承包人未按时移交工程的，违约金的计算方法为：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F03D159">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13.3 工程试车</w:t>
      </w:r>
    </w:p>
    <w:p w14:paraId="34D7A35B">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13.3.1 试车程序</w:t>
      </w:r>
    </w:p>
    <w:p w14:paraId="619CB85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工程试车内容：</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779472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（1）单机无负荷试车费用由</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kern w:val="0"/>
          <w:sz w:val="24"/>
          <w:szCs w:val="24"/>
        </w:rPr>
        <w:t>承担；</w:t>
      </w:r>
    </w:p>
    <w:p w14:paraId="5C038FE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（2）无负荷联动试车费用由</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kern w:val="0"/>
          <w:sz w:val="24"/>
          <w:szCs w:val="24"/>
        </w:rPr>
        <w:t>承担。</w:t>
      </w:r>
    </w:p>
    <w:p w14:paraId="66C12E8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13.3.3 投料试车</w:t>
      </w:r>
    </w:p>
    <w:p w14:paraId="4449D23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关于投料试车相关事项的约定：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747372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13.6 竣工退场</w:t>
      </w:r>
    </w:p>
    <w:p w14:paraId="005FAAD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13.6.1 竣工退场</w:t>
      </w:r>
    </w:p>
    <w:p w14:paraId="4C9268EA">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承包人完成竣工退场的期限：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kern w:val="0"/>
          <w:sz w:val="24"/>
          <w:szCs w:val="24"/>
        </w:rPr>
        <w:t>。</w:t>
      </w:r>
    </w:p>
    <w:p w14:paraId="4C1D80B6">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 竣工结算</w:t>
      </w:r>
    </w:p>
    <w:p w14:paraId="2342C54F">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14.1 竣工结算申请</w:t>
      </w:r>
    </w:p>
    <w:p w14:paraId="7695C36C">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承包人提交竣工结算申请单的期限：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E93C76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竣工结算申请单应包括的内容：</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6F57D0D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14.2 竣工结算审核</w:t>
      </w:r>
    </w:p>
    <w:p w14:paraId="03A4778B">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发包人审批竣工付款申请单的期限：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7D303A8">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发包人完成竣工付款的期限：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1CC0328">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关于竣工付款证书异议部分复核的方式和程序：</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60C3B5F">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14.4 最终结清</w:t>
      </w:r>
    </w:p>
    <w:p w14:paraId="7AB79B2E">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14.4.1 最终结清申请单</w:t>
      </w:r>
    </w:p>
    <w:p w14:paraId="3FB57BB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承包人提交最终结清申请单的份数：</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BC6CC2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承包人提交最终结算申请单的期限：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w:t>
      </w:r>
    </w:p>
    <w:p w14:paraId="0F497C1B">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14.4.2 最终结清证书和支付</w:t>
      </w:r>
    </w:p>
    <w:p w14:paraId="247518E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（1）发包人完成最终结清申请单的审批并颁发最终结清证书的期限：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4BA3B2D">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（2）发包人完成支付的期限：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CE808A6">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 缺陷责任期与保修</w:t>
      </w:r>
    </w:p>
    <w:p w14:paraId="219DAD11">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15.2缺陷责任期</w:t>
      </w:r>
    </w:p>
    <w:p w14:paraId="76E142A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缺陷责任期的具体期限：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6E5691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15.3 质量保证金</w:t>
      </w:r>
    </w:p>
    <w:p w14:paraId="6BFB79AC">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关于是否扣留质量保证金的约定：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。在工程项目竣工前，承包人按专用合同条款第3.7条提供履约担保的，发包人不得同时预留工程质量保证金。</w:t>
      </w:r>
    </w:p>
    <w:p w14:paraId="6F24DE5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15.3.1 承包人提供质量保证金的方式</w:t>
      </w:r>
    </w:p>
    <w:p w14:paraId="0FC8DEA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质量保证金采用以下第</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种方式：</w:t>
      </w:r>
    </w:p>
    <w:p w14:paraId="1E5A8D2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（1）质量保证金保函，保证金额为：</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 xml:space="preserve">； </w:t>
      </w:r>
    </w:p>
    <w:p w14:paraId="0024F5D2">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%的工程款；</w:t>
      </w:r>
    </w:p>
    <w:p w14:paraId="3FA5F085">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（3）其他方式:</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06F9F25D">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15.3.2 质量保证金的扣留 </w:t>
      </w:r>
    </w:p>
    <w:p w14:paraId="3708F92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质量保证金的扣留采取以下第</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种方式：</w:t>
      </w:r>
    </w:p>
    <w:p w14:paraId="7F9A7AC3">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（1）在支付工程进度款时逐次扣留，在此情形下，质量保证金的计算基数不包括预付款的支付、扣回以及价格调整的金额；</w:t>
      </w:r>
    </w:p>
    <w:p w14:paraId="5A2931D1">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（2）工程竣工结算时一次性扣留质量保证金；</w:t>
      </w:r>
    </w:p>
    <w:p w14:paraId="2A7348C4">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（3）其他扣留方式:</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4EF60F7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关于质量保证金的补充约定：</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610555AF">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15.4保修</w:t>
      </w:r>
    </w:p>
    <w:p w14:paraId="22D867A4">
      <w:pPr>
        <w:pStyle w:val="52"/>
        <w:spacing w:line="520" w:lineRule="exact"/>
        <w:ind w:firstLine="468" w:firstLineChars="195"/>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15.4.1 保修责任</w:t>
      </w:r>
    </w:p>
    <w:p w14:paraId="5FD1650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工程保修期为：</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680C5139">
      <w:pPr>
        <w:pStyle w:val="52"/>
        <w:spacing w:line="520" w:lineRule="exact"/>
        <w:ind w:firstLine="468" w:firstLineChars="195"/>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15.4.3 修复通知</w:t>
      </w:r>
    </w:p>
    <w:p w14:paraId="47F36AE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承包人收到保修通知并到达工程现场的合理时间：</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0853D918">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 违约</w:t>
      </w:r>
    </w:p>
    <w:p w14:paraId="539577A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16.1 发包人违约</w:t>
      </w:r>
    </w:p>
    <w:p w14:paraId="13F73CB0">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16.1.1发包人违约的情形</w:t>
      </w:r>
    </w:p>
    <w:p w14:paraId="1C2E2979">
      <w:pPr>
        <w:pStyle w:val="52"/>
        <w:spacing w:line="520" w:lineRule="exact"/>
        <w:ind w:left="1199" w:leftChars="228" w:hanging="720" w:hangingChars="3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发包人违约的其他情形：</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581C36BF">
      <w:pPr>
        <w:pStyle w:val="52"/>
        <w:spacing w:line="520" w:lineRule="exact"/>
        <w:ind w:left="1200" w:hanging="1200" w:hangingChars="5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 xml:space="preserve">    16.1.2 发包人违约的责任</w:t>
      </w:r>
    </w:p>
    <w:p w14:paraId="6E78616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发包人违约责任的承担方式和计算方法：</w:t>
      </w:r>
    </w:p>
    <w:p w14:paraId="544B8209">
      <w:pPr>
        <w:pStyle w:val="52"/>
        <w:spacing w:line="520" w:lineRule="exact"/>
        <w:ind w:firstLine="480" w:firstLineChars="200"/>
        <w:jc w:val="left"/>
        <w:rPr>
          <w:rStyle w:val="22"/>
          <w:rFonts w:hint="eastAsia" w:ascii="宋体" w:hAnsi="宋体" w:eastAsia="宋体" w:cs="宋体"/>
          <w:color w:val="auto"/>
          <w:kern w:val="0"/>
          <w:sz w:val="24"/>
          <w:szCs w:val="24"/>
          <w:u w:val="single"/>
        </w:rPr>
      </w:pPr>
      <w:r>
        <w:rPr>
          <w:rStyle w:val="22"/>
          <w:rFonts w:hint="eastAsia" w:ascii="宋体" w:hAnsi="宋体" w:eastAsia="宋体" w:cs="宋体"/>
          <w:color w:val="auto"/>
          <w:kern w:val="0"/>
          <w:sz w:val="24"/>
          <w:szCs w:val="24"/>
        </w:rPr>
        <w:t>（1）因发包人原因未能在计划开工日期前7天内下达开工通知的违约责任：</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4CB58033">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（2）因发包人原因未能按合同约定支付合同价款的违约责任：</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073B4F55">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（3）发包人违反第10.1款〔变更的范围〕第（2）项约定，自行实施被取消的工作或转由他人实施的违约责任：</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1595592C">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（4）发包人提供的材料、工程设备的规格、数量或质量不符合合同约定，或因发包人原因导致交货日期延误或交货地点变更等情况的违约责任：</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7E6B1552">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（5）因发包人违反合同约定造成暂停施工的违约责任：</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534F284F">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（6）发包人无正当理由没有在约定期限内发出复工指示，导致承包人无法复工的违约责任：</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6DDAF0C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（7）其他：</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2C2FF85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16.1.3 因发包人违约解除合同</w:t>
      </w:r>
    </w:p>
    <w:p w14:paraId="018C310C">
      <w:pPr>
        <w:pStyle w:val="52"/>
        <w:autoSpaceDE w:val="0"/>
        <w:autoSpaceDN w:val="0"/>
        <w:adjustRightInd w:val="0"/>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承包人按16.1.1项〔发包人违约的情形〕约定暂停施工满</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天后发包人仍不纠正其违约行为并致使合同目的不能实现的，承包人有权解除合同。</w:t>
      </w:r>
    </w:p>
    <w:p w14:paraId="3AC2443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16.2 承包人违约</w:t>
      </w:r>
    </w:p>
    <w:p w14:paraId="11548DC8">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16.2.1 承包人违约的情形</w:t>
      </w:r>
    </w:p>
    <w:p w14:paraId="209F4BD4">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承包人违约的其他情形：</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3E1A7DF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16.2.2承包人违约的责任</w:t>
      </w:r>
    </w:p>
    <w:p w14:paraId="5338BA99">
      <w:pPr>
        <w:pStyle w:val="52"/>
        <w:spacing w:line="520" w:lineRule="exact"/>
        <w:ind w:left="1199" w:leftChars="228" w:hanging="720" w:hangingChars="300"/>
        <w:jc w:val="left"/>
        <w:rPr>
          <w:rStyle w:val="22"/>
          <w:rFonts w:hint="eastAsia" w:ascii="宋体" w:hAnsi="宋体" w:eastAsia="宋体" w:cs="宋体"/>
          <w:color w:val="auto"/>
          <w:kern w:val="0"/>
          <w:sz w:val="24"/>
          <w:szCs w:val="24"/>
          <w:u w:val="single"/>
        </w:rPr>
      </w:pPr>
      <w:r>
        <w:rPr>
          <w:rStyle w:val="22"/>
          <w:rFonts w:hint="eastAsia" w:ascii="宋体" w:hAnsi="宋体" w:eastAsia="宋体" w:cs="宋体"/>
          <w:color w:val="auto"/>
          <w:kern w:val="0"/>
          <w:sz w:val="24"/>
          <w:szCs w:val="24"/>
        </w:rPr>
        <w:t>承包人违约责任的承担方式和计算方法：</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r>
        <w:rPr>
          <w:rStyle w:val="22"/>
          <w:rFonts w:hint="eastAsia" w:ascii="宋体" w:hAnsi="宋体" w:eastAsia="宋体" w:cs="宋体"/>
          <w:color w:val="auto"/>
          <w:sz w:val="24"/>
          <w:szCs w:val="24"/>
        </w:rPr>
        <w:t xml:space="preserve">    </w:t>
      </w:r>
    </w:p>
    <w:p w14:paraId="3CA9DEB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16.2.3 因承包人违约解除合同</w:t>
      </w:r>
    </w:p>
    <w:p w14:paraId="2B7CE487">
      <w:pPr>
        <w:pStyle w:val="52"/>
        <w:spacing w:before="120" w:after="120"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关于承包人违约解除合同的特别约定：</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29EEC671">
      <w:pPr>
        <w:pStyle w:val="52"/>
        <w:spacing w:before="120" w:after="120" w:line="520" w:lineRule="exact"/>
        <w:ind w:firstLine="480" w:firstLineChars="200"/>
        <w:rPr>
          <w:rStyle w:val="22"/>
          <w:rFonts w:hint="eastAsia" w:ascii="宋体" w:hAnsi="宋体" w:eastAsia="宋体" w:cs="宋体"/>
          <w:color w:val="auto"/>
          <w:kern w:val="0"/>
          <w:sz w:val="24"/>
          <w:szCs w:val="24"/>
        </w:rPr>
      </w:pPr>
      <w:r>
        <w:rPr>
          <w:rStyle w:val="22"/>
          <w:rFonts w:hint="eastAsia" w:ascii="宋体" w:hAnsi="宋体" w:eastAsia="宋体" w:cs="宋体"/>
          <w:color w:val="auto"/>
          <w:kern w:val="0"/>
          <w:sz w:val="24"/>
          <w:szCs w:val="24"/>
        </w:rPr>
        <w:t>发包人继续使用承包人在施工现场的材料、设备、临时工程、承包人文件和由承包人或以其名义编制的其他文件的费用承担方式：</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2E2C84C2">
      <w:pPr>
        <w:pStyle w:val="52"/>
        <w:keepNext/>
        <w:keepLines/>
        <w:adjustRightInd w:val="0"/>
        <w:spacing w:line="520" w:lineRule="exact"/>
        <w:textAlignment w:val="baseline"/>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17. 不可抗力 </w:t>
      </w:r>
    </w:p>
    <w:p w14:paraId="3AF2B1D3">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17.1 不可抗力的确认</w:t>
      </w:r>
    </w:p>
    <w:p w14:paraId="3836E98B">
      <w:pPr>
        <w:pStyle w:val="52"/>
        <w:spacing w:line="520" w:lineRule="exact"/>
        <w:ind w:firstLine="480" w:firstLineChars="200"/>
        <w:jc w:val="left"/>
        <w:rPr>
          <w:rStyle w:val="22"/>
          <w:rFonts w:hint="eastAsia" w:ascii="宋体" w:hAnsi="宋体" w:eastAsia="宋体" w:cs="宋体"/>
          <w:color w:val="auto"/>
          <w:kern w:val="0"/>
          <w:sz w:val="24"/>
          <w:szCs w:val="24"/>
          <w:u w:val="single"/>
        </w:rPr>
      </w:pPr>
      <w:r>
        <w:rPr>
          <w:rStyle w:val="22"/>
          <w:rFonts w:hint="eastAsia" w:ascii="宋体" w:hAnsi="宋体" w:eastAsia="宋体" w:cs="宋体"/>
          <w:color w:val="auto"/>
          <w:sz w:val="24"/>
          <w:szCs w:val="24"/>
        </w:rPr>
        <w:t xml:space="preserve">除通用合同条款约定的不可抗力事件之外，视为不可抗力的其他情形： </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06B147D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17.4 因不可抗力解除合同</w:t>
      </w:r>
    </w:p>
    <w:p w14:paraId="7517B1FA">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合同解除后，发包人应在商定或确定发包人应支付款项后</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天内完成款项的支付。</w:t>
      </w:r>
    </w:p>
    <w:p w14:paraId="5A68789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 保险</w:t>
      </w:r>
    </w:p>
    <w:p w14:paraId="6E0935E4">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18.1 工程保险</w:t>
      </w:r>
    </w:p>
    <w:p w14:paraId="7E441409">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关于工程保险的特别约定：</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4CD1DE9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18.3 其他保险</w:t>
      </w:r>
    </w:p>
    <w:p w14:paraId="44300181">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关于其他保险的约定：</w:t>
      </w:r>
      <w:r>
        <w:rPr>
          <w:rStyle w:val="22"/>
          <w:rFonts w:hint="eastAsia" w:ascii="宋体" w:hAnsi="宋体" w:eastAsia="宋体" w:cs="宋体"/>
          <w:color w:val="auto"/>
          <w:kern w:val="0"/>
          <w:sz w:val="24"/>
          <w:szCs w:val="24"/>
          <w:u w:val="single"/>
        </w:rPr>
        <w:t xml:space="preserve">                                  </w:t>
      </w:r>
      <w:r>
        <w:rPr>
          <w:rStyle w:val="22"/>
          <w:rFonts w:hint="eastAsia" w:ascii="宋体" w:hAnsi="宋体" w:eastAsia="宋体" w:cs="宋体"/>
          <w:color w:val="auto"/>
          <w:kern w:val="0"/>
          <w:sz w:val="24"/>
          <w:szCs w:val="24"/>
        </w:rPr>
        <w:t>。</w:t>
      </w:r>
    </w:p>
    <w:p w14:paraId="4BC1A180">
      <w:pPr>
        <w:pStyle w:val="52"/>
        <w:spacing w:line="520" w:lineRule="exact"/>
        <w:ind w:firstLine="480" w:firstLineChars="200"/>
        <w:jc w:val="left"/>
        <w:rPr>
          <w:rStyle w:val="22"/>
          <w:rFonts w:hint="eastAsia" w:ascii="宋体" w:hAnsi="宋体" w:eastAsia="宋体" w:cs="宋体"/>
          <w:color w:val="auto"/>
          <w:kern w:val="0"/>
          <w:sz w:val="24"/>
          <w:szCs w:val="24"/>
        </w:rPr>
      </w:pPr>
      <w:r>
        <w:rPr>
          <w:rStyle w:val="22"/>
          <w:rFonts w:hint="eastAsia" w:ascii="宋体" w:hAnsi="宋体" w:eastAsia="宋体" w:cs="宋体"/>
          <w:color w:val="auto"/>
          <w:sz w:val="24"/>
          <w:szCs w:val="24"/>
        </w:rPr>
        <w:t>承包人是否应为其施工设备等办理财产保险：</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2BE7013C">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18.7 通知义务</w:t>
      </w:r>
    </w:p>
    <w:p w14:paraId="28A96150">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kern w:val="0"/>
          <w:sz w:val="24"/>
          <w:szCs w:val="24"/>
        </w:rPr>
        <w:t>关于变更保险合同时的通知义务的约定：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1A5EDF0">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 争议解决</w:t>
      </w:r>
    </w:p>
    <w:p w14:paraId="4E601FC6">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20.3 争议评审</w:t>
      </w:r>
    </w:p>
    <w:p w14:paraId="138785BA">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合同当事人是否同意将工程争议提交争议评审小组决定：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C6A650C">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20.3.1 争议评审小组的确定</w:t>
      </w:r>
    </w:p>
    <w:p w14:paraId="713EC83D">
      <w:pPr>
        <w:pStyle w:val="52"/>
        <w:spacing w:line="520" w:lineRule="exact"/>
        <w:ind w:firstLine="480" w:firstLineChars="200"/>
        <w:jc w:val="lef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争议评审小组成员的确定：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41E054F8">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选定争议评审员的期限：</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A95F1F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争议评审小组成员的报酬承担方式：</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67D49D9C">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其他事项的约定：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AB659E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20.3.2 争议评审小组的决定</w:t>
      </w:r>
    </w:p>
    <w:p w14:paraId="219C5AF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合同当事人关于本项的约定：</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328ACAE8">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20.4仲裁或诉讼</w:t>
      </w:r>
    </w:p>
    <w:p w14:paraId="43993FE1">
      <w:pPr>
        <w:pStyle w:val="52"/>
        <w:spacing w:after="120"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因合同及合同有关事项发生的争议，按下列第</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种方式解决：</w:t>
      </w:r>
    </w:p>
    <w:p w14:paraId="3EEA5C09">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（1）向</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仲裁委员会申请仲裁；</w:t>
      </w:r>
    </w:p>
    <w:p w14:paraId="78A60B9A">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（2）向</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人民法院起诉。</w:t>
      </w:r>
    </w:p>
    <w:p w14:paraId="1FE793CF">
      <w:pPr>
        <w:pStyle w:val="52"/>
        <w:keepNext/>
        <w:keepLines/>
        <w:pageBreakBefore/>
        <w:spacing w:line="520" w:lineRule="exact"/>
        <w:jc w:val="left"/>
        <w:rPr>
          <w:rStyle w:val="22"/>
          <w:rFonts w:hint="eastAsia" w:ascii="宋体" w:hAnsi="宋体" w:eastAsia="宋体" w:cs="宋体"/>
          <w:b/>
          <w:color w:val="auto"/>
          <w:sz w:val="24"/>
          <w:szCs w:val="24"/>
        </w:rPr>
      </w:pPr>
      <w:r>
        <w:rPr>
          <w:rStyle w:val="22"/>
          <w:rFonts w:hint="eastAsia" w:ascii="宋体" w:hAnsi="宋体" w:eastAsia="宋体" w:cs="宋体"/>
          <w:b/>
          <w:color w:val="auto"/>
          <w:sz w:val="24"/>
          <w:szCs w:val="24"/>
        </w:rPr>
        <w:t>附件</w:t>
      </w:r>
    </w:p>
    <w:p w14:paraId="144E455A">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协议书附件：</w:t>
      </w:r>
    </w:p>
    <w:p w14:paraId="37973BD0">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附件1：承包人承揽工程项目一览表</w:t>
      </w:r>
    </w:p>
    <w:p w14:paraId="78E47B24">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专用合同条款附件：</w:t>
      </w:r>
    </w:p>
    <w:p w14:paraId="14C299B1">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附件2：发包人供应材料设备一览表</w:t>
      </w:r>
    </w:p>
    <w:p w14:paraId="6ABEB793">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附件3：工程质量保修书</w:t>
      </w:r>
    </w:p>
    <w:p w14:paraId="5C69E851">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附件4：主要建设工程文件目录</w:t>
      </w:r>
    </w:p>
    <w:p w14:paraId="2E32DC1D">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附件5：承包人用于本工程施工的机械设备表</w:t>
      </w:r>
    </w:p>
    <w:p w14:paraId="3D4B9D53">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附件6：承包人主要施工管理人员表</w:t>
      </w:r>
    </w:p>
    <w:p w14:paraId="5F2B5357">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附件7：分包人主要施工管理人员表</w:t>
      </w:r>
    </w:p>
    <w:p w14:paraId="3230AD62">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附件8：履约担保格式</w:t>
      </w:r>
    </w:p>
    <w:p w14:paraId="7FE74381">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附件9：预付款担保格式</w:t>
      </w:r>
    </w:p>
    <w:p w14:paraId="531FFB93">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附件10：支付担保格式</w:t>
      </w:r>
    </w:p>
    <w:p w14:paraId="5B1EB793">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附件11：暂估价一览表</w:t>
      </w:r>
    </w:p>
    <w:p w14:paraId="448308BB">
      <w:pPr>
        <w:pStyle w:val="52"/>
        <w:keepNext/>
        <w:keepLines/>
        <w:pageBreakBefore/>
        <w:spacing w:line="520" w:lineRule="exact"/>
        <w:jc w:val="left"/>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附件1：</w:t>
      </w:r>
    </w:p>
    <w:p w14:paraId="6382FE80">
      <w:pPr>
        <w:pStyle w:val="52"/>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承包人承揽工程项目一览表</w:t>
      </w:r>
    </w:p>
    <w:tbl>
      <w:tblPr>
        <w:tblStyle w:val="20"/>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039"/>
        <w:gridCol w:w="862"/>
        <w:gridCol w:w="1155"/>
        <w:gridCol w:w="685"/>
        <w:gridCol w:w="692"/>
        <w:gridCol w:w="797"/>
        <w:gridCol w:w="846"/>
        <w:gridCol w:w="902"/>
        <w:gridCol w:w="692"/>
        <w:gridCol w:w="692"/>
      </w:tblGrid>
      <w:tr w14:paraId="288BA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624" w:type="pct"/>
            <w:tcBorders>
              <w:top w:val="single" w:color="auto" w:sz="12" w:space="0"/>
              <w:bottom w:val="double" w:color="auto" w:sz="6" w:space="0"/>
            </w:tcBorders>
            <w:noWrap w:val="0"/>
            <w:vAlign w:val="center"/>
          </w:tcPr>
          <w:p w14:paraId="79266686">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单位工程名称</w:t>
            </w:r>
          </w:p>
        </w:tc>
        <w:tc>
          <w:tcPr>
            <w:tcW w:w="518" w:type="pct"/>
            <w:tcBorders>
              <w:top w:val="single" w:color="auto" w:sz="12" w:space="0"/>
              <w:bottom w:val="double" w:color="auto" w:sz="6" w:space="0"/>
            </w:tcBorders>
            <w:noWrap w:val="0"/>
            <w:vAlign w:val="center"/>
          </w:tcPr>
          <w:p w14:paraId="354485F1">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建设</w:t>
            </w:r>
          </w:p>
          <w:p w14:paraId="1CCD3BC3">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规模</w:t>
            </w:r>
          </w:p>
        </w:tc>
        <w:tc>
          <w:tcPr>
            <w:tcW w:w="693" w:type="pct"/>
            <w:tcBorders>
              <w:top w:val="single" w:color="auto" w:sz="12" w:space="0"/>
              <w:bottom w:val="double" w:color="auto" w:sz="6" w:space="0"/>
            </w:tcBorders>
            <w:noWrap w:val="0"/>
            <w:vAlign w:val="center"/>
          </w:tcPr>
          <w:p w14:paraId="2A83E5D9">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建筑面积(平方米)</w:t>
            </w:r>
          </w:p>
        </w:tc>
        <w:tc>
          <w:tcPr>
            <w:tcW w:w="412" w:type="pct"/>
            <w:tcBorders>
              <w:top w:val="single" w:color="auto" w:sz="12" w:space="0"/>
              <w:bottom w:val="double" w:color="auto" w:sz="6" w:space="0"/>
            </w:tcBorders>
            <w:noWrap w:val="0"/>
            <w:vAlign w:val="center"/>
          </w:tcPr>
          <w:p w14:paraId="10994A0D">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结构</w:t>
            </w:r>
          </w:p>
          <w:p w14:paraId="42423799">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形式</w:t>
            </w:r>
          </w:p>
        </w:tc>
        <w:tc>
          <w:tcPr>
            <w:tcW w:w="416" w:type="pct"/>
            <w:tcBorders>
              <w:top w:val="single" w:color="auto" w:sz="12" w:space="0"/>
              <w:bottom w:val="double" w:color="auto" w:sz="6" w:space="0"/>
            </w:tcBorders>
            <w:noWrap w:val="0"/>
            <w:vAlign w:val="center"/>
          </w:tcPr>
          <w:p w14:paraId="073F3F53">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层数</w:t>
            </w:r>
          </w:p>
        </w:tc>
        <w:tc>
          <w:tcPr>
            <w:tcW w:w="479" w:type="pct"/>
            <w:tcBorders>
              <w:top w:val="single" w:color="auto" w:sz="12" w:space="0"/>
              <w:bottom w:val="double" w:color="auto" w:sz="6" w:space="0"/>
            </w:tcBorders>
            <w:noWrap w:val="0"/>
            <w:vAlign w:val="center"/>
          </w:tcPr>
          <w:p w14:paraId="7A237453">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生产</w:t>
            </w:r>
          </w:p>
          <w:p w14:paraId="2C8ABAC7">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能力</w:t>
            </w:r>
          </w:p>
        </w:tc>
        <w:tc>
          <w:tcPr>
            <w:tcW w:w="508" w:type="pct"/>
            <w:tcBorders>
              <w:top w:val="single" w:color="auto" w:sz="12" w:space="0"/>
              <w:bottom w:val="double" w:color="auto" w:sz="6" w:space="0"/>
            </w:tcBorders>
            <w:noWrap w:val="0"/>
            <w:vAlign w:val="center"/>
          </w:tcPr>
          <w:p w14:paraId="1323CA41">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设备安装内容</w:t>
            </w:r>
          </w:p>
        </w:tc>
        <w:tc>
          <w:tcPr>
            <w:tcW w:w="518" w:type="pct"/>
            <w:tcBorders>
              <w:top w:val="single" w:color="auto" w:sz="12" w:space="0"/>
              <w:bottom w:val="double" w:color="auto" w:sz="6" w:space="0"/>
            </w:tcBorders>
            <w:noWrap w:val="0"/>
            <w:vAlign w:val="center"/>
          </w:tcPr>
          <w:p w14:paraId="37A0C43F">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合同价格（元）</w:t>
            </w:r>
          </w:p>
        </w:tc>
        <w:tc>
          <w:tcPr>
            <w:tcW w:w="416" w:type="pct"/>
            <w:tcBorders>
              <w:top w:val="single" w:color="auto" w:sz="12" w:space="0"/>
              <w:bottom w:val="double" w:color="auto" w:sz="6" w:space="0"/>
            </w:tcBorders>
            <w:noWrap w:val="0"/>
            <w:vAlign w:val="center"/>
          </w:tcPr>
          <w:p w14:paraId="16ACE662">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开工日期</w:t>
            </w:r>
          </w:p>
        </w:tc>
        <w:tc>
          <w:tcPr>
            <w:tcW w:w="416" w:type="pct"/>
            <w:tcBorders>
              <w:top w:val="single" w:color="auto" w:sz="12" w:space="0"/>
              <w:bottom w:val="double" w:color="auto" w:sz="6" w:space="0"/>
            </w:tcBorders>
            <w:noWrap w:val="0"/>
            <w:vAlign w:val="center"/>
          </w:tcPr>
          <w:p w14:paraId="09605E2F">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竣工日期</w:t>
            </w:r>
          </w:p>
        </w:tc>
      </w:tr>
      <w:tr w14:paraId="05BC73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24" w:type="pct"/>
            <w:tcBorders>
              <w:top w:val="double" w:color="auto" w:sz="6" w:space="0"/>
              <w:bottom w:val="single" w:color="auto" w:sz="6" w:space="0"/>
            </w:tcBorders>
            <w:noWrap w:val="0"/>
            <w:vAlign w:val="center"/>
          </w:tcPr>
          <w:p w14:paraId="0AA6A30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double" w:color="auto" w:sz="6" w:space="0"/>
              <w:bottom w:val="single" w:color="auto" w:sz="6" w:space="0"/>
            </w:tcBorders>
            <w:noWrap w:val="0"/>
            <w:vAlign w:val="center"/>
          </w:tcPr>
          <w:p w14:paraId="6DCF849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3" w:type="pct"/>
            <w:tcBorders>
              <w:top w:val="double" w:color="auto" w:sz="6" w:space="0"/>
              <w:bottom w:val="single" w:color="auto" w:sz="6" w:space="0"/>
            </w:tcBorders>
            <w:noWrap w:val="0"/>
            <w:vAlign w:val="center"/>
          </w:tcPr>
          <w:p w14:paraId="0D80F12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2" w:type="pct"/>
            <w:tcBorders>
              <w:top w:val="double" w:color="auto" w:sz="6" w:space="0"/>
              <w:bottom w:val="single" w:color="auto" w:sz="6" w:space="0"/>
            </w:tcBorders>
            <w:noWrap w:val="0"/>
            <w:vAlign w:val="center"/>
          </w:tcPr>
          <w:p w14:paraId="40629C8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double" w:color="auto" w:sz="6" w:space="0"/>
              <w:bottom w:val="single" w:color="auto" w:sz="6" w:space="0"/>
            </w:tcBorders>
            <w:noWrap w:val="0"/>
            <w:vAlign w:val="center"/>
          </w:tcPr>
          <w:p w14:paraId="69E4654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79" w:type="pct"/>
            <w:tcBorders>
              <w:top w:val="double" w:color="auto" w:sz="6" w:space="0"/>
              <w:bottom w:val="single" w:color="auto" w:sz="6" w:space="0"/>
            </w:tcBorders>
            <w:noWrap w:val="0"/>
            <w:vAlign w:val="center"/>
          </w:tcPr>
          <w:p w14:paraId="68129E5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08" w:type="pct"/>
            <w:tcBorders>
              <w:top w:val="double" w:color="auto" w:sz="6" w:space="0"/>
              <w:bottom w:val="single" w:color="auto" w:sz="6" w:space="0"/>
            </w:tcBorders>
            <w:noWrap w:val="0"/>
            <w:vAlign w:val="center"/>
          </w:tcPr>
          <w:p w14:paraId="27989E3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double" w:color="auto" w:sz="6" w:space="0"/>
              <w:bottom w:val="single" w:color="auto" w:sz="6" w:space="0"/>
            </w:tcBorders>
            <w:noWrap w:val="0"/>
            <w:vAlign w:val="center"/>
          </w:tcPr>
          <w:p w14:paraId="3E930CE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double" w:color="auto" w:sz="6" w:space="0"/>
              <w:bottom w:val="single" w:color="auto" w:sz="6" w:space="0"/>
            </w:tcBorders>
            <w:noWrap w:val="0"/>
            <w:vAlign w:val="center"/>
          </w:tcPr>
          <w:p w14:paraId="3DF140D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double" w:color="auto" w:sz="6" w:space="0"/>
              <w:bottom w:val="single" w:color="auto" w:sz="6" w:space="0"/>
            </w:tcBorders>
            <w:noWrap w:val="0"/>
            <w:vAlign w:val="center"/>
          </w:tcPr>
          <w:p w14:paraId="0AEFAB3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06C9E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24" w:type="pct"/>
            <w:tcBorders>
              <w:top w:val="nil"/>
            </w:tcBorders>
            <w:noWrap w:val="0"/>
            <w:vAlign w:val="center"/>
          </w:tcPr>
          <w:p w14:paraId="3FD51DE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576D84D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3" w:type="pct"/>
            <w:tcBorders>
              <w:top w:val="nil"/>
            </w:tcBorders>
            <w:noWrap w:val="0"/>
            <w:vAlign w:val="center"/>
          </w:tcPr>
          <w:p w14:paraId="5A48BF2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2" w:type="pct"/>
            <w:tcBorders>
              <w:top w:val="nil"/>
            </w:tcBorders>
            <w:noWrap w:val="0"/>
            <w:vAlign w:val="center"/>
          </w:tcPr>
          <w:p w14:paraId="27810DE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3846102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79" w:type="pct"/>
            <w:tcBorders>
              <w:top w:val="nil"/>
            </w:tcBorders>
            <w:noWrap w:val="0"/>
            <w:vAlign w:val="center"/>
          </w:tcPr>
          <w:p w14:paraId="06225CC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08" w:type="pct"/>
            <w:tcBorders>
              <w:top w:val="nil"/>
            </w:tcBorders>
            <w:noWrap w:val="0"/>
            <w:vAlign w:val="center"/>
          </w:tcPr>
          <w:p w14:paraId="312D29E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7873023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3412848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511CDDC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C2740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24" w:type="pct"/>
            <w:tcBorders>
              <w:top w:val="nil"/>
            </w:tcBorders>
            <w:noWrap w:val="0"/>
            <w:vAlign w:val="center"/>
          </w:tcPr>
          <w:p w14:paraId="191BF45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7B745CB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3" w:type="pct"/>
            <w:tcBorders>
              <w:top w:val="nil"/>
            </w:tcBorders>
            <w:noWrap w:val="0"/>
            <w:vAlign w:val="center"/>
          </w:tcPr>
          <w:p w14:paraId="6C3CF59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2" w:type="pct"/>
            <w:tcBorders>
              <w:top w:val="nil"/>
            </w:tcBorders>
            <w:noWrap w:val="0"/>
            <w:vAlign w:val="center"/>
          </w:tcPr>
          <w:p w14:paraId="42965FE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6272D00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79" w:type="pct"/>
            <w:tcBorders>
              <w:top w:val="nil"/>
            </w:tcBorders>
            <w:noWrap w:val="0"/>
            <w:vAlign w:val="center"/>
          </w:tcPr>
          <w:p w14:paraId="27B5B39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08" w:type="pct"/>
            <w:tcBorders>
              <w:top w:val="nil"/>
            </w:tcBorders>
            <w:noWrap w:val="0"/>
            <w:vAlign w:val="center"/>
          </w:tcPr>
          <w:p w14:paraId="6AE3C22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71A813B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42BCAF6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73EE073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23CDB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24" w:type="pct"/>
            <w:noWrap w:val="0"/>
            <w:vAlign w:val="center"/>
          </w:tcPr>
          <w:p w14:paraId="64E70E2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noWrap w:val="0"/>
            <w:vAlign w:val="center"/>
          </w:tcPr>
          <w:p w14:paraId="3520175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3" w:type="pct"/>
            <w:noWrap w:val="0"/>
            <w:vAlign w:val="center"/>
          </w:tcPr>
          <w:p w14:paraId="35AA53A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2" w:type="pct"/>
            <w:noWrap w:val="0"/>
            <w:vAlign w:val="center"/>
          </w:tcPr>
          <w:p w14:paraId="24D95BF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31423D2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79" w:type="pct"/>
            <w:noWrap w:val="0"/>
            <w:vAlign w:val="center"/>
          </w:tcPr>
          <w:p w14:paraId="3470D06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08" w:type="pct"/>
            <w:noWrap w:val="0"/>
            <w:vAlign w:val="center"/>
          </w:tcPr>
          <w:p w14:paraId="550469F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noWrap w:val="0"/>
            <w:vAlign w:val="center"/>
          </w:tcPr>
          <w:p w14:paraId="2F9C2D6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205812F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726BDA1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CBBE5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24" w:type="pct"/>
            <w:tcBorders>
              <w:top w:val="nil"/>
            </w:tcBorders>
            <w:noWrap w:val="0"/>
            <w:vAlign w:val="center"/>
          </w:tcPr>
          <w:p w14:paraId="309585B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6CD360C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3" w:type="pct"/>
            <w:tcBorders>
              <w:top w:val="nil"/>
            </w:tcBorders>
            <w:noWrap w:val="0"/>
            <w:vAlign w:val="center"/>
          </w:tcPr>
          <w:p w14:paraId="728FB01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2" w:type="pct"/>
            <w:tcBorders>
              <w:top w:val="nil"/>
            </w:tcBorders>
            <w:noWrap w:val="0"/>
            <w:vAlign w:val="center"/>
          </w:tcPr>
          <w:p w14:paraId="4D61D74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2ED3D66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79" w:type="pct"/>
            <w:tcBorders>
              <w:top w:val="nil"/>
            </w:tcBorders>
            <w:noWrap w:val="0"/>
            <w:vAlign w:val="center"/>
          </w:tcPr>
          <w:p w14:paraId="38E6C50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08" w:type="pct"/>
            <w:tcBorders>
              <w:top w:val="nil"/>
            </w:tcBorders>
            <w:noWrap w:val="0"/>
            <w:vAlign w:val="center"/>
          </w:tcPr>
          <w:p w14:paraId="7EDF6F0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3011D90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1A1AD99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54B8F9A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092CC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24" w:type="pct"/>
            <w:noWrap w:val="0"/>
            <w:vAlign w:val="center"/>
          </w:tcPr>
          <w:p w14:paraId="54B5F55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noWrap w:val="0"/>
            <w:vAlign w:val="center"/>
          </w:tcPr>
          <w:p w14:paraId="20F1558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3" w:type="pct"/>
            <w:noWrap w:val="0"/>
            <w:vAlign w:val="center"/>
          </w:tcPr>
          <w:p w14:paraId="7289AAC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2" w:type="pct"/>
            <w:noWrap w:val="0"/>
            <w:vAlign w:val="center"/>
          </w:tcPr>
          <w:p w14:paraId="3980DA6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0190B2A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79" w:type="pct"/>
            <w:noWrap w:val="0"/>
            <w:vAlign w:val="center"/>
          </w:tcPr>
          <w:p w14:paraId="3016CBC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08" w:type="pct"/>
            <w:noWrap w:val="0"/>
            <w:vAlign w:val="center"/>
          </w:tcPr>
          <w:p w14:paraId="4C241DD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noWrap w:val="0"/>
            <w:vAlign w:val="center"/>
          </w:tcPr>
          <w:p w14:paraId="277CF9F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5AEF575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1C18C222">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DAA4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24" w:type="pct"/>
            <w:tcBorders>
              <w:top w:val="nil"/>
            </w:tcBorders>
            <w:noWrap w:val="0"/>
            <w:vAlign w:val="center"/>
          </w:tcPr>
          <w:p w14:paraId="664F695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323ADDC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3" w:type="pct"/>
            <w:tcBorders>
              <w:top w:val="nil"/>
            </w:tcBorders>
            <w:noWrap w:val="0"/>
            <w:vAlign w:val="center"/>
          </w:tcPr>
          <w:p w14:paraId="6AA2BB6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2" w:type="pct"/>
            <w:tcBorders>
              <w:top w:val="nil"/>
            </w:tcBorders>
            <w:noWrap w:val="0"/>
            <w:vAlign w:val="center"/>
          </w:tcPr>
          <w:p w14:paraId="1B45750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7324A64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79" w:type="pct"/>
            <w:tcBorders>
              <w:top w:val="nil"/>
            </w:tcBorders>
            <w:noWrap w:val="0"/>
            <w:vAlign w:val="center"/>
          </w:tcPr>
          <w:p w14:paraId="036FED1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08" w:type="pct"/>
            <w:tcBorders>
              <w:top w:val="nil"/>
            </w:tcBorders>
            <w:noWrap w:val="0"/>
            <w:vAlign w:val="center"/>
          </w:tcPr>
          <w:p w14:paraId="5A7DD30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054D4A5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1CF8855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010A006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763F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24" w:type="pct"/>
            <w:tcBorders>
              <w:top w:val="nil"/>
            </w:tcBorders>
            <w:noWrap w:val="0"/>
            <w:vAlign w:val="center"/>
          </w:tcPr>
          <w:p w14:paraId="7693AF9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35FFA39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3" w:type="pct"/>
            <w:tcBorders>
              <w:top w:val="nil"/>
            </w:tcBorders>
            <w:noWrap w:val="0"/>
            <w:vAlign w:val="center"/>
          </w:tcPr>
          <w:p w14:paraId="5DFE7B6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2" w:type="pct"/>
            <w:tcBorders>
              <w:top w:val="nil"/>
            </w:tcBorders>
            <w:noWrap w:val="0"/>
            <w:vAlign w:val="center"/>
          </w:tcPr>
          <w:p w14:paraId="34FB4D0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587558C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79" w:type="pct"/>
            <w:tcBorders>
              <w:top w:val="nil"/>
            </w:tcBorders>
            <w:noWrap w:val="0"/>
            <w:vAlign w:val="center"/>
          </w:tcPr>
          <w:p w14:paraId="56A8345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08" w:type="pct"/>
            <w:tcBorders>
              <w:top w:val="nil"/>
            </w:tcBorders>
            <w:noWrap w:val="0"/>
            <w:vAlign w:val="center"/>
          </w:tcPr>
          <w:p w14:paraId="61C36CD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78E53C3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0661CD2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001A15B8">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5EAC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24" w:type="pct"/>
            <w:noWrap w:val="0"/>
            <w:vAlign w:val="center"/>
          </w:tcPr>
          <w:p w14:paraId="1A38587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noWrap w:val="0"/>
            <w:vAlign w:val="center"/>
          </w:tcPr>
          <w:p w14:paraId="6A0249A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3" w:type="pct"/>
            <w:noWrap w:val="0"/>
            <w:vAlign w:val="center"/>
          </w:tcPr>
          <w:p w14:paraId="056F90E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2" w:type="pct"/>
            <w:noWrap w:val="0"/>
            <w:vAlign w:val="center"/>
          </w:tcPr>
          <w:p w14:paraId="1EC71F9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1D9EFE5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79" w:type="pct"/>
            <w:noWrap w:val="0"/>
            <w:vAlign w:val="center"/>
          </w:tcPr>
          <w:p w14:paraId="3027492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08" w:type="pct"/>
            <w:noWrap w:val="0"/>
            <w:vAlign w:val="center"/>
          </w:tcPr>
          <w:p w14:paraId="517443E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noWrap w:val="0"/>
            <w:vAlign w:val="center"/>
          </w:tcPr>
          <w:p w14:paraId="022D18D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02E0B09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225152C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8BEE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24" w:type="pct"/>
            <w:tcBorders>
              <w:top w:val="nil"/>
            </w:tcBorders>
            <w:noWrap w:val="0"/>
            <w:vAlign w:val="center"/>
          </w:tcPr>
          <w:p w14:paraId="64D63F5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4BB25C7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3" w:type="pct"/>
            <w:tcBorders>
              <w:top w:val="nil"/>
            </w:tcBorders>
            <w:noWrap w:val="0"/>
            <w:vAlign w:val="center"/>
          </w:tcPr>
          <w:p w14:paraId="7EFEA57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2" w:type="pct"/>
            <w:tcBorders>
              <w:top w:val="nil"/>
            </w:tcBorders>
            <w:noWrap w:val="0"/>
            <w:vAlign w:val="center"/>
          </w:tcPr>
          <w:p w14:paraId="32D6234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145141D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79" w:type="pct"/>
            <w:tcBorders>
              <w:top w:val="nil"/>
            </w:tcBorders>
            <w:noWrap w:val="0"/>
            <w:vAlign w:val="center"/>
          </w:tcPr>
          <w:p w14:paraId="5610CB7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08" w:type="pct"/>
            <w:tcBorders>
              <w:top w:val="nil"/>
            </w:tcBorders>
            <w:noWrap w:val="0"/>
            <w:vAlign w:val="center"/>
          </w:tcPr>
          <w:p w14:paraId="5927580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tcBorders>
              <w:top w:val="nil"/>
            </w:tcBorders>
            <w:noWrap w:val="0"/>
            <w:vAlign w:val="center"/>
          </w:tcPr>
          <w:p w14:paraId="7622720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6F8AFD4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tcBorders>
              <w:top w:val="nil"/>
            </w:tcBorders>
            <w:noWrap w:val="0"/>
            <w:vAlign w:val="center"/>
          </w:tcPr>
          <w:p w14:paraId="48195BC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81AE3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24" w:type="pct"/>
            <w:noWrap w:val="0"/>
            <w:vAlign w:val="center"/>
          </w:tcPr>
          <w:p w14:paraId="2C20A9C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noWrap w:val="0"/>
            <w:vAlign w:val="center"/>
          </w:tcPr>
          <w:p w14:paraId="2050A19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3" w:type="pct"/>
            <w:noWrap w:val="0"/>
            <w:vAlign w:val="center"/>
          </w:tcPr>
          <w:p w14:paraId="1139860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2" w:type="pct"/>
            <w:noWrap w:val="0"/>
            <w:vAlign w:val="center"/>
          </w:tcPr>
          <w:p w14:paraId="3A1452F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2FC36DD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79" w:type="pct"/>
            <w:noWrap w:val="0"/>
            <w:vAlign w:val="center"/>
          </w:tcPr>
          <w:p w14:paraId="14250C0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08" w:type="pct"/>
            <w:noWrap w:val="0"/>
            <w:vAlign w:val="center"/>
          </w:tcPr>
          <w:p w14:paraId="0D991BC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18" w:type="pct"/>
            <w:noWrap w:val="0"/>
            <w:vAlign w:val="center"/>
          </w:tcPr>
          <w:p w14:paraId="6F3E622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791D3EF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16" w:type="pct"/>
            <w:noWrap w:val="0"/>
            <w:vAlign w:val="center"/>
          </w:tcPr>
          <w:p w14:paraId="7AAA83E1">
            <w:pPr>
              <w:pStyle w:val="55"/>
              <w:keepNext/>
              <w:spacing w:after="0" w:line="520" w:lineRule="exact"/>
              <w:ind w:left="63" w:right="63"/>
              <w:textAlignment w:val="auto"/>
              <w:rPr>
                <w:rStyle w:val="22"/>
                <w:rFonts w:hint="eastAsia" w:ascii="宋体" w:hAnsi="宋体" w:eastAsia="宋体" w:cs="宋体"/>
                <w:color w:val="auto"/>
                <w:sz w:val="24"/>
                <w:szCs w:val="24"/>
              </w:rPr>
            </w:pPr>
          </w:p>
        </w:tc>
      </w:tr>
    </w:tbl>
    <w:p w14:paraId="183E3F31">
      <w:pPr>
        <w:pStyle w:val="52"/>
        <w:keepNext/>
        <w:keepLines/>
        <w:pageBreakBefore/>
        <w:spacing w:line="520" w:lineRule="exact"/>
        <w:jc w:val="left"/>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附件2：</w:t>
      </w:r>
    </w:p>
    <w:p w14:paraId="7BCFD4FC">
      <w:pPr>
        <w:pStyle w:val="52"/>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发包人供应材料设备一览表</w:t>
      </w:r>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656"/>
        <w:gridCol w:w="987"/>
        <w:gridCol w:w="1097"/>
        <w:gridCol w:w="724"/>
        <w:gridCol w:w="656"/>
        <w:gridCol w:w="902"/>
        <w:gridCol w:w="765"/>
        <w:gridCol w:w="657"/>
        <w:gridCol w:w="1153"/>
        <w:gridCol w:w="765"/>
      </w:tblGrid>
      <w:tr w14:paraId="2ACF01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98" w:type="pct"/>
            <w:tcBorders>
              <w:top w:val="single" w:color="auto" w:sz="12" w:space="0"/>
              <w:bottom w:val="double" w:color="auto" w:sz="6" w:space="0"/>
            </w:tcBorders>
            <w:noWrap w:val="0"/>
            <w:vAlign w:val="center"/>
          </w:tcPr>
          <w:p w14:paraId="5A3899EB">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序号</w:t>
            </w:r>
          </w:p>
        </w:tc>
        <w:tc>
          <w:tcPr>
            <w:tcW w:w="596" w:type="pct"/>
            <w:tcBorders>
              <w:top w:val="single" w:color="auto" w:sz="12" w:space="0"/>
              <w:bottom w:val="double" w:color="auto" w:sz="6" w:space="0"/>
            </w:tcBorders>
            <w:noWrap w:val="0"/>
            <w:vAlign w:val="center"/>
          </w:tcPr>
          <w:p w14:paraId="75FD0E66">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材料、</w:t>
            </w:r>
          </w:p>
          <w:p w14:paraId="5E9B16B8">
            <w:pPr>
              <w:pStyle w:val="55"/>
              <w:keepNext/>
              <w:spacing w:after="0" w:line="520" w:lineRule="exact"/>
              <w:ind w:left="0" w:leftChars="0"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设备品种</w:t>
            </w:r>
          </w:p>
        </w:tc>
        <w:tc>
          <w:tcPr>
            <w:tcW w:w="662" w:type="pct"/>
            <w:tcBorders>
              <w:top w:val="single" w:color="auto" w:sz="12" w:space="0"/>
              <w:bottom w:val="double" w:color="auto" w:sz="6" w:space="0"/>
            </w:tcBorders>
            <w:noWrap w:val="0"/>
            <w:vAlign w:val="center"/>
          </w:tcPr>
          <w:p w14:paraId="4C84F637">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规格型号</w:t>
            </w:r>
          </w:p>
        </w:tc>
        <w:tc>
          <w:tcPr>
            <w:tcW w:w="439" w:type="pct"/>
            <w:tcBorders>
              <w:top w:val="single" w:color="auto" w:sz="12" w:space="0"/>
              <w:bottom w:val="double" w:color="auto" w:sz="6" w:space="0"/>
            </w:tcBorders>
            <w:noWrap w:val="0"/>
            <w:vAlign w:val="center"/>
          </w:tcPr>
          <w:p w14:paraId="5174D91B">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单位</w:t>
            </w:r>
          </w:p>
        </w:tc>
        <w:tc>
          <w:tcPr>
            <w:tcW w:w="398" w:type="pct"/>
            <w:tcBorders>
              <w:top w:val="single" w:color="auto" w:sz="12" w:space="0"/>
              <w:bottom w:val="double" w:color="auto" w:sz="6" w:space="0"/>
            </w:tcBorders>
            <w:noWrap w:val="0"/>
            <w:vAlign w:val="center"/>
          </w:tcPr>
          <w:p w14:paraId="7C73BB8D">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数量</w:t>
            </w:r>
          </w:p>
        </w:tc>
        <w:tc>
          <w:tcPr>
            <w:tcW w:w="488" w:type="pct"/>
            <w:tcBorders>
              <w:top w:val="single" w:color="auto" w:sz="12" w:space="0"/>
              <w:bottom w:val="double" w:color="auto" w:sz="6" w:space="0"/>
            </w:tcBorders>
            <w:noWrap w:val="0"/>
            <w:vAlign w:val="center"/>
          </w:tcPr>
          <w:p w14:paraId="5AA3DE84">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单价（元）</w:t>
            </w:r>
          </w:p>
        </w:tc>
        <w:tc>
          <w:tcPr>
            <w:tcW w:w="463" w:type="pct"/>
            <w:tcBorders>
              <w:top w:val="single" w:color="auto" w:sz="12" w:space="0"/>
              <w:bottom w:val="double" w:color="auto" w:sz="6" w:space="0"/>
            </w:tcBorders>
            <w:noWrap w:val="0"/>
            <w:vAlign w:val="center"/>
          </w:tcPr>
          <w:p w14:paraId="61131AE0">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质量</w:t>
            </w:r>
          </w:p>
          <w:p w14:paraId="42E05274">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等级</w:t>
            </w:r>
          </w:p>
        </w:tc>
        <w:tc>
          <w:tcPr>
            <w:tcW w:w="398" w:type="pct"/>
            <w:tcBorders>
              <w:top w:val="single" w:color="auto" w:sz="12" w:space="0"/>
              <w:bottom w:val="double" w:color="auto" w:sz="6" w:space="0"/>
            </w:tcBorders>
            <w:noWrap w:val="0"/>
            <w:vAlign w:val="center"/>
          </w:tcPr>
          <w:p w14:paraId="02B0F9A7">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供应时间</w:t>
            </w:r>
          </w:p>
        </w:tc>
        <w:tc>
          <w:tcPr>
            <w:tcW w:w="695" w:type="pct"/>
            <w:tcBorders>
              <w:top w:val="single" w:color="auto" w:sz="12" w:space="0"/>
              <w:bottom w:val="double" w:color="auto" w:sz="6" w:space="0"/>
            </w:tcBorders>
            <w:noWrap w:val="0"/>
            <w:vAlign w:val="center"/>
          </w:tcPr>
          <w:p w14:paraId="280CD855">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送达地点</w:t>
            </w:r>
          </w:p>
        </w:tc>
        <w:tc>
          <w:tcPr>
            <w:tcW w:w="463" w:type="pct"/>
            <w:tcBorders>
              <w:top w:val="single" w:color="auto" w:sz="12" w:space="0"/>
              <w:bottom w:val="double" w:color="auto" w:sz="6" w:space="0"/>
            </w:tcBorders>
            <w:noWrap w:val="0"/>
            <w:vAlign w:val="center"/>
          </w:tcPr>
          <w:p w14:paraId="66A57236">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备注</w:t>
            </w:r>
          </w:p>
        </w:tc>
      </w:tr>
      <w:tr w14:paraId="1250BB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tcBorders>
              <w:top w:val="double" w:color="auto" w:sz="6" w:space="0"/>
              <w:bottom w:val="single" w:color="auto" w:sz="6" w:space="0"/>
            </w:tcBorders>
            <w:noWrap w:val="0"/>
            <w:vAlign w:val="center"/>
          </w:tcPr>
          <w:p w14:paraId="528C178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96" w:type="pct"/>
            <w:tcBorders>
              <w:top w:val="double" w:color="auto" w:sz="6" w:space="0"/>
              <w:bottom w:val="single" w:color="auto" w:sz="6" w:space="0"/>
            </w:tcBorders>
            <w:noWrap w:val="0"/>
            <w:vAlign w:val="center"/>
          </w:tcPr>
          <w:p w14:paraId="14B056F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62" w:type="pct"/>
            <w:tcBorders>
              <w:top w:val="double" w:color="auto" w:sz="6" w:space="0"/>
              <w:bottom w:val="single" w:color="auto" w:sz="6" w:space="0"/>
            </w:tcBorders>
            <w:noWrap w:val="0"/>
            <w:vAlign w:val="center"/>
          </w:tcPr>
          <w:p w14:paraId="2200FB8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9" w:type="pct"/>
            <w:tcBorders>
              <w:top w:val="double" w:color="auto" w:sz="6" w:space="0"/>
              <w:bottom w:val="single" w:color="auto" w:sz="6" w:space="0"/>
            </w:tcBorders>
            <w:noWrap w:val="0"/>
            <w:vAlign w:val="center"/>
          </w:tcPr>
          <w:p w14:paraId="40B8B5B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tcBorders>
              <w:top w:val="double" w:color="auto" w:sz="6" w:space="0"/>
              <w:bottom w:val="single" w:color="auto" w:sz="6" w:space="0"/>
            </w:tcBorders>
            <w:noWrap w:val="0"/>
            <w:vAlign w:val="center"/>
          </w:tcPr>
          <w:p w14:paraId="08779EA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88" w:type="pct"/>
            <w:tcBorders>
              <w:top w:val="double" w:color="auto" w:sz="6" w:space="0"/>
              <w:bottom w:val="single" w:color="auto" w:sz="6" w:space="0"/>
            </w:tcBorders>
            <w:noWrap w:val="0"/>
            <w:vAlign w:val="center"/>
          </w:tcPr>
          <w:p w14:paraId="1B4B685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tcBorders>
              <w:top w:val="double" w:color="auto" w:sz="6" w:space="0"/>
              <w:bottom w:val="single" w:color="auto" w:sz="6" w:space="0"/>
            </w:tcBorders>
            <w:noWrap w:val="0"/>
            <w:vAlign w:val="center"/>
          </w:tcPr>
          <w:p w14:paraId="4602F2A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tcBorders>
              <w:top w:val="double" w:color="auto" w:sz="6" w:space="0"/>
              <w:bottom w:val="single" w:color="auto" w:sz="6" w:space="0"/>
            </w:tcBorders>
            <w:noWrap w:val="0"/>
            <w:vAlign w:val="center"/>
          </w:tcPr>
          <w:p w14:paraId="400FE7E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5" w:type="pct"/>
            <w:tcBorders>
              <w:top w:val="double" w:color="auto" w:sz="6" w:space="0"/>
              <w:bottom w:val="single" w:color="auto" w:sz="6" w:space="0"/>
            </w:tcBorders>
            <w:noWrap w:val="0"/>
            <w:vAlign w:val="center"/>
          </w:tcPr>
          <w:p w14:paraId="32E626B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tcBorders>
              <w:top w:val="double" w:color="auto" w:sz="6" w:space="0"/>
              <w:bottom w:val="single" w:color="auto" w:sz="6" w:space="0"/>
            </w:tcBorders>
            <w:noWrap w:val="0"/>
            <w:vAlign w:val="center"/>
          </w:tcPr>
          <w:p w14:paraId="469FE30C">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26C9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tcBorders>
              <w:top w:val="nil"/>
            </w:tcBorders>
            <w:noWrap w:val="0"/>
            <w:vAlign w:val="center"/>
          </w:tcPr>
          <w:p w14:paraId="194584B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96" w:type="pct"/>
            <w:tcBorders>
              <w:top w:val="nil"/>
            </w:tcBorders>
            <w:noWrap w:val="0"/>
            <w:vAlign w:val="center"/>
          </w:tcPr>
          <w:p w14:paraId="474A80F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62" w:type="pct"/>
            <w:tcBorders>
              <w:top w:val="nil"/>
            </w:tcBorders>
            <w:noWrap w:val="0"/>
            <w:vAlign w:val="center"/>
          </w:tcPr>
          <w:p w14:paraId="069E607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9" w:type="pct"/>
            <w:tcBorders>
              <w:top w:val="nil"/>
            </w:tcBorders>
            <w:noWrap w:val="0"/>
            <w:vAlign w:val="center"/>
          </w:tcPr>
          <w:p w14:paraId="3F52A8A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tcBorders>
              <w:top w:val="nil"/>
            </w:tcBorders>
            <w:noWrap w:val="0"/>
            <w:vAlign w:val="center"/>
          </w:tcPr>
          <w:p w14:paraId="2496F1B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88" w:type="pct"/>
            <w:tcBorders>
              <w:top w:val="nil"/>
            </w:tcBorders>
            <w:noWrap w:val="0"/>
            <w:vAlign w:val="center"/>
          </w:tcPr>
          <w:p w14:paraId="2470CEB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tcBorders>
              <w:top w:val="nil"/>
            </w:tcBorders>
            <w:noWrap w:val="0"/>
            <w:vAlign w:val="center"/>
          </w:tcPr>
          <w:p w14:paraId="4D76A18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tcBorders>
              <w:top w:val="nil"/>
            </w:tcBorders>
            <w:noWrap w:val="0"/>
            <w:vAlign w:val="center"/>
          </w:tcPr>
          <w:p w14:paraId="46D4EA4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5" w:type="pct"/>
            <w:tcBorders>
              <w:top w:val="nil"/>
            </w:tcBorders>
            <w:noWrap w:val="0"/>
            <w:vAlign w:val="center"/>
          </w:tcPr>
          <w:p w14:paraId="59ADB04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tcBorders>
              <w:top w:val="nil"/>
            </w:tcBorders>
            <w:noWrap w:val="0"/>
            <w:vAlign w:val="center"/>
          </w:tcPr>
          <w:p w14:paraId="4DE3273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FD51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263DF4E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96" w:type="pct"/>
            <w:noWrap w:val="0"/>
            <w:vAlign w:val="center"/>
          </w:tcPr>
          <w:p w14:paraId="6DEC7ED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62" w:type="pct"/>
            <w:noWrap w:val="0"/>
            <w:vAlign w:val="center"/>
          </w:tcPr>
          <w:p w14:paraId="3BEA92B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9" w:type="pct"/>
            <w:noWrap w:val="0"/>
            <w:vAlign w:val="center"/>
          </w:tcPr>
          <w:p w14:paraId="52DB839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6AFE08B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88" w:type="pct"/>
            <w:noWrap w:val="0"/>
            <w:vAlign w:val="center"/>
          </w:tcPr>
          <w:p w14:paraId="2D4A1AA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75D05B1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11D9464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5" w:type="pct"/>
            <w:noWrap w:val="0"/>
            <w:vAlign w:val="center"/>
          </w:tcPr>
          <w:p w14:paraId="37345F0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15DCAFF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224E9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2E87611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96" w:type="pct"/>
            <w:noWrap w:val="0"/>
            <w:vAlign w:val="center"/>
          </w:tcPr>
          <w:p w14:paraId="0B3765B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62" w:type="pct"/>
            <w:noWrap w:val="0"/>
            <w:vAlign w:val="center"/>
          </w:tcPr>
          <w:p w14:paraId="0D94025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9" w:type="pct"/>
            <w:noWrap w:val="0"/>
            <w:vAlign w:val="center"/>
          </w:tcPr>
          <w:p w14:paraId="1095F1B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1A3616A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88" w:type="pct"/>
            <w:noWrap w:val="0"/>
            <w:vAlign w:val="center"/>
          </w:tcPr>
          <w:p w14:paraId="3B1380C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6077E17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40EEFDB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5" w:type="pct"/>
            <w:noWrap w:val="0"/>
            <w:vAlign w:val="center"/>
          </w:tcPr>
          <w:p w14:paraId="3ACE312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3AE25866">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CDF97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40CC250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96" w:type="pct"/>
            <w:noWrap w:val="0"/>
            <w:vAlign w:val="center"/>
          </w:tcPr>
          <w:p w14:paraId="7AF8D7A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62" w:type="pct"/>
            <w:noWrap w:val="0"/>
            <w:vAlign w:val="center"/>
          </w:tcPr>
          <w:p w14:paraId="0F31A75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9" w:type="pct"/>
            <w:noWrap w:val="0"/>
            <w:vAlign w:val="center"/>
          </w:tcPr>
          <w:p w14:paraId="68A3D29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285B2A0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88" w:type="pct"/>
            <w:noWrap w:val="0"/>
            <w:vAlign w:val="center"/>
          </w:tcPr>
          <w:p w14:paraId="4DAD7BC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2711AEF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345CA12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5" w:type="pct"/>
            <w:noWrap w:val="0"/>
            <w:vAlign w:val="center"/>
          </w:tcPr>
          <w:p w14:paraId="2E0262B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115678F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46A06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4C9EDC8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96" w:type="pct"/>
            <w:noWrap w:val="0"/>
            <w:vAlign w:val="center"/>
          </w:tcPr>
          <w:p w14:paraId="05535FB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62" w:type="pct"/>
            <w:noWrap w:val="0"/>
            <w:vAlign w:val="center"/>
          </w:tcPr>
          <w:p w14:paraId="027DEB5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9" w:type="pct"/>
            <w:noWrap w:val="0"/>
            <w:vAlign w:val="center"/>
          </w:tcPr>
          <w:p w14:paraId="7E8DEA2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416491A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88" w:type="pct"/>
            <w:noWrap w:val="0"/>
            <w:vAlign w:val="center"/>
          </w:tcPr>
          <w:p w14:paraId="0B9B1FF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504E72E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1912388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5" w:type="pct"/>
            <w:noWrap w:val="0"/>
            <w:vAlign w:val="center"/>
          </w:tcPr>
          <w:p w14:paraId="2F0A77F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38568252">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97C2F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2EDA5F7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96" w:type="pct"/>
            <w:noWrap w:val="0"/>
            <w:vAlign w:val="center"/>
          </w:tcPr>
          <w:p w14:paraId="6B3F693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62" w:type="pct"/>
            <w:noWrap w:val="0"/>
            <w:vAlign w:val="center"/>
          </w:tcPr>
          <w:p w14:paraId="15D9DAC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9" w:type="pct"/>
            <w:noWrap w:val="0"/>
            <w:vAlign w:val="center"/>
          </w:tcPr>
          <w:p w14:paraId="190B34C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7D38096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88" w:type="pct"/>
            <w:noWrap w:val="0"/>
            <w:vAlign w:val="center"/>
          </w:tcPr>
          <w:p w14:paraId="534C110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5DCE43F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14FFA99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5" w:type="pct"/>
            <w:noWrap w:val="0"/>
            <w:vAlign w:val="center"/>
          </w:tcPr>
          <w:p w14:paraId="7A63FAC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084F25FE">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2CAD0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725040E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96" w:type="pct"/>
            <w:noWrap w:val="0"/>
            <w:vAlign w:val="center"/>
          </w:tcPr>
          <w:p w14:paraId="3E16D90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62" w:type="pct"/>
            <w:noWrap w:val="0"/>
            <w:vAlign w:val="center"/>
          </w:tcPr>
          <w:p w14:paraId="2D2490D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9" w:type="pct"/>
            <w:noWrap w:val="0"/>
            <w:vAlign w:val="center"/>
          </w:tcPr>
          <w:p w14:paraId="18C8BB7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1E4C533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88" w:type="pct"/>
            <w:noWrap w:val="0"/>
            <w:vAlign w:val="center"/>
          </w:tcPr>
          <w:p w14:paraId="426882F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189179F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67E1EBD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5" w:type="pct"/>
            <w:noWrap w:val="0"/>
            <w:vAlign w:val="center"/>
          </w:tcPr>
          <w:p w14:paraId="27B9508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436AA6E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262A7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3AFE2034">
            <w:pPr>
              <w:pStyle w:val="52"/>
              <w:spacing w:line="520" w:lineRule="exact"/>
              <w:jc w:val="center"/>
              <w:rPr>
                <w:rStyle w:val="22"/>
                <w:rFonts w:hint="eastAsia" w:ascii="宋体" w:hAnsi="宋体" w:eastAsia="宋体" w:cs="宋体"/>
                <w:color w:val="auto"/>
                <w:sz w:val="24"/>
                <w:szCs w:val="24"/>
              </w:rPr>
            </w:pPr>
          </w:p>
        </w:tc>
        <w:tc>
          <w:tcPr>
            <w:tcW w:w="596" w:type="pct"/>
            <w:noWrap w:val="0"/>
            <w:vAlign w:val="center"/>
          </w:tcPr>
          <w:p w14:paraId="1E06C78E">
            <w:pPr>
              <w:pStyle w:val="52"/>
              <w:spacing w:line="520" w:lineRule="exact"/>
              <w:jc w:val="center"/>
              <w:rPr>
                <w:rStyle w:val="22"/>
                <w:rFonts w:hint="eastAsia" w:ascii="宋体" w:hAnsi="宋体" w:eastAsia="宋体" w:cs="宋体"/>
                <w:color w:val="auto"/>
                <w:sz w:val="24"/>
                <w:szCs w:val="24"/>
              </w:rPr>
            </w:pPr>
          </w:p>
        </w:tc>
        <w:tc>
          <w:tcPr>
            <w:tcW w:w="662" w:type="pct"/>
            <w:noWrap w:val="0"/>
            <w:vAlign w:val="center"/>
          </w:tcPr>
          <w:p w14:paraId="307A170C">
            <w:pPr>
              <w:pStyle w:val="52"/>
              <w:spacing w:line="520" w:lineRule="exact"/>
              <w:jc w:val="center"/>
              <w:rPr>
                <w:rStyle w:val="22"/>
                <w:rFonts w:hint="eastAsia" w:ascii="宋体" w:hAnsi="宋体" w:eastAsia="宋体" w:cs="宋体"/>
                <w:color w:val="auto"/>
                <w:sz w:val="24"/>
                <w:szCs w:val="24"/>
              </w:rPr>
            </w:pPr>
          </w:p>
        </w:tc>
        <w:tc>
          <w:tcPr>
            <w:tcW w:w="439" w:type="pct"/>
            <w:noWrap w:val="0"/>
            <w:vAlign w:val="center"/>
          </w:tcPr>
          <w:p w14:paraId="71A106C6">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417F0E64">
            <w:pPr>
              <w:pStyle w:val="52"/>
              <w:spacing w:line="520" w:lineRule="exact"/>
              <w:jc w:val="center"/>
              <w:rPr>
                <w:rStyle w:val="22"/>
                <w:rFonts w:hint="eastAsia" w:ascii="宋体" w:hAnsi="宋体" w:eastAsia="宋体" w:cs="宋体"/>
                <w:color w:val="auto"/>
                <w:sz w:val="24"/>
                <w:szCs w:val="24"/>
              </w:rPr>
            </w:pPr>
          </w:p>
        </w:tc>
        <w:tc>
          <w:tcPr>
            <w:tcW w:w="488" w:type="pct"/>
            <w:noWrap w:val="0"/>
            <w:vAlign w:val="center"/>
          </w:tcPr>
          <w:p w14:paraId="53EABF16">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44727653">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00B7B4BD">
            <w:pPr>
              <w:pStyle w:val="52"/>
              <w:spacing w:line="520" w:lineRule="exact"/>
              <w:jc w:val="center"/>
              <w:rPr>
                <w:rStyle w:val="22"/>
                <w:rFonts w:hint="eastAsia" w:ascii="宋体" w:hAnsi="宋体" w:eastAsia="宋体" w:cs="宋体"/>
                <w:color w:val="auto"/>
                <w:sz w:val="24"/>
                <w:szCs w:val="24"/>
              </w:rPr>
            </w:pPr>
          </w:p>
        </w:tc>
        <w:tc>
          <w:tcPr>
            <w:tcW w:w="695" w:type="pct"/>
            <w:noWrap w:val="0"/>
            <w:vAlign w:val="center"/>
          </w:tcPr>
          <w:p w14:paraId="0C1517B7">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28014A86">
            <w:pPr>
              <w:pStyle w:val="52"/>
              <w:spacing w:line="520" w:lineRule="exact"/>
              <w:jc w:val="center"/>
              <w:rPr>
                <w:rStyle w:val="22"/>
                <w:rFonts w:hint="eastAsia" w:ascii="宋体" w:hAnsi="宋体" w:eastAsia="宋体" w:cs="宋体"/>
                <w:color w:val="auto"/>
                <w:sz w:val="24"/>
                <w:szCs w:val="24"/>
              </w:rPr>
            </w:pPr>
          </w:p>
        </w:tc>
      </w:tr>
      <w:tr w14:paraId="023189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028C158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96" w:type="pct"/>
            <w:noWrap w:val="0"/>
            <w:vAlign w:val="center"/>
          </w:tcPr>
          <w:p w14:paraId="5929A1D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62" w:type="pct"/>
            <w:noWrap w:val="0"/>
            <w:vAlign w:val="center"/>
          </w:tcPr>
          <w:p w14:paraId="0ED7A1E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9" w:type="pct"/>
            <w:noWrap w:val="0"/>
            <w:vAlign w:val="center"/>
          </w:tcPr>
          <w:p w14:paraId="6A6C09F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47A4C7B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88" w:type="pct"/>
            <w:noWrap w:val="0"/>
            <w:vAlign w:val="center"/>
          </w:tcPr>
          <w:p w14:paraId="5A0CA73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0E19CAA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398" w:type="pct"/>
            <w:noWrap w:val="0"/>
            <w:vAlign w:val="center"/>
          </w:tcPr>
          <w:p w14:paraId="1757410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95" w:type="pct"/>
            <w:noWrap w:val="0"/>
            <w:vAlign w:val="center"/>
          </w:tcPr>
          <w:p w14:paraId="419F7AF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3" w:type="pct"/>
            <w:noWrap w:val="0"/>
            <w:vAlign w:val="center"/>
          </w:tcPr>
          <w:p w14:paraId="7BFB4346">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7F84F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71F90CE2">
            <w:pPr>
              <w:pStyle w:val="52"/>
              <w:spacing w:line="520" w:lineRule="exact"/>
              <w:jc w:val="center"/>
              <w:rPr>
                <w:rStyle w:val="22"/>
                <w:rFonts w:hint="eastAsia" w:ascii="宋体" w:hAnsi="宋体" w:eastAsia="宋体" w:cs="宋体"/>
                <w:color w:val="auto"/>
                <w:sz w:val="24"/>
                <w:szCs w:val="24"/>
              </w:rPr>
            </w:pPr>
          </w:p>
        </w:tc>
        <w:tc>
          <w:tcPr>
            <w:tcW w:w="596" w:type="pct"/>
            <w:noWrap w:val="0"/>
            <w:vAlign w:val="center"/>
          </w:tcPr>
          <w:p w14:paraId="05796416">
            <w:pPr>
              <w:pStyle w:val="52"/>
              <w:spacing w:line="520" w:lineRule="exact"/>
              <w:jc w:val="center"/>
              <w:rPr>
                <w:rStyle w:val="22"/>
                <w:rFonts w:hint="eastAsia" w:ascii="宋体" w:hAnsi="宋体" w:eastAsia="宋体" w:cs="宋体"/>
                <w:color w:val="auto"/>
                <w:sz w:val="24"/>
                <w:szCs w:val="24"/>
              </w:rPr>
            </w:pPr>
          </w:p>
        </w:tc>
        <w:tc>
          <w:tcPr>
            <w:tcW w:w="662" w:type="pct"/>
            <w:noWrap w:val="0"/>
            <w:vAlign w:val="center"/>
          </w:tcPr>
          <w:p w14:paraId="430E55AC">
            <w:pPr>
              <w:pStyle w:val="52"/>
              <w:spacing w:line="520" w:lineRule="exact"/>
              <w:jc w:val="center"/>
              <w:rPr>
                <w:rStyle w:val="22"/>
                <w:rFonts w:hint="eastAsia" w:ascii="宋体" w:hAnsi="宋体" w:eastAsia="宋体" w:cs="宋体"/>
                <w:color w:val="auto"/>
                <w:sz w:val="24"/>
                <w:szCs w:val="24"/>
              </w:rPr>
            </w:pPr>
          </w:p>
        </w:tc>
        <w:tc>
          <w:tcPr>
            <w:tcW w:w="439" w:type="pct"/>
            <w:noWrap w:val="0"/>
            <w:vAlign w:val="center"/>
          </w:tcPr>
          <w:p w14:paraId="4BE4D041">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2354659E">
            <w:pPr>
              <w:pStyle w:val="52"/>
              <w:spacing w:line="520" w:lineRule="exact"/>
              <w:jc w:val="center"/>
              <w:rPr>
                <w:rStyle w:val="22"/>
                <w:rFonts w:hint="eastAsia" w:ascii="宋体" w:hAnsi="宋体" w:eastAsia="宋体" w:cs="宋体"/>
                <w:color w:val="auto"/>
                <w:sz w:val="24"/>
                <w:szCs w:val="24"/>
              </w:rPr>
            </w:pPr>
          </w:p>
        </w:tc>
        <w:tc>
          <w:tcPr>
            <w:tcW w:w="488" w:type="pct"/>
            <w:noWrap w:val="0"/>
            <w:vAlign w:val="center"/>
          </w:tcPr>
          <w:p w14:paraId="4F77827D">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32C1BF35">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6C2AB7F9">
            <w:pPr>
              <w:pStyle w:val="52"/>
              <w:spacing w:line="520" w:lineRule="exact"/>
              <w:jc w:val="center"/>
              <w:rPr>
                <w:rStyle w:val="22"/>
                <w:rFonts w:hint="eastAsia" w:ascii="宋体" w:hAnsi="宋体" w:eastAsia="宋体" w:cs="宋体"/>
                <w:color w:val="auto"/>
                <w:sz w:val="24"/>
                <w:szCs w:val="24"/>
              </w:rPr>
            </w:pPr>
          </w:p>
        </w:tc>
        <w:tc>
          <w:tcPr>
            <w:tcW w:w="695" w:type="pct"/>
            <w:noWrap w:val="0"/>
            <w:vAlign w:val="center"/>
          </w:tcPr>
          <w:p w14:paraId="5D92D03B">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7C927ECD">
            <w:pPr>
              <w:pStyle w:val="52"/>
              <w:spacing w:line="520" w:lineRule="exact"/>
              <w:jc w:val="center"/>
              <w:rPr>
                <w:rStyle w:val="22"/>
                <w:rFonts w:hint="eastAsia" w:ascii="宋体" w:hAnsi="宋体" w:eastAsia="宋体" w:cs="宋体"/>
                <w:color w:val="auto"/>
                <w:sz w:val="24"/>
                <w:szCs w:val="24"/>
              </w:rPr>
            </w:pPr>
          </w:p>
        </w:tc>
      </w:tr>
      <w:tr w14:paraId="5CE715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73E208F0">
            <w:pPr>
              <w:pStyle w:val="52"/>
              <w:spacing w:line="520" w:lineRule="exact"/>
              <w:jc w:val="center"/>
              <w:rPr>
                <w:rStyle w:val="22"/>
                <w:rFonts w:hint="eastAsia" w:ascii="宋体" w:hAnsi="宋体" w:eastAsia="宋体" w:cs="宋体"/>
                <w:color w:val="auto"/>
                <w:sz w:val="24"/>
                <w:szCs w:val="24"/>
              </w:rPr>
            </w:pPr>
          </w:p>
        </w:tc>
        <w:tc>
          <w:tcPr>
            <w:tcW w:w="596" w:type="pct"/>
            <w:noWrap w:val="0"/>
            <w:vAlign w:val="center"/>
          </w:tcPr>
          <w:p w14:paraId="268A3C9B">
            <w:pPr>
              <w:pStyle w:val="52"/>
              <w:spacing w:line="520" w:lineRule="exact"/>
              <w:jc w:val="center"/>
              <w:rPr>
                <w:rStyle w:val="22"/>
                <w:rFonts w:hint="eastAsia" w:ascii="宋体" w:hAnsi="宋体" w:eastAsia="宋体" w:cs="宋体"/>
                <w:color w:val="auto"/>
                <w:sz w:val="24"/>
                <w:szCs w:val="24"/>
              </w:rPr>
            </w:pPr>
          </w:p>
        </w:tc>
        <w:tc>
          <w:tcPr>
            <w:tcW w:w="662" w:type="pct"/>
            <w:noWrap w:val="0"/>
            <w:vAlign w:val="center"/>
          </w:tcPr>
          <w:p w14:paraId="4BE8517C">
            <w:pPr>
              <w:pStyle w:val="52"/>
              <w:spacing w:line="520" w:lineRule="exact"/>
              <w:jc w:val="center"/>
              <w:rPr>
                <w:rStyle w:val="22"/>
                <w:rFonts w:hint="eastAsia" w:ascii="宋体" w:hAnsi="宋体" w:eastAsia="宋体" w:cs="宋体"/>
                <w:color w:val="auto"/>
                <w:sz w:val="24"/>
                <w:szCs w:val="24"/>
              </w:rPr>
            </w:pPr>
          </w:p>
        </w:tc>
        <w:tc>
          <w:tcPr>
            <w:tcW w:w="439" w:type="pct"/>
            <w:noWrap w:val="0"/>
            <w:vAlign w:val="center"/>
          </w:tcPr>
          <w:p w14:paraId="7E79CC88">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1425FED1">
            <w:pPr>
              <w:pStyle w:val="52"/>
              <w:spacing w:line="520" w:lineRule="exact"/>
              <w:jc w:val="center"/>
              <w:rPr>
                <w:rStyle w:val="22"/>
                <w:rFonts w:hint="eastAsia" w:ascii="宋体" w:hAnsi="宋体" w:eastAsia="宋体" w:cs="宋体"/>
                <w:color w:val="auto"/>
                <w:sz w:val="24"/>
                <w:szCs w:val="24"/>
              </w:rPr>
            </w:pPr>
          </w:p>
        </w:tc>
        <w:tc>
          <w:tcPr>
            <w:tcW w:w="488" w:type="pct"/>
            <w:noWrap w:val="0"/>
            <w:vAlign w:val="center"/>
          </w:tcPr>
          <w:p w14:paraId="3FA8FDFF">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41645849">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5381F229">
            <w:pPr>
              <w:pStyle w:val="52"/>
              <w:spacing w:line="520" w:lineRule="exact"/>
              <w:jc w:val="center"/>
              <w:rPr>
                <w:rStyle w:val="22"/>
                <w:rFonts w:hint="eastAsia" w:ascii="宋体" w:hAnsi="宋体" w:eastAsia="宋体" w:cs="宋体"/>
                <w:color w:val="auto"/>
                <w:sz w:val="24"/>
                <w:szCs w:val="24"/>
              </w:rPr>
            </w:pPr>
          </w:p>
        </w:tc>
        <w:tc>
          <w:tcPr>
            <w:tcW w:w="695" w:type="pct"/>
            <w:noWrap w:val="0"/>
            <w:vAlign w:val="center"/>
          </w:tcPr>
          <w:p w14:paraId="4F1F9063">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737EC5F0">
            <w:pPr>
              <w:pStyle w:val="52"/>
              <w:spacing w:line="520" w:lineRule="exact"/>
              <w:jc w:val="center"/>
              <w:rPr>
                <w:rStyle w:val="22"/>
                <w:rFonts w:hint="eastAsia" w:ascii="宋体" w:hAnsi="宋体" w:eastAsia="宋体" w:cs="宋体"/>
                <w:color w:val="auto"/>
                <w:sz w:val="24"/>
                <w:szCs w:val="24"/>
              </w:rPr>
            </w:pPr>
          </w:p>
        </w:tc>
      </w:tr>
      <w:tr w14:paraId="745419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6B39ED47">
            <w:pPr>
              <w:pStyle w:val="52"/>
              <w:spacing w:line="520" w:lineRule="exact"/>
              <w:jc w:val="center"/>
              <w:rPr>
                <w:rStyle w:val="22"/>
                <w:rFonts w:hint="eastAsia" w:ascii="宋体" w:hAnsi="宋体" w:eastAsia="宋体" w:cs="宋体"/>
                <w:color w:val="auto"/>
                <w:sz w:val="24"/>
                <w:szCs w:val="24"/>
              </w:rPr>
            </w:pPr>
          </w:p>
        </w:tc>
        <w:tc>
          <w:tcPr>
            <w:tcW w:w="596" w:type="pct"/>
            <w:noWrap w:val="0"/>
            <w:vAlign w:val="center"/>
          </w:tcPr>
          <w:p w14:paraId="24A1629A">
            <w:pPr>
              <w:pStyle w:val="52"/>
              <w:spacing w:line="520" w:lineRule="exact"/>
              <w:jc w:val="center"/>
              <w:rPr>
                <w:rStyle w:val="22"/>
                <w:rFonts w:hint="eastAsia" w:ascii="宋体" w:hAnsi="宋体" w:eastAsia="宋体" w:cs="宋体"/>
                <w:color w:val="auto"/>
                <w:sz w:val="24"/>
                <w:szCs w:val="24"/>
              </w:rPr>
            </w:pPr>
          </w:p>
        </w:tc>
        <w:tc>
          <w:tcPr>
            <w:tcW w:w="662" w:type="pct"/>
            <w:noWrap w:val="0"/>
            <w:vAlign w:val="center"/>
          </w:tcPr>
          <w:p w14:paraId="2D81A09C">
            <w:pPr>
              <w:pStyle w:val="52"/>
              <w:spacing w:line="520" w:lineRule="exact"/>
              <w:jc w:val="center"/>
              <w:rPr>
                <w:rStyle w:val="22"/>
                <w:rFonts w:hint="eastAsia" w:ascii="宋体" w:hAnsi="宋体" w:eastAsia="宋体" w:cs="宋体"/>
                <w:color w:val="auto"/>
                <w:sz w:val="24"/>
                <w:szCs w:val="24"/>
              </w:rPr>
            </w:pPr>
          </w:p>
        </w:tc>
        <w:tc>
          <w:tcPr>
            <w:tcW w:w="439" w:type="pct"/>
            <w:noWrap w:val="0"/>
            <w:vAlign w:val="center"/>
          </w:tcPr>
          <w:p w14:paraId="66B46203">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6E726D1C">
            <w:pPr>
              <w:pStyle w:val="52"/>
              <w:spacing w:line="520" w:lineRule="exact"/>
              <w:jc w:val="center"/>
              <w:rPr>
                <w:rStyle w:val="22"/>
                <w:rFonts w:hint="eastAsia" w:ascii="宋体" w:hAnsi="宋体" w:eastAsia="宋体" w:cs="宋体"/>
                <w:color w:val="auto"/>
                <w:sz w:val="24"/>
                <w:szCs w:val="24"/>
              </w:rPr>
            </w:pPr>
          </w:p>
        </w:tc>
        <w:tc>
          <w:tcPr>
            <w:tcW w:w="488" w:type="pct"/>
            <w:noWrap w:val="0"/>
            <w:vAlign w:val="center"/>
          </w:tcPr>
          <w:p w14:paraId="2E72944F">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75EA9A1D">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31297BD7">
            <w:pPr>
              <w:pStyle w:val="52"/>
              <w:spacing w:line="520" w:lineRule="exact"/>
              <w:jc w:val="center"/>
              <w:rPr>
                <w:rStyle w:val="22"/>
                <w:rFonts w:hint="eastAsia" w:ascii="宋体" w:hAnsi="宋体" w:eastAsia="宋体" w:cs="宋体"/>
                <w:color w:val="auto"/>
                <w:sz w:val="24"/>
                <w:szCs w:val="24"/>
              </w:rPr>
            </w:pPr>
          </w:p>
        </w:tc>
        <w:tc>
          <w:tcPr>
            <w:tcW w:w="695" w:type="pct"/>
            <w:noWrap w:val="0"/>
            <w:vAlign w:val="center"/>
          </w:tcPr>
          <w:p w14:paraId="7CF58B0B">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7A75756A">
            <w:pPr>
              <w:pStyle w:val="52"/>
              <w:spacing w:line="520" w:lineRule="exact"/>
              <w:jc w:val="center"/>
              <w:rPr>
                <w:rStyle w:val="22"/>
                <w:rFonts w:hint="eastAsia" w:ascii="宋体" w:hAnsi="宋体" w:eastAsia="宋体" w:cs="宋体"/>
                <w:color w:val="auto"/>
                <w:sz w:val="24"/>
                <w:szCs w:val="24"/>
              </w:rPr>
            </w:pPr>
          </w:p>
        </w:tc>
      </w:tr>
      <w:tr w14:paraId="3E7E98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0BD2720C">
            <w:pPr>
              <w:pStyle w:val="52"/>
              <w:spacing w:line="520" w:lineRule="exact"/>
              <w:jc w:val="center"/>
              <w:rPr>
                <w:rStyle w:val="22"/>
                <w:rFonts w:hint="eastAsia" w:ascii="宋体" w:hAnsi="宋体" w:eastAsia="宋体" w:cs="宋体"/>
                <w:color w:val="auto"/>
                <w:sz w:val="24"/>
                <w:szCs w:val="24"/>
              </w:rPr>
            </w:pPr>
          </w:p>
        </w:tc>
        <w:tc>
          <w:tcPr>
            <w:tcW w:w="596" w:type="pct"/>
            <w:noWrap w:val="0"/>
            <w:vAlign w:val="center"/>
          </w:tcPr>
          <w:p w14:paraId="4952B999">
            <w:pPr>
              <w:pStyle w:val="52"/>
              <w:spacing w:line="520" w:lineRule="exact"/>
              <w:jc w:val="center"/>
              <w:rPr>
                <w:rStyle w:val="22"/>
                <w:rFonts w:hint="eastAsia" w:ascii="宋体" w:hAnsi="宋体" w:eastAsia="宋体" w:cs="宋体"/>
                <w:color w:val="auto"/>
                <w:sz w:val="24"/>
                <w:szCs w:val="24"/>
              </w:rPr>
            </w:pPr>
          </w:p>
        </w:tc>
        <w:tc>
          <w:tcPr>
            <w:tcW w:w="662" w:type="pct"/>
            <w:noWrap w:val="0"/>
            <w:vAlign w:val="center"/>
          </w:tcPr>
          <w:p w14:paraId="00AA3692">
            <w:pPr>
              <w:pStyle w:val="52"/>
              <w:spacing w:line="520" w:lineRule="exact"/>
              <w:jc w:val="center"/>
              <w:rPr>
                <w:rStyle w:val="22"/>
                <w:rFonts w:hint="eastAsia" w:ascii="宋体" w:hAnsi="宋体" w:eastAsia="宋体" w:cs="宋体"/>
                <w:color w:val="auto"/>
                <w:sz w:val="24"/>
                <w:szCs w:val="24"/>
              </w:rPr>
            </w:pPr>
          </w:p>
        </w:tc>
        <w:tc>
          <w:tcPr>
            <w:tcW w:w="439" w:type="pct"/>
            <w:noWrap w:val="0"/>
            <w:vAlign w:val="center"/>
          </w:tcPr>
          <w:p w14:paraId="720B97CE">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6A1DA2FD">
            <w:pPr>
              <w:pStyle w:val="52"/>
              <w:spacing w:line="520" w:lineRule="exact"/>
              <w:jc w:val="center"/>
              <w:rPr>
                <w:rStyle w:val="22"/>
                <w:rFonts w:hint="eastAsia" w:ascii="宋体" w:hAnsi="宋体" w:eastAsia="宋体" w:cs="宋体"/>
                <w:color w:val="auto"/>
                <w:sz w:val="24"/>
                <w:szCs w:val="24"/>
              </w:rPr>
            </w:pPr>
          </w:p>
        </w:tc>
        <w:tc>
          <w:tcPr>
            <w:tcW w:w="488" w:type="pct"/>
            <w:noWrap w:val="0"/>
            <w:vAlign w:val="center"/>
          </w:tcPr>
          <w:p w14:paraId="29BEAC4E">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6430C952">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053C5529">
            <w:pPr>
              <w:pStyle w:val="52"/>
              <w:spacing w:line="520" w:lineRule="exact"/>
              <w:jc w:val="center"/>
              <w:rPr>
                <w:rStyle w:val="22"/>
                <w:rFonts w:hint="eastAsia" w:ascii="宋体" w:hAnsi="宋体" w:eastAsia="宋体" w:cs="宋体"/>
                <w:color w:val="auto"/>
                <w:sz w:val="24"/>
                <w:szCs w:val="24"/>
              </w:rPr>
            </w:pPr>
          </w:p>
        </w:tc>
        <w:tc>
          <w:tcPr>
            <w:tcW w:w="695" w:type="pct"/>
            <w:noWrap w:val="0"/>
            <w:vAlign w:val="center"/>
          </w:tcPr>
          <w:p w14:paraId="517E81F3">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1A63C40B">
            <w:pPr>
              <w:pStyle w:val="52"/>
              <w:spacing w:line="520" w:lineRule="exact"/>
              <w:jc w:val="center"/>
              <w:rPr>
                <w:rStyle w:val="22"/>
                <w:rFonts w:hint="eastAsia" w:ascii="宋体" w:hAnsi="宋体" w:eastAsia="宋体" w:cs="宋体"/>
                <w:color w:val="auto"/>
                <w:sz w:val="24"/>
                <w:szCs w:val="24"/>
              </w:rPr>
            </w:pPr>
          </w:p>
        </w:tc>
      </w:tr>
      <w:tr w14:paraId="3C069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70E73364">
            <w:pPr>
              <w:pStyle w:val="52"/>
              <w:spacing w:line="520" w:lineRule="exact"/>
              <w:jc w:val="center"/>
              <w:rPr>
                <w:rStyle w:val="22"/>
                <w:rFonts w:hint="eastAsia" w:ascii="宋体" w:hAnsi="宋体" w:eastAsia="宋体" w:cs="宋体"/>
                <w:color w:val="auto"/>
                <w:sz w:val="24"/>
                <w:szCs w:val="24"/>
              </w:rPr>
            </w:pPr>
          </w:p>
        </w:tc>
        <w:tc>
          <w:tcPr>
            <w:tcW w:w="596" w:type="pct"/>
            <w:noWrap w:val="0"/>
            <w:vAlign w:val="center"/>
          </w:tcPr>
          <w:p w14:paraId="6840FE89">
            <w:pPr>
              <w:pStyle w:val="52"/>
              <w:spacing w:line="520" w:lineRule="exact"/>
              <w:jc w:val="center"/>
              <w:rPr>
                <w:rStyle w:val="22"/>
                <w:rFonts w:hint="eastAsia" w:ascii="宋体" w:hAnsi="宋体" w:eastAsia="宋体" w:cs="宋体"/>
                <w:color w:val="auto"/>
                <w:sz w:val="24"/>
                <w:szCs w:val="24"/>
              </w:rPr>
            </w:pPr>
          </w:p>
        </w:tc>
        <w:tc>
          <w:tcPr>
            <w:tcW w:w="662" w:type="pct"/>
            <w:noWrap w:val="0"/>
            <w:vAlign w:val="center"/>
          </w:tcPr>
          <w:p w14:paraId="0A622530">
            <w:pPr>
              <w:pStyle w:val="52"/>
              <w:spacing w:line="520" w:lineRule="exact"/>
              <w:jc w:val="center"/>
              <w:rPr>
                <w:rStyle w:val="22"/>
                <w:rFonts w:hint="eastAsia" w:ascii="宋体" w:hAnsi="宋体" w:eastAsia="宋体" w:cs="宋体"/>
                <w:color w:val="auto"/>
                <w:sz w:val="24"/>
                <w:szCs w:val="24"/>
              </w:rPr>
            </w:pPr>
          </w:p>
        </w:tc>
        <w:tc>
          <w:tcPr>
            <w:tcW w:w="439" w:type="pct"/>
            <w:noWrap w:val="0"/>
            <w:vAlign w:val="center"/>
          </w:tcPr>
          <w:p w14:paraId="786879B5">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65A88D7F">
            <w:pPr>
              <w:pStyle w:val="52"/>
              <w:spacing w:line="520" w:lineRule="exact"/>
              <w:jc w:val="center"/>
              <w:rPr>
                <w:rStyle w:val="22"/>
                <w:rFonts w:hint="eastAsia" w:ascii="宋体" w:hAnsi="宋体" w:eastAsia="宋体" w:cs="宋体"/>
                <w:color w:val="auto"/>
                <w:sz w:val="24"/>
                <w:szCs w:val="24"/>
              </w:rPr>
            </w:pPr>
          </w:p>
        </w:tc>
        <w:tc>
          <w:tcPr>
            <w:tcW w:w="488" w:type="pct"/>
            <w:noWrap w:val="0"/>
            <w:vAlign w:val="center"/>
          </w:tcPr>
          <w:p w14:paraId="69CCF86A">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5BA1BDD7">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6253C254">
            <w:pPr>
              <w:pStyle w:val="52"/>
              <w:spacing w:line="520" w:lineRule="exact"/>
              <w:jc w:val="center"/>
              <w:rPr>
                <w:rStyle w:val="22"/>
                <w:rFonts w:hint="eastAsia" w:ascii="宋体" w:hAnsi="宋体" w:eastAsia="宋体" w:cs="宋体"/>
                <w:color w:val="auto"/>
                <w:sz w:val="24"/>
                <w:szCs w:val="24"/>
              </w:rPr>
            </w:pPr>
          </w:p>
        </w:tc>
        <w:tc>
          <w:tcPr>
            <w:tcW w:w="695" w:type="pct"/>
            <w:noWrap w:val="0"/>
            <w:vAlign w:val="center"/>
          </w:tcPr>
          <w:p w14:paraId="147DBAE2">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14B1C216">
            <w:pPr>
              <w:pStyle w:val="52"/>
              <w:spacing w:line="520" w:lineRule="exact"/>
              <w:jc w:val="center"/>
              <w:rPr>
                <w:rStyle w:val="22"/>
                <w:rFonts w:hint="eastAsia" w:ascii="宋体" w:hAnsi="宋体" w:eastAsia="宋体" w:cs="宋体"/>
                <w:color w:val="auto"/>
                <w:sz w:val="24"/>
                <w:szCs w:val="24"/>
              </w:rPr>
            </w:pPr>
          </w:p>
        </w:tc>
      </w:tr>
      <w:tr w14:paraId="42B27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33B0C8FB">
            <w:pPr>
              <w:pStyle w:val="52"/>
              <w:spacing w:line="520" w:lineRule="exact"/>
              <w:jc w:val="center"/>
              <w:rPr>
                <w:rStyle w:val="22"/>
                <w:rFonts w:hint="eastAsia" w:ascii="宋体" w:hAnsi="宋体" w:eastAsia="宋体" w:cs="宋体"/>
                <w:color w:val="auto"/>
                <w:sz w:val="24"/>
                <w:szCs w:val="24"/>
              </w:rPr>
            </w:pPr>
          </w:p>
        </w:tc>
        <w:tc>
          <w:tcPr>
            <w:tcW w:w="596" w:type="pct"/>
            <w:noWrap w:val="0"/>
            <w:vAlign w:val="center"/>
          </w:tcPr>
          <w:p w14:paraId="1617CB97">
            <w:pPr>
              <w:pStyle w:val="52"/>
              <w:spacing w:line="520" w:lineRule="exact"/>
              <w:jc w:val="center"/>
              <w:rPr>
                <w:rStyle w:val="22"/>
                <w:rFonts w:hint="eastAsia" w:ascii="宋体" w:hAnsi="宋体" w:eastAsia="宋体" w:cs="宋体"/>
                <w:color w:val="auto"/>
                <w:sz w:val="24"/>
                <w:szCs w:val="24"/>
              </w:rPr>
            </w:pPr>
          </w:p>
        </w:tc>
        <w:tc>
          <w:tcPr>
            <w:tcW w:w="662" w:type="pct"/>
            <w:noWrap w:val="0"/>
            <w:vAlign w:val="center"/>
          </w:tcPr>
          <w:p w14:paraId="1E308763">
            <w:pPr>
              <w:pStyle w:val="52"/>
              <w:spacing w:line="520" w:lineRule="exact"/>
              <w:jc w:val="center"/>
              <w:rPr>
                <w:rStyle w:val="22"/>
                <w:rFonts w:hint="eastAsia" w:ascii="宋体" w:hAnsi="宋体" w:eastAsia="宋体" w:cs="宋体"/>
                <w:color w:val="auto"/>
                <w:sz w:val="24"/>
                <w:szCs w:val="24"/>
              </w:rPr>
            </w:pPr>
          </w:p>
        </w:tc>
        <w:tc>
          <w:tcPr>
            <w:tcW w:w="439" w:type="pct"/>
            <w:noWrap w:val="0"/>
            <w:vAlign w:val="center"/>
          </w:tcPr>
          <w:p w14:paraId="2110F604">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408199D6">
            <w:pPr>
              <w:pStyle w:val="52"/>
              <w:spacing w:line="520" w:lineRule="exact"/>
              <w:jc w:val="center"/>
              <w:rPr>
                <w:rStyle w:val="22"/>
                <w:rFonts w:hint="eastAsia" w:ascii="宋体" w:hAnsi="宋体" w:eastAsia="宋体" w:cs="宋体"/>
                <w:color w:val="auto"/>
                <w:sz w:val="24"/>
                <w:szCs w:val="24"/>
              </w:rPr>
            </w:pPr>
          </w:p>
        </w:tc>
        <w:tc>
          <w:tcPr>
            <w:tcW w:w="488" w:type="pct"/>
            <w:noWrap w:val="0"/>
            <w:vAlign w:val="center"/>
          </w:tcPr>
          <w:p w14:paraId="6B50494C">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35834709">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4246E3BB">
            <w:pPr>
              <w:pStyle w:val="52"/>
              <w:spacing w:line="520" w:lineRule="exact"/>
              <w:jc w:val="center"/>
              <w:rPr>
                <w:rStyle w:val="22"/>
                <w:rFonts w:hint="eastAsia" w:ascii="宋体" w:hAnsi="宋体" w:eastAsia="宋体" w:cs="宋体"/>
                <w:color w:val="auto"/>
                <w:sz w:val="24"/>
                <w:szCs w:val="24"/>
              </w:rPr>
            </w:pPr>
          </w:p>
        </w:tc>
        <w:tc>
          <w:tcPr>
            <w:tcW w:w="695" w:type="pct"/>
            <w:noWrap w:val="0"/>
            <w:vAlign w:val="center"/>
          </w:tcPr>
          <w:p w14:paraId="239693DD">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0BD34206">
            <w:pPr>
              <w:pStyle w:val="52"/>
              <w:spacing w:line="520" w:lineRule="exact"/>
              <w:jc w:val="center"/>
              <w:rPr>
                <w:rStyle w:val="22"/>
                <w:rFonts w:hint="eastAsia" w:ascii="宋体" w:hAnsi="宋体" w:eastAsia="宋体" w:cs="宋体"/>
                <w:color w:val="auto"/>
                <w:sz w:val="24"/>
                <w:szCs w:val="24"/>
              </w:rPr>
            </w:pPr>
          </w:p>
        </w:tc>
      </w:tr>
      <w:tr w14:paraId="3049E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30DEE62C">
            <w:pPr>
              <w:pStyle w:val="52"/>
              <w:spacing w:line="520" w:lineRule="exact"/>
              <w:jc w:val="center"/>
              <w:rPr>
                <w:rStyle w:val="22"/>
                <w:rFonts w:hint="eastAsia" w:ascii="宋体" w:hAnsi="宋体" w:eastAsia="宋体" w:cs="宋体"/>
                <w:color w:val="auto"/>
                <w:sz w:val="24"/>
                <w:szCs w:val="24"/>
              </w:rPr>
            </w:pPr>
          </w:p>
        </w:tc>
        <w:tc>
          <w:tcPr>
            <w:tcW w:w="596" w:type="pct"/>
            <w:noWrap w:val="0"/>
            <w:vAlign w:val="center"/>
          </w:tcPr>
          <w:p w14:paraId="5D34C64D">
            <w:pPr>
              <w:pStyle w:val="52"/>
              <w:spacing w:line="520" w:lineRule="exact"/>
              <w:jc w:val="center"/>
              <w:rPr>
                <w:rStyle w:val="22"/>
                <w:rFonts w:hint="eastAsia" w:ascii="宋体" w:hAnsi="宋体" w:eastAsia="宋体" w:cs="宋体"/>
                <w:color w:val="auto"/>
                <w:sz w:val="24"/>
                <w:szCs w:val="24"/>
              </w:rPr>
            </w:pPr>
          </w:p>
        </w:tc>
        <w:tc>
          <w:tcPr>
            <w:tcW w:w="662" w:type="pct"/>
            <w:noWrap w:val="0"/>
            <w:vAlign w:val="center"/>
          </w:tcPr>
          <w:p w14:paraId="1CEF7644">
            <w:pPr>
              <w:pStyle w:val="52"/>
              <w:spacing w:line="520" w:lineRule="exact"/>
              <w:jc w:val="center"/>
              <w:rPr>
                <w:rStyle w:val="22"/>
                <w:rFonts w:hint="eastAsia" w:ascii="宋体" w:hAnsi="宋体" w:eastAsia="宋体" w:cs="宋体"/>
                <w:color w:val="auto"/>
                <w:sz w:val="24"/>
                <w:szCs w:val="24"/>
              </w:rPr>
            </w:pPr>
          </w:p>
        </w:tc>
        <w:tc>
          <w:tcPr>
            <w:tcW w:w="439" w:type="pct"/>
            <w:noWrap w:val="0"/>
            <w:vAlign w:val="center"/>
          </w:tcPr>
          <w:p w14:paraId="44B628AF">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753A3531">
            <w:pPr>
              <w:pStyle w:val="52"/>
              <w:spacing w:line="520" w:lineRule="exact"/>
              <w:jc w:val="center"/>
              <w:rPr>
                <w:rStyle w:val="22"/>
                <w:rFonts w:hint="eastAsia" w:ascii="宋体" w:hAnsi="宋体" w:eastAsia="宋体" w:cs="宋体"/>
                <w:color w:val="auto"/>
                <w:sz w:val="24"/>
                <w:szCs w:val="24"/>
              </w:rPr>
            </w:pPr>
          </w:p>
        </w:tc>
        <w:tc>
          <w:tcPr>
            <w:tcW w:w="488" w:type="pct"/>
            <w:noWrap w:val="0"/>
            <w:vAlign w:val="center"/>
          </w:tcPr>
          <w:p w14:paraId="0B58DF17">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1744586E">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68B868E0">
            <w:pPr>
              <w:pStyle w:val="52"/>
              <w:spacing w:line="520" w:lineRule="exact"/>
              <w:jc w:val="center"/>
              <w:rPr>
                <w:rStyle w:val="22"/>
                <w:rFonts w:hint="eastAsia" w:ascii="宋体" w:hAnsi="宋体" w:eastAsia="宋体" w:cs="宋体"/>
                <w:color w:val="auto"/>
                <w:sz w:val="24"/>
                <w:szCs w:val="24"/>
              </w:rPr>
            </w:pPr>
          </w:p>
        </w:tc>
        <w:tc>
          <w:tcPr>
            <w:tcW w:w="695" w:type="pct"/>
            <w:noWrap w:val="0"/>
            <w:vAlign w:val="center"/>
          </w:tcPr>
          <w:p w14:paraId="52FE18C5">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0F7786DF">
            <w:pPr>
              <w:pStyle w:val="52"/>
              <w:spacing w:line="520" w:lineRule="exact"/>
              <w:jc w:val="center"/>
              <w:rPr>
                <w:rStyle w:val="22"/>
                <w:rFonts w:hint="eastAsia" w:ascii="宋体" w:hAnsi="宋体" w:eastAsia="宋体" w:cs="宋体"/>
                <w:color w:val="auto"/>
                <w:sz w:val="24"/>
                <w:szCs w:val="24"/>
              </w:rPr>
            </w:pPr>
          </w:p>
        </w:tc>
      </w:tr>
      <w:tr w14:paraId="30A054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8" w:type="pct"/>
            <w:noWrap w:val="0"/>
            <w:vAlign w:val="center"/>
          </w:tcPr>
          <w:p w14:paraId="3BEBA055">
            <w:pPr>
              <w:pStyle w:val="52"/>
              <w:spacing w:line="520" w:lineRule="exact"/>
              <w:jc w:val="center"/>
              <w:rPr>
                <w:rStyle w:val="22"/>
                <w:rFonts w:hint="eastAsia" w:ascii="宋体" w:hAnsi="宋体" w:eastAsia="宋体" w:cs="宋体"/>
                <w:color w:val="auto"/>
                <w:sz w:val="24"/>
                <w:szCs w:val="24"/>
              </w:rPr>
            </w:pPr>
          </w:p>
        </w:tc>
        <w:tc>
          <w:tcPr>
            <w:tcW w:w="596" w:type="pct"/>
            <w:noWrap w:val="0"/>
            <w:vAlign w:val="center"/>
          </w:tcPr>
          <w:p w14:paraId="29A70A9F">
            <w:pPr>
              <w:pStyle w:val="52"/>
              <w:spacing w:line="520" w:lineRule="exact"/>
              <w:jc w:val="center"/>
              <w:rPr>
                <w:rStyle w:val="22"/>
                <w:rFonts w:hint="eastAsia" w:ascii="宋体" w:hAnsi="宋体" w:eastAsia="宋体" w:cs="宋体"/>
                <w:color w:val="auto"/>
                <w:sz w:val="24"/>
                <w:szCs w:val="24"/>
              </w:rPr>
            </w:pPr>
          </w:p>
        </w:tc>
        <w:tc>
          <w:tcPr>
            <w:tcW w:w="662" w:type="pct"/>
            <w:noWrap w:val="0"/>
            <w:vAlign w:val="center"/>
          </w:tcPr>
          <w:p w14:paraId="02D7FE3D">
            <w:pPr>
              <w:pStyle w:val="52"/>
              <w:spacing w:line="520" w:lineRule="exact"/>
              <w:jc w:val="center"/>
              <w:rPr>
                <w:rStyle w:val="22"/>
                <w:rFonts w:hint="eastAsia" w:ascii="宋体" w:hAnsi="宋体" w:eastAsia="宋体" w:cs="宋体"/>
                <w:color w:val="auto"/>
                <w:sz w:val="24"/>
                <w:szCs w:val="24"/>
              </w:rPr>
            </w:pPr>
          </w:p>
        </w:tc>
        <w:tc>
          <w:tcPr>
            <w:tcW w:w="439" w:type="pct"/>
            <w:noWrap w:val="0"/>
            <w:vAlign w:val="center"/>
          </w:tcPr>
          <w:p w14:paraId="7CF13588">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1EE8FEE2">
            <w:pPr>
              <w:pStyle w:val="52"/>
              <w:spacing w:line="520" w:lineRule="exact"/>
              <w:jc w:val="center"/>
              <w:rPr>
                <w:rStyle w:val="22"/>
                <w:rFonts w:hint="eastAsia" w:ascii="宋体" w:hAnsi="宋体" w:eastAsia="宋体" w:cs="宋体"/>
                <w:color w:val="auto"/>
                <w:sz w:val="24"/>
                <w:szCs w:val="24"/>
              </w:rPr>
            </w:pPr>
          </w:p>
        </w:tc>
        <w:tc>
          <w:tcPr>
            <w:tcW w:w="488" w:type="pct"/>
            <w:noWrap w:val="0"/>
            <w:vAlign w:val="center"/>
          </w:tcPr>
          <w:p w14:paraId="54116F48">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7395F43F">
            <w:pPr>
              <w:pStyle w:val="52"/>
              <w:spacing w:line="520" w:lineRule="exact"/>
              <w:jc w:val="center"/>
              <w:rPr>
                <w:rStyle w:val="22"/>
                <w:rFonts w:hint="eastAsia" w:ascii="宋体" w:hAnsi="宋体" w:eastAsia="宋体" w:cs="宋体"/>
                <w:color w:val="auto"/>
                <w:sz w:val="24"/>
                <w:szCs w:val="24"/>
              </w:rPr>
            </w:pPr>
          </w:p>
        </w:tc>
        <w:tc>
          <w:tcPr>
            <w:tcW w:w="398" w:type="pct"/>
            <w:noWrap w:val="0"/>
            <w:vAlign w:val="center"/>
          </w:tcPr>
          <w:p w14:paraId="7DFC113D">
            <w:pPr>
              <w:pStyle w:val="52"/>
              <w:spacing w:line="520" w:lineRule="exact"/>
              <w:jc w:val="center"/>
              <w:rPr>
                <w:rStyle w:val="22"/>
                <w:rFonts w:hint="eastAsia" w:ascii="宋体" w:hAnsi="宋体" w:eastAsia="宋体" w:cs="宋体"/>
                <w:color w:val="auto"/>
                <w:sz w:val="24"/>
                <w:szCs w:val="24"/>
              </w:rPr>
            </w:pPr>
          </w:p>
        </w:tc>
        <w:tc>
          <w:tcPr>
            <w:tcW w:w="695" w:type="pct"/>
            <w:noWrap w:val="0"/>
            <w:vAlign w:val="center"/>
          </w:tcPr>
          <w:p w14:paraId="45A9EF91">
            <w:pPr>
              <w:pStyle w:val="52"/>
              <w:spacing w:line="520" w:lineRule="exact"/>
              <w:jc w:val="center"/>
              <w:rPr>
                <w:rStyle w:val="22"/>
                <w:rFonts w:hint="eastAsia" w:ascii="宋体" w:hAnsi="宋体" w:eastAsia="宋体" w:cs="宋体"/>
                <w:color w:val="auto"/>
                <w:sz w:val="24"/>
                <w:szCs w:val="24"/>
              </w:rPr>
            </w:pPr>
          </w:p>
        </w:tc>
        <w:tc>
          <w:tcPr>
            <w:tcW w:w="463" w:type="pct"/>
            <w:noWrap w:val="0"/>
            <w:vAlign w:val="center"/>
          </w:tcPr>
          <w:p w14:paraId="06EA4496">
            <w:pPr>
              <w:pStyle w:val="52"/>
              <w:spacing w:line="520" w:lineRule="exact"/>
              <w:jc w:val="center"/>
              <w:rPr>
                <w:rStyle w:val="22"/>
                <w:rFonts w:hint="eastAsia" w:ascii="宋体" w:hAnsi="宋体" w:eastAsia="宋体" w:cs="宋体"/>
                <w:color w:val="auto"/>
                <w:sz w:val="24"/>
                <w:szCs w:val="24"/>
              </w:rPr>
            </w:pPr>
          </w:p>
        </w:tc>
      </w:tr>
    </w:tbl>
    <w:p w14:paraId="7D9BB881">
      <w:pPr>
        <w:pStyle w:val="52"/>
        <w:keepNext/>
        <w:keepLines/>
        <w:pageBreakBefore/>
        <w:spacing w:line="520" w:lineRule="exact"/>
        <w:jc w:val="left"/>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 xml:space="preserve">附件3：    </w:t>
      </w:r>
    </w:p>
    <w:p w14:paraId="0992756E">
      <w:pPr>
        <w:pStyle w:val="52"/>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工程质量保修书</w:t>
      </w:r>
    </w:p>
    <w:p w14:paraId="3A23011D">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发包人（全称）：</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w:t>
      </w:r>
    </w:p>
    <w:p w14:paraId="33043655">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承包人（全称）：</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w:t>
      </w:r>
    </w:p>
    <w:p w14:paraId="218224FD">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发包人和承包人根据《中华人民共和国建筑法》和《建设工程质量管理条例》，经协商一致就</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（工程全称）签订工程质量保修书。</w:t>
      </w:r>
    </w:p>
    <w:p w14:paraId="1D1301CE">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一、工程质量保修范围和内容</w:t>
      </w:r>
    </w:p>
    <w:p w14:paraId="0B53A8C7">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承包人在质量保修期内，按照有关法律规定和合同约定，承担工程质量保修责任。</w:t>
      </w:r>
    </w:p>
    <w:p w14:paraId="242953E5">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A9760D7">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1728EEE">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二、质量保修期</w:t>
      </w:r>
    </w:p>
    <w:p w14:paraId="019D16C5">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根据《建设工程质量管理条例》及有关规定，工程的质量保修期如下：</w:t>
      </w:r>
    </w:p>
    <w:p w14:paraId="793B571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1．地基基础工程和主体结构工程为设计文件规定的工程合理使用年限；</w:t>
      </w:r>
    </w:p>
    <w:p w14:paraId="4E4C8940">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2．屋面防水工程、有防水要求的卫生间、房间和外墙面的防渗</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年；</w:t>
      </w:r>
    </w:p>
    <w:p w14:paraId="5BE2495D">
      <w:pPr>
        <w:pStyle w:val="52"/>
        <w:spacing w:line="520" w:lineRule="exact"/>
        <w:ind w:left="420" w:leftChars="200" w:firstLine="120" w:firstLineChars="5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3．装修工程为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年；</w:t>
      </w:r>
    </w:p>
    <w:p w14:paraId="0C57BC36">
      <w:pPr>
        <w:pStyle w:val="52"/>
        <w:spacing w:line="520" w:lineRule="exact"/>
        <w:ind w:left="420" w:leftChars="200" w:firstLine="120" w:firstLineChars="5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4．电气管线、给排水管道、设备安装工程为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年；</w:t>
      </w:r>
    </w:p>
    <w:p w14:paraId="1C239EBE">
      <w:pPr>
        <w:pStyle w:val="52"/>
        <w:spacing w:line="520" w:lineRule="exact"/>
        <w:ind w:left="420" w:leftChars="200" w:firstLine="120" w:firstLineChars="5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5．供热与供冷系统为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个采暖期、供冷期；</w:t>
      </w:r>
    </w:p>
    <w:p w14:paraId="49F11241">
      <w:pPr>
        <w:pStyle w:val="52"/>
        <w:spacing w:line="520" w:lineRule="exact"/>
        <w:ind w:left="420" w:leftChars="200" w:firstLine="120" w:firstLineChars="5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6．住宅小区内的给排水设施、道路等配套工程为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年；</w:t>
      </w:r>
    </w:p>
    <w:p w14:paraId="0AF78257">
      <w:pPr>
        <w:pStyle w:val="52"/>
        <w:spacing w:line="520" w:lineRule="exact"/>
        <w:ind w:left="420" w:leftChars="200" w:firstLine="120" w:firstLineChars="5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7．其他项目保修期限约定如下：</w:t>
      </w:r>
    </w:p>
    <w:p w14:paraId="1072620C">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15683C00">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质量保修期自工程竣工验收合格之日起计算。</w:t>
      </w:r>
    </w:p>
    <w:p w14:paraId="5243FE3B">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三、缺陷责任期</w:t>
      </w:r>
    </w:p>
    <w:p w14:paraId="549054A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工程缺陷责任期为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个月，缺陷责任期自工程通过竣工验收之日起计算。单位工程先于全部工程进行验收，单位工程缺陷责任期自单位工程验收合格之日起算。</w:t>
      </w:r>
    </w:p>
    <w:p w14:paraId="0900C25F">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缺陷责任期终止后，发包人应退还剩余的质量保证金。</w:t>
      </w:r>
    </w:p>
    <w:p w14:paraId="318F02F0">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四、质量保修责任</w:t>
      </w:r>
    </w:p>
    <w:p w14:paraId="7F403B29">
      <w:pPr>
        <w:pStyle w:val="52"/>
        <w:spacing w:line="520" w:lineRule="exact"/>
        <w:ind w:left="105" w:leftChars="50" w:firstLine="491" w:firstLineChars="205"/>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1．属于保修范围、内容的项目，承包人应当在接到保修通知之日起7天内派人保修。承包人不在约定期限内派人保修的，发包人可以委托他人修理。</w:t>
      </w:r>
    </w:p>
    <w:p w14:paraId="24C7CD6F">
      <w:pPr>
        <w:pStyle w:val="52"/>
        <w:spacing w:line="520" w:lineRule="exact"/>
        <w:ind w:left="105" w:leftChars="50" w:firstLine="491" w:firstLineChars="205"/>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2．发生紧急事故需抢修的，承包人在接到事故通知后，应当立即到达事故现场抢修。</w:t>
      </w:r>
    </w:p>
    <w:p w14:paraId="435CA3C1">
      <w:pPr>
        <w:pStyle w:val="52"/>
        <w:spacing w:line="520" w:lineRule="exact"/>
        <w:ind w:left="105" w:leftChars="50" w:firstLine="491" w:firstLineChars="205"/>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06F3F7A">
      <w:pPr>
        <w:pStyle w:val="52"/>
        <w:spacing w:line="520" w:lineRule="exact"/>
        <w:ind w:left="420" w:leftChars="200" w:firstLine="120" w:firstLineChars="5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4．质量保修完成后，由发包人组织验收。</w:t>
      </w:r>
    </w:p>
    <w:p w14:paraId="385D66E6">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五、保修费用</w:t>
      </w:r>
    </w:p>
    <w:p w14:paraId="01A8BB81">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保修费用由造成质量缺陷的责任方承担。</w:t>
      </w:r>
    </w:p>
    <w:p w14:paraId="488574E5">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六、双方约定的其他工程质量保修事项：                  </w:t>
      </w:r>
    </w:p>
    <w:p w14:paraId="21AC2E62">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51ADC0B6">
      <w:pPr>
        <w:pStyle w:val="52"/>
        <w:spacing w:line="520" w:lineRule="exact"/>
        <w:ind w:firstLine="456" w:firstLineChars="19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工程质量保修书由发包人、承包人在工程竣工验收前共同签署，作为施工合同附件，其有效期限至保修期满。</w:t>
      </w:r>
    </w:p>
    <w:p w14:paraId="34F9C0A6">
      <w:pPr>
        <w:pStyle w:val="52"/>
        <w:spacing w:line="520" w:lineRule="exact"/>
        <w:ind w:firstLine="420"/>
        <w:rPr>
          <w:rStyle w:val="22"/>
          <w:rFonts w:hint="eastAsia" w:ascii="宋体" w:hAnsi="宋体" w:eastAsia="宋体" w:cs="宋体"/>
          <w:color w:val="auto"/>
          <w:sz w:val="24"/>
          <w:szCs w:val="24"/>
        </w:rPr>
      </w:pPr>
    </w:p>
    <w:p w14:paraId="13E366CC">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发包人(公章)：</w:t>
      </w:r>
      <w:r>
        <w:rPr>
          <w:rStyle w:val="22"/>
          <w:rFonts w:hint="eastAsia" w:ascii="宋体" w:hAnsi="宋体" w:eastAsia="宋体" w:cs="宋体"/>
          <w:color w:val="auto"/>
          <w:sz w:val="24"/>
          <w:szCs w:val="24"/>
          <w:u w:val="single"/>
        </w:rPr>
        <w:t xml:space="preserve">        </w:t>
      </w:r>
      <w:r>
        <w:rPr>
          <w:rStyle w:val="22"/>
          <w:rFonts w:hint="eastAsia" w:ascii="宋体" w:hAnsi="宋体" w:eastAsia="宋体" w:cs="宋体"/>
          <w:color w:val="auto"/>
          <w:sz w:val="24"/>
          <w:szCs w:val="24"/>
        </w:rPr>
        <w:t xml:space="preserve"> 承包人(公章)：</w:t>
      </w:r>
      <w:r>
        <w:rPr>
          <w:rStyle w:val="22"/>
          <w:rFonts w:hint="eastAsia" w:ascii="宋体" w:hAnsi="宋体" w:eastAsia="宋体" w:cs="宋体"/>
          <w:color w:val="auto"/>
          <w:sz w:val="24"/>
          <w:szCs w:val="24"/>
          <w:u w:val="single"/>
        </w:rPr>
        <w:t xml:space="preserve">           </w:t>
      </w:r>
    </w:p>
    <w:p w14:paraId="1065A659">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地  址：</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 xml:space="preserve"> 地  址：</w:t>
      </w:r>
      <w:r>
        <w:rPr>
          <w:rStyle w:val="22"/>
          <w:rFonts w:hint="eastAsia" w:ascii="宋体" w:hAnsi="宋体" w:eastAsia="宋体" w:cs="宋体"/>
          <w:color w:val="auto"/>
          <w:sz w:val="24"/>
          <w:szCs w:val="24"/>
          <w:u w:val="single"/>
        </w:rPr>
        <w:t xml:space="preserve">       </w:t>
      </w:r>
    </w:p>
    <w:p w14:paraId="74E2CB0B">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法定代表人(签字)：</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法定代表人(签字)：</w:t>
      </w:r>
      <w:r>
        <w:rPr>
          <w:rStyle w:val="22"/>
          <w:rFonts w:hint="eastAsia" w:ascii="宋体" w:hAnsi="宋体" w:eastAsia="宋体" w:cs="宋体"/>
          <w:color w:val="auto"/>
          <w:sz w:val="24"/>
          <w:szCs w:val="24"/>
          <w:u w:val="single"/>
        </w:rPr>
        <w:t xml:space="preserve">       </w:t>
      </w:r>
    </w:p>
    <w:p w14:paraId="1F55C820">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委托代理人(签字)：</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委托代理人(签字)：</w:t>
      </w:r>
      <w:r>
        <w:rPr>
          <w:rStyle w:val="22"/>
          <w:rFonts w:hint="eastAsia" w:ascii="宋体" w:hAnsi="宋体" w:eastAsia="宋体" w:cs="宋体"/>
          <w:color w:val="auto"/>
          <w:sz w:val="24"/>
          <w:szCs w:val="24"/>
          <w:u w:val="single"/>
        </w:rPr>
        <w:t xml:space="preserve">       </w:t>
      </w:r>
    </w:p>
    <w:p w14:paraId="43094FA7">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电  话：</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电  话：</w:t>
      </w:r>
      <w:r>
        <w:rPr>
          <w:rStyle w:val="22"/>
          <w:rFonts w:hint="eastAsia" w:ascii="宋体" w:hAnsi="宋体" w:eastAsia="宋体" w:cs="宋体"/>
          <w:color w:val="auto"/>
          <w:sz w:val="24"/>
          <w:szCs w:val="24"/>
          <w:u w:val="single"/>
        </w:rPr>
        <w:t xml:space="preserve">     </w:t>
      </w:r>
    </w:p>
    <w:p w14:paraId="16EF7C60">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传  真：</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传  真：</w:t>
      </w:r>
      <w:r>
        <w:rPr>
          <w:rStyle w:val="22"/>
          <w:rFonts w:hint="eastAsia" w:ascii="宋体" w:hAnsi="宋体" w:eastAsia="宋体" w:cs="宋体"/>
          <w:color w:val="auto"/>
          <w:sz w:val="24"/>
          <w:szCs w:val="24"/>
          <w:u w:val="single"/>
        </w:rPr>
        <w:t xml:space="preserve">     </w:t>
      </w:r>
    </w:p>
    <w:p w14:paraId="727C23E5">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开户银行：</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开户银行：</w:t>
      </w:r>
      <w:r>
        <w:rPr>
          <w:rStyle w:val="22"/>
          <w:rFonts w:hint="eastAsia" w:ascii="宋体" w:hAnsi="宋体" w:eastAsia="宋体" w:cs="宋体"/>
          <w:color w:val="auto"/>
          <w:sz w:val="24"/>
          <w:szCs w:val="24"/>
          <w:u w:val="single"/>
        </w:rPr>
        <w:t xml:space="preserve">   </w:t>
      </w:r>
    </w:p>
    <w:p w14:paraId="2C33CCB9">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账  号：</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 xml:space="preserve">  账  号：</w:t>
      </w:r>
      <w:r>
        <w:rPr>
          <w:rStyle w:val="22"/>
          <w:rFonts w:hint="eastAsia" w:ascii="宋体" w:hAnsi="宋体" w:eastAsia="宋体" w:cs="宋体"/>
          <w:color w:val="auto"/>
          <w:sz w:val="24"/>
          <w:szCs w:val="24"/>
          <w:u w:val="single"/>
        </w:rPr>
        <w:t xml:space="preserve">     </w:t>
      </w:r>
    </w:p>
    <w:p w14:paraId="199ACAC1">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邮政编码：</w:t>
      </w:r>
      <w:r>
        <w:rPr>
          <w:rStyle w:val="22"/>
          <w:rFonts w:hint="eastAsia" w:ascii="宋体" w:hAnsi="宋体" w:eastAsia="宋体" w:cs="宋体"/>
          <w:color w:val="auto"/>
          <w:sz w:val="24"/>
          <w:szCs w:val="24"/>
          <w:u w:val="single"/>
        </w:rPr>
        <w:t xml:space="preserve">     </w:t>
      </w:r>
      <w:r>
        <w:rPr>
          <w:rStyle w:val="22"/>
          <w:rFonts w:hint="eastAsia" w:ascii="宋体" w:hAnsi="宋体" w:eastAsia="宋体" w:cs="宋体"/>
          <w:color w:val="auto"/>
          <w:sz w:val="24"/>
          <w:szCs w:val="24"/>
        </w:rPr>
        <w:t xml:space="preserve"> 邮政编码：</w:t>
      </w:r>
      <w:r>
        <w:rPr>
          <w:rStyle w:val="22"/>
          <w:rFonts w:hint="eastAsia" w:ascii="宋体" w:hAnsi="宋体" w:eastAsia="宋体" w:cs="宋体"/>
          <w:color w:val="auto"/>
          <w:sz w:val="24"/>
          <w:szCs w:val="24"/>
          <w:u w:val="single"/>
        </w:rPr>
        <w:t xml:space="preserve">   </w:t>
      </w:r>
    </w:p>
    <w:p w14:paraId="0C331189">
      <w:pPr>
        <w:pStyle w:val="52"/>
        <w:keepNext/>
        <w:keepLines/>
        <w:pageBreakBefore/>
        <w:spacing w:line="520" w:lineRule="exact"/>
        <w:jc w:val="left"/>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附件4：</w:t>
      </w:r>
    </w:p>
    <w:p w14:paraId="65820CCA">
      <w:pPr>
        <w:pStyle w:val="52"/>
        <w:spacing w:line="520" w:lineRule="exact"/>
        <w:jc w:val="center"/>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主要建设工程文件目录</w:t>
      </w:r>
    </w:p>
    <w:tbl>
      <w:tblPr>
        <w:tblStyle w:val="20"/>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806"/>
        <w:gridCol w:w="1181"/>
        <w:gridCol w:w="1341"/>
        <w:gridCol w:w="1151"/>
        <w:gridCol w:w="1341"/>
        <w:gridCol w:w="1542"/>
      </w:tblGrid>
      <w:tr w14:paraId="18C96C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080" w:type="pct"/>
            <w:tcBorders>
              <w:top w:val="single" w:color="auto" w:sz="12" w:space="0"/>
              <w:bottom w:val="double" w:color="auto" w:sz="6" w:space="0"/>
            </w:tcBorders>
            <w:noWrap w:val="0"/>
            <w:vAlign w:val="center"/>
          </w:tcPr>
          <w:p w14:paraId="677AE870">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文件名称</w:t>
            </w:r>
          </w:p>
        </w:tc>
        <w:tc>
          <w:tcPr>
            <w:tcW w:w="706" w:type="pct"/>
            <w:tcBorders>
              <w:top w:val="single" w:color="auto" w:sz="12" w:space="0"/>
              <w:bottom w:val="double" w:color="auto" w:sz="6" w:space="0"/>
            </w:tcBorders>
            <w:noWrap w:val="0"/>
            <w:vAlign w:val="center"/>
          </w:tcPr>
          <w:p w14:paraId="41D880EF">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套数</w:t>
            </w:r>
          </w:p>
        </w:tc>
        <w:tc>
          <w:tcPr>
            <w:tcW w:w="802" w:type="pct"/>
            <w:tcBorders>
              <w:top w:val="single" w:color="auto" w:sz="12" w:space="0"/>
              <w:bottom w:val="double" w:color="auto" w:sz="6" w:space="0"/>
            </w:tcBorders>
            <w:noWrap w:val="0"/>
            <w:vAlign w:val="center"/>
          </w:tcPr>
          <w:p w14:paraId="4C28AF98">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费用（元）</w:t>
            </w:r>
          </w:p>
        </w:tc>
        <w:tc>
          <w:tcPr>
            <w:tcW w:w="688" w:type="pct"/>
            <w:tcBorders>
              <w:top w:val="single" w:color="auto" w:sz="12" w:space="0"/>
              <w:bottom w:val="double" w:color="auto" w:sz="6" w:space="0"/>
            </w:tcBorders>
            <w:noWrap w:val="0"/>
            <w:vAlign w:val="center"/>
          </w:tcPr>
          <w:p w14:paraId="73204A7B">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质量</w:t>
            </w:r>
          </w:p>
        </w:tc>
        <w:tc>
          <w:tcPr>
            <w:tcW w:w="802" w:type="pct"/>
            <w:tcBorders>
              <w:top w:val="single" w:color="auto" w:sz="12" w:space="0"/>
              <w:bottom w:val="double" w:color="auto" w:sz="6" w:space="0"/>
            </w:tcBorders>
            <w:noWrap w:val="0"/>
            <w:vAlign w:val="top"/>
          </w:tcPr>
          <w:p w14:paraId="09882FAF">
            <w:pPr>
              <w:pStyle w:val="52"/>
              <w:spacing w:line="520" w:lineRule="exact"/>
              <w:jc w:val="center"/>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移交时间</w:t>
            </w:r>
          </w:p>
        </w:tc>
        <w:tc>
          <w:tcPr>
            <w:tcW w:w="922" w:type="pct"/>
            <w:tcBorders>
              <w:top w:val="single" w:color="auto" w:sz="12" w:space="0"/>
              <w:bottom w:val="double" w:color="auto" w:sz="6" w:space="0"/>
            </w:tcBorders>
            <w:noWrap w:val="0"/>
            <w:vAlign w:val="top"/>
          </w:tcPr>
          <w:p w14:paraId="5CE954CB">
            <w:pPr>
              <w:pStyle w:val="52"/>
              <w:spacing w:line="520" w:lineRule="exact"/>
              <w:jc w:val="center"/>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责任人</w:t>
            </w:r>
          </w:p>
        </w:tc>
      </w:tr>
      <w:tr w14:paraId="05466E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double" w:color="auto" w:sz="6" w:space="0"/>
              <w:bottom w:val="single" w:color="auto" w:sz="6" w:space="0"/>
            </w:tcBorders>
            <w:noWrap w:val="0"/>
            <w:vAlign w:val="center"/>
          </w:tcPr>
          <w:p w14:paraId="3E49AF9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06" w:type="pct"/>
            <w:tcBorders>
              <w:top w:val="double" w:color="auto" w:sz="6" w:space="0"/>
              <w:bottom w:val="single" w:color="auto" w:sz="6" w:space="0"/>
            </w:tcBorders>
            <w:noWrap w:val="0"/>
            <w:vAlign w:val="center"/>
          </w:tcPr>
          <w:p w14:paraId="416D335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tcBorders>
              <w:top w:val="double" w:color="auto" w:sz="6" w:space="0"/>
              <w:bottom w:val="single" w:color="auto" w:sz="6" w:space="0"/>
            </w:tcBorders>
            <w:noWrap w:val="0"/>
            <w:vAlign w:val="center"/>
          </w:tcPr>
          <w:p w14:paraId="615DC7E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88" w:type="pct"/>
            <w:tcBorders>
              <w:top w:val="double" w:color="auto" w:sz="6" w:space="0"/>
              <w:bottom w:val="single" w:color="auto" w:sz="6" w:space="0"/>
            </w:tcBorders>
            <w:noWrap w:val="0"/>
            <w:vAlign w:val="center"/>
          </w:tcPr>
          <w:p w14:paraId="2DB7D3B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tcBorders>
              <w:top w:val="double" w:color="auto" w:sz="6" w:space="0"/>
              <w:bottom w:val="single" w:color="auto" w:sz="6" w:space="0"/>
            </w:tcBorders>
            <w:noWrap w:val="0"/>
            <w:vAlign w:val="center"/>
          </w:tcPr>
          <w:p w14:paraId="06993D3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922" w:type="pct"/>
            <w:tcBorders>
              <w:top w:val="double" w:color="auto" w:sz="6" w:space="0"/>
              <w:bottom w:val="single" w:color="auto" w:sz="6" w:space="0"/>
            </w:tcBorders>
            <w:noWrap w:val="0"/>
            <w:vAlign w:val="center"/>
          </w:tcPr>
          <w:p w14:paraId="7AAEBF63">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4A46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nil"/>
            </w:tcBorders>
            <w:noWrap w:val="0"/>
            <w:vAlign w:val="center"/>
          </w:tcPr>
          <w:p w14:paraId="5358327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06" w:type="pct"/>
            <w:tcBorders>
              <w:top w:val="nil"/>
            </w:tcBorders>
            <w:noWrap w:val="0"/>
            <w:vAlign w:val="center"/>
          </w:tcPr>
          <w:p w14:paraId="0B65D17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tcBorders>
              <w:top w:val="nil"/>
            </w:tcBorders>
            <w:noWrap w:val="0"/>
            <w:vAlign w:val="center"/>
          </w:tcPr>
          <w:p w14:paraId="1400D53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88" w:type="pct"/>
            <w:tcBorders>
              <w:top w:val="nil"/>
            </w:tcBorders>
            <w:noWrap w:val="0"/>
            <w:vAlign w:val="center"/>
          </w:tcPr>
          <w:p w14:paraId="6DD98DC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tcBorders>
              <w:top w:val="nil"/>
            </w:tcBorders>
            <w:noWrap w:val="0"/>
            <w:vAlign w:val="center"/>
          </w:tcPr>
          <w:p w14:paraId="683823D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922" w:type="pct"/>
            <w:tcBorders>
              <w:top w:val="nil"/>
            </w:tcBorders>
            <w:noWrap w:val="0"/>
            <w:vAlign w:val="center"/>
          </w:tcPr>
          <w:p w14:paraId="28742CC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3490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center"/>
          </w:tcPr>
          <w:p w14:paraId="75DD48B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06" w:type="pct"/>
            <w:noWrap w:val="0"/>
            <w:vAlign w:val="center"/>
          </w:tcPr>
          <w:p w14:paraId="5FC8EE5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5A23501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88" w:type="pct"/>
            <w:noWrap w:val="0"/>
            <w:vAlign w:val="center"/>
          </w:tcPr>
          <w:p w14:paraId="786AC40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7513257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922" w:type="pct"/>
            <w:noWrap w:val="0"/>
            <w:vAlign w:val="center"/>
          </w:tcPr>
          <w:p w14:paraId="474D184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EC222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center"/>
          </w:tcPr>
          <w:p w14:paraId="31C994A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06" w:type="pct"/>
            <w:noWrap w:val="0"/>
            <w:vAlign w:val="center"/>
          </w:tcPr>
          <w:p w14:paraId="450899F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74A5ABA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88" w:type="pct"/>
            <w:noWrap w:val="0"/>
            <w:vAlign w:val="center"/>
          </w:tcPr>
          <w:p w14:paraId="432344E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0512E47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922" w:type="pct"/>
            <w:noWrap w:val="0"/>
            <w:vAlign w:val="center"/>
          </w:tcPr>
          <w:p w14:paraId="7D680A92">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DBBFF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rPr>
        <w:tc>
          <w:tcPr>
            <w:tcW w:w="1080" w:type="pct"/>
            <w:noWrap w:val="0"/>
            <w:vAlign w:val="center"/>
          </w:tcPr>
          <w:p w14:paraId="425A0A7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06" w:type="pct"/>
            <w:noWrap w:val="0"/>
            <w:vAlign w:val="center"/>
          </w:tcPr>
          <w:p w14:paraId="3AF0A3D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67A33DB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88" w:type="pct"/>
            <w:noWrap w:val="0"/>
            <w:vAlign w:val="center"/>
          </w:tcPr>
          <w:p w14:paraId="05B7C42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537763F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922" w:type="pct"/>
            <w:noWrap w:val="0"/>
            <w:vAlign w:val="center"/>
          </w:tcPr>
          <w:p w14:paraId="177B686C">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6E8B3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center"/>
          </w:tcPr>
          <w:p w14:paraId="6077665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06" w:type="pct"/>
            <w:noWrap w:val="0"/>
            <w:vAlign w:val="center"/>
          </w:tcPr>
          <w:p w14:paraId="3663454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50EE1E6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88" w:type="pct"/>
            <w:noWrap w:val="0"/>
            <w:vAlign w:val="center"/>
          </w:tcPr>
          <w:p w14:paraId="1175237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37417AB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922" w:type="pct"/>
            <w:noWrap w:val="0"/>
            <w:vAlign w:val="center"/>
          </w:tcPr>
          <w:p w14:paraId="50F71254">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9C02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rPr>
        <w:tc>
          <w:tcPr>
            <w:tcW w:w="1080" w:type="pct"/>
            <w:noWrap w:val="0"/>
            <w:vAlign w:val="center"/>
          </w:tcPr>
          <w:p w14:paraId="09DA8E7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06" w:type="pct"/>
            <w:noWrap w:val="0"/>
            <w:vAlign w:val="center"/>
          </w:tcPr>
          <w:p w14:paraId="5F8C10F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3329EA5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88" w:type="pct"/>
            <w:noWrap w:val="0"/>
            <w:vAlign w:val="center"/>
          </w:tcPr>
          <w:p w14:paraId="2CA1A93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2B13751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922" w:type="pct"/>
            <w:noWrap w:val="0"/>
            <w:vAlign w:val="center"/>
          </w:tcPr>
          <w:p w14:paraId="6BE01BF7">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6149A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center"/>
          </w:tcPr>
          <w:p w14:paraId="16CF072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06" w:type="pct"/>
            <w:noWrap w:val="0"/>
            <w:vAlign w:val="center"/>
          </w:tcPr>
          <w:p w14:paraId="063E82C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4B3F48F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88" w:type="pct"/>
            <w:noWrap w:val="0"/>
            <w:vAlign w:val="center"/>
          </w:tcPr>
          <w:p w14:paraId="564CC95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3D9E348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922" w:type="pct"/>
            <w:noWrap w:val="0"/>
            <w:vAlign w:val="center"/>
          </w:tcPr>
          <w:p w14:paraId="1BB15E6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4901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top"/>
          </w:tcPr>
          <w:p w14:paraId="5895E0ED">
            <w:pPr>
              <w:pStyle w:val="52"/>
              <w:spacing w:line="520" w:lineRule="exact"/>
              <w:rPr>
                <w:rStyle w:val="22"/>
                <w:rFonts w:hint="eastAsia" w:ascii="宋体" w:hAnsi="宋体" w:eastAsia="宋体" w:cs="宋体"/>
                <w:color w:val="auto"/>
                <w:sz w:val="24"/>
                <w:szCs w:val="24"/>
              </w:rPr>
            </w:pPr>
          </w:p>
        </w:tc>
        <w:tc>
          <w:tcPr>
            <w:tcW w:w="706" w:type="pct"/>
            <w:noWrap w:val="0"/>
            <w:vAlign w:val="top"/>
          </w:tcPr>
          <w:p w14:paraId="61DF669D">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482626E4">
            <w:pPr>
              <w:pStyle w:val="52"/>
              <w:spacing w:line="520" w:lineRule="exact"/>
              <w:rPr>
                <w:rStyle w:val="22"/>
                <w:rFonts w:hint="eastAsia" w:ascii="宋体" w:hAnsi="宋体" w:eastAsia="宋体" w:cs="宋体"/>
                <w:color w:val="auto"/>
                <w:sz w:val="24"/>
                <w:szCs w:val="24"/>
              </w:rPr>
            </w:pPr>
          </w:p>
        </w:tc>
        <w:tc>
          <w:tcPr>
            <w:tcW w:w="688" w:type="pct"/>
            <w:noWrap w:val="0"/>
            <w:vAlign w:val="top"/>
          </w:tcPr>
          <w:p w14:paraId="6E08F7D7">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29F3F803">
            <w:pPr>
              <w:pStyle w:val="52"/>
              <w:spacing w:line="520" w:lineRule="exact"/>
              <w:rPr>
                <w:rStyle w:val="22"/>
                <w:rFonts w:hint="eastAsia" w:ascii="宋体" w:hAnsi="宋体" w:eastAsia="宋体" w:cs="宋体"/>
                <w:color w:val="auto"/>
                <w:sz w:val="24"/>
                <w:szCs w:val="24"/>
              </w:rPr>
            </w:pPr>
          </w:p>
        </w:tc>
        <w:tc>
          <w:tcPr>
            <w:tcW w:w="922" w:type="pct"/>
            <w:noWrap w:val="0"/>
            <w:vAlign w:val="top"/>
          </w:tcPr>
          <w:p w14:paraId="3CE7B1B3">
            <w:pPr>
              <w:pStyle w:val="52"/>
              <w:spacing w:line="520" w:lineRule="exact"/>
              <w:rPr>
                <w:rStyle w:val="22"/>
                <w:rFonts w:hint="eastAsia" w:ascii="宋体" w:hAnsi="宋体" w:eastAsia="宋体" w:cs="宋体"/>
                <w:color w:val="auto"/>
                <w:sz w:val="24"/>
                <w:szCs w:val="24"/>
              </w:rPr>
            </w:pPr>
          </w:p>
        </w:tc>
      </w:tr>
      <w:tr w14:paraId="5534B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center"/>
          </w:tcPr>
          <w:p w14:paraId="57A008E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06" w:type="pct"/>
            <w:noWrap w:val="0"/>
            <w:vAlign w:val="center"/>
          </w:tcPr>
          <w:p w14:paraId="7BE5EEC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7C14BB2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688" w:type="pct"/>
            <w:noWrap w:val="0"/>
            <w:vAlign w:val="center"/>
          </w:tcPr>
          <w:p w14:paraId="544B20A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02" w:type="pct"/>
            <w:noWrap w:val="0"/>
            <w:vAlign w:val="center"/>
          </w:tcPr>
          <w:p w14:paraId="51B1407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922" w:type="pct"/>
            <w:noWrap w:val="0"/>
            <w:vAlign w:val="center"/>
          </w:tcPr>
          <w:p w14:paraId="75C4CF25">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E8976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top"/>
          </w:tcPr>
          <w:p w14:paraId="63150EB3">
            <w:pPr>
              <w:pStyle w:val="52"/>
              <w:spacing w:line="520" w:lineRule="exact"/>
              <w:rPr>
                <w:rStyle w:val="22"/>
                <w:rFonts w:hint="eastAsia" w:ascii="宋体" w:hAnsi="宋体" w:eastAsia="宋体" w:cs="宋体"/>
                <w:color w:val="auto"/>
                <w:sz w:val="24"/>
                <w:szCs w:val="24"/>
              </w:rPr>
            </w:pPr>
          </w:p>
        </w:tc>
        <w:tc>
          <w:tcPr>
            <w:tcW w:w="706" w:type="pct"/>
            <w:noWrap w:val="0"/>
            <w:vAlign w:val="top"/>
          </w:tcPr>
          <w:p w14:paraId="7A3E8998">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107CC827">
            <w:pPr>
              <w:pStyle w:val="52"/>
              <w:spacing w:line="520" w:lineRule="exact"/>
              <w:rPr>
                <w:rStyle w:val="22"/>
                <w:rFonts w:hint="eastAsia" w:ascii="宋体" w:hAnsi="宋体" w:eastAsia="宋体" w:cs="宋体"/>
                <w:color w:val="auto"/>
                <w:sz w:val="24"/>
                <w:szCs w:val="24"/>
              </w:rPr>
            </w:pPr>
          </w:p>
        </w:tc>
        <w:tc>
          <w:tcPr>
            <w:tcW w:w="688" w:type="pct"/>
            <w:noWrap w:val="0"/>
            <w:vAlign w:val="top"/>
          </w:tcPr>
          <w:p w14:paraId="79B70E81">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622D6287">
            <w:pPr>
              <w:pStyle w:val="52"/>
              <w:spacing w:line="520" w:lineRule="exact"/>
              <w:rPr>
                <w:rStyle w:val="22"/>
                <w:rFonts w:hint="eastAsia" w:ascii="宋体" w:hAnsi="宋体" w:eastAsia="宋体" w:cs="宋体"/>
                <w:color w:val="auto"/>
                <w:sz w:val="24"/>
                <w:szCs w:val="24"/>
              </w:rPr>
            </w:pPr>
          </w:p>
        </w:tc>
        <w:tc>
          <w:tcPr>
            <w:tcW w:w="922" w:type="pct"/>
            <w:noWrap w:val="0"/>
            <w:vAlign w:val="top"/>
          </w:tcPr>
          <w:p w14:paraId="41AA433A">
            <w:pPr>
              <w:pStyle w:val="52"/>
              <w:spacing w:line="520" w:lineRule="exact"/>
              <w:rPr>
                <w:rStyle w:val="22"/>
                <w:rFonts w:hint="eastAsia" w:ascii="宋体" w:hAnsi="宋体" w:eastAsia="宋体" w:cs="宋体"/>
                <w:color w:val="auto"/>
                <w:sz w:val="24"/>
                <w:szCs w:val="24"/>
              </w:rPr>
            </w:pPr>
          </w:p>
        </w:tc>
      </w:tr>
      <w:tr w14:paraId="131636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top"/>
          </w:tcPr>
          <w:p w14:paraId="555649F8">
            <w:pPr>
              <w:pStyle w:val="52"/>
              <w:spacing w:line="520" w:lineRule="exact"/>
              <w:rPr>
                <w:rStyle w:val="22"/>
                <w:rFonts w:hint="eastAsia" w:ascii="宋体" w:hAnsi="宋体" w:eastAsia="宋体" w:cs="宋体"/>
                <w:color w:val="auto"/>
                <w:sz w:val="24"/>
                <w:szCs w:val="24"/>
              </w:rPr>
            </w:pPr>
          </w:p>
        </w:tc>
        <w:tc>
          <w:tcPr>
            <w:tcW w:w="706" w:type="pct"/>
            <w:noWrap w:val="0"/>
            <w:vAlign w:val="top"/>
          </w:tcPr>
          <w:p w14:paraId="197D2A7B">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4F553689">
            <w:pPr>
              <w:pStyle w:val="52"/>
              <w:spacing w:line="520" w:lineRule="exact"/>
              <w:rPr>
                <w:rStyle w:val="22"/>
                <w:rFonts w:hint="eastAsia" w:ascii="宋体" w:hAnsi="宋体" w:eastAsia="宋体" w:cs="宋体"/>
                <w:color w:val="auto"/>
                <w:sz w:val="24"/>
                <w:szCs w:val="24"/>
              </w:rPr>
            </w:pPr>
          </w:p>
        </w:tc>
        <w:tc>
          <w:tcPr>
            <w:tcW w:w="688" w:type="pct"/>
            <w:noWrap w:val="0"/>
            <w:vAlign w:val="top"/>
          </w:tcPr>
          <w:p w14:paraId="6BCA74D3">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3D4CCCFE">
            <w:pPr>
              <w:pStyle w:val="52"/>
              <w:spacing w:line="520" w:lineRule="exact"/>
              <w:rPr>
                <w:rStyle w:val="22"/>
                <w:rFonts w:hint="eastAsia" w:ascii="宋体" w:hAnsi="宋体" w:eastAsia="宋体" w:cs="宋体"/>
                <w:color w:val="auto"/>
                <w:sz w:val="24"/>
                <w:szCs w:val="24"/>
              </w:rPr>
            </w:pPr>
          </w:p>
        </w:tc>
        <w:tc>
          <w:tcPr>
            <w:tcW w:w="922" w:type="pct"/>
            <w:noWrap w:val="0"/>
            <w:vAlign w:val="top"/>
          </w:tcPr>
          <w:p w14:paraId="3BA40554">
            <w:pPr>
              <w:pStyle w:val="52"/>
              <w:spacing w:line="520" w:lineRule="exact"/>
              <w:rPr>
                <w:rStyle w:val="22"/>
                <w:rFonts w:hint="eastAsia" w:ascii="宋体" w:hAnsi="宋体" w:eastAsia="宋体" w:cs="宋体"/>
                <w:color w:val="auto"/>
                <w:sz w:val="24"/>
                <w:szCs w:val="24"/>
              </w:rPr>
            </w:pPr>
          </w:p>
        </w:tc>
      </w:tr>
      <w:tr w14:paraId="7DF88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top"/>
          </w:tcPr>
          <w:p w14:paraId="779DDCC5">
            <w:pPr>
              <w:pStyle w:val="52"/>
              <w:spacing w:line="520" w:lineRule="exact"/>
              <w:rPr>
                <w:rStyle w:val="22"/>
                <w:rFonts w:hint="eastAsia" w:ascii="宋体" w:hAnsi="宋体" w:eastAsia="宋体" w:cs="宋体"/>
                <w:color w:val="auto"/>
                <w:sz w:val="24"/>
                <w:szCs w:val="24"/>
              </w:rPr>
            </w:pPr>
          </w:p>
        </w:tc>
        <w:tc>
          <w:tcPr>
            <w:tcW w:w="706" w:type="pct"/>
            <w:noWrap w:val="0"/>
            <w:vAlign w:val="top"/>
          </w:tcPr>
          <w:p w14:paraId="791023FD">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47E60BE6">
            <w:pPr>
              <w:pStyle w:val="52"/>
              <w:spacing w:line="520" w:lineRule="exact"/>
              <w:rPr>
                <w:rStyle w:val="22"/>
                <w:rFonts w:hint="eastAsia" w:ascii="宋体" w:hAnsi="宋体" w:eastAsia="宋体" w:cs="宋体"/>
                <w:color w:val="auto"/>
                <w:sz w:val="24"/>
                <w:szCs w:val="24"/>
              </w:rPr>
            </w:pPr>
          </w:p>
        </w:tc>
        <w:tc>
          <w:tcPr>
            <w:tcW w:w="688" w:type="pct"/>
            <w:noWrap w:val="0"/>
            <w:vAlign w:val="top"/>
          </w:tcPr>
          <w:p w14:paraId="2CD1738D">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7D13BD9C">
            <w:pPr>
              <w:pStyle w:val="52"/>
              <w:spacing w:line="520" w:lineRule="exact"/>
              <w:rPr>
                <w:rStyle w:val="22"/>
                <w:rFonts w:hint="eastAsia" w:ascii="宋体" w:hAnsi="宋体" w:eastAsia="宋体" w:cs="宋体"/>
                <w:color w:val="auto"/>
                <w:sz w:val="24"/>
                <w:szCs w:val="24"/>
              </w:rPr>
            </w:pPr>
          </w:p>
        </w:tc>
        <w:tc>
          <w:tcPr>
            <w:tcW w:w="922" w:type="pct"/>
            <w:noWrap w:val="0"/>
            <w:vAlign w:val="top"/>
          </w:tcPr>
          <w:p w14:paraId="09158962">
            <w:pPr>
              <w:pStyle w:val="52"/>
              <w:spacing w:line="520" w:lineRule="exact"/>
              <w:rPr>
                <w:rStyle w:val="22"/>
                <w:rFonts w:hint="eastAsia" w:ascii="宋体" w:hAnsi="宋体" w:eastAsia="宋体" w:cs="宋体"/>
                <w:color w:val="auto"/>
                <w:sz w:val="24"/>
                <w:szCs w:val="24"/>
              </w:rPr>
            </w:pPr>
          </w:p>
        </w:tc>
      </w:tr>
      <w:tr w14:paraId="28DD8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top"/>
          </w:tcPr>
          <w:p w14:paraId="76CA3466">
            <w:pPr>
              <w:pStyle w:val="52"/>
              <w:spacing w:line="520" w:lineRule="exact"/>
              <w:rPr>
                <w:rStyle w:val="22"/>
                <w:rFonts w:hint="eastAsia" w:ascii="宋体" w:hAnsi="宋体" w:eastAsia="宋体" w:cs="宋体"/>
                <w:color w:val="auto"/>
                <w:sz w:val="24"/>
                <w:szCs w:val="24"/>
              </w:rPr>
            </w:pPr>
          </w:p>
        </w:tc>
        <w:tc>
          <w:tcPr>
            <w:tcW w:w="706" w:type="pct"/>
            <w:noWrap w:val="0"/>
            <w:vAlign w:val="top"/>
          </w:tcPr>
          <w:p w14:paraId="08670450">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448BF834">
            <w:pPr>
              <w:pStyle w:val="52"/>
              <w:spacing w:line="520" w:lineRule="exact"/>
              <w:rPr>
                <w:rStyle w:val="22"/>
                <w:rFonts w:hint="eastAsia" w:ascii="宋体" w:hAnsi="宋体" w:eastAsia="宋体" w:cs="宋体"/>
                <w:color w:val="auto"/>
                <w:sz w:val="24"/>
                <w:szCs w:val="24"/>
              </w:rPr>
            </w:pPr>
          </w:p>
        </w:tc>
        <w:tc>
          <w:tcPr>
            <w:tcW w:w="688" w:type="pct"/>
            <w:noWrap w:val="0"/>
            <w:vAlign w:val="top"/>
          </w:tcPr>
          <w:p w14:paraId="387EBAFE">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47FE893B">
            <w:pPr>
              <w:pStyle w:val="52"/>
              <w:spacing w:line="520" w:lineRule="exact"/>
              <w:rPr>
                <w:rStyle w:val="22"/>
                <w:rFonts w:hint="eastAsia" w:ascii="宋体" w:hAnsi="宋体" w:eastAsia="宋体" w:cs="宋体"/>
                <w:color w:val="auto"/>
                <w:sz w:val="24"/>
                <w:szCs w:val="24"/>
              </w:rPr>
            </w:pPr>
          </w:p>
        </w:tc>
        <w:tc>
          <w:tcPr>
            <w:tcW w:w="922" w:type="pct"/>
            <w:noWrap w:val="0"/>
            <w:vAlign w:val="top"/>
          </w:tcPr>
          <w:p w14:paraId="1623730D">
            <w:pPr>
              <w:pStyle w:val="52"/>
              <w:spacing w:line="520" w:lineRule="exact"/>
              <w:rPr>
                <w:rStyle w:val="22"/>
                <w:rFonts w:hint="eastAsia" w:ascii="宋体" w:hAnsi="宋体" w:eastAsia="宋体" w:cs="宋体"/>
                <w:color w:val="auto"/>
                <w:sz w:val="24"/>
                <w:szCs w:val="24"/>
              </w:rPr>
            </w:pPr>
          </w:p>
        </w:tc>
      </w:tr>
      <w:tr w14:paraId="29EBF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top"/>
          </w:tcPr>
          <w:p w14:paraId="6C600406">
            <w:pPr>
              <w:pStyle w:val="52"/>
              <w:spacing w:line="520" w:lineRule="exact"/>
              <w:rPr>
                <w:rStyle w:val="22"/>
                <w:rFonts w:hint="eastAsia" w:ascii="宋体" w:hAnsi="宋体" w:eastAsia="宋体" w:cs="宋体"/>
                <w:color w:val="auto"/>
                <w:sz w:val="24"/>
                <w:szCs w:val="24"/>
              </w:rPr>
            </w:pPr>
          </w:p>
        </w:tc>
        <w:tc>
          <w:tcPr>
            <w:tcW w:w="706" w:type="pct"/>
            <w:noWrap w:val="0"/>
            <w:vAlign w:val="top"/>
          </w:tcPr>
          <w:p w14:paraId="079D514A">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6E9FE4BA">
            <w:pPr>
              <w:pStyle w:val="52"/>
              <w:spacing w:line="520" w:lineRule="exact"/>
              <w:rPr>
                <w:rStyle w:val="22"/>
                <w:rFonts w:hint="eastAsia" w:ascii="宋体" w:hAnsi="宋体" w:eastAsia="宋体" w:cs="宋体"/>
                <w:color w:val="auto"/>
                <w:sz w:val="24"/>
                <w:szCs w:val="24"/>
              </w:rPr>
            </w:pPr>
          </w:p>
        </w:tc>
        <w:tc>
          <w:tcPr>
            <w:tcW w:w="688" w:type="pct"/>
            <w:noWrap w:val="0"/>
            <w:vAlign w:val="top"/>
          </w:tcPr>
          <w:p w14:paraId="3FC59F29">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2532B827">
            <w:pPr>
              <w:pStyle w:val="52"/>
              <w:spacing w:line="520" w:lineRule="exact"/>
              <w:rPr>
                <w:rStyle w:val="22"/>
                <w:rFonts w:hint="eastAsia" w:ascii="宋体" w:hAnsi="宋体" w:eastAsia="宋体" w:cs="宋体"/>
                <w:color w:val="auto"/>
                <w:sz w:val="24"/>
                <w:szCs w:val="24"/>
              </w:rPr>
            </w:pPr>
          </w:p>
        </w:tc>
        <w:tc>
          <w:tcPr>
            <w:tcW w:w="922" w:type="pct"/>
            <w:noWrap w:val="0"/>
            <w:vAlign w:val="top"/>
          </w:tcPr>
          <w:p w14:paraId="7A12D26A">
            <w:pPr>
              <w:pStyle w:val="52"/>
              <w:spacing w:line="520" w:lineRule="exact"/>
              <w:rPr>
                <w:rStyle w:val="22"/>
                <w:rFonts w:hint="eastAsia" w:ascii="宋体" w:hAnsi="宋体" w:eastAsia="宋体" w:cs="宋体"/>
                <w:color w:val="auto"/>
                <w:sz w:val="24"/>
                <w:szCs w:val="24"/>
              </w:rPr>
            </w:pPr>
          </w:p>
        </w:tc>
      </w:tr>
      <w:tr w14:paraId="598E2C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top"/>
          </w:tcPr>
          <w:p w14:paraId="18327954">
            <w:pPr>
              <w:pStyle w:val="52"/>
              <w:spacing w:line="520" w:lineRule="exact"/>
              <w:rPr>
                <w:rStyle w:val="22"/>
                <w:rFonts w:hint="eastAsia" w:ascii="宋体" w:hAnsi="宋体" w:eastAsia="宋体" w:cs="宋体"/>
                <w:color w:val="auto"/>
                <w:sz w:val="24"/>
                <w:szCs w:val="24"/>
              </w:rPr>
            </w:pPr>
          </w:p>
        </w:tc>
        <w:tc>
          <w:tcPr>
            <w:tcW w:w="706" w:type="pct"/>
            <w:noWrap w:val="0"/>
            <w:vAlign w:val="top"/>
          </w:tcPr>
          <w:p w14:paraId="1B5D6CB0">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6C44C98C">
            <w:pPr>
              <w:pStyle w:val="52"/>
              <w:spacing w:line="520" w:lineRule="exact"/>
              <w:rPr>
                <w:rStyle w:val="22"/>
                <w:rFonts w:hint="eastAsia" w:ascii="宋体" w:hAnsi="宋体" w:eastAsia="宋体" w:cs="宋体"/>
                <w:color w:val="auto"/>
                <w:sz w:val="24"/>
                <w:szCs w:val="24"/>
              </w:rPr>
            </w:pPr>
          </w:p>
        </w:tc>
        <w:tc>
          <w:tcPr>
            <w:tcW w:w="688" w:type="pct"/>
            <w:noWrap w:val="0"/>
            <w:vAlign w:val="top"/>
          </w:tcPr>
          <w:p w14:paraId="4916FFA2">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5D3A0C63">
            <w:pPr>
              <w:pStyle w:val="52"/>
              <w:spacing w:line="520" w:lineRule="exact"/>
              <w:rPr>
                <w:rStyle w:val="22"/>
                <w:rFonts w:hint="eastAsia" w:ascii="宋体" w:hAnsi="宋体" w:eastAsia="宋体" w:cs="宋体"/>
                <w:color w:val="auto"/>
                <w:sz w:val="24"/>
                <w:szCs w:val="24"/>
              </w:rPr>
            </w:pPr>
          </w:p>
        </w:tc>
        <w:tc>
          <w:tcPr>
            <w:tcW w:w="922" w:type="pct"/>
            <w:noWrap w:val="0"/>
            <w:vAlign w:val="top"/>
          </w:tcPr>
          <w:p w14:paraId="0FAB5245">
            <w:pPr>
              <w:pStyle w:val="52"/>
              <w:spacing w:line="520" w:lineRule="exact"/>
              <w:rPr>
                <w:rStyle w:val="22"/>
                <w:rFonts w:hint="eastAsia" w:ascii="宋体" w:hAnsi="宋体" w:eastAsia="宋体" w:cs="宋体"/>
                <w:color w:val="auto"/>
                <w:sz w:val="24"/>
                <w:szCs w:val="24"/>
              </w:rPr>
            </w:pPr>
          </w:p>
        </w:tc>
      </w:tr>
      <w:tr w14:paraId="15CFE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top"/>
          </w:tcPr>
          <w:p w14:paraId="106034E2">
            <w:pPr>
              <w:pStyle w:val="52"/>
              <w:spacing w:line="520" w:lineRule="exact"/>
              <w:rPr>
                <w:rStyle w:val="22"/>
                <w:rFonts w:hint="eastAsia" w:ascii="宋体" w:hAnsi="宋体" w:eastAsia="宋体" w:cs="宋体"/>
                <w:color w:val="auto"/>
                <w:sz w:val="24"/>
                <w:szCs w:val="24"/>
              </w:rPr>
            </w:pPr>
          </w:p>
        </w:tc>
        <w:tc>
          <w:tcPr>
            <w:tcW w:w="706" w:type="pct"/>
            <w:noWrap w:val="0"/>
            <w:vAlign w:val="top"/>
          </w:tcPr>
          <w:p w14:paraId="11D0978B">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168926B7">
            <w:pPr>
              <w:pStyle w:val="52"/>
              <w:spacing w:line="520" w:lineRule="exact"/>
              <w:rPr>
                <w:rStyle w:val="22"/>
                <w:rFonts w:hint="eastAsia" w:ascii="宋体" w:hAnsi="宋体" w:eastAsia="宋体" w:cs="宋体"/>
                <w:color w:val="auto"/>
                <w:sz w:val="24"/>
                <w:szCs w:val="24"/>
              </w:rPr>
            </w:pPr>
          </w:p>
        </w:tc>
        <w:tc>
          <w:tcPr>
            <w:tcW w:w="688" w:type="pct"/>
            <w:noWrap w:val="0"/>
            <w:vAlign w:val="top"/>
          </w:tcPr>
          <w:p w14:paraId="5364FFD8">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0446A1CA">
            <w:pPr>
              <w:pStyle w:val="52"/>
              <w:spacing w:line="520" w:lineRule="exact"/>
              <w:rPr>
                <w:rStyle w:val="22"/>
                <w:rFonts w:hint="eastAsia" w:ascii="宋体" w:hAnsi="宋体" w:eastAsia="宋体" w:cs="宋体"/>
                <w:color w:val="auto"/>
                <w:sz w:val="24"/>
                <w:szCs w:val="24"/>
              </w:rPr>
            </w:pPr>
          </w:p>
        </w:tc>
        <w:tc>
          <w:tcPr>
            <w:tcW w:w="922" w:type="pct"/>
            <w:noWrap w:val="0"/>
            <w:vAlign w:val="top"/>
          </w:tcPr>
          <w:p w14:paraId="3F0F8D51">
            <w:pPr>
              <w:pStyle w:val="52"/>
              <w:spacing w:line="520" w:lineRule="exact"/>
              <w:rPr>
                <w:rStyle w:val="22"/>
                <w:rFonts w:hint="eastAsia" w:ascii="宋体" w:hAnsi="宋体" w:eastAsia="宋体" w:cs="宋体"/>
                <w:color w:val="auto"/>
                <w:sz w:val="24"/>
                <w:szCs w:val="24"/>
              </w:rPr>
            </w:pPr>
          </w:p>
        </w:tc>
      </w:tr>
      <w:tr w14:paraId="700B7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top"/>
          </w:tcPr>
          <w:p w14:paraId="6CBF43A3">
            <w:pPr>
              <w:pStyle w:val="52"/>
              <w:spacing w:line="520" w:lineRule="exact"/>
              <w:rPr>
                <w:rStyle w:val="22"/>
                <w:rFonts w:hint="eastAsia" w:ascii="宋体" w:hAnsi="宋体" w:eastAsia="宋体" w:cs="宋体"/>
                <w:color w:val="auto"/>
                <w:sz w:val="24"/>
                <w:szCs w:val="24"/>
              </w:rPr>
            </w:pPr>
          </w:p>
        </w:tc>
        <w:tc>
          <w:tcPr>
            <w:tcW w:w="706" w:type="pct"/>
            <w:noWrap w:val="0"/>
            <w:vAlign w:val="top"/>
          </w:tcPr>
          <w:p w14:paraId="64F34631">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5ECA1BAB">
            <w:pPr>
              <w:pStyle w:val="52"/>
              <w:spacing w:line="520" w:lineRule="exact"/>
              <w:rPr>
                <w:rStyle w:val="22"/>
                <w:rFonts w:hint="eastAsia" w:ascii="宋体" w:hAnsi="宋体" w:eastAsia="宋体" w:cs="宋体"/>
                <w:color w:val="auto"/>
                <w:sz w:val="24"/>
                <w:szCs w:val="24"/>
              </w:rPr>
            </w:pPr>
          </w:p>
        </w:tc>
        <w:tc>
          <w:tcPr>
            <w:tcW w:w="688" w:type="pct"/>
            <w:noWrap w:val="0"/>
            <w:vAlign w:val="top"/>
          </w:tcPr>
          <w:p w14:paraId="6C70139B">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1A452DC0">
            <w:pPr>
              <w:pStyle w:val="52"/>
              <w:spacing w:line="520" w:lineRule="exact"/>
              <w:rPr>
                <w:rStyle w:val="22"/>
                <w:rFonts w:hint="eastAsia" w:ascii="宋体" w:hAnsi="宋体" w:eastAsia="宋体" w:cs="宋体"/>
                <w:color w:val="auto"/>
                <w:sz w:val="24"/>
                <w:szCs w:val="24"/>
              </w:rPr>
            </w:pPr>
          </w:p>
        </w:tc>
        <w:tc>
          <w:tcPr>
            <w:tcW w:w="922" w:type="pct"/>
            <w:noWrap w:val="0"/>
            <w:vAlign w:val="top"/>
          </w:tcPr>
          <w:p w14:paraId="459FBE93">
            <w:pPr>
              <w:pStyle w:val="52"/>
              <w:spacing w:line="520" w:lineRule="exact"/>
              <w:rPr>
                <w:rStyle w:val="22"/>
                <w:rFonts w:hint="eastAsia" w:ascii="宋体" w:hAnsi="宋体" w:eastAsia="宋体" w:cs="宋体"/>
                <w:color w:val="auto"/>
                <w:sz w:val="24"/>
                <w:szCs w:val="24"/>
              </w:rPr>
            </w:pPr>
          </w:p>
        </w:tc>
      </w:tr>
      <w:tr w14:paraId="07C4A3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noWrap w:val="0"/>
            <w:vAlign w:val="top"/>
          </w:tcPr>
          <w:p w14:paraId="23DC7637">
            <w:pPr>
              <w:pStyle w:val="52"/>
              <w:spacing w:line="520" w:lineRule="exact"/>
              <w:rPr>
                <w:rStyle w:val="22"/>
                <w:rFonts w:hint="eastAsia" w:ascii="宋体" w:hAnsi="宋体" w:eastAsia="宋体" w:cs="宋体"/>
                <w:color w:val="auto"/>
                <w:sz w:val="24"/>
                <w:szCs w:val="24"/>
              </w:rPr>
            </w:pPr>
          </w:p>
        </w:tc>
        <w:tc>
          <w:tcPr>
            <w:tcW w:w="706" w:type="pct"/>
            <w:noWrap w:val="0"/>
            <w:vAlign w:val="top"/>
          </w:tcPr>
          <w:p w14:paraId="6813E099">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570C16D3">
            <w:pPr>
              <w:pStyle w:val="52"/>
              <w:spacing w:line="520" w:lineRule="exact"/>
              <w:rPr>
                <w:rStyle w:val="22"/>
                <w:rFonts w:hint="eastAsia" w:ascii="宋体" w:hAnsi="宋体" w:eastAsia="宋体" w:cs="宋体"/>
                <w:color w:val="auto"/>
                <w:sz w:val="24"/>
                <w:szCs w:val="24"/>
              </w:rPr>
            </w:pPr>
          </w:p>
        </w:tc>
        <w:tc>
          <w:tcPr>
            <w:tcW w:w="688" w:type="pct"/>
            <w:noWrap w:val="0"/>
            <w:vAlign w:val="top"/>
          </w:tcPr>
          <w:p w14:paraId="6B39CC46">
            <w:pPr>
              <w:pStyle w:val="52"/>
              <w:spacing w:line="520" w:lineRule="exact"/>
              <w:rPr>
                <w:rStyle w:val="22"/>
                <w:rFonts w:hint="eastAsia" w:ascii="宋体" w:hAnsi="宋体" w:eastAsia="宋体" w:cs="宋体"/>
                <w:color w:val="auto"/>
                <w:sz w:val="24"/>
                <w:szCs w:val="24"/>
              </w:rPr>
            </w:pPr>
          </w:p>
        </w:tc>
        <w:tc>
          <w:tcPr>
            <w:tcW w:w="802" w:type="pct"/>
            <w:noWrap w:val="0"/>
            <w:vAlign w:val="top"/>
          </w:tcPr>
          <w:p w14:paraId="3FF31C77">
            <w:pPr>
              <w:pStyle w:val="52"/>
              <w:spacing w:line="520" w:lineRule="exact"/>
              <w:rPr>
                <w:rStyle w:val="22"/>
                <w:rFonts w:hint="eastAsia" w:ascii="宋体" w:hAnsi="宋体" w:eastAsia="宋体" w:cs="宋体"/>
                <w:color w:val="auto"/>
                <w:sz w:val="24"/>
                <w:szCs w:val="24"/>
              </w:rPr>
            </w:pPr>
          </w:p>
        </w:tc>
        <w:tc>
          <w:tcPr>
            <w:tcW w:w="922" w:type="pct"/>
            <w:noWrap w:val="0"/>
            <w:vAlign w:val="top"/>
          </w:tcPr>
          <w:p w14:paraId="64C21A8B">
            <w:pPr>
              <w:pStyle w:val="52"/>
              <w:spacing w:line="520" w:lineRule="exact"/>
              <w:rPr>
                <w:rStyle w:val="22"/>
                <w:rFonts w:hint="eastAsia" w:ascii="宋体" w:hAnsi="宋体" w:eastAsia="宋体" w:cs="宋体"/>
                <w:color w:val="auto"/>
                <w:sz w:val="24"/>
                <w:szCs w:val="24"/>
              </w:rPr>
            </w:pPr>
          </w:p>
        </w:tc>
      </w:tr>
    </w:tbl>
    <w:p w14:paraId="1558757D">
      <w:pPr>
        <w:pStyle w:val="52"/>
        <w:keepNext/>
        <w:keepLines/>
        <w:pageBreakBefore/>
        <w:spacing w:line="520" w:lineRule="exact"/>
        <w:jc w:val="left"/>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附件5：</w:t>
      </w:r>
    </w:p>
    <w:p w14:paraId="3E856A0B">
      <w:pPr>
        <w:pStyle w:val="52"/>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承包人用于本工程施工的机械设备表</w:t>
      </w:r>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90"/>
        <w:gridCol w:w="1209"/>
        <w:gridCol w:w="724"/>
        <w:gridCol w:w="902"/>
        <w:gridCol w:w="751"/>
        <w:gridCol w:w="870"/>
        <w:gridCol w:w="1261"/>
        <w:gridCol w:w="870"/>
        <w:gridCol w:w="785"/>
      </w:tblGrid>
      <w:tr w14:paraId="179679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92" w:type="pct"/>
            <w:tcBorders>
              <w:top w:val="single" w:color="auto" w:sz="12" w:space="0"/>
              <w:bottom w:val="double" w:color="auto" w:sz="6" w:space="0"/>
            </w:tcBorders>
            <w:noWrap w:val="0"/>
            <w:vAlign w:val="center"/>
          </w:tcPr>
          <w:p w14:paraId="05D11998">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序号</w:t>
            </w:r>
          </w:p>
        </w:tc>
        <w:tc>
          <w:tcPr>
            <w:tcW w:w="723" w:type="pct"/>
            <w:tcBorders>
              <w:top w:val="single" w:color="auto" w:sz="12" w:space="0"/>
              <w:bottom w:val="double" w:color="auto" w:sz="6" w:space="0"/>
            </w:tcBorders>
            <w:noWrap w:val="0"/>
            <w:vAlign w:val="center"/>
          </w:tcPr>
          <w:p w14:paraId="71DCCE34">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机械或设备名称</w:t>
            </w:r>
          </w:p>
        </w:tc>
        <w:tc>
          <w:tcPr>
            <w:tcW w:w="433" w:type="pct"/>
            <w:tcBorders>
              <w:top w:val="single" w:color="auto" w:sz="12" w:space="0"/>
              <w:bottom w:val="double" w:color="auto" w:sz="6" w:space="0"/>
            </w:tcBorders>
            <w:noWrap w:val="0"/>
            <w:vAlign w:val="center"/>
          </w:tcPr>
          <w:p w14:paraId="0CE423CD">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规格型号</w:t>
            </w:r>
          </w:p>
        </w:tc>
        <w:tc>
          <w:tcPr>
            <w:tcW w:w="539" w:type="pct"/>
            <w:tcBorders>
              <w:top w:val="single" w:color="auto" w:sz="12" w:space="0"/>
              <w:bottom w:val="double" w:color="auto" w:sz="6" w:space="0"/>
            </w:tcBorders>
            <w:noWrap w:val="0"/>
            <w:vAlign w:val="center"/>
          </w:tcPr>
          <w:p w14:paraId="6337C3E0">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数量</w:t>
            </w:r>
          </w:p>
        </w:tc>
        <w:tc>
          <w:tcPr>
            <w:tcW w:w="449" w:type="pct"/>
            <w:tcBorders>
              <w:top w:val="single" w:color="auto" w:sz="12" w:space="0"/>
              <w:bottom w:val="double" w:color="auto" w:sz="6" w:space="0"/>
            </w:tcBorders>
            <w:noWrap w:val="0"/>
            <w:vAlign w:val="center"/>
          </w:tcPr>
          <w:p w14:paraId="66B7425D">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产地</w:t>
            </w:r>
          </w:p>
        </w:tc>
        <w:tc>
          <w:tcPr>
            <w:tcW w:w="520" w:type="pct"/>
            <w:tcBorders>
              <w:top w:val="single" w:color="auto" w:sz="12" w:space="0"/>
              <w:bottom w:val="double" w:color="auto" w:sz="6" w:space="0"/>
            </w:tcBorders>
            <w:noWrap w:val="0"/>
            <w:vAlign w:val="center"/>
          </w:tcPr>
          <w:p w14:paraId="3094418A">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制造年份</w:t>
            </w:r>
          </w:p>
        </w:tc>
        <w:tc>
          <w:tcPr>
            <w:tcW w:w="754" w:type="pct"/>
            <w:tcBorders>
              <w:top w:val="single" w:color="auto" w:sz="12" w:space="0"/>
              <w:bottom w:val="double" w:color="auto" w:sz="6" w:space="0"/>
            </w:tcBorders>
            <w:noWrap w:val="0"/>
            <w:vAlign w:val="center"/>
          </w:tcPr>
          <w:p w14:paraId="57CB0871">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额定功率(kW)</w:t>
            </w:r>
          </w:p>
        </w:tc>
        <w:tc>
          <w:tcPr>
            <w:tcW w:w="520" w:type="pct"/>
            <w:tcBorders>
              <w:top w:val="single" w:color="auto" w:sz="12" w:space="0"/>
              <w:bottom w:val="double" w:color="auto" w:sz="6" w:space="0"/>
            </w:tcBorders>
            <w:noWrap w:val="0"/>
            <w:vAlign w:val="center"/>
          </w:tcPr>
          <w:p w14:paraId="7DFFC786">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生产能力</w:t>
            </w:r>
          </w:p>
        </w:tc>
        <w:tc>
          <w:tcPr>
            <w:tcW w:w="469" w:type="pct"/>
            <w:tcBorders>
              <w:top w:val="single" w:color="auto" w:sz="12" w:space="0"/>
              <w:bottom w:val="double" w:color="auto" w:sz="6" w:space="0"/>
            </w:tcBorders>
            <w:noWrap w:val="0"/>
            <w:vAlign w:val="center"/>
          </w:tcPr>
          <w:p w14:paraId="7DD734F8">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备注</w:t>
            </w:r>
          </w:p>
        </w:tc>
      </w:tr>
      <w:tr w14:paraId="1C410F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Borders>
              <w:top w:val="double" w:color="auto" w:sz="6" w:space="0"/>
              <w:bottom w:val="single" w:color="auto" w:sz="6" w:space="0"/>
            </w:tcBorders>
            <w:noWrap w:val="0"/>
            <w:vAlign w:val="center"/>
          </w:tcPr>
          <w:p w14:paraId="09BCEA3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tcBorders>
              <w:top w:val="double" w:color="auto" w:sz="6" w:space="0"/>
              <w:bottom w:val="single" w:color="auto" w:sz="6" w:space="0"/>
            </w:tcBorders>
            <w:noWrap w:val="0"/>
            <w:vAlign w:val="center"/>
          </w:tcPr>
          <w:p w14:paraId="275DCDC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3" w:type="pct"/>
            <w:tcBorders>
              <w:top w:val="double" w:color="auto" w:sz="6" w:space="0"/>
              <w:bottom w:val="single" w:color="auto" w:sz="6" w:space="0"/>
            </w:tcBorders>
            <w:noWrap w:val="0"/>
            <w:vAlign w:val="center"/>
          </w:tcPr>
          <w:p w14:paraId="6A0AEE0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39" w:type="pct"/>
            <w:tcBorders>
              <w:top w:val="double" w:color="auto" w:sz="6" w:space="0"/>
              <w:bottom w:val="single" w:color="auto" w:sz="6" w:space="0"/>
            </w:tcBorders>
            <w:noWrap w:val="0"/>
            <w:vAlign w:val="center"/>
          </w:tcPr>
          <w:p w14:paraId="32EC9A4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49" w:type="pct"/>
            <w:tcBorders>
              <w:top w:val="double" w:color="auto" w:sz="6" w:space="0"/>
              <w:bottom w:val="single" w:color="auto" w:sz="6" w:space="0"/>
            </w:tcBorders>
            <w:noWrap w:val="0"/>
            <w:vAlign w:val="center"/>
          </w:tcPr>
          <w:p w14:paraId="03373A1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tcBorders>
              <w:top w:val="double" w:color="auto" w:sz="6" w:space="0"/>
              <w:bottom w:val="single" w:color="auto" w:sz="6" w:space="0"/>
            </w:tcBorders>
            <w:noWrap w:val="0"/>
            <w:vAlign w:val="center"/>
          </w:tcPr>
          <w:p w14:paraId="5A41E5B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54" w:type="pct"/>
            <w:tcBorders>
              <w:top w:val="double" w:color="auto" w:sz="6" w:space="0"/>
              <w:bottom w:val="single" w:color="auto" w:sz="6" w:space="0"/>
            </w:tcBorders>
            <w:noWrap w:val="0"/>
            <w:vAlign w:val="center"/>
          </w:tcPr>
          <w:p w14:paraId="2E86AC9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tcBorders>
              <w:top w:val="double" w:color="auto" w:sz="6" w:space="0"/>
              <w:bottom w:val="single" w:color="auto" w:sz="6" w:space="0"/>
            </w:tcBorders>
            <w:noWrap w:val="0"/>
            <w:vAlign w:val="center"/>
          </w:tcPr>
          <w:p w14:paraId="7B531E1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9" w:type="pct"/>
            <w:tcBorders>
              <w:top w:val="double" w:color="auto" w:sz="6" w:space="0"/>
              <w:bottom w:val="single" w:color="auto" w:sz="6" w:space="0"/>
            </w:tcBorders>
            <w:noWrap w:val="0"/>
            <w:vAlign w:val="center"/>
          </w:tcPr>
          <w:p w14:paraId="63E733EC">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DAF5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Borders>
              <w:top w:val="nil"/>
            </w:tcBorders>
            <w:noWrap w:val="0"/>
            <w:vAlign w:val="center"/>
          </w:tcPr>
          <w:p w14:paraId="7E2F78E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tcBorders>
              <w:top w:val="nil"/>
            </w:tcBorders>
            <w:noWrap w:val="0"/>
            <w:vAlign w:val="center"/>
          </w:tcPr>
          <w:p w14:paraId="36F3F61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3" w:type="pct"/>
            <w:tcBorders>
              <w:top w:val="nil"/>
            </w:tcBorders>
            <w:noWrap w:val="0"/>
            <w:vAlign w:val="center"/>
          </w:tcPr>
          <w:p w14:paraId="51D17C5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39" w:type="pct"/>
            <w:tcBorders>
              <w:top w:val="nil"/>
            </w:tcBorders>
            <w:noWrap w:val="0"/>
            <w:vAlign w:val="center"/>
          </w:tcPr>
          <w:p w14:paraId="0EEE65A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49" w:type="pct"/>
            <w:tcBorders>
              <w:top w:val="nil"/>
            </w:tcBorders>
            <w:noWrap w:val="0"/>
            <w:vAlign w:val="center"/>
          </w:tcPr>
          <w:p w14:paraId="4F9241F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tcBorders>
              <w:top w:val="nil"/>
            </w:tcBorders>
            <w:noWrap w:val="0"/>
            <w:vAlign w:val="center"/>
          </w:tcPr>
          <w:p w14:paraId="2F39113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54" w:type="pct"/>
            <w:tcBorders>
              <w:top w:val="nil"/>
            </w:tcBorders>
            <w:noWrap w:val="0"/>
            <w:vAlign w:val="center"/>
          </w:tcPr>
          <w:p w14:paraId="27A79E4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tcBorders>
              <w:top w:val="nil"/>
            </w:tcBorders>
            <w:noWrap w:val="0"/>
            <w:vAlign w:val="center"/>
          </w:tcPr>
          <w:p w14:paraId="57D7603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9" w:type="pct"/>
            <w:tcBorders>
              <w:top w:val="nil"/>
            </w:tcBorders>
            <w:noWrap w:val="0"/>
            <w:vAlign w:val="center"/>
          </w:tcPr>
          <w:p w14:paraId="1DA2E572">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7D78C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center"/>
          </w:tcPr>
          <w:p w14:paraId="1313D16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25D46D2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3" w:type="pct"/>
            <w:noWrap w:val="0"/>
            <w:vAlign w:val="center"/>
          </w:tcPr>
          <w:p w14:paraId="671B788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39" w:type="pct"/>
            <w:noWrap w:val="0"/>
            <w:vAlign w:val="center"/>
          </w:tcPr>
          <w:p w14:paraId="4A485C1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49" w:type="pct"/>
            <w:noWrap w:val="0"/>
            <w:vAlign w:val="center"/>
          </w:tcPr>
          <w:p w14:paraId="7AD7F69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1567373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54" w:type="pct"/>
            <w:noWrap w:val="0"/>
            <w:vAlign w:val="center"/>
          </w:tcPr>
          <w:p w14:paraId="56E5B1B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1F44800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9" w:type="pct"/>
            <w:noWrap w:val="0"/>
            <w:vAlign w:val="center"/>
          </w:tcPr>
          <w:p w14:paraId="042280EA">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516F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center"/>
          </w:tcPr>
          <w:p w14:paraId="639C48C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5CCADEB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3" w:type="pct"/>
            <w:noWrap w:val="0"/>
            <w:vAlign w:val="center"/>
          </w:tcPr>
          <w:p w14:paraId="22C6290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39" w:type="pct"/>
            <w:noWrap w:val="0"/>
            <w:vAlign w:val="center"/>
          </w:tcPr>
          <w:p w14:paraId="485E647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49" w:type="pct"/>
            <w:noWrap w:val="0"/>
            <w:vAlign w:val="center"/>
          </w:tcPr>
          <w:p w14:paraId="49F9D74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02C2ED3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54" w:type="pct"/>
            <w:noWrap w:val="0"/>
            <w:vAlign w:val="center"/>
          </w:tcPr>
          <w:p w14:paraId="7B72371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511674A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9" w:type="pct"/>
            <w:noWrap w:val="0"/>
            <w:vAlign w:val="center"/>
          </w:tcPr>
          <w:p w14:paraId="77E41D1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D6260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center"/>
          </w:tcPr>
          <w:p w14:paraId="2C8E440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3840772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3" w:type="pct"/>
            <w:noWrap w:val="0"/>
            <w:vAlign w:val="center"/>
          </w:tcPr>
          <w:p w14:paraId="64C5B66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39" w:type="pct"/>
            <w:noWrap w:val="0"/>
            <w:vAlign w:val="center"/>
          </w:tcPr>
          <w:p w14:paraId="525FC5E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49" w:type="pct"/>
            <w:noWrap w:val="0"/>
            <w:vAlign w:val="center"/>
          </w:tcPr>
          <w:p w14:paraId="59E5058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7AA3612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54" w:type="pct"/>
            <w:noWrap w:val="0"/>
            <w:vAlign w:val="center"/>
          </w:tcPr>
          <w:p w14:paraId="5495F28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59B3097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9" w:type="pct"/>
            <w:noWrap w:val="0"/>
            <w:vAlign w:val="center"/>
          </w:tcPr>
          <w:p w14:paraId="54B46ACC">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95BD1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center"/>
          </w:tcPr>
          <w:p w14:paraId="6411AD9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16021B6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3" w:type="pct"/>
            <w:noWrap w:val="0"/>
            <w:vAlign w:val="center"/>
          </w:tcPr>
          <w:p w14:paraId="46A492F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39" w:type="pct"/>
            <w:noWrap w:val="0"/>
            <w:vAlign w:val="center"/>
          </w:tcPr>
          <w:p w14:paraId="72E4315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49" w:type="pct"/>
            <w:noWrap w:val="0"/>
            <w:vAlign w:val="center"/>
          </w:tcPr>
          <w:p w14:paraId="2378BD7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0CE1533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54" w:type="pct"/>
            <w:noWrap w:val="0"/>
            <w:vAlign w:val="center"/>
          </w:tcPr>
          <w:p w14:paraId="6A1492F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3F537A0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9" w:type="pct"/>
            <w:noWrap w:val="0"/>
            <w:vAlign w:val="center"/>
          </w:tcPr>
          <w:p w14:paraId="441B2AE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9F60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center"/>
          </w:tcPr>
          <w:p w14:paraId="6AB0AAF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7937B37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3" w:type="pct"/>
            <w:noWrap w:val="0"/>
            <w:vAlign w:val="center"/>
          </w:tcPr>
          <w:p w14:paraId="75427DD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39" w:type="pct"/>
            <w:noWrap w:val="0"/>
            <w:vAlign w:val="center"/>
          </w:tcPr>
          <w:p w14:paraId="237B5BE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49" w:type="pct"/>
            <w:noWrap w:val="0"/>
            <w:vAlign w:val="center"/>
          </w:tcPr>
          <w:p w14:paraId="68A2733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5545B89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54" w:type="pct"/>
            <w:noWrap w:val="0"/>
            <w:vAlign w:val="center"/>
          </w:tcPr>
          <w:p w14:paraId="77BB179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2368832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9" w:type="pct"/>
            <w:noWrap w:val="0"/>
            <w:vAlign w:val="center"/>
          </w:tcPr>
          <w:p w14:paraId="3C531C3A">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F237E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center"/>
          </w:tcPr>
          <w:p w14:paraId="7366298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61C8749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3" w:type="pct"/>
            <w:noWrap w:val="0"/>
            <w:vAlign w:val="center"/>
          </w:tcPr>
          <w:p w14:paraId="0785AD2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39" w:type="pct"/>
            <w:noWrap w:val="0"/>
            <w:vAlign w:val="center"/>
          </w:tcPr>
          <w:p w14:paraId="179EF09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49" w:type="pct"/>
            <w:noWrap w:val="0"/>
            <w:vAlign w:val="center"/>
          </w:tcPr>
          <w:p w14:paraId="4BB14DF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206C333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54" w:type="pct"/>
            <w:noWrap w:val="0"/>
            <w:vAlign w:val="center"/>
          </w:tcPr>
          <w:p w14:paraId="1AF7AAA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2D17AB5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9" w:type="pct"/>
            <w:noWrap w:val="0"/>
            <w:vAlign w:val="center"/>
          </w:tcPr>
          <w:p w14:paraId="6669345E">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0DC4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top"/>
          </w:tcPr>
          <w:p w14:paraId="490D984E">
            <w:pPr>
              <w:pStyle w:val="52"/>
              <w:spacing w:line="520" w:lineRule="exact"/>
              <w:rPr>
                <w:rStyle w:val="22"/>
                <w:rFonts w:hint="eastAsia" w:ascii="宋体" w:hAnsi="宋体" w:eastAsia="宋体" w:cs="宋体"/>
                <w:color w:val="auto"/>
                <w:sz w:val="24"/>
                <w:szCs w:val="24"/>
              </w:rPr>
            </w:pPr>
          </w:p>
        </w:tc>
        <w:tc>
          <w:tcPr>
            <w:tcW w:w="723" w:type="pct"/>
            <w:noWrap w:val="0"/>
            <w:vAlign w:val="top"/>
          </w:tcPr>
          <w:p w14:paraId="54861F68">
            <w:pPr>
              <w:pStyle w:val="52"/>
              <w:spacing w:line="520" w:lineRule="exact"/>
              <w:rPr>
                <w:rStyle w:val="22"/>
                <w:rFonts w:hint="eastAsia" w:ascii="宋体" w:hAnsi="宋体" w:eastAsia="宋体" w:cs="宋体"/>
                <w:color w:val="auto"/>
                <w:sz w:val="24"/>
                <w:szCs w:val="24"/>
              </w:rPr>
            </w:pPr>
          </w:p>
        </w:tc>
        <w:tc>
          <w:tcPr>
            <w:tcW w:w="433" w:type="pct"/>
            <w:noWrap w:val="0"/>
            <w:vAlign w:val="top"/>
          </w:tcPr>
          <w:p w14:paraId="105B162A">
            <w:pPr>
              <w:pStyle w:val="52"/>
              <w:spacing w:line="520" w:lineRule="exact"/>
              <w:rPr>
                <w:rStyle w:val="22"/>
                <w:rFonts w:hint="eastAsia" w:ascii="宋体" w:hAnsi="宋体" w:eastAsia="宋体" w:cs="宋体"/>
                <w:color w:val="auto"/>
                <w:sz w:val="24"/>
                <w:szCs w:val="24"/>
              </w:rPr>
            </w:pPr>
          </w:p>
        </w:tc>
        <w:tc>
          <w:tcPr>
            <w:tcW w:w="539" w:type="pct"/>
            <w:noWrap w:val="0"/>
            <w:vAlign w:val="top"/>
          </w:tcPr>
          <w:p w14:paraId="0DD20C8D">
            <w:pPr>
              <w:pStyle w:val="52"/>
              <w:spacing w:line="520" w:lineRule="exact"/>
              <w:rPr>
                <w:rStyle w:val="22"/>
                <w:rFonts w:hint="eastAsia" w:ascii="宋体" w:hAnsi="宋体" w:eastAsia="宋体" w:cs="宋体"/>
                <w:color w:val="auto"/>
                <w:sz w:val="24"/>
                <w:szCs w:val="24"/>
              </w:rPr>
            </w:pPr>
          </w:p>
        </w:tc>
        <w:tc>
          <w:tcPr>
            <w:tcW w:w="449" w:type="pct"/>
            <w:noWrap w:val="0"/>
            <w:vAlign w:val="top"/>
          </w:tcPr>
          <w:p w14:paraId="5A07B95C">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573831F7">
            <w:pPr>
              <w:pStyle w:val="52"/>
              <w:spacing w:line="520" w:lineRule="exact"/>
              <w:rPr>
                <w:rStyle w:val="22"/>
                <w:rFonts w:hint="eastAsia" w:ascii="宋体" w:hAnsi="宋体" w:eastAsia="宋体" w:cs="宋体"/>
                <w:color w:val="auto"/>
                <w:sz w:val="24"/>
                <w:szCs w:val="24"/>
              </w:rPr>
            </w:pPr>
          </w:p>
        </w:tc>
        <w:tc>
          <w:tcPr>
            <w:tcW w:w="754" w:type="pct"/>
            <w:noWrap w:val="0"/>
            <w:vAlign w:val="top"/>
          </w:tcPr>
          <w:p w14:paraId="5BD0630F">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0F8F8925">
            <w:pPr>
              <w:pStyle w:val="52"/>
              <w:spacing w:line="520" w:lineRule="exact"/>
              <w:rPr>
                <w:rStyle w:val="22"/>
                <w:rFonts w:hint="eastAsia" w:ascii="宋体" w:hAnsi="宋体" w:eastAsia="宋体" w:cs="宋体"/>
                <w:color w:val="auto"/>
                <w:sz w:val="24"/>
                <w:szCs w:val="24"/>
              </w:rPr>
            </w:pPr>
          </w:p>
        </w:tc>
        <w:tc>
          <w:tcPr>
            <w:tcW w:w="469" w:type="pct"/>
            <w:noWrap w:val="0"/>
            <w:vAlign w:val="top"/>
          </w:tcPr>
          <w:p w14:paraId="3CF9F916">
            <w:pPr>
              <w:pStyle w:val="52"/>
              <w:spacing w:line="520" w:lineRule="exact"/>
              <w:rPr>
                <w:rStyle w:val="22"/>
                <w:rFonts w:hint="eastAsia" w:ascii="宋体" w:hAnsi="宋体" w:eastAsia="宋体" w:cs="宋体"/>
                <w:color w:val="auto"/>
                <w:sz w:val="24"/>
                <w:szCs w:val="24"/>
              </w:rPr>
            </w:pPr>
          </w:p>
        </w:tc>
      </w:tr>
      <w:tr w14:paraId="5B187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center"/>
          </w:tcPr>
          <w:p w14:paraId="100278F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1F3DF30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33" w:type="pct"/>
            <w:noWrap w:val="0"/>
            <w:vAlign w:val="center"/>
          </w:tcPr>
          <w:p w14:paraId="203D28D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39" w:type="pct"/>
            <w:noWrap w:val="0"/>
            <w:vAlign w:val="center"/>
          </w:tcPr>
          <w:p w14:paraId="2BD7DBD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49" w:type="pct"/>
            <w:noWrap w:val="0"/>
            <w:vAlign w:val="center"/>
          </w:tcPr>
          <w:p w14:paraId="22CC5F2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58A7BF5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54" w:type="pct"/>
            <w:noWrap w:val="0"/>
            <w:vAlign w:val="center"/>
          </w:tcPr>
          <w:p w14:paraId="6BD0C85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20" w:type="pct"/>
            <w:noWrap w:val="0"/>
            <w:vAlign w:val="center"/>
          </w:tcPr>
          <w:p w14:paraId="0161657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9" w:type="pct"/>
            <w:noWrap w:val="0"/>
            <w:vAlign w:val="center"/>
          </w:tcPr>
          <w:p w14:paraId="247FCDED">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15E3D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top"/>
          </w:tcPr>
          <w:p w14:paraId="0075DAC7">
            <w:pPr>
              <w:pStyle w:val="52"/>
              <w:spacing w:line="520" w:lineRule="exact"/>
              <w:rPr>
                <w:rStyle w:val="22"/>
                <w:rFonts w:hint="eastAsia" w:ascii="宋体" w:hAnsi="宋体" w:eastAsia="宋体" w:cs="宋体"/>
                <w:color w:val="auto"/>
                <w:sz w:val="24"/>
                <w:szCs w:val="24"/>
              </w:rPr>
            </w:pPr>
          </w:p>
        </w:tc>
        <w:tc>
          <w:tcPr>
            <w:tcW w:w="723" w:type="pct"/>
            <w:noWrap w:val="0"/>
            <w:vAlign w:val="top"/>
          </w:tcPr>
          <w:p w14:paraId="6B1A24AF">
            <w:pPr>
              <w:pStyle w:val="52"/>
              <w:spacing w:line="520" w:lineRule="exact"/>
              <w:rPr>
                <w:rStyle w:val="22"/>
                <w:rFonts w:hint="eastAsia" w:ascii="宋体" w:hAnsi="宋体" w:eastAsia="宋体" w:cs="宋体"/>
                <w:color w:val="auto"/>
                <w:sz w:val="24"/>
                <w:szCs w:val="24"/>
              </w:rPr>
            </w:pPr>
          </w:p>
        </w:tc>
        <w:tc>
          <w:tcPr>
            <w:tcW w:w="433" w:type="pct"/>
            <w:noWrap w:val="0"/>
            <w:vAlign w:val="top"/>
          </w:tcPr>
          <w:p w14:paraId="2F151289">
            <w:pPr>
              <w:pStyle w:val="52"/>
              <w:spacing w:line="520" w:lineRule="exact"/>
              <w:rPr>
                <w:rStyle w:val="22"/>
                <w:rFonts w:hint="eastAsia" w:ascii="宋体" w:hAnsi="宋体" w:eastAsia="宋体" w:cs="宋体"/>
                <w:color w:val="auto"/>
                <w:sz w:val="24"/>
                <w:szCs w:val="24"/>
              </w:rPr>
            </w:pPr>
          </w:p>
        </w:tc>
        <w:tc>
          <w:tcPr>
            <w:tcW w:w="539" w:type="pct"/>
            <w:noWrap w:val="0"/>
            <w:vAlign w:val="top"/>
          </w:tcPr>
          <w:p w14:paraId="4E693151">
            <w:pPr>
              <w:pStyle w:val="52"/>
              <w:spacing w:line="520" w:lineRule="exact"/>
              <w:rPr>
                <w:rStyle w:val="22"/>
                <w:rFonts w:hint="eastAsia" w:ascii="宋体" w:hAnsi="宋体" w:eastAsia="宋体" w:cs="宋体"/>
                <w:color w:val="auto"/>
                <w:sz w:val="24"/>
                <w:szCs w:val="24"/>
              </w:rPr>
            </w:pPr>
          </w:p>
        </w:tc>
        <w:tc>
          <w:tcPr>
            <w:tcW w:w="449" w:type="pct"/>
            <w:noWrap w:val="0"/>
            <w:vAlign w:val="top"/>
          </w:tcPr>
          <w:p w14:paraId="4F35DEDE">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56ECF71D">
            <w:pPr>
              <w:pStyle w:val="52"/>
              <w:spacing w:line="520" w:lineRule="exact"/>
              <w:rPr>
                <w:rStyle w:val="22"/>
                <w:rFonts w:hint="eastAsia" w:ascii="宋体" w:hAnsi="宋体" w:eastAsia="宋体" w:cs="宋体"/>
                <w:color w:val="auto"/>
                <w:sz w:val="24"/>
                <w:szCs w:val="24"/>
              </w:rPr>
            </w:pPr>
          </w:p>
        </w:tc>
        <w:tc>
          <w:tcPr>
            <w:tcW w:w="754" w:type="pct"/>
            <w:noWrap w:val="0"/>
            <w:vAlign w:val="top"/>
          </w:tcPr>
          <w:p w14:paraId="0E16EE56">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545EA65B">
            <w:pPr>
              <w:pStyle w:val="52"/>
              <w:spacing w:line="520" w:lineRule="exact"/>
              <w:rPr>
                <w:rStyle w:val="22"/>
                <w:rFonts w:hint="eastAsia" w:ascii="宋体" w:hAnsi="宋体" w:eastAsia="宋体" w:cs="宋体"/>
                <w:color w:val="auto"/>
                <w:sz w:val="24"/>
                <w:szCs w:val="24"/>
              </w:rPr>
            </w:pPr>
          </w:p>
        </w:tc>
        <w:tc>
          <w:tcPr>
            <w:tcW w:w="469" w:type="pct"/>
            <w:noWrap w:val="0"/>
            <w:vAlign w:val="top"/>
          </w:tcPr>
          <w:p w14:paraId="299171A3">
            <w:pPr>
              <w:pStyle w:val="52"/>
              <w:spacing w:line="520" w:lineRule="exact"/>
              <w:rPr>
                <w:rStyle w:val="22"/>
                <w:rFonts w:hint="eastAsia" w:ascii="宋体" w:hAnsi="宋体" w:eastAsia="宋体" w:cs="宋体"/>
                <w:color w:val="auto"/>
                <w:sz w:val="24"/>
                <w:szCs w:val="24"/>
              </w:rPr>
            </w:pPr>
          </w:p>
        </w:tc>
      </w:tr>
      <w:tr w14:paraId="604C3F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top"/>
          </w:tcPr>
          <w:p w14:paraId="78E38500">
            <w:pPr>
              <w:pStyle w:val="52"/>
              <w:spacing w:line="520" w:lineRule="exact"/>
              <w:rPr>
                <w:rStyle w:val="22"/>
                <w:rFonts w:hint="eastAsia" w:ascii="宋体" w:hAnsi="宋体" w:eastAsia="宋体" w:cs="宋体"/>
                <w:color w:val="auto"/>
                <w:sz w:val="24"/>
                <w:szCs w:val="24"/>
              </w:rPr>
            </w:pPr>
          </w:p>
        </w:tc>
        <w:tc>
          <w:tcPr>
            <w:tcW w:w="723" w:type="pct"/>
            <w:noWrap w:val="0"/>
            <w:vAlign w:val="top"/>
          </w:tcPr>
          <w:p w14:paraId="7C2ABBFA">
            <w:pPr>
              <w:pStyle w:val="52"/>
              <w:spacing w:line="520" w:lineRule="exact"/>
              <w:rPr>
                <w:rStyle w:val="22"/>
                <w:rFonts w:hint="eastAsia" w:ascii="宋体" w:hAnsi="宋体" w:eastAsia="宋体" w:cs="宋体"/>
                <w:color w:val="auto"/>
                <w:sz w:val="24"/>
                <w:szCs w:val="24"/>
              </w:rPr>
            </w:pPr>
          </w:p>
        </w:tc>
        <w:tc>
          <w:tcPr>
            <w:tcW w:w="433" w:type="pct"/>
            <w:noWrap w:val="0"/>
            <w:vAlign w:val="top"/>
          </w:tcPr>
          <w:p w14:paraId="3CD538BA">
            <w:pPr>
              <w:pStyle w:val="52"/>
              <w:spacing w:line="520" w:lineRule="exact"/>
              <w:rPr>
                <w:rStyle w:val="22"/>
                <w:rFonts w:hint="eastAsia" w:ascii="宋体" w:hAnsi="宋体" w:eastAsia="宋体" w:cs="宋体"/>
                <w:color w:val="auto"/>
                <w:sz w:val="24"/>
                <w:szCs w:val="24"/>
              </w:rPr>
            </w:pPr>
          </w:p>
        </w:tc>
        <w:tc>
          <w:tcPr>
            <w:tcW w:w="539" w:type="pct"/>
            <w:noWrap w:val="0"/>
            <w:vAlign w:val="top"/>
          </w:tcPr>
          <w:p w14:paraId="6FC34EFD">
            <w:pPr>
              <w:pStyle w:val="52"/>
              <w:spacing w:line="520" w:lineRule="exact"/>
              <w:rPr>
                <w:rStyle w:val="22"/>
                <w:rFonts w:hint="eastAsia" w:ascii="宋体" w:hAnsi="宋体" w:eastAsia="宋体" w:cs="宋体"/>
                <w:color w:val="auto"/>
                <w:sz w:val="24"/>
                <w:szCs w:val="24"/>
              </w:rPr>
            </w:pPr>
          </w:p>
        </w:tc>
        <w:tc>
          <w:tcPr>
            <w:tcW w:w="449" w:type="pct"/>
            <w:noWrap w:val="0"/>
            <w:vAlign w:val="top"/>
          </w:tcPr>
          <w:p w14:paraId="4D0A94BD">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06F8F158">
            <w:pPr>
              <w:pStyle w:val="52"/>
              <w:spacing w:line="520" w:lineRule="exact"/>
              <w:rPr>
                <w:rStyle w:val="22"/>
                <w:rFonts w:hint="eastAsia" w:ascii="宋体" w:hAnsi="宋体" w:eastAsia="宋体" w:cs="宋体"/>
                <w:color w:val="auto"/>
                <w:sz w:val="24"/>
                <w:szCs w:val="24"/>
              </w:rPr>
            </w:pPr>
          </w:p>
        </w:tc>
        <w:tc>
          <w:tcPr>
            <w:tcW w:w="754" w:type="pct"/>
            <w:noWrap w:val="0"/>
            <w:vAlign w:val="top"/>
          </w:tcPr>
          <w:p w14:paraId="1B01D81A">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5E8DF443">
            <w:pPr>
              <w:pStyle w:val="52"/>
              <w:spacing w:line="520" w:lineRule="exact"/>
              <w:rPr>
                <w:rStyle w:val="22"/>
                <w:rFonts w:hint="eastAsia" w:ascii="宋体" w:hAnsi="宋体" w:eastAsia="宋体" w:cs="宋体"/>
                <w:color w:val="auto"/>
                <w:sz w:val="24"/>
                <w:szCs w:val="24"/>
              </w:rPr>
            </w:pPr>
          </w:p>
        </w:tc>
        <w:tc>
          <w:tcPr>
            <w:tcW w:w="469" w:type="pct"/>
            <w:noWrap w:val="0"/>
            <w:vAlign w:val="top"/>
          </w:tcPr>
          <w:p w14:paraId="0B5D3923">
            <w:pPr>
              <w:pStyle w:val="52"/>
              <w:spacing w:line="520" w:lineRule="exact"/>
              <w:rPr>
                <w:rStyle w:val="22"/>
                <w:rFonts w:hint="eastAsia" w:ascii="宋体" w:hAnsi="宋体" w:eastAsia="宋体" w:cs="宋体"/>
                <w:color w:val="auto"/>
                <w:sz w:val="24"/>
                <w:szCs w:val="24"/>
              </w:rPr>
            </w:pPr>
          </w:p>
        </w:tc>
      </w:tr>
      <w:tr w14:paraId="0A2A6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top"/>
          </w:tcPr>
          <w:p w14:paraId="6DA56908">
            <w:pPr>
              <w:pStyle w:val="52"/>
              <w:spacing w:line="520" w:lineRule="exact"/>
              <w:rPr>
                <w:rStyle w:val="22"/>
                <w:rFonts w:hint="eastAsia" w:ascii="宋体" w:hAnsi="宋体" w:eastAsia="宋体" w:cs="宋体"/>
                <w:color w:val="auto"/>
                <w:sz w:val="24"/>
                <w:szCs w:val="24"/>
              </w:rPr>
            </w:pPr>
          </w:p>
        </w:tc>
        <w:tc>
          <w:tcPr>
            <w:tcW w:w="723" w:type="pct"/>
            <w:noWrap w:val="0"/>
            <w:vAlign w:val="top"/>
          </w:tcPr>
          <w:p w14:paraId="79B782EF">
            <w:pPr>
              <w:pStyle w:val="52"/>
              <w:spacing w:line="520" w:lineRule="exact"/>
              <w:rPr>
                <w:rStyle w:val="22"/>
                <w:rFonts w:hint="eastAsia" w:ascii="宋体" w:hAnsi="宋体" w:eastAsia="宋体" w:cs="宋体"/>
                <w:color w:val="auto"/>
                <w:sz w:val="24"/>
                <w:szCs w:val="24"/>
              </w:rPr>
            </w:pPr>
          </w:p>
        </w:tc>
        <w:tc>
          <w:tcPr>
            <w:tcW w:w="433" w:type="pct"/>
            <w:noWrap w:val="0"/>
            <w:vAlign w:val="top"/>
          </w:tcPr>
          <w:p w14:paraId="592446EB">
            <w:pPr>
              <w:pStyle w:val="52"/>
              <w:spacing w:line="520" w:lineRule="exact"/>
              <w:rPr>
                <w:rStyle w:val="22"/>
                <w:rFonts w:hint="eastAsia" w:ascii="宋体" w:hAnsi="宋体" w:eastAsia="宋体" w:cs="宋体"/>
                <w:color w:val="auto"/>
                <w:sz w:val="24"/>
                <w:szCs w:val="24"/>
              </w:rPr>
            </w:pPr>
          </w:p>
        </w:tc>
        <w:tc>
          <w:tcPr>
            <w:tcW w:w="539" w:type="pct"/>
            <w:noWrap w:val="0"/>
            <w:vAlign w:val="top"/>
          </w:tcPr>
          <w:p w14:paraId="59666EAE">
            <w:pPr>
              <w:pStyle w:val="52"/>
              <w:spacing w:line="520" w:lineRule="exact"/>
              <w:rPr>
                <w:rStyle w:val="22"/>
                <w:rFonts w:hint="eastAsia" w:ascii="宋体" w:hAnsi="宋体" w:eastAsia="宋体" w:cs="宋体"/>
                <w:color w:val="auto"/>
                <w:sz w:val="24"/>
                <w:szCs w:val="24"/>
              </w:rPr>
            </w:pPr>
          </w:p>
        </w:tc>
        <w:tc>
          <w:tcPr>
            <w:tcW w:w="449" w:type="pct"/>
            <w:noWrap w:val="0"/>
            <w:vAlign w:val="top"/>
          </w:tcPr>
          <w:p w14:paraId="7985C1B0">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0FB7545C">
            <w:pPr>
              <w:pStyle w:val="52"/>
              <w:spacing w:line="520" w:lineRule="exact"/>
              <w:rPr>
                <w:rStyle w:val="22"/>
                <w:rFonts w:hint="eastAsia" w:ascii="宋体" w:hAnsi="宋体" w:eastAsia="宋体" w:cs="宋体"/>
                <w:color w:val="auto"/>
                <w:sz w:val="24"/>
                <w:szCs w:val="24"/>
              </w:rPr>
            </w:pPr>
          </w:p>
        </w:tc>
        <w:tc>
          <w:tcPr>
            <w:tcW w:w="754" w:type="pct"/>
            <w:noWrap w:val="0"/>
            <w:vAlign w:val="top"/>
          </w:tcPr>
          <w:p w14:paraId="3EAFE59F">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451B74B9">
            <w:pPr>
              <w:pStyle w:val="52"/>
              <w:spacing w:line="520" w:lineRule="exact"/>
              <w:rPr>
                <w:rStyle w:val="22"/>
                <w:rFonts w:hint="eastAsia" w:ascii="宋体" w:hAnsi="宋体" w:eastAsia="宋体" w:cs="宋体"/>
                <w:color w:val="auto"/>
                <w:sz w:val="24"/>
                <w:szCs w:val="24"/>
              </w:rPr>
            </w:pPr>
          </w:p>
        </w:tc>
        <w:tc>
          <w:tcPr>
            <w:tcW w:w="469" w:type="pct"/>
            <w:noWrap w:val="0"/>
            <w:vAlign w:val="top"/>
          </w:tcPr>
          <w:p w14:paraId="6C044568">
            <w:pPr>
              <w:pStyle w:val="52"/>
              <w:spacing w:line="520" w:lineRule="exact"/>
              <w:rPr>
                <w:rStyle w:val="22"/>
                <w:rFonts w:hint="eastAsia" w:ascii="宋体" w:hAnsi="宋体" w:eastAsia="宋体" w:cs="宋体"/>
                <w:color w:val="auto"/>
                <w:sz w:val="24"/>
                <w:szCs w:val="24"/>
              </w:rPr>
            </w:pPr>
          </w:p>
        </w:tc>
      </w:tr>
      <w:tr w14:paraId="3BE03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top"/>
          </w:tcPr>
          <w:p w14:paraId="5CE22DAA">
            <w:pPr>
              <w:pStyle w:val="52"/>
              <w:spacing w:line="520" w:lineRule="exact"/>
              <w:rPr>
                <w:rStyle w:val="22"/>
                <w:rFonts w:hint="eastAsia" w:ascii="宋体" w:hAnsi="宋体" w:eastAsia="宋体" w:cs="宋体"/>
                <w:color w:val="auto"/>
                <w:sz w:val="24"/>
                <w:szCs w:val="24"/>
              </w:rPr>
            </w:pPr>
          </w:p>
        </w:tc>
        <w:tc>
          <w:tcPr>
            <w:tcW w:w="723" w:type="pct"/>
            <w:noWrap w:val="0"/>
            <w:vAlign w:val="top"/>
          </w:tcPr>
          <w:p w14:paraId="56FA01D9">
            <w:pPr>
              <w:pStyle w:val="52"/>
              <w:spacing w:line="520" w:lineRule="exact"/>
              <w:rPr>
                <w:rStyle w:val="22"/>
                <w:rFonts w:hint="eastAsia" w:ascii="宋体" w:hAnsi="宋体" w:eastAsia="宋体" w:cs="宋体"/>
                <w:color w:val="auto"/>
                <w:sz w:val="24"/>
                <w:szCs w:val="24"/>
              </w:rPr>
            </w:pPr>
          </w:p>
        </w:tc>
        <w:tc>
          <w:tcPr>
            <w:tcW w:w="433" w:type="pct"/>
            <w:noWrap w:val="0"/>
            <w:vAlign w:val="top"/>
          </w:tcPr>
          <w:p w14:paraId="758921DF">
            <w:pPr>
              <w:pStyle w:val="52"/>
              <w:spacing w:line="520" w:lineRule="exact"/>
              <w:rPr>
                <w:rStyle w:val="22"/>
                <w:rFonts w:hint="eastAsia" w:ascii="宋体" w:hAnsi="宋体" w:eastAsia="宋体" w:cs="宋体"/>
                <w:color w:val="auto"/>
                <w:sz w:val="24"/>
                <w:szCs w:val="24"/>
              </w:rPr>
            </w:pPr>
          </w:p>
        </w:tc>
        <w:tc>
          <w:tcPr>
            <w:tcW w:w="539" w:type="pct"/>
            <w:noWrap w:val="0"/>
            <w:vAlign w:val="top"/>
          </w:tcPr>
          <w:p w14:paraId="702D2608">
            <w:pPr>
              <w:pStyle w:val="52"/>
              <w:spacing w:line="520" w:lineRule="exact"/>
              <w:rPr>
                <w:rStyle w:val="22"/>
                <w:rFonts w:hint="eastAsia" w:ascii="宋体" w:hAnsi="宋体" w:eastAsia="宋体" w:cs="宋体"/>
                <w:color w:val="auto"/>
                <w:sz w:val="24"/>
                <w:szCs w:val="24"/>
              </w:rPr>
            </w:pPr>
          </w:p>
        </w:tc>
        <w:tc>
          <w:tcPr>
            <w:tcW w:w="449" w:type="pct"/>
            <w:noWrap w:val="0"/>
            <w:vAlign w:val="top"/>
          </w:tcPr>
          <w:p w14:paraId="6E1F6430">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3030D953">
            <w:pPr>
              <w:pStyle w:val="52"/>
              <w:spacing w:line="520" w:lineRule="exact"/>
              <w:rPr>
                <w:rStyle w:val="22"/>
                <w:rFonts w:hint="eastAsia" w:ascii="宋体" w:hAnsi="宋体" w:eastAsia="宋体" w:cs="宋体"/>
                <w:color w:val="auto"/>
                <w:sz w:val="24"/>
                <w:szCs w:val="24"/>
              </w:rPr>
            </w:pPr>
          </w:p>
        </w:tc>
        <w:tc>
          <w:tcPr>
            <w:tcW w:w="754" w:type="pct"/>
            <w:noWrap w:val="0"/>
            <w:vAlign w:val="top"/>
          </w:tcPr>
          <w:p w14:paraId="4F0A3F13">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3567AE22">
            <w:pPr>
              <w:pStyle w:val="52"/>
              <w:spacing w:line="520" w:lineRule="exact"/>
              <w:rPr>
                <w:rStyle w:val="22"/>
                <w:rFonts w:hint="eastAsia" w:ascii="宋体" w:hAnsi="宋体" w:eastAsia="宋体" w:cs="宋体"/>
                <w:color w:val="auto"/>
                <w:sz w:val="24"/>
                <w:szCs w:val="24"/>
              </w:rPr>
            </w:pPr>
          </w:p>
        </w:tc>
        <w:tc>
          <w:tcPr>
            <w:tcW w:w="469" w:type="pct"/>
            <w:noWrap w:val="0"/>
            <w:vAlign w:val="top"/>
          </w:tcPr>
          <w:p w14:paraId="7B014D60">
            <w:pPr>
              <w:pStyle w:val="52"/>
              <w:spacing w:line="520" w:lineRule="exact"/>
              <w:rPr>
                <w:rStyle w:val="22"/>
                <w:rFonts w:hint="eastAsia" w:ascii="宋体" w:hAnsi="宋体" w:eastAsia="宋体" w:cs="宋体"/>
                <w:color w:val="auto"/>
                <w:sz w:val="24"/>
                <w:szCs w:val="24"/>
              </w:rPr>
            </w:pPr>
          </w:p>
        </w:tc>
      </w:tr>
      <w:tr w14:paraId="13444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top"/>
          </w:tcPr>
          <w:p w14:paraId="00276A48">
            <w:pPr>
              <w:pStyle w:val="52"/>
              <w:spacing w:line="520" w:lineRule="exact"/>
              <w:rPr>
                <w:rStyle w:val="22"/>
                <w:rFonts w:hint="eastAsia" w:ascii="宋体" w:hAnsi="宋体" w:eastAsia="宋体" w:cs="宋体"/>
                <w:color w:val="auto"/>
                <w:sz w:val="24"/>
                <w:szCs w:val="24"/>
              </w:rPr>
            </w:pPr>
          </w:p>
        </w:tc>
        <w:tc>
          <w:tcPr>
            <w:tcW w:w="723" w:type="pct"/>
            <w:noWrap w:val="0"/>
            <w:vAlign w:val="top"/>
          </w:tcPr>
          <w:p w14:paraId="1D953D08">
            <w:pPr>
              <w:pStyle w:val="52"/>
              <w:spacing w:line="520" w:lineRule="exact"/>
              <w:rPr>
                <w:rStyle w:val="22"/>
                <w:rFonts w:hint="eastAsia" w:ascii="宋体" w:hAnsi="宋体" w:eastAsia="宋体" w:cs="宋体"/>
                <w:color w:val="auto"/>
                <w:sz w:val="24"/>
                <w:szCs w:val="24"/>
              </w:rPr>
            </w:pPr>
          </w:p>
        </w:tc>
        <w:tc>
          <w:tcPr>
            <w:tcW w:w="433" w:type="pct"/>
            <w:noWrap w:val="0"/>
            <w:vAlign w:val="top"/>
          </w:tcPr>
          <w:p w14:paraId="1F4F45E6">
            <w:pPr>
              <w:pStyle w:val="52"/>
              <w:spacing w:line="520" w:lineRule="exact"/>
              <w:rPr>
                <w:rStyle w:val="22"/>
                <w:rFonts w:hint="eastAsia" w:ascii="宋体" w:hAnsi="宋体" w:eastAsia="宋体" w:cs="宋体"/>
                <w:color w:val="auto"/>
                <w:sz w:val="24"/>
                <w:szCs w:val="24"/>
              </w:rPr>
            </w:pPr>
          </w:p>
        </w:tc>
        <w:tc>
          <w:tcPr>
            <w:tcW w:w="539" w:type="pct"/>
            <w:noWrap w:val="0"/>
            <w:vAlign w:val="top"/>
          </w:tcPr>
          <w:p w14:paraId="04435EC5">
            <w:pPr>
              <w:pStyle w:val="52"/>
              <w:spacing w:line="520" w:lineRule="exact"/>
              <w:rPr>
                <w:rStyle w:val="22"/>
                <w:rFonts w:hint="eastAsia" w:ascii="宋体" w:hAnsi="宋体" w:eastAsia="宋体" w:cs="宋体"/>
                <w:color w:val="auto"/>
                <w:sz w:val="24"/>
                <w:szCs w:val="24"/>
              </w:rPr>
            </w:pPr>
          </w:p>
        </w:tc>
        <w:tc>
          <w:tcPr>
            <w:tcW w:w="449" w:type="pct"/>
            <w:noWrap w:val="0"/>
            <w:vAlign w:val="top"/>
          </w:tcPr>
          <w:p w14:paraId="48D2BE5E">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6CC09DBF">
            <w:pPr>
              <w:pStyle w:val="52"/>
              <w:spacing w:line="520" w:lineRule="exact"/>
              <w:rPr>
                <w:rStyle w:val="22"/>
                <w:rFonts w:hint="eastAsia" w:ascii="宋体" w:hAnsi="宋体" w:eastAsia="宋体" w:cs="宋体"/>
                <w:color w:val="auto"/>
                <w:sz w:val="24"/>
                <w:szCs w:val="24"/>
              </w:rPr>
            </w:pPr>
          </w:p>
        </w:tc>
        <w:tc>
          <w:tcPr>
            <w:tcW w:w="754" w:type="pct"/>
            <w:noWrap w:val="0"/>
            <w:vAlign w:val="top"/>
          </w:tcPr>
          <w:p w14:paraId="0378BBB8">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69F0AE8E">
            <w:pPr>
              <w:pStyle w:val="52"/>
              <w:spacing w:line="520" w:lineRule="exact"/>
              <w:rPr>
                <w:rStyle w:val="22"/>
                <w:rFonts w:hint="eastAsia" w:ascii="宋体" w:hAnsi="宋体" w:eastAsia="宋体" w:cs="宋体"/>
                <w:color w:val="auto"/>
                <w:sz w:val="24"/>
                <w:szCs w:val="24"/>
              </w:rPr>
            </w:pPr>
          </w:p>
        </w:tc>
        <w:tc>
          <w:tcPr>
            <w:tcW w:w="469" w:type="pct"/>
            <w:noWrap w:val="0"/>
            <w:vAlign w:val="top"/>
          </w:tcPr>
          <w:p w14:paraId="65BF291E">
            <w:pPr>
              <w:pStyle w:val="52"/>
              <w:spacing w:line="520" w:lineRule="exact"/>
              <w:rPr>
                <w:rStyle w:val="22"/>
                <w:rFonts w:hint="eastAsia" w:ascii="宋体" w:hAnsi="宋体" w:eastAsia="宋体" w:cs="宋体"/>
                <w:color w:val="auto"/>
                <w:sz w:val="24"/>
                <w:szCs w:val="24"/>
              </w:rPr>
            </w:pPr>
          </w:p>
        </w:tc>
      </w:tr>
      <w:tr w14:paraId="177F32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top"/>
          </w:tcPr>
          <w:p w14:paraId="78C4A716">
            <w:pPr>
              <w:pStyle w:val="52"/>
              <w:spacing w:line="520" w:lineRule="exact"/>
              <w:rPr>
                <w:rStyle w:val="22"/>
                <w:rFonts w:hint="eastAsia" w:ascii="宋体" w:hAnsi="宋体" w:eastAsia="宋体" w:cs="宋体"/>
                <w:color w:val="auto"/>
                <w:sz w:val="24"/>
                <w:szCs w:val="24"/>
              </w:rPr>
            </w:pPr>
          </w:p>
        </w:tc>
        <w:tc>
          <w:tcPr>
            <w:tcW w:w="723" w:type="pct"/>
            <w:noWrap w:val="0"/>
            <w:vAlign w:val="top"/>
          </w:tcPr>
          <w:p w14:paraId="430C16A1">
            <w:pPr>
              <w:pStyle w:val="52"/>
              <w:spacing w:line="520" w:lineRule="exact"/>
              <w:rPr>
                <w:rStyle w:val="22"/>
                <w:rFonts w:hint="eastAsia" w:ascii="宋体" w:hAnsi="宋体" w:eastAsia="宋体" w:cs="宋体"/>
                <w:color w:val="auto"/>
                <w:sz w:val="24"/>
                <w:szCs w:val="24"/>
              </w:rPr>
            </w:pPr>
          </w:p>
        </w:tc>
        <w:tc>
          <w:tcPr>
            <w:tcW w:w="433" w:type="pct"/>
            <w:noWrap w:val="0"/>
            <w:vAlign w:val="top"/>
          </w:tcPr>
          <w:p w14:paraId="70455CDE">
            <w:pPr>
              <w:pStyle w:val="52"/>
              <w:spacing w:line="520" w:lineRule="exact"/>
              <w:rPr>
                <w:rStyle w:val="22"/>
                <w:rFonts w:hint="eastAsia" w:ascii="宋体" w:hAnsi="宋体" w:eastAsia="宋体" w:cs="宋体"/>
                <w:color w:val="auto"/>
                <w:sz w:val="24"/>
                <w:szCs w:val="24"/>
              </w:rPr>
            </w:pPr>
          </w:p>
        </w:tc>
        <w:tc>
          <w:tcPr>
            <w:tcW w:w="539" w:type="pct"/>
            <w:noWrap w:val="0"/>
            <w:vAlign w:val="top"/>
          </w:tcPr>
          <w:p w14:paraId="232343E2">
            <w:pPr>
              <w:pStyle w:val="52"/>
              <w:spacing w:line="520" w:lineRule="exact"/>
              <w:rPr>
                <w:rStyle w:val="22"/>
                <w:rFonts w:hint="eastAsia" w:ascii="宋体" w:hAnsi="宋体" w:eastAsia="宋体" w:cs="宋体"/>
                <w:color w:val="auto"/>
                <w:sz w:val="24"/>
                <w:szCs w:val="24"/>
              </w:rPr>
            </w:pPr>
          </w:p>
        </w:tc>
        <w:tc>
          <w:tcPr>
            <w:tcW w:w="449" w:type="pct"/>
            <w:noWrap w:val="0"/>
            <w:vAlign w:val="top"/>
          </w:tcPr>
          <w:p w14:paraId="333CE379">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3F9FB6F5">
            <w:pPr>
              <w:pStyle w:val="52"/>
              <w:spacing w:line="520" w:lineRule="exact"/>
              <w:rPr>
                <w:rStyle w:val="22"/>
                <w:rFonts w:hint="eastAsia" w:ascii="宋体" w:hAnsi="宋体" w:eastAsia="宋体" w:cs="宋体"/>
                <w:color w:val="auto"/>
                <w:sz w:val="24"/>
                <w:szCs w:val="24"/>
              </w:rPr>
            </w:pPr>
          </w:p>
        </w:tc>
        <w:tc>
          <w:tcPr>
            <w:tcW w:w="754" w:type="pct"/>
            <w:noWrap w:val="0"/>
            <w:vAlign w:val="top"/>
          </w:tcPr>
          <w:p w14:paraId="3E2CAD05">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7C6D63E0">
            <w:pPr>
              <w:pStyle w:val="52"/>
              <w:spacing w:line="520" w:lineRule="exact"/>
              <w:rPr>
                <w:rStyle w:val="22"/>
                <w:rFonts w:hint="eastAsia" w:ascii="宋体" w:hAnsi="宋体" w:eastAsia="宋体" w:cs="宋体"/>
                <w:color w:val="auto"/>
                <w:sz w:val="24"/>
                <w:szCs w:val="24"/>
              </w:rPr>
            </w:pPr>
          </w:p>
        </w:tc>
        <w:tc>
          <w:tcPr>
            <w:tcW w:w="469" w:type="pct"/>
            <w:noWrap w:val="0"/>
            <w:vAlign w:val="top"/>
          </w:tcPr>
          <w:p w14:paraId="6120FC36">
            <w:pPr>
              <w:pStyle w:val="52"/>
              <w:spacing w:line="520" w:lineRule="exact"/>
              <w:rPr>
                <w:rStyle w:val="22"/>
                <w:rFonts w:hint="eastAsia" w:ascii="宋体" w:hAnsi="宋体" w:eastAsia="宋体" w:cs="宋体"/>
                <w:color w:val="auto"/>
                <w:sz w:val="24"/>
                <w:szCs w:val="24"/>
              </w:rPr>
            </w:pPr>
          </w:p>
        </w:tc>
      </w:tr>
      <w:tr w14:paraId="68A86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top"/>
          </w:tcPr>
          <w:p w14:paraId="0A7638C0">
            <w:pPr>
              <w:pStyle w:val="52"/>
              <w:spacing w:line="520" w:lineRule="exact"/>
              <w:rPr>
                <w:rStyle w:val="22"/>
                <w:rFonts w:hint="eastAsia" w:ascii="宋体" w:hAnsi="宋体" w:eastAsia="宋体" w:cs="宋体"/>
                <w:color w:val="auto"/>
                <w:sz w:val="24"/>
                <w:szCs w:val="24"/>
              </w:rPr>
            </w:pPr>
          </w:p>
        </w:tc>
        <w:tc>
          <w:tcPr>
            <w:tcW w:w="723" w:type="pct"/>
            <w:noWrap w:val="0"/>
            <w:vAlign w:val="top"/>
          </w:tcPr>
          <w:p w14:paraId="6ABB5939">
            <w:pPr>
              <w:pStyle w:val="52"/>
              <w:spacing w:line="520" w:lineRule="exact"/>
              <w:rPr>
                <w:rStyle w:val="22"/>
                <w:rFonts w:hint="eastAsia" w:ascii="宋体" w:hAnsi="宋体" w:eastAsia="宋体" w:cs="宋体"/>
                <w:color w:val="auto"/>
                <w:sz w:val="24"/>
                <w:szCs w:val="24"/>
              </w:rPr>
            </w:pPr>
          </w:p>
        </w:tc>
        <w:tc>
          <w:tcPr>
            <w:tcW w:w="433" w:type="pct"/>
            <w:noWrap w:val="0"/>
            <w:vAlign w:val="top"/>
          </w:tcPr>
          <w:p w14:paraId="307268A7">
            <w:pPr>
              <w:pStyle w:val="52"/>
              <w:spacing w:line="520" w:lineRule="exact"/>
              <w:rPr>
                <w:rStyle w:val="22"/>
                <w:rFonts w:hint="eastAsia" w:ascii="宋体" w:hAnsi="宋体" w:eastAsia="宋体" w:cs="宋体"/>
                <w:color w:val="auto"/>
                <w:sz w:val="24"/>
                <w:szCs w:val="24"/>
              </w:rPr>
            </w:pPr>
          </w:p>
        </w:tc>
        <w:tc>
          <w:tcPr>
            <w:tcW w:w="539" w:type="pct"/>
            <w:noWrap w:val="0"/>
            <w:vAlign w:val="top"/>
          </w:tcPr>
          <w:p w14:paraId="5D7044F9">
            <w:pPr>
              <w:pStyle w:val="52"/>
              <w:spacing w:line="520" w:lineRule="exact"/>
              <w:rPr>
                <w:rStyle w:val="22"/>
                <w:rFonts w:hint="eastAsia" w:ascii="宋体" w:hAnsi="宋体" w:eastAsia="宋体" w:cs="宋体"/>
                <w:color w:val="auto"/>
                <w:sz w:val="24"/>
                <w:szCs w:val="24"/>
              </w:rPr>
            </w:pPr>
          </w:p>
        </w:tc>
        <w:tc>
          <w:tcPr>
            <w:tcW w:w="449" w:type="pct"/>
            <w:noWrap w:val="0"/>
            <w:vAlign w:val="top"/>
          </w:tcPr>
          <w:p w14:paraId="676DE8A8">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5D4F4854">
            <w:pPr>
              <w:pStyle w:val="52"/>
              <w:spacing w:line="520" w:lineRule="exact"/>
              <w:rPr>
                <w:rStyle w:val="22"/>
                <w:rFonts w:hint="eastAsia" w:ascii="宋体" w:hAnsi="宋体" w:eastAsia="宋体" w:cs="宋体"/>
                <w:color w:val="auto"/>
                <w:sz w:val="24"/>
                <w:szCs w:val="24"/>
              </w:rPr>
            </w:pPr>
          </w:p>
        </w:tc>
        <w:tc>
          <w:tcPr>
            <w:tcW w:w="754" w:type="pct"/>
            <w:noWrap w:val="0"/>
            <w:vAlign w:val="top"/>
          </w:tcPr>
          <w:p w14:paraId="0F1D43C5">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470B701F">
            <w:pPr>
              <w:pStyle w:val="52"/>
              <w:spacing w:line="520" w:lineRule="exact"/>
              <w:rPr>
                <w:rStyle w:val="22"/>
                <w:rFonts w:hint="eastAsia" w:ascii="宋体" w:hAnsi="宋体" w:eastAsia="宋体" w:cs="宋体"/>
                <w:color w:val="auto"/>
                <w:sz w:val="24"/>
                <w:szCs w:val="24"/>
              </w:rPr>
            </w:pPr>
          </w:p>
        </w:tc>
        <w:tc>
          <w:tcPr>
            <w:tcW w:w="469" w:type="pct"/>
            <w:noWrap w:val="0"/>
            <w:vAlign w:val="top"/>
          </w:tcPr>
          <w:p w14:paraId="629DE7E6">
            <w:pPr>
              <w:pStyle w:val="52"/>
              <w:spacing w:line="520" w:lineRule="exact"/>
              <w:rPr>
                <w:rStyle w:val="22"/>
                <w:rFonts w:hint="eastAsia" w:ascii="宋体" w:hAnsi="宋体" w:eastAsia="宋体" w:cs="宋体"/>
                <w:color w:val="auto"/>
                <w:sz w:val="24"/>
                <w:szCs w:val="24"/>
              </w:rPr>
            </w:pPr>
          </w:p>
        </w:tc>
      </w:tr>
      <w:tr w14:paraId="37293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top"/>
          </w:tcPr>
          <w:p w14:paraId="6E80BE00">
            <w:pPr>
              <w:pStyle w:val="52"/>
              <w:spacing w:line="520" w:lineRule="exact"/>
              <w:rPr>
                <w:rStyle w:val="22"/>
                <w:rFonts w:hint="eastAsia" w:ascii="宋体" w:hAnsi="宋体" w:eastAsia="宋体" w:cs="宋体"/>
                <w:color w:val="auto"/>
                <w:sz w:val="24"/>
                <w:szCs w:val="24"/>
              </w:rPr>
            </w:pPr>
          </w:p>
        </w:tc>
        <w:tc>
          <w:tcPr>
            <w:tcW w:w="723" w:type="pct"/>
            <w:noWrap w:val="0"/>
            <w:vAlign w:val="top"/>
          </w:tcPr>
          <w:p w14:paraId="62462159">
            <w:pPr>
              <w:pStyle w:val="52"/>
              <w:spacing w:line="520" w:lineRule="exact"/>
              <w:rPr>
                <w:rStyle w:val="22"/>
                <w:rFonts w:hint="eastAsia" w:ascii="宋体" w:hAnsi="宋体" w:eastAsia="宋体" w:cs="宋体"/>
                <w:color w:val="auto"/>
                <w:sz w:val="24"/>
                <w:szCs w:val="24"/>
              </w:rPr>
            </w:pPr>
          </w:p>
        </w:tc>
        <w:tc>
          <w:tcPr>
            <w:tcW w:w="433" w:type="pct"/>
            <w:noWrap w:val="0"/>
            <w:vAlign w:val="top"/>
          </w:tcPr>
          <w:p w14:paraId="380F5599">
            <w:pPr>
              <w:pStyle w:val="52"/>
              <w:spacing w:line="520" w:lineRule="exact"/>
              <w:rPr>
                <w:rStyle w:val="22"/>
                <w:rFonts w:hint="eastAsia" w:ascii="宋体" w:hAnsi="宋体" w:eastAsia="宋体" w:cs="宋体"/>
                <w:color w:val="auto"/>
                <w:sz w:val="24"/>
                <w:szCs w:val="24"/>
              </w:rPr>
            </w:pPr>
          </w:p>
        </w:tc>
        <w:tc>
          <w:tcPr>
            <w:tcW w:w="539" w:type="pct"/>
            <w:noWrap w:val="0"/>
            <w:vAlign w:val="top"/>
          </w:tcPr>
          <w:p w14:paraId="3D41949F">
            <w:pPr>
              <w:pStyle w:val="52"/>
              <w:spacing w:line="520" w:lineRule="exact"/>
              <w:rPr>
                <w:rStyle w:val="22"/>
                <w:rFonts w:hint="eastAsia" w:ascii="宋体" w:hAnsi="宋体" w:eastAsia="宋体" w:cs="宋体"/>
                <w:color w:val="auto"/>
                <w:sz w:val="24"/>
                <w:szCs w:val="24"/>
              </w:rPr>
            </w:pPr>
          </w:p>
        </w:tc>
        <w:tc>
          <w:tcPr>
            <w:tcW w:w="449" w:type="pct"/>
            <w:noWrap w:val="0"/>
            <w:vAlign w:val="top"/>
          </w:tcPr>
          <w:p w14:paraId="5A020E5C">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5F5158AC">
            <w:pPr>
              <w:pStyle w:val="52"/>
              <w:spacing w:line="520" w:lineRule="exact"/>
              <w:rPr>
                <w:rStyle w:val="22"/>
                <w:rFonts w:hint="eastAsia" w:ascii="宋体" w:hAnsi="宋体" w:eastAsia="宋体" w:cs="宋体"/>
                <w:color w:val="auto"/>
                <w:sz w:val="24"/>
                <w:szCs w:val="24"/>
              </w:rPr>
            </w:pPr>
          </w:p>
        </w:tc>
        <w:tc>
          <w:tcPr>
            <w:tcW w:w="754" w:type="pct"/>
            <w:noWrap w:val="0"/>
            <w:vAlign w:val="top"/>
          </w:tcPr>
          <w:p w14:paraId="256F518F">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5877D114">
            <w:pPr>
              <w:pStyle w:val="52"/>
              <w:spacing w:line="520" w:lineRule="exact"/>
              <w:rPr>
                <w:rStyle w:val="22"/>
                <w:rFonts w:hint="eastAsia" w:ascii="宋体" w:hAnsi="宋体" w:eastAsia="宋体" w:cs="宋体"/>
                <w:color w:val="auto"/>
                <w:sz w:val="24"/>
                <w:szCs w:val="24"/>
              </w:rPr>
            </w:pPr>
          </w:p>
        </w:tc>
        <w:tc>
          <w:tcPr>
            <w:tcW w:w="469" w:type="pct"/>
            <w:noWrap w:val="0"/>
            <w:vAlign w:val="top"/>
          </w:tcPr>
          <w:p w14:paraId="543735C5">
            <w:pPr>
              <w:pStyle w:val="52"/>
              <w:spacing w:line="520" w:lineRule="exact"/>
              <w:rPr>
                <w:rStyle w:val="22"/>
                <w:rFonts w:hint="eastAsia" w:ascii="宋体" w:hAnsi="宋体" w:eastAsia="宋体" w:cs="宋体"/>
                <w:color w:val="auto"/>
                <w:sz w:val="24"/>
                <w:szCs w:val="24"/>
              </w:rPr>
            </w:pPr>
          </w:p>
        </w:tc>
      </w:tr>
      <w:tr w14:paraId="78E392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noWrap w:val="0"/>
            <w:vAlign w:val="top"/>
          </w:tcPr>
          <w:p w14:paraId="0C0E443A">
            <w:pPr>
              <w:pStyle w:val="52"/>
              <w:spacing w:line="520" w:lineRule="exact"/>
              <w:rPr>
                <w:rStyle w:val="22"/>
                <w:rFonts w:hint="eastAsia" w:ascii="宋体" w:hAnsi="宋体" w:eastAsia="宋体" w:cs="宋体"/>
                <w:color w:val="auto"/>
                <w:sz w:val="24"/>
                <w:szCs w:val="24"/>
              </w:rPr>
            </w:pPr>
          </w:p>
        </w:tc>
        <w:tc>
          <w:tcPr>
            <w:tcW w:w="723" w:type="pct"/>
            <w:noWrap w:val="0"/>
            <w:vAlign w:val="top"/>
          </w:tcPr>
          <w:p w14:paraId="49645A50">
            <w:pPr>
              <w:pStyle w:val="52"/>
              <w:spacing w:line="520" w:lineRule="exact"/>
              <w:rPr>
                <w:rStyle w:val="22"/>
                <w:rFonts w:hint="eastAsia" w:ascii="宋体" w:hAnsi="宋体" w:eastAsia="宋体" w:cs="宋体"/>
                <w:color w:val="auto"/>
                <w:sz w:val="24"/>
                <w:szCs w:val="24"/>
              </w:rPr>
            </w:pPr>
          </w:p>
        </w:tc>
        <w:tc>
          <w:tcPr>
            <w:tcW w:w="433" w:type="pct"/>
            <w:noWrap w:val="0"/>
            <w:vAlign w:val="top"/>
          </w:tcPr>
          <w:p w14:paraId="796E2DBF">
            <w:pPr>
              <w:pStyle w:val="52"/>
              <w:spacing w:line="520" w:lineRule="exact"/>
              <w:rPr>
                <w:rStyle w:val="22"/>
                <w:rFonts w:hint="eastAsia" w:ascii="宋体" w:hAnsi="宋体" w:eastAsia="宋体" w:cs="宋体"/>
                <w:color w:val="auto"/>
                <w:sz w:val="24"/>
                <w:szCs w:val="24"/>
              </w:rPr>
            </w:pPr>
          </w:p>
        </w:tc>
        <w:tc>
          <w:tcPr>
            <w:tcW w:w="539" w:type="pct"/>
            <w:noWrap w:val="0"/>
            <w:vAlign w:val="top"/>
          </w:tcPr>
          <w:p w14:paraId="36225350">
            <w:pPr>
              <w:pStyle w:val="52"/>
              <w:spacing w:line="520" w:lineRule="exact"/>
              <w:rPr>
                <w:rStyle w:val="22"/>
                <w:rFonts w:hint="eastAsia" w:ascii="宋体" w:hAnsi="宋体" w:eastAsia="宋体" w:cs="宋体"/>
                <w:color w:val="auto"/>
                <w:sz w:val="24"/>
                <w:szCs w:val="24"/>
              </w:rPr>
            </w:pPr>
          </w:p>
        </w:tc>
        <w:tc>
          <w:tcPr>
            <w:tcW w:w="449" w:type="pct"/>
            <w:noWrap w:val="0"/>
            <w:vAlign w:val="top"/>
          </w:tcPr>
          <w:p w14:paraId="23E5B1A3">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2DFA60F4">
            <w:pPr>
              <w:pStyle w:val="52"/>
              <w:spacing w:line="520" w:lineRule="exact"/>
              <w:rPr>
                <w:rStyle w:val="22"/>
                <w:rFonts w:hint="eastAsia" w:ascii="宋体" w:hAnsi="宋体" w:eastAsia="宋体" w:cs="宋体"/>
                <w:color w:val="auto"/>
                <w:sz w:val="24"/>
                <w:szCs w:val="24"/>
              </w:rPr>
            </w:pPr>
          </w:p>
        </w:tc>
        <w:tc>
          <w:tcPr>
            <w:tcW w:w="754" w:type="pct"/>
            <w:noWrap w:val="0"/>
            <w:vAlign w:val="top"/>
          </w:tcPr>
          <w:p w14:paraId="215F6B17">
            <w:pPr>
              <w:pStyle w:val="52"/>
              <w:spacing w:line="520" w:lineRule="exact"/>
              <w:rPr>
                <w:rStyle w:val="22"/>
                <w:rFonts w:hint="eastAsia" w:ascii="宋体" w:hAnsi="宋体" w:eastAsia="宋体" w:cs="宋体"/>
                <w:color w:val="auto"/>
                <w:sz w:val="24"/>
                <w:szCs w:val="24"/>
              </w:rPr>
            </w:pPr>
          </w:p>
        </w:tc>
        <w:tc>
          <w:tcPr>
            <w:tcW w:w="520" w:type="pct"/>
            <w:noWrap w:val="0"/>
            <w:vAlign w:val="top"/>
          </w:tcPr>
          <w:p w14:paraId="54624D4A">
            <w:pPr>
              <w:pStyle w:val="52"/>
              <w:spacing w:line="520" w:lineRule="exact"/>
              <w:rPr>
                <w:rStyle w:val="22"/>
                <w:rFonts w:hint="eastAsia" w:ascii="宋体" w:hAnsi="宋体" w:eastAsia="宋体" w:cs="宋体"/>
                <w:color w:val="auto"/>
                <w:sz w:val="24"/>
                <w:szCs w:val="24"/>
              </w:rPr>
            </w:pPr>
          </w:p>
        </w:tc>
        <w:tc>
          <w:tcPr>
            <w:tcW w:w="469" w:type="pct"/>
            <w:noWrap w:val="0"/>
            <w:vAlign w:val="top"/>
          </w:tcPr>
          <w:p w14:paraId="177ACAB9">
            <w:pPr>
              <w:pStyle w:val="52"/>
              <w:spacing w:line="520" w:lineRule="exact"/>
              <w:rPr>
                <w:rStyle w:val="22"/>
                <w:rFonts w:hint="eastAsia" w:ascii="宋体" w:hAnsi="宋体" w:eastAsia="宋体" w:cs="宋体"/>
                <w:color w:val="auto"/>
                <w:sz w:val="24"/>
                <w:szCs w:val="24"/>
              </w:rPr>
            </w:pPr>
          </w:p>
        </w:tc>
      </w:tr>
    </w:tbl>
    <w:p w14:paraId="6DC4D820">
      <w:pPr>
        <w:pStyle w:val="52"/>
        <w:keepNext/>
        <w:keepLines/>
        <w:pageBreakBefore/>
        <w:spacing w:line="520" w:lineRule="exact"/>
        <w:jc w:val="left"/>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附件6：</w:t>
      </w:r>
    </w:p>
    <w:p w14:paraId="0A207C03">
      <w:pPr>
        <w:pStyle w:val="52"/>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承包人主要施工管理人员表</w:t>
      </w:r>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595"/>
        <w:gridCol w:w="1209"/>
        <w:gridCol w:w="967"/>
        <w:gridCol w:w="967"/>
        <w:gridCol w:w="3624"/>
      </w:tblGrid>
      <w:tr w14:paraId="7371FD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12" w:space="0"/>
              <w:bottom w:val="double" w:color="auto" w:sz="6" w:space="0"/>
            </w:tcBorders>
            <w:noWrap w:val="0"/>
            <w:vAlign w:val="center"/>
          </w:tcPr>
          <w:p w14:paraId="2F6BC1BB">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名    称</w:t>
            </w:r>
          </w:p>
        </w:tc>
        <w:tc>
          <w:tcPr>
            <w:tcW w:w="723" w:type="pct"/>
            <w:tcBorders>
              <w:top w:val="single" w:color="auto" w:sz="12" w:space="0"/>
              <w:bottom w:val="double" w:color="auto" w:sz="6" w:space="0"/>
            </w:tcBorders>
            <w:noWrap w:val="0"/>
            <w:vAlign w:val="center"/>
          </w:tcPr>
          <w:p w14:paraId="0D5FA75F">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姓名</w:t>
            </w:r>
          </w:p>
        </w:tc>
        <w:tc>
          <w:tcPr>
            <w:tcW w:w="578" w:type="pct"/>
            <w:tcBorders>
              <w:top w:val="single" w:color="auto" w:sz="12" w:space="0"/>
              <w:bottom w:val="double" w:color="auto" w:sz="6" w:space="0"/>
            </w:tcBorders>
            <w:noWrap w:val="0"/>
            <w:vAlign w:val="center"/>
          </w:tcPr>
          <w:p w14:paraId="2F379177">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职务</w:t>
            </w:r>
          </w:p>
        </w:tc>
        <w:tc>
          <w:tcPr>
            <w:tcW w:w="578" w:type="pct"/>
            <w:tcBorders>
              <w:top w:val="single" w:color="auto" w:sz="12" w:space="0"/>
              <w:bottom w:val="double" w:color="auto" w:sz="6" w:space="0"/>
            </w:tcBorders>
            <w:noWrap w:val="0"/>
            <w:vAlign w:val="center"/>
          </w:tcPr>
          <w:p w14:paraId="11912622">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职称</w:t>
            </w:r>
          </w:p>
        </w:tc>
        <w:tc>
          <w:tcPr>
            <w:tcW w:w="2167" w:type="pct"/>
            <w:tcBorders>
              <w:top w:val="single" w:color="auto" w:sz="12" w:space="0"/>
              <w:bottom w:val="double" w:color="auto" w:sz="6" w:space="0"/>
            </w:tcBorders>
            <w:noWrap w:val="0"/>
            <w:vAlign w:val="center"/>
          </w:tcPr>
          <w:p w14:paraId="4D4418A4">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主要资历、经验及承担过的项目</w:t>
            </w:r>
          </w:p>
        </w:tc>
      </w:tr>
      <w:tr w14:paraId="5B0490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000" w:type="pct"/>
            <w:gridSpan w:val="5"/>
            <w:tcBorders>
              <w:top w:val="double" w:color="auto" w:sz="6" w:space="0"/>
              <w:bottom w:val="single" w:color="auto" w:sz="6" w:space="0"/>
            </w:tcBorders>
            <w:noWrap w:val="0"/>
            <w:vAlign w:val="center"/>
          </w:tcPr>
          <w:p w14:paraId="6B2D32D7">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一、总部人员</w:t>
            </w:r>
          </w:p>
        </w:tc>
      </w:tr>
      <w:tr w14:paraId="181E8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nil"/>
              <w:bottom w:val="nil"/>
            </w:tcBorders>
            <w:noWrap w:val="0"/>
            <w:vAlign w:val="center"/>
          </w:tcPr>
          <w:p w14:paraId="4624AD6B">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项目主管</w:t>
            </w:r>
          </w:p>
        </w:tc>
        <w:tc>
          <w:tcPr>
            <w:tcW w:w="723" w:type="pct"/>
            <w:tcBorders>
              <w:top w:val="nil"/>
            </w:tcBorders>
            <w:noWrap w:val="0"/>
            <w:vAlign w:val="center"/>
          </w:tcPr>
          <w:p w14:paraId="6F818A8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top w:val="nil"/>
            </w:tcBorders>
            <w:noWrap w:val="0"/>
            <w:vAlign w:val="center"/>
          </w:tcPr>
          <w:p w14:paraId="68CAFF4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top w:val="nil"/>
            </w:tcBorders>
            <w:noWrap w:val="0"/>
            <w:vAlign w:val="center"/>
          </w:tcPr>
          <w:p w14:paraId="4DA5C6E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tcBorders>
              <w:top w:val="nil"/>
            </w:tcBorders>
            <w:noWrap w:val="0"/>
            <w:vAlign w:val="center"/>
          </w:tcPr>
          <w:p w14:paraId="64D614CE">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68611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nil"/>
            </w:tcBorders>
            <w:noWrap w:val="0"/>
            <w:vAlign w:val="center"/>
          </w:tcPr>
          <w:p w14:paraId="42AFF79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304BDAC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F42767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2F0C647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2A0703B0">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EB48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nil"/>
              <w:bottom w:val="nil"/>
            </w:tcBorders>
            <w:noWrap w:val="0"/>
            <w:vAlign w:val="center"/>
          </w:tcPr>
          <w:p w14:paraId="4AAFEF99">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其他人员</w:t>
            </w:r>
          </w:p>
        </w:tc>
        <w:tc>
          <w:tcPr>
            <w:tcW w:w="723" w:type="pct"/>
            <w:noWrap w:val="0"/>
            <w:vAlign w:val="center"/>
          </w:tcPr>
          <w:p w14:paraId="0C848C2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4A54C5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47F66D4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63B06018">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E5F3A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nil"/>
              <w:bottom w:val="nil"/>
            </w:tcBorders>
            <w:noWrap w:val="0"/>
            <w:vAlign w:val="center"/>
          </w:tcPr>
          <w:p w14:paraId="216345C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7B341B2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49708FE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2A0B596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06128F05">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A0B44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000" w:type="pct"/>
            <w:gridSpan w:val="5"/>
            <w:tcBorders>
              <w:top w:val="single" w:color="auto" w:sz="6" w:space="0"/>
              <w:bottom w:val="single" w:color="auto" w:sz="6" w:space="0"/>
            </w:tcBorders>
            <w:noWrap w:val="0"/>
            <w:vAlign w:val="center"/>
          </w:tcPr>
          <w:p w14:paraId="680F248E">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二、现场人员</w:t>
            </w:r>
          </w:p>
        </w:tc>
      </w:tr>
      <w:tr w14:paraId="342FF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37A83619">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项目经理</w:t>
            </w:r>
          </w:p>
        </w:tc>
        <w:tc>
          <w:tcPr>
            <w:tcW w:w="723" w:type="pct"/>
            <w:noWrap w:val="0"/>
            <w:vAlign w:val="center"/>
          </w:tcPr>
          <w:p w14:paraId="77FE3AB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5CD68A4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7C76BF5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55180A97">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A3B1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2A4FF42D">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项目副经理</w:t>
            </w:r>
          </w:p>
        </w:tc>
        <w:tc>
          <w:tcPr>
            <w:tcW w:w="723" w:type="pct"/>
            <w:noWrap w:val="0"/>
            <w:vAlign w:val="center"/>
          </w:tcPr>
          <w:p w14:paraId="7BD6A71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3EE14E5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3065B3F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3CFF3BA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169AC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6D3A70C9">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技术负责人</w:t>
            </w:r>
          </w:p>
        </w:tc>
        <w:tc>
          <w:tcPr>
            <w:tcW w:w="723" w:type="pct"/>
            <w:noWrap w:val="0"/>
            <w:vAlign w:val="center"/>
          </w:tcPr>
          <w:p w14:paraId="3B899D3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12D7D6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749AB36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0BEF0F7D">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6D89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36FA0871">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造价管理</w:t>
            </w:r>
          </w:p>
        </w:tc>
        <w:tc>
          <w:tcPr>
            <w:tcW w:w="723" w:type="pct"/>
            <w:noWrap w:val="0"/>
            <w:vAlign w:val="center"/>
          </w:tcPr>
          <w:p w14:paraId="67DDF4B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1082A02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50AEA34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0187163E">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396A3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7058FE7A">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质量管理</w:t>
            </w:r>
          </w:p>
        </w:tc>
        <w:tc>
          <w:tcPr>
            <w:tcW w:w="723" w:type="pct"/>
            <w:noWrap w:val="0"/>
            <w:vAlign w:val="center"/>
          </w:tcPr>
          <w:p w14:paraId="68BECD9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649CAD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4B97DE0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2A40C193">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5EDEA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1FA20EF6">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材料管理</w:t>
            </w:r>
          </w:p>
        </w:tc>
        <w:tc>
          <w:tcPr>
            <w:tcW w:w="723" w:type="pct"/>
            <w:noWrap w:val="0"/>
            <w:vAlign w:val="center"/>
          </w:tcPr>
          <w:p w14:paraId="72610B6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398CB78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B3908D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11B6A5D8">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ADFA7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173400FE">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计划管理</w:t>
            </w:r>
          </w:p>
        </w:tc>
        <w:tc>
          <w:tcPr>
            <w:tcW w:w="723" w:type="pct"/>
            <w:noWrap w:val="0"/>
            <w:vAlign w:val="center"/>
          </w:tcPr>
          <w:p w14:paraId="14A9B29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2A6E7D5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4488C49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230D51D5">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04265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1ADCB3E8">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安全管理</w:t>
            </w:r>
          </w:p>
        </w:tc>
        <w:tc>
          <w:tcPr>
            <w:tcW w:w="723" w:type="pct"/>
            <w:noWrap w:val="0"/>
            <w:vAlign w:val="center"/>
          </w:tcPr>
          <w:p w14:paraId="1CB07C6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44A14D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0C75E22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546A7564">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677BB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restart"/>
            <w:tcBorders>
              <w:top w:val="single" w:color="auto" w:sz="6" w:space="0"/>
            </w:tcBorders>
            <w:noWrap w:val="0"/>
            <w:vAlign w:val="center"/>
          </w:tcPr>
          <w:p w14:paraId="43357C6B">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其他人员</w:t>
            </w:r>
          </w:p>
        </w:tc>
        <w:tc>
          <w:tcPr>
            <w:tcW w:w="723" w:type="pct"/>
            <w:noWrap w:val="0"/>
            <w:vAlign w:val="center"/>
          </w:tcPr>
          <w:p w14:paraId="44DC6D2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23A4B6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1356650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7FAD4A60">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DCB56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continue"/>
            <w:noWrap w:val="0"/>
            <w:vAlign w:val="center"/>
          </w:tcPr>
          <w:p w14:paraId="283273D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tcBorders>
              <w:bottom w:val="nil"/>
            </w:tcBorders>
            <w:noWrap w:val="0"/>
            <w:vAlign w:val="center"/>
          </w:tcPr>
          <w:p w14:paraId="799AF04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bottom w:val="nil"/>
            </w:tcBorders>
            <w:noWrap w:val="0"/>
            <w:vAlign w:val="center"/>
          </w:tcPr>
          <w:p w14:paraId="57A13F7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bottom w:val="nil"/>
            </w:tcBorders>
            <w:noWrap w:val="0"/>
            <w:vAlign w:val="center"/>
          </w:tcPr>
          <w:p w14:paraId="121C91B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tcBorders>
              <w:bottom w:val="nil"/>
            </w:tcBorders>
            <w:noWrap w:val="0"/>
            <w:vAlign w:val="center"/>
          </w:tcPr>
          <w:p w14:paraId="1FDC6E63">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43A1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continue"/>
            <w:noWrap w:val="0"/>
            <w:vAlign w:val="center"/>
          </w:tcPr>
          <w:p w14:paraId="0285BD7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2C770B4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B808B4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331E491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5D748D9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D7906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continue"/>
            <w:noWrap w:val="0"/>
            <w:vAlign w:val="center"/>
          </w:tcPr>
          <w:p w14:paraId="6769EB5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13A1BCC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231612C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2892A82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336B832E">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CFB5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continue"/>
            <w:noWrap w:val="0"/>
            <w:vAlign w:val="center"/>
          </w:tcPr>
          <w:p w14:paraId="0378780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2FA4439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19C5140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423EAB7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22ECCEEC">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10C3D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continue"/>
            <w:tcBorders>
              <w:bottom w:val="single" w:color="auto" w:sz="12" w:space="0"/>
            </w:tcBorders>
            <w:noWrap w:val="0"/>
            <w:vAlign w:val="center"/>
          </w:tcPr>
          <w:p w14:paraId="2CA9C01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tcBorders>
              <w:bottom w:val="single" w:color="auto" w:sz="12" w:space="0"/>
            </w:tcBorders>
            <w:noWrap w:val="0"/>
            <w:vAlign w:val="center"/>
          </w:tcPr>
          <w:p w14:paraId="427E6CB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bottom w:val="single" w:color="auto" w:sz="12" w:space="0"/>
            </w:tcBorders>
            <w:noWrap w:val="0"/>
            <w:vAlign w:val="center"/>
          </w:tcPr>
          <w:p w14:paraId="2F2109A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bottom w:val="single" w:color="auto" w:sz="12" w:space="0"/>
            </w:tcBorders>
            <w:noWrap w:val="0"/>
            <w:vAlign w:val="center"/>
          </w:tcPr>
          <w:p w14:paraId="4752F77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tcBorders>
              <w:bottom w:val="single" w:color="auto" w:sz="12" w:space="0"/>
            </w:tcBorders>
            <w:noWrap w:val="0"/>
            <w:vAlign w:val="center"/>
          </w:tcPr>
          <w:p w14:paraId="4F75F255">
            <w:pPr>
              <w:pStyle w:val="55"/>
              <w:keepNext/>
              <w:spacing w:after="0" w:line="520" w:lineRule="exact"/>
              <w:ind w:left="63" w:right="63"/>
              <w:textAlignment w:val="auto"/>
              <w:rPr>
                <w:rStyle w:val="22"/>
                <w:rFonts w:hint="eastAsia" w:ascii="宋体" w:hAnsi="宋体" w:eastAsia="宋体" w:cs="宋体"/>
                <w:color w:val="auto"/>
                <w:sz w:val="24"/>
                <w:szCs w:val="24"/>
              </w:rPr>
            </w:pPr>
          </w:p>
        </w:tc>
      </w:tr>
    </w:tbl>
    <w:p w14:paraId="6B25EFFE">
      <w:pPr>
        <w:pStyle w:val="52"/>
        <w:keepNext/>
        <w:keepLines/>
        <w:pageBreakBefore/>
        <w:spacing w:line="520" w:lineRule="exact"/>
        <w:jc w:val="left"/>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附件7：</w:t>
      </w:r>
    </w:p>
    <w:p w14:paraId="63E313D5">
      <w:pPr>
        <w:pStyle w:val="52"/>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分包人主要施工管理人员表</w:t>
      </w:r>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595"/>
        <w:gridCol w:w="1209"/>
        <w:gridCol w:w="967"/>
        <w:gridCol w:w="967"/>
        <w:gridCol w:w="3624"/>
      </w:tblGrid>
      <w:tr w14:paraId="05B52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54" w:type="pct"/>
            <w:tcBorders>
              <w:top w:val="single" w:color="auto" w:sz="12" w:space="0"/>
              <w:bottom w:val="double" w:color="auto" w:sz="6" w:space="0"/>
            </w:tcBorders>
            <w:noWrap w:val="0"/>
            <w:vAlign w:val="center"/>
          </w:tcPr>
          <w:p w14:paraId="19904D6B">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名    称</w:t>
            </w:r>
          </w:p>
        </w:tc>
        <w:tc>
          <w:tcPr>
            <w:tcW w:w="723" w:type="pct"/>
            <w:tcBorders>
              <w:top w:val="single" w:color="auto" w:sz="12" w:space="0"/>
              <w:bottom w:val="double" w:color="auto" w:sz="6" w:space="0"/>
            </w:tcBorders>
            <w:noWrap w:val="0"/>
            <w:vAlign w:val="center"/>
          </w:tcPr>
          <w:p w14:paraId="7656E2A0">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姓名</w:t>
            </w:r>
          </w:p>
        </w:tc>
        <w:tc>
          <w:tcPr>
            <w:tcW w:w="578" w:type="pct"/>
            <w:tcBorders>
              <w:top w:val="single" w:color="auto" w:sz="12" w:space="0"/>
              <w:bottom w:val="double" w:color="auto" w:sz="6" w:space="0"/>
            </w:tcBorders>
            <w:noWrap w:val="0"/>
            <w:vAlign w:val="center"/>
          </w:tcPr>
          <w:p w14:paraId="7B229B6B">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职务</w:t>
            </w:r>
          </w:p>
        </w:tc>
        <w:tc>
          <w:tcPr>
            <w:tcW w:w="578" w:type="pct"/>
            <w:tcBorders>
              <w:top w:val="single" w:color="auto" w:sz="12" w:space="0"/>
              <w:bottom w:val="double" w:color="auto" w:sz="6" w:space="0"/>
            </w:tcBorders>
            <w:noWrap w:val="0"/>
            <w:vAlign w:val="center"/>
          </w:tcPr>
          <w:p w14:paraId="74A1C263">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职称</w:t>
            </w:r>
          </w:p>
        </w:tc>
        <w:tc>
          <w:tcPr>
            <w:tcW w:w="2167" w:type="pct"/>
            <w:tcBorders>
              <w:top w:val="single" w:color="auto" w:sz="12" w:space="0"/>
              <w:bottom w:val="double" w:color="auto" w:sz="6" w:space="0"/>
            </w:tcBorders>
            <w:noWrap w:val="0"/>
            <w:vAlign w:val="center"/>
          </w:tcPr>
          <w:p w14:paraId="0C691F04">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主要资历、经验及承担过的项目</w:t>
            </w:r>
          </w:p>
        </w:tc>
      </w:tr>
      <w:tr w14:paraId="0BB725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000" w:type="pct"/>
            <w:gridSpan w:val="5"/>
            <w:tcBorders>
              <w:top w:val="double" w:color="auto" w:sz="6" w:space="0"/>
              <w:bottom w:val="single" w:color="auto" w:sz="6" w:space="0"/>
            </w:tcBorders>
            <w:noWrap w:val="0"/>
            <w:vAlign w:val="center"/>
          </w:tcPr>
          <w:p w14:paraId="532F47D9">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一、总部人员</w:t>
            </w:r>
          </w:p>
        </w:tc>
      </w:tr>
      <w:tr w14:paraId="50688C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nil"/>
              <w:bottom w:val="nil"/>
            </w:tcBorders>
            <w:noWrap w:val="0"/>
            <w:vAlign w:val="center"/>
          </w:tcPr>
          <w:p w14:paraId="2E46ED84">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项目主管</w:t>
            </w:r>
          </w:p>
        </w:tc>
        <w:tc>
          <w:tcPr>
            <w:tcW w:w="723" w:type="pct"/>
            <w:tcBorders>
              <w:top w:val="nil"/>
            </w:tcBorders>
            <w:noWrap w:val="0"/>
            <w:vAlign w:val="center"/>
          </w:tcPr>
          <w:p w14:paraId="4903801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top w:val="nil"/>
            </w:tcBorders>
            <w:noWrap w:val="0"/>
            <w:vAlign w:val="center"/>
          </w:tcPr>
          <w:p w14:paraId="5F6C2F7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top w:val="nil"/>
            </w:tcBorders>
            <w:noWrap w:val="0"/>
            <w:vAlign w:val="center"/>
          </w:tcPr>
          <w:p w14:paraId="265637B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tcBorders>
              <w:top w:val="nil"/>
            </w:tcBorders>
            <w:noWrap w:val="0"/>
            <w:vAlign w:val="center"/>
          </w:tcPr>
          <w:p w14:paraId="5160BF6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4258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nil"/>
            </w:tcBorders>
            <w:noWrap w:val="0"/>
            <w:vAlign w:val="center"/>
          </w:tcPr>
          <w:p w14:paraId="739D5EA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06D1821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C02AD8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3794AD0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5FCD198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3C10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nil"/>
              <w:bottom w:val="nil"/>
            </w:tcBorders>
            <w:noWrap w:val="0"/>
            <w:vAlign w:val="center"/>
          </w:tcPr>
          <w:p w14:paraId="2A7ABA53">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其他人员</w:t>
            </w:r>
          </w:p>
        </w:tc>
        <w:tc>
          <w:tcPr>
            <w:tcW w:w="723" w:type="pct"/>
            <w:noWrap w:val="0"/>
            <w:vAlign w:val="center"/>
          </w:tcPr>
          <w:p w14:paraId="7A0C1E5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5DFD061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2791E60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3DF0672D">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096E1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nil"/>
              <w:bottom w:val="nil"/>
            </w:tcBorders>
            <w:noWrap w:val="0"/>
            <w:vAlign w:val="center"/>
          </w:tcPr>
          <w:p w14:paraId="7EBA3ED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72C3CB4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53B1721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4FF441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1EBCA214">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B3A27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000" w:type="pct"/>
            <w:gridSpan w:val="5"/>
            <w:tcBorders>
              <w:top w:val="single" w:color="auto" w:sz="6" w:space="0"/>
              <w:bottom w:val="single" w:color="auto" w:sz="6" w:space="0"/>
            </w:tcBorders>
            <w:noWrap w:val="0"/>
            <w:vAlign w:val="center"/>
          </w:tcPr>
          <w:p w14:paraId="1232E360">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二、现场人员</w:t>
            </w:r>
          </w:p>
        </w:tc>
      </w:tr>
      <w:tr w14:paraId="0D1A64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66DBC520">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项目经理</w:t>
            </w:r>
          </w:p>
        </w:tc>
        <w:tc>
          <w:tcPr>
            <w:tcW w:w="723" w:type="pct"/>
            <w:noWrap w:val="0"/>
            <w:vAlign w:val="center"/>
          </w:tcPr>
          <w:p w14:paraId="32E810E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23265F8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768C9F7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44AD71E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B507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55D7139B">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项目副经理</w:t>
            </w:r>
          </w:p>
        </w:tc>
        <w:tc>
          <w:tcPr>
            <w:tcW w:w="723" w:type="pct"/>
            <w:noWrap w:val="0"/>
            <w:vAlign w:val="center"/>
          </w:tcPr>
          <w:p w14:paraId="060959F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2AA8DB3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09DC2A7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12944542">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560B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08805B78">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技术负责人</w:t>
            </w:r>
          </w:p>
        </w:tc>
        <w:tc>
          <w:tcPr>
            <w:tcW w:w="723" w:type="pct"/>
            <w:noWrap w:val="0"/>
            <w:vAlign w:val="center"/>
          </w:tcPr>
          <w:p w14:paraId="7811C71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15CA01C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01F6E34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411586B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806F4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549B3315">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造价管理</w:t>
            </w:r>
          </w:p>
        </w:tc>
        <w:tc>
          <w:tcPr>
            <w:tcW w:w="723" w:type="pct"/>
            <w:noWrap w:val="0"/>
            <w:vAlign w:val="center"/>
          </w:tcPr>
          <w:p w14:paraId="7832FFB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026A072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1F7BCF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71D70D25">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891F8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29DF7879">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质量管理</w:t>
            </w:r>
          </w:p>
        </w:tc>
        <w:tc>
          <w:tcPr>
            <w:tcW w:w="723" w:type="pct"/>
            <w:noWrap w:val="0"/>
            <w:vAlign w:val="center"/>
          </w:tcPr>
          <w:p w14:paraId="3DB1B5E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1033ED5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E02A43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53E796FC">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D519A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1B19FDD9">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材料管理</w:t>
            </w:r>
          </w:p>
        </w:tc>
        <w:tc>
          <w:tcPr>
            <w:tcW w:w="723" w:type="pct"/>
            <w:noWrap w:val="0"/>
            <w:vAlign w:val="center"/>
          </w:tcPr>
          <w:p w14:paraId="24F7E18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2D5B9C8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51E2AC1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54B746A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25C6E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0A6574B7">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计划管理</w:t>
            </w:r>
          </w:p>
        </w:tc>
        <w:tc>
          <w:tcPr>
            <w:tcW w:w="723" w:type="pct"/>
            <w:noWrap w:val="0"/>
            <w:vAlign w:val="center"/>
          </w:tcPr>
          <w:p w14:paraId="4ECC06B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DF4EC8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0F00850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1A0B01A2">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CC2E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tcBorders>
              <w:top w:val="single" w:color="auto" w:sz="6" w:space="0"/>
              <w:bottom w:val="single" w:color="auto" w:sz="6" w:space="0"/>
            </w:tcBorders>
            <w:noWrap w:val="0"/>
            <w:vAlign w:val="center"/>
          </w:tcPr>
          <w:p w14:paraId="17FFF721">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安全管理</w:t>
            </w:r>
          </w:p>
        </w:tc>
        <w:tc>
          <w:tcPr>
            <w:tcW w:w="723" w:type="pct"/>
            <w:noWrap w:val="0"/>
            <w:vAlign w:val="center"/>
          </w:tcPr>
          <w:p w14:paraId="5BAFE42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4B0D2E4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4F0BB1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55BF892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E115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restart"/>
            <w:tcBorders>
              <w:top w:val="single" w:color="auto" w:sz="6" w:space="0"/>
            </w:tcBorders>
            <w:noWrap w:val="0"/>
            <w:vAlign w:val="center"/>
          </w:tcPr>
          <w:p w14:paraId="01C1046C">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其他人员</w:t>
            </w:r>
          </w:p>
        </w:tc>
        <w:tc>
          <w:tcPr>
            <w:tcW w:w="723" w:type="pct"/>
            <w:noWrap w:val="0"/>
            <w:vAlign w:val="center"/>
          </w:tcPr>
          <w:p w14:paraId="1C02334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77B1628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2B596FA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44909E5E">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AB8F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continue"/>
            <w:noWrap w:val="0"/>
            <w:vAlign w:val="center"/>
          </w:tcPr>
          <w:p w14:paraId="2924928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tcBorders>
              <w:bottom w:val="nil"/>
            </w:tcBorders>
            <w:noWrap w:val="0"/>
            <w:vAlign w:val="center"/>
          </w:tcPr>
          <w:p w14:paraId="1DFE7C6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bottom w:val="nil"/>
            </w:tcBorders>
            <w:noWrap w:val="0"/>
            <w:vAlign w:val="center"/>
          </w:tcPr>
          <w:p w14:paraId="46721BB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bottom w:val="nil"/>
            </w:tcBorders>
            <w:noWrap w:val="0"/>
            <w:vAlign w:val="center"/>
          </w:tcPr>
          <w:p w14:paraId="6BC4518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tcBorders>
              <w:bottom w:val="nil"/>
            </w:tcBorders>
            <w:noWrap w:val="0"/>
            <w:vAlign w:val="center"/>
          </w:tcPr>
          <w:p w14:paraId="2CB4EDF2">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63D5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continue"/>
            <w:noWrap w:val="0"/>
            <w:vAlign w:val="center"/>
          </w:tcPr>
          <w:p w14:paraId="1FDB304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0224A1D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1001892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3A9204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5AB54EB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3FD2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continue"/>
            <w:noWrap w:val="0"/>
            <w:vAlign w:val="center"/>
          </w:tcPr>
          <w:p w14:paraId="1E2071B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15C4B14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53C39E9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655FC56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00D095B7">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7B067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continue"/>
            <w:noWrap w:val="0"/>
            <w:vAlign w:val="center"/>
          </w:tcPr>
          <w:p w14:paraId="7573856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noWrap w:val="0"/>
            <w:vAlign w:val="center"/>
          </w:tcPr>
          <w:p w14:paraId="0EFC2EF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2B75C70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noWrap w:val="0"/>
            <w:vAlign w:val="center"/>
          </w:tcPr>
          <w:p w14:paraId="5CA690D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noWrap w:val="0"/>
            <w:vAlign w:val="center"/>
          </w:tcPr>
          <w:p w14:paraId="34DA7836">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D8FEE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4" w:type="pct"/>
            <w:vMerge w:val="continue"/>
            <w:tcBorders>
              <w:bottom w:val="single" w:color="auto" w:sz="12" w:space="0"/>
            </w:tcBorders>
            <w:noWrap w:val="0"/>
            <w:vAlign w:val="center"/>
          </w:tcPr>
          <w:p w14:paraId="50118E1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23" w:type="pct"/>
            <w:tcBorders>
              <w:bottom w:val="single" w:color="auto" w:sz="12" w:space="0"/>
            </w:tcBorders>
            <w:noWrap w:val="0"/>
            <w:vAlign w:val="center"/>
          </w:tcPr>
          <w:p w14:paraId="136BC3F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bottom w:val="single" w:color="auto" w:sz="12" w:space="0"/>
            </w:tcBorders>
            <w:noWrap w:val="0"/>
            <w:vAlign w:val="center"/>
          </w:tcPr>
          <w:p w14:paraId="5C389BD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578" w:type="pct"/>
            <w:tcBorders>
              <w:bottom w:val="single" w:color="auto" w:sz="12" w:space="0"/>
            </w:tcBorders>
            <w:noWrap w:val="0"/>
            <w:vAlign w:val="center"/>
          </w:tcPr>
          <w:p w14:paraId="192C1C9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2167" w:type="pct"/>
            <w:tcBorders>
              <w:bottom w:val="single" w:color="auto" w:sz="12" w:space="0"/>
            </w:tcBorders>
            <w:noWrap w:val="0"/>
            <w:vAlign w:val="center"/>
          </w:tcPr>
          <w:p w14:paraId="4AFF185C">
            <w:pPr>
              <w:pStyle w:val="55"/>
              <w:keepNext/>
              <w:spacing w:after="0" w:line="520" w:lineRule="exact"/>
              <w:ind w:left="63" w:right="63"/>
              <w:textAlignment w:val="auto"/>
              <w:rPr>
                <w:rStyle w:val="22"/>
                <w:rFonts w:hint="eastAsia" w:ascii="宋体" w:hAnsi="宋体" w:eastAsia="宋体" w:cs="宋体"/>
                <w:color w:val="auto"/>
                <w:sz w:val="24"/>
                <w:szCs w:val="24"/>
              </w:rPr>
            </w:pPr>
          </w:p>
        </w:tc>
      </w:tr>
    </w:tbl>
    <w:p w14:paraId="1964ACD9">
      <w:pPr>
        <w:pStyle w:val="52"/>
        <w:keepNext/>
        <w:keepLines/>
        <w:pageBreakBefore/>
        <w:spacing w:line="520" w:lineRule="exact"/>
        <w:jc w:val="left"/>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附件8：</w:t>
      </w:r>
    </w:p>
    <w:p w14:paraId="53CB9619">
      <w:pPr>
        <w:pStyle w:val="52"/>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履约担保</w:t>
      </w:r>
    </w:p>
    <w:p w14:paraId="0BAC8463">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rPr>
        <w:t>（发包人名称）：</w:t>
      </w:r>
    </w:p>
    <w:p w14:paraId="2A10A0AB">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鉴于</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（发包人名称，以下简称“发包人”）与</w:t>
      </w:r>
    </w:p>
    <w:p w14:paraId="3F8F94F9">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（承包人名称）（以下称“承包人”）于</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年</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月</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日就</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（工程名称）施工及有关事项协商一致共同签订《建设工程施工合同》。我方愿意无条件地、不可撤销地就承包人履行与你方签订的合同，向你方提供连带责任担保。 </w:t>
      </w:r>
    </w:p>
    <w:p w14:paraId="0CC6E36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 担保金额人民币（大写）</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元（¥</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8710B60">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 担保有效期自你方与承包人签订的合同生效之日起至你方签发或应签发工程接收证书之日止。</w:t>
      </w:r>
    </w:p>
    <w:p w14:paraId="28F2BE53">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 在本担保有效期内，因承包人违反合同约定的义务给你方造成经济损失时，我方在收到你方以书面形式提出的在担保金额内的赔偿要求后，在7天内无条件支付。</w:t>
      </w:r>
    </w:p>
    <w:p w14:paraId="41E17002">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 你方和承包人按合同约定变更合同时，我方承担本担保规定的义务不变。</w:t>
      </w:r>
    </w:p>
    <w:p w14:paraId="735142CD">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 因本保函发生的纠纷，可由双方协商解决，协商不成的，任何一方均可提请</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仲裁委员会仲裁。</w:t>
      </w:r>
    </w:p>
    <w:p w14:paraId="6D6452C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 本保函自我方法定代表人（或其授权代理人）签字并加盖公章之日起生效。</w:t>
      </w:r>
    </w:p>
    <w:p w14:paraId="120CE722">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担 保 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（盖单位章）</w:t>
      </w:r>
    </w:p>
    <w:p w14:paraId="4BA658AF">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法定代表人或其委托代理人：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（签字）</w:t>
      </w:r>
    </w:p>
    <w:p w14:paraId="282173B6">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地    址：</w:t>
      </w:r>
      <w:r>
        <w:rPr>
          <w:rStyle w:val="22"/>
          <w:rFonts w:hint="eastAsia" w:ascii="宋体" w:hAnsi="宋体" w:eastAsia="宋体" w:cs="宋体"/>
          <w:color w:val="auto"/>
          <w:sz w:val="24"/>
          <w:szCs w:val="24"/>
          <w:u w:val="single"/>
        </w:rPr>
        <w:t xml:space="preserve">                                      </w:t>
      </w:r>
    </w:p>
    <w:p w14:paraId="77DC86D9">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邮政编码：</w:t>
      </w:r>
      <w:r>
        <w:rPr>
          <w:rStyle w:val="22"/>
          <w:rFonts w:hint="eastAsia" w:ascii="宋体" w:hAnsi="宋体" w:eastAsia="宋体" w:cs="宋体"/>
          <w:color w:val="auto"/>
          <w:sz w:val="24"/>
          <w:szCs w:val="24"/>
          <w:u w:val="single"/>
        </w:rPr>
        <w:t xml:space="preserve">                                      </w:t>
      </w:r>
    </w:p>
    <w:p w14:paraId="6D97B291">
      <w:pPr>
        <w:pStyle w:val="52"/>
        <w:spacing w:line="520" w:lineRule="exac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电    话：</w:t>
      </w:r>
      <w:r>
        <w:rPr>
          <w:rStyle w:val="22"/>
          <w:rFonts w:hint="eastAsia" w:ascii="宋体" w:hAnsi="宋体" w:eastAsia="宋体" w:cs="宋体"/>
          <w:color w:val="auto"/>
          <w:sz w:val="24"/>
          <w:szCs w:val="24"/>
          <w:u w:val="single"/>
        </w:rPr>
        <w:t xml:space="preserve">                                      </w:t>
      </w:r>
    </w:p>
    <w:p w14:paraId="19BC135D">
      <w:pPr>
        <w:pStyle w:val="52"/>
        <w:spacing w:line="520" w:lineRule="exac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传    真：</w:t>
      </w:r>
      <w:r>
        <w:rPr>
          <w:rStyle w:val="22"/>
          <w:rFonts w:hint="eastAsia" w:ascii="宋体" w:hAnsi="宋体" w:eastAsia="宋体" w:cs="宋体"/>
          <w:color w:val="auto"/>
          <w:sz w:val="24"/>
          <w:szCs w:val="24"/>
          <w:u w:val="single"/>
        </w:rPr>
        <w:t xml:space="preserve">                                      </w:t>
      </w:r>
    </w:p>
    <w:p w14:paraId="5DE1138B">
      <w:pPr>
        <w:pStyle w:val="52"/>
        <w:spacing w:line="520" w:lineRule="exact"/>
        <w:ind w:left="1519" w:hanging="1519" w:hangingChars="633"/>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年</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月</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日</w:t>
      </w:r>
    </w:p>
    <w:p w14:paraId="797DEF62">
      <w:pPr>
        <w:pStyle w:val="52"/>
        <w:keepNext/>
        <w:keepLines/>
        <w:pageBreakBefore/>
        <w:spacing w:line="520" w:lineRule="exact"/>
        <w:jc w:val="left"/>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附件9 ：</w:t>
      </w:r>
    </w:p>
    <w:p w14:paraId="6EBE9223">
      <w:pPr>
        <w:pStyle w:val="52"/>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预付款担保</w:t>
      </w:r>
    </w:p>
    <w:p w14:paraId="57541633">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 xml:space="preserve"> （发包人名称）：</w:t>
      </w:r>
    </w:p>
    <w:p w14:paraId="4172D4C5">
      <w:pPr>
        <w:pStyle w:val="52"/>
        <w:spacing w:line="520" w:lineRule="exact"/>
        <w:rPr>
          <w:rStyle w:val="22"/>
          <w:rFonts w:hint="eastAsia" w:ascii="宋体" w:hAnsi="宋体" w:eastAsia="宋体" w:cs="宋体"/>
          <w:color w:val="auto"/>
          <w:sz w:val="24"/>
          <w:szCs w:val="24"/>
        </w:rPr>
      </w:pPr>
    </w:p>
    <w:p w14:paraId="486A1879">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根据</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（承包人名称）（以下称“承包人”）与</w:t>
      </w:r>
    </w:p>
    <w:p w14:paraId="6DD46C8B">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（发包人名称）（以下简称“发包人”）</w:t>
      </w:r>
    </w:p>
    <w:p w14:paraId="2266F5A4">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于</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年</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月</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日签订的</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（工程名称）《建设工程施工合同》，承包人按约定的金额向你方提交一份预付款担保，即有权得到你方支付相等金额的预付款。我方愿意就你方提供给承包人的预付款为承包人提供连带责任担保。</w:t>
      </w:r>
    </w:p>
    <w:p w14:paraId="473722F4">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 担保金额人民币（大写）</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元（¥</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7C0439F7">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 担保有效期自预付款支付给承包人起生效，至你方签发的进度款支付证书说明已完全扣清止。</w:t>
      </w:r>
    </w:p>
    <w:p w14:paraId="7B39CE2A">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97C932E">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 你方和承包人按合同约定变更合同时，我方承担本保函规定的义务不变。</w:t>
      </w:r>
    </w:p>
    <w:p w14:paraId="27295D4B">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 因本保函发生的纠纷，可由双方协商解决，协商不成的，任何一方均可提请</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仲裁委员会仲裁。</w:t>
      </w:r>
    </w:p>
    <w:p w14:paraId="08CB1001">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6. 本保函自我方法定代表人（或其授权代理人）签字并加盖公章之日起生效。</w:t>
      </w:r>
    </w:p>
    <w:p w14:paraId="340A7171">
      <w:pPr>
        <w:pStyle w:val="52"/>
        <w:spacing w:line="520" w:lineRule="exact"/>
        <w:rPr>
          <w:rStyle w:val="22"/>
          <w:rFonts w:hint="eastAsia" w:ascii="宋体" w:hAnsi="宋体" w:eastAsia="宋体" w:cs="宋体"/>
          <w:color w:val="auto"/>
          <w:sz w:val="24"/>
          <w:szCs w:val="24"/>
        </w:rPr>
      </w:pPr>
    </w:p>
    <w:p w14:paraId="5748D357">
      <w:pPr>
        <w:pStyle w:val="52"/>
        <w:spacing w:line="520" w:lineRule="exact"/>
        <w:rPr>
          <w:rStyle w:val="22"/>
          <w:rFonts w:hint="eastAsia" w:ascii="宋体" w:hAnsi="宋体" w:eastAsia="宋体" w:cs="宋体"/>
          <w:color w:val="auto"/>
          <w:sz w:val="24"/>
          <w:szCs w:val="24"/>
        </w:rPr>
      </w:pPr>
    </w:p>
    <w:p w14:paraId="4388F68C">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担保人：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（盖单位章）</w:t>
      </w:r>
    </w:p>
    <w:p w14:paraId="26D12989">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法定代表人或其委托代理人：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（签字）</w:t>
      </w:r>
    </w:p>
    <w:p w14:paraId="4583E4ED">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地    址：</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p>
    <w:p w14:paraId="6347C1CB">
      <w:pPr>
        <w:pStyle w:val="52"/>
        <w:spacing w:line="520" w:lineRule="exac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邮政编码：</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p>
    <w:p w14:paraId="238A2E0B">
      <w:pPr>
        <w:pStyle w:val="52"/>
        <w:spacing w:line="520" w:lineRule="exac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电    话：</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p>
    <w:p w14:paraId="60FE5344">
      <w:pPr>
        <w:pStyle w:val="52"/>
        <w:spacing w:line="520" w:lineRule="exact"/>
        <w:rPr>
          <w:rStyle w:val="22"/>
          <w:rFonts w:hint="eastAsia" w:ascii="宋体" w:hAnsi="宋体" w:eastAsia="宋体" w:cs="宋体"/>
          <w:color w:val="auto"/>
          <w:sz w:val="24"/>
          <w:szCs w:val="24"/>
          <w:u w:val="single"/>
        </w:rPr>
      </w:pPr>
      <w:r>
        <w:rPr>
          <w:rStyle w:val="22"/>
          <w:rFonts w:hint="eastAsia" w:ascii="宋体" w:hAnsi="宋体" w:eastAsia="宋体" w:cs="宋体"/>
          <w:color w:val="auto"/>
          <w:sz w:val="24"/>
          <w:szCs w:val="24"/>
        </w:rPr>
        <w:t>传    真：</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r>
        <w:rPr>
          <w:rStyle w:val="22"/>
          <w:rFonts w:hint="eastAsia" w:ascii="宋体" w:hAnsi="宋体" w:eastAsia="宋体" w:cs="宋体"/>
          <w:color w:val="auto"/>
          <w:sz w:val="24"/>
          <w:szCs w:val="24"/>
          <w:u w:val="single"/>
        </w:rPr>
        <w:tab/>
      </w:r>
    </w:p>
    <w:p w14:paraId="256213A0">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w:t>
      </w:r>
    </w:p>
    <w:p w14:paraId="39FFCB25">
      <w:pPr>
        <w:pStyle w:val="52"/>
        <w:spacing w:line="520" w:lineRule="exact"/>
        <w:rPr>
          <w:rStyle w:val="22"/>
          <w:rFonts w:hint="eastAsia" w:ascii="宋体" w:hAnsi="宋体" w:eastAsia="宋体" w:cs="宋体"/>
          <w:color w:val="auto"/>
          <w:sz w:val="24"/>
          <w:szCs w:val="24"/>
          <w:u w:val="single"/>
        </w:rPr>
      </w:pPr>
    </w:p>
    <w:p w14:paraId="2063248C">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年</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月</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日</w:t>
      </w:r>
    </w:p>
    <w:p w14:paraId="5D527D48">
      <w:pPr>
        <w:pStyle w:val="52"/>
        <w:keepNext/>
        <w:keepLines/>
        <w:pageBreakBefore/>
        <w:spacing w:line="520" w:lineRule="exact"/>
        <w:jc w:val="left"/>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 xml:space="preserve">附件10:  </w:t>
      </w:r>
    </w:p>
    <w:p w14:paraId="6D85B74F">
      <w:pPr>
        <w:pStyle w:val="52"/>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支付担保</w:t>
      </w:r>
    </w:p>
    <w:p w14:paraId="27D4157D">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（承包人）：</w:t>
      </w:r>
    </w:p>
    <w:p w14:paraId="0B6B44DB">
      <w:pPr>
        <w:pStyle w:val="52"/>
        <w:spacing w:line="520" w:lineRule="exact"/>
        <w:jc w:val="left"/>
        <w:rPr>
          <w:rStyle w:val="22"/>
          <w:rFonts w:hint="eastAsia" w:ascii="宋体" w:hAnsi="宋体" w:eastAsia="宋体" w:cs="宋体"/>
          <w:color w:val="auto"/>
          <w:sz w:val="24"/>
          <w:szCs w:val="24"/>
        </w:rPr>
      </w:pPr>
    </w:p>
    <w:p w14:paraId="46A4927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鉴于你方作为承包人已经与</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（发包人名称）（以下称“发包人”）于</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年</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月</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日签订了</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（工程名称）《建设工程施工合同》（以下称“主合同”），应发包人的申请，我方愿就发包人履行主合同约定的工程款支付义务以保证的方式向你方提供如下担保：</w:t>
      </w:r>
    </w:p>
    <w:p w14:paraId="01EE5F9A">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一、保证的范围及保证金额</w:t>
      </w:r>
    </w:p>
    <w:p w14:paraId="7A3E605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 我方的保证范围是主合同约定的工程款。</w:t>
      </w:r>
    </w:p>
    <w:p w14:paraId="025CD0F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 本保函所称主合同约定的工程款是指主合同约定的除工程质量保证金以外的合同价款。</w:t>
      </w:r>
    </w:p>
    <w:p w14:paraId="1469B25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 我方保证的金额是主合同约定的工程款的</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%，数额最高不超过人民币元（大写：</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w:t>
      </w:r>
    </w:p>
    <w:p w14:paraId="0A38B4F1">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二、保证的方式及保证期间</w:t>
      </w:r>
    </w:p>
    <w:p w14:paraId="47245F40">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 我方保证的方式为：连带责任保证。</w:t>
      </w:r>
    </w:p>
    <w:p w14:paraId="52C2FFC5">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 我方保证的期间为：自本合同生效之日起至主合同约定的工程款支付完毕之日后</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日内。</w:t>
      </w:r>
    </w:p>
    <w:p w14:paraId="55BBB79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 你方与发包人协议变更工程款支付日期的，经我方书面同意后，保证期间按照变更后的支付日期做相应调整。</w:t>
      </w:r>
    </w:p>
    <w:p w14:paraId="74FE6C52">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三、承担保证责任的形式</w:t>
      </w:r>
    </w:p>
    <w:p w14:paraId="6B6A9BF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我方承担保证责任的形式是代为支付。发包人未按主合同约定向你方支付工程款的，由我方在保证金额内代为支付。</w:t>
      </w:r>
    </w:p>
    <w:p w14:paraId="6E5CCC4D">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四、代偿的安排</w:t>
      </w:r>
    </w:p>
    <w:p w14:paraId="792400ED">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 你方要求我方承担保证责任的，应向我方发出书面索赔通知及发包人未支付主合同约定工程款的证明材料。索赔通知应写明要求索赔的金额，支付款项应到达的账号。</w:t>
      </w:r>
    </w:p>
    <w:p w14:paraId="1A34C09B">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675E4766">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 我方收到你方的书面索赔通知及相应的证明材料后７天内无条件支付。</w:t>
      </w:r>
    </w:p>
    <w:p w14:paraId="3236C531">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五、保证责任的解除</w:t>
      </w:r>
    </w:p>
    <w:p w14:paraId="6B37615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 在本保函承诺的保证期间内，你方未书面向我方主张保证责任的，自保证期间届满次日起，我方保证责任解除。</w:t>
      </w:r>
    </w:p>
    <w:p w14:paraId="239CB8B1">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 发包人按主合同约定履行了工程款的全部支付义务的，自本保函承诺的保证期间届满次日起，我方保证责任解除。</w:t>
      </w:r>
    </w:p>
    <w:p w14:paraId="35FD33D2">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 我方按照本保函向你方履行保证责任所支付金额达到本保函保证金额时，自我方向你方支付（支付款项从我方账户划出）之日起，保证责任即解除。</w:t>
      </w:r>
    </w:p>
    <w:p w14:paraId="16C78F8C">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 按照法律法规的规定或出现应解除我方保证责任的其他情形的，我方在本保函项下的保证责任亦解除。</w:t>
      </w:r>
    </w:p>
    <w:p w14:paraId="3F3885DB">
      <w:pPr>
        <w:pStyle w:val="52"/>
        <w:spacing w:line="520" w:lineRule="exact"/>
        <w:jc w:val="left"/>
        <w:rPr>
          <w:rStyle w:val="22"/>
          <w:rFonts w:hint="eastAsia" w:ascii="宋体" w:hAnsi="宋体" w:eastAsia="宋体" w:cs="宋体"/>
          <w:color w:val="auto"/>
          <w:sz w:val="24"/>
          <w:szCs w:val="24"/>
        </w:rPr>
      </w:pPr>
    </w:p>
    <w:p w14:paraId="3B222883">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5. 我方解除保证责任后，你方应自我方保证责任解除之日起</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个工作日内，将本保函原件返还我方。</w:t>
      </w:r>
    </w:p>
    <w:p w14:paraId="29D31C5F">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六、免责条款</w:t>
      </w:r>
    </w:p>
    <w:p w14:paraId="5A4C2644">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 因你方违约致使发包人不能履行义务的，我方不承担保证责任。</w:t>
      </w:r>
    </w:p>
    <w:p w14:paraId="4B245939">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 依照法律法规的规定或你方与发包人的另行约定，免除发包人部分或全部义务的，我方亦免除其相应的保证责任。</w:t>
      </w:r>
    </w:p>
    <w:p w14:paraId="46283B7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4913C3A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4. 因不可抗力造成发包人不能履行义务的，我方不承担保证责任。</w:t>
      </w:r>
    </w:p>
    <w:p w14:paraId="0D10BF17">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七、争议解决</w:t>
      </w:r>
    </w:p>
    <w:p w14:paraId="53F8E8A2">
      <w:pPr>
        <w:pStyle w:val="52"/>
        <w:spacing w:line="520" w:lineRule="exact"/>
        <w:ind w:firstLine="480" w:firstLineChars="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因本保函或本保函相关事项发生的纠纷，可由双方协商解决，协商不成的，按下列第</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种方式解决：</w:t>
      </w:r>
    </w:p>
    <w:p w14:paraId="657AC6AF">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（1）向</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仲裁委员会申请仲裁；</w:t>
      </w:r>
    </w:p>
    <w:p w14:paraId="2CE0E437">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（2）向</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人民法院起诉。</w:t>
      </w:r>
    </w:p>
    <w:p w14:paraId="2A90FDC6">
      <w:pPr>
        <w:pStyle w:val="52"/>
        <w:spacing w:line="520" w:lineRule="exac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八、保函的生效</w:t>
      </w:r>
    </w:p>
    <w:p w14:paraId="2BB7018A">
      <w:pPr>
        <w:pStyle w:val="52"/>
        <w:spacing w:line="520" w:lineRule="exact"/>
        <w:ind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本保函自我方法定代表人（或其授权代理人）签字并加盖公章之日起生效。</w:t>
      </w:r>
    </w:p>
    <w:p w14:paraId="12C21F51">
      <w:pPr>
        <w:pStyle w:val="52"/>
        <w:spacing w:line="520" w:lineRule="exact"/>
        <w:ind w:firstLine="480" w:firstLineChars="200"/>
        <w:jc w:val="left"/>
        <w:rPr>
          <w:rStyle w:val="22"/>
          <w:rFonts w:hint="eastAsia" w:ascii="宋体" w:hAnsi="宋体" w:eastAsia="宋体" w:cs="宋体"/>
          <w:color w:val="auto"/>
          <w:sz w:val="24"/>
          <w:szCs w:val="24"/>
        </w:rPr>
      </w:pPr>
    </w:p>
    <w:p w14:paraId="77B33120">
      <w:pPr>
        <w:pStyle w:val="52"/>
        <w:spacing w:line="520" w:lineRule="exact"/>
        <w:ind w:right="600"/>
        <w:jc w:val="left"/>
        <w:rPr>
          <w:rStyle w:val="22"/>
          <w:rFonts w:hint="eastAsia" w:ascii="宋体" w:hAnsi="宋体" w:eastAsia="宋体" w:cs="宋体"/>
          <w:color w:val="auto"/>
          <w:sz w:val="24"/>
          <w:szCs w:val="24"/>
        </w:rPr>
      </w:pPr>
    </w:p>
    <w:p w14:paraId="1E0681E1">
      <w:pPr>
        <w:pStyle w:val="52"/>
        <w:spacing w:line="520" w:lineRule="exact"/>
        <w:ind w:right="6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担保人：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（盖章）</w:t>
      </w:r>
    </w:p>
    <w:p w14:paraId="59D8723E">
      <w:pPr>
        <w:pStyle w:val="52"/>
        <w:spacing w:line="520" w:lineRule="exact"/>
        <w:ind w:right="1200"/>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法定代表人或委托代理人：</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（签字）</w:t>
      </w:r>
    </w:p>
    <w:p w14:paraId="5C0410B5">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地    址：</w:t>
      </w:r>
      <w:r>
        <w:rPr>
          <w:rStyle w:val="22"/>
          <w:rFonts w:hint="eastAsia" w:ascii="宋体" w:hAnsi="宋体" w:eastAsia="宋体" w:cs="宋体"/>
          <w:color w:val="auto"/>
          <w:sz w:val="24"/>
          <w:szCs w:val="24"/>
          <w:u w:val="single"/>
        </w:rPr>
        <w:t xml:space="preserve">                                        </w:t>
      </w:r>
    </w:p>
    <w:p w14:paraId="1598F250">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邮政编码：</w:t>
      </w:r>
      <w:r>
        <w:rPr>
          <w:rStyle w:val="22"/>
          <w:rFonts w:hint="eastAsia" w:ascii="宋体" w:hAnsi="宋体" w:eastAsia="宋体" w:cs="宋体"/>
          <w:color w:val="auto"/>
          <w:sz w:val="24"/>
          <w:szCs w:val="24"/>
          <w:u w:val="single"/>
        </w:rPr>
        <w:t xml:space="preserve">                                        </w:t>
      </w:r>
    </w:p>
    <w:p w14:paraId="5F88C261">
      <w:pPr>
        <w:pStyle w:val="52"/>
        <w:spacing w:line="520" w:lineRule="exact"/>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传    真：</w:t>
      </w:r>
      <w:r>
        <w:rPr>
          <w:rStyle w:val="22"/>
          <w:rFonts w:hint="eastAsia" w:ascii="宋体" w:hAnsi="宋体" w:eastAsia="宋体" w:cs="宋体"/>
          <w:color w:val="auto"/>
          <w:sz w:val="24"/>
          <w:szCs w:val="24"/>
          <w:u w:val="single"/>
        </w:rPr>
        <w:t xml:space="preserve">                                        </w:t>
      </w:r>
    </w:p>
    <w:p w14:paraId="75674150">
      <w:pPr>
        <w:pStyle w:val="52"/>
        <w:spacing w:line="520" w:lineRule="exact"/>
        <w:ind w:right="150" w:firstLine="480" w:firstLineChars="200"/>
        <w:jc w:val="left"/>
        <w:rPr>
          <w:rStyle w:val="22"/>
          <w:rFonts w:hint="eastAsia" w:ascii="宋体" w:hAnsi="宋体" w:eastAsia="宋体" w:cs="宋体"/>
          <w:color w:val="auto"/>
          <w:sz w:val="24"/>
          <w:szCs w:val="24"/>
          <w:u w:val="single"/>
        </w:rPr>
      </w:pPr>
    </w:p>
    <w:p w14:paraId="38B2A60B">
      <w:pPr>
        <w:pStyle w:val="52"/>
        <w:spacing w:line="520" w:lineRule="exact"/>
        <w:ind w:right="150" w:firstLine="480" w:firstLineChars="200"/>
        <w:jc w:val="left"/>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 xml:space="preserve">             </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年</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月</w:t>
      </w:r>
      <w:r>
        <w:rPr>
          <w:rStyle w:val="22"/>
          <w:rFonts w:hint="eastAsia" w:ascii="宋体" w:hAnsi="宋体" w:eastAsia="宋体" w:cs="宋体"/>
          <w:color w:val="auto"/>
          <w:sz w:val="24"/>
          <w:szCs w:val="24"/>
          <w:u w:val="single"/>
        </w:rPr>
        <w:t xml:space="preserve">      </w:t>
      </w:r>
      <w:r>
        <w:rPr>
          <w:rStyle w:val="22"/>
          <w:rFonts w:hint="eastAsia" w:ascii="宋体" w:hAnsi="宋体" w:eastAsia="宋体" w:cs="宋体"/>
          <w:color w:val="auto"/>
          <w:sz w:val="24"/>
          <w:szCs w:val="24"/>
        </w:rPr>
        <w:t>日</w:t>
      </w:r>
    </w:p>
    <w:p w14:paraId="7EB1FD83">
      <w:pPr>
        <w:pStyle w:val="52"/>
        <w:keepNext/>
        <w:keepLines/>
        <w:pageBreakBefore/>
        <w:spacing w:line="520" w:lineRule="exact"/>
        <w:jc w:val="left"/>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附件11：</w:t>
      </w:r>
    </w:p>
    <w:p w14:paraId="7A4544AB">
      <w:pPr>
        <w:pStyle w:val="52"/>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11-1：材料暂估价表</w:t>
      </w: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B7AF1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5009A504">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序号</w:t>
            </w:r>
          </w:p>
        </w:tc>
        <w:tc>
          <w:tcPr>
            <w:tcW w:w="1984" w:type="dxa"/>
            <w:tcBorders>
              <w:top w:val="single" w:color="auto" w:sz="12" w:space="0"/>
              <w:bottom w:val="double" w:color="auto" w:sz="6" w:space="0"/>
            </w:tcBorders>
            <w:noWrap w:val="0"/>
            <w:vAlign w:val="top"/>
          </w:tcPr>
          <w:p w14:paraId="45989EE6">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名称</w:t>
            </w:r>
          </w:p>
        </w:tc>
        <w:tc>
          <w:tcPr>
            <w:tcW w:w="851" w:type="dxa"/>
            <w:tcBorders>
              <w:top w:val="single" w:color="auto" w:sz="12" w:space="0"/>
              <w:bottom w:val="double" w:color="auto" w:sz="6" w:space="0"/>
            </w:tcBorders>
            <w:noWrap w:val="0"/>
            <w:vAlign w:val="top"/>
          </w:tcPr>
          <w:p w14:paraId="074D3BF6">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单位</w:t>
            </w:r>
          </w:p>
        </w:tc>
        <w:tc>
          <w:tcPr>
            <w:tcW w:w="774" w:type="dxa"/>
            <w:tcBorders>
              <w:top w:val="single" w:color="auto" w:sz="12" w:space="0"/>
              <w:bottom w:val="double" w:color="auto" w:sz="6" w:space="0"/>
            </w:tcBorders>
            <w:noWrap w:val="0"/>
            <w:vAlign w:val="top"/>
          </w:tcPr>
          <w:p w14:paraId="4DEB1895">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数量</w:t>
            </w:r>
          </w:p>
        </w:tc>
        <w:tc>
          <w:tcPr>
            <w:tcW w:w="1352" w:type="dxa"/>
            <w:tcBorders>
              <w:top w:val="single" w:color="auto" w:sz="12" w:space="0"/>
              <w:bottom w:val="double" w:color="auto" w:sz="6" w:space="0"/>
            </w:tcBorders>
            <w:noWrap w:val="0"/>
            <w:vAlign w:val="top"/>
          </w:tcPr>
          <w:p w14:paraId="4196602F">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单价（元）</w:t>
            </w:r>
          </w:p>
        </w:tc>
        <w:tc>
          <w:tcPr>
            <w:tcW w:w="1418" w:type="dxa"/>
            <w:tcBorders>
              <w:top w:val="single" w:color="auto" w:sz="12" w:space="0"/>
              <w:bottom w:val="double" w:color="auto" w:sz="6" w:space="0"/>
            </w:tcBorders>
            <w:noWrap w:val="0"/>
            <w:vAlign w:val="top"/>
          </w:tcPr>
          <w:p w14:paraId="7F09BB1D">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合价（元）</w:t>
            </w:r>
          </w:p>
        </w:tc>
        <w:tc>
          <w:tcPr>
            <w:tcW w:w="1701" w:type="dxa"/>
            <w:tcBorders>
              <w:top w:val="single" w:color="auto" w:sz="12" w:space="0"/>
              <w:bottom w:val="double" w:color="auto" w:sz="6" w:space="0"/>
            </w:tcBorders>
            <w:noWrap w:val="0"/>
            <w:vAlign w:val="top"/>
          </w:tcPr>
          <w:p w14:paraId="2669D96F">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备注</w:t>
            </w:r>
          </w:p>
        </w:tc>
      </w:tr>
      <w:tr w14:paraId="79B2CD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425B3C2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tcBorders>
              <w:top w:val="double" w:color="auto" w:sz="6" w:space="0"/>
              <w:bottom w:val="single" w:color="auto" w:sz="6" w:space="0"/>
            </w:tcBorders>
            <w:noWrap w:val="0"/>
            <w:vAlign w:val="top"/>
          </w:tcPr>
          <w:p w14:paraId="284D161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tcBorders>
              <w:top w:val="double" w:color="auto" w:sz="6" w:space="0"/>
              <w:bottom w:val="single" w:color="auto" w:sz="6" w:space="0"/>
            </w:tcBorders>
            <w:noWrap w:val="0"/>
            <w:vAlign w:val="top"/>
          </w:tcPr>
          <w:p w14:paraId="083F7A0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tcBorders>
              <w:top w:val="double" w:color="auto" w:sz="6" w:space="0"/>
              <w:bottom w:val="single" w:color="auto" w:sz="6" w:space="0"/>
            </w:tcBorders>
            <w:noWrap w:val="0"/>
            <w:vAlign w:val="top"/>
          </w:tcPr>
          <w:p w14:paraId="43C7B6C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tcBorders>
              <w:top w:val="double" w:color="auto" w:sz="6" w:space="0"/>
              <w:bottom w:val="single" w:color="auto" w:sz="6" w:space="0"/>
            </w:tcBorders>
            <w:noWrap w:val="0"/>
            <w:vAlign w:val="top"/>
          </w:tcPr>
          <w:p w14:paraId="0C095C4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tcBorders>
              <w:top w:val="double" w:color="auto" w:sz="6" w:space="0"/>
              <w:bottom w:val="single" w:color="auto" w:sz="6" w:space="0"/>
            </w:tcBorders>
            <w:noWrap w:val="0"/>
            <w:vAlign w:val="top"/>
          </w:tcPr>
          <w:p w14:paraId="33949C4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tcBorders>
              <w:top w:val="double" w:color="auto" w:sz="6" w:space="0"/>
              <w:bottom w:val="single" w:color="auto" w:sz="6" w:space="0"/>
            </w:tcBorders>
            <w:noWrap w:val="0"/>
            <w:vAlign w:val="top"/>
          </w:tcPr>
          <w:p w14:paraId="7F7DA7B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948A1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0D3A834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tcBorders>
              <w:top w:val="nil"/>
            </w:tcBorders>
            <w:noWrap w:val="0"/>
            <w:vAlign w:val="top"/>
          </w:tcPr>
          <w:p w14:paraId="376A55D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tcBorders>
              <w:top w:val="nil"/>
            </w:tcBorders>
            <w:noWrap w:val="0"/>
            <w:vAlign w:val="top"/>
          </w:tcPr>
          <w:p w14:paraId="4ED551D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tcBorders>
              <w:top w:val="nil"/>
            </w:tcBorders>
            <w:noWrap w:val="0"/>
            <w:vAlign w:val="top"/>
          </w:tcPr>
          <w:p w14:paraId="68AB10E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tcBorders>
              <w:top w:val="nil"/>
            </w:tcBorders>
            <w:noWrap w:val="0"/>
            <w:vAlign w:val="top"/>
          </w:tcPr>
          <w:p w14:paraId="1778D84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tcBorders>
              <w:top w:val="nil"/>
            </w:tcBorders>
            <w:noWrap w:val="0"/>
            <w:vAlign w:val="top"/>
          </w:tcPr>
          <w:p w14:paraId="29198EE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tcBorders>
              <w:top w:val="nil"/>
            </w:tcBorders>
            <w:noWrap w:val="0"/>
            <w:vAlign w:val="top"/>
          </w:tcPr>
          <w:p w14:paraId="6368FEBE">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24D1D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746B96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722A4CB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01A5119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6D4C361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17990CA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2CDF3E4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6140C5C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DAB20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841818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DCB5B2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2B345E5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2553C5A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624071C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788C1B4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3B426F3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D17F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582D48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3D1B763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7090610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229D87E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5B10FD1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62E0A6E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54A06ACE">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892AA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1DE415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5C99AF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6187E4B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62859E7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12E5994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1B0BD2F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1A532115">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64F0F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7925E2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442A06B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2E3F962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090D146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7B45E5F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226A23F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31E0C2D2">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EF616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B8755C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078CBBC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6753859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2018994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6F78621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689CDA0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7AA6D1C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13F6C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300A83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41A3820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50EB0B3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634C83A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52A1CD8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05EB242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4E1C95B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2082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1E556B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481EFF6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7F31919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31231BA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249090C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46D3675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706343AE">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52770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F78B52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0FD2BB6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69FA059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444FC9B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260F405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26ABD39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4B9CCEDC">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0444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3A45C4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31E832C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49F615E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6E4A52A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2C21022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6516A58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20D15D52">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2590F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BADC49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06A876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2452976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6D531CE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3C9E450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3658D3C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161C57D8">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53B5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E278D4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A847D4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5A0B3A9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13D8F6B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516DC4F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4AF2726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13C22266">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A2258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23E787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7A3E33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45AE14C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1CE8A97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60909BA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6F85ACF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0F68598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58AC4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3F2CDA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4AC781C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65FC5AA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2F70D6A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5D9BB84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445DC7B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4987CF5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3FCB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B45494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43AEB51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2796AEE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50CC4D4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03FFFC1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65AE61E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06FB0FF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C6E8F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15E64D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76EC840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49B2F68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4CEF39A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7A78AF0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4785702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40D7361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2C708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7A66A1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3EB47C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6A205AC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6EB3B7D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17D7BD8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5EBF475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4B2C99A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2F10A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968003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7365482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4B5CB4D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5383B44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0E2BE26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3168A63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1A427A7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E9384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30077C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6C9BC04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100140C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7163746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7711357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2AEC775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24BB0AC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DACD7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7F02C6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7959DCD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7915C44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5BB67AD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3C48326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43D5278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721DC4D0">
            <w:pPr>
              <w:pStyle w:val="55"/>
              <w:keepNext/>
              <w:spacing w:after="0" w:line="520" w:lineRule="exact"/>
              <w:ind w:left="63" w:right="63"/>
              <w:textAlignment w:val="auto"/>
              <w:rPr>
                <w:rStyle w:val="22"/>
                <w:rFonts w:hint="eastAsia" w:ascii="宋体" w:hAnsi="宋体" w:eastAsia="宋体" w:cs="宋体"/>
                <w:color w:val="auto"/>
                <w:sz w:val="24"/>
                <w:szCs w:val="24"/>
              </w:rPr>
            </w:pPr>
          </w:p>
        </w:tc>
      </w:tr>
    </w:tbl>
    <w:p w14:paraId="5A8469C9">
      <w:pPr>
        <w:pStyle w:val="52"/>
        <w:keepNext/>
        <w:keepLines/>
        <w:pageBreakBefore/>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11-2：工程设备暂估价表</w:t>
      </w:r>
    </w:p>
    <w:tbl>
      <w:tblPr>
        <w:tblStyle w:val="20"/>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D4FCA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8C48EDB">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序号</w:t>
            </w:r>
          </w:p>
        </w:tc>
        <w:tc>
          <w:tcPr>
            <w:tcW w:w="1984" w:type="dxa"/>
            <w:tcBorders>
              <w:top w:val="single" w:color="auto" w:sz="12" w:space="0"/>
              <w:bottom w:val="double" w:color="auto" w:sz="6" w:space="0"/>
            </w:tcBorders>
            <w:noWrap w:val="0"/>
            <w:vAlign w:val="top"/>
          </w:tcPr>
          <w:p w14:paraId="4B0A1EF4">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名称</w:t>
            </w:r>
          </w:p>
        </w:tc>
        <w:tc>
          <w:tcPr>
            <w:tcW w:w="851" w:type="dxa"/>
            <w:tcBorders>
              <w:top w:val="single" w:color="auto" w:sz="12" w:space="0"/>
              <w:bottom w:val="double" w:color="auto" w:sz="6" w:space="0"/>
            </w:tcBorders>
            <w:noWrap w:val="0"/>
            <w:vAlign w:val="top"/>
          </w:tcPr>
          <w:p w14:paraId="69771307">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单位</w:t>
            </w:r>
          </w:p>
        </w:tc>
        <w:tc>
          <w:tcPr>
            <w:tcW w:w="774" w:type="dxa"/>
            <w:tcBorders>
              <w:top w:val="single" w:color="auto" w:sz="12" w:space="0"/>
              <w:bottom w:val="double" w:color="auto" w:sz="6" w:space="0"/>
            </w:tcBorders>
            <w:noWrap w:val="0"/>
            <w:vAlign w:val="top"/>
          </w:tcPr>
          <w:p w14:paraId="5DE1B50B">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数量</w:t>
            </w:r>
          </w:p>
        </w:tc>
        <w:tc>
          <w:tcPr>
            <w:tcW w:w="1352" w:type="dxa"/>
            <w:tcBorders>
              <w:top w:val="single" w:color="auto" w:sz="12" w:space="0"/>
              <w:bottom w:val="double" w:color="auto" w:sz="6" w:space="0"/>
            </w:tcBorders>
            <w:noWrap w:val="0"/>
            <w:vAlign w:val="top"/>
          </w:tcPr>
          <w:p w14:paraId="067AF637">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单价（元）</w:t>
            </w:r>
          </w:p>
        </w:tc>
        <w:tc>
          <w:tcPr>
            <w:tcW w:w="1418" w:type="dxa"/>
            <w:tcBorders>
              <w:top w:val="single" w:color="auto" w:sz="12" w:space="0"/>
              <w:bottom w:val="double" w:color="auto" w:sz="6" w:space="0"/>
            </w:tcBorders>
            <w:noWrap w:val="0"/>
            <w:vAlign w:val="top"/>
          </w:tcPr>
          <w:p w14:paraId="1F298AA0">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合价（元）</w:t>
            </w:r>
          </w:p>
        </w:tc>
        <w:tc>
          <w:tcPr>
            <w:tcW w:w="1701" w:type="dxa"/>
            <w:tcBorders>
              <w:top w:val="single" w:color="auto" w:sz="12" w:space="0"/>
              <w:bottom w:val="double" w:color="auto" w:sz="6" w:space="0"/>
            </w:tcBorders>
            <w:noWrap w:val="0"/>
            <w:vAlign w:val="top"/>
          </w:tcPr>
          <w:p w14:paraId="57CA6FD1">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备注</w:t>
            </w:r>
          </w:p>
        </w:tc>
      </w:tr>
      <w:tr w14:paraId="239AEB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313BF02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tcBorders>
              <w:top w:val="double" w:color="auto" w:sz="6" w:space="0"/>
              <w:bottom w:val="single" w:color="auto" w:sz="6" w:space="0"/>
            </w:tcBorders>
            <w:noWrap w:val="0"/>
            <w:vAlign w:val="top"/>
          </w:tcPr>
          <w:p w14:paraId="6EE8A4B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tcBorders>
              <w:top w:val="double" w:color="auto" w:sz="6" w:space="0"/>
              <w:bottom w:val="single" w:color="auto" w:sz="6" w:space="0"/>
            </w:tcBorders>
            <w:noWrap w:val="0"/>
            <w:vAlign w:val="top"/>
          </w:tcPr>
          <w:p w14:paraId="36C14D7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tcBorders>
              <w:top w:val="double" w:color="auto" w:sz="6" w:space="0"/>
              <w:bottom w:val="single" w:color="auto" w:sz="6" w:space="0"/>
            </w:tcBorders>
            <w:noWrap w:val="0"/>
            <w:vAlign w:val="top"/>
          </w:tcPr>
          <w:p w14:paraId="415F312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tcBorders>
              <w:top w:val="double" w:color="auto" w:sz="6" w:space="0"/>
              <w:bottom w:val="single" w:color="auto" w:sz="6" w:space="0"/>
            </w:tcBorders>
            <w:noWrap w:val="0"/>
            <w:vAlign w:val="top"/>
          </w:tcPr>
          <w:p w14:paraId="368B8CD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tcBorders>
              <w:top w:val="double" w:color="auto" w:sz="6" w:space="0"/>
              <w:bottom w:val="single" w:color="auto" w:sz="6" w:space="0"/>
            </w:tcBorders>
            <w:noWrap w:val="0"/>
            <w:vAlign w:val="top"/>
          </w:tcPr>
          <w:p w14:paraId="6655C50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tcBorders>
              <w:top w:val="double" w:color="auto" w:sz="6" w:space="0"/>
              <w:bottom w:val="single" w:color="auto" w:sz="6" w:space="0"/>
            </w:tcBorders>
            <w:noWrap w:val="0"/>
            <w:vAlign w:val="top"/>
          </w:tcPr>
          <w:p w14:paraId="602F8AED">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9B8C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731F94B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tcBorders>
              <w:top w:val="nil"/>
            </w:tcBorders>
            <w:noWrap w:val="0"/>
            <w:vAlign w:val="top"/>
          </w:tcPr>
          <w:p w14:paraId="2B252B7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tcBorders>
              <w:top w:val="nil"/>
            </w:tcBorders>
            <w:noWrap w:val="0"/>
            <w:vAlign w:val="top"/>
          </w:tcPr>
          <w:p w14:paraId="78001EC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tcBorders>
              <w:top w:val="nil"/>
            </w:tcBorders>
            <w:noWrap w:val="0"/>
            <w:vAlign w:val="top"/>
          </w:tcPr>
          <w:p w14:paraId="22C7B8C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tcBorders>
              <w:top w:val="nil"/>
            </w:tcBorders>
            <w:noWrap w:val="0"/>
            <w:vAlign w:val="top"/>
          </w:tcPr>
          <w:p w14:paraId="1334922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tcBorders>
              <w:top w:val="nil"/>
            </w:tcBorders>
            <w:noWrap w:val="0"/>
            <w:vAlign w:val="top"/>
          </w:tcPr>
          <w:p w14:paraId="489C4FA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tcBorders>
              <w:top w:val="nil"/>
            </w:tcBorders>
            <w:noWrap w:val="0"/>
            <w:vAlign w:val="top"/>
          </w:tcPr>
          <w:p w14:paraId="0F3630E0">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0269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2E58F5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4575645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66B99E7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3C7A365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1B984F4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5EC4695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49453F70">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6BEA2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AB6A0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55F6680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4BEEA86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5DFA9F5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7AACE39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75EB4FB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144035DA">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33D77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187BE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11BDDB5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1669596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7D76748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239C2E5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14336AD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7BA5282D">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712A0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1CDAB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5385AB3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3BD94CA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6120F50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627F39E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5037C55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334CD0E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106CE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2548C0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02037D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134CCB5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014EDA9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20377FC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3E57FB1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5E2CC18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A4A0C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CB434F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55EE20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09E9574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7D54247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7AE99C7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6E46FE12">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128394AD">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3E28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D09D53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0EE8A14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7C91C5A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4E279C7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2B80F5A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299C433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156D50B0">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9C1C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2939B3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872D47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60052D0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6F1293B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68C6F9D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6D40772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140241A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1501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1E15CB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0CE92FB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5545B43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3B90148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2CBD849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42098B8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54CABDE3">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C581E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6829A4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7463F6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136737E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72EE3C2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5BBAEE1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2261A46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7BC6E814">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1B08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C758B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363EDE1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73DAD1E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362D5DF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6CE0A65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5A11DA1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0A958273">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09A6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55A21E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4A08623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0A4925D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44C7D8D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5B04689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04CFC99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1C89958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505FF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B08ED6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78505E9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6891B61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0D20CD9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4D7C61E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361F74F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0917B53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6F17C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072DE0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1942967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4479FEB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7959E43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6F905B0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63AFBAF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7CCD7785">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F258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2F6836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37DD8FB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5890643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19D7223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53ED83E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3B52666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59F3F19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E5B5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E3C8D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01F8C87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6392EF5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10BC8AC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65536CE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4E97147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6DEE0586">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3EE5E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0DB564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5D06C0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7AE4964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4C4035F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56B808B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76867BD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5A36F2D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588D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EC601D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5DF198F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851" w:type="dxa"/>
            <w:noWrap w:val="0"/>
            <w:vAlign w:val="top"/>
          </w:tcPr>
          <w:p w14:paraId="3191687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774" w:type="dxa"/>
            <w:noWrap w:val="0"/>
            <w:vAlign w:val="top"/>
          </w:tcPr>
          <w:p w14:paraId="7CD7AF2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352" w:type="dxa"/>
            <w:noWrap w:val="0"/>
            <w:vAlign w:val="top"/>
          </w:tcPr>
          <w:p w14:paraId="09B2EE2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418" w:type="dxa"/>
            <w:noWrap w:val="0"/>
            <w:vAlign w:val="top"/>
          </w:tcPr>
          <w:p w14:paraId="79CAB46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701" w:type="dxa"/>
            <w:noWrap w:val="0"/>
            <w:vAlign w:val="top"/>
          </w:tcPr>
          <w:p w14:paraId="7EF44987">
            <w:pPr>
              <w:pStyle w:val="55"/>
              <w:keepNext/>
              <w:spacing w:after="0" w:line="520" w:lineRule="exact"/>
              <w:ind w:left="63" w:right="63"/>
              <w:textAlignment w:val="auto"/>
              <w:rPr>
                <w:rStyle w:val="22"/>
                <w:rFonts w:hint="eastAsia" w:ascii="宋体" w:hAnsi="宋体" w:eastAsia="宋体" w:cs="宋体"/>
                <w:color w:val="auto"/>
                <w:sz w:val="24"/>
                <w:szCs w:val="24"/>
              </w:rPr>
            </w:pPr>
          </w:p>
        </w:tc>
      </w:tr>
    </w:tbl>
    <w:p w14:paraId="5F48EFE0">
      <w:pPr>
        <w:pStyle w:val="52"/>
        <w:keepNext/>
        <w:keepLines/>
        <w:pageBreakBefore/>
        <w:spacing w:line="520" w:lineRule="exact"/>
        <w:jc w:val="center"/>
        <w:rPr>
          <w:rStyle w:val="22"/>
          <w:rFonts w:hint="eastAsia" w:ascii="宋体" w:hAnsi="宋体" w:eastAsia="宋体" w:cs="宋体"/>
          <w:color w:val="auto"/>
          <w:sz w:val="28"/>
          <w:szCs w:val="28"/>
        </w:rPr>
      </w:pPr>
      <w:r>
        <w:rPr>
          <w:rStyle w:val="22"/>
          <w:rFonts w:hint="eastAsia" w:ascii="宋体" w:hAnsi="宋体" w:eastAsia="宋体" w:cs="宋体"/>
          <w:color w:val="auto"/>
          <w:sz w:val="28"/>
          <w:szCs w:val="28"/>
        </w:rPr>
        <w:t>11-3：专业工程暂估价表</w:t>
      </w:r>
    </w:p>
    <w:tbl>
      <w:tblPr>
        <w:tblStyle w:val="20"/>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28342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7FC46830">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序号</w:t>
            </w:r>
          </w:p>
        </w:tc>
        <w:tc>
          <w:tcPr>
            <w:tcW w:w="1984" w:type="dxa"/>
            <w:tcBorders>
              <w:top w:val="single" w:color="auto" w:sz="12" w:space="0"/>
              <w:bottom w:val="double" w:color="auto" w:sz="6" w:space="0"/>
            </w:tcBorders>
            <w:noWrap w:val="0"/>
            <w:vAlign w:val="top"/>
          </w:tcPr>
          <w:p w14:paraId="28948893">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专业工程名称</w:t>
            </w:r>
          </w:p>
        </w:tc>
        <w:tc>
          <w:tcPr>
            <w:tcW w:w="4678" w:type="dxa"/>
            <w:tcBorders>
              <w:top w:val="single" w:color="auto" w:sz="12" w:space="0"/>
              <w:bottom w:val="double" w:color="auto" w:sz="6" w:space="0"/>
            </w:tcBorders>
            <w:noWrap w:val="0"/>
            <w:vAlign w:val="top"/>
          </w:tcPr>
          <w:p w14:paraId="5003A558">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工程内容</w:t>
            </w:r>
          </w:p>
        </w:tc>
        <w:tc>
          <w:tcPr>
            <w:tcW w:w="1276" w:type="dxa"/>
            <w:tcBorders>
              <w:top w:val="single" w:color="auto" w:sz="12" w:space="0"/>
              <w:bottom w:val="double" w:color="auto" w:sz="6" w:space="0"/>
            </w:tcBorders>
            <w:noWrap w:val="0"/>
            <w:vAlign w:val="top"/>
          </w:tcPr>
          <w:p w14:paraId="278CBCC5">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金额</w:t>
            </w:r>
          </w:p>
        </w:tc>
      </w:tr>
      <w:tr w14:paraId="39810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4BE81B1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tcBorders>
              <w:top w:val="double" w:color="auto" w:sz="6" w:space="0"/>
              <w:bottom w:val="single" w:color="auto" w:sz="6" w:space="0"/>
            </w:tcBorders>
            <w:noWrap w:val="0"/>
            <w:vAlign w:val="top"/>
          </w:tcPr>
          <w:p w14:paraId="4D89369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tcBorders>
              <w:top w:val="double" w:color="auto" w:sz="6" w:space="0"/>
              <w:bottom w:val="single" w:color="auto" w:sz="6" w:space="0"/>
            </w:tcBorders>
            <w:noWrap w:val="0"/>
            <w:vAlign w:val="top"/>
          </w:tcPr>
          <w:p w14:paraId="4470DDC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tcBorders>
              <w:top w:val="double" w:color="auto" w:sz="6" w:space="0"/>
              <w:bottom w:val="single" w:color="auto" w:sz="6" w:space="0"/>
            </w:tcBorders>
            <w:noWrap w:val="0"/>
            <w:vAlign w:val="top"/>
          </w:tcPr>
          <w:p w14:paraId="5877585C">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CADF4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4CF641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tcBorders>
              <w:top w:val="nil"/>
            </w:tcBorders>
            <w:noWrap w:val="0"/>
            <w:vAlign w:val="top"/>
          </w:tcPr>
          <w:p w14:paraId="533D3FF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tcBorders>
              <w:top w:val="nil"/>
            </w:tcBorders>
            <w:noWrap w:val="0"/>
            <w:vAlign w:val="top"/>
          </w:tcPr>
          <w:p w14:paraId="40EEB41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tcBorders>
              <w:top w:val="nil"/>
            </w:tcBorders>
            <w:noWrap w:val="0"/>
            <w:vAlign w:val="top"/>
          </w:tcPr>
          <w:p w14:paraId="0E10ABE5">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B3661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1012722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tcBorders>
              <w:top w:val="nil"/>
            </w:tcBorders>
            <w:noWrap w:val="0"/>
            <w:vAlign w:val="top"/>
          </w:tcPr>
          <w:p w14:paraId="791EFB6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tcBorders>
              <w:top w:val="nil"/>
            </w:tcBorders>
            <w:noWrap w:val="0"/>
            <w:vAlign w:val="top"/>
          </w:tcPr>
          <w:p w14:paraId="457D53C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tcBorders>
              <w:top w:val="nil"/>
            </w:tcBorders>
            <w:noWrap w:val="0"/>
            <w:vAlign w:val="top"/>
          </w:tcPr>
          <w:p w14:paraId="0D383DA1">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822E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5C316F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7146990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104C743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5D4A0E8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2747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37357E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496120D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64DEFB3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4EAD9267">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51B238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79A0FE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6CF5A3D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79332D6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6E425C2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66A2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8F9A8D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4C64F96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4332C95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697A523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10237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D2DB10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368348D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12A4C73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088BC472">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EE8B0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34EC7A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7D138D7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2B13252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734C2A50">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200334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050670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5AD359E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5F85911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00536470">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4F9909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91CB96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0F857DB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5900F94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7F571220">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BCEE1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200FF0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58A2A80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2D37AA5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39D5DF33">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7AEE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D2F2BE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406E1D28">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30E44413">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6B941E6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70CB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953EDF5">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320B225D">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6FE8F947">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2E99C9AB">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7EEFDB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9D433F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27BCE0B">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47578BD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0088B7CC">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611659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6AD41A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9A37FF0">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234B0C71">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000CBC4D">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D9B15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A78BA1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1F6356CC">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0F78303A">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5BCF63FF">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0A85E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788F06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7486083E">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2AA6AF69">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1A46359A">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317056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6DDDB84">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984" w:type="dxa"/>
            <w:noWrap w:val="0"/>
            <w:vAlign w:val="top"/>
          </w:tcPr>
          <w:p w14:paraId="28C5F1C6">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4678" w:type="dxa"/>
            <w:noWrap w:val="0"/>
            <w:vAlign w:val="top"/>
          </w:tcPr>
          <w:p w14:paraId="2757E43F">
            <w:pPr>
              <w:pStyle w:val="55"/>
              <w:keepNext/>
              <w:spacing w:after="0" w:line="520" w:lineRule="exact"/>
              <w:ind w:left="63" w:right="63"/>
              <w:textAlignment w:val="auto"/>
              <w:rPr>
                <w:rStyle w:val="22"/>
                <w:rFonts w:hint="eastAsia" w:ascii="宋体" w:hAnsi="宋体" w:eastAsia="宋体" w:cs="宋体"/>
                <w:color w:val="auto"/>
                <w:sz w:val="24"/>
                <w:szCs w:val="24"/>
              </w:rPr>
            </w:pPr>
          </w:p>
        </w:tc>
        <w:tc>
          <w:tcPr>
            <w:tcW w:w="1276" w:type="dxa"/>
            <w:noWrap w:val="0"/>
            <w:vAlign w:val="top"/>
          </w:tcPr>
          <w:p w14:paraId="67570199">
            <w:pPr>
              <w:pStyle w:val="55"/>
              <w:keepNext/>
              <w:spacing w:after="0" w:line="520" w:lineRule="exact"/>
              <w:ind w:left="63" w:right="63"/>
              <w:textAlignment w:val="auto"/>
              <w:rPr>
                <w:rStyle w:val="22"/>
                <w:rFonts w:hint="eastAsia" w:ascii="宋体" w:hAnsi="宋体" w:eastAsia="宋体" w:cs="宋体"/>
                <w:color w:val="auto"/>
                <w:sz w:val="24"/>
                <w:szCs w:val="24"/>
              </w:rPr>
            </w:pPr>
          </w:p>
        </w:tc>
      </w:tr>
      <w:tr w14:paraId="19BFA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035366A2">
            <w:pPr>
              <w:pStyle w:val="55"/>
              <w:keepNext/>
              <w:spacing w:after="0" w:line="520" w:lineRule="exact"/>
              <w:ind w:left="63" w:right="63"/>
              <w:textAlignment w:val="auto"/>
              <w:rPr>
                <w:rStyle w:val="22"/>
                <w:rFonts w:hint="eastAsia" w:ascii="宋体" w:hAnsi="宋体" w:eastAsia="宋体" w:cs="宋体"/>
                <w:color w:val="auto"/>
                <w:sz w:val="24"/>
                <w:szCs w:val="24"/>
              </w:rPr>
            </w:pPr>
            <w:r>
              <w:rPr>
                <w:rStyle w:val="22"/>
                <w:rFonts w:hint="eastAsia" w:ascii="宋体" w:hAnsi="宋体" w:eastAsia="宋体" w:cs="宋体"/>
                <w:color w:val="auto"/>
                <w:sz w:val="24"/>
                <w:szCs w:val="24"/>
              </w:rPr>
              <w:t>小计：</w:t>
            </w:r>
          </w:p>
        </w:tc>
      </w:tr>
    </w:tbl>
    <w:p w14:paraId="0D75D412">
      <w:pPr>
        <w:pStyle w:val="2"/>
        <w:rPr>
          <w:rFonts w:hint="eastAsia" w:ascii="宋体" w:hAnsi="宋体" w:eastAsia="宋体" w:cs="宋体"/>
          <w:color w:val="auto"/>
        </w:rPr>
      </w:pP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roman"/>
    <w:pitch w:val="default"/>
    <w:sig w:usb0="00000000" w:usb1="00000000" w:usb2="00000010" w:usb3="00000000" w:csb0="0004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5F1BB">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55E73B">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455E73B">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67</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8B68E">
    <w:pPr>
      <w:pStyle w:val="12"/>
      <w:jc w:val="center"/>
      <w:rPr>
        <w:rFonts w:hint="default" w:eastAsia="宋体"/>
        <w:lang w:val="en-US" w:eastAsia="zh-CN"/>
      </w:rPr>
    </w:pPr>
    <w:r>
      <w:rPr>
        <w:rFonts w:hint="eastAsia" w:ascii="宋体" w:hAnsi="宋体" w:eastAsia="宋体" w:cs="宋体"/>
        <w:lang w:val="zh-CN"/>
      </w:rPr>
      <w:t>青海鼎钊招标代理有限公司</w:t>
    </w:r>
    <w:r>
      <w:rPr>
        <w:rFonts w:hint="eastAsia" w:ascii="宋体" w:hAnsi="宋体" w:eastAsia="宋体" w:cs="宋体"/>
        <w:lang w:val="en-US" w:eastAsia="zh-CN"/>
      </w:rPr>
      <w:t xml:space="preserve">                                    </w:t>
    </w:r>
    <w:r>
      <w:rPr>
        <w:rFonts w:hint="eastAsia" w:ascii="宋体" w:hAnsi="宋体" w:cs="宋体"/>
        <w:lang w:val="en-US" w:eastAsia="zh-CN"/>
      </w:rPr>
      <w:t>青海鼎钊竞谈（工程）2025-034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B0587F"/>
    <w:multiLevelType w:val="singleLevel"/>
    <w:tmpl w:val="7FB0587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6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jYTkzMTk0NmI0ODFjNGUxMGVmYTUwNmZkODlkMzcifQ=="/>
  </w:docVars>
  <w:rsids>
    <w:rsidRoot w:val="7D9B5E16"/>
    <w:rsid w:val="00411CA3"/>
    <w:rsid w:val="00490B57"/>
    <w:rsid w:val="00535E7A"/>
    <w:rsid w:val="00661709"/>
    <w:rsid w:val="0077223C"/>
    <w:rsid w:val="007D6E67"/>
    <w:rsid w:val="007E0A21"/>
    <w:rsid w:val="00863B59"/>
    <w:rsid w:val="00975D66"/>
    <w:rsid w:val="00A40483"/>
    <w:rsid w:val="00A45AE6"/>
    <w:rsid w:val="00A77BFD"/>
    <w:rsid w:val="00AA4C39"/>
    <w:rsid w:val="00AC446D"/>
    <w:rsid w:val="00FA6A64"/>
    <w:rsid w:val="01097CE8"/>
    <w:rsid w:val="011E3D92"/>
    <w:rsid w:val="01211B1D"/>
    <w:rsid w:val="01360BD1"/>
    <w:rsid w:val="0147778C"/>
    <w:rsid w:val="01565C22"/>
    <w:rsid w:val="0159301C"/>
    <w:rsid w:val="01715306"/>
    <w:rsid w:val="01826A17"/>
    <w:rsid w:val="01C42B8B"/>
    <w:rsid w:val="01D152A8"/>
    <w:rsid w:val="01EE19B6"/>
    <w:rsid w:val="02377457"/>
    <w:rsid w:val="02637B1D"/>
    <w:rsid w:val="02664A99"/>
    <w:rsid w:val="02757C38"/>
    <w:rsid w:val="027619AC"/>
    <w:rsid w:val="027C5214"/>
    <w:rsid w:val="02A9297E"/>
    <w:rsid w:val="02CB7F49"/>
    <w:rsid w:val="02DE7C7D"/>
    <w:rsid w:val="02EF1E8A"/>
    <w:rsid w:val="02F4124E"/>
    <w:rsid w:val="03062D2F"/>
    <w:rsid w:val="03165668"/>
    <w:rsid w:val="031D31DA"/>
    <w:rsid w:val="032558AB"/>
    <w:rsid w:val="03287C8E"/>
    <w:rsid w:val="03304250"/>
    <w:rsid w:val="03435D32"/>
    <w:rsid w:val="03442F30"/>
    <w:rsid w:val="034C16B5"/>
    <w:rsid w:val="034E0176"/>
    <w:rsid w:val="03553B11"/>
    <w:rsid w:val="036C1D15"/>
    <w:rsid w:val="03950013"/>
    <w:rsid w:val="03A34D06"/>
    <w:rsid w:val="03DA48E8"/>
    <w:rsid w:val="03E53D21"/>
    <w:rsid w:val="03F1316B"/>
    <w:rsid w:val="040000C7"/>
    <w:rsid w:val="042167B5"/>
    <w:rsid w:val="04387860"/>
    <w:rsid w:val="043B10FF"/>
    <w:rsid w:val="04474517"/>
    <w:rsid w:val="044807EB"/>
    <w:rsid w:val="04770945"/>
    <w:rsid w:val="04854128"/>
    <w:rsid w:val="04A62A1C"/>
    <w:rsid w:val="04C9670A"/>
    <w:rsid w:val="04CE5ACF"/>
    <w:rsid w:val="04DE17B1"/>
    <w:rsid w:val="04EC3613"/>
    <w:rsid w:val="04F70BD1"/>
    <w:rsid w:val="05157BA2"/>
    <w:rsid w:val="05210BC9"/>
    <w:rsid w:val="052A53FB"/>
    <w:rsid w:val="052E5261"/>
    <w:rsid w:val="053D1DE9"/>
    <w:rsid w:val="05563495"/>
    <w:rsid w:val="055D0822"/>
    <w:rsid w:val="056913B5"/>
    <w:rsid w:val="05941F13"/>
    <w:rsid w:val="05BE5B43"/>
    <w:rsid w:val="05E12013"/>
    <w:rsid w:val="05FD3580"/>
    <w:rsid w:val="05FD48BE"/>
    <w:rsid w:val="05FE3B9A"/>
    <w:rsid w:val="06057AFB"/>
    <w:rsid w:val="0624278B"/>
    <w:rsid w:val="063302DF"/>
    <w:rsid w:val="064C75F3"/>
    <w:rsid w:val="069114AA"/>
    <w:rsid w:val="069C28B1"/>
    <w:rsid w:val="06A4021B"/>
    <w:rsid w:val="06DC1152"/>
    <w:rsid w:val="06F2641E"/>
    <w:rsid w:val="07041C7C"/>
    <w:rsid w:val="07520C39"/>
    <w:rsid w:val="076B3AA9"/>
    <w:rsid w:val="076D7821"/>
    <w:rsid w:val="07867AF5"/>
    <w:rsid w:val="07CA4C73"/>
    <w:rsid w:val="07D77390"/>
    <w:rsid w:val="07DC6755"/>
    <w:rsid w:val="07F41CF0"/>
    <w:rsid w:val="07F615C4"/>
    <w:rsid w:val="081544F8"/>
    <w:rsid w:val="08297BEC"/>
    <w:rsid w:val="08353F26"/>
    <w:rsid w:val="087D7F38"/>
    <w:rsid w:val="088017D6"/>
    <w:rsid w:val="08803584"/>
    <w:rsid w:val="0891104C"/>
    <w:rsid w:val="08934557"/>
    <w:rsid w:val="08C01BD2"/>
    <w:rsid w:val="08DF64FD"/>
    <w:rsid w:val="09376339"/>
    <w:rsid w:val="095F763D"/>
    <w:rsid w:val="097D3829"/>
    <w:rsid w:val="099E0166"/>
    <w:rsid w:val="09E813E1"/>
    <w:rsid w:val="09F935EE"/>
    <w:rsid w:val="0A536242"/>
    <w:rsid w:val="0A546A76"/>
    <w:rsid w:val="0A61051F"/>
    <w:rsid w:val="0A6A44EC"/>
    <w:rsid w:val="0A801DDE"/>
    <w:rsid w:val="0A910426"/>
    <w:rsid w:val="0ACF434F"/>
    <w:rsid w:val="0AED28F4"/>
    <w:rsid w:val="0B1306DF"/>
    <w:rsid w:val="0B24469B"/>
    <w:rsid w:val="0B2B4C7E"/>
    <w:rsid w:val="0B492B80"/>
    <w:rsid w:val="0B584344"/>
    <w:rsid w:val="0B640F3B"/>
    <w:rsid w:val="0B8B368D"/>
    <w:rsid w:val="0B9F6417"/>
    <w:rsid w:val="0BB54002"/>
    <w:rsid w:val="0BB91287"/>
    <w:rsid w:val="0BBC7B0E"/>
    <w:rsid w:val="0BCF0AAA"/>
    <w:rsid w:val="0BD75BB1"/>
    <w:rsid w:val="0BE8391A"/>
    <w:rsid w:val="0BF23610"/>
    <w:rsid w:val="0BF62499"/>
    <w:rsid w:val="0BF83A12"/>
    <w:rsid w:val="0C076962"/>
    <w:rsid w:val="0C142961"/>
    <w:rsid w:val="0C2C7CAB"/>
    <w:rsid w:val="0C411129"/>
    <w:rsid w:val="0C566AD6"/>
    <w:rsid w:val="0C601702"/>
    <w:rsid w:val="0C661388"/>
    <w:rsid w:val="0C902153"/>
    <w:rsid w:val="0CA710DF"/>
    <w:rsid w:val="0CA87A52"/>
    <w:rsid w:val="0CAD246E"/>
    <w:rsid w:val="0CB657C6"/>
    <w:rsid w:val="0CC51EAD"/>
    <w:rsid w:val="0CEE31B2"/>
    <w:rsid w:val="0D256ADD"/>
    <w:rsid w:val="0D38442D"/>
    <w:rsid w:val="0D572EC9"/>
    <w:rsid w:val="0D616E1A"/>
    <w:rsid w:val="0D711167"/>
    <w:rsid w:val="0D933D59"/>
    <w:rsid w:val="0DC739FA"/>
    <w:rsid w:val="0DCF044E"/>
    <w:rsid w:val="0DD56120"/>
    <w:rsid w:val="0DED16BC"/>
    <w:rsid w:val="0E045213"/>
    <w:rsid w:val="0E1A1D85"/>
    <w:rsid w:val="0E1C2E87"/>
    <w:rsid w:val="0E500CAE"/>
    <w:rsid w:val="0E783BEB"/>
    <w:rsid w:val="0E874D29"/>
    <w:rsid w:val="0E900E79"/>
    <w:rsid w:val="0E930373"/>
    <w:rsid w:val="0E9E667F"/>
    <w:rsid w:val="0EB2020F"/>
    <w:rsid w:val="0EB65F51"/>
    <w:rsid w:val="0EB83A78"/>
    <w:rsid w:val="0EE526EA"/>
    <w:rsid w:val="0EF97BEC"/>
    <w:rsid w:val="0F144A26"/>
    <w:rsid w:val="0F166D2F"/>
    <w:rsid w:val="0F305725"/>
    <w:rsid w:val="0F3A0931"/>
    <w:rsid w:val="0F625791"/>
    <w:rsid w:val="0FAB538A"/>
    <w:rsid w:val="10161A44"/>
    <w:rsid w:val="10507CE0"/>
    <w:rsid w:val="1054157E"/>
    <w:rsid w:val="107734BE"/>
    <w:rsid w:val="10795489"/>
    <w:rsid w:val="109055EB"/>
    <w:rsid w:val="10944070"/>
    <w:rsid w:val="10B95885"/>
    <w:rsid w:val="10BC748A"/>
    <w:rsid w:val="10D47789"/>
    <w:rsid w:val="10D80401"/>
    <w:rsid w:val="10DB1C9F"/>
    <w:rsid w:val="10DE48CA"/>
    <w:rsid w:val="10FE629D"/>
    <w:rsid w:val="11312A9F"/>
    <w:rsid w:val="113E3FDC"/>
    <w:rsid w:val="11670CE3"/>
    <w:rsid w:val="11C10E95"/>
    <w:rsid w:val="11C646FD"/>
    <w:rsid w:val="11CC15E8"/>
    <w:rsid w:val="11FB2BE7"/>
    <w:rsid w:val="12080872"/>
    <w:rsid w:val="120D1F67"/>
    <w:rsid w:val="123C01CE"/>
    <w:rsid w:val="12400F8A"/>
    <w:rsid w:val="12883761"/>
    <w:rsid w:val="1289645E"/>
    <w:rsid w:val="12AF5192"/>
    <w:rsid w:val="12C64289"/>
    <w:rsid w:val="12DC3AAD"/>
    <w:rsid w:val="130D1EB8"/>
    <w:rsid w:val="132F5B17"/>
    <w:rsid w:val="134C478E"/>
    <w:rsid w:val="1362694F"/>
    <w:rsid w:val="138F127E"/>
    <w:rsid w:val="139B74C4"/>
    <w:rsid w:val="13BC0277"/>
    <w:rsid w:val="13D2255B"/>
    <w:rsid w:val="13E0137B"/>
    <w:rsid w:val="141B23B3"/>
    <w:rsid w:val="14526E5B"/>
    <w:rsid w:val="145853B5"/>
    <w:rsid w:val="14972381"/>
    <w:rsid w:val="14A5684C"/>
    <w:rsid w:val="14E46C49"/>
    <w:rsid w:val="14E530ED"/>
    <w:rsid w:val="14F96B98"/>
    <w:rsid w:val="151E03AD"/>
    <w:rsid w:val="1532490E"/>
    <w:rsid w:val="155F6B7B"/>
    <w:rsid w:val="15695ACC"/>
    <w:rsid w:val="156C1118"/>
    <w:rsid w:val="15915022"/>
    <w:rsid w:val="159673EF"/>
    <w:rsid w:val="159863B1"/>
    <w:rsid w:val="15A20FDE"/>
    <w:rsid w:val="15D1541F"/>
    <w:rsid w:val="15E94352"/>
    <w:rsid w:val="15F00916"/>
    <w:rsid w:val="15F101D1"/>
    <w:rsid w:val="15F6771B"/>
    <w:rsid w:val="160A7634"/>
    <w:rsid w:val="161617D4"/>
    <w:rsid w:val="161C1F83"/>
    <w:rsid w:val="16224EA1"/>
    <w:rsid w:val="163D0D06"/>
    <w:rsid w:val="168C1346"/>
    <w:rsid w:val="16932406"/>
    <w:rsid w:val="16AB5CFC"/>
    <w:rsid w:val="16DC051F"/>
    <w:rsid w:val="16FE0496"/>
    <w:rsid w:val="17365E81"/>
    <w:rsid w:val="17B514B3"/>
    <w:rsid w:val="17C76AD9"/>
    <w:rsid w:val="1802614F"/>
    <w:rsid w:val="181531AE"/>
    <w:rsid w:val="181C1040"/>
    <w:rsid w:val="183A72AB"/>
    <w:rsid w:val="18420856"/>
    <w:rsid w:val="184B4CB4"/>
    <w:rsid w:val="18512847"/>
    <w:rsid w:val="185A675A"/>
    <w:rsid w:val="18631644"/>
    <w:rsid w:val="18AF5EEB"/>
    <w:rsid w:val="18C211CC"/>
    <w:rsid w:val="18CA0F64"/>
    <w:rsid w:val="18DA0A8E"/>
    <w:rsid w:val="18F70083"/>
    <w:rsid w:val="18F71640"/>
    <w:rsid w:val="18FF04F5"/>
    <w:rsid w:val="190A3CFE"/>
    <w:rsid w:val="191D4CB5"/>
    <w:rsid w:val="19212A44"/>
    <w:rsid w:val="19227628"/>
    <w:rsid w:val="192946A2"/>
    <w:rsid w:val="195039F5"/>
    <w:rsid w:val="195048A6"/>
    <w:rsid w:val="196071E6"/>
    <w:rsid w:val="19AC242B"/>
    <w:rsid w:val="19AC5F87"/>
    <w:rsid w:val="19CA0B03"/>
    <w:rsid w:val="19CF1C75"/>
    <w:rsid w:val="19D11E91"/>
    <w:rsid w:val="19D454DE"/>
    <w:rsid w:val="19E10B40"/>
    <w:rsid w:val="19FE255B"/>
    <w:rsid w:val="1A1A1D9C"/>
    <w:rsid w:val="1A345F7C"/>
    <w:rsid w:val="1A4408B5"/>
    <w:rsid w:val="1A472154"/>
    <w:rsid w:val="1A472CA9"/>
    <w:rsid w:val="1A5D1977"/>
    <w:rsid w:val="1A6F02EB"/>
    <w:rsid w:val="1A78230D"/>
    <w:rsid w:val="1A977682"/>
    <w:rsid w:val="1A9A6727"/>
    <w:rsid w:val="1A9D6217"/>
    <w:rsid w:val="1ACC3E1B"/>
    <w:rsid w:val="1AD11780"/>
    <w:rsid w:val="1AE469B6"/>
    <w:rsid w:val="1AEF3DAC"/>
    <w:rsid w:val="1AF8515B"/>
    <w:rsid w:val="1B213295"/>
    <w:rsid w:val="1B612829"/>
    <w:rsid w:val="1B662DBF"/>
    <w:rsid w:val="1B6D7998"/>
    <w:rsid w:val="1B7B0307"/>
    <w:rsid w:val="1B866CAC"/>
    <w:rsid w:val="1B99253B"/>
    <w:rsid w:val="1B9DB910"/>
    <w:rsid w:val="1BAF7FB0"/>
    <w:rsid w:val="1BD04F77"/>
    <w:rsid w:val="1BDE43F2"/>
    <w:rsid w:val="1BE428CB"/>
    <w:rsid w:val="1C0363DF"/>
    <w:rsid w:val="1C166281"/>
    <w:rsid w:val="1C1C46B8"/>
    <w:rsid w:val="1C200EAE"/>
    <w:rsid w:val="1C2F5B31"/>
    <w:rsid w:val="1C625023"/>
    <w:rsid w:val="1C676ADD"/>
    <w:rsid w:val="1CC01D49"/>
    <w:rsid w:val="1D114DFC"/>
    <w:rsid w:val="1D2B351D"/>
    <w:rsid w:val="1D4D5CD3"/>
    <w:rsid w:val="1D7542D0"/>
    <w:rsid w:val="1D903E12"/>
    <w:rsid w:val="1D9A4A78"/>
    <w:rsid w:val="1DF93765"/>
    <w:rsid w:val="1E1C4D5D"/>
    <w:rsid w:val="1E1E4F79"/>
    <w:rsid w:val="1E2F4669"/>
    <w:rsid w:val="1E3429EF"/>
    <w:rsid w:val="1E37603B"/>
    <w:rsid w:val="1E662D79"/>
    <w:rsid w:val="1E682698"/>
    <w:rsid w:val="1E756FFB"/>
    <w:rsid w:val="1E780B2E"/>
    <w:rsid w:val="1EC76C85"/>
    <w:rsid w:val="1ED74A41"/>
    <w:rsid w:val="1EED3CFC"/>
    <w:rsid w:val="1EF220FA"/>
    <w:rsid w:val="1EF36406"/>
    <w:rsid w:val="1EF65831"/>
    <w:rsid w:val="1F084C78"/>
    <w:rsid w:val="1F1220B1"/>
    <w:rsid w:val="1F132C50"/>
    <w:rsid w:val="1F1D4355"/>
    <w:rsid w:val="1F525822"/>
    <w:rsid w:val="1FF70178"/>
    <w:rsid w:val="1FF92180"/>
    <w:rsid w:val="2019175E"/>
    <w:rsid w:val="201B4CE7"/>
    <w:rsid w:val="20525060"/>
    <w:rsid w:val="20684BD2"/>
    <w:rsid w:val="207B2B57"/>
    <w:rsid w:val="207F0C88"/>
    <w:rsid w:val="2080016D"/>
    <w:rsid w:val="20875058"/>
    <w:rsid w:val="20983709"/>
    <w:rsid w:val="20E34258"/>
    <w:rsid w:val="20ED75FE"/>
    <w:rsid w:val="214F6B44"/>
    <w:rsid w:val="215A6C10"/>
    <w:rsid w:val="216C24A0"/>
    <w:rsid w:val="21983295"/>
    <w:rsid w:val="219A0747"/>
    <w:rsid w:val="21B634AE"/>
    <w:rsid w:val="21C422F5"/>
    <w:rsid w:val="21C83B7A"/>
    <w:rsid w:val="22203F2D"/>
    <w:rsid w:val="22497BDD"/>
    <w:rsid w:val="224D22D1"/>
    <w:rsid w:val="226C6BFB"/>
    <w:rsid w:val="2272669E"/>
    <w:rsid w:val="227F4D71"/>
    <w:rsid w:val="2280389A"/>
    <w:rsid w:val="229121BE"/>
    <w:rsid w:val="22C31AFD"/>
    <w:rsid w:val="22D569A0"/>
    <w:rsid w:val="231A452F"/>
    <w:rsid w:val="23386ADD"/>
    <w:rsid w:val="23461B9F"/>
    <w:rsid w:val="234E76BD"/>
    <w:rsid w:val="235D02F2"/>
    <w:rsid w:val="23A0431E"/>
    <w:rsid w:val="23A423C5"/>
    <w:rsid w:val="23A777BF"/>
    <w:rsid w:val="23C40371"/>
    <w:rsid w:val="23CC4733"/>
    <w:rsid w:val="23DC0222"/>
    <w:rsid w:val="23F549CE"/>
    <w:rsid w:val="23FC7CA6"/>
    <w:rsid w:val="241223D6"/>
    <w:rsid w:val="241E5CD3"/>
    <w:rsid w:val="2435126F"/>
    <w:rsid w:val="244F40DF"/>
    <w:rsid w:val="24763D61"/>
    <w:rsid w:val="24782AD4"/>
    <w:rsid w:val="247C2A7C"/>
    <w:rsid w:val="249441E7"/>
    <w:rsid w:val="24C90335"/>
    <w:rsid w:val="24CA5E5B"/>
    <w:rsid w:val="24E63832"/>
    <w:rsid w:val="24E76A0D"/>
    <w:rsid w:val="24FD76C4"/>
    <w:rsid w:val="25070E5D"/>
    <w:rsid w:val="25075E28"/>
    <w:rsid w:val="25076767"/>
    <w:rsid w:val="254E083A"/>
    <w:rsid w:val="255045B2"/>
    <w:rsid w:val="25537BFE"/>
    <w:rsid w:val="25565941"/>
    <w:rsid w:val="25657932"/>
    <w:rsid w:val="25733194"/>
    <w:rsid w:val="25956469"/>
    <w:rsid w:val="25A60401"/>
    <w:rsid w:val="25BA7C7E"/>
    <w:rsid w:val="25C718A8"/>
    <w:rsid w:val="25CB1E8B"/>
    <w:rsid w:val="25D845A8"/>
    <w:rsid w:val="26072B40"/>
    <w:rsid w:val="26084E8D"/>
    <w:rsid w:val="26151358"/>
    <w:rsid w:val="26153106"/>
    <w:rsid w:val="261C26E6"/>
    <w:rsid w:val="261F5D33"/>
    <w:rsid w:val="26215F4F"/>
    <w:rsid w:val="26282E39"/>
    <w:rsid w:val="26722306"/>
    <w:rsid w:val="2677349D"/>
    <w:rsid w:val="2677791D"/>
    <w:rsid w:val="26806F3F"/>
    <w:rsid w:val="26856E0D"/>
    <w:rsid w:val="26A76454"/>
    <w:rsid w:val="26B0198D"/>
    <w:rsid w:val="26B80661"/>
    <w:rsid w:val="26DE174A"/>
    <w:rsid w:val="26F45411"/>
    <w:rsid w:val="26F929A0"/>
    <w:rsid w:val="26FB67A0"/>
    <w:rsid w:val="270F7B55"/>
    <w:rsid w:val="27165D37"/>
    <w:rsid w:val="272C4BAB"/>
    <w:rsid w:val="27480DF9"/>
    <w:rsid w:val="274A7F66"/>
    <w:rsid w:val="278F5CF9"/>
    <w:rsid w:val="279F35CF"/>
    <w:rsid w:val="27A72484"/>
    <w:rsid w:val="27B150B0"/>
    <w:rsid w:val="27B32BD6"/>
    <w:rsid w:val="28246CCB"/>
    <w:rsid w:val="282D0BDB"/>
    <w:rsid w:val="282D2989"/>
    <w:rsid w:val="283850E7"/>
    <w:rsid w:val="284F6DA3"/>
    <w:rsid w:val="28553C8E"/>
    <w:rsid w:val="28585AA1"/>
    <w:rsid w:val="286F2FA1"/>
    <w:rsid w:val="28773DCD"/>
    <w:rsid w:val="28812CD5"/>
    <w:rsid w:val="28942A08"/>
    <w:rsid w:val="28D15A0A"/>
    <w:rsid w:val="28D93D8C"/>
    <w:rsid w:val="28ED597C"/>
    <w:rsid w:val="291B0A33"/>
    <w:rsid w:val="29422464"/>
    <w:rsid w:val="295C2DFA"/>
    <w:rsid w:val="295E3016"/>
    <w:rsid w:val="29712103"/>
    <w:rsid w:val="298B4E72"/>
    <w:rsid w:val="29907531"/>
    <w:rsid w:val="29946A38"/>
    <w:rsid w:val="29DA067B"/>
    <w:rsid w:val="29DD218D"/>
    <w:rsid w:val="2A2658E2"/>
    <w:rsid w:val="2A353D77"/>
    <w:rsid w:val="2A3C3357"/>
    <w:rsid w:val="2A4B3200"/>
    <w:rsid w:val="2A64465C"/>
    <w:rsid w:val="2A6C5B33"/>
    <w:rsid w:val="2A8C0A2C"/>
    <w:rsid w:val="2AAE58D7"/>
    <w:rsid w:val="2AB16E2B"/>
    <w:rsid w:val="2ABB6B22"/>
    <w:rsid w:val="2AD8222D"/>
    <w:rsid w:val="2ADE5E46"/>
    <w:rsid w:val="2B116592"/>
    <w:rsid w:val="2B5D3585"/>
    <w:rsid w:val="2B78699C"/>
    <w:rsid w:val="2B794137"/>
    <w:rsid w:val="2B797C93"/>
    <w:rsid w:val="2B8534D0"/>
    <w:rsid w:val="2B861E09"/>
    <w:rsid w:val="2B924EA7"/>
    <w:rsid w:val="2B967B5D"/>
    <w:rsid w:val="2B9D1BD3"/>
    <w:rsid w:val="2BC25ADE"/>
    <w:rsid w:val="2BDB094E"/>
    <w:rsid w:val="2BE912BD"/>
    <w:rsid w:val="2BFB4B4C"/>
    <w:rsid w:val="2C2E0A7D"/>
    <w:rsid w:val="2C2E5CBB"/>
    <w:rsid w:val="2C3047F6"/>
    <w:rsid w:val="2C3D5164"/>
    <w:rsid w:val="2C4D184B"/>
    <w:rsid w:val="2C6E17C2"/>
    <w:rsid w:val="2C83526D"/>
    <w:rsid w:val="2C9638AE"/>
    <w:rsid w:val="2CA23219"/>
    <w:rsid w:val="2CC30608"/>
    <w:rsid w:val="2CC55886"/>
    <w:rsid w:val="2CD30EEF"/>
    <w:rsid w:val="2CEB4BC0"/>
    <w:rsid w:val="2D154D7E"/>
    <w:rsid w:val="2D1C7470"/>
    <w:rsid w:val="2D202ABC"/>
    <w:rsid w:val="2D5B3AF4"/>
    <w:rsid w:val="2D5B7F98"/>
    <w:rsid w:val="2D6D2063"/>
    <w:rsid w:val="2D7503AA"/>
    <w:rsid w:val="2D957F46"/>
    <w:rsid w:val="2DA27975"/>
    <w:rsid w:val="2DB651CE"/>
    <w:rsid w:val="2DDD275B"/>
    <w:rsid w:val="2DEA131C"/>
    <w:rsid w:val="2DEE2BBA"/>
    <w:rsid w:val="2E19750B"/>
    <w:rsid w:val="2E3D769E"/>
    <w:rsid w:val="2E6E3CFB"/>
    <w:rsid w:val="2E996D68"/>
    <w:rsid w:val="2EB54D10"/>
    <w:rsid w:val="2EC25066"/>
    <w:rsid w:val="2ED31DB0"/>
    <w:rsid w:val="2EE67D35"/>
    <w:rsid w:val="2EF57F78"/>
    <w:rsid w:val="2EFC30B5"/>
    <w:rsid w:val="2F173B14"/>
    <w:rsid w:val="2F3A5686"/>
    <w:rsid w:val="2F3F2FA2"/>
    <w:rsid w:val="2F6125CE"/>
    <w:rsid w:val="2F7A1819"/>
    <w:rsid w:val="2F7B1CC0"/>
    <w:rsid w:val="2FB219C5"/>
    <w:rsid w:val="2FCF2953"/>
    <w:rsid w:val="2FD600FB"/>
    <w:rsid w:val="2FD74D0A"/>
    <w:rsid w:val="2FDB53C0"/>
    <w:rsid w:val="2FF87D20"/>
    <w:rsid w:val="302428C3"/>
    <w:rsid w:val="30466CDD"/>
    <w:rsid w:val="307C6D0A"/>
    <w:rsid w:val="307F505D"/>
    <w:rsid w:val="30997731"/>
    <w:rsid w:val="30A12166"/>
    <w:rsid w:val="30B46ED7"/>
    <w:rsid w:val="30C61BCC"/>
    <w:rsid w:val="30D047F9"/>
    <w:rsid w:val="30D84A6D"/>
    <w:rsid w:val="31216E03"/>
    <w:rsid w:val="31496359"/>
    <w:rsid w:val="31865B3F"/>
    <w:rsid w:val="319375DC"/>
    <w:rsid w:val="31C970ED"/>
    <w:rsid w:val="31CA1248"/>
    <w:rsid w:val="31CD6FAF"/>
    <w:rsid w:val="31F167D5"/>
    <w:rsid w:val="32081D71"/>
    <w:rsid w:val="323808A8"/>
    <w:rsid w:val="325A3A2B"/>
    <w:rsid w:val="325B00F2"/>
    <w:rsid w:val="32764F2C"/>
    <w:rsid w:val="3279344C"/>
    <w:rsid w:val="328B4E7C"/>
    <w:rsid w:val="328E2276"/>
    <w:rsid w:val="32B43807"/>
    <w:rsid w:val="32B85545"/>
    <w:rsid w:val="32C57C62"/>
    <w:rsid w:val="33016EEC"/>
    <w:rsid w:val="3304078A"/>
    <w:rsid w:val="33182487"/>
    <w:rsid w:val="333853AE"/>
    <w:rsid w:val="333E1EEE"/>
    <w:rsid w:val="33784BF7"/>
    <w:rsid w:val="337E053C"/>
    <w:rsid w:val="338A1C5E"/>
    <w:rsid w:val="338A5133"/>
    <w:rsid w:val="33BA52ED"/>
    <w:rsid w:val="33D12D62"/>
    <w:rsid w:val="33D44600"/>
    <w:rsid w:val="33D97E69"/>
    <w:rsid w:val="33DB598F"/>
    <w:rsid w:val="33E04D53"/>
    <w:rsid w:val="33E74334"/>
    <w:rsid w:val="33F24A86"/>
    <w:rsid w:val="34034EE6"/>
    <w:rsid w:val="34050C5E"/>
    <w:rsid w:val="34184F37"/>
    <w:rsid w:val="342873FA"/>
    <w:rsid w:val="343155AF"/>
    <w:rsid w:val="345614B9"/>
    <w:rsid w:val="348875DC"/>
    <w:rsid w:val="34C74165"/>
    <w:rsid w:val="34E81C26"/>
    <w:rsid w:val="35061DD1"/>
    <w:rsid w:val="351554C0"/>
    <w:rsid w:val="35433124"/>
    <w:rsid w:val="354E03E2"/>
    <w:rsid w:val="356B65D3"/>
    <w:rsid w:val="356C2617"/>
    <w:rsid w:val="35904557"/>
    <w:rsid w:val="35A3456B"/>
    <w:rsid w:val="35B446E9"/>
    <w:rsid w:val="35CD4C0A"/>
    <w:rsid w:val="35D703D8"/>
    <w:rsid w:val="35F05BDE"/>
    <w:rsid w:val="35F1149A"/>
    <w:rsid w:val="361D0D1B"/>
    <w:rsid w:val="36297806"/>
    <w:rsid w:val="36352607"/>
    <w:rsid w:val="364B0521"/>
    <w:rsid w:val="366003CD"/>
    <w:rsid w:val="36940077"/>
    <w:rsid w:val="36987B67"/>
    <w:rsid w:val="36A71B58"/>
    <w:rsid w:val="36AA1648"/>
    <w:rsid w:val="36AC3612"/>
    <w:rsid w:val="36C3270A"/>
    <w:rsid w:val="36E52470"/>
    <w:rsid w:val="36F6663C"/>
    <w:rsid w:val="37270EEB"/>
    <w:rsid w:val="37321D6A"/>
    <w:rsid w:val="3747333B"/>
    <w:rsid w:val="37500442"/>
    <w:rsid w:val="3751610B"/>
    <w:rsid w:val="3786627E"/>
    <w:rsid w:val="37B31CC9"/>
    <w:rsid w:val="37BF1F63"/>
    <w:rsid w:val="37D526F5"/>
    <w:rsid w:val="37E21BB6"/>
    <w:rsid w:val="37EA0A78"/>
    <w:rsid w:val="37EC3AB6"/>
    <w:rsid w:val="37F708BD"/>
    <w:rsid w:val="381009F4"/>
    <w:rsid w:val="38147538"/>
    <w:rsid w:val="38177AC2"/>
    <w:rsid w:val="382D2531"/>
    <w:rsid w:val="38330237"/>
    <w:rsid w:val="385828C1"/>
    <w:rsid w:val="387463B2"/>
    <w:rsid w:val="38795776"/>
    <w:rsid w:val="38925C27"/>
    <w:rsid w:val="38AA3B82"/>
    <w:rsid w:val="38D8249D"/>
    <w:rsid w:val="38F80D91"/>
    <w:rsid w:val="39052016"/>
    <w:rsid w:val="39194863"/>
    <w:rsid w:val="391B4A7F"/>
    <w:rsid w:val="39224FD0"/>
    <w:rsid w:val="392456E2"/>
    <w:rsid w:val="39292CF8"/>
    <w:rsid w:val="392A540E"/>
    <w:rsid w:val="39333B77"/>
    <w:rsid w:val="39365415"/>
    <w:rsid w:val="39472B23"/>
    <w:rsid w:val="39513AD4"/>
    <w:rsid w:val="39777F08"/>
    <w:rsid w:val="3986014B"/>
    <w:rsid w:val="398E34A3"/>
    <w:rsid w:val="39E61C93"/>
    <w:rsid w:val="39F747FF"/>
    <w:rsid w:val="39FA28E7"/>
    <w:rsid w:val="3A1C285D"/>
    <w:rsid w:val="3A396F6B"/>
    <w:rsid w:val="3A712BA9"/>
    <w:rsid w:val="3A754535"/>
    <w:rsid w:val="3A9C74FA"/>
    <w:rsid w:val="3AB94550"/>
    <w:rsid w:val="3ACF5B21"/>
    <w:rsid w:val="3AD61226"/>
    <w:rsid w:val="3AE50EA1"/>
    <w:rsid w:val="3AE96BE3"/>
    <w:rsid w:val="3AF96301"/>
    <w:rsid w:val="3B2319C9"/>
    <w:rsid w:val="3B762441"/>
    <w:rsid w:val="3B7A3CDF"/>
    <w:rsid w:val="3B862684"/>
    <w:rsid w:val="3B9A38FD"/>
    <w:rsid w:val="3B9D5E5A"/>
    <w:rsid w:val="3BA0301A"/>
    <w:rsid w:val="3BB70A8F"/>
    <w:rsid w:val="3BD51E28"/>
    <w:rsid w:val="3C0E6A8C"/>
    <w:rsid w:val="3C126A18"/>
    <w:rsid w:val="3C1E0B0E"/>
    <w:rsid w:val="3C236125"/>
    <w:rsid w:val="3C30439E"/>
    <w:rsid w:val="3C355E58"/>
    <w:rsid w:val="3C575D49"/>
    <w:rsid w:val="3C6329C5"/>
    <w:rsid w:val="3C687FDC"/>
    <w:rsid w:val="3C805325"/>
    <w:rsid w:val="3CA1529C"/>
    <w:rsid w:val="3CAF79B9"/>
    <w:rsid w:val="3CDA061D"/>
    <w:rsid w:val="3CFB2BFE"/>
    <w:rsid w:val="3D0B0176"/>
    <w:rsid w:val="3D4C7081"/>
    <w:rsid w:val="3D532A3A"/>
    <w:rsid w:val="3D5440BC"/>
    <w:rsid w:val="3D9F3525"/>
    <w:rsid w:val="3DCC1178"/>
    <w:rsid w:val="3DCF0187"/>
    <w:rsid w:val="3DE23DBE"/>
    <w:rsid w:val="3E004C98"/>
    <w:rsid w:val="3E104487"/>
    <w:rsid w:val="3E174EC3"/>
    <w:rsid w:val="3E2117F6"/>
    <w:rsid w:val="3E304B29"/>
    <w:rsid w:val="3E3B0987"/>
    <w:rsid w:val="3E524A9F"/>
    <w:rsid w:val="3E6D498B"/>
    <w:rsid w:val="3E6E73FF"/>
    <w:rsid w:val="3E6F1C2A"/>
    <w:rsid w:val="3E8135D7"/>
    <w:rsid w:val="3E8B153F"/>
    <w:rsid w:val="3E8B6203"/>
    <w:rsid w:val="3E9D5040"/>
    <w:rsid w:val="3EC9196F"/>
    <w:rsid w:val="3EDE6333"/>
    <w:rsid w:val="3EE020AB"/>
    <w:rsid w:val="3EEA117C"/>
    <w:rsid w:val="3F000963"/>
    <w:rsid w:val="3F140CE0"/>
    <w:rsid w:val="3F204B9E"/>
    <w:rsid w:val="3F235948"/>
    <w:rsid w:val="3F2521B4"/>
    <w:rsid w:val="3F6251B6"/>
    <w:rsid w:val="3F7647BE"/>
    <w:rsid w:val="3F9D61EE"/>
    <w:rsid w:val="3FA56E51"/>
    <w:rsid w:val="3FBE7F13"/>
    <w:rsid w:val="3FC62645"/>
    <w:rsid w:val="3FCC1BB2"/>
    <w:rsid w:val="3FD55988"/>
    <w:rsid w:val="3FFA1B0C"/>
    <w:rsid w:val="40185875"/>
    <w:rsid w:val="402A0AE0"/>
    <w:rsid w:val="403D352D"/>
    <w:rsid w:val="407C4056"/>
    <w:rsid w:val="408E5B37"/>
    <w:rsid w:val="409018AF"/>
    <w:rsid w:val="40A77C4E"/>
    <w:rsid w:val="40AA0BC3"/>
    <w:rsid w:val="40B97554"/>
    <w:rsid w:val="40E13EB9"/>
    <w:rsid w:val="40E83499"/>
    <w:rsid w:val="411B386E"/>
    <w:rsid w:val="41276809"/>
    <w:rsid w:val="415A0F9A"/>
    <w:rsid w:val="416A0352"/>
    <w:rsid w:val="419453CF"/>
    <w:rsid w:val="41C17B42"/>
    <w:rsid w:val="41C73BAC"/>
    <w:rsid w:val="41CB6863"/>
    <w:rsid w:val="4205007B"/>
    <w:rsid w:val="421A1A4F"/>
    <w:rsid w:val="42204EB5"/>
    <w:rsid w:val="42295B17"/>
    <w:rsid w:val="423170C2"/>
    <w:rsid w:val="42642FF3"/>
    <w:rsid w:val="42650575"/>
    <w:rsid w:val="429F4CCE"/>
    <w:rsid w:val="42B05AFD"/>
    <w:rsid w:val="42B775C7"/>
    <w:rsid w:val="42E1293B"/>
    <w:rsid w:val="42E934F8"/>
    <w:rsid w:val="42EA1B91"/>
    <w:rsid w:val="42EA799C"/>
    <w:rsid w:val="42EE0B0F"/>
    <w:rsid w:val="430640AA"/>
    <w:rsid w:val="43137493"/>
    <w:rsid w:val="43486471"/>
    <w:rsid w:val="435D25DA"/>
    <w:rsid w:val="437152C3"/>
    <w:rsid w:val="43803F8D"/>
    <w:rsid w:val="43815049"/>
    <w:rsid w:val="438751EB"/>
    <w:rsid w:val="439367F3"/>
    <w:rsid w:val="439A7D10"/>
    <w:rsid w:val="43A22025"/>
    <w:rsid w:val="43E30CD8"/>
    <w:rsid w:val="440A5A5D"/>
    <w:rsid w:val="44107D9B"/>
    <w:rsid w:val="441F3676"/>
    <w:rsid w:val="44307631"/>
    <w:rsid w:val="443F7874"/>
    <w:rsid w:val="444B7008"/>
    <w:rsid w:val="4453331F"/>
    <w:rsid w:val="448C05DF"/>
    <w:rsid w:val="44915BF6"/>
    <w:rsid w:val="44B87626"/>
    <w:rsid w:val="44D44EB9"/>
    <w:rsid w:val="44D577C1"/>
    <w:rsid w:val="44D63F79"/>
    <w:rsid w:val="44ED4569"/>
    <w:rsid w:val="44F41C55"/>
    <w:rsid w:val="44F80CBF"/>
    <w:rsid w:val="451B412B"/>
    <w:rsid w:val="453C5221"/>
    <w:rsid w:val="4597548E"/>
    <w:rsid w:val="45B222C8"/>
    <w:rsid w:val="45C67B21"/>
    <w:rsid w:val="45EE208A"/>
    <w:rsid w:val="45FE72BB"/>
    <w:rsid w:val="460515BC"/>
    <w:rsid w:val="465B295F"/>
    <w:rsid w:val="46A105A3"/>
    <w:rsid w:val="46DA7D28"/>
    <w:rsid w:val="46E25A83"/>
    <w:rsid w:val="46EA71D0"/>
    <w:rsid w:val="47084895"/>
    <w:rsid w:val="470E3181"/>
    <w:rsid w:val="47176167"/>
    <w:rsid w:val="471D1690"/>
    <w:rsid w:val="473A2575"/>
    <w:rsid w:val="475C073D"/>
    <w:rsid w:val="479E0D55"/>
    <w:rsid w:val="479E2B03"/>
    <w:rsid w:val="47AD0F98"/>
    <w:rsid w:val="47B6609F"/>
    <w:rsid w:val="47BE75C1"/>
    <w:rsid w:val="47C462E6"/>
    <w:rsid w:val="47CF0B1D"/>
    <w:rsid w:val="47D429C9"/>
    <w:rsid w:val="47DA59EE"/>
    <w:rsid w:val="47E23378"/>
    <w:rsid w:val="47F22E4F"/>
    <w:rsid w:val="482A25E9"/>
    <w:rsid w:val="48627FD5"/>
    <w:rsid w:val="486378A9"/>
    <w:rsid w:val="48E215C3"/>
    <w:rsid w:val="48F350D1"/>
    <w:rsid w:val="49221512"/>
    <w:rsid w:val="492A3696"/>
    <w:rsid w:val="49437E06"/>
    <w:rsid w:val="494B2460"/>
    <w:rsid w:val="495C7CDB"/>
    <w:rsid w:val="4968786D"/>
    <w:rsid w:val="49956188"/>
    <w:rsid w:val="49A2349F"/>
    <w:rsid w:val="49B900C8"/>
    <w:rsid w:val="49BD7227"/>
    <w:rsid w:val="4A0D491F"/>
    <w:rsid w:val="4A1672C9"/>
    <w:rsid w:val="4A426816"/>
    <w:rsid w:val="4AC62A9D"/>
    <w:rsid w:val="4ACC5BD9"/>
    <w:rsid w:val="4AD87F7A"/>
    <w:rsid w:val="4ADC6818"/>
    <w:rsid w:val="4AF21F89"/>
    <w:rsid w:val="4B0D0700"/>
    <w:rsid w:val="4B1C50F9"/>
    <w:rsid w:val="4B1F3F5B"/>
    <w:rsid w:val="4B3519D1"/>
    <w:rsid w:val="4B5736F5"/>
    <w:rsid w:val="4B603D34"/>
    <w:rsid w:val="4B702A09"/>
    <w:rsid w:val="4B7778F3"/>
    <w:rsid w:val="4B885FA4"/>
    <w:rsid w:val="4B9F2679"/>
    <w:rsid w:val="4BA97CC9"/>
    <w:rsid w:val="4BC93EC7"/>
    <w:rsid w:val="4C193AAC"/>
    <w:rsid w:val="4C6D519A"/>
    <w:rsid w:val="4C8B1B64"/>
    <w:rsid w:val="4C8D39F2"/>
    <w:rsid w:val="4C940979"/>
    <w:rsid w:val="4C9576B7"/>
    <w:rsid w:val="4C995F8F"/>
    <w:rsid w:val="4CA74208"/>
    <w:rsid w:val="4CB10ACF"/>
    <w:rsid w:val="4CB24246"/>
    <w:rsid w:val="4CB42DC9"/>
    <w:rsid w:val="4CC01E86"/>
    <w:rsid w:val="4CC2180F"/>
    <w:rsid w:val="4CEC2563"/>
    <w:rsid w:val="4D2717ED"/>
    <w:rsid w:val="4D2B7562"/>
    <w:rsid w:val="4D6A2CF5"/>
    <w:rsid w:val="4D704F42"/>
    <w:rsid w:val="4D8046B5"/>
    <w:rsid w:val="4D907A56"/>
    <w:rsid w:val="4DB03590"/>
    <w:rsid w:val="4DBF37D4"/>
    <w:rsid w:val="4DDA23BB"/>
    <w:rsid w:val="4DDB03B5"/>
    <w:rsid w:val="4DED4A76"/>
    <w:rsid w:val="4E035DB6"/>
    <w:rsid w:val="4E0631B0"/>
    <w:rsid w:val="4E2A1318"/>
    <w:rsid w:val="4E361CE8"/>
    <w:rsid w:val="4E3C454D"/>
    <w:rsid w:val="4E52289A"/>
    <w:rsid w:val="4E766588"/>
    <w:rsid w:val="4E7D7917"/>
    <w:rsid w:val="4E9C58C3"/>
    <w:rsid w:val="4EAB5A6E"/>
    <w:rsid w:val="4EB578C5"/>
    <w:rsid w:val="4ED72EBD"/>
    <w:rsid w:val="4EDE5EDB"/>
    <w:rsid w:val="4EE202E0"/>
    <w:rsid w:val="4EE5726A"/>
    <w:rsid w:val="4EEC2692"/>
    <w:rsid w:val="4F0E4A13"/>
    <w:rsid w:val="4F18763F"/>
    <w:rsid w:val="4F3F2E1E"/>
    <w:rsid w:val="4F5C1D7A"/>
    <w:rsid w:val="4F754A92"/>
    <w:rsid w:val="4F776199"/>
    <w:rsid w:val="4F7D2F66"/>
    <w:rsid w:val="4F950C90"/>
    <w:rsid w:val="4FA709C3"/>
    <w:rsid w:val="50045AFA"/>
    <w:rsid w:val="504B134F"/>
    <w:rsid w:val="50546F19"/>
    <w:rsid w:val="50615016"/>
    <w:rsid w:val="5074015B"/>
    <w:rsid w:val="50874A7C"/>
    <w:rsid w:val="50B82E88"/>
    <w:rsid w:val="512178AF"/>
    <w:rsid w:val="51271052"/>
    <w:rsid w:val="51581F75"/>
    <w:rsid w:val="5176769E"/>
    <w:rsid w:val="517F39A6"/>
    <w:rsid w:val="519017FF"/>
    <w:rsid w:val="519A258E"/>
    <w:rsid w:val="51B03B5F"/>
    <w:rsid w:val="51B22AB2"/>
    <w:rsid w:val="51B43FDF"/>
    <w:rsid w:val="51BD2EC4"/>
    <w:rsid w:val="51BF3DA2"/>
    <w:rsid w:val="51C30881"/>
    <w:rsid w:val="51FE4E47"/>
    <w:rsid w:val="51FE73D1"/>
    <w:rsid w:val="521C7446"/>
    <w:rsid w:val="52456432"/>
    <w:rsid w:val="526037D7"/>
    <w:rsid w:val="52756B57"/>
    <w:rsid w:val="529D29BD"/>
    <w:rsid w:val="52A511EA"/>
    <w:rsid w:val="52C673B2"/>
    <w:rsid w:val="52CC2C1B"/>
    <w:rsid w:val="53057EDB"/>
    <w:rsid w:val="533E33EC"/>
    <w:rsid w:val="534A1D91"/>
    <w:rsid w:val="534D3630"/>
    <w:rsid w:val="53534733"/>
    <w:rsid w:val="535B4140"/>
    <w:rsid w:val="53A2777C"/>
    <w:rsid w:val="53B41740"/>
    <w:rsid w:val="53BA0A12"/>
    <w:rsid w:val="53DD2C05"/>
    <w:rsid w:val="53E43F94"/>
    <w:rsid w:val="53E9079A"/>
    <w:rsid w:val="53EB3BE6"/>
    <w:rsid w:val="53F43369"/>
    <w:rsid w:val="54085ED4"/>
    <w:rsid w:val="54120B01"/>
    <w:rsid w:val="547C241E"/>
    <w:rsid w:val="54882B71"/>
    <w:rsid w:val="54966C7E"/>
    <w:rsid w:val="549707FA"/>
    <w:rsid w:val="54AB36A4"/>
    <w:rsid w:val="54B41BB8"/>
    <w:rsid w:val="54BE47E5"/>
    <w:rsid w:val="54C85664"/>
    <w:rsid w:val="54EA03CE"/>
    <w:rsid w:val="551045B4"/>
    <w:rsid w:val="552A59D6"/>
    <w:rsid w:val="55627866"/>
    <w:rsid w:val="5563713A"/>
    <w:rsid w:val="5571016F"/>
    <w:rsid w:val="557F61CB"/>
    <w:rsid w:val="55A87547"/>
    <w:rsid w:val="55B04C26"/>
    <w:rsid w:val="55C1045E"/>
    <w:rsid w:val="55D911AB"/>
    <w:rsid w:val="55E055C2"/>
    <w:rsid w:val="55EF09CE"/>
    <w:rsid w:val="55F04E72"/>
    <w:rsid w:val="55F51E57"/>
    <w:rsid w:val="560E354A"/>
    <w:rsid w:val="561072C2"/>
    <w:rsid w:val="56290384"/>
    <w:rsid w:val="564156AD"/>
    <w:rsid w:val="565D002E"/>
    <w:rsid w:val="56690780"/>
    <w:rsid w:val="5682736F"/>
    <w:rsid w:val="569972B8"/>
    <w:rsid w:val="56A47A0A"/>
    <w:rsid w:val="56B45E9F"/>
    <w:rsid w:val="56CE1471"/>
    <w:rsid w:val="56E524FD"/>
    <w:rsid w:val="56EE4427"/>
    <w:rsid w:val="56FB2B1E"/>
    <w:rsid w:val="572F19CA"/>
    <w:rsid w:val="574C257C"/>
    <w:rsid w:val="57512862"/>
    <w:rsid w:val="57582859"/>
    <w:rsid w:val="57757B5A"/>
    <w:rsid w:val="578A30A4"/>
    <w:rsid w:val="57A368C3"/>
    <w:rsid w:val="57A9177C"/>
    <w:rsid w:val="57B35D3A"/>
    <w:rsid w:val="57B41ECF"/>
    <w:rsid w:val="57C31664"/>
    <w:rsid w:val="57D367F9"/>
    <w:rsid w:val="57D91936"/>
    <w:rsid w:val="57EC78BB"/>
    <w:rsid w:val="57EE718F"/>
    <w:rsid w:val="57F27B11"/>
    <w:rsid w:val="58012C2D"/>
    <w:rsid w:val="58122FAA"/>
    <w:rsid w:val="58584F50"/>
    <w:rsid w:val="58627B7D"/>
    <w:rsid w:val="586478ED"/>
    <w:rsid w:val="587D00AE"/>
    <w:rsid w:val="587F072F"/>
    <w:rsid w:val="588E44CE"/>
    <w:rsid w:val="589A7317"/>
    <w:rsid w:val="589E1D6D"/>
    <w:rsid w:val="58C123C1"/>
    <w:rsid w:val="58CE0D6F"/>
    <w:rsid w:val="58E757E0"/>
    <w:rsid w:val="58F63137"/>
    <w:rsid w:val="591B0458"/>
    <w:rsid w:val="59361F1D"/>
    <w:rsid w:val="593C03CE"/>
    <w:rsid w:val="593C3F2A"/>
    <w:rsid w:val="59725B9E"/>
    <w:rsid w:val="59785D57"/>
    <w:rsid w:val="59875AED"/>
    <w:rsid w:val="59A26483"/>
    <w:rsid w:val="59AC7302"/>
    <w:rsid w:val="59D24C95"/>
    <w:rsid w:val="59E44CEE"/>
    <w:rsid w:val="5A034045"/>
    <w:rsid w:val="5A1B7FE4"/>
    <w:rsid w:val="5A28422F"/>
    <w:rsid w:val="5A64644D"/>
    <w:rsid w:val="5A8E77E6"/>
    <w:rsid w:val="5AA26202"/>
    <w:rsid w:val="5AA93841"/>
    <w:rsid w:val="5AB3646E"/>
    <w:rsid w:val="5AB50438"/>
    <w:rsid w:val="5ACD57F6"/>
    <w:rsid w:val="5ADF3707"/>
    <w:rsid w:val="5AEF00AC"/>
    <w:rsid w:val="5B0B0058"/>
    <w:rsid w:val="5B2B24A8"/>
    <w:rsid w:val="5B451187"/>
    <w:rsid w:val="5B4B66A7"/>
    <w:rsid w:val="5B530396"/>
    <w:rsid w:val="5B5B5B3E"/>
    <w:rsid w:val="5B6D0D13"/>
    <w:rsid w:val="5B70610D"/>
    <w:rsid w:val="5B834092"/>
    <w:rsid w:val="5B85605C"/>
    <w:rsid w:val="5B86741A"/>
    <w:rsid w:val="5BB22BCA"/>
    <w:rsid w:val="5BB478E2"/>
    <w:rsid w:val="5BC14BBB"/>
    <w:rsid w:val="5BD91F04"/>
    <w:rsid w:val="5BFA2163"/>
    <w:rsid w:val="5C007491"/>
    <w:rsid w:val="5C1949F7"/>
    <w:rsid w:val="5C1D0043"/>
    <w:rsid w:val="5C514191"/>
    <w:rsid w:val="5C5B6DBD"/>
    <w:rsid w:val="5C7D6D34"/>
    <w:rsid w:val="5CB36BF9"/>
    <w:rsid w:val="5CC26747"/>
    <w:rsid w:val="5CC84CFD"/>
    <w:rsid w:val="5CD34BA6"/>
    <w:rsid w:val="5CEE7C31"/>
    <w:rsid w:val="5D057DF3"/>
    <w:rsid w:val="5D080CF3"/>
    <w:rsid w:val="5D1A0A26"/>
    <w:rsid w:val="5D2C4642"/>
    <w:rsid w:val="5D30024A"/>
    <w:rsid w:val="5D347D3A"/>
    <w:rsid w:val="5D46181B"/>
    <w:rsid w:val="5D4A3A21"/>
    <w:rsid w:val="5D6408DE"/>
    <w:rsid w:val="5D902BE3"/>
    <w:rsid w:val="5DD9443E"/>
    <w:rsid w:val="5DDE3802"/>
    <w:rsid w:val="5DE74DAC"/>
    <w:rsid w:val="5E652175"/>
    <w:rsid w:val="5E814705"/>
    <w:rsid w:val="5EA06FBA"/>
    <w:rsid w:val="5EEB0B5D"/>
    <w:rsid w:val="5EFD415C"/>
    <w:rsid w:val="5F13572D"/>
    <w:rsid w:val="5F200A95"/>
    <w:rsid w:val="5F223BC2"/>
    <w:rsid w:val="5F2B2A77"/>
    <w:rsid w:val="5F3F4774"/>
    <w:rsid w:val="5F6146EB"/>
    <w:rsid w:val="5F683B20"/>
    <w:rsid w:val="5F8038FF"/>
    <w:rsid w:val="5F9D1C73"/>
    <w:rsid w:val="5FCE7A0F"/>
    <w:rsid w:val="5FEC2A61"/>
    <w:rsid w:val="5FF82CFA"/>
    <w:rsid w:val="5FFC654F"/>
    <w:rsid w:val="60194FC5"/>
    <w:rsid w:val="60296692"/>
    <w:rsid w:val="607E751E"/>
    <w:rsid w:val="609B2D54"/>
    <w:rsid w:val="60A32AE1"/>
    <w:rsid w:val="60AE2DC5"/>
    <w:rsid w:val="60D86C2E"/>
    <w:rsid w:val="60F25329"/>
    <w:rsid w:val="60F82E2D"/>
    <w:rsid w:val="615F4C5A"/>
    <w:rsid w:val="618B1EF3"/>
    <w:rsid w:val="61B72CE8"/>
    <w:rsid w:val="61B96A60"/>
    <w:rsid w:val="61F16A83"/>
    <w:rsid w:val="61F66CF7"/>
    <w:rsid w:val="61FF0CA7"/>
    <w:rsid w:val="62031A89"/>
    <w:rsid w:val="622765CB"/>
    <w:rsid w:val="62397BA1"/>
    <w:rsid w:val="62426A55"/>
    <w:rsid w:val="62593D9F"/>
    <w:rsid w:val="625D388F"/>
    <w:rsid w:val="62775FD3"/>
    <w:rsid w:val="627E55B4"/>
    <w:rsid w:val="62C37CBA"/>
    <w:rsid w:val="62C51434"/>
    <w:rsid w:val="62CA07F9"/>
    <w:rsid w:val="62CF4061"/>
    <w:rsid w:val="62EF64B1"/>
    <w:rsid w:val="63212B0F"/>
    <w:rsid w:val="632919C3"/>
    <w:rsid w:val="632B573B"/>
    <w:rsid w:val="633D546F"/>
    <w:rsid w:val="63407655"/>
    <w:rsid w:val="634E142A"/>
    <w:rsid w:val="635051A2"/>
    <w:rsid w:val="63585E05"/>
    <w:rsid w:val="635F3637"/>
    <w:rsid w:val="635F7193"/>
    <w:rsid w:val="63601EFC"/>
    <w:rsid w:val="63640C4D"/>
    <w:rsid w:val="63754C08"/>
    <w:rsid w:val="6377272F"/>
    <w:rsid w:val="63892462"/>
    <w:rsid w:val="639302F4"/>
    <w:rsid w:val="639B3FA6"/>
    <w:rsid w:val="63AD4FAE"/>
    <w:rsid w:val="63CF2C49"/>
    <w:rsid w:val="63E36016"/>
    <w:rsid w:val="63EE0517"/>
    <w:rsid w:val="63F05A25"/>
    <w:rsid w:val="644654DC"/>
    <w:rsid w:val="64520AA6"/>
    <w:rsid w:val="647A412F"/>
    <w:rsid w:val="64897C1D"/>
    <w:rsid w:val="64A13896"/>
    <w:rsid w:val="64A31301"/>
    <w:rsid w:val="64A37553"/>
    <w:rsid w:val="64B13A1E"/>
    <w:rsid w:val="64C056AD"/>
    <w:rsid w:val="64CC2606"/>
    <w:rsid w:val="64F61D79"/>
    <w:rsid w:val="650807B8"/>
    <w:rsid w:val="650A694C"/>
    <w:rsid w:val="651D4188"/>
    <w:rsid w:val="652E102B"/>
    <w:rsid w:val="653A7EB8"/>
    <w:rsid w:val="654C1999"/>
    <w:rsid w:val="655232BF"/>
    <w:rsid w:val="655820EC"/>
    <w:rsid w:val="656C203B"/>
    <w:rsid w:val="656E5DB3"/>
    <w:rsid w:val="65962C14"/>
    <w:rsid w:val="65B17A4E"/>
    <w:rsid w:val="65B37C6A"/>
    <w:rsid w:val="65C9123C"/>
    <w:rsid w:val="66141BCD"/>
    <w:rsid w:val="661E127D"/>
    <w:rsid w:val="661E1616"/>
    <w:rsid w:val="6628294C"/>
    <w:rsid w:val="664D3C1B"/>
    <w:rsid w:val="6658601C"/>
    <w:rsid w:val="666E6D57"/>
    <w:rsid w:val="668C4743"/>
    <w:rsid w:val="668C6B1C"/>
    <w:rsid w:val="66A00B1A"/>
    <w:rsid w:val="66AB0941"/>
    <w:rsid w:val="66B07D06"/>
    <w:rsid w:val="66DF6D75"/>
    <w:rsid w:val="66E1441D"/>
    <w:rsid w:val="66F81DD8"/>
    <w:rsid w:val="67265D80"/>
    <w:rsid w:val="67281F92"/>
    <w:rsid w:val="672C0C6D"/>
    <w:rsid w:val="67466E44"/>
    <w:rsid w:val="677961F6"/>
    <w:rsid w:val="67B101D9"/>
    <w:rsid w:val="67D11C12"/>
    <w:rsid w:val="67E4235D"/>
    <w:rsid w:val="68322BB5"/>
    <w:rsid w:val="683F7593"/>
    <w:rsid w:val="68464DC5"/>
    <w:rsid w:val="685D5724"/>
    <w:rsid w:val="689B5C8E"/>
    <w:rsid w:val="68DB72BC"/>
    <w:rsid w:val="68E02B24"/>
    <w:rsid w:val="68F85FA6"/>
    <w:rsid w:val="68FE11FC"/>
    <w:rsid w:val="69000A2F"/>
    <w:rsid w:val="69034A64"/>
    <w:rsid w:val="690B56C7"/>
    <w:rsid w:val="6917406C"/>
    <w:rsid w:val="69203458"/>
    <w:rsid w:val="6922138F"/>
    <w:rsid w:val="693E5EAC"/>
    <w:rsid w:val="695D23C7"/>
    <w:rsid w:val="6966360B"/>
    <w:rsid w:val="69886D18"/>
    <w:rsid w:val="698B6C53"/>
    <w:rsid w:val="69A30E1A"/>
    <w:rsid w:val="69A71894"/>
    <w:rsid w:val="69B0699A"/>
    <w:rsid w:val="69B61B05"/>
    <w:rsid w:val="69E91EAC"/>
    <w:rsid w:val="69FB05A1"/>
    <w:rsid w:val="6A082C8B"/>
    <w:rsid w:val="6A265D97"/>
    <w:rsid w:val="6A4C56A7"/>
    <w:rsid w:val="6A4D243B"/>
    <w:rsid w:val="6A611A43"/>
    <w:rsid w:val="6A6C43E4"/>
    <w:rsid w:val="6A7259FE"/>
    <w:rsid w:val="6A7318D2"/>
    <w:rsid w:val="6A8B3798"/>
    <w:rsid w:val="6ABE0EF6"/>
    <w:rsid w:val="6AC11213"/>
    <w:rsid w:val="6ACE538B"/>
    <w:rsid w:val="6AD95A7D"/>
    <w:rsid w:val="6AF76492"/>
    <w:rsid w:val="6B144D07"/>
    <w:rsid w:val="6B1704BF"/>
    <w:rsid w:val="6B3453A9"/>
    <w:rsid w:val="6B43739A"/>
    <w:rsid w:val="6B560E7C"/>
    <w:rsid w:val="6B8C2AEF"/>
    <w:rsid w:val="6B8F25DF"/>
    <w:rsid w:val="6B9D2210"/>
    <w:rsid w:val="6B9E07C2"/>
    <w:rsid w:val="6BB169FA"/>
    <w:rsid w:val="6BB6488D"/>
    <w:rsid w:val="6BC0391C"/>
    <w:rsid w:val="6BC524A5"/>
    <w:rsid w:val="6BF07522"/>
    <w:rsid w:val="6BFD1C3F"/>
    <w:rsid w:val="6C523D39"/>
    <w:rsid w:val="6C6B6232"/>
    <w:rsid w:val="6C711CE5"/>
    <w:rsid w:val="6C77554D"/>
    <w:rsid w:val="6C7D068A"/>
    <w:rsid w:val="6CB51DAA"/>
    <w:rsid w:val="6D1301DD"/>
    <w:rsid w:val="6D305867"/>
    <w:rsid w:val="6D3D723E"/>
    <w:rsid w:val="6D401191"/>
    <w:rsid w:val="6D484EC2"/>
    <w:rsid w:val="6DA07B3F"/>
    <w:rsid w:val="6E02353D"/>
    <w:rsid w:val="6E0E3C8F"/>
    <w:rsid w:val="6E0E5729"/>
    <w:rsid w:val="6E3B6A4F"/>
    <w:rsid w:val="6E501734"/>
    <w:rsid w:val="6E526272"/>
    <w:rsid w:val="6E5755DA"/>
    <w:rsid w:val="6E587601"/>
    <w:rsid w:val="6E672B2B"/>
    <w:rsid w:val="6E91041D"/>
    <w:rsid w:val="6EA840E4"/>
    <w:rsid w:val="6EB62D12"/>
    <w:rsid w:val="6EBC7B8F"/>
    <w:rsid w:val="6EC86534"/>
    <w:rsid w:val="6ED00F45"/>
    <w:rsid w:val="6F0155A2"/>
    <w:rsid w:val="6F1C062E"/>
    <w:rsid w:val="6F40256E"/>
    <w:rsid w:val="6F443BEB"/>
    <w:rsid w:val="6F5002D8"/>
    <w:rsid w:val="6F675D4D"/>
    <w:rsid w:val="6F72024E"/>
    <w:rsid w:val="6F77220A"/>
    <w:rsid w:val="6F7922B4"/>
    <w:rsid w:val="6F8166E3"/>
    <w:rsid w:val="6F9B79AD"/>
    <w:rsid w:val="6FAA79E8"/>
    <w:rsid w:val="6FB2689C"/>
    <w:rsid w:val="6FB27730"/>
    <w:rsid w:val="6FB824BF"/>
    <w:rsid w:val="7017014C"/>
    <w:rsid w:val="702459EC"/>
    <w:rsid w:val="702F4391"/>
    <w:rsid w:val="703D09CF"/>
    <w:rsid w:val="70455963"/>
    <w:rsid w:val="705A19BC"/>
    <w:rsid w:val="70683D6E"/>
    <w:rsid w:val="713E2ADE"/>
    <w:rsid w:val="714656D3"/>
    <w:rsid w:val="7148570A"/>
    <w:rsid w:val="71494FDF"/>
    <w:rsid w:val="714C1AB3"/>
    <w:rsid w:val="715A71EC"/>
    <w:rsid w:val="717C53B4"/>
    <w:rsid w:val="719646C8"/>
    <w:rsid w:val="71970FEB"/>
    <w:rsid w:val="71B11502"/>
    <w:rsid w:val="71B903B6"/>
    <w:rsid w:val="71DF2252"/>
    <w:rsid w:val="71E271F8"/>
    <w:rsid w:val="71E64DF1"/>
    <w:rsid w:val="7202096F"/>
    <w:rsid w:val="720A0C12"/>
    <w:rsid w:val="721970A7"/>
    <w:rsid w:val="721C357F"/>
    <w:rsid w:val="72247F25"/>
    <w:rsid w:val="726063F0"/>
    <w:rsid w:val="729F75AC"/>
    <w:rsid w:val="72BD7A32"/>
    <w:rsid w:val="72E96A79"/>
    <w:rsid w:val="72EE408F"/>
    <w:rsid w:val="72F0558E"/>
    <w:rsid w:val="7309711B"/>
    <w:rsid w:val="7320390F"/>
    <w:rsid w:val="73337CF4"/>
    <w:rsid w:val="736B313E"/>
    <w:rsid w:val="736B3932"/>
    <w:rsid w:val="738B2556"/>
    <w:rsid w:val="73972F2B"/>
    <w:rsid w:val="73AD01CF"/>
    <w:rsid w:val="73BE7F06"/>
    <w:rsid w:val="73C44DF0"/>
    <w:rsid w:val="73D634A1"/>
    <w:rsid w:val="73E221E3"/>
    <w:rsid w:val="74116287"/>
    <w:rsid w:val="74387CB8"/>
    <w:rsid w:val="74435D47"/>
    <w:rsid w:val="74493C73"/>
    <w:rsid w:val="746F7452"/>
    <w:rsid w:val="7490269B"/>
    <w:rsid w:val="74D6302D"/>
    <w:rsid w:val="75053FA4"/>
    <w:rsid w:val="75092374"/>
    <w:rsid w:val="75181898"/>
    <w:rsid w:val="75501031"/>
    <w:rsid w:val="757F7E3A"/>
    <w:rsid w:val="75894543"/>
    <w:rsid w:val="758B02BC"/>
    <w:rsid w:val="75BE3D92"/>
    <w:rsid w:val="75BF7F65"/>
    <w:rsid w:val="75C55D9A"/>
    <w:rsid w:val="75C612F4"/>
    <w:rsid w:val="75ED4AD2"/>
    <w:rsid w:val="760C079B"/>
    <w:rsid w:val="761F0029"/>
    <w:rsid w:val="76275612"/>
    <w:rsid w:val="762F50EB"/>
    <w:rsid w:val="763B583E"/>
    <w:rsid w:val="76473B85"/>
    <w:rsid w:val="76852F5D"/>
    <w:rsid w:val="76BD6253"/>
    <w:rsid w:val="76D57A40"/>
    <w:rsid w:val="76FE6E62"/>
    <w:rsid w:val="772C162A"/>
    <w:rsid w:val="773D297D"/>
    <w:rsid w:val="77543075"/>
    <w:rsid w:val="77701517"/>
    <w:rsid w:val="77864563"/>
    <w:rsid w:val="77BA69B4"/>
    <w:rsid w:val="77C41863"/>
    <w:rsid w:val="77C57C4A"/>
    <w:rsid w:val="77D0645A"/>
    <w:rsid w:val="77E31CE9"/>
    <w:rsid w:val="77F42148"/>
    <w:rsid w:val="77FF15D9"/>
    <w:rsid w:val="78397B5B"/>
    <w:rsid w:val="785724B6"/>
    <w:rsid w:val="78796757"/>
    <w:rsid w:val="788435CF"/>
    <w:rsid w:val="789B0816"/>
    <w:rsid w:val="789F6743"/>
    <w:rsid w:val="78AE02B8"/>
    <w:rsid w:val="78CC4E73"/>
    <w:rsid w:val="78DF4BA6"/>
    <w:rsid w:val="78F671A8"/>
    <w:rsid w:val="79181E66"/>
    <w:rsid w:val="79344461"/>
    <w:rsid w:val="794013BD"/>
    <w:rsid w:val="79465555"/>
    <w:rsid w:val="79592BB3"/>
    <w:rsid w:val="79627585"/>
    <w:rsid w:val="79892A5F"/>
    <w:rsid w:val="798E578B"/>
    <w:rsid w:val="79CD4BFB"/>
    <w:rsid w:val="79E461EC"/>
    <w:rsid w:val="79F7BD84"/>
    <w:rsid w:val="79F91C98"/>
    <w:rsid w:val="7A1A39BC"/>
    <w:rsid w:val="7A1C5986"/>
    <w:rsid w:val="7A1C7734"/>
    <w:rsid w:val="7A230AC3"/>
    <w:rsid w:val="7A28432B"/>
    <w:rsid w:val="7A8552D9"/>
    <w:rsid w:val="7A9E142F"/>
    <w:rsid w:val="7AB931D5"/>
    <w:rsid w:val="7ACA3634"/>
    <w:rsid w:val="7AEA7832"/>
    <w:rsid w:val="7AF83CFD"/>
    <w:rsid w:val="7B205002"/>
    <w:rsid w:val="7B2E5971"/>
    <w:rsid w:val="7B454A69"/>
    <w:rsid w:val="7B66335D"/>
    <w:rsid w:val="7B75534E"/>
    <w:rsid w:val="7B837EAD"/>
    <w:rsid w:val="7B9C6D7F"/>
    <w:rsid w:val="7BBF01B6"/>
    <w:rsid w:val="7BCE0F02"/>
    <w:rsid w:val="7BEC3136"/>
    <w:rsid w:val="7BF64461"/>
    <w:rsid w:val="7BFF10BB"/>
    <w:rsid w:val="7C224876"/>
    <w:rsid w:val="7C355CCF"/>
    <w:rsid w:val="7C4453CC"/>
    <w:rsid w:val="7C4F3DF1"/>
    <w:rsid w:val="7C5C4760"/>
    <w:rsid w:val="7C5E2286"/>
    <w:rsid w:val="7CA51C63"/>
    <w:rsid w:val="7CAD14C7"/>
    <w:rsid w:val="7CB71996"/>
    <w:rsid w:val="7CE02C9B"/>
    <w:rsid w:val="7CE5560B"/>
    <w:rsid w:val="7CEA3B1A"/>
    <w:rsid w:val="7CF229CE"/>
    <w:rsid w:val="7D146DE8"/>
    <w:rsid w:val="7D38495C"/>
    <w:rsid w:val="7D4476CE"/>
    <w:rsid w:val="7D584F27"/>
    <w:rsid w:val="7D7B40BC"/>
    <w:rsid w:val="7D7D2BE0"/>
    <w:rsid w:val="7D9A72EE"/>
    <w:rsid w:val="7D9B5E16"/>
    <w:rsid w:val="7DA0067C"/>
    <w:rsid w:val="7DDC7906"/>
    <w:rsid w:val="7DE26685"/>
    <w:rsid w:val="7E0B1F99"/>
    <w:rsid w:val="7E143686"/>
    <w:rsid w:val="7E4D4360"/>
    <w:rsid w:val="7E5A55AC"/>
    <w:rsid w:val="7E7F7D0E"/>
    <w:rsid w:val="7E8F1AE4"/>
    <w:rsid w:val="7EC42148"/>
    <w:rsid w:val="7EE73E3D"/>
    <w:rsid w:val="7F264BB1"/>
    <w:rsid w:val="7F337F3D"/>
    <w:rsid w:val="7F57F5BB"/>
    <w:rsid w:val="7F7D6EC7"/>
    <w:rsid w:val="7F9B559F"/>
    <w:rsid w:val="7FBC7F56"/>
    <w:rsid w:val="7FC00AF9"/>
    <w:rsid w:val="7FCA19E0"/>
    <w:rsid w:val="7FCC39AA"/>
    <w:rsid w:val="7FDC1E3F"/>
    <w:rsid w:val="7FEB2083"/>
    <w:rsid w:val="7FF55E62"/>
    <w:rsid w:val="7FF627D5"/>
    <w:rsid w:val="FF7DCE0C"/>
    <w:rsid w:val="FFF303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4"/>
    <w:qFormat/>
    <w:uiPriority w:val="0"/>
    <w:pPr>
      <w:keepNext/>
      <w:jc w:val="center"/>
      <w:outlineLvl w:val="0"/>
    </w:pPr>
    <w:rPr>
      <w:b/>
      <w:bCs/>
      <w:sz w:val="24"/>
      <w:szCs w:val="20"/>
    </w:rPr>
  </w:style>
  <w:style w:type="paragraph" w:styleId="4">
    <w:name w:val="heading 2"/>
    <w:basedOn w:val="1"/>
    <w:next w:val="1"/>
    <w:qFormat/>
    <w:uiPriority w:val="0"/>
    <w:pPr>
      <w:keepNext/>
      <w:keepLines/>
      <w:spacing w:line="360" w:lineRule="auto"/>
      <w:outlineLvl w:val="1"/>
    </w:pPr>
    <w:rPr>
      <w:rFonts w:ascii="Arial" w:hAnsi="Arial"/>
      <w:b/>
      <w:bCs/>
      <w:sz w:val="24"/>
      <w:szCs w:val="32"/>
    </w:rPr>
  </w:style>
  <w:style w:type="paragraph" w:styleId="5">
    <w:name w:val="heading 3"/>
    <w:basedOn w:val="1"/>
    <w:next w:val="1"/>
    <w:link w:val="45"/>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7">
    <w:name w:val="annotation text"/>
    <w:basedOn w:val="1"/>
    <w:qFormat/>
    <w:uiPriority w:val="0"/>
    <w:pPr>
      <w:jc w:val="left"/>
    </w:pPr>
  </w:style>
  <w:style w:type="paragraph" w:styleId="8">
    <w:name w:val="Body Text"/>
    <w:basedOn w:val="1"/>
    <w:unhideWhenUsed/>
    <w:qFormat/>
    <w:uiPriority w:val="0"/>
    <w:pPr>
      <w:widowControl/>
      <w:spacing w:line="360" w:lineRule="auto"/>
      <w:jc w:val="left"/>
    </w:pPr>
    <w:rPr>
      <w:rFonts w:ascii="仿宋体" w:hAnsi="Times New Roman" w:eastAsia="仿宋体"/>
      <w:kern w:val="0"/>
      <w:sz w:val="24"/>
      <w:szCs w:val="20"/>
    </w:r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rPr>
      <w:sz w:val="21"/>
      <w:szCs w:val="20"/>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style>
  <w:style w:type="paragraph" w:styleId="14">
    <w:name w:val="index heading"/>
    <w:basedOn w:val="1"/>
    <w:next w:val="15"/>
    <w:qFormat/>
    <w:uiPriority w:val="0"/>
    <w:pPr>
      <w:spacing w:line="240" w:lineRule="auto"/>
      <w:ind w:firstLine="0" w:firstLineChars="0"/>
    </w:pPr>
    <w:rPr>
      <w:sz w:val="21"/>
      <w:szCs w:val="20"/>
    </w:rPr>
  </w:style>
  <w:style w:type="paragraph" w:styleId="15">
    <w:name w:val="index 1"/>
    <w:basedOn w:val="1"/>
    <w:next w:val="1"/>
    <w:uiPriority w:val="0"/>
    <w:rPr>
      <w:szCs w:val="20"/>
    </w:rPr>
  </w:style>
  <w:style w:type="paragraph" w:styleId="16">
    <w:name w:val="toc 2"/>
    <w:basedOn w:val="1"/>
    <w:next w:val="1"/>
    <w:qFormat/>
    <w:uiPriority w:val="0"/>
    <w:pPr>
      <w:ind w:left="420" w:leftChars="200"/>
    </w:pPr>
  </w:style>
  <w:style w:type="paragraph" w:styleId="17">
    <w:name w:val="Normal (Web)"/>
    <w:basedOn w:val="1"/>
    <w:qFormat/>
    <w:uiPriority w:val="0"/>
    <w:pPr>
      <w:spacing w:before="100" w:beforeAutospacing="1" w:after="100" w:afterAutospacing="1"/>
      <w:ind w:left="0" w:right="0"/>
      <w:jc w:val="left"/>
    </w:pPr>
    <w:rPr>
      <w:kern w:val="0"/>
      <w:sz w:val="24"/>
      <w:lang w:val="en-US" w:eastAsia="zh-CN"/>
    </w:rPr>
  </w:style>
  <w:style w:type="paragraph" w:styleId="18">
    <w:name w:val="Title"/>
    <w:basedOn w:val="1"/>
    <w:next w:val="1"/>
    <w:qFormat/>
    <w:uiPriority w:val="0"/>
    <w:pPr>
      <w:spacing w:before="240" w:after="60"/>
      <w:jc w:val="center"/>
      <w:outlineLvl w:val="0"/>
    </w:pPr>
    <w:rPr>
      <w:rFonts w:ascii="Cambria" w:hAnsi="Cambria"/>
      <w:b/>
      <w:bCs/>
      <w:sz w:val="36"/>
      <w:szCs w:val="32"/>
    </w:rPr>
  </w:style>
  <w:style w:type="paragraph" w:styleId="19">
    <w:name w:val="Body Text First Indent"/>
    <w:basedOn w:val="8"/>
    <w:unhideWhenUsed/>
    <w:qFormat/>
    <w:uiPriority w:val="99"/>
    <w:pPr>
      <w:widowControl w:val="0"/>
      <w:spacing w:line="360" w:lineRule="auto"/>
      <w:ind w:firstLine="200" w:firstLineChars="200"/>
      <w:jc w:val="both"/>
    </w:pPr>
    <w:rPr>
      <w:rFonts w:ascii="Calibri" w:hAnsi="Calibri" w:eastAsia="宋体" w:cs="Times New Roman"/>
      <w:kern w:val="2"/>
      <w:sz w:val="21"/>
      <w:szCs w:val="24"/>
      <w:lang w:val="en-US" w:eastAsia="zh-CN" w:bidi="ar-SA"/>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rPr>
  </w:style>
  <w:style w:type="character" w:styleId="24">
    <w:name w:val="page number"/>
    <w:basedOn w:val="22"/>
    <w:qFormat/>
    <w:uiPriority w:val="0"/>
  </w:style>
  <w:style w:type="character" w:styleId="25">
    <w:name w:val="FollowedHyperlink"/>
    <w:basedOn w:val="22"/>
    <w:qFormat/>
    <w:uiPriority w:val="0"/>
    <w:rPr>
      <w:rFonts w:hint="eastAsia" w:ascii="微软雅黑" w:hAnsi="微软雅黑" w:eastAsia="微软雅黑" w:cs="微软雅黑"/>
      <w:color w:val="02396F"/>
      <w:u w:val="single"/>
    </w:rPr>
  </w:style>
  <w:style w:type="character" w:styleId="26">
    <w:name w:val="Hyperlink"/>
    <w:basedOn w:val="22"/>
    <w:qFormat/>
    <w:uiPriority w:val="0"/>
    <w:rPr>
      <w:rFonts w:ascii="微软雅黑" w:hAnsi="微软雅黑" w:eastAsia="微软雅黑" w:cs="微软雅黑"/>
      <w:color w:val="02396F"/>
      <w:u w:val="single"/>
    </w:r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8">
    <w:name w:val="Default"/>
    <w:next w:val="29"/>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30">
    <w:name w:val="No Spacing"/>
    <w:qFormat/>
    <w:uiPriority w:val="99"/>
    <w:pPr>
      <w:widowControl w:val="0"/>
      <w:jc w:val="both"/>
    </w:pPr>
    <w:rPr>
      <w:rFonts w:ascii="Times New Roman" w:hAnsi="Times New Roman" w:eastAsia="宋体" w:cs="Times New Roman"/>
      <w:color w:val="000000"/>
      <w:kern w:val="2"/>
      <w:sz w:val="21"/>
      <w:szCs w:val="24"/>
      <w:lang w:val="en-US" w:eastAsia="zh-CN" w:bidi="ar-SA"/>
    </w:rPr>
  </w:style>
  <w:style w:type="paragraph" w:customStyle="1" w:styleId="31">
    <w:name w:val="trs_edito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WPSOffice手动目录 1"/>
    <w:qFormat/>
    <w:uiPriority w:val="0"/>
    <w:pPr>
      <w:ind w:leftChars="0"/>
    </w:pPr>
    <w:rPr>
      <w:rFonts w:ascii="Times New Roman" w:hAnsi="Times New Roman" w:eastAsia="宋体" w:cs="Times New Roman"/>
      <w:sz w:val="20"/>
      <w:szCs w:val="20"/>
      <w:lang w:val="en-US" w:eastAsia="zh-CN" w:bidi="ar-SA"/>
    </w:rPr>
  </w:style>
  <w:style w:type="paragraph" w:customStyle="1" w:styleId="3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34">
    <w:name w:val="p0"/>
    <w:basedOn w:val="1"/>
    <w:qFormat/>
    <w:uiPriority w:val="0"/>
    <w:pPr>
      <w:widowControl/>
    </w:pPr>
    <w:rPr>
      <w:kern w:val="0"/>
      <w:szCs w:val="21"/>
    </w:rPr>
  </w:style>
  <w:style w:type="paragraph" w:customStyle="1" w:styleId="35">
    <w:name w:val="文章正文"/>
    <w:basedOn w:val="1"/>
    <w:qFormat/>
    <w:uiPriority w:val="0"/>
    <w:pPr>
      <w:adjustRightInd w:val="0"/>
      <w:snapToGrid w:val="0"/>
      <w:spacing w:beforeLines="100" w:line="360" w:lineRule="auto"/>
      <w:ind w:firstLine="200" w:firstLineChars="200"/>
    </w:pPr>
    <w:rPr>
      <w:sz w:val="24"/>
      <w:szCs w:val="22"/>
    </w:rPr>
  </w:style>
  <w:style w:type="paragraph" w:customStyle="1" w:styleId="36">
    <w:name w:val="WPSOffice手动目录 2"/>
    <w:qFormat/>
    <w:uiPriority w:val="0"/>
    <w:pPr>
      <w:ind w:leftChars="200"/>
    </w:pPr>
    <w:rPr>
      <w:rFonts w:ascii="Times New Roman" w:hAnsi="Times New Roman" w:eastAsia="宋体" w:cs="Times New Roman"/>
      <w:sz w:val="20"/>
      <w:szCs w:val="20"/>
      <w:lang w:val="en-US" w:eastAsia="zh-CN" w:bidi="ar-SA"/>
    </w:rPr>
  </w:style>
  <w:style w:type="paragraph" w:customStyle="1" w:styleId="37">
    <w:name w:val="WPSOffice手动目录 3"/>
    <w:qFormat/>
    <w:uiPriority w:val="0"/>
    <w:pPr>
      <w:ind w:leftChars="400"/>
    </w:pPr>
    <w:rPr>
      <w:rFonts w:ascii="Times New Roman" w:hAnsi="Times New Roman" w:eastAsia="宋体" w:cs="Times New Roman"/>
      <w:sz w:val="20"/>
      <w:szCs w:val="20"/>
      <w:lang w:val="en-US" w:eastAsia="zh-CN" w:bidi="ar-SA"/>
    </w:rPr>
  </w:style>
  <w:style w:type="character" w:customStyle="1" w:styleId="38">
    <w:name w:val="gjfg"/>
    <w:basedOn w:val="22"/>
    <w:qFormat/>
    <w:uiPriority w:val="0"/>
  </w:style>
  <w:style w:type="character" w:customStyle="1" w:styleId="39">
    <w:name w:val="displayarti"/>
    <w:basedOn w:val="22"/>
    <w:qFormat/>
    <w:uiPriority w:val="0"/>
    <w:rPr>
      <w:color w:val="FFFFFF"/>
      <w:shd w:val="clear" w:color="010000" w:fill="A00000"/>
    </w:rPr>
  </w:style>
  <w:style w:type="character" w:customStyle="1" w:styleId="40">
    <w:name w:val="redfilefwwh"/>
    <w:basedOn w:val="22"/>
    <w:qFormat/>
    <w:uiPriority w:val="0"/>
    <w:rPr>
      <w:color w:val="BA2636"/>
      <w:sz w:val="14"/>
      <w:szCs w:val="14"/>
    </w:rPr>
  </w:style>
  <w:style w:type="character" w:customStyle="1" w:styleId="41">
    <w:name w:val="redfilenumber"/>
    <w:basedOn w:val="22"/>
    <w:qFormat/>
    <w:uiPriority w:val="0"/>
    <w:rPr>
      <w:color w:val="BA2636"/>
      <w:sz w:val="14"/>
      <w:szCs w:val="14"/>
    </w:rPr>
  </w:style>
  <w:style w:type="character" w:customStyle="1" w:styleId="42">
    <w:name w:val="qxdate"/>
    <w:basedOn w:val="22"/>
    <w:qFormat/>
    <w:uiPriority w:val="0"/>
    <w:rPr>
      <w:color w:val="333333"/>
      <w:sz w:val="14"/>
      <w:szCs w:val="14"/>
    </w:rPr>
  </w:style>
  <w:style w:type="character" w:customStyle="1" w:styleId="43">
    <w:name w:val="cfdate"/>
    <w:basedOn w:val="22"/>
    <w:qFormat/>
    <w:uiPriority w:val="0"/>
    <w:rPr>
      <w:color w:val="333333"/>
      <w:sz w:val="14"/>
      <w:szCs w:val="14"/>
    </w:rPr>
  </w:style>
  <w:style w:type="character" w:customStyle="1" w:styleId="44">
    <w:name w:val="标题 1 Char"/>
    <w:link w:val="3"/>
    <w:qFormat/>
    <w:uiPriority w:val="0"/>
    <w:rPr>
      <w:b/>
      <w:bCs/>
      <w:sz w:val="24"/>
      <w:szCs w:val="20"/>
    </w:rPr>
  </w:style>
  <w:style w:type="character" w:customStyle="1" w:styleId="45">
    <w:name w:val="标题 3 Char"/>
    <w:link w:val="5"/>
    <w:qFormat/>
    <w:uiPriority w:val="0"/>
    <w:rPr>
      <w:b/>
      <w:bCs/>
      <w:sz w:val="32"/>
      <w:szCs w:val="32"/>
    </w:rPr>
  </w:style>
  <w:style w:type="paragraph" w:customStyle="1" w:styleId="46">
    <w:name w:val="样式 标题 3 + 首行缩进:  2 字符"/>
    <w:basedOn w:val="5"/>
    <w:qFormat/>
    <w:uiPriority w:val="0"/>
    <w:pPr>
      <w:tabs>
        <w:tab w:val="left" w:pos="0"/>
      </w:tabs>
      <w:spacing w:before="0" w:after="0" w:line="480" w:lineRule="exact"/>
    </w:pPr>
    <w:rPr>
      <w:sz w:val="28"/>
      <w:szCs w:val="28"/>
      <w:lang w:bidi="ar-DZ"/>
    </w:rPr>
  </w:style>
  <w:style w:type="paragraph" w:customStyle="1" w:styleId="47">
    <w:name w:val="正文（首行缩进2字符）211"/>
    <w:basedOn w:val="1"/>
    <w:qFormat/>
    <w:uiPriority w:val="99"/>
    <w:pPr>
      <w:ind w:firstLine="480"/>
    </w:pPr>
    <w:rPr>
      <w:rFonts w:ascii="Times New Roman" w:hAnsi="Times New Roman" w:cs="Times New Roman"/>
    </w:rPr>
  </w:style>
  <w:style w:type="character" w:customStyle="1" w:styleId="48">
    <w:name w:val="15_10"/>
    <w:qFormat/>
    <w:uiPriority w:val="0"/>
    <w:rPr>
      <w:rFonts w:hint="default" w:ascii="Times New Roman" w:hAnsi="Times New Roman" w:cs="Times New Roman"/>
    </w:rPr>
  </w:style>
  <w:style w:type="character" w:customStyle="1" w:styleId="49">
    <w:name w:val="15_6"/>
    <w:qFormat/>
    <w:uiPriority w:val="0"/>
    <w:rPr>
      <w:rFonts w:hint="default" w:ascii="Times New Roman" w:hAnsi="Times New Roman" w:cs="Times New Roman"/>
    </w:rPr>
  </w:style>
  <w:style w:type="character" w:customStyle="1" w:styleId="50">
    <w:name w:val="15_7"/>
    <w:qFormat/>
    <w:uiPriority w:val="0"/>
    <w:rPr>
      <w:rFonts w:hint="default" w:ascii="Times New Roman" w:hAnsi="Times New Roman" w:cs="Times New Roman"/>
    </w:rPr>
  </w:style>
  <w:style w:type="character" w:customStyle="1" w:styleId="51">
    <w:name w:val="10"/>
    <w:qFormat/>
    <w:uiPriority w:val="0"/>
    <w:rPr>
      <w:rFonts w:hint="default" w:ascii="Times New Roman" w:hAnsi="Times New Roman" w:cs="Times New Roman"/>
    </w:rPr>
  </w:style>
  <w:style w:type="paragraph" w:customStyle="1" w:styleId="52">
    <w:name w:val="正文_12"/>
    <w:qFormat/>
    <w:uiPriority w:val="0"/>
    <w:pPr>
      <w:widowControl w:val="0"/>
      <w:jc w:val="both"/>
    </w:pPr>
    <w:rPr>
      <w:rFonts w:ascii="Calibri" w:hAnsi="Calibri" w:eastAsia="宋体" w:cs="Times New Roman"/>
      <w:kern w:val="2"/>
      <w:sz w:val="21"/>
      <w:szCs w:val="22"/>
      <w:lang w:val="en-US" w:eastAsia="zh-CN" w:bidi="ar-SA"/>
    </w:rPr>
  </w:style>
  <w:style w:type="paragraph" w:customStyle="1" w:styleId="53">
    <w:name w:val="_Style 6_0"/>
    <w:basedOn w:val="54"/>
    <w:next w:val="52"/>
    <w:qFormat/>
    <w:uiPriority w:val="0"/>
    <w:pPr>
      <w:pageBreakBefore/>
      <w:spacing w:line="520" w:lineRule="exact"/>
      <w:jc w:val="center"/>
      <w:outlineLvl w:val="9"/>
    </w:pPr>
    <w:rPr>
      <w:rFonts w:ascii="Calibri" w:hAnsi="Calibri"/>
    </w:rPr>
  </w:style>
  <w:style w:type="paragraph" w:customStyle="1" w:styleId="54">
    <w:name w:val="标题 1_2"/>
    <w:basedOn w:val="52"/>
    <w:next w:val="52"/>
    <w:qFormat/>
    <w:uiPriority w:val="0"/>
    <w:pPr>
      <w:keepNext/>
      <w:keepLines/>
      <w:spacing w:line="360" w:lineRule="auto"/>
      <w:outlineLvl w:val="0"/>
    </w:pPr>
    <w:rPr>
      <w:rFonts w:ascii="Times New Roman" w:hAnsi="Times New Roman" w:eastAsia="黑体"/>
      <w:b/>
      <w:bCs/>
      <w:kern w:val="44"/>
      <w:sz w:val="32"/>
      <w:szCs w:val="44"/>
    </w:rPr>
  </w:style>
  <w:style w:type="paragraph" w:customStyle="1" w:styleId="55">
    <w:name w:val="正文文本_1"/>
    <w:basedOn w:val="52"/>
    <w:qFormat/>
    <w:uiPriority w:val="0"/>
    <w:pPr>
      <w:adjustRightInd w:val="0"/>
      <w:spacing w:after="60" w:line="360" w:lineRule="atLeast"/>
      <w:ind w:left="72" w:leftChars="30" w:right="30" w:rightChars="30"/>
      <w:jc w:val="center"/>
      <w:textAlignment w:val="baseline"/>
    </w:pPr>
    <w:rPr>
      <w:rFonts w:ascii="Times New Roman" w:hAnsi="Times New Roman"/>
    </w:rPr>
  </w:style>
  <w:style w:type="paragraph" w:customStyle="1" w:styleId="56">
    <w:name w:val="Normal_32_0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168</Pages>
  <Words>18529</Words>
  <Characters>19385</Characters>
  <Lines>0</Lines>
  <Paragraphs>0</Paragraphs>
  <TotalTime>25</TotalTime>
  <ScaleCrop>false</ScaleCrop>
  <LinksUpToDate>false</LinksUpToDate>
  <CharactersWithSpaces>20155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2020-04-01T16:51:00Z</dcterms:created>
  <dc:creator>Administrator</dc:creator>
  <cp:lastModifiedBy>·</cp:lastModifiedBy>
  <cp:lastPrinted>2022-06-08T17:17:00Z</cp:lastPrinted>
  <dcterms:modified xsi:type="dcterms:W3CDTF">2025-07-14T10:46:36Z</dcterms:modified>
  <dc:title>政府采购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479DE045C0C240F197989BE1D5BD1A99_13</vt:lpwstr>
  </property>
  <property fmtid="{D5CDD505-2E9C-101B-9397-08002B2CF9AE}" pid="4" name="KSOTemplateDocerSaveRecord">
    <vt:lpwstr>eyJoZGlkIjoiN2IzMTBkMTA2Zjg3YjQyODMyMzUzNDgyNmNlZTU0ZWIiLCJ1c2VySWQiOiI5NDU0NTQ1OTgifQ==</vt:lpwstr>
  </property>
</Properties>
</file>