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0"/>
          <w:szCs w:val="30"/>
        </w:rPr>
      </w:pPr>
      <w:r>
        <w:rPr>
          <w:rFonts w:hint="eastAsia" w:ascii="黑体" w:hAnsi="黑体" w:eastAsia="黑体"/>
          <w:sz w:val="30"/>
          <w:szCs w:val="30"/>
        </w:rPr>
        <w:t>招标编号：510101202100107</w:t>
      </w:r>
    </w:p>
    <w:p>
      <w:pPr>
        <w:rPr>
          <w:rFonts w:ascii="黑体" w:hAnsi="黑体" w:eastAsia="黑体"/>
          <w:sz w:val="52"/>
          <w:szCs w:val="52"/>
        </w:rPr>
      </w:pPr>
    </w:p>
    <w:p>
      <w:pPr>
        <w:jc w:val="center"/>
        <w:rPr>
          <w:rFonts w:ascii="黑体" w:hAnsi="黑体" w:eastAsia="黑体"/>
          <w:sz w:val="48"/>
          <w:szCs w:val="48"/>
        </w:rPr>
      </w:pPr>
      <w:r>
        <w:rPr>
          <w:rFonts w:hint="eastAsia" w:ascii="黑体" w:hAnsi="黑体" w:eastAsia="黑体"/>
          <w:sz w:val="48"/>
          <w:szCs w:val="48"/>
        </w:rPr>
        <w:t>成都市文物考古工作队文物安全保护遮棚购置项目（第二次）</w:t>
      </w:r>
    </w:p>
    <w:p>
      <w:pPr>
        <w:rPr>
          <w:rFonts w:ascii="黑体" w:hAnsi="黑体" w:eastAsia="黑体"/>
          <w:sz w:val="52"/>
          <w:szCs w:val="52"/>
        </w:rPr>
      </w:pPr>
    </w:p>
    <w:p>
      <w:pPr>
        <w:tabs>
          <w:tab w:val="left" w:pos="2505"/>
          <w:tab w:val="center" w:pos="4204"/>
        </w:tabs>
        <w:jc w:val="center"/>
        <w:rPr>
          <w:rFonts w:ascii="黑体" w:hAnsi="黑体" w:eastAsia="黑体"/>
          <w:sz w:val="52"/>
          <w:szCs w:val="52"/>
        </w:rPr>
      </w:pPr>
      <w:r>
        <w:rPr>
          <w:rFonts w:hint="eastAsia" w:ascii="黑体" w:hAnsi="黑体" w:eastAsia="黑体"/>
          <w:sz w:val="52"/>
          <w:szCs w:val="52"/>
        </w:rPr>
        <w:t>招</w:t>
      </w:r>
    </w:p>
    <w:p>
      <w:pPr>
        <w:jc w:val="center"/>
        <w:rPr>
          <w:rFonts w:ascii="黑体" w:hAnsi="黑体" w:eastAsia="黑体"/>
          <w:sz w:val="52"/>
          <w:szCs w:val="52"/>
        </w:rPr>
      </w:pPr>
      <w:r>
        <w:rPr>
          <w:rFonts w:hint="eastAsia" w:ascii="黑体" w:hAnsi="黑体" w:eastAsia="黑体"/>
          <w:sz w:val="52"/>
          <w:szCs w:val="52"/>
        </w:rPr>
        <w:t>标</w:t>
      </w:r>
    </w:p>
    <w:p>
      <w:pPr>
        <w:jc w:val="center"/>
        <w:rPr>
          <w:rFonts w:ascii="黑体" w:hAnsi="黑体" w:eastAsia="黑体"/>
          <w:sz w:val="52"/>
          <w:szCs w:val="52"/>
        </w:rPr>
      </w:pPr>
      <w:r>
        <w:rPr>
          <w:rFonts w:hint="eastAsia" w:ascii="黑体" w:hAnsi="黑体" w:eastAsia="黑体"/>
          <w:sz w:val="52"/>
          <w:szCs w:val="52"/>
        </w:rPr>
        <w:t>文</w:t>
      </w:r>
    </w:p>
    <w:p>
      <w:pPr>
        <w:jc w:val="center"/>
        <w:rPr>
          <w:rFonts w:ascii="黑体" w:hAnsi="黑体" w:eastAsia="黑体"/>
          <w:sz w:val="52"/>
          <w:szCs w:val="52"/>
        </w:rPr>
      </w:pPr>
      <w:r>
        <w:rPr>
          <w:rFonts w:hint="eastAsia" w:ascii="黑体" w:hAnsi="黑体" w:eastAsia="黑体"/>
          <w:sz w:val="52"/>
          <w:szCs w:val="52"/>
        </w:rPr>
        <w:t>件</w:t>
      </w:r>
    </w:p>
    <w:p>
      <w:pPr>
        <w:spacing w:line="360" w:lineRule="auto"/>
        <w:rPr>
          <w:rFonts w:ascii="黑体" w:hAnsi="黑体" w:eastAsia="黑体"/>
          <w:sz w:val="32"/>
          <w:szCs w:val="32"/>
        </w:rPr>
      </w:pPr>
    </w:p>
    <w:p>
      <w:pPr>
        <w:spacing w:line="360" w:lineRule="auto"/>
        <w:jc w:val="center"/>
        <w:rPr>
          <w:rFonts w:ascii="黑体" w:hAnsi="黑体" w:eastAsia="黑体" w:cs="宋体"/>
          <w:sz w:val="32"/>
          <w:szCs w:val="32"/>
        </w:rPr>
      </w:pPr>
      <w:r>
        <w:rPr>
          <w:rFonts w:hint="eastAsia" w:ascii="黑体" w:hAnsi="黑体" w:eastAsia="黑体" w:cs="宋体"/>
          <w:sz w:val="32"/>
          <w:szCs w:val="32"/>
        </w:rPr>
        <w:t>成都市文物考古工作队</w:t>
      </w:r>
    </w:p>
    <w:p>
      <w:pPr>
        <w:spacing w:line="360" w:lineRule="auto"/>
        <w:jc w:val="center"/>
        <w:rPr>
          <w:rFonts w:ascii="黑体" w:hAnsi="黑体" w:eastAsia="黑体" w:cs="宋体"/>
          <w:sz w:val="32"/>
          <w:szCs w:val="32"/>
        </w:rPr>
      </w:pPr>
      <w:r>
        <w:rPr>
          <w:rFonts w:hint="eastAsia" w:ascii="黑体" w:hAnsi="黑体" w:eastAsia="黑体" w:cs="宋体"/>
          <w:sz w:val="32"/>
          <w:szCs w:val="32"/>
        </w:rPr>
        <w:t>四川国际招标有限责任公司</w:t>
      </w:r>
    </w:p>
    <w:p>
      <w:pPr>
        <w:spacing w:line="360" w:lineRule="auto"/>
        <w:jc w:val="center"/>
        <w:rPr>
          <w:rFonts w:ascii="黑体" w:hAnsi="黑体" w:eastAsia="黑体" w:cs="宋体"/>
          <w:sz w:val="32"/>
          <w:szCs w:val="32"/>
        </w:rPr>
      </w:pPr>
      <w:r>
        <w:rPr>
          <w:rFonts w:hint="eastAsia" w:ascii="黑体" w:hAnsi="黑体" w:eastAsia="黑体" w:cs="宋体"/>
          <w:sz w:val="32"/>
          <w:szCs w:val="32"/>
        </w:rPr>
        <w:t>共同编制</w:t>
      </w:r>
    </w:p>
    <w:p>
      <w:pPr>
        <w:spacing w:line="360" w:lineRule="auto"/>
        <w:jc w:val="center"/>
        <w:rPr>
          <w:rFonts w:ascii="黑体" w:hAnsi="黑体" w:eastAsia="黑体" w:cs="宋体"/>
          <w:sz w:val="32"/>
          <w:szCs w:val="32"/>
          <w:lang w:val="zh-CN"/>
        </w:rPr>
      </w:pPr>
      <w:r>
        <w:rPr>
          <w:rFonts w:hint="eastAsia" w:ascii="黑体" w:hAnsi="黑体" w:eastAsia="黑体" w:cs="宋体"/>
          <w:sz w:val="32"/>
          <w:szCs w:val="32"/>
        </w:rPr>
        <w:t>二O二一年六月</w:t>
      </w:r>
    </w:p>
    <w:p>
      <w:pPr>
        <w:spacing w:line="360" w:lineRule="auto"/>
        <w:jc w:val="center"/>
        <w:rPr>
          <w:rFonts w:ascii="黑体" w:hAnsi="黑体" w:eastAsia="黑体" w:cs="宋体"/>
          <w:sz w:val="32"/>
          <w:szCs w:val="32"/>
          <w:lang w:val="zh-CN"/>
        </w:rPr>
      </w:pPr>
    </w:p>
    <w:p>
      <w:pPr>
        <w:spacing w:line="360" w:lineRule="auto"/>
        <w:jc w:val="center"/>
        <w:rPr>
          <w:rFonts w:ascii="黑体" w:hAnsi="黑体" w:eastAsia="黑体"/>
          <w:sz w:val="24"/>
        </w:rPr>
        <w:sectPr>
          <w:headerReference r:id="rId3" w:type="default"/>
          <w:footerReference r:id="rId4" w:type="default"/>
          <w:footerReference r:id="rId5" w:type="even"/>
          <w:pgSz w:w="11907" w:h="16840"/>
          <w:pgMar w:top="1418" w:right="1514" w:bottom="1418" w:left="1985" w:header="851" w:footer="992" w:gutter="0"/>
          <w:pgNumType w:start="1"/>
          <w:cols w:space="720" w:num="1"/>
          <w:titlePg/>
          <w:docGrid w:linePitch="312" w:charSpace="0"/>
        </w:sectPr>
      </w:pPr>
    </w:p>
    <w:p>
      <w:pPr>
        <w:jc w:val="center"/>
        <w:rPr>
          <w:rFonts w:ascii="仿宋" w:hAnsi="仿宋" w:eastAsia="仿宋"/>
          <w:b/>
          <w:bCs/>
          <w:sz w:val="36"/>
          <w:szCs w:val="36"/>
        </w:rPr>
      </w:pPr>
      <w:bookmarkStart w:id="0" w:name="_Hlt101233737"/>
      <w:bookmarkEnd w:id="0"/>
      <w:bookmarkStart w:id="1" w:name="_Hlt101843627"/>
      <w:bookmarkEnd w:id="1"/>
      <w:r>
        <w:rPr>
          <w:rFonts w:hint="eastAsia" w:ascii="仿宋" w:hAnsi="仿宋" w:eastAsia="仿宋"/>
          <w:b/>
          <w:bCs/>
          <w:sz w:val="36"/>
          <w:szCs w:val="36"/>
        </w:rPr>
        <w:t>目    录</w:t>
      </w:r>
    </w:p>
    <w:p>
      <w:pPr>
        <w:jc w:val="center"/>
        <w:rPr>
          <w:rFonts w:ascii="仿宋" w:hAnsi="仿宋" w:eastAsia="仿宋"/>
          <w:b/>
          <w:bCs/>
          <w:sz w:val="36"/>
          <w:szCs w:val="36"/>
        </w:rPr>
      </w:pPr>
    </w:p>
    <w:p>
      <w:pPr>
        <w:pStyle w:val="16"/>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  投标</w:t>
      </w:r>
      <w:bookmarkStart w:id="2" w:name="_Hlt493498729"/>
      <w:bookmarkStart w:id="3" w:name="_Hlt493498728"/>
      <w:r>
        <w:rPr>
          <w:rFonts w:hint="eastAsia" w:ascii="仿宋" w:hAnsi="仿宋" w:eastAsia="仿宋" w:cs="宋体"/>
          <w:sz w:val="28"/>
          <w:szCs w:val="28"/>
        </w:rPr>
        <w:t>邀</w:t>
      </w:r>
      <w:bookmarkEnd w:id="2"/>
      <w:bookmarkEnd w:id="3"/>
      <w:r>
        <w:rPr>
          <w:rFonts w:hint="eastAsia" w:ascii="仿宋" w:hAnsi="仿宋" w:eastAsia="仿宋" w:cs="宋体"/>
          <w:sz w:val="28"/>
          <w:szCs w:val="28"/>
        </w:rPr>
        <w:t>请</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hint="eastAsia" w:ascii="仿宋" w:hAnsi="仿宋" w:eastAsia="仿宋" w:cs="宋体"/>
          <w:sz w:val="28"/>
          <w:szCs w:val="28"/>
        </w:rPr>
        <w:t>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  投标人须知</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hint="eastAsia" w:ascii="仿宋" w:hAnsi="仿宋" w:eastAsia="仿宋" w:cs="宋体"/>
          <w:sz w:val="28"/>
          <w:szCs w:val="28"/>
        </w:rPr>
        <w:t>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  投标文件格式</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hint="eastAsia" w:ascii="仿宋" w:hAnsi="仿宋" w:eastAsia="仿宋" w:cs="宋体"/>
          <w:sz w:val="28"/>
          <w:szCs w:val="28"/>
        </w:rPr>
        <w:t>26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  投标人和投标产品的资格、资质性及其他类似效力要求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hint="eastAsia" w:ascii="仿宋" w:hAnsi="仿宋" w:eastAsia="仿宋" w:cs="宋体"/>
          <w:sz w:val="28"/>
          <w:szCs w:val="28"/>
        </w:rPr>
        <w:t>43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  投标人应当提供的资格、资质性及其他类似效力要求的相关证明材料</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hint="eastAsia" w:ascii="仿宋" w:hAnsi="仿宋" w:eastAsia="仿宋" w:cs="宋体"/>
          <w:sz w:val="28"/>
          <w:szCs w:val="28"/>
        </w:rPr>
        <w:t>49</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  招标项目技术、服务、商务及其他要求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hint="eastAsia" w:ascii="仿宋" w:hAnsi="仿宋" w:eastAsia="仿宋" w:cs="宋体"/>
          <w:sz w:val="28"/>
          <w:szCs w:val="28"/>
        </w:rPr>
        <w:t>50</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  评标办法</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hint="eastAsia" w:ascii="仿宋" w:hAnsi="仿宋" w:eastAsia="仿宋" w:cs="宋体"/>
          <w:sz w:val="28"/>
          <w:szCs w:val="28"/>
        </w:rPr>
        <w:t>64</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  政府采购合同</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hint="eastAsia" w:ascii="仿宋" w:hAnsi="仿宋" w:eastAsia="仿宋" w:cs="宋体"/>
          <w:sz w:val="28"/>
          <w:szCs w:val="28"/>
        </w:rPr>
        <w:t>75</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4" w:name="_Toc24584"/>
      <w:bookmarkStart w:id="5" w:name="_Toc6066"/>
    </w:p>
    <w:p>
      <w:pPr>
        <w:pStyle w:val="2"/>
        <w:spacing w:line="240" w:lineRule="atLeast"/>
        <w:jc w:val="center"/>
        <w:rPr>
          <w:rFonts w:ascii="仿宋" w:hAnsi="仿宋" w:eastAsia="仿宋"/>
          <w:sz w:val="36"/>
          <w:szCs w:val="36"/>
        </w:rPr>
      </w:pPr>
      <w:r>
        <w:rPr>
          <w:rFonts w:hint="eastAsia" w:ascii="仿宋" w:hAnsi="仿宋" w:eastAsia="仿宋"/>
          <w:sz w:val="36"/>
          <w:szCs w:val="36"/>
        </w:rPr>
        <w:t>第一章  投标邀请</w:t>
      </w:r>
      <w:bookmarkEnd w:id="4"/>
      <w:bookmarkEnd w:id="5"/>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u w:val="single"/>
        </w:rPr>
        <w:t>四川国际招标有限责任公司</w:t>
      </w:r>
      <w:r>
        <w:rPr>
          <w:rFonts w:hint="eastAsia" w:ascii="仿宋" w:hAnsi="仿宋" w:eastAsia="仿宋" w:cs="宋体"/>
          <w:sz w:val="24"/>
        </w:rPr>
        <w:t>受</w:t>
      </w:r>
      <w:r>
        <w:rPr>
          <w:rFonts w:hint="eastAsia" w:ascii="仿宋" w:hAnsi="仿宋" w:eastAsia="仿宋" w:cs="宋体"/>
          <w:sz w:val="24"/>
          <w:u w:val="single"/>
        </w:rPr>
        <w:t>成都市文物考古工作队</w:t>
      </w:r>
      <w:r>
        <w:rPr>
          <w:rFonts w:hint="eastAsia" w:ascii="仿宋" w:hAnsi="仿宋" w:eastAsia="仿宋" w:cs="宋体"/>
          <w:sz w:val="24"/>
        </w:rPr>
        <w:t>委托，拟对</w:t>
      </w:r>
      <w:r>
        <w:rPr>
          <w:rFonts w:hint="eastAsia" w:ascii="仿宋" w:hAnsi="仿宋" w:eastAsia="仿宋" w:cs="宋体"/>
          <w:sz w:val="24"/>
          <w:u w:val="single"/>
        </w:rPr>
        <w:t>成都市文物考古工作队文物安全保护遮棚购置项目</w:t>
      </w:r>
      <w:bookmarkStart w:id="6" w:name="PO_默认文件内容_4"/>
      <w:r>
        <w:rPr>
          <w:rFonts w:hint="eastAsia" w:ascii="仿宋" w:hAnsi="仿宋" w:eastAsia="仿宋" w:cs="宋体"/>
          <w:sz w:val="24"/>
          <w:u w:val="single"/>
        </w:rPr>
        <w:t>（第二次）</w:t>
      </w:r>
      <w:r>
        <w:rPr>
          <w:rFonts w:hint="eastAsia" w:ascii="仿宋" w:hAnsi="仿宋" w:eastAsia="仿宋" w:cs="宋体"/>
          <w:sz w:val="24"/>
        </w:rPr>
        <w:t>进行国内公开招标，兹邀请符合本次招标要求的供应商参加投标。</w:t>
      </w:r>
      <w:bookmarkEnd w:id="6"/>
    </w:p>
    <w:p>
      <w:pPr>
        <w:spacing w:line="360" w:lineRule="auto"/>
        <w:ind w:firstLine="482" w:firstLineChars="200"/>
        <w:rPr>
          <w:rFonts w:ascii="仿宋" w:hAnsi="仿宋" w:eastAsia="仿宋"/>
          <w:b/>
          <w:sz w:val="24"/>
        </w:rPr>
      </w:pPr>
      <w:r>
        <w:rPr>
          <w:rFonts w:hint="eastAsia" w:ascii="仿宋" w:hAnsi="仿宋" w:eastAsia="仿宋"/>
          <w:b/>
          <w:sz w:val="24"/>
        </w:rPr>
        <w:t>一、招标编号：510101202100107。</w:t>
      </w:r>
    </w:p>
    <w:p>
      <w:pPr>
        <w:spacing w:line="360" w:lineRule="auto"/>
        <w:ind w:right="31" w:rightChars="15"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rPr>
        <w:t>成都市文物考古工作队文物安全保护遮棚购置项目（第二次）。</w:t>
      </w:r>
    </w:p>
    <w:p>
      <w:pPr>
        <w:spacing w:line="360" w:lineRule="auto"/>
        <w:ind w:right="31" w:rightChars="15" w:firstLine="482" w:firstLineChars="200"/>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sz w:val="24"/>
        </w:rPr>
        <w:t>地方财政资金</w:t>
      </w:r>
    </w:p>
    <w:p>
      <w:pPr>
        <w:spacing w:line="360" w:lineRule="auto"/>
        <w:ind w:firstLine="482" w:firstLineChars="200"/>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spacing w:after="120" w:afterLines="50" w:line="420" w:lineRule="exact"/>
        <w:ind w:firstLine="464" w:firstLineChars="200"/>
        <w:rPr>
          <w:rFonts w:ascii="仿宋" w:hAnsi="仿宋" w:eastAsia="仿宋"/>
          <w:sz w:val="24"/>
          <w:szCs w:val="28"/>
        </w:rPr>
      </w:pPr>
      <w:bookmarkStart w:id="7" w:name="PO_默认文件内容_3"/>
      <w:r>
        <w:rPr>
          <w:rFonts w:hint="eastAsia" w:ascii="仿宋" w:hAnsi="仿宋" w:eastAsia="仿宋"/>
          <w:spacing w:val="-4"/>
          <w:sz w:val="24"/>
        </w:rPr>
        <w:t>本项目共1个包，采购成都市文物考古工作队文物安全保护遮棚一批</w:t>
      </w:r>
      <w:r>
        <w:rPr>
          <w:rFonts w:hint="eastAsia" w:ascii="仿宋" w:hAnsi="仿宋" w:eastAsia="仿宋"/>
          <w:sz w:val="24"/>
          <w:szCs w:val="28"/>
        </w:rPr>
        <w:t>（具体详见招标文件第六章）。</w:t>
      </w:r>
      <w:bookmarkEnd w:id="7"/>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2"/>
        <w:spacing w:line="420" w:lineRule="exact"/>
        <w:ind w:firstLine="600" w:firstLineChars="250"/>
        <w:rPr>
          <w:rFonts w:ascii="仿宋" w:hAnsi="仿宋" w:eastAsia="仿宋" w:cs="宋体"/>
          <w:sz w:val="24"/>
        </w:rPr>
      </w:pPr>
      <w:bookmarkStart w:id="8"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w:t>
      </w:r>
    </w:p>
    <w:p>
      <w:pPr>
        <w:tabs>
          <w:tab w:val="left" w:pos="7665"/>
        </w:tabs>
        <w:spacing w:line="400" w:lineRule="exact"/>
        <w:ind w:firstLine="960" w:firstLineChars="400"/>
        <w:rPr>
          <w:rFonts w:ascii="仿宋" w:hAnsi="仿宋" w:eastAsia="仿宋" w:cs="宋体"/>
          <w:sz w:val="24"/>
        </w:rPr>
      </w:pPr>
      <w:r>
        <w:rPr>
          <w:rFonts w:hint="eastAsia" w:ascii="仿宋" w:hAnsi="仿宋" w:eastAsia="仿宋" w:cs="宋体"/>
          <w:sz w:val="24"/>
        </w:rPr>
        <w:t>2.1本项目专门面向中小企业采购(监狱企业、残疾人福利性单位均视同小微企业)，非中小企业参与的将视为无效投标。</w:t>
      </w:r>
    </w:p>
    <w:p>
      <w:pPr>
        <w:pStyle w:val="42"/>
        <w:spacing w:line="420" w:lineRule="exact"/>
        <w:ind w:firstLine="600" w:firstLineChars="25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、本项目的特定资格要求：无</w:t>
      </w:r>
    </w:p>
    <w:bookmarkEnd w:id="8"/>
    <w:p>
      <w:pPr>
        <w:pStyle w:val="42"/>
        <w:spacing w:line="440" w:lineRule="exact"/>
        <w:ind w:firstLine="602" w:firstLineChars="25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80" w:firstLineChars="200"/>
        <w:rPr>
          <w:rFonts w:ascii="仿宋" w:hAnsi="仿宋" w:eastAsia="仿宋"/>
          <w:sz w:val="24"/>
        </w:rPr>
      </w:pPr>
      <w:bookmarkStart w:id="9" w:name="PO_默认文件内容_7"/>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9"/>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七、招标文件获取时间、地点：</w:t>
      </w:r>
    </w:p>
    <w:p>
      <w:pPr>
        <w:spacing w:after="50" w:line="420" w:lineRule="exact"/>
        <w:ind w:firstLine="480" w:firstLineChars="200"/>
        <w:rPr>
          <w:rFonts w:ascii="仿宋" w:hAnsi="仿宋" w:eastAsia="仿宋"/>
          <w:sz w:val="24"/>
        </w:rPr>
      </w:pPr>
      <w:r>
        <w:rPr>
          <w:rFonts w:hint="eastAsia" w:ascii="仿宋" w:hAnsi="仿宋" w:eastAsia="仿宋"/>
          <w:sz w:val="24"/>
        </w:rPr>
        <w:t>招标文件自</w:t>
      </w:r>
      <w:r>
        <w:rPr>
          <w:rFonts w:hint="eastAsia" w:ascii="仿宋" w:hAnsi="仿宋" w:eastAsia="仿宋"/>
          <w:sz w:val="24"/>
          <w:lang w:val="en-US" w:eastAsia="zh-CN"/>
        </w:rPr>
        <w:t>2021年6月17日</w:t>
      </w:r>
      <w:r>
        <w:rPr>
          <w:rFonts w:ascii="仿宋" w:hAnsi="仿宋" w:eastAsia="仿宋"/>
          <w:sz w:val="24"/>
        </w:rPr>
        <w:t>至</w:t>
      </w:r>
      <w:r>
        <w:rPr>
          <w:rFonts w:hint="eastAsia" w:ascii="仿宋" w:hAnsi="仿宋" w:eastAsia="仿宋"/>
          <w:sz w:val="24"/>
          <w:lang w:val="en-US" w:eastAsia="zh-CN"/>
        </w:rPr>
        <w:t>2021年6月24日（09:00-12:00,13:00-17:00，北京时间，法定节假日除外）</w:t>
      </w:r>
      <w:r>
        <w:rPr>
          <w:rFonts w:hint="eastAsia" w:ascii="仿宋" w:hAnsi="仿宋" w:eastAsia="仿宋"/>
          <w:sz w:val="24"/>
        </w:rPr>
        <w:t>在</w:t>
      </w:r>
      <w:bookmarkStart w:id="10" w:name="PO_默认文件内容_40"/>
      <w:r>
        <w:rPr>
          <w:rFonts w:hint="eastAsia" w:ascii="仿宋" w:hAnsi="仿宋" w:eastAsia="仿宋"/>
          <w:sz w:val="24"/>
        </w:rPr>
        <w:t>我司指定网站</w:t>
      </w:r>
      <w:bookmarkEnd w:id="10"/>
      <w:r>
        <w:rPr>
          <w:rFonts w:hint="eastAsia" w:ascii="仿宋" w:hAnsi="仿宋" w:eastAsia="仿宋"/>
          <w:sz w:val="24"/>
        </w:rPr>
        <w:t>(http://sale.scbid.net)获取，具体获取流程详见该网站的“标书领取操作手册”。</w:t>
      </w:r>
    </w:p>
    <w:p>
      <w:pPr>
        <w:spacing w:after="120" w:afterLines="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r>
        <w:rPr>
          <w:rFonts w:hint="eastAsia" w:ascii="仿宋" w:hAnsi="仿宋" w:eastAsia="仿宋"/>
          <w:sz w:val="24"/>
          <w:lang w:val="en-US" w:eastAsia="zh-CN"/>
        </w:rPr>
        <w:t>2021年7月7日10:30</w:t>
      </w:r>
      <w:r>
        <w:rPr>
          <w:rFonts w:hint="eastAsia" w:ascii="仿宋" w:hAnsi="仿宋" w:eastAsia="仿宋"/>
          <w:sz w:val="24"/>
          <w:szCs w:val="28"/>
        </w:rPr>
        <w:t>（北京时间）。</w:t>
      </w:r>
    </w:p>
    <w:p>
      <w:pPr>
        <w:pStyle w:val="9"/>
        <w:spacing w:after="120" w:afterLines="50" w:line="420" w:lineRule="exact"/>
        <w:ind w:firstLine="480"/>
        <w:rPr>
          <w:rFonts w:ascii="仿宋" w:hAnsi="仿宋" w:eastAsia="仿宋"/>
          <w:sz w:val="24"/>
          <w:szCs w:val="28"/>
        </w:rPr>
      </w:pPr>
      <w:bookmarkStart w:id="11" w:name="PO_默认文件内容_12"/>
      <w:r>
        <w:rPr>
          <w:rFonts w:hint="eastAsia" w:ascii="仿宋" w:hAnsi="仿宋" w:eastAsia="仿宋"/>
          <w:sz w:val="24"/>
          <w:szCs w:val="28"/>
        </w:rPr>
        <w:t>投标文件必须在投标截止时间前送达开标地点。逾期送达或没有密封的投标文件不予接收。本次招标不接受邮寄的投标文件。</w:t>
      </w:r>
      <w:bookmarkEnd w:id="11"/>
      <w:r>
        <w:rPr>
          <w:rFonts w:hint="eastAsia" w:ascii="仿宋" w:hAnsi="仿宋" w:eastAsia="仿宋"/>
          <w:b/>
          <w:bCs/>
          <w:sz w:val="24"/>
        </w:rPr>
        <w:t>（文件接收时间：</w:t>
      </w:r>
      <w:bookmarkStart w:id="12" w:name="PO_投标文件递交开始时间_1"/>
      <w:r>
        <w:rPr>
          <w:rFonts w:hint="eastAsia" w:ascii="仿宋" w:hAnsi="仿宋" w:eastAsia="仿宋"/>
          <w:sz w:val="24"/>
          <w:lang w:val="en-US" w:eastAsia="zh-CN"/>
        </w:rPr>
        <w:t>2021年7月7日10:00</w:t>
      </w:r>
      <w:r>
        <w:rPr>
          <w:rFonts w:hint="eastAsia" w:ascii="仿宋" w:hAnsi="仿宋" w:eastAsia="仿宋"/>
          <w:sz w:val="24"/>
          <w:szCs w:val="28"/>
        </w:rPr>
        <w:t>（北京时间）</w:t>
      </w:r>
      <w:bookmarkEnd w:id="12"/>
      <w:r>
        <w:rPr>
          <w:rFonts w:hint="eastAsia" w:ascii="仿宋" w:hAnsi="仿宋" w:eastAsia="仿宋"/>
          <w:b/>
          <w:bCs/>
          <w:sz w:val="24"/>
          <w:lang w:val="en-US" w:eastAsia="zh-CN"/>
        </w:rPr>
        <w:t>-</w:t>
      </w:r>
      <w:r>
        <w:rPr>
          <w:rFonts w:hint="eastAsia" w:ascii="仿宋" w:hAnsi="仿宋" w:eastAsia="仿宋"/>
          <w:sz w:val="24"/>
          <w:lang w:val="en-US" w:eastAsia="zh-CN"/>
        </w:rPr>
        <w:t>2021年7月7日10:30</w:t>
      </w:r>
      <w:r>
        <w:rPr>
          <w:rFonts w:hint="eastAsia" w:ascii="仿宋" w:hAnsi="仿宋" w:eastAsia="仿宋"/>
          <w:sz w:val="24"/>
          <w:szCs w:val="28"/>
        </w:rPr>
        <w:t>（北京时间）</w:t>
      </w:r>
      <w:r>
        <w:rPr>
          <w:rFonts w:hint="eastAsia" w:ascii="仿宋" w:hAnsi="仿宋" w:eastAsia="仿宋"/>
          <w:b/>
          <w:bCs/>
          <w:sz w:val="24"/>
        </w:rPr>
        <w:t>）</w:t>
      </w:r>
    </w:p>
    <w:p>
      <w:pPr>
        <w:spacing w:after="50" w:line="420" w:lineRule="exact"/>
        <w:ind w:firstLine="489" w:firstLineChars="203"/>
        <w:rPr>
          <w:rFonts w:ascii="仿宋" w:hAnsi="仿宋" w:eastAsia="仿宋"/>
          <w:sz w:val="24"/>
          <w:szCs w:val="28"/>
        </w:rPr>
      </w:pPr>
      <w:r>
        <w:rPr>
          <w:rFonts w:hint="eastAsia" w:ascii="仿宋" w:hAnsi="仿宋" w:eastAsia="仿宋"/>
          <w:b/>
          <w:sz w:val="24"/>
          <w:szCs w:val="28"/>
        </w:rPr>
        <w:t>九、</w:t>
      </w:r>
      <w:r>
        <w:rPr>
          <w:rFonts w:hint="eastAsia" w:ascii="仿宋" w:hAnsi="仿宋" w:eastAsia="仿宋"/>
          <w:sz w:val="24"/>
          <w:szCs w:val="28"/>
        </w:rPr>
        <w:t>开标地点：</w:t>
      </w:r>
      <w:r>
        <w:rPr>
          <w:rFonts w:hint="eastAsia" w:ascii="仿宋" w:hAnsi="仿宋" w:eastAsia="仿宋"/>
          <w:bCs/>
          <w:sz w:val="24"/>
        </w:rPr>
        <w:t>中国（四川）自由贸易试验区成都市高新区天府四街66号</w:t>
      </w:r>
      <w:r>
        <w:rPr>
          <w:rFonts w:hint="eastAsia" w:ascii="仿宋" w:hAnsi="仿宋" w:eastAsia="仿宋"/>
          <w:bCs/>
          <w:sz w:val="24"/>
          <w:lang w:val="en-US" w:eastAsia="zh-CN"/>
        </w:rPr>
        <w:t>1</w:t>
      </w:r>
      <w:r>
        <w:rPr>
          <w:rFonts w:hint="eastAsia" w:ascii="仿宋" w:hAnsi="仿宋" w:eastAsia="仿宋"/>
          <w:bCs/>
          <w:sz w:val="24"/>
        </w:rPr>
        <w:t>栋</w:t>
      </w:r>
      <w:r>
        <w:rPr>
          <w:rFonts w:hint="eastAsia" w:ascii="仿宋" w:hAnsi="仿宋" w:eastAsia="仿宋"/>
          <w:bCs/>
          <w:sz w:val="24"/>
          <w:lang w:val="en-US" w:eastAsia="zh-CN"/>
        </w:rPr>
        <w:t>3</w:t>
      </w:r>
      <w:r>
        <w:rPr>
          <w:rFonts w:hint="eastAsia" w:ascii="仿宋" w:hAnsi="仿宋" w:eastAsia="仿宋"/>
          <w:bCs/>
          <w:sz w:val="24"/>
        </w:rPr>
        <w:t>层</w:t>
      </w:r>
      <w:r>
        <w:rPr>
          <w:rFonts w:hint="eastAsia" w:ascii="仿宋" w:hAnsi="仿宋" w:eastAsia="仿宋"/>
          <w:sz w:val="24"/>
          <w:szCs w:val="28"/>
        </w:rPr>
        <w:t>。</w:t>
      </w:r>
    </w:p>
    <w:p>
      <w:pPr>
        <w:pStyle w:val="42"/>
        <w:spacing w:line="420" w:lineRule="exact"/>
        <w:ind w:firstLine="482"/>
        <w:rPr>
          <w:rFonts w:ascii="仿宋" w:hAnsi="仿宋" w:eastAsia="仿宋"/>
          <w:sz w:val="24"/>
        </w:rPr>
      </w:pPr>
      <w:bookmarkStart w:id="13" w:name="PO_默认文件内容_13"/>
      <w:r>
        <w:rPr>
          <w:rFonts w:hint="eastAsia" w:ascii="仿宋" w:hAnsi="仿宋" w:eastAsia="仿宋"/>
          <w:b/>
          <w:sz w:val="24"/>
        </w:rPr>
        <w:t>十、</w:t>
      </w:r>
      <w:r>
        <w:rPr>
          <w:rFonts w:hint="eastAsia" w:ascii="仿宋" w:hAnsi="仿宋" w:eastAsia="仿宋"/>
          <w:sz w:val="24"/>
        </w:rPr>
        <w:t>本投标邀请在四川政府采购网上以公告形式发布。</w:t>
      </w:r>
      <w:bookmarkEnd w:id="13"/>
    </w:p>
    <w:p>
      <w:pPr>
        <w:pStyle w:val="42"/>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2"/>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2"/>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2"/>
        <w:spacing w:line="420" w:lineRule="exact"/>
        <w:ind w:firstLine="480"/>
        <w:rPr>
          <w:rFonts w:ascii="仿宋" w:hAnsi="仿宋" w:eastAsia="仿宋"/>
          <w:sz w:val="24"/>
        </w:rPr>
      </w:pPr>
    </w:p>
    <w:p>
      <w:pPr>
        <w:pStyle w:val="42"/>
        <w:spacing w:line="420" w:lineRule="exact"/>
        <w:ind w:firstLine="482"/>
        <w:rPr>
          <w:rFonts w:ascii="仿宋" w:hAnsi="仿宋" w:eastAsia="仿宋"/>
          <w:b/>
          <w:sz w:val="24"/>
        </w:rPr>
      </w:pPr>
      <w:r>
        <w:rPr>
          <w:rFonts w:hint="eastAsia" w:ascii="仿宋" w:hAnsi="仿宋" w:eastAsia="仿宋"/>
          <w:b/>
          <w:sz w:val="24"/>
        </w:rPr>
        <w:t>十二、联系方式</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采 购 人： 成都市文物考古工作队</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地    址：成都市青羊区十二桥路18号</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联 系 人： 王老师</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联系电话： 028-87777137</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采购代理机构：四川国际招标有限责任公司</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地    址：中国（四川）自由贸易试验区成都市高新区天府四街66号2栋22层1号</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邮    编：610000</w:t>
      </w:r>
    </w:p>
    <w:p>
      <w:pPr>
        <w:pStyle w:val="42"/>
        <w:spacing w:line="420" w:lineRule="exact"/>
        <w:ind w:firstLine="1260" w:firstLineChars="525"/>
        <w:rPr>
          <w:rFonts w:hint="eastAsia" w:ascii="仿宋" w:hAnsi="仿宋" w:eastAsia="仿宋"/>
          <w:bCs/>
          <w:sz w:val="24"/>
          <w:lang w:eastAsia="zh-CN"/>
        </w:rPr>
      </w:pPr>
      <w:r>
        <w:rPr>
          <w:rFonts w:hint="eastAsia" w:ascii="仿宋" w:hAnsi="仿宋" w:eastAsia="仿宋"/>
          <w:bCs/>
          <w:sz w:val="24"/>
        </w:rPr>
        <w:t>联 系 人：</w:t>
      </w:r>
      <w:r>
        <w:rPr>
          <w:rFonts w:hint="eastAsia" w:ascii="仿宋" w:hAnsi="仿宋" w:eastAsia="仿宋"/>
          <w:bCs/>
          <w:sz w:val="24"/>
          <w:lang w:eastAsia="zh-CN"/>
        </w:rPr>
        <w:t>陈先生</w:t>
      </w:r>
    </w:p>
    <w:p>
      <w:pPr>
        <w:pStyle w:val="42"/>
        <w:spacing w:line="420" w:lineRule="exact"/>
        <w:ind w:firstLine="1260" w:firstLineChars="525"/>
        <w:rPr>
          <w:rFonts w:hint="default" w:ascii="仿宋" w:hAnsi="仿宋" w:eastAsia="仿宋"/>
          <w:bCs/>
          <w:sz w:val="24"/>
          <w:lang w:val="en-US" w:eastAsia="zh-CN"/>
        </w:rPr>
      </w:pPr>
      <w:r>
        <w:rPr>
          <w:rFonts w:hint="eastAsia" w:ascii="仿宋" w:hAnsi="仿宋" w:eastAsia="仿宋"/>
          <w:bCs/>
          <w:sz w:val="24"/>
        </w:rPr>
        <w:t>联系电话： 1311188</w:t>
      </w:r>
      <w:r>
        <w:rPr>
          <w:rFonts w:hint="eastAsia" w:ascii="仿宋" w:hAnsi="仿宋" w:eastAsia="仿宋"/>
          <w:bCs/>
          <w:sz w:val="24"/>
          <w:lang w:val="en-US" w:eastAsia="zh-CN"/>
        </w:rPr>
        <w:t>2217</w:t>
      </w:r>
    </w:p>
    <w:p>
      <w:pPr>
        <w:pStyle w:val="42"/>
        <w:spacing w:line="420" w:lineRule="exact"/>
        <w:ind w:firstLine="1260" w:firstLineChars="525"/>
        <w:rPr>
          <w:rFonts w:ascii="仿宋" w:hAnsi="仿宋" w:eastAsia="仿宋"/>
        </w:rPr>
      </w:pPr>
      <w:r>
        <w:rPr>
          <w:rFonts w:hint="eastAsia" w:ascii="仿宋" w:hAnsi="仿宋" w:eastAsia="仿宋"/>
          <w:bCs/>
          <w:sz w:val="24"/>
        </w:rPr>
        <w:t>传    真：028-87793161</w:t>
      </w:r>
    </w:p>
    <w:p>
      <w:pPr>
        <w:pStyle w:val="21"/>
        <w:spacing w:after="50" w:afterAutospacing="0" w:line="420" w:lineRule="exact"/>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14" w:name="_Toc12420"/>
      <w:bookmarkStart w:id="15" w:name="_Toc12497"/>
      <w:bookmarkStart w:id="16" w:name="_Toc213396945"/>
      <w:bookmarkStart w:id="17" w:name="_Toc213396759"/>
      <w:bookmarkStart w:id="18" w:name="_Toc217446031"/>
      <w:bookmarkStart w:id="19" w:name="_Toc213397009"/>
      <w:bookmarkStart w:id="20" w:name="_Toc213496267"/>
    </w:p>
    <w:p>
      <w:pPr>
        <w:pStyle w:val="2"/>
        <w:jc w:val="center"/>
        <w:rPr>
          <w:rFonts w:ascii="仿宋" w:hAnsi="仿宋" w:eastAsia="仿宋"/>
          <w:sz w:val="36"/>
          <w:szCs w:val="36"/>
        </w:rPr>
      </w:pPr>
      <w:r>
        <w:rPr>
          <w:rFonts w:hint="eastAsia" w:ascii="仿宋" w:hAnsi="仿宋" w:eastAsia="仿宋"/>
          <w:sz w:val="36"/>
          <w:szCs w:val="36"/>
        </w:rPr>
        <w:t>第二章  投标人须知</w:t>
      </w:r>
      <w:bookmarkEnd w:id="14"/>
      <w:bookmarkEnd w:id="15"/>
    </w:p>
    <w:p>
      <w:pPr>
        <w:pStyle w:val="3"/>
        <w:spacing w:line="240" w:lineRule="atLeast"/>
        <w:jc w:val="center"/>
        <w:rPr>
          <w:rFonts w:ascii="仿宋" w:hAnsi="仿宋" w:eastAsia="仿宋"/>
        </w:rPr>
      </w:pPr>
      <w:r>
        <w:rPr>
          <w:rFonts w:hint="eastAsia" w:ascii="仿宋" w:hAnsi="仿宋" w:eastAsia="仿宋"/>
        </w:rPr>
        <w:t>一、投标人须知附表</w:t>
      </w:r>
    </w:p>
    <w:bookmarkEnd w:id="16"/>
    <w:bookmarkEnd w:id="17"/>
    <w:bookmarkEnd w:id="18"/>
    <w:bookmarkEnd w:id="19"/>
    <w:bookmarkEnd w:id="20"/>
    <w:tbl>
      <w:tblPr>
        <w:tblStyle w:val="23"/>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1"/>
              <w:ind w:left="9"/>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552" w:type="dxa"/>
            <w:vAlign w:val="center"/>
          </w:tcPr>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111" w:type="dxa"/>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1"/>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1</w:t>
            </w:r>
          </w:p>
        </w:tc>
        <w:tc>
          <w:tcPr>
            <w:tcW w:w="2552" w:type="dxa"/>
            <w:tcBorders>
              <w:bottom w:val="single" w:color="auto" w:sz="4" w:space="0"/>
            </w:tcBorders>
            <w:vAlign w:val="center"/>
          </w:tcPr>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1"/>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bottom w:val="single" w:color="auto" w:sz="4" w:space="0"/>
            </w:tcBorders>
          </w:tcPr>
          <w:p>
            <w:pPr>
              <w:widowControl/>
              <w:rPr>
                <w:rFonts w:ascii="仿宋" w:hAnsi="仿宋" w:eastAsia="仿宋"/>
                <w:kern w:val="0"/>
                <w:szCs w:val="21"/>
              </w:rPr>
            </w:pPr>
            <w:r>
              <w:rPr>
                <w:rFonts w:hint="eastAsia" w:ascii="仿宋" w:hAnsi="仿宋" w:eastAsia="仿宋"/>
                <w:kern w:val="0"/>
                <w:szCs w:val="21"/>
              </w:rPr>
              <w:t>采购预算：497.98万元</w:t>
            </w:r>
          </w:p>
          <w:p>
            <w:pPr>
              <w:pStyle w:val="41"/>
              <w:jc w:val="both"/>
              <w:rPr>
                <w:rFonts w:ascii="仿宋" w:hAnsi="仿宋" w:eastAsia="仿宋" w:cs="Times New Roman"/>
                <w:kern w:val="2"/>
                <w:sz w:val="21"/>
                <w:szCs w:val="21"/>
              </w:rPr>
            </w:pPr>
            <w:r>
              <w:rPr>
                <w:rFonts w:hint="eastAsia" w:ascii="仿宋" w:hAnsi="仿宋" w:eastAsia="仿宋"/>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szCs w:val="21"/>
              </w:rPr>
            </w:pPr>
          </w:p>
        </w:tc>
        <w:tc>
          <w:tcPr>
            <w:tcW w:w="2552" w:type="dxa"/>
            <w:tcBorders>
              <w:top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41"/>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top w:val="single" w:color="auto" w:sz="4" w:space="0"/>
            </w:tcBorders>
          </w:tcPr>
          <w:p>
            <w:pPr>
              <w:widowControl/>
              <w:rPr>
                <w:rFonts w:ascii="仿宋" w:hAnsi="仿宋" w:eastAsia="仿宋"/>
                <w:kern w:val="0"/>
                <w:szCs w:val="21"/>
              </w:rPr>
            </w:pPr>
            <w:r>
              <w:rPr>
                <w:rFonts w:hint="eastAsia" w:ascii="仿宋" w:hAnsi="仿宋" w:eastAsia="仿宋"/>
                <w:kern w:val="0"/>
                <w:szCs w:val="21"/>
              </w:rPr>
              <w:t>最高限价：497.98万元</w:t>
            </w:r>
          </w:p>
          <w:p>
            <w:pPr>
              <w:pStyle w:val="41"/>
              <w:jc w:val="both"/>
              <w:rPr>
                <w:rFonts w:ascii="仿宋" w:hAnsi="仿宋" w:eastAsia="仿宋"/>
                <w:sz w:val="21"/>
                <w:szCs w:val="21"/>
              </w:rPr>
            </w:pPr>
            <w:bookmarkStart w:id="21" w:name="PO_默认文件内容_27"/>
            <w:r>
              <w:rPr>
                <w:rFonts w:hint="eastAsia" w:ascii="仿宋" w:hAnsi="仿宋" w:eastAsia="仿宋"/>
                <w:sz w:val="21"/>
                <w:szCs w:val="21"/>
              </w:rPr>
              <w:t>超过最高限价的报价为无效投标。</w:t>
            </w:r>
          </w:p>
          <w:p>
            <w:pPr>
              <w:widowControl/>
              <w:rPr>
                <w:rFonts w:ascii="仿宋" w:hAnsi="仿宋" w:eastAsia="仿宋"/>
                <w:kern w:val="0"/>
                <w:szCs w:val="21"/>
              </w:rPr>
            </w:pPr>
            <w:r>
              <w:rPr>
                <w:rFonts w:hint="eastAsia" w:ascii="仿宋" w:hAnsi="仿宋" w:eastAsia="仿宋"/>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2</w:t>
            </w:r>
          </w:p>
        </w:tc>
        <w:tc>
          <w:tcPr>
            <w:tcW w:w="2552" w:type="dxa"/>
            <w:vAlign w:val="center"/>
          </w:tcPr>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（实质性要求）</w:t>
            </w:r>
          </w:p>
        </w:tc>
        <w:tc>
          <w:tcPr>
            <w:tcW w:w="6111" w:type="dxa"/>
            <w:vAlign w:val="center"/>
          </w:tcPr>
          <w:p>
            <w:pPr>
              <w:pStyle w:val="41"/>
              <w:jc w:val="both"/>
              <w:rPr>
                <w:rFonts w:ascii="仿宋" w:hAnsi="仿宋" w:eastAsia="仿宋" w:cs="Times New Roman"/>
                <w:kern w:val="2"/>
                <w:sz w:val="21"/>
                <w:szCs w:val="21"/>
              </w:rPr>
            </w:pPr>
            <w:bookmarkStart w:id="22"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52" w:type="dxa"/>
            <w:vAlign w:val="center"/>
          </w:tcPr>
          <w:p>
            <w:pPr>
              <w:pStyle w:val="41"/>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111" w:type="dxa"/>
            <w:vAlign w:val="center"/>
          </w:tcPr>
          <w:p>
            <w:pPr>
              <w:pStyle w:val="41"/>
              <w:ind w:firstLine="210" w:firstLineChars="100"/>
              <w:jc w:val="both"/>
              <w:rPr>
                <w:rFonts w:ascii="仿宋" w:hAnsi="仿宋" w:eastAsia="仿宋"/>
                <w:sz w:val="21"/>
                <w:szCs w:val="21"/>
              </w:rPr>
            </w:pPr>
            <w:bookmarkStart w:id="23"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23"/>
          </w:p>
          <w:p>
            <w:pPr>
              <w:pStyle w:val="41"/>
              <w:ind w:firstLine="210" w:firstLineChars="100"/>
              <w:jc w:val="both"/>
              <w:rPr>
                <w:rFonts w:ascii="仿宋" w:hAnsi="仿宋" w:eastAsia="仿宋"/>
                <w:sz w:val="21"/>
                <w:szCs w:val="21"/>
                <w:lang w:val="zh-CN"/>
              </w:rPr>
            </w:pPr>
            <w:r>
              <w:rPr>
                <w:rFonts w:hint="eastAsia" w:ascii="仿宋" w:hAnsi="仿宋" w:eastAsia="仿宋"/>
                <w:sz w:val="21"/>
                <w:szCs w:val="21"/>
                <w:lang w:val="zh-CN"/>
              </w:rPr>
              <w:t>本项目不允许采购进口产品。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52" w:type="dxa"/>
            <w:vAlign w:val="center"/>
          </w:tcPr>
          <w:p>
            <w:pPr>
              <w:pStyle w:val="41"/>
              <w:spacing w:after="0"/>
              <w:jc w:val="center"/>
              <w:rPr>
                <w:rFonts w:ascii="仿宋" w:hAnsi="仿宋" w:eastAsia="仿宋" w:cs="Times New Roman"/>
                <w:kern w:val="2"/>
                <w:sz w:val="21"/>
                <w:szCs w:val="21"/>
              </w:rPr>
            </w:pPr>
            <w:r>
              <w:rPr>
                <w:rFonts w:hint="eastAsia" w:ascii="仿宋" w:hAnsi="仿宋" w:eastAsia="仿宋" w:cs="Times New Roman"/>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cs="Times New Roman"/>
                <w:kern w:val="2"/>
                <w:sz w:val="21"/>
                <w:szCs w:val="21"/>
              </w:rPr>
              <w:t>）价格扣除</w:t>
            </w:r>
          </w:p>
        </w:tc>
        <w:tc>
          <w:tcPr>
            <w:tcW w:w="6111" w:type="dxa"/>
            <w:vAlign w:val="center"/>
          </w:tcPr>
          <w:p>
            <w:pPr>
              <w:widowControl/>
              <w:spacing w:after="120"/>
              <w:jc w:val="left"/>
              <w:rPr>
                <w:rFonts w:ascii="仿宋" w:hAnsi="仿宋" w:eastAsia="仿宋"/>
                <w:b/>
                <w:kern w:val="0"/>
                <w:szCs w:val="21"/>
              </w:rPr>
            </w:pPr>
            <w:r>
              <w:rPr>
                <w:rFonts w:hint="eastAsia" w:ascii="仿宋" w:hAnsi="仿宋" w:eastAsia="仿宋"/>
                <w:kern w:val="0"/>
                <w:szCs w:val="21"/>
              </w:rPr>
              <w:t>一、小微企业（监狱企业、残疾人福利性单位均视同小微企业）价格扣除</w:t>
            </w:r>
            <w:r>
              <w:rPr>
                <w:rFonts w:hint="eastAsia" w:ascii="仿宋" w:hAnsi="仿宋" w:eastAsia="仿宋"/>
                <w:b/>
                <w:kern w:val="0"/>
                <w:szCs w:val="21"/>
              </w:rPr>
              <w:t>（本项目专门面向中小企业采购，不适用价格扣除）</w:t>
            </w:r>
          </w:p>
          <w:p>
            <w:pPr>
              <w:widowControl/>
              <w:spacing w:after="120"/>
              <w:jc w:val="left"/>
              <w:rPr>
                <w:rFonts w:ascii="仿宋" w:hAnsi="仿宋" w:eastAsia="仿宋"/>
                <w:kern w:val="0"/>
                <w:szCs w:val="21"/>
              </w:rPr>
            </w:pPr>
            <w:r>
              <w:rPr>
                <w:rFonts w:hint="eastAsia" w:ascii="仿宋" w:hAnsi="仿宋" w:eastAsia="仿宋"/>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kern w:val="0"/>
                <w:szCs w:val="21"/>
              </w:rPr>
            </w:pPr>
            <w:r>
              <w:rPr>
                <w:rFonts w:hint="eastAsia" w:ascii="仿宋" w:hAnsi="仿宋" w:eastAsia="仿宋"/>
                <w:kern w:val="0"/>
                <w:szCs w:val="21"/>
              </w:rPr>
              <w:t>2、参加政府采购活动的中小企业提供《中小企业声明函》原件，未提供的，视为放弃享受小微企业价格扣除优惠政策。</w:t>
            </w:r>
          </w:p>
          <w:p>
            <w:pPr>
              <w:widowControl/>
              <w:spacing w:after="120"/>
              <w:jc w:val="left"/>
              <w:rPr>
                <w:rFonts w:ascii="仿宋" w:hAnsi="仿宋" w:eastAsia="仿宋"/>
                <w:kern w:val="0"/>
                <w:szCs w:val="21"/>
              </w:rPr>
            </w:pPr>
            <w:r>
              <w:rPr>
                <w:rFonts w:hint="eastAsia" w:ascii="仿宋" w:hAnsi="仿宋" w:eastAsia="仿宋"/>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kern w:val="0"/>
                <w:szCs w:val="21"/>
              </w:rPr>
            </w:pPr>
            <w:r>
              <w:rPr>
                <w:rFonts w:hint="eastAsia" w:ascii="仿宋" w:hAnsi="仿宋" w:eastAsia="仿宋"/>
                <w:kern w:val="0"/>
                <w:szCs w:val="21"/>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kern w:val="0"/>
                <w:szCs w:val="21"/>
              </w:rPr>
            </w:pPr>
            <w:r>
              <w:rPr>
                <w:rFonts w:hint="eastAsia" w:ascii="仿宋" w:hAnsi="仿宋" w:eastAsia="仿宋"/>
                <w:kern w:val="0"/>
                <w:szCs w:val="21"/>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kern w:val="0"/>
                <w:szCs w:val="21"/>
              </w:rPr>
            </w:pPr>
            <w:r>
              <w:rPr>
                <w:rFonts w:hint="eastAsia" w:ascii="仿宋" w:hAnsi="仿宋" w:eastAsia="仿宋"/>
                <w:kern w:val="0"/>
                <w:szCs w:val="21"/>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kern w:val="0"/>
                <w:szCs w:val="21"/>
              </w:rPr>
            </w:pPr>
            <w:r>
              <w:rPr>
                <w:rFonts w:ascii="仿宋" w:hAnsi="仿宋" w:eastAsia="仿宋"/>
                <w:kern w:val="0"/>
                <w:szCs w:val="21"/>
              </w:rPr>
              <w:t>6</w:t>
            </w:r>
            <w:r>
              <w:rPr>
                <w:rFonts w:hint="eastAsia" w:ascii="仿宋" w:hAnsi="仿宋" w:eastAsia="仿宋"/>
                <w:kern w:val="0"/>
                <w:szCs w:val="21"/>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before="72" w:after="72"/>
              <w:ind w:right="264"/>
              <w:jc w:val="center"/>
              <w:rPr>
                <w:rFonts w:ascii="仿宋" w:hAnsi="仿宋" w:eastAsia="仿宋" w:cs="Courier New"/>
                <w:sz w:val="21"/>
                <w:szCs w:val="21"/>
                <w:lang w:val="zh-CN"/>
              </w:rPr>
            </w:pPr>
            <w:r>
              <w:rPr>
                <w:rFonts w:ascii="仿宋" w:hAnsi="仿宋" w:eastAsia="仿宋" w:cs="Times New Roman"/>
                <w:kern w:val="2"/>
                <w:sz w:val="21"/>
                <w:szCs w:val="21"/>
              </w:rPr>
              <w:t>5</w:t>
            </w:r>
          </w:p>
        </w:tc>
        <w:tc>
          <w:tcPr>
            <w:tcW w:w="2552" w:type="dxa"/>
            <w:vAlign w:val="center"/>
          </w:tcPr>
          <w:p>
            <w:pPr>
              <w:spacing w:line="340" w:lineRule="exact"/>
              <w:ind w:left="105" w:leftChars="50" w:right="105" w:rightChars="50"/>
              <w:jc w:val="center"/>
              <w:rPr>
                <w:rFonts w:ascii="仿宋" w:hAnsi="仿宋" w:eastAsia="仿宋"/>
                <w:kern w:val="0"/>
                <w:szCs w:val="21"/>
              </w:rPr>
            </w:pPr>
            <w:r>
              <w:rPr>
                <w:rFonts w:hint="eastAsia" w:ascii="仿宋" w:hAnsi="仿宋" w:eastAsia="仿宋"/>
                <w:kern w:val="0"/>
                <w:szCs w:val="21"/>
              </w:rPr>
              <w:t>节能、环保及无线局域网产品政府采购政策</w:t>
            </w:r>
          </w:p>
        </w:tc>
        <w:tc>
          <w:tcPr>
            <w:tcW w:w="6111" w:type="dxa"/>
            <w:vAlign w:val="center"/>
          </w:tcPr>
          <w:p>
            <w:pPr>
              <w:spacing w:after="0" w:line="340" w:lineRule="exact"/>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本项目采购的产品属于品目清单强制采购范围的，供应商应按上述要求提供产品认证证书复印件并加盖供应商单位公章（鲜章），否则投标无效。</w:t>
            </w:r>
            <w:r>
              <w:rPr>
                <w:rFonts w:hint="eastAsia" w:ascii="仿宋" w:hAnsi="仿宋" w:eastAsia="仿宋"/>
                <w:b/>
                <w:szCs w:val="21"/>
              </w:rPr>
              <w:t>（实质性要求）</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本项目采购的产品属于品目清单优先采购范围的，按照第七章《综合评分明细表》的规则进行加分。</w:t>
            </w:r>
          </w:p>
          <w:p>
            <w:pPr>
              <w:spacing w:after="0" w:line="340" w:lineRule="exact"/>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30"/>
              <w:jc w:val="center"/>
              <w:rPr>
                <w:rFonts w:ascii="仿宋" w:hAnsi="仿宋" w:eastAsia="仿宋" w:cs="Times New Roman"/>
                <w:kern w:val="2"/>
                <w:sz w:val="21"/>
                <w:szCs w:val="21"/>
              </w:rPr>
            </w:pPr>
            <w:r>
              <w:rPr>
                <w:rFonts w:ascii="仿宋" w:hAnsi="仿宋" w:eastAsia="仿宋" w:cs="Times New Roman"/>
                <w:kern w:val="2"/>
                <w:sz w:val="21"/>
                <w:szCs w:val="21"/>
              </w:rPr>
              <w:t>6</w:t>
            </w:r>
          </w:p>
        </w:tc>
        <w:tc>
          <w:tcPr>
            <w:tcW w:w="2552" w:type="dxa"/>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111" w:type="dxa"/>
            <w:vAlign w:val="center"/>
          </w:tcPr>
          <w:p>
            <w:pPr>
              <w:widowControl/>
              <w:jc w:val="left"/>
              <w:rPr>
                <w:rFonts w:ascii="仿宋" w:hAnsi="仿宋" w:eastAsia="仿宋"/>
                <w:szCs w:val="21"/>
              </w:rPr>
            </w:pPr>
            <w:bookmarkStart w:id="24" w:name="PO_默认文件内容_6"/>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30"/>
              <w:jc w:val="center"/>
              <w:rPr>
                <w:rFonts w:ascii="仿宋" w:hAnsi="仿宋" w:eastAsia="仿宋" w:cs="Times New Roman"/>
                <w:kern w:val="2"/>
                <w:sz w:val="21"/>
                <w:szCs w:val="21"/>
              </w:rPr>
            </w:pPr>
            <w:r>
              <w:rPr>
                <w:rFonts w:ascii="仿宋" w:hAnsi="仿宋" w:eastAsia="仿宋" w:cs="Times New Roman"/>
                <w:kern w:val="2"/>
                <w:sz w:val="21"/>
                <w:szCs w:val="21"/>
              </w:rPr>
              <w:t>7</w:t>
            </w:r>
          </w:p>
        </w:tc>
        <w:tc>
          <w:tcPr>
            <w:tcW w:w="2552" w:type="dxa"/>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111" w:type="dxa"/>
            <w:vAlign w:val="center"/>
          </w:tcPr>
          <w:p>
            <w:pPr>
              <w:pStyle w:val="41"/>
              <w:spacing w:after="120" w:afterLines="50"/>
              <w:jc w:val="both"/>
              <w:rPr>
                <w:rFonts w:ascii="仿宋" w:hAnsi="仿宋" w:eastAsia="仿宋"/>
                <w:b/>
                <w:sz w:val="21"/>
                <w:szCs w:val="21"/>
                <w:lang w:val="zh-CN"/>
              </w:rPr>
            </w:pPr>
            <w:r>
              <w:rPr>
                <w:rFonts w:hint="eastAsia" w:ascii="仿宋" w:hAnsi="仿宋" w:eastAsia="仿宋"/>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64"/>
              <w:jc w:val="center"/>
              <w:rPr>
                <w:rFonts w:ascii="仿宋" w:hAnsi="仿宋" w:eastAsia="仿宋" w:cs="Times New Roman"/>
                <w:kern w:val="2"/>
                <w:sz w:val="21"/>
                <w:szCs w:val="21"/>
              </w:rPr>
            </w:pPr>
            <w:r>
              <w:rPr>
                <w:rFonts w:ascii="仿宋" w:hAnsi="仿宋" w:eastAsia="仿宋" w:cs="Times New Roman"/>
                <w:kern w:val="2"/>
                <w:sz w:val="21"/>
                <w:szCs w:val="21"/>
              </w:rPr>
              <w:t>8</w:t>
            </w:r>
          </w:p>
        </w:tc>
        <w:tc>
          <w:tcPr>
            <w:tcW w:w="2552" w:type="dxa"/>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111" w:type="dxa"/>
            <w:vAlign w:val="center"/>
          </w:tcPr>
          <w:p>
            <w:pPr>
              <w:pStyle w:val="41"/>
              <w:rPr>
                <w:rFonts w:ascii="仿宋" w:hAnsi="仿宋" w:eastAsia="仿宋"/>
                <w:sz w:val="21"/>
                <w:szCs w:val="21"/>
                <w:lang w:val="zh-CN"/>
              </w:rPr>
            </w:pPr>
            <w:r>
              <w:rPr>
                <w:rFonts w:hint="eastAsia" w:ascii="仿宋" w:hAnsi="仿宋" w:eastAsia="仿宋"/>
                <w:sz w:val="21"/>
                <w:szCs w:val="21"/>
                <w:lang w:val="zh-CN"/>
              </w:rPr>
              <w:t>金    额：合同金额的5%</w:t>
            </w:r>
          </w:p>
          <w:p>
            <w:pPr>
              <w:pStyle w:val="41"/>
              <w:rPr>
                <w:rFonts w:ascii="仿宋" w:hAnsi="仿宋" w:eastAsia="仿宋"/>
                <w:sz w:val="21"/>
                <w:szCs w:val="21"/>
                <w:lang w:val="zh-CN"/>
              </w:rPr>
            </w:pPr>
            <w:r>
              <w:rPr>
                <w:rFonts w:hint="eastAsia" w:ascii="仿宋" w:hAnsi="仿宋" w:eastAsia="仿宋"/>
                <w:sz w:val="21"/>
                <w:szCs w:val="21"/>
                <w:lang w:val="zh-CN"/>
              </w:rPr>
              <w:t>交款方式：履约保证金可以以支票、汇票、本票或者金融机构出具的保函等非现金形式提交（包括网银转账，电汇等方式）。</w:t>
            </w:r>
          </w:p>
          <w:p>
            <w:pPr>
              <w:pStyle w:val="41"/>
              <w:rPr>
                <w:rFonts w:ascii="仿宋" w:hAnsi="仿宋" w:eastAsia="仿宋"/>
                <w:sz w:val="21"/>
                <w:szCs w:val="21"/>
                <w:lang w:val="zh-CN"/>
              </w:rPr>
            </w:pPr>
            <w:r>
              <w:rPr>
                <w:rFonts w:hint="eastAsia" w:ascii="仿宋" w:hAnsi="仿宋" w:eastAsia="仿宋"/>
                <w:sz w:val="21"/>
                <w:szCs w:val="21"/>
                <w:lang w:val="zh-CN"/>
              </w:rPr>
              <w:t>收款账户信息中标后由采购人提供</w:t>
            </w:r>
          </w:p>
          <w:p>
            <w:pPr>
              <w:pStyle w:val="41"/>
              <w:rPr>
                <w:rFonts w:ascii="仿宋" w:hAnsi="仿宋" w:eastAsia="仿宋"/>
                <w:sz w:val="21"/>
                <w:szCs w:val="21"/>
                <w:lang w:val="zh-CN"/>
              </w:rPr>
            </w:pPr>
            <w:r>
              <w:rPr>
                <w:rFonts w:hint="eastAsia" w:ascii="仿宋" w:hAnsi="仿宋" w:eastAsia="仿宋"/>
                <w:sz w:val="21"/>
                <w:szCs w:val="21"/>
                <w:lang w:val="zh-CN"/>
              </w:rPr>
              <w:t>交款时间：中标、成交通知书发放后，政府采购合同签订前。</w:t>
            </w:r>
          </w:p>
          <w:p>
            <w:pPr>
              <w:pStyle w:val="41"/>
              <w:rPr>
                <w:rFonts w:ascii="仿宋" w:hAnsi="仿宋" w:eastAsia="仿宋"/>
                <w:sz w:val="21"/>
                <w:szCs w:val="21"/>
                <w:lang w:val="zh-CN"/>
              </w:rPr>
            </w:pPr>
            <w:r>
              <w:rPr>
                <w:rFonts w:hint="eastAsia" w:ascii="仿宋" w:hAnsi="仿宋" w:eastAsia="仿宋"/>
                <w:sz w:val="21"/>
                <w:szCs w:val="21"/>
                <w:lang w:val="zh-CN"/>
              </w:rPr>
              <w:t>履约保证金退还方式：中标人向采购人提出书面申请，经过采购人确认中标人完全按照原合同要求的售后服务相关要求完成服务后，采购人通过银行转账向中标人无息退还。</w:t>
            </w:r>
          </w:p>
          <w:p>
            <w:pPr>
              <w:pStyle w:val="41"/>
              <w:rPr>
                <w:rFonts w:ascii="仿宋" w:hAnsi="仿宋" w:eastAsia="仿宋"/>
                <w:sz w:val="21"/>
                <w:szCs w:val="21"/>
                <w:lang w:val="zh-CN"/>
              </w:rPr>
            </w:pPr>
            <w:r>
              <w:rPr>
                <w:rFonts w:hint="eastAsia" w:ascii="仿宋" w:hAnsi="仿宋" w:eastAsia="仿宋"/>
                <w:sz w:val="21"/>
                <w:szCs w:val="21"/>
                <w:lang w:val="zh-CN"/>
              </w:rPr>
              <w:t>履约保证金退还时间：在货物验收合格满后，采购人接到中标人通知和支付凭证资料文件，以及由采购人确认合同货物质量与服务等约定事项已经履行完毕的正式书面文件后。</w:t>
            </w:r>
          </w:p>
          <w:p>
            <w:pPr>
              <w:pStyle w:val="41"/>
              <w:rPr>
                <w:rFonts w:ascii="仿宋" w:hAnsi="仿宋" w:eastAsia="仿宋"/>
                <w:sz w:val="21"/>
                <w:szCs w:val="21"/>
                <w:lang w:val="zh-CN"/>
              </w:rPr>
            </w:pPr>
            <w:r>
              <w:rPr>
                <w:rFonts w:hint="eastAsia" w:ascii="仿宋" w:hAnsi="仿宋" w:eastAsia="仿宋"/>
                <w:sz w:val="21"/>
                <w:szCs w:val="21"/>
                <w:lang w:val="zh-CN"/>
              </w:rPr>
              <w:t>履约保证金不予退还情形：详见招标文件。</w:t>
            </w:r>
          </w:p>
          <w:p>
            <w:pPr>
              <w:pStyle w:val="41"/>
              <w:rPr>
                <w:rFonts w:ascii="仿宋" w:hAnsi="仿宋" w:eastAsia="仿宋"/>
                <w:sz w:val="21"/>
                <w:szCs w:val="21"/>
                <w:lang w:val="zh-CN"/>
              </w:rPr>
            </w:pPr>
            <w:r>
              <w:rPr>
                <w:rFonts w:hint="eastAsia" w:ascii="仿宋" w:hAnsi="仿宋" w:eastAsia="仿宋"/>
                <w:sz w:val="21"/>
                <w:szCs w:val="21"/>
                <w:lang w:val="zh-CN"/>
              </w:rPr>
              <w:t>履约保证金不予退还的，将按照有关规定上缴国库。逾期退还履约保证金的，将依法承担法律责任，并赔偿供应商损失。</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2552" w:type="dxa"/>
            <w:vAlign w:val="center"/>
          </w:tcPr>
          <w:p>
            <w:pPr>
              <w:ind w:firstLine="105" w:firstLineChars="50"/>
              <w:jc w:val="center"/>
              <w:rPr>
                <w:rFonts w:ascii="仿宋" w:hAnsi="仿宋" w:eastAsia="仿宋"/>
                <w:szCs w:val="21"/>
              </w:rPr>
            </w:pPr>
            <w:r>
              <w:rPr>
                <w:rFonts w:hint="eastAsia" w:ascii="仿宋" w:hAnsi="仿宋" w:eastAsia="仿宋"/>
                <w:szCs w:val="21"/>
              </w:rPr>
              <w:t>合同分包</w:t>
            </w:r>
          </w:p>
          <w:p>
            <w:pPr>
              <w:ind w:firstLine="105" w:firstLineChars="50"/>
              <w:jc w:val="center"/>
              <w:rPr>
                <w:rFonts w:ascii="仿宋" w:hAnsi="仿宋" w:eastAsia="仿宋"/>
                <w:szCs w:val="21"/>
              </w:rPr>
            </w:pPr>
            <w:r>
              <w:rPr>
                <w:rFonts w:hint="eastAsia" w:ascii="仿宋" w:hAnsi="仿宋" w:eastAsia="仿宋"/>
                <w:szCs w:val="21"/>
              </w:rPr>
              <w:t>（实质性要求）</w:t>
            </w:r>
          </w:p>
        </w:tc>
        <w:tc>
          <w:tcPr>
            <w:tcW w:w="6111" w:type="dxa"/>
            <w:vAlign w:val="center"/>
          </w:tcPr>
          <w:p>
            <w:pPr>
              <w:pStyle w:val="41"/>
              <w:spacing w:line="360" w:lineRule="auto"/>
              <w:ind w:firstLine="240" w:firstLineChars="100"/>
              <w:jc w:val="both"/>
              <w:rPr>
                <w:rFonts w:ascii="仿宋" w:hAnsi="仿宋" w:eastAsia="仿宋" w:cs="Times New Roman"/>
                <w:kern w:val="2"/>
                <w:sz w:val="21"/>
                <w:szCs w:val="21"/>
              </w:rPr>
            </w:pPr>
            <w:r>
              <w:rPr>
                <w:rFonts w:ascii="Segoe UI Symbol" w:hAnsi="Segoe UI Symbol" w:eastAsia="仿宋" w:cs="Segoe UI Symbol"/>
                <w:kern w:val="2"/>
              </w:rPr>
              <w:t>☑</w:t>
            </w:r>
            <w:r>
              <w:rPr>
                <w:rFonts w:hint="eastAsia" w:ascii="仿宋" w:hAnsi="仿宋" w:eastAsia="仿宋" w:cs="Times New Roman"/>
                <w:b/>
                <w:kern w:val="2"/>
                <w:sz w:val="21"/>
                <w:szCs w:val="21"/>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2552" w:type="dxa"/>
            <w:tcBorders>
              <w:top w:val="single" w:color="auto" w:sz="4" w:space="0"/>
              <w:bottom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 xml:space="preserve">联系人：张女士。 </w:t>
            </w:r>
          </w:p>
          <w:p>
            <w:pPr>
              <w:spacing w:line="340" w:lineRule="exact"/>
              <w:ind w:right="105" w:rightChars="50"/>
              <w:jc w:val="left"/>
              <w:rPr>
                <w:rFonts w:ascii="仿宋" w:hAnsi="仿宋" w:eastAsia="仿宋"/>
                <w:szCs w:val="21"/>
              </w:rPr>
            </w:pPr>
            <w:r>
              <w:rPr>
                <w:rFonts w:hint="eastAsia" w:ascii="仿宋" w:hAnsi="仿宋" w:eastAsia="仿宋"/>
                <w:szCs w:val="21"/>
              </w:rPr>
              <w:t>联系电话：13111882129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1"/>
              <w:spacing w:before="72" w:after="7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2552" w:type="dxa"/>
            <w:tcBorders>
              <w:top w:val="single" w:color="auto" w:sz="4" w:space="0"/>
              <w:bottom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hint="eastAsia" w:ascii="仿宋" w:hAnsi="仿宋" w:eastAsia="仿宋"/>
                <w:szCs w:val="21"/>
              </w:rPr>
            </w:pPr>
            <w:r>
              <w:rPr>
                <w:rFonts w:hint="eastAsia" w:ascii="仿宋" w:hAnsi="仿宋" w:eastAsia="仿宋"/>
                <w:szCs w:val="21"/>
              </w:rPr>
              <w:t>联 系 人：陈先生</w:t>
            </w:r>
          </w:p>
          <w:p>
            <w:pPr>
              <w:spacing w:line="340" w:lineRule="exact"/>
              <w:ind w:right="105" w:rightChars="50"/>
              <w:jc w:val="left"/>
              <w:rPr>
                <w:rFonts w:ascii="仿宋" w:hAnsi="仿宋" w:eastAsia="仿宋"/>
                <w:szCs w:val="21"/>
              </w:rPr>
            </w:pPr>
            <w:r>
              <w:rPr>
                <w:rFonts w:hint="eastAsia" w:ascii="仿宋" w:hAnsi="仿宋" w:eastAsia="仿宋"/>
                <w:szCs w:val="21"/>
              </w:rPr>
              <w:t>联系电话： 13111882217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szCs w:val="21"/>
              </w:rPr>
              <w:t>中标通知书领取</w:t>
            </w:r>
          </w:p>
        </w:tc>
        <w:tc>
          <w:tcPr>
            <w:tcW w:w="6111" w:type="dxa"/>
            <w:tcBorders>
              <w:top w:val="single" w:color="auto" w:sz="4" w:space="0"/>
            </w:tcBorders>
            <w:vAlign w:val="center"/>
          </w:tcPr>
          <w:p>
            <w:pPr>
              <w:tabs>
                <w:tab w:val="left" w:pos="7665"/>
              </w:tabs>
              <w:spacing w:line="400" w:lineRule="exact"/>
              <w:rPr>
                <w:rFonts w:ascii="仿宋" w:hAnsi="仿宋" w:eastAsia="仿宋"/>
                <w:szCs w:val="21"/>
              </w:rPr>
            </w:pPr>
            <w:r>
              <w:rPr>
                <w:rFonts w:hint="eastAsia" w:ascii="仿宋" w:hAnsi="仿宋" w:eastAsia="仿宋"/>
                <w:szCs w:val="21"/>
              </w:rPr>
              <w:t>中标公告在四川政府采购网上公告后，请登录我司网站http://sale.scbid.net/ 办理代理服务费缴纳及中标通知书领取的事宜。</w:t>
            </w:r>
          </w:p>
          <w:p>
            <w:pPr>
              <w:tabs>
                <w:tab w:val="left" w:pos="7665"/>
              </w:tabs>
              <w:spacing w:line="400" w:lineRule="exact"/>
              <w:rPr>
                <w:rFonts w:ascii="仿宋" w:hAnsi="仿宋" w:eastAsia="仿宋"/>
                <w:szCs w:val="21"/>
              </w:rPr>
            </w:pPr>
            <w:r>
              <w:rPr>
                <w:rFonts w:hint="eastAsia" w:ascii="仿宋" w:hAnsi="仿宋" w:eastAsia="仿宋"/>
                <w:szCs w:val="21"/>
              </w:rPr>
              <w:t>中标通知书领取：财务部 028-87797107转1</w:t>
            </w:r>
          </w:p>
          <w:p>
            <w:pPr>
              <w:rPr>
                <w:rFonts w:ascii="仿宋" w:hAnsi="仿宋" w:eastAsia="仿宋"/>
                <w:szCs w:val="21"/>
                <w:lang w:val="zh-CN"/>
              </w:rPr>
            </w:pPr>
            <w:r>
              <w:rPr>
                <w:rFonts w:hint="eastAsia" w:ascii="仿宋" w:hAnsi="仿宋" w:eastAsia="仿宋"/>
                <w:szCs w:val="21"/>
              </w:rPr>
              <w:t>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13</w:t>
            </w:r>
          </w:p>
        </w:tc>
        <w:tc>
          <w:tcPr>
            <w:tcW w:w="2552" w:type="dxa"/>
            <w:tcBorders>
              <w:top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111" w:type="dxa"/>
            <w:tcBorders>
              <w:top w:val="single" w:color="auto" w:sz="4" w:space="0"/>
            </w:tcBorders>
          </w:tcPr>
          <w:p>
            <w:pPr>
              <w:ind w:firstLine="105" w:firstLineChars="50"/>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ind w:firstLine="105" w:firstLineChars="50"/>
              <w:rPr>
                <w:rFonts w:ascii="仿宋" w:hAnsi="仿宋" w:eastAsia="仿宋"/>
                <w:szCs w:val="21"/>
                <w:lang w:val="zh-CN"/>
              </w:rPr>
            </w:pPr>
            <w:r>
              <w:rPr>
                <w:rFonts w:hint="eastAsia" w:ascii="仿宋" w:hAnsi="仿宋" w:eastAsia="仿宋"/>
                <w:szCs w:val="21"/>
                <w:lang w:val="zh-CN"/>
              </w:rPr>
              <w:t>项目问题询问：</w:t>
            </w:r>
          </w:p>
          <w:p>
            <w:pPr>
              <w:ind w:firstLine="105" w:firstLineChars="50"/>
              <w:rPr>
                <w:rFonts w:ascii="仿宋" w:hAnsi="仿宋" w:eastAsia="仿宋"/>
                <w:szCs w:val="21"/>
                <w:lang w:val="zh-CN"/>
              </w:rPr>
            </w:pPr>
            <w:r>
              <w:rPr>
                <w:rFonts w:hint="eastAsia" w:ascii="仿宋" w:hAnsi="仿宋" w:eastAsia="仿宋"/>
                <w:szCs w:val="21"/>
                <w:lang w:val="zh-CN"/>
              </w:rPr>
              <w:t xml:space="preserve">联系人：张女士。 </w:t>
            </w:r>
          </w:p>
          <w:p>
            <w:pPr>
              <w:ind w:firstLine="105" w:firstLineChars="50"/>
              <w:rPr>
                <w:rFonts w:ascii="仿宋" w:hAnsi="仿宋" w:eastAsia="仿宋"/>
                <w:szCs w:val="21"/>
                <w:lang w:val="zh-CN"/>
              </w:rPr>
            </w:pPr>
            <w:r>
              <w:rPr>
                <w:rFonts w:hint="eastAsia" w:ascii="仿宋" w:hAnsi="仿宋" w:eastAsia="仿宋"/>
                <w:szCs w:val="21"/>
                <w:lang w:val="zh-CN"/>
              </w:rPr>
              <w:t>联系电话：13111882129</w:t>
            </w:r>
          </w:p>
          <w:p>
            <w:pPr>
              <w:ind w:firstLine="105" w:firstLineChars="50"/>
              <w:rPr>
                <w:rFonts w:ascii="仿宋" w:hAnsi="仿宋" w:eastAsia="仿宋"/>
                <w:szCs w:val="21"/>
                <w:lang w:val="zh-CN"/>
              </w:rPr>
            </w:pPr>
            <w:r>
              <w:rPr>
                <w:rFonts w:hint="eastAsia" w:ascii="仿宋" w:hAnsi="仿宋" w:eastAsia="仿宋"/>
                <w:szCs w:val="21"/>
                <w:lang w:val="zh-CN"/>
              </w:rPr>
              <w:t>标书领取系统注册及网上报名询问：企业发展部 028-87793117</w:t>
            </w:r>
          </w:p>
          <w:p>
            <w:pPr>
              <w:ind w:firstLine="105" w:firstLineChars="50"/>
              <w:rPr>
                <w:rFonts w:ascii="仿宋" w:hAnsi="仿宋" w:eastAsia="仿宋"/>
                <w:szCs w:val="21"/>
                <w:lang w:val="zh-CN"/>
              </w:rPr>
            </w:pPr>
            <w:r>
              <w:rPr>
                <w:rFonts w:hint="eastAsia" w:ascii="仿宋" w:hAnsi="仿宋" w:eastAsia="仿宋"/>
                <w:szCs w:val="21"/>
                <w:lang w:val="zh-CN"/>
              </w:rPr>
              <w:t>标书领取系统技术问题询问：信息管理部 028-87797107转734</w:t>
            </w:r>
          </w:p>
          <w:p>
            <w:pPr>
              <w:ind w:firstLine="105" w:firstLineChars="50"/>
              <w:rPr>
                <w:rFonts w:ascii="仿宋" w:hAnsi="仿宋" w:eastAsia="仿宋"/>
                <w:szCs w:val="21"/>
                <w:lang w:val="zh-CN"/>
              </w:rPr>
            </w:pPr>
            <w:r>
              <w:rPr>
                <w:rFonts w:hint="eastAsia" w:ascii="仿宋" w:hAnsi="仿宋" w:eastAsia="仿宋"/>
                <w:szCs w:val="21"/>
                <w:lang w:val="zh-CN"/>
              </w:rPr>
              <w:t>服务质量投诉：企业发展部 028-87793117</w:t>
            </w:r>
          </w:p>
          <w:p>
            <w:pPr>
              <w:rPr>
                <w:rFonts w:ascii="仿宋" w:hAnsi="仿宋" w:eastAsia="仿宋"/>
                <w:szCs w:val="21"/>
              </w:rPr>
            </w:pPr>
            <w:r>
              <w:rPr>
                <w:rFonts w:hint="eastAsia" w:ascii="仿宋" w:hAnsi="仿宋" w:eastAsia="仿宋"/>
                <w:szCs w:val="21"/>
                <w:lang w:val="zh-CN"/>
              </w:rPr>
              <w:t>联系地址：中国（四川）自由贸易试验区成都市高新区天府四街66号2栋22层1号。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14</w:t>
            </w:r>
          </w:p>
        </w:tc>
        <w:tc>
          <w:tcPr>
            <w:tcW w:w="2552" w:type="dxa"/>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111" w:type="dxa"/>
            <w:vAlign w:val="center"/>
          </w:tcPr>
          <w:p>
            <w:pPr>
              <w:spacing w:line="340" w:lineRule="exact"/>
              <w:ind w:right="105" w:rightChars="50"/>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340" w:lineRule="exact"/>
              <w:ind w:right="105" w:rightChars="50"/>
              <w:jc w:val="left"/>
              <w:rPr>
                <w:rFonts w:ascii="仿宋" w:hAnsi="仿宋" w:eastAsia="仿宋"/>
                <w:szCs w:val="21"/>
              </w:rPr>
            </w:pPr>
            <w:r>
              <w:rPr>
                <w:rFonts w:hint="eastAsia" w:ascii="仿宋" w:hAnsi="仿宋" w:eastAsia="仿宋"/>
                <w:szCs w:val="21"/>
              </w:rPr>
              <w:t>联系方式：质量技术部 028-87797776转820/725。</w:t>
            </w:r>
          </w:p>
          <w:p>
            <w:pPr>
              <w:spacing w:line="340" w:lineRule="exact"/>
              <w:ind w:right="105" w:rightChars="50"/>
              <w:jc w:val="left"/>
              <w:rPr>
                <w:rFonts w:ascii="仿宋" w:hAnsi="仿宋" w:eastAsia="仿宋"/>
                <w:szCs w:val="21"/>
              </w:rPr>
            </w:pPr>
            <w:r>
              <w:rPr>
                <w:rFonts w:hint="eastAsia" w:ascii="仿宋" w:hAnsi="仿宋" w:eastAsia="仿宋"/>
                <w:szCs w:val="21"/>
              </w:rPr>
              <w:t>地址：中国（四川）自由贸易试验区成都市高新区天府四街66号1栋17层。</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315" w:firstLineChars="150"/>
              <w:rPr>
                <w:rFonts w:ascii="仿宋" w:hAnsi="仿宋" w:eastAsia="仿宋"/>
                <w:szCs w:val="21"/>
              </w:rPr>
            </w:pPr>
          </w:p>
          <w:p>
            <w:pPr>
              <w:ind w:firstLine="105" w:firstLineChars="50"/>
              <w:rPr>
                <w:rFonts w:ascii="仿宋" w:hAnsi="仿宋" w:eastAsia="仿宋"/>
                <w:szCs w:val="21"/>
              </w:rPr>
            </w:pPr>
            <w:r>
              <w:rPr>
                <w:rFonts w:hint="eastAsia" w:ascii="仿宋" w:hAnsi="仿宋" w:eastAsia="仿宋"/>
                <w:szCs w:val="21"/>
              </w:rPr>
              <w:t>15</w:t>
            </w:r>
          </w:p>
        </w:tc>
        <w:tc>
          <w:tcPr>
            <w:tcW w:w="2552" w:type="dxa"/>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111" w:type="dxa"/>
          </w:tcPr>
          <w:p>
            <w:pPr>
              <w:spacing w:line="340" w:lineRule="exact"/>
              <w:ind w:right="105" w:rightChars="50"/>
              <w:rPr>
                <w:rFonts w:ascii="仿宋" w:hAnsi="仿宋" w:eastAsia="仿宋"/>
                <w:szCs w:val="21"/>
              </w:rPr>
            </w:pPr>
            <w:r>
              <w:rPr>
                <w:rFonts w:hint="eastAsia" w:ascii="仿宋" w:hAnsi="仿宋" w:eastAsia="仿宋"/>
                <w:szCs w:val="21"/>
              </w:rPr>
              <w:t>投诉受理单位：本采购项目同级财政部门，即成都市财政局。</w:t>
            </w:r>
          </w:p>
          <w:p>
            <w:pPr>
              <w:spacing w:line="340" w:lineRule="exact"/>
              <w:ind w:right="105" w:rightChars="50"/>
              <w:rPr>
                <w:rFonts w:ascii="仿宋" w:hAnsi="仿宋" w:eastAsia="仿宋"/>
                <w:szCs w:val="21"/>
              </w:rPr>
            </w:pPr>
            <w:r>
              <w:rPr>
                <w:rFonts w:hint="eastAsia" w:ascii="仿宋" w:hAnsi="仿宋" w:eastAsia="仿宋"/>
                <w:szCs w:val="21"/>
              </w:rPr>
              <w:t>联系电话：028-61882648。</w:t>
            </w:r>
          </w:p>
          <w:p>
            <w:pPr>
              <w:spacing w:line="340" w:lineRule="exact"/>
              <w:ind w:right="105" w:rightChars="50"/>
              <w:rPr>
                <w:rFonts w:ascii="仿宋" w:hAnsi="仿宋" w:eastAsia="仿宋"/>
                <w:szCs w:val="21"/>
              </w:rPr>
            </w:pPr>
            <w:r>
              <w:rPr>
                <w:rFonts w:hint="eastAsia" w:ascii="仿宋" w:hAnsi="仿宋" w:eastAsia="仿宋"/>
                <w:szCs w:val="21"/>
              </w:rPr>
              <w:t>地址：成都市锦城大道366号。</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16</w:t>
            </w:r>
          </w:p>
        </w:tc>
        <w:tc>
          <w:tcPr>
            <w:tcW w:w="2552" w:type="dxa"/>
            <w:tcBorders>
              <w:right w:val="single" w:color="auto" w:sz="4" w:space="0"/>
            </w:tcBorders>
          </w:tcPr>
          <w:p>
            <w:pPr>
              <w:ind w:firstLine="105" w:firstLineChars="50"/>
              <w:jc w:val="center"/>
              <w:rPr>
                <w:rFonts w:ascii="仿宋" w:hAnsi="仿宋" w:eastAsia="仿宋"/>
                <w:szCs w:val="21"/>
              </w:rPr>
            </w:pPr>
            <w:r>
              <w:rPr>
                <w:rFonts w:hint="eastAsia" w:ascii="仿宋" w:hAnsi="仿宋" w:eastAsia="仿宋"/>
                <w:szCs w:val="21"/>
              </w:rPr>
              <w:t>政府采购合同</w:t>
            </w:r>
          </w:p>
          <w:p>
            <w:pPr>
              <w:ind w:firstLine="105" w:firstLineChars="50"/>
              <w:jc w:val="center"/>
              <w:rPr>
                <w:rFonts w:ascii="仿宋" w:hAnsi="仿宋" w:eastAsia="仿宋"/>
                <w:szCs w:val="21"/>
              </w:rPr>
            </w:pPr>
            <w:r>
              <w:rPr>
                <w:rFonts w:hint="eastAsia" w:ascii="仿宋" w:hAnsi="仿宋" w:eastAsia="仿宋"/>
                <w:szCs w:val="21"/>
              </w:rPr>
              <w:t>公告备案</w:t>
            </w:r>
          </w:p>
        </w:tc>
        <w:tc>
          <w:tcPr>
            <w:tcW w:w="6111" w:type="dxa"/>
            <w:tcBorders>
              <w:left w:val="single" w:color="auto" w:sz="4" w:space="0"/>
            </w:tcBorders>
          </w:tcPr>
          <w:p>
            <w:pPr>
              <w:rPr>
                <w:rFonts w:ascii="仿宋" w:hAnsi="仿宋" w:eastAsia="仿宋"/>
                <w:szCs w:val="21"/>
              </w:rPr>
            </w:pPr>
            <w:bookmarkStart w:id="25" w:name="PO_默认文件内容_3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17</w:t>
            </w:r>
          </w:p>
        </w:tc>
        <w:tc>
          <w:tcPr>
            <w:tcW w:w="2552" w:type="dxa"/>
            <w:tcBorders>
              <w:right w:val="single" w:color="auto" w:sz="4" w:space="0"/>
            </w:tcBorders>
            <w:vAlign w:val="center"/>
          </w:tcPr>
          <w:p>
            <w:pPr>
              <w:pStyle w:val="41"/>
              <w:ind w:left="96"/>
              <w:jc w:val="center"/>
              <w:rPr>
                <w:rFonts w:ascii="仿宋" w:hAnsi="仿宋" w:eastAsia="仿宋"/>
                <w:sz w:val="21"/>
                <w:szCs w:val="21"/>
              </w:rPr>
            </w:pPr>
            <w:r>
              <w:rPr>
                <w:rFonts w:hint="eastAsia" w:ascii="仿宋" w:hAnsi="仿宋" w:eastAsia="仿宋"/>
                <w:sz w:val="21"/>
                <w:szCs w:val="21"/>
                <w:lang w:val="zh-CN"/>
              </w:rPr>
              <w:t>招标服务费</w:t>
            </w:r>
          </w:p>
        </w:tc>
        <w:tc>
          <w:tcPr>
            <w:tcW w:w="6111" w:type="dxa"/>
            <w:tcBorders>
              <w:left w:val="single" w:color="auto" w:sz="4" w:space="0"/>
            </w:tcBorders>
            <w:vAlign w:val="center"/>
          </w:tcPr>
          <w:p>
            <w:pPr>
              <w:pStyle w:val="41"/>
              <w:rPr>
                <w:rFonts w:ascii="仿宋" w:hAnsi="仿宋" w:eastAsia="仿宋"/>
                <w:sz w:val="21"/>
                <w:szCs w:val="21"/>
                <w:lang w:val="zh-CN"/>
              </w:rPr>
            </w:pPr>
            <w:r>
              <w:rPr>
                <w:rFonts w:hint="eastAsia" w:ascii="仿宋" w:hAnsi="仿宋" w:eastAsia="仿宋"/>
                <w:sz w:val="21"/>
                <w:szCs w:val="21"/>
                <w:lang w:val="zh-CN"/>
              </w:rPr>
              <w:t>依照成本加合理利润的原则,以中标金额作为计算基数, 按下列收费标准计算后下浮20%收取:</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rPr>
                      <w:b/>
                      <w:sz w:val="15"/>
                      <w:szCs w:val="15"/>
                    </w:rPr>
                  </w:pPr>
                  <w:r>
                    <w:rPr>
                      <w:rFonts w:hint="eastAsia"/>
                      <w:b/>
                      <w:sz w:val="15"/>
                      <w:szCs w:val="15"/>
                    </w:rPr>
                    <w:t>服务类型</w:t>
                  </w:r>
                </w:p>
                <w:p>
                  <w:pPr>
                    <w:snapToGrid w:val="0"/>
                    <w:rPr>
                      <w:b/>
                      <w:sz w:val="15"/>
                      <w:szCs w:val="15"/>
                    </w:rPr>
                  </w:pPr>
                  <w:r>
                    <w:rPr>
                      <w:rFonts w:hint="eastAsia"/>
                      <w:b/>
                      <w:sz w:val="15"/>
                      <w:szCs w:val="15"/>
                    </w:rPr>
                    <w:t>费率</w:t>
                  </w:r>
                </w:p>
                <w:p>
                  <w:pPr>
                    <w:snapToGrid w:val="0"/>
                    <w:rPr>
                      <w:b/>
                      <w:sz w:val="15"/>
                      <w:szCs w:val="15"/>
                    </w:rPr>
                  </w:pPr>
                  <w:r>
                    <w:rPr>
                      <w:rFonts w:hint="eastAsia"/>
                      <w:b/>
                      <w:sz w:val="15"/>
                      <w:szCs w:val="15"/>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w:t>
                  </w:r>
                  <w:r>
                    <w:rPr>
                      <w:rFonts w:hint="eastAsia"/>
                    </w:rPr>
                    <w:t>以下</w:t>
                  </w:r>
                </w:p>
              </w:tc>
              <w:tc>
                <w:tcPr>
                  <w:tcW w:w="1478" w:type="dxa"/>
                  <w:tcBorders>
                    <w:top w:val="single" w:color="auto" w:sz="4" w:space="0"/>
                    <w:left w:val="single" w:color="auto" w:sz="4" w:space="0"/>
                    <w:bottom w:val="single" w:color="auto" w:sz="4" w:space="0"/>
                    <w:right w:val="single" w:color="auto" w:sz="4" w:space="0"/>
                  </w:tcBorders>
                </w:tcPr>
                <w:p>
                  <w:pPr>
                    <w:jc w:val="center"/>
                  </w:pPr>
                  <w:r>
                    <w:t>1.5%</w:t>
                  </w:r>
                </w:p>
              </w:tc>
              <w:tc>
                <w:tcPr>
                  <w:tcW w:w="1477" w:type="dxa"/>
                  <w:tcBorders>
                    <w:top w:val="single" w:color="auto" w:sz="4" w:space="0"/>
                    <w:left w:val="single" w:color="auto" w:sz="4" w:space="0"/>
                    <w:bottom w:val="single" w:color="auto" w:sz="4" w:space="0"/>
                    <w:right w:val="single" w:color="auto" w:sz="4" w:space="0"/>
                  </w:tcBorders>
                </w:tcPr>
                <w:p>
                  <w:pPr>
                    <w:jc w:val="center"/>
                  </w:pPr>
                  <w:r>
                    <w:t>1.5%</w:t>
                  </w:r>
                </w:p>
              </w:tc>
              <w:tc>
                <w:tcPr>
                  <w:tcW w:w="1478" w:type="dxa"/>
                  <w:tcBorders>
                    <w:top w:val="single" w:color="auto" w:sz="4" w:space="0"/>
                    <w:left w:val="single" w:color="auto" w:sz="4" w:space="0"/>
                    <w:bottom w:val="single" w:color="auto" w:sz="4" w:space="0"/>
                    <w:right w:val="single" w:color="auto" w:sz="4" w:space="0"/>
                  </w:tcBorders>
                </w:tcPr>
                <w:p>
                  <w:pPr>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100-500</w:t>
                  </w:r>
                </w:p>
              </w:tc>
              <w:tc>
                <w:tcPr>
                  <w:tcW w:w="1478" w:type="dxa"/>
                  <w:tcBorders>
                    <w:top w:val="single" w:color="auto" w:sz="4" w:space="0"/>
                    <w:left w:val="single" w:color="auto" w:sz="4" w:space="0"/>
                    <w:bottom w:val="single" w:color="auto" w:sz="4" w:space="0"/>
                    <w:right w:val="single" w:color="auto" w:sz="4" w:space="0"/>
                  </w:tcBorders>
                </w:tcPr>
                <w:p>
                  <w:pPr>
                    <w:jc w:val="center"/>
                  </w:pPr>
                  <w:r>
                    <w:t>1.1%</w:t>
                  </w:r>
                </w:p>
              </w:tc>
              <w:tc>
                <w:tcPr>
                  <w:tcW w:w="1477" w:type="dxa"/>
                  <w:tcBorders>
                    <w:top w:val="single" w:color="auto" w:sz="4" w:space="0"/>
                    <w:left w:val="single" w:color="auto" w:sz="4" w:space="0"/>
                    <w:bottom w:val="single" w:color="auto" w:sz="4" w:space="0"/>
                    <w:right w:val="single" w:color="auto" w:sz="4" w:space="0"/>
                  </w:tcBorders>
                </w:tcPr>
                <w:p>
                  <w:pPr>
                    <w:jc w:val="center"/>
                  </w:pPr>
                  <w:r>
                    <w:t>0.8%</w:t>
                  </w:r>
                </w:p>
              </w:tc>
              <w:tc>
                <w:tcPr>
                  <w:tcW w:w="1478" w:type="dxa"/>
                  <w:tcBorders>
                    <w:top w:val="single" w:color="auto" w:sz="4" w:space="0"/>
                    <w:left w:val="single" w:color="auto" w:sz="4" w:space="0"/>
                    <w:bottom w:val="single" w:color="auto" w:sz="4" w:space="0"/>
                    <w:right w:val="single" w:color="auto" w:sz="4" w:space="0"/>
                  </w:tcBorders>
                </w:tcPr>
                <w:p>
                  <w:pPr>
                    <w:jc w:val="center"/>
                  </w:pPr>
                  <w: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500-1000</w:t>
                  </w:r>
                </w:p>
              </w:tc>
              <w:tc>
                <w:tcPr>
                  <w:tcW w:w="1478" w:type="dxa"/>
                  <w:tcBorders>
                    <w:top w:val="single" w:color="auto" w:sz="4" w:space="0"/>
                    <w:left w:val="single" w:color="auto" w:sz="4" w:space="0"/>
                    <w:bottom w:val="single" w:color="auto" w:sz="4" w:space="0"/>
                    <w:right w:val="single" w:color="auto" w:sz="4" w:space="0"/>
                  </w:tcBorders>
                </w:tcPr>
                <w:p>
                  <w:pPr>
                    <w:jc w:val="center"/>
                  </w:pPr>
                  <w:r>
                    <w:t>0.8%</w:t>
                  </w:r>
                </w:p>
              </w:tc>
              <w:tc>
                <w:tcPr>
                  <w:tcW w:w="1477" w:type="dxa"/>
                  <w:tcBorders>
                    <w:top w:val="single" w:color="auto" w:sz="4" w:space="0"/>
                    <w:left w:val="single" w:color="auto" w:sz="4" w:space="0"/>
                    <w:bottom w:val="single" w:color="auto" w:sz="4" w:space="0"/>
                    <w:right w:val="single" w:color="auto" w:sz="4" w:space="0"/>
                  </w:tcBorders>
                </w:tcPr>
                <w:p>
                  <w:pPr>
                    <w:jc w:val="center"/>
                  </w:pPr>
                  <w:r>
                    <w:t>0.45%</w:t>
                  </w:r>
                </w:p>
              </w:tc>
              <w:tc>
                <w:tcPr>
                  <w:tcW w:w="1478" w:type="dxa"/>
                  <w:tcBorders>
                    <w:top w:val="single" w:color="auto" w:sz="4" w:space="0"/>
                    <w:left w:val="single" w:color="auto" w:sz="4" w:space="0"/>
                    <w:bottom w:val="single" w:color="auto" w:sz="4" w:space="0"/>
                    <w:right w:val="single" w:color="auto" w:sz="4" w:space="0"/>
                  </w:tcBorders>
                </w:tcPr>
                <w:p>
                  <w:pPr>
                    <w:jc w:val="center"/>
                  </w:pPr>
                  <w: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1000-5000</w:t>
                  </w:r>
                </w:p>
              </w:tc>
              <w:tc>
                <w:tcPr>
                  <w:tcW w:w="1478" w:type="dxa"/>
                  <w:tcBorders>
                    <w:top w:val="single" w:color="auto" w:sz="4" w:space="0"/>
                    <w:left w:val="single" w:color="auto" w:sz="4" w:space="0"/>
                    <w:bottom w:val="single" w:color="auto" w:sz="4" w:space="0"/>
                    <w:right w:val="single" w:color="auto" w:sz="4" w:space="0"/>
                  </w:tcBorders>
                </w:tcPr>
                <w:p>
                  <w:pPr>
                    <w:jc w:val="center"/>
                  </w:pPr>
                  <w:r>
                    <w:t>0.5%</w:t>
                  </w:r>
                </w:p>
              </w:tc>
              <w:tc>
                <w:tcPr>
                  <w:tcW w:w="1477" w:type="dxa"/>
                  <w:tcBorders>
                    <w:top w:val="single" w:color="auto" w:sz="4" w:space="0"/>
                    <w:left w:val="single" w:color="auto" w:sz="4" w:space="0"/>
                    <w:bottom w:val="single" w:color="auto" w:sz="4" w:space="0"/>
                    <w:right w:val="single" w:color="auto" w:sz="4" w:space="0"/>
                  </w:tcBorders>
                </w:tcPr>
                <w:p>
                  <w:pPr>
                    <w:jc w:val="center"/>
                  </w:pPr>
                  <w:r>
                    <w:t>0.25%</w:t>
                  </w:r>
                </w:p>
              </w:tc>
              <w:tc>
                <w:tcPr>
                  <w:tcW w:w="1478" w:type="dxa"/>
                  <w:tcBorders>
                    <w:top w:val="single" w:color="auto" w:sz="4" w:space="0"/>
                    <w:left w:val="single" w:color="auto" w:sz="4" w:space="0"/>
                    <w:bottom w:val="single" w:color="auto" w:sz="4" w:space="0"/>
                    <w:right w:val="single" w:color="auto" w:sz="4" w:space="0"/>
                  </w:tcBorders>
                </w:tcPr>
                <w:p>
                  <w:pPr>
                    <w:jc w:val="center"/>
                  </w:pPr>
                  <w: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5000-10000</w:t>
                  </w:r>
                </w:p>
              </w:tc>
              <w:tc>
                <w:tcPr>
                  <w:tcW w:w="1478" w:type="dxa"/>
                  <w:tcBorders>
                    <w:top w:val="single" w:color="auto" w:sz="4" w:space="0"/>
                    <w:left w:val="single" w:color="auto" w:sz="4" w:space="0"/>
                    <w:bottom w:val="single" w:color="auto" w:sz="4" w:space="0"/>
                    <w:right w:val="single" w:color="auto" w:sz="4" w:space="0"/>
                  </w:tcBorders>
                </w:tcPr>
                <w:p>
                  <w:pPr>
                    <w:jc w:val="center"/>
                  </w:pPr>
                  <w:r>
                    <w:t>0.25%</w:t>
                  </w:r>
                </w:p>
              </w:tc>
              <w:tc>
                <w:tcPr>
                  <w:tcW w:w="1477" w:type="dxa"/>
                  <w:tcBorders>
                    <w:top w:val="single" w:color="auto" w:sz="4" w:space="0"/>
                    <w:left w:val="single" w:color="auto" w:sz="4" w:space="0"/>
                    <w:bottom w:val="single" w:color="auto" w:sz="4" w:space="0"/>
                    <w:right w:val="single" w:color="auto" w:sz="4" w:space="0"/>
                  </w:tcBorders>
                </w:tcPr>
                <w:p>
                  <w:pPr>
                    <w:jc w:val="center"/>
                  </w:pPr>
                  <w:r>
                    <w:t>0.1%</w:t>
                  </w:r>
                </w:p>
              </w:tc>
              <w:tc>
                <w:tcPr>
                  <w:tcW w:w="1478" w:type="dxa"/>
                  <w:tcBorders>
                    <w:top w:val="single" w:color="auto" w:sz="4" w:space="0"/>
                    <w:left w:val="single" w:color="auto" w:sz="4" w:space="0"/>
                    <w:bottom w:val="single" w:color="auto" w:sz="4" w:space="0"/>
                    <w:right w:val="single" w:color="auto" w:sz="4" w:space="0"/>
                  </w:tcBorders>
                </w:tcPr>
                <w:p>
                  <w:pPr>
                    <w:jc w:val="center"/>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10000-100000</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c>
                <w:tcPr>
                  <w:tcW w:w="1477" w:type="dxa"/>
                  <w:tcBorders>
                    <w:top w:val="single" w:color="auto" w:sz="4" w:space="0"/>
                    <w:left w:val="single" w:color="auto" w:sz="4" w:space="0"/>
                    <w:bottom w:val="single" w:color="auto" w:sz="4" w:space="0"/>
                    <w:right w:val="single" w:color="auto" w:sz="4" w:space="0"/>
                  </w:tcBorders>
                </w:tcPr>
                <w:p>
                  <w:pPr>
                    <w:jc w:val="center"/>
                  </w:pPr>
                  <w:r>
                    <w:t>0.05%</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1000000</w:t>
                  </w:r>
                  <w:r>
                    <w:rPr>
                      <w:rFonts w:hint="eastAsia"/>
                    </w:rPr>
                    <w:t>以上</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c>
                <w:tcPr>
                  <w:tcW w:w="1477" w:type="dxa"/>
                  <w:tcBorders>
                    <w:top w:val="single" w:color="auto" w:sz="4" w:space="0"/>
                    <w:left w:val="single" w:color="auto" w:sz="4" w:space="0"/>
                    <w:bottom w:val="single" w:color="auto" w:sz="4" w:space="0"/>
                    <w:right w:val="single" w:color="auto" w:sz="4" w:space="0"/>
                  </w:tcBorders>
                </w:tcPr>
                <w:p>
                  <w:pPr>
                    <w:jc w:val="center"/>
                  </w:pPr>
                  <w:r>
                    <w:t>0.01%</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r>
          </w:tbl>
          <w:p>
            <w:pPr>
              <w:pStyle w:val="41"/>
              <w:rPr>
                <w:rFonts w:ascii="仿宋" w:hAnsi="仿宋" w:eastAsia="仿宋"/>
                <w:sz w:val="21"/>
                <w:szCs w:val="21"/>
                <w:lang w:val="zh-CN"/>
              </w:rPr>
            </w:pPr>
            <w:r>
              <w:rPr>
                <w:rFonts w:hint="eastAsia" w:ascii="仿宋" w:hAnsi="仿宋" w:eastAsia="仿宋"/>
                <w:sz w:val="21"/>
                <w:szCs w:val="21"/>
                <w:lang w:val="zh-CN"/>
              </w:rPr>
              <w:t>注: 1、按本表费率计算的收费为招标代理服务全过程的收费基准价格。</w:t>
            </w:r>
          </w:p>
          <w:p>
            <w:pPr>
              <w:pStyle w:val="41"/>
              <w:rPr>
                <w:rFonts w:ascii="仿宋" w:hAnsi="仿宋" w:eastAsia="仿宋"/>
                <w:sz w:val="21"/>
                <w:szCs w:val="21"/>
                <w:lang w:val="zh-CN"/>
              </w:rPr>
            </w:pPr>
            <w:r>
              <w:rPr>
                <w:rFonts w:hint="eastAsia" w:ascii="仿宋" w:hAnsi="仿宋" w:eastAsia="仿宋"/>
                <w:sz w:val="21"/>
                <w:szCs w:val="21"/>
                <w:lang w:val="zh-CN"/>
              </w:rPr>
              <w:t xml:space="preserve">    2、招标代理服务收费按差额定率累进法计算。</w:t>
            </w:r>
          </w:p>
          <w:p>
            <w:pPr>
              <w:widowControl/>
              <w:spacing w:after="0" w:line="240" w:lineRule="auto"/>
              <w:ind w:firstLine="420" w:firstLineChars="200"/>
              <w:jc w:val="left"/>
              <w:rPr>
                <w:rFonts w:ascii="仿宋" w:hAnsi="仿宋" w:eastAsia="仿宋"/>
                <w:szCs w:val="21"/>
                <w:lang w:val="zh-CN"/>
              </w:rPr>
            </w:pPr>
            <w:r>
              <w:rPr>
                <w:rFonts w:hint="eastAsia" w:ascii="仿宋" w:hAnsi="仿宋" w:eastAsia="仿宋"/>
                <w:szCs w:val="21"/>
                <w:lang w:val="zh-CN"/>
              </w:rPr>
              <w:t>3、服务费收款单位：四川国际招标有限责任公司</w:t>
            </w:r>
          </w:p>
          <w:p>
            <w:pPr>
              <w:widowControl/>
              <w:spacing w:after="0" w:line="240" w:lineRule="auto"/>
              <w:ind w:firstLine="420" w:firstLineChars="200"/>
              <w:jc w:val="left"/>
              <w:rPr>
                <w:rFonts w:ascii="仿宋" w:hAnsi="仿宋" w:eastAsia="仿宋"/>
                <w:szCs w:val="21"/>
                <w:lang w:val="zh-CN"/>
              </w:rPr>
            </w:pPr>
            <w:r>
              <w:rPr>
                <w:rFonts w:hint="eastAsia" w:ascii="仿宋" w:hAnsi="仿宋" w:eastAsia="仿宋"/>
                <w:szCs w:val="21"/>
                <w:lang w:val="zh-CN"/>
              </w:rPr>
              <w:t>开户行：中国民生银行股份有限公司成都分行营业部</w:t>
            </w:r>
          </w:p>
          <w:p>
            <w:pPr>
              <w:widowControl/>
              <w:spacing w:after="0" w:line="240" w:lineRule="auto"/>
              <w:ind w:firstLine="420" w:firstLineChars="200"/>
              <w:jc w:val="left"/>
              <w:rPr>
                <w:rFonts w:ascii="宋体" w:hAnsi="宋体" w:cs="宋体"/>
                <w:kern w:val="0"/>
                <w:sz w:val="24"/>
              </w:rPr>
            </w:pPr>
            <w:r>
              <w:rPr>
                <w:rFonts w:hint="eastAsia" w:ascii="仿宋" w:hAnsi="仿宋" w:eastAsia="仿宋"/>
                <w:szCs w:val="21"/>
                <w:lang w:val="zh-CN"/>
              </w:rPr>
              <w:t>银行账号：9902001760948867</w:t>
            </w:r>
            <w:r>
              <w:rPr>
                <w:rFonts w:hint="eastAsia" w:ascii="宋体" w:hAnsi="宋体" w:cs="宋体"/>
                <w:kern w:val="0"/>
                <w:sz w:val="24"/>
              </w:rPr>
              <w:t xml:space="preserve"> </w:t>
            </w:r>
          </w:p>
          <w:p>
            <w:pPr>
              <w:widowControl/>
              <w:spacing w:after="0" w:line="240" w:lineRule="auto"/>
              <w:ind w:firstLine="420" w:firstLineChars="200"/>
              <w:jc w:val="left"/>
              <w:rPr>
                <w:rFonts w:ascii="仿宋" w:hAnsi="仿宋" w:eastAsia="仿宋" w:cs="宋体"/>
                <w:kern w:val="0"/>
                <w:szCs w:val="21"/>
                <w:lang w:val="zh-CN"/>
              </w:rPr>
            </w:pPr>
            <w:r>
              <w:rPr>
                <w:rFonts w:hint="eastAsia" w:ascii="仿宋" w:hAnsi="仿宋" w:eastAsia="仿宋" w:cs="宋体"/>
                <w:kern w:val="0"/>
                <w:szCs w:val="21"/>
                <w:lang w:val="zh-CN"/>
              </w:rPr>
              <w:t>4、中标人在领取中标通知书前向招标代理机构交纳招标服务费。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18</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送样提醒</w:t>
            </w:r>
          </w:p>
        </w:tc>
        <w:tc>
          <w:tcPr>
            <w:tcW w:w="6111" w:type="dxa"/>
            <w:tcBorders>
              <w:left w:val="single" w:color="auto" w:sz="4" w:space="0"/>
            </w:tcBorders>
            <w:vAlign w:val="center"/>
          </w:tcPr>
          <w:p>
            <w:pPr>
              <w:pStyle w:val="41"/>
              <w:jc w:val="both"/>
              <w:rPr>
                <w:rFonts w:ascii="仿宋" w:hAnsi="仿宋" w:eastAsia="仿宋"/>
                <w:sz w:val="21"/>
                <w:szCs w:val="21"/>
                <w:lang w:val="zh-CN"/>
              </w:rPr>
            </w:pPr>
            <w:r>
              <w:rPr>
                <w:rFonts w:hint="eastAsia" w:ascii="仿宋" w:hAnsi="仿宋" w:eastAsia="仿宋"/>
                <w:sz w:val="21"/>
                <w:szCs w:val="21"/>
                <w:lang w:val="zh-CN"/>
              </w:rPr>
              <w:t>本项目不涉及。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19</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承诺提醒</w:t>
            </w:r>
          </w:p>
        </w:tc>
        <w:tc>
          <w:tcPr>
            <w:tcW w:w="6111" w:type="dxa"/>
            <w:tcBorders>
              <w:left w:val="single" w:color="auto" w:sz="4" w:space="0"/>
            </w:tcBorders>
            <w:vAlign w:val="center"/>
          </w:tcPr>
          <w:p>
            <w:pPr>
              <w:pStyle w:val="41"/>
              <w:jc w:val="both"/>
              <w:rPr>
                <w:rFonts w:ascii="仿宋" w:hAnsi="仿宋" w:eastAsia="仿宋"/>
                <w:sz w:val="21"/>
                <w:szCs w:val="21"/>
                <w:lang w:val="zh-CN"/>
              </w:rPr>
            </w:pPr>
            <w:r>
              <w:rPr>
                <w:rFonts w:hint="eastAsia" w:ascii="仿宋" w:hAnsi="仿宋" w:eastAsia="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20</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111" w:type="dxa"/>
            <w:tcBorders>
              <w:left w:val="single" w:color="auto" w:sz="4" w:space="0"/>
            </w:tcBorders>
            <w:vAlign w:val="center"/>
          </w:tcPr>
          <w:p>
            <w:pPr>
              <w:pStyle w:val="41"/>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1"/>
              <w:jc w:val="both"/>
              <w:rPr>
                <w:rFonts w:ascii="仿宋" w:hAnsi="仿宋" w:eastAsia="仿宋"/>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bl>
    <w:p>
      <w:pPr>
        <w:rPr>
          <w:rFonts w:ascii="仿宋" w:hAnsi="仿宋" w:eastAsia="仿宋"/>
        </w:rPr>
      </w:pPr>
    </w:p>
    <w:p>
      <w:pPr>
        <w:pStyle w:val="3"/>
        <w:spacing w:line="400" w:lineRule="exact"/>
        <w:jc w:val="center"/>
        <w:rPr>
          <w:rFonts w:ascii="仿宋" w:hAnsi="仿宋" w:eastAsia="仿宋"/>
          <w:bCs w:val="0"/>
        </w:rPr>
      </w:pPr>
      <w:r>
        <w:rPr>
          <w:rFonts w:hint="eastAsia" w:ascii="仿宋" w:hAnsi="仿宋" w:eastAsia="仿宋"/>
          <w:bCs w:val="0"/>
        </w:rPr>
        <w:t>二、总  则</w:t>
      </w:r>
    </w:p>
    <w:p>
      <w:pPr>
        <w:pStyle w:val="4"/>
        <w:spacing w:line="400" w:lineRule="exact"/>
        <w:ind w:firstLine="482" w:firstLineChars="200"/>
        <w:rPr>
          <w:rFonts w:ascii="仿宋" w:hAnsi="仿宋" w:eastAsia="仿宋"/>
          <w:sz w:val="24"/>
          <w:szCs w:val="24"/>
        </w:rPr>
      </w:pPr>
      <w:bookmarkStart w:id="26" w:name="_Toc183582205"/>
      <w:bookmarkStart w:id="27" w:name="_Toc183682342"/>
      <w:bookmarkStart w:id="28" w:name="_Toc217446034"/>
      <w:bookmarkStart w:id="29" w:name="PO_默认文件内容_19"/>
      <w:r>
        <w:rPr>
          <w:rFonts w:hint="eastAsia" w:ascii="仿宋" w:hAnsi="仿宋" w:eastAsia="仿宋"/>
          <w:sz w:val="24"/>
          <w:szCs w:val="24"/>
        </w:rPr>
        <w:t>1.</w:t>
      </w:r>
      <w:bookmarkEnd w:id="26"/>
      <w:bookmarkEnd w:id="27"/>
      <w:r>
        <w:rPr>
          <w:rFonts w:hint="eastAsia" w:ascii="仿宋" w:hAnsi="仿宋" w:eastAsia="仿宋"/>
          <w:sz w:val="24"/>
          <w:szCs w:val="24"/>
        </w:rPr>
        <w:t xml:space="preserve"> 适用范围</w:t>
      </w:r>
      <w:bookmarkEnd w:id="28"/>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 本招标文件仅适用于本次招标采购项目。</w:t>
      </w:r>
    </w:p>
    <w:p>
      <w:pPr>
        <w:pStyle w:val="4"/>
        <w:spacing w:line="400" w:lineRule="exact"/>
        <w:ind w:firstLine="482" w:firstLineChars="200"/>
        <w:rPr>
          <w:rFonts w:ascii="仿宋" w:hAnsi="仿宋" w:eastAsia="仿宋"/>
          <w:sz w:val="24"/>
        </w:rPr>
      </w:pPr>
      <w:bookmarkStart w:id="30" w:name="_Toc183682343"/>
      <w:bookmarkStart w:id="31" w:name="_Toc183582206"/>
      <w:bookmarkStart w:id="32" w:name="_Toc217446035"/>
      <w:r>
        <w:rPr>
          <w:rFonts w:hint="eastAsia" w:ascii="仿宋" w:hAnsi="仿宋" w:eastAsia="仿宋"/>
          <w:sz w:val="24"/>
        </w:rPr>
        <w:t xml:space="preserve">2. </w:t>
      </w:r>
      <w:bookmarkEnd w:id="30"/>
      <w:bookmarkEnd w:id="31"/>
      <w:r>
        <w:rPr>
          <w:rFonts w:hint="eastAsia" w:ascii="仿宋" w:hAnsi="仿宋" w:eastAsia="仿宋"/>
          <w:sz w:val="24"/>
        </w:rPr>
        <w:t>有关</w:t>
      </w:r>
      <w:r>
        <w:rPr>
          <w:rFonts w:hint="eastAsia" w:ascii="仿宋" w:hAnsi="仿宋" w:eastAsia="仿宋"/>
          <w:sz w:val="24"/>
          <w:szCs w:val="24"/>
        </w:rPr>
        <w:t>定义</w:t>
      </w:r>
      <w:bookmarkEnd w:id="32"/>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2.1 “采购人”系指依法进行政府采购的国家机关、事业单位、团体组织。本次招标的采购人是</w:t>
      </w:r>
      <w:bookmarkEnd w:id="29"/>
      <w:r>
        <w:rPr>
          <w:rFonts w:hint="eastAsia" w:ascii="仿宋" w:hAnsi="仿宋" w:eastAsia="仿宋"/>
          <w:sz w:val="24"/>
        </w:rPr>
        <w:t xml:space="preserve"> </w:t>
      </w:r>
      <w:r>
        <w:rPr>
          <w:rFonts w:hint="eastAsia" w:ascii="仿宋" w:hAnsi="仿宋" w:eastAsia="仿宋"/>
          <w:b/>
          <w:sz w:val="24"/>
          <w:u w:val="single"/>
        </w:rPr>
        <w:t>成都市文物考古工作队</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3" w:name="PO_默认文件内容_20"/>
      <w:r>
        <w:rPr>
          <w:rFonts w:hint="eastAsia" w:ascii="仿宋" w:hAnsi="仿宋" w:eastAsia="仿宋"/>
          <w:sz w:val="24"/>
        </w:rPr>
        <w:t>2.2 “采购代理机构” 系指根据采购人的委托依法办理招标事宜的采购机构。本次招标的采购代理机构是</w:t>
      </w:r>
      <w:r>
        <w:rPr>
          <w:rFonts w:hint="eastAsia" w:ascii="仿宋" w:hAnsi="仿宋" w:eastAsia="仿宋"/>
          <w:b/>
          <w:bCs/>
          <w:sz w:val="24"/>
          <w:u w:val="single"/>
        </w:rPr>
        <w:t>四川国际招标有限责任公司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2.3 “招标采购单位”系指“采购人”和“采购代理机构”的统称。</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2.4 “投标人”系指购买了招标文件拟参加投标和向采购人提供货物及相应服务的供应商。</w:t>
      </w:r>
    </w:p>
    <w:p>
      <w:pPr>
        <w:pStyle w:val="4"/>
        <w:spacing w:line="400" w:lineRule="exact"/>
        <w:ind w:firstLine="482" w:firstLineChars="200"/>
        <w:rPr>
          <w:rFonts w:ascii="仿宋" w:hAnsi="仿宋" w:eastAsia="仿宋"/>
          <w:sz w:val="24"/>
        </w:rPr>
      </w:pPr>
      <w:bookmarkStart w:id="34" w:name="_Toc183582207"/>
      <w:bookmarkStart w:id="35" w:name="_Toc183682344"/>
      <w:bookmarkStart w:id="36" w:name="_Toc217446036"/>
      <w:bookmarkStart w:id="37" w:name="_Toc217390843"/>
      <w:r>
        <w:rPr>
          <w:rFonts w:hint="eastAsia" w:ascii="仿宋" w:hAnsi="仿宋" w:eastAsia="仿宋"/>
          <w:sz w:val="24"/>
        </w:rPr>
        <w:t>3. 合格的投标人</w:t>
      </w:r>
      <w:bookmarkEnd w:id="34"/>
      <w:bookmarkEnd w:id="35"/>
      <w:bookmarkEnd w:id="36"/>
      <w:bookmarkEnd w:id="37"/>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（3）按照规定购买了招标文件</w:t>
      </w:r>
      <w:r>
        <w:rPr>
          <w:rFonts w:hint="eastAsia" w:ascii="仿宋" w:hAnsi="仿宋" w:eastAsia="仿宋"/>
          <w:b/>
          <w:sz w:val="24"/>
        </w:rPr>
        <w:t>（实质性要求）。</w:t>
      </w:r>
      <w:r>
        <w:rPr>
          <w:rFonts w:hint="eastAsia" w:ascii="仿宋" w:hAnsi="仿宋" w:eastAsia="仿宋"/>
          <w:sz w:val="24"/>
        </w:rPr>
        <w:t>由代理机构提供供应商购买招标文件情况的相关证明材料，供应商不用提供证明材料。</w:t>
      </w:r>
    </w:p>
    <w:bookmarkEnd w:id="33"/>
    <w:p>
      <w:pPr>
        <w:pStyle w:val="4"/>
        <w:spacing w:line="400" w:lineRule="exact"/>
        <w:ind w:firstLine="482" w:firstLineChars="200"/>
        <w:rPr>
          <w:rFonts w:ascii="仿宋" w:hAnsi="仿宋" w:eastAsia="仿宋"/>
          <w:sz w:val="24"/>
        </w:rPr>
      </w:pPr>
      <w:bookmarkStart w:id="38" w:name="_Toc183682345"/>
      <w:bookmarkStart w:id="39" w:name="_Toc217446037"/>
      <w:bookmarkStart w:id="40" w:name="_Toc183582208"/>
      <w:bookmarkStart w:id="41" w:name="PO_默认文件内容_16"/>
      <w:r>
        <w:rPr>
          <w:rFonts w:hint="eastAsia" w:ascii="仿宋" w:hAnsi="仿宋" w:eastAsia="仿宋"/>
          <w:sz w:val="24"/>
        </w:rPr>
        <w:t>4. 投标费用</w:t>
      </w:r>
      <w:bookmarkEnd w:id="38"/>
      <w:bookmarkEnd w:id="39"/>
      <w:bookmarkEnd w:id="40"/>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tabs>
          <w:tab w:val="left" w:pos="7665"/>
        </w:tabs>
        <w:spacing w:line="400" w:lineRule="exact"/>
        <w:ind w:firstLine="480"/>
        <w:rPr>
          <w:rFonts w:ascii="仿宋" w:hAnsi="仿宋" w:eastAsia="仿宋"/>
          <w:sz w:val="24"/>
        </w:rPr>
      </w:pPr>
    </w:p>
    <w:p>
      <w:pPr>
        <w:pStyle w:val="4"/>
        <w:spacing w:line="400" w:lineRule="exact"/>
        <w:ind w:firstLine="482" w:firstLineChars="200"/>
        <w:rPr>
          <w:rFonts w:ascii="仿宋" w:hAnsi="仿宋" w:eastAsia="仿宋"/>
          <w:sz w:val="24"/>
        </w:rPr>
      </w:pPr>
      <w:r>
        <w:rPr>
          <w:rFonts w:hint="eastAsia" w:ascii="仿宋" w:hAnsi="仿宋" w:eastAsia="仿宋"/>
          <w:sz w:val="24"/>
        </w:rPr>
        <w:t>5. 充分、公平竞争保障措施</w:t>
      </w:r>
      <w:r>
        <w:rPr>
          <w:rFonts w:hint="eastAsia" w:ascii="仿宋" w:hAnsi="仿宋" w:eastAsia="仿宋"/>
          <w:sz w:val="24"/>
          <w:szCs w:val="24"/>
        </w:rPr>
        <w:t>（实质性要求）</w:t>
      </w:r>
    </w:p>
    <w:p>
      <w:pPr>
        <w:pStyle w:val="39"/>
        <w:spacing w:line="460" w:lineRule="exact"/>
        <w:ind w:left="1" w:firstLine="482" w:firstLineChars="200"/>
        <w:rPr>
          <w:rFonts w:ascii="仿宋" w:hAnsi="仿宋" w:eastAsia="仿宋"/>
          <w:b/>
          <w:sz w:val="24"/>
          <w:szCs w:val="24"/>
        </w:rPr>
      </w:pPr>
      <w:r>
        <w:rPr>
          <w:rFonts w:hint="eastAsia" w:ascii="仿宋" w:hAnsi="仿宋" w:eastAsia="仿宋"/>
          <w:b/>
          <w:sz w:val="24"/>
        </w:rPr>
        <w:t>5.1 提供相同品牌产品处理</w:t>
      </w:r>
      <w:r>
        <w:rPr>
          <w:rFonts w:hint="eastAsia" w:ascii="仿宋" w:hAnsi="仿宋" w:eastAsia="仿宋"/>
          <w:b/>
          <w:sz w:val="24"/>
          <w:szCs w:val="24"/>
        </w:rPr>
        <w:t>。</w:t>
      </w:r>
    </w:p>
    <w:p>
      <w:pPr>
        <w:pStyle w:val="39"/>
        <w:spacing w:line="460" w:lineRule="exact"/>
        <w:ind w:left="1" w:firstLine="482" w:firstLineChars="200"/>
        <w:rPr>
          <w:rFonts w:ascii="仿宋" w:hAnsi="仿宋" w:eastAsia="仿宋"/>
          <w:bCs/>
          <w:sz w:val="24"/>
          <w:szCs w:val="24"/>
        </w:rPr>
      </w:pPr>
      <w:r>
        <w:rPr>
          <w:rFonts w:hint="eastAsia" w:ascii="仿宋" w:hAnsi="仿宋" w:eastAsia="仿宋"/>
          <w:b/>
          <w:sz w:val="24"/>
          <w:szCs w:val="24"/>
        </w:rPr>
        <w:t xml:space="preserve">5.1.1 </w:t>
      </w:r>
      <w:r>
        <w:rPr>
          <w:rFonts w:hint="eastAsia" w:ascii="仿宋" w:hAnsi="仿宋" w:eastAsia="仿宋"/>
          <w:bCs/>
          <w:sz w:val="24"/>
          <w:szCs w:val="24"/>
        </w:rPr>
        <w:t>非单一产品采购项目中，采购人根据采购项目技术构成、产品价格比重等合理确定核心产品。多家投标人提供的任一核心产品品牌相同的，视为提供相同品牌产品。本采购项目核心产品为：文物安全保护遮棚。</w:t>
      </w:r>
    </w:p>
    <w:p>
      <w:pPr>
        <w:pStyle w:val="39"/>
        <w:spacing w:line="460" w:lineRule="exact"/>
        <w:ind w:left="1" w:firstLine="482" w:firstLineChars="200"/>
        <w:rPr>
          <w:rFonts w:ascii="仿宋" w:hAnsi="仿宋" w:eastAsia="仿宋"/>
          <w:b/>
          <w:sz w:val="24"/>
          <w:szCs w:val="24"/>
        </w:rPr>
      </w:pPr>
      <w:r>
        <w:rPr>
          <w:rFonts w:hint="eastAsia" w:ascii="仿宋" w:hAnsi="仿宋" w:eastAsia="仿宋"/>
          <w:b/>
          <w:sz w:val="24"/>
          <w:szCs w:val="24"/>
        </w:rPr>
        <w:t>5.1.2 采用最低评标价法的采购项目。</w:t>
      </w:r>
    </w:p>
    <w:p>
      <w:pPr>
        <w:pStyle w:val="39"/>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pPr>
        <w:pStyle w:val="39"/>
        <w:spacing w:line="460" w:lineRule="exact"/>
        <w:ind w:left="1" w:firstLine="482" w:firstLineChars="200"/>
        <w:rPr>
          <w:rFonts w:ascii="仿宋" w:hAnsi="仿宋" w:eastAsia="仿宋"/>
          <w:b/>
          <w:sz w:val="24"/>
          <w:szCs w:val="24"/>
        </w:rPr>
      </w:pPr>
      <w:r>
        <w:rPr>
          <w:rFonts w:hint="eastAsia" w:ascii="仿宋" w:hAnsi="仿宋" w:eastAsia="仿宋"/>
          <w:b/>
          <w:sz w:val="24"/>
          <w:szCs w:val="24"/>
        </w:rPr>
        <w:t>5.1.3 采用综合评分法的采购项目。</w:t>
      </w:r>
    </w:p>
    <w:p>
      <w:pPr>
        <w:pStyle w:val="39"/>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39"/>
        <w:spacing w:line="460" w:lineRule="exact"/>
        <w:ind w:left="1" w:firstLine="482" w:firstLineChars="200"/>
        <w:rPr>
          <w:rFonts w:ascii="仿宋" w:hAnsi="仿宋" w:eastAsia="仿宋"/>
          <w:sz w:val="24"/>
        </w:rPr>
      </w:pPr>
      <w:r>
        <w:rPr>
          <w:rFonts w:hint="eastAsia" w:ascii="仿宋" w:hAnsi="仿宋" w:eastAsia="仿宋"/>
          <w:b/>
          <w:sz w:val="24"/>
        </w:rPr>
        <w:t>5.2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39"/>
        <w:spacing w:line="460" w:lineRule="exact"/>
        <w:ind w:left="1" w:firstLine="482" w:firstLineChars="200"/>
        <w:rPr>
          <w:rFonts w:ascii="仿宋" w:hAnsi="仿宋" w:eastAsia="仿宋"/>
          <w:sz w:val="24"/>
        </w:rPr>
      </w:pPr>
      <w:r>
        <w:rPr>
          <w:rFonts w:hint="eastAsia" w:ascii="仿宋" w:hAnsi="仿宋" w:eastAsia="仿宋"/>
          <w:b/>
          <w:sz w:val="24"/>
        </w:rPr>
        <w:t>5.3 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9"/>
        <w:spacing w:line="460" w:lineRule="exact"/>
        <w:ind w:left="1" w:firstLine="482" w:firstLineChars="200"/>
        <w:rPr>
          <w:rFonts w:ascii="仿宋" w:hAnsi="仿宋" w:eastAsia="仿宋"/>
          <w:sz w:val="24"/>
        </w:rPr>
      </w:pPr>
      <w:r>
        <w:rPr>
          <w:rFonts w:hint="eastAsia" w:ascii="仿宋" w:hAnsi="仿宋" w:eastAsia="仿宋"/>
          <w:b/>
          <w:sz w:val="24"/>
        </w:rPr>
        <w:t>5.4 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p>
    <w:p>
      <w:pPr>
        <w:pStyle w:val="3"/>
        <w:spacing w:line="400" w:lineRule="exact"/>
        <w:jc w:val="center"/>
        <w:rPr>
          <w:rFonts w:ascii="仿宋" w:hAnsi="仿宋" w:eastAsia="仿宋"/>
          <w:bCs w:val="0"/>
        </w:rPr>
      </w:pPr>
      <w:bookmarkStart w:id="42" w:name="_Toc183682346"/>
      <w:bookmarkStart w:id="43" w:name="_Toc217446038"/>
      <w:bookmarkStart w:id="44" w:name="_Toc183582209"/>
      <w:bookmarkStart w:id="45" w:name="_Toc77400779"/>
      <w:bookmarkStart w:id="46" w:name="_Toc89075875"/>
      <w:r>
        <w:rPr>
          <w:rFonts w:hint="eastAsia" w:ascii="仿宋" w:hAnsi="仿宋" w:eastAsia="仿宋"/>
          <w:bCs w:val="0"/>
        </w:rPr>
        <w:t>三、招标文件</w:t>
      </w:r>
      <w:bookmarkEnd w:id="42"/>
      <w:bookmarkEnd w:id="43"/>
      <w:bookmarkEnd w:id="44"/>
      <w:bookmarkEnd w:id="45"/>
      <w:bookmarkEnd w:id="46"/>
    </w:p>
    <w:p>
      <w:pPr>
        <w:pStyle w:val="4"/>
        <w:spacing w:line="400" w:lineRule="exact"/>
        <w:ind w:firstLine="482" w:firstLineChars="200"/>
        <w:rPr>
          <w:rFonts w:ascii="仿宋" w:hAnsi="仿宋" w:eastAsia="仿宋"/>
          <w:sz w:val="24"/>
        </w:rPr>
      </w:pPr>
      <w:bookmarkStart w:id="47" w:name="_Toc183582210"/>
      <w:bookmarkStart w:id="48" w:name="_Toc183682347"/>
      <w:bookmarkStart w:id="49" w:name="_Toc217446039"/>
      <w:r>
        <w:rPr>
          <w:rFonts w:hint="eastAsia" w:ascii="仿宋" w:hAnsi="仿宋" w:eastAsia="仿宋"/>
          <w:sz w:val="24"/>
        </w:rPr>
        <w:t>6．招标文件的构成</w:t>
      </w:r>
      <w:bookmarkEnd w:id="47"/>
      <w:bookmarkEnd w:id="48"/>
      <w:bookmarkEnd w:id="49"/>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（五）投标人应当提供的资格、资质性及其他类似效力要求的相关证明材料；</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（六）招标项目技术、商务及其他要求；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4"/>
        <w:spacing w:line="400" w:lineRule="exact"/>
        <w:ind w:firstLine="482" w:firstLineChars="200"/>
        <w:rPr>
          <w:rFonts w:ascii="仿宋" w:hAnsi="仿宋" w:eastAsia="仿宋"/>
          <w:sz w:val="24"/>
        </w:rPr>
      </w:pPr>
      <w:bookmarkStart w:id="50" w:name="_Toc183582211"/>
      <w:bookmarkStart w:id="51" w:name="_Toc183682348"/>
      <w:bookmarkStart w:id="52" w:name="_Toc217446040"/>
      <w:r>
        <w:rPr>
          <w:rFonts w:hint="eastAsia" w:ascii="仿宋" w:hAnsi="仿宋" w:eastAsia="仿宋"/>
          <w:sz w:val="24"/>
        </w:rPr>
        <w:t>7. 招标文件的澄清</w:t>
      </w:r>
      <w:bookmarkEnd w:id="50"/>
      <w:bookmarkEnd w:id="51"/>
      <w:r>
        <w:rPr>
          <w:rFonts w:hint="eastAsia" w:ascii="仿宋" w:hAnsi="仿宋" w:eastAsia="仿宋"/>
          <w:sz w:val="24"/>
        </w:rPr>
        <w:t>和修改</w:t>
      </w:r>
      <w:bookmarkEnd w:id="52"/>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7.1 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7.4 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sz w:val="24"/>
        </w:rPr>
      </w:pPr>
      <w:bookmarkStart w:id="53" w:name="_Toc217446041"/>
      <w:bookmarkStart w:id="54" w:name="_Toc208848971"/>
      <w:r>
        <w:rPr>
          <w:rFonts w:hint="eastAsia" w:ascii="仿宋" w:hAnsi="仿宋" w:eastAsia="仿宋"/>
          <w:sz w:val="24"/>
        </w:rPr>
        <w:t>8. 答疑会和现场考察</w:t>
      </w:r>
      <w:bookmarkEnd w:id="53"/>
      <w:bookmarkEnd w:id="54"/>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现场考察或标前答疑会时间：本项目不组织。</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现场考察或标前答疑会地点：本项目不组织。</w:t>
      </w:r>
    </w:p>
    <w:bookmarkEnd w:id="41"/>
    <w:p>
      <w:pPr>
        <w:tabs>
          <w:tab w:val="left" w:pos="7665"/>
        </w:tabs>
        <w:spacing w:line="400" w:lineRule="exact"/>
        <w:ind w:firstLine="480" w:firstLineChars="200"/>
        <w:rPr>
          <w:rFonts w:ascii="仿宋" w:hAnsi="仿宋" w:eastAsia="仿宋"/>
          <w:sz w:val="24"/>
        </w:rPr>
      </w:pPr>
      <w:bookmarkStart w:id="55" w:name="PO_默认文件内容_18"/>
      <w:r>
        <w:rPr>
          <w:rFonts w:hint="eastAsia" w:ascii="仿宋" w:hAnsi="仿宋" w:eastAsia="仿宋"/>
          <w:sz w:val="24"/>
        </w:rPr>
        <w:t>8.2 供应商考察现场所发生的一切费用由供应商自己承担。</w:t>
      </w:r>
    </w:p>
    <w:p>
      <w:pPr>
        <w:pStyle w:val="3"/>
        <w:spacing w:line="400" w:lineRule="exact"/>
        <w:jc w:val="center"/>
        <w:rPr>
          <w:rFonts w:ascii="仿宋" w:hAnsi="仿宋" w:eastAsia="仿宋"/>
          <w:bCs w:val="0"/>
        </w:rPr>
      </w:pPr>
      <w:bookmarkStart w:id="56" w:name="_Toc183682351"/>
      <w:bookmarkStart w:id="57" w:name="_Toc217446042"/>
      <w:bookmarkStart w:id="58" w:name="_Toc89075876"/>
      <w:bookmarkStart w:id="59" w:name="_Toc77400780"/>
      <w:bookmarkStart w:id="60" w:name="_Toc183582214"/>
      <w:r>
        <w:rPr>
          <w:rFonts w:hint="eastAsia" w:ascii="仿宋" w:hAnsi="仿宋" w:eastAsia="仿宋"/>
          <w:bCs w:val="0"/>
        </w:rPr>
        <w:t>四、投标文件</w:t>
      </w:r>
      <w:bookmarkEnd w:id="56"/>
      <w:bookmarkEnd w:id="57"/>
      <w:bookmarkEnd w:id="58"/>
      <w:bookmarkEnd w:id="59"/>
      <w:bookmarkEnd w:id="60"/>
    </w:p>
    <w:p>
      <w:pPr>
        <w:pStyle w:val="4"/>
        <w:spacing w:line="400" w:lineRule="exact"/>
        <w:ind w:firstLine="482" w:firstLineChars="200"/>
        <w:rPr>
          <w:rFonts w:ascii="仿宋" w:hAnsi="仿宋" w:eastAsia="仿宋"/>
          <w:bCs w:val="0"/>
          <w:sz w:val="24"/>
        </w:rPr>
      </w:pPr>
      <w:bookmarkStart w:id="61" w:name="_Toc183682352"/>
      <w:bookmarkStart w:id="62" w:name="_Toc183582215"/>
      <w:bookmarkStart w:id="63" w:name="_Toc217446043"/>
      <w:r>
        <w:rPr>
          <w:rFonts w:hint="eastAsia" w:ascii="仿宋" w:hAnsi="仿宋" w:eastAsia="仿宋"/>
          <w:bCs w:val="0"/>
          <w:sz w:val="24"/>
        </w:rPr>
        <w:t>9．投标文件的语言</w:t>
      </w:r>
      <w:bookmarkEnd w:id="61"/>
      <w:bookmarkEnd w:id="62"/>
      <w:bookmarkEnd w:id="63"/>
      <w:r>
        <w:rPr>
          <w:rFonts w:hint="eastAsia" w:ascii="仿宋" w:hAnsi="仿宋" w:eastAsia="仿宋"/>
          <w:sz w:val="24"/>
          <w:szCs w:val="24"/>
        </w:rPr>
        <w:t>（实质性要求）</w:t>
      </w:r>
    </w:p>
    <w:p>
      <w:pPr>
        <w:tabs>
          <w:tab w:val="left" w:pos="1134"/>
        </w:tabs>
        <w:spacing w:line="360" w:lineRule="auto"/>
        <w:ind w:firstLine="480" w:firstLineChars="200"/>
        <w:jc w:val="left"/>
        <w:rPr>
          <w:rFonts w:ascii="仿宋" w:hAnsi="仿宋" w:eastAsia="仿宋"/>
          <w:sz w:val="24"/>
        </w:rPr>
      </w:pPr>
      <w:bookmarkStart w:id="64" w:name="_Toc183582216"/>
      <w:bookmarkStart w:id="65" w:name="_Toc183682353"/>
      <w:bookmarkStart w:id="66" w:name="_Toc217446044"/>
      <w:r>
        <w:rPr>
          <w:rFonts w:hint="eastAsia" w:ascii="仿宋" w:hAnsi="仿宋" w:eastAsia="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9.3 如因未翻译而造成的废标，由投标人承担。</w:t>
      </w:r>
    </w:p>
    <w:p>
      <w:pPr>
        <w:pStyle w:val="4"/>
        <w:spacing w:line="400" w:lineRule="exact"/>
        <w:ind w:firstLine="482" w:firstLineChars="200"/>
        <w:rPr>
          <w:rFonts w:ascii="仿宋" w:hAnsi="仿宋" w:eastAsia="仿宋"/>
          <w:sz w:val="24"/>
        </w:rPr>
      </w:pPr>
      <w:r>
        <w:rPr>
          <w:rFonts w:hint="eastAsia" w:ascii="仿宋" w:hAnsi="仿宋" w:eastAsia="仿宋"/>
          <w:sz w:val="24"/>
        </w:rPr>
        <w:t>10．计量单位</w:t>
      </w:r>
      <w:bookmarkEnd w:id="64"/>
      <w:bookmarkEnd w:id="65"/>
      <w:bookmarkEnd w:id="66"/>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sz w:val="24"/>
        </w:rPr>
      </w:pPr>
      <w:bookmarkStart w:id="67" w:name="_Toc217446045"/>
      <w:r>
        <w:rPr>
          <w:rFonts w:hint="eastAsia" w:ascii="仿宋" w:hAnsi="仿宋" w:eastAsia="仿宋"/>
          <w:sz w:val="24"/>
        </w:rPr>
        <w:t>11. 投标货币</w:t>
      </w:r>
      <w:bookmarkEnd w:id="67"/>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4"/>
        <w:spacing w:line="400" w:lineRule="exact"/>
        <w:ind w:firstLine="482" w:firstLineChars="200"/>
        <w:rPr>
          <w:rFonts w:ascii="仿宋" w:hAnsi="仿宋" w:eastAsia="仿宋"/>
          <w:sz w:val="24"/>
        </w:rPr>
      </w:pPr>
      <w:bookmarkStart w:id="68" w:name="_Toc217446046"/>
      <w:r>
        <w:rPr>
          <w:rFonts w:hint="eastAsia" w:ascii="仿宋" w:hAnsi="仿宋" w:eastAsia="仿宋"/>
          <w:sz w:val="24"/>
        </w:rPr>
        <w:t>12. 联合体投标</w:t>
      </w:r>
      <w:bookmarkEnd w:id="68"/>
      <w:r>
        <w:rPr>
          <w:rFonts w:hint="eastAsia" w:ascii="仿宋" w:hAnsi="仿宋" w:eastAsia="仿宋"/>
          <w:sz w:val="24"/>
        </w:rPr>
        <w:t>（仅适用于允许联合体参与的项目）</w:t>
      </w:r>
    </w:p>
    <w:p>
      <w:pPr>
        <w:spacing w:line="400" w:lineRule="exact"/>
        <w:ind w:firstLine="470" w:firstLineChars="196"/>
        <w:rPr>
          <w:rFonts w:ascii="仿宋" w:hAnsi="仿宋" w:eastAsia="仿宋"/>
          <w:sz w:val="24"/>
        </w:rPr>
      </w:pPr>
      <w:bookmarkStart w:id="69" w:name="_Toc217446047"/>
      <w:r>
        <w:rPr>
          <w:rFonts w:hint="eastAsia" w:ascii="仿宋" w:hAnsi="仿宋" w:eastAsia="仿宋"/>
          <w:sz w:val="24"/>
        </w:rPr>
        <w:t>联合体各方应当共同与采购人签订采购合同，就采购合同约定的事项对采购人承担连带责任。</w:t>
      </w:r>
    </w:p>
    <w:p>
      <w:pPr>
        <w:pStyle w:val="4"/>
        <w:spacing w:line="400" w:lineRule="exact"/>
        <w:ind w:firstLine="482" w:firstLineChars="200"/>
        <w:rPr>
          <w:rFonts w:ascii="仿宋" w:hAnsi="仿宋" w:eastAsia="仿宋"/>
          <w:sz w:val="24"/>
        </w:rPr>
      </w:pPr>
      <w:bookmarkStart w:id="70" w:name="_Toc308164797"/>
      <w:r>
        <w:rPr>
          <w:rFonts w:hint="eastAsia" w:ascii="仿宋" w:hAnsi="仿宋" w:eastAsia="仿宋"/>
          <w:sz w:val="24"/>
        </w:rPr>
        <w:t>13. 知识产权</w:t>
      </w:r>
      <w:bookmarkEnd w:id="69"/>
      <w:bookmarkEnd w:id="70"/>
      <w:r>
        <w:rPr>
          <w:rFonts w:hint="eastAsia" w:ascii="仿宋" w:hAnsi="仿宋" w:eastAsia="仿宋"/>
          <w:sz w:val="24"/>
        </w:rPr>
        <w:t>（实质性要求）</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13.2 采购人享有本项目实施过程中产生的知识成果及知识产权。</w:t>
      </w:r>
    </w:p>
    <w:p>
      <w:pPr>
        <w:spacing w:line="400" w:lineRule="exact"/>
        <w:ind w:firstLine="480" w:firstLineChars="200"/>
        <w:rPr>
          <w:rFonts w:ascii="仿宋" w:hAnsi="仿宋" w:eastAsia="仿宋"/>
          <w:sz w:val="24"/>
        </w:rPr>
      </w:pPr>
      <w:r>
        <w:rPr>
          <w:rFonts w:hint="eastAsia" w:ascii="仿宋" w:hAnsi="仿宋" w:eastAsia="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sz w:val="24"/>
        </w:rPr>
      </w:pPr>
      <w:bookmarkStart w:id="71" w:name="_Toc183582217"/>
      <w:bookmarkStart w:id="72" w:name="_Toc217446048"/>
      <w:bookmarkStart w:id="73" w:name="_Toc183682354"/>
      <w:bookmarkStart w:id="74" w:name="_Toc308164798"/>
      <w:r>
        <w:rPr>
          <w:rFonts w:hint="eastAsia" w:ascii="仿宋" w:hAnsi="仿宋" w:eastAsia="仿宋"/>
          <w:sz w:val="24"/>
        </w:rPr>
        <w:t>14．投标文件的组成</w:t>
      </w:r>
      <w:bookmarkEnd w:id="71"/>
      <w:bookmarkEnd w:id="72"/>
      <w:bookmarkEnd w:id="73"/>
      <w:bookmarkEnd w:id="74"/>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文件二：其它响应性投标文件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严格按照招标文件要求提供以下五个方面的相关材料：</w:t>
      </w:r>
    </w:p>
    <w:p>
      <w:pPr>
        <w:pStyle w:val="46"/>
        <w:numPr>
          <w:ilvl w:val="0"/>
          <w:numId w:val="1"/>
        </w:numPr>
        <w:spacing w:line="400" w:lineRule="exact"/>
        <w:ind w:firstLineChars="0"/>
        <w:rPr>
          <w:rFonts w:ascii="仿宋" w:hAnsi="仿宋" w:eastAsia="仿宋"/>
          <w:b/>
          <w:sz w:val="24"/>
        </w:rPr>
      </w:pPr>
      <w:r>
        <w:rPr>
          <w:rFonts w:hint="eastAsia" w:ascii="仿宋" w:hAnsi="仿宋" w:eastAsia="仿宋"/>
          <w:b/>
          <w:sz w:val="24"/>
        </w:rPr>
        <w:t>报价部分。</w:t>
      </w:r>
    </w:p>
    <w:p>
      <w:pPr>
        <w:spacing w:line="400" w:lineRule="exact"/>
        <w:ind w:firstLine="480" w:firstLineChars="200"/>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firstLine="480" w:firstLineChars="200"/>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eastAsia="仿宋"/>
          <w:sz w:val="24"/>
        </w:rPr>
      </w:pPr>
      <w:r>
        <w:rPr>
          <w:rFonts w:hint="eastAsia" w:ascii="仿宋" w:hAnsi="仿宋" w:eastAsia="仿宋"/>
          <w:sz w:val="24"/>
        </w:rPr>
        <w:t xml:space="preserve"> （2）投标人每种货物只允许有一个报价，并且在合同履行过程中是固定不变的，任何有选择或可调整的报价将不予接受，并按无效投标处理（实质性要求）。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eastAsia="仿宋"/>
          <w:sz w:val="24"/>
        </w:rPr>
      </w:pPr>
      <w:r>
        <w:rPr>
          <w:rFonts w:hint="eastAsia" w:ascii="仿宋" w:hAnsi="仿宋" w:eastAsia="仿宋"/>
          <w:sz w:val="24"/>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eastAsia="仿宋"/>
          <w:b/>
          <w:bCs/>
          <w:sz w:val="24"/>
        </w:rPr>
      </w:pPr>
      <w:r>
        <w:rPr>
          <w:rFonts w:hint="eastAsia" w:ascii="仿宋" w:hAnsi="仿宋" w:eastAsia="仿宋"/>
          <w:b/>
          <w:sz w:val="24"/>
        </w:rPr>
        <w:t>（二）技术部分。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（1）投标产品的品牌、型号、配置；</w:t>
      </w:r>
    </w:p>
    <w:p>
      <w:pPr>
        <w:spacing w:line="400" w:lineRule="exact"/>
        <w:ind w:firstLine="480" w:firstLineChars="200"/>
        <w:rPr>
          <w:rFonts w:ascii="仿宋" w:hAnsi="仿宋" w:eastAsia="仿宋"/>
          <w:sz w:val="24"/>
        </w:rPr>
      </w:pPr>
      <w:r>
        <w:rPr>
          <w:rFonts w:hint="eastAsia" w:ascii="仿宋" w:hAnsi="仿宋" w:eastAsia="仿宋"/>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sz w:val="24"/>
        </w:rPr>
      </w:pPr>
      <w:r>
        <w:rPr>
          <w:rFonts w:hint="eastAsia" w:ascii="仿宋" w:hAnsi="仿宋" w:eastAsia="仿宋"/>
          <w:sz w:val="24"/>
        </w:rPr>
        <w:t>（3）技术方案、项目实施方案；</w:t>
      </w:r>
    </w:p>
    <w:p>
      <w:pPr>
        <w:spacing w:line="400" w:lineRule="exact"/>
        <w:ind w:firstLine="480" w:firstLineChars="200"/>
        <w:rPr>
          <w:rFonts w:ascii="仿宋" w:hAnsi="仿宋" w:eastAsia="仿宋"/>
          <w:sz w:val="24"/>
        </w:rPr>
      </w:pPr>
      <w:r>
        <w:rPr>
          <w:rFonts w:hint="eastAsia" w:ascii="仿宋" w:hAnsi="仿宋" w:eastAsia="仿宋"/>
          <w:sz w:val="24"/>
        </w:rPr>
        <w:t>（4）投标产品技术参数表；</w:t>
      </w:r>
    </w:p>
    <w:p>
      <w:pPr>
        <w:spacing w:line="400" w:lineRule="exact"/>
        <w:ind w:firstLine="480" w:firstLineChars="200"/>
        <w:rPr>
          <w:rFonts w:ascii="仿宋" w:hAnsi="仿宋" w:eastAsia="仿宋"/>
          <w:sz w:val="24"/>
        </w:rPr>
      </w:pPr>
      <w:r>
        <w:rPr>
          <w:rFonts w:hint="eastAsia" w:ascii="仿宋" w:hAnsi="仿宋" w:eastAsia="仿宋"/>
          <w:sz w:val="24"/>
        </w:rPr>
        <w:t>（5）产品彩页资料；</w:t>
      </w:r>
    </w:p>
    <w:p>
      <w:pPr>
        <w:spacing w:line="400" w:lineRule="exact"/>
        <w:ind w:firstLine="480" w:firstLineChars="200"/>
        <w:rPr>
          <w:rFonts w:ascii="仿宋" w:hAnsi="仿宋" w:eastAsia="仿宋"/>
          <w:sz w:val="24"/>
        </w:rPr>
      </w:pPr>
      <w:r>
        <w:rPr>
          <w:rFonts w:hint="eastAsia" w:ascii="仿宋" w:hAnsi="仿宋" w:eastAsia="仿宋"/>
          <w:sz w:val="24"/>
        </w:rPr>
        <w:t>（6）产品工作环境条件；</w:t>
      </w:r>
    </w:p>
    <w:p>
      <w:pPr>
        <w:spacing w:line="400" w:lineRule="exact"/>
        <w:ind w:firstLine="480" w:firstLineChars="200"/>
        <w:rPr>
          <w:rFonts w:ascii="仿宋" w:hAnsi="仿宋" w:eastAsia="仿宋"/>
          <w:sz w:val="24"/>
        </w:rPr>
      </w:pPr>
      <w:r>
        <w:rPr>
          <w:rFonts w:hint="eastAsia" w:ascii="仿宋" w:hAnsi="仿宋" w:eastAsia="仿宋"/>
          <w:sz w:val="24"/>
        </w:rPr>
        <w:t>（7）产品验收标准和验收方法；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（8）产品验收清单（注明各部件的品名、数量、价格、规格型号和原产地或生产厂家）。</w:t>
      </w:r>
    </w:p>
    <w:p>
      <w:pPr>
        <w:spacing w:line="400" w:lineRule="exact"/>
        <w:ind w:firstLine="480" w:firstLineChars="200"/>
        <w:rPr>
          <w:rFonts w:ascii="仿宋" w:hAnsi="仿宋" w:eastAsia="仿宋"/>
          <w:sz w:val="24"/>
        </w:rPr>
      </w:pPr>
      <w:r>
        <w:rPr>
          <w:rFonts w:hint="eastAsia" w:ascii="仿宋" w:hAnsi="仿宋" w:eastAsia="仿宋"/>
          <w:sz w:val="24"/>
        </w:rPr>
        <w:t>（9）投标人认为需要提供的文件和资料。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b/>
          <w:bCs/>
          <w:sz w:val="24"/>
        </w:rPr>
      </w:pPr>
      <w:r>
        <w:rPr>
          <w:rFonts w:hint="eastAsia" w:ascii="仿宋" w:hAnsi="仿宋" w:eastAsia="仿宋"/>
          <w:b/>
          <w:sz w:val="24"/>
        </w:rPr>
        <w:t>（四）售后服务。</w:t>
      </w:r>
      <w:r>
        <w:rPr>
          <w:rFonts w:hint="eastAsia" w:ascii="仿宋" w:hAnsi="仿宋" w:eastAsia="仿宋"/>
          <w:sz w:val="24"/>
        </w:rPr>
        <w:t>投标人按照招标文件中售后服务要求作出的积极响应和承诺。包括以下内容（如涉及）：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（1）产品制造厂家或投标人设立的售后服务机构网点清单、服务电话和维修人员名单；</w:t>
      </w:r>
    </w:p>
    <w:p>
      <w:pPr>
        <w:spacing w:line="400" w:lineRule="exact"/>
        <w:ind w:firstLine="480" w:firstLineChars="200"/>
        <w:rPr>
          <w:rFonts w:ascii="仿宋" w:hAnsi="仿宋" w:eastAsia="仿宋"/>
          <w:sz w:val="24"/>
        </w:rPr>
      </w:pPr>
      <w:r>
        <w:rPr>
          <w:rFonts w:hint="eastAsia" w:ascii="仿宋" w:hAnsi="仿宋" w:eastAsia="仿宋"/>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sz w:val="24"/>
        </w:rPr>
      </w:pPr>
      <w:r>
        <w:rPr>
          <w:rFonts w:hint="eastAsia" w:ascii="仿宋" w:hAnsi="仿宋" w:eastAsia="仿宋"/>
          <w:sz w:val="24"/>
        </w:rPr>
        <w:t>（3）培训措施：说明培训内容及培训的时间、地点、目标、培训人数、收费标准和办法；</w:t>
      </w:r>
    </w:p>
    <w:p>
      <w:pPr>
        <w:spacing w:line="400" w:lineRule="exact"/>
        <w:ind w:firstLine="480" w:firstLineChars="200"/>
        <w:rPr>
          <w:rFonts w:ascii="仿宋" w:hAnsi="仿宋" w:eastAsia="仿宋"/>
          <w:sz w:val="24"/>
        </w:rPr>
      </w:pPr>
      <w:r>
        <w:rPr>
          <w:rFonts w:hint="eastAsia" w:ascii="仿宋" w:hAnsi="仿宋" w:eastAsia="仿宋"/>
          <w:sz w:val="24"/>
        </w:rPr>
        <w:t>（4）其他有利于用户的服务承诺。</w:t>
      </w:r>
    </w:p>
    <w:p>
      <w:pPr>
        <w:adjustRightInd w:val="0"/>
        <w:snapToGrid w:val="0"/>
        <w:spacing w:line="400" w:lineRule="exact"/>
        <w:ind w:firstLine="482" w:firstLineChars="200"/>
        <w:rPr>
          <w:rFonts w:ascii="仿宋" w:hAnsi="仿宋" w:eastAsia="仿宋"/>
          <w:sz w:val="24"/>
        </w:rPr>
      </w:pPr>
      <w:r>
        <w:rPr>
          <w:rFonts w:hint="eastAsia" w:ascii="仿宋" w:hAnsi="仿宋" w:eastAsia="仿宋"/>
          <w:b/>
          <w:bCs/>
          <w:sz w:val="24"/>
        </w:rPr>
        <w:t>（五）其他部分。</w:t>
      </w:r>
      <w:r>
        <w:rPr>
          <w:rFonts w:hint="eastAsia" w:ascii="仿宋" w:hAnsi="仿宋" w:eastAsia="仿宋"/>
          <w:bCs/>
          <w:sz w:val="24"/>
        </w:rPr>
        <w:t>投标人按照招标文件要求作出的其他应答和承诺。</w:t>
      </w:r>
    </w:p>
    <w:p>
      <w:pPr>
        <w:pStyle w:val="4"/>
        <w:tabs>
          <w:tab w:val="left" w:pos="3480"/>
        </w:tabs>
        <w:spacing w:line="400" w:lineRule="exact"/>
        <w:ind w:firstLine="482" w:firstLineChars="200"/>
        <w:rPr>
          <w:rFonts w:ascii="仿宋" w:hAnsi="仿宋" w:eastAsia="仿宋"/>
          <w:sz w:val="24"/>
        </w:rPr>
      </w:pPr>
      <w:bookmarkStart w:id="75" w:name="_Toc217446049"/>
      <w:bookmarkStart w:id="76" w:name="_Toc183582218"/>
      <w:bookmarkStart w:id="77" w:name="_Toc308164799"/>
      <w:bookmarkStart w:id="78" w:name="_Toc183682355"/>
      <w:r>
        <w:rPr>
          <w:rFonts w:hint="eastAsia" w:ascii="仿宋" w:hAnsi="仿宋" w:eastAsia="仿宋"/>
          <w:sz w:val="24"/>
        </w:rPr>
        <w:t>15．投标文件格式</w:t>
      </w:r>
      <w:bookmarkEnd w:id="75"/>
      <w:bookmarkEnd w:id="76"/>
      <w:bookmarkEnd w:id="77"/>
      <w:bookmarkEnd w:id="78"/>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15.2 对于没有格式要求的投标文件由投标人自行编写。</w:t>
      </w:r>
    </w:p>
    <w:p>
      <w:pPr>
        <w:pStyle w:val="4"/>
        <w:spacing w:line="400" w:lineRule="exact"/>
        <w:ind w:firstLine="482" w:firstLineChars="200"/>
        <w:rPr>
          <w:rFonts w:ascii="仿宋" w:hAnsi="仿宋" w:eastAsia="仿宋"/>
          <w:sz w:val="24"/>
        </w:rPr>
      </w:pPr>
      <w:bookmarkStart w:id="79" w:name="_Toc183682360"/>
      <w:bookmarkStart w:id="80" w:name="_Toc183582223"/>
      <w:bookmarkStart w:id="81" w:name="_Toc308164800"/>
      <w:bookmarkStart w:id="82" w:name="_Toc217446050"/>
      <w:r>
        <w:rPr>
          <w:rFonts w:hint="eastAsia" w:ascii="仿宋" w:hAnsi="仿宋" w:eastAsia="仿宋"/>
          <w:bCs w:val="0"/>
          <w:sz w:val="24"/>
        </w:rPr>
        <w:t>16．投标保证金</w:t>
      </w:r>
      <w:bookmarkEnd w:id="79"/>
      <w:bookmarkEnd w:id="80"/>
      <w:bookmarkEnd w:id="81"/>
      <w:bookmarkEnd w:id="82"/>
      <w:r>
        <w:rPr>
          <w:rFonts w:hint="eastAsia" w:ascii="仿宋" w:hAnsi="仿宋" w:eastAsia="仿宋"/>
          <w:bCs w:val="0"/>
          <w:sz w:val="24"/>
        </w:rPr>
        <w:t>（本项目</w:t>
      </w:r>
      <w:r>
        <w:rPr>
          <w:rFonts w:ascii="仿宋" w:hAnsi="仿宋" w:eastAsia="仿宋"/>
          <w:bCs w:val="0"/>
          <w:sz w:val="24"/>
        </w:rPr>
        <w:t>不适用</w:t>
      </w:r>
      <w:r>
        <w:rPr>
          <w:rFonts w:hint="eastAsia" w:ascii="仿宋" w:hAnsi="仿宋" w:eastAsia="仿宋"/>
          <w:bCs w:val="0"/>
          <w:sz w:val="24"/>
        </w:rPr>
        <w:t>）</w:t>
      </w:r>
    </w:p>
    <w:p>
      <w:pPr>
        <w:spacing w:line="400" w:lineRule="exact"/>
        <w:ind w:firstLine="480" w:firstLineChars="200"/>
        <w:rPr>
          <w:rFonts w:ascii="仿宋" w:hAnsi="仿宋" w:eastAsia="仿宋"/>
          <w:sz w:val="24"/>
        </w:rPr>
      </w:pPr>
      <w:r>
        <w:rPr>
          <w:rFonts w:hint="eastAsia" w:ascii="仿宋" w:hAnsi="仿宋" w:eastAsia="仿宋"/>
          <w:sz w:val="24"/>
        </w:rPr>
        <w:t>16.1投标人必须以人民币按</w:t>
      </w:r>
      <w:r>
        <w:rPr>
          <w:rFonts w:ascii="仿宋" w:hAnsi="仿宋" w:eastAsia="仿宋"/>
          <w:sz w:val="24"/>
        </w:rPr>
        <w:t>招标文件要求</w:t>
      </w:r>
      <w:r>
        <w:rPr>
          <w:rFonts w:hint="eastAsia" w:ascii="仿宋" w:hAnsi="仿宋" w:eastAsia="仿宋"/>
          <w:sz w:val="24"/>
        </w:rPr>
        <w:t>足额缴纳投标保证金。</w:t>
      </w:r>
    </w:p>
    <w:p>
      <w:pPr>
        <w:tabs>
          <w:tab w:val="left" w:pos="1134"/>
        </w:tabs>
        <w:spacing w:line="400" w:lineRule="exact"/>
        <w:ind w:firstLine="424" w:firstLineChars="177"/>
        <w:rPr>
          <w:rFonts w:ascii="仿宋" w:hAnsi="仿宋" w:eastAsia="仿宋"/>
          <w:sz w:val="24"/>
        </w:rPr>
      </w:pPr>
      <w:r>
        <w:rPr>
          <w:rFonts w:hint="eastAsia" w:ascii="仿宋" w:hAnsi="仿宋" w:eastAsia="仿宋"/>
          <w:sz w:val="24"/>
        </w:rPr>
        <w:t>16.2投标保证金交款方式：</w:t>
      </w:r>
      <w:r>
        <w:rPr>
          <w:rFonts w:hint="eastAsia" w:ascii="仿宋" w:hAnsi="仿宋" w:eastAsia="仿宋" w:cs="宋体"/>
          <w:sz w:val="24"/>
        </w:rPr>
        <w:t>详见投标人须知附表。</w:t>
      </w:r>
    </w:p>
    <w:p>
      <w:pPr>
        <w:tabs>
          <w:tab w:val="left" w:pos="1134"/>
        </w:tabs>
        <w:spacing w:line="400" w:lineRule="exact"/>
        <w:ind w:firstLine="424" w:firstLineChars="177"/>
        <w:rPr>
          <w:rFonts w:ascii="仿宋" w:hAnsi="仿宋" w:eastAsia="仿宋"/>
          <w:sz w:val="24"/>
        </w:rPr>
      </w:pPr>
      <w:r>
        <w:rPr>
          <w:rFonts w:hint="eastAsia" w:ascii="仿宋" w:hAnsi="仿宋" w:eastAsia="仿宋"/>
          <w:sz w:val="24"/>
        </w:rPr>
        <w:t>16.3</w:t>
      </w:r>
      <w:r>
        <w:rPr>
          <w:rFonts w:hint="eastAsia" w:ascii="仿宋" w:hAnsi="仿宋" w:eastAsia="仿宋" w:cs="宋体"/>
          <w:sz w:val="24"/>
        </w:rPr>
        <w:t>未中标人的投标保证金，将在中标通知书发出后5个工作日内全额退还。中标人的投标保证金，在合同签订生效后5个工作日内全额退还</w:t>
      </w:r>
      <w:r>
        <w:rPr>
          <w:rFonts w:hint="eastAsia" w:ascii="仿宋" w:hAnsi="仿宋" w:eastAsia="仿宋"/>
          <w:bCs/>
          <w:sz w:val="24"/>
        </w:rPr>
        <w:t>（注：</w:t>
      </w:r>
      <w:r>
        <w:rPr>
          <w:rFonts w:hint="eastAsia" w:ascii="仿宋" w:hAnsi="仿宋" w:eastAsia="仿宋" w:cs="宋体"/>
          <w:bCs/>
          <w:sz w:val="24"/>
        </w:rPr>
        <w:fldChar w:fldCharType="begin"/>
      </w:r>
      <w:r>
        <w:rPr>
          <w:rFonts w:hint="eastAsia" w:ascii="仿宋" w:hAnsi="仿宋" w:eastAsia="仿宋" w:cs="宋体"/>
          <w:bCs/>
          <w:sz w:val="24"/>
        </w:rPr>
        <w:instrText xml:space="preserve"> = 1 \* GB3 \* MERGEFORMAT </w:instrText>
      </w:r>
      <w:r>
        <w:rPr>
          <w:rFonts w:hint="eastAsia" w:ascii="仿宋" w:hAnsi="仿宋" w:eastAsia="仿宋" w:cs="宋体"/>
          <w:bCs/>
          <w:sz w:val="24"/>
        </w:rPr>
        <w:fldChar w:fldCharType="separate"/>
      </w:r>
      <w:r>
        <w:rPr>
          <w:rFonts w:hint="eastAsia" w:ascii="仿宋" w:hAnsi="仿宋" w:eastAsia="仿宋" w:cs="宋体"/>
          <w:bCs/>
          <w:sz w:val="24"/>
        </w:rPr>
        <w:t>①</w:t>
      </w:r>
      <w:r>
        <w:rPr>
          <w:rFonts w:hint="eastAsia" w:ascii="仿宋" w:hAnsi="仿宋" w:eastAsia="仿宋" w:cs="宋体"/>
          <w:bCs/>
          <w:sz w:val="24"/>
        </w:rPr>
        <w:fldChar w:fldCharType="end"/>
      </w:r>
      <w:r>
        <w:rPr>
          <w:rFonts w:hint="eastAsia" w:ascii="仿宋" w:hAnsi="仿宋" w:eastAsia="仿宋" w:cs="宋体"/>
          <w:bCs/>
          <w:sz w:val="24"/>
        </w:rPr>
        <w:t>因投标人自身原因造成的保证金延迟退还或者投标人和采购代理机构书面协商可以延迟退还的，采购代理机构不承担相应责任；</w:t>
      </w:r>
      <w:r>
        <w:rPr>
          <w:rFonts w:hint="eastAsia" w:ascii="仿宋" w:hAnsi="仿宋" w:eastAsia="仿宋" w:cs="宋体"/>
          <w:bCs/>
          <w:sz w:val="24"/>
        </w:rPr>
        <w:fldChar w:fldCharType="begin"/>
      </w:r>
      <w:r>
        <w:rPr>
          <w:rFonts w:hint="eastAsia" w:ascii="仿宋" w:hAnsi="仿宋" w:eastAsia="仿宋" w:cs="宋体"/>
          <w:bCs/>
          <w:sz w:val="24"/>
        </w:rPr>
        <w:instrText xml:space="preserve"> = 2 \* GB3 \* MERGEFORMAT </w:instrText>
      </w:r>
      <w:r>
        <w:rPr>
          <w:rFonts w:hint="eastAsia" w:ascii="仿宋" w:hAnsi="仿宋" w:eastAsia="仿宋" w:cs="宋体"/>
          <w:bCs/>
          <w:sz w:val="24"/>
        </w:rPr>
        <w:fldChar w:fldCharType="separate"/>
      </w:r>
      <w:r>
        <w:rPr>
          <w:rFonts w:hint="eastAsia" w:ascii="仿宋" w:hAnsi="仿宋" w:eastAsia="仿宋" w:cs="宋体"/>
          <w:bCs/>
          <w:sz w:val="24"/>
        </w:rPr>
        <w:t>②</w:t>
      </w:r>
      <w:r>
        <w:rPr>
          <w:rFonts w:hint="eastAsia" w:ascii="仿宋" w:hAnsi="仿宋" w:eastAsia="仿宋" w:cs="宋体"/>
          <w:bCs/>
          <w:sz w:val="24"/>
        </w:rPr>
        <w:fldChar w:fldCharType="end"/>
      </w:r>
      <w:r>
        <w:rPr>
          <w:rFonts w:hint="eastAsia" w:ascii="仿宋" w:hAnsi="仿宋" w:eastAsia="仿宋"/>
          <w:bCs/>
          <w:sz w:val="24"/>
        </w:rPr>
        <w:t>供应商因涉嫌违法违规，按照规定应当不予退还保证金的，有关部门处理认定违法违规行为期间不计入退还保证金时限之内。）</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16.4发生下列情形之一的，采购代理机构可以不予退还投标保证金：</w:t>
      </w:r>
    </w:p>
    <w:p>
      <w:pPr>
        <w:spacing w:line="400" w:lineRule="exact"/>
        <w:ind w:firstLine="470" w:firstLineChars="196"/>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）在招标文件规定的投标截止时间后撤回投标的；</w:t>
      </w:r>
    </w:p>
    <w:p>
      <w:pPr>
        <w:spacing w:line="400" w:lineRule="exact"/>
        <w:ind w:firstLine="470" w:firstLineChars="196"/>
        <w:rPr>
          <w:rFonts w:ascii="仿宋" w:hAnsi="仿宋" w:eastAsia="仿宋"/>
          <w:sz w:val="24"/>
        </w:rPr>
      </w:pPr>
      <w:r>
        <w:rPr>
          <w:rFonts w:hint="eastAsia" w:ascii="仿宋" w:hAnsi="仿宋" w:eastAsia="仿宋"/>
          <w:sz w:val="24"/>
        </w:rPr>
        <w:t>（2）在采购人确定中标人以前放弃中标候选资格的；</w:t>
      </w:r>
    </w:p>
    <w:p>
      <w:pPr>
        <w:spacing w:line="400" w:lineRule="exact"/>
        <w:ind w:firstLine="470" w:firstLineChars="196"/>
        <w:rPr>
          <w:rFonts w:ascii="仿宋" w:hAnsi="仿宋" w:eastAsia="仿宋"/>
          <w:sz w:val="24"/>
        </w:rPr>
      </w:pPr>
      <w:r>
        <w:rPr>
          <w:rFonts w:hint="eastAsia" w:ascii="仿宋" w:hAnsi="仿宋" w:eastAsia="仿宋"/>
          <w:sz w:val="24"/>
        </w:rPr>
        <w:t>（3）中标后放弃中标、不领取或者不接收中标通知书的；</w:t>
      </w:r>
    </w:p>
    <w:p>
      <w:pPr>
        <w:spacing w:line="400" w:lineRule="exact"/>
        <w:ind w:firstLine="470" w:firstLineChars="196"/>
        <w:rPr>
          <w:rFonts w:ascii="仿宋" w:hAnsi="仿宋" w:eastAsia="仿宋"/>
          <w:sz w:val="24"/>
        </w:rPr>
      </w:pPr>
      <w:r>
        <w:rPr>
          <w:rFonts w:hint="eastAsia" w:ascii="仿宋" w:hAnsi="仿宋" w:eastAsia="仿宋"/>
          <w:sz w:val="24"/>
        </w:rPr>
        <w:t>（4）由于中标人的原因未能按照招标文件的规定与采购人签订合同的；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（5）由于中标人的原因未能按照招标文件的规定交纳履约保证金的；</w:t>
      </w:r>
    </w:p>
    <w:p>
      <w:pPr>
        <w:spacing w:line="400" w:lineRule="exact"/>
        <w:ind w:firstLine="470" w:firstLineChars="196"/>
        <w:rPr>
          <w:rFonts w:ascii="仿宋" w:hAnsi="仿宋" w:eastAsia="仿宋"/>
          <w:sz w:val="24"/>
        </w:rPr>
      </w:pPr>
      <w:r>
        <w:rPr>
          <w:rFonts w:hint="eastAsia" w:ascii="仿宋" w:hAnsi="仿宋" w:eastAsia="仿宋"/>
          <w:sz w:val="24"/>
        </w:rPr>
        <w:t>（6）投标人提供虚假资料的；</w:t>
      </w:r>
    </w:p>
    <w:p>
      <w:pPr>
        <w:spacing w:line="400" w:lineRule="exact"/>
        <w:ind w:firstLine="470" w:firstLineChars="196"/>
        <w:rPr>
          <w:rFonts w:ascii="仿宋" w:hAnsi="仿宋" w:eastAsia="仿宋"/>
          <w:sz w:val="24"/>
        </w:rPr>
      </w:pPr>
      <w:r>
        <w:rPr>
          <w:rFonts w:hint="eastAsia" w:ascii="仿宋" w:hAnsi="仿宋" w:eastAsia="仿宋"/>
          <w:sz w:val="24"/>
        </w:rPr>
        <w:t>（7）投标有效期内，投标人在政府采购活动中有违法、违规、违纪行为。</w:t>
      </w:r>
    </w:p>
    <w:p>
      <w:pPr>
        <w:spacing w:line="400" w:lineRule="exact"/>
        <w:ind w:firstLine="470" w:firstLineChars="196"/>
        <w:rPr>
          <w:rFonts w:ascii="仿宋" w:hAnsi="仿宋" w:eastAsia="仿宋"/>
          <w:sz w:val="24"/>
        </w:rPr>
      </w:pPr>
      <w:r>
        <w:rPr>
          <w:rFonts w:hint="eastAsia" w:ascii="仿宋" w:hAnsi="仿宋" w:eastAsia="仿宋"/>
          <w:sz w:val="24"/>
        </w:rPr>
        <w:t>（8）投标有效期内，投标人撤销投标文件的。</w:t>
      </w:r>
    </w:p>
    <w:p>
      <w:pPr>
        <w:pStyle w:val="4"/>
        <w:spacing w:line="400" w:lineRule="exact"/>
        <w:ind w:firstLine="482" w:firstLineChars="200"/>
        <w:rPr>
          <w:rFonts w:ascii="仿宋" w:hAnsi="仿宋" w:eastAsia="仿宋"/>
          <w:bCs w:val="0"/>
          <w:sz w:val="24"/>
        </w:rPr>
      </w:pPr>
      <w:bookmarkStart w:id="83" w:name="_Toc183682361"/>
      <w:bookmarkStart w:id="84" w:name="_Toc217446051"/>
      <w:bookmarkStart w:id="85" w:name="_Toc308164801"/>
      <w:bookmarkStart w:id="86" w:name="_Toc183582224"/>
      <w:r>
        <w:rPr>
          <w:rFonts w:hint="eastAsia" w:ascii="仿宋" w:hAnsi="仿宋" w:eastAsia="仿宋"/>
          <w:bCs w:val="0"/>
          <w:sz w:val="24"/>
        </w:rPr>
        <w:t>17．投标有效期</w:t>
      </w:r>
      <w:bookmarkEnd w:id="83"/>
      <w:bookmarkEnd w:id="84"/>
      <w:bookmarkEnd w:id="85"/>
      <w:bookmarkEnd w:id="86"/>
      <w:r>
        <w:rPr>
          <w:rFonts w:hint="eastAsia" w:ascii="仿宋" w:hAnsi="仿宋" w:eastAsia="仿宋"/>
          <w:sz w:val="24"/>
          <w:szCs w:val="24"/>
        </w:rPr>
        <w:t>（实质性要求）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本项目投标有效期为投标截止时间届满后</w:t>
      </w:r>
      <w:r>
        <w:rPr>
          <w:rFonts w:hint="eastAsia"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sz w:val="24"/>
        </w:rPr>
      </w:pPr>
      <w:bookmarkStart w:id="87" w:name="_Toc217446052"/>
      <w:bookmarkStart w:id="88" w:name="_Toc183682362"/>
      <w:bookmarkStart w:id="89" w:name="_Toc183582225"/>
      <w:bookmarkStart w:id="90" w:name="_Toc308164802"/>
      <w:r>
        <w:rPr>
          <w:rFonts w:hint="eastAsia" w:ascii="仿宋" w:hAnsi="仿宋" w:eastAsia="仿宋"/>
          <w:bCs w:val="0"/>
          <w:sz w:val="24"/>
        </w:rPr>
        <w:t>18．投标文件的印制和签署</w:t>
      </w:r>
      <w:bookmarkEnd w:id="87"/>
      <w:bookmarkEnd w:id="88"/>
      <w:bookmarkEnd w:id="89"/>
      <w:bookmarkEnd w:id="90"/>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18.1投标文件分为“资格性投标文件”和“其他响应性投标文件”两部分，且该两部分应分册装订。</w:t>
      </w:r>
    </w:p>
    <w:p>
      <w:pPr>
        <w:spacing w:line="400" w:lineRule="exact"/>
        <w:ind w:firstLine="468" w:firstLineChars="195"/>
        <w:rPr>
          <w:rFonts w:ascii="仿宋" w:hAnsi="仿宋" w:eastAsia="仿宋"/>
          <w:bCs/>
          <w:sz w:val="24"/>
        </w:rPr>
      </w:pPr>
      <w:r>
        <w:rPr>
          <w:rFonts w:hint="eastAsia" w:ascii="仿宋" w:hAnsi="仿宋" w:eastAsia="仿宋"/>
          <w:sz w:val="24"/>
        </w:rPr>
        <w:t>18.</w:t>
      </w:r>
      <w:r>
        <w:rPr>
          <w:rFonts w:ascii="仿宋" w:hAnsi="仿宋" w:eastAsia="仿宋"/>
          <w:sz w:val="24"/>
        </w:rPr>
        <w:t>2</w:t>
      </w:r>
      <w:r>
        <w:rPr>
          <w:rFonts w:hint="eastAsia" w:ascii="仿宋" w:hAnsi="仿宋" w:eastAsia="仿宋"/>
          <w:sz w:val="24"/>
        </w:rPr>
        <w:t>资格性投标文件正本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4</w:t>
      </w:r>
      <w:r>
        <w:rPr>
          <w:rFonts w:hint="eastAsia" w:ascii="仿宋" w:hAnsi="仿宋" w:eastAsia="仿宋"/>
          <w:sz w:val="24"/>
        </w:rPr>
        <w:t>份</w:t>
      </w:r>
      <w:r>
        <w:rPr>
          <w:rFonts w:hint="eastAsia" w:ascii="仿宋" w:hAnsi="仿宋" w:eastAsia="仿宋"/>
          <w:bCs/>
          <w:sz w:val="24"/>
        </w:rPr>
        <w:t>，并在其封面上清楚地标明</w:t>
      </w:r>
      <w:r>
        <w:rPr>
          <w:rFonts w:hint="eastAsia" w:ascii="仿宋" w:hAnsi="仿宋" w:eastAsia="仿宋"/>
          <w:sz w:val="24"/>
        </w:rPr>
        <w:t>资格性投标文件</w:t>
      </w:r>
      <w:r>
        <w:rPr>
          <w:rFonts w:hint="eastAsia" w:ascii="仿宋" w:hAnsi="仿宋" w:eastAsia="仿宋"/>
          <w:bCs/>
          <w:sz w:val="24"/>
        </w:rPr>
        <w:t>、项目名称、项目编号、包件号及名称（若有）、投标人名称以及“正本”或“副本”字样。若正本和副本有不一致的内容，以正本书面投标文件为准。</w:t>
      </w:r>
    </w:p>
    <w:p>
      <w:pPr>
        <w:spacing w:line="400" w:lineRule="exact"/>
        <w:ind w:firstLine="468" w:firstLineChars="195"/>
        <w:rPr>
          <w:rFonts w:ascii="仿宋" w:hAnsi="仿宋" w:eastAsia="仿宋"/>
          <w:bCs/>
          <w:sz w:val="24"/>
        </w:rPr>
      </w:pPr>
      <w:r>
        <w:rPr>
          <w:rFonts w:hint="eastAsia" w:ascii="仿宋" w:hAnsi="仿宋" w:eastAsia="仿宋"/>
          <w:bCs/>
          <w:sz w:val="24"/>
        </w:rPr>
        <w:t>18.</w:t>
      </w:r>
      <w:r>
        <w:rPr>
          <w:rFonts w:ascii="仿宋" w:hAnsi="仿宋" w:eastAsia="仿宋"/>
          <w:bCs/>
          <w:sz w:val="24"/>
        </w:rPr>
        <w:t>3</w:t>
      </w:r>
      <w:r>
        <w:rPr>
          <w:rFonts w:hint="eastAsia" w:ascii="仿宋" w:hAnsi="仿宋" w:eastAsia="仿宋"/>
          <w:sz w:val="24"/>
        </w:rPr>
        <w:t>其他响应性投标文件</w:t>
      </w:r>
      <w:r>
        <w:rPr>
          <w:rFonts w:hint="eastAsia" w:ascii="仿宋" w:hAnsi="仿宋" w:eastAsia="仿宋"/>
          <w:bCs/>
          <w:sz w:val="24"/>
        </w:rPr>
        <w:t>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4</w:t>
      </w:r>
      <w:r>
        <w:rPr>
          <w:rFonts w:hint="eastAsia" w:ascii="仿宋" w:hAnsi="仿宋" w:eastAsia="仿宋"/>
          <w:bCs/>
          <w:sz w:val="24"/>
        </w:rPr>
        <w:t>份，并在其封面上清楚地标明</w:t>
      </w:r>
      <w:r>
        <w:rPr>
          <w:rFonts w:hint="eastAsia" w:ascii="仿宋" w:hAnsi="仿宋" w:eastAsia="仿宋"/>
          <w:sz w:val="24"/>
        </w:rPr>
        <w:t>其他响应性投标文件</w:t>
      </w:r>
      <w:r>
        <w:rPr>
          <w:rFonts w:hint="eastAsia" w:ascii="仿宋" w:hAnsi="仿宋" w:eastAsia="仿宋"/>
          <w:bCs/>
          <w:sz w:val="24"/>
        </w:rPr>
        <w:t>、项目名称、项目编号、包件号及名称（若有）、投标人名称以及“正本”或“副本”字样。若正本和副本有不一致的内容，以正本书面投标文件为准。</w:t>
      </w:r>
    </w:p>
    <w:p>
      <w:pPr>
        <w:tabs>
          <w:tab w:val="left" w:pos="1080"/>
        </w:tabs>
        <w:spacing w:line="400" w:lineRule="exact"/>
        <w:ind w:firstLine="463" w:firstLineChars="192"/>
        <w:rPr>
          <w:rFonts w:ascii="仿宋" w:hAnsi="仿宋" w:eastAsia="仿宋"/>
          <w:b/>
          <w:sz w:val="24"/>
        </w:rPr>
      </w:pPr>
      <w:r>
        <w:rPr>
          <w:rFonts w:ascii="仿宋" w:hAnsi="仿宋" w:eastAsia="仿宋"/>
          <w:b/>
          <w:sz w:val="24"/>
        </w:rPr>
        <w:t>18.4</w:t>
      </w:r>
      <w:r>
        <w:rPr>
          <w:rFonts w:hint="eastAsia" w:ascii="仿宋" w:hAnsi="仿宋" w:eastAsia="仿宋"/>
          <w:b/>
          <w:sz w:val="24"/>
        </w:rPr>
        <w:t>“开标一览表”应编制于其他响应性投标文件正副本内，如有遗漏，将视为无效投标（实质性要求）。</w:t>
      </w:r>
    </w:p>
    <w:p>
      <w:pPr>
        <w:tabs>
          <w:tab w:val="left" w:pos="1080"/>
        </w:tabs>
        <w:spacing w:line="400" w:lineRule="exact"/>
        <w:ind w:firstLine="463" w:firstLineChars="192"/>
        <w:rPr>
          <w:rFonts w:ascii="仿宋" w:hAnsi="仿宋" w:eastAsia="仿宋"/>
          <w:b/>
          <w:sz w:val="24"/>
        </w:rPr>
      </w:pPr>
      <w:r>
        <w:rPr>
          <w:rFonts w:hint="eastAsia" w:ascii="仿宋" w:hAnsi="仿宋" w:eastAsia="仿宋"/>
          <w:b/>
          <w:sz w:val="24"/>
        </w:rPr>
        <w:t>注</w:t>
      </w:r>
      <w:r>
        <w:rPr>
          <w:rFonts w:ascii="仿宋" w:hAnsi="仿宋" w:eastAsia="仿宋"/>
          <w:b/>
          <w:sz w:val="24"/>
        </w:rPr>
        <w:t>：</w:t>
      </w:r>
      <w:r>
        <w:rPr>
          <w:rFonts w:hint="eastAsia" w:ascii="仿宋" w:hAnsi="仿宋" w:eastAsia="仿宋"/>
          <w:b/>
          <w:sz w:val="24"/>
        </w:rPr>
        <w:t>本</w:t>
      </w:r>
      <w:r>
        <w:rPr>
          <w:rFonts w:ascii="仿宋" w:hAnsi="仿宋" w:eastAsia="仿宋"/>
          <w:b/>
          <w:sz w:val="24"/>
        </w:rPr>
        <w:t>项目</w:t>
      </w:r>
      <w:r>
        <w:rPr>
          <w:rFonts w:hint="eastAsia" w:ascii="仿宋" w:hAnsi="仿宋" w:eastAsia="仿宋"/>
          <w:b/>
          <w:sz w:val="24"/>
        </w:rPr>
        <w:t>不需要</w:t>
      </w:r>
      <w:r>
        <w:rPr>
          <w:rFonts w:ascii="仿宋" w:hAnsi="仿宋" w:eastAsia="仿宋"/>
          <w:b/>
          <w:sz w:val="24"/>
        </w:rPr>
        <w:t>提供</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w:t>
      </w:r>
      <w:r>
        <w:rPr>
          <w:rFonts w:ascii="仿宋" w:hAnsi="仿宋" w:eastAsia="仿宋"/>
          <w:b/>
          <w:sz w:val="24"/>
        </w:rPr>
        <w:t>若</w:t>
      </w:r>
      <w:r>
        <w:rPr>
          <w:rFonts w:hint="eastAsia" w:ascii="仿宋" w:hAnsi="仿宋" w:eastAsia="仿宋"/>
          <w:b/>
          <w:sz w:val="24"/>
        </w:rPr>
        <w:t>投标人</w:t>
      </w:r>
      <w:r>
        <w:rPr>
          <w:rFonts w:ascii="仿宋" w:hAnsi="仿宋" w:eastAsia="仿宋"/>
          <w:b/>
          <w:sz w:val="24"/>
        </w:rPr>
        <w:t>提供有</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”，该单独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”不作为开标、</w:t>
      </w:r>
      <w:r>
        <w:rPr>
          <w:rFonts w:ascii="仿宋" w:hAnsi="仿宋" w:eastAsia="仿宋"/>
          <w:b/>
          <w:sz w:val="24"/>
        </w:rPr>
        <w:t>唱标及评标的依据</w:t>
      </w:r>
      <w:r>
        <w:rPr>
          <w:rFonts w:hint="eastAsia" w:ascii="仿宋" w:hAnsi="仿宋" w:eastAsia="仿宋"/>
          <w:b/>
          <w:sz w:val="24"/>
        </w:rPr>
        <w:t>，但投标人在规定的投标截止时间前，按</w:t>
      </w:r>
      <w:r>
        <w:rPr>
          <w:rFonts w:ascii="仿宋" w:hAnsi="仿宋" w:eastAsia="仿宋"/>
          <w:b/>
          <w:sz w:val="24"/>
        </w:rPr>
        <w:t>招标文件要求</w:t>
      </w:r>
      <w:r>
        <w:rPr>
          <w:rFonts w:hint="eastAsia" w:ascii="仿宋" w:hAnsi="仿宋" w:eastAsia="仿宋"/>
          <w:b/>
          <w:sz w:val="24"/>
        </w:rPr>
        <w:t>补充</w:t>
      </w:r>
      <w:r>
        <w:rPr>
          <w:rFonts w:ascii="仿宋" w:hAnsi="仿宋" w:eastAsia="仿宋"/>
          <w:b/>
          <w:sz w:val="24"/>
        </w:rPr>
        <w:t>、</w:t>
      </w:r>
      <w:r>
        <w:rPr>
          <w:rFonts w:hint="eastAsia" w:ascii="仿宋" w:hAnsi="仿宋" w:eastAsia="仿宋"/>
          <w:b/>
          <w:sz w:val="24"/>
        </w:rPr>
        <w:t>修改投标文件中“</w:t>
      </w:r>
      <w:r>
        <w:rPr>
          <w:rFonts w:ascii="仿宋" w:hAnsi="仿宋" w:eastAsia="仿宋"/>
          <w:b/>
          <w:sz w:val="24"/>
        </w:rPr>
        <w:t>开标一览表</w:t>
      </w:r>
      <w:r>
        <w:rPr>
          <w:rFonts w:hint="eastAsia" w:ascii="仿宋" w:hAnsi="仿宋" w:eastAsia="仿宋"/>
          <w:b/>
          <w:sz w:val="24"/>
        </w:rPr>
        <w:t>”内容</w:t>
      </w:r>
      <w:r>
        <w:rPr>
          <w:rFonts w:ascii="仿宋" w:hAnsi="仿宋" w:eastAsia="仿宋"/>
          <w:b/>
          <w:sz w:val="24"/>
        </w:rPr>
        <w:t>的</w:t>
      </w:r>
      <w:r>
        <w:rPr>
          <w:rFonts w:hint="eastAsia" w:ascii="仿宋" w:hAnsi="仿宋" w:eastAsia="仿宋"/>
          <w:b/>
          <w:sz w:val="24"/>
        </w:rPr>
        <w:t>除外。</w:t>
      </w:r>
    </w:p>
    <w:p>
      <w:pPr>
        <w:tabs>
          <w:tab w:val="left" w:pos="1095"/>
        </w:tabs>
        <w:spacing w:line="400" w:lineRule="exact"/>
        <w:ind w:firstLine="460" w:firstLineChars="192"/>
        <w:rPr>
          <w:rFonts w:ascii="仿宋" w:hAnsi="仿宋" w:eastAsia="仿宋"/>
          <w:sz w:val="24"/>
        </w:rPr>
      </w:pPr>
      <w:r>
        <w:rPr>
          <w:rFonts w:ascii="仿宋" w:hAnsi="仿宋" w:eastAsia="仿宋"/>
          <w:sz w:val="24"/>
        </w:rPr>
        <w:t>18.5 投标文件的正本和副本均需打印或用不褪色、</w:t>
      </w:r>
      <w:r>
        <w:rPr>
          <w:rFonts w:hint="eastAsia" w:ascii="仿宋" w:hAnsi="仿宋" w:eastAsia="仿宋"/>
          <w:sz w:val="24"/>
        </w:rPr>
        <w:t>不变质的墨水书写。投标文件副本可采用正本的复印件，提供电子文档</w:t>
      </w:r>
      <w:r>
        <w:rPr>
          <w:rFonts w:ascii="仿宋" w:hAnsi="仿宋" w:eastAsia="仿宋"/>
          <w:sz w:val="24"/>
        </w:rPr>
        <w:t>1份</w:t>
      </w:r>
      <w:r>
        <w:rPr>
          <w:rFonts w:hint="eastAsia" w:ascii="仿宋" w:hAnsi="仿宋" w:eastAsia="仿宋"/>
          <w:sz w:val="24"/>
        </w:rPr>
        <w:t>采用光盘或</w:t>
      </w:r>
      <w:r>
        <w:rPr>
          <w:rFonts w:ascii="仿宋" w:hAnsi="仿宋" w:eastAsia="仿宋"/>
          <w:sz w:val="24"/>
        </w:rPr>
        <w:t>U盘制作。</w:t>
      </w:r>
    </w:p>
    <w:p>
      <w:pPr>
        <w:tabs>
          <w:tab w:val="left" w:pos="1095"/>
        </w:tabs>
        <w:spacing w:line="400" w:lineRule="exact"/>
        <w:ind w:firstLine="460" w:firstLineChars="192"/>
        <w:rPr>
          <w:rFonts w:ascii="仿宋" w:hAnsi="仿宋" w:eastAsia="仿宋"/>
          <w:sz w:val="24"/>
        </w:rPr>
      </w:pPr>
      <w:r>
        <w:rPr>
          <w:rFonts w:ascii="仿宋" w:hAnsi="仿宋" w:eastAsia="仿宋"/>
          <w:sz w:val="24"/>
        </w:rPr>
        <w:t>18.6投标文件应由投标人的法定代表人/单位负责人或其授权代表</w:t>
      </w:r>
      <w:r>
        <w:rPr>
          <w:rFonts w:hint="eastAsia" w:ascii="仿宋" w:hAnsi="仿宋" w:eastAsia="仿宋"/>
          <w:sz w:val="24"/>
        </w:rPr>
        <w:t>在投标文件</w:t>
      </w:r>
      <w:r>
        <w:rPr>
          <w:rFonts w:hint="eastAsia" w:ascii="仿宋" w:hAnsi="仿宋" w:eastAsia="仿宋"/>
          <w:bCs/>
          <w:sz w:val="24"/>
        </w:rPr>
        <w:t>要求的地方签字或加盖私人印章，要求加盖公章的地方加盖单位公章，不得使用专用章（如经济合同章、投标专用章等）或下属单位印章代替</w:t>
      </w:r>
      <w:r>
        <w:rPr>
          <w:rFonts w:hint="eastAsia" w:ascii="仿宋" w:hAnsi="仿宋" w:eastAsia="仿宋"/>
          <w:b/>
          <w:sz w:val="24"/>
        </w:rPr>
        <w:t>（实质性要求）</w:t>
      </w:r>
      <w:r>
        <w:rPr>
          <w:rFonts w:hint="eastAsia" w:ascii="仿宋" w:hAnsi="仿宋" w:eastAsia="仿宋"/>
          <w:bCs/>
          <w:sz w:val="24"/>
        </w:rPr>
        <w:t>。</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7</w:t>
      </w:r>
      <w:r>
        <w:rPr>
          <w:rFonts w:hint="eastAsia" w:ascii="仿宋" w:hAnsi="仿宋" w:eastAsia="仿宋"/>
          <w:sz w:val="24"/>
        </w:rPr>
        <w:t xml:space="preserve"> 投标文件的打印和书写应清楚工整，任何行间插字、涂改或增删，必须由投标人的法定代表人/单位负责人或其授权代表签字或盖个人印鉴。</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8</w:t>
      </w:r>
      <w:r>
        <w:rPr>
          <w:rFonts w:hint="eastAsia" w:ascii="仿宋" w:hAnsi="仿宋" w:eastAsia="仿宋"/>
          <w:sz w:val="24"/>
        </w:rPr>
        <w:t xml:space="preserve"> 投标文件正本和副本应当采取胶装方式装订成册，不得散装或者活页装订。</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9</w:t>
      </w:r>
      <w:r>
        <w:rPr>
          <w:rFonts w:hint="eastAsia" w:ascii="仿宋" w:hAnsi="仿宋" w:eastAsia="仿宋"/>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pPr>
        <w:pStyle w:val="4"/>
        <w:spacing w:line="400" w:lineRule="exact"/>
        <w:ind w:firstLine="482" w:firstLineChars="200"/>
        <w:rPr>
          <w:rFonts w:ascii="仿宋" w:hAnsi="仿宋" w:eastAsia="仿宋"/>
          <w:sz w:val="24"/>
          <w:szCs w:val="24"/>
        </w:rPr>
      </w:pPr>
      <w:bookmarkStart w:id="91" w:name="_Toc183682363"/>
      <w:bookmarkStart w:id="92" w:name="_Toc183582226"/>
      <w:bookmarkStart w:id="93" w:name="_Toc77400781"/>
      <w:bookmarkStart w:id="94" w:name="_Toc89075877"/>
      <w:bookmarkStart w:id="95" w:name="_Toc217446053"/>
      <w:bookmarkStart w:id="96" w:name="_Toc308164803"/>
      <w:r>
        <w:rPr>
          <w:rFonts w:hint="eastAsia" w:ascii="仿宋" w:hAnsi="仿宋" w:eastAsia="仿宋"/>
          <w:bCs w:val="0"/>
          <w:sz w:val="24"/>
          <w:szCs w:val="24"/>
        </w:rPr>
        <w:t>19.</w:t>
      </w:r>
      <w:r>
        <w:rPr>
          <w:rFonts w:hint="eastAsia" w:ascii="仿宋" w:hAnsi="仿宋" w:eastAsia="仿宋"/>
          <w:sz w:val="24"/>
          <w:szCs w:val="24"/>
        </w:rPr>
        <w:t>投标文件的密封和标</w:t>
      </w:r>
      <w:bookmarkEnd w:id="91"/>
      <w:bookmarkEnd w:id="92"/>
      <w:bookmarkEnd w:id="93"/>
      <w:bookmarkEnd w:id="94"/>
      <w:r>
        <w:rPr>
          <w:rFonts w:hint="eastAsia" w:ascii="仿宋" w:hAnsi="仿宋" w:eastAsia="仿宋"/>
          <w:sz w:val="24"/>
          <w:szCs w:val="24"/>
        </w:rPr>
        <w:t>注</w:t>
      </w:r>
      <w:bookmarkEnd w:id="95"/>
      <w:bookmarkEnd w:id="96"/>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19.1 投标人应在投标文件正本和所有副本的封面上注明投标人名称、项目编号、项目名称及分包号（如有分包）。</w:t>
      </w:r>
    </w:p>
    <w:p>
      <w:pPr>
        <w:tabs>
          <w:tab w:val="left" w:pos="1080"/>
        </w:tabs>
        <w:spacing w:line="400" w:lineRule="exact"/>
        <w:ind w:firstLine="460" w:firstLineChars="192"/>
        <w:rPr>
          <w:rFonts w:ascii="仿宋" w:hAnsi="仿宋" w:eastAsia="仿宋"/>
          <w:sz w:val="24"/>
        </w:rPr>
      </w:pPr>
      <w:r>
        <w:rPr>
          <w:rFonts w:ascii="仿宋" w:hAnsi="仿宋" w:eastAsia="仿宋"/>
          <w:sz w:val="24"/>
        </w:rPr>
        <w:t>19.2</w:t>
      </w:r>
      <w:r>
        <w:rPr>
          <w:rFonts w:hint="eastAsia" w:ascii="仿宋" w:hAnsi="仿宋" w:eastAsia="仿宋"/>
          <w:sz w:val="24"/>
        </w:rPr>
        <w:t xml:space="preserve"> 投标文件的密封袋上应当注明投标人名称、项目编号、项目名称及分包号（如有分包）。</w:t>
      </w:r>
    </w:p>
    <w:p>
      <w:pPr>
        <w:pStyle w:val="4"/>
        <w:spacing w:line="400" w:lineRule="exact"/>
        <w:ind w:firstLine="482" w:firstLineChars="200"/>
        <w:rPr>
          <w:rFonts w:ascii="仿宋" w:hAnsi="仿宋" w:eastAsia="仿宋"/>
          <w:bCs w:val="0"/>
          <w:sz w:val="24"/>
          <w:szCs w:val="24"/>
        </w:rPr>
      </w:pPr>
      <w:bookmarkStart w:id="97" w:name="_Toc183582227"/>
      <w:bookmarkStart w:id="98" w:name="_Toc183682364"/>
      <w:bookmarkStart w:id="99" w:name="_Toc308164804"/>
      <w:bookmarkStart w:id="100" w:name="_Toc217446054"/>
      <w:r>
        <w:rPr>
          <w:rFonts w:hint="eastAsia" w:ascii="仿宋" w:hAnsi="仿宋" w:eastAsia="仿宋"/>
          <w:bCs w:val="0"/>
          <w:sz w:val="24"/>
          <w:szCs w:val="24"/>
        </w:rPr>
        <w:t>20</w:t>
      </w:r>
      <w:r>
        <w:rPr>
          <w:rFonts w:hint="eastAsia" w:ascii="仿宋" w:hAnsi="仿宋" w:eastAsia="仿宋"/>
          <w:bCs w:val="0"/>
          <w:sz w:val="28"/>
          <w:szCs w:val="28"/>
        </w:rPr>
        <w:t>．</w:t>
      </w:r>
      <w:r>
        <w:rPr>
          <w:rFonts w:hint="eastAsia" w:ascii="仿宋" w:hAnsi="仿宋" w:eastAsia="仿宋"/>
          <w:bCs w:val="0"/>
          <w:sz w:val="24"/>
          <w:szCs w:val="24"/>
        </w:rPr>
        <w:t>投标文件的</w:t>
      </w:r>
      <w:bookmarkEnd w:id="97"/>
      <w:bookmarkEnd w:id="98"/>
      <w:r>
        <w:rPr>
          <w:rFonts w:hint="eastAsia" w:ascii="仿宋" w:hAnsi="仿宋" w:eastAsia="仿宋"/>
          <w:bCs w:val="0"/>
          <w:sz w:val="24"/>
          <w:szCs w:val="24"/>
        </w:rPr>
        <w:t>递交</w:t>
      </w:r>
      <w:bookmarkEnd w:id="99"/>
      <w:bookmarkEnd w:id="100"/>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 xml:space="preserve">注：投标人在递交投标文件时，请用正楷填写本招标文件附件二“递交投标文件签收表”然后将签收表和投标文件一并递交给本招标代理机构项目工作人员。 </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20.3本次招标不接收邮寄的投标文件。</w:t>
      </w:r>
    </w:p>
    <w:p>
      <w:pPr>
        <w:pStyle w:val="4"/>
        <w:spacing w:line="400" w:lineRule="exact"/>
        <w:ind w:firstLine="482" w:firstLineChars="200"/>
        <w:rPr>
          <w:rFonts w:ascii="仿宋" w:hAnsi="仿宋" w:eastAsia="仿宋"/>
          <w:bCs w:val="0"/>
          <w:sz w:val="24"/>
          <w:szCs w:val="24"/>
        </w:rPr>
      </w:pPr>
      <w:bookmarkStart w:id="101" w:name="_Toc183582228"/>
      <w:bookmarkStart w:id="102" w:name="_Toc183682365"/>
      <w:bookmarkStart w:id="103" w:name="_Toc217446055"/>
      <w:r>
        <w:rPr>
          <w:rFonts w:ascii="仿宋" w:hAnsi="仿宋" w:eastAsia="仿宋"/>
          <w:bCs w:val="0"/>
          <w:sz w:val="24"/>
          <w:szCs w:val="24"/>
        </w:rPr>
        <w:t>21．投标文件的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101"/>
      <w:bookmarkEnd w:id="102"/>
      <w:r>
        <w:rPr>
          <w:rFonts w:hint="eastAsia" w:ascii="仿宋" w:hAnsi="仿宋" w:eastAsia="仿宋"/>
          <w:bCs w:val="0"/>
          <w:sz w:val="24"/>
          <w:szCs w:val="24"/>
        </w:rPr>
        <w:t>回</w:t>
      </w:r>
      <w:bookmarkEnd w:id="103"/>
    </w:p>
    <w:p>
      <w:pPr>
        <w:spacing w:line="400" w:lineRule="exact"/>
        <w:ind w:firstLine="470" w:firstLineChars="196"/>
        <w:rPr>
          <w:rFonts w:ascii="仿宋" w:hAnsi="仿宋" w:eastAsia="仿宋"/>
          <w:sz w:val="24"/>
        </w:rPr>
      </w:pPr>
      <w:r>
        <w:rPr>
          <w:rFonts w:ascii="仿宋" w:hAnsi="仿宋" w:eastAsia="仿宋"/>
          <w:sz w:val="24"/>
        </w:rPr>
        <w:t xml:space="preserve">21.1 </w:t>
      </w:r>
      <w:r>
        <w:rPr>
          <w:rFonts w:hint="eastAsia" w:ascii="仿宋" w:hAnsi="仿宋" w:eastAsia="仿宋"/>
          <w:sz w:val="24"/>
        </w:rPr>
        <w:t>投标人在递交了投标文件后，可以补充</w:t>
      </w:r>
      <w:r>
        <w:rPr>
          <w:rFonts w:ascii="仿宋" w:hAnsi="仿宋" w:eastAsia="仿宋"/>
          <w:sz w:val="24"/>
        </w:rPr>
        <w:t>、</w:t>
      </w:r>
      <w:r>
        <w:rPr>
          <w:rFonts w:hint="eastAsia" w:ascii="仿宋" w:hAnsi="仿宋" w:eastAsia="仿宋"/>
          <w:sz w:val="24"/>
        </w:rPr>
        <w:t>修改或撤回其投标文件，但必须在规定的投标截止时间前，以书面形式通知采购代理机构。</w:t>
      </w:r>
    </w:p>
    <w:p>
      <w:pPr>
        <w:spacing w:line="400" w:lineRule="exact"/>
        <w:ind w:firstLine="470" w:firstLineChars="196"/>
        <w:rPr>
          <w:rFonts w:ascii="仿宋" w:hAnsi="仿宋" w:eastAsia="仿宋"/>
          <w:sz w:val="24"/>
        </w:rPr>
      </w:pPr>
      <w:r>
        <w:rPr>
          <w:rFonts w:ascii="仿宋" w:hAnsi="仿宋" w:eastAsia="仿宋"/>
          <w:sz w:val="24"/>
        </w:rPr>
        <w:t xml:space="preserve">21.2 </w:t>
      </w:r>
      <w:r>
        <w:rPr>
          <w:rFonts w:hint="eastAsia" w:ascii="仿宋" w:hAnsi="仿宋" w:eastAsia="仿宋"/>
          <w:sz w:val="24"/>
        </w:rPr>
        <w:t>投标人补充</w:t>
      </w:r>
      <w:r>
        <w:rPr>
          <w:rFonts w:ascii="仿宋" w:hAnsi="仿宋" w:eastAsia="仿宋"/>
          <w:sz w:val="24"/>
        </w:rPr>
        <w:t>、</w:t>
      </w:r>
      <w:r>
        <w:rPr>
          <w:rFonts w:hint="eastAsia" w:ascii="仿宋" w:hAnsi="仿宋" w:eastAsia="仿宋"/>
          <w:sz w:val="24"/>
        </w:rPr>
        <w:t>修改的内容，应由其法定代表人</w:t>
      </w:r>
      <w:r>
        <w:rPr>
          <w:rFonts w:ascii="仿宋" w:hAnsi="仿宋" w:eastAsia="仿宋"/>
          <w:sz w:val="24"/>
        </w:rPr>
        <w:t>/单位负责人或授权代表签署并盖单位</w:t>
      </w:r>
      <w:r>
        <w:rPr>
          <w:rFonts w:hint="eastAsia" w:ascii="仿宋" w:hAnsi="仿宋" w:eastAsia="仿宋"/>
          <w:sz w:val="24"/>
        </w:rPr>
        <w:t>公章，并进行密封和标注。密封袋上应当注明投标人名称、项目编号、项目名称及分包号（如有分包），并在密封袋上标注“补充”、“修改”字样。</w:t>
      </w:r>
    </w:p>
    <w:p>
      <w:pPr>
        <w:spacing w:line="400" w:lineRule="exact"/>
        <w:ind w:firstLine="480"/>
        <w:rPr>
          <w:rFonts w:ascii="仿宋" w:hAnsi="仿宋" w:eastAsia="仿宋"/>
          <w:sz w:val="24"/>
        </w:rPr>
      </w:pPr>
      <w:r>
        <w:rPr>
          <w:rFonts w:hint="eastAsia" w:ascii="仿宋" w:hAnsi="仿宋" w:eastAsia="仿宋"/>
          <w:sz w:val="24"/>
        </w:rPr>
        <w:t>21.3 在投标截止时间之后，投标人不得对其递交的投标文件做任何修改，撤回投标的，将按照有关规定进行相应处理。</w:t>
      </w:r>
    </w:p>
    <w:p>
      <w:pPr>
        <w:pStyle w:val="3"/>
        <w:spacing w:line="400" w:lineRule="exact"/>
        <w:jc w:val="center"/>
        <w:rPr>
          <w:rFonts w:ascii="仿宋" w:hAnsi="仿宋" w:eastAsia="仿宋"/>
        </w:rPr>
      </w:pPr>
      <w:bookmarkStart w:id="104" w:name="_Toc77400782"/>
      <w:bookmarkStart w:id="105" w:name="_Toc89075878"/>
      <w:bookmarkStart w:id="106" w:name="_Toc308164805"/>
      <w:bookmarkStart w:id="107" w:name="_Toc183582231"/>
      <w:bookmarkStart w:id="108" w:name="_Toc183682368"/>
      <w:bookmarkStart w:id="109" w:name="_Toc217446056"/>
      <w:r>
        <w:rPr>
          <w:rFonts w:hint="eastAsia" w:ascii="仿宋" w:hAnsi="仿宋" w:eastAsia="仿宋"/>
        </w:rPr>
        <w:t>五、开标和中标</w:t>
      </w:r>
      <w:bookmarkEnd w:id="104"/>
      <w:bookmarkEnd w:id="105"/>
      <w:bookmarkEnd w:id="106"/>
      <w:bookmarkEnd w:id="107"/>
      <w:bookmarkEnd w:id="108"/>
      <w:bookmarkEnd w:id="109"/>
    </w:p>
    <w:p>
      <w:pPr>
        <w:pStyle w:val="4"/>
        <w:spacing w:line="400" w:lineRule="exact"/>
        <w:ind w:firstLine="482" w:firstLineChars="200"/>
        <w:rPr>
          <w:rFonts w:ascii="仿宋" w:hAnsi="仿宋" w:eastAsia="仿宋"/>
          <w:bCs w:val="0"/>
          <w:sz w:val="24"/>
        </w:rPr>
      </w:pPr>
      <w:bookmarkStart w:id="110" w:name="_Toc183682369"/>
      <w:bookmarkStart w:id="111" w:name="_Toc183582232"/>
      <w:bookmarkStart w:id="112" w:name="_Toc217446057"/>
      <w:bookmarkStart w:id="113" w:name="_Toc308164806"/>
      <w:r>
        <w:rPr>
          <w:rFonts w:hint="eastAsia" w:ascii="仿宋" w:hAnsi="仿宋" w:eastAsia="仿宋"/>
          <w:bCs w:val="0"/>
          <w:sz w:val="24"/>
        </w:rPr>
        <w:t>22．开标</w:t>
      </w:r>
      <w:bookmarkEnd w:id="110"/>
      <w:bookmarkEnd w:id="111"/>
      <w:bookmarkEnd w:id="112"/>
      <w:bookmarkEnd w:id="113"/>
    </w:p>
    <w:p>
      <w:pPr>
        <w:spacing w:before="120" w:line="400" w:lineRule="exact"/>
        <w:ind w:firstLine="480" w:firstLineChars="200"/>
        <w:rPr>
          <w:rFonts w:ascii="仿宋" w:hAnsi="仿宋" w:eastAsia="仿宋"/>
          <w:sz w:val="24"/>
        </w:rPr>
      </w:pPr>
      <w:r>
        <w:rPr>
          <w:rFonts w:hint="eastAsia" w:ascii="仿宋" w:hAnsi="仿宋" w:eastAsia="仿宋"/>
          <w:sz w:val="24"/>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仿宋" w:hAnsi="仿宋" w:eastAsia="仿宋"/>
          <w:sz w:val="24"/>
        </w:rPr>
      </w:pPr>
      <w:r>
        <w:rPr>
          <w:rFonts w:hint="eastAsia" w:ascii="仿宋" w:hAnsi="仿宋" w:eastAsia="仿宋"/>
          <w:sz w:val="24"/>
        </w:rPr>
        <w:t>22.2 开标时，可根据具体情况邀请有关监督管理部门对开标活动进行现场监督。</w:t>
      </w:r>
    </w:p>
    <w:p>
      <w:pPr>
        <w:spacing w:line="400" w:lineRule="exact"/>
        <w:ind w:firstLine="480" w:firstLineChars="200"/>
        <w:rPr>
          <w:rFonts w:ascii="仿宋" w:hAnsi="仿宋" w:eastAsia="仿宋"/>
          <w:sz w:val="24"/>
        </w:rPr>
      </w:pPr>
      <w:r>
        <w:rPr>
          <w:rFonts w:hint="eastAsia" w:ascii="仿宋" w:hAnsi="仿宋" w:eastAsia="仿宋"/>
          <w:sz w:val="24"/>
        </w:rPr>
        <w:t>22.3 开标时，由投标人或者其推选的代表检查其自己递交的投标文件的密封情况，经确认无误后，由招标工作人员将投标人的投标</w:t>
      </w:r>
      <w:r>
        <w:rPr>
          <w:rFonts w:ascii="仿宋" w:hAnsi="仿宋" w:eastAsia="仿宋"/>
          <w:sz w:val="24"/>
        </w:rPr>
        <w:t>文件</w:t>
      </w:r>
      <w:r>
        <w:rPr>
          <w:rFonts w:hint="eastAsia" w:ascii="仿宋" w:hAnsi="仿宋" w:eastAsia="仿宋"/>
          <w:sz w:val="24"/>
        </w:rPr>
        <w:t>当众拆封，并由唱标人员按照招标文件规定的内容进行宣读。</w:t>
      </w:r>
    </w:p>
    <w:p>
      <w:pPr>
        <w:spacing w:line="400" w:lineRule="exact"/>
        <w:ind w:firstLine="480" w:firstLineChars="200"/>
        <w:rPr>
          <w:rFonts w:ascii="仿宋" w:hAnsi="仿宋" w:eastAsia="仿宋"/>
          <w:sz w:val="24"/>
        </w:rPr>
      </w:pPr>
      <w:r>
        <w:rPr>
          <w:rFonts w:hint="eastAsia" w:ascii="仿宋" w:hAnsi="仿宋" w:eastAsia="仿宋"/>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仿宋" w:hAnsi="仿宋" w:eastAsia="仿宋"/>
          <w:sz w:val="24"/>
        </w:rPr>
      </w:pPr>
      <w:r>
        <w:rPr>
          <w:rFonts w:hint="eastAsia" w:ascii="仿宋" w:hAnsi="仿宋" w:eastAsia="仿宋"/>
          <w:sz w:val="24"/>
        </w:rPr>
        <w:t>22.4 投标文件中相关内容与“开标一览表”不一致的，以“开标一览表”为准。对不同文字文本投标文件的解释发生异议的，以中文文本为准。</w:t>
      </w:r>
    </w:p>
    <w:p>
      <w:pPr>
        <w:spacing w:line="400" w:lineRule="exact"/>
        <w:ind w:firstLine="480" w:firstLineChars="200"/>
        <w:rPr>
          <w:rFonts w:ascii="仿宋" w:hAnsi="仿宋" w:eastAsia="仿宋"/>
          <w:sz w:val="24"/>
        </w:rPr>
      </w:pPr>
      <w:r>
        <w:rPr>
          <w:rFonts w:hint="eastAsia" w:ascii="仿宋" w:hAnsi="仿宋" w:eastAsia="仿宋"/>
          <w:sz w:val="24"/>
        </w:rPr>
        <w:t>22.5 所有投标唱标完毕，如投标人代表对宣读的内容有异议的，应在获得开标会主持人同意后当场提出。如确实属于唱标人员宣读错了的，当场予以更正。</w:t>
      </w:r>
    </w:p>
    <w:p>
      <w:pPr>
        <w:spacing w:line="400" w:lineRule="exact"/>
        <w:ind w:firstLine="480" w:firstLineChars="200"/>
        <w:rPr>
          <w:rFonts w:ascii="仿宋" w:hAnsi="仿宋" w:eastAsia="仿宋"/>
          <w:sz w:val="24"/>
        </w:rPr>
      </w:pPr>
      <w:r>
        <w:rPr>
          <w:rFonts w:hint="eastAsia" w:ascii="仿宋" w:hAnsi="仿宋" w:eastAsia="仿宋"/>
          <w:sz w:val="24"/>
        </w:rPr>
        <w:t>22.6 投标人未参加开标的，视同认可开标结果。</w:t>
      </w:r>
    </w:p>
    <w:p>
      <w:pPr>
        <w:pStyle w:val="4"/>
        <w:spacing w:line="400" w:lineRule="exact"/>
        <w:ind w:firstLine="482" w:firstLineChars="200"/>
        <w:rPr>
          <w:rFonts w:ascii="仿宋" w:hAnsi="仿宋" w:eastAsia="仿宋"/>
          <w:sz w:val="24"/>
        </w:rPr>
      </w:pPr>
      <w:bookmarkStart w:id="114" w:name="_Toc308164807"/>
      <w:bookmarkStart w:id="115" w:name="_Toc217446058"/>
      <w:r>
        <w:rPr>
          <w:rFonts w:hint="eastAsia" w:ascii="仿宋" w:hAnsi="仿宋" w:eastAsia="仿宋"/>
          <w:sz w:val="24"/>
        </w:rPr>
        <w:t>23. 开标程序</w:t>
      </w:r>
      <w:bookmarkEnd w:id="114"/>
      <w:bookmarkEnd w:id="115"/>
    </w:p>
    <w:p>
      <w:pPr>
        <w:spacing w:line="400" w:lineRule="exact"/>
        <w:ind w:firstLine="480" w:firstLineChars="200"/>
        <w:rPr>
          <w:rFonts w:ascii="仿宋" w:hAnsi="仿宋" w:eastAsia="仿宋"/>
          <w:sz w:val="24"/>
        </w:rPr>
      </w:pPr>
      <w:r>
        <w:rPr>
          <w:rFonts w:hint="eastAsia" w:ascii="仿宋" w:hAnsi="仿宋" w:eastAsia="仿宋"/>
          <w:sz w:val="24"/>
        </w:rPr>
        <w:t>23.1 开标会主持人按照招标文件规定的开标时间宣布开标，按照规定要求主持开标会。开标将按以下程序进行：</w:t>
      </w:r>
    </w:p>
    <w:p>
      <w:pPr>
        <w:spacing w:line="400" w:lineRule="exact"/>
        <w:ind w:firstLine="480" w:firstLineChars="200"/>
        <w:rPr>
          <w:rFonts w:ascii="仿宋" w:hAnsi="仿宋" w:eastAsia="仿宋"/>
          <w:sz w:val="24"/>
        </w:rPr>
      </w:pPr>
      <w:r>
        <w:rPr>
          <w:rFonts w:hint="eastAsia" w:ascii="仿宋" w:hAnsi="仿宋" w:eastAsia="仿宋"/>
          <w:sz w:val="24"/>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ascii="仿宋" w:hAnsi="仿宋" w:eastAsia="仿宋"/>
          <w:sz w:val="24"/>
        </w:rPr>
      </w:pPr>
      <w:r>
        <w:rPr>
          <w:rFonts w:hint="eastAsia" w:ascii="仿宋" w:hAnsi="仿宋" w:eastAsia="仿宋"/>
          <w:sz w:val="24"/>
        </w:rPr>
        <w:t>（2）根据投标人或者其推选的代表对投标文件密封的检查结果，当众宣布投标文件的密封情况。</w:t>
      </w:r>
    </w:p>
    <w:p>
      <w:pPr>
        <w:spacing w:line="400" w:lineRule="exact"/>
        <w:ind w:firstLine="480" w:firstLineChars="200"/>
        <w:rPr>
          <w:rFonts w:ascii="仿宋" w:hAnsi="仿宋" w:eastAsia="仿宋"/>
          <w:sz w:val="24"/>
        </w:rPr>
      </w:pPr>
      <w:r>
        <w:rPr>
          <w:rFonts w:hint="eastAsia" w:ascii="仿宋" w:hAnsi="仿宋" w:eastAsia="仿宋"/>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仿宋" w:hAnsi="仿宋" w:eastAsia="仿宋"/>
          <w:sz w:val="24"/>
        </w:rPr>
      </w:pPr>
      <w:r>
        <w:rPr>
          <w:rFonts w:hint="eastAsia" w:ascii="仿宋" w:hAnsi="仿宋" w:eastAsia="仿宋"/>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4"/>
        <w:spacing w:line="400" w:lineRule="exact"/>
        <w:ind w:firstLine="482" w:firstLineChars="200"/>
        <w:rPr>
          <w:rFonts w:ascii="仿宋" w:hAnsi="仿宋" w:eastAsia="仿宋"/>
          <w:sz w:val="24"/>
        </w:rPr>
      </w:pPr>
      <w:bookmarkStart w:id="116" w:name="_Toc183582238"/>
      <w:bookmarkStart w:id="117" w:name="_Toc183682375"/>
      <w:bookmarkStart w:id="118" w:name="_Toc217446063"/>
      <w:bookmarkStart w:id="119" w:name="_Toc308164809"/>
      <w:r>
        <w:rPr>
          <w:rFonts w:hint="eastAsia" w:ascii="仿宋" w:hAnsi="仿宋" w:eastAsia="仿宋"/>
          <w:sz w:val="24"/>
        </w:rPr>
        <w:t>24．开评标过程存档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4"/>
        <w:spacing w:line="400" w:lineRule="exact"/>
        <w:ind w:firstLine="482" w:firstLineChars="200"/>
        <w:rPr>
          <w:rFonts w:ascii="仿宋" w:hAnsi="仿宋" w:eastAsia="仿宋"/>
          <w:sz w:val="24"/>
        </w:rPr>
      </w:pPr>
      <w:r>
        <w:rPr>
          <w:rFonts w:hint="eastAsia" w:ascii="仿宋" w:hAnsi="仿宋" w:eastAsia="仿宋"/>
          <w:sz w:val="24"/>
        </w:rPr>
        <w:t>25.评标情况公告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26.采购人确定中标人过程中，发现中标候选人有下列情形之一的，应当不予确定其为中标人：</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（1）发现中标候选人存在禁止参加本项目采购活动的违法行为的；</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（2）中标候选人因不可抗力，不能继续参加政府采购活动；</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（3）中标候选人无偿赠与或者低于成本价竞争；</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（4）中标候选人提供虚假材料；</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（5</w:t>
      </w:r>
      <w:r>
        <w:rPr>
          <w:rFonts w:ascii="仿宋" w:hAnsi="仿宋" w:eastAsia="仿宋"/>
          <w:b w:val="0"/>
          <w:sz w:val="24"/>
          <w:szCs w:val="24"/>
        </w:rPr>
        <w:t>）</w:t>
      </w:r>
      <w:r>
        <w:rPr>
          <w:rFonts w:hint="eastAsia" w:ascii="仿宋" w:hAnsi="仿宋" w:eastAsia="仿宋"/>
          <w:b w:val="0"/>
          <w:sz w:val="24"/>
          <w:szCs w:val="24"/>
        </w:rPr>
        <w:t>中标候选人恶意串通。</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27.中标通知</w:t>
      </w:r>
      <w:bookmarkEnd w:id="116"/>
      <w:bookmarkEnd w:id="117"/>
      <w:r>
        <w:rPr>
          <w:rFonts w:hint="eastAsia" w:ascii="仿宋" w:hAnsi="仿宋" w:eastAsia="仿宋"/>
          <w:bCs w:val="0"/>
          <w:sz w:val="24"/>
          <w:szCs w:val="24"/>
        </w:rPr>
        <w:t>书</w:t>
      </w:r>
      <w:bookmarkEnd w:id="118"/>
      <w:bookmarkEnd w:id="119"/>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27</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sz w:val="24"/>
        </w:rPr>
      </w:pPr>
      <w:r>
        <w:rPr>
          <w:rFonts w:hint="eastAsia" w:ascii="仿宋" w:hAnsi="仿宋" w:eastAsia="仿宋"/>
          <w:sz w:val="24"/>
        </w:rPr>
        <w:t>27.4中标公告发出后，中标供应商领取中标通知书的，请登录我司网站http://sale.scbid.net/ 办理。（详见须知附表中联系方式）</w:t>
      </w:r>
    </w:p>
    <w:p>
      <w:pPr>
        <w:pStyle w:val="3"/>
        <w:spacing w:line="400" w:lineRule="exact"/>
        <w:jc w:val="center"/>
        <w:rPr>
          <w:rFonts w:ascii="仿宋" w:hAnsi="仿宋" w:eastAsia="仿宋"/>
          <w:szCs w:val="28"/>
        </w:rPr>
      </w:pPr>
      <w:bookmarkStart w:id="120" w:name="_Toc217446064"/>
      <w:bookmarkStart w:id="121" w:name="_Toc308164810"/>
      <w:bookmarkStart w:id="122" w:name="_Toc183582240"/>
      <w:bookmarkStart w:id="123" w:name="_Toc183682377"/>
      <w:r>
        <w:rPr>
          <w:rFonts w:hint="eastAsia" w:ascii="仿宋" w:hAnsi="仿宋" w:eastAsia="仿宋"/>
          <w:szCs w:val="28"/>
        </w:rPr>
        <w:t>六、签订及履行合同和验收</w:t>
      </w:r>
      <w:bookmarkEnd w:id="120"/>
      <w:bookmarkEnd w:id="121"/>
    </w:p>
    <w:p>
      <w:pPr>
        <w:pStyle w:val="4"/>
        <w:spacing w:line="400" w:lineRule="exact"/>
        <w:ind w:firstLine="482" w:firstLineChars="200"/>
        <w:rPr>
          <w:rFonts w:ascii="仿宋" w:hAnsi="仿宋" w:eastAsia="仿宋"/>
          <w:b w:val="0"/>
          <w:sz w:val="24"/>
          <w:szCs w:val="24"/>
        </w:rPr>
      </w:pPr>
      <w:bookmarkStart w:id="124" w:name="_Toc217446065"/>
      <w:bookmarkStart w:id="125" w:name="_Toc308164811"/>
      <w:r>
        <w:rPr>
          <w:rFonts w:hint="eastAsia" w:ascii="仿宋" w:hAnsi="仿宋" w:eastAsia="仿宋"/>
          <w:sz w:val="24"/>
        </w:rPr>
        <w:t>28.</w:t>
      </w:r>
      <w:r>
        <w:rPr>
          <w:rFonts w:hint="eastAsia" w:ascii="仿宋" w:hAnsi="仿宋" w:eastAsia="仿宋"/>
          <w:sz w:val="24"/>
          <w:szCs w:val="24"/>
        </w:rPr>
        <w:t>签订合同</w:t>
      </w:r>
      <w:bookmarkEnd w:id="124"/>
      <w:bookmarkEnd w:id="125"/>
    </w:p>
    <w:p>
      <w:pPr>
        <w:spacing w:line="400" w:lineRule="exact"/>
        <w:ind w:firstLine="480" w:firstLineChars="200"/>
        <w:rPr>
          <w:rFonts w:ascii="仿宋" w:hAnsi="仿宋" w:eastAsia="仿宋"/>
          <w:sz w:val="24"/>
        </w:rPr>
      </w:pPr>
      <w:r>
        <w:rPr>
          <w:rFonts w:hint="eastAsia" w:ascii="仿宋" w:hAnsi="仿宋" w:eastAsia="仿宋"/>
          <w:sz w:val="24"/>
        </w:rPr>
        <w:t>28.1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28.3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eastAsia="仿宋"/>
          <w:sz w:val="24"/>
        </w:rPr>
      </w:pPr>
      <w:r>
        <w:rPr>
          <w:rFonts w:hint="eastAsia" w:ascii="仿宋" w:hAnsi="仿宋" w:eastAsia="仿宋"/>
          <w:sz w:val="24"/>
        </w:rPr>
        <w:t>28.4 中标人在合同签订之后三个工作日内，将签订的合同（一式壹份）在我司指定网站（http://sale.scbid.net）上传。</w:t>
      </w:r>
    </w:p>
    <w:p>
      <w:pPr>
        <w:pStyle w:val="3"/>
        <w:spacing w:line="400" w:lineRule="exact"/>
        <w:ind w:firstLine="482" w:firstLineChars="200"/>
        <w:rPr>
          <w:rFonts w:ascii="仿宋" w:hAnsi="仿宋" w:eastAsia="仿宋"/>
          <w:sz w:val="24"/>
          <w:szCs w:val="24"/>
        </w:rPr>
      </w:pPr>
      <w:r>
        <w:rPr>
          <w:rFonts w:hint="eastAsia" w:ascii="仿宋" w:hAnsi="仿宋" w:eastAsia="仿宋"/>
          <w:sz w:val="24"/>
          <w:szCs w:val="24"/>
        </w:rPr>
        <w:t>29. 合同分包（实质性要求）</w:t>
      </w:r>
    </w:p>
    <w:p>
      <w:pPr>
        <w:spacing w:line="400" w:lineRule="exact"/>
        <w:ind w:firstLine="480" w:firstLineChars="200"/>
        <w:rPr>
          <w:rFonts w:ascii="仿宋" w:hAnsi="仿宋" w:eastAsia="仿宋"/>
          <w:sz w:val="24"/>
        </w:rPr>
      </w:pPr>
      <w:r>
        <w:rPr>
          <w:rFonts w:ascii="仿宋" w:hAnsi="仿宋" w:eastAsia="仿宋"/>
          <w:sz w:val="24"/>
        </w:rPr>
        <w:t>29.1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29.</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3"/>
        <w:spacing w:line="400" w:lineRule="exact"/>
        <w:ind w:firstLine="482" w:firstLineChars="200"/>
        <w:rPr>
          <w:rFonts w:ascii="仿宋" w:hAnsi="仿宋" w:eastAsia="仿宋"/>
          <w:sz w:val="24"/>
          <w:szCs w:val="24"/>
        </w:rPr>
      </w:pPr>
      <w:r>
        <w:rPr>
          <w:rFonts w:hint="eastAsia" w:ascii="仿宋" w:hAnsi="仿宋" w:eastAsia="仿宋"/>
          <w:sz w:val="24"/>
          <w:szCs w:val="24"/>
        </w:rPr>
        <w:t>30.合同转包（实质性要求）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3"/>
        <w:spacing w:line="400" w:lineRule="exact"/>
        <w:ind w:firstLine="482" w:firstLineChars="200"/>
        <w:rPr>
          <w:rFonts w:ascii="仿宋" w:hAnsi="仿宋" w:eastAsia="仿宋"/>
          <w:sz w:val="24"/>
          <w:szCs w:val="24"/>
        </w:rPr>
      </w:pPr>
      <w:bookmarkStart w:id="126" w:name="_Toc217446066"/>
      <w:r>
        <w:rPr>
          <w:rFonts w:hint="eastAsia" w:ascii="仿宋" w:hAnsi="仿宋" w:eastAsia="仿宋"/>
          <w:sz w:val="24"/>
          <w:szCs w:val="24"/>
        </w:rPr>
        <w:t>31.</w:t>
      </w:r>
      <w:bookmarkEnd w:id="126"/>
      <w:r>
        <w:rPr>
          <w:rFonts w:hint="eastAsia" w:ascii="仿宋" w:hAnsi="仿宋" w:eastAsia="仿宋"/>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sz w:val="24"/>
          <w:szCs w:val="24"/>
        </w:rPr>
      </w:pPr>
      <w:bookmarkStart w:id="127" w:name="_Toc217446068"/>
      <w:bookmarkStart w:id="128" w:name="_Toc308164812"/>
      <w:r>
        <w:rPr>
          <w:rFonts w:hint="eastAsia" w:ascii="仿宋" w:hAnsi="仿宋" w:eastAsia="仿宋"/>
          <w:sz w:val="24"/>
          <w:szCs w:val="24"/>
        </w:rPr>
        <w:t>32</w:t>
      </w:r>
      <w:r>
        <w:rPr>
          <w:rFonts w:hint="eastAsia" w:ascii="仿宋" w:hAnsi="仿宋" w:eastAsia="仿宋"/>
          <w:b w:val="0"/>
          <w:sz w:val="24"/>
          <w:szCs w:val="24"/>
        </w:rPr>
        <w:t xml:space="preserve">. </w:t>
      </w:r>
      <w:r>
        <w:rPr>
          <w:rFonts w:hint="eastAsia" w:ascii="仿宋" w:hAnsi="仿宋" w:eastAsia="仿宋"/>
          <w:sz w:val="24"/>
          <w:szCs w:val="24"/>
        </w:rPr>
        <w:t>履约保证金</w:t>
      </w:r>
      <w:bookmarkEnd w:id="127"/>
      <w:bookmarkEnd w:id="128"/>
      <w:r>
        <w:rPr>
          <w:rFonts w:hint="eastAsia" w:ascii="仿宋" w:hAnsi="仿宋" w:eastAsia="仿宋"/>
          <w:sz w:val="24"/>
          <w:szCs w:val="24"/>
        </w:rPr>
        <w:t>（实质性要求）</w:t>
      </w:r>
    </w:p>
    <w:p>
      <w:pPr>
        <w:spacing w:line="400" w:lineRule="exact"/>
        <w:ind w:firstLine="480" w:firstLineChars="200"/>
        <w:rPr>
          <w:rFonts w:ascii="仿宋" w:hAnsi="仿宋" w:eastAsia="仿宋"/>
          <w:sz w:val="24"/>
        </w:rPr>
      </w:pPr>
      <w:r>
        <w:rPr>
          <w:rFonts w:hint="eastAsia" w:ascii="仿宋" w:hAnsi="仿宋" w:eastAsia="仿宋"/>
          <w:sz w:val="24"/>
        </w:rPr>
        <w:t>32.1 中标人应在合同签订之前交纳招标文件规定数额的履约保证金。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32.2 如果中标人在规定的合同签订时间内，没有按照招标文件的规定交纳履约保证金，且又无正当理由的，将视为放弃中标。</w:t>
      </w:r>
    </w:p>
    <w:p>
      <w:pPr>
        <w:pStyle w:val="4"/>
        <w:spacing w:line="400" w:lineRule="exact"/>
        <w:ind w:firstLine="482" w:firstLineChars="200"/>
        <w:rPr>
          <w:rFonts w:ascii="仿宋" w:hAnsi="仿宋" w:eastAsia="仿宋"/>
          <w:sz w:val="24"/>
          <w:szCs w:val="24"/>
        </w:rPr>
      </w:pPr>
      <w:bookmarkStart w:id="129" w:name="_Toc308164813"/>
      <w:bookmarkStart w:id="130" w:name="_Toc217446069"/>
      <w:r>
        <w:rPr>
          <w:rFonts w:hint="eastAsia" w:ascii="仿宋" w:hAnsi="仿宋" w:eastAsia="仿宋"/>
          <w:sz w:val="24"/>
          <w:szCs w:val="24"/>
        </w:rPr>
        <w:t>33.合同公告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34、合同备案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采购人应当将政府采购合同副本自签订（双方当事人均已签字盖章）之日起七个工作日内通过四川政府采购网报同级财政部门备案。</w:t>
      </w:r>
    </w:p>
    <w:p>
      <w:pPr>
        <w:pStyle w:val="4"/>
        <w:spacing w:line="400" w:lineRule="exact"/>
        <w:ind w:firstLine="482" w:firstLineChars="200"/>
        <w:rPr>
          <w:rFonts w:ascii="仿宋" w:hAnsi="仿宋" w:eastAsia="仿宋"/>
          <w:b w:val="0"/>
          <w:sz w:val="24"/>
          <w:szCs w:val="24"/>
        </w:rPr>
      </w:pPr>
      <w:r>
        <w:rPr>
          <w:rFonts w:hint="eastAsia" w:ascii="仿宋" w:hAnsi="仿宋" w:eastAsia="仿宋"/>
          <w:sz w:val="24"/>
          <w:szCs w:val="24"/>
        </w:rPr>
        <w:t>35. 履行合同</w:t>
      </w:r>
      <w:bookmarkEnd w:id="129"/>
      <w:bookmarkEnd w:id="130"/>
    </w:p>
    <w:p>
      <w:pPr>
        <w:spacing w:line="400" w:lineRule="exact"/>
        <w:ind w:firstLine="480" w:firstLineChars="200"/>
        <w:rPr>
          <w:rFonts w:ascii="仿宋" w:hAnsi="仿宋" w:eastAsia="仿宋"/>
          <w:sz w:val="24"/>
        </w:rPr>
      </w:pPr>
      <w:r>
        <w:rPr>
          <w:rFonts w:hint="eastAsia" w:ascii="仿宋" w:hAnsi="仿宋" w:eastAsia="仿宋"/>
          <w:sz w:val="24"/>
        </w:rPr>
        <w:t>35.1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35.2 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sz w:val="24"/>
          <w:szCs w:val="24"/>
        </w:rPr>
      </w:pPr>
      <w:bookmarkStart w:id="131" w:name="_Toc217446070"/>
      <w:bookmarkStart w:id="132" w:name="_Toc308164814"/>
      <w:r>
        <w:rPr>
          <w:rFonts w:hint="eastAsia" w:ascii="仿宋" w:hAnsi="仿宋" w:eastAsia="仿宋"/>
          <w:sz w:val="24"/>
          <w:szCs w:val="24"/>
        </w:rPr>
        <w:t>36. 验收</w:t>
      </w:r>
      <w:bookmarkEnd w:id="131"/>
      <w:bookmarkEnd w:id="132"/>
    </w:p>
    <w:p>
      <w:pPr>
        <w:spacing w:line="400" w:lineRule="exact"/>
        <w:ind w:firstLine="480" w:firstLineChars="200"/>
        <w:rPr>
          <w:rFonts w:ascii="仿宋" w:hAnsi="仿宋" w:eastAsia="仿宋"/>
          <w:sz w:val="24"/>
        </w:rPr>
      </w:pPr>
      <w:r>
        <w:rPr>
          <w:rFonts w:hint="eastAsia" w:ascii="仿宋" w:hAnsi="仿宋" w:eastAsia="仿宋"/>
          <w:sz w:val="24"/>
        </w:rPr>
        <w:t>36.1本项目采购人及其委托的采购代理机构将严格按照《财政部关于进一步加强政府采购需求和履约验收管理的指导意见》（财库〔2016〕205号）等政府采购相关法律法规的要求进行验收。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3" w:name="_Toc217446071"/>
    </w:p>
    <w:p>
      <w:pPr>
        <w:pStyle w:val="4"/>
        <w:spacing w:line="400" w:lineRule="exact"/>
        <w:ind w:firstLine="482" w:firstLineChars="200"/>
        <w:rPr>
          <w:rFonts w:ascii="仿宋" w:hAnsi="仿宋" w:eastAsia="仿宋"/>
          <w:sz w:val="24"/>
          <w:szCs w:val="24"/>
        </w:rPr>
      </w:pPr>
      <w:bookmarkStart w:id="134" w:name="_Toc217446077"/>
      <w:bookmarkStart w:id="135" w:name="_Toc308164818"/>
      <w:r>
        <w:rPr>
          <w:rFonts w:hint="eastAsia" w:ascii="仿宋" w:hAnsi="仿宋" w:eastAsia="仿宋"/>
          <w:sz w:val="24"/>
          <w:szCs w:val="24"/>
        </w:rPr>
        <w:t>37.资金支付</w:t>
      </w:r>
      <w:bookmarkEnd w:id="134"/>
      <w:bookmarkEnd w:id="135"/>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22"/>
    <w:bookmarkEnd w:id="123"/>
    <w:bookmarkEnd w:id="133"/>
    <w:p>
      <w:pPr>
        <w:pStyle w:val="3"/>
        <w:spacing w:line="400" w:lineRule="exact"/>
        <w:jc w:val="center"/>
        <w:rPr>
          <w:rFonts w:ascii="仿宋" w:hAnsi="仿宋" w:eastAsia="仿宋"/>
          <w:szCs w:val="28"/>
        </w:rPr>
      </w:pPr>
      <w:bookmarkStart w:id="136" w:name="_Toc308164815"/>
      <w:bookmarkStart w:id="137" w:name="_Toc217446074"/>
      <w:bookmarkStart w:id="138" w:name="_Toc183682380"/>
      <w:bookmarkStart w:id="139" w:name="_Toc183582243"/>
      <w:r>
        <w:rPr>
          <w:rFonts w:hint="eastAsia" w:ascii="仿宋" w:hAnsi="仿宋" w:eastAsia="仿宋"/>
          <w:szCs w:val="28"/>
        </w:rPr>
        <w:t>七、投标纪律要求</w:t>
      </w:r>
      <w:bookmarkEnd w:id="136"/>
      <w:bookmarkEnd w:id="137"/>
    </w:p>
    <w:p>
      <w:pPr>
        <w:pStyle w:val="4"/>
        <w:spacing w:line="400" w:lineRule="exact"/>
        <w:ind w:firstLine="482" w:firstLineChars="200"/>
        <w:rPr>
          <w:rFonts w:ascii="仿宋" w:hAnsi="仿宋" w:eastAsia="仿宋"/>
          <w:bCs w:val="0"/>
          <w:sz w:val="24"/>
          <w:szCs w:val="24"/>
        </w:rPr>
      </w:pPr>
      <w:bookmarkStart w:id="140" w:name="_Toc217446075"/>
      <w:bookmarkStart w:id="141" w:name="_Toc308164816"/>
      <w:r>
        <w:rPr>
          <w:rFonts w:hint="eastAsia" w:ascii="仿宋" w:hAnsi="仿宋" w:eastAsia="仿宋"/>
          <w:sz w:val="24"/>
        </w:rPr>
        <w:t xml:space="preserve">38. </w:t>
      </w:r>
      <w:r>
        <w:rPr>
          <w:rFonts w:hint="eastAsia" w:ascii="仿宋" w:hAnsi="仿宋" w:eastAsia="仿宋"/>
          <w:bCs w:val="0"/>
          <w:sz w:val="24"/>
          <w:szCs w:val="24"/>
        </w:rPr>
        <w:t>投标人</w:t>
      </w:r>
      <w:bookmarkEnd w:id="140"/>
      <w:bookmarkEnd w:id="141"/>
      <w:r>
        <w:rPr>
          <w:rFonts w:hint="eastAsia" w:ascii="仿宋" w:hAnsi="仿宋" w:eastAsia="仿宋"/>
          <w:bCs w:val="0"/>
          <w:sz w:val="24"/>
          <w:szCs w:val="24"/>
        </w:rPr>
        <w:t>纪律要求</w:t>
      </w:r>
    </w:p>
    <w:p>
      <w:pPr>
        <w:pStyle w:val="6"/>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spacing w:line="400" w:lineRule="exact"/>
        <w:ind w:firstLine="480" w:firstLineChars="200"/>
        <w:rPr>
          <w:rFonts w:ascii="仿宋" w:hAnsi="仿宋" w:eastAsia="仿宋"/>
          <w:sz w:val="24"/>
        </w:rPr>
      </w:pPr>
      <w:r>
        <w:rPr>
          <w:rFonts w:hint="eastAsia" w:ascii="仿宋" w:hAnsi="仿宋" w:eastAsia="仿宋"/>
          <w:sz w:val="24"/>
        </w:rPr>
        <w:t>38.1 投标人参加本项目投标不得有下列情形：</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bookmarkEnd w:id="55"/>
    </w:p>
    <w:p>
      <w:pPr>
        <w:spacing w:line="400" w:lineRule="exact"/>
        <w:ind w:firstLine="480" w:firstLineChars="200"/>
        <w:rPr>
          <w:rFonts w:ascii="仿宋" w:hAnsi="仿宋" w:eastAsia="仿宋"/>
          <w:sz w:val="24"/>
        </w:rPr>
      </w:pPr>
      <w:bookmarkStart w:id="142" w:name="PO_默认文件内容_23"/>
      <w:r>
        <w:rPr>
          <w:rFonts w:hint="eastAsia" w:ascii="仿宋" w:hAnsi="仿宋" w:eastAsia="仿宋"/>
          <w:sz w:val="24"/>
        </w:rPr>
        <w:t>38.2 投标人有下列情形之一的，视为投标人串通投标，其投标无效：</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pStyle w:val="3"/>
        <w:spacing w:line="400" w:lineRule="exact"/>
        <w:jc w:val="center"/>
        <w:rPr>
          <w:rFonts w:ascii="仿宋" w:hAnsi="仿宋" w:eastAsia="仿宋"/>
          <w:bCs w:val="0"/>
          <w:szCs w:val="28"/>
        </w:rPr>
      </w:pPr>
      <w:bookmarkStart w:id="143" w:name="_Toc308164819"/>
      <w:bookmarkStart w:id="144" w:name="_Toc217446078"/>
      <w:r>
        <w:rPr>
          <w:rFonts w:hint="eastAsia" w:ascii="仿宋" w:hAnsi="仿宋" w:eastAsia="仿宋"/>
          <w:bCs w:val="0"/>
          <w:szCs w:val="28"/>
        </w:rPr>
        <w:t>八、询问、质疑和投诉</w:t>
      </w:r>
      <w:bookmarkEnd w:id="143"/>
      <w:bookmarkEnd w:id="144"/>
      <w:bookmarkStart w:id="145" w:name="_Toc217446079"/>
    </w:p>
    <w:bookmarkEnd w:id="145"/>
    <w:p>
      <w:pPr>
        <w:widowControl/>
        <w:spacing w:line="360" w:lineRule="atLeast"/>
        <w:ind w:firstLine="472" w:firstLineChars="196"/>
        <w:jc w:val="left"/>
        <w:outlineLvl w:val="1"/>
        <w:rPr>
          <w:rFonts w:ascii="仿宋" w:hAnsi="仿宋" w:eastAsia="仿宋"/>
          <w:sz w:val="24"/>
        </w:rPr>
      </w:pPr>
      <w:r>
        <w:rPr>
          <w:rFonts w:hint="eastAsia" w:ascii="仿宋" w:hAnsi="仿宋" w:eastAsia="仿宋"/>
          <w:b/>
          <w:sz w:val="24"/>
        </w:rPr>
        <w:t>3</w:t>
      </w:r>
      <w:bookmarkEnd w:id="138"/>
      <w:bookmarkEnd w:id="139"/>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1"/>
        <w:rPr>
          <w:rFonts w:ascii="仿宋" w:hAnsi="仿宋" w:eastAsia="仿宋"/>
          <w:sz w:val="24"/>
        </w:rPr>
      </w:pPr>
      <w:r>
        <w:rPr>
          <w:rFonts w:hint="eastAsia" w:ascii="仿宋" w:hAnsi="仿宋" w:eastAsia="仿宋"/>
          <w:b/>
          <w:sz w:val="24"/>
        </w:rPr>
        <w:t>4</w:t>
      </w:r>
      <w:r>
        <w:rPr>
          <w:rFonts w:ascii="仿宋" w:hAnsi="仿宋" w:eastAsia="仿宋"/>
          <w:b/>
          <w:sz w:val="24"/>
        </w:rPr>
        <w:t>0</w:t>
      </w:r>
      <w:r>
        <w:rPr>
          <w:rFonts w:hint="eastAsia" w:ascii="仿宋" w:hAnsi="仿宋" w:eastAsia="仿宋"/>
          <w:b/>
          <w:sz w:val="24"/>
        </w:rPr>
        <w:t>.</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0" w:firstLineChars="200"/>
        <w:jc w:val="left"/>
        <w:rPr>
          <w:rFonts w:ascii="仿宋" w:hAnsi="仿宋" w:eastAsia="仿宋"/>
          <w:kern w:val="0"/>
          <w:sz w:val="24"/>
        </w:rPr>
      </w:pPr>
      <w:r>
        <w:rPr>
          <w:rFonts w:hint="eastAsia" w:ascii="仿宋" w:hAnsi="仿宋" w:eastAsia="仿宋"/>
          <w:sz w:val="24"/>
        </w:rPr>
        <w:t>41．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widowControl/>
        <w:spacing w:line="360" w:lineRule="atLeast"/>
        <w:ind w:firstLine="480" w:firstLineChars="200"/>
        <w:jc w:val="left"/>
        <w:outlineLvl w:val="1"/>
        <w:rPr>
          <w:rFonts w:ascii="仿宋" w:hAnsi="仿宋" w:eastAsia="仿宋"/>
          <w:sz w:val="24"/>
        </w:rPr>
      </w:pPr>
    </w:p>
    <w:p>
      <w:pPr>
        <w:widowControl/>
        <w:spacing w:line="360" w:lineRule="atLeast"/>
        <w:jc w:val="center"/>
        <w:outlineLvl w:val="1"/>
        <w:rPr>
          <w:rFonts w:ascii="仿宋" w:hAnsi="仿宋" w:eastAsia="仿宋"/>
          <w:b/>
          <w:sz w:val="24"/>
        </w:rPr>
      </w:pPr>
      <w:bookmarkStart w:id="146" w:name="_Toc217446083"/>
    </w:p>
    <w:p>
      <w:pPr>
        <w:pStyle w:val="2"/>
        <w:jc w:val="center"/>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147" w:name="_Toc1368"/>
      <w:bookmarkStart w:id="148" w:name="_Toc24369"/>
    </w:p>
    <w:p>
      <w:pPr>
        <w:pStyle w:val="2"/>
        <w:jc w:val="center"/>
        <w:rPr>
          <w:rFonts w:ascii="仿宋" w:hAnsi="仿宋" w:eastAsia="仿宋"/>
          <w:sz w:val="36"/>
          <w:szCs w:val="36"/>
        </w:rPr>
      </w:pPr>
      <w:r>
        <w:rPr>
          <w:rFonts w:hint="eastAsia" w:ascii="仿宋" w:hAnsi="仿宋" w:eastAsia="仿宋"/>
          <w:sz w:val="36"/>
          <w:szCs w:val="36"/>
        </w:rPr>
        <w:t>第三章  投标文件格式</w:t>
      </w:r>
      <w:bookmarkEnd w:id="147"/>
      <w:bookmarkEnd w:id="148"/>
      <w:bookmarkStart w:id="149" w:name="_Toc217446082"/>
      <w:bookmarkStart w:id="150" w:name="_Toc308164821"/>
    </w:p>
    <w:p>
      <w:pPr>
        <w:widowControl/>
        <w:spacing w:line="360" w:lineRule="atLeast"/>
        <w:jc w:val="center"/>
        <w:outlineLvl w:val="1"/>
        <w:rPr>
          <w:rFonts w:ascii="仿宋" w:hAnsi="仿宋" w:eastAsia="仿宋"/>
          <w:b/>
          <w:sz w:val="24"/>
        </w:rPr>
      </w:pP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bookmarkEnd w:id="142"/>
    </w:p>
    <w:p>
      <w:pPr>
        <w:tabs>
          <w:tab w:val="left" w:pos="900"/>
        </w:tabs>
        <w:spacing w:line="360" w:lineRule="auto"/>
        <w:jc w:val="center"/>
        <w:rPr>
          <w:rFonts w:ascii="仿宋" w:hAnsi="仿宋" w:eastAsia="仿宋"/>
          <w:b/>
          <w:sz w:val="32"/>
        </w:rPr>
      </w:pPr>
      <w:r>
        <w:rPr>
          <w:rFonts w:hint="eastAsia" w:ascii="仿宋" w:hAnsi="仿宋" w:eastAsia="仿宋"/>
          <w:b/>
          <w:sz w:val="32"/>
          <w:szCs w:val="32"/>
        </w:rPr>
        <w:br w:type="page"/>
      </w:r>
      <w:bookmarkStart w:id="151" w:name="PO_默认文件内容_24"/>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after="0"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格式1-2</w:t>
      </w:r>
    </w:p>
    <w:p>
      <w:pPr>
        <w:spacing w:after="0" w:line="360" w:lineRule="auto"/>
        <w:ind w:firstLine="790" w:firstLineChars="246"/>
        <w:jc w:val="center"/>
        <w:rPr>
          <w:rFonts w:ascii="仿宋" w:hAnsi="仿宋" w:eastAsia="仿宋"/>
          <w:b/>
          <w:sz w:val="32"/>
          <w:szCs w:val="32"/>
        </w:rPr>
      </w:pPr>
      <w:r>
        <w:rPr>
          <w:rFonts w:hint="eastAsia" w:ascii="仿宋" w:hAnsi="仿宋" w:eastAsia="仿宋"/>
          <w:b/>
          <w:sz w:val="32"/>
          <w:szCs w:val="32"/>
        </w:rPr>
        <w:t>一、法定代表人/单位负责人授权书</w:t>
      </w: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jc w:val="left"/>
        <w:outlineLvl w:val="1"/>
        <w:rPr>
          <w:rFonts w:ascii="仿宋" w:hAnsi="仿宋" w:eastAsia="仿宋"/>
          <w:sz w:val="24"/>
        </w:rPr>
      </w:pPr>
      <w:r>
        <w:rPr>
          <w:rFonts w:hint="eastAsia" w:ascii="仿宋" w:hAnsi="仿宋" w:eastAsia="仿宋"/>
          <w:sz w:val="24"/>
        </w:rPr>
        <w:t>XXXXXXXX（采购代理机构名称）：</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特此声明。</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法定代表人/单位负责人（委托人）签字或者加盖个人名章：XXXX。</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授权代表（被授权人）签字：XXXX。</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widowControl/>
        <w:spacing w:after="0" w:line="360" w:lineRule="atLeast"/>
        <w:jc w:val="left"/>
        <w:outlineLvl w:val="1"/>
        <w:rPr>
          <w:rFonts w:ascii="仿宋" w:hAnsi="仿宋" w:eastAsia="仿宋"/>
          <w:b/>
          <w:sz w:val="24"/>
        </w:rPr>
      </w:pPr>
      <w:bookmarkStart w:id="152" w:name="_Toc217446084"/>
    </w:p>
    <w:p>
      <w:pPr>
        <w:widowControl/>
        <w:spacing w:after="0" w:line="360" w:lineRule="atLeast"/>
        <w:jc w:val="left"/>
        <w:outlineLvl w:val="1"/>
        <w:rPr>
          <w:rFonts w:ascii="仿宋" w:hAnsi="仿宋" w:eastAsia="仿宋"/>
          <w:b/>
          <w:sz w:val="24"/>
        </w:rPr>
      </w:pPr>
    </w:p>
    <w:p>
      <w:pPr>
        <w:widowControl/>
        <w:spacing w:after="0" w:line="360" w:lineRule="atLeast"/>
        <w:jc w:val="left"/>
        <w:outlineLvl w:val="1"/>
        <w:rPr>
          <w:rFonts w:ascii="仿宋" w:hAnsi="仿宋" w:eastAsia="仿宋"/>
          <w:b/>
          <w:sz w:val="24"/>
        </w:rPr>
      </w:pPr>
    </w:p>
    <w:p>
      <w:pPr>
        <w:widowControl/>
        <w:spacing w:after="0" w:line="360" w:lineRule="atLeast"/>
        <w:jc w:val="left"/>
        <w:outlineLvl w:val="1"/>
        <w:rPr>
          <w:rFonts w:ascii="仿宋" w:hAnsi="仿宋" w:eastAsia="仿宋"/>
          <w:b/>
          <w:sz w:val="24"/>
        </w:rPr>
      </w:pPr>
    </w:p>
    <w:p>
      <w:pPr>
        <w:spacing w:after="0" w:line="400" w:lineRule="exact"/>
        <w:ind w:left="840" w:hanging="840" w:hangingChars="350"/>
        <w:jc w:val="left"/>
        <w:rPr>
          <w:rFonts w:ascii="仿宋" w:hAnsi="仿宋" w:eastAsia="仿宋"/>
          <w:sz w:val="24"/>
        </w:rPr>
      </w:pPr>
      <w:r>
        <w:rPr>
          <w:rFonts w:hint="eastAsia" w:ascii="仿宋" w:hAnsi="仿宋" w:eastAsia="仿宋"/>
          <w:sz w:val="24"/>
        </w:rPr>
        <w:t>注：</w:t>
      </w:r>
    </w:p>
    <w:p>
      <w:pPr>
        <w:spacing w:after="0" w:line="400" w:lineRule="exact"/>
        <w:ind w:firstLine="480" w:firstLineChars="200"/>
        <w:rPr>
          <w:rFonts w:ascii="仿宋" w:hAnsi="仿宋" w:eastAsia="仿宋"/>
          <w:sz w:val="24"/>
        </w:rPr>
      </w:pPr>
      <w:r>
        <w:rPr>
          <w:rFonts w:hint="eastAsia" w:ascii="仿宋" w:hAnsi="仿宋" w:eastAsia="仿宋"/>
          <w:sz w:val="24"/>
        </w:rPr>
        <w:t>1、供应商为法人单位时提供“法定代表人授权书”，供应商为其他组织时提供“单位负责人授权书”，供应商为自然人时提供“自然人身份证明材料”。</w:t>
      </w:r>
    </w:p>
    <w:p>
      <w:pPr>
        <w:spacing w:after="0" w:line="400" w:lineRule="exact"/>
        <w:ind w:firstLine="480" w:firstLineChars="200"/>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after="0" w:line="400" w:lineRule="exact"/>
        <w:ind w:firstLine="480" w:firstLineChars="200"/>
        <w:rPr>
          <w:rFonts w:ascii="仿宋" w:hAnsi="仿宋" w:eastAsia="仿宋"/>
          <w:sz w:val="24"/>
        </w:rPr>
      </w:pPr>
      <w:r>
        <w:rPr>
          <w:rFonts w:hint="eastAsia" w:ascii="仿宋" w:hAnsi="仿宋" w:eastAsia="仿宋"/>
          <w:sz w:val="24"/>
        </w:rPr>
        <w:t>3、身份证明材料包括居民身份证或户口本或军官证或护照等。</w:t>
      </w:r>
    </w:p>
    <w:p>
      <w:pPr>
        <w:spacing w:after="0" w:line="400" w:lineRule="exact"/>
        <w:ind w:firstLine="480" w:firstLineChars="200"/>
        <w:rPr>
          <w:rFonts w:ascii="仿宋" w:hAnsi="仿宋" w:eastAsia="仿宋"/>
          <w:sz w:val="24"/>
        </w:rPr>
      </w:pPr>
      <w:r>
        <w:rPr>
          <w:rFonts w:hint="eastAsia" w:ascii="仿宋" w:hAnsi="仿宋" w:eastAsia="仿宋"/>
          <w:sz w:val="24"/>
        </w:rPr>
        <w:t>4、身份证明材料应同时提供其在有效期的材料，如居民身份证正、反面复印件。</w:t>
      </w:r>
    </w:p>
    <w:p>
      <w:pPr>
        <w:widowControl/>
        <w:spacing w:line="360" w:lineRule="atLeast"/>
        <w:jc w:val="left"/>
        <w:outlineLvl w:val="1"/>
        <w:rPr>
          <w:rFonts w:ascii="仿宋" w:hAnsi="仿宋" w:eastAsia="仿宋"/>
          <w:b/>
          <w:sz w:val="24"/>
        </w:rPr>
      </w:pPr>
    </w:p>
    <w:bookmarkEnd w:id="152"/>
    <w:p>
      <w:pPr>
        <w:spacing w:line="360" w:lineRule="auto"/>
        <w:ind w:firstLine="790" w:firstLineChars="246"/>
        <w:jc w:val="center"/>
        <w:rPr>
          <w:rFonts w:ascii="仿宋" w:hAnsi="仿宋" w:eastAsia="仿宋"/>
          <w:b/>
          <w:sz w:val="32"/>
        </w:rPr>
      </w:pP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w:t>
      </w:r>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格式1-4</w:t>
      </w:r>
    </w:p>
    <w:p>
      <w:pPr>
        <w:spacing w:line="360" w:lineRule="auto"/>
        <w:ind w:firstLine="790" w:firstLineChars="246"/>
        <w:jc w:val="center"/>
        <w:rPr>
          <w:rFonts w:ascii="仿宋" w:hAnsi="仿宋" w:eastAsia="仿宋"/>
          <w:b/>
          <w:sz w:val="32"/>
          <w:szCs w:val="32"/>
        </w:rPr>
      </w:pPr>
      <w:r>
        <w:rPr>
          <w:rFonts w:hint="eastAsia" w:ascii="仿宋" w:hAnsi="仿宋" w:eastAsia="仿宋"/>
          <w:b/>
          <w:sz w:val="32"/>
          <w:szCs w:val="32"/>
        </w:rPr>
        <w:t>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格式1-5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承诺函(如涉及)</w:t>
      </w:r>
    </w:p>
    <w:p>
      <w:pPr>
        <w:widowControl/>
        <w:spacing w:line="360" w:lineRule="atLeast"/>
        <w:jc w:val="center"/>
        <w:outlineLvl w:val="1"/>
        <w:rPr>
          <w:rFonts w:ascii="仿宋" w:hAnsi="仿宋" w:eastAsia="仿宋"/>
          <w:b/>
          <w:sz w:val="24"/>
        </w:rPr>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hint="eastAsia"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hint="eastAsia"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投标人名称：XXXX（单位公章）。</w:t>
      </w:r>
    </w:p>
    <w:p>
      <w:pPr>
        <w:spacing w:line="360" w:lineRule="auto"/>
        <w:rPr>
          <w:rFonts w:ascii="仿宋" w:hAnsi="仿宋" w:eastAsia="仿宋" w:cs="宋体"/>
          <w:bCs/>
          <w:sz w:val="24"/>
        </w:rPr>
      </w:pPr>
      <w:r>
        <w:rPr>
          <w:rFonts w:hint="eastAsia" w:ascii="仿宋" w:hAnsi="仿宋" w:eastAsia="仿宋" w:cs="宋体"/>
          <w:bCs/>
          <w:sz w:val="24"/>
        </w:rPr>
        <w:t>法定代表人/单位</w:t>
      </w:r>
      <w:r>
        <w:rPr>
          <w:rFonts w:ascii="仿宋" w:hAnsi="仿宋" w:eastAsia="仿宋" w:cs="宋体"/>
          <w:bCs/>
          <w:sz w:val="24"/>
        </w:rPr>
        <w:t>负责人</w:t>
      </w:r>
      <w:r>
        <w:rPr>
          <w:rFonts w:hint="eastAsia" w:ascii="仿宋" w:hAnsi="仿宋" w:eastAsia="仿宋" w:cs="宋体"/>
          <w:bCs/>
          <w:sz w:val="24"/>
        </w:rPr>
        <w:t>或授权代表（签字或加盖个人印章）：XXXX。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“其他响应性投标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left"/>
        <w:rPr>
          <w:rFonts w:ascii="仿宋" w:hAnsi="仿宋" w:eastAsia="仿宋"/>
          <w:b/>
          <w:sz w:val="32"/>
          <w:szCs w:val="32"/>
        </w:rPr>
      </w:pPr>
      <w:r>
        <w:rPr>
          <w:rFonts w:hint="eastAsia" w:ascii="仿宋" w:hAnsi="仿宋" w:eastAsia="仿宋"/>
          <w:b/>
          <w:sz w:val="32"/>
        </w:rPr>
        <w:t xml:space="preserve">        投标时间</w:t>
      </w:r>
      <w:r>
        <w:rPr>
          <w:rFonts w:ascii="仿宋" w:hAnsi="仿宋" w:eastAsia="仿宋"/>
          <w:b/>
          <w:sz w:val="32"/>
        </w:rPr>
        <w:t>：</w:t>
      </w:r>
      <w:r>
        <w:rPr>
          <w:rFonts w:hint="eastAsia" w:ascii="仿宋" w:hAnsi="仿宋" w:eastAsia="仿宋"/>
          <w:b/>
          <w:sz w:val="32"/>
        </w:rPr>
        <w:t xml:space="preserve"> 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r>
        <w:rPr>
          <w:rFonts w:ascii="仿宋" w:hAnsi="仿宋" w:eastAsia="仿宋"/>
          <w:b/>
          <w:sz w:val="32"/>
        </w:rPr>
        <w:br w:type="page"/>
      </w:r>
      <w:r>
        <w:rPr>
          <w:rFonts w:hint="eastAsia" w:ascii="仿宋" w:hAnsi="仿宋" w:eastAsia="仿宋"/>
          <w:b/>
          <w:sz w:val="32"/>
          <w:szCs w:val="32"/>
        </w:rPr>
        <w:t>格式2-2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一、投 标 函</w:t>
      </w:r>
      <w:bookmarkEnd w:id="149"/>
      <w:bookmarkEnd w:id="150"/>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我方全面研究了“</w:t>
      </w:r>
      <w:r>
        <w:rPr>
          <w:rFonts w:hint="eastAsia" w:ascii="仿宋" w:hAnsi="仿宋" w:eastAsia="仿宋"/>
          <w:sz w:val="24"/>
          <w:u w:val="single"/>
        </w:rPr>
        <w:t>XXXXXXXX</w:t>
      </w:r>
      <w:r>
        <w:rPr>
          <w:rFonts w:hint="eastAsia" w:ascii="仿宋" w:hAnsi="仿宋" w:eastAsia="仿宋"/>
          <w:sz w:val="24"/>
        </w:rPr>
        <w:t>”项目（招标编号：</w:t>
      </w:r>
      <w:r>
        <w:rPr>
          <w:rFonts w:hint="eastAsia" w:ascii="仿宋" w:hAnsi="仿宋" w:eastAsia="仿宋"/>
          <w:sz w:val="24"/>
          <w:u w:val="single"/>
        </w:rPr>
        <w:t>XXXX</w:t>
      </w:r>
      <w:r>
        <w:rPr>
          <w:rFonts w:hint="eastAsia" w:ascii="仿宋" w:hAnsi="仿宋" w:eastAsia="仿宋"/>
          <w:sz w:val="24"/>
        </w:rPr>
        <w:t>）招标文件，决定参加贵单位组织的本项目投标。我方授权</w:t>
      </w:r>
      <w:r>
        <w:rPr>
          <w:rFonts w:hint="eastAsia" w:ascii="仿宋" w:hAnsi="仿宋" w:eastAsia="仿宋"/>
          <w:sz w:val="24"/>
          <w:u w:val="single"/>
        </w:rPr>
        <w:t>XXXX</w:t>
      </w:r>
      <w:r>
        <w:rPr>
          <w:rFonts w:hint="eastAsia" w:ascii="仿宋" w:hAnsi="仿宋" w:eastAsia="仿宋"/>
          <w:sz w:val="24"/>
        </w:rPr>
        <w:t>（姓名、职务）代表我方</w:t>
      </w:r>
      <w:r>
        <w:rPr>
          <w:rFonts w:hint="eastAsia" w:ascii="仿宋" w:hAnsi="仿宋" w:eastAsia="仿宋"/>
          <w:sz w:val="24"/>
          <w:u w:val="single"/>
        </w:rPr>
        <w:t>XXXXXXXX</w:t>
      </w:r>
      <w:r>
        <w:rPr>
          <w:rFonts w:hint="eastAsia" w:ascii="仿宋" w:hAnsi="仿宋" w:eastAsia="仿宋"/>
          <w:sz w:val="24"/>
        </w:rPr>
        <w:t>（投标单位的名称）全权处理本项目投标的有关事宜。</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一、我方自愿按照招标文件规定的各项要求向采购人提供所需货物/服务。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三、我方为本项目提交的投标文件正本壹份，副本</w:t>
      </w:r>
      <w:r>
        <w:rPr>
          <w:rFonts w:hint="eastAsia" w:ascii="仿宋" w:hAnsi="仿宋" w:eastAsia="仿宋"/>
          <w:sz w:val="24"/>
          <w:u w:val="single"/>
        </w:rPr>
        <w:t>XXXX</w:t>
      </w:r>
      <w:r>
        <w:rPr>
          <w:rFonts w:hint="eastAsia" w:ascii="仿宋" w:hAnsi="仿宋" w:eastAsia="仿宋"/>
          <w:sz w:val="24"/>
        </w:rPr>
        <w:t>份。</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四、我方同意本次招标的投标有效期为投标截止时间届满后</w:t>
      </w:r>
      <w:r>
        <w:rPr>
          <w:rFonts w:hint="eastAsia" w:ascii="仿宋" w:hAnsi="仿宋" w:eastAsia="仿宋"/>
          <w:sz w:val="24"/>
          <w:u w:val="single"/>
        </w:rPr>
        <w:t>XXXX</w:t>
      </w:r>
      <w:r>
        <w:rPr>
          <w:rFonts w:hint="eastAsia" w:ascii="仿宋" w:hAnsi="仿宋" w:eastAsia="仿宋"/>
          <w:sz w:val="24"/>
        </w:rPr>
        <w:t>天，</w:t>
      </w:r>
      <w:r>
        <w:rPr>
          <w:rFonts w:ascii="仿宋" w:hAnsi="仿宋" w:eastAsia="仿宋"/>
          <w:sz w:val="24"/>
        </w:rPr>
        <w:t>并满足招标文件</w:t>
      </w:r>
      <w:r>
        <w:rPr>
          <w:rFonts w:hint="eastAsia" w:ascii="仿宋" w:hAnsi="仿宋" w:eastAsia="仿宋"/>
          <w:sz w:val="24"/>
        </w:rPr>
        <w:t>中其他</w:t>
      </w:r>
      <w:r>
        <w:rPr>
          <w:rFonts w:ascii="仿宋" w:hAnsi="仿宋" w:eastAsia="仿宋"/>
          <w:sz w:val="24"/>
        </w:rPr>
        <w:t>关于</w:t>
      </w:r>
      <w:r>
        <w:rPr>
          <w:rFonts w:hint="eastAsia" w:ascii="仿宋" w:hAnsi="仿宋" w:eastAsia="仿宋"/>
          <w:sz w:val="24"/>
        </w:rPr>
        <w:t>投标有效期的</w:t>
      </w:r>
      <w:r>
        <w:rPr>
          <w:rFonts w:ascii="仿宋" w:hAnsi="仿宋" w:eastAsia="仿宋"/>
          <w:sz w:val="24"/>
        </w:rPr>
        <w:t>实质性要求</w:t>
      </w:r>
      <w:r>
        <w:rPr>
          <w:rFonts w:hint="eastAsia" w:ascii="仿宋" w:hAnsi="仿宋" w:eastAsia="仿宋"/>
          <w:sz w:val="24"/>
        </w:rPr>
        <w:t>。</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五、我方愿意提供贵单位可能另外要求的，与投标有关的文件资料，并保证我方已提供和将要提供的文件资料是真实、准确的。</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传    真：XXXX。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期：XXXX年XXXX月XXXX日。</w:t>
      </w:r>
    </w:p>
    <w:p>
      <w:pPr>
        <w:widowControl/>
        <w:spacing w:after="0" w:line="240" w:lineRule="auto"/>
        <w:jc w:val="left"/>
        <w:outlineLvl w:val="1"/>
        <w:rPr>
          <w:rFonts w:ascii="仿宋" w:hAnsi="仿宋" w:eastAsia="仿宋"/>
          <w:b/>
          <w:sz w:val="32"/>
          <w:szCs w:val="32"/>
        </w:rPr>
      </w:pPr>
      <w:bookmarkStart w:id="153" w:name="_Toc308164824"/>
      <w:r>
        <w:rPr>
          <w:rFonts w:hint="eastAsia" w:ascii="仿宋" w:hAnsi="仿宋" w:eastAsia="仿宋"/>
          <w:b/>
          <w:sz w:val="32"/>
          <w:szCs w:val="32"/>
        </w:rPr>
        <w:br w:type="page"/>
      </w:r>
      <w:r>
        <w:rPr>
          <w:rFonts w:hint="eastAsia" w:ascii="仿宋" w:hAnsi="仿宋" w:eastAsia="仿宋"/>
          <w:b/>
          <w:sz w:val="32"/>
          <w:szCs w:val="32"/>
        </w:rPr>
        <w:t>格式2-3</w:t>
      </w:r>
    </w:p>
    <w:p>
      <w:pPr>
        <w:widowControl/>
        <w:spacing w:after="0" w:line="240" w:lineRule="auto"/>
        <w:jc w:val="center"/>
        <w:outlineLvl w:val="1"/>
        <w:rPr>
          <w:rFonts w:ascii="仿宋" w:hAnsi="仿宋" w:eastAsia="仿宋"/>
          <w:b/>
          <w:sz w:val="32"/>
          <w:szCs w:val="32"/>
        </w:rPr>
      </w:pPr>
      <w:r>
        <w:rPr>
          <w:rFonts w:hint="eastAsia" w:ascii="仿宋" w:hAnsi="仿宋" w:eastAsia="仿宋"/>
          <w:b/>
          <w:sz w:val="32"/>
          <w:szCs w:val="32"/>
        </w:rPr>
        <w:t>二、承诺函</w:t>
      </w:r>
      <w:r>
        <w:rPr>
          <w:rFonts w:hint="eastAsia" w:ascii="仿宋" w:hAnsi="仿宋" w:eastAsia="仿宋"/>
          <w:sz w:val="32"/>
          <w:szCs w:val="32"/>
        </w:rPr>
        <w:t>（实质性要求）</w:t>
      </w:r>
    </w:p>
    <w:p>
      <w:pPr>
        <w:widowControl/>
        <w:spacing w:after="0" w:line="240" w:lineRule="auto"/>
        <w:jc w:val="center"/>
        <w:outlineLvl w:val="1"/>
        <w:rPr>
          <w:rFonts w:ascii="仿宋" w:hAnsi="仿宋" w:eastAsia="仿宋"/>
          <w:b/>
          <w:sz w:val="24"/>
        </w:rPr>
      </w:pPr>
    </w:p>
    <w:p>
      <w:pPr>
        <w:widowControl/>
        <w:spacing w:after="0" w:line="240" w:lineRule="auto"/>
        <w:jc w:val="left"/>
        <w:outlineLvl w:val="1"/>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七、国家或行业主管部门对采购产品的技术标准、质量标准和资格资质条件等有强制性规定的，我方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八、参加本次招标采购活动，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w:t>
      </w:r>
      <w:r>
        <w:rPr>
          <w:rFonts w:ascii="仿宋" w:hAnsi="仿宋" w:eastAsia="仿宋"/>
          <w:sz w:val="24"/>
        </w:rPr>
        <w:t>保证金”</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九、在本次投标之前一周年内，投标人本次投标中对同一品牌同一型号相同配置的产品报价与其在中国境内其他地方的最低报价比例不得高于20%，</w:t>
      </w:r>
      <w:r>
        <w:rPr>
          <w:rFonts w:ascii="仿宋" w:hAnsi="仿宋" w:eastAsia="仿宋"/>
          <w:sz w:val="24"/>
        </w:rPr>
        <w:t>我方承诺符合</w:t>
      </w:r>
      <w:r>
        <w:rPr>
          <w:rFonts w:hint="eastAsia" w:ascii="仿宋" w:hAnsi="仿宋" w:eastAsia="仿宋"/>
          <w:sz w:val="24"/>
        </w:rPr>
        <w:t>该</w:t>
      </w:r>
      <w:r>
        <w:rPr>
          <w:rFonts w:ascii="仿宋" w:hAnsi="仿宋" w:eastAsia="仿宋"/>
          <w:sz w:val="24"/>
        </w:rPr>
        <w:t>要求。</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十一</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outlineLvl w:val="1"/>
        <w:rPr>
          <w:rFonts w:ascii="仿宋" w:hAnsi="仿宋" w:eastAsia="仿宋"/>
          <w:sz w:val="24"/>
        </w:rPr>
      </w:pPr>
    </w:p>
    <w:p>
      <w:pPr>
        <w:widowControl/>
        <w:tabs>
          <w:tab w:val="left" w:pos="8127"/>
        </w:tabs>
        <w:spacing w:after="0" w:line="240" w:lineRule="auto"/>
        <w:ind w:firstLine="470" w:firstLineChars="196"/>
        <w:jc w:val="left"/>
        <w:outlineLvl w:val="1"/>
        <w:rPr>
          <w:rFonts w:ascii="仿宋" w:hAnsi="仿宋" w:eastAsia="仿宋"/>
          <w:sz w:val="24"/>
        </w:rPr>
      </w:pPr>
      <w:r>
        <w:rPr>
          <w:rFonts w:hint="eastAsia" w:ascii="仿宋" w:hAnsi="仿宋" w:eastAsia="仿宋"/>
          <w:sz w:val="24"/>
        </w:rPr>
        <w:t>投标人名称：XXXX（单位公章）。</w:t>
      </w:r>
      <w:r>
        <w:rPr>
          <w:rFonts w:ascii="仿宋" w:hAnsi="仿宋" w:eastAsia="仿宋"/>
          <w:sz w:val="24"/>
        </w:rPr>
        <w:tab/>
      </w:r>
    </w:p>
    <w:p>
      <w:pPr>
        <w:widowControl/>
        <w:spacing w:after="0" w:line="240" w:lineRule="auto"/>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240" w:lineRule="auto"/>
        <w:ind w:firstLine="470" w:firstLineChars="196"/>
        <w:jc w:val="left"/>
        <w:outlineLvl w:val="1"/>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格式2-4</w:t>
      </w:r>
    </w:p>
    <w:bookmarkEnd w:id="146"/>
    <w:bookmarkEnd w:id="153"/>
    <w:p>
      <w:pPr>
        <w:spacing w:line="400" w:lineRule="exact"/>
        <w:ind w:firstLine="643" w:firstLineChars="200"/>
        <w:jc w:val="center"/>
        <w:rPr>
          <w:rFonts w:ascii="仿宋" w:hAnsi="仿宋" w:eastAsia="仿宋"/>
          <w:b/>
          <w:sz w:val="32"/>
          <w:szCs w:val="32"/>
        </w:rPr>
      </w:pPr>
      <w:bookmarkStart w:id="154" w:name="_Toc217446085"/>
      <w:r>
        <w:rPr>
          <w:rFonts w:hint="eastAsia" w:ascii="仿宋" w:hAnsi="仿宋" w:eastAsia="仿宋"/>
          <w:b/>
          <w:sz w:val="32"/>
          <w:szCs w:val="32"/>
        </w:rPr>
        <w:t>三、开标一览表</w:t>
      </w:r>
      <w:bookmarkEnd w:id="154"/>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第XX包</w:t>
      </w:r>
    </w:p>
    <w:tbl>
      <w:tblPr>
        <w:tblStyle w:val="23"/>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1440"/>
        <w:gridCol w:w="720"/>
        <w:gridCol w:w="1260"/>
        <w:gridCol w:w="1260"/>
        <w:gridCol w:w="900"/>
        <w:gridCol w:w="126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76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货物名称</w:t>
            </w:r>
          </w:p>
        </w:tc>
        <w:tc>
          <w:tcPr>
            <w:tcW w:w="14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制造厂家及</w:t>
            </w:r>
          </w:p>
          <w:p>
            <w:pPr>
              <w:widowControl/>
              <w:spacing w:line="360" w:lineRule="atLeast"/>
              <w:jc w:val="left"/>
              <w:outlineLvl w:val="1"/>
              <w:rPr>
                <w:rFonts w:ascii="仿宋" w:hAnsi="仿宋" w:eastAsia="仿宋"/>
                <w:sz w:val="24"/>
              </w:rPr>
            </w:pPr>
            <w:r>
              <w:rPr>
                <w:rFonts w:hint="eastAsia" w:ascii="仿宋" w:hAnsi="仿宋" w:eastAsia="仿宋"/>
                <w:sz w:val="24"/>
              </w:rPr>
              <w:t>规格型号</w:t>
            </w:r>
          </w:p>
        </w:tc>
        <w:tc>
          <w:tcPr>
            <w:tcW w:w="7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数量</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投标单价</w:t>
            </w:r>
          </w:p>
          <w:p>
            <w:pPr>
              <w:widowControl/>
              <w:spacing w:line="360" w:lineRule="atLeast"/>
              <w:jc w:val="left"/>
              <w:outlineLvl w:val="1"/>
              <w:rPr>
                <w:rFonts w:ascii="仿宋" w:hAnsi="仿宋" w:eastAsia="仿宋"/>
                <w:sz w:val="24"/>
              </w:rPr>
            </w:pPr>
            <w:r>
              <w:rPr>
                <w:rFonts w:hint="eastAsia" w:ascii="仿宋" w:hAnsi="仿宋" w:eastAsia="仿宋"/>
                <w:sz w:val="24"/>
              </w:rPr>
              <w:t>（万元）</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投标总价</w:t>
            </w:r>
          </w:p>
          <w:p>
            <w:pPr>
              <w:widowControl/>
              <w:spacing w:line="360" w:lineRule="atLeast"/>
              <w:jc w:val="left"/>
              <w:outlineLvl w:val="1"/>
              <w:rPr>
                <w:rFonts w:ascii="仿宋" w:hAnsi="仿宋" w:eastAsia="仿宋"/>
                <w:sz w:val="24"/>
              </w:rPr>
            </w:pPr>
            <w:r>
              <w:rPr>
                <w:rFonts w:hint="eastAsia" w:ascii="仿宋" w:hAnsi="仿宋" w:eastAsia="仿宋"/>
                <w:sz w:val="24"/>
              </w:rPr>
              <w:t>（万元）</w:t>
            </w:r>
          </w:p>
        </w:tc>
        <w:tc>
          <w:tcPr>
            <w:tcW w:w="900" w:type="dxa"/>
            <w:vAlign w:val="center"/>
          </w:tcPr>
          <w:p>
            <w:pPr>
              <w:widowControl/>
              <w:spacing w:line="360" w:lineRule="atLeast"/>
              <w:outlineLvl w:val="1"/>
              <w:rPr>
                <w:rFonts w:ascii="仿宋" w:hAnsi="仿宋" w:eastAsia="仿宋"/>
                <w:b/>
                <w:sz w:val="24"/>
              </w:rPr>
            </w:pPr>
            <w:r>
              <w:rPr>
                <w:rFonts w:hint="eastAsia" w:ascii="仿宋" w:hAnsi="仿宋" w:eastAsia="仿宋"/>
                <w:sz w:val="24"/>
              </w:rPr>
              <w:t>交货</w:t>
            </w:r>
          </w:p>
          <w:p>
            <w:pPr>
              <w:widowControl/>
              <w:spacing w:line="360" w:lineRule="atLeast"/>
              <w:jc w:val="left"/>
              <w:outlineLvl w:val="1"/>
              <w:rPr>
                <w:rFonts w:ascii="仿宋" w:hAnsi="仿宋" w:eastAsia="仿宋"/>
                <w:sz w:val="24"/>
              </w:rPr>
            </w:pPr>
            <w:r>
              <w:rPr>
                <w:rFonts w:hint="eastAsia" w:ascii="仿宋" w:hAnsi="仿宋" w:eastAsia="仿宋"/>
                <w:sz w:val="24"/>
              </w:rPr>
              <w:t>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是否属于进口产品</w:t>
            </w:r>
          </w:p>
        </w:tc>
        <w:tc>
          <w:tcPr>
            <w:tcW w:w="902" w:type="dxa"/>
            <w:vAlign w:val="center"/>
          </w:tcPr>
          <w:p>
            <w:pPr>
              <w:widowControl/>
              <w:spacing w:line="360" w:lineRule="atLeast"/>
              <w:ind w:left="-8" w:leftChars="-4" w:firstLine="84" w:firstLineChars="35"/>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sz w:val="24"/>
              </w:rPr>
            </w:pPr>
          </w:p>
        </w:tc>
        <w:tc>
          <w:tcPr>
            <w:tcW w:w="766"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sz w:val="24"/>
              </w:rPr>
            </w:pPr>
          </w:p>
        </w:tc>
        <w:tc>
          <w:tcPr>
            <w:tcW w:w="766"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right w:val="single" w:color="auto" w:sz="4" w:space="0"/>
            </w:tcBorders>
          </w:tcPr>
          <w:p>
            <w:pPr>
              <w:widowControl/>
              <w:spacing w:line="360" w:lineRule="atLeast"/>
              <w:ind w:firstLine="470" w:firstLineChars="196"/>
              <w:jc w:val="left"/>
              <w:outlineLvl w:val="1"/>
              <w:rPr>
                <w:rFonts w:ascii="仿宋" w:hAnsi="仿宋" w:eastAsia="仿宋"/>
                <w:sz w:val="24"/>
              </w:rPr>
            </w:pPr>
          </w:p>
        </w:tc>
        <w:tc>
          <w:tcPr>
            <w:tcW w:w="766"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4" w:type="dxa"/>
            <w:tcBorders>
              <w:bottom w:val="single" w:color="auto" w:sz="4" w:space="0"/>
              <w:right w:val="single" w:color="auto" w:sz="4" w:space="0"/>
            </w:tcBorders>
          </w:tcPr>
          <w:p>
            <w:pPr>
              <w:widowControl/>
              <w:spacing w:line="360" w:lineRule="atLeast"/>
              <w:jc w:val="left"/>
              <w:outlineLvl w:val="1"/>
              <w:rPr>
                <w:rFonts w:ascii="仿宋" w:hAnsi="仿宋" w:eastAsia="仿宋"/>
                <w:sz w:val="24"/>
              </w:rPr>
            </w:pPr>
          </w:p>
        </w:tc>
        <w:tc>
          <w:tcPr>
            <w:tcW w:w="8508" w:type="dxa"/>
            <w:gridSpan w:val="8"/>
            <w:tcBorders>
              <w:left w:val="single" w:color="auto" w:sz="4" w:space="0"/>
              <w:bottom w:val="single" w:color="auto" w:sz="4" w:space="0"/>
            </w:tcBorders>
          </w:tcPr>
          <w:p>
            <w:pPr>
              <w:widowControl/>
              <w:spacing w:line="360" w:lineRule="atLeast"/>
              <w:jc w:val="left"/>
              <w:outlineLvl w:val="1"/>
              <w:rPr>
                <w:rFonts w:ascii="仿宋" w:hAnsi="仿宋" w:eastAsia="仿宋"/>
                <w:sz w:val="24"/>
              </w:rPr>
            </w:pPr>
            <w:r>
              <w:rPr>
                <w:rFonts w:hint="eastAsia" w:ascii="仿宋" w:hAnsi="仿宋" w:eastAsia="仿宋"/>
                <w:sz w:val="24"/>
              </w:rPr>
              <w:t>报价合计（万元）：          大写：</w:t>
            </w:r>
          </w:p>
        </w:tc>
      </w:tr>
    </w:tbl>
    <w:p>
      <w:pPr>
        <w:widowControl/>
        <w:spacing w:line="360" w:lineRule="atLeast"/>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注：1. 报价应是最终用户验收合格后的总价，包括设备运输、保险、代理、安装调试、培训、税费和招标文件规定的其它费用。 </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2.“开标一览表”为多页的，每页均须加盖投标人印章。</w:t>
      </w:r>
    </w:p>
    <w:p>
      <w:pPr>
        <w:spacing w:line="400" w:lineRule="exact"/>
        <w:ind w:firstLine="480" w:firstLineChars="200"/>
        <w:rPr>
          <w:rFonts w:ascii="仿宋" w:hAnsi="仿宋" w:eastAsia="仿宋"/>
          <w:sz w:val="24"/>
        </w:rPr>
      </w:pPr>
      <w:r>
        <w:rPr>
          <w:rFonts w:hint="eastAsia" w:ascii="仿宋" w:hAnsi="仿宋" w:eastAsia="仿宋"/>
          <w:sz w:val="24"/>
        </w:rPr>
        <w:t>3．“开标一览表”以包为单位填写。</w:t>
      </w:r>
    </w:p>
    <w:p>
      <w:pPr>
        <w:spacing w:line="400" w:lineRule="exact"/>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．如是进口设备，须在表格中标明“进口”。招标文件未明确“允许进口”的，供应商以进口产品进行投标时，将视为无效投标。</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b/>
          <w:sz w:val="24"/>
        </w:rPr>
        <w:sectPr>
          <w:pgSz w:w="11907" w:h="16840"/>
          <w:pgMar w:top="1440" w:right="1474" w:bottom="1440" w:left="1474" w:header="851" w:footer="992" w:gutter="0"/>
          <w:cols w:space="720" w:num="1"/>
          <w:docGrid w:linePitch="312" w:charSpace="0"/>
        </w:sectPr>
      </w:pPr>
      <w:r>
        <w:rPr>
          <w:rFonts w:hint="eastAsia" w:ascii="仿宋" w:hAnsi="仿宋" w:eastAsia="仿宋"/>
          <w:sz w:val="24"/>
        </w:rPr>
        <w:t>投标日期：XXXX。</w:t>
      </w:r>
    </w:p>
    <w:p>
      <w:pPr>
        <w:spacing w:line="360" w:lineRule="auto"/>
        <w:rPr>
          <w:rFonts w:ascii="仿宋" w:hAnsi="仿宋" w:eastAsia="仿宋"/>
          <w:b/>
          <w:sz w:val="32"/>
          <w:szCs w:val="32"/>
        </w:rPr>
      </w:pPr>
      <w:bookmarkStart w:id="155" w:name="_Toc217446086"/>
      <w:r>
        <w:rPr>
          <w:rFonts w:hint="eastAsia" w:ascii="仿宋" w:hAnsi="仿宋" w:eastAsia="仿宋"/>
          <w:b/>
          <w:sz w:val="32"/>
          <w:szCs w:val="32"/>
        </w:rPr>
        <w:t>格式2-5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四、分项报价明细表</w:t>
      </w:r>
      <w:bookmarkEnd w:id="155"/>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第XX包</w:t>
      </w:r>
    </w:p>
    <w:tbl>
      <w:tblPr>
        <w:tblStyle w:val="23"/>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1275"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产品名称</w:t>
            </w:r>
          </w:p>
        </w:tc>
        <w:tc>
          <w:tcPr>
            <w:tcW w:w="136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规格型号</w:t>
            </w:r>
          </w:p>
        </w:tc>
        <w:tc>
          <w:tcPr>
            <w:tcW w:w="888"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品牌</w:t>
            </w:r>
          </w:p>
        </w:tc>
        <w:tc>
          <w:tcPr>
            <w:tcW w:w="1212"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单位</w:t>
            </w:r>
          </w:p>
        </w:tc>
        <w:tc>
          <w:tcPr>
            <w:tcW w:w="84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数量</w:t>
            </w:r>
          </w:p>
        </w:tc>
        <w:tc>
          <w:tcPr>
            <w:tcW w:w="841"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单价</w:t>
            </w:r>
          </w:p>
        </w:tc>
        <w:tc>
          <w:tcPr>
            <w:tcW w:w="876"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金额</w:t>
            </w:r>
          </w:p>
        </w:tc>
        <w:tc>
          <w:tcPr>
            <w:tcW w:w="843" w:type="dxa"/>
            <w:vAlign w:val="center"/>
          </w:tcPr>
          <w:p>
            <w:pPr>
              <w:widowControl/>
              <w:spacing w:line="360" w:lineRule="atLeas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6416" w:type="dxa"/>
            <w:gridSpan w:val="6"/>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分项报价合计（万元）：   大写：</w:t>
            </w:r>
          </w:p>
        </w:tc>
        <w:tc>
          <w:tcPr>
            <w:tcW w:w="8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84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注：1、投标人应按“分项报价明细表”的格式详细报出投标总价的各个组成部分的报价。</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    2、“分项报价明细表”各分项报价合计应当与“开标一览表”报价合计相等。</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投标日期：XXXX</w:t>
      </w:r>
      <w:bookmarkEnd w:id="151"/>
      <w:r>
        <w:rPr>
          <w:rFonts w:hint="eastAsia" w:ascii="仿宋" w:hAnsi="仿宋" w:eastAsia="仿宋"/>
          <w:sz w:val="24"/>
        </w:rPr>
        <w:t>。</w:t>
      </w:r>
      <w:bookmarkStart w:id="156" w:name="_Toc217446087"/>
    </w:p>
    <w:p>
      <w:pPr>
        <w:widowControl/>
        <w:spacing w:line="360" w:lineRule="atLeast"/>
        <w:ind w:firstLine="470" w:firstLineChars="196"/>
        <w:jc w:val="left"/>
        <w:outlineLvl w:val="1"/>
        <w:rPr>
          <w:rFonts w:ascii="仿宋" w:hAnsi="仿宋" w:eastAsia="仿宋"/>
          <w:b/>
          <w:sz w:val="32"/>
          <w:szCs w:val="32"/>
        </w:rPr>
      </w:pPr>
      <w:r>
        <w:rPr>
          <w:rFonts w:hint="eastAsia" w:ascii="仿宋" w:hAnsi="仿宋" w:eastAsia="仿宋"/>
          <w:sz w:val="24"/>
        </w:rPr>
        <w:br w:type="page"/>
      </w:r>
      <w:bookmarkStart w:id="157" w:name="PO_默认文件内容_26"/>
      <w:r>
        <w:rPr>
          <w:rFonts w:hint="eastAsia" w:ascii="仿宋" w:hAnsi="仿宋" w:eastAsia="仿宋"/>
          <w:b/>
          <w:sz w:val="32"/>
          <w:szCs w:val="32"/>
        </w:rPr>
        <w:t>格式2-6</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五、商务应答表</w:t>
      </w:r>
      <w:bookmarkEnd w:id="156"/>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3"/>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95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包号</w:t>
            </w:r>
          </w:p>
        </w:tc>
        <w:tc>
          <w:tcPr>
            <w:tcW w:w="151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招标要求</w:t>
            </w:r>
          </w:p>
        </w:tc>
        <w:tc>
          <w:tcPr>
            <w:tcW w:w="4852" w:type="dxa"/>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spacing w:after="0" w:line="340" w:lineRule="exact"/>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格式2-7</w:t>
      </w:r>
    </w:p>
    <w:p>
      <w:pPr>
        <w:widowControl/>
        <w:spacing w:after="0" w:line="340" w:lineRule="exact"/>
        <w:jc w:val="center"/>
        <w:rPr>
          <w:rFonts w:ascii="仿宋" w:hAnsi="仿宋" w:eastAsia="仿宋"/>
          <w:b/>
          <w:sz w:val="32"/>
          <w:szCs w:val="32"/>
        </w:rPr>
      </w:pPr>
      <w:r>
        <w:rPr>
          <w:rFonts w:hint="eastAsia" w:ascii="仿宋" w:hAnsi="仿宋" w:eastAsia="仿宋"/>
          <w:b/>
          <w:sz w:val="32"/>
          <w:szCs w:val="32"/>
        </w:rPr>
        <w:t>六、商务、技术、服务应答附表</w:t>
      </w:r>
    </w:p>
    <w:p>
      <w:pPr>
        <w:widowControl/>
        <w:spacing w:after="0" w:line="340" w:lineRule="exact"/>
        <w:jc w:val="center"/>
        <w:rPr>
          <w:rFonts w:ascii="仿宋" w:hAnsi="仿宋" w:eastAsia="仿宋"/>
          <w:b/>
          <w:sz w:val="32"/>
          <w:szCs w:val="32"/>
        </w:rPr>
      </w:pPr>
      <w:r>
        <w:rPr>
          <w:rFonts w:hint="eastAsia" w:ascii="仿宋" w:hAnsi="仿宋" w:eastAsia="仿宋"/>
          <w:b/>
          <w:sz w:val="32"/>
          <w:szCs w:val="32"/>
        </w:rPr>
        <w:t>（仅用于中标、成交结果公告，此表不作为评审内容）</w:t>
      </w:r>
    </w:p>
    <w:p>
      <w:pPr>
        <w:widowControl/>
        <w:spacing w:after="0" w:line="340" w:lineRule="exact"/>
        <w:ind w:firstLine="480"/>
        <w:jc w:val="left"/>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3"/>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widowControl/>
              <w:spacing w:after="0" w:line="340" w:lineRule="exact"/>
              <w:jc w:val="center"/>
              <w:outlineLvl w:val="1"/>
              <w:rPr>
                <w:rFonts w:ascii="仿宋" w:hAnsi="仿宋" w:eastAsia="仿宋"/>
                <w:sz w:val="24"/>
              </w:rPr>
            </w:pPr>
            <w:r>
              <w:rPr>
                <w:rFonts w:hint="eastAsia" w:ascii="仿宋" w:hAnsi="仿宋" w:eastAsia="仿宋" w:cs="宋体"/>
                <w:b/>
                <w:kern w:val="0"/>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*投标人名称</w:t>
            </w:r>
          </w:p>
        </w:tc>
        <w:tc>
          <w:tcPr>
            <w:tcW w:w="6474" w:type="dxa"/>
            <w:gridSpan w:val="7"/>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*注册地址</w:t>
            </w:r>
          </w:p>
        </w:tc>
        <w:tc>
          <w:tcPr>
            <w:tcW w:w="2985" w:type="dxa"/>
            <w:gridSpan w:val="3"/>
            <w:tcBorders>
              <w:right w:val="single" w:color="auto" w:sz="4" w:space="0"/>
            </w:tcBorders>
            <w:vAlign w:val="center"/>
          </w:tcPr>
          <w:p>
            <w:pPr>
              <w:widowControl/>
              <w:spacing w:after="0" w:line="340" w:lineRule="exact"/>
              <w:jc w:val="left"/>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*行政区域</w:t>
            </w:r>
          </w:p>
        </w:tc>
        <w:tc>
          <w:tcPr>
            <w:tcW w:w="1899" w:type="dxa"/>
            <w:tcBorders>
              <w:left w:val="single" w:color="auto" w:sz="4" w:space="0"/>
            </w:tcBorders>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pPr>
              <w:widowControl/>
              <w:spacing w:after="0" w:line="340" w:lineRule="exact"/>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 xml:space="preserve">大型企业   </w:t>
            </w:r>
            <w:r>
              <w:rPr>
                <w:rFonts w:hint="eastAsia" w:ascii="仿宋" w:hAnsi="仿宋" w:eastAsia="仿宋" w:cs="黑体"/>
                <w:szCs w:val="21"/>
              </w:rPr>
              <w:t>□</w:t>
            </w:r>
            <w:r>
              <w:rPr>
                <w:rFonts w:hint="eastAsia" w:ascii="仿宋" w:hAnsi="仿宋" w:eastAsia="仿宋"/>
                <w:szCs w:val="21"/>
              </w:rPr>
              <w:t xml:space="preserve">中型企业   </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*单位联系人</w:t>
            </w:r>
          </w:p>
        </w:tc>
        <w:tc>
          <w:tcPr>
            <w:tcW w:w="1380" w:type="dxa"/>
            <w:gridSpan w:val="3"/>
            <w:vAlign w:val="center"/>
          </w:tcPr>
          <w:p>
            <w:pPr>
              <w:widowControl/>
              <w:spacing w:after="0" w:line="340" w:lineRule="exact"/>
              <w:ind w:firstLine="470" w:firstLineChars="196"/>
              <w:jc w:val="left"/>
              <w:outlineLvl w:val="1"/>
              <w:rPr>
                <w:rFonts w:ascii="仿宋" w:hAnsi="仿宋" w:eastAsia="仿宋"/>
                <w:sz w:val="24"/>
              </w:rPr>
            </w:pPr>
          </w:p>
        </w:tc>
        <w:tc>
          <w:tcPr>
            <w:tcW w:w="1529"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*单位电话</w:t>
            </w:r>
          </w:p>
        </w:tc>
        <w:tc>
          <w:tcPr>
            <w:tcW w:w="1930" w:type="dxa"/>
            <w:gridSpan w:val="2"/>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spacing w:after="0" w:line="340" w:lineRule="exact"/>
              <w:rPr>
                <w:rFonts w:ascii="仿宋" w:hAnsi="仿宋" w:eastAsia="仿宋"/>
              </w:rPr>
            </w:pPr>
          </w:p>
        </w:tc>
        <w:tc>
          <w:tcPr>
            <w:tcW w:w="1635"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widowControl/>
              <w:spacing w:after="0" w:line="340" w:lineRule="exact"/>
              <w:ind w:firstLine="472" w:firstLineChars="196"/>
              <w:jc w:val="left"/>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spacing w:after="0" w:line="340" w:lineRule="exact"/>
              <w:jc w:val="left"/>
              <w:outlineLvl w:val="1"/>
              <w:rPr>
                <w:rFonts w:ascii="仿宋" w:hAnsi="仿宋" w:eastAsia="仿宋"/>
                <w:b/>
                <w:bCs/>
                <w:sz w:val="24"/>
              </w:rPr>
            </w:pPr>
            <w:r>
              <w:rPr>
                <w:rFonts w:hint="eastAsia" w:ascii="仿宋" w:hAnsi="仿宋" w:eastAsia="仿宋"/>
                <w:b/>
                <w:bCs/>
                <w:sz w:val="24"/>
              </w:rPr>
              <w:t>供应商应答“采购文件”的主要内容</w:t>
            </w: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主要中标或者成交标的的名称</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主要中标或者成交标的的规格型号</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主要中标或者成交标的的数量</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主要中标或者成交标的的单价</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主要中标或者成交标的的服务要求（如：交货期、质保期、售后服务等等）</w:t>
            </w:r>
          </w:p>
        </w:tc>
        <w:tc>
          <w:tcPr>
            <w:tcW w:w="4564" w:type="dxa"/>
            <w:gridSpan w:val="5"/>
            <w:tcBorders>
              <w:left w:val="single" w:color="auto" w:sz="4" w:space="0"/>
            </w:tcBorders>
            <w:vAlign w:val="center"/>
          </w:tcPr>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spacing w:after="0" w:line="340" w:lineRule="exact"/>
              <w:jc w:val="left"/>
              <w:rPr>
                <w:rFonts w:ascii="仿宋" w:hAnsi="仿宋" w:eastAsia="仿宋"/>
                <w:b/>
                <w:bCs/>
                <w:sz w:val="24"/>
              </w:rPr>
            </w:pPr>
            <w:r>
              <w:rPr>
                <w:rFonts w:hint="eastAsia" w:ascii="仿宋" w:hAnsi="仿宋" w:eastAsia="仿宋" w:cs="宋体"/>
                <w:bCs/>
                <w:sz w:val="24"/>
              </w:rPr>
              <w:t>......</w:t>
            </w:r>
          </w:p>
        </w:tc>
      </w:tr>
    </w:tbl>
    <w:p>
      <w:pPr>
        <w:spacing w:after="0" w:line="340" w:lineRule="exact"/>
        <w:rPr>
          <w:rFonts w:ascii="仿宋" w:hAnsi="仿宋" w:eastAsia="仿宋"/>
          <w:sz w:val="24"/>
        </w:rPr>
      </w:pPr>
      <w:r>
        <w:rPr>
          <w:rFonts w:hint="eastAsia" w:ascii="仿宋" w:hAnsi="仿宋" w:eastAsia="仿宋"/>
          <w:sz w:val="24"/>
        </w:rPr>
        <w:t>注：</w:t>
      </w:r>
    </w:p>
    <w:p>
      <w:pPr>
        <w:numPr>
          <w:ilvl w:val="0"/>
          <w:numId w:val="3"/>
        </w:numPr>
        <w:spacing w:after="0" w:line="340" w:lineRule="exact"/>
        <w:rPr>
          <w:rFonts w:ascii="仿宋" w:hAnsi="仿宋" w:eastAsia="仿宋"/>
          <w:sz w:val="24"/>
        </w:rPr>
      </w:pPr>
      <w:r>
        <w:rPr>
          <w:rFonts w:hint="eastAsia" w:ascii="仿宋" w:hAnsi="仿宋" w:eastAsia="仿宋"/>
          <w:sz w:val="24"/>
        </w:rPr>
        <w:t>供应商需如实完善表格内容。</w:t>
      </w:r>
    </w:p>
    <w:p>
      <w:pPr>
        <w:numPr>
          <w:ilvl w:val="0"/>
          <w:numId w:val="3"/>
        </w:numPr>
        <w:spacing w:after="0" w:line="340" w:lineRule="exact"/>
        <w:rPr>
          <w:rFonts w:ascii="仿宋" w:hAnsi="仿宋" w:eastAsia="仿宋"/>
          <w:sz w:val="24"/>
        </w:rPr>
      </w:pPr>
      <w:r>
        <w:rPr>
          <w:rFonts w:hint="eastAsia" w:ascii="仿宋" w:hAnsi="仿宋" w:eastAsia="仿宋"/>
          <w:sz w:val="24"/>
        </w:rPr>
        <w:t>供应商应答的主要内容应与投标文件一致，可以进行简要概括性表述。</w:t>
      </w:r>
    </w:p>
    <w:p>
      <w:pPr>
        <w:numPr>
          <w:ilvl w:val="0"/>
          <w:numId w:val="3"/>
        </w:numPr>
        <w:spacing w:after="0" w:line="340" w:lineRule="exact"/>
        <w:rPr>
          <w:rFonts w:ascii="仿宋" w:hAnsi="仿宋" w:eastAsia="仿宋"/>
          <w:sz w:val="24"/>
        </w:rPr>
      </w:pP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pPr>
        <w:widowControl/>
        <w:spacing w:after="0" w:line="340" w:lineRule="exac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40" w:lineRule="exac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40" w:lineRule="exact"/>
        <w:ind w:firstLine="470" w:firstLineChars="196"/>
        <w:jc w:val="left"/>
        <w:outlineLvl w:val="1"/>
        <w:rPr>
          <w:rFonts w:ascii="仿宋" w:hAnsi="仿宋" w:eastAsia="仿宋"/>
          <w:b/>
          <w:sz w:val="24"/>
        </w:rPr>
      </w:pPr>
      <w:r>
        <w:rPr>
          <w:rFonts w:hint="eastAsia" w:ascii="仿宋" w:hAnsi="仿宋" w:eastAsia="仿宋"/>
          <w:sz w:val="24"/>
        </w:rPr>
        <w:t>投标日期: XXXX。</w:t>
      </w:r>
    </w:p>
    <w:p>
      <w:pPr>
        <w:spacing w:after="0" w:line="360" w:lineRule="auto"/>
        <w:rPr>
          <w:rFonts w:ascii="仿宋" w:hAnsi="仿宋" w:eastAsia="仿宋"/>
          <w:b/>
          <w:sz w:val="32"/>
          <w:szCs w:val="32"/>
        </w:rPr>
      </w:pPr>
      <w:bookmarkStart w:id="158" w:name="_Toc217446088"/>
      <w:r>
        <w:rPr>
          <w:rFonts w:hint="eastAsia" w:ascii="仿宋" w:hAnsi="仿宋" w:eastAsia="仿宋"/>
          <w:b/>
          <w:sz w:val="32"/>
          <w:szCs w:val="32"/>
        </w:rPr>
        <w:br w:type="page"/>
      </w:r>
      <w:r>
        <w:rPr>
          <w:rFonts w:hint="eastAsia" w:ascii="仿宋" w:hAnsi="仿宋" w:eastAsia="仿宋"/>
          <w:b/>
          <w:sz w:val="32"/>
          <w:szCs w:val="32"/>
        </w:rPr>
        <w:t>格式2-8</w:t>
      </w:r>
    </w:p>
    <w:p>
      <w:pPr>
        <w:widowControl/>
        <w:spacing w:after="0" w:line="360" w:lineRule="atLeast"/>
        <w:jc w:val="center"/>
        <w:outlineLvl w:val="1"/>
        <w:rPr>
          <w:rFonts w:ascii="仿宋" w:hAnsi="仿宋" w:eastAsia="仿宋"/>
          <w:b/>
          <w:sz w:val="32"/>
          <w:szCs w:val="32"/>
        </w:rPr>
      </w:pPr>
      <w:r>
        <w:rPr>
          <w:rFonts w:hint="eastAsia" w:ascii="仿宋" w:hAnsi="仿宋" w:eastAsia="仿宋"/>
          <w:b/>
          <w:sz w:val="32"/>
          <w:szCs w:val="32"/>
        </w:rPr>
        <w:t>七、投标人基本情况表</w:t>
      </w:r>
      <w:bookmarkEnd w:id="158"/>
    </w:p>
    <w:tbl>
      <w:tblPr>
        <w:tblStyle w:val="23"/>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spacing w:line="360" w:lineRule="auto"/>
        <w:rPr>
          <w:rFonts w:ascii="仿宋" w:hAnsi="仿宋" w:eastAsia="仿宋"/>
          <w:b/>
          <w:sz w:val="32"/>
          <w:szCs w:val="32"/>
        </w:rPr>
      </w:pPr>
      <w:bookmarkStart w:id="159" w:name="_Toc217446089"/>
      <w:r>
        <w:rPr>
          <w:rFonts w:hint="eastAsia" w:ascii="仿宋" w:hAnsi="仿宋" w:eastAsia="仿宋"/>
          <w:b/>
          <w:sz w:val="36"/>
          <w:szCs w:val="36"/>
        </w:rPr>
        <w:br w:type="page"/>
      </w:r>
      <w:r>
        <w:rPr>
          <w:rFonts w:hint="eastAsia" w:ascii="仿宋" w:hAnsi="仿宋" w:eastAsia="仿宋"/>
          <w:b/>
          <w:sz w:val="32"/>
          <w:szCs w:val="32"/>
        </w:rPr>
        <w:t>格式2-9</w:t>
      </w:r>
    </w:p>
    <w:p>
      <w:pPr>
        <w:widowControl/>
        <w:spacing w:line="360" w:lineRule="atLeast"/>
        <w:jc w:val="center"/>
        <w:outlineLvl w:val="1"/>
        <w:rPr>
          <w:rFonts w:ascii="仿宋" w:hAnsi="仿宋" w:eastAsia="仿宋"/>
          <w:b/>
          <w:sz w:val="36"/>
          <w:szCs w:val="36"/>
        </w:rPr>
      </w:pPr>
      <w:r>
        <w:rPr>
          <w:rFonts w:hint="eastAsia" w:ascii="仿宋" w:hAnsi="仿宋" w:eastAsia="仿宋"/>
          <w:b/>
          <w:sz w:val="36"/>
          <w:szCs w:val="36"/>
        </w:rPr>
        <w:t>八、类似项目业绩一览表</w:t>
      </w:r>
      <w:bookmarkEnd w:id="159"/>
    </w:p>
    <w:p>
      <w:pPr>
        <w:widowControl/>
        <w:spacing w:line="360" w:lineRule="atLeast"/>
        <w:ind w:firstLine="472" w:firstLineChars="196"/>
        <w:jc w:val="left"/>
        <w:outlineLvl w:val="1"/>
        <w:rPr>
          <w:rFonts w:ascii="仿宋" w:hAnsi="仿宋" w:eastAsia="仿宋"/>
          <w:b/>
          <w:sz w:val="24"/>
        </w:rPr>
      </w:pPr>
    </w:p>
    <w:tbl>
      <w:tblPr>
        <w:tblStyle w:val="23"/>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b/>
          <w:sz w:val="32"/>
          <w:szCs w:val="32"/>
        </w:rPr>
      </w:pPr>
      <w:r>
        <w:rPr>
          <w:rFonts w:hint="eastAsia" w:ascii="仿宋" w:hAnsi="仿宋" w:eastAsia="仿宋"/>
          <w:sz w:val="24"/>
        </w:rPr>
        <w:t>投标日期: XXXX。</w:t>
      </w:r>
      <w:bookmarkStart w:id="160" w:name="_Toc217446090"/>
      <w:r>
        <w:rPr>
          <w:rFonts w:hint="eastAsia" w:ascii="仿宋" w:hAnsi="仿宋" w:eastAsia="仿宋"/>
          <w:b/>
          <w:sz w:val="32"/>
          <w:szCs w:val="32"/>
        </w:rPr>
        <w:br w:type="page"/>
      </w:r>
      <w:r>
        <w:rPr>
          <w:rFonts w:hint="eastAsia" w:ascii="仿宋" w:hAnsi="仿宋" w:eastAsia="仿宋"/>
          <w:b/>
          <w:sz w:val="32"/>
          <w:szCs w:val="32"/>
        </w:rPr>
        <w:t>格式2-10</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九、投标产品技术参数表</w:t>
      </w:r>
      <w:bookmarkEnd w:id="160"/>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3"/>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88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 xml:space="preserve">包号 </w:t>
            </w:r>
          </w:p>
        </w:tc>
        <w:tc>
          <w:tcPr>
            <w:tcW w:w="205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货物（设备）名称</w:t>
            </w:r>
          </w:p>
        </w:tc>
        <w:tc>
          <w:tcPr>
            <w:tcW w:w="185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招标文件要求</w:t>
            </w:r>
          </w:p>
        </w:tc>
        <w:tc>
          <w:tcPr>
            <w:tcW w:w="23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outlineLvl w:val="1"/>
        <w:rPr>
          <w:rFonts w:ascii="仿宋" w:hAnsi="仿宋" w:eastAsia="仿宋"/>
          <w:sz w:val="24"/>
        </w:rPr>
      </w:pPr>
    </w:p>
    <w:p>
      <w:pPr>
        <w:spacing w:line="360" w:lineRule="auto"/>
        <w:rPr>
          <w:rFonts w:ascii="仿宋" w:hAnsi="仿宋" w:eastAsia="仿宋"/>
          <w:b/>
          <w:sz w:val="32"/>
          <w:szCs w:val="32"/>
        </w:rPr>
      </w:pPr>
      <w:bookmarkStart w:id="161" w:name="_Toc217446091"/>
      <w:r>
        <w:rPr>
          <w:rFonts w:hint="eastAsia" w:ascii="仿宋" w:hAnsi="仿宋" w:eastAsia="仿宋"/>
          <w:b/>
          <w:sz w:val="32"/>
          <w:szCs w:val="32"/>
        </w:rPr>
        <w:br w:type="page"/>
      </w:r>
      <w:r>
        <w:rPr>
          <w:rFonts w:hint="eastAsia" w:ascii="仿宋" w:hAnsi="仿宋" w:eastAsia="仿宋"/>
          <w:b/>
          <w:sz w:val="32"/>
          <w:szCs w:val="32"/>
        </w:rPr>
        <w:t>格式2-11</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十、投标人本项目管理、技术、服务人员情况表</w:t>
      </w:r>
      <w:bookmarkEnd w:id="161"/>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3"/>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证书</w:t>
            </w:r>
          </w:p>
          <w:p>
            <w:pPr>
              <w:widowControl/>
              <w:spacing w:line="360" w:lineRule="atLeast"/>
              <w:jc w:val="left"/>
              <w:outlineLvl w:val="1"/>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管理</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技术</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备注：此表填写的管理人员将作为判定87号令第37条依据。</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spacing w:after="0" w:line="360" w:lineRule="auto"/>
        <w:rPr>
          <w:rFonts w:ascii="仿宋" w:hAnsi="仿宋" w:eastAsia="仿宋"/>
          <w:b/>
          <w:sz w:val="32"/>
          <w:szCs w:val="32"/>
        </w:rPr>
      </w:pPr>
      <w:r>
        <w:rPr>
          <w:rFonts w:hint="eastAsia" w:ascii="仿宋" w:hAnsi="仿宋" w:eastAsia="仿宋"/>
          <w:b/>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w:t>
      </w:r>
      <w:r>
        <w:rPr>
          <w:rFonts w:ascii="仿宋" w:hAnsi="仿宋" w:eastAsia="仿宋"/>
          <w:b/>
          <w:sz w:val="32"/>
          <w:szCs w:val="32"/>
        </w:rPr>
        <w:t>2</w:t>
      </w:r>
    </w:p>
    <w:p>
      <w:pPr>
        <w:widowControl/>
        <w:spacing w:after="0" w:line="360" w:lineRule="atLeast"/>
        <w:jc w:val="center"/>
        <w:outlineLvl w:val="1"/>
        <w:rPr>
          <w:rFonts w:ascii="仿宋" w:hAnsi="仿宋" w:eastAsia="仿宋"/>
          <w:b/>
          <w:sz w:val="32"/>
          <w:szCs w:val="32"/>
        </w:rPr>
      </w:pPr>
      <w:bookmarkStart w:id="162" w:name="_Toc28495"/>
      <w:bookmarkStart w:id="163" w:name="_Toc28654"/>
      <w:r>
        <w:rPr>
          <w:rFonts w:hint="eastAsia" w:ascii="仿宋" w:hAnsi="仿宋" w:eastAsia="仿宋"/>
          <w:b/>
          <w:sz w:val="32"/>
          <w:szCs w:val="32"/>
        </w:rPr>
        <w:t>十一、中小企业声明函</w:t>
      </w:r>
    </w:p>
    <w:p>
      <w:pPr>
        <w:widowControl/>
        <w:spacing w:after="0" w:line="360" w:lineRule="atLeast"/>
        <w:jc w:val="center"/>
        <w:outlineLvl w:val="1"/>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采购活动，提供的货物全部由符合政策要求的中小企业制造。相关企业（含联合体中的中小企业、签订分包意向协议的中小企业）的具体情况如下：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64" w:name="_Toc413748654"/>
      <w:bookmarkStart w:id="165" w:name="_Toc419811733"/>
      <w:bookmarkStart w:id="166" w:name="_Toc417911732"/>
      <w:bookmarkStart w:id="167" w:name="_Toc387658050"/>
      <w:bookmarkStart w:id="168" w:name="_Toc387147344"/>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b/>
          <w:sz w:val="32"/>
          <w:szCs w:val="32"/>
        </w:rPr>
      </w:pPr>
      <w:r>
        <w:rPr>
          <w:rFonts w:ascii="仿宋" w:hAnsi="仿宋" w:eastAsia="仿宋" w:cs="宋体"/>
          <w:sz w:val="24"/>
        </w:rPr>
        <w:t>1、</w:t>
      </w:r>
      <w:bookmarkEnd w:id="164"/>
      <w:bookmarkEnd w:id="165"/>
      <w:bookmarkEnd w:id="166"/>
      <w:bookmarkEnd w:id="167"/>
      <w:bookmarkEnd w:id="168"/>
      <w:r>
        <w:rPr>
          <w:rFonts w:hint="eastAsia" w:ascii="仿宋" w:hAnsi="仿宋" w:eastAsia="仿宋" w:cs="宋体"/>
          <w:sz w:val="24"/>
        </w:rPr>
        <w:t>从业人员、营业收入、资产总额填报上一年度数据，无上一年度数据的新成立企业可不填报。</w:t>
      </w:r>
      <w:r>
        <w:rPr>
          <w:rFonts w:hint="eastAsia" w:ascii="仿宋" w:hAnsi="仿宋" w:eastAsia="仿宋" w:cs="宋体"/>
          <w:sz w:val="24"/>
        </w:rPr>
        <w:br w:type="page"/>
      </w:r>
      <w:r>
        <w:rPr>
          <w:rFonts w:hint="eastAsia" w:ascii="仿宋" w:hAnsi="仿宋" w:eastAsia="仿宋"/>
          <w:b/>
          <w:sz w:val="32"/>
          <w:szCs w:val="32"/>
        </w:rPr>
        <w:t>格式2-1</w:t>
      </w:r>
      <w:r>
        <w:rPr>
          <w:rFonts w:ascii="仿宋" w:hAnsi="仿宋" w:eastAsia="仿宋"/>
          <w:b/>
          <w:sz w:val="32"/>
          <w:szCs w:val="32"/>
        </w:rPr>
        <w:t>3</w:t>
      </w:r>
    </w:p>
    <w:p>
      <w:pPr>
        <w:jc w:val="center"/>
        <w:rPr>
          <w:rFonts w:ascii="仿宋" w:hAnsi="仿宋" w:eastAsia="仿宋"/>
          <w:b/>
          <w:sz w:val="32"/>
          <w:szCs w:val="32"/>
        </w:rPr>
      </w:pPr>
      <w:r>
        <w:rPr>
          <w:rFonts w:hint="eastAsia" w:ascii="仿宋" w:hAnsi="仿宋" w:eastAsia="仿宋"/>
          <w:b/>
          <w:sz w:val="32"/>
          <w:szCs w:val="32"/>
        </w:rPr>
        <w:t>十二、残疾人福利性单位声明函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  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4"/>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spacing w:line="300" w:lineRule="exact"/>
        <w:rPr>
          <w:rFonts w:ascii="仿宋" w:hAnsi="仿宋" w:eastAsia="仿宋" w:cs="宋体"/>
          <w:sz w:val="24"/>
        </w:rPr>
      </w:pP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w:t>
      </w:r>
      <w:r>
        <w:rPr>
          <w:rFonts w:ascii="仿宋" w:hAnsi="仿宋" w:eastAsia="仿宋"/>
          <w:b/>
          <w:sz w:val="32"/>
          <w:szCs w:val="32"/>
        </w:rPr>
        <w:t>4</w:t>
      </w:r>
    </w:p>
    <w:p>
      <w:pPr>
        <w:jc w:val="center"/>
        <w:rPr>
          <w:rFonts w:ascii="仿宋" w:hAnsi="仿宋" w:eastAsia="仿宋"/>
          <w:b/>
          <w:sz w:val="32"/>
          <w:szCs w:val="32"/>
        </w:rPr>
      </w:pPr>
      <w:r>
        <w:rPr>
          <w:rFonts w:hint="eastAsia" w:ascii="仿宋" w:hAnsi="仿宋" w:eastAsia="仿宋"/>
          <w:b/>
          <w:sz w:val="32"/>
          <w:szCs w:val="32"/>
        </w:rPr>
        <w:t>十三、监狱企业</w:t>
      </w: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300" w:lineRule="exact"/>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line="300" w:lineRule="exact"/>
        <w:rPr>
          <w:rFonts w:ascii="仿宋" w:hAnsi="仿宋" w:eastAsia="仿宋" w:cs="宋体"/>
          <w:sz w:val="24"/>
        </w:rPr>
        <w:sectPr>
          <w:footerReference r:id="rId6" w:type="default"/>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sz w:val="36"/>
          <w:szCs w:val="36"/>
        </w:rPr>
      </w:pPr>
      <w:r>
        <w:rPr>
          <w:rFonts w:hint="eastAsia" w:ascii="仿宋" w:hAnsi="仿宋" w:eastAsia="仿宋"/>
          <w:sz w:val="36"/>
          <w:szCs w:val="36"/>
        </w:rPr>
        <w:t>第四章  投标人和投标产品的资格、资质性及其他类似效力要求</w:t>
      </w:r>
      <w:bookmarkEnd w:id="162"/>
      <w:bookmarkEnd w:id="163"/>
    </w:p>
    <w:p>
      <w:pPr>
        <w:pStyle w:val="3"/>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2"/>
        <w:spacing w:line="420" w:lineRule="exact"/>
        <w:ind w:firstLine="0" w:firstLineChars="0"/>
        <w:rPr>
          <w:rFonts w:ascii="仿宋" w:hAnsi="仿宋" w:eastAsia="仿宋"/>
          <w:b/>
          <w:bCs/>
          <w:sz w:val="24"/>
        </w:rPr>
      </w:pPr>
      <w:r>
        <w:rPr>
          <w:rFonts w:ascii="仿宋" w:hAnsi="仿宋" w:eastAsia="仿宋"/>
          <w:b/>
          <w:bCs/>
          <w:sz w:val="24"/>
        </w:rPr>
        <w:t>（一）</w:t>
      </w:r>
      <w:r>
        <w:rPr>
          <w:rFonts w:hint="eastAsia" w:ascii="仿宋" w:hAnsi="仿宋" w:eastAsia="仿宋"/>
          <w:b/>
          <w:bCs/>
          <w:sz w:val="24"/>
        </w:rPr>
        <w:t>资格要求：</w:t>
      </w:r>
    </w:p>
    <w:p>
      <w:pPr>
        <w:pStyle w:val="42"/>
        <w:spacing w:line="420" w:lineRule="exact"/>
        <w:ind w:firstLine="0" w:firstLineChars="0"/>
        <w:rPr>
          <w:rFonts w:ascii="仿宋" w:hAnsi="仿宋" w:eastAsia="仿宋"/>
          <w:sz w:val="24"/>
        </w:rPr>
      </w:pPr>
      <w:r>
        <w:rPr>
          <w:rFonts w:hint="eastAsia" w:ascii="仿宋" w:hAnsi="仿宋" w:eastAsia="仿宋"/>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rPr>
          <w:rFonts w:ascii="仿宋" w:hAnsi="仿宋" w:eastAsia="仿宋"/>
          <w:sz w:val="24"/>
        </w:rPr>
      </w:pPr>
      <w:r>
        <w:rPr>
          <w:rFonts w:hint="eastAsia" w:ascii="仿宋" w:hAnsi="仿宋" w:eastAsia="仿宋"/>
          <w:sz w:val="24"/>
        </w:rPr>
        <w:t>2、</w:t>
      </w:r>
      <w:r>
        <w:rPr>
          <w:rFonts w:hint="eastAsia" w:ascii="仿宋" w:hAnsi="仿宋" w:eastAsia="仿宋" w:cs="宋体"/>
          <w:sz w:val="24"/>
        </w:rPr>
        <w:t>落实政府采购政策需满足的资格要求：</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2.1本项目专门面向中小企业采购(监狱企业、残疾人福利性单位均视同小微企业)，非中小企业参与的将视为无效投标。</w:t>
      </w:r>
    </w:p>
    <w:p>
      <w:pPr>
        <w:tabs>
          <w:tab w:val="left" w:pos="7665"/>
        </w:tabs>
        <w:spacing w:line="400" w:lineRule="exact"/>
        <w:rPr>
          <w:rFonts w:ascii="仿宋" w:hAnsi="仿宋" w:eastAsia="仿宋" w:cs="宋体"/>
          <w:sz w:val="24"/>
        </w:rPr>
      </w:pPr>
      <w:r>
        <w:rPr>
          <w:rFonts w:ascii="仿宋" w:hAnsi="仿宋" w:eastAsia="仿宋"/>
          <w:sz w:val="24"/>
        </w:rPr>
        <w:t>3</w:t>
      </w:r>
      <w:r>
        <w:rPr>
          <w:rFonts w:hint="eastAsia" w:ascii="仿宋" w:hAnsi="仿宋" w:eastAsia="仿宋"/>
          <w:sz w:val="24"/>
        </w:rPr>
        <w:t>、</w:t>
      </w:r>
      <w:r>
        <w:rPr>
          <w:rFonts w:hint="eastAsia" w:ascii="仿宋" w:hAnsi="仿宋" w:eastAsia="仿宋" w:cs="宋体"/>
          <w:sz w:val="24"/>
        </w:rPr>
        <w:t>本项目的特定资格要求：无。</w:t>
      </w:r>
    </w:p>
    <w:p>
      <w:pPr>
        <w:pStyle w:val="42"/>
        <w:spacing w:line="420" w:lineRule="exact"/>
        <w:ind w:firstLine="0" w:firstLineChars="0"/>
        <w:rPr>
          <w:rFonts w:ascii="仿宋" w:hAnsi="仿宋" w:eastAsia="仿宋"/>
          <w:b/>
          <w:bCs/>
          <w:sz w:val="24"/>
        </w:rPr>
      </w:pPr>
      <w:r>
        <w:rPr>
          <w:rFonts w:hint="eastAsia" w:ascii="仿宋" w:hAnsi="仿宋" w:eastAsia="仿宋"/>
          <w:b/>
          <w:bCs/>
          <w:sz w:val="24"/>
        </w:rPr>
        <w:t>（二）资质性要求：无</w:t>
      </w:r>
    </w:p>
    <w:p>
      <w:pPr>
        <w:pStyle w:val="42"/>
        <w:spacing w:line="420" w:lineRule="exact"/>
        <w:ind w:firstLine="0" w:firstLineChars="0"/>
        <w:rPr>
          <w:rFonts w:ascii="仿宋" w:hAnsi="仿宋" w:eastAsia="仿宋"/>
          <w:b/>
          <w:bCs/>
          <w:sz w:val="24"/>
        </w:rPr>
      </w:pPr>
      <w:r>
        <w:rPr>
          <w:rFonts w:hint="eastAsia" w:ascii="仿宋" w:hAnsi="仿宋" w:eastAsia="仿宋"/>
          <w:b/>
          <w:bCs/>
          <w:sz w:val="24"/>
        </w:rPr>
        <w:t>（三）其他类似效力要求：</w:t>
      </w:r>
    </w:p>
    <w:p>
      <w:pPr>
        <w:pStyle w:val="42"/>
        <w:spacing w:line="420" w:lineRule="exact"/>
        <w:ind w:firstLine="0" w:firstLineChars="0"/>
        <w:rPr>
          <w:rFonts w:ascii="仿宋" w:hAnsi="仿宋" w:eastAsia="仿宋"/>
          <w:b/>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）授权参加本次投标活动的供应商代表证明材料</w:t>
      </w:r>
    </w:p>
    <w:p>
      <w:pPr>
        <w:pStyle w:val="3"/>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（一）资格要求：无</w:t>
      </w:r>
    </w:p>
    <w:p>
      <w:pPr>
        <w:rPr>
          <w:rFonts w:ascii="仿宋" w:hAnsi="仿宋" w:eastAsia="仿宋"/>
          <w:b/>
          <w:bCs/>
          <w:sz w:val="24"/>
        </w:rPr>
      </w:pPr>
      <w:r>
        <w:rPr>
          <w:rFonts w:hint="eastAsia" w:ascii="仿宋" w:hAnsi="仿宋" w:eastAsia="仿宋"/>
          <w:b/>
          <w:bCs/>
          <w:sz w:val="24"/>
        </w:rPr>
        <w:t>（二）资质性要求：无</w:t>
      </w:r>
    </w:p>
    <w:p>
      <w:pPr>
        <w:rPr>
          <w:rFonts w:ascii="仿宋" w:hAnsi="仿宋" w:eastAsia="仿宋"/>
          <w:b/>
          <w:bCs/>
          <w:sz w:val="24"/>
        </w:rPr>
      </w:pPr>
      <w:r>
        <w:rPr>
          <w:rFonts w:hint="eastAsia" w:ascii="仿宋" w:hAnsi="仿宋" w:eastAsia="仿宋"/>
          <w:b/>
          <w:bCs/>
          <w:sz w:val="24"/>
        </w:rPr>
        <w:t>（三）其他类似效力要求：无</w:t>
      </w:r>
    </w:p>
    <w:p>
      <w:pPr>
        <w:pStyle w:val="42"/>
        <w:spacing w:line="420" w:lineRule="exact"/>
        <w:ind w:firstLine="0" w:firstLineChars="0"/>
        <w:rPr>
          <w:rFonts w:ascii="仿宋" w:hAnsi="仿宋" w:eastAsia="仿宋"/>
          <w:b/>
          <w:sz w:val="24"/>
        </w:rPr>
      </w:pPr>
    </w:p>
    <w:p>
      <w:pPr>
        <w:pStyle w:val="42"/>
        <w:spacing w:line="420" w:lineRule="exact"/>
        <w:ind w:firstLine="0" w:firstLineChars="0"/>
        <w:rPr>
          <w:rFonts w:ascii="仿宋" w:hAnsi="仿宋" w:eastAsia="仿宋"/>
          <w:b/>
          <w:sz w:val="24"/>
        </w:rPr>
      </w:pPr>
    </w:p>
    <w:p>
      <w:pPr>
        <w:pStyle w:val="42"/>
        <w:spacing w:line="420" w:lineRule="exact"/>
        <w:ind w:firstLine="0" w:firstLineChars="0"/>
        <w:rPr>
          <w:rFonts w:ascii="仿宋" w:hAnsi="仿宋" w:eastAsia="仿宋"/>
          <w:b/>
          <w:sz w:val="24"/>
        </w:rPr>
      </w:pPr>
      <w:r>
        <w:rPr>
          <w:rFonts w:hint="eastAsia" w:ascii="仿宋" w:hAnsi="仿宋" w:eastAsia="仿宋"/>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42"/>
        <w:numPr>
          <w:ilvl w:val="0"/>
          <w:numId w:val="5"/>
        </w:numPr>
        <w:spacing w:line="420" w:lineRule="exact"/>
        <w:ind w:firstLine="472" w:firstLineChars="196"/>
        <w:rPr>
          <w:rFonts w:ascii="仿宋" w:hAnsi="仿宋" w:eastAsia="仿宋"/>
          <w:b/>
          <w:sz w:val="24"/>
        </w:rPr>
      </w:pPr>
      <w:r>
        <w:rPr>
          <w:rFonts w:hint="eastAsia" w:ascii="仿宋" w:hAnsi="仿宋" w:eastAsia="仿宋"/>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jc w:val="center"/>
        <w:rPr>
          <w:rFonts w:ascii="仿宋" w:hAnsi="仿宋" w:eastAsia="仿宋"/>
          <w:sz w:val="36"/>
          <w:szCs w:val="36"/>
        </w:rPr>
      </w:pPr>
      <w:bookmarkStart w:id="169" w:name="_Toc3806"/>
      <w:bookmarkStart w:id="170" w:name="_Toc1588"/>
      <w:r>
        <w:rPr>
          <w:rFonts w:hint="eastAsia" w:ascii="仿宋" w:hAnsi="仿宋" w:eastAsia="仿宋"/>
          <w:sz w:val="36"/>
          <w:szCs w:val="36"/>
        </w:rPr>
        <w:br w:type="page"/>
      </w:r>
      <w:r>
        <w:rPr>
          <w:rFonts w:hint="eastAsia" w:ascii="仿宋" w:hAnsi="仿宋" w:eastAsia="仿宋"/>
          <w:sz w:val="36"/>
          <w:szCs w:val="36"/>
        </w:rPr>
        <w:t>第五章  投标人应当提供的资格、资质性及其他类似效力要求的相关证明材料</w:t>
      </w:r>
      <w:bookmarkEnd w:id="169"/>
      <w:bookmarkEnd w:id="170"/>
    </w:p>
    <w:p>
      <w:pPr>
        <w:rPr>
          <w:rFonts w:ascii="仿宋" w:hAnsi="仿宋" w:eastAsia="仿宋"/>
        </w:rPr>
      </w:pPr>
    </w:p>
    <w:p>
      <w:pPr>
        <w:pStyle w:val="3"/>
        <w:spacing w:line="360" w:lineRule="exact"/>
        <w:rPr>
          <w:rFonts w:ascii="仿宋" w:hAnsi="仿宋" w:eastAsia="仿宋"/>
          <w:sz w:val="24"/>
          <w:szCs w:val="24"/>
        </w:rPr>
      </w:pPr>
      <w:r>
        <w:rPr>
          <w:rFonts w:hint="eastAsia" w:ascii="仿宋" w:hAnsi="仿宋" w:eastAsia="仿宋"/>
          <w:sz w:val="24"/>
          <w:szCs w:val="24"/>
        </w:rPr>
        <w:t>一、应当提供的投标人资格、资质性及其他类似效力要求的相关证明材料</w:t>
      </w:r>
    </w:p>
    <w:p>
      <w:pPr>
        <w:rPr>
          <w:rFonts w:ascii="仿宋" w:hAnsi="仿宋" w:eastAsia="仿宋"/>
          <w:b/>
          <w:bCs/>
          <w:sz w:val="24"/>
        </w:rPr>
      </w:pPr>
      <w:r>
        <w:rPr>
          <w:rFonts w:hint="eastAsia" w:ascii="仿宋" w:hAnsi="仿宋" w:eastAsia="仿宋"/>
          <w:b/>
          <w:bCs/>
          <w:sz w:val="24"/>
        </w:rPr>
        <w:t>（一）资格要求相关证明材料：</w:t>
      </w:r>
    </w:p>
    <w:p>
      <w:pPr>
        <w:pStyle w:val="42"/>
        <w:spacing w:line="420" w:lineRule="exact"/>
        <w:ind w:firstLine="0" w:firstLineChars="0"/>
        <w:rPr>
          <w:rFonts w:ascii="仿宋" w:hAnsi="仿宋" w:eastAsia="仿宋"/>
          <w:sz w:val="24"/>
        </w:rPr>
      </w:pPr>
      <w:r>
        <w:rPr>
          <w:rFonts w:hint="eastAsia" w:ascii="仿宋" w:hAnsi="仿宋" w:eastAsia="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2"/>
        <w:spacing w:line="420" w:lineRule="exact"/>
        <w:ind w:firstLine="0" w:firstLineChars="0"/>
        <w:rPr>
          <w:rFonts w:ascii="仿宋" w:hAnsi="仿宋" w:eastAsia="仿宋"/>
          <w:sz w:val="24"/>
        </w:rPr>
      </w:pPr>
      <w:r>
        <w:rPr>
          <w:rFonts w:hint="eastAsia" w:ascii="仿宋" w:hAnsi="仿宋" w:eastAsia="仿宋"/>
          <w:sz w:val="24"/>
        </w:rPr>
        <w:t>2、具备良好商业信誉的证明材料（可提供承诺函，格式详见第三章）；</w:t>
      </w:r>
    </w:p>
    <w:p>
      <w:pPr>
        <w:pStyle w:val="42"/>
        <w:spacing w:line="420" w:lineRule="exact"/>
        <w:ind w:firstLine="0" w:firstLineChars="0"/>
        <w:rPr>
          <w:rFonts w:ascii="仿宋" w:hAnsi="仿宋" w:eastAsia="仿宋"/>
          <w:sz w:val="24"/>
        </w:rPr>
      </w:pPr>
      <w:r>
        <w:rPr>
          <w:rFonts w:hint="eastAsia" w:ascii="仿宋" w:hAnsi="仿宋" w:eastAsia="仿宋"/>
          <w:sz w:val="24"/>
        </w:rPr>
        <w:t>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p>
      <w:pPr>
        <w:pStyle w:val="42"/>
        <w:spacing w:line="420" w:lineRule="exact"/>
        <w:ind w:firstLine="0" w:firstLineChars="0"/>
        <w:rPr>
          <w:rFonts w:ascii="仿宋" w:hAnsi="仿宋" w:eastAsia="仿宋"/>
          <w:sz w:val="24"/>
        </w:rPr>
      </w:pPr>
      <w:r>
        <w:rPr>
          <w:rFonts w:hint="eastAsia" w:ascii="仿宋" w:hAnsi="仿宋" w:eastAsia="仿宋"/>
          <w:sz w:val="24"/>
        </w:rPr>
        <w:t>4、具有依法缴纳税收和社会保障资金的良好记录（可提供承诺函，格式详见第三章）；</w:t>
      </w:r>
    </w:p>
    <w:p>
      <w:pPr>
        <w:pStyle w:val="42"/>
        <w:spacing w:line="420" w:lineRule="exact"/>
        <w:ind w:firstLine="0" w:firstLineChars="0"/>
        <w:rPr>
          <w:rFonts w:ascii="仿宋" w:hAnsi="仿宋" w:eastAsia="仿宋"/>
          <w:sz w:val="24"/>
        </w:rPr>
      </w:pPr>
      <w:r>
        <w:rPr>
          <w:rFonts w:hint="eastAsia" w:ascii="仿宋" w:hAnsi="仿宋" w:eastAsia="仿宋"/>
          <w:sz w:val="24"/>
        </w:rPr>
        <w:t>5、具备履行合同所必需的设备和专业技术能力的证明材料（可提供承诺函，格式详见第三章）；</w:t>
      </w:r>
    </w:p>
    <w:p>
      <w:pPr>
        <w:pStyle w:val="42"/>
        <w:spacing w:line="420" w:lineRule="exact"/>
        <w:ind w:firstLine="0" w:firstLineChars="0"/>
        <w:rPr>
          <w:rFonts w:ascii="仿宋" w:hAnsi="仿宋" w:eastAsia="仿宋"/>
          <w:sz w:val="24"/>
        </w:rPr>
      </w:pPr>
      <w:r>
        <w:rPr>
          <w:rFonts w:hint="eastAsia" w:ascii="仿宋" w:hAnsi="仿宋" w:eastAsia="仿宋"/>
          <w:sz w:val="24"/>
        </w:rPr>
        <w:t>6、参加政府采购活动前3年内在经营活动中没有重大违法记录的承诺函（格式详见第三章）；</w:t>
      </w:r>
    </w:p>
    <w:p>
      <w:pPr>
        <w:pStyle w:val="42"/>
        <w:spacing w:line="420" w:lineRule="exact"/>
        <w:ind w:firstLine="0" w:firstLineChars="0"/>
        <w:rPr>
          <w:rFonts w:ascii="仿宋" w:hAnsi="仿宋" w:eastAsia="仿宋"/>
          <w:sz w:val="24"/>
        </w:rPr>
      </w:pPr>
      <w:r>
        <w:rPr>
          <w:rFonts w:hint="eastAsia" w:ascii="仿宋" w:hAnsi="仿宋" w:eastAsia="仿宋"/>
          <w:sz w:val="24"/>
        </w:rPr>
        <w:t>7、具备法律、行政法规规定的其他条件的证明材料（可提供承诺函，格式详见第三章）；</w:t>
      </w:r>
    </w:p>
    <w:p>
      <w:pPr>
        <w:pStyle w:val="42"/>
        <w:spacing w:line="420" w:lineRule="exact"/>
        <w:ind w:firstLine="0" w:firstLineChars="0"/>
        <w:rPr>
          <w:rFonts w:ascii="仿宋" w:hAnsi="仿宋" w:eastAsia="仿宋"/>
          <w:sz w:val="24"/>
        </w:rPr>
      </w:pPr>
      <w:r>
        <w:rPr>
          <w:rFonts w:hint="eastAsia" w:ascii="仿宋" w:hAnsi="仿宋" w:eastAsia="仿宋" w:cs="宋体"/>
          <w:sz w:val="24"/>
        </w:rPr>
        <w:t>8、落实政府采购政策需满足的资格要求：</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8.1本项目专门面向中小企业采购(监狱企业、残疾人福利性单位均视同小微企业)，非中小企业参与的将视为无效投标。</w:t>
      </w:r>
    </w:p>
    <w:p>
      <w:pPr>
        <w:tabs>
          <w:tab w:val="left" w:pos="7665"/>
        </w:tabs>
        <w:spacing w:line="400" w:lineRule="exact"/>
        <w:rPr>
          <w:rFonts w:ascii="仿宋" w:hAnsi="仿宋" w:eastAsia="仿宋" w:cs="宋体"/>
          <w:sz w:val="24"/>
        </w:rPr>
      </w:pPr>
      <w:r>
        <w:rPr>
          <w:rFonts w:hint="eastAsia" w:ascii="仿宋" w:hAnsi="仿宋" w:eastAsia="仿宋"/>
          <w:sz w:val="24"/>
        </w:rPr>
        <w:t>9、</w:t>
      </w:r>
      <w:r>
        <w:rPr>
          <w:rFonts w:hint="eastAsia" w:ascii="仿宋" w:hAnsi="仿宋" w:eastAsia="仿宋" w:cs="宋体"/>
          <w:sz w:val="24"/>
        </w:rPr>
        <w:t>本项目的特定资格要求：无</w:t>
      </w:r>
    </w:p>
    <w:p>
      <w:pPr>
        <w:rPr>
          <w:rFonts w:ascii="仿宋" w:hAnsi="仿宋" w:eastAsia="仿宋"/>
          <w:b/>
          <w:bCs/>
          <w:sz w:val="24"/>
        </w:rPr>
      </w:pPr>
      <w:r>
        <w:rPr>
          <w:rFonts w:hint="eastAsia" w:ascii="仿宋" w:hAnsi="仿宋" w:eastAsia="仿宋"/>
          <w:b/>
          <w:bCs/>
          <w:sz w:val="24"/>
        </w:rPr>
        <w:t>（二）资质性要求相关证明材料：无</w:t>
      </w:r>
    </w:p>
    <w:p>
      <w:pPr>
        <w:rPr>
          <w:rFonts w:ascii="仿宋" w:hAnsi="仿宋" w:eastAsia="仿宋"/>
          <w:b/>
          <w:bCs/>
          <w:sz w:val="24"/>
        </w:rPr>
      </w:pPr>
      <w:r>
        <w:rPr>
          <w:rFonts w:hint="eastAsia" w:ascii="仿宋" w:hAnsi="仿宋" w:eastAsia="仿宋"/>
          <w:b/>
          <w:bCs/>
          <w:sz w:val="24"/>
        </w:rPr>
        <w:t>（三）其他类似效力要求相关证明材料：</w:t>
      </w:r>
    </w:p>
    <w:p>
      <w:pPr>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）法定代表人/单位负责人身份证明材料复印件。</w:t>
      </w:r>
    </w:p>
    <w:p>
      <w:pPr>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3"/>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应当提供的投标产品的资格、资质性及其他具有类似效力的要求的相关证明材料</w:t>
      </w:r>
    </w:p>
    <w:p>
      <w:pPr>
        <w:rPr>
          <w:rFonts w:ascii="仿宋" w:hAnsi="仿宋" w:eastAsia="仿宋"/>
          <w:sz w:val="24"/>
        </w:rPr>
      </w:pPr>
      <w:r>
        <w:rPr>
          <w:rFonts w:hint="eastAsia" w:ascii="仿宋" w:hAnsi="仿宋" w:eastAsia="仿宋"/>
          <w:b/>
          <w:bCs/>
          <w:sz w:val="24"/>
        </w:rPr>
        <w:t>（一）资格要求相关证明材料：无</w:t>
      </w:r>
    </w:p>
    <w:p>
      <w:pPr>
        <w:rPr>
          <w:rFonts w:ascii="仿宋" w:hAnsi="仿宋" w:eastAsia="仿宋"/>
          <w:b/>
          <w:bCs/>
          <w:sz w:val="24"/>
        </w:rPr>
      </w:pPr>
      <w:r>
        <w:rPr>
          <w:rFonts w:hint="eastAsia" w:ascii="仿宋" w:hAnsi="仿宋" w:eastAsia="仿宋"/>
          <w:b/>
          <w:bCs/>
          <w:sz w:val="24"/>
        </w:rPr>
        <w:t>（二）资质性要求相关证明材料：无</w:t>
      </w:r>
    </w:p>
    <w:p>
      <w:pPr>
        <w:rPr>
          <w:rFonts w:ascii="仿宋" w:hAnsi="仿宋" w:eastAsia="仿宋"/>
          <w:b/>
          <w:bCs/>
          <w:sz w:val="24"/>
        </w:rPr>
      </w:pPr>
      <w:r>
        <w:rPr>
          <w:rFonts w:hint="eastAsia" w:ascii="仿宋" w:hAnsi="仿宋" w:eastAsia="仿宋"/>
          <w:b/>
          <w:bCs/>
          <w:sz w:val="24"/>
        </w:rPr>
        <w:t>（三）其他类似效力要求相关证明材料：无</w:t>
      </w:r>
    </w:p>
    <w:p>
      <w:pPr>
        <w:rPr>
          <w:rFonts w:ascii="仿宋" w:hAnsi="仿宋" w:eastAsia="仿宋"/>
        </w:rPr>
      </w:pPr>
    </w:p>
    <w:p>
      <w:pPr>
        <w:spacing w:line="360" w:lineRule="auto"/>
        <w:rPr>
          <w:rFonts w:ascii="仿宋" w:hAnsi="仿宋" w:eastAsia="仿宋" w:cs="宋体"/>
          <w:b/>
          <w:kern w:val="0"/>
          <w:sz w:val="24"/>
        </w:rPr>
      </w:pPr>
      <w:r>
        <w:rPr>
          <w:rFonts w:hint="eastAsia" w:ascii="仿宋" w:hAnsi="仿宋" w:eastAsia="仿宋" w:cs="宋体"/>
          <w:b/>
          <w:kern w:val="0"/>
          <w:sz w:val="24"/>
        </w:rPr>
        <w:t>注：1、以上要求的资料复印件均须加盖投标单位的公章（鲜章）。</w:t>
      </w:r>
    </w:p>
    <w:p>
      <w:pPr>
        <w:ind w:firstLine="482" w:firstLineChars="200"/>
        <w:rPr>
          <w:rFonts w:ascii="仿宋" w:hAnsi="仿宋" w:eastAsia="仿宋" w:cs="宋体"/>
          <w:b/>
          <w:kern w:val="0"/>
          <w:sz w:val="24"/>
        </w:rPr>
      </w:pPr>
      <w:r>
        <w:rPr>
          <w:rFonts w:hint="eastAsia" w:ascii="仿宋" w:hAnsi="仿宋" w:eastAsia="仿宋" w:cs="宋体"/>
          <w:b/>
          <w:kern w:val="0"/>
          <w:sz w:val="24"/>
        </w:rPr>
        <w:t>2、</w:t>
      </w:r>
      <w:bookmarkStart w:id="171" w:name="_Toc2122"/>
      <w:bookmarkStart w:id="172" w:name="_Toc217446093"/>
      <w:r>
        <w:rPr>
          <w:rFonts w:ascii="仿宋" w:hAnsi="仿宋" w:eastAsia="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三</w:t>
      </w:r>
      <w:r>
        <w:rPr>
          <w:rFonts w:ascii="仿宋" w:hAnsi="仿宋" w:eastAsia="仿宋" w:cs="宋体"/>
          <w:b/>
          <w:kern w:val="0"/>
          <w:sz w:val="24"/>
        </w:rPr>
        <w:t xml:space="preserve">章）。 </w:t>
      </w:r>
      <w:bookmarkEnd w:id="157"/>
    </w:p>
    <w:p>
      <w:pPr>
        <w:spacing w:line="360" w:lineRule="auto"/>
        <w:rPr>
          <w:rFonts w:ascii="仿宋" w:hAnsi="仿宋" w:eastAsia="仿宋"/>
          <w:sz w:val="36"/>
          <w:szCs w:val="36"/>
        </w:rPr>
        <w:sectPr>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sz w:val="36"/>
          <w:szCs w:val="36"/>
        </w:rPr>
      </w:pPr>
      <w:bookmarkStart w:id="173" w:name="PO_默认文件内容_32"/>
      <w:r>
        <w:rPr>
          <w:rFonts w:hint="eastAsia" w:ascii="仿宋" w:hAnsi="仿宋" w:eastAsia="仿宋"/>
          <w:sz w:val="36"/>
          <w:szCs w:val="36"/>
        </w:rPr>
        <w:t>第六章  招标项目技术、服务、政府采购合同内容条款及其他商务要求</w:t>
      </w:r>
      <w:bookmarkEnd w:id="171"/>
    </w:p>
    <w:bookmarkEnd w:id="172"/>
    <w:p>
      <w:pPr>
        <w:keepNext/>
        <w:keepLines/>
        <w:spacing w:before="260" w:after="260" w:line="400" w:lineRule="exact"/>
        <w:ind w:firstLine="236" w:firstLineChars="98"/>
        <w:outlineLvl w:val="1"/>
        <w:rPr>
          <w:rFonts w:ascii="仿宋" w:hAnsi="仿宋" w:eastAsia="仿宋"/>
          <w:b/>
          <w:bCs/>
          <w:sz w:val="24"/>
        </w:rPr>
      </w:pPr>
      <w:bookmarkStart w:id="174" w:name="_Toc217446094"/>
      <w:r>
        <w:rPr>
          <w:rFonts w:hint="eastAsia" w:ascii="仿宋" w:hAnsi="仿宋" w:eastAsia="仿宋"/>
          <w:b/>
          <w:bCs/>
          <w:sz w:val="24"/>
        </w:rPr>
        <w:t>前提：本章中标注“★”的条款为本项目的实质性条款，投标人不满足的，将按照无效投标处理。</w:t>
      </w:r>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rPr>
        <w:t>一、项目概述</w:t>
      </w:r>
      <w:bookmarkEnd w:id="174"/>
    </w:p>
    <w:p>
      <w:pPr>
        <w:spacing w:line="400" w:lineRule="exact"/>
        <w:ind w:firstLine="480" w:firstLineChars="200"/>
        <w:rPr>
          <w:rFonts w:ascii="仿宋" w:hAnsi="仿宋" w:eastAsia="仿宋"/>
          <w:bCs/>
          <w:sz w:val="24"/>
        </w:rPr>
      </w:pPr>
      <w:bookmarkStart w:id="175" w:name="_Toc217446095"/>
      <w:r>
        <w:rPr>
          <w:rFonts w:hint="eastAsia" w:ascii="仿宋" w:hAnsi="仿宋" w:eastAsia="仿宋"/>
          <w:bCs/>
          <w:sz w:val="24"/>
        </w:rPr>
        <w:t>根据2019年8月30日成都市政府重大投资项目评审联席会议2019年第3次会议精神、天府锦城建设领导小组等相关要求，“成都考古中心”被列入成都大运会前建成的节点项目。目前该项目已经进入施工阶段，为保障考古中心的开放，为将来举办学术交流、文物临展等活动提供场地，现我队（院）拟采购考古中心-文物安全保护遮棚。</w:t>
      </w:r>
    </w:p>
    <w:p>
      <w:pPr>
        <w:spacing w:line="400" w:lineRule="exact"/>
        <w:ind w:firstLine="480" w:firstLineChars="200"/>
        <w:rPr>
          <w:rFonts w:ascii="仿宋" w:hAnsi="仿宋" w:eastAsia="仿宋"/>
          <w:bCs/>
          <w:sz w:val="24"/>
        </w:rPr>
      </w:pPr>
      <w:r>
        <w:rPr>
          <w:rFonts w:hint="eastAsia" w:ascii="仿宋" w:hAnsi="仿宋" w:eastAsia="仿宋"/>
          <w:bCs/>
          <w:sz w:val="24"/>
        </w:rPr>
        <w:t>标的名称及</w:t>
      </w:r>
      <w:r>
        <w:rPr>
          <w:rFonts w:ascii="仿宋" w:hAnsi="仿宋" w:eastAsia="仿宋"/>
          <w:bCs/>
          <w:sz w:val="24"/>
        </w:rPr>
        <w:t>所属行业</w:t>
      </w:r>
      <w:r>
        <w:rPr>
          <w:rFonts w:hint="eastAsia" w:ascii="仿宋" w:hAnsi="仿宋" w:eastAsia="仿宋"/>
          <w:bCs/>
          <w:sz w:val="24"/>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3519"/>
        <w:gridCol w:w="1747"/>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shd w:val="clear" w:color="auto" w:fill="auto"/>
            <w:vAlign w:val="center"/>
          </w:tcPr>
          <w:p>
            <w:pPr>
              <w:spacing w:line="400" w:lineRule="exact"/>
              <w:jc w:val="center"/>
              <w:rPr>
                <w:rFonts w:ascii="仿宋" w:hAnsi="仿宋" w:eastAsia="仿宋"/>
                <w:bCs/>
                <w:sz w:val="24"/>
              </w:rPr>
            </w:pPr>
            <w:r>
              <w:rPr>
                <w:rFonts w:hint="eastAsia" w:ascii="仿宋" w:hAnsi="仿宋" w:eastAsia="仿宋"/>
                <w:bCs/>
                <w:sz w:val="24"/>
              </w:rPr>
              <w:t>包号</w:t>
            </w:r>
          </w:p>
        </w:tc>
        <w:tc>
          <w:tcPr>
            <w:tcW w:w="2064" w:type="pct"/>
            <w:shd w:val="clear" w:color="auto" w:fill="auto"/>
            <w:vAlign w:val="center"/>
          </w:tcPr>
          <w:p>
            <w:pPr>
              <w:spacing w:line="400" w:lineRule="exact"/>
              <w:jc w:val="center"/>
              <w:rPr>
                <w:rFonts w:ascii="仿宋" w:hAnsi="仿宋" w:eastAsia="仿宋"/>
                <w:bCs/>
                <w:sz w:val="24"/>
              </w:rPr>
            </w:pPr>
            <w:r>
              <w:rPr>
                <w:rFonts w:hint="eastAsia" w:ascii="仿宋" w:hAnsi="仿宋" w:eastAsia="仿宋"/>
                <w:bCs/>
                <w:sz w:val="24"/>
              </w:rPr>
              <w:t>标的</w:t>
            </w:r>
            <w:r>
              <w:rPr>
                <w:rFonts w:ascii="仿宋" w:hAnsi="仿宋" w:eastAsia="仿宋"/>
                <w:bCs/>
                <w:sz w:val="24"/>
              </w:rPr>
              <w:t>名称</w:t>
            </w:r>
          </w:p>
        </w:tc>
        <w:tc>
          <w:tcPr>
            <w:tcW w:w="1025" w:type="pct"/>
            <w:shd w:val="clear" w:color="auto" w:fill="auto"/>
            <w:vAlign w:val="center"/>
          </w:tcPr>
          <w:p>
            <w:pPr>
              <w:spacing w:line="400" w:lineRule="exact"/>
              <w:jc w:val="center"/>
              <w:rPr>
                <w:rFonts w:ascii="仿宋" w:hAnsi="仿宋" w:eastAsia="仿宋"/>
                <w:bCs/>
                <w:sz w:val="24"/>
              </w:rPr>
            </w:pPr>
            <w:r>
              <w:rPr>
                <w:rFonts w:hint="eastAsia" w:ascii="仿宋" w:hAnsi="仿宋" w:eastAsia="仿宋"/>
                <w:bCs/>
                <w:sz w:val="24"/>
              </w:rPr>
              <w:t>采购</w:t>
            </w:r>
            <w:r>
              <w:rPr>
                <w:rFonts w:ascii="仿宋" w:hAnsi="仿宋" w:eastAsia="仿宋"/>
                <w:bCs/>
                <w:sz w:val="24"/>
              </w:rPr>
              <w:t>数量</w:t>
            </w:r>
          </w:p>
        </w:tc>
        <w:tc>
          <w:tcPr>
            <w:tcW w:w="1400" w:type="pct"/>
            <w:shd w:val="clear" w:color="auto" w:fill="auto"/>
            <w:vAlign w:val="center"/>
          </w:tcPr>
          <w:p>
            <w:pPr>
              <w:spacing w:line="400" w:lineRule="exact"/>
              <w:jc w:val="center"/>
              <w:rPr>
                <w:rFonts w:ascii="仿宋" w:hAnsi="仿宋" w:eastAsia="仿宋"/>
                <w:bCs/>
                <w:sz w:val="24"/>
              </w:rPr>
            </w:pPr>
            <w:r>
              <w:rPr>
                <w:rFonts w:hint="eastAsia" w:ascii="仿宋" w:hAnsi="仿宋" w:eastAsia="仿宋"/>
                <w:bCs/>
                <w:sz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shd w:val="clear" w:color="auto" w:fill="auto"/>
            <w:vAlign w:val="center"/>
          </w:tcPr>
          <w:p>
            <w:pPr>
              <w:spacing w:line="400" w:lineRule="exact"/>
              <w:jc w:val="center"/>
              <w:rPr>
                <w:rFonts w:ascii="仿宋" w:hAnsi="仿宋" w:eastAsia="仿宋"/>
                <w:bCs/>
                <w:sz w:val="24"/>
              </w:rPr>
            </w:pPr>
            <w:r>
              <w:rPr>
                <w:rFonts w:hint="eastAsia" w:ascii="仿宋" w:hAnsi="仿宋" w:eastAsia="仿宋"/>
                <w:bCs/>
                <w:sz w:val="24"/>
              </w:rPr>
              <w:t>1</w:t>
            </w:r>
          </w:p>
        </w:tc>
        <w:tc>
          <w:tcPr>
            <w:tcW w:w="2064" w:type="pct"/>
            <w:shd w:val="clear" w:color="auto" w:fill="auto"/>
            <w:vAlign w:val="center"/>
          </w:tcPr>
          <w:p>
            <w:pPr>
              <w:spacing w:line="400" w:lineRule="exact"/>
              <w:jc w:val="center"/>
              <w:rPr>
                <w:rFonts w:ascii="仿宋" w:hAnsi="仿宋" w:eastAsia="仿宋"/>
                <w:bCs/>
                <w:sz w:val="24"/>
              </w:rPr>
            </w:pPr>
            <w:r>
              <w:rPr>
                <w:rFonts w:hint="eastAsia" w:ascii="仿宋" w:hAnsi="仿宋" w:eastAsia="仿宋"/>
                <w:bCs/>
                <w:sz w:val="24"/>
              </w:rPr>
              <w:t>文物安全保护遮棚</w:t>
            </w:r>
          </w:p>
        </w:tc>
        <w:tc>
          <w:tcPr>
            <w:tcW w:w="1025" w:type="pct"/>
            <w:shd w:val="clear" w:color="auto" w:fill="auto"/>
            <w:vAlign w:val="center"/>
          </w:tcPr>
          <w:p>
            <w:pPr>
              <w:spacing w:line="400" w:lineRule="exact"/>
              <w:jc w:val="center"/>
              <w:rPr>
                <w:rFonts w:ascii="仿宋" w:hAnsi="仿宋" w:eastAsia="仿宋"/>
                <w:bCs/>
                <w:sz w:val="24"/>
              </w:rPr>
            </w:pPr>
            <w:r>
              <w:rPr>
                <w:rFonts w:hint="eastAsia" w:ascii="仿宋" w:hAnsi="仿宋" w:eastAsia="仿宋"/>
                <w:bCs/>
                <w:sz w:val="24"/>
              </w:rPr>
              <w:t>1套</w:t>
            </w:r>
          </w:p>
        </w:tc>
        <w:tc>
          <w:tcPr>
            <w:tcW w:w="1400" w:type="pct"/>
            <w:shd w:val="clear" w:color="auto" w:fill="auto"/>
            <w:vAlign w:val="center"/>
          </w:tcPr>
          <w:p>
            <w:pPr>
              <w:spacing w:line="400" w:lineRule="exact"/>
              <w:jc w:val="center"/>
              <w:rPr>
                <w:rFonts w:ascii="仿宋" w:hAnsi="仿宋" w:eastAsia="仿宋"/>
                <w:bCs/>
                <w:sz w:val="24"/>
              </w:rPr>
            </w:pPr>
            <w:r>
              <w:rPr>
                <w:rFonts w:hint="eastAsia" w:ascii="仿宋" w:hAnsi="仿宋" w:eastAsia="仿宋"/>
                <w:bCs/>
                <w:sz w:val="24"/>
              </w:rPr>
              <w:t>工业</w:t>
            </w:r>
            <w:r>
              <w:rPr>
                <w:rFonts w:ascii="仿宋" w:hAnsi="仿宋" w:eastAsia="仿宋"/>
                <w:bCs/>
                <w:sz w:val="24"/>
              </w:rPr>
              <w:t>（</w:t>
            </w:r>
            <w:r>
              <w:rPr>
                <w:rFonts w:hint="eastAsia" w:ascii="仿宋" w:hAnsi="仿宋" w:eastAsia="仿宋"/>
                <w:bCs/>
                <w:sz w:val="24"/>
              </w:rPr>
              <w:t>制造业</w:t>
            </w:r>
            <w:r>
              <w:rPr>
                <w:rFonts w:ascii="仿宋" w:hAnsi="仿宋" w:eastAsia="仿宋"/>
                <w:bCs/>
                <w:sz w:val="24"/>
              </w:rPr>
              <w:t>）</w:t>
            </w:r>
          </w:p>
        </w:tc>
      </w:tr>
    </w:tbl>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rPr>
        <w:t>二、商务要求</w:t>
      </w:r>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rPr>
        <w:t>★（一）交货期及地点</w:t>
      </w:r>
    </w:p>
    <w:p>
      <w:pPr>
        <w:spacing w:line="520" w:lineRule="exact"/>
        <w:rPr>
          <w:rFonts w:ascii="仿宋" w:hAnsi="仿宋" w:eastAsia="仿宋"/>
          <w:sz w:val="24"/>
        </w:rPr>
      </w:pPr>
      <w:r>
        <w:rPr>
          <w:rFonts w:ascii="仿宋" w:hAnsi="仿宋" w:eastAsia="仿宋"/>
          <w:sz w:val="24"/>
        </w:rPr>
        <w:t>1</w:t>
      </w:r>
      <w:r>
        <w:rPr>
          <w:rFonts w:hint="eastAsia" w:ascii="仿宋" w:hAnsi="仿宋" w:eastAsia="仿宋"/>
          <w:sz w:val="24"/>
        </w:rPr>
        <w:t>、交货期：采购人根据实际工程进度，通知供应商分批次提供服务和交货，供应商在收到通知后，应在30个工作日天内完成服务和交货并完成安装；</w:t>
      </w:r>
    </w:p>
    <w:p>
      <w:pPr>
        <w:spacing w:line="520" w:lineRule="exact"/>
        <w:rPr>
          <w:rFonts w:ascii="仿宋" w:hAnsi="仿宋" w:eastAsia="仿宋"/>
          <w:sz w:val="24"/>
        </w:rPr>
      </w:pPr>
      <w:r>
        <w:rPr>
          <w:rFonts w:ascii="仿宋" w:hAnsi="仿宋" w:eastAsia="仿宋"/>
          <w:sz w:val="24"/>
        </w:rPr>
        <w:t>2</w:t>
      </w:r>
      <w:r>
        <w:rPr>
          <w:rFonts w:hint="eastAsia" w:ascii="仿宋" w:hAnsi="仿宋" w:eastAsia="仿宋"/>
          <w:sz w:val="24"/>
        </w:rPr>
        <w:t>、项目地点: 四川省成都市青羊区青华路15号附近（成都考古中心）</w:t>
      </w:r>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rPr>
        <w:t>★（二）付款方法和条件：</w:t>
      </w:r>
    </w:p>
    <w:p>
      <w:pPr>
        <w:spacing w:line="520" w:lineRule="exact"/>
        <w:rPr>
          <w:rFonts w:ascii="仿宋" w:hAnsi="仿宋" w:eastAsia="仿宋"/>
          <w:sz w:val="24"/>
        </w:rPr>
      </w:pPr>
      <w:r>
        <w:rPr>
          <w:rFonts w:hint="eastAsia" w:ascii="仿宋" w:hAnsi="仿宋" w:eastAsia="仿宋"/>
          <w:sz w:val="24"/>
        </w:rPr>
        <w:t>合同签订后</w:t>
      </w:r>
      <w:r>
        <w:rPr>
          <w:rFonts w:ascii="仿宋" w:hAnsi="仿宋" w:eastAsia="仿宋"/>
          <w:sz w:val="24"/>
        </w:rPr>
        <w:t>5</w:t>
      </w:r>
      <w:r>
        <w:rPr>
          <w:rFonts w:hint="eastAsia" w:ascii="仿宋" w:hAnsi="仿宋" w:eastAsia="仿宋"/>
          <w:sz w:val="24"/>
        </w:rPr>
        <w:t>个工作日支付本项目合同金额的30%货款；所有货物安装调试完毕，并经采购人验收合格后，支付本项目剩余尾款。</w:t>
      </w:r>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rPr>
        <w:t>★（三）包装、运输及保管、保险</w:t>
      </w:r>
    </w:p>
    <w:p>
      <w:pPr>
        <w:spacing w:line="520" w:lineRule="exact"/>
        <w:rPr>
          <w:rFonts w:ascii="仿宋" w:hAnsi="仿宋" w:eastAsia="仿宋"/>
          <w:sz w:val="24"/>
        </w:rPr>
      </w:pPr>
      <w:r>
        <w:rPr>
          <w:rFonts w:hint="eastAsia" w:ascii="仿宋" w:hAnsi="仿宋" w:eastAsia="仿宋"/>
          <w:sz w:val="24"/>
        </w:rPr>
        <w:t>1、包装：供应商应对主体结构、文物安全玻璃、定制巨型环状艺术品吊灯等本项目设施设备进行妥善包装，以满足合同设备运至施工场地及在施工场地保管的需要。包装应采取防潮、防晒、防锈、防腐蚀、防震动及防止其它损坏的必要保护措施，从而保护设备能够经受多次搬运、装卸、长途运输并适宜保管。每个独立包装箱内应附装箱清单、质量合格证、装配图、说明书、操作指南等资料,采购人无需将包装物退还给供应商。</w:t>
      </w:r>
    </w:p>
    <w:p>
      <w:pPr>
        <w:spacing w:line="520" w:lineRule="exact"/>
        <w:rPr>
          <w:rFonts w:ascii="仿宋" w:hAnsi="仿宋" w:eastAsia="仿宋"/>
          <w:sz w:val="24"/>
        </w:rPr>
      </w:pPr>
      <w:r>
        <w:rPr>
          <w:rFonts w:hint="eastAsia" w:ascii="仿宋" w:hAnsi="仿宋" w:eastAsia="仿宋"/>
          <w:sz w:val="24"/>
        </w:rPr>
        <w:t>2、运输及保管：供应商应自行选择适宜的运输工具及线路安排合同设备运输。</w:t>
      </w:r>
    </w:p>
    <w:p>
      <w:pPr>
        <w:spacing w:line="520" w:lineRule="exact"/>
        <w:rPr>
          <w:rFonts w:ascii="仿宋" w:hAnsi="仿宋" w:eastAsia="仿宋"/>
          <w:sz w:val="24"/>
        </w:rPr>
      </w:pPr>
      <w:r>
        <w:rPr>
          <w:rFonts w:hint="eastAsia" w:ascii="仿宋" w:hAnsi="仿宋" w:eastAsia="仿宋"/>
          <w:sz w:val="24"/>
        </w:rPr>
        <w:t>3、保险（运输财产险）由中标供应商负责处理。</w:t>
      </w:r>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rPr>
        <w:t>★（四）质量保证与安装调试</w:t>
      </w:r>
    </w:p>
    <w:p>
      <w:pPr>
        <w:spacing w:line="520" w:lineRule="exact"/>
        <w:rPr>
          <w:rFonts w:ascii="仿宋" w:hAnsi="仿宋" w:eastAsia="仿宋"/>
          <w:sz w:val="24"/>
        </w:rPr>
      </w:pPr>
      <w:r>
        <w:rPr>
          <w:rFonts w:hint="eastAsia" w:ascii="仿宋" w:hAnsi="仿宋" w:eastAsia="仿宋"/>
          <w:sz w:val="24"/>
        </w:rPr>
        <w:t>1、合同设备整体质保期为验收之日起24个月。如对设备中关键部件的质保期有特殊要求的，双方可在合同中约定。在质保期内如果设备出现故障，供应商应自负费用提供质保期服务，对相关设备进行修理或更换以消除故障。</w:t>
      </w:r>
    </w:p>
    <w:p>
      <w:pPr>
        <w:spacing w:line="520" w:lineRule="exact"/>
        <w:rPr>
          <w:rFonts w:ascii="仿宋" w:hAnsi="仿宋" w:eastAsia="仿宋"/>
          <w:sz w:val="24"/>
        </w:rPr>
      </w:pPr>
      <w:r>
        <w:rPr>
          <w:rFonts w:hint="eastAsia" w:ascii="仿宋" w:hAnsi="仿宋" w:eastAsia="仿宋"/>
          <w:sz w:val="24"/>
        </w:rPr>
        <w:t>2、调试：部分或全部调试需根据实际情况在安装期内或后进行。</w:t>
      </w:r>
    </w:p>
    <w:p>
      <w:pPr>
        <w:spacing w:line="520" w:lineRule="exact"/>
        <w:rPr>
          <w:rFonts w:ascii="仿宋" w:hAnsi="仿宋" w:eastAsia="仿宋"/>
          <w:sz w:val="24"/>
        </w:rPr>
      </w:pPr>
      <w:r>
        <w:rPr>
          <w:rFonts w:hint="eastAsia" w:ascii="仿宋" w:hAnsi="仿宋" w:eastAsia="仿宋"/>
          <w:sz w:val="24"/>
        </w:rPr>
        <w:t>3、试运行：设备试运行应在有关部门及采购人有关人员的监督下进行。</w:t>
      </w:r>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rPr>
        <w:t>★（五）服务要求</w:t>
      </w:r>
    </w:p>
    <w:p>
      <w:pPr>
        <w:spacing w:line="520" w:lineRule="exact"/>
        <w:rPr>
          <w:rFonts w:ascii="仿宋" w:hAnsi="仿宋" w:eastAsia="仿宋"/>
          <w:sz w:val="24"/>
        </w:rPr>
      </w:pPr>
      <w:r>
        <w:rPr>
          <w:rFonts w:hint="eastAsia" w:ascii="仿宋" w:hAnsi="仿宋" w:eastAsia="仿宋"/>
          <w:sz w:val="24"/>
        </w:rPr>
        <w:t>1、供应商应为质保期服务配备充足的技术人员、工具和备件并保证提供的联系方式畅通。供应商应在收到采购人通知后1小时内做出响应，如需供应商到设备现场，供应商应在收到采购人通知后8小时内到达，并在到达后7日内解决设备的故障（重大故障除外）。如果供应商未在上述时间内作出响应，则采购人有权自行或委托他人解决相关问题或查找和解决设备的故障，供应商应承担由此发生的全部费用。 如果任何技术人员不合格，采购人有权要求供应商撤换，因撤换而产生的费用应由供应商承担。在不影响质保期服务并且征得采购人同意的条件下，供应商也可自负费用更换其技术人员。除另有约定外，供应商应就在施工现场进行质保期服务的情况进行记录，记载设备故障发生的时间、原因及解决情况等，由采购人签字确认，并在质保期结束后提交给采购人。（提供承诺函进行承诺）</w:t>
      </w:r>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rPr>
        <w:t>★（六）设备安装及相关服务质量要求</w:t>
      </w:r>
    </w:p>
    <w:p>
      <w:pPr>
        <w:spacing w:line="520" w:lineRule="exact"/>
        <w:rPr>
          <w:rFonts w:ascii="仿宋" w:hAnsi="仿宋" w:eastAsia="仿宋"/>
          <w:sz w:val="24"/>
        </w:rPr>
      </w:pPr>
      <w:r>
        <w:rPr>
          <w:rFonts w:hint="eastAsia" w:ascii="仿宋" w:hAnsi="仿宋" w:eastAsia="仿宋"/>
          <w:sz w:val="24"/>
        </w:rPr>
        <w:t>1、供应商负责自行拆除原有建筑内影响文物安全遮棚运输、安装、调试的构筑物等。</w:t>
      </w:r>
    </w:p>
    <w:p>
      <w:pPr>
        <w:spacing w:line="520" w:lineRule="exact"/>
        <w:rPr>
          <w:rFonts w:ascii="仿宋" w:hAnsi="仿宋" w:eastAsia="仿宋"/>
          <w:sz w:val="24"/>
        </w:rPr>
      </w:pPr>
      <w:r>
        <w:rPr>
          <w:rFonts w:hint="eastAsia" w:ascii="仿宋" w:hAnsi="仿宋" w:eastAsia="仿宋"/>
          <w:sz w:val="24"/>
        </w:rPr>
        <w:t>2、供应商进场前应向采购人提供主体结构等主要构件样品。（提供承诺函进行承诺）。</w:t>
      </w:r>
    </w:p>
    <w:p>
      <w:pPr>
        <w:spacing w:line="520" w:lineRule="exact"/>
        <w:rPr>
          <w:rFonts w:ascii="仿宋" w:hAnsi="仿宋" w:eastAsia="仿宋"/>
          <w:sz w:val="24"/>
        </w:rPr>
      </w:pPr>
      <w:r>
        <w:rPr>
          <w:rFonts w:hint="eastAsia" w:ascii="仿宋" w:hAnsi="仿宋" w:eastAsia="仿宋"/>
          <w:sz w:val="24"/>
        </w:rPr>
        <w:t>3、派专人定期巡视施工现场，监督检验项目施工质量。</w:t>
      </w:r>
    </w:p>
    <w:p>
      <w:pPr>
        <w:spacing w:line="520" w:lineRule="exact"/>
        <w:rPr>
          <w:rFonts w:ascii="仿宋" w:hAnsi="仿宋" w:eastAsia="仿宋"/>
          <w:sz w:val="24"/>
        </w:rPr>
      </w:pPr>
      <w:r>
        <w:rPr>
          <w:rFonts w:hint="eastAsia" w:ascii="仿宋" w:hAnsi="仿宋" w:eastAsia="仿宋"/>
          <w:sz w:val="24"/>
        </w:rPr>
        <w:t>4、须达到国家现行质量验收规范合格标准。</w:t>
      </w:r>
    </w:p>
    <w:p>
      <w:pPr>
        <w:spacing w:line="520" w:lineRule="exact"/>
        <w:rPr>
          <w:rFonts w:ascii="仿宋" w:hAnsi="仿宋" w:eastAsia="仿宋"/>
          <w:sz w:val="24"/>
        </w:rPr>
      </w:pPr>
      <w:r>
        <w:rPr>
          <w:rFonts w:hint="eastAsia" w:ascii="仿宋" w:hAnsi="仿宋" w:eastAsia="仿宋"/>
          <w:sz w:val="24"/>
        </w:rPr>
        <w:t>5、以上所述项目质量内容须经采购人审定材料通过质量标准后中标供应商进场实施。</w:t>
      </w:r>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rPr>
        <w:t>★（七）安装施工安全要求</w:t>
      </w:r>
    </w:p>
    <w:p>
      <w:pPr>
        <w:spacing w:line="520" w:lineRule="exact"/>
        <w:rPr>
          <w:rFonts w:ascii="仿宋" w:hAnsi="仿宋" w:eastAsia="仿宋"/>
          <w:sz w:val="24"/>
        </w:rPr>
      </w:pPr>
      <w:r>
        <w:rPr>
          <w:rFonts w:hint="eastAsia" w:ascii="仿宋" w:hAnsi="仿宋" w:eastAsia="仿宋"/>
          <w:sz w:val="24"/>
        </w:rPr>
        <w:t>1、应对从业人员进行安全生产教育和培训，保证从业人员具备必要的安全生产知识，熟悉有关的安全生产规章制度和安全操作规程，掌握本岗位的安全操作技能。未经安全生产教育和培训合格的从业人员，不得上岗作业。现场作业人员按规定配备和正确穿戴劳动防护保用品上岗。</w:t>
      </w:r>
    </w:p>
    <w:p>
      <w:pPr>
        <w:spacing w:line="520" w:lineRule="exact"/>
        <w:rPr>
          <w:rFonts w:ascii="仿宋" w:hAnsi="仿宋" w:eastAsia="仿宋"/>
          <w:sz w:val="24"/>
        </w:rPr>
      </w:pPr>
      <w:r>
        <w:rPr>
          <w:rFonts w:hint="eastAsia" w:ascii="仿宋" w:hAnsi="仿宋" w:eastAsia="仿宋"/>
          <w:sz w:val="24"/>
        </w:rPr>
        <w:t>2、凡在离地面两米以上进行的作业，都属于高空作业。高空作业必须严格遵守现行《建筑施工高处作业安全技术规范》的规定。</w:t>
      </w:r>
    </w:p>
    <w:p>
      <w:pPr>
        <w:spacing w:line="520" w:lineRule="exact"/>
        <w:rPr>
          <w:rFonts w:ascii="仿宋" w:hAnsi="仿宋" w:eastAsia="仿宋"/>
          <w:sz w:val="24"/>
        </w:rPr>
      </w:pPr>
      <w:r>
        <w:rPr>
          <w:rFonts w:hint="eastAsia" w:ascii="仿宋" w:hAnsi="仿宋" w:eastAsia="仿宋"/>
          <w:sz w:val="24"/>
        </w:rPr>
        <w:t>3、要求</w:t>
      </w:r>
      <w:r>
        <w:rPr>
          <w:rFonts w:ascii="仿宋" w:hAnsi="仿宋" w:eastAsia="仿宋"/>
          <w:sz w:val="24"/>
        </w:rPr>
        <w:t>为本项目提供不少于</w:t>
      </w:r>
      <w:r>
        <w:rPr>
          <w:rFonts w:hint="eastAsia" w:ascii="仿宋" w:hAnsi="仿宋" w:eastAsia="仿宋"/>
          <w:sz w:val="24"/>
        </w:rPr>
        <w:t>4名具备高空作业操作证的安装</w:t>
      </w:r>
      <w:r>
        <w:rPr>
          <w:rFonts w:ascii="仿宋" w:hAnsi="仿宋" w:eastAsia="仿宋"/>
          <w:sz w:val="24"/>
        </w:rPr>
        <w:t>人员</w:t>
      </w:r>
      <w:r>
        <w:rPr>
          <w:rFonts w:hint="eastAsia" w:ascii="仿宋" w:hAnsi="仿宋" w:eastAsia="仿宋"/>
          <w:sz w:val="24"/>
        </w:rPr>
        <w:t>（提供人员</w:t>
      </w:r>
      <w:r>
        <w:rPr>
          <w:rFonts w:ascii="仿宋" w:hAnsi="仿宋" w:eastAsia="仿宋"/>
          <w:sz w:val="24"/>
        </w:rPr>
        <w:t>清单及有效的证书复印件</w:t>
      </w:r>
      <w:r>
        <w:rPr>
          <w:rFonts w:hint="eastAsia" w:ascii="仿宋" w:hAnsi="仿宋" w:eastAsia="仿宋"/>
          <w:sz w:val="24"/>
        </w:rPr>
        <w:t>）。</w:t>
      </w:r>
    </w:p>
    <w:p>
      <w:pPr>
        <w:spacing w:line="520" w:lineRule="exact"/>
        <w:rPr>
          <w:rFonts w:ascii="仿宋" w:hAnsi="仿宋" w:eastAsia="仿宋"/>
          <w:sz w:val="24"/>
        </w:rPr>
      </w:pPr>
      <w:r>
        <w:rPr>
          <w:rFonts w:ascii="仿宋" w:hAnsi="仿宋" w:eastAsia="仿宋"/>
          <w:sz w:val="24"/>
        </w:rPr>
        <w:t>4</w:t>
      </w:r>
      <w:r>
        <w:rPr>
          <w:rFonts w:hint="eastAsia" w:ascii="仿宋" w:hAnsi="仿宋" w:eastAsia="仿宋"/>
          <w:sz w:val="24"/>
        </w:rPr>
        <w:t>、各种材料堆放稳妥，严防坍塌、坠物、火灾、倾斜和滚动。</w:t>
      </w:r>
    </w:p>
    <w:p>
      <w:pPr>
        <w:spacing w:line="520" w:lineRule="exact"/>
        <w:rPr>
          <w:rFonts w:ascii="仿宋" w:hAnsi="仿宋" w:eastAsia="仿宋"/>
          <w:sz w:val="24"/>
        </w:rPr>
      </w:pPr>
      <w:r>
        <w:rPr>
          <w:rFonts w:ascii="仿宋" w:hAnsi="仿宋" w:eastAsia="仿宋"/>
          <w:sz w:val="24"/>
        </w:rPr>
        <w:t>5</w:t>
      </w:r>
      <w:r>
        <w:rPr>
          <w:rFonts w:hint="eastAsia" w:ascii="仿宋" w:hAnsi="仿宋" w:eastAsia="仿宋"/>
          <w:sz w:val="24"/>
        </w:rPr>
        <w:t>、施工机械和电气设备要由有相关资质的专人操作和维护，保证其安全可靠，遵守《低压配电设计规范》GB50054-95《用电安全导则》GB/T13869-2008；《机械安全防止意外启动》GB/T 19670-2005《机械安全避免人体各部位挤压的最小间距》GB 12265.3-1997 等国家标准的规定，不得带病运转和超负荷工作。</w:t>
      </w:r>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rPr>
        <w:t>★（八）验收标准和方法</w:t>
      </w:r>
    </w:p>
    <w:p>
      <w:pPr>
        <w:spacing w:line="520" w:lineRule="exact"/>
        <w:rPr>
          <w:rFonts w:ascii="仿宋" w:hAnsi="仿宋" w:eastAsia="仿宋"/>
          <w:sz w:val="24"/>
        </w:rPr>
      </w:pPr>
      <w:r>
        <w:rPr>
          <w:rFonts w:hint="eastAsia" w:ascii="仿宋" w:hAnsi="仿宋" w:eastAsia="仿宋"/>
          <w:sz w:val="24"/>
        </w:rPr>
        <w:t>严格按照国家现行相关验收标准及《财政部关于进一步加强政府采购需求和履约验收管理的指导意见》（财库〔2016〕205号）进行验收。</w:t>
      </w:r>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rPr>
        <w:t>★（九）责任划分</w:t>
      </w:r>
    </w:p>
    <w:p>
      <w:pPr>
        <w:spacing w:line="520" w:lineRule="exact"/>
        <w:rPr>
          <w:rFonts w:ascii="仿宋" w:hAnsi="仿宋" w:eastAsia="仿宋"/>
          <w:sz w:val="24"/>
        </w:rPr>
      </w:pPr>
      <w:r>
        <w:rPr>
          <w:rFonts w:hint="eastAsia" w:ascii="仿宋" w:hAnsi="仿宋" w:eastAsia="仿宋"/>
          <w:sz w:val="24"/>
        </w:rPr>
        <w:t>（1）供应商交付的货物质量不符合招标文件及供应商投标文件约定的，供应商应向采购人支付合同总价的百分之十的违约金，并须在合同规定的交货时间内更换合格的货物给采购人，否则，视作供应商不能交付货物而违约，按本条本款下述第“（2）”项规定由供应商偿付违约赔偿金给采购人。</w:t>
      </w:r>
    </w:p>
    <w:p>
      <w:pPr>
        <w:spacing w:line="520" w:lineRule="exact"/>
        <w:rPr>
          <w:rFonts w:ascii="仿宋" w:hAnsi="仿宋" w:eastAsia="仿宋"/>
          <w:sz w:val="24"/>
        </w:rPr>
      </w:pPr>
      <w:r>
        <w:rPr>
          <w:rFonts w:hint="eastAsia" w:ascii="仿宋" w:hAnsi="仿宋" w:eastAsia="仿宋"/>
          <w:sz w:val="24"/>
        </w:rPr>
        <w:t>（2）供应商不能交付货物或逾期交付货物而违约的，除应及时交足货物外，应向采购人偿付逾期交货部分货款总额的万分之五/天的违约金；逾期交货或未能按时完工超过10天，采购人有权终止合同，供应商则应按合同总价的百分之十的款额向采购人偿付赔偿金，并须全额退还采购人已经付给供应商的货款及其利息。</w:t>
      </w:r>
    </w:p>
    <w:p>
      <w:pPr>
        <w:spacing w:line="520" w:lineRule="exact"/>
        <w:rPr>
          <w:rFonts w:ascii="仿宋" w:hAnsi="仿宋" w:eastAsia="仿宋"/>
          <w:sz w:val="24"/>
        </w:rPr>
      </w:pPr>
      <w:r>
        <w:rPr>
          <w:rFonts w:hint="eastAsia" w:ascii="仿宋" w:hAnsi="仿宋" w:eastAsia="仿宋"/>
          <w:sz w:val="24"/>
        </w:rPr>
        <w:t>（3）供应商保证本项目货物的权利无瑕疵，包括货物所有权及知识产权等权利无瑕疵。如任何第三方经法院（或仲裁机构）裁决有权对上述货物主张权利或国家机关依法对货物进行没收查处的，供应商除应向采购人返还已收款项外，还应另按合同总价的百分之十向采购人支付违约金并赔偿因此给采购人造成的一切损失。</w:t>
      </w:r>
    </w:p>
    <w:p>
      <w:pPr>
        <w:spacing w:line="520" w:lineRule="exact"/>
        <w:rPr>
          <w:rFonts w:ascii="仿宋" w:hAnsi="仿宋" w:eastAsia="仿宋"/>
          <w:sz w:val="24"/>
        </w:rPr>
      </w:pPr>
      <w:r>
        <w:rPr>
          <w:rFonts w:hint="eastAsia" w:ascii="仿宋" w:hAnsi="仿宋" w:eastAsia="仿宋"/>
          <w:sz w:val="24"/>
        </w:rPr>
        <w:t>（4）供应商偿付的违约金不足以弥补采购人损失的，还应按采购人损失尚未弥补的部分，支付赔偿金给采购人。</w:t>
      </w:r>
    </w:p>
    <w:p>
      <w:pPr>
        <w:spacing w:line="520" w:lineRule="exact"/>
        <w:rPr>
          <w:rFonts w:ascii="仿宋" w:hAnsi="仿宋" w:eastAsia="仿宋"/>
          <w:sz w:val="24"/>
        </w:rPr>
      </w:pPr>
      <w:r>
        <w:rPr>
          <w:rFonts w:hint="eastAsia" w:ascii="仿宋" w:hAnsi="仿宋" w:eastAsia="仿宋"/>
          <w:sz w:val="24"/>
        </w:rPr>
        <w:t>（5）供应商在项目实施过程中如发生安全事故，造成供应商自身或第三方的损害由供应商承担全部责任，采购人概不负责。</w:t>
      </w:r>
    </w:p>
    <w:p>
      <w:pPr>
        <w:spacing w:line="520" w:lineRule="exact"/>
        <w:rPr>
          <w:rFonts w:ascii="仿宋" w:hAnsi="仿宋" w:eastAsia="仿宋"/>
          <w:sz w:val="24"/>
        </w:rPr>
      </w:pPr>
      <w:r>
        <w:rPr>
          <w:rFonts w:hint="eastAsia" w:ascii="仿宋" w:hAnsi="仿宋" w:eastAsia="仿宋"/>
          <w:sz w:val="24"/>
        </w:rPr>
        <w:t>（6）供应商进入设备安装现场进行工作时，应做好安全防范工作，严格约束第三方人员进入作业区域，因供应商责任造成采购入、供应商或第三方人身及财产损害的，由供应商承担全部责任。</w:t>
      </w:r>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rPr>
        <w:t>三、技术、服务要求</w:t>
      </w:r>
      <w:bookmarkEnd w:id="175"/>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szCs w:val="32"/>
        </w:rPr>
        <w:t>★</w:t>
      </w:r>
      <w:r>
        <w:rPr>
          <w:rFonts w:hint="eastAsia" w:ascii="仿宋" w:hAnsi="仿宋" w:eastAsia="仿宋"/>
          <w:b/>
          <w:bCs/>
          <w:sz w:val="24"/>
        </w:rPr>
        <w:t>（一）总体工作内容</w:t>
      </w:r>
    </w:p>
    <w:p>
      <w:pPr>
        <w:spacing w:line="520" w:lineRule="exact"/>
        <w:rPr>
          <w:rFonts w:ascii="仿宋" w:hAnsi="仿宋" w:eastAsia="仿宋"/>
          <w:sz w:val="24"/>
        </w:rPr>
      </w:pPr>
      <w:r>
        <w:rPr>
          <w:rFonts w:hint="eastAsia" w:ascii="仿宋" w:hAnsi="仿宋" w:eastAsia="仿宋"/>
          <w:sz w:val="24"/>
        </w:rPr>
        <w:t>1、提供成都考古中心-文物安全保护遮棚（以下简称文物安全保护遮棚）相关主体结构、文物安全玻璃、定制巨型环状艺术品吊灯等设施设备供货以及相关衍生物的运输、安装、调试、售后等相关服务。</w:t>
      </w:r>
    </w:p>
    <w:p>
      <w:pPr>
        <w:spacing w:line="520" w:lineRule="exact"/>
        <w:rPr>
          <w:rFonts w:ascii="仿宋" w:hAnsi="仿宋" w:eastAsia="仿宋"/>
          <w:sz w:val="24"/>
        </w:rPr>
      </w:pPr>
      <w:r>
        <w:rPr>
          <w:rFonts w:hint="eastAsia" w:ascii="仿宋" w:hAnsi="仿宋" w:eastAsia="仿宋"/>
          <w:sz w:val="24"/>
        </w:rPr>
        <w:t>2、文物安全保护遮棚是在考古中心原天井处安装，采购人拟将此处空间作为临展厅，以搭建将来展出不同类型的文物存放、保护及展示环境（包括但不仅限于青铜器、陶器、船棺等墓葬、大型石刻、各类金属文物、硅酸盐文物、古生物化石、岩矿标本、彩绘泥塑、壁画、纸质文物、纺织品文物、木质文物、动物制品文物、动植物标本），本项目所采用的低反射智能调光安全玻璃必须可根据文物的不同类型进行低反射智能调光。</w:t>
      </w:r>
    </w:p>
    <w:p>
      <w:pPr>
        <w:spacing w:line="520" w:lineRule="exact"/>
        <w:rPr>
          <w:rFonts w:ascii="仿宋" w:hAnsi="仿宋" w:eastAsia="仿宋"/>
          <w:sz w:val="24"/>
        </w:rPr>
      </w:pPr>
      <w:r>
        <w:rPr>
          <w:rFonts w:hint="eastAsia" w:ascii="仿宋" w:hAnsi="仿宋" w:eastAsia="仿宋"/>
          <w:sz w:val="24"/>
        </w:rPr>
        <w:t>3、供应商为本项目提供的设施设备及相关衍生服务，必须满足采购人所提供的最终设计方案和图纸的要求，且必须承诺根据采购人的实际需求进行修改调整。</w:t>
      </w:r>
    </w:p>
    <w:p>
      <w:pPr>
        <w:spacing w:line="520" w:lineRule="exact"/>
        <w:rPr>
          <w:rFonts w:ascii="仿宋" w:hAnsi="仿宋" w:eastAsia="仿宋"/>
          <w:sz w:val="24"/>
        </w:rPr>
      </w:pPr>
      <w:r>
        <w:rPr>
          <w:rFonts w:hint="eastAsia" w:ascii="仿宋" w:hAnsi="仿宋" w:eastAsia="仿宋"/>
          <w:sz w:val="24"/>
        </w:rPr>
        <w:t>4、对成都市范围出土的重要文化遗产内容进行深入历史研究，对文物安全保护遮棚及吊灯进行艺术性设计和制作。</w:t>
      </w:r>
    </w:p>
    <w:p>
      <w:pPr>
        <w:spacing w:line="520" w:lineRule="exact"/>
        <w:rPr>
          <w:rFonts w:ascii="仿宋" w:hAnsi="仿宋" w:eastAsia="仿宋"/>
          <w:sz w:val="24"/>
        </w:rPr>
      </w:pPr>
      <w:r>
        <w:rPr>
          <w:rFonts w:hint="eastAsia" w:ascii="仿宋" w:hAnsi="仿宋" w:eastAsia="仿宋"/>
          <w:sz w:val="24"/>
        </w:rPr>
        <w:t>5、因紧邻公众考古中心展厅，为确保文物安全，供应商文物安全保护遮棚的运输、安装、调试、售后等全过程相关服务应按照国家一级博物馆安防标准进行。</w:t>
      </w:r>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szCs w:val="32"/>
        </w:rPr>
        <w:t>★</w:t>
      </w:r>
      <w:r>
        <w:rPr>
          <w:rFonts w:hint="eastAsia" w:ascii="仿宋" w:hAnsi="仿宋" w:eastAsia="仿宋"/>
          <w:b/>
          <w:bCs/>
          <w:sz w:val="24"/>
        </w:rPr>
        <w:t>（二）配套服务部分内容</w:t>
      </w:r>
    </w:p>
    <w:p>
      <w:pPr>
        <w:spacing w:line="520" w:lineRule="exact"/>
        <w:rPr>
          <w:rFonts w:ascii="仿宋" w:hAnsi="仿宋" w:eastAsia="仿宋"/>
          <w:sz w:val="24"/>
        </w:rPr>
      </w:pPr>
      <w:r>
        <w:rPr>
          <w:rFonts w:hint="eastAsia" w:ascii="仿宋" w:hAnsi="仿宋" w:eastAsia="仿宋"/>
          <w:sz w:val="24"/>
        </w:rPr>
        <w:t>1、根据成都考古中心-文物安全保护遮棚拟进行的日常和重大活动，供应商提供的遮棚应满足采购人对于文物安全的需求和其他需求。</w:t>
      </w:r>
    </w:p>
    <w:p>
      <w:pPr>
        <w:spacing w:line="520" w:lineRule="exact"/>
        <w:rPr>
          <w:rFonts w:ascii="仿宋" w:hAnsi="仿宋" w:eastAsia="仿宋"/>
          <w:sz w:val="24"/>
        </w:rPr>
      </w:pPr>
      <w:r>
        <w:rPr>
          <w:rFonts w:hint="eastAsia" w:ascii="仿宋" w:hAnsi="仿宋" w:eastAsia="仿宋"/>
          <w:sz w:val="24"/>
        </w:rPr>
        <w:t>2、根据成都考古中心-文物安全保护遮棚展示不同类型的文物（包括但不仅限于青铜器、陶器、船棺等墓葬、大型石刻、各类金属文物、硅酸盐文物、古生物化石、岩矿标本、彩绘泥塑、壁画、纸质文物、纺织品文物、木质文物、动物制品文物、动植物标本）必需按照文物保护的恒温、恒湿、灯光等相关因素进行设计，必须达到各类文物的存放标准以及对公众开放的展出标准。</w:t>
      </w:r>
    </w:p>
    <w:p>
      <w:pPr>
        <w:spacing w:line="520" w:lineRule="exact"/>
        <w:rPr>
          <w:rFonts w:ascii="仿宋" w:hAnsi="仿宋" w:eastAsia="仿宋"/>
          <w:sz w:val="24"/>
        </w:rPr>
      </w:pPr>
      <w:r>
        <w:rPr>
          <w:rFonts w:hint="eastAsia" w:ascii="仿宋" w:hAnsi="仿宋" w:eastAsia="仿宋"/>
          <w:sz w:val="24"/>
        </w:rPr>
        <w:t>3、为针对文物安全保护遮棚的文物保存环境质量监测，建立一套文物保存环境监测和调控系统，实现对文物安全保护遮棚的文物保存环境质量的及时感知和反馈奠定基础。</w:t>
      </w:r>
    </w:p>
    <w:p>
      <w:pPr>
        <w:spacing w:line="520" w:lineRule="exact"/>
        <w:rPr>
          <w:rFonts w:ascii="仿宋" w:hAnsi="仿宋" w:eastAsia="仿宋"/>
          <w:sz w:val="24"/>
        </w:rPr>
      </w:pPr>
      <w:r>
        <w:rPr>
          <w:rFonts w:hint="eastAsia" w:ascii="仿宋" w:hAnsi="仿宋" w:eastAsia="仿宋"/>
          <w:sz w:val="24"/>
        </w:rPr>
        <w:t>4、定制巨型环状艺术品吊灯由专业美术师创作，专业工艺美术师制作。</w:t>
      </w:r>
    </w:p>
    <w:p>
      <w:pPr>
        <w:spacing w:line="400" w:lineRule="exact"/>
        <w:rPr>
          <w:rFonts w:ascii="仿宋" w:hAnsi="仿宋" w:eastAsia="仿宋"/>
          <w:sz w:val="24"/>
        </w:rPr>
      </w:pPr>
      <w:r>
        <w:rPr>
          <w:rFonts w:hint="eastAsia" w:ascii="仿宋" w:hAnsi="仿宋" w:eastAsia="仿宋"/>
          <w:sz w:val="24"/>
        </w:rPr>
        <w:t>5、提供成都考古中心-文物安全保护遮棚所需展示文物的保护环境设计及相关保护设备设计、安装、调试服务，日常布展服务应急保障措施实施方案。</w:t>
      </w:r>
    </w:p>
    <w:p>
      <w:pPr>
        <w:keepNext/>
        <w:keepLines/>
        <w:spacing w:before="260" w:after="260" w:line="400" w:lineRule="exact"/>
        <w:ind w:firstLine="236" w:firstLineChars="98"/>
        <w:outlineLvl w:val="1"/>
        <w:rPr>
          <w:rFonts w:ascii="仿宋" w:hAnsi="仿宋" w:eastAsia="仿宋"/>
          <w:b/>
          <w:bCs/>
          <w:sz w:val="24"/>
        </w:rPr>
      </w:pPr>
      <w:r>
        <w:rPr>
          <w:rFonts w:hint="eastAsia" w:ascii="仿宋" w:hAnsi="仿宋" w:eastAsia="仿宋"/>
          <w:b/>
          <w:bCs/>
          <w:sz w:val="24"/>
        </w:rPr>
        <w:t>（三）设备生产工艺、主要构件及安装</w:t>
      </w:r>
      <w:r>
        <w:rPr>
          <w:rFonts w:ascii="仿宋" w:hAnsi="仿宋" w:eastAsia="仿宋"/>
          <w:b/>
          <w:bCs/>
          <w:sz w:val="24"/>
        </w:rPr>
        <w:t>参数要求</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261"/>
        <w:gridCol w:w="5241"/>
        <w:gridCol w:w="582"/>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83" w:type="pct"/>
            <w:noWrap/>
            <w:vAlign w:val="center"/>
          </w:tcPr>
          <w:p>
            <w:pPr>
              <w:widowControl/>
              <w:snapToGrid w:val="0"/>
              <w:spacing w:after="0" w:line="240" w:lineRule="auto"/>
              <w:jc w:val="center"/>
              <w:rPr>
                <w:rFonts w:ascii="仿宋" w:hAnsi="仿宋" w:eastAsia="仿宋" w:cs="华文仿宋"/>
                <w:kern w:val="0"/>
                <w:szCs w:val="21"/>
                <w:lang w:val="zh-CN"/>
              </w:rPr>
            </w:pPr>
            <w:r>
              <w:rPr>
                <w:rFonts w:hint="eastAsia" w:ascii="仿宋" w:hAnsi="仿宋" w:eastAsia="仿宋" w:cs="华文仿宋"/>
                <w:kern w:val="0"/>
                <w:szCs w:val="21"/>
                <w:lang w:val="zh-CN"/>
              </w:rPr>
              <w:t>序号</w:t>
            </w:r>
          </w:p>
        </w:tc>
        <w:tc>
          <w:tcPr>
            <w:tcW w:w="740" w:type="pct"/>
            <w:vAlign w:val="center"/>
          </w:tcPr>
          <w:p>
            <w:pPr>
              <w:widowControl/>
              <w:snapToGrid w:val="0"/>
              <w:spacing w:after="0" w:line="240" w:lineRule="auto"/>
              <w:jc w:val="center"/>
              <w:rPr>
                <w:rFonts w:ascii="仿宋" w:hAnsi="仿宋" w:eastAsia="仿宋" w:cs="华文仿宋"/>
                <w:kern w:val="0"/>
                <w:szCs w:val="21"/>
                <w:lang w:val="zh-CN"/>
              </w:rPr>
            </w:pPr>
            <w:r>
              <w:rPr>
                <w:rFonts w:hint="eastAsia" w:ascii="仿宋" w:hAnsi="仿宋" w:eastAsia="仿宋" w:cs="华文仿宋"/>
                <w:kern w:val="0"/>
                <w:szCs w:val="21"/>
                <w:lang w:val="zh-CN"/>
              </w:rPr>
              <w:t>货物、设备及配套服务名称</w:t>
            </w:r>
          </w:p>
        </w:tc>
        <w:tc>
          <w:tcPr>
            <w:tcW w:w="3075" w:type="pct"/>
            <w:vAlign w:val="center"/>
          </w:tcPr>
          <w:p>
            <w:pPr>
              <w:widowControl/>
              <w:snapToGrid w:val="0"/>
              <w:spacing w:after="0" w:line="240" w:lineRule="auto"/>
              <w:jc w:val="center"/>
              <w:rPr>
                <w:rFonts w:ascii="仿宋" w:hAnsi="仿宋" w:eastAsia="仿宋" w:cs="华文仿宋"/>
                <w:kern w:val="0"/>
                <w:szCs w:val="21"/>
                <w:lang w:val="zh-CN"/>
              </w:rPr>
            </w:pPr>
            <w:r>
              <w:rPr>
                <w:rFonts w:hint="eastAsia" w:ascii="仿宋" w:hAnsi="仿宋" w:eastAsia="仿宋" w:cs="华文仿宋"/>
                <w:kern w:val="0"/>
                <w:szCs w:val="21"/>
                <w:lang w:val="zh-CN"/>
              </w:rPr>
              <w:t>技术参数</w:t>
            </w:r>
          </w:p>
        </w:tc>
        <w:tc>
          <w:tcPr>
            <w:tcW w:w="342" w:type="pct"/>
            <w:noWrap/>
            <w:vAlign w:val="center"/>
          </w:tcPr>
          <w:p>
            <w:pPr>
              <w:widowControl/>
              <w:snapToGrid w:val="0"/>
              <w:spacing w:after="0" w:line="240" w:lineRule="auto"/>
              <w:jc w:val="center"/>
              <w:rPr>
                <w:rFonts w:ascii="仿宋" w:hAnsi="仿宋" w:eastAsia="仿宋" w:cs="华文仿宋"/>
                <w:kern w:val="0"/>
                <w:szCs w:val="21"/>
                <w:lang w:val="zh-CN"/>
              </w:rPr>
            </w:pPr>
            <w:r>
              <w:rPr>
                <w:rFonts w:hint="eastAsia" w:ascii="仿宋" w:hAnsi="仿宋" w:eastAsia="仿宋" w:cs="华文仿宋"/>
                <w:kern w:val="0"/>
                <w:szCs w:val="21"/>
                <w:lang w:val="zh-CN"/>
              </w:rPr>
              <w:t>单位</w:t>
            </w:r>
          </w:p>
        </w:tc>
        <w:tc>
          <w:tcPr>
            <w:tcW w:w="460" w:type="pct"/>
            <w:noWrap/>
            <w:vAlign w:val="center"/>
          </w:tcPr>
          <w:p>
            <w:pPr>
              <w:widowControl/>
              <w:snapToGrid w:val="0"/>
              <w:spacing w:after="0" w:line="240" w:lineRule="auto"/>
              <w:rPr>
                <w:rFonts w:ascii="仿宋" w:hAnsi="仿宋" w:eastAsia="仿宋" w:cs="华文仿宋"/>
                <w:kern w:val="0"/>
                <w:szCs w:val="21"/>
                <w:lang w:val="zh-CN"/>
              </w:rPr>
            </w:pPr>
            <w:r>
              <w:rPr>
                <w:rFonts w:hint="eastAsia" w:ascii="仿宋" w:hAnsi="仿宋" w:eastAsia="仿宋" w:cs="华文仿宋"/>
                <w:kern w:val="0"/>
                <w:szCs w:val="21"/>
              </w:rPr>
              <w:t>预估</w:t>
            </w:r>
            <w:r>
              <w:rPr>
                <w:rFonts w:hint="eastAsia" w:ascii="仿宋" w:hAnsi="仿宋" w:eastAsia="仿宋" w:cs="华文仿宋"/>
                <w:kern w:val="0"/>
                <w:szCs w:val="21"/>
                <w:lang w:val="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预埋铁件</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★1. 文物安全保护遮棚所有基础部分须预埋铁件；</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2</w:t>
            </w:r>
            <w:r>
              <w:rPr>
                <w:rFonts w:ascii="仿宋" w:hAnsi="仿宋" w:eastAsia="仿宋" w:cs="华文仿宋"/>
                <w:kern w:val="0"/>
                <w:szCs w:val="21"/>
              </w:rPr>
              <w:t>.</w:t>
            </w:r>
            <w:r>
              <w:rPr>
                <w:rFonts w:hint="eastAsia" w:ascii="仿宋" w:hAnsi="仿宋" w:eastAsia="仿宋" w:cs="华文仿宋"/>
                <w:kern w:val="0"/>
                <w:szCs w:val="21"/>
              </w:rPr>
              <w:t>铁件Q235B,热浸镀锌。</w:t>
            </w:r>
          </w:p>
        </w:tc>
        <w:tc>
          <w:tcPr>
            <w:tcW w:w="342"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项</w:t>
            </w:r>
          </w:p>
        </w:tc>
        <w:tc>
          <w:tcPr>
            <w:tcW w:w="460"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rPr>
              <w:t>2</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文物安全保护遮棚</w:t>
            </w:r>
          </w:p>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成品钢柱主体结构</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szCs w:val="21"/>
              </w:rPr>
              <w:t>★</w:t>
            </w:r>
            <w:r>
              <w:rPr>
                <w:rFonts w:ascii="仿宋" w:hAnsi="仿宋" w:eastAsia="仿宋" w:cs="华文仿宋"/>
                <w:kern w:val="0"/>
                <w:szCs w:val="21"/>
              </w:rPr>
              <w:t>1</w:t>
            </w:r>
            <w:r>
              <w:rPr>
                <w:rFonts w:hint="eastAsia" w:ascii="仿宋" w:hAnsi="仿宋" w:eastAsia="仿宋" w:cs="华文仿宋"/>
                <w:kern w:val="0"/>
                <w:szCs w:val="21"/>
              </w:rPr>
              <w:t>.成品钢柱型号要求为：Q345B；</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szCs w:val="21"/>
              </w:rPr>
              <w:t>★</w:t>
            </w:r>
            <w:r>
              <w:rPr>
                <w:rFonts w:hint="eastAsia" w:ascii="仿宋" w:hAnsi="仿宋" w:eastAsia="仿宋" w:cs="华文仿宋"/>
                <w:kern w:val="0"/>
                <w:szCs w:val="21"/>
              </w:rPr>
              <w:t>2</w:t>
            </w:r>
            <w:r>
              <w:rPr>
                <w:rFonts w:ascii="仿宋" w:hAnsi="仿宋" w:eastAsia="仿宋" w:cs="华文仿宋"/>
                <w:kern w:val="0"/>
                <w:szCs w:val="21"/>
              </w:rPr>
              <w:t>.</w:t>
            </w:r>
            <w:r>
              <w:rPr>
                <w:rFonts w:hint="eastAsia" w:ascii="仿宋" w:hAnsi="仿宋" w:eastAsia="仿宋" w:cs="华文仿宋"/>
                <w:kern w:val="0"/>
                <w:szCs w:val="21"/>
              </w:rPr>
              <w:t>成品钢构件材料价格由供应商负责，包括（原材料、损耗、加工费、除锈、开平费、镀锌费用、采购管理费、运费; ）</w:t>
            </w:r>
          </w:p>
          <w:p>
            <w:pPr>
              <w:widowControl/>
              <w:snapToGrid w:val="0"/>
              <w:spacing w:after="0" w:line="240" w:lineRule="auto"/>
              <w:jc w:val="left"/>
              <w:outlineLvl w:val="0"/>
              <w:rPr>
                <w:rFonts w:ascii="仿宋" w:hAnsi="仿宋" w:eastAsia="仿宋" w:cs="华文仿宋"/>
                <w:kern w:val="0"/>
                <w:szCs w:val="21"/>
                <w:lang w:val="zh-CN"/>
              </w:rPr>
            </w:pPr>
            <w:r>
              <w:rPr>
                <w:rFonts w:hint="eastAsia" w:ascii="仿宋" w:hAnsi="仿宋" w:eastAsia="仿宋"/>
                <w:szCs w:val="21"/>
              </w:rPr>
              <w:t>★</w:t>
            </w:r>
            <w:r>
              <w:rPr>
                <w:rFonts w:hint="eastAsia" w:ascii="仿宋" w:hAnsi="仿宋" w:eastAsia="仿宋" w:cs="华文仿宋"/>
                <w:kern w:val="0"/>
                <w:szCs w:val="21"/>
              </w:rPr>
              <w:t>3.最终根据采购人的方案进行加工及安装。</w:t>
            </w:r>
          </w:p>
        </w:tc>
        <w:tc>
          <w:tcPr>
            <w:tcW w:w="342"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吨</w:t>
            </w:r>
          </w:p>
        </w:tc>
        <w:tc>
          <w:tcPr>
            <w:tcW w:w="46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22.88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3</w:t>
            </w:r>
          </w:p>
        </w:tc>
        <w:tc>
          <w:tcPr>
            <w:tcW w:w="740"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摩擦型高强螺栓、栓钉</w:t>
            </w:r>
          </w:p>
        </w:tc>
        <w:tc>
          <w:tcPr>
            <w:tcW w:w="3075" w:type="pct"/>
            <w:vAlign w:val="center"/>
          </w:tcPr>
          <w:p>
            <w:pPr>
              <w:widowControl/>
              <w:snapToGrid w:val="0"/>
              <w:spacing w:after="0" w:line="240" w:lineRule="auto"/>
              <w:jc w:val="left"/>
              <w:outlineLvl w:val="0"/>
              <w:rPr>
                <w:rFonts w:ascii="仿宋" w:hAnsi="仿宋" w:eastAsia="仿宋" w:cs="华文仿宋"/>
                <w:kern w:val="0"/>
                <w:szCs w:val="21"/>
                <w:lang w:val="zh-CN"/>
              </w:rPr>
            </w:pPr>
            <w:r>
              <w:rPr>
                <w:rFonts w:hint="eastAsia" w:ascii="仿宋" w:hAnsi="仿宋" w:eastAsia="仿宋"/>
                <w:szCs w:val="21"/>
              </w:rPr>
              <w:t>★</w:t>
            </w:r>
            <w:r>
              <w:rPr>
                <w:rFonts w:hint="eastAsia" w:ascii="仿宋" w:hAnsi="仿宋" w:eastAsia="仿宋" w:cs="华文仿宋"/>
                <w:kern w:val="0"/>
                <w:szCs w:val="21"/>
                <w:lang w:val="zh-CN"/>
              </w:rPr>
              <w:t>1.文物安全遮棚所有钢结构的连接处须使用摩擦型高强螺栓、栓钉；</w:t>
            </w:r>
          </w:p>
          <w:p>
            <w:pPr>
              <w:widowControl/>
              <w:snapToGrid w:val="0"/>
              <w:spacing w:after="0" w:line="240" w:lineRule="auto"/>
              <w:jc w:val="left"/>
              <w:outlineLvl w:val="0"/>
              <w:rPr>
                <w:rFonts w:ascii="仿宋" w:hAnsi="仿宋" w:eastAsia="仿宋" w:cs="华文仿宋"/>
                <w:kern w:val="0"/>
                <w:szCs w:val="21"/>
                <w:lang w:val="zh-CN"/>
              </w:rPr>
            </w:pPr>
            <w:r>
              <w:rPr>
                <w:rFonts w:ascii="仿宋" w:hAnsi="仿宋" w:eastAsia="仿宋" w:cs="华文仿宋"/>
                <w:kern w:val="0"/>
                <w:szCs w:val="21"/>
              </w:rPr>
              <w:t>2</w:t>
            </w:r>
            <w:r>
              <w:rPr>
                <w:rFonts w:hint="eastAsia" w:ascii="仿宋" w:hAnsi="仿宋" w:eastAsia="仿宋" w:cs="华文仿宋"/>
                <w:kern w:val="0"/>
                <w:szCs w:val="21"/>
              </w:rPr>
              <w:t>.</w:t>
            </w:r>
            <w:r>
              <w:rPr>
                <w:rFonts w:hint="eastAsia" w:ascii="仿宋" w:hAnsi="仿宋" w:eastAsia="仿宋" w:cs="华文仿宋"/>
                <w:kern w:val="0"/>
                <w:szCs w:val="21"/>
                <w:lang w:val="zh-CN"/>
              </w:rPr>
              <w:t>高强度螺栓、</w:t>
            </w:r>
            <w:r>
              <w:rPr>
                <w:rFonts w:hint="eastAsia" w:ascii="仿宋" w:hAnsi="仿宋" w:eastAsia="仿宋" w:cs="华文仿宋"/>
                <w:kern w:val="0"/>
                <w:szCs w:val="21"/>
              </w:rPr>
              <w:t>栓钉</w:t>
            </w:r>
            <w:r>
              <w:rPr>
                <w:rFonts w:hint="eastAsia" w:ascii="仿宋" w:hAnsi="仿宋" w:eastAsia="仿宋" w:cs="华文仿宋"/>
                <w:kern w:val="0"/>
                <w:szCs w:val="21"/>
                <w:lang w:val="zh-CN"/>
              </w:rPr>
              <w:t>采用高强度材料制造。高强螺栓的螺杆、螺帽和垫圈都由高强钢材制作；</w:t>
            </w:r>
          </w:p>
          <w:p>
            <w:pPr>
              <w:widowControl/>
              <w:snapToGrid w:val="0"/>
              <w:spacing w:after="0" w:line="240" w:lineRule="auto"/>
              <w:jc w:val="left"/>
              <w:outlineLvl w:val="0"/>
              <w:rPr>
                <w:rFonts w:ascii="仿宋" w:hAnsi="仿宋" w:eastAsia="仿宋" w:cs="华文仿宋"/>
                <w:kern w:val="0"/>
                <w:szCs w:val="21"/>
                <w:lang w:val="zh-CN"/>
              </w:rPr>
            </w:pPr>
            <w:r>
              <w:rPr>
                <w:rFonts w:ascii="仿宋" w:hAnsi="仿宋" w:eastAsia="仿宋" w:cs="华文仿宋"/>
                <w:kern w:val="0"/>
                <w:szCs w:val="21"/>
              </w:rPr>
              <w:t>3</w:t>
            </w:r>
            <w:r>
              <w:rPr>
                <w:rFonts w:hint="eastAsia" w:ascii="仿宋" w:hAnsi="仿宋" w:eastAsia="仿宋" w:cs="华文仿宋"/>
                <w:kern w:val="0"/>
                <w:szCs w:val="21"/>
              </w:rPr>
              <w:t>.</w:t>
            </w:r>
            <w:r>
              <w:rPr>
                <w:rFonts w:hint="eastAsia" w:ascii="仿宋" w:hAnsi="仿宋" w:eastAsia="仿宋" w:cs="华文仿宋"/>
                <w:kern w:val="0"/>
                <w:szCs w:val="21"/>
                <w:lang w:val="zh-CN"/>
              </w:rPr>
              <w:t>螺栓的检查</w:t>
            </w:r>
            <w:r>
              <w:rPr>
                <w:rFonts w:hint="eastAsia" w:ascii="仿宋" w:hAnsi="仿宋" w:eastAsia="仿宋" w:cs="华文仿宋"/>
                <w:kern w:val="0"/>
                <w:szCs w:val="21"/>
              </w:rPr>
              <w:t>:</w:t>
            </w:r>
            <w:r>
              <w:rPr>
                <w:rFonts w:hint="eastAsia" w:ascii="仿宋" w:hAnsi="仿宋" w:eastAsia="仿宋" w:cs="华文仿宋"/>
                <w:kern w:val="0"/>
                <w:szCs w:val="21"/>
                <w:lang w:val="zh-CN"/>
              </w:rPr>
              <w:t>目测检查螺栓表面质量，要求任何加工留下的毛刺去除，尖锐的棱角边缘须倒圆。手工除油</w:t>
            </w:r>
            <w:r>
              <w:rPr>
                <w:rFonts w:hint="eastAsia" w:ascii="仿宋" w:hAnsi="仿宋" w:eastAsia="仿宋" w:cs="华文仿宋"/>
                <w:kern w:val="0"/>
                <w:szCs w:val="21"/>
              </w:rPr>
              <w:t>:</w:t>
            </w:r>
            <w:r>
              <w:rPr>
                <w:rFonts w:hint="eastAsia" w:ascii="仿宋" w:hAnsi="仿宋" w:eastAsia="仿宋" w:cs="华文仿宋"/>
                <w:kern w:val="0"/>
                <w:szCs w:val="21"/>
                <w:lang w:val="zh-CN"/>
              </w:rPr>
              <w:t>保证基体表面无油渍。浸泡除油</w:t>
            </w:r>
            <w:r>
              <w:rPr>
                <w:rFonts w:hint="eastAsia" w:ascii="仿宋" w:hAnsi="仿宋" w:eastAsia="仿宋" w:cs="华文仿宋"/>
                <w:kern w:val="0"/>
                <w:szCs w:val="21"/>
              </w:rPr>
              <w:t>:</w:t>
            </w:r>
            <w:r>
              <w:rPr>
                <w:rFonts w:hint="eastAsia" w:ascii="仿宋" w:hAnsi="仿宋" w:eastAsia="仿宋" w:cs="华文仿宋"/>
                <w:kern w:val="0"/>
                <w:szCs w:val="21"/>
                <w:lang w:val="zh-CN"/>
              </w:rPr>
              <w:t>将螺栓放入碱水煮以去除表面油污。酸洗：为防止碱性除油溶液污染闪镀镍镀槽，在闪镀镍前用酸洗液进行电活化处理。电活化：用酸溶液进行电活化处理。闪镀镍：对低合金钢都应该采用闪镀镍，以增加镀层与基体之间的结合强度。</w:t>
            </w:r>
          </w:p>
          <w:p>
            <w:pPr>
              <w:widowControl/>
              <w:snapToGrid w:val="0"/>
              <w:spacing w:after="0" w:line="240" w:lineRule="auto"/>
              <w:jc w:val="left"/>
              <w:outlineLvl w:val="0"/>
              <w:rPr>
                <w:rFonts w:ascii="仿宋" w:hAnsi="仿宋" w:eastAsia="仿宋" w:cs="华文仿宋"/>
                <w:kern w:val="0"/>
                <w:szCs w:val="21"/>
                <w:lang w:val="zh-CN"/>
              </w:rPr>
            </w:pPr>
            <w:r>
              <w:rPr>
                <w:rFonts w:ascii="仿宋" w:hAnsi="仿宋" w:eastAsia="仿宋" w:cs="华文仿宋"/>
                <w:kern w:val="0"/>
                <w:szCs w:val="21"/>
              </w:rPr>
              <w:t>4</w:t>
            </w:r>
            <w:r>
              <w:rPr>
                <w:rFonts w:hint="eastAsia" w:ascii="仿宋" w:hAnsi="仿宋" w:eastAsia="仿宋" w:cs="华文仿宋"/>
                <w:kern w:val="0"/>
                <w:szCs w:val="21"/>
              </w:rPr>
              <w:t>.</w:t>
            </w:r>
            <w:r>
              <w:rPr>
                <w:rFonts w:hint="eastAsia" w:ascii="仿宋" w:hAnsi="仿宋" w:eastAsia="仿宋" w:cs="华文仿宋"/>
                <w:kern w:val="0"/>
                <w:szCs w:val="21"/>
                <w:lang w:val="zh-CN"/>
              </w:rPr>
              <w:t>镀前工艺：热轧盘条－（冷拨）－球化（软化）退火－机械除磷－酸洗－冷拨－冷锻成形－螺纹加工－热处理－检验；</w:t>
            </w:r>
          </w:p>
          <w:p>
            <w:pPr>
              <w:widowControl/>
              <w:snapToGrid w:val="0"/>
              <w:spacing w:after="0" w:line="240" w:lineRule="auto"/>
              <w:jc w:val="left"/>
              <w:outlineLvl w:val="0"/>
              <w:rPr>
                <w:rFonts w:ascii="仿宋" w:hAnsi="仿宋" w:eastAsia="仿宋" w:cs="华文仿宋"/>
                <w:kern w:val="0"/>
                <w:szCs w:val="21"/>
                <w:lang w:val="zh-CN"/>
              </w:rPr>
            </w:pPr>
            <w:r>
              <w:rPr>
                <w:rFonts w:ascii="仿宋" w:hAnsi="仿宋" w:eastAsia="仿宋" w:cs="华文仿宋"/>
                <w:kern w:val="0"/>
                <w:szCs w:val="21"/>
              </w:rPr>
              <w:t>5</w:t>
            </w:r>
            <w:r>
              <w:rPr>
                <w:rFonts w:hint="eastAsia" w:ascii="仿宋" w:hAnsi="仿宋" w:eastAsia="仿宋" w:cs="华文仿宋"/>
                <w:kern w:val="0"/>
                <w:szCs w:val="21"/>
              </w:rPr>
              <w:t>.</w:t>
            </w:r>
            <w:r>
              <w:rPr>
                <w:rFonts w:hint="eastAsia" w:ascii="仿宋" w:hAnsi="仿宋" w:eastAsia="仿宋" w:cs="华文仿宋"/>
                <w:kern w:val="0"/>
                <w:szCs w:val="21"/>
                <w:lang w:val="zh-CN"/>
              </w:rPr>
              <w:t>高强度螺栓镍磷镀工艺：螺栓化学成分检查－螺栓镀前精度、外观检查－手工除油－外观检查－浸泡除油－热水洗－冷水洗－酸洗－冷水洗－电活化－冷水洗－闪镀镍－冷水洗－去离子水洗－化学镀镍－去离子水洗－冷水洗－驱氢－抛光－成品检查。</w:t>
            </w:r>
          </w:p>
          <w:p>
            <w:pPr>
              <w:widowControl/>
              <w:snapToGrid w:val="0"/>
              <w:spacing w:after="0" w:line="240" w:lineRule="auto"/>
              <w:jc w:val="left"/>
              <w:outlineLvl w:val="0"/>
              <w:rPr>
                <w:rFonts w:ascii="仿宋" w:hAnsi="仿宋" w:eastAsia="仿宋" w:cs="华文仿宋"/>
                <w:kern w:val="0"/>
                <w:szCs w:val="21"/>
                <w:lang w:val="zh-CN"/>
              </w:rPr>
            </w:pPr>
            <w:r>
              <w:rPr>
                <w:rFonts w:ascii="仿宋" w:hAnsi="仿宋" w:eastAsia="仿宋" w:cs="华文仿宋"/>
                <w:kern w:val="0"/>
                <w:szCs w:val="21"/>
              </w:rPr>
              <w:t>6</w:t>
            </w:r>
            <w:r>
              <w:rPr>
                <w:rFonts w:hint="eastAsia" w:ascii="仿宋" w:hAnsi="仿宋" w:eastAsia="仿宋" w:cs="华文仿宋"/>
                <w:kern w:val="0"/>
                <w:szCs w:val="21"/>
              </w:rPr>
              <w:t>.</w:t>
            </w:r>
            <w:r>
              <w:rPr>
                <w:rFonts w:hint="eastAsia" w:ascii="仿宋" w:hAnsi="仿宋" w:eastAsia="仿宋" w:cs="华文仿宋"/>
                <w:kern w:val="0"/>
                <w:szCs w:val="21"/>
                <w:lang w:val="zh-CN"/>
              </w:rPr>
              <w:t>后工序：驱氢、抛光。驱氢：按有关标准的规定，镀后驱氢温度为200±10℃，处理时间2h。200℃有利于消除氢脆，松弛内应力，提高镀层与基体的结合力，改善镀层的耐腐蚀性能；抛光：抛光的螺栓外观光亮，但为更好地提高镀层质量，平整微小的痕迹，得到光亮似镜面的表面，需用抛光机抛光镀层。</w:t>
            </w:r>
          </w:p>
        </w:tc>
        <w:tc>
          <w:tcPr>
            <w:tcW w:w="342"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项</w:t>
            </w:r>
          </w:p>
        </w:tc>
        <w:tc>
          <w:tcPr>
            <w:tcW w:w="460"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4</w:t>
            </w:r>
          </w:p>
        </w:tc>
        <w:tc>
          <w:tcPr>
            <w:tcW w:w="740"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连接钢板、各种安装用辅材</w:t>
            </w:r>
          </w:p>
        </w:tc>
        <w:tc>
          <w:tcPr>
            <w:tcW w:w="3075" w:type="pct"/>
            <w:vAlign w:val="center"/>
          </w:tcPr>
          <w:p>
            <w:pPr>
              <w:widowControl/>
              <w:snapToGrid w:val="0"/>
              <w:spacing w:after="0" w:line="240" w:lineRule="auto"/>
              <w:jc w:val="left"/>
              <w:outlineLvl w:val="0"/>
              <w:rPr>
                <w:rFonts w:ascii="仿宋" w:hAnsi="仿宋" w:eastAsia="仿宋" w:cs="华文仿宋"/>
                <w:kern w:val="0"/>
                <w:szCs w:val="21"/>
                <w:lang w:val="zh-CN"/>
              </w:rPr>
            </w:pPr>
            <w:r>
              <w:rPr>
                <w:rFonts w:hint="eastAsia" w:ascii="仿宋" w:hAnsi="仿宋" w:eastAsia="仿宋"/>
                <w:szCs w:val="21"/>
              </w:rPr>
              <w:t>★</w:t>
            </w:r>
            <w:r>
              <w:rPr>
                <w:rFonts w:ascii="仿宋" w:hAnsi="仿宋" w:eastAsia="仿宋" w:cs="华文仿宋"/>
                <w:kern w:val="0"/>
                <w:szCs w:val="21"/>
                <w:lang w:val="zh-CN"/>
              </w:rPr>
              <w:t>1.</w:t>
            </w:r>
            <w:r>
              <w:rPr>
                <w:rFonts w:hint="eastAsia" w:ascii="仿宋" w:hAnsi="仿宋" w:eastAsia="仿宋" w:cs="华文仿宋"/>
                <w:kern w:val="0"/>
                <w:szCs w:val="21"/>
                <w:lang w:val="zh-CN"/>
              </w:rPr>
              <w:t>连接钢板、各种安装用辅材若干。</w:t>
            </w:r>
          </w:p>
          <w:p>
            <w:pPr>
              <w:widowControl/>
              <w:snapToGrid w:val="0"/>
              <w:spacing w:after="0" w:line="240" w:lineRule="auto"/>
              <w:jc w:val="left"/>
              <w:outlineLvl w:val="0"/>
              <w:rPr>
                <w:rFonts w:ascii="仿宋" w:hAnsi="仿宋" w:eastAsia="仿宋"/>
                <w:b/>
                <w:kern w:val="0"/>
                <w:szCs w:val="21"/>
              </w:rPr>
            </w:pPr>
            <w:r>
              <w:rPr>
                <w:rFonts w:hint="eastAsia" w:ascii="仿宋" w:hAnsi="仿宋" w:eastAsia="仿宋"/>
                <w:szCs w:val="21"/>
              </w:rPr>
              <w:t>★</w:t>
            </w:r>
            <w:r>
              <w:rPr>
                <w:rFonts w:hint="eastAsia" w:ascii="仿宋" w:hAnsi="仿宋" w:eastAsia="仿宋" w:cs="华文仿宋"/>
                <w:kern w:val="0"/>
                <w:szCs w:val="21"/>
                <w:lang w:val="zh-CN"/>
              </w:rPr>
              <w:t>2</w:t>
            </w:r>
            <w:r>
              <w:rPr>
                <w:rFonts w:ascii="仿宋" w:hAnsi="仿宋" w:eastAsia="仿宋" w:cs="华文仿宋"/>
                <w:kern w:val="0"/>
                <w:szCs w:val="21"/>
                <w:lang w:val="zh-CN"/>
              </w:rPr>
              <w:t>.</w:t>
            </w:r>
            <w:r>
              <w:rPr>
                <w:rFonts w:hint="eastAsia" w:ascii="仿宋" w:hAnsi="仿宋" w:eastAsia="仿宋" w:cs="华文仿宋"/>
                <w:kern w:val="0"/>
                <w:szCs w:val="21"/>
                <w:lang w:val="zh-CN"/>
              </w:rPr>
              <w:t>最终根据采购人的方案进行加工及安装。</w:t>
            </w:r>
          </w:p>
        </w:tc>
        <w:tc>
          <w:tcPr>
            <w:tcW w:w="342"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项</w:t>
            </w:r>
          </w:p>
        </w:tc>
        <w:tc>
          <w:tcPr>
            <w:tcW w:w="460"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5</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rPr>
              <w:t>现场焊接部分焊缝探伤检验</w:t>
            </w:r>
          </w:p>
        </w:tc>
        <w:tc>
          <w:tcPr>
            <w:tcW w:w="3075" w:type="pct"/>
            <w:vAlign w:val="center"/>
          </w:tcPr>
          <w:p>
            <w:pPr>
              <w:widowControl/>
              <w:snapToGrid w:val="0"/>
              <w:spacing w:after="0" w:line="240" w:lineRule="auto"/>
              <w:jc w:val="left"/>
              <w:outlineLvl w:val="0"/>
              <w:rPr>
                <w:rFonts w:ascii="仿宋" w:hAnsi="仿宋" w:eastAsia="仿宋" w:cs="华文仿宋"/>
                <w:kern w:val="0"/>
                <w:szCs w:val="21"/>
                <w:lang w:val="zh-CN"/>
              </w:rPr>
            </w:pPr>
            <w:r>
              <w:rPr>
                <w:rFonts w:hint="eastAsia" w:ascii="仿宋" w:hAnsi="仿宋" w:eastAsia="仿宋" w:cs="华文仿宋"/>
                <w:kern w:val="0"/>
                <w:szCs w:val="21"/>
                <w:lang w:val="zh-CN"/>
              </w:rPr>
              <w:t>1.本项目所有焊缝经探伤检验，并应符合设计要求和施工及验收规范的规定，提供检查焊缝探伤报告，具体要求如下：</w:t>
            </w:r>
          </w:p>
          <w:p>
            <w:pPr>
              <w:widowControl/>
              <w:snapToGrid w:val="0"/>
              <w:spacing w:after="0" w:line="240" w:lineRule="auto"/>
              <w:jc w:val="left"/>
              <w:outlineLvl w:val="0"/>
              <w:rPr>
                <w:rFonts w:ascii="仿宋" w:hAnsi="仿宋" w:eastAsia="仿宋" w:cs="华文仿宋"/>
                <w:kern w:val="0"/>
                <w:szCs w:val="21"/>
                <w:lang w:val="zh-CN"/>
              </w:rPr>
            </w:pPr>
            <w:r>
              <w:rPr>
                <w:rFonts w:hint="eastAsia" w:ascii="仿宋" w:hAnsi="仿宋" w:eastAsia="仿宋" w:cs="华文仿宋"/>
                <w:kern w:val="0"/>
                <w:szCs w:val="21"/>
                <w:lang w:val="zh-CN"/>
              </w:rPr>
              <w:t>（1）焊缝不可以有裂纹、焊瘤、烧穿、弧坑等缺陷。不得有咬边、未焊满等缺陷；</w:t>
            </w:r>
          </w:p>
          <w:p>
            <w:pPr>
              <w:widowControl/>
              <w:snapToGrid w:val="0"/>
              <w:spacing w:after="0" w:line="240" w:lineRule="auto"/>
              <w:jc w:val="left"/>
              <w:outlineLvl w:val="0"/>
              <w:rPr>
                <w:rFonts w:ascii="仿宋" w:hAnsi="仿宋" w:eastAsia="仿宋" w:cs="华文仿宋"/>
                <w:kern w:val="0"/>
                <w:szCs w:val="21"/>
                <w:lang w:val="zh-CN"/>
              </w:rPr>
            </w:pPr>
            <w:r>
              <w:rPr>
                <w:rFonts w:hint="eastAsia" w:ascii="仿宋" w:hAnsi="仿宋" w:eastAsia="仿宋" w:cs="华文仿宋"/>
                <w:kern w:val="0"/>
                <w:szCs w:val="21"/>
                <w:lang w:val="zh-CN"/>
              </w:rPr>
              <w:t>（2）焊缝外形均匀，焊道与焊道、焊道与基本金属之间过渡平滑，焊渣和飞溅物清除干净；</w:t>
            </w:r>
          </w:p>
          <w:p>
            <w:pPr>
              <w:widowControl/>
              <w:snapToGrid w:val="0"/>
              <w:spacing w:after="0" w:line="240" w:lineRule="auto"/>
              <w:jc w:val="left"/>
              <w:outlineLvl w:val="0"/>
              <w:rPr>
                <w:rFonts w:ascii="仿宋" w:hAnsi="仿宋" w:eastAsia="仿宋" w:cs="华文仿宋"/>
                <w:kern w:val="0"/>
                <w:szCs w:val="21"/>
                <w:lang w:val="zh-CN"/>
              </w:rPr>
            </w:pPr>
            <w:r>
              <w:rPr>
                <w:rFonts w:hint="eastAsia" w:ascii="仿宋" w:hAnsi="仿宋" w:eastAsia="仿宋" w:cs="华文仿宋"/>
                <w:kern w:val="0"/>
                <w:szCs w:val="21"/>
              </w:rPr>
              <w:t>（3）</w:t>
            </w:r>
            <w:r>
              <w:rPr>
                <w:rFonts w:hint="eastAsia" w:ascii="仿宋" w:hAnsi="仿宋" w:eastAsia="仿宋" w:cs="华文仿宋"/>
                <w:kern w:val="0"/>
                <w:szCs w:val="21"/>
                <w:lang w:val="zh-CN"/>
              </w:rPr>
              <w:t>气孔咬边深度≤0.05t，且≤0.5mm，连续长度≤100mm，且两侧咬边总长≤10%焊缝长度。</w:t>
            </w:r>
          </w:p>
        </w:tc>
        <w:tc>
          <w:tcPr>
            <w:tcW w:w="342"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项</w:t>
            </w:r>
          </w:p>
        </w:tc>
        <w:tc>
          <w:tcPr>
            <w:tcW w:w="460"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6</w:t>
            </w:r>
          </w:p>
        </w:tc>
        <w:tc>
          <w:tcPr>
            <w:tcW w:w="740"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钢结构防锈底漆</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1</w:t>
            </w:r>
            <w:r>
              <w:rPr>
                <w:rFonts w:ascii="仿宋" w:hAnsi="仿宋" w:eastAsia="仿宋" w:cs="华文仿宋"/>
                <w:kern w:val="0"/>
                <w:szCs w:val="21"/>
              </w:rPr>
              <w:t>.</w:t>
            </w:r>
            <w:r>
              <w:rPr>
                <w:rFonts w:hint="eastAsia" w:ascii="仿宋" w:hAnsi="仿宋" w:eastAsia="仿宋" w:cs="华文仿宋"/>
                <w:kern w:val="0"/>
                <w:szCs w:val="21"/>
              </w:rPr>
              <w:t>环氧富锌底漆(干膜中元素锌含量≥80%,体积固体含量≥60%);</w:t>
            </w:r>
          </w:p>
          <w:p>
            <w:pPr>
              <w:widowControl/>
              <w:snapToGrid w:val="0"/>
              <w:spacing w:after="0" w:line="240" w:lineRule="auto"/>
              <w:jc w:val="left"/>
              <w:outlineLvl w:val="0"/>
              <w:rPr>
                <w:rFonts w:ascii="仿宋" w:hAnsi="仿宋" w:eastAsia="仿宋" w:cs="华文仿宋"/>
                <w:kern w:val="0"/>
                <w:szCs w:val="21"/>
              </w:rPr>
            </w:pPr>
            <w:r>
              <w:rPr>
                <w:rFonts w:ascii="仿宋" w:hAnsi="仿宋" w:eastAsia="仿宋" w:cs="华文仿宋"/>
                <w:kern w:val="0"/>
                <w:szCs w:val="21"/>
              </w:rPr>
              <w:t>2.</w:t>
            </w:r>
            <w:r>
              <w:rPr>
                <w:rFonts w:hint="eastAsia" w:ascii="仿宋" w:hAnsi="仿宋" w:eastAsia="仿宋" w:cs="华文仿宋"/>
                <w:kern w:val="0"/>
                <w:szCs w:val="21"/>
              </w:rPr>
              <w:t>施工要求：干膜厚度，室内钢结构底漆80um,室外钢结构底漆100um。</w:t>
            </w:r>
          </w:p>
          <w:p>
            <w:pPr>
              <w:widowControl/>
              <w:snapToGrid w:val="0"/>
              <w:spacing w:after="0" w:line="240" w:lineRule="auto"/>
              <w:jc w:val="left"/>
              <w:outlineLvl w:val="0"/>
              <w:rPr>
                <w:rFonts w:ascii="仿宋" w:hAnsi="仿宋" w:eastAsia="仿宋"/>
                <w:b/>
                <w:kern w:val="0"/>
                <w:szCs w:val="21"/>
              </w:rPr>
            </w:pPr>
            <w:r>
              <w:rPr>
                <w:rFonts w:hint="eastAsia" w:ascii="仿宋" w:hAnsi="仿宋" w:eastAsia="仿宋"/>
                <w:szCs w:val="21"/>
              </w:rPr>
              <w:t>★</w:t>
            </w:r>
            <w:r>
              <w:rPr>
                <w:rFonts w:ascii="仿宋" w:hAnsi="仿宋" w:eastAsia="仿宋" w:cs="华文仿宋"/>
                <w:kern w:val="0"/>
                <w:szCs w:val="21"/>
              </w:rPr>
              <w:t>3.</w:t>
            </w:r>
            <w:r>
              <w:rPr>
                <w:rFonts w:hint="eastAsia" w:ascii="仿宋" w:hAnsi="仿宋" w:eastAsia="仿宋" w:cs="华文仿宋"/>
                <w:kern w:val="0"/>
                <w:szCs w:val="21"/>
              </w:rPr>
              <w:t>所有钢结构表面涂刷钢结构防锈底漆。</w:t>
            </w:r>
          </w:p>
        </w:tc>
        <w:tc>
          <w:tcPr>
            <w:tcW w:w="342"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项</w:t>
            </w:r>
          </w:p>
        </w:tc>
        <w:tc>
          <w:tcPr>
            <w:tcW w:w="460" w:type="pct"/>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7</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金属面环氧云铁中间漆</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1.中间漆：中间漆采用环氧云铁漆(体积固体含量≥80%)；</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2.施工要求：室内钢结构各层漆的干膜厚度，底漆80um,中间漆120um,面漆80um;室外钢结构各层漆的干膜厚度:底漆100um,中间漆120um,面漆80um;最后一道面漆在全部安装完毕后整体涂装。面漆颜色及效果由原有建筑确定。</w:t>
            </w:r>
          </w:p>
          <w:p>
            <w:pPr>
              <w:widowControl/>
              <w:snapToGrid w:val="0"/>
              <w:spacing w:after="0" w:line="240" w:lineRule="auto"/>
              <w:jc w:val="left"/>
              <w:outlineLvl w:val="0"/>
              <w:rPr>
                <w:rFonts w:ascii="仿宋" w:hAnsi="仿宋" w:eastAsia="仿宋"/>
                <w:b/>
                <w:kern w:val="0"/>
                <w:szCs w:val="21"/>
              </w:rPr>
            </w:pPr>
            <w:r>
              <w:rPr>
                <w:rFonts w:hint="eastAsia" w:ascii="仿宋" w:hAnsi="仿宋" w:eastAsia="仿宋"/>
                <w:szCs w:val="21"/>
              </w:rPr>
              <w:t>★</w:t>
            </w:r>
            <w:r>
              <w:rPr>
                <w:rFonts w:hint="eastAsia" w:ascii="仿宋" w:hAnsi="仿宋" w:eastAsia="仿宋" w:cs="华文仿宋"/>
                <w:kern w:val="0"/>
                <w:szCs w:val="21"/>
              </w:rPr>
              <w:t>3</w:t>
            </w:r>
            <w:r>
              <w:rPr>
                <w:rFonts w:ascii="仿宋" w:hAnsi="仿宋" w:eastAsia="仿宋" w:cs="华文仿宋"/>
                <w:kern w:val="0"/>
                <w:szCs w:val="21"/>
              </w:rPr>
              <w:t>.</w:t>
            </w:r>
            <w:r>
              <w:rPr>
                <w:rFonts w:hint="eastAsia" w:ascii="仿宋" w:hAnsi="仿宋" w:eastAsia="仿宋" w:cs="华文仿宋"/>
                <w:kern w:val="0"/>
                <w:szCs w:val="21"/>
              </w:rPr>
              <w:t xml:space="preserve"> 所有钢结构表面涂刷</w:t>
            </w:r>
            <w:r>
              <w:rPr>
                <w:rFonts w:hint="eastAsia" w:ascii="仿宋" w:hAnsi="仿宋" w:eastAsia="仿宋" w:cs="华文仿宋"/>
                <w:kern w:val="0"/>
                <w:szCs w:val="21"/>
                <w:lang w:val="zh-CN"/>
              </w:rPr>
              <w:t>金属面环氧云铁中间漆</w:t>
            </w:r>
            <w:r>
              <w:rPr>
                <w:rFonts w:hint="eastAsia" w:ascii="仿宋" w:hAnsi="仿宋" w:eastAsia="仿宋" w:cs="华文仿宋"/>
                <w:kern w:val="0"/>
                <w:szCs w:val="21"/>
              </w:rPr>
              <w:t>。</w:t>
            </w:r>
          </w:p>
        </w:tc>
        <w:tc>
          <w:tcPr>
            <w:tcW w:w="342"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项</w:t>
            </w:r>
          </w:p>
        </w:tc>
        <w:tc>
          <w:tcPr>
            <w:tcW w:w="460"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8</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金属面面漆（金属氟碳漆)</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1.面漆：原子灰找补腻子,打磨光洁，金属氟碳漆二道；</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2.施工要求：室内钢结构各层漆的干膜厚度:底漆80um,中间漆120um,面漆80um;室外钢结构各层漆的干膜厚度:底漆100um,中间漆120um,面漆80um;最后一道面漆在全部安装完毕后整体涂装。面漆颜色及效果由建筑确定。</w:t>
            </w:r>
          </w:p>
          <w:p>
            <w:pPr>
              <w:widowControl/>
              <w:snapToGrid w:val="0"/>
              <w:spacing w:after="0" w:line="240" w:lineRule="auto"/>
              <w:jc w:val="left"/>
              <w:outlineLvl w:val="0"/>
              <w:rPr>
                <w:rFonts w:ascii="仿宋" w:hAnsi="仿宋" w:eastAsia="仿宋"/>
                <w:b/>
                <w:kern w:val="0"/>
                <w:szCs w:val="21"/>
              </w:rPr>
            </w:pPr>
            <w:r>
              <w:rPr>
                <w:rFonts w:hint="eastAsia" w:ascii="仿宋" w:hAnsi="仿宋" w:eastAsia="仿宋"/>
                <w:szCs w:val="21"/>
              </w:rPr>
              <w:t>★</w:t>
            </w:r>
            <w:r>
              <w:rPr>
                <w:rFonts w:hint="eastAsia" w:ascii="仿宋" w:hAnsi="仿宋" w:eastAsia="仿宋" w:cs="华文仿宋"/>
                <w:kern w:val="0"/>
                <w:szCs w:val="21"/>
              </w:rPr>
              <w:t>3</w:t>
            </w:r>
            <w:r>
              <w:rPr>
                <w:rFonts w:ascii="仿宋" w:hAnsi="仿宋" w:eastAsia="仿宋" w:cs="华文仿宋"/>
                <w:kern w:val="0"/>
                <w:szCs w:val="21"/>
              </w:rPr>
              <w:t>.</w:t>
            </w:r>
            <w:r>
              <w:rPr>
                <w:rFonts w:hint="eastAsia" w:ascii="仿宋" w:hAnsi="仿宋" w:eastAsia="仿宋" w:cs="华文仿宋"/>
                <w:kern w:val="0"/>
                <w:szCs w:val="21"/>
              </w:rPr>
              <w:t xml:space="preserve"> 所有钢结构表面涂刷</w:t>
            </w:r>
            <w:r>
              <w:rPr>
                <w:rFonts w:hint="eastAsia" w:ascii="仿宋" w:hAnsi="仿宋" w:eastAsia="仿宋" w:cs="华文仿宋"/>
                <w:kern w:val="0"/>
                <w:szCs w:val="21"/>
                <w:lang w:val="zh-CN"/>
              </w:rPr>
              <w:t>金属面面漆</w:t>
            </w:r>
            <w:r>
              <w:rPr>
                <w:rFonts w:hint="eastAsia" w:ascii="仿宋" w:hAnsi="仿宋" w:eastAsia="仿宋" w:cs="华文仿宋"/>
                <w:kern w:val="0"/>
                <w:szCs w:val="21"/>
              </w:rPr>
              <w:t>。</w:t>
            </w:r>
          </w:p>
        </w:tc>
        <w:tc>
          <w:tcPr>
            <w:tcW w:w="342"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项</w:t>
            </w:r>
          </w:p>
        </w:tc>
        <w:tc>
          <w:tcPr>
            <w:tcW w:w="460"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9</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金属面防火漆 耐火时限2.5h</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szCs w:val="21"/>
              </w:rPr>
              <w:t>★</w:t>
            </w:r>
            <w:r>
              <w:rPr>
                <w:rFonts w:ascii="仿宋" w:hAnsi="仿宋" w:eastAsia="仿宋" w:cs="华文仿宋"/>
                <w:kern w:val="0"/>
                <w:szCs w:val="21"/>
              </w:rPr>
              <w:t>1.</w:t>
            </w:r>
            <w:r>
              <w:rPr>
                <w:rFonts w:hint="eastAsia" w:ascii="仿宋" w:hAnsi="仿宋" w:eastAsia="仿宋" w:cs="华文仿宋"/>
                <w:kern w:val="0"/>
                <w:szCs w:val="21"/>
              </w:rPr>
              <w:t>所有钢结构表面必须涂刷防火漆。</w:t>
            </w:r>
          </w:p>
          <w:p>
            <w:pPr>
              <w:widowControl/>
              <w:snapToGrid w:val="0"/>
              <w:spacing w:after="0" w:line="240" w:lineRule="auto"/>
              <w:jc w:val="left"/>
              <w:outlineLvl w:val="0"/>
              <w:rPr>
                <w:rFonts w:ascii="仿宋" w:hAnsi="仿宋" w:eastAsia="仿宋" w:cs="华文仿宋"/>
                <w:kern w:val="0"/>
                <w:szCs w:val="21"/>
              </w:rPr>
            </w:pPr>
            <w:r>
              <w:rPr>
                <w:rFonts w:ascii="仿宋" w:hAnsi="仿宋" w:eastAsia="仿宋" w:cs="华文仿宋"/>
                <w:kern w:val="0"/>
                <w:szCs w:val="21"/>
              </w:rPr>
              <w:t>2</w:t>
            </w:r>
            <w:r>
              <w:rPr>
                <w:rFonts w:hint="eastAsia" w:ascii="仿宋" w:hAnsi="仿宋" w:eastAsia="仿宋" w:cs="华文仿宋"/>
                <w:kern w:val="0"/>
                <w:szCs w:val="21"/>
              </w:rPr>
              <w:t>.防火要求：耐火时限2.5h；</w:t>
            </w:r>
          </w:p>
          <w:p>
            <w:pPr>
              <w:widowControl/>
              <w:snapToGrid w:val="0"/>
              <w:spacing w:after="0" w:line="240" w:lineRule="auto"/>
              <w:jc w:val="left"/>
              <w:outlineLvl w:val="0"/>
              <w:rPr>
                <w:rFonts w:ascii="仿宋" w:hAnsi="仿宋" w:eastAsia="仿宋" w:cs="华文仿宋"/>
                <w:kern w:val="0"/>
                <w:szCs w:val="21"/>
              </w:rPr>
            </w:pPr>
            <w:r>
              <w:rPr>
                <w:rFonts w:ascii="仿宋" w:hAnsi="仿宋" w:eastAsia="仿宋" w:cs="华文仿宋"/>
                <w:kern w:val="0"/>
                <w:szCs w:val="21"/>
              </w:rPr>
              <w:t>3</w:t>
            </w:r>
            <w:r>
              <w:rPr>
                <w:rFonts w:hint="eastAsia" w:ascii="仿宋" w:hAnsi="仿宋" w:eastAsia="仿宋" w:cs="华文仿宋"/>
                <w:kern w:val="0"/>
                <w:szCs w:val="21"/>
              </w:rPr>
              <w:t>.非膨胀型防火涂料应满足下述要求：</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a)采用低碳环保性能的石膏基防火涂料,任何耐火极限下的涂层厚度均不应低于15mm。</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b)防火涂料的粘结强度设计值不低于0.1MPa,抗压强度设计值不应低于0.4MPa。干密度不应大于500kg/m3。</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c)等效热传导系数:0.08 [W/(m℃)]。</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d)涂层厚度:20mm。</w:t>
            </w:r>
          </w:p>
          <w:p>
            <w:pPr>
              <w:widowControl/>
              <w:snapToGrid w:val="0"/>
              <w:spacing w:after="0" w:line="240" w:lineRule="auto"/>
              <w:jc w:val="left"/>
              <w:outlineLvl w:val="0"/>
              <w:rPr>
                <w:rFonts w:ascii="仿宋" w:hAnsi="仿宋" w:eastAsia="仿宋" w:cs="华文仿宋"/>
                <w:kern w:val="0"/>
                <w:szCs w:val="21"/>
              </w:rPr>
            </w:pPr>
            <w:r>
              <w:rPr>
                <w:rFonts w:ascii="仿宋" w:hAnsi="仿宋" w:eastAsia="仿宋" w:cs="华文仿宋"/>
                <w:kern w:val="0"/>
                <w:szCs w:val="21"/>
              </w:rPr>
              <w:t>4</w:t>
            </w:r>
            <w:r>
              <w:rPr>
                <w:rFonts w:hint="eastAsia" w:ascii="仿宋" w:hAnsi="仿宋" w:eastAsia="仿宋" w:cs="华文仿宋"/>
                <w:kern w:val="0"/>
                <w:szCs w:val="21"/>
              </w:rPr>
              <w:t>.本遮棚钢结构构件的燃烧性能和耐火极限应满足现行《建筑设计防火规范》（GB 50016-2014（2018版））表5.1.2中的规定。构件应满刷防火涂料，防火涂料的厚度应达到一级耐火等级要求为准。防火涂料涂于中间漆之上,防火涂料与钢结构中间漆、面漆应具有相容性。耐火极限还应满足《建筑钢结构防火设计规范》（GB51249-2017）中相关的要求。所采用的涂料应出具国家检测部门在实际涂层厚度情况下的耐火极限的有效检测报告，并严禁采用低耐火极限情况下的涂层厚度进行叠加而推算出涂料的耐火等级。防火涂料有国家检测机构的耐火性能检测报告和理化性能检测报告并与所选用的防锈漆的相容性进行检测,并得到消防部门认可。有生产厂方的合格证,并应附有涂料名称、技术性能、制造批号、储存期限和使用说明书等质保资料。（此项需提供以上涉及的相应证书）</w:t>
            </w:r>
          </w:p>
        </w:tc>
        <w:tc>
          <w:tcPr>
            <w:tcW w:w="342"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项</w:t>
            </w:r>
          </w:p>
        </w:tc>
        <w:tc>
          <w:tcPr>
            <w:tcW w:w="460"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10</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特殊硅树脂水性防污涂料</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szCs w:val="21"/>
              </w:rPr>
              <w:t>★</w:t>
            </w:r>
            <w:r>
              <w:rPr>
                <w:rFonts w:hint="eastAsia" w:ascii="仿宋" w:hAnsi="仿宋" w:eastAsia="仿宋" w:cs="华文仿宋"/>
                <w:kern w:val="0"/>
                <w:szCs w:val="21"/>
              </w:rPr>
              <w:t>1</w:t>
            </w:r>
            <w:r>
              <w:rPr>
                <w:rFonts w:ascii="仿宋" w:hAnsi="仿宋" w:eastAsia="仿宋" w:cs="华文仿宋"/>
                <w:kern w:val="0"/>
                <w:szCs w:val="21"/>
              </w:rPr>
              <w:t>.</w:t>
            </w:r>
            <w:r>
              <w:rPr>
                <w:rFonts w:hint="eastAsia" w:ascii="仿宋" w:hAnsi="仿宋" w:eastAsia="仿宋" w:cs="华文仿宋"/>
                <w:kern w:val="0"/>
                <w:szCs w:val="21"/>
              </w:rPr>
              <w:t>所有钢结构表面必须涂刷</w:t>
            </w:r>
            <w:r>
              <w:rPr>
                <w:rFonts w:hint="eastAsia" w:ascii="仿宋" w:hAnsi="仿宋" w:eastAsia="仿宋" w:cs="华文仿宋"/>
                <w:kern w:val="0"/>
                <w:szCs w:val="21"/>
                <w:lang w:val="zh-CN"/>
              </w:rPr>
              <w:t>防污涂料</w:t>
            </w:r>
            <w:r>
              <w:rPr>
                <w:rFonts w:hint="eastAsia" w:ascii="仿宋" w:hAnsi="仿宋" w:eastAsia="仿宋" w:cs="华文仿宋"/>
                <w:kern w:val="0"/>
                <w:szCs w:val="21"/>
              </w:rPr>
              <w:t>。</w:t>
            </w:r>
          </w:p>
          <w:p>
            <w:pPr>
              <w:widowControl/>
              <w:snapToGrid w:val="0"/>
              <w:spacing w:after="0" w:line="240" w:lineRule="auto"/>
              <w:jc w:val="left"/>
              <w:outlineLvl w:val="0"/>
              <w:rPr>
                <w:rFonts w:ascii="仿宋" w:hAnsi="仿宋" w:eastAsia="仿宋" w:cs="华文仿宋"/>
                <w:kern w:val="0"/>
                <w:szCs w:val="21"/>
              </w:rPr>
            </w:pPr>
            <w:r>
              <w:rPr>
                <w:rFonts w:ascii="仿宋" w:hAnsi="仿宋" w:eastAsia="仿宋" w:cs="华文仿宋"/>
                <w:kern w:val="0"/>
                <w:szCs w:val="21"/>
              </w:rPr>
              <w:t>2.</w:t>
            </w:r>
            <w:r>
              <w:rPr>
                <w:rFonts w:hint="eastAsia" w:ascii="仿宋" w:hAnsi="仿宋" w:eastAsia="仿宋" w:cs="华文仿宋"/>
                <w:kern w:val="0"/>
                <w:szCs w:val="21"/>
              </w:rPr>
              <w:t>要求：滚涂或喷涂防污透明保护特殊硅树脂涂料，此特殊硅树脂运用低带电和亲水性特性，达到污垢很难附着和污垢容易去除的效果；</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漆类型号：CERAMI W PRIMER（AC_CPWDX）；CERAMI SILICON W 30%GLOSS（AC_CSWGDX）；BEAUTY NANO CLEAR W HARDENER(AC_BNCWHDX)；BEAUTY NANO CLEAR W 30%GLOSS BASE(AC_BNCWGDX)。(考古中心建筑同类型号</w:t>
            </w:r>
            <w:r>
              <w:rPr>
                <w:rFonts w:ascii="仿宋" w:hAnsi="仿宋" w:eastAsia="仿宋" w:cs="华文仿宋"/>
                <w:kern w:val="0"/>
                <w:szCs w:val="21"/>
              </w:rPr>
              <w:t>)</w:t>
            </w:r>
          </w:p>
        </w:tc>
        <w:tc>
          <w:tcPr>
            <w:tcW w:w="342"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项</w:t>
            </w:r>
          </w:p>
        </w:tc>
        <w:tc>
          <w:tcPr>
            <w:tcW w:w="460"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11</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钢网架</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szCs w:val="21"/>
              </w:rPr>
              <w:t>★</w:t>
            </w:r>
            <w:r>
              <w:rPr>
                <w:rFonts w:hint="eastAsia" w:ascii="仿宋" w:hAnsi="仿宋" w:eastAsia="仿宋" w:cs="华文仿宋"/>
                <w:kern w:val="0"/>
                <w:szCs w:val="21"/>
              </w:rPr>
              <w:t>1.成品钢网架，钢材型号：Q235B，成品钢构件材料价格包括：原材料、损耗、加工费、除锈、开平费、镀锌费用（若设计要求）、采购管理费、运费；</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2.底漆：钢结构防锈底漆选用环氧富锌底漆(干膜中元素锌含量≥80%,体积固体含量≥60%)，干膜厚度:室内钢结构底漆80um,室外钢结构底漆100um（油漆单列）；</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szCs w:val="21"/>
              </w:rPr>
              <w:t>★</w:t>
            </w:r>
            <w:r>
              <w:rPr>
                <w:rFonts w:hint="eastAsia" w:ascii="仿宋" w:hAnsi="仿宋" w:eastAsia="仿宋" w:cs="华文仿宋"/>
                <w:kern w:val="0"/>
                <w:szCs w:val="21"/>
              </w:rPr>
              <w:t>3.其他：满足采购人设计及规范要求</w:t>
            </w:r>
          </w:p>
        </w:tc>
        <w:tc>
          <w:tcPr>
            <w:tcW w:w="342"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t</w:t>
            </w:r>
          </w:p>
        </w:tc>
        <w:tc>
          <w:tcPr>
            <w:tcW w:w="460"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42.86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12</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不锈钢水槽</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1.不锈钢水槽 150*200*2mm，成品不锈钢构件材料价格包括：原材料、损耗、加工费、开平费、镀锌费用（若设计要求）、采购管理费、运费；</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szCs w:val="21"/>
              </w:rPr>
              <w:t>★</w:t>
            </w:r>
            <w:r>
              <w:rPr>
                <w:rFonts w:hint="eastAsia" w:ascii="仿宋" w:hAnsi="仿宋" w:eastAsia="仿宋" w:cs="华文仿宋"/>
                <w:kern w:val="0"/>
                <w:szCs w:val="21"/>
              </w:rPr>
              <w:t>2.其他：满足采购人设计及规范要求。</w:t>
            </w:r>
          </w:p>
        </w:tc>
        <w:tc>
          <w:tcPr>
            <w:tcW w:w="342"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t</w:t>
            </w:r>
          </w:p>
        </w:tc>
        <w:tc>
          <w:tcPr>
            <w:tcW w:w="460"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13</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铝合金型材</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szCs w:val="21"/>
              </w:rPr>
              <w:t>★</w:t>
            </w:r>
            <w:r>
              <w:rPr>
                <w:rFonts w:hint="eastAsia" w:ascii="仿宋" w:hAnsi="仿宋" w:eastAsia="仿宋" w:cs="华文仿宋"/>
                <w:kern w:val="0"/>
                <w:szCs w:val="21"/>
              </w:rPr>
              <w:t>1.型钢龙骨。氟碳三遍涂喷涂隔热型材，铝合金型材选用6063-T6、6060-T5，材质及表面处理应满足设计要求。</w:t>
            </w:r>
          </w:p>
        </w:tc>
        <w:tc>
          <w:tcPr>
            <w:tcW w:w="342"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项</w:t>
            </w:r>
          </w:p>
        </w:tc>
        <w:tc>
          <w:tcPr>
            <w:tcW w:w="460"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14</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低反射智能调光安全玻璃</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szCs w:val="21"/>
              </w:rPr>
              <w:t>★1.本项目玻璃基本要求：（1）</w:t>
            </w:r>
            <w:r>
              <w:rPr>
                <w:rFonts w:hint="eastAsia" w:ascii="仿宋" w:hAnsi="仿宋" w:eastAsia="仿宋" w:cs="华文仿宋"/>
                <w:kern w:val="0"/>
                <w:szCs w:val="21"/>
              </w:rPr>
              <w:t>具备抗冲击能力、防紫外线、具有防爆能力、安全防盗的功能；（2）具有通透性好、反光率低，色彩还原真实，夹层玻璃内无明显夹杂物、雾状缺陷、无气泡；（3）玻璃自身不允许存在对文物伤害的风险，不存在自爆的可能；（4）玻璃使用过程不应出现明显黄变、边部脱胶、夹层内气泡。</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2.光学性能：</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（1）夹层玻璃成品实测可见光透射比97%</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（2）实测可见光反射比1%</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（3）实测黄色指数≦0.5</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（4）实测光畸变≦0.4′</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（5）实测显色指数≧99</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（6）实测雾度≦0.3％</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（7）成品实测可阻挡99.5%的紫外光（波长为320～380纳米）</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3.质量标准：</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（1）玻璃尺寸偏差</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边长：允许偏差+0，-1mm</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对角线：对角线长＜2.5m时，对角线公差允许1mm；对角线长≥2.5m时，对角线允许公差2mm</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（2）切边角度</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切边角度允许偏差0.2度，前后残厚允许波动0.5mm</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（3）弯曲度</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弓形时应不超过0.1%，波形时应不超过0.05%</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（4）外观质量</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玻璃气泡：正常自然光下，距玻璃表面600mm处观察10s，直径Φ≤0.5mm时，可见时允许1个/㎡，且间距大于300mm；0.5mm＜直径Φ＜1mm时，边部150mm内允许2个，中部不允许；直径Φ＞1mm时，不允许。</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其它点状缺陷：正常自然光下，距玻璃表面600mm处观察10s，不可见。</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划伤：正常自然光下，距玻璃表面600mm处观察10s，不可见。</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4</w:t>
            </w:r>
            <w:r>
              <w:rPr>
                <w:rFonts w:ascii="仿宋" w:hAnsi="仿宋" w:eastAsia="仿宋" w:cs="华文仿宋"/>
                <w:kern w:val="0"/>
                <w:szCs w:val="21"/>
              </w:rPr>
              <w:t>.</w:t>
            </w:r>
            <w:r>
              <w:rPr>
                <w:rFonts w:hint="eastAsia" w:ascii="仿宋" w:hAnsi="仿宋" w:eastAsia="仿宋" w:cs="华文仿宋"/>
                <w:kern w:val="0"/>
                <w:szCs w:val="21"/>
              </w:rPr>
              <w:t>可以实现将文物安全保护遮棚低反射智能调光安全玻璃组成一定的图形。</w:t>
            </w:r>
          </w:p>
        </w:tc>
        <w:tc>
          <w:tcPr>
            <w:tcW w:w="342"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片</w:t>
            </w:r>
          </w:p>
        </w:tc>
        <w:tc>
          <w:tcPr>
            <w:tcW w:w="460"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15</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文物安全保护遮棚四周3mm收边铝板</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1.骨架材料种类、规格、中距：热浸镀锌型钢龙骨：钢矩管120</w:t>
            </w:r>
            <w:r>
              <w:rPr>
                <w:rFonts w:ascii="仿宋" w:hAnsi="仿宋" w:eastAsia="仿宋" w:cs="华文仿宋"/>
                <w:kern w:val="0"/>
                <w:szCs w:val="21"/>
              </w:rPr>
              <w:t>mm</w:t>
            </w:r>
            <w:r>
              <w:rPr>
                <w:rFonts w:hint="eastAsia" w:ascii="仿宋" w:hAnsi="仿宋" w:eastAsia="仿宋" w:cs="华文仿宋"/>
                <w:kern w:val="0"/>
                <w:szCs w:val="21"/>
              </w:rPr>
              <w:t>x60</w:t>
            </w:r>
            <w:r>
              <w:rPr>
                <w:rFonts w:ascii="仿宋" w:hAnsi="仿宋" w:eastAsia="仿宋" w:cs="华文仿宋"/>
                <w:kern w:val="0"/>
                <w:szCs w:val="21"/>
              </w:rPr>
              <w:t>mm</w:t>
            </w:r>
            <w:r>
              <w:rPr>
                <w:rFonts w:hint="eastAsia" w:ascii="仿宋" w:hAnsi="仿宋" w:eastAsia="仿宋" w:cs="华文仿宋"/>
                <w:kern w:val="0"/>
                <w:szCs w:val="21"/>
              </w:rPr>
              <w:t>x4</w:t>
            </w:r>
            <w:r>
              <w:rPr>
                <w:rFonts w:ascii="仿宋" w:hAnsi="仿宋" w:eastAsia="仿宋" w:cs="华文仿宋"/>
                <w:kern w:val="0"/>
                <w:szCs w:val="21"/>
              </w:rPr>
              <w:t>mm</w:t>
            </w:r>
            <w:r>
              <w:rPr>
                <w:rFonts w:hint="eastAsia" w:ascii="仿宋" w:hAnsi="仿宋" w:eastAsia="仿宋" w:cs="华文仿宋"/>
                <w:kern w:val="0"/>
                <w:szCs w:val="21"/>
              </w:rPr>
              <w:t>、60</w:t>
            </w:r>
            <w:r>
              <w:rPr>
                <w:rFonts w:ascii="仿宋" w:hAnsi="仿宋" w:eastAsia="仿宋" w:cs="华文仿宋"/>
                <w:kern w:val="0"/>
                <w:szCs w:val="21"/>
              </w:rPr>
              <w:t>mm</w:t>
            </w:r>
            <w:r>
              <w:rPr>
                <w:rFonts w:hint="eastAsia" w:ascii="仿宋" w:hAnsi="仿宋" w:eastAsia="仿宋" w:cs="华文仿宋"/>
                <w:kern w:val="0"/>
                <w:szCs w:val="21"/>
              </w:rPr>
              <w:t>x60</w:t>
            </w:r>
            <w:r>
              <w:rPr>
                <w:rFonts w:ascii="仿宋" w:hAnsi="仿宋" w:eastAsia="仿宋" w:cs="华文仿宋"/>
                <w:kern w:val="0"/>
                <w:szCs w:val="21"/>
              </w:rPr>
              <w:t>mm</w:t>
            </w:r>
            <w:r>
              <w:rPr>
                <w:rFonts w:hint="eastAsia" w:ascii="仿宋" w:hAnsi="仿宋" w:eastAsia="仿宋" w:cs="华文仿宋"/>
                <w:kern w:val="0"/>
                <w:szCs w:val="21"/>
              </w:rPr>
              <w:t>x4</w:t>
            </w:r>
            <w:r>
              <w:rPr>
                <w:rFonts w:ascii="仿宋" w:hAnsi="仿宋" w:eastAsia="仿宋" w:cs="华文仿宋"/>
                <w:kern w:val="0"/>
                <w:szCs w:val="21"/>
              </w:rPr>
              <w:t>mm</w:t>
            </w:r>
            <w:r>
              <w:rPr>
                <w:rFonts w:hint="eastAsia" w:ascii="仿宋" w:hAnsi="仿宋" w:eastAsia="仿宋" w:cs="华文仿宋"/>
                <w:kern w:val="0"/>
                <w:szCs w:val="21"/>
              </w:rPr>
              <w:t>、角钢横龙骨∠50X4；</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2.面层材料品种、规格、颜色：3mm铝单板氟碳喷涂，标准分格2000</w:t>
            </w:r>
            <w:r>
              <w:rPr>
                <w:rFonts w:ascii="仿宋" w:hAnsi="仿宋" w:eastAsia="仿宋" w:cs="华文仿宋"/>
                <w:kern w:val="0"/>
                <w:szCs w:val="21"/>
              </w:rPr>
              <w:t>mm</w:t>
            </w:r>
            <w:r>
              <w:rPr>
                <w:rFonts w:hint="eastAsia" w:ascii="仿宋" w:hAnsi="仿宋" w:eastAsia="仿宋" w:cs="华文仿宋"/>
                <w:kern w:val="0"/>
                <w:szCs w:val="21"/>
              </w:rPr>
              <w:t>*1250</w:t>
            </w:r>
            <w:r>
              <w:rPr>
                <w:rFonts w:ascii="仿宋" w:hAnsi="仿宋" w:eastAsia="仿宋" w:cs="华文仿宋"/>
                <w:kern w:val="0"/>
                <w:szCs w:val="21"/>
              </w:rPr>
              <w:t>mm</w:t>
            </w:r>
            <w:r>
              <w:rPr>
                <w:rFonts w:hint="eastAsia" w:ascii="仿宋" w:hAnsi="仿宋" w:eastAsia="仿宋" w:cs="华文仿宋"/>
                <w:kern w:val="0"/>
                <w:szCs w:val="21"/>
              </w:rPr>
              <w:t>；</w:t>
            </w:r>
          </w:p>
        </w:tc>
        <w:tc>
          <w:tcPr>
            <w:tcW w:w="342"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项</w:t>
            </w:r>
          </w:p>
        </w:tc>
        <w:tc>
          <w:tcPr>
            <w:tcW w:w="460"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16</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文物安全保护遮棚智能调光系统</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szCs w:val="21"/>
              </w:rPr>
              <w:t>★</w:t>
            </w:r>
            <w:r>
              <w:rPr>
                <w:rFonts w:hint="eastAsia" w:ascii="仿宋" w:hAnsi="仿宋" w:eastAsia="仿宋" w:cs="华文仿宋"/>
                <w:kern w:val="0"/>
                <w:szCs w:val="21"/>
              </w:rPr>
              <w:t>1. 本项目所采用的低反射智能调光安全玻璃必须可根据文物的不同类型进行低反射智能调光。</w:t>
            </w:r>
          </w:p>
        </w:tc>
        <w:tc>
          <w:tcPr>
            <w:tcW w:w="342"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项</w:t>
            </w:r>
          </w:p>
        </w:tc>
        <w:tc>
          <w:tcPr>
            <w:tcW w:w="460" w:type="pct"/>
            <w:noWrap/>
            <w:vAlign w:val="center"/>
          </w:tcPr>
          <w:p>
            <w:pPr>
              <w:widowControl/>
              <w:snapToGrid w:val="0"/>
              <w:spacing w:after="0" w:line="240" w:lineRule="auto"/>
              <w:jc w:val="center"/>
              <w:outlineLvl w:val="0"/>
              <w:rPr>
                <w:rFonts w:ascii="仿宋" w:hAnsi="仿宋" w:cs="华文仿宋"/>
                <w:kern w:val="0"/>
                <w:szCs w:val="21"/>
              </w:rPr>
            </w:pPr>
            <w:r>
              <w:rPr>
                <w:rFonts w:hint="eastAsia" w:ascii="仿宋" w:hAnsi="仿宋" w:eastAsia="仿宋" w:cs="华文仿宋"/>
                <w:kern w:val="0"/>
                <w:szCs w:val="21"/>
              </w:rPr>
              <w:t>1</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17</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文物安全保护遮棚图形计算控制软件</w:t>
            </w:r>
          </w:p>
        </w:tc>
        <w:tc>
          <w:tcPr>
            <w:tcW w:w="3075" w:type="pct"/>
            <w:vAlign w:val="center"/>
          </w:tcPr>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 xml:space="preserve">1.名称：图形计算控制软件； </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2.可以实现将文物安全保护遮棚低反射智能调光安全玻璃组成任意设定图形；</w:t>
            </w:r>
          </w:p>
          <w:p>
            <w:pPr>
              <w:widowControl/>
              <w:snapToGrid w:val="0"/>
              <w:spacing w:after="0" w:line="240" w:lineRule="auto"/>
              <w:jc w:val="left"/>
              <w:outlineLvl w:val="0"/>
              <w:rPr>
                <w:rFonts w:ascii="仿宋" w:hAnsi="仿宋" w:eastAsia="仿宋" w:cs="华文仿宋"/>
                <w:kern w:val="0"/>
                <w:szCs w:val="21"/>
              </w:rPr>
            </w:pPr>
            <w:r>
              <w:rPr>
                <w:rFonts w:hint="eastAsia" w:ascii="仿宋" w:hAnsi="仿宋" w:eastAsia="仿宋" w:cs="华文仿宋"/>
                <w:kern w:val="0"/>
                <w:szCs w:val="21"/>
              </w:rPr>
              <w:t>3.类别:接口代码程序开发；局部多点定位程序开发；单点或以上触控程序开发；模块化设置开发；框架设定及编写；逻辑编写；控制代码程序编写；自动运行程序编写；模块化程序开发；触摸特效程序开发；UI设计。</w:t>
            </w:r>
          </w:p>
          <w:p>
            <w:pPr>
              <w:snapToGrid w:val="0"/>
              <w:spacing w:after="120" w:line="360" w:lineRule="auto"/>
              <w:rPr>
                <w:rFonts w:ascii="仿宋" w:hAnsi="仿宋" w:eastAsia="仿宋"/>
                <w:kern w:val="0"/>
                <w:szCs w:val="21"/>
              </w:rPr>
            </w:pPr>
            <w:r>
              <w:rPr>
                <w:rFonts w:hint="eastAsia" w:ascii="仿宋" w:hAnsi="仿宋" w:eastAsia="仿宋" w:cs="华文仿宋"/>
                <w:kern w:val="0"/>
                <w:szCs w:val="21"/>
              </w:rPr>
              <w:t>4．自带控制终端一部，移动控制终端2部。</w:t>
            </w:r>
          </w:p>
        </w:tc>
        <w:tc>
          <w:tcPr>
            <w:tcW w:w="342"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项</w:t>
            </w:r>
          </w:p>
        </w:tc>
        <w:tc>
          <w:tcPr>
            <w:tcW w:w="460"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18</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定制巨型环状艺术品吊灯</w:t>
            </w:r>
          </w:p>
        </w:tc>
        <w:tc>
          <w:tcPr>
            <w:tcW w:w="3075" w:type="pct"/>
            <w:vAlign w:val="center"/>
          </w:tcPr>
          <w:p>
            <w:pPr>
              <w:widowControl/>
              <w:snapToGrid w:val="0"/>
              <w:spacing w:after="0" w:line="240" w:lineRule="auto"/>
              <w:jc w:val="left"/>
              <w:rPr>
                <w:rFonts w:ascii="仿宋" w:hAnsi="仿宋" w:eastAsia="仿宋" w:cs="华文仿宋"/>
                <w:kern w:val="0"/>
                <w:szCs w:val="21"/>
              </w:rPr>
            </w:pPr>
            <w:r>
              <w:rPr>
                <w:rFonts w:hint="eastAsia" w:ascii="仿宋" w:hAnsi="仿宋" w:eastAsia="仿宋"/>
                <w:szCs w:val="21"/>
              </w:rPr>
              <w:t>★</w:t>
            </w:r>
            <w:r>
              <w:rPr>
                <w:rFonts w:hint="eastAsia" w:ascii="仿宋" w:hAnsi="仿宋" w:eastAsia="仿宋" w:cs="华文仿宋"/>
                <w:kern w:val="0"/>
                <w:szCs w:val="21"/>
                <w:lang w:val="zh-CN"/>
              </w:rPr>
              <w:t>1. 供应商设计必须按照采购人最终认可的方案执行。</w:t>
            </w:r>
          </w:p>
          <w:p>
            <w:pPr>
              <w:widowControl/>
              <w:snapToGrid w:val="0"/>
              <w:spacing w:after="0" w:line="240" w:lineRule="auto"/>
              <w:jc w:val="left"/>
              <w:rPr>
                <w:rFonts w:ascii="仿宋" w:hAnsi="仿宋" w:eastAsia="仿宋" w:cs="华文仿宋"/>
                <w:kern w:val="0"/>
                <w:szCs w:val="21"/>
              </w:rPr>
            </w:pPr>
            <w:r>
              <w:rPr>
                <w:rFonts w:hint="eastAsia" w:ascii="仿宋" w:hAnsi="仿宋" w:eastAsia="仿宋" w:cs="华文仿宋"/>
                <w:kern w:val="0"/>
                <w:szCs w:val="21"/>
                <w:lang w:val="zh-CN"/>
              </w:rPr>
              <w:t>2</w:t>
            </w:r>
            <w:r>
              <w:rPr>
                <w:rFonts w:ascii="仿宋" w:hAnsi="仿宋" w:eastAsia="仿宋" w:cs="华文仿宋"/>
                <w:kern w:val="0"/>
                <w:szCs w:val="21"/>
                <w:lang w:val="zh-CN"/>
              </w:rPr>
              <w:t>.</w:t>
            </w:r>
            <w:r>
              <w:rPr>
                <w:rFonts w:hint="eastAsia" w:ascii="仿宋" w:hAnsi="仿宋" w:eastAsia="仿宋" w:cs="华文仿宋"/>
                <w:kern w:val="0"/>
                <w:szCs w:val="21"/>
                <w:lang w:val="zh-CN"/>
              </w:rPr>
              <w:t>全体创作团队会同文物博物高级职称创意制作专家团队全国采风，并进行深入历史研究，提炼成都考古元素； 负责相关历史资料实地、图书馆、档案馆、网络搜集、印证、整理；负责考古元素图案设计专题研究；专业美术师创作手绘稿； 专业工艺美术师按手绘稿做小样。</w:t>
            </w:r>
          </w:p>
        </w:tc>
        <w:tc>
          <w:tcPr>
            <w:tcW w:w="342" w:type="pct"/>
            <w:noWrap/>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项</w:t>
            </w:r>
          </w:p>
        </w:tc>
        <w:tc>
          <w:tcPr>
            <w:tcW w:w="460" w:type="pct"/>
            <w:noWrap/>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noWrap/>
            <w:vAlign w:val="center"/>
          </w:tcPr>
          <w:p>
            <w:pPr>
              <w:widowControl/>
              <w:snapToGrid w:val="0"/>
              <w:spacing w:after="0" w:line="240" w:lineRule="auto"/>
              <w:jc w:val="center"/>
              <w:outlineLvl w:val="0"/>
              <w:rPr>
                <w:rFonts w:ascii="仿宋" w:hAnsi="仿宋" w:eastAsia="仿宋" w:cs="华文仿宋"/>
                <w:kern w:val="0"/>
                <w:szCs w:val="21"/>
              </w:rPr>
            </w:pPr>
            <w:r>
              <w:rPr>
                <w:rFonts w:ascii="仿宋" w:hAnsi="仿宋" w:eastAsia="仿宋" w:cs="华文仿宋"/>
                <w:kern w:val="0"/>
                <w:szCs w:val="21"/>
              </w:rPr>
              <w:t>19</w:t>
            </w:r>
          </w:p>
        </w:tc>
        <w:tc>
          <w:tcPr>
            <w:tcW w:w="740" w:type="pct"/>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巨型环状艺术品吊灯智能控制系统</w:t>
            </w:r>
          </w:p>
        </w:tc>
        <w:tc>
          <w:tcPr>
            <w:tcW w:w="3075" w:type="pct"/>
            <w:vAlign w:val="center"/>
          </w:tcPr>
          <w:p>
            <w:pPr>
              <w:widowControl/>
              <w:snapToGrid w:val="0"/>
              <w:spacing w:after="0" w:line="240" w:lineRule="auto"/>
              <w:jc w:val="left"/>
              <w:rPr>
                <w:rFonts w:ascii="仿宋" w:hAnsi="仿宋" w:eastAsia="仿宋" w:cs="华文仿宋"/>
                <w:kern w:val="0"/>
                <w:szCs w:val="21"/>
                <w:lang w:val="zh-CN"/>
              </w:rPr>
            </w:pPr>
            <w:r>
              <w:rPr>
                <w:rFonts w:hint="eastAsia" w:ascii="仿宋" w:hAnsi="仿宋" w:eastAsia="仿宋"/>
                <w:szCs w:val="21"/>
              </w:rPr>
              <w:t>★</w:t>
            </w:r>
            <w:r>
              <w:rPr>
                <w:rFonts w:hint="eastAsia" w:ascii="仿宋" w:hAnsi="仿宋" w:eastAsia="仿宋" w:cs="华文仿宋"/>
                <w:kern w:val="0"/>
                <w:szCs w:val="21"/>
              </w:rPr>
              <w:t>1．</w:t>
            </w:r>
            <w:r>
              <w:rPr>
                <w:rFonts w:hint="eastAsia" w:ascii="仿宋" w:hAnsi="仿宋" w:eastAsia="仿宋" w:cs="华文仿宋"/>
                <w:kern w:val="0"/>
                <w:szCs w:val="21"/>
                <w:lang w:val="zh-CN"/>
              </w:rPr>
              <w:t>巨型环状艺术品吊灯可调整灯光强弱；</w:t>
            </w:r>
          </w:p>
          <w:p>
            <w:pPr>
              <w:widowControl/>
              <w:snapToGrid w:val="0"/>
              <w:spacing w:after="0" w:line="240" w:lineRule="auto"/>
              <w:jc w:val="left"/>
              <w:rPr>
                <w:rFonts w:ascii="仿宋" w:hAnsi="仿宋" w:eastAsia="仿宋" w:cs="华文仿宋"/>
                <w:kern w:val="0"/>
                <w:szCs w:val="21"/>
                <w:lang w:val="zh-CN"/>
              </w:rPr>
            </w:pPr>
            <w:r>
              <w:rPr>
                <w:rFonts w:hint="eastAsia" w:ascii="仿宋" w:hAnsi="仿宋" w:eastAsia="仿宋" w:cs="华文仿宋"/>
                <w:kern w:val="0"/>
                <w:szCs w:val="21"/>
                <w:lang w:val="zh-CN"/>
              </w:rPr>
              <w:t>2</w:t>
            </w:r>
            <w:r>
              <w:rPr>
                <w:rFonts w:ascii="仿宋" w:hAnsi="仿宋" w:eastAsia="仿宋" w:cs="华文仿宋"/>
                <w:kern w:val="0"/>
                <w:szCs w:val="21"/>
                <w:lang w:val="zh-CN"/>
              </w:rPr>
              <w:t>.</w:t>
            </w:r>
            <w:r>
              <w:rPr>
                <w:rFonts w:hint="eastAsia" w:ascii="仿宋" w:hAnsi="仿宋" w:eastAsia="仿宋" w:cs="华文仿宋"/>
                <w:kern w:val="0"/>
                <w:szCs w:val="21"/>
                <w:lang w:val="zh-CN"/>
              </w:rPr>
              <w:t>系统可控制任意回路连续调光或开关；场景控制，可预先设置多个不同场景，在场景切换时淡入、淡出；可接入各种传感器对灯光进行自动控制；移动传感器：对人体红外线检测达到对灯光的控制；光亮照度传感器：对某些场合可根据文物安全保护遮棚外光线的强弱调整室内光线；时间控制：某些场合可以随开闭馆时间调整亮度；平板电脑遥控：可用平板电脑对灯光进行控制；</w:t>
            </w:r>
          </w:p>
          <w:p>
            <w:pPr>
              <w:widowControl/>
              <w:snapToGrid w:val="0"/>
              <w:spacing w:after="0" w:line="240" w:lineRule="auto"/>
              <w:jc w:val="left"/>
              <w:rPr>
                <w:rFonts w:ascii="仿宋" w:hAnsi="仿宋" w:eastAsia="仿宋" w:cs="华文仿宋"/>
                <w:kern w:val="0"/>
                <w:szCs w:val="21"/>
                <w:lang w:val="zh-CN"/>
              </w:rPr>
            </w:pPr>
            <w:r>
              <w:rPr>
                <w:rFonts w:hint="eastAsia" w:ascii="仿宋" w:hAnsi="仿宋" w:eastAsia="仿宋" w:cs="华文仿宋"/>
                <w:kern w:val="0"/>
                <w:szCs w:val="21"/>
                <w:lang w:val="zh-CN"/>
              </w:rPr>
              <w:t>系统联网：接入成都考古中心数据机房，利用上述控制手段进行综合控制或与楼宇智能控制系统联网；可由声、光、热、人及动物的移动检测达到对灯光的控制。</w:t>
            </w:r>
          </w:p>
        </w:tc>
        <w:tc>
          <w:tcPr>
            <w:tcW w:w="342" w:type="pct"/>
            <w:noWrap/>
            <w:vAlign w:val="center"/>
          </w:tcPr>
          <w:p>
            <w:pPr>
              <w:widowControl/>
              <w:snapToGrid w:val="0"/>
              <w:spacing w:after="0" w:line="240" w:lineRule="auto"/>
              <w:jc w:val="center"/>
              <w:outlineLvl w:val="0"/>
              <w:rPr>
                <w:rFonts w:ascii="仿宋" w:hAnsi="仿宋" w:eastAsia="仿宋" w:cs="华文仿宋"/>
                <w:kern w:val="0"/>
                <w:szCs w:val="21"/>
                <w:lang w:val="zh-CN"/>
              </w:rPr>
            </w:pPr>
            <w:r>
              <w:rPr>
                <w:rFonts w:hint="eastAsia" w:ascii="仿宋" w:hAnsi="仿宋" w:eastAsia="仿宋" w:cs="华文仿宋"/>
                <w:kern w:val="0"/>
                <w:szCs w:val="21"/>
                <w:lang w:val="zh-CN"/>
              </w:rPr>
              <w:t>项</w:t>
            </w:r>
          </w:p>
        </w:tc>
        <w:tc>
          <w:tcPr>
            <w:tcW w:w="460" w:type="pct"/>
            <w:noWrap/>
            <w:vAlign w:val="center"/>
          </w:tcPr>
          <w:p>
            <w:pPr>
              <w:widowControl/>
              <w:snapToGrid w:val="0"/>
              <w:spacing w:after="0" w:line="240" w:lineRule="auto"/>
              <w:jc w:val="center"/>
              <w:outlineLvl w:val="0"/>
              <w:rPr>
                <w:rFonts w:ascii="仿宋" w:hAnsi="仿宋" w:eastAsia="仿宋" w:cs="华文仿宋"/>
                <w:kern w:val="0"/>
                <w:szCs w:val="21"/>
              </w:rPr>
            </w:pPr>
            <w:r>
              <w:rPr>
                <w:rFonts w:hint="eastAsia" w:ascii="仿宋" w:hAnsi="仿宋" w:eastAsia="仿宋" w:cs="华文仿宋"/>
                <w:kern w:val="0"/>
                <w:szCs w:val="21"/>
              </w:rPr>
              <w:t>1</w:t>
            </w:r>
          </w:p>
        </w:tc>
      </w:tr>
    </w:tbl>
    <w:p>
      <w:pPr>
        <w:keepNext/>
        <w:keepLines/>
        <w:spacing w:before="260" w:after="260" w:line="400" w:lineRule="exact"/>
        <w:ind w:firstLine="236" w:firstLineChars="98"/>
        <w:outlineLvl w:val="1"/>
        <w:rPr>
          <w:rFonts w:ascii="仿宋" w:hAnsi="仿宋" w:eastAsia="仿宋"/>
          <w:b/>
          <w:bCs/>
          <w:sz w:val="24"/>
        </w:rPr>
      </w:pPr>
      <w:r>
        <w:rPr>
          <w:rFonts w:ascii="仿宋" w:hAnsi="仿宋" w:eastAsia="仿宋"/>
          <w:b/>
          <w:bCs/>
          <w:sz w:val="24"/>
          <w:szCs w:val="32"/>
        </w:rPr>
        <w:drawing>
          <wp:anchor distT="0" distB="0" distL="114300" distR="114300" simplePos="0" relativeHeight="251659264" behindDoc="0" locked="0" layoutInCell="1" allowOverlap="1">
            <wp:simplePos x="0" y="0"/>
            <wp:positionH relativeFrom="column">
              <wp:posOffset>13970</wp:posOffset>
            </wp:positionH>
            <wp:positionV relativeFrom="paragraph">
              <wp:posOffset>772160</wp:posOffset>
            </wp:positionV>
            <wp:extent cx="5262880" cy="3721100"/>
            <wp:effectExtent l="0" t="0" r="0" b="0"/>
            <wp:wrapSquare wrapText="bothSides"/>
            <wp:docPr id="2" name="图片 28" descr="2成都考古中心-文物安全保护遮棚安装图纸（幕墙）(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2成都考古中心-文物安全保护遮棚安装图纸（幕墙）(1)-Mod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2880" cy="3721100"/>
                    </a:xfrm>
                    <a:prstGeom prst="rect">
                      <a:avLst/>
                    </a:prstGeom>
                    <a:noFill/>
                    <a:ln>
                      <a:noFill/>
                    </a:ln>
                  </pic:spPr>
                </pic:pic>
              </a:graphicData>
            </a:graphic>
          </wp:anchor>
        </w:drawing>
      </w:r>
      <w:r>
        <w:rPr>
          <w:rFonts w:hint="eastAsia" w:ascii="仿宋" w:hAnsi="仿宋" w:eastAsia="仿宋"/>
          <w:b/>
          <w:bCs/>
          <w:sz w:val="24"/>
        </w:rPr>
        <w:t>附：成都考古中心-文物安全保护遮棚安装示意图（初稿）</w:t>
      </w:r>
    </w:p>
    <w:p>
      <w:pPr>
        <w:widowControl/>
        <w:spacing w:after="0" w:line="240" w:lineRule="auto"/>
        <w:jc w:val="left"/>
        <w:rPr>
          <w:rFonts w:ascii="仿宋" w:hAnsi="仿宋" w:eastAsia="仿宋"/>
          <w:sz w:val="24"/>
        </w:rPr>
      </w:pPr>
    </w:p>
    <w:p>
      <w:pPr>
        <w:widowControl/>
        <w:spacing w:after="0" w:line="240" w:lineRule="auto"/>
        <w:jc w:val="left"/>
        <w:rPr>
          <w:rFonts w:ascii="仿宋" w:hAnsi="仿宋" w:eastAsia="仿宋"/>
          <w:sz w:val="24"/>
        </w:rPr>
      </w:pPr>
      <w:r>
        <w:rPr>
          <w:rFonts w:ascii="仿宋" w:hAnsi="仿宋" w:eastAsia="仿宋"/>
          <w:sz w:val="24"/>
        </w:rPr>
        <w:drawing>
          <wp:anchor distT="0" distB="0" distL="114300" distR="114300" simplePos="0" relativeHeight="251660288" behindDoc="0" locked="0" layoutInCell="1" allowOverlap="1">
            <wp:simplePos x="0" y="0"/>
            <wp:positionH relativeFrom="margin">
              <wp:align>center</wp:align>
            </wp:positionH>
            <wp:positionV relativeFrom="paragraph">
              <wp:posOffset>4023360</wp:posOffset>
            </wp:positionV>
            <wp:extent cx="5327650" cy="3766820"/>
            <wp:effectExtent l="0" t="0" r="6350" b="5080"/>
            <wp:wrapNone/>
            <wp:docPr id="31" name="图片 29" descr="3成都考古中心-文物安全保护遮棚安装图纸（幕墙）(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3成都考古中心-文物安全保护遮棚安装图纸（幕墙）(1)-Mod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27650" cy="3766820"/>
                    </a:xfrm>
                    <a:prstGeom prst="rect">
                      <a:avLst/>
                    </a:prstGeom>
                    <a:noFill/>
                    <a:ln>
                      <a:noFill/>
                    </a:ln>
                  </pic:spPr>
                </pic:pic>
              </a:graphicData>
            </a:graphic>
          </wp:anchor>
        </w:drawing>
      </w:r>
    </w:p>
    <w:p>
      <w:pPr>
        <w:widowControl/>
        <w:spacing w:after="0" w:line="240" w:lineRule="auto"/>
        <w:jc w:val="left"/>
        <w:rPr>
          <w:rFonts w:ascii="仿宋" w:hAnsi="仿宋" w:eastAsia="仿宋"/>
          <w:sz w:val="24"/>
        </w:rPr>
      </w:pPr>
    </w:p>
    <w:p>
      <w:pPr>
        <w:widowControl/>
        <w:spacing w:after="0" w:line="240" w:lineRule="auto"/>
        <w:jc w:val="left"/>
        <w:rPr>
          <w:rFonts w:ascii="仿宋" w:hAnsi="仿宋" w:eastAsia="仿宋"/>
          <w:sz w:val="24"/>
        </w:rPr>
      </w:pPr>
      <w:r>
        <w:rPr>
          <w:rFonts w:ascii="仿宋" w:hAnsi="仿宋" w:eastAsia="仿宋"/>
          <w:sz w:val="24"/>
        </w:rPr>
        <w:br w:type="page"/>
      </w:r>
    </w:p>
    <w:p>
      <w:pPr>
        <w:spacing w:line="400" w:lineRule="exact"/>
        <w:rPr>
          <w:rFonts w:ascii="仿宋" w:hAnsi="仿宋" w:eastAsia="仿宋"/>
          <w:sz w:val="24"/>
        </w:rPr>
      </w:pPr>
      <w:r>
        <w:drawing>
          <wp:anchor distT="0" distB="0" distL="114300" distR="114300" simplePos="0" relativeHeight="251662336" behindDoc="0" locked="0" layoutInCell="1" allowOverlap="0">
            <wp:simplePos x="0" y="0"/>
            <wp:positionH relativeFrom="margin">
              <wp:align>right</wp:align>
            </wp:positionH>
            <wp:positionV relativeFrom="paragraph">
              <wp:posOffset>4273550</wp:posOffset>
            </wp:positionV>
            <wp:extent cx="5274310" cy="3729355"/>
            <wp:effectExtent l="0" t="0" r="2540" b="4445"/>
            <wp:wrapSquare wrapText="bothSides"/>
            <wp:docPr id="32" name="图片 31" descr="6成都考古中心-文物安全保护遮棚安装图纸（结构）-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6成都考古中心-文物安全保护遮棚安装图纸（结构）-Mod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729355"/>
                    </a:xfrm>
                    <a:prstGeom prst="rect">
                      <a:avLst/>
                    </a:prstGeom>
                    <a:noFill/>
                    <a:ln>
                      <a:noFill/>
                    </a:ln>
                  </pic:spPr>
                </pic:pic>
              </a:graphicData>
            </a:graphic>
          </wp:anchor>
        </w:drawing>
      </w:r>
      <w:r>
        <w:rPr>
          <w:b/>
          <w:sz w:val="24"/>
        </w:rPr>
        <w:drawing>
          <wp:anchor distT="0" distB="0" distL="114300" distR="114300" simplePos="0" relativeHeight="251661312" behindDoc="0" locked="0" layoutInCell="1" allowOverlap="1">
            <wp:simplePos x="0" y="0"/>
            <wp:positionH relativeFrom="margin">
              <wp:align>right</wp:align>
            </wp:positionH>
            <wp:positionV relativeFrom="paragraph">
              <wp:posOffset>82550</wp:posOffset>
            </wp:positionV>
            <wp:extent cx="5274310" cy="3729355"/>
            <wp:effectExtent l="0" t="0" r="2540" b="4445"/>
            <wp:wrapSquare wrapText="bothSides"/>
            <wp:docPr id="33" name="图片 30" descr="5成都考古中心-文物安全保护遮棚安装图纸（结构）-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5成都考古中心-文物安全保护遮棚安装图纸（结构）-Mod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729355"/>
                    </a:xfrm>
                    <a:prstGeom prst="rect">
                      <a:avLst/>
                    </a:prstGeom>
                    <a:noFill/>
                    <a:ln>
                      <a:noFill/>
                    </a:ln>
                  </pic:spPr>
                </pic:pic>
              </a:graphicData>
            </a:graphic>
          </wp:anchor>
        </w:drawing>
      </w:r>
    </w:p>
    <w:p>
      <w:pPr>
        <w:widowControl/>
        <w:spacing w:after="0" w:line="240" w:lineRule="auto"/>
        <w:jc w:val="left"/>
        <w:rPr>
          <w:rFonts w:ascii="仿宋" w:hAnsi="仿宋" w:eastAsia="仿宋"/>
          <w:sz w:val="24"/>
        </w:rPr>
      </w:pPr>
      <w:r>
        <w:rPr>
          <w:rFonts w:ascii="仿宋" w:hAnsi="仿宋" w:eastAsia="仿宋"/>
          <w:sz w:val="24"/>
        </w:rPr>
        <w:br w:type="page"/>
      </w:r>
    </w:p>
    <w:p>
      <w:pPr>
        <w:spacing w:line="400" w:lineRule="exact"/>
        <w:rPr>
          <w:rFonts w:ascii="仿宋" w:hAnsi="仿宋" w:eastAsia="仿宋"/>
          <w:sz w:val="24"/>
        </w:rPr>
      </w:pPr>
      <w:bookmarkStart w:id="205" w:name="_GoBack"/>
      <w: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74310" cy="3726180"/>
            <wp:effectExtent l="0" t="0" r="2540" b="7620"/>
            <wp:wrapSquare wrapText="bothSides"/>
            <wp:docPr id="34" name="图片 32" descr="7成都考古中心-文物安全保护遮棚安装图纸（结构）-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7成都考古中心-文物安全保护遮棚安装图纸（结构）-Mod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726180"/>
                    </a:xfrm>
                    <a:prstGeom prst="rect">
                      <a:avLst/>
                    </a:prstGeom>
                    <a:noFill/>
                    <a:ln>
                      <a:noFill/>
                    </a:ln>
                  </pic:spPr>
                </pic:pic>
              </a:graphicData>
            </a:graphic>
          </wp:anchor>
        </w:drawing>
      </w:r>
      <w:bookmarkEnd w:id="205"/>
    </w:p>
    <w:p>
      <w:pPr>
        <w:widowControl/>
        <w:spacing w:after="0" w:line="240" w:lineRule="auto"/>
        <w:jc w:val="left"/>
        <w:rPr>
          <w:rFonts w:ascii="仿宋" w:hAnsi="仿宋" w:eastAsia="仿宋"/>
          <w:sz w:val="24"/>
        </w:rPr>
      </w:pPr>
      <w:r>
        <w:rPr>
          <w:rFonts w:ascii="仿宋" w:hAnsi="仿宋" w:eastAsia="仿宋"/>
          <w:sz w:val="24"/>
        </w:rPr>
        <w:br w:type="page"/>
      </w:r>
    </w:p>
    <w:p>
      <w:pPr>
        <w:pStyle w:val="2"/>
        <w:spacing w:line="400" w:lineRule="exact"/>
        <w:jc w:val="center"/>
        <w:rPr>
          <w:rFonts w:ascii="仿宋" w:hAnsi="仿宋" w:eastAsia="仿宋"/>
          <w:sz w:val="36"/>
          <w:szCs w:val="36"/>
        </w:rPr>
        <w:sectPr>
          <w:pgSz w:w="11906" w:h="16838"/>
          <w:pgMar w:top="1440" w:right="1800" w:bottom="1440" w:left="1800" w:header="851" w:footer="992" w:gutter="0"/>
          <w:cols w:space="720" w:num="1"/>
          <w:docGrid w:type="lines" w:linePitch="312" w:charSpace="0"/>
        </w:sectPr>
      </w:pPr>
      <w:bookmarkStart w:id="176" w:name="_Toc31810"/>
      <w:bookmarkStart w:id="177" w:name="_Toc24786"/>
    </w:p>
    <w:p>
      <w:pPr>
        <w:pStyle w:val="2"/>
        <w:spacing w:line="400" w:lineRule="exact"/>
        <w:jc w:val="center"/>
        <w:rPr>
          <w:rFonts w:ascii="仿宋" w:hAnsi="仿宋" w:eastAsia="仿宋"/>
          <w:sz w:val="36"/>
          <w:szCs w:val="36"/>
        </w:rPr>
      </w:pPr>
      <w:r>
        <w:rPr>
          <w:rFonts w:hint="eastAsia" w:ascii="仿宋" w:hAnsi="仿宋" w:eastAsia="仿宋"/>
          <w:sz w:val="36"/>
          <w:szCs w:val="36"/>
        </w:rPr>
        <w:t>第七章  评标办法</w:t>
      </w:r>
      <w:bookmarkEnd w:id="176"/>
      <w:bookmarkEnd w:id="177"/>
      <w:bookmarkStart w:id="178" w:name="_Hlt101846155"/>
      <w:bookmarkEnd w:id="178"/>
      <w:bookmarkStart w:id="179" w:name="_Toc208849007"/>
      <w:bookmarkStart w:id="180" w:name="_Toc183582280"/>
      <w:bookmarkStart w:id="181" w:name="_Toc217446097"/>
      <w:bookmarkStart w:id="182" w:name="_Toc183682415"/>
    </w:p>
    <w:p>
      <w:pPr>
        <w:pStyle w:val="3"/>
        <w:rPr>
          <w:rFonts w:ascii="仿宋" w:hAnsi="仿宋" w:eastAsia="仿宋"/>
          <w:sz w:val="24"/>
          <w:szCs w:val="24"/>
        </w:rPr>
      </w:pPr>
      <w:r>
        <w:rPr>
          <w:rFonts w:hint="eastAsia" w:ascii="仿宋" w:hAnsi="仿宋" w:eastAsia="仿宋"/>
          <w:sz w:val="24"/>
          <w:szCs w:val="24"/>
        </w:rPr>
        <w:t>1. 总则</w:t>
      </w:r>
      <w:bookmarkEnd w:id="179"/>
      <w:bookmarkEnd w:id="180"/>
      <w:bookmarkEnd w:id="181"/>
      <w:bookmarkEnd w:id="182"/>
    </w:p>
    <w:p>
      <w:pPr>
        <w:spacing w:line="400" w:lineRule="exact"/>
        <w:ind w:firstLine="480" w:firstLineChars="200"/>
        <w:rPr>
          <w:rFonts w:ascii="仿宋" w:hAnsi="仿宋" w:eastAsia="仿宋"/>
          <w:sz w:val="24"/>
        </w:rPr>
      </w:pPr>
      <w:r>
        <w:rPr>
          <w:rFonts w:hint="eastAsia" w:ascii="仿宋" w:hAnsi="仿宋" w:eastAsia="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hint="eastAsia" w:ascii="仿宋" w:hAnsi="仿宋" w:eastAsia="仿宋"/>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hAnsi="仿宋" w:eastAsia="仿宋"/>
          <w:sz w:val="24"/>
        </w:rPr>
        <w:t>进行审查</w:t>
      </w:r>
      <w:r>
        <w:rPr>
          <w:rFonts w:hint="eastAsia" w:ascii="仿宋" w:hAnsi="仿宋" w:eastAsia="仿宋"/>
          <w:sz w:val="24"/>
        </w:rPr>
        <w:t>，以确定投标供应商是否具备投标资格。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hint="eastAsia" w:ascii="仿宋" w:hAnsi="仿宋" w:eastAsia="仿宋"/>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hint="eastAsia" w:ascii="仿宋" w:hAnsi="仿宋" w:eastAsia="仿宋"/>
          <w:sz w:val="24"/>
        </w:rPr>
        <w:t>1.4 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83"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hint="eastAsia" w:ascii="仿宋" w:hAnsi="仿宋" w:eastAsia="仿宋"/>
          <w:sz w:val="24"/>
        </w:rPr>
        <w:t>1.5 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hint="eastAsia" w:ascii="仿宋" w:hAnsi="仿宋" w:eastAsia="仿宋"/>
          <w:sz w:val="24"/>
        </w:rPr>
        <w:t>1.6 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sz w:val="24"/>
          <w:szCs w:val="24"/>
        </w:rPr>
      </w:pPr>
      <w:r>
        <w:rPr>
          <w:rFonts w:hint="eastAsia" w:ascii="仿宋" w:hAnsi="仿宋" w:eastAsia="仿宋"/>
          <w:sz w:val="24"/>
          <w:szCs w:val="24"/>
        </w:rPr>
        <w:t>2、 评标</w:t>
      </w:r>
      <w:bookmarkEnd w:id="183"/>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84" w:name="_Toc217446103"/>
      <w:bookmarkStart w:id="185" w:name="_Toc217446099"/>
      <w:r>
        <w:rPr>
          <w:rFonts w:hint="eastAsia"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3"/>
        <w:rPr>
          <w:rFonts w:ascii="仿宋" w:hAnsi="仿宋" w:eastAsia="仿宋"/>
          <w:sz w:val="24"/>
          <w:szCs w:val="24"/>
        </w:rPr>
      </w:pPr>
      <w:r>
        <w:rPr>
          <w:rFonts w:hint="eastAsia" w:ascii="仿宋" w:hAnsi="仿宋" w:eastAsia="仿宋"/>
          <w:sz w:val="24"/>
          <w:szCs w:val="24"/>
        </w:rPr>
        <w:t>3、 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sz w:val="24"/>
        </w:rPr>
      </w:pPr>
      <w:r>
        <w:rPr>
          <w:rFonts w:hint="eastAsia" w:ascii="仿宋" w:hAnsi="仿宋" w:eastAsia="仿宋"/>
          <w:sz w:val="24"/>
        </w:rPr>
        <w:t>3.2.2投标文件有下列情形的，本项目不作为实质性要求进行规定，即不作为符合性审查事项，不得作为无效投标处理：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sz w:val="24"/>
        </w:rPr>
      </w:pPr>
      <w:r>
        <w:rPr>
          <w:rFonts w:hint="eastAsia" w:ascii="仿宋" w:hAnsi="仿宋" w:eastAsia="仿宋"/>
          <w:sz w:val="24"/>
        </w:rPr>
        <w:t>（二）除招标文件明确要求加盖单位(法人)公章的以外，其他地方以相关专用章加盖的；</w:t>
      </w:r>
    </w:p>
    <w:p>
      <w:pPr>
        <w:spacing w:line="400" w:lineRule="exact"/>
        <w:ind w:firstLine="480" w:firstLineChars="200"/>
        <w:rPr>
          <w:rFonts w:ascii="仿宋" w:hAnsi="仿宋" w:eastAsia="仿宋"/>
          <w:sz w:val="24"/>
        </w:rPr>
      </w:pPr>
      <w:r>
        <w:rPr>
          <w:rFonts w:hint="eastAsia" w:ascii="仿宋" w:hAnsi="仿宋" w:eastAsia="仿宋"/>
          <w:sz w:val="24"/>
        </w:rPr>
        <w:t>（三）以骑缝章的形式代替投标文件内容逐页盖章的（但是骑缝章模糊不清，印章名称无法辨认的除外）；</w:t>
      </w:r>
    </w:p>
    <w:p>
      <w:pPr>
        <w:spacing w:line="400" w:lineRule="exact"/>
        <w:ind w:firstLine="480" w:firstLineChars="200"/>
        <w:rPr>
          <w:rFonts w:ascii="仿宋" w:hAnsi="仿宋" w:eastAsia="仿宋"/>
          <w:sz w:val="24"/>
        </w:rPr>
      </w:pPr>
      <w:r>
        <w:rPr>
          <w:rFonts w:hint="eastAsia" w:ascii="仿宋" w:hAnsi="仿宋" w:eastAsia="仿宋"/>
          <w:sz w:val="24"/>
        </w:rPr>
        <w:t>（四）其他不影响采购项目实质性要求的情形。</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（一）投标文件正副本数量不足的；</w:t>
      </w:r>
    </w:p>
    <w:p>
      <w:pPr>
        <w:spacing w:line="400" w:lineRule="exact"/>
        <w:ind w:firstLine="480" w:firstLineChars="200"/>
        <w:rPr>
          <w:rFonts w:ascii="仿宋" w:hAnsi="仿宋" w:eastAsia="仿宋"/>
          <w:sz w:val="24"/>
        </w:rPr>
      </w:pPr>
      <w:r>
        <w:rPr>
          <w:rFonts w:hint="eastAsia" w:ascii="仿宋" w:hAnsi="仿宋" w:eastAsia="仿宋"/>
          <w:sz w:val="24"/>
        </w:rPr>
        <w:t>（二）投标文件组成明显不符合招标文件的规定要求，影响评标委员会评判的；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（三）投标文件语言、计量单位、报价货币、知识产权、投标有效期等不符合招标文件的规定，影响评标委员会评判的；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（四）投标报价不符合招标文件规定的采购预算或限价或其他报价规定的；</w:t>
      </w:r>
    </w:p>
    <w:p>
      <w:pPr>
        <w:spacing w:line="400" w:lineRule="exact"/>
        <w:ind w:firstLine="480" w:firstLineChars="200"/>
        <w:rPr>
          <w:rFonts w:ascii="仿宋" w:hAnsi="仿宋" w:eastAsia="仿宋"/>
          <w:sz w:val="24"/>
        </w:rPr>
      </w:pPr>
      <w:r>
        <w:rPr>
          <w:rFonts w:hint="eastAsia" w:ascii="仿宋" w:hAnsi="仿宋" w:eastAsia="仿宋"/>
          <w:sz w:val="24"/>
        </w:rPr>
        <w:t>（五）商务、技术、服务应答内容没有完全响应招标文件的实质性要求的；</w:t>
      </w:r>
    </w:p>
    <w:p>
      <w:pPr>
        <w:spacing w:line="400" w:lineRule="exact"/>
        <w:ind w:firstLine="480" w:firstLineChars="200"/>
        <w:rPr>
          <w:rFonts w:ascii="仿宋" w:hAnsi="仿宋" w:eastAsia="仿宋"/>
          <w:sz w:val="24"/>
        </w:rPr>
      </w:pPr>
      <w:r>
        <w:rPr>
          <w:rFonts w:hint="eastAsia" w:ascii="仿宋" w:hAnsi="仿宋" w:eastAsia="仿宋"/>
          <w:sz w:val="24"/>
        </w:rPr>
        <w:t>（六）未载明或者载明的招标项目履约时间、方式、数量及其他政府采购合同实质性内容与招标文件要求不一致，且招标采购单位无法接受的。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eastAsia="仿宋"/>
          <w:sz w:val="24"/>
        </w:rPr>
      </w:pPr>
      <w:r>
        <w:rPr>
          <w:rFonts w:hint="eastAsia" w:ascii="仿宋" w:hAnsi="仿宋" w:eastAsia="仿宋"/>
          <w:sz w:val="24"/>
        </w:rPr>
        <w:t>（七）投标文件未按招标文件要求签署、盖章的（本章</w:t>
      </w:r>
      <w:r>
        <w:rPr>
          <w:rFonts w:ascii="仿宋" w:hAnsi="仿宋" w:eastAsia="仿宋"/>
          <w:sz w:val="24"/>
        </w:rPr>
        <w:t>3.2.2</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（八）没有完全响应招标文件的其他实质性要求或属于招标文件中投标无效情形的。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hint="eastAsia" w:ascii="仿宋" w:hAnsi="仿宋" w:eastAsia="仿宋"/>
          <w:sz w:val="24"/>
        </w:rPr>
        <w:t>3.8.4 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1"/>
        <w:ind w:firstLine="480" w:firstLineChars="200"/>
        <w:jc w:val="both"/>
        <w:rPr>
          <w:rFonts w:ascii="仿宋" w:hAnsi="仿宋" w:eastAsia="仿宋"/>
        </w:rPr>
      </w:pPr>
      <w:r>
        <w:rPr>
          <w:rFonts w:hint="eastAsia" w:ascii="仿宋" w:hAnsi="仿宋" w:eastAsia="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1"/>
        <w:ind w:firstLine="480" w:firstLineChars="200"/>
        <w:jc w:val="both"/>
        <w:rPr>
          <w:rFonts w:ascii="仿宋" w:hAnsi="仿宋" w:eastAsia="仿宋"/>
        </w:rPr>
      </w:pPr>
      <w:r>
        <w:rPr>
          <w:rFonts w:hint="eastAsia" w:ascii="仿宋" w:hAnsi="仿宋" w:eastAsia="仿宋"/>
        </w:rPr>
        <w:t>3.10招标采购单位现场复核评标结果。</w:t>
      </w:r>
    </w:p>
    <w:p>
      <w:pPr>
        <w:pStyle w:val="41"/>
        <w:ind w:firstLine="480" w:firstLineChars="200"/>
        <w:jc w:val="both"/>
        <w:rPr>
          <w:rFonts w:ascii="仿宋" w:hAnsi="仿宋" w:eastAsia="仿宋"/>
        </w:rPr>
      </w:pPr>
      <w:r>
        <w:rPr>
          <w:rFonts w:hint="eastAsia"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1"/>
        <w:ind w:firstLine="480" w:firstLineChars="200"/>
        <w:jc w:val="both"/>
        <w:rPr>
          <w:rFonts w:ascii="仿宋" w:hAnsi="仿宋" w:eastAsia="仿宋"/>
        </w:rPr>
      </w:pPr>
      <w:r>
        <w:rPr>
          <w:rFonts w:hint="eastAsia" w:ascii="仿宋" w:hAnsi="仿宋" w:eastAsia="仿宋"/>
        </w:rPr>
        <w:t>（一）分值汇总计算错误的；</w:t>
      </w:r>
    </w:p>
    <w:p>
      <w:pPr>
        <w:pStyle w:val="41"/>
        <w:ind w:firstLine="480" w:firstLineChars="200"/>
        <w:jc w:val="both"/>
        <w:rPr>
          <w:rFonts w:ascii="仿宋" w:hAnsi="仿宋" w:eastAsia="仿宋"/>
        </w:rPr>
      </w:pPr>
      <w:r>
        <w:rPr>
          <w:rFonts w:hint="eastAsia" w:ascii="仿宋" w:hAnsi="仿宋" w:eastAsia="仿宋"/>
        </w:rPr>
        <w:t>（二）分项评分超出评分标准范围的；</w:t>
      </w:r>
    </w:p>
    <w:p>
      <w:pPr>
        <w:pStyle w:val="41"/>
        <w:ind w:firstLine="480" w:firstLineChars="200"/>
        <w:jc w:val="both"/>
        <w:rPr>
          <w:rFonts w:ascii="仿宋" w:hAnsi="仿宋" w:eastAsia="仿宋"/>
        </w:rPr>
      </w:pPr>
      <w:r>
        <w:rPr>
          <w:rFonts w:hint="eastAsia" w:ascii="仿宋" w:hAnsi="仿宋" w:eastAsia="仿宋"/>
        </w:rPr>
        <w:t>（三）客观评分不一致的；</w:t>
      </w:r>
    </w:p>
    <w:p>
      <w:pPr>
        <w:pStyle w:val="41"/>
        <w:ind w:firstLine="480" w:firstLineChars="200"/>
        <w:jc w:val="both"/>
        <w:rPr>
          <w:rFonts w:ascii="仿宋" w:hAnsi="仿宋" w:eastAsia="仿宋"/>
        </w:rPr>
      </w:pPr>
      <w:r>
        <w:rPr>
          <w:rFonts w:hint="eastAsia" w:ascii="仿宋" w:hAnsi="仿宋" w:eastAsia="仿宋"/>
        </w:rPr>
        <w:t>（四）经评标委员会认定评分畸高畸低的。</w:t>
      </w:r>
    </w:p>
    <w:p>
      <w:pPr>
        <w:pStyle w:val="41"/>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1"/>
        <w:ind w:firstLine="480" w:firstLineChars="200"/>
        <w:jc w:val="both"/>
        <w:rPr>
          <w:rFonts w:ascii="仿宋" w:hAnsi="仿宋" w:eastAsia="仿宋"/>
        </w:rPr>
      </w:pPr>
      <w:r>
        <w:rPr>
          <w:rFonts w:hint="eastAsia" w:ascii="仿宋" w:hAnsi="仿宋" w:eastAsia="仿宋"/>
        </w:rPr>
        <w:t>3.10.2有下列情形之一的，不得修改评标结果或者重新评审：</w:t>
      </w:r>
    </w:p>
    <w:p>
      <w:pPr>
        <w:pStyle w:val="41"/>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1"/>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1"/>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1"/>
        <w:ind w:firstLine="480" w:firstLineChars="200"/>
        <w:jc w:val="both"/>
        <w:rPr>
          <w:rFonts w:ascii="仿宋" w:hAnsi="仿宋" w:eastAsia="仿宋"/>
        </w:rPr>
      </w:pPr>
      <w:r>
        <w:rPr>
          <w:rFonts w:hint="eastAsia" w:ascii="仿宋" w:hAnsi="仿宋" w:eastAsia="仿宋"/>
        </w:rPr>
        <w:t>（四）招标采购单位未提供书面建议的。</w:t>
      </w:r>
    </w:p>
    <w:p>
      <w:pPr>
        <w:pStyle w:val="3"/>
        <w:rPr>
          <w:rFonts w:ascii="仿宋" w:hAnsi="仿宋" w:eastAsia="仿宋"/>
          <w:sz w:val="24"/>
          <w:szCs w:val="24"/>
        </w:rPr>
      </w:pPr>
      <w:r>
        <w:rPr>
          <w:rFonts w:hint="eastAsia" w:ascii="仿宋" w:hAnsi="仿宋" w:eastAsia="仿宋"/>
          <w:sz w:val="24"/>
          <w:szCs w:val="24"/>
        </w:rPr>
        <w:t>4. 评标细则及标准</w:t>
      </w:r>
      <w:bookmarkEnd w:id="184"/>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1"/>
        <w:ind w:firstLine="480" w:firstLineChars="200"/>
        <w:jc w:val="both"/>
        <w:rPr>
          <w:rFonts w:ascii="仿宋" w:hAnsi="仿宋" w:eastAsia="仿宋"/>
        </w:rPr>
      </w:pPr>
      <w:r>
        <w:rPr>
          <w:rFonts w:hint="eastAsia" w:ascii="仿宋" w:hAnsi="仿宋" w:eastAsia="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4.3.2 综合评分明细表按须知表中的相关要求进行价格调整，再参与价格分评审。</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tbl>
      <w:tblPr>
        <w:tblStyle w:val="23"/>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561"/>
        <w:gridCol w:w="4000"/>
        <w:gridCol w:w="987"/>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序号</w:t>
            </w:r>
          </w:p>
        </w:tc>
        <w:tc>
          <w:tcPr>
            <w:tcW w:w="1119" w:type="dxa"/>
            <w:vAlign w:val="center"/>
          </w:tcPr>
          <w:p>
            <w:pPr>
              <w:spacing w:line="400" w:lineRule="exact"/>
              <w:ind w:firstLine="28"/>
              <w:jc w:val="center"/>
              <w:rPr>
                <w:rFonts w:ascii="仿宋" w:hAnsi="仿宋" w:eastAsia="仿宋"/>
                <w:szCs w:val="21"/>
              </w:rPr>
            </w:pPr>
            <w:r>
              <w:rPr>
                <w:rFonts w:hint="eastAsia" w:ascii="仿宋" w:hAnsi="仿宋" w:eastAsia="仿宋"/>
                <w:szCs w:val="21"/>
              </w:rPr>
              <w:t>评分因素</w:t>
            </w:r>
          </w:p>
          <w:p>
            <w:pPr>
              <w:spacing w:line="400" w:lineRule="exact"/>
              <w:ind w:firstLine="28"/>
              <w:jc w:val="center"/>
              <w:rPr>
                <w:rFonts w:ascii="仿宋" w:hAnsi="仿宋" w:eastAsia="仿宋"/>
                <w:szCs w:val="21"/>
              </w:rPr>
            </w:pPr>
            <w:r>
              <w:rPr>
                <w:rFonts w:hint="eastAsia" w:ascii="仿宋" w:hAnsi="仿宋" w:eastAsia="仿宋"/>
                <w:szCs w:val="21"/>
              </w:rPr>
              <w:t>及权重</w:t>
            </w:r>
          </w:p>
        </w:tc>
        <w:tc>
          <w:tcPr>
            <w:tcW w:w="561" w:type="dxa"/>
            <w:vAlign w:val="center"/>
          </w:tcPr>
          <w:p>
            <w:pPr>
              <w:spacing w:line="400" w:lineRule="exact"/>
              <w:ind w:firstLine="28"/>
              <w:jc w:val="center"/>
              <w:rPr>
                <w:rFonts w:ascii="仿宋" w:hAnsi="仿宋" w:eastAsia="仿宋"/>
                <w:szCs w:val="21"/>
              </w:rPr>
            </w:pPr>
            <w:r>
              <w:rPr>
                <w:rFonts w:hint="eastAsia" w:ascii="仿宋" w:hAnsi="仿宋" w:eastAsia="仿宋"/>
                <w:szCs w:val="21"/>
              </w:rPr>
              <w:t>分　值</w:t>
            </w:r>
          </w:p>
        </w:tc>
        <w:tc>
          <w:tcPr>
            <w:tcW w:w="4000" w:type="dxa"/>
            <w:vAlign w:val="center"/>
          </w:tcPr>
          <w:p>
            <w:pPr>
              <w:spacing w:line="400" w:lineRule="exact"/>
              <w:ind w:firstLine="28"/>
              <w:jc w:val="center"/>
              <w:rPr>
                <w:rFonts w:ascii="仿宋" w:hAnsi="仿宋" w:eastAsia="仿宋"/>
                <w:szCs w:val="21"/>
              </w:rPr>
            </w:pPr>
            <w:r>
              <w:rPr>
                <w:rFonts w:hint="eastAsia" w:ascii="仿宋" w:hAnsi="仿宋" w:eastAsia="仿宋"/>
                <w:szCs w:val="21"/>
              </w:rPr>
              <w:t>评分标准</w:t>
            </w:r>
          </w:p>
        </w:tc>
        <w:tc>
          <w:tcPr>
            <w:tcW w:w="987" w:type="dxa"/>
            <w:vAlign w:val="center"/>
          </w:tcPr>
          <w:p>
            <w:pPr>
              <w:spacing w:line="400" w:lineRule="exact"/>
              <w:jc w:val="center"/>
              <w:rPr>
                <w:rFonts w:ascii="仿宋" w:hAnsi="仿宋" w:eastAsia="仿宋"/>
                <w:szCs w:val="21"/>
              </w:rPr>
            </w:pPr>
            <w:r>
              <w:rPr>
                <w:rFonts w:hint="eastAsia" w:ascii="仿宋" w:hAnsi="仿宋" w:eastAsia="仿宋"/>
                <w:szCs w:val="21"/>
              </w:rPr>
              <w:t>备注</w:t>
            </w:r>
          </w:p>
        </w:tc>
        <w:tc>
          <w:tcPr>
            <w:tcW w:w="1277" w:type="dxa"/>
            <w:vAlign w:val="center"/>
          </w:tcPr>
          <w:p>
            <w:pPr>
              <w:spacing w:line="400" w:lineRule="exact"/>
              <w:jc w:val="center"/>
              <w:rPr>
                <w:rFonts w:ascii="仿宋" w:hAnsi="仿宋" w:eastAsia="仿宋"/>
                <w:szCs w:val="21"/>
              </w:rPr>
            </w:pPr>
            <w:r>
              <w:rPr>
                <w:rFonts w:hint="eastAsia" w:ascii="仿宋" w:hAnsi="仿宋" w:eastAsia="仿宋"/>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1</w:t>
            </w:r>
          </w:p>
        </w:tc>
        <w:tc>
          <w:tcPr>
            <w:tcW w:w="1119" w:type="dxa"/>
            <w:vAlign w:val="center"/>
          </w:tcPr>
          <w:p>
            <w:pPr>
              <w:rPr>
                <w:rFonts w:ascii="仿宋" w:hAnsi="仿宋" w:eastAsia="仿宋"/>
                <w:szCs w:val="21"/>
              </w:rPr>
            </w:pPr>
            <w:r>
              <w:rPr>
                <w:rFonts w:hint="eastAsia" w:ascii="仿宋" w:hAnsi="仿宋" w:eastAsia="仿宋"/>
                <w:szCs w:val="21"/>
              </w:rPr>
              <w:t>报价</w:t>
            </w:r>
            <w:r>
              <w:rPr>
                <w:rFonts w:ascii="仿宋" w:hAnsi="仿宋" w:eastAsia="仿宋"/>
                <w:szCs w:val="21"/>
              </w:rPr>
              <w:t>30</w:t>
            </w:r>
            <w:r>
              <w:rPr>
                <w:rFonts w:hint="eastAsia" w:ascii="仿宋" w:hAnsi="仿宋" w:eastAsia="仿宋"/>
                <w:szCs w:val="21"/>
              </w:rPr>
              <w:t>%</w:t>
            </w:r>
          </w:p>
          <w:p>
            <w:pPr>
              <w:rPr>
                <w:rFonts w:ascii="仿宋" w:hAnsi="仿宋" w:eastAsia="仿宋"/>
                <w:szCs w:val="21"/>
              </w:rPr>
            </w:pPr>
            <w:r>
              <w:rPr>
                <w:rFonts w:hint="eastAsia" w:ascii="仿宋" w:hAnsi="仿宋" w:eastAsia="仿宋"/>
                <w:szCs w:val="21"/>
              </w:rPr>
              <w:t>（主要评分因素）</w:t>
            </w:r>
          </w:p>
        </w:tc>
        <w:tc>
          <w:tcPr>
            <w:tcW w:w="561" w:type="dxa"/>
            <w:vAlign w:val="center"/>
          </w:tcPr>
          <w:p>
            <w:pPr>
              <w:rPr>
                <w:rFonts w:ascii="仿宋" w:hAnsi="仿宋" w:eastAsia="仿宋"/>
                <w:szCs w:val="21"/>
              </w:rPr>
            </w:pPr>
            <w:r>
              <w:rPr>
                <w:rFonts w:ascii="仿宋" w:hAnsi="仿宋" w:eastAsia="仿宋"/>
                <w:szCs w:val="21"/>
              </w:rPr>
              <w:t>30</w:t>
            </w:r>
            <w:r>
              <w:rPr>
                <w:rFonts w:hint="eastAsia" w:ascii="仿宋" w:hAnsi="仿宋" w:eastAsia="仿宋"/>
                <w:szCs w:val="21"/>
              </w:rPr>
              <w:t>分</w:t>
            </w:r>
          </w:p>
        </w:tc>
        <w:tc>
          <w:tcPr>
            <w:tcW w:w="4000" w:type="dxa"/>
            <w:vAlign w:val="center"/>
          </w:tcPr>
          <w:p>
            <w:pPr>
              <w:rPr>
                <w:rFonts w:ascii="仿宋" w:hAnsi="仿宋" w:eastAsia="仿宋"/>
                <w:szCs w:val="21"/>
              </w:rPr>
            </w:pPr>
            <w:r>
              <w:rPr>
                <w:rFonts w:hint="eastAsia" w:ascii="仿宋" w:hAnsi="仿宋" w:eastAsia="仿宋"/>
                <w:szCs w:val="21"/>
              </w:rPr>
              <w:t xml:space="preserve">满足招标文件要求且投标价格最低的报价为基准价，其价格分为满分。其他供应商的价格分统一按照下列公式计算：报价得分=(基准价／报价)* </w:t>
            </w:r>
            <w:r>
              <w:rPr>
                <w:rFonts w:ascii="仿宋" w:hAnsi="仿宋" w:eastAsia="仿宋"/>
                <w:szCs w:val="21"/>
              </w:rPr>
              <w:t>30</w:t>
            </w:r>
            <w:r>
              <w:rPr>
                <w:rFonts w:hint="eastAsia" w:ascii="仿宋" w:hAnsi="仿宋" w:eastAsia="仿宋"/>
                <w:szCs w:val="21"/>
              </w:rPr>
              <w:t>%*100</w:t>
            </w:r>
          </w:p>
        </w:tc>
        <w:tc>
          <w:tcPr>
            <w:tcW w:w="987" w:type="dxa"/>
            <w:vAlign w:val="center"/>
          </w:tcPr>
          <w:p>
            <w:pPr>
              <w:jc w:val="cente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2</w:t>
            </w:r>
          </w:p>
        </w:tc>
        <w:tc>
          <w:tcPr>
            <w:tcW w:w="1119" w:type="dxa"/>
            <w:vAlign w:val="center"/>
          </w:tcPr>
          <w:p>
            <w:pPr>
              <w:rPr>
                <w:rFonts w:ascii="仿宋" w:hAnsi="仿宋" w:eastAsia="仿宋"/>
                <w:szCs w:val="21"/>
              </w:rPr>
            </w:pPr>
            <w:r>
              <w:rPr>
                <w:rFonts w:hint="eastAsia" w:ascii="仿宋" w:hAnsi="仿宋" w:eastAsia="仿宋"/>
                <w:szCs w:val="21"/>
              </w:rPr>
              <w:t>技术、服务要求</w:t>
            </w:r>
            <w:r>
              <w:rPr>
                <w:rFonts w:ascii="仿宋" w:hAnsi="仿宋" w:eastAsia="仿宋"/>
                <w:szCs w:val="21"/>
              </w:rPr>
              <w:t>15</w:t>
            </w:r>
            <w:r>
              <w:rPr>
                <w:rFonts w:hint="eastAsia" w:ascii="仿宋" w:hAnsi="仿宋" w:eastAsia="仿宋"/>
                <w:szCs w:val="21"/>
              </w:rPr>
              <w:t>%（主要评分因素）</w:t>
            </w:r>
          </w:p>
        </w:tc>
        <w:tc>
          <w:tcPr>
            <w:tcW w:w="561" w:type="dxa"/>
            <w:vAlign w:val="center"/>
          </w:tcPr>
          <w:p>
            <w:pPr>
              <w:rPr>
                <w:rFonts w:ascii="仿宋" w:hAnsi="仿宋" w:eastAsia="仿宋"/>
                <w:szCs w:val="21"/>
              </w:rPr>
            </w:pPr>
            <w:r>
              <w:rPr>
                <w:rFonts w:ascii="仿宋" w:hAnsi="仿宋" w:eastAsia="仿宋"/>
                <w:szCs w:val="21"/>
              </w:rPr>
              <w:t>15</w:t>
            </w:r>
          </w:p>
          <w:p>
            <w:pPr>
              <w:rPr>
                <w:rFonts w:ascii="仿宋" w:hAnsi="仿宋" w:eastAsia="仿宋"/>
                <w:szCs w:val="21"/>
              </w:rPr>
            </w:pPr>
            <w:r>
              <w:rPr>
                <w:rFonts w:hint="eastAsia" w:ascii="仿宋" w:hAnsi="仿宋" w:eastAsia="仿宋"/>
                <w:szCs w:val="21"/>
              </w:rPr>
              <w:t>分</w:t>
            </w:r>
          </w:p>
        </w:tc>
        <w:tc>
          <w:tcPr>
            <w:tcW w:w="4000" w:type="dxa"/>
            <w:vAlign w:val="center"/>
          </w:tcPr>
          <w:p>
            <w:pPr>
              <w:rPr>
                <w:rFonts w:ascii="仿宋" w:hAnsi="仿宋" w:eastAsia="仿宋"/>
                <w:szCs w:val="21"/>
              </w:rPr>
            </w:pPr>
            <w:r>
              <w:rPr>
                <w:rFonts w:hint="eastAsia" w:ascii="仿宋" w:hAnsi="仿宋" w:eastAsia="仿宋"/>
                <w:szCs w:val="21"/>
              </w:rPr>
              <w:t>投标人针对招标文件第六章中的一般技术参数条款的响应得分规则如下：（一般技术参数条款指未标注 “★”的条款）</w:t>
            </w:r>
          </w:p>
          <w:p>
            <w:pPr>
              <w:rPr>
                <w:rFonts w:ascii="仿宋" w:hAnsi="仿宋" w:eastAsia="仿宋"/>
                <w:szCs w:val="21"/>
              </w:rPr>
            </w:pPr>
            <w:r>
              <w:rPr>
                <w:rFonts w:hint="eastAsia" w:ascii="仿宋" w:hAnsi="仿宋" w:eastAsia="仿宋"/>
                <w:szCs w:val="21"/>
              </w:rPr>
              <w:t>本项目</w:t>
            </w:r>
            <w:r>
              <w:rPr>
                <w:rFonts w:ascii="仿宋" w:hAnsi="仿宋" w:eastAsia="仿宋"/>
                <w:szCs w:val="21"/>
              </w:rPr>
              <w:t>一般技术参数条款</w:t>
            </w:r>
            <w:r>
              <w:rPr>
                <w:rFonts w:hint="eastAsia" w:ascii="仿宋" w:hAnsi="仿宋" w:eastAsia="仿宋"/>
                <w:szCs w:val="21"/>
              </w:rPr>
              <w:t>共计3</w:t>
            </w:r>
            <w:r>
              <w:rPr>
                <w:rFonts w:ascii="仿宋" w:hAnsi="仿宋" w:eastAsia="仿宋"/>
                <w:szCs w:val="21"/>
              </w:rPr>
              <w:t>0</w:t>
            </w:r>
            <w:r>
              <w:rPr>
                <w:rFonts w:hint="eastAsia" w:ascii="仿宋" w:hAnsi="仿宋" w:eastAsia="仿宋"/>
                <w:szCs w:val="21"/>
              </w:rPr>
              <w:t>项，完全</w:t>
            </w:r>
            <w:r>
              <w:rPr>
                <w:rFonts w:ascii="仿宋" w:hAnsi="仿宋" w:eastAsia="仿宋"/>
                <w:szCs w:val="21"/>
              </w:rPr>
              <w:t>满足得</w:t>
            </w:r>
            <w:r>
              <w:rPr>
                <w:rFonts w:hint="eastAsia" w:ascii="仿宋" w:hAnsi="仿宋" w:eastAsia="仿宋"/>
                <w:szCs w:val="21"/>
              </w:rPr>
              <w:t>15分</w:t>
            </w:r>
            <w:r>
              <w:rPr>
                <w:rFonts w:ascii="仿宋" w:hAnsi="仿宋" w:eastAsia="仿宋"/>
                <w:szCs w:val="21"/>
              </w:rPr>
              <w:t>，每有一项不满足（</w:t>
            </w:r>
            <w:r>
              <w:rPr>
                <w:rFonts w:hint="eastAsia" w:ascii="仿宋" w:hAnsi="仿宋" w:eastAsia="仿宋"/>
                <w:szCs w:val="21"/>
              </w:rPr>
              <w:t>负偏离</w:t>
            </w:r>
            <w:r>
              <w:rPr>
                <w:rFonts w:ascii="仿宋" w:hAnsi="仿宋" w:eastAsia="仿宋"/>
                <w:szCs w:val="21"/>
              </w:rPr>
              <w:t>）</w:t>
            </w:r>
            <w:r>
              <w:rPr>
                <w:rFonts w:hint="eastAsia" w:ascii="仿宋" w:hAnsi="仿宋" w:eastAsia="仿宋"/>
                <w:szCs w:val="21"/>
              </w:rPr>
              <w:t>扣0</w:t>
            </w:r>
            <w:r>
              <w:rPr>
                <w:rFonts w:ascii="仿宋" w:hAnsi="仿宋" w:eastAsia="仿宋"/>
                <w:szCs w:val="21"/>
              </w:rPr>
              <w:t>.5</w:t>
            </w:r>
            <w:r>
              <w:rPr>
                <w:rFonts w:hint="eastAsia" w:ascii="仿宋" w:hAnsi="仿宋" w:eastAsia="仿宋"/>
                <w:szCs w:val="21"/>
              </w:rPr>
              <w:t>分。</w:t>
            </w:r>
          </w:p>
          <w:p>
            <w:pPr>
              <w:rPr>
                <w:rFonts w:ascii="仿宋" w:hAnsi="仿宋" w:eastAsia="仿宋"/>
                <w:szCs w:val="21"/>
              </w:rPr>
            </w:pPr>
            <w:r>
              <w:rPr>
                <w:rFonts w:hint="eastAsia" w:ascii="仿宋" w:hAnsi="仿宋" w:eastAsia="仿宋"/>
                <w:szCs w:val="21"/>
              </w:rPr>
              <w:t>注：</w:t>
            </w:r>
          </w:p>
          <w:p>
            <w:pPr>
              <w:rPr>
                <w:rFonts w:ascii="仿宋" w:hAnsi="仿宋" w:eastAsia="仿宋"/>
                <w:szCs w:val="21"/>
              </w:rPr>
            </w:pPr>
            <w:r>
              <w:rPr>
                <w:rFonts w:hint="eastAsia" w:ascii="仿宋" w:hAnsi="仿宋" w:eastAsia="仿宋"/>
                <w:szCs w:val="21"/>
              </w:rPr>
              <w:t>①针对一般条款的技术响应，如果招标文件第六章“技术、服务要求”中技术参数条款对技术支撑材料有要求，应按要求提供，否则对应技术参数条款将视为不满足。</w:t>
            </w:r>
          </w:p>
          <w:p>
            <w:pPr>
              <w:rPr>
                <w:rFonts w:ascii="仿宋" w:hAnsi="仿宋" w:eastAsia="仿宋"/>
                <w:szCs w:val="21"/>
              </w:rPr>
            </w:pPr>
            <w:r>
              <w:rPr>
                <w:rFonts w:hint="eastAsia" w:ascii="仿宋" w:hAnsi="仿宋" w:eastAsia="仿宋"/>
                <w:szCs w:val="21"/>
              </w:rPr>
              <w:t>②标注“★”的条款为本项目实质性要求，不作为本项评审。</w:t>
            </w:r>
          </w:p>
          <w:p>
            <w:pPr>
              <w:rPr>
                <w:rFonts w:ascii="仿宋" w:hAnsi="仿宋" w:eastAsia="仿宋"/>
                <w:szCs w:val="21"/>
              </w:rPr>
            </w:pPr>
            <w:r>
              <w:rPr>
                <w:rFonts w:hint="eastAsia" w:ascii="仿宋" w:hAnsi="仿宋" w:eastAsia="仿宋"/>
                <w:szCs w:val="21"/>
              </w:rPr>
              <w:t>③以“1</w:t>
            </w:r>
            <w:r>
              <w:rPr>
                <w:rFonts w:hint="eastAsia" w:ascii="仿宋" w:hAnsi="仿宋" w:eastAsia="仿宋" w:cs="华文仿宋"/>
                <w:kern w:val="0"/>
                <w:szCs w:val="21"/>
              </w:rPr>
              <w:t>.</w:t>
            </w:r>
            <w:r>
              <w:rPr>
                <w:rFonts w:hint="eastAsia" w:ascii="仿宋" w:hAnsi="仿宋" w:eastAsia="仿宋"/>
                <w:szCs w:val="21"/>
              </w:rPr>
              <w:t>2</w:t>
            </w:r>
            <w:r>
              <w:rPr>
                <w:rFonts w:hint="eastAsia" w:ascii="仿宋" w:hAnsi="仿宋" w:eastAsia="仿宋" w:cs="华文仿宋"/>
                <w:kern w:val="0"/>
                <w:szCs w:val="21"/>
              </w:rPr>
              <w:t>.</w:t>
            </w:r>
            <w:r>
              <w:rPr>
                <w:rFonts w:hint="eastAsia" w:ascii="仿宋" w:hAnsi="仿宋" w:eastAsia="仿宋"/>
                <w:szCs w:val="21"/>
              </w:rPr>
              <w:t>3</w:t>
            </w:r>
            <w:r>
              <w:rPr>
                <w:rFonts w:ascii="仿宋" w:hAnsi="仿宋" w:eastAsia="仿宋"/>
                <w:szCs w:val="21"/>
              </w:rPr>
              <w:t>……</w:t>
            </w:r>
            <w:r>
              <w:rPr>
                <w:rFonts w:hint="eastAsia" w:ascii="仿宋" w:hAnsi="仿宋" w:eastAsia="仿宋"/>
                <w:szCs w:val="21"/>
              </w:rPr>
              <w:t>”标识为一项。</w:t>
            </w:r>
          </w:p>
        </w:tc>
        <w:tc>
          <w:tcPr>
            <w:tcW w:w="987" w:type="dxa"/>
            <w:vAlign w:val="center"/>
          </w:tcPr>
          <w:p>
            <w:pPr>
              <w:jc w:val="cente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ascii="仿宋" w:hAnsi="仿宋" w:eastAsia="仿宋"/>
                <w:szCs w:val="21"/>
              </w:rPr>
              <w:t>3</w:t>
            </w:r>
          </w:p>
        </w:tc>
        <w:tc>
          <w:tcPr>
            <w:tcW w:w="1119" w:type="dxa"/>
            <w:vAlign w:val="center"/>
          </w:tcPr>
          <w:p>
            <w:pPr>
              <w:rPr>
                <w:rFonts w:ascii="仿宋" w:hAnsi="仿宋" w:eastAsia="仿宋"/>
                <w:szCs w:val="21"/>
              </w:rPr>
            </w:pPr>
            <w:r>
              <w:rPr>
                <w:rFonts w:hint="eastAsia" w:ascii="仿宋" w:hAnsi="仿宋" w:eastAsia="仿宋"/>
                <w:szCs w:val="21"/>
              </w:rPr>
              <w:t>业绩</w:t>
            </w:r>
            <w:r>
              <w:rPr>
                <w:rFonts w:ascii="仿宋" w:hAnsi="仿宋" w:eastAsia="仿宋"/>
                <w:szCs w:val="21"/>
              </w:rPr>
              <w:t>6</w:t>
            </w:r>
            <w:r>
              <w:rPr>
                <w:rFonts w:hint="eastAsia" w:ascii="仿宋" w:hAnsi="仿宋" w:eastAsia="仿宋"/>
                <w:szCs w:val="21"/>
              </w:rPr>
              <w:t>%</w:t>
            </w:r>
          </w:p>
        </w:tc>
        <w:tc>
          <w:tcPr>
            <w:tcW w:w="561" w:type="dxa"/>
            <w:vAlign w:val="center"/>
          </w:tcPr>
          <w:p>
            <w:pPr>
              <w:rPr>
                <w:rFonts w:ascii="仿宋" w:hAnsi="仿宋" w:eastAsia="仿宋"/>
                <w:szCs w:val="21"/>
              </w:rPr>
            </w:pPr>
            <w:r>
              <w:rPr>
                <w:rFonts w:ascii="仿宋" w:hAnsi="仿宋" w:eastAsia="仿宋"/>
                <w:szCs w:val="21"/>
              </w:rPr>
              <w:t>6</w:t>
            </w:r>
            <w:r>
              <w:rPr>
                <w:rFonts w:hint="eastAsia" w:ascii="仿宋" w:hAnsi="仿宋" w:eastAsia="仿宋"/>
                <w:szCs w:val="21"/>
              </w:rPr>
              <w:t>分</w:t>
            </w:r>
          </w:p>
        </w:tc>
        <w:tc>
          <w:tcPr>
            <w:tcW w:w="4000" w:type="dxa"/>
            <w:vAlign w:val="center"/>
          </w:tcPr>
          <w:p>
            <w:pPr>
              <w:rPr>
                <w:rFonts w:ascii="仿宋" w:hAnsi="仿宋" w:eastAsia="仿宋"/>
                <w:szCs w:val="21"/>
              </w:rPr>
            </w:pPr>
            <w:r>
              <w:rPr>
                <w:rFonts w:hint="eastAsia" w:ascii="仿宋" w:hAnsi="仿宋" w:eastAsia="仿宋"/>
                <w:szCs w:val="21"/>
              </w:rPr>
              <w:t>评标委员会根据供应商同类产品销售业绩（</w:t>
            </w:r>
            <w:r>
              <w:rPr>
                <w:rFonts w:ascii="仿宋" w:hAnsi="仿宋" w:eastAsia="仿宋"/>
                <w:szCs w:val="21"/>
              </w:rPr>
              <w:t>2019</w:t>
            </w:r>
            <w:r>
              <w:rPr>
                <w:rFonts w:hint="eastAsia" w:ascii="仿宋" w:hAnsi="仿宋" w:eastAsia="仿宋"/>
                <w:szCs w:val="21"/>
              </w:rPr>
              <w:t>年-至递交投标文件截止日）进行评定，每提供</w:t>
            </w:r>
            <w:r>
              <w:rPr>
                <w:rFonts w:ascii="仿宋" w:hAnsi="仿宋" w:eastAsia="仿宋"/>
                <w:szCs w:val="21"/>
              </w:rPr>
              <w:t>一个业绩得2</w:t>
            </w:r>
            <w:r>
              <w:rPr>
                <w:rFonts w:hint="eastAsia" w:ascii="仿宋" w:hAnsi="仿宋" w:eastAsia="仿宋"/>
                <w:szCs w:val="21"/>
              </w:rPr>
              <w:t>分</w:t>
            </w:r>
            <w:r>
              <w:rPr>
                <w:rFonts w:ascii="仿宋" w:hAnsi="仿宋" w:eastAsia="仿宋"/>
                <w:szCs w:val="21"/>
              </w:rPr>
              <w:t>，最多得6</w:t>
            </w:r>
            <w:r>
              <w:rPr>
                <w:rFonts w:hint="eastAsia" w:ascii="仿宋" w:hAnsi="仿宋" w:eastAsia="仿宋"/>
                <w:szCs w:val="21"/>
              </w:rPr>
              <w:t>分。</w:t>
            </w:r>
          </w:p>
        </w:tc>
        <w:tc>
          <w:tcPr>
            <w:tcW w:w="987" w:type="dxa"/>
            <w:vAlign w:val="center"/>
          </w:tcPr>
          <w:p>
            <w:pPr>
              <w:rPr>
                <w:rFonts w:ascii="仿宋" w:hAnsi="仿宋" w:eastAsia="仿宋"/>
                <w:szCs w:val="21"/>
              </w:rPr>
            </w:pPr>
            <w:r>
              <w:rPr>
                <w:rFonts w:hint="eastAsia" w:ascii="仿宋" w:hAnsi="仿宋" w:eastAsia="仿宋"/>
                <w:szCs w:val="21"/>
              </w:rPr>
              <w:t>提供销售合同或中标（成交）通知书复印件</w:t>
            </w:r>
          </w:p>
        </w:tc>
        <w:tc>
          <w:tcPr>
            <w:tcW w:w="1277" w:type="dxa"/>
            <w:vAlign w:val="center"/>
          </w:tcPr>
          <w:p>
            <w:pP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4</w:t>
            </w:r>
          </w:p>
        </w:tc>
        <w:tc>
          <w:tcPr>
            <w:tcW w:w="1119" w:type="dxa"/>
            <w:vAlign w:val="center"/>
          </w:tcPr>
          <w:p>
            <w:pPr>
              <w:rPr>
                <w:rFonts w:ascii="仿宋" w:hAnsi="仿宋" w:eastAsia="仿宋"/>
                <w:szCs w:val="21"/>
              </w:rPr>
            </w:pPr>
            <w:r>
              <w:rPr>
                <w:rFonts w:hint="eastAsia" w:ascii="仿宋" w:hAnsi="仿宋" w:eastAsia="仿宋"/>
                <w:szCs w:val="21"/>
              </w:rPr>
              <w:t>人员</w:t>
            </w:r>
            <w:r>
              <w:rPr>
                <w:rFonts w:ascii="仿宋" w:hAnsi="仿宋" w:eastAsia="仿宋"/>
                <w:szCs w:val="21"/>
              </w:rPr>
              <w:t>配置31%</w:t>
            </w:r>
          </w:p>
        </w:tc>
        <w:tc>
          <w:tcPr>
            <w:tcW w:w="561" w:type="dxa"/>
            <w:vAlign w:val="center"/>
          </w:tcPr>
          <w:p>
            <w:pPr>
              <w:rPr>
                <w:rFonts w:ascii="仿宋" w:hAnsi="仿宋" w:eastAsia="仿宋"/>
                <w:szCs w:val="21"/>
              </w:rPr>
            </w:pPr>
            <w:r>
              <w:rPr>
                <w:rFonts w:ascii="仿宋" w:hAnsi="仿宋" w:eastAsia="仿宋"/>
                <w:szCs w:val="21"/>
              </w:rPr>
              <w:t>31</w:t>
            </w:r>
            <w:r>
              <w:rPr>
                <w:rFonts w:hint="eastAsia" w:ascii="仿宋" w:hAnsi="仿宋" w:eastAsia="仿宋"/>
                <w:szCs w:val="21"/>
              </w:rPr>
              <w:t>分</w:t>
            </w:r>
          </w:p>
        </w:tc>
        <w:tc>
          <w:tcPr>
            <w:tcW w:w="4000" w:type="dxa"/>
            <w:vAlign w:val="center"/>
          </w:tcPr>
          <w:p>
            <w:pPr>
              <w:rPr>
                <w:rFonts w:ascii="仿宋" w:hAnsi="仿宋" w:eastAsia="仿宋"/>
                <w:szCs w:val="21"/>
              </w:rPr>
            </w:pPr>
            <w:r>
              <w:rPr>
                <w:rFonts w:hint="eastAsia" w:ascii="仿宋" w:hAnsi="仿宋" w:eastAsia="仿宋"/>
                <w:szCs w:val="21"/>
              </w:rPr>
              <w:t>1、投标人拟派本项目设备安装负责人具备一级建造师证书的得10分；具备二级建造师得5分；其余不得分，此项最高得10分。</w:t>
            </w:r>
          </w:p>
          <w:p>
            <w:pPr>
              <w:rPr>
                <w:rFonts w:ascii="仿宋" w:hAnsi="仿宋" w:eastAsia="仿宋"/>
                <w:szCs w:val="21"/>
              </w:rPr>
            </w:pPr>
            <w:r>
              <w:rPr>
                <w:rFonts w:hint="eastAsia" w:ascii="仿宋" w:hAnsi="仿宋" w:eastAsia="仿宋"/>
                <w:szCs w:val="21"/>
              </w:rPr>
              <w:t>注：提供人员就职证明材料及相关佐证材料，并加盖公章。</w:t>
            </w:r>
          </w:p>
          <w:p>
            <w:pPr>
              <w:rPr>
                <w:rFonts w:ascii="仿宋" w:hAnsi="仿宋" w:eastAsia="仿宋"/>
                <w:szCs w:val="21"/>
              </w:rPr>
            </w:pPr>
            <w:r>
              <w:rPr>
                <w:rFonts w:hint="eastAsia" w:ascii="仿宋" w:hAnsi="仿宋" w:eastAsia="仿宋"/>
                <w:szCs w:val="21"/>
              </w:rPr>
              <w:t>2、投标人拟派的项目技术人员同时具有文博相关专业副高级及以上职称及文物保护工程责任设计师证书（从业范围需具备古墓葬、石刻保护）的得10分；同时具有文博相关中级职称及文物保护工程责任设计师证书（从业范围需具备古墓葬、石刻保护）的得5分；其余不得分。</w:t>
            </w:r>
          </w:p>
          <w:p>
            <w:pPr>
              <w:rPr>
                <w:rFonts w:ascii="仿宋" w:hAnsi="仿宋" w:eastAsia="仿宋"/>
                <w:szCs w:val="21"/>
              </w:rPr>
            </w:pPr>
            <w:r>
              <w:rPr>
                <w:rFonts w:hint="eastAsia" w:ascii="仿宋" w:hAnsi="仿宋" w:eastAsia="仿宋"/>
                <w:szCs w:val="21"/>
              </w:rPr>
              <w:t>注：提供人员就职证明材料及相关佐证材料，并加盖公章。</w:t>
            </w:r>
          </w:p>
          <w:p>
            <w:pPr>
              <w:rPr>
                <w:rFonts w:ascii="仿宋" w:hAnsi="仿宋" w:eastAsia="仿宋"/>
                <w:szCs w:val="21"/>
              </w:rPr>
            </w:pPr>
            <w:r>
              <w:rPr>
                <w:rFonts w:hint="eastAsia" w:ascii="仿宋" w:hAnsi="仿宋" w:eastAsia="仿宋"/>
                <w:szCs w:val="21"/>
              </w:rPr>
              <w:t>3、投标人拟派的设施设备设计人员具备国家一级美术师得</w:t>
            </w:r>
            <w:r>
              <w:rPr>
                <w:rFonts w:ascii="仿宋" w:hAnsi="仿宋" w:eastAsia="仿宋"/>
                <w:szCs w:val="21"/>
              </w:rPr>
              <w:t>5</w:t>
            </w:r>
            <w:r>
              <w:rPr>
                <w:rFonts w:hint="eastAsia" w:ascii="仿宋" w:hAnsi="仿宋" w:eastAsia="仿宋"/>
                <w:szCs w:val="21"/>
              </w:rPr>
              <w:t>分；具备国家二级美术师的得3分。</w:t>
            </w:r>
          </w:p>
          <w:p>
            <w:pPr>
              <w:rPr>
                <w:rFonts w:ascii="仿宋" w:hAnsi="仿宋" w:eastAsia="仿宋"/>
                <w:szCs w:val="21"/>
              </w:rPr>
            </w:pPr>
            <w:r>
              <w:rPr>
                <w:rFonts w:hint="eastAsia" w:ascii="仿宋" w:hAnsi="仿宋" w:eastAsia="仿宋"/>
                <w:szCs w:val="21"/>
              </w:rPr>
              <w:t>注：提供人员就职证明材料及相关佐证材料，并加盖公章。</w:t>
            </w:r>
          </w:p>
          <w:p>
            <w:pPr>
              <w:rPr>
                <w:rFonts w:ascii="仿宋" w:hAnsi="仿宋" w:eastAsia="仿宋"/>
                <w:szCs w:val="21"/>
              </w:rPr>
            </w:pPr>
            <w:r>
              <w:rPr>
                <w:rFonts w:hint="eastAsia" w:ascii="仿宋" w:hAnsi="仿宋" w:eastAsia="仿宋"/>
                <w:szCs w:val="21"/>
              </w:rPr>
              <w:t>4、投标人拟派本项目设施设备艺术相关创作制作人员具备国家中国工艺美术大师得6分。</w:t>
            </w:r>
          </w:p>
          <w:p>
            <w:pPr>
              <w:rPr>
                <w:rFonts w:ascii="仿宋" w:hAnsi="仿宋" w:eastAsia="仿宋"/>
                <w:szCs w:val="21"/>
              </w:rPr>
            </w:pPr>
            <w:r>
              <w:rPr>
                <w:rFonts w:hint="eastAsia" w:ascii="仿宋" w:hAnsi="仿宋" w:eastAsia="仿宋"/>
                <w:szCs w:val="21"/>
              </w:rPr>
              <w:t>注：提供证书复印件及就职证明材料，并加盖公章。</w:t>
            </w:r>
          </w:p>
        </w:tc>
        <w:tc>
          <w:tcPr>
            <w:tcW w:w="987" w:type="dxa"/>
            <w:vAlign w:val="center"/>
          </w:tcPr>
          <w:p>
            <w:pP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5</w:t>
            </w:r>
          </w:p>
        </w:tc>
        <w:tc>
          <w:tcPr>
            <w:tcW w:w="1119" w:type="dxa"/>
            <w:vAlign w:val="center"/>
          </w:tcPr>
          <w:p>
            <w:pPr>
              <w:rPr>
                <w:rFonts w:ascii="仿宋" w:hAnsi="仿宋" w:eastAsia="仿宋"/>
                <w:szCs w:val="21"/>
              </w:rPr>
            </w:pPr>
            <w:r>
              <w:rPr>
                <w:rFonts w:hint="eastAsia" w:ascii="仿宋" w:hAnsi="仿宋" w:eastAsia="仿宋"/>
                <w:szCs w:val="21"/>
              </w:rPr>
              <w:t>运输、安装、售后方案</w:t>
            </w:r>
            <w:r>
              <w:rPr>
                <w:rFonts w:ascii="仿宋" w:hAnsi="仿宋" w:eastAsia="仿宋"/>
                <w:szCs w:val="21"/>
              </w:rPr>
              <w:t>16%</w:t>
            </w:r>
          </w:p>
        </w:tc>
        <w:tc>
          <w:tcPr>
            <w:tcW w:w="561" w:type="dxa"/>
            <w:vAlign w:val="center"/>
          </w:tcPr>
          <w:p>
            <w:pPr>
              <w:rPr>
                <w:rFonts w:ascii="仿宋" w:hAnsi="仿宋" w:eastAsia="仿宋"/>
                <w:szCs w:val="21"/>
              </w:rPr>
            </w:pPr>
            <w:r>
              <w:rPr>
                <w:rFonts w:ascii="仿宋" w:hAnsi="仿宋" w:eastAsia="仿宋"/>
                <w:szCs w:val="21"/>
              </w:rPr>
              <w:t>16</w:t>
            </w:r>
            <w:r>
              <w:rPr>
                <w:rFonts w:hint="eastAsia" w:ascii="仿宋" w:hAnsi="仿宋" w:eastAsia="仿宋"/>
                <w:szCs w:val="21"/>
              </w:rPr>
              <w:t>分</w:t>
            </w:r>
          </w:p>
        </w:tc>
        <w:tc>
          <w:tcPr>
            <w:tcW w:w="4000" w:type="dxa"/>
            <w:vAlign w:val="center"/>
          </w:tcPr>
          <w:p>
            <w:pPr>
              <w:rPr>
                <w:rFonts w:ascii="仿宋" w:hAnsi="仿宋" w:eastAsia="仿宋"/>
                <w:szCs w:val="21"/>
              </w:rPr>
            </w:pPr>
            <w:r>
              <w:rPr>
                <w:rFonts w:hint="eastAsia" w:ascii="仿宋" w:hAnsi="仿宋" w:eastAsia="仿宋"/>
                <w:szCs w:val="21"/>
              </w:rPr>
              <w:t>评标委员会根据各投标人的运输、安装、售后方案（具体包括1.各类货物安装技术方案；2</w:t>
            </w:r>
            <w:r>
              <w:rPr>
                <w:rFonts w:ascii="仿宋" w:hAnsi="仿宋" w:eastAsia="仿宋"/>
                <w:szCs w:val="21"/>
              </w:rPr>
              <w:t>.</w:t>
            </w:r>
            <w:r>
              <w:rPr>
                <w:rFonts w:hint="eastAsia" w:ascii="仿宋" w:hAnsi="仿宋" w:eastAsia="仿宋"/>
                <w:szCs w:val="21"/>
              </w:rPr>
              <w:t>货物及安装质量保证措施；3</w:t>
            </w:r>
            <w:r>
              <w:rPr>
                <w:rFonts w:ascii="仿宋" w:hAnsi="仿宋" w:eastAsia="仿宋"/>
                <w:szCs w:val="21"/>
              </w:rPr>
              <w:t>.</w:t>
            </w:r>
            <w:r>
              <w:rPr>
                <w:rFonts w:hint="eastAsia" w:ascii="仿宋" w:hAnsi="仿宋" w:eastAsia="仿宋"/>
                <w:szCs w:val="21"/>
              </w:rPr>
              <w:t>文物安全保证措施；4</w:t>
            </w:r>
            <w:r>
              <w:rPr>
                <w:rFonts w:ascii="仿宋" w:hAnsi="仿宋" w:eastAsia="仿宋"/>
                <w:szCs w:val="21"/>
              </w:rPr>
              <w:t>.</w:t>
            </w:r>
            <w:r>
              <w:rPr>
                <w:rFonts w:hint="eastAsia" w:ascii="仿宋" w:hAnsi="仿宋" w:eastAsia="仿宋"/>
                <w:szCs w:val="21"/>
              </w:rPr>
              <w:t>货物安全防火保证措施及施工安全）进行评审：方案包括以上内容、具有针对性且不存在不适用项目实际情况的情形，不存在凭空编造、逻辑漏洞、科学原理错误以及不可能实现的夸大情形等情况的得</w:t>
            </w:r>
            <w:r>
              <w:rPr>
                <w:rFonts w:ascii="仿宋" w:hAnsi="仿宋" w:eastAsia="仿宋"/>
                <w:szCs w:val="21"/>
              </w:rPr>
              <w:t>12</w:t>
            </w:r>
            <w:r>
              <w:rPr>
                <w:rFonts w:hint="eastAsia" w:ascii="仿宋" w:hAnsi="仿宋" w:eastAsia="仿宋"/>
                <w:szCs w:val="21"/>
              </w:rPr>
              <w:t>分，每有一项不满足或未提供扣</w:t>
            </w:r>
            <w:r>
              <w:rPr>
                <w:rFonts w:ascii="仿宋" w:hAnsi="仿宋" w:eastAsia="仿宋"/>
                <w:szCs w:val="21"/>
              </w:rPr>
              <w:t>3</w:t>
            </w:r>
            <w:r>
              <w:rPr>
                <w:rFonts w:hint="eastAsia" w:ascii="仿宋" w:hAnsi="仿宋" w:eastAsia="仿宋"/>
                <w:szCs w:val="21"/>
              </w:rPr>
              <w:t>分，扣完为止。没有提供的不得分。</w:t>
            </w:r>
          </w:p>
          <w:p>
            <w:pPr>
              <w:rPr>
                <w:rFonts w:ascii="仿宋" w:hAnsi="仿宋" w:eastAsia="仿宋"/>
                <w:szCs w:val="21"/>
              </w:rPr>
            </w:pPr>
            <w:r>
              <w:rPr>
                <w:rFonts w:hint="eastAsia" w:ascii="仿宋" w:hAnsi="仿宋" w:eastAsia="仿宋"/>
                <w:szCs w:val="21"/>
              </w:rPr>
              <w:t>此外，供应商针对本项目还能提供其它契合采购人项目实际需求且被评标委员会认可的其它针对本项目的合理化建议的，一条加</w:t>
            </w:r>
            <w:r>
              <w:rPr>
                <w:rFonts w:ascii="仿宋" w:hAnsi="仿宋" w:eastAsia="仿宋"/>
                <w:szCs w:val="21"/>
              </w:rPr>
              <w:t>1</w:t>
            </w:r>
            <w:r>
              <w:rPr>
                <w:rFonts w:hint="eastAsia" w:ascii="仿宋" w:hAnsi="仿宋" w:eastAsia="仿宋"/>
                <w:szCs w:val="21"/>
              </w:rPr>
              <w:t>分，最多加</w:t>
            </w:r>
            <w:r>
              <w:rPr>
                <w:rFonts w:ascii="仿宋" w:hAnsi="仿宋" w:eastAsia="仿宋"/>
                <w:szCs w:val="21"/>
              </w:rPr>
              <w:t>4</w:t>
            </w:r>
            <w:r>
              <w:rPr>
                <w:rFonts w:hint="eastAsia" w:ascii="仿宋" w:hAnsi="仿宋" w:eastAsia="仿宋"/>
                <w:szCs w:val="21"/>
              </w:rPr>
              <w:t>分。</w:t>
            </w:r>
          </w:p>
        </w:tc>
        <w:tc>
          <w:tcPr>
            <w:tcW w:w="987" w:type="dxa"/>
            <w:vAlign w:val="center"/>
          </w:tcPr>
          <w:p>
            <w:pP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ascii="仿宋" w:hAnsi="仿宋" w:eastAsia="仿宋"/>
                <w:szCs w:val="21"/>
              </w:rPr>
              <w:t>6</w:t>
            </w:r>
          </w:p>
        </w:tc>
        <w:tc>
          <w:tcPr>
            <w:tcW w:w="1119" w:type="dxa"/>
            <w:vAlign w:val="center"/>
          </w:tcPr>
          <w:p>
            <w:pPr>
              <w:rPr>
                <w:rFonts w:ascii="仿宋" w:hAnsi="仿宋" w:eastAsia="仿宋"/>
                <w:szCs w:val="21"/>
              </w:rPr>
            </w:pPr>
            <w:r>
              <w:rPr>
                <w:rFonts w:hint="eastAsia" w:ascii="仿宋" w:hAnsi="仿宋" w:eastAsia="仿宋"/>
                <w:szCs w:val="21"/>
              </w:rPr>
              <w:t>节能、环境标志、无线局域网产品2%</w:t>
            </w:r>
          </w:p>
        </w:tc>
        <w:tc>
          <w:tcPr>
            <w:tcW w:w="561" w:type="dxa"/>
            <w:vAlign w:val="center"/>
          </w:tcPr>
          <w:p>
            <w:pPr>
              <w:rPr>
                <w:rFonts w:ascii="仿宋" w:hAnsi="仿宋" w:eastAsia="仿宋"/>
                <w:szCs w:val="21"/>
              </w:rPr>
            </w:pPr>
            <w:r>
              <w:rPr>
                <w:rFonts w:hint="eastAsia" w:ascii="仿宋" w:hAnsi="仿宋" w:eastAsia="仿宋"/>
                <w:szCs w:val="21"/>
              </w:rPr>
              <w:t>2分</w:t>
            </w:r>
          </w:p>
        </w:tc>
        <w:tc>
          <w:tcPr>
            <w:tcW w:w="4000" w:type="dxa"/>
            <w:vAlign w:val="center"/>
          </w:tcPr>
          <w:p>
            <w:pPr>
              <w:rPr>
                <w:rFonts w:ascii="仿宋" w:hAnsi="仿宋" w:eastAsia="仿宋"/>
                <w:szCs w:val="21"/>
              </w:rPr>
            </w:pPr>
            <w:r>
              <w:rPr>
                <w:rFonts w:hint="eastAsia" w:ascii="仿宋" w:hAnsi="仿宋" w:eastAsia="仿宋"/>
                <w:szCs w:val="21"/>
              </w:rPr>
              <w:t>投标产品中属于政府采购优先采购范围的，则每有一项为节能产品或者环境标志产品或者无线局域网产品的得0.5分，非节能、环境标志产品的、无线局域网产品的不得分。本项最多得2分。</w:t>
            </w:r>
          </w:p>
          <w:p>
            <w:pPr>
              <w:rPr>
                <w:rFonts w:ascii="仿宋" w:hAnsi="仿宋" w:eastAsia="仿宋"/>
                <w:kern w:val="0"/>
                <w:szCs w:val="21"/>
              </w:rPr>
            </w:pPr>
            <w:r>
              <w:rPr>
                <w:rFonts w:hint="eastAsia" w:ascii="仿宋" w:hAnsi="仿宋" w:eastAsia="仿宋"/>
                <w:szCs w:val="21"/>
              </w:rPr>
              <w:t>注：1. 节能产品、环境标志产品优先采购范围</w:t>
            </w:r>
            <w:r>
              <w:rPr>
                <w:rFonts w:hint="eastAsia" w:ascii="仿宋" w:hAnsi="仿宋" w:eastAsia="仿宋"/>
                <w:kern w:val="0"/>
                <w:szCs w:val="21"/>
              </w:rPr>
              <w:t>以品目清单为准</w:t>
            </w:r>
            <w:r>
              <w:rPr>
                <w:rFonts w:ascii="仿宋" w:hAnsi="仿宋" w:eastAsia="仿宋"/>
                <w:kern w:val="0"/>
                <w:szCs w:val="21"/>
              </w:rPr>
              <w:t>。</w:t>
            </w:r>
            <w:r>
              <w:rPr>
                <w:rFonts w:hint="eastAsia" w:ascii="仿宋" w:hAnsi="仿宋" w:eastAsia="仿宋"/>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szCs w:val="21"/>
              </w:rPr>
              <w:t>无线局域网产品优先采购范围</w:t>
            </w:r>
            <w:r>
              <w:rPr>
                <w:rFonts w:hint="eastAsia" w:ascii="仿宋" w:hAnsi="仿宋" w:eastAsia="仿宋"/>
                <w:kern w:val="0"/>
                <w:szCs w:val="21"/>
              </w:rPr>
              <w:t>以中国</w:t>
            </w:r>
            <w:r>
              <w:rPr>
                <w:rFonts w:ascii="仿宋" w:hAnsi="仿宋" w:eastAsia="仿宋"/>
                <w:kern w:val="0"/>
                <w:szCs w:val="21"/>
              </w:rPr>
              <w:t>政府采购网公布的</w:t>
            </w:r>
            <w:r>
              <w:rPr>
                <w:rFonts w:hint="eastAsia" w:ascii="仿宋" w:hAnsi="仿宋" w:eastAsia="仿宋"/>
                <w:kern w:val="0"/>
                <w:szCs w:val="21"/>
              </w:rPr>
              <w:t>《无线局域网认证产品政府采购清单》为准</w:t>
            </w:r>
            <w:r>
              <w:rPr>
                <w:rFonts w:ascii="仿宋" w:hAnsi="仿宋" w:eastAsia="仿宋"/>
                <w:kern w:val="0"/>
                <w:szCs w:val="21"/>
              </w:rPr>
              <w:t>。</w:t>
            </w:r>
          </w:p>
          <w:p>
            <w:pPr>
              <w:rPr>
                <w:rFonts w:ascii="仿宋" w:hAnsi="仿宋" w:eastAsia="仿宋"/>
                <w:kern w:val="0"/>
                <w:szCs w:val="21"/>
              </w:rPr>
            </w:pPr>
            <w:r>
              <w:rPr>
                <w:rFonts w:hint="eastAsia" w:ascii="仿宋" w:hAnsi="仿宋" w:eastAsia="仿宋"/>
                <w:kern w:val="0"/>
                <w:szCs w:val="21"/>
              </w:rPr>
              <w:t>2.</w:t>
            </w:r>
            <w:r>
              <w:rPr>
                <w:rFonts w:hint="eastAsia" w:ascii="仿宋" w:hAnsi="仿宋" w:eastAsia="仿宋"/>
                <w:szCs w:val="21"/>
              </w:rPr>
              <w:t>投标产品属于</w:t>
            </w:r>
            <w:r>
              <w:rPr>
                <w:rFonts w:hint="eastAsia" w:ascii="仿宋" w:hAnsi="仿宋" w:eastAsia="仿宋"/>
                <w:kern w:val="0"/>
                <w:szCs w:val="21"/>
              </w:rPr>
              <w:t>优先</w:t>
            </w:r>
            <w:r>
              <w:rPr>
                <w:rFonts w:ascii="仿宋" w:hAnsi="仿宋" w:eastAsia="仿宋"/>
                <w:kern w:val="0"/>
                <w:szCs w:val="21"/>
              </w:rPr>
              <w:t>采购范围内的</w:t>
            </w:r>
            <w:r>
              <w:rPr>
                <w:rFonts w:hint="eastAsia" w:ascii="仿宋" w:hAnsi="仿宋" w:eastAsia="仿宋"/>
                <w:szCs w:val="21"/>
              </w:rPr>
              <w:t>节能产品或者环境标志产品的</w:t>
            </w:r>
            <w:r>
              <w:rPr>
                <w:rFonts w:ascii="仿宋" w:hAnsi="仿宋" w:eastAsia="仿宋"/>
                <w:szCs w:val="21"/>
              </w:rPr>
              <w:t>，</w:t>
            </w:r>
            <w:r>
              <w:rPr>
                <w:rFonts w:hint="eastAsia" w:ascii="仿宋" w:hAnsi="仿宋" w:eastAsia="仿宋"/>
                <w:kern w:val="0"/>
                <w:szCs w:val="21"/>
              </w:rPr>
              <w:t>提供国家确定的认证机构出具的、处于有效期之内的节能产品、环境标志产品认证证书复印件加盖</w:t>
            </w:r>
            <w:r>
              <w:rPr>
                <w:rFonts w:ascii="仿宋" w:hAnsi="仿宋" w:eastAsia="仿宋"/>
                <w:kern w:val="0"/>
                <w:szCs w:val="21"/>
              </w:rPr>
              <w:t>供应商公章（</w:t>
            </w:r>
            <w:r>
              <w:rPr>
                <w:rFonts w:hint="eastAsia" w:ascii="仿宋" w:hAnsi="仿宋" w:eastAsia="仿宋"/>
                <w:kern w:val="0"/>
                <w:szCs w:val="21"/>
              </w:rPr>
              <w:t>鲜章</w:t>
            </w:r>
            <w:r>
              <w:rPr>
                <w:rFonts w:ascii="仿宋" w:hAnsi="仿宋" w:eastAsia="仿宋"/>
                <w:kern w:val="0"/>
                <w:szCs w:val="21"/>
              </w:rPr>
              <w:t>）</w:t>
            </w:r>
            <w:r>
              <w:rPr>
                <w:rFonts w:hint="eastAsia" w:ascii="仿宋" w:hAnsi="仿宋" w:eastAsia="仿宋"/>
                <w:kern w:val="0"/>
                <w:szCs w:val="21"/>
              </w:rPr>
              <w:t>。</w:t>
            </w:r>
          </w:p>
          <w:p>
            <w:pPr>
              <w:rPr>
                <w:rFonts w:ascii="仿宋" w:hAnsi="仿宋" w:eastAsia="仿宋"/>
                <w:szCs w:val="21"/>
              </w:rPr>
            </w:pPr>
            <w:r>
              <w:rPr>
                <w:rFonts w:ascii="仿宋" w:hAnsi="仿宋" w:eastAsia="仿宋"/>
                <w:kern w:val="0"/>
                <w:szCs w:val="21"/>
              </w:rPr>
              <w:t>3.</w:t>
            </w:r>
            <w:r>
              <w:rPr>
                <w:rFonts w:hint="eastAsia" w:ascii="仿宋" w:hAnsi="仿宋" w:eastAsia="仿宋"/>
                <w:kern w:val="0"/>
                <w:szCs w:val="21"/>
              </w:rPr>
              <w:t>投标产品属于优先</w:t>
            </w:r>
            <w:r>
              <w:rPr>
                <w:rFonts w:ascii="仿宋" w:hAnsi="仿宋" w:eastAsia="仿宋"/>
                <w:kern w:val="0"/>
                <w:szCs w:val="21"/>
              </w:rPr>
              <w:t>采购范围内的</w:t>
            </w:r>
            <w:r>
              <w:rPr>
                <w:rFonts w:hint="eastAsia" w:ascii="仿宋" w:hAnsi="仿宋" w:eastAsia="仿宋"/>
                <w:szCs w:val="21"/>
              </w:rPr>
              <w:t>无线局域网产品的，</w:t>
            </w:r>
            <w:r>
              <w:rPr>
                <w:rFonts w:hint="eastAsia" w:ascii="仿宋" w:hAnsi="仿宋" w:eastAsia="仿宋"/>
                <w:kern w:val="0"/>
                <w:szCs w:val="21"/>
              </w:rPr>
              <w:t>提供政府采购清单对应页并加盖供应商单位公章（鲜章）。</w:t>
            </w:r>
          </w:p>
        </w:tc>
        <w:tc>
          <w:tcPr>
            <w:tcW w:w="987" w:type="dxa"/>
            <w:vAlign w:val="center"/>
          </w:tcPr>
          <w:p>
            <w:pP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政策类评分因素</w:t>
            </w:r>
          </w:p>
        </w:tc>
      </w:tr>
    </w:tbl>
    <w:p>
      <w:pPr>
        <w:ind w:firstLine="360" w:firstLineChars="150"/>
        <w:rPr>
          <w:rFonts w:ascii="仿宋" w:hAnsi="仿宋" w:eastAsia="仿宋"/>
          <w:sz w:val="24"/>
        </w:rPr>
      </w:pPr>
    </w:p>
    <w:p>
      <w:pPr>
        <w:ind w:firstLine="360" w:firstLineChars="150"/>
        <w:rPr>
          <w:rFonts w:ascii="仿宋" w:hAnsi="仿宋" w:eastAsia="仿宋"/>
          <w:sz w:val="24"/>
        </w:rPr>
      </w:pPr>
      <w:r>
        <w:rPr>
          <w:rFonts w:hint="eastAsia" w:ascii="仿宋" w:hAnsi="仿宋" w:eastAsia="仿宋"/>
          <w:sz w:val="24"/>
        </w:rPr>
        <w:t>注： 评分的取值按四舍五入法，保留小数点后两位。</w:t>
      </w:r>
    </w:p>
    <w:p>
      <w:pPr>
        <w:pStyle w:val="8"/>
        <w:ind w:firstLine="420" w:firstLineChars="175"/>
        <w:rPr>
          <w:rFonts w:ascii="仿宋" w:hAnsi="仿宋" w:eastAsia="仿宋"/>
          <w:sz w:val="24"/>
        </w:rPr>
      </w:pPr>
      <w:bookmarkStart w:id="186"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8"/>
        <w:rPr>
          <w:rFonts w:ascii="仿宋" w:hAnsi="仿宋" w:eastAsia="仿宋"/>
          <w:sz w:val="24"/>
        </w:rPr>
      </w:pPr>
      <w:r>
        <w:rPr>
          <w:rFonts w:hint="eastAsia" w:ascii="仿宋" w:hAnsi="仿宋" w:eastAsia="仿宋"/>
          <w:sz w:val="24"/>
        </w:rPr>
        <w:t>评标得分＝（A1＋A2＋……＋An）/N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8"/>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86"/>
    <w:p>
      <w:pPr>
        <w:pStyle w:val="3"/>
        <w:spacing w:line="400" w:lineRule="exact"/>
        <w:ind w:firstLine="472" w:firstLineChars="196"/>
        <w:rPr>
          <w:rFonts w:ascii="仿宋" w:hAnsi="仿宋" w:eastAsia="仿宋"/>
          <w:sz w:val="24"/>
          <w:szCs w:val="24"/>
        </w:rPr>
      </w:pPr>
      <w:bookmarkStart w:id="187" w:name="_Toc217446060"/>
      <w:r>
        <w:rPr>
          <w:rFonts w:hint="eastAsia" w:ascii="仿宋" w:hAnsi="仿宋" w:eastAsia="仿宋"/>
          <w:sz w:val="24"/>
          <w:szCs w:val="24"/>
        </w:rPr>
        <w:t>5、 废 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3"/>
        <w:spacing w:line="400" w:lineRule="exact"/>
        <w:ind w:firstLine="472" w:firstLineChars="196"/>
        <w:rPr>
          <w:rFonts w:ascii="仿宋" w:hAnsi="仿宋" w:eastAsia="仿宋"/>
          <w:sz w:val="24"/>
          <w:szCs w:val="24"/>
        </w:rPr>
      </w:pPr>
      <w:r>
        <w:rPr>
          <w:rFonts w:hint="eastAsia" w:ascii="仿宋" w:hAnsi="仿宋" w:eastAsia="仿宋"/>
          <w:sz w:val="24"/>
          <w:szCs w:val="24"/>
        </w:rPr>
        <w:t>6、定标</w:t>
      </w:r>
      <w:bookmarkEnd w:id="187"/>
      <w:bookmarkStart w:id="188" w:name="_Toc217446061"/>
    </w:p>
    <w:p>
      <w:pPr>
        <w:spacing w:line="400" w:lineRule="exact"/>
        <w:ind w:firstLine="480" w:firstLineChars="200"/>
        <w:rPr>
          <w:rFonts w:ascii="仿宋" w:hAnsi="仿宋" w:eastAsia="仿宋"/>
          <w:sz w:val="24"/>
        </w:rPr>
      </w:pPr>
      <w:r>
        <w:rPr>
          <w:rFonts w:hint="eastAsia" w:ascii="仿宋" w:hAnsi="仿宋" w:eastAsia="仿宋"/>
          <w:sz w:val="24"/>
        </w:rPr>
        <w:t>6.1. 定标原则</w:t>
      </w:r>
      <w:bookmarkEnd w:id="188"/>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89" w:name="_Toc217446062"/>
      <w:r>
        <w:rPr>
          <w:rFonts w:hint="eastAsia" w:ascii="仿宋" w:hAnsi="仿宋" w:eastAsia="仿宋"/>
          <w:sz w:val="24"/>
        </w:rPr>
        <w:t>6.2. 定标程序</w:t>
      </w:r>
      <w:bookmarkEnd w:id="189"/>
    </w:p>
    <w:p>
      <w:pPr>
        <w:spacing w:line="400" w:lineRule="exact"/>
        <w:ind w:firstLine="480" w:firstLineChars="200"/>
        <w:rPr>
          <w:rFonts w:ascii="仿宋" w:hAnsi="仿宋" w:eastAsia="仿宋"/>
          <w:sz w:val="24"/>
        </w:rPr>
      </w:pPr>
      <w:r>
        <w:rPr>
          <w:rFonts w:hint="eastAsia" w:ascii="仿宋" w:hAnsi="仿宋" w:eastAsia="仿宋"/>
          <w:sz w:val="24"/>
        </w:rPr>
        <w:t>6.2.1 评标委员会将评标情况写出书面报告，推荐中标候选供应商。</w:t>
      </w:r>
    </w:p>
    <w:p>
      <w:pPr>
        <w:spacing w:line="400" w:lineRule="exact"/>
        <w:ind w:firstLine="480" w:firstLineChars="200"/>
        <w:rPr>
          <w:rFonts w:ascii="仿宋" w:hAnsi="仿宋" w:eastAsia="仿宋"/>
          <w:sz w:val="24"/>
        </w:rPr>
      </w:pPr>
      <w:r>
        <w:rPr>
          <w:rFonts w:hint="eastAsia" w:ascii="仿宋" w:hAnsi="仿宋" w:eastAsia="仿宋"/>
          <w:sz w:val="24"/>
        </w:rPr>
        <w:t>6.2.2 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hint="eastAsia" w:ascii="仿宋" w:hAnsi="仿宋" w:eastAsia="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hint="eastAsia" w:ascii="仿宋" w:hAnsi="仿宋" w:eastAsia="仿宋"/>
          <w:sz w:val="24"/>
        </w:rPr>
        <w:t>6.2.5 招标采购单位不退回投标人投标文件和其他投标资料。</w:t>
      </w:r>
    </w:p>
    <w:bookmarkEnd w:id="185"/>
    <w:p>
      <w:pPr>
        <w:pStyle w:val="3"/>
        <w:spacing w:line="400" w:lineRule="exact"/>
        <w:ind w:firstLine="482" w:firstLineChars="200"/>
        <w:rPr>
          <w:rFonts w:ascii="仿宋" w:hAnsi="仿宋" w:eastAsia="仿宋"/>
          <w:bCs w:val="0"/>
          <w:sz w:val="24"/>
          <w:szCs w:val="24"/>
        </w:rPr>
      </w:pPr>
      <w:bookmarkStart w:id="190" w:name="_Toc183682432"/>
      <w:bookmarkStart w:id="191" w:name="_Toc217446105"/>
      <w:bookmarkStart w:id="192" w:name="_Toc183582297"/>
      <w:bookmarkStart w:id="193" w:name="_Toc208849022"/>
      <w:r>
        <w:rPr>
          <w:rFonts w:hint="eastAsia" w:ascii="仿宋" w:hAnsi="仿宋" w:eastAsia="仿宋"/>
          <w:bCs w:val="0"/>
          <w:sz w:val="24"/>
          <w:szCs w:val="24"/>
        </w:rPr>
        <w:t xml:space="preserve">7. </w:t>
      </w:r>
      <w:bookmarkEnd w:id="190"/>
      <w:bookmarkEnd w:id="191"/>
      <w:bookmarkEnd w:id="192"/>
      <w:bookmarkEnd w:id="193"/>
      <w:r>
        <w:rPr>
          <w:rFonts w:hint="eastAsia" w:ascii="仿宋" w:hAnsi="仿宋" w:eastAsia="仿宋"/>
          <w:sz w:val="24"/>
          <w:szCs w:val="24"/>
        </w:rPr>
        <w:t>评标专家在</w:t>
      </w:r>
      <w:r>
        <w:rPr>
          <w:rFonts w:hint="eastAsia" w:ascii="仿宋" w:hAnsi="仿宋" w:eastAsia="仿宋"/>
          <w:sz w:val="24"/>
        </w:rPr>
        <w:t>政府采购活动</w:t>
      </w:r>
      <w:r>
        <w:rPr>
          <w:rFonts w:hint="eastAsia" w:ascii="仿宋" w:hAnsi="仿宋" w:eastAsia="仿宋"/>
          <w:sz w:val="24"/>
          <w:szCs w:val="24"/>
        </w:rPr>
        <w:t>中承担以下义务：</w:t>
      </w:r>
    </w:p>
    <w:p>
      <w:pPr>
        <w:spacing w:line="400" w:lineRule="exact"/>
        <w:ind w:firstLine="480" w:firstLineChars="200"/>
        <w:rPr>
          <w:rFonts w:ascii="仿宋" w:hAnsi="仿宋" w:eastAsia="仿宋"/>
          <w:sz w:val="24"/>
        </w:rPr>
      </w:pPr>
      <w:r>
        <w:rPr>
          <w:rFonts w:hint="eastAsia" w:ascii="仿宋" w:hAnsi="仿宋" w:eastAsia="仿宋"/>
          <w:sz w:val="24"/>
        </w:rPr>
        <w:t xml:space="preserve">（一）遵守评审工作纪律； </w:t>
      </w:r>
    </w:p>
    <w:p>
      <w:pPr>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spacing w:line="400" w:lineRule="exact"/>
        <w:ind w:firstLine="480" w:firstLineChars="200"/>
        <w:rPr>
          <w:rFonts w:ascii="仿宋" w:hAnsi="仿宋" w:eastAsia="仿宋"/>
          <w:sz w:val="24"/>
        </w:rPr>
      </w:pPr>
      <w:r>
        <w:rPr>
          <w:rFonts w:hint="eastAsia" w:ascii="仿宋" w:hAnsi="仿宋" w:eastAsia="仿宋"/>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sz w:val="24"/>
        </w:rPr>
      </w:pPr>
      <w:r>
        <w:rPr>
          <w:rFonts w:hint="eastAsia" w:ascii="仿宋" w:hAnsi="仿宋" w:eastAsia="仿宋"/>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sz w:val="24"/>
        </w:rPr>
      </w:pPr>
      <w:r>
        <w:rPr>
          <w:rFonts w:hint="eastAsia" w:ascii="仿宋" w:hAnsi="仿宋" w:eastAsia="仿宋"/>
          <w:sz w:val="24"/>
        </w:rPr>
        <w:t>（六）配合答复处理供应商的询问、质疑和投诉等事项；</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（七）法律、法规和规章规定的其他义务。</w:t>
      </w:r>
    </w:p>
    <w:p>
      <w:pPr>
        <w:pStyle w:val="3"/>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sz w:val="36"/>
          <w:szCs w:val="36"/>
        </w:rPr>
      </w:pPr>
      <w:bookmarkStart w:id="194" w:name="_Toc5845"/>
      <w:bookmarkStart w:id="195" w:name="_Toc23042"/>
      <w:r>
        <w:rPr>
          <w:rFonts w:hint="eastAsia" w:ascii="仿宋" w:hAnsi="仿宋" w:eastAsia="仿宋"/>
          <w:sz w:val="36"/>
          <w:szCs w:val="36"/>
        </w:rPr>
        <w:br w:type="page"/>
      </w:r>
      <w:bookmarkEnd w:id="194"/>
      <w:bookmarkEnd w:id="195"/>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p>
    <w:p>
      <w:pPr>
        <w:spacing w:line="400" w:lineRule="exact"/>
        <w:rPr>
          <w:rFonts w:ascii="仿宋" w:hAnsi="仿宋" w:eastAsia="仿宋"/>
        </w:rPr>
      </w:pPr>
    </w:p>
    <w:p>
      <w:pPr>
        <w:spacing w:line="360" w:lineRule="auto"/>
        <w:ind w:firstLine="480" w:firstLineChars="200"/>
        <w:rPr>
          <w:rFonts w:ascii="仿宋" w:hAnsi="仿宋" w:eastAsia="仿宋"/>
          <w:sz w:val="24"/>
        </w:rPr>
      </w:pPr>
      <w:r>
        <w:rPr>
          <w:rFonts w:hint="eastAsia" w:ascii="仿宋" w:hAnsi="仿宋" w:eastAsia="仿宋"/>
          <w:sz w:val="24"/>
        </w:rPr>
        <w:t>合同编号：</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签订地点：</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签订时间：</w:t>
      </w:r>
      <w:r>
        <w:rPr>
          <w:rFonts w:hint="eastAsia" w:ascii="仿宋" w:hAnsi="仿宋" w:eastAsia="仿宋"/>
          <w:szCs w:val="21"/>
        </w:rPr>
        <w:t>XXXX</w:t>
      </w:r>
      <w:r>
        <w:rPr>
          <w:rFonts w:hint="eastAsia" w:ascii="仿宋" w:hAnsi="仿宋" w:eastAsia="仿宋"/>
          <w:sz w:val="24"/>
        </w:rPr>
        <w:t>年</w:t>
      </w:r>
      <w:r>
        <w:rPr>
          <w:rFonts w:hint="eastAsia" w:ascii="仿宋" w:hAnsi="仿宋" w:eastAsia="仿宋"/>
          <w:szCs w:val="21"/>
        </w:rPr>
        <w:t>XX</w:t>
      </w:r>
      <w:r>
        <w:rPr>
          <w:rFonts w:hint="eastAsia" w:ascii="仿宋" w:hAnsi="仿宋" w:eastAsia="仿宋"/>
          <w:sz w:val="24"/>
        </w:rPr>
        <w:t>月</w:t>
      </w:r>
      <w:r>
        <w:rPr>
          <w:rFonts w:hint="eastAsia" w:ascii="仿宋" w:hAnsi="仿宋" w:eastAsia="仿宋"/>
          <w:szCs w:val="21"/>
        </w:rPr>
        <w:t>XX</w:t>
      </w:r>
      <w:r>
        <w:rPr>
          <w:rFonts w:hint="eastAsia" w:ascii="仿宋" w:hAnsi="仿宋" w:eastAsia="仿宋"/>
          <w:sz w:val="24"/>
        </w:rPr>
        <w:t>日。</w:t>
      </w:r>
    </w:p>
    <w:p>
      <w:pPr>
        <w:spacing w:line="360" w:lineRule="auto"/>
        <w:ind w:firstLine="480" w:firstLineChars="200"/>
        <w:rPr>
          <w:rFonts w:ascii="仿宋" w:hAnsi="仿宋" w:eastAsia="仿宋"/>
          <w:sz w:val="24"/>
        </w:rPr>
      </w:pPr>
      <w:r>
        <w:rPr>
          <w:rFonts w:hint="eastAsia" w:ascii="仿宋" w:hAnsi="仿宋" w:eastAsia="仿宋"/>
          <w:sz w:val="24"/>
        </w:rPr>
        <w:t>采购人（甲方）：</w:t>
      </w:r>
    </w:p>
    <w:p>
      <w:pPr>
        <w:spacing w:line="360" w:lineRule="auto"/>
        <w:ind w:firstLine="480" w:firstLineChars="200"/>
        <w:rPr>
          <w:rFonts w:ascii="仿宋" w:hAnsi="仿宋" w:eastAsia="仿宋"/>
          <w:sz w:val="24"/>
        </w:rPr>
      </w:pPr>
      <w:r>
        <w:rPr>
          <w:rFonts w:hint="eastAsia" w:ascii="仿宋" w:hAnsi="仿宋" w:eastAsia="仿宋"/>
          <w:sz w:val="24"/>
        </w:rPr>
        <w:t>供应商（乙</w:t>
      </w:r>
      <w:r>
        <w:rPr>
          <w:rFonts w:ascii="仿宋" w:hAnsi="仿宋" w:eastAsia="仿宋"/>
          <w:sz w:val="24"/>
        </w:rPr>
        <w:t>方</w:t>
      </w:r>
      <w:r>
        <w:rPr>
          <w:rFonts w:hint="eastAsia" w:ascii="仿宋" w:hAnsi="仿宋" w:eastAsia="仿宋"/>
          <w:sz w:val="24"/>
        </w:rPr>
        <w:t>）</w:t>
      </w:r>
      <w:r>
        <w:rPr>
          <w:rFonts w:ascii="仿宋" w:hAnsi="仿宋" w:eastAsia="仿宋"/>
          <w:sz w:val="24"/>
        </w:rPr>
        <w:t>：</w:t>
      </w:r>
    </w:p>
    <w:p>
      <w:pPr>
        <w:spacing w:line="400" w:lineRule="exact"/>
        <w:rPr>
          <w:rFonts w:ascii="仿宋" w:hAnsi="仿宋" w:eastAsia="仿宋"/>
          <w:sz w:val="24"/>
        </w:rPr>
      </w:pPr>
    </w:p>
    <w:p>
      <w:pPr>
        <w:spacing w:line="400" w:lineRule="exact"/>
        <w:ind w:firstLine="480" w:firstLineChars="200"/>
        <w:rPr>
          <w:rFonts w:ascii="仿宋" w:hAnsi="仿宋" w:eastAsia="仿宋" w:cs="宋体"/>
          <w:sz w:val="24"/>
        </w:rPr>
      </w:pPr>
      <w:r>
        <w:rPr>
          <w:rFonts w:hint="eastAsia" w:ascii="仿宋" w:hAnsi="仿宋" w:eastAsia="仿宋" w:cs="宋体"/>
          <w:sz w:val="24"/>
        </w:rPr>
        <w:t>本合同为中小企业预留合同。</w:t>
      </w:r>
    </w:p>
    <w:p>
      <w:pPr>
        <w:spacing w:line="400" w:lineRule="exact"/>
        <w:ind w:firstLine="480" w:firstLineChars="200"/>
        <w:rPr>
          <w:rFonts w:ascii="仿宋" w:hAnsi="仿宋" w:eastAsia="仿宋" w:cs="宋体"/>
          <w:sz w:val="24"/>
        </w:rPr>
      </w:pPr>
      <w:r>
        <w:rPr>
          <w:rFonts w:hint="eastAsia" w:ascii="仿宋" w:hAnsi="仿宋" w:eastAsia="仿宋" w:cs="宋体"/>
          <w:sz w:val="24"/>
        </w:rPr>
        <w:t>根据《中华人民共和国政府采购法》、《中华人民共和国民法典》及</w:t>
      </w:r>
      <w:r>
        <w:rPr>
          <w:rFonts w:hint="eastAsia" w:ascii="仿宋" w:hAnsi="仿宋" w:eastAsia="仿宋" w:cs="宋体"/>
          <w:sz w:val="24"/>
          <w:szCs w:val="21"/>
        </w:rPr>
        <w:t>XXXX</w:t>
      </w:r>
      <w:r>
        <w:rPr>
          <w:rFonts w:hint="eastAsia" w:ascii="仿宋" w:hAnsi="仿宋" w:eastAsia="仿宋" w:cs="宋体"/>
          <w:sz w:val="24"/>
        </w:rPr>
        <w:t>采购项目（项目编号：</w:t>
      </w:r>
      <w:r>
        <w:rPr>
          <w:rFonts w:hint="eastAsia" w:ascii="仿宋" w:hAnsi="仿宋" w:eastAsia="仿宋" w:cs="宋体"/>
          <w:sz w:val="24"/>
          <w:szCs w:val="21"/>
        </w:rPr>
        <w:t>XX</w:t>
      </w:r>
      <w:r>
        <w:rPr>
          <w:rFonts w:hint="eastAsia" w:ascii="仿宋" w:hAnsi="仿宋" w:eastAsia="仿宋" w:cs="宋体"/>
          <w:sz w:val="24"/>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keepNext/>
        <w:keepLines/>
        <w:spacing w:before="260" w:after="260" w:line="400" w:lineRule="exact"/>
        <w:ind w:firstLine="482" w:firstLineChars="200"/>
        <w:outlineLvl w:val="1"/>
        <w:rPr>
          <w:rFonts w:ascii="仿宋" w:hAnsi="仿宋" w:eastAsia="仿宋"/>
          <w:b/>
          <w:bCs/>
          <w:sz w:val="24"/>
        </w:rPr>
      </w:pPr>
      <w:bookmarkStart w:id="196" w:name="_Toc217446107"/>
      <w:r>
        <w:rPr>
          <w:rFonts w:hint="eastAsia" w:ascii="仿宋" w:hAnsi="仿宋" w:eastAsia="仿宋"/>
          <w:b/>
          <w:bCs/>
          <w:sz w:val="24"/>
        </w:rPr>
        <w:t>一、合同货物</w:t>
      </w:r>
      <w:bookmarkEnd w:id="196"/>
    </w:p>
    <w:tbl>
      <w:tblPr>
        <w:tblStyle w:val="23"/>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sz w:val="24"/>
              </w:rPr>
            </w:pPr>
            <w:r>
              <w:rPr>
                <w:rFonts w:hint="eastAsia" w:ascii="仿宋" w:hAnsi="仿宋" w:eastAsia="仿宋" w:cs="Arial"/>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规格</w:t>
            </w:r>
          </w:p>
          <w:p>
            <w:pPr>
              <w:spacing w:line="400" w:lineRule="exact"/>
              <w:jc w:val="center"/>
              <w:rPr>
                <w:rFonts w:ascii="仿宋" w:hAnsi="仿宋" w:eastAsia="仿宋"/>
                <w:sz w:val="24"/>
              </w:rPr>
            </w:pPr>
            <w:r>
              <w:rPr>
                <w:rFonts w:hint="eastAsia" w:ascii="仿宋" w:hAnsi="仿宋" w:eastAsia="仿宋" w:cs="Arial"/>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rPr>
            </w:pPr>
            <w:r>
              <w:rPr>
                <w:rFonts w:hint="eastAsia" w:ascii="仿宋" w:hAnsi="仿宋" w:eastAsia="仿宋" w:cs="Arial"/>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sz w:val="24"/>
              </w:rPr>
            </w:pPr>
            <w:r>
              <w:rPr>
                <w:rFonts w:hint="eastAsia" w:ascii="仿宋" w:hAnsi="仿宋" w:eastAsia="仿宋" w:cs="Arial"/>
                <w:sz w:val="24"/>
              </w:rPr>
              <w:t>单价</w:t>
            </w:r>
          </w:p>
          <w:p>
            <w:pPr>
              <w:spacing w:line="400" w:lineRule="exact"/>
              <w:jc w:val="center"/>
              <w:rPr>
                <w:rFonts w:ascii="仿宋" w:hAnsi="仿宋" w:eastAsia="仿宋" w:cs="Arial"/>
                <w:sz w:val="24"/>
              </w:rPr>
            </w:pPr>
            <w:r>
              <w:rPr>
                <w:rFonts w:hint="eastAsia" w:ascii="仿宋" w:hAnsi="仿宋" w:eastAsia="仿宋" w:cs="Arial"/>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sz w:val="24"/>
              </w:rPr>
            </w:pPr>
            <w:r>
              <w:rPr>
                <w:rFonts w:hint="eastAsia" w:ascii="仿宋" w:hAnsi="仿宋" w:eastAsia="仿宋" w:cs="Arial"/>
                <w:sz w:val="24"/>
              </w:rPr>
              <w:t>总价</w:t>
            </w:r>
          </w:p>
          <w:p>
            <w:pPr>
              <w:spacing w:line="400" w:lineRule="exact"/>
              <w:rPr>
                <w:rFonts w:ascii="仿宋" w:hAnsi="仿宋" w:eastAsia="仿宋"/>
                <w:sz w:val="24"/>
              </w:rPr>
            </w:pPr>
            <w:r>
              <w:rPr>
                <w:rFonts w:hint="eastAsia" w:ascii="仿宋" w:hAnsi="仿宋" w:eastAsia="仿宋" w:cs="Arial"/>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随机</w:t>
            </w:r>
          </w:p>
          <w:p>
            <w:pPr>
              <w:spacing w:line="400" w:lineRule="exact"/>
              <w:jc w:val="center"/>
              <w:rPr>
                <w:rFonts w:ascii="仿宋" w:hAnsi="仿宋" w:eastAsia="仿宋"/>
                <w:sz w:val="24"/>
              </w:rPr>
            </w:pPr>
            <w:r>
              <w:rPr>
                <w:rFonts w:hint="eastAsia" w:ascii="仿宋" w:hAnsi="仿宋" w:eastAsia="仿宋" w:cs="Arial"/>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bl>
    <w:p>
      <w:pPr>
        <w:keepNext/>
        <w:keepLines/>
        <w:spacing w:before="260" w:after="260" w:line="400" w:lineRule="exact"/>
        <w:ind w:firstLine="482" w:firstLineChars="200"/>
        <w:outlineLvl w:val="1"/>
        <w:rPr>
          <w:rFonts w:ascii="仿宋" w:hAnsi="仿宋" w:eastAsia="仿宋"/>
          <w:b/>
          <w:bCs/>
          <w:sz w:val="24"/>
        </w:rPr>
      </w:pPr>
      <w:bookmarkStart w:id="197" w:name="_Toc217446108"/>
      <w:r>
        <w:rPr>
          <w:rFonts w:hint="eastAsia" w:ascii="仿宋" w:hAnsi="仿宋" w:eastAsia="仿宋"/>
          <w:b/>
          <w:bCs/>
          <w:sz w:val="24"/>
        </w:rPr>
        <w:t>二、合同总价</w:t>
      </w:r>
      <w:bookmarkEnd w:id="197"/>
    </w:p>
    <w:p>
      <w:pPr>
        <w:spacing w:line="400" w:lineRule="exact"/>
        <w:ind w:firstLine="420" w:firstLineChars="175"/>
        <w:rPr>
          <w:rFonts w:ascii="仿宋" w:hAnsi="仿宋" w:eastAsia="仿宋"/>
          <w:sz w:val="24"/>
        </w:rPr>
      </w:pPr>
      <w:r>
        <w:rPr>
          <w:rFonts w:hint="eastAsia" w:ascii="仿宋" w:hAnsi="仿宋" w:eastAsia="仿宋"/>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keepNext/>
        <w:keepLines/>
        <w:spacing w:before="260" w:after="260" w:line="400" w:lineRule="exact"/>
        <w:ind w:firstLine="482" w:firstLineChars="200"/>
        <w:outlineLvl w:val="1"/>
        <w:rPr>
          <w:rFonts w:ascii="仿宋" w:hAnsi="仿宋" w:eastAsia="仿宋"/>
          <w:b/>
          <w:bCs/>
          <w:sz w:val="24"/>
        </w:rPr>
      </w:pPr>
      <w:bookmarkStart w:id="198" w:name="_Toc217446109"/>
      <w:r>
        <w:rPr>
          <w:rFonts w:hint="eastAsia" w:ascii="仿宋" w:hAnsi="仿宋" w:eastAsia="仿宋"/>
          <w:b/>
          <w:bCs/>
          <w:sz w:val="24"/>
        </w:rPr>
        <w:t>三、质量要求</w:t>
      </w:r>
      <w:bookmarkEnd w:id="198"/>
    </w:p>
    <w:p>
      <w:pPr>
        <w:spacing w:line="400" w:lineRule="exact"/>
        <w:ind w:firstLine="480" w:firstLineChars="200"/>
        <w:rPr>
          <w:rFonts w:ascii="仿宋" w:hAnsi="仿宋" w:eastAsia="仿宋" w:cs="宋体"/>
          <w:sz w:val="24"/>
        </w:rPr>
      </w:pPr>
      <w:r>
        <w:rPr>
          <w:rFonts w:hint="eastAsia" w:ascii="仿宋" w:hAnsi="仿宋" w:eastAsia="仿宋" w:cs="宋体"/>
          <w:sz w:val="24"/>
        </w:rPr>
        <w:t>1、乙方须提供全新的货物（含零部件、配件等），表面无划伤、无碰撞痕迹，且权属清楚，不得侵害他人的知识产权。</w:t>
      </w:r>
    </w:p>
    <w:p>
      <w:pPr>
        <w:spacing w:line="400" w:lineRule="exact"/>
        <w:ind w:firstLine="480" w:firstLineChars="200"/>
        <w:rPr>
          <w:rFonts w:ascii="仿宋" w:hAnsi="仿宋" w:eastAsia="仿宋" w:cs="宋体"/>
          <w:sz w:val="24"/>
        </w:rPr>
      </w:pPr>
      <w:r>
        <w:rPr>
          <w:rFonts w:hint="eastAsia" w:ascii="仿宋" w:hAnsi="仿宋" w:eastAsia="仿宋" w:cs="宋体"/>
          <w:sz w:val="24"/>
        </w:rPr>
        <w:t>2、货物必须符合或优于国家（行业）标准，以及本项目招标文件的质量要求和技术指标与出厂标准。</w:t>
      </w:r>
    </w:p>
    <w:p>
      <w:pPr>
        <w:spacing w:line="400" w:lineRule="exact"/>
        <w:ind w:firstLine="480" w:firstLineChars="200"/>
        <w:rPr>
          <w:rFonts w:ascii="仿宋" w:hAnsi="仿宋" w:eastAsia="仿宋" w:cs="宋体"/>
          <w:sz w:val="24"/>
        </w:rPr>
      </w:pPr>
      <w:r>
        <w:rPr>
          <w:rFonts w:hint="eastAsia" w:ascii="仿宋" w:hAnsi="仿宋" w:eastAsia="仿宋" w:cs="宋体"/>
          <w:sz w:val="24"/>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spacing w:line="400" w:lineRule="exact"/>
        <w:ind w:firstLine="480" w:firstLineChars="200"/>
        <w:rPr>
          <w:rFonts w:ascii="仿宋" w:hAnsi="仿宋" w:eastAsia="仿宋" w:cs="宋体"/>
          <w:sz w:val="24"/>
        </w:rPr>
      </w:pPr>
      <w:r>
        <w:rPr>
          <w:rFonts w:hint="eastAsia" w:ascii="仿宋" w:hAnsi="仿宋" w:eastAsia="仿宋" w:cs="宋体"/>
          <w:sz w:val="24"/>
        </w:rPr>
        <w:t>4、货物制造质量出现问题，乙方应负责三包（包修、包换、包退），费用由乙方负担，甲方有权到乙方生产场地检查货物质量和生产进度。</w:t>
      </w:r>
    </w:p>
    <w:p>
      <w:pPr>
        <w:spacing w:line="400" w:lineRule="exact"/>
        <w:ind w:firstLine="480" w:firstLineChars="200"/>
        <w:rPr>
          <w:rFonts w:ascii="仿宋" w:hAnsi="仿宋" w:eastAsia="仿宋" w:cs="宋体"/>
          <w:sz w:val="24"/>
        </w:rPr>
      </w:pPr>
      <w:r>
        <w:rPr>
          <w:rFonts w:hint="eastAsia" w:ascii="仿宋" w:hAnsi="仿宋" w:eastAsia="仿宋" w:cs="宋体"/>
          <w:sz w:val="24"/>
        </w:rPr>
        <w:t>5、货到现场后由于甲方保管不当造成的质量问题，乙方亦应负责修理，但费用由甲方负担。</w:t>
      </w:r>
    </w:p>
    <w:p>
      <w:pPr>
        <w:keepNext/>
        <w:keepLines/>
        <w:spacing w:before="260" w:after="260" w:line="400" w:lineRule="exact"/>
        <w:ind w:firstLine="482" w:firstLineChars="200"/>
        <w:outlineLvl w:val="1"/>
        <w:rPr>
          <w:rFonts w:ascii="仿宋" w:hAnsi="仿宋" w:eastAsia="仿宋"/>
          <w:b/>
          <w:bCs/>
          <w:sz w:val="24"/>
        </w:rPr>
      </w:pPr>
      <w:bookmarkStart w:id="199" w:name="_Toc217446110"/>
      <w:r>
        <w:rPr>
          <w:rFonts w:hint="eastAsia" w:ascii="仿宋" w:hAnsi="仿宋" w:eastAsia="仿宋"/>
          <w:b/>
          <w:bCs/>
          <w:sz w:val="24"/>
        </w:rPr>
        <w:t>四、交货及验收</w:t>
      </w:r>
      <w:bookmarkEnd w:id="199"/>
    </w:p>
    <w:p>
      <w:pPr>
        <w:spacing w:line="400" w:lineRule="exact"/>
        <w:ind w:firstLine="480" w:firstLineChars="200"/>
        <w:rPr>
          <w:rFonts w:ascii="仿宋" w:hAnsi="仿宋" w:eastAsia="仿宋" w:cs="宋体"/>
          <w:sz w:val="24"/>
        </w:rPr>
      </w:pPr>
      <w:r>
        <w:rPr>
          <w:rFonts w:hint="eastAsia" w:ascii="仿宋" w:hAnsi="仿宋" w:eastAsia="仿宋" w:cs="宋体"/>
          <w:sz w:val="24"/>
        </w:rPr>
        <w:t>1、乙方交货期限为合同签订生效后的</w:t>
      </w:r>
      <w:r>
        <w:rPr>
          <w:rFonts w:hint="eastAsia" w:ascii="仿宋" w:hAnsi="仿宋" w:eastAsia="仿宋" w:cs="宋体"/>
          <w:sz w:val="24"/>
          <w:szCs w:val="21"/>
        </w:rPr>
        <w:t>XX</w:t>
      </w:r>
      <w:r>
        <w:rPr>
          <w:rFonts w:hint="eastAsia" w:ascii="仿宋" w:hAnsi="仿宋" w:eastAsia="仿宋" w:cs="宋体"/>
          <w:sz w:val="24"/>
        </w:rPr>
        <w:t>日内，在合同签订生效之日起</w:t>
      </w:r>
      <w:r>
        <w:rPr>
          <w:rFonts w:hint="eastAsia" w:ascii="仿宋" w:hAnsi="仿宋" w:eastAsia="仿宋" w:cs="宋体"/>
          <w:sz w:val="24"/>
          <w:szCs w:val="21"/>
        </w:rPr>
        <w:t>XX</w:t>
      </w:r>
      <w:r>
        <w:rPr>
          <w:rFonts w:hint="eastAsia" w:ascii="仿宋" w:hAnsi="仿宋" w:eastAsia="仿宋" w:cs="宋体"/>
          <w:sz w:val="24"/>
        </w:rPr>
        <w:t>天内交货到甲方指定地点，随即在</w:t>
      </w:r>
      <w:r>
        <w:rPr>
          <w:rFonts w:hint="eastAsia" w:ascii="仿宋" w:hAnsi="仿宋" w:eastAsia="仿宋" w:cs="宋体"/>
          <w:sz w:val="24"/>
          <w:szCs w:val="21"/>
        </w:rPr>
        <w:t>XX</w:t>
      </w:r>
      <w:r>
        <w:rPr>
          <w:rFonts w:hint="eastAsia" w:ascii="仿宋" w:hAnsi="仿宋" w:eastAsia="仿宋" w:cs="宋体"/>
          <w:sz w:val="24"/>
        </w:rPr>
        <w:t>日内全部完成安装调试验收合格交付使用，并且最迟应在</w:t>
      </w:r>
      <w:r>
        <w:rPr>
          <w:rFonts w:hint="eastAsia" w:ascii="仿宋" w:hAnsi="仿宋" w:eastAsia="仿宋" w:cs="宋体"/>
          <w:sz w:val="24"/>
          <w:szCs w:val="21"/>
        </w:rPr>
        <w:t>XX</w:t>
      </w:r>
      <w:r>
        <w:rPr>
          <w:rFonts w:hint="eastAsia" w:ascii="仿宋" w:hAnsi="仿宋" w:eastAsia="仿宋" w:cs="宋体"/>
          <w:sz w:val="24"/>
        </w:rPr>
        <w:t>年</w:t>
      </w:r>
      <w:r>
        <w:rPr>
          <w:rFonts w:hint="eastAsia" w:ascii="仿宋" w:hAnsi="仿宋" w:eastAsia="仿宋" w:cs="宋体"/>
          <w:sz w:val="24"/>
          <w:szCs w:val="21"/>
        </w:rPr>
        <w:t>XX</w:t>
      </w:r>
      <w:r>
        <w:rPr>
          <w:rFonts w:hint="eastAsia" w:ascii="仿宋" w:hAnsi="仿宋" w:eastAsia="仿宋" w:cs="宋体"/>
          <w:sz w:val="24"/>
        </w:rPr>
        <w:t>月</w:t>
      </w:r>
      <w:r>
        <w:rPr>
          <w:rFonts w:hint="eastAsia" w:ascii="仿宋" w:hAnsi="仿宋" w:eastAsia="仿宋" w:cs="宋体"/>
          <w:sz w:val="24"/>
          <w:szCs w:val="21"/>
        </w:rPr>
        <w:t>XX</w:t>
      </w:r>
      <w:r>
        <w:rPr>
          <w:rFonts w:hint="eastAsia" w:ascii="仿宋" w:hAnsi="仿宋" w:eastAsia="仿宋" w:cs="宋体"/>
          <w:sz w:val="24"/>
        </w:rPr>
        <w:t>日前全部完成安装调试验收合格交付使用(如由于采购人的原因造成合同延迟签订或验收的，时间顺延)。交货验收时须提供产品质检部门从同类产品中抽样检查合格的检测报告。</w:t>
      </w:r>
    </w:p>
    <w:p>
      <w:pPr>
        <w:spacing w:line="400" w:lineRule="exact"/>
        <w:ind w:firstLine="480" w:firstLineChars="200"/>
        <w:rPr>
          <w:rFonts w:ascii="仿宋" w:hAnsi="仿宋" w:eastAsia="仿宋" w:cs="宋体"/>
          <w:sz w:val="24"/>
        </w:rPr>
      </w:pPr>
      <w:r>
        <w:rPr>
          <w:rFonts w:hint="eastAsia" w:ascii="仿宋" w:hAnsi="仿宋" w:eastAsia="仿宋" w:cs="宋体"/>
          <w:sz w:val="24"/>
        </w:rPr>
        <w:t>2、验收由甲方组织，乙方配合进行：</w:t>
      </w:r>
    </w:p>
    <w:p>
      <w:pPr>
        <w:spacing w:line="400" w:lineRule="exact"/>
        <w:ind w:firstLine="480" w:firstLineChars="200"/>
        <w:rPr>
          <w:rFonts w:ascii="仿宋" w:hAnsi="仿宋" w:eastAsia="仿宋" w:cs="宋体"/>
          <w:sz w:val="24"/>
        </w:rPr>
      </w:pPr>
      <w:r>
        <w:rPr>
          <w:rFonts w:hint="eastAsia" w:ascii="仿宋" w:hAnsi="仿宋" w:eastAsia="仿宋" w:cs="宋体"/>
          <w:sz w:val="24"/>
        </w:rPr>
        <w:t>(1) 货物在乙方通知安装调试完毕后日内初步验收。初步验收合格后，进入试用期；试用期间发生重大质量问题，修复后试用相应顺延；试用期结束后日内完成最终验收；</w:t>
      </w:r>
    </w:p>
    <w:p>
      <w:pPr>
        <w:spacing w:line="400" w:lineRule="exact"/>
        <w:ind w:firstLine="480" w:firstLineChars="200"/>
        <w:rPr>
          <w:rFonts w:ascii="仿宋" w:hAnsi="仿宋" w:eastAsia="仿宋" w:cs="宋体"/>
          <w:sz w:val="24"/>
        </w:rPr>
      </w:pPr>
      <w:r>
        <w:rPr>
          <w:rFonts w:hint="eastAsia" w:ascii="仿宋" w:hAnsi="仿宋" w:eastAsia="仿宋" w:cs="宋体"/>
          <w:sz w:val="24"/>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spacing w:line="400" w:lineRule="exact"/>
        <w:ind w:firstLine="480" w:firstLineChars="200"/>
        <w:rPr>
          <w:rFonts w:ascii="仿宋" w:hAnsi="仿宋" w:eastAsia="仿宋" w:cs="宋体"/>
          <w:sz w:val="24"/>
        </w:rPr>
      </w:pPr>
      <w:r>
        <w:rPr>
          <w:rFonts w:hint="eastAsia" w:ascii="仿宋" w:hAnsi="仿宋" w:eastAsia="仿宋" w:cs="宋体"/>
          <w:sz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spacing w:line="400" w:lineRule="exact"/>
        <w:ind w:firstLine="480" w:firstLineChars="200"/>
        <w:rPr>
          <w:rFonts w:ascii="仿宋" w:hAnsi="仿宋" w:eastAsia="仿宋" w:cs="宋体"/>
          <w:sz w:val="24"/>
        </w:rPr>
      </w:pPr>
      <w:r>
        <w:rPr>
          <w:rFonts w:hint="eastAsia" w:ascii="仿宋" w:hAnsi="仿宋" w:eastAsia="仿宋" w:cs="宋体"/>
          <w:sz w:val="24"/>
        </w:rPr>
        <w:t>(4) 如质量验收合格，双方签署质量验收报告。</w:t>
      </w:r>
    </w:p>
    <w:p>
      <w:pPr>
        <w:spacing w:line="400" w:lineRule="exact"/>
        <w:ind w:firstLine="480" w:firstLineChars="200"/>
        <w:rPr>
          <w:rFonts w:ascii="仿宋" w:hAnsi="仿宋" w:eastAsia="仿宋" w:cs="宋体"/>
          <w:sz w:val="24"/>
        </w:rPr>
      </w:pPr>
      <w:r>
        <w:rPr>
          <w:rFonts w:hint="eastAsia" w:ascii="仿宋" w:hAnsi="仿宋" w:eastAsia="仿宋" w:cs="宋体"/>
          <w:sz w:val="24"/>
        </w:rPr>
        <w:t>3、货物安装完成后日内，甲方无故不进行验收工作并已使用货物的，视同已安装调试完成并验收合格。</w:t>
      </w:r>
    </w:p>
    <w:p>
      <w:pPr>
        <w:spacing w:line="400" w:lineRule="exact"/>
        <w:ind w:firstLine="480" w:firstLineChars="200"/>
        <w:rPr>
          <w:rFonts w:ascii="仿宋" w:hAnsi="仿宋" w:eastAsia="仿宋" w:cs="宋体"/>
          <w:sz w:val="24"/>
        </w:rPr>
      </w:pPr>
      <w:r>
        <w:rPr>
          <w:rFonts w:hint="eastAsia" w:ascii="仿宋" w:hAnsi="仿宋" w:eastAsia="仿宋" w:cs="宋体"/>
          <w:sz w:val="24"/>
        </w:rPr>
        <w:t>4、乙方应将所提供货物的装箱清单、配件、随机工具、用户使用手册、原厂保修卡等资料交付给甲方；乙方不能完整交付货物及本款规定的单证和工具的，必须负责补齐，否则视为未按合同约定交货。</w:t>
      </w:r>
    </w:p>
    <w:p>
      <w:pPr>
        <w:spacing w:line="400" w:lineRule="exact"/>
        <w:ind w:firstLine="480" w:firstLineChars="200"/>
        <w:rPr>
          <w:rFonts w:ascii="仿宋" w:hAnsi="仿宋" w:eastAsia="仿宋" w:cs="宋体"/>
          <w:sz w:val="24"/>
        </w:rPr>
      </w:pPr>
      <w:r>
        <w:rPr>
          <w:rFonts w:hint="eastAsia" w:ascii="仿宋" w:hAnsi="仿宋" w:eastAsia="仿宋" w:cs="宋体"/>
          <w:sz w:val="24"/>
        </w:rPr>
        <w:t>5、如货物经乙方次维修仍不能达到合同约定的质量标准，甲方有权退货，并视作乙方不能交付货物而须支付违约赔偿金给甲方，甲方还可依法追究乙方的违约责任。</w:t>
      </w:r>
      <w:r>
        <w:rPr>
          <w:rFonts w:eastAsia="仿宋" w:cs="Calibri"/>
          <w:sz w:val="24"/>
        </w:rPr>
        <w:t> </w:t>
      </w:r>
    </w:p>
    <w:p>
      <w:pPr>
        <w:spacing w:line="400" w:lineRule="exact"/>
        <w:ind w:firstLine="480" w:firstLineChars="200"/>
        <w:rPr>
          <w:rFonts w:ascii="仿宋" w:hAnsi="仿宋" w:eastAsia="仿宋" w:cs="宋体"/>
          <w:sz w:val="24"/>
        </w:rPr>
      </w:pPr>
      <w:r>
        <w:rPr>
          <w:rFonts w:hint="eastAsia" w:ascii="仿宋" w:hAnsi="仿宋" w:eastAsia="仿宋" w:cs="宋体"/>
          <w:sz w:val="24"/>
        </w:rPr>
        <w:t>6、其他未尽事宜应严格按照《财政部关于进一步加强政府采购需求和履约验收管理的指导意见》（财库〔2016〕205号）等政府采购相关法律法规的要求进行。</w:t>
      </w:r>
    </w:p>
    <w:p>
      <w:pPr>
        <w:keepNext/>
        <w:keepLines/>
        <w:spacing w:before="260" w:after="260" w:line="400" w:lineRule="exact"/>
        <w:ind w:firstLine="482" w:firstLineChars="200"/>
        <w:outlineLvl w:val="1"/>
        <w:rPr>
          <w:rFonts w:ascii="仿宋" w:hAnsi="仿宋" w:eastAsia="仿宋"/>
          <w:b/>
          <w:bCs/>
          <w:sz w:val="24"/>
        </w:rPr>
      </w:pPr>
      <w:bookmarkStart w:id="200" w:name="_Toc217446111"/>
      <w:r>
        <w:rPr>
          <w:rFonts w:hint="eastAsia" w:ascii="仿宋" w:hAnsi="仿宋" w:eastAsia="仿宋"/>
          <w:b/>
          <w:bCs/>
          <w:sz w:val="24"/>
        </w:rPr>
        <w:t>五、付款方式</w:t>
      </w:r>
      <w:bookmarkEnd w:id="200"/>
    </w:p>
    <w:p>
      <w:pPr>
        <w:spacing w:line="400" w:lineRule="exact"/>
        <w:ind w:firstLine="480" w:firstLineChars="200"/>
        <w:rPr>
          <w:rFonts w:ascii="仿宋" w:hAnsi="仿宋" w:eastAsia="仿宋" w:cs="宋体"/>
          <w:sz w:val="24"/>
        </w:rPr>
      </w:pPr>
      <w:r>
        <w:rPr>
          <w:rFonts w:hint="eastAsia" w:ascii="仿宋" w:hAnsi="仿宋" w:eastAsia="仿宋" w:cs="宋体"/>
          <w:sz w:val="24"/>
        </w:rPr>
        <w:t>（一）适用于无预付款采购项目</w:t>
      </w:r>
    </w:p>
    <w:p>
      <w:pPr>
        <w:spacing w:line="400" w:lineRule="exact"/>
        <w:ind w:firstLine="480" w:firstLineChars="200"/>
        <w:rPr>
          <w:rFonts w:ascii="仿宋" w:hAnsi="仿宋" w:eastAsia="仿宋" w:cs="宋体"/>
          <w:sz w:val="24"/>
        </w:rPr>
      </w:pPr>
      <w:r>
        <w:rPr>
          <w:rFonts w:hint="eastAsia" w:ascii="仿宋" w:hAnsi="仿宋" w:eastAsia="仿宋" w:cs="宋体"/>
          <w:sz w:val="24"/>
        </w:rPr>
        <w:t>1、全部货物安装调试完毕并验收合格之日起，甲方接到乙方通知与票据凭证资料以后的日内，按照财政性资金支付有关规定，向乙方支付合同价款￥元，人民币大写元整；</w:t>
      </w:r>
    </w:p>
    <w:p>
      <w:pPr>
        <w:spacing w:line="400" w:lineRule="exact"/>
        <w:ind w:firstLine="480" w:firstLineChars="200"/>
        <w:rPr>
          <w:rFonts w:ascii="仿宋" w:hAnsi="仿宋" w:eastAsia="仿宋" w:cs="宋体"/>
          <w:sz w:val="24"/>
        </w:rPr>
      </w:pPr>
      <w:r>
        <w:rPr>
          <w:rFonts w:hint="eastAsia" w:ascii="仿宋" w:hAnsi="仿宋" w:eastAsia="仿宋" w:cs="宋体"/>
          <w:sz w:val="24"/>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spacing w:line="400" w:lineRule="exact"/>
        <w:ind w:firstLine="480" w:firstLineChars="200"/>
        <w:rPr>
          <w:rFonts w:ascii="仿宋" w:hAnsi="仿宋" w:eastAsia="仿宋" w:cs="宋体"/>
          <w:sz w:val="24"/>
        </w:rPr>
      </w:pPr>
      <w:r>
        <w:rPr>
          <w:rFonts w:hint="eastAsia" w:ascii="仿宋" w:hAnsi="仿宋" w:eastAsia="仿宋" w:cs="宋体"/>
          <w:sz w:val="24"/>
        </w:rPr>
        <w:t>3、乙方须向甲方出具合法有效完整的完税发票及凭证资料进行支付结算。</w:t>
      </w:r>
    </w:p>
    <w:p>
      <w:pPr>
        <w:spacing w:line="400" w:lineRule="exact"/>
        <w:ind w:firstLine="480" w:firstLineChars="200"/>
        <w:rPr>
          <w:rFonts w:ascii="仿宋" w:hAnsi="仿宋" w:eastAsia="仿宋" w:cs="宋体"/>
          <w:sz w:val="24"/>
        </w:rPr>
      </w:pPr>
      <w:r>
        <w:rPr>
          <w:rFonts w:hint="eastAsia" w:ascii="仿宋" w:hAnsi="仿宋" w:eastAsia="仿宋" w:cs="宋体"/>
          <w:sz w:val="24"/>
        </w:rPr>
        <w:t>（二）适用于有预付款采购项目（预付款建议不超过政府采购合同金额的30%）</w:t>
      </w:r>
    </w:p>
    <w:p>
      <w:pPr>
        <w:spacing w:line="400" w:lineRule="exact"/>
        <w:ind w:firstLine="480" w:firstLineChars="200"/>
        <w:rPr>
          <w:rFonts w:ascii="仿宋" w:hAnsi="仿宋" w:eastAsia="仿宋" w:cs="宋体"/>
          <w:sz w:val="24"/>
        </w:rPr>
      </w:pPr>
      <w:r>
        <w:rPr>
          <w:rFonts w:hint="eastAsia" w:ascii="仿宋" w:hAnsi="仿宋" w:eastAsia="仿宋" w:cs="宋体"/>
          <w:sz w:val="24"/>
        </w:rPr>
        <w:t>1、甲方在本合同签订生效之日起接到乙方通知和票据凭证资料以及乙方交给甲方的合同履约保证金（按合同总价的百分之  计算款额￥元，人民币大写：元整）后的日内支付合同金额百分之的价款；</w:t>
      </w:r>
    </w:p>
    <w:p>
      <w:pPr>
        <w:spacing w:line="400" w:lineRule="exact"/>
        <w:ind w:firstLine="480" w:firstLineChars="200"/>
        <w:rPr>
          <w:rFonts w:ascii="仿宋" w:hAnsi="仿宋" w:eastAsia="仿宋" w:cs="宋体"/>
          <w:sz w:val="24"/>
        </w:rPr>
      </w:pPr>
      <w:r>
        <w:rPr>
          <w:rFonts w:hint="eastAsia" w:ascii="仿宋" w:hAnsi="仿宋" w:eastAsia="仿宋" w:cs="宋体"/>
          <w:sz w:val="24"/>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spacing w:line="400" w:lineRule="exact"/>
        <w:ind w:firstLine="482"/>
        <w:jc w:val="left"/>
        <w:rPr>
          <w:rFonts w:ascii="仿宋" w:hAnsi="仿宋" w:eastAsia="仿宋" w:cs="宋体"/>
          <w:sz w:val="24"/>
        </w:rPr>
      </w:pPr>
      <w:r>
        <w:rPr>
          <w:rFonts w:hint="eastAsia" w:ascii="仿宋" w:hAnsi="仿宋" w:eastAsia="仿宋"/>
        </w:rPr>
        <w:t>3、履约保证金退还：</w:t>
      </w:r>
      <w:r>
        <w:rPr>
          <w:rFonts w:hint="eastAsia" w:ascii="仿宋" w:hAnsi="仿宋" w:eastAsia="仿宋" w:cs="宋体"/>
          <w:sz w:val="24"/>
        </w:rPr>
        <w:t>最终乙方根据甲方的设计方案及施工图完成所有服务和设备、货物安装并调试完毕后，并通过总体验收之日起，在本合同约定的质保期到期后，乙方向甲方提出书面申请，经过甲方确认乙方完全按照原合同要求的售后服务相关要求完成服务后，甲方</w:t>
      </w:r>
      <w:r>
        <w:rPr>
          <w:rFonts w:ascii="仿宋" w:hAnsi="仿宋" w:eastAsia="仿宋" w:cs="宋体"/>
          <w:sz w:val="24"/>
        </w:rPr>
        <w:t>通过银行转账向乙方</w:t>
      </w:r>
      <w:r>
        <w:rPr>
          <w:rFonts w:hint="eastAsia" w:ascii="仿宋" w:hAnsi="仿宋" w:eastAsia="仿宋" w:cs="宋体"/>
          <w:sz w:val="24"/>
        </w:rPr>
        <w:t>无息</w:t>
      </w:r>
      <w:r>
        <w:rPr>
          <w:rFonts w:ascii="仿宋" w:hAnsi="仿宋" w:eastAsia="仿宋" w:cs="宋体"/>
          <w:sz w:val="24"/>
        </w:rPr>
        <w:t>退还</w:t>
      </w:r>
      <w:r>
        <w:rPr>
          <w:rFonts w:hint="eastAsia" w:ascii="仿宋" w:hAnsi="仿宋" w:eastAsia="仿宋" w:cs="宋体"/>
          <w:sz w:val="24"/>
        </w:rPr>
        <w:t>本项目履约保证金。</w:t>
      </w:r>
      <w:r>
        <w:rPr>
          <w:rFonts w:hint="eastAsia" w:ascii="仿宋" w:hAnsi="仿宋" w:eastAsia="仿宋"/>
        </w:rPr>
        <w:t>乙方履约不合格的，履约保证金不予退还。</w:t>
      </w:r>
    </w:p>
    <w:p>
      <w:pPr>
        <w:spacing w:line="400" w:lineRule="exact"/>
        <w:ind w:firstLine="480" w:firstLineChars="200"/>
        <w:rPr>
          <w:rFonts w:ascii="仿宋" w:hAnsi="仿宋" w:eastAsia="仿宋" w:cs="宋体"/>
          <w:sz w:val="24"/>
        </w:rPr>
      </w:pPr>
      <w:r>
        <w:rPr>
          <w:rFonts w:hint="eastAsia" w:ascii="仿宋" w:hAnsi="仿宋" w:eastAsia="仿宋" w:cs="宋体"/>
          <w:sz w:val="24"/>
        </w:rPr>
        <w:t>4、乙方须向甲方出具合法有效完整的完税发票及凭证资料进行支付结算。</w:t>
      </w:r>
    </w:p>
    <w:p>
      <w:pPr>
        <w:keepNext/>
        <w:keepLines/>
        <w:spacing w:before="260" w:after="260" w:line="400" w:lineRule="exact"/>
        <w:ind w:firstLine="482" w:firstLineChars="200"/>
        <w:outlineLvl w:val="1"/>
        <w:rPr>
          <w:rFonts w:ascii="仿宋" w:hAnsi="仿宋" w:eastAsia="仿宋"/>
          <w:b/>
          <w:bCs/>
          <w:sz w:val="24"/>
        </w:rPr>
      </w:pPr>
      <w:bookmarkStart w:id="201" w:name="_Toc217446112"/>
      <w:r>
        <w:rPr>
          <w:rFonts w:hint="eastAsia" w:ascii="仿宋" w:hAnsi="仿宋" w:eastAsia="仿宋"/>
          <w:b/>
          <w:bCs/>
          <w:sz w:val="24"/>
        </w:rPr>
        <w:t>六、售后服务</w:t>
      </w:r>
      <w:bookmarkEnd w:id="201"/>
    </w:p>
    <w:p>
      <w:pPr>
        <w:spacing w:line="400" w:lineRule="exact"/>
        <w:ind w:firstLine="480" w:firstLineChars="200"/>
        <w:rPr>
          <w:rFonts w:ascii="仿宋" w:hAnsi="仿宋" w:eastAsia="仿宋" w:cs="宋体"/>
          <w:sz w:val="24"/>
        </w:rPr>
      </w:pPr>
      <w:r>
        <w:rPr>
          <w:rFonts w:hint="eastAsia" w:ascii="仿宋" w:hAnsi="仿宋" w:eastAsia="仿宋" w:cs="宋体"/>
          <w:sz w:val="24"/>
        </w:rPr>
        <w:t>1、质保期为验收合格后</w:t>
      </w:r>
      <w:r>
        <w:rPr>
          <w:rFonts w:hint="eastAsia" w:ascii="仿宋" w:hAnsi="仿宋" w:eastAsia="仿宋" w:cs="宋体"/>
          <w:sz w:val="24"/>
          <w:szCs w:val="21"/>
        </w:rPr>
        <w:t>XX</w:t>
      </w:r>
      <w:r>
        <w:rPr>
          <w:rFonts w:hint="eastAsia" w:ascii="仿宋" w:hAnsi="仿宋" w:eastAsia="仿宋" w:cs="宋体"/>
          <w:sz w:val="24"/>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spacing w:line="400" w:lineRule="exact"/>
        <w:ind w:firstLine="480" w:firstLineChars="200"/>
        <w:rPr>
          <w:rFonts w:ascii="仿宋" w:hAnsi="仿宋" w:eastAsia="仿宋" w:cs="宋体"/>
          <w:sz w:val="24"/>
        </w:rPr>
      </w:pPr>
      <w:r>
        <w:rPr>
          <w:rFonts w:hint="eastAsia" w:ascii="仿宋" w:hAnsi="仿宋" w:eastAsia="仿宋" w:cs="宋体"/>
          <w:sz w:val="24"/>
        </w:rPr>
        <w:t>2、乙方须指派专人负责与甲方联系售后服务事宜。</w:t>
      </w:r>
      <w:r>
        <w:rPr>
          <w:rFonts w:eastAsia="仿宋" w:cs="Calibri"/>
          <w:sz w:val="24"/>
        </w:rPr>
        <w:t> </w:t>
      </w:r>
    </w:p>
    <w:p>
      <w:pPr>
        <w:keepNext/>
        <w:keepLines/>
        <w:spacing w:before="260" w:after="260" w:line="400" w:lineRule="exact"/>
        <w:ind w:firstLine="482" w:firstLineChars="200"/>
        <w:outlineLvl w:val="1"/>
        <w:rPr>
          <w:rFonts w:ascii="仿宋" w:hAnsi="仿宋" w:eastAsia="仿宋"/>
          <w:b/>
          <w:bCs/>
          <w:sz w:val="24"/>
        </w:rPr>
      </w:pPr>
      <w:bookmarkStart w:id="202" w:name="_Toc217446113"/>
      <w:r>
        <w:rPr>
          <w:rFonts w:hint="eastAsia" w:ascii="仿宋" w:hAnsi="仿宋" w:eastAsia="仿宋"/>
          <w:b/>
          <w:bCs/>
          <w:sz w:val="24"/>
        </w:rPr>
        <w:t>七、违约责任</w:t>
      </w:r>
      <w:bookmarkEnd w:id="202"/>
    </w:p>
    <w:p>
      <w:pPr>
        <w:spacing w:line="400" w:lineRule="exact"/>
        <w:ind w:firstLine="480" w:firstLineChars="200"/>
        <w:rPr>
          <w:rFonts w:ascii="仿宋" w:hAnsi="仿宋" w:eastAsia="仿宋" w:cs="宋体"/>
          <w:sz w:val="24"/>
        </w:rPr>
      </w:pPr>
      <w:r>
        <w:rPr>
          <w:rFonts w:hint="eastAsia" w:ascii="仿宋" w:hAnsi="仿宋" w:eastAsia="仿宋" w:cs="宋体"/>
          <w:sz w:val="24"/>
        </w:rPr>
        <w:t>1、甲方违约责任</w:t>
      </w:r>
    </w:p>
    <w:p>
      <w:pPr>
        <w:spacing w:line="400" w:lineRule="exact"/>
        <w:ind w:firstLine="480" w:firstLineChars="200"/>
        <w:rPr>
          <w:rFonts w:ascii="仿宋" w:hAnsi="仿宋" w:eastAsia="仿宋" w:cs="宋体"/>
          <w:sz w:val="24"/>
        </w:rPr>
      </w:pPr>
      <w:r>
        <w:rPr>
          <w:rFonts w:hint="eastAsia" w:ascii="仿宋" w:hAnsi="仿宋" w:eastAsia="仿宋" w:cs="宋体"/>
          <w:sz w:val="24"/>
        </w:rPr>
        <w:t>（1） 甲方无正当理由拒收货物的，甲方应偿付合同总价百分之  的违约金；</w:t>
      </w:r>
    </w:p>
    <w:p>
      <w:pPr>
        <w:spacing w:line="400" w:lineRule="exact"/>
        <w:ind w:firstLine="480" w:firstLineChars="200"/>
        <w:rPr>
          <w:rFonts w:ascii="仿宋" w:hAnsi="仿宋" w:eastAsia="仿宋" w:cs="宋体"/>
          <w:sz w:val="24"/>
        </w:rPr>
      </w:pPr>
      <w:r>
        <w:rPr>
          <w:rFonts w:hint="eastAsia" w:ascii="仿宋" w:hAnsi="仿宋" w:eastAsia="仿宋" w:cs="宋体"/>
          <w:sz w:val="24"/>
        </w:rPr>
        <w:t>（2） 甲方逾期支付货款的，除应及时付足货款外，应向乙方偿付欠款总额万分之/天的违约金；逾期付款超过天的，乙方有权终止合同；</w:t>
      </w:r>
    </w:p>
    <w:p>
      <w:pPr>
        <w:spacing w:line="400" w:lineRule="exact"/>
        <w:ind w:firstLine="480" w:firstLineChars="200"/>
        <w:rPr>
          <w:rFonts w:ascii="仿宋" w:hAnsi="仿宋" w:eastAsia="仿宋" w:cs="宋体"/>
          <w:sz w:val="24"/>
        </w:rPr>
      </w:pPr>
      <w:r>
        <w:rPr>
          <w:rFonts w:hint="eastAsia" w:ascii="仿宋" w:hAnsi="仿宋" w:eastAsia="仿宋" w:cs="宋体"/>
          <w:sz w:val="24"/>
        </w:rPr>
        <w:t>（3） 甲方偿付的违约金不足以弥补乙方损失的，还应按乙方损失尚未弥补的部分，支付赔偿金给乙方。</w:t>
      </w:r>
    </w:p>
    <w:p>
      <w:pPr>
        <w:spacing w:line="400" w:lineRule="exact"/>
        <w:ind w:firstLine="480" w:firstLineChars="200"/>
        <w:rPr>
          <w:rFonts w:ascii="仿宋" w:hAnsi="仿宋" w:eastAsia="仿宋" w:cs="宋体"/>
          <w:sz w:val="24"/>
        </w:rPr>
      </w:pPr>
      <w:r>
        <w:rPr>
          <w:rFonts w:hint="eastAsia" w:ascii="仿宋" w:hAnsi="仿宋" w:eastAsia="仿宋" w:cs="宋体"/>
          <w:sz w:val="24"/>
        </w:rPr>
        <w:t>2、乙方违约责任</w:t>
      </w:r>
    </w:p>
    <w:p>
      <w:pPr>
        <w:spacing w:line="400" w:lineRule="exact"/>
        <w:ind w:firstLine="480" w:firstLineChars="200"/>
        <w:rPr>
          <w:rFonts w:ascii="仿宋" w:hAnsi="仿宋" w:eastAsia="仿宋" w:cs="宋体"/>
          <w:sz w:val="24"/>
        </w:rPr>
      </w:pPr>
      <w:r>
        <w:rPr>
          <w:rFonts w:hint="eastAsia" w:ascii="仿宋" w:hAnsi="仿宋" w:eastAsia="仿宋" w:cs="宋体"/>
          <w:sz w:val="24"/>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spacing w:line="400" w:lineRule="exact"/>
        <w:ind w:firstLine="480" w:firstLineChars="200"/>
        <w:rPr>
          <w:rFonts w:ascii="仿宋" w:hAnsi="仿宋" w:eastAsia="仿宋" w:cs="宋体"/>
          <w:sz w:val="24"/>
        </w:rPr>
      </w:pPr>
      <w:r>
        <w:rPr>
          <w:rFonts w:hint="eastAsia" w:ascii="仿宋" w:hAnsi="仿宋" w:eastAsia="仿宋" w:cs="宋体"/>
          <w:sz w:val="24"/>
        </w:rPr>
        <w:t>（2）乙方不能交付货物或逾期交付货物而违约的，除应及时交足货物外，应向甲方偿付逾期交货部分货款总额的万分之/天的违约金；逾期交货超过</w:t>
      </w:r>
      <w:r>
        <w:rPr>
          <w:rFonts w:hint="eastAsia" w:ascii="仿宋" w:hAnsi="仿宋" w:eastAsia="仿宋" w:cs="宋体"/>
          <w:sz w:val="24"/>
          <w:szCs w:val="21"/>
        </w:rPr>
        <w:t>XX</w:t>
      </w:r>
      <w:r>
        <w:rPr>
          <w:rFonts w:hint="eastAsia" w:ascii="仿宋" w:hAnsi="仿宋" w:eastAsia="仿宋" w:cs="宋体"/>
          <w:sz w:val="24"/>
        </w:rPr>
        <w:t>天，甲方有权终止合同，乙方则应按合同总价的百分之的款额向甲方偿付赔偿金，并须全额退还甲方已经付给乙方的货款及其利息。</w:t>
      </w:r>
    </w:p>
    <w:p>
      <w:pPr>
        <w:spacing w:line="400" w:lineRule="exact"/>
        <w:ind w:firstLine="480" w:firstLineChars="200"/>
        <w:rPr>
          <w:rFonts w:ascii="仿宋" w:hAnsi="仿宋" w:eastAsia="仿宋" w:cs="宋体"/>
          <w:sz w:val="24"/>
        </w:rPr>
      </w:pPr>
      <w:r>
        <w:rPr>
          <w:rFonts w:hint="eastAsia" w:ascii="仿宋" w:hAnsi="仿宋" w:eastAsia="仿宋" w:cs="宋体"/>
          <w:sz w:val="24"/>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spacing w:line="400" w:lineRule="exact"/>
        <w:ind w:firstLine="480" w:firstLineChars="200"/>
        <w:rPr>
          <w:rFonts w:ascii="仿宋" w:hAnsi="仿宋" w:eastAsia="仿宋" w:cs="宋体"/>
          <w:sz w:val="24"/>
        </w:rPr>
      </w:pPr>
      <w:r>
        <w:rPr>
          <w:rFonts w:hint="eastAsia" w:ascii="仿宋" w:hAnsi="仿宋" w:eastAsia="仿宋" w:cs="宋体"/>
          <w:sz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spacing w:line="400" w:lineRule="exact"/>
        <w:ind w:firstLine="480" w:firstLineChars="200"/>
        <w:rPr>
          <w:rFonts w:ascii="仿宋" w:hAnsi="仿宋" w:eastAsia="仿宋" w:cs="宋体"/>
          <w:sz w:val="24"/>
        </w:rPr>
      </w:pPr>
      <w:r>
        <w:rPr>
          <w:rFonts w:hint="eastAsia" w:ascii="仿宋" w:hAnsi="仿宋" w:eastAsia="仿宋" w:cs="宋体"/>
          <w:sz w:val="24"/>
        </w:rPr>
        <w:t>（5）乙方偿付的违约金不足以弥补甲方损失的，还应按甲方损失尚未弥补的部分，支付赔偿金给甲方。</w:t>
      </w:r>
    </w:p>
    <w:p>
      <w:pPr>
        <w:keepNext/>
        <w:keepLines/>
        <w:spacing w:before="260" w:after="260" w:line="400" w:lineRule="exact"/>
        <w:ind w:firstLine="482" w:firstLineChars="200"/>
        <w:outlineLvl w:val="1"/>
        <w:rPr>
          <w:rFonts w:ascii="仿宋" w:hAnsi="仿宋" w:eastAsia="仿宋"/>
          <w:b/>
          <w:bCs/>
          <w:sz w:val="24"/>
        </w:rPr>
      </w:pPr>
      <w:bookmarkStart w:id="203" w:name="_Toc217446114"/>
      <w:r>
        <w:rPr>
          <w:rFonts w:hint="eastAsia" w:ascii="仿宋" w:hAnsi="仿宋" w:eastAsia="仿宋"/>
          <w:b/>
          <w:bCs/>
          <w:sz w:val="24"/>
        </w:rPr>
        <w:t>八、争议解决办法</w:t>
      </w:r>
      <w:bookmarkEnd w:id="203"/>
    </w:p>
    <w:p>
      <w:pPr>
        <w:spacing w:line="400" w:lineRule="exact"/>
        <w:ind w:firstLine="480" w:firstLineChars="200"/>
        <w:rPr>
          <w:rFonts w:ascii="仿宋" w:hAnsi="仿宋" w:eastAsia="仿宋" w:cs="宋体"/>
          <w:sz w:val="24"/>
        </w:rPr>
      </w:pPr>
      <w:r>
        <w:rPr>
          <w:rFonts w:hint="eastAsia" w:ascii="仿宋" w:hAnsi="仿宋" w:eastAsia="仿宋" w:cs="宋体"/>
          <w:sz w:val="24"/>
        </w:rPr>
        <w:t>1、因货物的质量问题发生争议，由质量技术监督部门或其指定的质量鉴定机构进行质量鉴定。货物符合标准的，鉴定费由甲方承担；货物不符合质量标准的，鉴定费由乙方承担。</w:t>
      </w:r>
    </w:p>
    <w:p>
      <w:pPr>
        <w:spacing w:line="400" w:lineRule="exact"/>
        <w:ind w:firstLine="480" w:firstLineChars="200"/>
        <w:rPr>
          <w:rFonts w:ascii="仿宋" w:hAnsi="仿宋" w:eastAsia="仿宋" w:cs="宋体"/>
          <w:sz w:val="24"/>
        </w:rPr>
      </w:pPr>
      <w:r>
        <w:rPr>
          <w:rFonts w:hint="eastAsia" w:ascii="仿宋" w:hAnsi="仿宋" w:eastAsia="仿宋" w:cs="宋体"/>
          <w:sz w:val="24"/>
        </w:rPr>
        <w:t>2、合同履行期间,若双方发生争议，可协商或由有关部门调解解决，协商或调解不成的，由当事人依法维护其合法权益。</w:t>
      </w:r>
    </w:p>
    <w:p>
      <w:pPr>
        <w:keepNext/>
        <w:keepLines/>
        <w:spacing w:before="260" w:after="260" w:line="400" w:lineRule="exact"/>
        <w:ind w:firstLine="482" w:firstLineChars="200"/>
        <w:outlineLvl w:val="1"/>
        <w:rPr>
          <w:rFonts w:ascii="仿宋" w:hAnsi="仿宋" w:eastAsia="仿宋"/>
          <w:b/>
          <w:bCs/>
          <w:sz w:val="24"/>
        </w:rPr>
      </w:pPr>
      <w:bookmarkStart w:id="204" w:name="_Toc217446115"/>
      <w:r>
        <w:rPr>
          <w:rFonts w:hint="eastAsia" w:ascii="仿宋" w:hAnsi="仿宋" w:eastAsia="仿宋"/>
          <w:b/>
          <w:bCs/>
          <w:sz w:val="24"/>
        </w:rPr>
        <w:t>九、其他</w:t>
      </w:r>
      <w:bookmarkEnd w:id="204"/>
    </w:p>
    <w:p>
      <w:pPr>
        <w:spacing w:line="400" w:lineRule="exact"/>
        <w:ind w:firstLine="480" w:firstLineChars="200"/>
        <w:rPr>
          <w:rFonts w:ascii="仿宋" w:hAnsi="仿宋" w:eastAsia="仿宋" w:cs="宋体"/>
          <w:sz w:val="24"/>
        </w:rPr>
      </w:pPr>
      <w:r>
        <w:rPr>
          <w:rFonts w:hint="eastAsia" w:ascii="仿宋" w:hAnsi="仿宋" w:eastAsia="仿宋" w:cs="宋体"/>
          <w:sz w:val="24"/>
        </w:rPr>
        <w:t>1、如有未尽事宜，由双方依法订立补充合同。</w:t>
      </w:r>
    </w:p>
    <w:p>
      <w:pPr>
        <w:spacing w:line="400" w:lineRule="exact"/>
        <w:ind w:firstLine="480" w:firstLineChars="200"/>
        <w:rPr>
          <w:rFonts w:ascii="仿宋" w:hAnsi="仿宋" w:eastAsia="仿宋" w:cs="宋体"/>
          <w:sz w:val="24"/>
        </w:rPr>
      </w:pPr>
      <w:r>
        <w:rPr>
          <w:rFonts w:hint="eastAsia" w:ascii="仿宋" w:hAnsi="仿宋" w:eastAsia="仿宋" w:cs="宋体"/>
          <w:sz w:val="24"/>
        </w:rPr>
        <w:t>2、本合同一式六份，自双方签章之日起生效。甲方三份，乙方、政府采购管理部门、采购代理机构各一份。</w:t>
      </w:r>
    </w:p>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            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    址：                         地    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    话：                         电    话：</w:t>
      </w:r>
    </w:p>
    <w:p>
      <w:pPr>
        <w:spacing w:line="400" w:lineRule="exact"/>
        <w:ind w:firstLine="480" w:firstLineChars="200"/>
        <w:rPr>
          <w:rFonts w:ascii="仿宋" w:hAnsi="仿宋" w:eastAsia="仿宋"/>
          <w:sz w:val="24"/>
        </w:rPr>
      </w:pPr>
      <w:r>
        <w:rPr>
          <w:rFonts w:hint="eastAsia" w:ascii="仿宋" w:hAnsi="仿宋" w:eastAsia="仿宋"/>
          <w:sz w:val="24"/>
        </w:rPr>
        <w:t>传    真：                         传    真：</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 xml:space="preserve">日 </w:t>
      </w:r>
      <w:r>
        <w:rPr>
          <w:rFonts w:hint="eastAsia" w:ascii="仿宋" w:hAnsi="仿宋" w:eastAsia="仿宋"/>
        </w:rPr>
        <w:tab/>
      </w:r>
      <w:r>
        <w:rPr>
          <w:rFonts w:hint="eastAsia" w:ascii="仿宋" w:hAnsi="仿宋" w:eastAsia="仿宋"/>
        </w:rPr>
        <w:tab/>
      </w:r>
      <w:r>
        <w:rPr>
          <w:rFonts w:hint="eastAsia" w:ascii="仿宋" w:hAnsi="仿宋" w:eastAsia="仿宋"/>
        </w:rPr>
        <w:tab/>
      </w: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XX日</w:t>
      </w:r>
    </w:p>
    <w:p>
      <w:pPr>
        <w:spacing w:before="156" w:beforeLines="50" w:after="156" w:afterLines="50"/>
        <w:rPr>
          <w:rFonts w:ascii="仿宋" w:hAnsi="仿宋" w:eastAsia="仿宋"/>
          <w:b/>
          <w:sz w:val="24"/>
          <w:szCs w:val="28"/>
        </w:rPr>
      </w:pPr>
      <w:r>
        <w:rPr>
          <w:rFonts w:hint="eastAsia" w:ascii="仿宋" w:hAnsi="仿宋" w:eastAsia="仿宋"/>
          <w:szCs w:val="21"/>
        </w:rPr>
        <w:br w:type="page"/>
      </w:r>
      <w:r>
        <w:rPr>
          <w:rFonts w:hint="eastAsia" w:ascii="仿宋" w:hAnsi="仿宋" w:eastAsia="仿宋"/>
          <w:b/>
          <w:sz w:val="24"/>
          <w:szCs w:val="28"/>
        </w:rPr>
        <w:t>附件一：温馨提示</w:t>
      </w:r>
    </w:p>
    <w:p>
      <w:pPr>
        <w:spacing w:line="360" w:lineRule="auto"/>
        <w:ind w:left="239" w:leftChars="114"/>
        <w:rPr>
          <w:rFonts w:ascii="仿宋" w:hAnsi="仿宋" w:eastAsia="仿宋"/>
          <w:sz w:val="24"/>
        </w:rPr>
      </w:pPr>
      <w:r>
        <w:rPr>
          <w:rFonts w:hint="eastAsia" w:ascii="仿宋" w:hAnsi="仿宋" w:eastAsia="仿宋"/>
          <w:sz w:val="24"/>
        </w:rPr>
        <w:t>1.开标后，中标结果公告发布网站为：四川政府采购网</w:t>
      </w:r>
    </w:p>
    <w:p>
      <w:pPr>
        <w:spacing w:line="360" w:lineRule="auto"/>
        <w:ind w:left="239" w:leftChars="114"/>
        <w:rPr>
          <w:rFonts w:ascii="仿宋" w:hAnsi="仿宋" w:eastAsia="仿宋"/>
          <w:sz w:val="24"/>
        </w:rPr>
        <w:sectPr>
          <w:pgSz w:w="11906" w:h="16838"/>
          <w:pgMar w:top="1440" w:right="1800" w:bottom="1440" w:left="1800" w:header="851" w:footer="992" w:gutter="0"/>
          <w:cols w:space="720" w:num="1"/>
          <w:docGrid w:type="lines" w:linePitch="312" w:charSpace="0"/>
        </w:sectPr>
      </w:pPr>
      <w:r>
        <w:rPr>
          <w:rFonts w:ascii="仿宋" w:hAnsi="仿宋" w:eastAsia="仿宋"/>
          <w:sz w:val="24"/>
        </w:rPr>
        <w:t>2</w:t>
      </w:r>
      <w:r>
        <w:rPr>
          <w:rFonts w:hint="eastAsia" w:ascii="仿宋" w:hAnsi="仿宋" w:eastAsia="仿宋"/>
          <w:sz w:val="24"/>
        </w:rPr>
        <w:t>.中标供应商需在我司指定网站（http://sale.scbid.net）上传有效的采购合同壹份（注意：①注册登录后在采购合同上传界面操作②合同上传咨询电话：</w:t>
      </w:r>
      <w:r>
        <w:rPr>
          <w:rFonts w:ascii="仿宋" w:hAnsi="仿宋" w:eastAsia="仿宋"/>
          <w:sz w:val="24"/>
        </w:rPr>
        <w:t>028-87797776-714</w:t>
      </w:r>
      <w:r>
        <w:rPr>
          <w:rFonts w:hint="eastAsia" w:ascii="仿宋" w:hAnsi="仿宋" w:eastAsia="仿宋"/>
          <w:sz w:val="24"/>
        </w:rPr>
        <w:t>）。</w:t>
      </w:r>
    </w:p>
    <w:bookmarkEnd w:id="173"/>
    <w:p>
      <w:pPr>
        <w:spacing w:before="159" w:beforeLines="50" w:after="159" w:afterLines="50"/>
        <w:rPr>
          <w:rFonts w:ascii="仿宋" w:hAnsi="仿宋" w:eastAsia="仿宋"/>
          <w:b/>
          <w:sz w:val="28"/>
          <w:szCs w:val="28"/>
        </w:rPr>
      </w:pPr>
      <w:r>
        <w:rPr>
          <w:rFonts w:hint="eastAsia" w:ascii="仿宋" w:hAnsi="仿宋" w:eastAsia="仿宋"/>
          <w:b/>
          <w:sz w:val="28"/>
          <w:szCs w:val="28"/>
        </w:rPr>
        <w:t>附件二：递交投标文件签收表</w:t>
      </w:r>
    </w:p>
    <w:tbl>
      <w:tblPr>
        <w:tblStyle w:val="23"/>
        <w:tblW w:w="14314" w:type="dxa"/>
        <w:tblInd w:w="0" w:type="dxa"/>
        <w:tblLayout w:type="fixed"/>
        <w:tblCellMar>
          <w:top w:w="15" w:type="dxa"/>
          <w:left w:w="15" w:type="dxa"/>
          <w:bottom w:w="15" w:type="dxa"/>
          <w:right w:w="15" w:type="dxa"/>
        </w:tblCellMar>
      </w:tblPr>
      <w:tblGrid>
        <w:gridCol w:w="1276"/>
        <w:gridCol w:w="1808"/>
        <w:gridCol w:w="1747"/>
        <w:gridCol w:w="2150"/>
        <w:gridCol w:w="2233"/>
        <w:gridCol w:w="2835"/>
        <w:gridCol w:w="2265"/>
      </w:tblGrid>
      <w:tr>
        <w:tblPrEx>
          <w:tblCellMar>
            <w:top w:w="15" w:type="dxa"/>
            <w:left w:w="15" w:type="dxa"/>
            <w:bottom w:w="15" w:type="dxa"/>
            <w:right w:w="15" w:type="dxa"/>
          </w:tblCellMar>
        </w:tblPrEx>
        <w:trPr>
          <w:trHeight w:val="668" w:hRule="atLeast"/>
        </w:trPr>
        <w:tc>
          <w:tcPr>
            <w:tcW w:w="14314" w:type="dxa"/>
            <w:gridSpan w:val="7"/>
            <w:vAlign w:val="center"/>
          </w:tcPr>
          <w:p>
            <w:pPr>
              <w:jc w:val="center"/>
              <w:textAlignment w:val="center"/>
              <w:rPr>
                <w:rFonts w:ascii="仿宋" w:hAnsi="仿宋" w:eastAsia="仿宋" w:cs="黑体"/>
                <w:b/>
                <w:sz w:val="36"/>
                <w:szCs w:val="36"/>
                <w:u w:val="single"/>
              </w:rPr>
            </w:pPr>
            <w:r>
              <w:rPr>
                <w:rFonts w:hint="eastAsia" w:ascii="仿宋" w:hAnsi="仿宋" w:eastAsia="仿宋" w:cs="黑体"/>
                <w:b/>
                <w:sz w:val="36"/>
                <w:szCs w:val="36"/>
                <w:u w:val="single"/>
              </w:rPr>
              <w:t>递交投标文件签收表</w:t>
            </w:r>
          </w:p>
        </w:tc>
      </w:tr>
      <w:tr>
        <w:tblPrEx>
          <w:tblCellMar>
            <w:top w:w="15" w:type="dxa"/>
            <w:left w:w="15" w:type="dxa"/>
            <w:bottom w:w="15" w:type="dxa"/>
            <w:right w:w="15" w:type="dxa"/>
          </w:tblCellMar>
        </w:tblPrEx>
        <w:trPr>
          <w:trHeight w:val="463" w:hRule="atLeast"/>
        </w:trPr>
        <w:tc>
          <w:tcPr>
            <w:tcW w:w="1276" w:type="dxa"/>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项目名称：</w:t>
            </w:r>
          </w:p>
        </w:tc>
        <w:tc>
          <w:tcPr>
            <w:tcW w:w="7938" w:type="dxa"/>
            <w:gridSpan w:val="4"/>
            <w:vAlign w:val="center"/>
          </w:tcPr>
          <w:p>
            <w:pPr>
              <w:jc w:val="left"/>
              <w:rPr>
                <w:rFonts w:ascii="仿宋" w:hAnsi="仿宋" w:eastAsia="仿宋" w:cs="宋体"/>
                <w:b/>
                <w:sz w:val="22"/>
                <w:szCs w:val="22"/>
              </w:rPr>
            </w:pPr>
          </w:p>
        </w:tc>
        <w:tc>
          <w:tcPr>
            <w:tcW w:w="2835" w:type="dxa"/>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招标编号：</w:t>
            </w:r>
          </w:p>
        </w:tc>
        <w:tc>
          <w:tcPr>
            <w:tcW w:w="2265" w:type="dxa"/>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463" w:hRule="atLeast"/>
        </w:trPr>
        <w:tc>
          <w:tcPr>
            <w:tcW w:w="1276" w:type="dxa"/>
            <w:tcBorders>
              <w:bottom w:val="single" w:color="000000" w:sz="12" w:space="0"/>
            </w:tcBorders>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开标时间：</w:t>
            </w:r>
          </w:p>
        </w:tc>
        <w:tc>
          <w:tcPr>
            <w:tcW w:w="1808" w:type="dxa"/>
            <w:tcBorders>
              <w:bottom w:val="single" w:color="000000" w:sz="12" w:space="0"/>
            </w:tcBorders>
            <w:vAlign w:val="center"/>
          </w:tcPr>
          <w:p>
            <w:pPr>
              <w:rPr>
                <w:rFonts w:ascii="仿宋" w:hAnsi="仿宋" w:eastAsia="仿宋" w:cs="宋体"/>
                <w:b/>
                <w:sz w:val="22"/>
                <w:szCs w:val="22"/>
              </w:rPr>
            </w:pPr>
          </w:p>
        </w:tc>
        <w:tc>
          <w:tcPr>
            <w:tcW w:w="1747" w:type="dxa"/>
            <w:tcBorders>
              <w:bottom w:val="single" w:color="000000" w:sz="12" w:space="0"/>
            </w:tcBorders>
            <w:vAlign w:val="center"/>
          </w:tcPr>
          <w:p>
            <w:pPr>
              <w:rPr>
                <w:rFonts w:ascii="仿宋" w:hAnsi="仿宋" w:eastAsia="仿宋" w:cs="宋体"/>
                <w:b/>
                <w:sz w:val="22"/>
                <w:szCs w:val="22"/>
              </w:rPr>
            </w:pPr>
          </w:p>
        </w:tc>
        <w:tc>
          <w:tcPr>
            <w:tcW w:w="4383" w:type="dxa"/>
            <w:gridSpan w:val="2"/>
            <w:tcBorders>
              <w:bottom w:val="single" w:color="000000" w:sz="12" w:space="0"/>
            </w:tcBorders>
            <w:vAlign w:val="center"/>
          </w:tcPr>
          <w:p>
            <w:pPr>
              <w:rPr>
                <w:rFonts w:ascii="仿宋" w:hAnsi="仿宋" w:eastAsia="仿宋" w:cs="宋体"/>
              </w:rPr>
            </w:pPr>
          </w:p>
        </w:tc>
        <w:tc>
          <w:tcPr>
            <w:tcW w:w="2835" w:type="dxa"/>
            <w:tcBorders>
              <w:bottom w:val="single" w:color="000000" w:sz="12" w:space="0"/>
            </w:tcBorders>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开标地点：</w:t>
            </w:r>
          </w:p>
        </w:tc>
        <w:tc>
          <w:tcPr>
            <w:tcW w:w="2265" w:type="dxa"/>
            <w:tcBorders>
              <w:bottom w:val="single" w:color="000000" w:sz="12" w:space="0"/>
            </w:tcBorders>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1231" w:hRule="atLeast"/>
        </w:trPr>
        <w:tc>
          <w:tcPr>
            <w:tcW w:w="1276"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投标人</w:t>
            </w:r>
          </w:p>
        </w:tc>
        <w:tc>
          <w:tcPr>
            <w:tcW w:w="17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递交时间</w:t>
            </w:r>
          </w:p>
        </w:tc>
        <w:tc>
          <w:tcPr>
            <w:tcW w:w="2150"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密封合格与否</w:t>
            </w:r>
          </w:p>
          <w:p>
            <w:pPr>
              <w:jc w:val="center"/>
              <w:textAlignment w:val="center"/>
              <w:rPr>
                <w:rFonts w:ascii="仿宋" w:hAnsi="仿宋" w:eastAsia="仿宋" w:cs="宋体"/>
                <w:b/>
                <w:szCs w:val="21"/>
              </w:rPr>
            </w:pPr>
            <w:r>
              <w:rPr>
                <w:rFonts w:hint="eastAsia" w:ascii="仿宋" w:hAnsi="仿宋" w:eastAsia="仿宋" w:cs="宋体"/>
                <w:b/>
                <w:szCs w:val="21"/>
              </w:rPr>
              <w:t>（签收人确认）</w:t>
            </w:r>
          </w:p>
        </w:tc>
        <w:tc>
          <w:tcPr>
            <w:tcW w:w="2233"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联系方式</w:t>
            </w:r>
          </w:p>
        </w:tc>
        <w:tc>
          <w:tcPr>
            <w:tcW w:w="2835"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签收回执确认</w:t>
            </w:r>
          </w:p>
        </w:tc>
        <w:tc>
          <w:tcPr>
            <w:tcW w:w="2265"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签收人</w:t>
            </w:r>
          </w:p>
        </w:tc>
      </w:tr>
      <w:tr>
        <w:tblPrEx>
          <w:tblCellMar>
            <w:top w:w="15" w:type="dxa"/>
            <w:left w:w="15" w:type="dxa"/>
            <w:bottom w:w="15" w:type="dxa"/>
            <w:right w:w="15" w:type="dxa"/>
          </w:tblCellMar>
        </w:tblPrEx>
        <w:trPr>
          <w:trHeight w:val="542" w:hRule="atLeast"/>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restart"/>
            <w:tcBorders>
              <w:top w:val="single" w:color="000000" w:sz="4" w:space="0"/>
              <w:left w:val="single" w:color="000000" w:sz="4" w:space="0"/>
              <w:bottom w:val="single" w:color="000000" w:sz="4" w:space="0"/>
              <w:right w:val="single" w:color="000000" w:sz="4" w:space="0"/>
            </w:tcBorders>
          </w:tcPr>
          <w:p>
            <w:pPr>
              <w:jc w:val="center"/>
              <w:textAlignment w:val="center"/>
              <w:rPr>
                <w:rStyle w:val="36"/>
                <w:rFonts w:hint="default" w:ascii="仿宋" w:hAnsi="仿宋" w:eastAsia="仿宋"/>
                <w:color w:val="auto"/>
              </w:rPr>
            </w:pPr>
            <w:r>
              <w:rPr>
                <w:rStyle w:val="36"/>
                <w:rFonts w:hint="default" w:ascii="仿宋" w:hAnsi="仿宋" w:eastAsia="仿宋"/>
                <w:color w:val="auto"/>
              </w:rPr>
              <w:t xml:space="preserve">  </w:t>
            </w:r>
          </w:p>
          <w:p>
            <w:pPr>
              <w:jc w:val="center"/>
              <w:textAlignment w:val="center"/>
              <w:rPr>
                <w:rFonts w:ascii="仿宋" w:hAnsi="仿宋" w:eastAsia="仿宋" w:cs="Eʩ"/>
                <w:szCs w:val="21"/>
                <w:u w:val="single"/>
              </w:rPr>
            </w:pPr>
            <w:r>
              <w:rPr>
                <w:rStyle w:val="36"/>
                <w:rFonts w:hint="default" w:ascii="仿宋" w:hAnsi="仿宋" w:eastAsia="仿宋"/>
                <w:color w:val="auto"/>
              </w:rPr>
              <w:t>年  月  日</w:t>
            </w:r>
          </w:p>
          <w:p>
            <w:pPr>
              <w:jc w:val="center"/>
              <w:rPr>
                <w:rFonts w:ascii="仿宋" w:hAnsi="仿宋" w:eastAsia="仿宋" w:cs="Eʩ"/>
                <w:sz w:val="32"/>
                <w:szCs w:val="32"/>
              </w:rPr>
            </w:pPr>
            <w:r>
              <w:rPr>
                <w:rStyle w:val="36"/>
                <w:rFonts w:hint="default" w:ascii="仿宋" w:hAnsi="仿宋" w:eastAsia="仿宋"/>
                <w:color w:val="auto"/>
              </w:rPr>
              <w:t>时   分</w:t>
            </w:r>
          </w:p>
        </w:tc>
        <w:tc>
          <w:tcPr>
            <w:tcW w:w="2150"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szCs w:val="21"/>
              </w:rPr>
            </w:pPr>
            <w:r>
              <w:rPr>
                <w:rFonts w:hint="eastAsia" w:ascii="仿宋" w:hAnsi="仿宋" w:eastAsia="仿宋" w:cs="黑体"/>
                <w:szCs w:val="21"/>
              </w:rPr>
              <w:t>□</w:t>
            </w:r>
            <w:r>
              <w:rPr>
                <w:rFonts w:hint="eastAsia" w:ascii="仿宋" w:hAnsi="仿宋" w:eastAsia="仿宋" w:cs="Eʩ"/>
                <w:szCs w:val="21"/>
              </w:rPr>
              <w:t>是</w:t>
            </w:r>
          </w:p>
          <w:p>
            <w:pPr>
              <w:jc w:val="center"/>
              <w:textAlignment w:val="center"/>
              <w:rPr>
                <w:rFonts w:ascii="仿宋" w:hAnsi="仿宋" w:eastAsia="仿宋" w:cs="Eʩ"/>
                <w:szCs w:val="21"/>
              </w:rPr>
            </w:pPr>
          </w:p>
          <w:p>
            <w:pPr>
              <w:jc w:val="center"/>
              <w:textAlignment w:val="center"/>
              <w:rPr>
                <w:rFonts w:ascii="仿宋" w:hAnsi="仿宋" w:eastAsia="仿宋" w:cs="宋体"/>
                <w:b/>
                <w:bCs/>
                <w:szCs w:val="21"/>
              </w:rPr>
            </w:pPr>
            <w:r>
              <w:rPr>
                <w:rFonts w:hint="eastAsia" w:ascii="仿宋" w:hAnsi="仿宋" w:eastAsia="仿宋" w:cs="黑体"/>
                <w:szCs w:val="21"/>
              </w:rPr>
              <w:t>□</w:t>
            </w:r>
            <w:r>
              <w:rPr>
                <w:rFonts w:hint="eastAsia" w:ascii="仿宋" w:hAnsi="仿宋" w:eastAsia="仿宋" w:cs="Eʩ"/>
                <w:szCs w:val="21"/>
              </w:rPr>
              <w:t>否</w:t>
            </w:r>
          </w:p>
        </w:tc>
        <w:tc>
          <w:tcPr>
            <w:tcW w:w="2233" w:type="dxa"/>
            <w:tcBorders>
              <w:top w:val="single" w:color="000000" w:sz="4" w:space="0"/>
              <w:left w:val="single" w:color="auto" w:sz="4" w:space="0"/>
              <w:bottom w:val="single" w:color="auto" w:sz="4" w:space="0"/>
            </w:tcBorders>
          </w:tcPr>
          <w:p>
            <w:pPr>
              <w:jc w:val="left"/>
              <w:textAlignment w:val="center"/>
              <w:rPr>
                <w:rFonts w:ascii="仿宋" w:hAnsi="仿宋" w:eastAsia="仿宋" w:cs="Eʩ"/>
                <w:szCs w:val="21"/>
                <w:u w:val="single"/>
              </w:rPr>
            </w:pPr>
            <w:r>
              <w:rPr>
                <w:rFonts w:hint="eastAsia" w:ascii="仿宋" w:hAnsi="仿宋" w:eastAsia="仿宋" w:cs="宋体"/>
                <w:szCs w:val="21"/>
              </w:rPr>
              <w:t>联系人：</w:t>
            </w:r>
          </w:p>
        </w:tc>
        <w:tc>
          <w:tcPr>
            <w:tcW w:w="2835"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宋体"/>
                <w:szCs w:val="21"/>
              </w:rPr>
            </w:pPr>
          </w:p>
          <w:p>
            <w:pPr>
              <w:jc w:val="center"/>
              <w:rPr>
                <w:rFonts w:ascii="仿宋" w:hAnsi="仿宋" w:eastAsia="仿宋" w:cs="宋体"/>
                <w:szCs w:val="21"/>
              </w:rPr>
            </w:pPr>
            <w:r>
              <w:rPr>
                <w:rFonts w:hint="eastAsia" w:ascii="仿宋" w:hAnsi="仿宋" w:eastAsia="仿宋" w:cs="宋体"/>
                <w:szCs w:val="21"/>
              </w:rPr>
              <w:t>投标人代表签字：</w:t>
            </w:r>
          </w:p>
          <w:p>
            <w:pPr>
              <w:jc w:val="left"/>
              <w:rPr>
                <w:rFonts w:ascii="仿宋" w:hAnsi="仿宋" w:eastAsia="仿宋" w:cs="Eʩ"/>
                <w:sz w:val="32"/>
                <w:szCs w:val="32"/>
                <w:u w:val="single"/>
              </w:rPr>
            </w:pPr>
            <w:r>
              <w:rPr>
                <w:rFonts w:ascii="仿宋" w:hAnsi="仿宋" w:eastAsia="仿宋" w:cs="Eʩ"/>
                <w:sz w:val="32"/>
                <w:szCs w:val="32"/>
                <w:u w:val="single"/>
              </w:rPr>
              <w:t xml:space="preserve">         </w:t>
            </w:r>
            <w:r>
              <w:rPr>
                <w:rFonts w:hint="eastAsia" w:ascii="仿宋" w:hAnsi="仿宋" w:eastAsia="仿宋" w:cs="Eʩ"/>
                <w:sz w:val="32"/>
                <w:szCs w:val="32"/>
                <w:u w:val="single"/>
              </w:rPr>
              <w:t xml:space="preserve">    </w:t>
            </w:r>
            <w:r>
              <w:rPr>
                <w:rFonts w:ascii="仿宋" w:hAnsi="仿宋" w:eastAsia="仿宋" w:cs="Eʩ"/>
                <w:sz w:val="32"/>
                <w:szCs w:val="32"/>
                <w:u w:val="single"/>
              </w:rPr>
              <w:t xml:space="preserve">    </w:t>
            </w:r>
          </w:p>
        </w:tc>
        <w:tc>
          <w:tcPr>
            <w:tcW w:w="2265" w:type="dxa"/>
            <w:vMerge w:val="restart"/>
            <w:tcBorders>
              <w:top w:val="single" w:color="000000" w:sz="4" w:space="0"/>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22"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single" w:color="auto" w:sz="4" w:space="0"/>
            </w:tcBorders>
          </w:tcPr>
          <w:p>
            <w:pPr>
              <w:jc w:val="left"/>
              <w:textAlignment w:val="center"/>
              <w:rPr>
                <w:rFonts w:ascii="仿宋" w:hAnsi="仿宋" w:eastAsia="仿宋" w:cs="Eʩ"/>
                <w:b/>
                <w:bCs/>
                <w:szCs w:val="21"/>
                <w:u w:val="single"/>
              </w:rPr>
            </w:pPr>
            <w:r>
              <w:rPr>
                <w:rFonts w:hint="eastAsia" w:ascii="仿宋" w:hAnsi="仿宋" w:eastAsia="仿宋" w:cs="宋体"/>
                <w:szCs w:val="21"/>
              </w:rPr>
              <w:t>电话：</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16"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bottom w:val="nil"/>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nil"/>
            </w:tcBorders>
          </w:tcPr>
          <w:p>
            <w:pPr>
              <w:jc w:val="left"/>
              <w:textAlignment w:val="center"/>
              <w:rPr>
                <w:rFonts w:ascii="仿宋" w:hAnsi="仿宋" w:eastAsia="仿宋" w:cs="Eʩ"/>
                <w:szCs w:val="21"/>
                <w:u w:val="single"/>
              </w:rPr>
            </w:pPr>
            <w:r>
              <w:rPr>
                <w:rFonts w:hint="eastAsia" w:ascii="仿宋" w:hAnsi="仿宋" w:eastAsia="仿宋" w:cs="宋体"/>
                <w:szCs w:val="21"/>
              </w:rPr>
              <w:t>邮箱：</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bottom w:val="nil"/>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33" w:hRule="atLeast"/>
        </w:trPr>
        <w:tc>
          <w:tcPr>
            <w:tcW w:w="1276" w:type="dxa"/>
            <w:tcBorders>
              <w:top w:val="single" w:color="000000" w:sz="12" w:space="0"/>
            </w:tcBorders>
            <w:vAlign w:val="center"/>
          </w:tcPr>
          <w:p>
            <w:pPr>
              <w:textAlignment w:val="center"/>
              <w:rPr>
                <w:rFonts w:ascii="仿宋" w:hAnsi="仿宋" w:eastAsia="仿宋" w:cs="宋体"/>
              </w:rPr>
            </w:pPr>
          </w:p>
        </w:tc>
        <w:tc>
          <w:tcPr>
            <w:tcW w:w="13038" w:type="dxa"/>
            <w:gridSpan w:val="6"/>
            <w:tcBorders>
              <w:top w:val="single" w:color="000000" w:sz="12" w:space="0"/>
            </w:tcBorders>
            <w:vAlign w:val="center"/>
          </w:tcPr>
          <w:p>
            <w:pPr>
              <w:rPr>
                <w:rFonts w:ascii="仿宋" w:hAnsi="仿宋" w:eastAsia="仿宋" w:cs="宋体"/>
                <w:u w:val="single"/>
              </w:rPr>
            </w:pPr>
          </w:p>
        </w:tc>
      </w:tr>
      <w:tr>
        <w:tblPrEx>
          <w:tblCellMar>
            <w:top w:w="15" w:type="dxa"/>
            <w:left w:w="15" w:type="dxa"/>
            <w:bottom w:w="15" w:type="dxa"/>
            <w:right w:w="15" w:type="dxa"/>
          </w:tblCellMar>
        </w:tblPrEx>
        <w:trPr>
          <w:trHeight w:val="788" w:hRule="atLeast"/>
        </w:trPr>
        <w:tc>
          <w:tcPr>
            <w:tcW w:w="14314" w:type="dxa"/>
            <w:gridSpan w:val="7"/>
            <w:vAlign w:val="bottom"/>
          </w:tcPr>
          <w:p>
            <w:pPr>
              <w:textAlignment w:val="bottom"/>
              <w:rPr>
                <w:rFonts w:ascii="仿宋" w:hAnsi="仿宋" w:eastAsia="仿宋" w:cs="宋体"/>
              </w:rPr>
            </w:pPr>
            <w:r>
              <w:rPr>
                <w:rFonts w:hint="eastAsia" w:ascii="仿宋" w:hAnsi="仿宋" w:eastAsia="仿宋" w:cs="宋体"/>
              </w:rPr>
              <w:t>备注：请以正楷字填写各项目内容，“递交时间”、“联系方式”请在现场签收时填写。我公司将向投标人出具投标文件签收回执，请投标人代表在“签收回执确认”签字确认。</w:t>
            </w:r>
          </w:p>
        </w:tc>
      </w:tr>
    </w:tbl>
    <w:p>
      <w:pPr>
        <w:spacing w:line="360" w:lineRule="auto"/>
        <w:rPr>
          <w:rFonts w:ascii="仿宋" w:hAnsi="仿宋" w:eastAsia="仿宋"/>
          <w:sz w:val="24"/>
        </w:rPr>
        <w:sectPr>
          <w:pgSz w:w="16838" w:h="11906" w:orient="landscape"/>
          <w:pgMar w:top="1803" w:right="1440" w:bottom="1803" w:left="1440" w:header="851" w:footer="992" w:gutter="0"/>
          <w:cols w:space="720" w:num="1"/>
          <w:docGrid w:type="lines" w:linePitch="319" w:charSpace="0"/>
        </w:sectPr>
      </w:pPr>
    </w:p>
    <w:p>
      <w:pPr>
        <w:spacing w:line="360" w:lineRule="auto"/>
      </w:pPr>
      <w: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rPr>
      </w:pPr>
    </w:p>
    <w:p>
      <w:r>
        <w:rPr>
          <w:rFonts w:hint="eastAsia"/>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
      <w: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sectPr>
      <w:footerReference r:id="rId7" w:type="default"/>
      <w:footerReference r:id="rId8" w:type="even"/>
      <w:pgSz w:w="11906" w:h="16838"/>
      <w:pgMar w:top="720" w:right="1274" w:bottom="720" w:left="1276"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Eʩ">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Segoe UI Symbol">
    <w:panose1 w:val="020B0502040204020203"/>
    <w:charset w:val="00"/>
    <w:family w:val="swiss"/>
    <w:pitch w:val="default"/>
    <w:sig w:usb0="8000006F" w:usb1="1200FBEF" w:usb2="0064C000" w:usb3="00000002" w:csb0="00000001" w:csb1="4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35</w: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82</w: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81</w:t>
    </w:r>
    <w:r>
      <w:fldChar w:fldCharType="end"/>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93</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92</w:t>
    </w:r>
    <w:r>
      <w:fldChar w:fldCharType="end"/>
    </w:r>
  </w:p>
  <w:p>
    <w:pPr>
      <w:pStyle w:val="14"/>
      <w:ind w:right="360"/>
    </w:pPr>
  </w:p>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D89C6"/>
    <w:multiLevelType w:val="singleLevel"/>
    <w:tmpl w:val="587D89C6"/>
    <w:lvl w:ilvl="0" w:tentative="0">
      <w:start w:val="1"/>
      <w:numFmt w:val="decimal"/>
      <w:suff w:val="nothing"/>
      <w:lvlText w:val="%1、"/>
      <w:lvlJc w:val="left"/>
    </w:lvl>
  </w:abstractNum>
  <w:abstractNum w:abstractNumId="1">
    <w:nsid w:val="58807131"/>
    <w:multiLevelType w:val="singleLevel"/>
    <w:tmpl w:val="58807131"/>
    <w:lvl w:ilvl="0" w:tentative="0">
      <w:start w:val="1"/>
      <w:numFmt w:val="decimal"/>
      <w:suff w:val="nothing"/>
      <w:lvlText w:val="%1、"/>
      <w:lvlJc w:val="left"/>
    </w:lvl>
  </w:abstractNum>
  <w:abstractNum w:abstractNumId="2">
    <w:nsid w:val="58EC9FF9"/>
    <w:multiLevelType w:val="singleLevel"/>
    <w:tmpl w:val="58EC9FF9"/>
    <w:lvl w:ilvl="0" w:tentative="0">
      <w:start w:val="2"/>
      <w:numFmt w:val="decimal"/>
      <w:suff w:val="nothing"/>
      <w:lvlText w:val="%1、"/>
      <w:lvlJc w:val="left"/>
    </w:lvl>
  </w:abstractNum>
  <w:abstractNum w:abstractNumId="3">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59C07086"/>
    <w:multiLevelType w:val="singleLevel"/>
    <w:tmpl w:val="59C07086"/>
    <w:lvl w:ilvl="0" w:tentative="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6D53"/>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367C"/>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6D4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7F5B"/>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57E9"/>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43AF"/>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0C65"/>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484"/>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224"/>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3236A2"/>
    <w:rsid w:val="7E9C1324"/>
    <w:rsid w:val="7EE36967"/>
    <w:rsid w:val="7F4108E0"/>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qFormat/>
    <w:uiPriority w:val="0"/>
    <w:pPr>
      <w:ind w:firstLine="200" w:firstLineChars="200"/>
    </w:pPr>
  </w:style>
  <w:style w:type="paragraph" w:styleId="7">
    <w:name w:val="Document Map"/>
    <w:basedOn w:val="1"/>
    <w:link w:val="33"/>
    <w:qFormat/>
    <w:uiPriority w:val="0"/>
    <w:rPr>
      <w:rFonts w:ascii="宋体"/>
      <w:sz w:val="18"/>
      <w:szCs w:val="18"/>
    </w:rPr>
  </w:style>
  <w:style w:type="paragraph" w:styleId="8">
    <w:name w:val="annotation text"/>
    <w:basedOn w:val="1"/>
    <w:link w:val="31"/>
    <w:qFormat/>
    <w:uiPriority w:val="0"/>
    <w:pPr>
      <w:jc w:val="left"/>
    </w:pPr>
  </w:style>
  <w:style w:type="paragraph" w:styleId="9">
    <w:name w:val="Body Text Indent"/>
    <w:basedOn w:val="1"/>
    <w:qFormat/>
    <w:uiPriority w:val="0"/>
    <w:pPr>
      <w:ind w:firstLine="630"/>
    </w:pPr>
    <w:rPr>
      <w:sz w:val="32"/>
      <w:szCs w:val="20"/>
    </w:r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toc 8"/>
    <w:basedOn w:val="1"/>
    <w:next w:val="1"/>
    <w:qFormat/>
    <w:uiPriority w:val="0"/>
    <w:pPr>
      <w:ind w:left="2940" w:leftChars="1400"/>
    </w:pPr>
  </w:style>
  <w:style w:type="paragraph" w:styleId="13">
    <w:name w:val="Balloon Text"/>
    <w:basedOn w:val="1"/>
    <w:link w:val="30"/>
    <w:qFormat/>
    <w:uiPriority w:val="0"/>
    <w:rPr>
      <w:sz w:val="18"/>
      <w:szCs w:val="18"/>
    </w:rPr>
  </w:style>
  <w:style w:type="paragraph" w:styleId="14">
    <w:name w:val="footer"/>
    <w:basedOn w:val="1"/>
    <w:link w:val="45"/>
    <w:qFormat/>
    <w:uiPriority w:val="99"/>
    <w:pPr>
      <w:tabs>
        <w:tab w:val="center" w:pos="4153"/>
        <w:tab w:val="right" w:pos="8306"/>
      </w:tabs>
      <w:snapToGrid w:val="0"/>
      <w:jc w:val="left"/>
    </w:pPr>
    <w:rPr>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39"/>
  </w:style>
  <w:style w:type="paragraph" w:styleId="17">
    <w:name w:val="toc 4"/>
    <w:basedOn w:val="1"/>
    <w:next w:val="1"/>
    <w:qFormat/>
    <w:uiPriority w:val="0"/>
    <w:pPr>
      <w:ind w:left="1260" w:leftChars="600"/>
    </w:pPr>
  </w:style>
  <w:style w:type="paragraph" w:styleId="18">
    <w:name w:val="toc 6"/>
    <w:basedOn w:val="1"/>
    <w:next w:val="1"/>
    <w:qFormat/>
    <w:uiPriority w:val="0"/>
    <w:pPr>
      <w:ind w:left="2100" w:leftChars="1000"/>
    </w:pPr>
  </w:style>
  <w:style w:type="paragraph" w:styleId="19">
    <w:name w:val="toc 2"/>
    <w:basedOn w:val="1"/>
    <w:next w:val="1"/>
    <w:qFormat/>
    <w:uiPriority w:val="0"/>
    <w:pPr>
      <w:ind w:left="420" w:leftChars="200"/>
    </w:pPr>
  </w:style>
  <w:style w:type="paragraph" w:styleId="20">
    <w:name w:val="toc 9"/>
    <w:basedOn w:val="1"/>
    <w:next w:val="1"/>
    <w:qFormat/>
    <w:uiPriority w:val="0"/>
    <w:pPr>
      <w:ind w:left="3360" w:leftChars="1600"/>
    </w:pPr>
  </w:style>
  <w:style w:type="paragraph" w:styleId="21">
    <w:name w:val="Normal (Web)"/>
    <w:basedOn w:val="1"/>
    <w:qFormat/>
    <w:uiPriority w:val="0"/>
    <w:pPr>
      <w:widowControl/>
      <w:spacing w:before="100" w:beforeAutospacing="1" w:after="100" w:afterAutospacing="1"/>
      <w:jc w:val="left"/>
    </w:pPr>
    <w:rPr>
      <w:rFonts w:ascii="宋体"/>
      <w:kern w:val="0"/>
      <w:sz w:val="18"/>
      <w:szCs w:val="18"/>
    </w:rPr>
  </w:style>
  <w:style w:type="paragraph" w:styleId="22">
    <w:name w:val="annotation subject"/>
    <w:basedOn w:val="8"/>
    <w:next w:val="8"/>
    <w:link w:val="37"/>
    <w:qFormat/>
    <w:uiPriority w:val="0"/>
    <w:rPr>
      <w:b/>
      <w:bCs/>
    </w:rPr>
  </w:style>
  <w:style w:type="table" w:styleId="24">
    <w:name w:val="Table Grid"/>
    <w:basedOn w:val="2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qFormat/>
    <w:uiPriority w:val="0"/>
  </w:style>
  <w:style w:type="character" w:styleId="27">
    <w:name w:val="FollowedHyperlink"/>
    <w:basedOn w:val="25"/>
    <w:semiHidden/>
    <w:unhideWhenUsed/>
    <w:uiPriority w:val="0"/>
    <w:rPr>
      <w:color w:val="954F72" w:themeColor="followedHyperlink"/>
      <w:u w:val="single"/>
      <w14:textFill>
        <w14:solidFill>
          <w14:schemeClr w14:val="folHlink"/>
        </w14:solidFill>
      </w14:textFill>
    </w:rPr>
  </w:style>
  <w:style w:type="character" w:styleId="28">
    <w:name w:val="Hyperlink"/>
    <w:basedOn w:val="25"/>
    <w:unhideWhenUsed/>
    <w:uiPriority w:val="99"/>
    <w:rPr>
      <w:color w:val="0563C1" w:themeColor="hyperlink"/>
      <w:u w:val="single"/>
      <w14:textFill>
        <w14:solidFill>
          <w14:schemeClr w14:val="hlink"/>
        </w14:solidFill>
      </w14:textFill>
    </w:rPr>
  </w:style>
  <w:style w:type="character" w:styleId="29">
    <w:name w:val="annotation reference"/>
    <w:qFormat/>
    <w:uiPriority w:val="99"/>
    <w:rPr>
      <w:sz w:val="21"/>
      <w:szCs w:val="21"/>
    </w:rPr>
  </w:style>
  <w:style w:type="character" w:customStyle="1" w:styleId="30">
    <w:name w:val="批注框文本 Char"/>
    <w:link w:val="13"/>
    <w:qFormat/>
    <w:uiPriority w:val="0"/>
    <w:rPr>
      <w:kern w:val="2"/>
      <w:sz w:val="18"/>
      <w:szCs w:val="18"/>
    </w:rPr>
  </w:style>
  <w:style w:type="character" w:customStyle="1" w:styleId="31">
    <w:name w:val="批注文字 Char"/>
    <w:link w:val="8"/>
    <w:qFormat/>
    <w:uiPriority w:val="0"/>
    <w:rPr>
      <w:kern w:val="2"/>
      <w:sz w:val="21"/>
      <w:szCs w:val="24"/>
    </w:rPr>
  </w:style>
  <w:style w:type="character" w:customStyle="1" w:styleId="32">
    <w:name w:val="font91"/>
    <w:qFormat/>
    <w:uiPriority w:val="0"/>
    <w:rPr>
      <w:rFonts w:hint="eastAsia" w:ascii="宋体" w:hAnsi="宋体" w:eastAsia="宋体" w:cs="宋体"/>
      <w:color w:val="FF0000"/>
      <w:sz w:val="21"/>
      <w:szCs w:val="21"/>
      <w:u w:val="single"/>
    </w:rPr>
  </w:style>
  <w:style w:type="character" w:customStyle="1" w:styleId="33">
    <w:name w:val="文档结构图 Char"/>
    <w:link w:val="7"/>
    <w:qFormat/>
    <w:uiPriority w:val="0"/>
    <w:rPr>
      <w:rFonts w:ascii="宋体"/>
      <w:kern w:val="2"/>
      <w:sz w:val="18"/>
      <w:szCs w:val="18"/>
    </w:rPr>
  </w:style>
  <w:style w:type="character" w:customStyle="1" w:styleId="34">
    <w:name w:val="font101"/>
    <w:qFormat/>
    <w:uiPriority w:val="0"/>
    <w:rPr>
      <w:rFonts w:hint="eastAsia" w:ascii="宋体" w:hAnsi="宋体" w:eastAsia="宋体" w:cs="宋体"/>
      <w:color w:val="000000"/>
      <w:sz w:val="21"/>
      <w:szCs w:val="21"/>
      <w:u w:val="single"/>
    </w:rPr>
  </w:style>
  <w:style w:type="character" w:customStyle="1" w:styleId="35">
    <w:name w:val="font111"/>
    <w:qFormat/>
    <w:uiPriority w:val="0"/>
    <w:rPr>
      <w:rFonts w:hint="default" w:ascii="Eʩ" w:hAnsi="Eʩ" w:eastAsia="Eʩ" w:cs="Eʩ"/>
      <w:color w:val="000000"/>
      <w:sz w:val="21"/>
      <w:szCs w:val="21"/>
      <w:u w:val="single"/>
    </w:rPr>
  </w:style>
  <w:style w:type="character" w:customStyle="1" w:styleId="36">
    <w:name w:val="font31"/>
    <w:qFormat/>
    <w:uiPriority w:val="0"/>
    <w:rPr>
      <w:rFonts w:hint="eastAsia" w:ascii="宋体" w:hAnsi="宋体" w:eastAsia="宋体" w:cs="宋体"/>
      <w:color w:val="000000"/>
      <w:sz w:val="21"/>
      <w:szCs w:val="21"/>
      <w:u w:val="none"/>
    </w:rPr>
  </w:style>
  <w:style w:type="character" w:customStyle="1" w:styleId="37">
    <w:name w:val="批注主题 Char"/>
    <w:link w:val="22"/>
    <w:qFormat/>
    <w:uiPriority w:val="0"/>
    <w:rPr>
      <w:b/>
      <w:bCs/>
      <w:kern w:val="2"/>
      <w:sz w:val="21"/>
      <w:szCs w:val="24"/>
    </w:rPr>
  </w:style>
  <w:style w:type="character" w:customStyle="1" w:styleId="38">
    <w:name w:val="标题 1 Char"/>
    <w:link w:val="2"/>
    <w:qFormat/>
    <w:uiPriority w:val="0"/>
    <w:rPr>
      <w:b/>
      <w:bCs/>
      <w:kern w:val="44"/>
      <w:sz w:val="44"/>
      <w:szCs w:val="44"/>
    </w:rPr>
  </w:style>
  <w:style w:type="paragraph" w:customStyle="1" w:styleId="39">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0">
    <w:name w:val="样式 首行缩进:  2 字符"/>
    <w:basedOn w:val="1"/>
    <w:qFormat/>
    <w:uiPriority w:val="0"/>
    <w:pPr>
      <w:spacing w:line="400" w:lineRule="exact"/>
      <w:ind w:firstLine="200" w:firstLineChars="200"/>
    </w:pPr>
    <w:rPr>
      <w:rFonts w:cs="宋体"/>
      <w:sz w:val="24"/>
    </w:rPr>
  </w:style>
  <w:style w:type="paragraph" w:customStyle="1" w:styleId="41">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2">
    <w:name w:val="正文首行缩进两字符"/>
    <w:basedOn w:val="1"/>
    <w:qFormat/>
    <w:uiPriority w:val="0"/>
    <w:pPr>
      <w:spacing w:line="360" w:lineRule="auto"/>
      <w:ind w:firstLine="200" w:firstLineChars="200"/>
    </w:pPr>
  </w:style>
  <w:style w:type="character" w:customStyle="1" w:styleId="43">
    <w:name w:val="批注文字 Char1"/>
    <w:basedOn w:val="25"/>
    <w:qFormat/>
    <w:uiPriority w:val="0"/>
    <w:rPr>
      <w:rFonts w:ascii="Times New Roman" w:hAnsi="Times New Roman" w:eastAsia="宋体" w:cs="Times New Roman"/>
      <w:szCs w:val="24"/>
    </w:rPr>
  </w:style>
  <w:style w:type="paragraph" w:customStyle="1" w:styleId="44">
    <w:name w:val="Revision"/>
    <w:hidden/>
    <w:unhideWhenUsed/>
    <w:uiPriority w:val="99"/>
    <w:rPr>
      <w:rFonts w:ascii="Calibri" w:hAnsi="Calibri" w:eastAsia="宋体" w:cs="Times New Roman"/>
      <w:kern w:val="2"/>
      <w:sz w:val="21"/>
      <w:szCs w:val="24"/>
      <w:lang w:val="en-US" w:eastAsia="zh-CN" w:bidi="ar-SA"/>
    </w:rPr>
  </w:style>
  <w:style w:type="character" w:customStyle="1" w:styleId="45">
    <w:name w:val="页脚 Char"/>
    <w:link w:val="14"/>
    <w:qFormat/>
    <w:uiPriority w:val="99"/>
    <w:rPr>
      <w:kern w:val="2"/>
      <w:sz w:val="18"/>
    </w:rPr>
  </w:style>
  <w:style w:type="paragraph" w:styleId="46">
    <w:name w:val="List Paragraph"/>
    <w:basedOn w:val="1"/>
    <w:unhideWhenUsed/>
    <w:uiPriority w:val="99"/>
    <w:pPr>
      <w:ind w:firstLine="420" w:firstLineChars="200"/>
    </w:pPr>
  </w:style>
  <w:style w:type="paragraph" w:customStyle="1" w:styleId="47">
    <w:name w:val="封面标准名称"/>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5F71B8-2D2B-4FF6-875F-B65F73CD295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112</Pages>
  <Words>40878</Words>
  <Characters>42961</Characters>
  <Lines>327</Lines>
  <Paragraphs>92</Paragraphs>
  <TotalTime>18</TotalTime>
  <ScaleCrop>false</ScaleCrop>
  <LinksUpToDate>false</LinksUpToDate>
  <CharactersWithSpaces>43777</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2020-12-31T03:40:00Z</dcterms:created>
  <dc:creator>s</dc:creator>
  <cp:lastModifiedBy>Administrator</cp:lastModifiedBy>
  <dcterms:modified xsi:type="dcterms:W3CDTF">2021-06-16T08:16:34Z</dcterms:modified>
  <dc:title>招标编号：xxxx [xxxx] xx号</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