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0"/>
          <w:szCs w:val="30"/>
        </w:rPr>
      </w:pPr>
      <w:r>
        <w:rPr>
          <w:rFonts w:hint="eastAsia" w:ascii="黑体" w:hAnsi="黑体" w:eastAsia="黑体"/>
          <w:sz w:val="30"/>
          <w:szCs w:val="30"/>
        </w:rPr>
        <w:t>招标编号：510108202100092</w:t>
      </w:r>
    </w:p>
    <w:p>
      <w:pPr>
        <w:rPr>
          <w:rFonts w:ascii="黑体" w:hAnsi="黑体" w:eastAsia="黑体"/>
          <w:sz w:val="52"/>
          <w:szCs w:val="52"/>
        </w:rPr>
      </w:pPr>
    </w:p>
    <w:p>
      <w:pPr>
        <w:jc w:val="center"/>
        <w:rPr>
          <w:rFonts w:ascii="黑体" w:hAnsi="黑体" w:eastAsia="黑体"/>
          <w:sz w:val="48"/>
          <w:szCs w:val="48"/>
        </w:rPr>
      </w:pPr>
      <w:r>
        <w:rPr>
          <w:rFonts w:hint="eastAsia" w:ascii="黑体" w:hAnsi="黑体" w:eastAsia="黑体"/>
          <w:sz w:val="48"/>
          <w:szCs w:val="48"/>
        </w:rPr>
        <w:t>成华区部分学校2021年实验仪器采购项目</w:t>
      </w:r>
    </w:p>
    <w:p>
      <w:pPr>
        <w:rPr>
          <w:rFonts w:ascii="黑体" w:hAnsi="黑体" w:eastAsia="黑体"/>
          <w:sz w:val="52"/>
          <w:szCs w:val="52"/>
        </w:rPr>
      </w:pPr>
    </w:p>
    <w:p>
      <w:pPr>
        <w:tabs>
          <w:tab w:val="left" w:pos="2505"/>
          <w:tab w:val="center" w:pos="4204"/>
        </w:tabs>
        <w:jc w:val="center"/>
        <w:rPr>
          <w:rFonts w:ascii="黑体" w:hAnsi="黑体" w:eastAsia="黑体"/>
          <w:sz w:val="52"/>
          <w:szCs w:val="52"/>
        </w:rPr>
      </w:pPr>
      <w:r>
        <w:rPr>
          <w:rFonts w:hint="eastAsia" w:ascii="黑体" w:hAnsi="黑体" w:eastAsia="黑体"/>
          <w:sz w:val="52"/>
          <w:szCs w:val="52"/>
        </w:rPr>
        <w:t>招</w:t>
      </w:r>
    </w:p>
    <w:p>
      <w:pPr>
        <w:jc w:val="center"/>
        <w:rPr>
          <w:rFonts w:ascii="黑体" w:hAnsi="黑体" w:eastAsia="黑体"/>
          <w:sz w:val="52"/>
          <w:szCs w:val="52"/>
        </w:rPr>
      </w:pPr>
      <w:r>
        <w:rPr>
          <w:rFonts w:hint="eastAsia" w:ascii="黑体" w:hAnsi="黑体" w:eastAsia="黑体"/>
          <w:sz w:val="52"/>
          <w:szCs w:val="52"/>
        </w:rPr>
        <w:t>标</w:t>
      </w:r>
    </w:p>
    <w:p>
      <w:pPr>
        <w:jc w:val="center"/>
        <w:rPr>
          <w:rFonts w:ascii="黑体" w:hAnsi="黑体" w:eastAsia="黑体"/>
          <w:sz w:val="52"/>
          <w:szCs w:val="52"/>
        </w:rPr>
      </w:pPr>
      <w:r>
        <w:rPr>
          <w:rFonts w:hint="eastAsia" w:ascii="黑体" w:hAnsi="黑体" w:eastAsia="黑体"/>
          <w:sz w:val="52"/>
          <w:szCs w:val="52"/>
        </w:rPr>
        <w:t>文</w:t>
      </w:r>
    </w:p>
    <w:p>
      <w:pPr>
        <w:jc w:val="center"/>
        <w:rPr>
          <w:rFonts w:ascii="黑体" w:hAnsi="黑体" w:eastAsia="黑体"/>
          <w:sz w:val="52"/>
          <w:szCs w:val="52"/>
        </w:rPr>
      </w:pPr>
      <w:r>
        <w:rPr>
          <w:rFonts w:hint="eastAsia" w:ascii="黑体" w:hAnsi="黑体" w:eastAsia="黑体"/>
          <w:sz w:val="52"/>
          <w:szCs w:val="52"/>
        </w:rPr>
        <w:t>件</w:t>
      </w:r>
    </w:p>
    <w:p>
      <w:pPr>
        <w:spacing w:line="360" w:lineRule="auto"/>
        <w:rPr>
          <w:rFonts w:ascii="黑体" w:hAnsi="黑体" w:eastAsia="黑体"/>
          <w:sz w:val="32"/>
          <w:szCs w:val="32"/>
        </w:rPr>
      </w:pPr>
    </w:p>
    <w:p>
      <w:pPr>
        <w:spacing w:line="360" w:lineRule="auto"/>
        <w:jc w:val="center"/>
        <w:rPr>
          <w:rFonts w:ascii="黑体" w:hAnsi="黑体" w:eastAsia="黑体" w:cs="宋体"/>
          <w:sz w:val="32"/>
          <w:szCs w:val="32"/>
        </w:rPr>
      </w:pPr>
      <w:r>
        <w:rPr>
          <w:rFonts w:hint="eastAsia" w:ascii="黑体" w:hAnsi="黑体" w:eastAsia="黑体" w:cs="宋体"/>
          <w:sz w:val="32"/>
          <w:szCs w:val="32"/>
        </w:rPr>
        <w:t>成都市成华区教育技术装备管理服务中心</w:t>
      </w:r>
    </w:p>
    <w:p>
      <w:pPr>
        <w:spacing w:line="360" w:lineRule="auto"/>
        <w:jc w:val="center"/>
        <w:rPr>
          <w:rFonts w:ascii="黑体" w:hAnsi="黑体" w:eastAsia="黑体" w:cs="宋体"/>
          <w:sz w:val="32"/>
          <w:szCs w:val="32"/>
        </w:rPr>
      </w:pPr>
      <w:r>
        <w:rPr>
          <w:rFonts w:hint="eastAsia" w:ascii="黑体" w:hAnsi="黑体" w:eastAsia="黑体" w:cs="宋体"/>
          <w:sz w:val="32"/>
          <w:szCs w:val="32"/>
        </w:rPr>
        <w:t>四川国际招标有限责任公司</w:t>
      </w:r>
    </w:p>
    <w:p>
      <w:pPr>
        <w:spacing w:line="360" w:lineRule="auto"/>
        <w:jc w:val="center"/>
        <w:rPr>
          <w:rFonts w:ascii="黑体" w:hAnsi="黑体" w:eastAsia="黑体" w:cs="宋体"/>
          <w:sz w:val="32"/>
          <w:szCs w:val="32"/>
        </w:rPr>
      </w:pPr>
      <w:r>
        <w:rPr>
          <w:rFonts w:hint="eastAsia" w:ascii="黑体" w:hAnsi="黑体" w:eastAsia="黑体" w:cs="宋体"/>
          <w:sz w:val="32"/>
          <w:szCs w:val="32"/>
        </w:rPr>
        <w:t>共同编制</w:t>
      </w:r>
    </w:p>
    <w:p>
      <w:pPr>
        <w:spacing w:line="360" w:lineRule="auto"/>
        <w:jc w:val="center"/>
        <w:rPr>
          <w:rFonts w:ascii="黑体" w:hAnsi="黑体" w:eastAsia="黑体"/>
          <w:sz w:val="24"/>
        </w:rPr>
        <w:sectPr>
          <w:headerReference r:id="rId3" w:type="default"/>
          <w:footerReference r:id="rId4" w:type="default"/>
          <w:footerReference r:id="rId5" w:type="even"/>
          <w:pgSz w:w="11907" w:h="16840"/>
          <w:pgMar w:top="1418" w:right="1514" w:bottom="1418" w:left="1985" w:header="851" w:footer="992" w:gutter="0"/>
          <w:pgNumType w:start="1"/>
          <w:cols w:space="720" w:num="1"/>
          <w:titlePg/>
          <w:docGrid w:linePitch="312" w:charSpace="0"/>
        </w:sectPr>
      </w:pPr>
      <w:r>
        <w:rPr>
          <w:rFonts w:ascii="黑体" w:hAnsi="黑体" w:eastAsia="黑体" w:cs="宋体"/>
          <w:sz w:val="32"/>
          <w:szCs w:val="32"/>
          <w:lang w:val="zh-CN"/>
        </w:rPr>
        <w:t>2021</w:t>
      </w:r>
      <w:r>
        <w:rPr>
          <w:rFonts w:hint="eastAsia" w:ascii="黑体" w:hAnsi="黑体" w:eastAsia="黑体" w:cs="宋体"/>
          <w:sz w:val="32"/>
          <w:szCs w:val="32"/>
          <w:lang w:val="zh-CN"/>
        </w:rPr>
        <w:t>年6月</w:t>
      </w:r>
    </w:p>
    <w:p>
      <w:pPr>
        <w:jc w:val="center"/>
        <w:rPr>
          <w:rFonts w:ascii="仿宋" w:hAnsi="仿宋" w:eastAsia="仿宋"/>
          <w:b/>
          <w:bCs/>
          <w:sz w:val="36"/>
          <w:szCs w:val="36"/>
        </w:rPr>
      </w:pPr>
      <w:bookmarkStart w:id="0" w:name="_Hlt101233737"/>
      <w:bookmarkEnd w:id="0"/>
      <w:bookmarkStart w:id="1" w:name="_Hlt101843627"/>
      <w:bookmarkEnd w:id="1"/>
      <w:r>
        <w:rPr>
          <w:rFonts w:hint="eastAsia" w:ascii="仿宋" w:hAnsi="仿宋" w:eastAsia="仿宋"/>
          <w:b/>
          <w:bCs/>
          <w:sz w:val="36"/>
          <w:szCs w:val="36"/>
        </w:rPr>
        <w:t>目    录</w:t>
      </w:r>
    </w:p>
    <w:p>
      <w:pPr>
        <w:pStyle w:val="16"/>
        <w:tabs>
          <w:tab w:val="right" w:leader="middleDot" w:pos="8959"/>
        </w:tabs>
        <w:spacing w:line="480" w:lineRule="auto"/>
        <w:rPr>
          <w:rFonts w:ascii="仿宋" w:hAnsi="仿宋" w:eastAsia="仿宋" w:cs="宋体"/>
          <w:sz w:val="28"/>
          <w:szCs w:val="28"/>
        </w:rPr>
      </w:pPr>
    </w:p>
    <w:p>
      <w:pPr>
        <w:pStyle w:val="16"/>
        <w:tabs>
          <w:tab w:val="right" w:leader="middleDot" w:pos="8959"/>
        </w:tabs>
        <w:spacing w:line="480" w:lineRule="auto"/>
        <w:rPr>
          <w:rFonts w:ascii="仿宋" w:hAnsi="仿宋" w:eastAsia="仿宋" w:cs="宋体"/>
          <w:sz w:val="28"/>
          <w:szCs w:val="28"/>
        </w:rPr>
      </w:pP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TOC \o "1-1" \h \u </w:instrText>
      </w:r>
      <w:r>
        <w:rPr>
          <w:rFonts w:hint="eastAsia" w:ascii="仿宋" w:hAnsi="仿宋" w:eastAsia="仿宋" w:cs="宋体"/>
          <w:sz w:val="28"/>
          <w:szCs w:val="28"/>
        </w:rPr>
        <w:fldChar w:fldCharType="separate"/>
      </w:r>
      <w:r>
        <w:fldChar w:fldCharType="begin"/>
      </w:r>
      <w:r>
        <w:instrText xml:space="preserve"> HYPERLINK \l "_Toc6066" </w:instrText>
      </w:r>
      <w:r>
        <w:fldChar w:fldCharType="separate"/>
      </w:r>
      <w:r>
        <w:rPr>
          <w:rFonts w:hint="eastAsia" w:ascii="仿宋" w:hAnsi="仿宋" w:eastAsia="仿宋" w:cs="宋体"/>
          <w:sz w:val="28"/>
          <w:szCs w:val="28"/>
        </w:rPr>
        <w:t>第一章  投标</w:t>
      </w:r>
      <w:bookmarkStart w:id="2" w:name="_Hlt493498728"/>
      <w:bookmarkStart w:id="3" w:name="_Hlt493498729"/>
      <w:r>
        <w:rPr>
          <w:rFonts w:hint="eastAsia" w:ascii="仿宋" w:hAnsi="仿宋" w:eastAsia="仿宋" w:cs="宋体"/>
          <w:sz w:val="28"/>
          <w:szCs w:val="28"/>
        </w:rPr>
        <w:t>邀</w:t>
      </w:r>
      <w:bookmarkEnd w:id="2"/>
      <w:bookmarkEnd w:id="3"/>
      <w:r>
        <w:rPr>
          <w:rFonts w:hint="eastAsia" w:ascii="仿宋" w:hAnsi="仿宋" w:eastAsia="仿宋" w:cs="宋体"/>
          <w:sz w:val="28"/>
          <w:szCs w:val="28"/>
        </w:rPr>
        <w:t>请</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_Toc6066 </w:instrText>
      </w:r>
      <w:r>
        <w:rPr>
          <w:rFonts w:hint="eastAsia" w:ascii="仿宋" w:hAnsi="仿宋" w:eastAsia="仿宋" w:cs="宋体"/>
          <w:sz w:val="28"/>
          <w:szCs w:val="28"/>
        </w:rPr>
        <w:fldChar w:fldCharType="separate"/>
      </w:r>
      <w:r>
        <w:rPr>
          <w:rFonts w:ascii="仿宋" w:hAnsi="仿宋" w:eastAsia="仿宋" w:cs="宋体"/>
          <w:sz w:val="28"/>
          <w:szCs w:val="28"/>
        </w:rPr>
        <w:t>3</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"_Toc12420" </w:instrText>
      </w:r>
      <w:r>
        <w:fldChar w:fldCharType="separate"/>
      </w:r>
      <w:r>
        <w:rPr>
          <w:rFonts w:hint="eastAsia" w:ascii="仿宋" w:hAnsi="仿宋" w:eastAsia="仿宋" w:cs="宋体"/>
          <w:sz w:val="28"/>
          <w:szCs w:val="28"/>
        </w:rPr>
        <w:t>第二章  投标人须知</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_Toc12420 </w:instrText>
      </w:r>
      <w:r>
        <w:rPr>
          <w:rFonts w:hint="eastAsia" w:ascii="仿宋" w:hAnsi="仿宋" w:eastAsia="仿宋" w:cs="宋体"/>
          <w:sz w:val="28"/>
          <w:szCs w:val="28"/>
        </w:rPr>
        <w:fldChar w:fldCharType="separate"/>
      </w:r>
      <w:r>
        <w:rPr>
          <w:rFonts w:ascii="仿宋" w:hAnsi="仿宋" w:eastAsia="仿宋" w:cs="宋体"/>
          <w:sz w:val="28"/>
          <w:szCs w:val="28"/>
        </w:rPr>
        <w:t>6</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"_Toc24369" </w:instrText>
      </w:r>
      <w:r>
        <w:fldChar w:fldCharType="separate"/>
      </w:r>
      <w:r>
        <w:rPr>
          <w:rFonts w:hint="eastAsia" w:ascii="仿宋" w:hAnsi="仿宋" w:eastAsia="仿宋" w:cs="宋体"/>
          <w:sz w:val="28"/>
          <w:szCs w:val="28"/>
        </w:rPr>
        <w:t>第三章  投标文件格式</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_Toc24369 </w:instrText>
      </w:r>
      <w:r>
        <w:rPr>
          <w:rFonts w:hint="eastAsia" w:ascii="仿宋" w:hAnsi="仿宋" w:eastAsia="仿宋" w:cs="宋体"/>
          <w:sz w:val="28"/>
          <w:szCs w:val="28"/>
        </w:rPr>
        <w:fldChar w:fldCharType="separate"/>
      </w:r>
      <w:r>
        <w:rPr>
          <w:rFonts w:ascii="仿宋" w:hAnsi="仿宋" w:eastAsia="仿宋" w:cs="宋体"/>
          <w:sz w:val="28"/>
          <w:szCs w:val="28"/>
        </w:rPr>
        <w:t>24</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"_Toc28654" </w:instrText>
      </w:r>
      <w:r>
        <w:fldChar w:fldCharType="separate"/>
      </w:r>
      <w:r>
        <w:rPr>
          <w:rFonts w:hint="eastAsia" w:ascii="仿宋" w:hAnsi="仿宋" w:eastAsia="仿宋" w:cs="宋体"/>
          <w:sz w:val="28"/>
          <w:szCs w:val="28"/>
        </w:rPr>
        <w:t>第四章  投标人和投标产品的资格、资质性及其他类似效力要求</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_Toc28654 </w:instrText>
      </w:r>
      <w:r>
        <w:rPr>
          <w:rFonts w:hint="eastAsia" w:ascii="仿宋" w:hAnsi="仿宋" w:eastAsia="仿宋" w:cs="宋体"/>
          <w:sz w:val="28"/>
          <w:szCs w:val="28"/>
        </w:rPr>
        <w:fldChar w:fldCharType="separate"/>
      </w:r>
      <w:r>
        <w:rPr>
          <w:rFonts w:ascii="仿宋" w:hAnsi="仿宋" w:eastAsia="仿宋" w:cs="宋体"/>
          <w:sz w:val="28"/>
          <w:szCs w:val="28"/>
        </w:rPr>
        <w:t>41</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"_Toc3806" </w:instrText>
      </w:r>
      <w:r>
        <w:fldChar w:fldCharType="separate"/>
      </w:r>
      <w:r>
        <w:rPr>
          <w:rFonts w:hint="eastAsia" w:ascii="仿宋" w:hAnsi="仿宋" w:eastAsia="仿宋" w:cs="宋体"/>
          <w:sz w:val="28"/>
          <w:szCs w:val="28"/>
        </w:rPr>
        <w:t>第五章  投标人应当提供的资格、资质性及其他类似效力要求的相关证明材料</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_Toc3806 </w:instrText>
      </w:r>
      <w:r>
        <w:rPr>
          <w:rFonts w:hint="eastAsia" w:ascii="仿宋" w:hAnsi="仿宋" w:eastAsia="仿宋" w:cs="宋体"/>
          <w:sz w:val="28"/>
          <w:szCs w:val="28"/>
        </w:rPr>
        <w:fldChar w:fldCharType="separate"/>
      </w:r>
      <w:r>
        <w:rPr>
          <w:rFonts w:ascii="仿宋" w:hAnsi="仿宋" w:eastAsia="仿宋" w:cs="宋体"/>
          <w:sz w:val="28"/>
          <w:szCs w:val="28"/>
        </w:rPr>
        <w:t>46</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"_Toc2122" </w:instrText>
      </w:r>
      <w:r>
        <w:fldChar w:fldCharType="separate"/>
      </w:r>
      <w:r>
        <w:rPr>
          <w:rFonts w:hint="eastAsia" w:ascii="仿宋" w:hAnsi="仿宋" w:eastAsia="仿宋" w:cs="宋体"/>
          <w:sz w:val="28"/>
          <w:szCs w:val="28"/>
        </w:rPr>
        <w:t>第六章  招标项目技术、服务、商务及其他要求</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_Toc2122 </w:instrText>
      </w:r>
      <w:r>
        <w:rPr>
          <w:rFonts w:hint="eastAsia" w:ascii="仿宋" w:hAnsi="仿宋" w:eastAsia="仿宋" w:cs="宋体"/>
          <w:sz w:val="28"/>
          <w:szCs w:val="28"/>
        </w:rPr>
        <w:fldChar w:fldCharType="separate"/>
      </w:r>
      <w:r>
        <w:rPr>
          <w:rFonts w:ascii="仿宋" w:hAnsi="仿宋" w:eastAsia="仿宋" w:cs="宋体"/>
          <w:sz w:val="28"/>
          <w:szCs w:val="28"/>
        </w:rPr>
        <w:t>47</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"_Toc31810" </w:instrText>
      </w:r>
      <w:r>
        <w:fldChar w:fldCharType="separate"/>
      </w:r>
      <w:r>
        <w:rPr>
          <w:rFonts w:hint="eastAsia" w:ascii="仿宋" w:hAnsi="仿宋" w:eastAsia="仿宋" w:cs="宋体"/>
          <w:sz w:val="28"/>
          <w:szCs w:val="28"/>
        </w:rPr>
        <w:t>第七章  评标办法</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_Toc31810 </w:instrText>
      </w:r>
      <w:r>
        <w:rPr>
          <w:rFonts w:hint="eastAsia" w:ascii="仿宋" w:hAnsi="仿宋" w:eastAsia="仿宋" w:cs="宋体"/>
          <w:sz w:val="28"/>
          <w:szCs w:val="28"/>
        </w:rPr>
        <w:fldChar w:fldCharType="separate"/>
      </w:r>
      <w:r>
        <w:rPr>
          <w:rFonts w:ascii="仿宋" w:hAnsi="仿宋" w:eastAsia="仿宋" w:cs="宋体"/>
          <w:sz w:val="28"/>
          <w:szCs w:val="28"/>
        </w:rPr>
        <w:t>80</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"_Toc5845" </w:instrText>
      </w:r>
      <w:r>
        <w:fldChar w:fldCharType="separate"/>
      </w:r>
      <w:r>
        <w:rPr>
          <w:rFonts w:hint="eastAsia" w:ascii="仿宋" w:hAnsi="仿宋" w:eastAsia="仿宋" w:cs="宋体"/>
          <w:sz w:val="28"/>
          <w:szCs w:val="28"/>
        </w:rPr>
        <w:t>第八章  政府采购合同</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_Toc5845 </w:instrText>
      </w:r>
      <w:r>
        <w:rPr>
          <w:rFonts w:hint="eastAsia" w:ascii="仿宋" w:hAnsi="仿宋" w:eastAsia="仿宋" w:cs="宋体"/>
          <w:sz w:val="28"/>
          <w:szCs w:val="28"/>
        </w:rPr>
        <w:fldChar w:fldCharType="separate"/>
      </w:r>
      <w:r>
        <w:rPr>
          <w:rFonts w:ascii="仿宋" w:hAnsi="仿宋" w:eastAsia="仿宋" w:cs="宋体"/>
          <w:sz w:val="28"/>
          <w:szCs w:val="28"/>
        </w:rPr>
        <w:t>95</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sz w:val="28"/>
          <w:szCs w:val="28"/>
        </w:rPr>
        <w:sectPr>
          <w:pgSz w:w="11907" w:h="16840"/>
          <w:pgMar w:top="1440" w:right="1474" w:bottom="1440" w:left="1474" w:header="851" w:footer="992" w:gutter="0"/>
          <w:cols w:space="720" w:num="1"/>
          <w:docGrid w:linePitch="312" w:charSpace="0"/>
        </w:sectPr>
      </w:pPr>
      <w:r>
        <w:rPr>
          <w:rFonts w:hint="eastAsia" w:ascii="仿宋" w:hAnsi="仿宋" w:eastAsia="仿宋" w:cs="宋体"/>
          <w:sz w:val="28"/>
          <w:szCs w:val="28"/>
        </w:rPr>
        <w:fldChar w:fldCharType="end"/>
      </w:r>
      <w:bookmarkStart w:id="4" w:name="_Toc6066"/>
      <w:bookmarkStart w:id="5" w:name="_Toc24584"/>
    </w:p>
    <w:p>
      <w:pPr>
        <w:pStyle w:val="2"/>
        <w:spacing w:line="240" w:lineRule="atLeast"/>
        <w:jc w:val="center"/>
        <w:rPr>
          <w:rFonts w:ascii="仿宋" w:hAnsi="仿宋" w:eastAsia="仿宋"/>
          <w:sz w:val="36"/>
          <w:szCs w:val="36"/>
        </w:rPr>
      </w:pPr>
      <w:r>
        <w:rPr>
          <w:rFonts w:hint="eastAsia" w:ascii="仿宋" w:hAnsi="仿宋" w:eastAsia="仿宋"/>
          <w:sz w:val="36"/>
          <w:szCs w:val="36"/>
        </w:rPr>
        <w:t>第一章  投标邀请</w:t>
      </w:r>
      <w:bookmarkEnd w:id="4"/>
      <w:bookmarkEnd w:id="5"/>
    </w:p>
    <w:p>
      <w:pPr>
        <w:tabs>
          <w:tab w:val="left" w:pos="7665"/>
        </w:tabs>
        <w:spacing w:line="400" w:lineRule="exact"/>
        <w:ind w:firstLine="600" w:firstLineChars="250"/>
        <w:rPr>
          <w:rFonts w:ascii="仿宋" w:hAnsi="仿宋" w:eastAsia="仿宋" w:cs="宋体"/>
          <w:sz w:val="24"/>
        </w:rPr>
      </w:pPr>
      <w:r>
        <w:rPr>
          <w:rFonts w:hint="eastAsia" w:ascii="仿宋" w:hAnsi="仿宋" w:eastAsia="仿宋" w:cs="宋体"/>
          <w:sz w:val="24"/>
          <w:u w:val="single"/>
        </w:rPr>
        <w:t>四川国际招标有限责任公司</w:t>
      </w:r>
      <w:r>
        <w:rPr>
          <w:rFonts w:hint="eastAsia" w:ascii="仿宋" w:hAnsi="仿宋" w:eastAsia="仿宋" w:cs="宋体"/>
          <w:sz w:val="24"/>
        </w:rPr>
        <w:t>受</w:t>
      </w:r>
      <w:r>
        <w:rPr>
          <w:rFonts w:hint="eastAsia" w:ascii="仿宋" w:hAnsi="仿宋" w:eastAsia="仿宋" w:cs="宋体"/>
          <w:sz w:val="24"/>
          <w:u w:val="single"/>
        </w:rPr>
        <w:t>成都市成华区教育技术装备管理服务中心</w:t>
      </w:r>
      <w:r>
        <w:rPr>
          <w:rFonts w:hint="eastAsia" w:ascii="仿宋" w:hAnsi="仿宋" w:eastAsia="仿宋" w:cs="宋体"/>
          <w:sz w:val="24"/>
        </w:rPr>
        <w:t>委托，拟对</w:t>
      </w:r>
      <w:r>
        <w:rPr>
          <w:rFonts w:hint="eastAsia" w:ascii="仿宋" w:hAnsi="仿宋" w:eastAsia="仿宋" w:cs="宋体"/>
          <w:sz w:val="24"/>
          <w:u w:val="single"/>
        </w:rPr>
        <w:t>成华区部分学校2021年实验仪器采购项目</w:t>
      </w:r>
      <w:r>
        <w:rPr>
          <w:rFonts w:ascii="仿宋" w:hAnsi="仿宋" w:eastAsia="仿宋" w:cs="宋体"/>
          <w:sz w:val="24"/>
          <w:u w:val="single"/>
        </w:rPr>
        <w:t xml:space="preserve"> </w:t>
      </w:r>
      <w:bookmarkStart w:id="6" w:name="PO_默认文件内容_4"/>
      <w:r>
        <w:rPr>
          <w:rFonts w:hint="eastAsia" w:ascii="仿宋" w:hAnsi="仿宋" w:eastAsia="仿宋" w:cs="宋体"/>
          <w:sz w:val="24"/>
        </w:rPr>
        <w:t>进行国内公开招标，兹邀请符合本次招标要求的供应商参加投标。</w:t>
      </w:r>
      <w:bookmarkEnd w:id="6"/>
    </w:p>
    <w:p>
      <w:pPr>
        <w:spacing w:line="360" w:lineRule="auto"/>
        <w:ind w:firstLine="482" w:firstLineChars="200"/>
        <w:rPr>
          <w:rFonts w:ascii="仿宋" w:hAnsi="仿宋" w:eastAsia="仿宋"/>
          <w:b/>
          <w:sz w:val="24"/>
        </w:rPr>
      </w:pPr>
      <w:r>
        <w:rPr>
          <w:rFonts w:hint="eastAsia" w:ascii="仿宋" w:hAnsi="仿宋" w:eastAsia="仿宋"/>
          <w:b/>
          <w:sz w:val="24"/>
        </w:rPr>
        <w:t>一、招标编号：510108202100092。</w:t>
      </w:r>
    </w:p>
    <w:p>
      <w:pPr>
        <w:spacing w:line="360" w:lineRule="auto"/>
        <w:ind w:right="31" w:rightChars="15" w:firstLine="482" w:firstLineChars="200"/>
        <w:rPr>
          <w:rFonts w:ascii="仿宋" w:hAnsi="仿宋" w:eastAsia="仿宋"/>
          <w:b/>
          <w:sz w:val="24"/>
          <w:szCs w:val="32"/>
        </w:rPr>
      </w:pPr>
      <w:r>
        <w:rPr>
          <w:rFonts w:hint="eastAsia" w:ascii="仿宋" w:hAnsi="仿宋" w:eastAsia="仿宋"/>
          <w:b/>
          <w:bCs/>
          <w:sz w:val="24"/>
        </w:rPr>
        <w:t>二、</w:t>
      </w:r>
      <w:r>
        <w:rPr>
          <w:rFonts w:hint="eastAsia" w:ascii="仿宋" w:hAnsi="仿宋" w:eastAsia="仿宋"/>
          <w:b/>
          <w:sz w:val="24"/>
        </w:rPr>
        <w:t>招标项目：</w:t>
      </w:r>
      <w:r>
        <w:rPr>
          <w:rFonts w:hint="eastAsia" w:ascii="仿宋" w:hAnsi="仿宋" w:eastAsia="仿宋"/>
          <w:bCs/>
          <w:sz w:val="24"/>
          <w:szCs w:val="32"/>
        </w:rPr>
        <w:t>成华区部分学校2021年实验仪器采购项目</w:t>
      </w:r>
      <w:r>
        <w:rPr>
          <w:rFonts w:hint="eastAsia" w:ascii="仿宋" w:hAnsi="仿宋" w:eastAsia="仿宋"/>
          <w:b/>
          <w:sz w:val="24"/>
          <w:szCs w:val="32"/>
        </w:rPr>
        <w:t>。</w:t>
      </w:r>
    </w:p>
    <w:p>
      <w:pPr>
        <w:spacing w:line="360" w:lineRule="auto"/>
        <w:ind w:right="31" w:rightChars="15" w:firstLine="482" w:firstLineChars="200"/>
        <w:rPr>
          <w:rFonts w:ascii="仿宋" w:hAnsi="仿宋" w:eastAsia="仿宋"/>
          <w:b/>
          <w:bCs/>
          <w:sz w:val="24"/>
        </w:rPr>
      </w:pPr>
      <w:r>
        <w:rPr>
          <w:rFonts w:hint="eastAsia" w:ascii="仿宋" w:hAnsi="仿宋" w:eastAsia="仿宋"/>
          <w:b/>
          <w:sz w:val="24"/>
          <w:szCs w:val="28"/>
        </w:rPr>
        <w:t>三、资金来源：</w:t>
      </w:r>
      <w:r>
        <w:rPr>
          <w:rFonts w:hint="eastAsia" w:ascii="仿宋" w:hAnsi="仿宋" w:eastAsia="仿宋"/>
          <w:sz w:val="24"/>
        </w:rPr>
        <w:t>财政性资金。</w:t>
      </w:r>
    </w:p>
    <w:p>
      <w:pPr>
        <w:spacing w:line="360" w:lineRule="auto"/>
        <w:ind w:firstLine="482" w:firstLineChars="200"/>
        <w:rPr>
          <w:rFonts w:ascii="仿宋" w:hAnsi="仿宋" w:eastAsia="仿宋"/>
          <w:sz w:val="24"/>
        </w:rPr>
      </w:pPr>
      <w:r>
        <w:rPr>
          <w:rFonts w:hint="eastAsia" w:ascii="仿宋" w:hAnsi="仿宋" w:eastAsia="仿宋"/>
          <w:b/>
          <w:sz w:val="24"/>
        </w:rPr>
        <w:t>四</w:t>
      </w:r>
      <w:r>
        <w:rPr>
          <w:rFonts w:hint="eastAsia" w:ascii="仿宋" w:hAnsi="仿宋" w:eastAsia="仿宋"/>
          <w:b/>
          <w:bCs/>
          <w:sz w:val="24"/>
        </w:rPr>
        <w:t>、</w:t>
      </w:r>
      <w:r>
        <w:rPr>
          <w:rFonts w:hint="eastAsia" w:ascii="仿宋" w:hAnsi="仿宋" w:eastAsia="仿宋"/>
          <w:b/>
          <w:sz w:val="24"/>
        </w:rPr>
        <w:t>招标项目简介：</w:t>
      </w:r>
    </w:p>
    <w:p>
      <w:pPr>
        <w:spacing w:after="120" w:afterLines="50" w:line="420" w:lineRule="exact"/>
        <w:ind w:firstLine="464" w:firstLineChars="200"/>
        <w:rPr>
          <w:rFonts w:ascii="仿宋" w:hAnsi="仿宋" w:eastAsia="仿宋"/>
          <w:bCs/>
          <w:sz w:val="24"/>
          <w:szCs w:val="32"/>
        </w:rPr>
      </w:pPr>
      <w:bookmarkStart w:id="7" w:name="PO_默认文件内容_3"/>
      <w:r>
        <w:rPr>
          <w:rFonts w:hint="eastAsia" w:ascii="仿宋" w:hAnsi="仿宋" w:eastAsia="仿宋"/>
          <w:spacing w:val="-4"/>
          <w:sz w:val="24"/>
        </w:rPr>
        <w:t>本项目共一个包，采购</w:t>
      </w:r>
      <w:r>
        <w:rPr>
          <w:rFonts w:hint="eastAsia" w:ascii="仿宋" w:hAnsi="仿宋" w:eastAsia="仿宋"/>
          <w:bCs/>
          <w:sz w:val="24"/>
          <w:szCs w:val="32"/>
        </w:rPr>
        <w:t>成华区部分学校2021年实验仪器一批。</w:t>
      </w:r>
    </w:p>
    <w:p>
      <w:pPr>
        <w:spacing w:after="120" w:afterLines="50" w:line="420" w:lineRule="exact"/>
        <w:ind w:firstLine="480" w:firstLineChars="200"/>
        <w:rPr>
          <w:rFonts w:ascii="仿宋" w:hAnsi="仿宋" w:eastAsia="仿宋"/>
          <w:sz w:val="24"/>
          <w:szCs w:val="28"/>
        </w:rPr>
      </w:pPr>
      <w:r>
        <w:rPr>
          <w:rFonts w:hint="eastAsia" w:ascii="仿宋" w:hAnsi="仿宋" w:eastAsia="仿宋"/>
          <w:sz w:val="24"/>
          <w:szCs w:val="28"/>
        </w:rPr>
        <w:t>（具体详见招标文件第六章）。</w:t>
      </w:r>
      <w:bookmarkEnd w:id="7"/>
    </w:p>
    <w:p>
      <w:pPr>
        <w:spacing w:after="120" w:afterLines="50" w:line="420" w:lineRule="exact"/>
        <w:ind w:firstLine="482" w:firstLineChars="200"/>
        <w:rPr>
          <w:rFonts w:ascii="仿宋" w:hAnsi="仿宋" w:eastAsia="仿宋"/>
          <w:b/>
          <w:bCs/>
          <w:sz w:val="24"/>
        </w:rPr>
      </w:pPr>
      <w:r>
        <w:rPr>
          <w:rFonts w:hint="eastAsia" w:ascii="仿宋" w:hAnsi="仿宋" w:eastAsia="仿宋"/>
          <w:b/>
          <w:bCs/>
          <w:sz w:val="24"/>
        </w:rPr>
        <w:t>五、供应商参加本次政府采购活动，应当在提交投标文件前具备下列条件：</w:t>
      </w:r>
    </w:p>
    <w:p>
      <w:pPr>
        <w:pStyle w:val="42"/>
        <w:spacing w:line="420" w:lineRule="exact"/>
        <w:ind w:firstLine="600" w:firstLineChars="250"/>
        <w:rPr>
          <w:rFonts w:ascii="仿宋" w:hAnsi="仿宋" w:eastAsia="仿宋"/>
        </w:rPr>
      </w:pPr>
      <w:bookmarkStart w:id="8" w:name="PO_供应商资格条件_1"/>
      <w:r>
        <w:rPr>
          <w:rFonts w:ascii="仿宋" w:hAnsi="仿宋" w:eastAsia="仿宋"/>
        </w:rPr>
        <w:t>1、</w:t>
      </w:r>
      <w:r>
        <w:rPr>
          <w:rFonts w:hint="eastAsia" w:ascii="仿宋" w:hAnsi="仿宋" w:eastAsia="仿宋"/>
        </w:rPr>
        <w:t>满足《中华人民共和国政府采购法》第二十二条规定</w:t>
      </w:r>
      <w:r>
        <w:rPr>
          <w:rFonts w:ascii="仿宋" w:hAnsi="仿宋" w:eastAsia="仿宋"/>
        </w:rPr>
        <w:t>；</w:t>
      </w:r>
    </w:p>
    <w:p>
      <w:pPr>
        <w:tabs>
          <w:tab w:val="left" w:pos="7665"/>
        </w:tabs>
        <w:spacing w:line="400" w:lineRule="exact"/>
        <w:ind w:firstLine="600" w:firstLineChars="250"/>
        <w:rPr>
          <w:rFonts w:ascii="仿宋" w:hAnsi="仿宋" w:eastAsia="仿宋" w:cs="宋体"/>
          <w:sz w:val="24"/>
        </w:rPr>
      </w:pPr>
      <w:r>
        <w:rPr>
          <w:rFonts w:ascii="仿宋" w:hAnsi="仿宋" w:eastAsia="仿宋" w:cs="宋体"/>
          <w:sz w:val="24"/>
        </w:rPr>
        <w:t>2、</w:t>
      </w:r>
      <w:r>
        <w:rPr>
          <w:rFonts w:hint="eastAsia" w:ascii="仿宋" w:hAnsi="仿宋" w:eastAsia="仿宋" w:cs="宋体"/>
          <w:sz w:val="24"/>
        </w:rPr>
        <w:t>落实政府采购政策需满足的资格要求：无。</w:t>
      </w:r>
    </w:p>
    <w:p>
      <w:pPr>
        <w:pStyle w:val="42"/>
        <w:spacing w:line="420" w:lineRule="exact"/>
        <w:ind w:firstLine="600" w:firstLineChars="250"/>
        <w:rPr>
          <w:rFonts w:ascii="仿宋" w:hAnsi="仿宋" w:eastAsia="仿宋"/>
        </w:rPr>
      </w:pPr>
      <w:r>
        <w:rPr>
          <w:rFonts w:ascii="仿宋" w:hAnsi="仿宋" w:eastAsia="仿宋"/>
        </w:rPr>
        <w:t>3</w:t>
      </w:r>
      <w:r>
        <w:rPr>
          <w:rFonts w:hint="eastAsia" w:ascii="仿宋" w:hAnsi="仿宋" w:eastAsia="仿宋"/>
        </w:rPr>
        <w:t>、本项目的特定资格要求：</w:t>
      </w:r>
    </w:p>
    <w:p>
      <w:pPr>
        <w:pStyle w:val="42"/>
        <w:spacing w:line="420" w:lineRule="exact"/>
        <w:ind w:firstLine="600" w:firstLineChars="250"/>
        <w:rPr>
          <w:rFonts w:ascii="仿宋" w:hAnsi="仿宋" w:eastAsia="仿宋"/>
        </w:rPr>
      </w:pPr>
      <w:r>
        <w:rPr>
          <w:rFonts w:hint="eastAsia" w:ascii="仿宋" w:hAnsi="仿宋" w:eastAsia="仿宋"/>
        </w:rPr>
        <w:t>3</w:t>
      </w:r>
      <w:r>
        <w:rPr>
          <w:rFonts w:ascii="仿宋" w:hAnsi="仿宋" w:eastAsia="仿宋"/>
        </w:rPr>
        <w:t>.1 投标人具有</w:t>
      </w:r>
      <w:r>
        <w:rPr>
          <w:rFonts w:hint="eastAsia" w:ascii="仿宋" w:hAnsi="仿宋" w:eastAsia="仿宋"/>
        </w:rPr>
        <w:t>《出版物经营许可证》；（若投标人按照招标文件要求进行分包的，则投标人可以不具有《出版物经营许可证》，但分包供应商须具有《出版物经营许可证》）</w:t>
      </w:r>
    </w:p>
    <w:p>
      <w:pPr>
        <w:pStyle w:val="42"/>
        <w:spacing w:line="420" w:lineRule="exact"/>
        <w:ind w:firstLine="600" w:firstLineChars="250"/>
        <w:rPr>
          <w:rFonts w:ascii="仿宋" w:hAnsi="仿宋" w:eastAsia="仿宋"/>
        </w:rPr>
      </w:pPr>
      <w:r>
        <w:rPr>
          <w:rFonts w:hint="eastAsia" w:ascii="仿宋" w:hAnsi="仿宋" w:eastAsia="仿宋"/>
        </w:rPr>
        <w:t>3</w:t>
      </w:r>
      <w:r>
        <w:rPr>
          <w:rFonts w:ascii="仿宋" w:hAnsi="仿宋" w:eastAsia="仿宋"/>
        </w:rPr>
        <w:t xml:space="preserve">.2 </w:t>
      </w:r>
      <w:r>
        <w:rPr>
          <w:rFonts w:hint="eastAsia" w:ascii="仿宋" w:hAnsi="仿宋" w:eastAsia="仿宋"/>
        </w:rPr>
        <w:t>若采购产品为一类、二类消毒产品的，投标产品须具有有效的《消毒产品卫生安全评价报告》。</w:t>
      </w:r>
    </w:p>
    <w:bookmarkEnd w:id="8"/>
    <w:p>
      <w:pPr>
        <w:pStyle w:val="42"/>
        <w:spacing w:line="440" w:lineRule="exact"/>
        <w:ind w:firstLine="602" w:firstLineChars="250"/>
        <w:rPr>
          <w:rFonts w:ascii="仿宋" w:hAnsi="仿宋" w:eastAsia="仿宋"/>
          <w:b/>
        </w:rPr>
      </w:pPr>
      <w:r>
        <w:rPr>
          <w:rFonts w:hint="eastAsia" w:ascii="仿宋" w:hAnsi="仿宋" w:eastAsia="仿宋"/>
          <w:b/>
        </w:rPr>
        <w:t>六、禁止参加本次采购活动的供应商</w:t>
      </w:r>
    </w:p>
    <w:p>
      <w:pPr>
        <w:spacing w:line="440" w:lineRule="exact"/>
        <w:ind w:firstLine="480" w:firstLineChars="200"/>
        <w:rPr>
          <w:rFonts w:ascii="仿宋" w:hAnsi="仿宋" w:eastAsia="仿宋"/>
          <w:sz w:val="24"/>
        </w:rPr>
      </w:pPr>
      <w:bookmarkStart w:id="9" w:name="PO_默认文件内容_7"/>
      <w:r>
        <w:rPr>
          <w:rFonts w:hint="eastAsia" w:ascii="仿宋" w:hAnsi="仿宋" w:eastAsia="仿宋"/>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pPr>
        <w:spacing w:after="50" w:line="420" w:lineRule="exact"/>
        <w:ind w:firstLine="482" w:firstLineChars="200"/>
        <w:rPr>
          <w:rFonts w:ascii="仿宋" w:hAnsi="仿宋" w:eastAsia="仿宋"/>
          <w:b/>
          <w:sz w:val="24"/>
        </w:rPr>
      </w:pPr>
      <w:r>
        <w:rPr>
          <w:rFonts w:hint="eastAsia" w:ascii="仿宋" w:hAnsi="仿宋" w:eastAsia="仿宋"/>
          <w:b/>
          <w:sz w:val="24"/>
        </w:rPr>
        <w:t>七、招标文件获取时间、地点：</w:t>
      </w:r>
    </w:p>
    <w:p>
      <w:pPr>
        <w:spacing w:after="50" w:line="420" w:lineRule="exact"/>
        <w:ind w:firstLine="480" w:firstLineChars="200"/>
        <w:rPr>
          <w:rFonts w:ascii="仿宋" w:hAnsi="仿宋" w:eastAsia="仿宋"/>
          <w:sz w:val="24"/>
        </w:rPr>
      </w:pPr>
      <w:r>
        <w:rPr>
          <w:rFonts w:hint="eastAsia" w:ascii="仿宋" w:hAnsi="仿宋" w:eastAsia="仿宋"/>
          <w:sz w:val="24"/>
        </w:rPr>
        <w:t>招标文件自2021年6月</w:t>
      </w:r>
      <w:r>
        <w:rPr>
          <w:rFonts w:hint="eastAsia" w:ascii="仿宋" w:hAnsi="仿宋" w:eastAsia="仿宋"/>
          <w:sz w:val="24"/>
          <w:lang w:val="en-US" w:eastAsia="zh-CN"/>
        </w:rPr>
        <w:t>16</w:t>
      </w:r>
      <w:r>
        <w:rPr>
          <w:rFonts w:hint="eastAsia" w:ascii="仿宋" w:hAnsi="仿宋" w:eastAsia="仿宋"/>
          <w:sz w:val="24"/>
        </w:rPr>
        <w:t>日至2021年6月</w:t>
      </w:r>
      <w:r>
        <w:rPr>
          <w:rFonts w:hint="eastAsia" w:ascii="仿宋" w:hAnsi="仿宋" w:eastAsia="仿宋"/>
          <w:sz w:val="24"/>
          <w:lang w:val="en-US" w:eastAsia="zh-CN"/>
        </w:rPr>
        <w:t>23</w:t>
      </w:r>
      <w:r>
        <w:rPr>
          <w:rFonts w:hint="eastAsia" w:ascii="仿宋" w:hAnsi="仿宋" w:eastAsia="仿宋"/>
          <w:sz w:val="24"/>
        </w:rPr>
        <w:t>日每天上午9:00至下午17:00（北京时间，法定节假日除外）在我司指定网站(http://sale.scbid.net)获取，具体获取流程详见该网站的“标书领取操作手册”。</w:t>
      </w:r>
    </w:p>
    <w:p>
      <w:pPr>
        <w:spacing w:after="120" w:afterLines="50" w:line="420" w:lineRule="exact"/>
        <w:ind w:firstLine="482" w:firstLineChars="200"/>
        <w:rPr>
          <w:rFonts w:ascii="仿宋" w:hAnsi="仿宋" w:eastAsia="仿宋"/>
          <w:b/>
          <w:sz w:val="24"/>
        </w:rPr>
      </w:pPr>
      <w:r>
        <w:rPr>
          <w:rFonts w:hint="eastAsia" w:ascii="仿宋" w:hAnsi="仿宋" w:eastAsia="仿宋"/>
          <w:b/>
          <w:sz w:val="24"/>
          <w:szCs w:val="28"/>
        </w:rPr>
        <w:t>八、</w:t>
      </w:r>
      <w:r>
        <w:rPr>
          <w:rFonts w:hint="eastAsia" w:ascii="仿宋" w:hAnsi="仿宋" w:eastAsia="仿宋"/>
          <w:b/>
          <w:sz w:val="24"/>
        </w:rPr>
        <w:t>投标截止时间和开标时间：</w:t>
      </w:r>
      <w:r>
        <w:rPr>
          <w:rFonts w:hint="eastAsia" w:ascii="仿宋" w:hAnsi="仿宋" w:eastAsia="仿宋"/>
          <w:sz w:val="24"/>
        </w:rPr>
        <w:t>2021年</w:t>
      </w:r>
      <w:r>
        <w:rPr>
          <w:rFonts w:ascii="仿宋" w:hAnsi="仿宋" w:eastAsia="仿宋"/>
          <w:sz w:val="24"/>
        </w:rPr>
        <w:t>7</w:t>
      </w:r>
      <w:r>
        <w:rPr>
          <w:rFonts w:hint="eastAsia" w:ascii="仿宋" w:hAnsi="仿宋" w:eastAsia="仿宋"/>
          <w:sz w:val="24"/>
        </w:rPr>
        <w:t>月</w:t>
      </w:r>
      <w:r>
        <w:rPr>
          <w:rFonts w:hint="eastAsia" w:ascii="仿宋" w:hAnsi="仿宋" w:eastAsia="仿宋"/>
          <w:sz w:val="24"/>
          <w:lang w:val="en-US" w:eastAsia="zh-CN"/>
        </w:rPr>
        <w:t>6</w:t>
      </w:r>
      <w:r>
        <w:rPr>
          <w:rFonts w:hint="eastAsia" w:ascii="仿宋" w:hAnsi="仿宋" w:eastAsia="仿宋"/>
          <w:sz w:val="24"/>
        </w:rPr>
        <w:t>日</w:t>
      </w:r>
      <w:r>
        <w:rPr>
          <w:rFonts w:hint="eastAsia" w:ascii="仿宋" w:hAnsi="仿宋" w:eastAsia="仿宋"/>
          <w:sz w:val="24"/>
          <w:lang w:val="en-US" w:eastAsia="zh-CN"/>
        </w:rPr>
        <w:t>11</w:t>
      </w:r>
      <w:r>
        <w:rPr>
          <w:rFonts w:hint="eastAsia" w:ascii="仿宋" w:hAnsi="仿宋" w:eastAsia="仿宋"/>
          <w:sz w:val="24"/>
        </w:rPr>
        <w:t>时30分（北京时间）</w:t>
      </w:r>
      <w:r>
        <w:rPr>
          <w:rFonts w:hint="eastAsia" w:ascii="仿宋" w:hAnsi="仿宋" w:eastAsia="仿宋"/>
          <w:sz w:val="24"/>
          <w:szCs w:val="28"/>
        </w:rPr>
        <w:t>。</w:t>
      </w:r>
    </w:p>
    <w:p>
      <w:pPr>
        <w:pStyle w:val="5"/>
        <w:spacing w:after="120" w:afterLines="50" w:line="420" w:lineRule="exact"/>
        <w:ind w:left="0" w:leftChars="0" w:firstLine="480" w:firstLineChars="200"/>
        <w:rPr>
          <w:rFonts w:ascii="仿宋" w:hAnsi="仿宋" w:eastAsia="仿宋"/>
          <w:sz w:val="24"/>
          <w:szCs w:val="28"/>
        </w:rPr>
      </w:pPr>
      <w:bookmarkStart w:id="10" w:name="PO_默认文件内容_12"/>
      <w:r>
        <w:rPr>
          <w:rFonts w:hint="eastAsia" w:ascii="仿宋" w:hAnsi="仿宋" w:eastAsia="仿宋"/>
          <w:sz w:val="24"/>
          <w:szCs w:val="28"/>
        </w:rPr>
        <w:t>投标文件必须在投标截止时间前送达开标地点。逾期送达或没有密封的投标文件不予接收。本次招标不接受邮寄的投标文件。</w:t>
      </w:r>
      <w:bookmarkEnd w:id="10"/>
      <w:r>
        <w:rPr>
          <w:rFonts w:hint="eastAsia" w:ascii="仿宋" w:hAnsi="仿宋" w:eastAsia="仿宋"/>
          <w:b/>
          <w:bCs/>
          <w:sz w:val="24"/>
        </w:rPr>
        <w:t>（文件接收时间：2021年7月6日11时</w:t>
      </w:r>
      <w:r>
        <w:rPr>
          <w:rFonts w:hint="eastAsia" w:ascii="仿宋" w:hAnsi="仿宋" w:eastAsia="仿宋"/>
          <w:b/>
          <w:bCs/>
          <w:sz w:val="24"/>
          <w:lang w:val="en-US" w:eastAsia="zh-CN"/>
        </w:rPr>
        <w:t>00</w:t>
      </w:r>
      <w:r>
        <w:rPr>
          <w:rFonts w:hint="eastAsia" w:ascii="仿宋" w:hAnsi="仿宋" w:eastAsia="仿宋"/>
          <w:b/>
          <w:bCs/>
          <w:sz w:val="24"/>
        </w:rPr>
        <w:t>分（北京时间）-2021年7月6日11时30分（北京时间））</w:t>
      </w:r>
    </w:p>
    <w:p>
      <w:pPr>
        <w:spacing w:after="50" w:line="420" w:lineRule="exact"/>
        <w:ind w:firstLine="489" w:firstLineChars="203"/>
        <w:rPr>
          <w:rFonts w:ascii="仿宋" w:hAnsi="仿宋" w:eastAsia="仿宋"/>
          <w:sz w:val="24"/>
          <w:szCs w:val="28"/>
        </w:rPr>
      </w:pPr>
      <w:r>
        <w:rPr>
          <w:rFonts w:hint="eastAsia" w:ascii="仿宋" w:hAnsi="仿宋" w:eastAsia="仿宋"/>
          <w:b/>
          <w:sz w:val="24"/>
          <w:szCs w:val="28"/>
        </w:rPr>
        <w:t>九、</w:t>
      </w:r>
      <w:r>
        <w:rPr>
          <w:rFonts w:hint="eastAsia" w:ascii="仿宋" w:hAnsi="仿宋" w:eastAsia="仿宋"/>
          <w:sz w:val="24"/>
          <w:szCs w:val="28"/>
        </w:rPr>
        <w:t>开标地点：</w:t>
      </w:r>
      <w:r>
        <w:rPr>
          <w:rFonts w:hint="eastAsia" w:ascii="仿宋" w:hAnsi="仿宋" w:eastAsia="仿宋"/>
          <w:b/>
          <w:bCs/>
          <w:sz w:val="24"/>
          <w:szCs w:val="28"/>
        </w:rPr>
        <w:t>四川国际招标有限责任公司开标厅（四川省成都市高新区天府大道中段800号天府四街66号航兴国际广场1号楼3楼）</w:t>
      </w:r>
      <w:r>
        <w:rPr>
          <w:rFonts w:hint="eastAsia" w:ascii="仿宋" w:hAnsi="仿宋" w:eastAsia="仿宋"/>
          <w:sz w:val="24"/>
          <w:szCs w:val="28"/>
        </w:rPr>
        <w:t>。</w:t>
      </w:r>
    </w:p>
    <w:p>
      <w:pPr>
        <w:pStyle w:val="42"/>
        <w:spacing w:line="420" w:lineRule="exact"/>
        <w:ind w:firstLine="482"/>
        <w:rPr>
          <w:rFonts w:ascii="仿宋" w:hAnsi="仿宋" w:eastAsia="仿宋"/>
        </w:rPr>
      </w:pPr>
      <w:bookmarkStart w:id="11" w:name="PO_默认文件内容_13"/>
      <w:r>
        <w:rPr>
          <w:rFonts w:hint="eastAsia" w:ascii="仿宋" w:hAnsi="仿宋" w:eastAsia="仿宋"/>
          <w:b/>
        </w:rPr>
        <w:t>十、</w:t>
      </w:r>
      <w:r>
        <w:rPr>
          <w:rFonts w:hint="eastAsia" w:ascii="仿宋" w:hAnsi="仿宋" w:eastAsia="仿宋"/>
        </w:rPr>
        <w:t>本投标邀请在四川政府采购网上以公告形式发布。</w:t>
      </w:r>
      <w:bookmarkEnd w:id="11"/>
    </w:p>
    <w:p>
      <w:pPr>
        <w:pStyle w:val="42"/>
        <w:spacing w:line="420" w:lineRule="exact"/>
        <w:ind w:firstLine="482"/>
        <w:rPr>
          <w:rFonts w:ascii="仿宋" w:hAnsi="仿宋" w:eastAsia="仿宋"/>
          <w:b/>
        </w:rPr>
      </w:pPr>
      <w:r>
        <w:rPr>
          <w:rFonts w:hint="eastAsia" w:ascii="仿宋" w:hAnsi="仿宋" w:eastAsia="仿宋"/>
          <w:b/>
        </w:rPr>
        <w:t>十一、供应商信用融资：</w:t>
      </w:r>
    </w:p>
    <w:p>
      <w:pPr>
        <w:pStyle w:val="42"/>
        <w:spacing w:line="420" w:lineRule="exact"/>
        <w:ind w:firstLine="480"/>
        <w:rPr>
          <w:rFonts w:ascii="仿宋" w:hAnsi="仿宋" w:eastAsia="仿宋"/>
        </w:rPr>
      </w:pPr>
      <w:r>
        <w:rPr>
          <w:rFonts w:hint="eastAsia" w:ascii="仿宋" w:hAnsi="仿宋" w:eastAsia="仿宋"/>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42"/>
        <w:spacing w:line="420" w:lineRule="exact"/>
        <w:ind w:firstLine="480"/>
        <w:rPr>
          <w:rFonts w:ascii="仿宋" w:hAnsi="仿宋" w:eastAsia="仿宋"/>
        </w:rPr>
      </w:pPr>
      <w:r>
        <w:rPr>
          <w:rFonts w:hint="eastAsia" w:ascii="仿宋" w:hAnsi="仿宋" w:eastAsia="仿宋"/>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rPr>
        <w:t>20</w:t>
      </w:r>
      <w:r>
        <w:rPr>
          <w:rFonts w:hint="eastAsia" w:ascii="仿宋" w:hAnsi="仿宋" w:eastAsia="仿宋"/>
        </w:rPr>
        <w:t>〕</w:t>
      </w:r>
      <w:r>
        <w:rPr>
          <w:rFonts w:ascii="仿宋" w:hAnsi="仿宋" w:eastAsia="仿宋"/>
        </w:rPr>
        <w:t>20</w:t>
      </w:r>
      <w:r>
        <w:rPr>
          <w:rFonts w:hint="eastAsia" w:ascii="仿宋" w:hAnsi="仿宋" w:eastAsia="仿宋"/>
        </w:rPr>
        <w:t>号”）。</w:t>
      </w:r>
    </w:p>
    <w:p>
      <w:pPr>
        <w:pStyle w:val="42"/>
        <w:spacing w:line="420" w:lineRule="exact"/>
        <w:ind w:firstLine="482"/>
        <w:rPr>
          <w:rFonts w:ascii="仿宋" w:hAnsi="仿宋" w:eastAsia="仿宋"/>
          <w:b/>
        </w:rPr>
      </w:pPr>
      <w:r>
        <w:rPr>
          <w:rFonts w:hint="eastAsia" w:ascii="仿宋" w:hAnsi="仿宋" w:eastAsia="仿宋"/>
          <w:b/>
        </w:rPr>
        <w:t>十二、联系方式</w:t>
      </w:r>
    </w:p>
    <w:p>
      <w:pPr>
        <w:pStyle w:val="42"/>
        <w:spacing w:line="420" w:lineRule="exact"/>
        <w:ind w:firstLine="1265" w:firstLineChars="525"/>
        <w:rPr>
          <w:rFonts w:ascii="仿宋" w:hAnsi="仿宋" w:eastAsia="仿宋"/>
          <w:b/>
        </w:rPr>
      </w:pPr>
      <w:r>
        <w:rPr>
          <w:rFonts w:hint="eastAsia" w:ascii="仿宋" w:hAnsi="仿宋" w:eastAsia="仿宋"/>
          <w:b/>
        </w:rPr>
        <w:t>采 购 人：成都市成华区教育技术装备管理服务中心</w:t>
      </w:r>
    </w:p>
    <w:p>
      <w:pPr>
        <w:pStyle w:val="42"/>
        <w:spacing w:line="420" w:lineRule="exact"/>
        <w:ind w:firstLine="1260" w:firstLineChars="525"/>
        <w:rPr>
          <w:rFonts w:ascii="仿宋" w:hAnsi="仿宋" w:eastAsia="仿宋"/>
          <w:bCs/>
        </w:rPr>
      </w:pPr>
      <w:r>
        <w:rPr>
          <w:rFonts w:hint="eastAsia" w:ascii="仿宋" w:hAnsi="仿宋" w:eastAsia="仿宋"/>
          <w:bCs/>
        </w:rPr>
        <w:t xml:space="preserve">地    址：四川省成都市成华区建设南新路59号 </w:t>
      </w:r>
    </w:p>
    <w:p>
      <w:pPr>
        <w:pStyle w:val="42"/>
        <w:spacing w:line="420" w:lineRule="exact"/>
        <w:ind w:firstLine="1260" w:firstLineChars="525"/>
        <w:rPr>
          <w:rFonts w:ascii="仿宋" w:hAnsi="仿宋" w:eastAsia="仿宋"/>
          <w:bCs/>
        </w:rPr>
      </w:pPr>
      <w:r>
        <w:rPr>
          <w:rFonts w:hint="eastAsia" w:ascii="仿宋" w:hAnsi="仿宋" w:eastAsia="仿宋"/>
          <w:bCs/>
        </w:rPr>
        <w:t>联 系 人：敬老师</w:t>
      </w:r>
    </w:p>
    <w:p>
      <w:pPr>
        <w:pStyle w:val="42"/>
        <w:spacing w:line="420" w:lineRule="exact"/>
        <w:ind w:firstLine="1260" w:firstLineChars="525"/>
        <w:rPr>
          <w:rFonts w:ascii="仿宋" w:hAnsi="仿宋" w:eastAsia="仿宋"/>
          <w:bCs/>
        </w:rPr>
      </w:pPr>
      <w:r>
        <w:rPr>
          <w:rFonts w:hint="eastAsia" w:ascii="仿宋" w:hAnsi="仿宋" w:eastAsia="仿宋"/>
          <w:bCs/>
        </w:rPr>
        <w:t>联系电话：028-84350716</w:t>
      </w:r>
    </w:p>
    <w:p>
      <w:pPr>
        <w:pStyle w:val="42"/>
        <w:spacing w:line="420" w:lineRule="exact"/>
        <w:ind w:firstLine="1265" w:firstLineChars="525"/>
        <w:rPr>
          <w:rFonts w:ascii="仿宋" w:hAnsi="仿宋" w:eastAsia="仿宋"/>
          <w:b/>
        </w:rPr>
      </w:pPr>
      <w:r>
        <w:rPr>
          <w:rFonts w:hint="eastAsia" w:ascii="仿宋" w:hAnsi="仿宋" w:eastAsia="仿宋"/>
          <w:b/>
        </w:rPr>
        <w:t>采购代理机构：四川国际招标有限责任公司</w:t>
      </w:r>
    </w:p>
    <w:p>
      <w:pPr>
        <w:pStyle w:val="42"/>
        <w:spacing w:line="420" w:lineRule="exact"/>
        <w:ind w:firstLine="1260" w:firstLineChars="525"/>
        <w:rPr>
          <w:rFonts w:ascii="仿宋" w:hAnsi="仿宋" w:eastAsia="仿宋"/>
          <w:bCs/>
        </w:rPr>
      </w:pPr>
      <w:r>
        <w:rPr>
          <w:rFonts w:hint="eastAsia" w:ascii="仿宋" w:hAnsi="仿宋" w:eastAsia="仿宋"/>
          <w:bCs/>
        </w:rPr>
        <w:t>地    址：中国（四川）自由贸易试验区成都市高新区天府四街66号2栋22层1号</w:t>
      </w:r>
    </w:p>
    <w:p>
      <w:pPr>
        <w:pStyle w:val="42"/>
        <w:spacing w:line="420" w:lineRule="exact"/>
        <w:ind w:firstLine="1260" w:firstLineChars="525"/>
        <w:rPr>
          <w:rFonts w:ascii="仿宋" w:hAnsi="仿宋" w:eastAsia="仿宋"/>
          <w:bCs/>
        </w:rPr>
      </w:pPr>
      <w:r>
        <w:rPr>
          <w:rFonts w:hint="eastAsia" w:ascii="仿宋" w:hAnsi="仿宋" w:eastAsia="仿宋"/>
          <w:bCs/>
        </w:rPr>
        <w:t>邮    编：610000</w:t>
      </w:r>
    </w:p>
    <w:p>
      <w:pPr>
        <w:pStyle w:val="42"/>
        <w:spacing w:line="420" w:lineRule="exact"/>
        <w:ind w:firstLine="1260" w:firstLineChars="525"/>
        <w:rPr>
          <w:rFonts w:ascii="仿宋" w:hAnsi="仿宋" w:eastAsia="仿宋"/>
          <w:bCs/>
        </w:rPr>
      </w:pPr>
      <w:r>
        <w:rPr>
          <w:rFonts w:hint="eastAsia" w:ascii="仿宋" w:hAnsi="仿宋" w:eastAsia="仿宋"/>
          <w:bCs/>
        </w:rPr>
        <w:t>联 系 人：王女士</w:t>
      </w:r>
    </w:p>
    <w:p>
      <w:pPr>
        <w:pStyle w:val="42"/>
        <w:spacing w:line="420" w:lineRule="exact"/>
        <w:ind w:firstLine="1260" w:firstLineChars="525"/>
        <w:rPr>
          <w:rFonts w:ascii="仿宋" w:hAnsi="仿宋" w:eastAsia="仿宋"/>
          <w:bCs/>
        </w:rPr>
      </w:pPr>
      <w:r>
        <w:rPr>
          <w:rFonts w:hint="eastAsia" w:ascii="仿宋" w:hAnsi="仿宋" w:eastAsia="仿宋"/>
          <w:bCs/>
        </w:rPr>
        <w:t>联系电话：13111881020</w:t>
      </w:r>
    </w:p>
    <w:p>
      <w:pPr>
        <w:pStyle w:val="42"/>
        <w:spacing w:line="420" w:lineRule="exact"/>
        <w:ind w:firstLine="1260" w:firstLineChars="525"/>
        <w:rPr>
          <w:rFonts w:ascii="仿宋" w:hAnsi="仿宋" w:eastAsia="仿宋"/>
        </w:rPr>
      </w:pPr>
      <w:r>
        <w:rPr>
          <w:rFonts w:hint="eastAsia" w:ascii="仿宋" w:hAnsi="仿宋" w:eastAsia="仿宋"/>
          <w:bCs/>
        </w:rPr>
        <w:t>传    真：028-87793161</w:t>
      </w:r>
      <w:r>
        <w:rPr>
          <w:rFonts w:hint="eastAsia" w:ascii="仿宋" w:hAnsi="仿宋" w:eastAsia="仿宋"/>
          <w:bCs/>
        </w:rPr>
        <w:tab/>
      </w:r>
      <w:r>
        <w:rPr>
          <w:rFonts w:ascii="仿宋" w:hAnsi="仿宋" w:eastAsia="仿宋"/>
        </w:rPr>
        <w:tab/>
      </w:r>
    </w:p>
    <w:p>
      <w:pPr>
        <w:pStyle w:val="15"/>
        <w:spacing w:after="50" w:line="420" w:lineRule="exact"/>
        <w:rPr>
          <w:rFonts w:ascii="仿宋" w:hAnsi="仿宋" w:eastAsia="仿宋"/>
          <w:sz w:val="36"/>
          <w:szCs w:val="36"/>
        </w:rPr>
        <w:sectPr>
          <w:pgSz w:w="11907" w:h="16840"/>
          <w:pgMar w:top="1440" w:right="1474" w:bottom="1440" w:left="1474" w:header="851" w:footer="992" w:gutter="0"/>
          <w:cols w:space="720" w:num="1"/>
          <w:docGrid w:linePitch="312" w:charSpace="0"/>
        </w:sectPr>
      </w:pPr>
      <w:bookmarkStart w:id="12" w:name="_Toc12420"/>
      <w:bookmarkStart w:id="13" w:name="_Toc12497"/>
      <w:bookmarkStart w:id="14" w:name="_Toc213397009"/>
      <w:bookmarkStart w:id="15" w:name="_Toc213496267"/>
      <w:bookmarkStart w:id="16" w:name="_Toc217446031"/>
      <w:bookmarkStart w:id="17" w:name="_Toc213396759"/>
      <w:bookmarkStart w:id="18" w:name="_Toc213396945"/>
    </w:p>
    <w:p>
      <w:pPr>
        <w:pStyle w:val="2"/>
        <w:jc w:val="center"/>
        <w:rPr>
          <w:rFonts w:ascii="仿宋" w:hAnsi="仿宋" w:eastAsia="仿宋"/>
          <w:sz w:val="36"/>
          <w:szCs w:val="36"/>
        </w:rPr>
      </w:pPr>
      <w:r>
        <w:rPr>
          <w:rFonts w:hint="eastAsia" w:ascii="仿宋" w:hAnsi="仿宋" w:eastAsia="仿宋"/>
          <w:sz w:val="36"/>
          <w:szCs w:val="36"/>
        </w:rPr>
        <w:t>第二章  投标人须知</w:t>
      </w:r>
      <w:bookmarkEnd w:id="12"/>
      <w:bookmarkEnd w:id="13"/>
    </w:p>
    <w:p>
      <w:pPr>
        <w:pStyle w:val="3"/>
        <w:spacing w:line="240" w:lineRule="atLeast"/>
        <w:jc w:val="center"/>
        <w:rPr>
          <w:rFonts w:ascii="仿宋" w:hAnsi="仿宋" w:eastAsia="仿宋"/>
        </w:rPr>
      </w:pPr>
      <w:r>
        <w:rPr>
          <w:rFonts w:hint="eastAsia" w:ascii="仿宋" w:hAnsi="仿宋" w:eastAsia="仿宋"/>
        </w:rPr>
        <w:t>一、投标人须知附表</w:t>
      </w:r>
    </w:p>
    <w:bookmarkEnd w:id="14"/>
    <w:bookmarkEnd w:id="15"/>
    <w:bookmarkEnd w:id="16"/>
    <w:bookmarkEnd w:id="17"/>
    <w:bookmarkEnd w:id="18"/>
    <w:tbl>
      <w:tblPr>
        <w:tblStyle w:val="23"/>
        <w:tblW w:w="950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11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838" w:type="dxa"/>
            <w:vAlign w:val="center"/>
          </w:tcPr>
          <w:p>
            <w:pPr>
              <w:pStyle w:val="41"/>
              <w:spacing w:line="276" w:lineRule="auto"/>
              <w:ind w:left="9"/>
              <w:contextualSpacing/>
              <w:jc w:val="center"/>
              <w:rPr>
                <w:rFonts w:ascii="仿宋" w:hAnsi="仿宋" w:eastAsia="仿宋"/>
                <w:kern w:val="2"/>
                <w:sz w:val="21"/>
                <w:szCs w:val="21"/>
              </w:rPr>
            </w:pPr>
            <w:r>
              <w:rPr>
                <w:rFonts w:hint="eastAsia" w:ascii="仿宋" w:hAnsi="仿宋" w:eastAsia="仿宋"/>
                <w:kern w:val="2"/>
                <w:sz w:val="21"/>
                <w:szCs w:val="21"/>
              </w:rPr>
              <w:t>序号</w:t>
            </w:r>
          </w:p>
        </w:tc>
        <w:tc>
          <w:tcPr>
            <w:tcW w:w="2552" w:type="dxa"/>
            <w:vAlign w:val="center"/>
          </w:tcPr>
          <w:p>
            <w:pPr>
              <w:pStyle w:val="41"/>
              <w:spacing w:line="276" w:lineRule="auto"/>
              <w:ind w:left="38"/>
              <w:contextualSpacing/>
              <w:jc w:val="center"/>
              <w:rPr>
                <w:rFonts w:ascii="仿宋" w:hAnsi="仿宋" w:eastAsia="仿宋"/>
                <w:kern w:val="2"/>
                <w:sz w:val="21"/>
                <w:szCs w:val="21"/>
              </w:rPr>
            </w:pPr>
            <w:r>
              <w:rPr>
                <w:rFonts w:hint="eastAsia" w:ascii="仿宋" w:hAnsi="仿宋" w:eastAsia="仿宋"/>
                <w:kern w:val="2"/>
                <w:sz w:val="21"/>
                <w:szCs w:val="21"/>
              </w:rPr>
              <w:t>条款名称</w:t>
            </w:r>
          </w:p>
        </w:tc>
        <w:tc>
          <w:tcPr>
            <w:tcW w:w="6111" w:type="dxa"/>
            <w:vAlign w:val="center"/>
          </w:tcPr>
          <w:p>
            <w:pPr>
              <w:pStyle w:val="41"/>
              <w:spacing w:line="276" w:lineRule="auto"/>
              <w:contextualSpacing/>
              <w:jc w:val="center"/>
              <w:rPr>
                <w:rFonts w:ascii="仿宋" w:hAnsi="仿宋" w:eastAsia="仿宋"/>
                <w:kern w:val="2"/>
                <w:sz w:val="21"/>
                <w:szCs w:val="21"/>
              </w:rPr>
            </w:pPr>
            <w:r>
              <w:rPr>
                <w:rFonts w:hint="eastAsia" w:ascii="仿宋" w:hAnsi="仿宋" w:eastAsia="仿宋"/>
                <w:kern w:val="2"/>
                <w:sz w:val="21"/>
                <w:szCs w:val="21"/>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restart"/>
            <w:vAlign w:val="center"/>
          </w:tcPr>
          <w:p>
            <w:pPr>
              <w:pStyle w:val="41"/>
              <w:spacing w:line="276" w:lineRule="auto"/>
              <w:ind w:right="230"/>
              <w:contextualSpacing/>
              <w:jc w:val="center"/>
              <w:rPr>
                <w:rFonts w:ascii="仿宋" w:hAnsi="仿宋" w:eastAsia="仿宋"/>
                <w:kern w:val="2"/>
                <w:sz w:val="21"/>
                <w:szCs w:val="21"/>
              </w:rPr>
            </w:pPr>
            <w:r>
              <w:rPr>
                <w:rFonts w:hint="eastAsia" w:ascii="仿宋" w:hAnsi="仿宋" w:eastAsia="仿宋"/>
                <w:kern w:val="2"/>
                <w:sz w:val="21"/>
                <w:szCs w:val="21"/>
              </w:rPr>
              <w:t>1</w:t>
            </w:r>
          </w:p>
        </w:tc>
        <w:tc>
          <w:tcPr>
            <w:tcW w:w="2552" w:type="dxa"/>
            <w:tcBorders>
              <w:bottom w:val="single" w:color="auto" w:sz="4" w:space="0"/>
            </w:tcBorders>
            <w:vAlign w:val="center"/>
          </w:tcPr>
          <w:p>
            <w:pPr>
              <w:pStyle w:val="41"/>
              <w:spacing w:line="276" w:lineRule="auto"/>
              <w:ind w:left="38"/>
              <w:contextualSpacing/>
              <w:jc w:val="center"/>
              <w:rPr>
                <w:rFonts w:ascii="仿宋" w:hAnsi="仿宋" w:eastAsia="仿宋"/>
                <w:kern w:val="2"/>
                <w:sz w:val="21"/>
                <w:szCs w:val="21"/>
              </w:rPr>
            </w:pPr>
            <w:r>
              <w:rPr>
                <w:rFonts w:hint="eastAsia" w:ascii="仿宋" w:hAnsi="仿宋" w:eastAsia="仿宋"/>
                <w:kern w:val="2"/>
                <w:sz w:val="21"/>
                <w:szCs w:val="21"/>
              </w:rPr>
              <w:t>采购预算</w:t>
            </w:r>
          </w:p>
          <w:p>
            <w:pPr>
              <w:pStyle w:val="41"/>
              <w:spacing w:line="276" w:lineRule="auto"/>
              <w:ind w:left="38"/>
              <w:contextualSpacing/>
              <w:jc w:val="center"/>
              <w:rPr>
                <w:rFonts w:ascii="仿宋" w:hAnsi="仿宋" w:eastAsia="仿宋"/>
                <w:kern w:val="2"/>
                <w:sz w:val="21"/>
                <w:szCs w:val="21"/>
              </w:rPr>
            </w:pPr>
            <w:r>
              <w:rPr>
                <w:rFonts w:hint="eastAsia" w:ascii="仿宋" w:hAnsi="仿宋" w:eastAsia="仿宋"/>
                <w:sz w:val="21"/>
                <w:szCs w:val="21"/>
              </w:rPr>
              <w:t>（实质性要求）</w:t>
            </w:r>
          </w:p>
        </w:tc>
        <w:tc>
          <w:tcPr>
            <w:tcW w:w="6111" w:type="dxa"/>
            <w:tcBorders>
              <w:bottom w:val="single" w:color="auto" w:sz="4" w:space="0"/>
            </w:tcBorders>
          </w:tcPr>
          <w:p>
            <w:pPr>
              <w:widowControl/>
              <w:spacing w:line="276" w:lineRule="auto"/>
              <w:contextualSpacing/>
              <w:rPr>
                <w:rFonts w:ascii="仿宋" w:hAnsi="仿宋" w:eastAsia="仿宋"/>
                <w:kern w:val="0"/>
                <w:szCs w:val="21"/>
              </w:rPr>
            </w:pPr>
            <w:r>
              <w:rPr>
                <w:rFonts w:hint="eastAsia" w:ascii="仿宋" w:hAnsi="仿宋" w:eastAsia="仿宋"/>
                <w:kern w:val="0"/>
                <w:szCs w:val="21"/>
              </w:rPr>
              <w:t>本项目政府采购预算：</w:t>
            </w:r>
            <w:r>
              <w:rPr>
                <w:rFonts w:ascii="仿宋" w:hAnsi="仿宋" w:eastAsia="仿宋"/>
                <w:kern w:val="0"/>
                <w:szCs w:val="21"/>
              </w:rPr>
              <w:t>245</w:t>
            </w:r>
            <w:r>
              <w:rPr>
                <w:rFonts w:hint="eastAsia" w:ascii="仿宋" w:hAnsi="仿宋" w:eastAsia="仿宋"/>
                <w:kern w:val="0"/>
                <w:szCs w:val="21"/>
              </w:rPr>
              <w:t>万元。</w:t>
            </w:r>
          </w:p>
          <w:p>
            <w:pPr>
              <w:widowControl/>
              <w:spacing w:line="276" w:lineRule="auto"/>
              <w:contextualSpacing/>
              <w:rPr>
                <w:rFonts w:ascii="仿宋" w:hAnsi="仿宋" w:eastAsia="仿宋"/>
                <w:kern w:val="0"/>
                <w:szCs w:val="21"/>
              </w:rPr>
            </w:pPr>
            <w:r>
              <w:rPr>
                <w:rFonts w:hint="eastAsia" w:ascii="仿宋" w:hAnsi="仿宋" w:eastAsia="仿宋"/>
                <w:szCs w:val="21"/>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continue"/>
            <w:vAlign w:val="center"/>
          </w:tcPr>
          <w:p>
            <w:pPr>
              <w:pStyle w:val="41"/>
              <w:spacing w:line="276" w:lineRule="auto"/>
              <w:ind w:right="230"/>
              <w:contextualSpacing/>
              <w:jc w:val="center"/>
              <w:rPr>
                <w:rFonts w:ascii="仿宋" w:hAnsi="仿宋" w:eastAsia="仿宋"/>
                <w:kern w:val="2"/>
                <w:sz w:val="21"/>
                <w:szCs w:val="21"/>
              </w:rPr>
            </w:pPr>
          </w:p>
        </w:tc>
        <w:tc>
          <w:tcPr>
            <w:tcW w:w="2552" w:type="dxa"/>
            <w:tcBorders>
              <w:bottom w:val="single" w:color="auto" w:sz="4" w:space="0"/>
            </w:tcBorders>
            <w:vAlign w:val="center"/>
          </w:tcPr>
          <w:p>
            <w:pPr>
              <w:pStyle w:val="41"/>
              <w:contextualSpacing/>
              <w:jc w:val="center"/>
              <w:rPr>
                <w:rFonts w:ascii="仿宋" w:hAnsi="仿宋" w:eastAsia="仿宋"/>
                <w:kern w:val="2"/>
                <w:sz w:val="21"/>
                <w:szCs w:val="21"/>
              </w:rPr>
            </w:pPr>
            <w:r>
              <w:rPr>
                <w:rFonts w:hint="eastAsia" w:ascii="仿宋" w:hAnsi="仿宋" w:eastAsia="仿宋"/>
                <w:kern w:val="2"/>
                <w:sz w:val="21"/>
                <w:szCs w:val="21"/>
              </w:rPr>
              <w:t>最高限价</w:t>
            </w:r>
          </w:p>
          <w:p>
            <w:pPr>
              <w:pStyle w:val="41"/>
              <w:spacing w:line="276" w:lineRule="auto"/>
              <w:ind w:left="38"/>
              <w:contextualSpacing/>
              <w:jc w:val="center"/>
              <w:rPr>
                <w:rFonts w:ascii="仿宋" w:hAnsi="仿宋" w:eastAsia="仿宋"/>
                <w:kern w:val="2"/>
                <w:sz w:val="21"/>
                <w:szCs w:val="21"/>
              </w:rPr>
            </w:pPr>
            <w:r>
              <w:rPr>
                <w:rFonts w:hint="eastAsia" w:ascii="仿宋" w:hAnsi="仿宋" w:eastAsia="仿宋"/>
                <w:sz w:val="21"/>
                <w:szCs w:val="21"/>
              </w:rPr>
              <w:t>（实质性要求）</w:t>
            </w:r>
          </w:p>
        </w:tc>
        <w:tc>
          <w:tcPr>
            <w:tcW w:w="6111" w:type="dxa"/>
            <w:tcBorders>
              <w:bottom w:val="single" w:color="auto" w:sz="4" w:space="0"/>
            </w:tcBorders>
          </w:tcPr>
          <w:p>
            <w:pPr>
              <w:widowControl/>
              <w:contextualSpacing/>
              <w:rPr>
                <w:rFonts w:ascii="仿宋" w:hAnsi="仿宋" w:eastAsia="仿宋"/>
                <w:szCs w:val="21"/>
              </w:rPr>
            </w:pPr>
            <w:r>
              <w:rPr>
                <w:rFonts w:hint="eastAsia" w:ascii="仿宋" w:hAnsi="仿宋" w:eastAsia="仿宋"/>
                <w:kern w:val="0"/>
                <w:szCs w:val="21"/>
              </w:rPr>
              <w:t>最高详见：</w:t>
            </w:r>
            <w:r>
              <w:rPr>
                <w:rFonts w:ascii="仿宋" w:hAnsi="仿宋" w:eastAsia="仿宋"/>
                <w:kern w:val="0"/>
                <w:szCs w:val="21"/>
              </w:rPr>
              <w:t>245</w:t>
            </w:r>
            <w:r>
              <w:rPr>
                <w:rFonts w:hint="eastAsia" w:ascii="仿宋" w:hAnsi="仿宋" w:eastAsia="仿宋"/>
                <w:kern w:val="0"/>
                <w:szCs w:val="21"/>
              </w:rPr>
              <w:t>万元。</w:t>
            </w:r>
            <w:bookmarkStart w:id="19" w:name="PO_默认文件内容_27"/>
            <w:r>
              <w:rPr>
                <w:rFonts w:ascii="仿宋" w:hAnsi="仿宋" w:eastAsia="仿宋"/>
                <w:kern w:val="0"/>
                <w:szCs w:val="21"/>
              </w:rPr>
              <w:br w:type="textWrapping"/>
            </w:r>
            <w:r>
              <w:rPr>
                <w:rFonts w:hint="eastAsia" w:ascii="仿宋" w:hAnsi="仿宋" w:eastAsia="仿宋"/>
                <w:szCs w:val="21"/>
              </w:rPr>
              <w:t>超过最高限价的报价为无效投标。</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spacing w:line="276" w:lineRule="auto"/>
              <w:ind w:right="230"/>
              <w:contextualSpacing/>
              <w:jc w:val="center"/>
              <w:rPr>
                <w:rFonts w:ascii="仿宋" w:hAnsi="仿宋" w:eastAsia="仿宋"/>
                <w:kern w:val="2"/>
                <w:sz w:val="21"/>
                <w:szCs w:val="21"/>
              </w:rPr>
            </w:pPr>
            <w:r>
              <w:rPr>
                <w:rFonts w:hint="eastAsia" w:ascii="仿宋" w:hAnsi="仿宋" w:eastAsia="仿宋"/>
                <w:kern w:val="2"/>
                <w:sz w:val="21"/>
                <w:szCs w:val="21"/>
              </w:rPr>
              <w:t>2</w:t>
            </w:r>
          </w:p>
        </w:tc>
        <w:tc>
          <w:tcPr>
            <w:tcW w:w="2552" w:type="dxa"/>
            <w:vAlign w:val="center"/>
          </w:tcPr>
          <w:p>
            <w:pPr>
              <w:pStyle w:val="41"/>
              <w:spacing w:line="276" w:lineRule="auto"/>
              <w:ind w:left="38"/>
              <w:contextualSpacing/>
              <w:jc w:val="center"/>
              <w:rPr>
                <w:rFonts w:ascii="仿宋" w:hAnsi="仿宋" w:eastAsia="仿宋"/>
                <w:kern w:val="2"/>
                <w:sz w:val="21"/>
                <w:szCs w:val="21"/>
              </w:rPr>
            </w:pPr>
            <w:r>
              <w:rPr>
                <w:rFonts w:hint="eastAsia" w:ascii="仿宋" w:hAnsi="仿宋" w:eastAsia="仿宋"/>
                <w:kern w:val="2"/>
                <w:sz w:val="21"/>
                <w:szCs w:val="21"/>
              </w:rPr>
              <w:t>不正当竞争预防措施</w:t>
            </w:r>
          </w:p>
          <w:p>
            <w:pPr>
              <w:pStyle w:val="41"/>
              <w:spacing w:line="276" w:lineRule="auto"/>
              <w:ind w:left="38"/>
              <w:contextualSpacing/>
              <w:jc w:val="center"/>
              <w:rPr>
                <w:rFonts w:ascii="仿宋" w:hAnsi="仿宋" w:eastAsia="仿宋"/>
                <w:kern w:val="2"/>
                <w:sz w:val="21"/>
                <w:szCs w:val="21"/>
              </w:rPr>
            </w:pPr>
            <w:r>
              <w:rPr>
                <w:rFonts w:hint="eastAsia" w:ascii="仿宋" w:hAnsi="仿宋" w:eastAsia="仿宋"/>
                <w:kern w:val="2"/>
                <w:sz w:val="21"/>
                <w:szCs w:val="21"/>
              </w:rPr>
              <w:t>（实质性要求）</w:t>
            </w:r>
          </w:p>
        </w:tc>
        <w:tc>
          <w:tcPr>
            <w:tcW w:w="6111" w:type="dxa"/>
            <w:vAlign w:val="center"/>
          </w:tcPr>
          <w:p>
            <w:pPr>
              <w:pStyle w:val="41"/>
              <w:spacing w:line="276" w:lineRule="auto"/>
              <w:contextualSpacing/>
              <w:rPr>
                <w:rFonts w:ascii="仿宋" w:hAnsi="仿宋" w:eastAsia="仿宋"/>
                <w:kern w:val="2"/>
                <w:sz w:val="21"/>
                <w:szCs w:val="21"/>
              </w:rPr>
            </w:pPr>
            <w:bookmarkStart w:id="20" w:name="PO_默认文件内容_1"/>
            <w:r>
              <w:rPr>
                <w:rFonts w:hint="eastAsia" w:ascii="仿宋" w:hAnsi="仿宋" w:eastAsia="仿宋"/>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spacing w:line="276" w:lineRule="auto"/>
              <w:ind w:right="230"/>
              <w:contextualSpacing/>
              <w:jc w:val="center"/>
              <w:rPr>
                <w:rFonts w:ascii="仿宋" w:hAnsi="仿宋" w:eastAsia="仿宋" w:cs="Courier New"/>
                <w:sz w:val="21"/>
                <w:szCs w:val="21"/>
                <w:lang w:val="zh-CN"/>
              </w:rPr>
            </w:pPr>
            <w:r>
              <w:rPr>
                <w:rFonts w:hint="eastAsia" w:ascii="仿宋" w:hAnsi="仿宋" w:eastAsia="仿宋" w:cs="Courier New"/>
                <w:sz w:val="21"/>
                <w:szCs w:val="21"/>
                <w:lang w:val="zh-CN"/>
              </w:rPr>
              <w:t>3</w:t>
            </w:r>
          </w:p>
        </w:tc>
        <w:tc>
          <w:tcPr>
            <w:tcW w:w="2552" w:type="dxa"/>
            <w:vAlign w:val="center"/>
          </w:tcPr>
          <w:p>
            <w:pPr>
              <w:pStyle w:val="41"/>
              <w:spacing w:line="276" w:lineRule="auto"/>
              <w:ind w:left="38"/>
              <w:contextualSpacing/>
              <w:jc w:val="center"/>
              <w:rPr>
                <w:rFonts w:ascii="仿宋" w:hAnsi="仿宋" w:eastAsia="仿宋"/>
                <w:sz w:val="21"/>
                <w:szCs w:val="21"/>
                <w:lang w:val="zh-CN"/>
              </w:rPr>
            </w:pPr>
            <w:r>
              <w:rPr>
                <w:rFonts w:hint="eastAsia" w:ascii="仿宋" w:hAnsi="仿宋" w:eastAsia="仿宋"/>
                <w:sz w:val="21"/>
                <w:szCs w:val="21"/>
                <w:lang w:val="zh-CN"/>
              </w:rPr>
              <w:t>进口产品（实质性要求）</w:t>
            </w:r>
          </w:p>
        </w:tc>
        <w:tc>
          <w:tcPr>
            <w:tcW w:w="6111" w:type="dxa"/>
            <w:vAlign w:val="center"/>
          </w:tcPr>
          <w:p>
            <w:pPr>
              <w:pStyle w:val="41"/>
              <w:spacing w:line="276" w:lineRule="auto"/>
              <w:ind w:firstLine="210" w:firstLineChars="100"/>
              <w:contextualSpacing/>
              <w:rPr>
                <w:rFonts w:ascii="仿宋" w:hAnsi="仿宋" w:eastAsia="仿宋"/>
                <w:sz w:val="21"/>
                <w:szCs w:val="21"/>
                <w:lang w:val="zh-CN"/>
              </w:rPr>
            </w:pPr>
            <w:bookmarkStart w:id="21" w:name="PO_默认文件内容_15"/>
            <w:r>
              <w:rPr>
                <w:rFonts w:hint="eastAsia" w:ascii="仿宋" w:hAnsi="仿宋" w:eastAsia="仿宋"/>
                <w:sz w:val="21"/>
                <w:szCs w:val="21"/>
              </w:rPr>
              <w:t>本项目招标文件中未载明“允许采购进口产品”的产品，视为拒绝进口产品参与竞争，</w:t>
            </w:r>
            <w:r>
              <w:rPr>
                <w:rFonts w:ascii="仿宋" w:hAnsi="仿宋" w:eastAsia="仿宋"/>
                <w:sz w:val="21"/>
                <w:szCs w:val="21"/>
              </w:rPr>
              <w:t>供应商以</w:t>
            </w:r>
            <w:r>
              <w:rPr>
                <w:rFonts w:hint="eastAsia" w:ascii="仿宋" w:hAnsi="仿宋" w:eastAsia="仿宋"/>
                <w:sz w:val="21"/>
                <w:szCs w:val="21"/>
              </w:rPr>
              <w:t>进口</w:t>
            </w:r>
            <w:r>
              <w:rPr>
                <w:rFonts w:ascii="仿宋" w:hAnsi="仿宋" w:eastAsia="仿宋"/>
                <w:sz w:val="21"/>
                <w:szCs w:val="21"/>
              </w:rPr>
              <w:t>产品投标</w:t>
            </w:r>
            <w:r>
              <w:rPr>
                <w:rFonts w:hint="eastAsia" w:ascii="仿宋" w:hAnsi="仿宋" w:eastAsia="仿宋"/>
                <w:sz w:val="21"/>
                <w:szCs w:val="21"/>
              </w:rPr>
              <w:t>时</w:t>
            </w:r>
            <w:r>
              <w:rPr>
                <w:rFonts w:ascii="仿宋" w:hAnsi="仿宋" w:eastAsia="仿宋"/>
                <w:sz w:val="21"/>
                <w:szCs w:val="21"/>
              </w:rPr>
              <w:t>，将按无效投标处理</w:t>
            </w:r>
            <w:r>
              <w:rPr>
                <w:rFonts w:hint="eastAsia" w:ascii="仿宋" w:hAnsi="仿宋" w:eastAsia="仿宋"/>
                <w:sz w:val="21"/>
                <w:szCs w:val="21"/>
              </w:rPr>
              <w:t>。载明“允许采购进口产品”的产品，不限制国产产品参与竞争。</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spacing w:line="276" w:lineRule="auto"/>
              <w:ind w:right="230"/>
              <w:contextualSpacing/>
              <w:jc w:val="center"/>
              <w:rPr>
                <w:rFonts w:ascii="仿宋" w:hAnsi="仿宋" w:eastAsia="仿宋" w:cs="Courier New"/>
                <w:sz w:val="21"/>
                <w:szCs w:val="21"/>
                <w:lang w:val="zh-CN"/>
              </w:rPr>
            </w:pPr>
            <w:r>
              <w:rPr>
                <w:rFonts w:ascii="仿宋" w:hAnsi="仿宋" w:eastAsia="仿宋" w:cs="Courier New"/>
                <w:sz w:val="21"/>
                <w:szCs w:val="21"/>
                <w:lang w:val="zh-CN"/>
              </w:rPr>
              <w:t>4</w:t>
            </w:r>
          </w:p>
        </w:tc>
        <w:tc>
          <w:tcPr>
            <w:tcW w:w="2552" w:type="dxa"/>
            <w:vAlign w:val="center"/>
          </w:tcPr>
          <w:p>
            <w:pPr>
              <w:pStyle w:val="41"/>
              <w:spacing w:after="0" w:line="276" w:lineRule="auto"/>
              <w:contextualSpacing/>
              <w:jc w:val="center"/>
              <w:rPr>
                <w:rFonts w:ascii="仿宋" w:hAnsi="仿宋" w:eastAsia="仿宋"/>
                <w:kern w:val="2"/>
                <w:sz w:val="21"/>
                <w:szCs w:val="21"/>
              </w:rPr>
            </w:pPr>
            <w:r>
              <w:rPr>
                <w:rFonts w:hint="eastAsia" w:ascii="仿宋" w:hAnsi="仿宋" w:eastAsia="仿宋"/>
                <w:kern w:val="2"/>
                <w:sz w:val="21"/>
                <w:szCs w:val="21"/>
              </w:rPr>
              <w:t>小微企业（监狱企业、残疾人福利性单位</w:t>
            </w:r>
            <w:r>
              <w:rPr>
                <w:rFonts w:hint="eastAsia" w:ascii="仿宋" w:hAnsi="仿宋" w:eastAsia="仿宋"/>
                <w:sz w:val="21"/>
                <w:szCs w:val="21"/>
              </w:rPr>
              <w:t>视同小微企业</w:t>
            </w:r>
            <w:r>
              <w:rPr>
                <w:rFonts w:hint="eastAsia" w:ascii="仿宋" w:hAnsi="仿宋" w:eastAsia="仿宋"/>
                <w:kern w:val="2"/>
                <w:sz w:val="21"/>
                <w:szCs w:val="21"/>
              </w:rPr>
              <w:t>）价格扣除</w:t>
            </w:r>
          </w:p>
        </w:tc>
        <w:tc>
          <w:tcPr>
            <w:tcW w:w="6111" w:type="dxa"/>
            <w:vAlign w:val="center"/>
          </w:tcPr>
          <w:p>
            <w:pPr>
              <w:widowControl/>
              <w:spacing w:after="120" w:line="276" w:lineRule="auto"/>
              <w:contextualSpacing/>
              <w:jc w:val="left"/>
              <w:rPr>
                <w:rFonts w:ascii="仿宋" w:hAnsi="仿宋" w:eastAsia="仿宋"/>
                <w:kern w:val="0"/>
                <w:szCs w:val="21"/>
              </w:rPr>
            </w:pPr>
            <w:r>
              <w:rPr>
                <w:rFonts w:hint="eastAsia" w:ascii="仿宋" w:hAnsi="仿宋" w:eastAsia="仿宋"/>
                <w:kern w:val="0"/>
                <w:szCs w:val="21"/>
              </w:rPr>
              <w:t>一、小微企业（监狱企业、残疾人福利性单位均视同小微企业）价格扣除</w:t>
            </w:r>
          </w:p>
          <w:p>
            <w:pPr>
              <w:widowControl/>
              <w:spacing w:after="120" w:line="276" w:lineRule="auto"/>
              <w:contextualSpacing/>
              <w:jc w:val="left"/>
              <w:rPr>
                <w:rFonts w:ascii="仿宋" w:hAnsi="仿宋" w:eastAsia="仿宋"/>
                <w:kern w:val="0"/>
                <w:szCs w:val="21"/>
              </w:rPr>
            </w:pPr>
            <w:r>
              <w:rPr>
                <w:rFonts w:hint="eastAsia" w:ascii="仿宋" w:hAnsi="仿宋" w:eastAsia="仿宋"/>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widowControl/>
              <w:spacing w:after="120" w:line="276" w:lineRule="auto"/>
              <w:contextualSpacing/>
              <w:jc w:val="left"/>
              <w:rPr>
                <w:rFonts w:ascii="仿宋" w:hAnsi="仿宋" w:eastAsia="仿宋"/>
                <w:kern w:val="0"/>
                <w:szCs w:val="21"/>
              </w:rPr>
            </w:pPr>
            <w:r>
              <w:rPr>
                <w:rFonts w:hint="eastAsia" w:ascii="仿宋" w:hAnsi="仿宋" w:eastAsia="仿宋"/>
                <w:kern w:val="0"/>
                <w:szCs w:val="21"/>
              </w:rPr>
              <w:t>2、参加政府采购活动的中小企业提供《中小企业声明函》原件，未提供的，视为放弃享受小微企业价格扣除优惠政策。</w:t>
            </w:r>
          </w:p>
          <w:p>
            <w:pPr>
              <w:widowControl/>
              <w:spacing w:after="120" w:line="276" w:lineRule="auto"/>
              <w:contextualSpacing/>
              <w:jc w:val="left"/>
              <w:rPr>
                <w:rFonts w:ascii="仿宋" w:hAnsi="仿宋" w:eastAsia="仿宋"/>
                <w:kern w:val="0"/>
                <w:szCs w:val="21"/>
              </w:rPr>
            </w:pPr>
            <w:r>
              <w:rPr>
                <w:rFonts w:ascii="仿宋" w:hAnsi="仿宋" w:eastAsia="仿宋"/>
                <w:kern w:val="0"/>
                <w:szCs w:val="21"/>
              </w:rPr>
              <w:t>3</w:t>
            </w:r>
            <w:r>
              <w:rPr>
                <w:rFonts w:hint="eastAsia" w:ascii="仿宋" w:hAnsi="仿宋" w:eastAsia="仿宋"/>
                <w:kern w:val="0"/>
                <w:szCs w:val="21"/>
              </w:rPr>
              <w:t>、参加政府采购活动的残疾人福利性单位应当提供《残疾人福利性单位声明函》原件，未提供的，视为放弃享受小微企业价格扣除优惠政策。</w:t>
            </w:r>
          </w:p>
          <w:p>
            <w:pPr>
              <w:widowControl/>
              <w:spacing w:after="120" w:line="276" w:lineRule="auto"/>
              <w:contextualSpacing/>
              <w:jc w:val="left"/>
              <w:rPr>
                <w:rFonts w:ascii="仿宋" w:hAnsi="仿宋" w:eastAsia="仿宋"/>
                <w:kern w:val="0"/>
                <w:szCs w:val="21"/>
              </w:rPr>
            </w:pPr>
            <w:r>
              <w:rPr>
                <w:rFonts w:ascii="仿宋" w:hAnsi="仿宋" w:eastAsia="仿宋"/>
                <w:kern w:val="0"/>
                <w:szCs w:val="21"/>
              </w:rPr>
              <w:t>4</w:t>
            </w:r>
            <w:r>
              <w:rPr>
                <w:rFonts w:hint="eastAsia" w:ascii="仿宋" w:hAnsi="仿宋" w:eastAsia="仿宋"/>
                <w:kern w:val="0"/>
                <w:szCs w:val="21"/>
              </w:rPr>
              <w:t>、参加政府采购活动的监狱企业提供由省级以上监狱管理局、戒毒管理局(含新疆生产建设兵团)出具的属于监狱企业的证明文件，未提供的，视为放弃享受小微企业价格扣除优惠政策。</w:t>
            </w:r>
          </w:p>
          <w:p>
            <w:pPr>
              <w:widowControl/>
              <w:spacing w:after="120" w:line="276" w:lineRule="auto"/>
              <w:contextualSpacing/>
              <w:jc w:val="left"/>
              <w:rPr>
                <w:rFonts w:ascii="仿宋" w:hAnsi="仿宋" w:eastAsia="仿宋"/>
                <w:kern w:val="0"/>
                <w:szCs w:val="21"/>
              </w:rPr>
            </w:pPr>
            <w:r>
              <w:rPr>
                <w:rFonts w:ascii="仿宋" w:hAnsi="仿宋" w:eastAsia="仿宋"/>
                <w:kern w:val="0"/>
                <w:szCs w:val="21"/>
              </w:rPr>
              <w:t>5</w:t>
            </w:r>
            <w:r>
              <w:rPr>
                <w:rFonts w:hint="eastAsia" w:ascii="仿宋" w:hAnsi="仿宋" w:eastAsia="仿宋"/>
                <w:kern w:val="0"/>
                <w:szCs w:val="21"/>
              </w:rPr>
              <w:t>、符合中小企业划分标准的个体工商户，在政府采购活动中视同中小企业。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spacing w:before="72" w:after="72" w:line="276" w:lineRule="auto"/>
              <w:ind w:right="264"/>
              <w:contextualSpacing/>
              <w:jc w:val="center"/>
              <w:rPr>
                <w:rFonts w:ascii="仿宋" w:hAnsi="仿宋" w:eastAsia="仿宋" w:cs="Courier New"/>
                <w:sz w:val="21"/>
                <w:szCs w:val="21"/>
                <w:lang w:val="zh-CN"/>
              </w:rPr>
            </w:pPr>
            <w:r>
              <w:rPr>
                <w:rFonts w:ascii="仿宋" w:hAnsi="仿宋" w:eastAsia="仿宋"/>
                <w:kern w:val="2"/>
                <w:sz w:val="21"/>
                <w:szCs w:val="21"/>
              </w:rPr>
              <w:t>5</w:t>
            </w:r>
          </w:p>
        </w:tc>
        <w:tc>
          <w:tcPr>
            <w:tcW w:w="2552" w:type="dxa"/>
            <w:vAlign w:val="center"/>
          </w:tcPr>
          <w:p>
            <w:pPr>
              <w:spacing w:line="276" w:lineRule="auto"/>
              <w:ind w:left="105" w:leftChars="50" w:right="105" w:rightChars="50"/>
              <w:contextualSpacing/>
              <w:jc w:val="center"/>
              <w:rPr>
                <w:rFonts w:ascii="仿宋" w:hAnsi="仿宋" w:eastAsia="仿宋"/>
                <w:kern w:val="0"/>
                <w:szCs w:val="21"/>
              </w:rPr>
            </w:pPr>
            <w:r>
              <w:rPr>
                <w:rFonts w:hint="eastAsia" w:ascii="仿宋" w:hAnsi="仿宋" w:eastAsia="仿宋"/>
                <w:kern w:val="0"/>
                <w:szCs w:val="21"/>
              </w:rPr>
              <w:t>节能、环保及无线局域网产品政府采购政策</w:t>
            </w:r>
          </w:p>
        </w:tc>
        <w:tc>
          <w:tcPr>
            <w:tcW w:w="6111" w:type="dxa"/>
            <w:vAlign w:val="center"/>
          </w:tcPr>
          <w:p>
            <w:pPr>
              <w:spacing w:after="0" w:line="276" w:lineRule="auto"/>
              <w:ind w:right="105" w:rightChars="50"/>
              <w:contextualSpacing/>
              <w:rPr>
                <w:rFonts w:ascii="仿宋" w:hAnsi="仿宋" w:eastAsia="仿宋"/>
                <w:b/>
                <w:szCs w:val="21"/>
              </w:rPr>
            </w:pPr>
            <w:r>
              <w:rPr>
                <w:rFonts w:hint="eastAsia" w:ascii="仿宋" w:hAnsi="仿宋" w:eastAsia="仿宋"/>
                <w:b/>
                <w:szCs w:val="21"/>
              </w:rPr>
              <w:t>一</w:t>
            </w:r>
            <w:r>
              <w:rPr>
                <w:rFonts w:ascii="仿宋" w:hAnsi="仿宋" w:eastAsia="仿宋"/>
                <w:b/>
                <w:szCs w:val="21"/>
              </w:rPr>
              <w:t>、</w:t>
            </w:r>
            <w:r>
              <w:rPr>
                <w:rFonts w:hint="eastAsia" w:ascii="仿宋" w:hAnsi="仿宋" w:eastAsia="仿宋"/>
                <w:b/>
                <w:szCs w:val="21"/>
              </w:rPr>
              <w:t>节能、</w:t>
            </w:r>
            <w:r>
              <w:rPr>
                <w:rFonts w:ascii="仿宋" w:hAnsi="仿宋" w:eastAsia="仿宋"/>
                <w:b/>
                <w:szCs w:val="21"/>
              </w:rPr>
              <w:t>环保产品政府采购政策：</w:t>
            </w:r>
          </w:p>
          <w:p>
            <w:pPr>
              <w:spacing w:after="0" w:line="276" w:lineRule="auto"/>
              <w:ind w:right="105" w:rightChars="50"/>
              <w:contextualSpacing/>
              <w:rPr>
                <w:rFonts w:ascii="仿宋" w:hAnsi="仿宋" w:eastAsia="仿宋"/>
                <w:szCs w:val="21"/>
              </w:rPr>
            </w:pPr>
            <w:r>
              <w:rPr>
                <w:rFonts w:hint="eastAsia" w:ascii="仿宋" w:hAnsi="仿宋" w:eastAsia="仿宋"/>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276" w:lineRule="auto"/>
              <w:ind w:right="105" w:rightChars="50"/>
              <w:contextualSpacing/>
              <w:rPr>
                <w:rFonts w:ascii="仿宋" w:hAnsi="仿宋" w:eastAsia="仿宋"/>
                <w:szCs w:val="21"/>
              </w:rPr>
            </w:pPr>
            <w:r>
              <w:rPr>
                <w:rFonts w:hint="eastAsia" w:ascii="仿宋" w:hAnsi="仿宋" w:eastAsia="仿宋"/>
                <w:szCs w:val="21"/>
              </w:rPr>
              <w:t>本项目采购的产品属于品目清单强制采购范围的，供应商应按上述要求提供产品认证证书复印件并加盖供应商单位公章（鲜章），否则投标无效。</w:t>
            </w:r>
            <w:r>
              <w:rPr>
                <w:rFonts w:hint="eastAsia" w:ascii="仿宋" w:hAnsi="仿宋" w:eastAsia="仿宋"/>
                <w:b/>
                <w:szCs w:val="21"/>
              </w:rPr>
              <w:t>（实质性要求）</w:t>
            </w:r>
          </w:p>
          <w:p>
            <w:pPr>
              <w:spacing w:after="0" w:line="276" w:lineRule="auto"/>
              <w:ind w:right="105" w:rightChars="50"/>
              <w:contextualSpacing/>
              <w:rPr>
                <w:rFonts w:ascii="仿宋" w:hAnsi="仿宋" w:eastAsia="仿宋"/>
                <w:szCs w:val="21"/>
              </w:rPr>
            </w:pPr>
            <w:r>
              <w:rPr>
                <w:rFonts w:hint="eastAsia" w:ascii="仿宋" w:hAnsi="仿宋" w:eastAsia="仿宋"/>
                <w:szCs w:val="21"/>
              </w:rPr>
              <w:t>本项目采购的产品属于品目清单优先采购范围的，按照第七章《综合明细表》的规则进行加分。</w:t>
            </w:r>
          </w:p>
          <w:p>
            <w:pPr>
              <w:spacing w:after="0" w:line="276" w:lineRule="auto"/>
              <w:ind w:right="105" w:rightChars="50"/>
              <w:contextualSpacing/>
              <w:rPr>
                <w:rFonts w:ascii="仿宋" w:hAnsi="仿宋" w:eastAsia="仿宋"/>
                <w:szCs w:val="21"/>
              </w:rPr>
            </w:pPr>
            <w:r>
              <w:rPr>
                <w:rFonts w:hint="eastAsia" w:ascii="仿宋" w:hAnsi="仿宋" w:eastAsia="仿宋"/>
                <w:szCs w:val="21"/>
              </w:rPr>
              <w:t>注：对政府采购节能产品、环境标志产品实施品目清单管理。财政部、发展改革委、生态环境部等部门确定实施政府优先采购和强制采购的产品类别，以品目清单的形式发布并适时调整。</w:t>
            </w:r>
          </w:p>
          <w:p>
            <w:pPr>
              <w:spacing w:after="0" w:line="276" w:lineRule="auto"/>
              <w:ind w:right="105" w:rightChars="50"/>
              <w:contextualSpacing/>
              <w:rPr>
                <w:rFonts w:ascii="仿宋" w:hAnsi="仿宋" w:eastAsia="仿宋"/>
                <w:b/>
                <w:szCs w:val="21"/>
              </w:rPr>
            </w:pPr>
            <w:r>
              <w:rPr>
                <w:rFonts w:hint="eastAsia" w:ascii="仿宋" w:hAnsi="仿宋" w:eastAsia="仿宋"/>
                <w:b/>
                <w:szCs w:val="21"/>
              </w:rPr>
              <w:t>二</w:t>
            </w:r>
            <w:r>
              <w:rPr>
                <w:rFonts w:ascii="仿宋" w:hAnsi="仿宋" w:eastAsia="仿宋"/>
                <w:b/>
                <w:szCs w:val="21"/>
              </w:rPr>
              <w:t>、</w:t>
            </w:r>
            <w:r>
              <w:rPr>
                <w:rFonts w:hint="eastAsia" w:ascii="仿宋" w:hAnsi="仿宋" w:eastAsia="仿宋"/>
                <w:b/>
                <w:szCs w:val="21"/>
              </w:rPr>
              <w:t>无线局域网产品政府采购政策：</w:t>
            </w:r>
          </w:p>
          <w:p>
            <w:pPr>
              <w:spacing w:after="0" w:line="276" w:lineRule="auto"/>
              <w:ind w:right="105" w:rightChars="50"/>
              <w:contextualSpacing/>
              <w:rPr>
                <w:rFonts w:ascii="仿宋" w:hAnsi="仿宋" w:eastAsia="仿宋"/>
                <w:szCs w:val="21"/>
              </w:rPr>
            </w:pPr>
            <w:r>
              <w:rPr>
                <w:rFonts w:hint="eastAsia" w:ascii="仿宋" w:hAnsi="仿宋" w:eastAsia="仿宋"/>
                <w:szCs w:val="21"/>
              </w:rPr>
              <w:t>本项目采购的产品属于中国</w:t>
            </w:r>
            <w:r>
              <w:rPr>
                <w:rFonts w:ascii="仿宋" w:hAnsi="仿宋" w:eastAsia="仿宋"/>
                <w:szCs w:val="21"/>
              </w:rPr>
              <w:t>政府采购网公布的</w:t>
            </w:r>
            <w:r>
              <w:rPr>
                <w:rFonts w:hint="eastAsia" w:ascii="仿宋" w:hAnsi="仿宋" w:eastAsia="仿宋"/>
                <w:szCs w:val="21"/>
              </w:rPr>
              <w:t>《无线局域网认证产品政府采购清单》的，按照第七章《综合明细表》的规则进行加分。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spacing w:line="276" w:lineRule="auto"/>
              <w:ind w:right="230"/>
              <w:contextualSpacing/>
              <w:jc w:val="center"/>
              <w:rPr>
                <w:rFonts w:ascii="仿宋" w:hAnsi="仿宋" w:eastAsia="仿宋"/>
                <w:kern w:val="2"/>
                <w:sz w:val="21"/>
                <w:szCs w:val="21"/>
              </w:rPr>
            </w:pPr>
            <w:r>
              <w:rPr>
                <w:rFonts w:ascii="仿宋" w:hAnsi="仿宋" w:eastAsia="仿宋"/>
                <w:kern w:val="2"/>
                <w:sz w:val="21"/>
                <w:szCs w:val="21"/>
              </w:rPr>
              <w:t>6</w:t>
            </w:r>
          </w:p>
        </w:tc>
        <w:tc>
          <w:tcPr>
            <w:tcW w:w="2552" w:type="dxa"/>
            <w:vAlign w:val="center"/>
          </w:tcPr>
          <w:p>
            <w:pPr>
              <w:spacing w:line="276" w:lineRule="auto"/>
              <w:ind w:left="105" w:leftChars="50" w:right="105" w:rightChars="50"/>
              <w:contextualSpacing/>
              <w:jc w:val="center"/>
              <w:rPr>
                <w:rFonts w:ascii="仿宋" w:hAnsi="仿宋" w:eastAsia="仿宋"/>
                <w:szCs w:val="21"/>
              </w:rPr>
            </w:pPr>
            <w:r>
              <w:rPr>
                <w:rFonts w:hint="eastAsia" w:ascii="仿宋" w:hAnsi="仿宋" w:eastAsia="仿宋"/>
                <w:kern w:val="0"/>
                <w:szCs w:val="21"/>
              </w:rPr>
              <w:t>评标情况公告</w:t>
            </w:r>
          </w:p>
        </w:tc>
        <w:tc>
          <w:tcPr>
            <w:tcW w:w="6111" w:type="dxa"/>
            <w:vAlign w:val="center"/>
          </w:tcPr>
          <w:p>
            <w:pPr>
              <w:widowControl/>
              <w:spacing w:line="276" w:lineRule="auto"/>
              <w:contextualSpacing/>
              <w:jc w:val="left"/>
              <w:rPr>
                <w:rFonts w:ascii="仿宋" w:hAnsi="仿宋" w:eastAsia="仿宋"/>
                <w:szCs w:val="21"/>
              </w:rPr>
            </w:pPr>
            <w:bookmarkStart w:id="22" w:name="PO_默认文件内容_6"/>
            <w:r>
              <w:rPr>
                <w:rFonts w:hint="eastAsia" w:ascii="仿宋" w:hAnsi="仿宋" w:eastAsia="仿宋"/>
                <w:kern w:val="0"/>
                <w:szCs w:val="21"/>
              </w:rPr>
              <w:t>所有供应商投标文件资格性、符合性检查情况、采用综合法时的总得分和分项汇总得分情况、评标结果等将在四川政府采购网上采购结果公告栏中予以公告。</w:t>
            </w:r>
            <w:bookmarkEnd w:id="2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spacing w:line="276" w:lineRule="auto"/>
              <w:ind w:right="230"/>
              <w:contextualSpacing/>
              <w:jc w:val="center"/>
              <w:rPr>
                <w:rFonts w:ascii="仿宋" w:hAnsi="仿宋" w:eastAsia="仿宋"/>
                <w:kern w:val="2"/>
                <w:sz w:val="21"/>
                <w:szCs w:val="21"/>
              </w:rPr>
            </w:pPr>
            <w:r>
              <w:rPr>
                <w:rFonts w:ascii="仿宋" w:hAnsi="仿宋" w:eastAsia="仿宋"/>
                <w:kern w:val="2"/>
                <w:sz w:val="21"/>
                <w:szCs w:val="21"/>
              </w:rPr>
              <w:t>7</w:t>
            </w:r>
          </w:p>
        </w:tc>
        <w:tc>
          <w:tcPr>
            <w:tcW w:w="2552" w:type="dxa"/>
            <w:vAlign w:val="center"/>
          </w:tcPr>
          <w:p>
            <w:pPr>
              <w:pStyle w:val="41"/>
              <w:spacing w:line="276" w:lineRule="auto"/>
              <w:ind w:left="96"/>
              <w:contextualSpacing/>
              <w:jc w:val="center"/>
              <w:rPr>
                <w:rFonts w:ascii="仿宋" w:hAnsi="仿宋" w:eastAsia="仿宋"/>
                <w:sz w:val="21"/>
                <w:szCs w:val="21"/>
                <w:lang w:val="zh-CN"/>
              </w:rPr>
            </w:pPr>
            <w:r>
              <w:rPr>
                <w:rFonts w:hint="eastAsia" w:ascii="仿宋" w:hAnsi="仿宋" w:eastAsia="仿宋"/>
                <w:sz w:val="21"/>
                <w:szCs w:val="21"/>
                <w:lang w:val="zh-CN"/>
              </w:rPr>
              <w:t>投标保证金</w:t>
            </w:r>
          </w:p>
        </w:tc>
        <w:tc>
          <w:tcPr>
            <w:tcW w:w="6111" w:type="dxa"/>
            <w:vAlign w:val="center"/>
          </w:tcPr>
          <w:p>
            <w:pPr>
              <w:pStyle w:val="41"/>
              <w:spacing w:after="120" w:afterLines="50" w:line="276" w:lineRule="auto"/>
              <w:contextualSpacing/>
              <w:rPr>
                <w:rFonts w:ascii="仿宋" w:hAnsi="仿宋" w:eastAsia="仿宋"/>
                <w:sz w:val="21"/>
                <w:szCs w:val="21"/>
                <w:lang w:val="zh-CN"/>
              </w:rPr>
            </w:pPr>
            <w:r>
              <w:rPr>
                <w:rFonts w:hint="eastAsia" w:ascii="仿宋" w:hAnsi="仿宋" w:eastAsia="仿宋"/>
                <w:sz w:val="21"/>
                <w:szCs w:val="21"/>
                <w:lang w:val="zh-CN"/>
              </w:rPr>
              <w:t>本项目不适用。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spacing w:line="276" w:lineRule="auto"/>
              <w:ind w:right="264"/>
              <w:contextualSpacing/>
              <w:jc w:val="center"/>
              <w:rPr>
                <w:rFonts w:ascii="仿宋" w:hAnsi="仿宋" w:eastAsia="仿宋"/>
                <w:kern w:val="2"/>
                <w:sz w:val="21"/>
                <w:szCs w:val="21"/>
              </w:rPr>
            </w:pPr>
            <w:r>
              <w:rPr>
                <w:rFonts w:ascii="仿宋" w:hAnsi="仿宋" w:eastAsia="仿宋"/>
                <w:kern w:val="2"/>
                <w:sz w:val="21"/>
                <w:szCs w:val="21"/>
              </w:rPr>
              <w:t>8</w:t>
            </w:r>
          </w:p>
        </w:tc>
        <w:tc>
          <w:tcPr>
            <w:tcW w:w="2552" w:type="dxa"/>
            <w:vAlign w:val="center"/>
          </w:tcPr>
          <w:p>
            <w:pPr>
              <w:pStyle w:val="41"/>
              <w:spacing w:line="276" w:lineRule="auto"/>
              <w:ind w:left="96"/>
              <w:contextualSpacing/>
              <w:jc w:val="center"/>
              <w:rPr>
                <w:rFonts w:ascii="仿宋" w:hAnsi="仿宋" w:eastAsia="仿宋"/>
                <w:sz w:val="21"/>
                <w:szCs w:val="21"/>
                <w:lang w:val="zh-CN"/>
              </w:rPr>
            </w:pPr>
            <w:r>
              <w:rPr>
                <w:rFonts w:hint="eastAsia" w:ascii="仿宋" w:hAnsi="仿宋" w:eastAsia="仿宋"/>
                <w:sz w:val="21"/>
                <w:szCs w:val="21"/>
                <w:lang w:val="zh-CN"/>
              </w:rPr>
              <w:t>履约保证金</w:t>
            </w:r>
          </w:p>
        </w:tc>
        <w:tc>
          <w:tcPr>
            <w:tcW w:w="6111" w:type="dxa"/>
            <w:vAlign w:val="center"/>
          </w:tcPr>
          <w:p>
            <w:pPr>
              <w:pStyle w:val="41"/>
              <w:spacing w:line="276" w:lineRule="auto"/>
              <w:contextualSpacing/>
              <w:rPr>
                <w:rFonts w:ascii="仿宋" w:hAnsi="仿宋" w:eastAsia="仿宋"/>
                <w:sz w:val="21"/>
                <w:szCs w:val="21"/>
                <w:lang w:val="zh-CN"/>
              </w:rPr>
            </w:pPr>
            <w:r>
              <w:rPr>
                <w:rFonts w:hint="eastAsia" w:ascii="仿宋" w:hAnsi="仿宋" w:eastAsia="仿宋"/>
                <w:sz w:val="21"/>
                <w:szCs w:val="21"/>
                <w:lang w:val="zh-CN"/>
              </w:rPr>
              <w:t>本项目不适用。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1"/>
              <w:spacing w:line="276" w:lineRule="auto"/>
              <w:ind w:right="264"/>
              <w:contextualSpacing/>
              <w:jc w:val="center"/>
              <w:rPr>
                <w:rFonts w:ascii="仿宋" w:hAnsi="仿宋" w:eastAsia="仿宋"/>
                <w:kern w:val="2"/>
                <w:sz w:val="21"/>
                <w:szCs w:val="21"/>
              </w:rPr>
            </w:pPr>
            <w:r>
              <w:rPr>
                <w:rFonts w:hint="eastAsia" w:ascii="仿宋" w:hAnsi="仿宋" w:eastAsia="仿宋"/>
                <w:kern w:val="2"/>
                <w:sz w:val="21"/>
                <w:szCs w:val="21"/>
              </w:rPr>
              <w:t>9</w:t>
            </w:r>
          </w:p>
        </w:tc>
        <w:tc>
          <w:tcPr>
            <w:tcW w:w="2552" w:type="dxa"/>
            <w:vAlign w:val="center"/>
          </w:tcPr>
          <w:p>
            <w:pPr>
              <w:spacing w:line="276" w:lineRule="auto"/>
              <w:ind w:firstLine="105" w:firstLineChars="50"/>
              <w:contextualSpacing/>
              <w:jc w:val="center"/>
              <w:rPr>
                <w:rFonts w:ascii="仿宋" w:hAnsi="仿宋" w:eastAsia="仿宋"/>
                <w:szCs w:val="21"/>
              </w:rPr>
            </w:pPr>
            <w:r>
              <w:rPr>
                <w:rFonts w:hint="eastAsia" w:ascii="仿宋" w:hAnsi="仿宋" w:eastAsia="仿宋"/>
                <w:szCs w:val="21"/>
              </w:rPr>
              <w:t>合同分包</w:t>
            </w:r>
          </w:p>
          <w:p>
            <w:pPr>
              <w:spacing w:line="276" w:lineRule="auto"/>
              <w:ind w:firstLine="105" w:firstLineChars="50"/>
              <w:contextualSpacing/>
              <w:jc w:val="center"/>
              <w:rPr>
                <w:rFonts w:ascii="仿宋" w:hAnsi="仿宋" w:eastAsia="仿宋"/>
                <w:szCs w:val="21"/>
              </w:rPr>
            </w:pPr>
            <w:r>
              <w:rPr>
                <w:rFonts w:hint="eastAsia" w:ascii="仿宋" w:hAnsi="仿宋" w:eastAsia="仿宋"/>
                <w:szCs w:val="21"/>
              </w:rPr>
              <w:t>（实质性要求）</w:t>
            </w:r>
          </w:p>
        </w:tc>
        <w:tc>
          <w:tcPr>
            <w:tcW w:w="6111" w:type="dxa"/>
            <w:vAlign w:val="center"/>
          </w:tcPr>
          <w:p>
            <w:pPr>
              <w:pStyle w:val="41"/>
              <w:spacing w:line="276" w:lineRule="auto"/>
              <w:ind w:firstLine="340" w:firstLineChars="100"/>
              <w:contextualSpacing/>
              <w:rPr>
                <w:rFonts w:ascii="仿宋" w:hAnsi="仿宋" w:eastAsia="仿宋"/>
                <w:b/>
                <w:kern w:val="2"/>
                <w:sz w:val="21"/>
                <w:szCs w:val="21"/>
              </w:rPr>
            </w:pPr>
            <w:r>
              <w:rPr>
                <w:rFonts w:hint="eastAsia" w:ascii="Segoe UI Symbol" w:hAnsi="Segoe UI Symbol" w:eastAsia="仿宋" w:cs="Segoe UI Symbol"/>
                <w:kern w:val="2"/>
              </w:rPr>
              <w:t>□</w:t>
            </w:r>
            <w:r>
              <w:rPr>
                <w:rFonts w:hint="eastAsia" w:ascii="仿宋" w:hAnsi="仿宋" w:eastAsia="仿宋"/>
                <w:b/>
                <w:kern w:val="2"/>
                <w:sz w:val="21"/>
                <w:szCs w:val="21"/>
              </w:rPr>
              <w:t>本项目不接受合同分包。</w:t>
            </w:r>
          </w:p>
          <w:p>
            <w:pPr>
              <w:pStyle w:val="41"/>
              <w:spacing w:line="276" w:lineRule="auto"/>
              <w:ind w:firstLine="210" w:firstLineChars="100"/>
              <w:contextualSpacing/>
              <w:rPr>
                <w:rFonts w:ascii="仿宋" w:hAnsi="仿宋" w:eastAsia="仿宋"/>
                <w:b/>
                <w:kern w:val="2"/>
                <w:sz w:val="21"/>
                <w:szCs w:val="21"/>
              </w:rPr>
            </w:pPr>
            <w:r>
              <w:rPr>
                <w:rFonts w:ascii="Segoe UI Emoji" w:hAnsi="Segoe UI Emoji" w:eastAsia="仿宋" w:cs="Segoe UI Emoji"/>
                <w:kern w:val="2"/>
                <w:sz w:val="21"/>
                <w:szCs w:val="21"/>
              </w:rPr>
              <w:t>☑</w:t>
            </w:r>
            <w:r>
              <w:rPr>
                <w:rFonts w:hint="eastAsia" w:ascii="仿宋" w:hAnsi="仿宋" w:eastAsia="仿宋"/>
                <w:b/>
                <w:kern w:val="2"/>
                <w:sz w:val="21"/>
                <w:szCs w:val="21"/>
              </w:rPr>
              <w:t>本项目接受合同分包，具体要求如下：</w:t>
            </w:r>
          </w:p>
          <w:p>
            <w:pPr>
              <w:pStyle w:val="41"/>
              <w:spacing w:line="276" w:lineRule="auto"/>
              <w:ind w:firstLine="210" w:firstLineChars="100"/>
              <w:contextualSpacing/>
              <w:rPr>
                <w:rFonts w:ascii="仿宋" w:hAnsi="仿宋" w:eastAsia="仿宋"/>
                <w:kern w:val="2"/>
                <w:sz w:val="21"/>
                <w:szCs w:val="21"/>
              </w:rPr>
            </w:pPr>
            <w:r>
              <w:rPr>
                <w:rFonts w:ascii="仿宋" w:hAnsi="仿宋" w:eastAsia="仿宋"/>
                <w:kern w:val="2"/>
                <w:sz w:val="21"/>
                <w:szCs w:val="21"/>
              </w:rPr>
              <w:t>1.</w:t>
            </w:r>
            <w:r>
              <w:rPr>
                <w:rFonts w:hint="eastAsia" w:ascii="仿宋" w:hAnsi="仿宋" w:eastAsia="仿宋"/>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pPr>
              <w:pStyle w:val="41"/>
              <w:spacing w:line="276" w:lineRule="auto"/>
              <w:ind w:firstLine="210" w:firstLineChars="100"/>
              <w:contextualSpacing/>
              <w:rPr>
                <w:rFonts w:ascii="仿宋" w:hAnsi="仿宋" w:eastAsia="仿宋"/>
                <w:kern w:val="2"/>
                <w:sz w:val="21"/>
                <w:szCs w:val="21"/>
              </w:rPr>
            </w:pPr>
            <w:r>
              <w:rPr>
                <w:rFonts w:ascii="仿宋" w:hAnsi="仿宋" w:eastAsia="仿宋"/>
                <w:kern w:val="2"/>
                <w:sz w:val="21"/>
                <w:szCs w:val="21"/>
              </w:rPr>
              <w:t>2.</w:t>
            </w:r>
            <w:r>
              <w:rPr>
                <w:rFonts w:hint="eastAsia" w:ascii="仿宋" w:hAnsi="仿宋" w:eastAsia="仿宋"/>
                <w:kern w:val="2"/>
                <w:sz w:val="21"/>
                <w:szCs w:val="21"/>
              </w:rPr>
              <w:t>分包履行合同的部分应当为采购项目的非主体、非关键性工作，不属于中标人的主要合同义务。本</w:t>
            </w:r>
            <w:r>
              <w:rPr>
                <w:rFonts w:ascii="仿宋" w:hAnsi="仿宋" w:eastAsia="仿宋"/>
                <w:kern w:val="2"/>
                <w:sz w:val="21"/>
                <w:szCs w:val="21"/>
              </w:rPr>
              <w:t>项目</w:t>
            </w:r>
            <w:r>
              <w:rPr>
                <w:rFonts w:hint="eastAsia" w:ascii="仿宋" w:hAnsi="仿宋" w:eastAsia="仿宋"/>
                <w:kern w:val="2"/>
                <w:sz w:val="21"/>
                <w:szCs w:val="21"/>
              </w:rPr>
              <w:t>可以分包履行的具体内容：本项目涉及的所有出版物。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94" w:hRule="atLeast"/>
          <w:jc w:val="center"/>
        </w:trPr>
        <w:tc>
          <w:tcPr>
            <w:tcW w:w="838" w:type="dxa"/>
            <w:tcBorders>
              <w:top w:val="single" w:color="auto" w:sz="4" w:space="0"/>
              <w:bottom w:val="single" w:color="auto" w:sz="4" w:space="0"/>
            </w:tcBorders>
            <w:vAlign w:val="center"/>
          </w:tcPr>
          <w:p>
            <w:pPr>
              <w:pStyle w:val="41"/>
              <w:spacing w:line="276" w:lineRule="auto"/>
              <w:ind w:right="264"/>
              <w:contextualSpacing/>
              <w:jc w:val="center"/>
              <w:rPr>
                <w:rFonts w:ascii="仿宋" w:hAnsi="仿宋" w:eastAsia="仿宋"/>
                <w:kern w:val="2"/>
                <w:sz w:val="21"/>
                <w:szCs w:val="21"/>
              </w:rPr>
            </w:pPr>
            <w:r>
              <w:rPr>
                <w:rFonts w:hint="eastAsia" w:ascii="仿宋" w:hAnsi="仿宋" w:eastAsia="仿宋"/>
                <w:kern w:val="2"/>
                <w:sz w:val="21"/>
                <w:szCs w:val="21"/>
              </w:rPr>
              <w:t>10</w:t>
            </w:r>
          </w:p>
        </w:tc>
        <w:tc>
          <w:tcPr>
            <w:tcW w:w="2552" w:type="dxa"/>
            <w:tcBorders>
              <w:top w:val="single" w:color="auto" w:sz="4" w:space="0"/>
              <w:bottom w:val="single" w:color="auto" w:sz="4" w:space="0"/>
            </w:tcBorders>
            <w:vAlign w:val="center"/>
          </w:tcPr>
          <w:p>
            <w:pPr>
              <w:pStyle w:val="41"/>
              <w:spacing w:line="276" w:lineRule="auto"/>
              <w:contextualSpacing/>
              <w:jc w:val="center"/>
              <w:rPr>
                <w:rFonts w:ascii="仿宋" w:hAnsi="仿宋" w:eastAsia="仿宋"/>
                <w:kern w:val="2"/>
                <w:sz w:val="21"/>
                <w:szCs w:val="21"/>
              </w:rPr>
            </w:pPr>
            <w:r>
              <w:rPr>
                <w:rFonts w:hint="eastAsia" w:ascii="仿宋" w:hAnsi="仿宋" w:eastAsia="仿宋"/>
                <w:kern w:val="2"/>
                <w:sz w:val="21"/>
                <w:szCs w:val="21"/>
              </w:rPr>
              <w:t>采购项目具体事项/采购文件内容咨询</w:t>
            </w:r>
          </w:p>
        </w:tc>
        <w:tc>
          <w:tcPr>
            <w:tcW w:w="6111" w:type="dxa"/>
            <w:tcBorders>
              <w:top w:val="single" w:color="auto" w:sz="4" w:space="0"/>
              <w:bottom w:val="single" w:color="auto" w:sz="4" w:space="0"/>
            </w:tcBorders>
            <w:vAlign w:val="center"/>
          </w:tcPr>
          <w:p>
            <w:pPr>
              <w:spacing w:line="276" w:lineRule="auto"/>
              <w:ind w:right="105" w:rightChars="50"/>
              <w:contextualSpacing/>
              <w:jc w:val="left"/>
              <w:rPr>
                <w:rFonts w:ascii="仿宋" w:hAnsi="仿宋" w:eastAsia="仿宋"/>
                <w:szCs w:val="21"/>
              </w:rPr>
            </w:pPr>
            <w:r>
              <w:rPr>
                <w:rFonts w:hint="eastAsia" w:ascii="仿宋" w:hAnsi="仿宋" w:eastAsia="仿宋"/>
                <w:szCs w:val="21"/>
              </w:rPr>
              <w:t xml:space="preserve">联系人：王女士。 </w:t>
            </w:r>
          </w:p>
          <w:p>
            <w:pPr>
              <w:spacing w:line="276" w:lineRule="auto"/>
              <w:ind w:right="105" w:rightChars="50"/>
              <w:contextualSpacing/>
              <w:jc w:val="left"/>
              <w:rPr>
                <w:rFonts w:ascii="仿宋" w:hAnsi="仿宋" w:eastAsia="仿宋"/>
                <w:szCs w:val="21"/>
              </w:rPr>
            </w:pPr>
            <w:r>
              <w:rPr>
                <w:rFonts w:hint="eastAsia" w:ascii="仿宋" w:hAnsi="仿宋" w:eastAsia="仿宋"/>
                <w:szCs w:val="21"/>
              </w:rPr>
              <w:t>联系电话：</w:t>
            </w:r>
            <w:r>
              <w:rPr>
                <w:rFonts w:ascii="仿宋" w:hAnsi="仿宋" w:eastAsia="仿宋"/>
                <w:szCs w:val="21"/>
              </w:rPr>
              <w:t>13111881020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838" w:type="dxa"/>
            <w:tcBorders>
              <w:top w:val="single" w:color="auto" w:sz="4" w:space="0"/>
              <w:bottom w:val="single" w:color="auto" w:sz="4" w:space="0"/>
            </w:tcBorders>
            <w:vAlign w:val="center"/>
          </w:tcPr>
          <w:p>
            <w:pPr>
              <w:pStyle w:val="41"/>
              <w:spacing w:before="72" w:after="72" w:line="276" w:lineRule="auto"/>
              <w:ind w:right="264"/>
              <w:contextualSpacing/>
              <w:jc w:val="center"/>
              <w:rPr>
                <w:rFonts w:ascii="仿宋" w:hAnsi="仿宋" w:eastAsia="仿宋"/>
                <w:kern w:val="2"/>
                <w:sz w:val="21"/>
                <w:szCs w:val="21"/>
              </w:rPr>
            </w:pPr>
            <w:r>
              <w:rPr>
                <w:rFonts w:hint="eastAsia" w:ascii="仿宋" w:hAnsi="仿宋" w:eastAsia="仿宋"/>
                <w:kern w:val="2"/>
                <w:sz w:val="21"/>
                <w:szCs w:val="21"/>
              </w:rPr>
              <w:t>11</w:t>
            </w:r>
          </w:p>
        </w:tc>
        <w:tc>
          <w:tcPr>
            <w:tcW w:w="2552" w:type="dxa"/>
            <w:tcBorders>
              <w:top w:val="single" w:color="auto" w:sz="4" w:space="0"/>
              <w:bottom w:val="single" w:color="auto" w:sz="4" w:space="0"/>
            </w:tcBorders>
            <w:vAlign w:val="center"/>
          </w:tcPr>
          <w:p>
            <w:pPr>
              <w:pStyle w:val="41"/>
              <w:spacing w:line="276" w:lineRule="auto"/>
              <w:contextualSpacing/>
              <w:jc w:val="center"/>
              <w:rPr>
                <w:rFonts w:ascii="仿宋" w:hAnsi="仿宋" w:eastAsia="仿宋"/>
                <w:kern w:val="2"/>
                <w:sz w:val="21"/>
                <w:szCs w:val="21"/>
              </w:rPr>
            </w:pPr>
            <w:r>
              <w:rPr>
                <w:rFonts w:hint="eastAsia" w:ascii="仿宋" w:hAnsi="仿宋" w:eastAsia="仿宋"/>
                <w:kern w:val="2"/>
                <w:sz w:val="21"/>
                <w:szCs w:val="21"/>
              </w:rPr>
              <w:t>开标、评标工作咨询</w:t>
            </w:r>
          </w:p>
        </w:tc>
        <w:tc>
          <w:tcPr>
            <w:tcW w:w="6111" w:type="dxa"/>
            <w:tcBorders>
              <w:top w:val="single" w:color="auto" w:sz="4" w:space="0"/>
              <w:bottom w:val="single" w:color="auto" w:sz="4" w:space="0"/>
            </w:tcBorders>
            <w:vAlign w:val="center"/>
          </w:tcPr>
          <w:p>
            <w:pPr>
              <w:spacing w:line="276" w:lineRule="auto"/>
              <w:ind w:right="105" w:rightChars="50"/>
              <w:contextualSpacing/>
              <w:jc w:val="left"/>
              <w:rPr>
                <w:rFonts w:ascii="仿宋" w:hAnsi="仿宋" w:eastAsia="仿宋"/>
                <w:szCs w:val="21"/>
              </w:rPr>
            </w:pPr>
            <w:r>
              <w:rPr>
                <w:rFonts w:hint="eastAsia" w:ascii="仿宋" w:hAnsi="仿宋" w:eastAsia="仿宋"/>
                <w:szCs w:val="21"/>
              </w:rPr>
              <w:t xml:space="preserve">联系人：王女士。 </w:t>
            </w:r>
          </w:p>
          <w:p>
            <w:pPr>
              <w:spacing w:line="276" w:lineRule="auto"/>
              <w:ind w:right="105" w:rightChars="50"/>
              <w:contextualSpacing/>
              <w:jc w:val="left"/>
              <w:rPr>
                <w:rFonts w:hint="default" w:ascii="仿宋" w:hAnsi="仿宋" w:eastAsia="仿宋"/>
                <w:szCs w:val="21"/>
                <w:lang w:val="en-US" w:eastAsia="zh-CN"/>
              </w:rPr>
            </w:pPr>
            <w:r>
              <w:rPr>
                <w:rFonts w:hint="eastAsia" w:ascii="仿宋" w:hAnsi="仿宋" w:eastAsia="仿宋"/>
                <w:szCs w:val="21"/>
              </w:rPr>
              <w:t>联系电话：</w:t>
            </w:r>
            <w:r>
              <w:rPr>
                <w:rFonts w:hint="eastAsia" w:ascii="仿宋" w:hAnsi="仿宋" w:eastAsia="仿宋"/>
                <w:szCs w:val="21"/>
                <w:lang w:val="en-US" w:eastAsia="zh-CN"/>
              </w:rPr>
              <w:t>18583959483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1"/>
              <w:spacing w:line="276" w:lineRule="auto"/>
              <w:ind w:right="264"/>
              <w:contextualSpacing/>
              <w:jc w:val="center"/>
              <w:rPr>
                <w:rFonts w:ascii="仿宋" w:hAnsi="仿宋" w:eastAsia="仿宋"/>
                <w:kern w:val="2"/>
                <w:sz w:val="21"/>
                <w:szCs w:val="21"/>
              </w:rPr>
            </w:pPr>
            <w:r>
              <w:rPr>
                <w:rFonts w:hint="eastAsia" w:ascii="仿宋" w:hAnsi="仿宋" w:eastAsia="仿宋"/>
                <w:kern w:val="2"/>
                <w:sz w:val="21"/>
                <w:szCs w:val="21"/>
              </w:rPr>
              <w:t>12</w:t>
            </w:r>
          </w:p>
        </w:tc>
        <w:tc>
          <w:tcPr>
            <w:tcW w:w="2552" w:type="dxa"/>
            <w:tcBorders>
              <w:top w:val="single" w:color="auto" w:sz="4" w:space="0"/>
            </w:tcBorders>
            <w:vAlign w:val="center"/>
          </w:tcPr>
          <w:p>
            <w:pPr>
              <w:spacing w:line="276" w:lineRule="auto"/>
              <w:ind w:left="105" w:leftChars="50" w:right="105" w:rightChars="50"/>
              <w:contextualSpacing/>
              <w:jc w:val="center"/>
              <w:rPr>
                <w:rFonts w:ascii="仿宋" w:hAnsi="仿宋" w:eastAsia="仿宋"/>
                <w:szCs w:val="21"/>
              </w:rPr>
            </w:pPr>
            <w:r>
              <w:rPr>
                <w:rFonts w:hint="eastAsia" w:ascii="仿宋" w:hAnsi="仿宋" w:eastAsia="仿宋"/>
                <w:szCs w:val="21"/>
              </w:rPr>
              <w:t>中标通知书领取</w:t>
            </w:r>
          </w:p>
        </w:tc>
        <w:tc>
          <w:tcPr>
            <w:tcW w:w="6111" w:type="dxa"/>
            <w:tcBorders>
              <w:top w:val="single" w:color="auto" w:sz="4" w:space="0"/>
            </w:tcBorders>
            <w:vAlign w:val="center"/>
          </w:tcPr>
          <w:p>
            <w:pPr>
              <w:tabs>
                <w:tab w:val="left" w:pos="7665"/>
              </w:tabs>
              <w:spacing w:line="276" w:lineRule="auto"/>
              <w:contextualSpacing/>
              <w:rPr>
                <w:rFonts w:ascii="仿宋" w:hAnsi="仿宋" w:eastAsia="仿宋"/>
                <w:szCs w:val="21"/>
              </w:rPr>
            </w:pPr>
            <w:r>
              <w:rPr>
                <w:rFonts w:hint="eastAsia" w:ascii="仿宋" w:hAnsi="仿宋" w:eastAsia="仿宋"/>
                <w:szCs w:val="21"/>
              </w:rPr>
              <w:t>中标公告在四川政府采购网上公告后，请登录我司网站http://sale.scbid.net/ 办理代理服务费缴纳及中标通知书领取的事宜。</w:t>
            </w:r>
          </w:p>
          <w:p>
            <w:pPr>
              <w:tabs>
                <w:tab w:val="left" w:pos="7665"/>
              </w:tabs>
              <w:spacing w:line="276" w:lineRule="auto"/>
              <w:contextualSpacing/>
              <w:rPr>
                <w:rFonts w:ascii="仿宋" w:hAnsi="仿宋" w:eastAsia="仿宋"/>
                <w:szCs w:val="21"/>
              </w:rPr>
            </w:pPr>
            <w:r>
              <w:rPr>
                <w:rFonts w:hint="eastAsia" w:ascii="仿宋" w:hAnsi="仿宋" w:eastAsia="仿宋"/>
                <w:szCs w:val="21"/>
              </w:rPr>
              <w:t>中标通知书领取：财务部 028-87797107转1</w:t>
            </w:r>
          </w:p>
          <w:p>
            <w:pPr>
              <w:spacing w:line="276" w:lineRule="auto"/>
              <w:contextualSpacing/>
              <w:rPr>
                <w:rFonts w:ascii="仿宋" w:hAnsi="仿宋" w:eastAsia="仿宋"/>
                <w:szCs w:val="21"/>
                <w:lang w:val="zh-CN"/>
              </w:rPr>
            </w:pPr>
            <w:r>
              <w:rPr>
                <w:rFonts w:hint="eastAsia" w:ascii="仿宋" w:hAnsi="仿宋" w:eastAsia="仿宋"/>
                <w:szCs w:val="21"/>
              </w:rPr>
              <w:t>地址：中国（四川）自由贸易试验区成都市高新区天府四街66号2栋22层1号。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1"/>
              <w:spacing w:line="276" w:lineRule="auto"/>
              <w:ind w:right="264"/>
              <w:contextualSpacing/>
              <w:jc w:val="center"/>
              <w:rPr>
                <w:rFonts w:ascii="仿宋" w:hAnsi="仿宋" w:eastAsia="仿宋"/>
                <w:kern w:val="2"/>
                <w:sz w:val="21"/>
                <w:szCs w:val="21"/>
              </w:rPr>
            </w:pPr>
            <w:r>
              <w:rPr>
                <w:rFonts w:hint="eastAsia" w:ascii="仿宋" w:hAnsi="仿宋" w:eastAsia="仿宋"/>
                <w:kern w:val="2"/>
                <w:sz w:val="21"/>
                <w:szCs w:val="21"/>
              </w:rPr>
              <w:t>13</w:t>
            </w:r>
          </w:p>
        </w:tc>
        <w:tc>
          <w:tcPr>
            <w:tcW w:w="2552" w:type="dxa"/>
            <w:tcBorders>
              <w:top w:val="single" w:color="auto" w:sz="4" w:space="0"/>
            </w:tcBorders>
            <w:vAlign w:val="center"/>
          </w:tcPr>
          <w:p>
            <w:pPr>
              <w:pStyle w:val="41"/>
              <w:spacing w:line="276" w:lineRule="auto"/>
              <w:contextualSpacing/>
              <w:jc w:val="center"/>
              <w:rPr>
                <w:rFonts w:ascii="仿宋" w:hAnsi="仿宋" w:eastAsia="仿宋"/>
                <w:kern w:val="2"/>
                <w:sz w:val="21"/>
                <w:szCs w:val="21"/>
              </w:rPr>
            </w:pPr>
            <w:r>
              <w:rPr>
                <w:rFonts w:hint="eastAsia" w:ascii="仿宋" w:hAnsi="仿宋" w:eastAsia="仿宋"/>
                <w:kern w:val="2"/>
                <w:sz w:val="21"/>
                <w:szCs w:val="21"/>
              </w:rPr>
              <w:t>供应商询问</w:t>
            </w:r>
          </w:p>
        </w:tc>
        <w:tc>
          <w:tcPr>
            <w:tcW w:w="6111" w:type="dxa"/>
            <w:tcBorders>
              <w:top w:val="single" w:color="auto" w:sz="4" w:space="0"/>
            </w:tcBorders>
          </w:tcPr>
          <w:p>
            <w:pPr>
              <w:spacing w:line="276" w:lineRule="auto"/>
              <w:ind w:firstLine="105" w:firstLineChars="50"/>
              <w:contextualSpacing/>
              <w:rPr>
                <w:rFonts w:ascii="仿宋" w:hAnsi="仿宋" w:eastAsia="仿宋"/>
                <w:szCs w:val="21"/>
                <w:lang w:val="zh-CN"/>
              </w:rPr>
            </w:pPr>
            <w:r>
              <w:rPr>
                <w:rFonts w:hint="eastAsia" w:ascii="仿宋" w:hAnsi="仿宋" w:eastAsia="仿宋"/>
                <w:szCs w:val="21"/>
                <w:lang w:val="zh-CN"/>
              </w:rPr>
              <w:t>根据委托代理协议约定，供应商询问由采购代理机构负责答复。</w:t>
            </w:r>
          </w:p>
          <w:p>
            <w:pPr>
              <w:spacing w:line="276" w:lineRule="auto"/>
              <w:ind w:firstLine="105" w:firstLineChars="50"/>
              <w:contextualSpacing/>
              <w:rPr>
                <w:rFonts w:ascii="仿宋" w:hAnsi="仿宋" w:eastAsia="仿宋"/>
                <w:szCs w:val="21"/>
                <w:lang w:val="zh-CN"/>
              </w:rPr>
            </w:pPr>
            <w:r>
              <w:rPr>
                <w:rFonts w:hint="eastAsia" w:ascii="仿宋" w:hAnsi="仿宋" w:eastAsia="仿宋"/>
                <w:szCs w:val="21"/>
                <w:lang w:val="zh-CN"/>
              </w:rPr>
              <w:t>项目问题询问：</w:t>
            </w:r>
          </w:p>
          <w:p>
            <w:pPr>
              <w:spacing w:line="276" w:lineRule="auto"/>
              <w:ind w:firstLine="105" w:firstLineChars="50"/>
              <w:contextualSpacing/>
              <w:rPr>
                <w:rFonts w:ascii="仿宋" w:hAnsi="仿宋" w:eastAsia="仿宋"/>
                <w:szCs w:val="21"/>
                <w:lang w:val="zh-CN"/>
              </w:rPr>
            </w:pPr>
            <w:r>
              <w:rPr>
                <w:rFonts w:hint="eastAsia" w:ascii="仿宋" w:hAnsi="仿宋" w:eastAsia="仿宋"/>
                <w:szCs w:val="21"/>
                <w:lang w:val="zh-CN"/>
              </w:rPr>
              <w:t>联系人：王女士</w:t>
            </w:r>
          </w:p>
          <w:p>
            <w:pPr>
              <w:spacing w:line="276" w:lineRule="auto"/>
              <w:ind w:firstLine="105" w:firstLineChars="50"/>
              <w:contextualSpacing/>
              <w:rPr>
                <w:rFonts w:ascii="仿宋" w:hAnsi="仿宋" w:eastAsia="仿宋"/>
                <w:szCs w:val="21"/>
                <w:lang w:val="zh-CN"/>
              </w:rPr>
            </w:pPr>
            <w:r>
              <w:rPr>
                <w:rFonts w:hint="eastAsia" w:ascii="仿宋" w:hAnsi="仿宋" w:eastAsia="仿宋"/>
                <w:szCs w:val="21"/>
                <w:lang w:val="zh-CN"/>
              </w:rPr>
              <w:t>联系电话：</w:t>
            </w:r>
            <w:r>
              <w:rPr>
                <w:rFonts w:ascii="仿宋" w:hAnsi="仿宋" w:eastAsia="仿宋"/>
                <w:szCs w:val="21"/>
                <w:lang w:val="zh-CN"/>
              </w:rPr>
              <w:t>13111881020</w:t>
            </w:r>
          </w:p>
          <w:p>
            <w:pPr>
              <w:spacing w:line="276" w:lineRule="auto"/>
              <w:ind w:firstLine="105" w:firstLineChars="50"/>
              <w:contextualSpacing/>
              <w:rPr>
                <w:rFonts w:ascii="仿宋" w:hAnsi="仿宋" w:eastAsia="仿宋"/>
                <w:szCs w:val="21"/>
                <w:lang w:val="zh-CN"/>
              </w:rPr>
            </w:pPr>
            <w:r>
              <w:rPr>
                <w:rFonts w:hint="eastAsia" w:ascii="仿宋" w:hAnsi="仿宋" w:eastAsia="仿宋"/>
                <w:szCs w:val="21"/>
                <w:lang w:val="zh-CN"/>
              </w:rPr>
              <w:t>标书领取系统注册及网上报名询问：企业发展部 028-87793117</w:t>
            </w:r>
          </w:p>
          <w:p>
            <w:pPr>
              <w:spacing w:line="276" w:lineRule="auto"/>
              <w:ind w:firstLine="105" w:firstLineChars="50"/>
              <w:contextualSpacing/>
              <w:rPr>
                <w:rFonts w:ascii="仿宋" w:hAnsi="仿宋" w:eastAsia="仿宋"/>
                <w:szCs w:val="21"/>
                <w:lang w:val="zh-CN"/>
              </w:rPr>
            </w:pPr>
            <w:r>
              <w:rPr>
                <w:rFonts w:hint="eastAsia" w:ascii="仿宋" w:hAnsi="仿宋" w:eastAsia="仿宋"/>
                <w:szCs w:val="21"/>
                <w:lang w:val="zh-CN"/>
              </w:rPr>
              <w:t>标书领取系统技术问题询问：信息管理部 028-87797107转734</w:t>
            </w:r>
          </w:p>
          <w:p>
            <w:pPr>
              <w:spacing w:line="276" w:lineRule="auto"/>
              <w:ind w:firstLine="105" w:firstLineChars="50"/>
              <w:contextualSpacing/>
              <w:rPr>
                <w:rFonts w:ascii="仿宋" w:hAnsi="仿宋" w:eastAsia="仿宋"/>
                <w:szCs w:val="21"/>
                <w:lang w:val="zh-CN"/>
              </w:rPr>
            </w:pPr>
            <w:r>
              <w:rPr>
                <w:rFonts w:hint="eastAsia" w:ascii="仿宋" w:hAnsi="仿宋" w:eastAsia="仿宋"/>
                <w:szCs w:val="21"/>
                <w:lang w:val="zh-CN"/>
              </w:rPr>
              <w:t>服务质量投诉：企业发展部 028-87793117</w:t>
            </w:r>
          </w:p>
          <w:p>
            <w:pPr>
              <w:spacing w:line="276" w:lineRule="auto"/>
              <w:contextualSpacing/>
              <w:rPr>
                <w:rFonts w:ascii="仿宋" w:hAnsi="仿宋" w:eastAsia="仿宋"/>
                <w:szCs w:val="21"/>
              </w:rPr>
            </w:pPr>
            <w:r>
              <w:rPr>
                <w:rFonts w:hint="eastAsia" w:ascii="仿宋" w:hAnsi="仿宋" w:eastAsia="仿宋"/>
                <w:szCs w:val="21"/>
                <w:lang w:val="zh-CN"/>
              </w:rPr>
              <w:t>联系地址：中国（四川）自由贸易试验区成都市高新区天府四街66号2栋22层1号。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spacing w:line="276" w:lineRule="auto"/>
              <w:ind w:right="264"/>
              <w:contextualSpacing/>
              <w:jc w:val="center"/>
              <w:rPr>
                <w:rFonts w:ascii="仿宋" w:hAnsi="仿宋" w:eastAsia="仿宋"/>
                <w:kern w:val="2"/>
                <w:sz w:val="21"/>
                <w:szCs w:val="21"/>
              </w:rPr>
            </w:pPr>
            <w:r>
              <w:rPr>
                <w:rFonts w:hint="eastAsia" w:ascii="仿宋" w:hAnsi="仿宋" w:eastAsia="仿宋"/>
                <w:kern w:val="2"/>
                <w:sz w:val="21"/>
                <w:szCs w:val="21"/>
              </w:rPr>
              <w:t>14</w:t>
            </w:r>
          </w:p>
        </w:tc>
        <w:tc>
          <w:tcPr>
            <w:tcW w:w="2552" w:type="dxa"/>
            <w:vAlign w:val="center"/>
          </w:tcPr>
          <w:p>
            <w:pPr>
              <w:pStyle w:val="41"/>
              <w:spacing w:line="276" w:lineRule="auto"/>
              <w:contextualSpacing/>
              <w:jc w:val="center"/>
              <w:rPr>
                <w:rFonts w:ascii="仿宋" w:hAnsi="仿宋" w:eastAsia="仿宋"/>
                <w:kern w:val="2"/>
                <w:sz w:val="21"/>
                <w:szCs w:val="21"/>
              </w:rPr>
            </w:pPr>
            <w:r>
              <w:rPr>
                <w:rFonts w:hint="eastAsia" w:ascii="仿宋" w:hAnsi="仿宋" w:eastAsia="仿宋"/>
                <w:kern w:val="2"/>
                <w:sz w:val="21"/>
                <w:szCs w:val="21"/>
              </w:rPr>
              <w:t>供应商质疑</w:t>
            </w:r>
          </w:p>
        </w:tc>
        <w:tc>
          <w:tcPr>
            <w:tcW w:w="6111" w:type="dxa"/>
            <w:vAlign w:val="center"/>
          </w:tcPr>
          <w:p>
            <w:pPr>
              <w:spacing w:line="276" w:lineRule="auto"/>
              <w:ind w:right="105" w:rightChars="50"/>
              <w:contextualSpacing/>
              <w:jc w:val="left"/>
              <w:rPr>
                <w:rFonts w:ascii="仿宋" w:hAnsi="仿宋" w:eastAsia="仿宋"/>
                <w:szCs w:val="21"/>
              </w:rPr>
            </w:pPr>
            <w:r>
              <w:rPr>
                <w:rFonts w:hint="eastAsia" w:ascii="仿宋" w:hAnsi="仿宋" w:eastAsia="仿宋"/>
                <w:szCs w:val="21"/>
              </w:rPr>
              <w:t>根据委托代理协议约定，供应商质疑由采购代理机构负责答复。</w:t>
            </w:r>
          </w:p>
          <w:p>
            <w:pPr>
              <w:spacing w:line="276" w:lineRule="auto"/>
              <w:ind w:right="105" w:rightChars="50"/>
              <w:contextualSpacing/>
              <w:jc w:val="left"/>
              <w:rPr>
                <w:rFonts w:ascii="仿宋" w:hAnsi="仿宋" w:eastAsia="仿宋"/>
                <w:szCs w:val="21"/>
              </w:rPr>
            </w:pPr>
            <w:r>
              <w:rPr>
                <w:rFonts w:hint="eastAsia" w:ascii="仿宋" w:hAnsi="仿宋" w:eastAsia="仿宋"/>
                <w:szCs w:val="21"/>
              </w:rPr>
              <w:t>联系方式：质量技术部 028-87797776转820/725。</w:t>
            </w:r>
          </w:p>
          <w:p>
            <w:pPr>
              <w:spacing w:line="276" w:lineRule="auto"/>
              <w:ind w:right="105" w:rightChars="50"/>
              <w:contextualSpacing/>
              <w:jc w:val="left"/>
              <w:rPr>
                <w:rFonts w:ascii="仿宋" w:hAnsi="仿宋" w:eastAsia="仿宋"/>
                <w:szCs w:val="21"/>
              </w:rPr>
            </w:pPr>
            <w:r>
              <w:rPr>
                <w:rFonts w:hint="eastAsia" w:ascii="仿宋" w:hAnsi="仿宋" w:eastAsia="仿宋"/>
                <w:szCs w:val="21"/>
              </w:rPr>
              <w:t>地址：中国（四川）自由贸易试验区成都市高新区天府四街66号1栋17层。</w:t>
            </w:r>
          </w:p>
          <w:p>
            <w:pPr>
              <w:spacing w:line="276" w:lineRule="auto"/>
              <w:ind w:right="105" w:rightChars="50"/>
              <w:contextualSpacing/>
              <w:jc w:val="left"/>
              <w:rPr>
                <w:rFonts w:ascii="仿宋" w:hAnsi="仿宋" w:eastAsia="仿宋"/>
                <w:szCs w:val="21"/>
              </w:rPr>
            </w:pPr>
            <w:r>
              <w:rPr>
                <w:rFonts w:hint="eastAsia" w:ascii="仿宋" w:hAnsi="仿宋" w:eastAsia="仿宋"/>
                <w:szCs w:val="21"/>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276" w:lineRule="auto"/>
              <w:ind w:firstLine="315" w:firstLineChars="150"/>
              <w:contextualSpacing/>
              <w:rPr>
                <w:rFonts w:ascii="仿宋" w:hAnsi="仿宋" w:eastAsia="仿宋"/>
                <w:szCs w:val="21"/>
              </w:rPr>
            </w:pPr>
          </w:p>
          <w:p>
            <w:pPr>
              <w:spacing w:line="276" w:lineRule="auto"/>
              <w:ind w:firstLine="105" w:firstLineChars="50"/>
              <w:contextualSpacing/>
              <w:rPr>
                <w:rFonts w:ascii="仿宋" w:hAnsi="仿宋" w:eastAsia="仿宋"/>
                <w:szCs w:val="21"/>
              </w:rPr>
            </w:pPr>
            <w:r>
              <w:rPr>
                <w:rFonts w:hint="eastAsia" w:ascii="仿宋" w:hAnsi="仿宋" w:eastAsia="仿宋"/>
                <w:szCs w:val="21"/>
              </w:rPr>
              <w:t>15</w:t>
            </w:r>
          </w:p>
        </w:tc>
        <w:tc>
          <w:tcPr>
            <w:tcW w:w="2552" w:type="dxa"/>
            <w:vAlign w:val="center"/>
          </w:tcPr>
          <w:p>
            <w:pPr>
              <w:pStyle w:val="41"/>
              <w:spacing w:line="276" w:lineRule="auto"/>
              <w:contextualSpacing/>
              <w:jc w:val="center"/>
              <w:rPr>
                <w:rFonts w:ascii="仿宋" w:hAnsi="仿宋" w:eastAsia="仿宋"/>
                <w:kern w:val="2"/>
                <w:sz w:val="21"/>
                <w:szCs w:val="21"/>
              </w:rPr>
            </w:pPr>
            <w:r>
              <w:rPr>
                <w:rFonts w:hint="eastAsia" w:ascii="仿宋" w:hAnsi="仿宋" w:eastAsia="仿宋"/>
                <w:kern w:val="2"/>
                <w:sz w:val="21"/>
                <w:szCs w:val="21"/>
              </w:rPr>
              <w:t>供应商投诉</w:t>
            </w:r>
          </w:p>
        </w:tc>
        <w:tc>
          <w:tcPr>
            <w:tcW w:w="6111" w:type="dxa"/>
          </w:tcPr>
          <w:p>
            <w:pPr>
              <w:spacing w:line="276" w:lineRule="auto"/>
              <w:ind w:right="105" w:rightChars="50"/>
              <w:contextualSpacing/>
              <w:rPr>
                <w:rFonts w:ascii="仿宋" w:hAnsi="仿宋" w:eastAsia="仿宋"/>
                <w:szCs w:val="21"/>
              </w:rPr>
            </w:pPr>
            <w:r>
              <w:rPr>
                <w:rFonts w:hint="eastAsia" w:ascii="仿宋" w:hAnsi="仿宋" w:eastAsia="仿宋"/>
                <w:szCs w:val="21"/>
              </w:rPr>
              <w:t>投诉受理单位：本采购项目同级财政部门，即成华区财政局</w:t>
            </w:r>
            <w:r>
              <w:rPr>
                <w:rFonts w:hint="eastAsia" w:ascii="仿宋" w:hAnsi="仿宋" w:eastAsia="仿宋"/>
                <w:szCs w:val="21"/>
                <w:lang w:val="zh-CN"/>
              </w:rPr>
              <w:t>。</w:t>
            </w:r>
          </w:p>
          <w:p>
            <w:pPr>
              <w:spacing w:line="276" w:lineRule="auto"/>
              <w:ind w:right="105" w:rightChars="50"/>
              <w:contextualSpacing/>
              <w:jc w:val="left"/>
              <w:rPr>
                <w:rFonts w:ascii="仿宋" w:hAnsi="仿宋" w:eastAsia="仿宋"/>
                <w:szCs w:val="21"/>
              </w:rPr>
            </w:pPr>
            <w:r>
              <w:rPr>
                <w:rFonts w:hint="eastAsia" w:ascii="仿宋" w:hAnsi="仿宋" w:eastAsia="仿宋"/>
                <w:szCs w:val="21"/>
              </w:rPr>
              <w:t>联系电话：</w:t>
            </w:r>
            <w:r>
              <w:rPr>
                <w:rFonts w:ascii="仿宋" w:hAnsi="仿宋" w:eastAsia="仿宋"/>
                <w:szCs w:val="21"/>
              </w:rPr>
              <w:t>028-84356267</w:t>
            </w:r>
            <w:r>
              <w:rPr>
                <w:rFonts w:hint="eastAsia" w:ascii="仿宋" w:hAnsi="仿宋" w:eastAsia="仿宋"/>
                <w:szCs w:val="21"/>
              </w:rPr>
              <w:t>。</w:t>
            </w:r>
          </w:p>
          <w:p>
            <w:pPr>
              <w:spacing w:line="276" w:lineRule="auto"/>
              <w:ind w:right="105" w:rightChars="50"/>
              <w:contextualSpacing/>
              <w:jc w:val="left"/>
              <w:rPr>
                <w:rFonts w:ascii="仿宋" w:hAnsi="仿宋" w:eastAsia="仿宋"/>
                <w:szCs w:val="21"/>
              </w:rPr>
            </w:pPr>
            <w:r>
              <w:rPr>
                <w:rFonts w:hint="eastAsia" w:ascii="仿宋" w:hAnsi="仿宋" w:eastAsia="仿宋"/>
                <w:szCs w:val="21"/>
              </w:rPr>
              <w:t>地址：四川省成都市一环路东三段148号。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276" w:lineRule="auto"/>
              <w:ind w:firstLine="105" w:firstLineChars="50"/>
              <w:contextualSpacing/>
              <w:rPr>
                <w:rFonts w:ascii="仿宋" w:hAnsi="仿宋" w:eastAsia="仿宋"/>
                <w:szCs w:val="21"/>
              </w:rPr>
            </w:pPr>
            <w:r>
              <w:rPr>
                <w:rFonts w:hint="eastAsia" w:ascii="仿宋" w:hAnsi="仿宋" w:eastAsia="仿宋"/>
                <w:szCs w:val="21"/>
              </w:rPr>
              <w:t>16</w:t>
            </w:r>
          </w:p>
        </w:tc>
        <w:tc>
          <w:tcPr>
            <w:tcW w:w="2552" w:type="dxa"/>
            <w:tcBorders>
              <w:right w:val="single" w:color="auto" w:sz="4" w:space="0"/>
            </w:tcBorders>
          </w:tcPr>
          <w:p>
            <w:pPr>
              <w:spacing w:line="276" w:lineRule="auto"/>
              <w:ind w:firstLine="105" w:firstLineChars="50"/>
              <w:contextualSpacing/>
              <w:jc w:val="center"/>
              <w:rPr>
                <w:rFonts w:ascii="仿宋" w:hAnsi="仿宋" w:eastAsia="仿宋"/>
                <w:szCs w:val="21"/>
              </w:rPr>
            </w:pPr>
            <w:r>
              <w:rPr>
                <w:rFonts w:hint="eastAsia" w:ascii="仿宋" w:hAnsi="仿宋" w:eastAsia="仿宋"/>
                <w:szCs w:val="21"/>
              </w:rPr>
              <w:t>政府采购合同</w:t>
            </w:r>
          </w:p>
          <w:p>
            <w:pPr>
              <w:spacing w:line="276" w:lineRule="auto"/>
              <w:ind w:firstLine="105" w:firstLineChars="50"/>
              <w:contextualSpacing/>
              <w:jc w:val="center"/>
              <w:rPr>
                <w:rFonts w:ascii="仿宋" w:hAnsi="仿宋" w:eastAsia="仿宋"/>
                <w:szCs w:val="21"/>
              </w:rPr>
            </w:pPr>
            <w:r>
              <w:rPr>
                <w:rFonts w:hint="eastAsia" w:ascii="仿宋" w:hAnsi="仿宋" w:eastAsia="仿宋"/>
                <w:szCs w:val="21"/>
              </w:rPr>
              <w:t>公告备案</w:t>
            </w:r>
          </w:p>
        </w:tc>
        <w:tc>
          <w:tcPr>
            <w:tcW w:w="6111" w:type="dxa"/>
            <w:tcBorders>
              <w:left w:val="single" w:color="auto" w:sz="4" w:space="0"/>
            </w:tcBorders>
          </w:tcPr>
          <w:p>
            <w:pPr>
              <w:spacing w:line="276" w:lineRule="auto"/>
              <w:contextualSpacing/>
              <w:rPr>
                <w:rFonts w:ascii="仿宋" w:hAnsi="仿宋" w:eastAsia="仿宋"/>
                <w:szCs w:val="21"/>
              </w:rPr>
            </w:pPr>
            <w:bookmarkStart w:id="23" w:name="PO_默认文件内容_38"/>
            <w:r>
              <w:rPr>
                <w:rFonts w:hint="eastAsia" w:ascii="仿宋" w:hAnsi="仿宋" w:eastAsia="仿宋"/>
                <w:szCs w:val="21"/>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szCs w:val="21"/>
                <w:lang w:val="zh-CN"/>
              </w:rPr>
              <w:t>。</w:t>
            </w:r>
            <w:bookmarkEnd w:id="2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276" w:lineRule="auto"/>
              <w:ind w:firstLine="105" w:firstLineChars="50"/>
              <w:contextualSpacing/>
              <w:rPr>
                <w:rFonts w:ascii="仿宋" w:hAnsi="仿宋" w:eastAsia="仿宋"/>
                <w:szCs w:val="21"/>
              </w:rPr>
            </w:pPr>
            <w:r>
              <w:rPr>
                <w:rFonts w:hint="eastAsia" w:ascii="仿宋" w:hAnsi="仿宋" w:eastAsia="仿宋"/>
                <w:szCs w:val="21"/>
              </w:rPr>
              <w:t>17</w:t>
            </w:r>
          </w:p>
        </w:tc>
        <w:tc>
          <w:tcPr>
            <w:tcW w:w="2552" w:type="dxa"/>
            <w:tcBorders>
              <w:right w:val="single" w:color="auto" w:sz="4" w:space="0"/>
            </w:tcBorders>
            <w:vAlign w:val="center"/>
          </w:tcPr>
          <w:p>
            <w:pPr>
              <w:pStyle w:val="41"/>
              <w:spacing w:line="276" w:lineRule="auto"/>
              <w:ind w:left="96"/>
              <w:contextualSpacing/>
              <w:jc w:val="center"/>
              <w:rPr>
                <w:rFonts w:ascii="仿宋" w:hAnsi="仿宋" w:eastAsia="仿宋"/>
                <w:sz w:val="21"/>
                <w:szCs w:val="21"/>
              </w:rPr>
            </w:pPr>
            <w:r>
              <w:rPr>
                <w:rFonts w:hint="eastAsia" w:ascii="仿宋" w:hAnsi="仿宋" w:eastAsia="仿宋"/>
                <w:sz w:val="21"/>
                <w:szCs w:val="21"/>
                <w:lang w:val="zh-CN"/>
              </w:rPr>
              <w:t>招标服务费</w:t>
            </w:r>
          </w:p>
        </w:tc>
        <w:tc>
          <w:tcPr>
            <w:tcW w:w="6111" w:type="dxa"/>
            <w:tcBorders>
              <w:left w:val="single" w:color="auto" w:sz="4" w:space="0"/>
            </w:tcBorders>
            <w:vAlign w:val="center"/>
          </w:tcPr>
          <w:p>
            <w:pPr>
              <w:pStyle w:val="41"/>
              <w:spacing w:line="276" w:lineRule="auto"/>
              <w:contextualSpacing/>
              <w:rPr>
                <w:rFonts w:ascii="仿宋" w:hAnsi="仿宋" w:eastAsia="仿宋"/>
                <w:sz w:val="21"/>
                <w:szCs w:val="21"/>
                <w:lang w:val="zh-CN"/>
              </w:rPr>
            </w:pPr>
            <w:bookmarkStart w:id="24" w:name="PO_默认文件内容_8"/>
            <w:r>
              <w:rPr>
                <w:rFonts w:hint="eastAsia" w:ascii="仿宋" w:hAnsi="仿宋" w:eastAsia="仿宋"/>
                <w:sz w:val="21"/>
                <w:szCs w:val="21"/>
                <w:lang w:val="zh-CN"/>
              </w:rPr>
              <w:t>依照成本加合理利润的原则,以中标金额作为计算基数,</w:t>
            </w:r>
            <w:r>
              <w:rPr>
                <w:rFonts w:hint="eastAsia"/>
              </w:rPr>
              <w:t xml:space="preserve"> </w:t>
            </w:r>
            <w:r>
              <w:rPr>
                <w:rFonts w:hint="eastAsia" w:ascii="仿宋" w:hAnsi="仿宋" w:eastAsia="仿宋"/>
                <w:sz w:val="21"/>
                <w:szCs w:val="21"/>
                <w:lang w:val="zh-CN"/>
              </w:rPr>
              <w:t>按下列收费标准</w:t>
            </w:r>
            <w:bookmarkEnd w:id="24"/>
            <w:r>
              <w:rPr>
                <w:rFonts w:hint="eastAsia" w:ascii="仿宋" w:hAnsi="仿宋" w:eastAsia="仿宋"/>
                <w:sz w:val="21"/>
                <w:szCs w:val="21"/>
                <w:lang w:val="zh-CN"/>
              </w:rPr>
              <w:t>下浮2</w:t>
            </w:r>
            <w:r>
              <w:rPr>
                <w:rFonts w:ascii="仿宋" w:hAnsi="仿宋" w:eastAsia="仿宋"/>
                <w:sz w:val="21"/>
                <w:szCs w:val="21"/>
                <w:lang w:val="zh-CN"/>
              </w:rPr>
              <w:t>0</w:t>
            </w:r>
            <w:r>
              <w:rPr>
                <w:rFonts w:hint="eastAsia" w:ascii="仿宋" w:hAnsi="仿宋" w:eastAsia="仿宋"/>
                <w:sz w:val="21"/>
                <w:szCs w:val="21"/>
                <w:lang w:val="zh-CN"/>
              </w:rPr>
              <w:t>%进行收取:</w:t>
            </w:r>
          </w:p>
          <w:tbl>
            <w:tblPr>
              <w:tblStyle w:val="23"/>
              <w:tblW w:w="6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478"/>
              <w:gridCol w:w="1477"/>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1827" w:type="dxa"/>
                  <w:tcBorders>
                    <w:top w:val="single" w:color="auto" w:sz="4" w:space="0"/>
                    <w:left w:val="single" w:color="auto" w:sz="4" w:space="0"/>
                    <w:bottom w:val="single" w:color="auto" w:sz="4" w:space="0"/>
                    <w:right w:val="single" w:color="auto" w:sz="4" w:space="0"/>
                  </w:tcBorders>
                </w:tcPr>
                <w:p>
                  <w:pPr>
                    <w:spacing w:line="276" w:lineRule="auto"/>
                    <w:contextualSpacing/>
                    <w:rPr>
                      <w:b/>
                      <w:sz w:val="15"/>
                      <w:szCs w:val="15"/>
                    </w:rPr>
                  </w:pPr>
                  <w:r>
                    <w:rPr>
                      <w:rFonts w:hint="eastAsia"/>
                      <w:b/>
                      <w:sz w:val="15"/>
                      <w:szCs w:val="15"/>
                    </w:rPr>
                    <w:t>服务类型</w:t>
                  </w:r>
                </w:p>
                <w:p>
                  <w:pPr>
                    <w:snapToGrid w:val="0"/>
                    <w:spacing w:line="276" w:lineRule="auto"/>
                    <w:contextualSpacing/>
                    <w:rPr>
                      <w:b/>
                      <w:sz w:val="15"/>
                      <w:szCs w:val="15"/>
                    </w:rPr>
                  </w:pPr>
                  <w:r>
                    <w:rPr>
                      <w:rFonts w:hint="eastAsia"/>
                      <w:b/>
                      <w:sz w:val="15"/>
                      <w:szCs w:val="15"/>
                    </w:rPr>
                    <w:t>费率</w:t>
                  </w:r>
                </w:p>
                <w:p>
                  <w:pPr>
                    <w:snapToGrid w:val="0"/>
                    <w:spacing w:line="276" w:lineRule="auto"/>
                    <w:contextualSpacing/>
                    <w:rPr>
                      <w:b/>
                      <w:sz w:val="15"/>
                      <w:szCs w:val="15"/>
                    </w:rPr>
                  </w:pPr>
                  <w:r>
                    <w:rPr>
                      <w:rFonts w:hint="eastAsia"/>
                      <w:b/>
                      <w:sz w:val="15"/>
                      <w:szCs w:val="15"/>
                    </w:rPr>
                    <w:t>中标金额（万元）</w:t>
                  </w:r>
                </w:p>
              </w:tc>
              <w:tc>
                <w:tcPr>
                  <w:tcW w:w="1478" w:type="dxa"/>
                  <w:tcBorders>
                    <w:top w:val="single" w:color="auto" w:sz="4" w:space="0"/>
                    <w:left w:val="single" w:color="auto" w:sz="4" w:space="0"/>
                    <w:bottom w:val="single" w:color="auto" w:sz="4" w:space="0"/>
                    <w:right w:val="single" w:color="auto" w:sz="4" w:space="0"/>
                  </w:tcBorders>
                  <w:vAlign w:val="center"/>
                </w:tcPr>
                <w:p>
                  <w:pPr>
                    <w:spacing w:line="276" w:lineRule="auto"/>
                    <w:contextualSpacing/>
                    <w:jc w:val="center"/>
                    <w:rPr>
                      <w:b/>
                      <w:sz w:val="15"/>
                      <w:szCs w:val="15"/>
                    </w:rPr>
                  </w:pPr>
                  <w:r>
                    <w:rPr>
                      <w:rFonts w:hint="eastAsia"/>
                      <w:b/>
                      <w:sz w:val="15"/>
                      <w:szCs w:val="15"/>
                    </w:rPr>
                    <w:t>货物招标</w:t>
                  </w:r>
                </w:p>
              </w:tc>
              <w:tc>
                <w:tcPr>
                  <w:tcW w:w="1477" w:type="dxa"/>
                  <w:tcBorders>
                    <w:top w:val="single" w:color="auto" w:sz="4" w:space="0"/>
                    <w:left w:val="single" w:color="auto" w:sz="4" w:space="0"/>
                    <w:bottom w:val="single" w:color="auto" w:sz="4" w:space="0"/>
                    <w:right w:val="single" w:color="auto" w:sz="4" w:space="0"/>
                  </w:tcBorders>
                  <w:vAlign w:val="center"/>
                </w:tcPr>
                <w:p>
                  <w:pPr>
                    <w:spacing w:line="276" w:lineRule="auto"/>
                    <w:contextualSpacing/>
                    <w:jc w:val="center"/>
                    <w:rPr>
                      <w:b/>
                      <w:sz w:val="15"/>
                      <w:szCs w:val="15"/>
                    </w:rPr>
                  </w:pPr>
                  <w:r>
                    <w:rPr>
                      <w:rFonts w:hint="eastAsia"/>
                      <w:b/>
                      <w:sz w:val="15"/>
                      <w:szCs w:val="15"/>
                    </w:rPr>
                    <w:t>服务招标</w:t>
                  </w:r>
                </w:p>
              </w:tc>
              <w:tc>
                <w:tcPr>
                  <w:tcW w:w="1478" w:type="dxa"/>
                  <w:tcBorders>
                    <w:top w:val="single" w:color="auto" w:sz="4" w:space="0"/>
                    <w:left w:val="single" w:color="auto" w:sz="4" w:space="0"/>
                    <w:bottom w:val="single" w:color="auto" w:sz="4" w:space="0"/>
                    <w:right w:val="single" w:color="auto" w:sz="4" w:space="0"/>
                  </w:tcBorders>
                  <w:vAlign w:val="center"/>
                </w:tcPr>
                <w:p>
                  <w:pPr>
                    <w:spacing w:line="276" w:lineRule="auto"/>
                    <w:contextualSpacing/>
                    <w:jc w:val="center"/>
                    <w:rPr>
                      <w:b/>
                      <w:sz w:val="15"/>
                      <w:szCs w:val="15"/>
                    </w:rPr>
                  </w:pPr>
                  <w:r>
                    <w:rPr>
                      <w:rFonts w:hint="eastAsia"/>
                      <w:b/>
                      <w:sz w:val="15"/>
                      <w:szCs w:val="15"/>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82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100</w:t>
                  </w:r>
                  <w:r>
                    <w:rPr>
                      <w:rFonts w:hint="eastAsia"/>
                    </w:rPr>
                    <w:t>以下</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1.5%</w:t>
                  </w:r>
                </w:p>
              </w:tc>
              <w:tc>
                <w:tcPr>
                  <w:tcW w:w="147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1.5%</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100-500</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1.1%</w:t>
                  </w:r>
                </w:p>
              </w:tc>
              <w:tc>
                <w:tcPr>
                  <w:tcW w:w="147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0.8%</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500-1000</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0.8%</w:t>
                  </w:r>
                </w:p>
              </w:tc>
              <w:tc>
                <w:tcPr>
                  <w:tcW w:w="147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0.45%</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1000-5000</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0.5%</w:t>
                  </w:r>
                </w:p>
              </w:tc>
              <w:tc>
                <w:tcPr>
                  <w:tcW w:w="147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0.25%</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5000-10000</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0.25%</w:t>
                  </w:r>
                </w:p>
              </w:tc>
              <w:tc>
                <w:tcPr>
                  <w:tcW w:w="147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0.1%</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10000-100000</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0.05%</w:t>
                  </w:r>
                </w:p>
              </w:tc>
              <w:tc>
                <w:tcPr>
                  <w:tcW w:w="147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0.05%</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82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1000000</w:t>
                  </w:r>
                  <w:r>
                    <w:rPr>
                      <w:rFonts w:hint="eastAsia"/>
                    </w:rPr>
                    <w:t>以上</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0.01%</w:t>
                  </w:r>
                </w:p>
              </w:tc>
              <w:tc>
                <w:tcPr>
                  <w:tcW w:w="147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0.01%</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0.01%</w:t>
                  </w:r>
                </w:p>
              </w:tc>
            </w:tr>
          </w:tbl>
          <w:p>
            <w:pPr>
              <w:pStyle w:val="41"/>
              <w:spacing w:line="276" w:lineRule="auto"/>
              <w:contextualSpacing/>
              <w:rPr>
                <w:rFonts w:ascii="仿宋" w:hAnsi="仿宋" w:eastAsia="仿宋"/>
                <w:sz w:val="21"/>
                <w:szCs w:val="21"/>
                <w:lang w:val="zh-CN"/>
              </w:rPr>
            </w:pPr>
            <w:r>
              <w:rPr>
                <w:rFonts w:hint="eastAsia" w:ascii="仿宋" w:hAnsi="仿宋" w:eastAsia="仿宋"/>
                <w:sz w:val="21"/>
                <w:szCs w:val="21"/>
                <w:lang w:val="zh-CN"/>
              </w:rPr>
              <w:t>注: 1、按本表费率计算的收费为招标代理服务全过程的收费基准价格。</w:t>
            </w:r>
          </w:p>
          <w:p>
            <w:pPr>
              <w:pStyle w:val="41"/>
              <w:spacing w:line="276" w:lineRule="auto"/>
              <w:contextualSpacing/>
              <w:rPr>
                <w:rFonts w:ascii="仿宋" w:hAnsi="仿宋" w:eastAsia="仿宋"/>
                <w:sz w:val="21"/>
                <w:szCs w:val="21"/>
                <w:lang w:val="zh-CN"/>
              </w:rPr>
            </w:pPr>
            <w:r>
              <w:rPr>
                <w:rFonts w:hint="eastAsia" w:ascii="仿宋" w:hAnsi="仿宋" w:eastAsia="仿宋"/>
                <w:sz w:val="21"/>
                <w:szCs w:val="21"/>
                <w:lang w:val="zh-CN"/>
              </w:rPr>
              <w:t xml:space="preserve">    2、招标代理服务收费按差额定率累进法计算。</w:t>
            </w:r>
          </w:p>
          <w:p>
            <w:pPr>
              <w:widowControl/>
              <w:spacing w:after="0" w:line="276" w:lineRule="auto"/>
              <w:ind w:firstLine="420" w:firstLineChars="200"/>
              <w:contextualSpacing/>
              <w:jc w:val="left"/>
              <w:rPr>
                <w:rFonts w:ascii="仿宋" w:hAnsi="仿宋" w:eastAsia="仿宋"/>
                <w:szCs w:val="21"/>
                <w:lang w:val="zh-CN"/>
              </w:rPr>
            </w:pPr>
            <w:r>
              <w:rPr>
                <w:rFonts w:hint="eastAsia" w:ascii="仿宋" w:hAnsi="仿宋" w:eastAsia="仿宋"/>
                <w:szCs w:val="21"/>
                <w:lang w:val="zh-CN"/>
              </w:rPr>
              <w:t>3、服务费收款单位：四川国际招标有限责任公司；</w:t>
            </w:r>
          </w:p>
          <w:p>
            <w:pPr>
              <w:widowControl/>
              <w:spacing w:after="0" w:line="276" w:lineRule="auto"/>
              <w:ind w:firstLine="420" w:firstLineChars="200"/>
              <w:contextualSpacing/>
              <w:jc w:val="left"/>
              <w:rPr>
                <w:rFonts w:ascii="仿宋" w:hAnsi="仿宋" w:eastAsia="仿宋"/>
                <w:szCs w:val="21"/>
                <w:lang w:val="zh-CN"/>
              </w:rPr>
            </w:pPr>
            <w:r>
              <w:rPr>
                <w:rFonts w:hint="eastAsia" w:ascii="仿宋" w:hAnsi="仿宋" w:eastAsia="仿宋"/>
                <w:szCs w:val="21"/>
                <w:lang w:val="zh-CN"/>
              </w:rPr>
              <w:t>开户行：</w:t>
            </w:r>
            <w:bookmarkStart w:id="209" w:name="_GoBack"/>
            <w:bookmarkEnd w:id="209"/>
            <w:r>
              <w:rPr>
                <w:rFonts w:hint="eastAsia" w:ascii="仿宋" w:hAnsi="仿宋" w:eastAsia="仿宋"/>
                <w:szCs w:val="21"/>
                <w:lang w:val="zh-CN"/>
              </w:rPr>
              <w:t>中国民生银行股份有限公司成都分行营业部</w:t>
            </w:r>
            <w:r>
              <w:rPr>
                <w:rFonts w:ascii="仿宋" w:hAnsi="仿宋" w:eastAsia="仿宋"/>
                <w:szCs w:val="21"/>
                <w:lang w:val="zh-CN"/>
              </w:rPr>
              <w:t xml:space="preserve"> </w:t>
            </w:r>
          </w:p>
          <w:p>
            <w:pPr>
              <w:widowControl/>
              <w:spacing w:after="0" w:line="276" w:lineRule="auto"/>
              <w:ind w:firstLine="420" w:firstLineChars="200"/>
              <w:contextualSpacing/>
              <w:jc w:val="left"/>
              <w:rPr>
                <w:rFonts w:ascii="宋体" w:hAnsi="宋体" w:cs="宋体"/>
                <w:kern w:val="0"/>
                <w:sz w:val="24"/>
              </w:rPr>
            </w:pPr>
            <w:r>
              <w:rPr>
                <w:rFonts w:hint="eastAsia" w:ascii="仿宋" w:hAnsi="仿宋" w:eastAsia="仿宋"/>
                <w:szCs w:val="21"/>
                <w:lang w:val="zh-CN"/>
              </w:rPr>
              <w:t>银行账号</w:t>
            </w:r>
            <w:r>
              <w:rPr>
                <w:rFonts w:hint="eastAsia" w:ascii="仿宋" w:hAnsi="仿宋" w:eastAsia="仿宋"/>
                <w:szCs w:val="21"/>
                <w:lang w:val="en-US" w:eastAsia="zh-CN"/>
              </w:rPr>
              <w:t>:9902001761123015</w:t>
            </w:r>
            <w:r>
              <w:rPr>
                <w:rFonts w:hint="eastAsia" w:ascii="仿宋" w:hAnsi="仿宋" w:eastAsia="仿宋"/>
                <w:szCs w:val="21"/>
                <w:lang w:val="zh-CN"/>
              </w:rPr>
              <w:t xml:space="preserve"> </w:t>
            </w:r>
            <w:r>
              <w:rPr>
                <w:rFonts w:ascii="仿宋" w:hAnsi="仿宋" w:eastAsia="仿宋"/>
                <w:szCs w:val="21"/>
                <w:lang w:val="zh-CN"/>
              </w:rPr>
              <w:t xml:space="preserve">  </w:t>
            </w:r>
            <w:r>
              <w:rPr>
                <w:rFonts w:hint="eastAsia" w:ascii="仿宋" w:hAnsi="仿宋" w:eastAsia="仿宋"/>
                <w:szCs w:val="21"/>
                <w:lang w:val="zh-CN"/>
              </w:rPr>
              <w:t>。</w:t>
            </w:r>
            <w:r>
              <w:rPr>
                <w:rFonts w:hint="eastAsia" w:ascii="宋体" w:hAnsi="宋体" w:cs="宋体"/>
                <w:kern w:val="0"/>
                <w:sz w:val="24"/>
              </w:rPr>
              <w:t xml:space="preserve"> </w:t>
            </w:r>
          </w:p>
          <w:p>
            <w:pPr>
              <w:widowControl/>
              <w:spacing w:after="0" w:line="276" w:lineRule="auto"/>
              <w:ind w:firstLine="420" w:firstLineChars="200"/>
              <w:contextualSpacing/>
              <w:jc w:val="left"/>
              <w:rPr>
                <w:rFonts w:ascii="仿宋" w:hAnsi="仿宋" w:eastAsia="仿宋" w:cs="宋体"/>
                <w:kern w:val="0"/>
                <w:szCs w:val="21"/>
                <w:lang w:val="zh-CN"/>
              </w:rPr>
            </w:pPr>
            <w:r>
              <w:rPr>
                <w:rFonts w:hint="eastAsia" w:ascii="仿宋" w:hAnsi="仿宋" w:eastAsia="仿宋" w:cs="宋体"/>
                <w:kern w:val="0"/>
                <w:szCs w:val="21"/>
                <w:lang w:val="zh-CN"/>
              </w:rPr>
              <w:t>4、中标人在领取中标通知书前向招标代理机构交纳招标服务费。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276" w:lineRule="auto"/>
              <w:ind w:firstLine="105" w:firstLineChars="50"/>
              <w:contextualSpacing/>
              <w:rPr>
                <w:rFonts w:ascii="仿宋" w:hAnsi="仿宋" w:eastAsia="仿宋"/>
                <w:szCs w:val="21"/>
              </w:rPr>
            </w:pPr>
            <w:r>
              <w:rPr>
                <w:rFonts w:ascii="仿宋" w:hAnsi="仿宋" w:eastAsia="仿宋"/>
                <w:szCs w:val="21"/>
              </w:rPr>
              <w:t>18</w:t>
            </w:r>
          </w:p>
        </w:tc>
        <w:tc>
          <w:tcPr>
            <w:tcW w:w="2552" w:type="dxa"/>
            <w:tcBorders>
              <w:right w:val="single" w:color="auto" w:sz="4" w:space="0"/>
            </w:tcBorders>
            <w:vAlign w:val="center"/>
          </w:tcPr>
          <w:p>
            <w:pPr>
              <w:pStyle w:val="41"/>
              <w:spacing w:line="276" w:lineRule="auto"/>
              <w:ind w:left="96"/>
              <w:contextualSpacing/>
              <w:jc w:val="center"/>
              <w:rPr>
                <w:rFonts w:ascii="仿宋" w:hAnsi="仿宋" w:eastAsia="仿宋"/>
                <w:sz w:val="21"/>
                <w:szCs w:val="21"/>
                <w:lang w:val="zh-CN"/>
              </w:rPr>
            </w:pPr>
            <w:r>
              <w:rPr>
                <w:rFonts w:hint="eastAsia" w:ascii="仿宋" w:hAnsi="仿宋" w:eastAsia="仿宋"/>
                <w:sz w:val="21"/>
                <w:szCs w:val="21"/>
                <w:lang w:val="zh-CN"/>
              </w:rPr>
              <w:t>联合</w:t>
            </w:r>
            <w:r>
              <w:rPr>
                <w:rFonts w:ascii="仿宋" w:hAnsi="仿宋" w:eastAsia="仿宋"/>
                <w:sz w:val="21"/>
                <w:szCs w:val="21"/>
                <w:lang w:val="zh-CN"/>
              </w:rPr>
              <w:t>体</w:t>
            </w:r>
            <w:r>
              <w:rPr>
                <w:rFonts w:hint="eastAsia" w:ascii="仿宋" w:hAnsi="仿宋" w:eastAsia="仿宋"/>
                <w:sz w:val="21"/>
                <w:szCs w:val="21"/>
                <w:lang w:val="zh-CN"/>
              </w:rPr>
              <w:t>（实质性</w:t>
            </w:r>
            <w:r>
              <w:rPr>
                <w:rFonts w:ascii="仿宋" w:hAnsi="仿宋" w:eastAsia="仿宋"/>
                <w:sz w:val="21"/>
                <w:szCs w:val="21"/>
                <w:lang w:val="zh-CN"/>
              </w:rPr>
              <w:t>要求</w:t>
            </w:r>
            <w:r>
              <w:rPr>
                <w:rFonts w:hint="eastAsia" w:ascii="仿宋" w:hAnsi="仿宋" w:eastAsia="仿宋"/>
                <w:sz w:val="21"/>
                <w:szCs w:val="21"/>
                <w:lang w:val="zh-CN"/>
              </w:rPr>
              <w:t>）</w:t>
            </w:r>
          </w:p>
        </w:tc>
        <w:tc>
          <w:tcPr>
            <w:tcW w:w="6111" w:type="dxa"/>
            <w:tcBorders>
              <w:left w:val="single" w:color="auto" w:sz="4" w:space="0"/>
            </w:tcBorders>
            <w:vAlign w:val="center"/>
          </w:tcPr>
          <w:p>
            <w:pPr>
              <w:pStyle w:val="41"/>
              <w:spacing w:line="276" w:lineRule="auto"/>
              <w:contextualSpacing/>
              <w:rPr>
                <w:rFonts w:ascii="仿宋" w:hAnsi="仿宋" w:eastAsia="仿宋"/>
                <w:b/>
                <w:sz w:val="21"/>
                <w:szCs w:val="21"/>
                <w:lang w:val="zh-CN"/>
              </w:rPr>
            </w:pPr>
            <w:r>
              <w:rPr>
                <w:rFonts w:ascii="Segoe UI Emoji" w:hAnsi="Segoe UI Emoji" w:eastAsia="仿宋" w:cs="Segoe UI Emoji"/>
                <w:b/>
                <w:sz w:val="21"/>
                <w:szCs w:val="21"/>
                <w:lang w:val="zh-CN"/>
              </w:rPr>
              <w:t>☑</w:t>
            </w:r>
            <w:r>
              <w:rPr>
                <w:rFonts w:hint="eastAsia" w:ascii="仿宋" w:hAnsi="仿宋" w:eastAsia="仿宋"/>
                <w:b/>
                <w:sz w:val="21"/>
                <w:szCs w:val="21"/>
                <w:lang w:val="zh-CN"/>
              </w:rPr>
              <w:t>本项目不允许</w:t>
            </w:r>
            <w:r>
              <w:rPr>
                <w:rFonts w:ascii="仿宋" w:hAnsi="仿宋" w:eastAsia="仿宋"/>
                <w:b/>
                <w:sz w:val="21"/>
                <w:szCs w:val="21"/>
                <w:lang w:val="zh-CN"/>
              </w:rPr>
              <w:t>联合体</w:t>
            </w:r>
            <w:r>
              <w:rPr>
                <w:rFonts w:hint="eastAsia" w:ascii="仿宋" w:hAnsi="仿宋" w:eastAsia="仿宋"/>
                <w:b/>
                <w:sz w:val="21"/>
                <w:szCs w:val="21"/>
                <w:lang w:val="zh-CN"/>
              </w:rPr>
              <w:t>参加</w:t>
            </w:r>
            <w:r>
              <w:rPr>
                <w:rFonts w:ascii="仿宋" w:hAnsi="仿宋" w:eastAsia="仿宋"/>
                <w:b/>
                <w:sz w:val="21"/>
                <w:szCs w:val="21"/>
                <w:lang w:val="zh-CN"/>
              </w:rPr>
              <w:t xml:space="preserve">    </w:t>
            </w:r>
          </w:p>
          <w:p>
            <w:pPr>
              <w:pStyle w:val="41"/>
              <w:spacing w:line="276" w:lineRule="auto"/>
              <w:contextualSpacing/>
              <w:rPr>
                <w:rFonts w:ascii="仿宋" w:hAnsi="仿宋" w:eastAsia="仿宋"/>
                <w:sz w:val="21"/>
                <w:szCs w:val="21"/>
                <w:lang w:val="zh-CN"/>
              </w:rPr>
            </w:pPr>
            <w:r>
              <w:rPr>
                <w:rFonts w:hint="eastAsia" w:ascii="Segoe UI Emoji" w:hAnsi="Segoe UI Emoji" w:eastAsia="仿宋" w:cs="Segoe UI Emoji"/>
                <w:b/>
                <w:sz w:val="21"/>
                <w:szCs w:val="21"/>
                <w:lang w:val="zh-CN"/>
              </w:rPr>
              <w:t>□</w:t>
            </w:r>
            <w:r>
              <w:rPr>
                <w:rFonts w:hint="eastAsia" w:ascii="仿宋" w:hAnsi="仿宋" w:eastAsia="仿宋"/>
                <w:b/>
                <w:sz w:val="21"/>
                <w:szCs w:val="21"/>
                <w:lang w:val="zh-CN"/>
              </w:rPr>
              <w:t>本项目允许</w:t>
            </w:r>
            <w:r>
              <w:rPr>
                <w:rFonts w:ascii="仿宋" w:hAnsi="仿宋" w:eastAsia="仿宋"/>
                <w:b/>
                <w:sz w:val="21"/>
                <w:szCs w:val="21"/>
                <w:lang w:val="zh-CN"/>
              </w:rPr>
              <w:t>联合体</w:t>
            </w:r>
            <w:r>
              <w:rPr>
                <w:rFonts w:hint="eastAsia" w:ascii="仿宋" w:hAnsi="仿宋" w:eastAsia="仿宋"/>
                <w:b/>
                <w:sz w:val="21"/>
                <w:szCs w:val="21"/>
                <w:lang w:val="zh-CN"/>
              </w:rPr>
              <w:t>参加</w:t>
            </w:r>
          </w:p>
        </w:tc>
      </w:tr>
    </w:tbl>
    <w:p>
      <w:pPr>
        <w:rPr>
          <w:rFonts w:ascii="仿宋" w:hAnsi="仿宋" w:eastAsia="仿宋"/>
        </w:rPr>
      </w:pPr>
    </w:p>
    <w:p>
      <w:pPr>
        <w:pStyle w:val="3"/>
        <w:spacing w:line="400" w:lineRule="exact"/>
        <w:jc w:val="center"/>
        <w:rPr>
          <w:rFonts w:ascii="仿宋" w:hAnsi="仿宋" w:eastAsia="仿宋"/>
          <w:bCs w:val="0"/>
        </w:rPr>
      </w:pPr>
      <w:r>
        <w:rPr>
          <w:rFonts w:hint="eastAsia" w:ascii="仿宋" w:hAnsi="仿宋" w:eastAsia="仿宋"/>
          <w:bCs w:val="0"/>
        </w:rPr>
        <w:t>二、总  则</w:t>
      </w:r>
    </w:p>
    <w:p>
      <w:pPr>
        <w:pStyle w:val="4"/>
        <w:spacing w:line="400" w:lineRule="exact"/>
        <w:ind w:firstLine="482" w:firstLineChars="200"/>
        <w:rPr>
          <w:rFonts w:ascii="仿宋" w:hAnsi="仿宋" w:eastAsia="仿宋"/>
          <w:sz w:val="24"/>
          <w:szCs w:val="24"/>
        </w:rPr>
      </w:pPr>
      <w:bookmarkStart w:id="25" w:name="_Toc183682342"/>
      <w:bookmarkStart w:id="26" w:name="_Toc183582205"/>
      <w:bookmarkStart w:id="27" w:name="_Toc217446034"/>
      <w:bookmarkStart w:id="28" w:name="PO_默认文件内容_19"/>
      <w:r>
        <w:rPr>
          <w:rFonts w:hint="eastAsia" w:ascii="仿宋" w:hAnsi="仿宋" w:eastAsia="仿宋"/>
          <w:sz w:val="24"/>
          <w:szCs w:val="24"/>
        </w:rPr>
        <w:t>1.</w:t>
      </w:r>
      <w:bookmarkEnd w:id="25"/>
      <w:bookmarkEnd w:id="26"/>
      <w:r>
        <w:rPr>
          <w:rFonts w:hint="eastAsia" w:ascii="仿宋" w:hAnsi="仿宋" w:eastAsia="仿宋"/>
          <w:sz w:val="24"/>
          <w:szCs w:val="24"/>
        </w:rPr>
        <w:t xml:space="preserve"> 适用范围</w:t>
      </w:r>
      <w:bookmarkEnd w:id="27"/>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1.1 本招标文件仅适用于本次招标采购项目。</w:t>
      </w:r>
    </w:p>
    <w:p>
      <w:pPr>
        <w:pStyle w:val="4"/>
        <w:spacing w:line="400" w:lineRule="exact"/>
        <w:ind w:firstLine="482" w:firstLineChars="200"/>
        <w:rPr>
          <w:rFonts w:ascii="仿宋" w:hAnsi="仿宋" w:eastAsia="仿宋"/>
          <w:sz w:val="24"/>
        </w:rPr>
      </w:pPr>
      <w:bookmarkStart w:id="29" w:name="_Toc183582206"/>
      <w:bookmarkStart w:id="30" w:name="_Toc183682343"/>
      <w:bookmarkStart w:id="31" w:name="_Toc217446035"/>
      <w:r>
        <w:rPr>
          <w:rFonts w:hint="eastAsia" w:ascii="仿宋" w:hAnsi="仿宋" w:eastAsia="仿宋"/>
          <w:sz w:val="24"/>
        </w:rPr>
        <w:t xml:space="preserve">2. </w:t>
      </w:r>
      <w:bookmarkEnd w:id="29"/>
      <w:bookmarkEnd w:id="30"/>
      <w:r>
        <w:rPr>
          <w:rFonts w:hint="eastAsia" w:ascii="仿宋" w:hAnsi="仿宋" w:eastAsia="仿宋"/>
          <w:sz w:val="24"/>
        </w:rPr>
        <w:t>有关</w:t>
      </w:r>
      <w:r>
        <w:rPr>
          <w:rFonts w:hint="eastAsia" w:ascii="仿宋" w:hAnsi="仿宋" w:eastAsia="仿宋"/>
          <w:sz w:val="24"/>
          <w:szCs w:val="24"/>
        </w:rPr>
        <w:t>定义</w:t>
      </w:r>
      <w:bookmarkEnd w:id="31"/>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2.1 “采购人”系指依法进行政府采购的国家机关、事业单位、团体组织。本次招标的采购人是</w:t>
      </w:r>
      <w:bookmarkEnd w:id="28"/>
      <w:r>
        <w:rPr>
          <w:rFonts w:hint="eastAsia" w:ascii="仿宋" w:hAnsi="仿宋" w:eastAsia="仿宋"/>
          <w:b/>
          <w:bCs/>
          <w:sz w:val="24"/>
          <w:u w:val="single"/>
        </w:rPr>
        <w:t>成都市成华区教育技术装备管理服务中心</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bookmarkStart w:id="32" w:name="PO_默认文件内容_20"/>
      <w:r>
        <w:rPr>
          <w:rFonts w:hint="eastAsia" w:ascii="仿宋" w:hAnsi="仿宋" w:eastAsia="仿宋"/>
          <w:sz w:val="24"/>
        </w:rPr>
        <w:t>2.2 “采购代理机构” 系指根据采购人的委托依法办理招标事宜的采购机构。本次招标的采购代理机构是</w:t>
      </w:r>
      <w:r>
        <w:rPr>
          <w:rFonts w:hint="eastAsia" w:ascii="仿宋" w:hAnsi="仿宋" w:eastAsia="仿宋"/>
          <w:b/>
          <w:bCs/>
          <w:sz w:val="24"/>
          <w:u w:val="single"/>
        </w:rPr>
        <w:t>四川国际招标有限责任公司</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2.3 “招标采购单位”系指“采购人”和“采购代理机构”的统称。</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2.4 “投标人”系指购买了招标文件拟参加投标和向采购人提供货物及相应服务的供应商。</w:t>
      </w:r>
    </w:p>
    <w:p>
      <w:pPr>
        <w:pStyle w:val="4"/>
        <w:spacing w:line="400" w:lineRule="exact"/>
        <w:ind w:firstLine="482" w:firstLineChars="200"/>
        <w:rPr>
          <w:rFonts w:ascii="仿宋" w:hAnsi="仿宋" w:eastAsia="仿宋"/>
          <w:sz w:val="24"/>
        </w:rPr>
      </w:pPr>
      <w:bookmarkStart w:id="33" w:name="_Toc217390843"/>
      <w:bookmarkStart w:id="34" w:name="_Toc217446036"/>
      <w:bookmarkStart w:id="35" w:name="_Toc183682344"/>
      <w:bookmarkStart w:id="36" w:name="_Toc183582207"/>
      <w:r>
        <w:rPr>
          <w:rFonts w:hint="eastAsia" w:ascii="仿宋" w:hAnsi="仿宋" w:eastAsia="仿宋"/>
          <w:sz w:val="24"/>
        </w:rPr>
        <w:t>3. 合格的投标人</w:t>
      </w:r>
      <w:bookmarkEnd w:id="33"/>
      <w:bookmarkEnd w:id="34"/>
      <w:bookmarkEnd w:id="35"/>
      <w:bookmarkEnd w:id="36"/>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合格的投标人应具备以下条件：</w:t>
      </w:r>
    </w:p>
    <w:p>
      <w:pPr>
        <w:tabs>
          <w:tab w:val="left" w:pos="7665"/>
        </w:tabs>
        <w:spacing w:line="400" w:lineRule="exact"/>
        <w:ind w:firstLine="480" w:firstLineChars="200"/>
        <w:rPr>
          <w:rFonts w:ascii="仿宋" w:hAnsi="仿宋" w:eastAsia="仿宋"/>
          <w:spacing w:val="-4"/>
          <w:sz w:val="24"/>
        </w:rPr>
      </w:pPr>
      <w:r>
        <w:rPr>
          <w:rFonts w:hint="eastAsia" w:ascii="仿宋" w:hAnsi="仿宋" w:eastAsia="仿宋"/>
          <w:sz w:val="24"/>
        </w:rPr>
        <w:t>（1）本招标文件规定的供应商资格条件</w:t>
      </w:r>
      <w:r>
        <w:rPr>
          <w:rFonts w:hint="eastAsia" w:ascii="仿宋" w:hAnsi="仿宋" w:eastAsia="仿宋"/>
          <w:spacing w:val="-4"/>
          <w:sz w:val="24"/>
        </w:rPr>
        <w:t>；</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（2）遵守国家有关的法律、法规、规章和其他政策制度；</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（3）按照规定购买了招标文件</w:t>
      </w:r>
      <w:r>
        <w:rPr>
          <w:rFonts w:hint="eastAsia" w:ascii="仿宋" w:hAnsi="仿宋" w:eastAsia="仿宋"/>
          <w:b/>
          <w:sz w:val="24"/>
        </w:rPr>
        <w:t>（实质性要求）。</w:t>
      </w:r>
    </w:p>
    <w:p>
      <w:pPr>
        <w:tabs>
          <w:tab w:val="left" w:pos="7665"/>
        </w:tabs>
        <w:spacing w:line="400" w:lineRule="exact"/>
        <w:ind w:firstLine="720" w:firstLineChars="300"/>
        <w:rPr>
          <w:rFonts w:ascii="仿宋" w:hAnsi="仿宋" w:eastAsia="仿宋"/>
          <w:sz w:val="24"/>
        </w:rPr>
      </w:pPr>
      <w:r>
        <w:rPr>
          <w:rFonts w:hint="eastAsia" w:ascii="仿宋" w:hAnsi="仿宋" w:eastAsia="仿宋"/>
          <w:sz w:val="24"/>
        </w:rPr>
        <w:t>由代理机构提供供应商购买招标文件情况的相关证明材料，供应商不用提供证明材料。</w:t>
      </w:r>
    </w:p>
    <w:bookmarkEnd w:id="32"/>
    <w:p>
      <w:pPr>
        <w:pStyle w:val="4"/>
        <w:spacing w:line="400" w:lineRule="exact"/>
        <w:ind w:firstLine="482" w:firstLineChars="200"/>
        <w:rPr>
          <w:rFonts w:ascii="仿宋" w:hAnsi="仿宋" w:eastAsia="仿宋"/>
          <w:sz w:val="24"/>
        </w:rPr>
      </w:pPr>
      <w:bookmarkStart w:id="37" w:name="_Toc183582208"/>
      <w:bookmarkStart w:id="38" w:name="_Toc217446037"/>
      <w:bookmarkStart w:id="39" w:name="_Toc183682345"/>
      <w:bookmarkStart w:id="40" w:name="PO_默认文件内容_16"/>
      <w:r>
        <w:rPr>
          <w:rFonts w:hint="eastAsia" w:ascii="仿宋" w:hAnsi="仿宋" w:eastAsia="仿宋"/>
          <w:sz w:val="24"/>
        </w:rPr>
        <w:t>4. 投标费用</w:t>
      </w:r>
      <w:bookmarkEnd w:id="37"/>
      <w:bookmarkEnd w:id="38"/>
      <w:bookmarkEnd w:id="39"/>
      <w:r>
        <w:rPr>
          <w:rFonts w:hint="eastAsia" w:ascii="仿宋" w:hAnsi="仿宋" w:eastAsia="仿宋"/>
          <w:sz w:val="24"/>
          <w:szCs w:val="24"/>
        </w:rPr>
        <w:t>（实质性要求）</w:t>
      </w:r>
    </w:p>
    <w:p>
      <w:pPr>
        <w:tabs>
          <w:tab w:val="left" w:pos="7665"/>
        </w:tabs>
        <w:spacing w:line="400" w:lineRule="exact"/>
        <w:ind w:firstLine="480"/>
        <w:rPr>
          <w:rFonts w:ascii="仿宋" w:hAnsi="仿宋" w:eastAsia="仿宋"/>
          <w:sz w:val="24"/>
        </w:rPr>
      </w:pPr>
      <w:r>
        <w:rPr>
          <w:rFonts w:hint="eastAsia" w:ascii="仿宋" w:hAnsi="仿宋" w:eastAsia="仿宋"/>
          <w:sz w:val="24"/>
        </w:rPr>
        <w:t>投标人参加投标的有关费用由投标人自行承担。</w:t>
      </w:r>
    </w:p>
    <w:p>
      <w:pPr>
        <w:pStyle w:val="4"/>
        <w:spacing w:line="400" w:lineRule="exact"/>
        <w:ind w:firstLine="482" w:firstLineChars="200"/>
        <w:rPr>
          <w:rFonts w:ascii="仿宋" w:hAnsi="仿宋" w:eastAsia="仿宋"/>
          <w:sz w:val="24"/>
        </w:rPr>
      </w:pPr>
      <w:r>
        <w:rPr>
          <w:rFonts w:hint="eastAsia" w:ascii="仿宋" w:hAnsi="仿宋" w:eastAsia="仿宋"/>
          <w:sz w:val="24"/>
        </w:rPr>
        <w:t>5. 充分、公平竞争保障措施</w:t>
      </w:r>
      <w:r>
        <w:rPr>
          <w:rFonts w:hint="eastAsia" w:ascii="仿宋" w:hAnsi="仿宋" w:eastAsia="仿宋"/>
          <w:sz w:val="24"/>
          <w:szCs w:val="24"/>
        </w:rPr>
        <w:t>（实质性要求）</w:t>
      </w:r>
    </w:p>
    <w:p>
      <w:pPr>
        <w:spacing w:line="460" w:lineRule="exact"/>
        <w:ind w:left="1" w:firstLine="482" w:firstLineChars="200"/>
        <w:rPr>
          <w:rFonts w:ascii="仿宋" w:hAnsi="仿宋" w:eastAsia="仿宋"/>
          <w:b/>
          <w:sz w:val="24"/>
        </w:rPr>
      </w:pPr>
      <w:r>
        <w:rPr>
          <w:rFonts w:hint="eastAsia" w:ascii="仿宋" w:hAnsi="仿宋" w:eastAsia="仿宋"/>
          <w:b/>
          <w:sz w:val="24"/>
        </w:rPr>
        <w:t>5.1 提供相同品牌产品处理。</w:t>
      </w:r>
    </w:p>
    <w:p>
      <w:pPr>
        <w:spacing w:line="460" w:lineRule="exact"/>
        <w:ind w:firstLine="482" w:firstLineChars="200"/>
        <w:rPr>
          <w:rFonts w:ascii="仿宋" w:hAnsi="仿宋" w:eastAsia="仿宋"/>
          <w:b/>
          <w:sz w:val="24"/>
        </w:rPr>
      </w:pPr>
      <w:r>
        <w:rPr>
          <w:rFonts w:hint="eastAsia" w:ascii="仿宋" w:hAnsi="仿宋" w:eastAsia="仿宋"/>
          <w:b/>
          <w:sz w:val="24"/>
        </w:rPr>
        <w:t xml:space="preserve">5.1.1 </w:t>
      </w:r>
      <w:r>
        <w:rPr>
          <w:rFonts w:hint="eastAsia" w:ascii="仿宋" w:hAnsi="仿宋" w:eastAsia="仿宋"/>
          <w:bCs/>
          <w:sz w:val="24"/>
        </w:rPr>
        <w:t>非单一产品采购项目中，采购人根据采购项目技术构成、产品价格比重等合理确定核心产品。多家投标人提供的任一核心产品品牌相同的，视为提供相同品牌产品。</w:t>
      </w:r>
      <w:r>
        <w:rPr>
          <w:rFonts w:hint="eastAsia" w:ascii="仿宋" w:hAnsi="仿宋" w:eastAsia="仿宋"/>
          <w:b/>
          <w:sz w:val="24"/>
        </w:rPr>
        <w:t>本采购项目核心产品为：</w:t>
      </w:r>
      <w:r>
        <w:rPr>
          <w:rFonts w:hint="eastAsia" w:ascii="仿宋" w:hAnsi="仿宋" w:eastAsia="仿宋" w:cs="宋体"/>
          <w:b/>
          <w:kern w:val="0"/>
          <w:sz w:val="24"/>
        </w:rPr>
        <w:t>三年级下册第三单元-太阳、地球和月球实验箱</w:t>
      </w:r>
      <w:r>
        <w:rPr>
          <w:rFonts w:hint="eastAsia" w:ascii="仿宋" w:hAnsi="仿宋" w:eastAsia="仿宋"/>
          <w:b/>
          <w:sz w:val="24"/>
        </w:rPr>
        <w:t>、</w:t>
      </w:r>
      <w:r>
        <w:rPr>
          <w:rFonts w:hint="eastAsia" w:ascii="仿宋" w:hAnsi="仿宋" w:eastAsia="仿宋" w:cs="宋体"/>
          <w:b/>
          <w:kern w:val="0"/>
          <w:sz w:val="24"/>
        </w:rPr>
        <w:t>篮球架1、钢琴。</w:t>
      </w:r>
    </w:p>
    <w:p>
      <w:pPr>
        <w:spacing w:line="460" w:lineRule="exact"/>
        <w:ind w:left="1" w:firstLine="482" w:firstLineChars="200"/>
        <w:rPr>
          <w:rFonts w:ascii="仿宋" w:hAnsi="仿宋" w:eastAsia="仿宋"/>
          <w:b/>
          <w:sz w:val="24"/>
        </w:rPr>
      </w:pPr>
      <w:r>
        <w:rPr>
          <w:rFonts w:hint="eastAsia" w:ascii="仿宋" w:hAnsi="仿宋" w:eastAsia="仿宋"/>
          <w:b/>
          <w:sz w:val="24"/>
        </w:rPr>
        <w:t>5.1.2 采用最低评标价法的采购项目。</w:t>
      </w:r>
    </w:p>
    <w:p>
      <w:pPr>
        <w:spacing w:line="460" w:lineRule="exact"/>
        <w:ind w:left="1" w:firstLine="480" w:firstLineChars="200"/>
        <w:rPr>
          <w:rFonts w:ascii="仿宋" w:hAnsi="仿宋" w:eastAsia="仿宋"/>
          <w:bCs/>
          <w:sz w:val="24"/>
        </w:rPr>
      </w:pPr>
      <w:r>
        <w:rPr>
          <w:rFonts w:hint="eastAsia" w:ascii="仿宋" w:hAnsi="仿宋" w:eastAsia="仿宋"/>
          <w:bCs/>
          <w:sz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pPr>
        <w:spacing w:line="460" w:lineRule="exact"/>
        <w:ind w:left="1" w:firstLine="482" w:firstLineChars="200"/>
        <w:rPr>
          <w:rFonts w:ascii="仿宋" w:hAnsi="仿宋" w:eastAsia="仿宋"/>
          <w:b/>
          <w:sz w:val="24"/>
        </w:rPr>
      </w:pPr>
      <w:r>
        <w:rPr>
          <w:rFonts w:hint="eastAsia" w:ascii="仿宋" w:hAnsi="仿宋" w:eastAsia="仿宋"/>
          <w:b/>
          <w:sz w:val="24"/>
        </w:rPr>
        <w:t>5.1.3 采用综合法的采购项目。</w:t>
      </w:r>
    </w:p>
    <w:p>
      <w:pPr>
        <w:spacing w:line="460" w:lineRule="exact"/>
        <w:ind w:left="1" w:firstLine="480" w:firstLineChars="200"/>
        <w:rPr>
          <w:rFonts w:ascii="仿宋" w:hAnsi="仿宋" w:eastAsia="仿宋"/>
          <w:bCs/>
          <w:sz w:val="24"/>
        </w:rPr>
      </w:pPr>
      <w:r>
        <w:rPr>
          <w:rFonts w:hint="eastAsia" w:ascii="仿宋" w:hAnsi="仿宋" w:eastAsia="仿宋"/>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spacing w:line="460" w:lineRule="exact"/>
        <w:ind w:left="1" w:firstLine="482" w:firstLineChars="200"/>
        <w:rPr>
          <w:rFonts w:ascii="仿宋" w:hAnsi="仿宋" w:eastAsia="仿宋"/>
          <w:sz w:val="24"/>
        </w:rPr>
      </w:pPr>
      <w:r>
        <w:rPr>
          <w:rFonts w:hint="eastAsia" w:ascii="仿宋" w:hAnsi="仿宋" w:eastAsia="仿宋"/>
          <w:b/>
          <w:sz w:val="24"/>
        </w:rPr>
        <w:t>5.2 利害关系供应商处理。</w:t>
      </w:r>
      <w:r>
        <w:rPr>
          <w:rFonts w:hint="eastAsia" w:ascii="仿宋" w:hAnsi="仿宋" w:eastAsia="仿宋"/>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spacing w:line="460" w:lineRule="exact"/>
        <w:ind w:left="1" w:firstLine="482" w:firstLineChars="200"/>
        <w:rPr>
          <w:rFonts w:ascii="仿宋" w:hAnsi="仿宋" w:eastAsia="仿宋"/>
          <w:sz w:val="24"/>
        </w:rPr>
      </w:pPr>
      <w:r>
        <w:rPr>
          <w:rFonts w:hint="eastAsia" w:ascii="仿宋" w:hAnsi="仿宋" w:eastAsia="仿宋"/>
          <w:b/>
          <w:sz w:val="24"/>
        </w:rPr>
        <w:t>5.3 前期参与供应商处理。</w:t>
      </w:r>
      <w:r>
        <w:rPr>
          <w:rFonts w:hint="eastAsia" w:ascii="仿宋" w:hAnsi="仿宋" w:eastAsia="仿宋"/>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spacing w:line="460" w:lineRule="exact"/>
        <w:ind w:left="1" w:firstLine="482" w:firstLineChars="200"/>
        <w:rPr>
          <w:rFonts w:ascii="仿宋" w:hAnsi="仿宋" w:eastAsia="仿宋"/>
          <w:sz w:val="24"/>
        </w:rPr>
      </w:pPr>
      <w:r>
        <w:rPr>
          <w:rFonts w:hint="eastAsia" w:ascii="仿宋" w:hAnsi="仿宋" w:eastAsia="仿宋"/>
          <w:b/>
          <w:sz w:val="24"/>
        </w:rPr>
        <w:t>5.4 利害关系代理人处理。</w:t>
      </w:r>
      <w:r>
        <w:rPr>
          <w:rFonts w:hint="eastAsia" w:ascii="仿宋" w:hAnsi="仿宋" w:eastAsia="仿宋"/>
          <w:sz w:val="24"/>
        </w:rPr>
        <w:t>2家以上的供应商不得在同一合同项下的采购项目中，同时委托同一个自然人、同一家庭的人员、同一单位的人员作为其代理人，否则，其投标文件作为无效处理。</w:t>
      </w:r>
    </w:p>
    <w:p>
      <w:pPr>
        <w:pStyle w:val="3"/>
        <w:spacing w:line="400" w:lineRule="exact"/>
        <w:jc w:val="center"/>
        <w:rPr>
          <w:rFonts w:ascii="仿宋" w:hAnsi="仿宋" w:eastAsia="仿宋"/>
          <w:bCs w:val="0"/>
        </w:rPr>
      </w:pPr>
      <w:bookmarkStart w:id="41" w:name="_Toc183682346"/>
      <w:bookmarkStart w:id="42" w:name="_Toc217446038"/>
      <w:bookmarkStart w:id="43" w:name="_Toc183582209"/>
      <w:bookmarkStart w:id="44" w:name="_Toc77400779"/>
      <w:bookmarkStart w:id="45" w:name="_Toc89075875"/>
      <w:r>
        <w:rPr>
          <w:rFonts w:hint="eastAsia" w:ascii="仿宋" w:hAnsi="仿宋" w:eastAsia="仿宋"/>
          <w:bCs w:val="0"/>
        </w:rPr>
        <w:t>三、招标文件</w:t>
      </w:r>
      <w:bookmarkEnd w:id="41"/>
      <w:bookmarkEnd w:id="42"/>
      <w:bookmarkEnd w:id="43"/>
      <w:bookmarkEnd w:id="44"/>
      <w:bookmarkEnd w:id="45"/>
    </w:p>
    <w:p>
      <w:pPr>
        <w:pStyle w:val="4"/>
        <w:spacing w:line="400" w:lineRule="exact"/>
        <w:ind w:firstLine="482" w:firstLineChars="200"/>
        <w:rPr>
          <w:rFonts w:ascii="仿宋" w:hAnsi="仿宋" w:eastAsia="仿宋"/>
          <w:sz w:val="24"/>
        </w:rPr>
      </w:pPr>
      <w:bookmarkStart w:id="46" w:name="_Toc217446039"/>
      <w:bookmarkStart w:id="47" w:name="_Toc183582210"/>
      <w:bookmarkStart w:id="48" w:name="_Toc183682347"/>
      <w:r>
        <w:rPr>
          <w:rFonts w:hint="eastAsia" w:ascii="仿宋" w:hAnsi="仿宋" w:eastAsia="仿宋"/>
          <w:sz w:val="24"/>
        </w:rPr>
        <w:t>6．招标文件的构成</w:t>
      </w:r>
      <w:bookmarkEnd w:id="46"/>
      <w:bookmarkEnd w:id="47"/>
      <w:bookmarkEnd w:id="48"/>
    </w:p>
    <w:p>
      <w:pPr>
        <w:tabs>
          <w:tab w:val="left" w:pos="7665"/>
        </w:tabs>
        <w:spacing w:line="400" w:lineRule="exact"/>
        <w:ind w:firstLine="480" w:firstLineChars="200"/>
        <w:rPr>
          <w:rFonts w:ascii="仿宋" w:hAnsi="仿宋" w:eastAsia="仿宋"/>
          <w:kern w:val="0"/>
          <w:sz w:val="24"/>
          <w:szCs w:val="22"/>
        </w:rPr>
      </w:pPr>
      <w:r>
        <w:rPr>
          <w:rFonts w:hint="eastAsia" w:ascii="仿宋" w:hAnsi="仿宋" w:eastAsia="仿宋"/>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eastAsia="仿宋"/>
          <w:sz w:val="24"/>
        </w:rPr>
      </w:pPr>
      <w:r>
        <w:rPr>
          <w:rFonts w:hint="eastAsia" w:ascii="仿宋" w:hAnsi="仿宋" w:eastAsia="仿宋"/>
          <w:kern w:val="0"/>
          <w:sz w:val="24"/>
          <w:szCs w:val="22"/>
        </w:rPr>
        <w:t>（一）投标</w:t>
      </w:r>
      <w:r>
        <w:rPr>
          <w:rFonts w:hint="eastAsia" w:ascii="仿宋" w:hAnsi="仿宋" w:eastAsia="仿宋"/>
          <w:sz w:val="24"/>
        </w:rPr>
        <w:t>邀请；</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（二）投标人须知；</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（三）投标文件格式；</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（四）投标人和投标产品的资格、资质性及其他类似效力要求；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（五）投标人应当提供的资格、资质性及其他类似效力要求的相关证明材料；</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（六）招标项目技术、商务及其他要求；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（七）评标办法；</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（八）合同主要条款。</w:t>
      </w:r>
    </w:p>
    <w:p>
      <w:pPr>
        <w:pStyle w:val="4"/>
        <w:spacing w:line="400" w:lineRule="exact"/>
        <w:ind w:firstLine="482" w:firstLineChars="200"/>
        <w:rPr>
          <w:rFonts w:ascii="仿宋" w:hAnsi="仿宋" w:eastAsia="仿宋"/>
          <w:sz w:val="24"/>
        </w:rPr>
      </w:pPr>
      <w:bookmarkStart w:id="49" w:name="_Toc183682348"/>
      <w:bookmarkStart w:id="50" w:name="_Toc183582211"/>
      <w:bookmarkStart w:id="51" w:name="_Toc217446040"/>
      <w:r>
        <w:rPr>
          <w:rFonts w:hint="eastAsia" w:ascii="仿宋" w:hAnsi="仿宋" w:eastAsia="仿宋"/>
          <w:sz w:val="24"/>
        </w:rPr>
        <w:t>7. 招标文件的澄清</w:t>
      </w:r>
      <w:bookmarkEnd w:id="49"/>
      <w:bookmarkEnd w:id="50"/>
      <w:r>
        <w:rPr>
          <w:rFonts w:hint="eastAsia" w:ascii="仿宋" w:hAnsi="仿宋" w:eastAsia="仿宋"/>
          <w:sz w:val="24"/>
        </w:rPr>
        <w:t>和修改</w:t>
      </w:r>
      <w:bookmarkEnd w:id="51"/>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7.1 招标采购单位可以依法对招标文件进行澄清或者修改。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7.4 投标人认为需要对招标文件进行澄清或者修改的，可以以书面形式向招标采购单位提出申请，但招标采购单位可以决定是否采纳投标人的申请事项。</w:t>
      </w:r>
    </w:p>
    <w:p>
      <w:pPr>
        <w:pStyle w:val="4"/>
        <w:spacing w:line="400" w:lineRule="exact"/>
        <w:ind w:firstLine="482" w:firstLineChars="200"/>
        <w:rPr>
          <w:rFonts w:ascii="仿宋" w:hAnsi="仿宋" w:eastAsia="仿宋"/>
          <w:sz w:val="24"/>
        </w:rPr>
      </w:pPr>
      <w:bookmarkStart w:id="52" w:name="_Toc217446041"/>
      <w:bookmarkStart w:id="53" w:name="_Toc208848971"/>
      <w:r>
        <w:rPr>
          <w:rFonts w:hint="eastAsia" w:ascii="仿宋" w:hAnsi="仿宋" w:eastAsia="仿宋"/>
          <w:sz w:val="24"/>
        </w:rPr>
        <w:t>8. 答疑会和现场考察</w:t>
      </w:r>
      <w:bookmarkEnd w:id="52"/>
      <w:bookmarkEnd w:id="53"/>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现场考察或标前答疑会时间：本项目不组织。</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现场考察或标前答疑会地点：本项目不组织。</w:t>
      </w:r>
    </w:p>
    <w:bookmarkEnd w:id="40"/>
    <w:p>
      <w:pPr>
        <w:tabs>
          <w:tab w:val="left" w:pos="7665"/>
        </w:tabs>
        <w:spacing w:line="400" w:lineRule="exact"/>
        <w:ind w:firstLine="480" w:firstLineChars="200"/>
        <w:rPr>
          <w:rFonts w:ascii="仿宋" w:hAnsi="仿宋" w:eastAsia="仿宋"/>
          <w:sz w:val="24"/>
        </w:rPr>
      </w:pPr>
      <w:bookmarkStart w:id="54" w:name="PO_默认文件内容_18"/>
      <w:r>
        <w:rPr>
          <w:rFonts w:hint="eastAsia" w:ascii="仿宋" w:hAnsi="仿宋" w:eastAsia="仿宋"/>
          <w:sz w:val="24"/>
        </w:rPr>
        <w:t>8.2 供应商考察现场所发生的一切费用由供应商自己承担。</w:t>
      </w:r>
    </w:p>
    <w:p>
      <w:pPr>
        <w:pStyle w:val="3"/>
        <w:spacing w:line="400" w:lineRule="exact"/>
        <w:jc w:val="center"/>
        <w:rPr>
          <w:rFonts w:ascii="仿宋" w:hAnsi="仿宋" w:eastAsia="仿宋"/>
          <w:bCs w:val="0"/>
        </w:rPr>
      </w:pPr>
      <w:bookmarkStart w:id="55" w:name="_Toc89075876"/>
      <w:bookmarkStart w:id="56" w:name="_Toc77400780"/>
      <w:bookmarkStart w:id="57" w:name="_Toc217446042"/>
      <w:bookmarkStart w:id="58" w:name="_Toc183582214"/>
      <w:bookmarkStart w:id="59" w:name="_Toc183682351"/>
      <w:r>
        <w:rPr>
          <w:rFonts w:hint="eastAsia" w:ascii="仿宋" w:hAnsi="仿宋" w:eastAsia="仿宋"/>
          <w:bCs w:val="0"/>
        </w:rPr>
        <w:t>四、投标文件</w:t>
      </w:r>
      <w:bookmarkEnd w:id="55"/>
      <w:bookmarkEnd w:id="56"/>
      <w:bookmarkEnd w:id="57"/>
      <w:bookmarkEnd w:id="58"/>
      <w:bookmarkEnd w:id="59"/>
    </w:p>
    <w:p>
      <w:pPr>
        <w:pStyle w:val="4"/>
        <w:spacing w:line="400" w:lineRule="exact"/>
        <w:ind w:firstLine="482" w:firstLineChars="200"/>
        <w:rPr>
          <w:rFonts w:ascii="仿宋" w:hAnsi="仿宋" w:eastAsia="仿宋"/>
          <w:bCs w:val="0"/>
          <w:sz w:val="24"/>
        </w:rPr>
      </w:pPr>
      <w:bookmarkStart w:id="60" w:name="_Toc183682352"/>
      <w:bookmarkStart w:id="61" w:name="_Toc217446043"/>
      <w:bookmarkStart w:id="62" w:name="_Toc183582215"/>
      <w:r>
        <w:rPr>
          <w:rFonts w:hint="eastAsia" w:ascii="仿宋" w:hAnsi="仿宋" w:eastAsia="仿宋"/>
          <w:bCs w:val="0"/>
          <w:sz w:val="24"/>
        </w:rPr>
        <w:t>9．投标文件的语言</w:t>
      </w:r>
      <w:bookmarkEnd w:id="60"/>
      <w:bookmarkEnd w:id="61"/>
      <w:bookmarkEnd w:id="62"/>
      <w:r>
        <w:rPr>
          <w:rFonts w:hint="eastAsia" w:ascii="仿宋" w:hAnsi="仿宋" w:eastAsia="仿宋"/>
          <w:sz w:val="24"/>
          <w:szCs w:val="24"/>
        </w:rPr>
        <w:t>（实质性要求）</w:t>
      </w:r>
    </w:p>
    <w:p>
      <w:pPr>
        <w:tabs>
          <w:tab w:val="left" w:pos="1134"/>
        </w:tabs>
        <w:spacing w:line="360" w:lineRule="auto"/>
        <w:ind w:firstLine="480" w:firstLineChars="200"/>
        <w:jc w:val="left"/>
        <w:rPr>
          <w:rFonts w:ascii="仿宋" w:hAnsi="仿宋" w:eastAsia="仿宋"/>
          <w:sz w:val="24"/>
        </w:rPr>
      </w:pPr>
      <w:bookmarkStart w:id="63" w:name="_Toc217446044"/>
      <w:bookmarkStart w:id="64" w:name="_Toc183682353"/>
      <w:bookmarkStart w:id="65" w:name="_Toc183582216"/>
      <w:r>
        <w:rPr>
          <w:rFonts w:hint="eastAsia" w:ascii="仿宋" w:hAnsi="仿宋" w:eastAsia="仿宋"/>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9.2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sz w:val="24"/>
        </w:rPr>
      </w:pPr>
      <w:r>
        <w:rPr>
          <w:rFonts w:hint="eastAsia" w:ascii="仿宋" w:hAnsi="仿宋" w:eastAsia="仿宋" w:cs="宋体"/>
          <w:sz w:val="24"/>
        </w:rPr>
        <w:t>9.3 如因未翻译而造成的废标，由投标人承担。</w:t>
      </w:r>
    </w:p>
    <w:p>
      <w:pPr>
        <w:pStyle w:val="4"/>
        <w:spacing w:line="400" w:lineRule="exact"/>
        <w:ind w:firstLine="482" w:firstLineChars="200"/>
        <w:rPr>
          <w:rFonts w:ascii="仿宋" w:hAnsi="仿宋" w:eastAsia="仿宋"/>
          <w:sz w:val="24"/>
        </w:rPr>
      </w:pPr>
      <w:r>
        <w:rPr>
          <w:rFonts w:hint="eastAsia" w:ascii="仿宋" w:hAnsi="仿宋" w:eastAsia="仿宋"/>
          <w:sz w:val="24"/>
        </w:rPr>
        <w:t>10．计量单位</w:t>
      </w:r>
      <w:bookmarkEnd w:id="63"/>
      <w:bookmarkEnd w:id="64"/>
      <w:bookmarkEnd w:id="65"/>
      <w:r>
        <w:rPr>
          <w:rFonts w:hint="eastAsia" w:ascii="仿宋" w:hAnsi="仿宋" w:eastAsia="仿宋"/>
          <w:sz w:val="24"/>
          <w:szCs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除招标文件中另有规定外，本次采购项目所有合同项下的投标均采用国家法定的计量单位。</w:t>
      </w:r>
    </w:p>
    <w:p>
      <w:pPr>
        <w:pStyle w:val="4"/>
        <w:spacing w:line="400" w:lineRule="exact"/>
        <w:ind w:firstLine="482" w:firstLineChars="200"/>
        <w:rPr>
          <w:rFonts w:ascii="仿宋" w:hAnsi="仿宋" w:eastAsia="仿宋"/>
          <w:sz w:val="24"/>
        </w:rPr>
      </w:pPr>
      <w:bookmarkStart w:id="66" w:name="_Toc217446045"/>
      <w:r>
        <w:rPr>
          <w:rFonts w:hint="eastAsia" w:ascii="仿宋" w:hAnsi="仿宋" w:eastAsia="仿宋"/>
          <w:sz w:val="24"/>
        </w:rPr>
        <w:t>11. 投标货币</w:t>
      </w:r>
      <w:bookmarkEnd w:id="66"/>
      <w:r>
        <w:rPr>
          <w:rFonts w:hint="eastAsia" w:ascii="仿宋" w:hAnsi="仿宋" w:eastAsia="仿宋"/>
          <w:sz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本次招标项目的投标均以人民币报价。</w:t>
      </w:r>
    </w:p>
    <w:p>
      <w:pPr>
        <w:pStyle w:val="4"/>
        <w:spacing w:line="400" w:lineRule="exact"/>
        <w:ind w:firstLine="482" w:firstLineChars="200"/>
        <w:rPr>
          <w:rFonts w:ascii="仿宋" w:hAnsi="仿宋" w:eastAsia="仿宋"/>
          <w:sz w:val="24"/>
        </w:rPr>
      </w:pPr>
      <w:bookmarkStart w:id="67" w:name="_Toc217446046"/>
      <w:r>
        <w:rPr>
          <w:rFonts w:hint="eastAsia" w:ascii="仿宋" w:hAnsi="仿宋" w:eastAsia="仿宋"/>
          <w:sz w:val="24"/>
        </w:rPr>
        <w:t>12. 联合体投标</w:t>
      </w:r>
      <w:bookmarkEnd w:id="67"/>
      <w:r>
        <w:rPr>
          <w:rFonts w:hint="eastAsia" w:ascii="仿宋" w:hAnsi="仿宋" w:eastAsia="仿宋"/>
          <w:sz w:val="24"/>
        </w:rPr>
        <w:t>（本项目不允许联合体参与）</w:t>
      </w:r>
    </w:p>
    <w:p>
      <w:pPr>
        <w:pStyle w:val="4"/>
        <w:spacing w:line="400" w:lineRule="exact"/>
        <w:ind w:firstLine="482" w:firstLineChars="200"/>
        <w:rPr>
          <w:rFonts w:ascii="仿宋" w:hAnsi="仿宋" w:eastAsia="仿宋"/>
          <w:sz w:val="24"/>
        </w:rPr>
      </w:pPr>
      <w:bookmarkStart w:id="68" w:name="_Toc308164797"/>
      <w:bookmarkStart w:id="69" w:name="_Toc217446047"/>
      <w:r>
        <w:rPr>
          <w:rFonts w:hint="eastAsia" w:ascii="仿宋" w:hAnsi="仿宋" w:eastAsia="仿宋"/>
          <w:sz w:val="24"/>
        </w:rPr>
        <w:t>13. 知识产权</w:t>
      </w:r>
      <w:bookmarkEnd w:id="68"/>
      <w:bookmarkEnd w:id="69"/>
      <w:r>
        <w:rPr>
          <w:rFonts w:hint="eastAsia" w:ascii="仿宋" w:hAnsi="仿宋" w:eastAsia="仿宋"/>
          <w:sz w:val="24"/>
        </w:rPr>
        <w:t>（实质性要求）</w:t>
      </w:r>
    </w:p>
    <w:p>
      <w:pPr>
        <w:pStyle w:val="5"/>
        <w:spacing w:line="400" w:lineRule="exact"/>
        <w:ind w:left="0" w:leftChars="0" w:firstLine="480" w:firstLineChars="200"/>
        <w:rPr>
          <w:rFonts w:ascii="仿宋" w:hAnsi="仿宋" w:eastAsia="仿宋"/>
          <w:sz w:val="24"/>
        </w:rPr>
      </w:pPr>
      <w:r>
        <w:rPr>
          <w:rFonts w:hint="eastAsia" w:ascii="仿宋" w:hAnsi="仿宋" w:eastAsia="仿宋"/>
          <w:sz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5"/>
        <w:spacing w:line="400" w:lineRule="exact"/>
        <w:ind w:left="0" w:leftChars="0" w:firstLine="480" w:firstLineChars="200"/>
        <w:rPr>
          <w:rFonts w:ascii="仿宋" w:hAnsi="仿宋" w:eastAsia="仿宋"/>
          <w:sz w:val="24"/>
        </w:rPr>
      </w:pPr>
      <w:r>
        <w:rPr>
          <w:rFonts w:hint="eastAsia" w:ascii="仿宋" w:hAnsi="仿宋" w:eastAsia="仿宋"/>
          <w:sz w:val="24"/>
        </w:rPr>
        <w:t>13.2 采购人享有本项目实施过程中产生的知识成果及知识产权。</w:t>
      </w:r>
    </w:p>
    <w:p>
      <w:pPr>
        <w:spacing w:line="400" w:lineRule="exact"/>
        <w:ind w:firstLine="480" w:firstLineChars="200"/>
        <w:rPr>
          <w:rFonts w:ascii="仿宋" w:hAnsi="仿宋" w:eastAsia="仿宋"/>
          <w:sz w:val="24"/>
        </w:rPr>
      </w:pPr>
      <w:r>
        <w:rPr>
          <w:rFonts w:hint="eastAsia" w:ascii="仿宋" w:hAnsi="仿宋" w:eastAsia="仿宋"/>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sz w:val="24"/>
        </w:rPr>
      </w:pPr>
      <w:r>
        <w:rPr>
          <w:rFonts w:hint="eastAsia" w:ascii="仿宋" w:hAnsi="仿宋" w:eastAsia="仿宋"/>
          <w:sz w:val="24"/>
        </w:rPr>
        <w:t xml:space="preserve">13.4 如采用投标人所不拥有的知识产权，则在投标报价中必须包括合法获取该知识产权的相关费用。 </w:t>
      </w:r>
    </w:p>
    <w:p>
      <w:pPr>
        <w:pStyle w:val="4"/>
        <w:spacing w:line="400" w:lineRule="exact"/>
        <w:ind w:firstLine="482" w:firstLineChars="200"/>
        <w:rPr>
          <w:rFonts w:ascii="仿宋" w:hAnsi="仿宋" w:eastAsia="仿宋"/>
          <w:sz w:val="24"/>
        </w:rPr>
      </w:pPr>
      <w:bookmarkStart w:id="70" w:name="_Toc183582217"/>
      <w:bookmarkStart w:id="71" w:name="_Toc217446048"/>
      <w:bookmarkStart w:id="72" w:name="_Toc183682354"/>
      <w:bookmarkStart w:id="73" w:name="_Toc308164798"/>
      <w:r>
        <w:rPr>
          <w:rFonts w:hint="eastAsia" w:ascii="仿宋" w:hAnsi="仿宋" w:eastAsia="仿宋"/>
          <w:sz w:val="24"/>
        </w:rPr>
        <w:t>14．投标文件的组成</w:t>
      </w:r>
      <w:bookmarkEnd w:id="70"/>
      <w:bookmarkEnd w:id="71"/>
      <w:bookmarkEnd w:id="72"/>
      <w:bookmarkEnd w:id="73"/>
    </w:p>
    <w:p>
      <w:pPr>
        <w:spacing w:line="400" w:lineRule="exact"/>
        <w:ind w:firstLine="480" w:firstLineChars="200"/>
        <w:rPr>
          <w:rFonts w:ascii="仿宋" w:hAnsi="仿宋" w:eastAsia="仿宋"/>
          <w:sz w:val="24"/>
        </w:rPr>
      </w:pPr>
      <w:r>
        <w:rPr>
          <w:rFonts w:hint="eastAsia" w:ascii="仿宋" w:hAnsi="仿宋" w:eastAsia="仿宋"/>
          <w:sz w:val="24"/>
        </w:rPr>
        <w:t>投标人应按照招标文件的规定和要求编制投标文件。投标人编写的投标文件应至少包括下列两部分文件：</w:t>
      </w:r>
    </w:p>
    <w:p>
      <w:pPr>
        <w:spacing w:line="400" w:lineRule="exact"/>
        <w:ind w:firstLine="482" w:firstLineChars="200"/>
        <w:rPr>
          <w:rFonts w:ascii="仿宋" w:hAnsi="仿宋" w:eastAsia="仿宋"/>
          <w:b/>
          <w:sz w:val="24"/>
        </w:rPr>
      </w:pPr>
      <w:r>
        <w:rPr>
          <w:rFonts w:hint="eastAsia" w:ascii="仿宋" w:hAnsi="仿宋" w:eastAsia="仿宋"/>
          <w:b/>
          <w:sz w:val="24"/>
        </w:rPr>
        <w:t>文件一：资格性投标文件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严格按照第四、五章要求提供相关资格、资质性及其他类似效力要求的相关证明材料。</w:t>
      </w:r>
    </w:p>
    <w:p>
      <w:pPr>
        <w:spacing w:line="400" w:lineRule="exact"/>
        <w:ind w:firstLine="482" w:firstLineChars="200"/>
        <w:rPr>
          <w:rFonts w:ascii="仿宋" w:hAnsi="仿宋" w:eastAsia="仿宋"/>
          <w:b/>
          <w:sz w:val="24"/>
        </w:rPr>
      </w:pPr>
      <w:r>
        <w:rPr>
          <w:rFonts w:hint="eastAsia" w:ascii="仿宋" w:hAnsi="仿宋" w:eastAsia="仿宋"/>
          <w:b/>
          <w:sz w:val="24"/>
        </w:rPr>
        <w:t>文件二：其它响应性投标文件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严格按照招标文件要求提供以下五个方面的相关材料：</w:t>
      </w:r>
    </w:p>
    <w:p>
      <w:pPr>
        <w:pStyle w:val="46"/>
        <w:numPr>
          <w:ilvl w:val="0"/>
          <w:numId w:val="1"/>
        </w:numPr>
        <w:spacing w:line="400" w:lineRule="exact"/>
        <w:rPr>
          <w:rFonts w:ascii="仿宋" w:hAnsi="仿宋" w:eastAsia="仿宋"/>
          <w:b/>
          <w:sz w:val="24"/>
        </w:rPr>
      </w:pPr>
      <w:r>
        <w:rPr>
          <w:rFonts w:hint="eastAsia" w:ascii="仿宋" w:hAnsi="仿宋" w:eastAsia="仿宋"/>
          <w:b/>
          <w:sz w:val="24"/>
        </w:rPr>
        <w:t>报价部分。</w:t>
      </w:r>
    </w:p>
    <w:p>
      <w:pPr>
        <w:spacing w:line="400" w:lineRule="exact"/>
        <w:ind w:firstLine="480" w:firstLineChars="200"/>
        <w:rPr>
          <w:rFonts w:ascii="仿宋" w:hAnsi="仿宋" w:eastAsia="仿宋"/>
          <w:sz w:val="24"/>
        </w:rPr>
      </w:pPr>
      <w:r>
        <w:rPr>
          <w:rFonts w:hint="eastAsia" w:ascii="仿宋" w:hAnsi="仿宋" w:eastAsia="仿宋"/>
          <w:sz w:val="24"/>
        </w:rPr>
        <w:t xml:space="preserve">1、投标人按照招标文件要求填写的“开标一览表”、“报价明细表”（如涉及）。 </w:t>
      </w:r>
    </w:p>
    <w:p>
      <w:pPr>
        <w:spacing w:line="400" w:lineRule="exact"/>
        <w:ind w:firstLine="480" w:firstLineChars="200"/>
        <w:rPr>
          <w:rFonts w:ascii="仿宋" w:hAnsi="仿宋" w:eastAsia="仿宋"/>
          <w:sz w:val="24"/>
        </w:rPr>
      </w:pPr>
      <w:r>
        <w:rPr>
          <w:rFonts w:hint="eastAsia" w:ascii="仿宋" w:hAnsi="仿宋" w:eastAsia="仿宋"/>
          <w:sz w:val="24"/>
        </w:rPr>
        <w:t>2、本次招标报价要求：</w:t>
      </w:r>
    </w:p>
    <w:p>
      <w:pPr>
        <w:spacing w:line="400" w:lineRule="exact"/>
        <w:ind w:firstLine="480" w:firstLineChars="200"/>
        <w:rPr>
          <w:rFonts w:ascii="仿宋" w:hAnsi="仿宋" w:eastAsia="仿宋"/>
          <w:sz w:val="24"/>
        </w:rPr>
      </w:pPr>
      <w:r>
        <w:rPr>
          <w:rFonts w:hint="eastAsia" w:ascii="仿宋" w:hAnsi="仿宋" w:eastAsia="仿宋"/>
          <w:sz w:val="24"/>
        </w:rPr>
        <w:t>（1）投标人的报价是投标人响应招标项目要求的全部工作内容的价格体现，包括投标人完成本项目所需的一切费用（实质性要求）。</w:t>
      </w:r>
    </w:p>
    <w:p>
      <w:pPr>
        <w:spacing w:line="400" w:lineRule="exact"/>
        <w:ind w:left="2" w:firstLine="360" w:firstLineChars="150"/>
        <w:rPr>
          <w:rFonts w:ascii="仿宋" w:hAnsi="仿宋" w:eastAsia="仿宋"/>
          <w:sz w:val="24"/>
        </w:rPr>
      </w:pPr>
      <w:r>
        <w:rPr>
          <w:rFonts w:hint="eastAsia" w:ascii="仿宋" w:hAnsi="仿宋" w:eastAsia="仿宋"/>
          <w:sz w:val="24"/>
        </w:rPr>
        <w:t xml:space="preserve"> （2）投标人每种货物只允许有一个报价，并且在合同履行过程中是固定不变的，任何有选择或可调整的报价将不予接受，并按无效投标处理（实质性要求）。</w:t>
      </w:r>
    </w:p>
    <w:p>
      <w:pPr>
        <w:spacing w:line="400" w:lineRule="exact"/>
        <w:ind w:firstLine="480" w:firstLineChars="200"/>
        <w:rPr>
          <w:rFonts w:ascii="仿宋" w:hAnsi="仿宋" w:eastAsia="仿宋"/>
          <w:sz w:val="24"/>
        </w:rPr>
      </w:pPr>
      <w:r>
        <w:rPr>
          <w:rFonts w:hint="eastAsia" w:ascii="仿宋" w:hAnsi="仿宋" w:eastAsia="仿宋"/>
          <w:sz w:val="24"/>
        </w:rPr>
        <w:t>（3）在本次投标之前一周年内，投标人本次投标中对同一品牌同一型号相同配置的产品报价与其在中国境内其他地方的最低报价比例不得高于20%。（实质性要求）。</w:t>
      </w:r>
    </w:p>
    <w:p>
      <w:pPr>
        <w:spacing w:line="400" w:lineRule="exact"/>
        <w:ind w:firstLine="482" w:firstLineChars="200"/>
        <w:rPr>
          <w:rFonts w:ascii="仿宋" w:hAnsi="仿宋" w:eastAsia="仿宋"/>
          <w:b/>
          <w:bCs/>
          <w:sz w:val="24"/>
        </w:rPr>
      </w:pPr>
      <w:r>
        <w:rPr>
          <w:rFonts w:hint="eastAsia" w:ascii="仿宋" w:hAnsi="仿宋" w:eastAsia="仿宋"/>
          <w:b/>
          <w:sz w:val="24"/>
        </w:rPr>
        <w:t>（二）技术部分。</w:t>
      </w:r>
      <w:r>
        <w:rPr>
          <w:rFonts w:hint="eastAsia" w:ascii="仿宋" w:hAnsi="仿宋" w:eastAsia="仿宋"/>
          <w:sz w:val="24"/>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eastAsia="仿宋"/>
          <w:sz w:val="24"/>
        </w:rPr>
      </w:pPr>
      <w:r>
        <w:rPr>
          <w:rFonts w:hint="eastAsia" w:ascii="仿宋" w:hAnsi="仿宋" w:eastAsia="仿宋"/>
          <w:sz w:val="24"/>
        </w:rPr>
        <w:t>（1）投标产品的品牌、型号、配置；</w:t>
      </w:r>
    </w:p>
    <w:p>
      <w:pPr>
        <w:spacing w:line="400" w:lineRule="exact"/>
        <w:ind w:firstLine="480" w:firstLineChars="200"/>
        <w:rPr>
          <w:rFonts w:ascii="仿宋" w:hAnsi="仿宋" w:eastAsia="仿宋"/>
          <w:sz w:val="24"/>
        </w:rPr>
      </w:pPr>
      <w:r>
        <w:rPr>
          <w:rFonts w:hint="eastAsia" w:ascii="仿宋" w:hAnsi="仿宋" w:eastAsia="仿宋"/>
          <w:sz w:val="24"/>
        </w:rPr>
        <w:t>（2）投标产品本身的详细的技术指标和参数（应当尽可能提供检测报告、产品使用说明书、用户手册等材料予以佐证）；</w:t>
      </w:r>
    </w:p>
    <w:p>
      <w:pPr>
        <w:spacing w:line="400" w:lineRule="exact"/>
        <w:ind w:firstLine="480" w:firstLineChars="200"/>
        <w:rPr>
          <w:rFonts w:ascii="仿宋" w:hAnsi="仿宋" w:eastAsia="仿宋"/>
          <w:sz w:val="24"/>
        </w:rPr>
      </w:pPr>
      <w:r>
        <w:rPr>
          <w:rFonts w:hint="eastAsia" w:ascii="仿宋" w:hAnsi="仿宋" w:eastAsia="仿宋"/>
          <w:sz w:val="24"/>
        </w:rPr>
        <w:t>（3）技术方案、项目实施方案；</w:t>
      </w:r>
    </w:p>
    <w:p>
      <w:pPr>
        <w:spacing w:line="400" w:lineRule="exact"/>
        <w:ind w:firstLine="480" w:firstLineChars="200"/>
        <w:rPr>
          <w:rFonts w:ascii="仿宋" w:hAnsi="仿宋" w:eastAsia="仿宋"/>
          <w:sz w:val="24"/>
        </w:rPr>
      </w:pPr>
      <w:r>
        <w:rPr>
          <w:rFonts w:hint="eastAsia" w:ascii="仿宋" w:hAnsi="仿宋" w:eastAsia="仿宋"/>
          <w:sz w:val="24"/>
        </w:rPr>
        <w:t>（4）投标产品技术参数表；</w:t>
      </w:r>
    </w:p>
    <w:p>
      <w:pPr>
        <w:spacing w:line="400" w:lineRule="exact"/>
        <w:ind w:firstLine="480" w:firstLineChars="200"/>
        <w:rPr>
          <w:rFonts w:ascii="仿宋" w:hAnsi="仿宋" w:eastAsia="仿宋"/>
          <w:sz w:val="24"/>
        </w:rPr>
      </w:pPr>
      <w:r>
        <w:rPr>
          <w:rFonts w:hint="eastAsia" w:ascii="仿宋" w:hAnsi="仿宋" w:eastAsia="仿宋"/>
          <w:sz w:val="24"/>
        </w:rPr>
        <w:t>（5）产品彩页资料；</w:t>
      </w:r>
    </w:p>
    <w:p>
      <w:pPr>
        <w:spacing w:line="400" w:lineRule="exact"/>
        <w:ind w:firstLine="480" w:firstLineChars="200"/>
        <w:rPr>
          <w:rFonts w:ascii="仿宋" w:hAnsi="仿宋" w:eastAsia="仿宋"/>
          <w:sz w:val="24"/>
        </w:rPr>
      </w:pPr>
      <w:r>
        <w:rPr>
          <w:rFonts w:hint="eastAsia" w:ascii="仿宋" w:hAnsi="仿宋" w:eastAsia="仿宋"/>
          <w:sz w:val="24"/>
        </w:rPr>
        <w:t>（6）产品工作环境条件；</w:t>
      </w:r>
    </w:p>
    <w:p>
      <w:pPr>
        <w:spacing w:line="400" w:lineRule="exact"/>
        <w:ind w:firstLine="480" w:firstLineChars="200"/>
        <w:rPr>
          <w:rFonts w:ascii="仿宋" w:hAnsi="仿宋" w:eastAsia="仿宋"/>
          <w:sz w:val="24"/>
        </w:rPr>
      </w:pPr>
      <w:r>
        <w:rPr>
          <w:rFonts w:hint="eastAsia" w:ascii="仿宋" w:hAnsi="仿宋" w:eastAsia="仿宋"/>
          <w:sz w:val="24"/>
        </w:rPr>
        <w:t>（7）产品验收标准和验收方法；</w:t>
      </w:r>
    </w:p>
    <w:p>
      <w:pPr>
        <w:spacing w:line="400" w:lineRule="exact"/>
        <w:ind w:firstLine="480" w:firstLineChars="200"/>
        <w:rPr>
          <w:rFonts w:ascii="仿宋" w:hAnsi="仿宋" w:eastAsia="仿宋"/>
          <w:sz w:val="24"/>
        </w:rPr>
      </w:pPr>
      <w:r>
        <w:rPr>
          <w:rFonts w:hint="eastAsia" w:ascii="仿宋" w:hAnsi="仿宋" w:eastAsia="仿宋"/>
          <w:sz w:val="24"/>
        </w:rPr>
        <w:t>（8）产品验收清单（注明各部件的品名、数量、价格、规格型号和原产地或生产厂家）。</w:t>
      </w:r>
    </w:p>
    <w:p>
      <w:pPr>
        <w:spacing w:line="400" w:lineRule="exact"/>
        <w:ind w:firstLine="480" w:firstLineChars="200"/>
        <w:rPr>
          <w:rFonts w:ascii="仿宋" w:hAnsi="仿宋" w:eastAsia="仿宋"/>
          <w:sz w:val="24"/>
        </w:rPr>
      </w:pPr>
      <w:r>
        <w:rPr>
          <w:rFonts w:hint="eastAsia" w:ascii="仿宋" w:hAnsi="仿宋" w:eastAsia="仿宋"/>
          <w:sz w:val="24"/>
        </w:rPr>
        <w:t>（9）投标人认为需要提供的文件和资料。</w:t>
      </w:r>
    </w:p>
    <w:p>
      <w:pPr>
        <w:spacing w:line="400" w:lineRule="exact"/>
        <w:ind w:firstLine="482" w:firstLineChars="200"/>
        <w:rPr>
          <w:rFonts w:ascii="仿宋" w:hAnsi="仿宋" w:eastAsia="仿宋"/>
          <w:sz w:val="24"/>
        </w:rPr>
      </w:pPr>
      <w:r>
        <w:rPr>
          <w:rFonts w:hint="eastAsia" w:ascii="仿宋" w:hAnsi="仿宋" w:eastAsia="仿宋"/>
          <w:b/>
          <w:sz w:val="24"/>
        </w:rPr>
        <w:t>（三）商务部分。</w:t>
      </w:r>
      <w:r>
        <w:rPr>
          <w:rFonts w:hint="eastAsia" w:ascii="仿宋" w:hAnsi="仿宋" w:eastAsia="仿宋"/>
          <w:sz w:val="24"/>
        </w:rPr>
        <w:t>投标人按照招标文件要求提供的有关文件及优惠承诺。包括以下内容（如涉及）：</w:t>
      </w:r>
    </w:p>
    <w:p>
      <w:pPr>
        <w:spacing w:line="400" w:lineRule="exact"/>
        <w:ind w:firstLine="480" w:firstLineChars="200"/>
        <w:rPr>
          <w:rFonts w:ascii="仿宋" w:hAnsi="仿宋" w:eastAsia="仿宋"/>
          <w:sz w:val="24"/>
        </w:rPr>
      </w:pPr>
      <w:r>
        <w:rPr>
          <w:rFonts w:hint="eastAsia" w:ascii="仿宋" w:hAnsi="仿宋" w:eastAsia="仿宋"/>
          <w:sz w:val="24"/>
        </w:rPr>
        <w:t>（1）投标函；</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2</w:t>
      </w:r>
      <w:r>
        <w:rPr>
          <w:rFonts w:hint="eastAsia" w:ascii="仿宋" w:hAnsi="仿宋" w:eastAsia="仿宋"/>
          <w:sz w:val="24"/>
        </w:rPr>
        <w:t>）证明投标人业绩和荣誉的有关材料复印件；</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3</w:t>
      </w:r>
      <w:r>
        <w:rPr>
          <w:rFonts w:hint="eastAsia" w:ascii="仿宋" w:hAnsi="仿宋" w:eastAsia="仿宋"/>
          <w:sz w:val="24"/>
        </w:rPr>
        <w:t>）商务应答表；</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4</w:t>
      </w:r>
      <w:r>
        <w:rPr>
          <w:rFonts w:hint="eastAsia" w:ascii="仿宋" w:hAnsi="仿宋" w:eastAsia="仿宋"/>
          <w:sz w:val="24"/>
        </w:rPr>
        <w:t>）其他投标人认为需要提供的文件和资料。</w:t>
      </w:r>
    </w:p>
    <w:p>
      <w:pPr>
        <w:spacing w:line="400" w:lineRule="exact"/>
        <w:ind w:firstLine="482" w:firstLineChars="200"/>
        <w:rPr>
          <w:rFonts w:ascii="仿宋" w:hAnsi="仿宋" w:eastAsia="仿宋"/>
          <w:b/>
          <w:bCs/>
          <w:sz w:val="24"/>
        </w:rPr>
      </w:pPr>
      <w:r>
        <w:rPr>
          <w:rFonts w:hint="eastAsia" w:ascii="仿宋" w:hAnsi="仿宋" w:eastAsia="仿宋"/>
          <w:b/>
          <w:sz w:val="24"/>
        </w:rPr>
        <w:t>（四）售后服务。</w:t>
      </w:r>
      <w:r>
        <w:rPr>
          <w:rFonts w:hint="eastAsia" w:ascii="仿宋" w:hAnsi="仿宋" w:eastAsia="仿宋"/>
          <w:sz w:val="24"/>
        </w:rPr>
        <w:t>投标人按照招标文件中售后服务要求作出的积极响应和承诺。</w:t>
      </w:r>
    </w:p>
    <w:p>
      <w:pPr>
        <w:adjustRightInd w:val="0"/>
        <w:snapToGrid w:val="0"/>
        <w:spacing w:line="400" w:lineRule="exact"/>
        <w:ind w:firstLine="482" w:firstLineChars="200"/>
        <w:rPr>
          <w:rFonts w:ascii="仿宋" w:hAnsi="仿宋" w:eastAsia="仿宋"/>
          <w:sz w:val="24"/>
        </w:rPr>
      </w:pPr>
      <w:r>
        <w:rPr>
          <w:rFonts w:hint="eastAsia" w:ascii="仿宋" w:hAnsi="仿宋" w:eastAsia="仿宋"/>
          <w:b/>
          <w:bCs/>
          <w:sz w:val="24"/>
        </w:rPr>
        <w:t>（五）其他部分。</w:t>
      </w:r>
      <w:r>
        <w:rPr>
          <w:rFonts w:hint="eastAsia" w:ascii="仿宋" w:hAnsi="仿宋" w:eastAsia="仿宋"/>
          <w:bCs/>
          <w:sz w:val="24"/>
        </w:rPr>
        <w:t>投标人按照招标文件要求作出的其他应答和承诺。</w:t>
      </w:r>
    </w:p>
    <w:p>
      <w:pPr>
        <w:pStyle w:val="4"/>
        <w:tabs>
          <w:tab w:val="left" w:pos="3480"/>
        </w:tabs>
        <w:spacing w:line="400" w:lineRule="exact"/>
        <w:ind w:firstLine="482" w:firstLineChars="200"/>
        <w:rPr>
          <w:rFonts w:ascii="仿宋" w:hAnsi="仿宋" w:eastAsia="仿宋"/>
          <w:sz w:val="24"/>
        </w:rPr>
      </w:pPr>
      <w:bookmarkStart w:id="74" w:name="_Toc217446049"/>
      <w:bookmarkStart w:id="75" w:name="_Toc308164799"/>
      <w:bookmarkStart w:id="76" w:name="_Toc183582218"/>
      <w:bookmarkStart w:id="77" w:name="_Toc183682355"/>
      <w:r>
        <w:rPr>
          <w:rFonts w:hint="eastAsia" w:ascii="仿宋" w:hAnsi="仿宋" w:eastAsia="仿宋"/>
          <w:sz w:val="24"/>
        </w:rPr>
        <w:t>15．投标文件格式</w:t>
      </w:r>
      <w:bookmarkEnd w:id="74"/>
      <w:bookmarkEnd w:id="75"/>
      <w:bookmarkEnd w:id="76"/>
      <w:bookmarkEnd w:id="77"/>
    </w:p>
    <w:p>
      <w:pPr>
        <w:tabs>
          <w:tab w:val="left" w:pos="7665"/>
        </w:tabs>
        <w:spacing w:line="400" w:lineRule="exact"/>
        <w:ind w:left="13" w:leftChars="6" w:firstLine="480" w:firstLineChars="200"/>
        <w:rPr>
          <w:rFonts w:ascii="仿宋" w:hAnsi="仿宋" w:eastAsia="仿宋"/>
          <w:sz w:val="24"/>
        </w:rPr>
      </w:pPr>
      <w:r>
        <w:rPr>
          <w:rFonts w:hint="eastAsia" w:ascii="仿宋" w:hAnsi="仿宋" w:eastAsia="仿宋"/>
          <w:sz w:val="24"/>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仿宋" w:hAnsi="仿宋" w:eastAsia="仿宋"/>
          <w:sz w:val="24"/>
        </w:rPr>
      </w:pPr>
      <w:r>
        <w:rPr>
          <w:rFonts w:hint="eastAsia" w:ascii="仿宋" w:hAnsi="仿宋" w:eastAsia="仿宋"/>
          <w:sz w:val="24"/>
        </w:rPr>
        <w:t>15.2 对于没有格式要求的投标文件由投标人自行编写。</w:t>
      </w:r>
    </w:p>
    <w:p>
      <w:pPr>
        <w:pStyle w:val="4"/>
        <w:spacing w:line="400" w:lineRule="exact"/>
        <w:ind w:firstLine="482" w:firstLineChars="200"/>
        <w:rPr>
          <w:rFonts w:ascii="仿宋" w:hAnsi="仿宋" w:eastAsia="仿宋"/>
          <w:sz w:val="24"/>
        </w:rPr>
      </w:pPr>
      <w:bookmarkStart w:id="78" w:name="_Toc183582223"/>
      <w:bookmarkStart w:id="79" w:name="_Toc217446050"/>
      <w:bookmarkStart w:id="80" w:name="_Toc308164800"/>
      <w:bookmarkStart w:id="81" w:name="_Toc183682360"/>
      <w:r>
        <w:rPr>
          <w:rFonts w:hint="eastAsia" w:ascii="仿宋" w:hAnsi="仿宋" w:eastAsia="仿宋"/>
          <w:bCs w:val="0"/>
          <w:sz w:val="24"/>
        </w:rPr>
        <w:t>16．投标保证金</w:t>
      </w:r>
      <w:bookmarkEnd w:id="78"/>
      <w:bookmarkEnd w:id="79"/>
      <w:bookmarkEnd w:id="80"/>
      <w:bookmarkEnd w:id="81"/>
      <w:r>
        <w:rPr>
          <w:rFonts w:hint="eastAsia" w:ascii="仿宋" w:hAnsi="仿宋" w:eastAsia="仿宋"/>
          <w:bCs w:val="0"/>
          <w:sz w:val="24"/>
        </w:rPr>
        <w:t>（本项目不适用）</w:t>
      </w:r>
    </w:p>
    <w:p>
      <w:pPr>
        <w:pStyle w:val="4"/>
        <w:spacing w:line="400" w:lineRule="exact"/>
        <w:ind w:firstLine="482" w:firstLineChars="200"/>
        <w:rPr>
          <w:rFonts w:ascii="仿宋" w:hAnsi="仿宋" w:eastAsia="仿宋"/>
          <w:bCs w:val="0"/>
          <w:sz w:val="24"/>
        </w:rPr>
      </w:pPr>
      <w:bookmarkStart w:id="82" w:name="_Toc217446051"/>
      <w:bookmarkStart w:id="83" w:name="_Toc183682361"/>
      <w:bookmarkStart w:id="84" w:name="_Toc183582224"/>
      <w:bookmarkStart w:id="85" w:name="_Toc308164801"/>
      <w:r>
        <w:rPr>
          <w:rFonts w:hint="eastAsia" w:ascii="仿宋" w:hAnsi="仿宋" w:eastAsia="仿宋"/>
          <w:bCs w:val="0"/>
          <w:sz w:val="24"/>
        </w:rPr>
        <w:t>17．投标有效期</w:t>
      </w:r>
      <w:bookmarkEnd w:id="82"/>
      <w:bookmarkEnd w:id="83"/>
      <w:bookmarkEnd w:id="84"/>
      <w:bookmarkEnd w:id="85"/>
      <w:r>
        <w:rPr>
          <w:rFonts w:hint="eastAsia" w:ascii="仿宋" w:hAnsi="仿宋" w:eastAsia="仿宋"/>
          <w:sz w:val="24"/>
          <w:szCs w:val="24"/>
        </w:rPr>
        <w:t>（实质性要求）</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17.1 本项目投标有效期为投标截止时间届满后</w:t>
      </w:r>
      <w:r>
        <w:rPr>
          <w:rFonts w:hint="eastAsia" w:ascii="仿宋" w:hAnsi="仿宋" w:eastAsia="仿宋"/>
          <w:b/>
          <w:bCs/>
          <w:sz w:val="24"/>
        </w:rPr>
        <w:t>90</w:t>
      </w:r>
      <w:r>
        <w:rPr>
          <w:rFonts w:hint="eastAsia" w:ascii="仿宋" w:hAnsi="仿宋" w:eastAsia="仿宋"/>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4"/>
        <w:spacing w:line="400" w:lineRule="exact"/>
        <w:ind w:firstLine="482" w:firstLineChars="200"/>
        <w:rPr>
          <w:rFonts w:ascii="仿宋" w:hAnsi="仿宋" w:eastAsia="仿宋"/>
          <w:bCs w:val="0"/>
          <w:sz w:val="24"/>
        </w:rPr>
      </w:pPr>
      <w:bookmarkStart w:id="86" w:name="_Toc183682362"/>
      <w:bookmarkStart w:id="87" w:name="_Toc217446052"/>
      <w:bookmarkStart w:id="88" w:name="_Toc308164802"/>
      <w:bookmarkStart w:id="89" w:name="_Toc183582225"/>
      <w:r>
        <w:rPr>
          <w:rFonts w:hint="eastAsia" w:ascii="仿宋" w:hAnsi="仿宋" w:eastAsia="仿宋"/>
          <w:bCs w:val="0"/>
          <w:sz w:val="24"/>
        </w:rPr>
        <w:t>18．投标文件的印制和签署</w:t>
      </w:r>
      <w:bookmarkEnd w:id="86"/>
      <w:bookmarkEnd w:id="87"/>
      <w:bookmarkEnd w:id="88"/>
      <w:bookmarkEnd w:id="89"/>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18.1投标文件分为“资格性投标文件”和“其他响应性投标文件”两部分，且该两部分应分册装订。</w:t>
      </w:r>
    </w:p>
    <w:p>
      <w:pPr>
        <w:spacing w:line="400" w:lineRule="exact"/>
        <w:ind w:firstLine="468" w:firstLineChars="195"/>
        <w:rPr>
          <w:rFonts w:ascii="仿宋" w:hAnsi="仿宋" w:eastAsia="仿宋"/>
          <w:bCs/>
          <w:sz w:val="24"/>
        </w:rPr>
      </w:pPr>
      <w:r>
        <w:rPr>
          <w:rFonts w:hint="eastAsia" w:ascii="仿宋" w:hAnsi="仿宋" w:eastAsia="仿宋"/>
          <w:sz w:val="24"/>
        </w:rPr>
        <w:t>18.</w:t>
      </w:r>
      <w:r>
        <w:rPr>
          <w:rFonts w:ascii="仿宋" w:hAnsi="仿宋" w:eastAsia="仿宋"/>
          <w:sz w:val="24"/>
        </w:rPr>
        <w:t>2</w:t>
      </w:r>
      <w:r>
        <w:rPr>
          <w:rFonts w:hint="eastAsia" w:ascii="仿宋" w:hAnsi="仿宋" w:eastAsia="仿宋"/>
          <w:sz w:val="24"/>
        </w:rPr>
        <w:t>资格性投标文件正本</w:t>
      </w:r>
      <w:r>
        <w:rPr>
          <w:rFonts w:ascii="仿宋" w:hAnsi="仿宋" w:eastAsia="仿宋"/>
          <w:sz w:val="24"/>
        </w:rPr>
        <w:t>1</w:t>
      </w:r>
      <w:r>
        <w:rPr>
          <w:rFonts w:hint="eastAsia" w:ascii="仿宋" w:hAnsi="仿宋" w:eastAsia="仿宋"/>
          <w:sz w:val="24"/>
        </w:rPr>
        <w:t>份副本</w:t>
      </w:r>
      <w:r>
        <w:rPr>
          <w:rFonts w:ascii="仿宋" w:hAnsi="仿宋" w:eastAsia="仿宋"/>
          <w:sz w:val="24"/>
        </w:rPr>
        <w:t>4</w:t>
      </w:r>
      <w:r>
        <w:rPr>
          <w:rFonts w:hint="eastAsia" w:ascii="仿宋" w:hAnsi="仿宋" w:eastAsia="仿宋"/>
          <w:sz w:val="24"/>
        </w:rPr>
        <w:t>份</w:t>
      </w:r>
      <w:r>
        <w:rPr>
          <w:rFonts w:hint="eastAsia" w:ascii="仿宋" w:hAnsi="仿宋" w:eastAsia="仿宋"/>
          <w:bCs/>
          <w:sz w:val="24"/>
        </w:rPr>
        <w:t>，并在其封面上清楚地标明</w:t>
      </w:r>
      <w:r>
        <w:rPr>
          <w:rFonts w:hint="eastAsia" w:ascii="仿宋" w:hAnsi="仿宋" w:eastAsia="仿宋"/>
          <w:sz w:val="24"/>
        </w:rPr>
        <w:t>资格性投标文件</w:t>
      </w:r>
      <w:r>
        <w:rPr>
          <w:rFonts w:hint="eastAsia" w:ascii="仿宋" w:hAnsi="仿宋" w:eastAsia="仿宋"/>
          <w:bCs/>
          <w:sz w:val="24"/>
        </w:rPr>
        <w:t>、项目名称、项目编号、包件号及名称（若有）、投标人名称以及“正本”或“副本”字样。若正本和副本有不一致的内容，以正本书面投标文件为准。</w:t>
      </w:r>
    </w:p>
    <w:p>
      <w:pPr>
        <w:spacing w:line="400" w:lineRule="exact"/>
        <w:ind w:firstLine="468" w:firstLineChars="195"/>
        <w:rPr>
          <w:rFonts w:ascii="仿宋" w:hAnsi="仿宋" w:eastAsia="仿宋"/>
          <w:bCs/>
          <w:sz w:val="24"/>
        </w:rPr>
      </w:pPr>
      <w:r>
        <w:rPr>
          <w:rFonts w:hint="eastAsia" w:ascii="仿宋" w:hAnsi="仿宋" w:eastAsia="仿宋"/>
          <w:bCs/>
          <w:sz w:val="24"/>
        </w:rPr>
        <w:t>18.</w:t>
      </w:r>
      <w:r>
        <w:rPr>
          <w:rFonts w:ascii="仿宋" w:hAnsi="仿宋" w:eastAsia="仿宋"/>
          <w:bCs/>
          <w:sz w:val="24"/>
        </w:rPr>
        <w:t>3</w:t>
      </w:r>
      <w:r>
        <w:rPr>
          <w:rFonts w:hint="eastAsia" w:ascii="仿宋" w:hAnsi="仿宋" w:eastAsia="仿宋"/>
          <w:sz w:val="24"/>
        </w:rPr>
        <w:t>其他响应性投标文件</w:t>
      </w:r>
      <w:r>
        <w:rPr>
          <w:rFonts w:hint="eastAsia" w:ascii="仿宋" w:hAnsi="仿宋" w:eastAsia="仿宋"/>
          <w:bCs/>
          <w:sz w:val="24"/>
        </w:rPr>
        <w:t>正本</w:t>
      </w:r>
      <w:r>
        <w:rPr>
          <w:rFonts w:ascii="仿宋" w:hAnsi="仿宋" w:eastAsia="仿宋"/>
          <w:bCs/>
          <w:sz w:val="24"/>
        </w:rPr>
        <w:t>1</w:t>
      </w:r>
      <w:r>
        <w:rPr>
          <w:rFonts w:hint="eastAsia" w:ascii="仿宋" w:hAnsi="仿宋" w:eastAsia="仿宋"/>
          <w:bCs/>
          <w:sz w:val="24"/>
        </w:rPr>
        <w:t>份副本</w:t>
      </w:r>
      <w:r>
        <w:rPr>
          <w:rFonts w:ascii="仿宋" w:hAnsi="仿宋" w:eastAsia="仿宋"/>
          <w:bCs/>
          <w:sz w:val="24"/>
        </w:rPr>
        <w:t>4</w:t>
      </w:r>
      <w:r>
        <w:rPr>
          <w:rFonts w:hint="eastAsia" w:ascii="仿宋" w:hAnsi="仿宋" w:eastAsia="仿宋"/>
          <w:bCs/>
          <w:sz w:val="24"/>
        </w:rPr>
        <w:t>份，并在其封面上清楚地标明</w:t>
      </w:r>
      <w:r>
        <w:rPr>
          <w:rFonts w:hint="eastAsia" w:ascii="仿宋" w:hAnsi="仿宋" w:eastAsia="仿宋"/>
          <w:sz w:val="24"/>
        </w:rPr>
        <w:t>其他响应性投标文件</w:t>
      </w:r>
      <w:r>
        <w:rPr>
          <w:rFonts w:hint="eastAsia" w:ascii="仿宋" w:hAnsi="仿宋" w:eastAsia="仿宋"/>
          <w:bCs/>
          <w:sz w:val="24"/>
        </w:rPr>
        <w:t>、项目名称、项目编号、包件号及名称（若有）、投标人名称以及“正本”或“副本”字样。若正本和副本有不一致的内容，以正本书面投标文件为准。</w:t>
      </w:r>
    </w:p>
    <w:p>
      <w:pPr>
        <w:tabs>
          <w:tab w:val="left" w:pos="1080"/>
        </w:tabs>
        <w:spacing w:line="400" w:lineRule="exact"/>
        <w:ind w:firstLine="463" w:firstLineChars="192"/>
        <w:rPr>
          <w:rFonts w:ascii="仿宋" w:hAnsi="仿宋" w:eastAsia="仿宋"/>
          <w:b/>
          <w:sz w:val="24"/>
        </w:rPr>
      </w:pPr>
      <w:r>
        <w:rPr>
          <w:rFonts w:ascii="仿宋" w:hAnsi="仿宋" w:eastAsia="仿宋"/>
          <w:b/>
          <w:sz w:val="24"/>
        </w:rPr>
        <w:t>18.4</w:t>
      </w:r>
      <w:r>
        <w:rPr>
          <w:rFonts w:hint="eastAsia" w:ascii="仿宋" w:hAnsi="仿宋" w:eastAsia="仿宋"/>
          <w:b/>
          <w:sz w:val="24"/>
        </w:rPr>
        <w:t>“开标一览表”应编制于其他响应性投标文件正副本内，如有遗漏，将视为无效投标（实质性要求）。</w:t>
      </w:r>
    </w:p>
    <w:p>
      <w:pPr>
        <w:tabs>
          <w:tab w:val="left" w:pos="1080"/>
        </w:tabs>
        <w:spacing w:line="400" w:lineRule="exact"/>
        <w:ind w:firstLine="463" w:firstLineChars="192"/>
        <w:rPr>
          <w:rFonts w:ascii="仿宋" w:hAnsi="仿宋" w:eastAsia="仿宋"/>
          <w:b/>
          <w:sz w:val="24"/>
        </w:rPr>
      </w:pPr>
      <w:r>
        <w:rPr>
          <w:rFonts w:hint="eastAsia" w:ascii="仿宋" w:hAnsi="仿宋" w:eastAsia="仿宋"/>
          <w:b/>
          <w:sz w:val="24"/>
        </w:rPr>
        <w:t>注</w:t>
      </w:r>
      <w:r>
        <w:rPr>
          <w:rFonts w:ascii="仿宋" w:hAnsi="仿宋" w:eastAsia="仿宋"/>
          <w:b/>
          <w:sz w:val="24"/>
        </w:rPr>
        <w:t>：</w:t>
      </w:r>
      <w:r>
        <w:rPr>
          <w:rFonts w:hint="eastAsia" w:ascii="仿宋" w:hAnsi="仿宋" w:eastAsia="仿宋"/>
          <w:b/>
          <w:sz w:val="24"/>
        </w:rPr>
        <w:t>本</w:t>
      </w:r>
      <w:r>
        <w:rPr>
          <w:rFonts w:ascii="仿宋" w:hAnsi="仿宋" w:eastAsia="仿宋"/>
          <w:b/>
          <w:sz w:val="24"/>
        </w:rPr>
        <w:t>项目</w:t>
      </w:r>
      <w:r>
        <w:rPr>
          <w:rFonts w:hint="eastAsia" w:ascii="仿宋" w:hAnsi="仿宋" w:eastAsia="仿宋"/>
          <w:b/>
          <w:sz w:val="24"/>
        </w:rPr>
        <w:t>不需要</w:t>
      </w:r>
      <w:r>
        <w:rPr>
          <w:rFonts w:ascii="仿宋" w:hAnsi="仿宋" w:eastAsia="仿宋"/>
          <w:b/>
          <w:sz w:val="24"/>
        </w:rPr>
        <w:t>提供</w:t>
      </w:r>
      <w:r>
        <w:rPr>
          <w:rFonts w:hint="eastAsia" w:ascii="仿宋" w:hAnsi="仿宋" w:eastAsia="仿宋"/>
          <w:b/>
          <w:sz w:val="24"/>
        </w:rPr>
        <w:t>单独</w:t>
      </w:r>
      <w:r>
        <w:rPr>
          <w:rFonts w:ascii="仿宋" w:hAnsi="仿宋" w:eastAsia="仿宋"/>
          <w:b/>
          <w:sz w:val="24"/>
        </w:rPr>
        <w:t>密封的</w:t>
      </w:r>
      <w:r>
        <w:rPr>
          <w:rFonts w:hint="eastAsia" w:ascii="仿宋" w:hAnsi="仿宋" w:eastAsia="仿宋"/>
          <w:b/>
          <w:sz w:val="24"/>
        </w:rPr>
        <w:t>“</w:t>
      </w:r>
      <w:r>
        <w:rPr>
          <w:rFonts w:ascii="仿宋" w:hAnsi="仿宋" w:eastAsia="仿宋"/>
          <w:b/>
          <w:sz w:val="24"/>
        </w:rPr>
        <w:t>开标一览表</w:t>
      </w:r>
      <w:r>
        <w:rPr>
          <w:rFonts w:hint="eastAsia" w:ascii="仿宋" w:hAnsi="仿宋" w:eastAsia="仿宋"/>
          <w:b/>
          <w:sz w:val="24"/>
        </w:rPr>
        <w:t>”。</w:t>
      </w:r>
      <w:r>
        <w:rPr>
          <w:rFonts w:ascii="仿宋" w:hAnsi="仿宋" w:eastAsia="仿宋"/>
          <w:b/>
          <w:sz w:val="24"/>
        </w:rPr>
        <w:t>若</w:t>
      </w:r>
      <w:r>
        <w:rPr>
          <w:rFonts w:hint="eastAsia" w:ascii="仿宋" w:hAnsi="仿宋" w:eastAsia="仿宋"/>
          <w:b/>
          <w:sz w:val="24"/>
        </w:rPr>
        <w:t>投标人</w:t>
      </w:r>
      <w:r>
        <w:rPr>
          <w:rFonts w:ascii="仿宋" w:hAnsi="仿宋" w:eastAsia="仿宋"/>
          <w:b/>
          <w:sz w:val="24"/>
        </w:rPr>
        <w:t>提供有</w:t>
      </w:r>
      <w:r>
        <w:rPr>
          <w:rFonts w:hint="eastAsia" w:ascii="仿宋" w:hAnsi="仿宋" w:eastAsia="仿宋"/>
          <w:b/>
          <w:sz w:val="24"/>
        </w:rPr>
        <w:t>单独</w:t>
      </w:r>
      <w:r>
        <w:rPr>
          <w:rFonts w:ascii="仿宋" w:hAnsi="仿宋" w:eastAsia="仿宋"/>
          <w:b/>
          <w:sz w:val="24"/>
        </w:rPr>
        <w:t>密封的</w:t>
      </w:r>
      <w:r>
        <w:rPr>
          <w:rFonts w:hint="eastAsia" w:ascii="仿宋" w:hAnsi="仿宋" w:eastAsia="仿宋"/>
          <w:b/>
          <w:sz w:val="24"/>
        </w:rPr>
        <w:t>“</w:t>
      </w:r>
      <w:r>
        <w:rPr>
          <w:rFonts w:ascii="仿宋" w:hAnsi="仿宋" w:eastAsia="仿宋"/>
          <w:b/>
          <w:sz w:val="24"/>
        </w:rPr>
        <w:t>开标一览表</w:t>
      </w:r>
      <w:r>
        <w:rPr>
          <w:rFonts w:hint="eastAsia" w:ascii="仿宋" w:hAnsi="仿宋" w:eastAsia="仿宋"/>
          <w:b/>
          <w:sz w:val="24"/>
        </w:rPr>
        <w:t>”，该单独</w:t>
      </w:r>
      <w:r>
        <w:rPr>
          <w:rFonts w:ascii="仿宋" w:hAnsi="仿宋" w:eastAsia="仿宋"/>
          <w:b/>
          <w:sz w:val="24"/>
        </w:rPr>
        <w:t>密封的</w:t>
      </w:r>
      <w:r>
        <w:rPr>
          <w:rFonts w:hint="eastAsia" w:ascii="仿宋" w:hAnsi="仿宋" w:eastAsia="仿宋"/>
          <w:b/>
          <w:sz w:val="24"/>
        </w:rPr>
        <w:t>“</w:t>
      </w:r>
      <w:r>
        <w:rPr>
          <w:rFonts w:ascii="仿宋" w:hAnsi="仿宋" w:eastAsia="仿宋"/>
          <w:b/>
          <w:sz w:val="24"/>
        </w:rPr>
        <w:t>开标一览表</w:t>
      </w:r>
      <w:r>
        <w:rPr>
          <w:rFonts w:hint="eastAsia" w:ascii="仿宋" w:hAnsi="仿宋" w:eastAsia="仿宋"/>
          <w:b/>
          <w:sz w:val="24"/>
        </w:rPr>
        <w:t>”不作为开标、</w:t>
      </w:r>
      <w:r>
        <w:rPr>
          <w:rFonts w:ascii="仿宋" w:hAnsi="仿宋" w:eastAsia="仿宋"/>
          <w:b/>
          <w:sz w:val="24"/>
        </w:rPr>
        <w:t>唱标及评标的依据</w:t>
      </w:r>
      <w:r>
        <w:rPr>
          <w:rFonts w:hint="eastAsia" w:ascii="仿宋" w:hAnsi="仿宋" w:eastAsia="仿宋"/>
          <w:b/>
          <w:sz w:val="24"/>
        </w:rPr>
        <w:t>，但投标人在规定的投标截止时间前，按</w:t>
      </w:r>
      <w:r>
        <w:rPr>
          <w:rFonts w:ascii="仿宋" w:hAnsi="仿宋" w:eastAsia="仿宋"/>
          <w:b/>
          <w:sz w:val="24"/>
        </w:rPr>
        <w:t>招标文件要求</w:t>
      </w:r>
      <w:r>
        <w:rPr>
          <w:rFonts w:hint="eastAsia" w:ascii="仿宋" w:hAnsi="仿宋" w:eastAsia="仿宋"/>
          <w:b/>
          <w:sz w:val="24"/>
        </w:rPr>
        <w:t>补充</w:t>
      </w:r>
      <w:r>
        <w:rPr>
          <w:rFonts w:ascii="仿宋" w:hAnsi="仿宋" w:eastAsia="仿宋"/>
          <w:b/>
          <w:sz w:val="24"/>
        </w:rPr>
        <w:t>、</w:t>
      </w:r>
      <w:r>
        <w:rPr>
          <w:rFonts w:hint="eastAsia" w:ascii="仿宋" w:hAnsi="仿宋" w:eastAsia="仿宋"/>
          <w:b/>
          <w:sz w:val="24"/>
        </w:rPr>
        <w:t>修改投标文件中“</w:t>
      </w:r>
      <w:r>
        <w:rPr>
          <w:rFonts w:ascii="仿宋" w:hAnsi="仿宋" w:eastAsia="仿宋"/>
          <w:b/>
          <w:sz w:val="24"/>
        </w:rPr>
        <w:t>开标一览表</w:t>
      </w:r>
      <w:r>
        <w:rPr>
          <w:rFonts w:hint="eastAsia" w:ascii="仿宋" w:hAnsi="仿宋" w:eastAsia="仿宋"/>
          <w:b/>
          <w:sz w:val="24"/>
        </w:rPr>
        <w:t>”内容</w:t>
      </w:r>
      <w:r>
        <w:rPr>
          <w:rFonts w:ascii="仿宋" w:hAnsi="仿宋" w:eastAsia="仿宋"/>
          <w:b/>
          <w:sz w:val="24"/>
        </w:rPr>
        <w:t>的</w:t>
      </w:r>
      <w:r>
        <w:rPr>
          <w:rFonts w:hint="eastAsia" w:ascii="仿宋" w:hAnsi="仿宋" w:eastAsia="仿宋"/>
          <w:b/>
          <w:sz w:val="24"/>
        </w:rPr>
        <w:t>除外。</w:t>
      </w:r>
    </w:p>
    <w:p>
      <w:pPr>
        <w:tabs>
          <w:tab w:val="left" w:pos="1095"/>
        </w:tabs>
        <w:spacing w:line="400" w:lineRule="exact"/>
        <w:ind w:firstLine="460" w:firstLineChars="192"/>
        <w:rPr>
          <w:rFonts w:ascii="仿宋" w:hAnsi="仿宋" w:eastAsia="仿宋"/>
          <w:sz w:val="24"/>
        </w:rPr>
      </w:pPr>
      <w:r>
        <w:rPr>
          <w:rFonts w:ascii="仿宋" w:hAnsi="仿宋" w:eastAsia="仿宋"/>
          <w:sz w:val="24"/>
        </w:rPr>
        <w:t>18.5 投标文件的正本和副本均需打印或用不褪色、</w:t>
      </w:r>
      <w:r>
        <w:rPr>
          <w:rFonts w:hint="eastAsia" w:ascii="仿宋" w:hAnsi="仿宋" w:eastAsia="仿宋"/>
          <w:sz w:val="24"/>
        </w:rPr>
        <w:t>不变质的墨水书写。投标文件副本可采用正本的复印件，提供电子文档</w:t>
      </w:r>
      <w:r>
        <w:rPr>
          <w:rFonts w:ascii="仿宋" w:hAnsi="仿宋" w:eastAsia="仿宋"/>
          <w:sz w:val="24"/>
        </w:rPr>
        <w:t>1份</w:t>
      </w:r>
      <w:r>
        <w:rPr>
          <w:rFonts w:hint="eastAsia" w:ascii="仿宋" w:hAnsi="仿宋" w:eastAsia="仿宋"/>
          <w:sz w:val="24"/>
        </w:rPr>
        <w:t>采用光盘或</w:t>
      </w:r>
      <w:r>
        <w:rPr>
          <w:rFonts w:ascii="仿宋" w:hAnsi="仿宋" w:eastAsia="仿宋"/>
          <w:sz w:val="24"/>
        </w:rPr>
        <w:t>U盘制作。</w:t>
      </w:r>
    </w:p>
    <w:p>
      <w:pPr>
        <w:tabs>
          <w:tab w:val="left" w:pos="1095"/>
        </w:tabs>
        <w:spacing w:line="400" w:lineRule="exact"/>
        <w:ind w:firstLine="460" w:firstLineChars="192"/>
        <w:rPr>
          <w:rFonts w:ascii="仿宋" w:hAnsi="仿宋" w:eastAsia="仿宋"/>
          <w:sz w:val="24"/>
        </w:rPr>
      </w:pPr>
      <w:r>
        <w:rPr>
          <w:rFonts w:ascii="仿宋" w:hAnsi="仿宋" w:eastAsia="仿宋"/>
          <w:sz w:val="24"/>
        </w:rPr>
        <w:t>18.6投标文件应由投标人的法定代表人/单位负责人或其授权代表</w:t>
      </w:r>
      <w:r>
        <w:rPr>
          <w:rFonts w:hint="eastAsia" w:ascii="仿宋" w:hAnsi="仿宋" w:eastAsia="仿宋"/>
          <w:sz w:val="24"/>
        </w:rPr>
        <w:t>在投标文件</w:t>
      </w:r>
      <w:r>
        <w:rPr>
          <w:rFonts w:hint="eastAsia" w:ascii="仿宋" w:hAnsi="仿宋" w:eastAsia="仿宋"/>
          <w:bCs/>
          <w:sz w:val="24"/>
        </w:rPr>
        <w:t>要求的地方签字或加盖私人印章，要求加盖公章的地方加盖单位公章，不得使用专用章（如经济合同章、投标专用章等）或下属单位印章代替</w:t>
      </w:r>
      <w:r>
        <w:rPr>
          <w:rFonts w:hint="eastAsia" w:ascii="仿宋" w:hAnsi="仿宋" w:eastAsia="仿宋"/>
          <w:b/>
          <w:sz w:val="24"/>
        </w:rPr>
        <w:t>（实质性要求）</w:t>
      </w:r>
      <w:r>
        <w:rPr>
          <w:rFonts w:hint="eastAsia" w:ascii="仿宋" w:hAnsi="仿宋" w:eastAsia="仿宋"/>
          <w:bCs/>
          <w:sz w:val="24"/>
        </w:rPr>
        <w:t>。</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18.</w:t>
      </w:r>
      <w:r>
        <w:rPr>
          <w:rFonts w:ascii="仿宋" w:hAnsi="仿宋" w:eastAsia="仿宋"/>
          <w:sz w:val="24"/>
        </w:rPr>
        <w:t>7</w:t>
      </w:r>
      <w:r>
        <w:rPr>
          <w:rFonts w:hint="eastAsia" w:ascii="仿宋" w:hAnsi="仿宋" w:eastAsia="仿宋"/>
          <w:sz w:val="24"/>
        </w:rPr>
        <w:t xml:space="preserve"> 投标文件的打印和书写应清楚工整，任何行间插字、涂改或增删，必须由投标人的法定代表人/单位负责人或其授权代表签字或盖个人印鉴。</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w:t>
      </w:r>
      <w:r>
        <w:rPr>
          <w:rFonts w:ascii="仿宋" w:hAnsi="仿宋" w:eastAsia="仿宋"/>
          <w:sz w:val="24"/>
        </w:rPr>
        <w:t>8</w:t>
      </w:r>
      <w:r>
        <w:rPr>
          <w:rFonts w:hint="eastAsia" w:ascii="仿宋" w:hAnsi="仿宋" w:eastAsia="仿宋"/>
          <w:sz w:val="24"/>
        </w:rPr>
        <w:t xml:space="preserve"> 投标文件正本和副本应当采取胶装方式装订成册，不得散装或者活页装订。</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w:t>
      </w:r>
      <w:r>
        <w:rPr>
          <w:rFonts w:ascii="仿宋" w:hAnsi="仿宋" w:eastAsia="仿宋"/>
          <w:sz w:val="24"/>
        </w:rPr>
        <w:t>9</w:t>
      </w:r>
      <w:r>
        <w:rPr>
          <w:rFonts w:hint="eastAsia" w:ascii="仿宋" w:hAnsi="仿宋" w:eastAsia="仿宋"/>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pPr>
        <w:pStyle w:val="4"/>
        <w:spacing w:line="400" w:lineRule="exact"/>
        <w:ind w:firstLine="482" w:firstLineChars="200"/>
        <w:rPr>
          <w:rFonts w:ascii="仿宋" w:hAnsi="仿宋" w:eastAsia="仿宋"/>
          <w:sz w:val="24"/>
          <w:szCs w:val="24"/>
        </w:rPr>
      </w:pPr>
      <w:bookmarkStart w:id="90" w:name="_Toc183582226"/>
      <w:bookmarkStart w:id="91" w:name="_Toc77400781"/>
      <w:bookmarkStart w:id="92" w:name="_Toc183682363"/>
      <w:bookmarkStart w:id="93" w:name="_Toc89075877"/>
      <w:bookmarkStart w:id="94" w:name="_Toc217446053"/>
      <w:bookmarkStart w:id="95" w:name="_Toc308164803"/>
      <w:r>
        <w:rPr>
          <w:rFonts w:hint="eastAsia" w:ascii="仿宋" w:hAnsi="仿宋" w:eastAsia="仿宋"/>
          <w:bCs w:val="0"/>
          <w:sz w:val="24"/>
          <w:szCs w:val="24"/>
        </w:rPr>
        <w:t>19.</w:t>
      </w:r>
      <w:r>
        <w:rPr>
          <w:rFonts w:hint="eastAsia" w:ascii="仿宋" w:hAnsi="仿宋" w:eastAsia="仿宋"/>
          <w:sz w:val="24"/>
          <w:szCs w:val="24"/>
        </w:rPr>
        <w:t>投标文件的密封和标</w:t>
      </w:r>
      <w:bookmarkEnd w:id="90"/>
      <w:bookmarkEnd w:id="91"/>
      <w:bookmarkEnd w:id="92"/>
      <w:bookmarkEnd w:id="93"/>
      <w:r>
        <w:rPr>
          <w:rFonts w:hint="eastAsia" w:ascii="仿宋" w:hAnsi="仿宋" w:eastAsia="仿宋"/>
          <w:sz w:val="24"/>
          <w:szCs w:val="24"/>
        </w:rPr>
        <w:t>注</w:t>
      </w:r>
      <w:bookmarkEnd w:id="94"/>
      <w:bookmarkEnd w:id="95"/>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19.1 投标人应在投标文件正本和所有副本的封面上注明投标人名称、项目编号、项目名称及分包号（如有分包）。</w:t>
      </w:r>
    </w:p>
    <w:p>
      <w:pPr>
        <w:tabs>
          <w:tab w:val="left" w:pos="1080"/>
        </w:tabs>
        <w:spacing w:line="400" w:lineRule="exact"/>
        <w:ind w:firstLine="460" w:firstLineChars="192"/>
        <w:rPr>
          <w:rFonts w:ascii="仿宋" w:hAnsi="仿宋" w:eastAsia="仿宋"/>
          <w:sz w:val="24"/>
        </w:rPr>
      </w:pPr>
      <w:r>
        <w:rPr>
          <w:rFonts w:ascii="仿宋" w:hAnsi="仿宋" w:eastAsia="仿宋"/>
          <w:sz w:val="24"/>
        </w:rPr>
        <w:t>19.2</w:t>
      </w:r>
      <w:r>
        <w:rPr>
          <w:rFonts w:hint="eastAsia" w:ascii="仿宋" w:hAnsi="仿宋" w:eastAsia="仿宋"/>
          <w:sz w:val="24"/>
        </w:rPr>
        <w:t xml:space="preserve"> 投标文件的密封袋上应当注明投标人名称、项目编号、项目名称及分包号（如有分包）。</w:t>
      </w:r>
    </w:p>
    <w:p>
      <w:pPr>
        <w:pStyle w:val="4"/>
        <w:spacing w:line="400" w:lineRule="exact"/>
        <w:ind w:firstLine="482" w:firstLineChars="200"/>
        <w:rPr>
          <w:rFonts w:ascii="仿宋" w:hAnsi="仿宋" w:eastAsia="仿宋"/>
          <w:bCs w:val="0"/>
          <w:sz w:val="24"/>
          <w:szCs w:val="24"/>
        </w:rPr>
      </w:pPr>
      <w:bookmarkStart w:id="96" w:name="_Toc183582227"/>
      <w:bookmarkStart w:id="97" w:name="_Toc183682364"/>
      <w:bookmarkStart w:id="98" w:name="_Toc308164804"/>
      <w:bookmarkStart w:id="99" w:name="_Toc217446054"/>
      <w:r>
        <w:rPr>
          <w:rFonts w:hint="eastAsia" w:ascii="仿宋" w:hAnsi="仿宋" w:eastAsia="仿宋"/>
          <w:bCs w:val="0"/>
          <w:sz w:val="24"/>
          <w:szCs w:val="24"/>
        </w:rPr>
        <w:t>20</w:t>
      </w:r>
      <w:r>
        <w:rPr>
          <w:rFonts w:hint="eastAsia" w:ascii="仿宋" w:hAnsi="仿宋" w:eastAsia="仿宋"/>
          <w:bCs w:val="0"/>
          <w:sz w:val="28"/>
          <w:szCs w:val="28"/>
        </w:rPr>
        <w:t>．</w:t>
      </w:r>
      <w:r>
        <w:rPr>
          <w:rFonts w:hint="eastAsia" w:ascii="仿宋" w:hAnsi="仿宋" w:eastAsia="仿宋"/>
          <w:bCs w:val="0"/>
          <w:sz w:val="24"/>
          <w:szCs w:val="24"/>
        </w:rPr>
        <w:t>投标文件的</w:t>
      </w:r>
      <w:bookmarkEnd w:id="96"/>
      <w:bookmarkEnd w:id="97"/>
      <w:r>
        <w:rPr>
          <w:rFonts w:hint="eastAsia" w:ascii="仿宋" w:hAnsi="仿宋" w:eastAsia="仿宋"/>
          <w:bCs w:val="0"/>
          <w:sz w:val="24"/>
          <w:szCs w:val="24"/>
        </w:rPr>
        <w:t>递交</w:t>
      </w:r>
      <w:bookmarkEnd w:id="98"/>
      <w:bookmarkEnd w:id="99"/>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20.1 投标人应在招标文件规定的投标截止时间前，将投标文件按招标文件的规定密封后送达开标地点。投标截止时间以后送达的投标文件将不予接收，招标采购单位将告知投标人不予接收的原因。</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 xml:space="preserve">注：投标人在递交投标文件时，请用正楷填写本招标文件附件二“递交投标文件签收表”然后将签收表和投标文件一并递交给本招标代理机构项目工作人员。 </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20.3本次招标不接收邮寄的投标文件。</w:t>
      </w:r>
    </w:p>
    <w:p>
      <w:pPr>
        <w:pStyle w:val="4"/>
        <w:spacing w:line="400" w:lineRule="exact"/>
        <w:ind w:firstLine="482" w:firstLineChars="200"/>
        <w:rPr>
          <w:rFonts w:ascii="仿宋" w:hAnsi="仿宋" w:eastAsia="仿宋"/>
          <w:bCs w:val="0"/>
          <w:sz w:val="24"/>
          <w:szCs w:val="24"/>
        </w:rPr>
      </w:pPr>
      <w:bookmarkStart w:id="100" w:name="_Toc183682365"/>
      <w:bookmarkStart w:id="101" w:name="_Toc183582228"/>
      <w:bookmarkStart w:id="102" w:name="_Toc217446055"/>
      <w:r>
        <w:rPr>
          <w:rFonts w:ascii="仿宋" w:hAnsi="仿宋" w:eastAsia="仿宋"/>
          <w:bCs w:val="0"/>
          <w:sz w:val="24"/>
          <w:szCs w:val="24"/>
        </w:rPr>
        <w:t>21．投标文件的</w:t>
      </w:r>
      <w:r>
        <w:rPr>
          <w:rFonts w:hint="eastAsia" w:ascii="仿宋" w:hAnsi="仿宋" w:eastAsia="仿宋"/>
          <w:bCs w:val="0"/>
          <w:sz w:val="24"/>
          <w:szCs w:val="24"/>
        </w:rPr>
        <w:t>补充</w:t>
      </w:r>
      <w:r>
        <w:rPr>
          <w:rFonts w:ascii="仿宋" w:hAnsi="仿宋" w:eastAsia="仿宋"/>
          <w:bCs w:val="0"/>
          <w:sz w:val="24"/>
          <w:szCs w:val="24"/>
        </w:rPr>
        <w:t>、</w:t>
      </w:r>
      <w:r>
        <w:rPr>
          <w:rFonts w:hint="eastAsia" w:ascii="仿宋" w:hAnsi="仿宋" w:eastAsia="仿宋"/>
          <w:bCs w:val="0"/>
          <w:sz w:val="24"/>
          <w:szCs w:val="24"/>
        </w:rPr>
        <w:t>修改或撤</w:t>
      </w:r>
      <w:bookmarkEnd w:id="100"/>
      <w:bookmarkEnd w:id="101"/>
      <w:r>
        <w:rPr>
          <w:rFonts w:hint="eastAsia" w:ascii="仿宋" w:hAnsi="仿宋" w:eastAsia="仿宋"/>
          <w:bCs w:val="0"/>
          <w:sz w:val="24"/>
          <w:szCs w:val="24"/>
        </w:rPr>
        <w:t>回</w:t>
      </w:r>
      <w:bookmarkEnd w:id="102"/>
    </w:p>
    <w:p>
      <w:pPr>
        <w:spacing w:line="400" w:lineRule="exact"/>
        <w:ind w:firstLine="470" w:firstLineChars="196"/>
        <w:rPr>
          <w:rFonts w:ascii="仿宋" w:hAnsi="仿宋" w:eastAsia="仿宋"/>
          <w:sz w:val="24"/>
        </w:rPr>
      </w:pPr>
      <w:r>
        <w:rPr>
          <w:rFonts w:ascii="仿宋" w:hAnsi="仿宋" w:eastAsia="仿宋"/>
          <w:sz w:val="24"/>
        </w:rPr>
        <w:t xml:space="preserve">21.1 </w:t>
      </w:r>
      <w:r>
        <w:rPr>
          <w:rFonts w:hint="eastAsia" w:ascii="仿宋" w:hAnsi="仿宋" w:eastAsia="仿宋"/>
          <w:sz w:val="24"/>
        </w:rPr>
        <w:t>投标人在递交了投标文件后，可以补充</w:t>
      </w:r>
      <w:r>
        <w:rPr>
          <w:rFonts w:ascii="仿宋" w:hAnsi="仿宋" w:eastAsia="仿宋"/>
          <w:sz w:val="24"/>
        </w:rPr>
        <w:t>、</w:t>
      </w:r>
      <w:r>
        <w:rPr>
          <w:rFonts w:hint="eastAsia" w:ascii="仿宋" w:hAnsi="仿宋" w:eastAsia="仿宋"/>
          <w:sz w:val="24"/>
        </w:rPr>
        <w:t>修改或撤回其投标文件，但必须在规定的投标截止时间前，以书面形式通知采购代理机构。</w:t>
      </w:r>
    </w:p>
    <w:p>
      <w:pPr>
        <w:spacing w:line="400" w:lineRule="exact"/>
        <w:ind w:firstLine="470" w:firstLineChars="196"/>
        <w:rPr>
          <w:rFonts w:ascii="仿宋" w:hAnsi="仿宋" w:eastAsia="仿宋"/>
          <w:sz w:val="24"/>
        </w:rPr>
      </w:pPr>
      <w:r>
        <w:rPr>
          <w:rFonts w:ascii="仿宋" w:hAnsi="仿宋" w:eastAsia="仿宋"/>
          <w:sz w:val="24"/>
        </w:rPr>
        <w:t xml:space="preserve">21.2 </w:t>
      </w:r>
      <w:r>
        <w:rPr>
          <w:rFonts w:hint="eastAsia" w:ascii="仿宋" w:hAnsi="仿宋" w:eastAsia="仿宋"/>
          <w:sz w:val="24"/>
        </w:rPr>
        <w:t>投标人补充</w:t>
      </w:r>
      <w:r>
        <w:rPr>
          <w:rFonts w:ascii="仿宋" w:hAnsi="仿宋" w:eastAsia="仿宋"/>
          <w:sz w:val="24"/>
        </w:rPr>
        <w:t>、</w:t>
      </w:r>
      <w:r>
        <w:rPr>
          <w:rFonts w:hint="eastAsia" w:ascii="仿宋" w:hAnsi="仿宋" w:eastAsia="仿宋"/>
          <w:sz w:val="24"/>
        </w:rPr>
        <w:t>修改的内容，应由其法定代表人</w:t>
      </w:r>
      <w:r>
        <w:rPr>
          <w:rFonts w:ascii="仿宋" w:hAnsi="仿宋" w:eastAsia="仿宋"/>
          <w:sz w:val="24"/>
        </w:rPr>
        <w:t>/单位负责人或授权代表签署并盖单位</w:t>
      </w:r>
      <w:r>
        <w:rPr>
          <w:rFonts w:hint="eastAsia" w:ascii="仿宋" w:hAnsi="仿宋" w:eastAsia="仿宋"/>
          <w:sz w:val="24"/>
        </w:rPr>
        <w:t>公章，并进行密封和标注。密封袋上应当注明投标人名称、项目编号、项目名称及分包号（如有分包），并在密封袋上标注“补充”、“修改”字样。</w:t>
      </w:r>
    </w:p>
    <w:p>
      <w:pPr>
        <w:spacing w:line="400" w:lineRule="exact"/>
        <w:ind w:firstLine="480"/>
        <w:rPr>
          <w:rFonts w:ascii="仿宋" w:hAnsi="仿宋" w:eastAsia="仿宋"/>
          <w:sz w:val="24"/>
        </w:rPr>
      </w:pPr>
      <w:r>
        <w:rPr>
          <w:rFonts w:hint="eastAsia" w:ascii="仿宋" w:hAnsi="仿宋" w:eastAsia="仿宋"/>
          <w:sz w:val="24"/>
        </w:rPr>
        <w:t>21.3 在投标截止时间之后，投标人不得对其递交的投标文件做任何修改，撤回投标的，将按照有关规定进行相应处理。</w:t>
      </w:r>
    </w:p>
    <w:p>
      <w:pPr>
        <w:pStyle w:val="3"/>
        <w:spacing w:line="400" w:lineRule="exact"/>
        <w:jc w:val="center"/>
        <w:rPr>
          <w:rFonts w:ascii="仿宋" w:hAnsi="仿宋" w:eastAsia="仿宋"/>
        </w:rPr>
      </w:pPr>
      <w:bookmarkStart w:id="103" w:name="_Toc217446056"/>
      <w:bookmarkStart w:id="104" w:name="_Toc183682368"/>
      <w:bookmarkStart w:id="105" w:name="_Toc183582231"/>
      <w:bookmarkStart w:id="106" w:name="_Toc77400782"/>
      <w:bookmarkStart w:id="107" w:name="_Toc89075878"/>
      <w:bookmarkStart w:id="108" w:name="_Toc308164805"/>
      <w:r>
        <w:rPr>
          <w:rFonts w:hint="eastAsia" w:ascii="仿宋" w:hAnsi="仿宋" w:eastAsia="仿宋"/>
        </w:rPr>
        <w:t>五、开标和中标</w:t>
      </w:r>
      <w:bookmarkEnd w:id="103"/>
      <w:bookmarkEnd w:id="104"/>
      <w:bookmarkEnd w:id="105"/>
      <w:bookmarkEnd w:id="106"/>
      <w:bookmarkEnd w:id="107"/>
      <w:bookmarkEnd w:id="108"/>
    </w:p>
    <w:p>
      <w:pPr>
        <w:pStyle w:val="4"/>
        <w:spacing w:line="400" w:lineRule="exact"/>
        <w:ind w:firstLine="482" w:firstLineChars="200"/>
        <w:rPr>
          <w:rFonts w:ascii="仿宋" w:hAnsi="仿宋" w:eastAsia="仿宋"/>
          <w:bCs w:val="0"/>
          <w:sz w:val="24"/>
        </w:rPr>
      </w:pPr>
      <w:bookmarkStart w:id="109" w:name="_Toc183582232"/>
      <w:bookmarkStart w:id="110" w:name="_Toc217446057"/>
      <w:bookmarkStart w:id="111" w:name="_Toc308164806"/>
      <w:bookmarkStart w:id="112" w:name="_Toc183682369"/>
      <w:r>
        <w:rPr>
          <w:rFonts w:hint="eastAsia" w:ascii="仿宋" w:hAnsi="仿宋" w:eastAsia="仿宋"/>
          <w:bCs w:val="0"/>
          <w:sz w:val="24"/>
        </w:rPr>
        <w:t>22．开标</w:t>
      </w:r>
      <w:bookmarkEnd w:id="109"/>
      <w:bookmarkEnd w:id="110"/>
      <w:bookmarkEnd w:id="111"/>
      <w:bookmarkEnd w:id="112"/>
    </w:p>
    <w:p>
      <w:pPr>
        <w:spacing w:before="120" w:line="400" w:lineRule="exact"/>
        <w:ind w:firstLine="480" w:firstLineChars="200"/>
        <w:rPr>
          <w:rFonts w:ascii="仿宋" w:hAnsi="仿宋" w:eastAsia="仿宋"/>
          <w:sz w:val="24"/>
        </w:rPr>
      </w:pPr>
      <w:r>
        <w:rPr>
          <w:rFonts w:hint="eastAsia" w:ascii="仿宋" w:hAnsi="仿宋" w:eastAsia="仿宋"/>
          <w:sz w:val="24"/>
        </w:rPr>
        <w:t>22.1 开标在招标文件规定的时间和地点公开进行，采购人、投标人应派代表参加并签到以证明其出席。开标由采购代理机构主持，邀请投标人参加。评标委员会成员不参加开标活动。</w:t>
      </w:r>
    </w:p>
    <w:p>
      <w:pPr>
        <w:spacing w:line="400" w:lineRule="exact"/>
        <w:ind w:firstLine="480" w:firstLineChars="200"/>
        <w:rPr>
          <w:rFonts w:ascii="仿宋" w:hAnsi="仿宋" w:eastAsia="仿宋"/>
          <w:sz w:val="24"/>
        </w:rPr>
      </w:pPr>
      <w:r>
        <w:rPr>
          <w:rFonts w:hint="eastAsia" w:ascii="仿宋" w:hAnsi="仿宋" w:eastAsia="仿宋"/>
          <w:sz w:val="24"/>
        </w:rPr>
        <w:t>22.2 开标时，可根据具体情况邀请有关监督管理部门对开标活动进行现场监督。</w:t>
      </w:r>
    </w:p>
    <w:p>
      <w:pPr>
        <w:spacing w:line="400" w:lineRule="exact"/>
        <w:ind w:firstLine="480" w:firstLineChars="200"/>
        <w:rPr>
          <w:rFonts w:ascii="仿宋" w:hAnsi="仿宋" w:eastAsia="仿宋"/>
          <w:sz w:val="24"/>
        </w:rPr>
      </w:pPr>
      <w:r>
        <w:rPr>
          <w:rFonts w:hint="eastAsia" w:ascii="仿宋" w:hAnsi="仿宋" w:eastAsia="仿宋"/>
          <w:sz w:val="24"/>
        </w:rPr>
        <w:t>22.3 开标时，由投标人或者其推选的代表检查其自己递交的投标文件的密封情况，经确认无误后，由招标工作人员将投标人的投标</w:t>
      </w:r>
      <w:r>
        <w:rPr>
          <w:rFonts w:ascii="仿宋" w:hAnsi="仿宋" w:eastAsia="仿宋"/>
          <w:sz w:val="24"/>
        </w:rPr>
        <w:t>文件</w:t>
      </w:r>
      <w:r>
        <w:rPr>
          <w:rFonts w:hint="eastAsia" w:ascii="仿宋" w:hAnsi="仿宋" w:eastAsia="仿宋"/>
          <w:sz w:val="24"/>
        </w:rPr>
        <w:t>当众拆封，并由唱标人员按照招标文件规定的内容进行宣读。</w:t>
      </w:r>
    </w:p>
    <w:p>
      <w:pPr>
        <w:spacing w:line="400" w:lineRule="exact"/>
        <w:ind w:firstLine="480" w:firstLineChars="200"/>
        <w:rPr>
          <w:rFonts w:ascii="仿宋" w:hAnsi="仿宋" w:eastAsia="仿宋"/>
          <w:sz w:val="24"/>
        </w:rPr>
      </w:pPr>
      <w:r>
        <w:rPr>
          <w:rFonts w:hint="eastAsia" w:ascii="仿宋" w:hAnsi="仿宋" w:eastAsia="仿宋"/>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pPr>
        <w:spacing w:line="400" w:lineRule="exact"/>
        <w:ind w:firstLine="480" w:firstLineChars="200"/>
        <w:rPr>
          <w:rFonts w:ascii="仿宋" w:hAnsi="仿宋" w:eastAsia="仿宋"/>
          <w:sz w:val="24"/>
        </w:rPr>
      </w:pPr>
      <w:r>
        <w:rPr>
          <w:rFonts w:hint="eastAsia" w:ascii="仿宋" w:hAnsi="仿宋" w:eastAsia="仿宋"/>
          <w:sz w:val="24"/>
        </w:rPr>
        <w:t>22.4 投标文件中相关内容与“开标一览表”不一致的，以“开标一览表”为准。对不同文字文本投标文件的解释发生异议的，以中文文本为准。</w:t>
      </w:r>
    </w:p>
    <w:p>
      <w:pPr>
        <w:spacing w:line="400" w:lineRule="exact"/>
        <w:ind w:firstLine="480" w:firstLineChars="200"/>
        <w:rPr>
          <w:rFonts w:ascii="仿宋" w:hAnsi="仿宋" w:eastAsia="仿宋"/>
          <w:sz w:val="24"/>
        </w:rPr>
      </w:pPr>
      <w:r>
        <w:rPr>
          <w:rFonts w:hint="eastAsia" w:ascii="仿宋" w:hAnsi="仿宋" w:eastAsia="仿宋"/>
          <w:sz w:val="24"/>
        </w:rPr>
        <w:t>22.5 所有投标唱标完毕，如投标人代表对宣读的内容有异议的，应在获得开标会主持人同意后当场提出。如确实属于唱标人员宣读错了的，当场予以更正。</w:t>
      </w:r>
    </w:p>
    <w:p>
      <w:pPr>
        <w:spacing w:line="400" w:lineRule="exact"/>
        <w:ind w:firstLine="480" w:firstLineChars="200"/>
        <w:rPr>
          <w:rFonts w:ascii="仿宋" w:hAnsi="仿宋" w:eastAsia="仿宋"/>
          <w:sz w:val="24"/>
        </w:rPr>
      </w:pPr>
      <w:r>
        <w:rPr>
          <w:rFonts w:hint="eastAsia" w:ascii="仿宋" w:hAnsi="仿宋" w:eastAsia="仿宋"/>
          <w:sz w:val="24"/>
        </w:rPr>
        <w:t>22.6 投标人未参加开标的，视同认可开标结果。</w:t>
      </w:r>
    </w:p>
    <w:p>
      <w:pPr>
        <w:pStyle w:val="4"/>
        <w:spacing w:line="400" w:lineRule="exact"/>
        <w:ind w:firstLine="482" w:firstLineChars="200"/>
        <w:rPr>
          <w:rFonts w:ascii="仿宋" w:hAnsi="仿宋" w:eastAsia="仿宋"/>
          <w:sz w:val="24"/>
        </w:rPr>
      </w:pPr>
      <w:bookmarkStart w:id="113" w:name="_Toc217446058"/>
      <w:bookmarkStart w:id="114" w:name="_Toc308164807"/>
      <w:r>
        <w:rPr>
          <w:rFonts w:hint="eastAsia" w:ascii="仿宋" w:hAnsi="仿宋" w:eastAsia="仿宋"/>
          <w:sz w:val="24"/>
        </w:rPr>
        <w:t>23. 开标程序</w:t>
      </w:r>
      <w:bookmarkEnd w:id="113"/>
      <w:bookmarkEnd w:id="114"/>
    </w:p>
    <w:p>
      <w:pPr>
        <w:spacing w:line="400" w:lineRule="exact"/>
        <w:ind w:firstLine="480" w:firstLineChars="200"/>
        <w:rPr>
          <w:rFonts w:ascii="仿宋" w:hAnsi="仿宋" w:eastAsia="仿宋"/>
          <w:sz w:val="24"/>
        </w:rPr>
      </w:pPr>
      <w:r>
        <w:rPr>
          <w:rFonts w:hint="eastAsia" w:ascii="仿宋" w:hAnsi="仿宋" w:eastAsia="仿宋"/>
          <w:sz w:val="24"/>
        </w:rPr>
        <w:t>23.1 开标会主持人按照招标文件规定的开标时间宣布开标，按照规定要求主持开标会。开标将按以下程序进行：</w:t>
      </w:r>
    </w:p>
    <w:p>
      <w:pPr>
        <w:spacing w:line="400" w:lineRule="exact"/>
        <w:ind w:firstLine="480" w:firstLineChars="200"/>
        <w:rPr>
          <w:rFonts w:ascii="仿宋" w:hAnsi="仿宋" w:eastAsia="仿宋"/>
          <w:sz w:val="24"/>
        </w:rPr>
      </w:pPr>
      <w:r>
        <w:rPr>
          <w:rFonts w:hint="eastAsia" w:ascii="仿宋" w:hAnsi="仿宋" w:eastAsia="仿宋"/>
          <w:sz w:val="24"/>
        </w:rPr>
        <w:t>（1）宣布开标会开始。当众宣布参加开标会主持人、唱标人、会议记录人以及根据情况邀请的现场监督人等工作人员，根据“供应商签到表”宣布参加投标的供应商名单。</w:t>
      </w:r>
    </w:p>
    <w:p>
      <w:pPr>
        <w:spacing w:line="400" w:lineRule="exact"/>
        <w:ind w:firstLine="480" w:firstLineChars="200"/>
        <w:rPr>
          <w:rFonts w:ascii="仿宋" w:hAnsi="仿宋" w:eastAsia="仿宋"/>
          <w:sz w:val="24"/>
        </w:rPr>
      </w:pPr>
      <w:r>
        <w:rPr>
          <w:rFonts w:hint="eastAsia" w:ascii="仿宋" w:hAnsi="仿宋" w:eastAsia="仿宋"/>
          <w:sz w:val="24"/>
        </w:rPr>
        <w:t>（2）根据投标人或者其推选的代表对投标文件密封的检查结果，当众宣布投标文件的密封情况。</w:t>
      </w:r>
    </w:p>
    <w:p>
      <w:pPr>
        <w:spacing w:line="400" w:lineRule="exact"/>
        <w:ind w:firstLine="480" w:firstLineChars="200"/>
        <w:rPr>
          <w:rFonts w:ascii="仿宋" w:hAnsi="仿宋" w:eastAsia="仿宋"/>
          <w:sz w:val="24"/>
        </w:rPr>
      </w:pPr>
      <w:r>
        <w:rPr>
          <w:rFonts w:hint="eastAsia" w:ascii="仿宋" w:hAnsi="仿宋" w:eastAsia="仿宋"/>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pPr>
        <w:spacing w:line="400" w:lineRule="exact"/>
        <w:ind w:firstLine="480" w:firstLineChars="200"/>
        <w:rPr>
          <w:rFonts w:ascii="仿宋" w:hAnsi="仿宋" w:eastAsia="仿宋"/>
          <w:sz w:val="24"/>
        </w:rPr>
      </w:pPr>
      <w:r>
        <w:rPr>
          <w:rFonts w:hint="eastAsia" w:ascii="仿宋" w:hAnsi="仿宋" w:eastAsia="仿宋"/>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pPr>
        <w:pStyle w:val="4"/>
        <w:spacing w:line="400" w:lineRule="exact"/>
        <w:ind w:firstLine="482" w:firstLineChars="200"/>
        <w:rPr>
          <w:rFonts w:ascii="仿宋" w:hAnsi="仿宋" w:eastAsia="仿宋"/>
          <w:sz w:val="24"/>
        </w:rPr>
      </w:pPr>
      <w:bookmarkStart w:id="115" w:name="_Toc183682375"/>
      <w:bookmarkStart w:id="116" w:name="_Toc183582238"/>
      <w:bookmarkStart w:id="117" w:name="_Toc308164809"/>
      <w:bookmarkStart w:id="118" w:name="_Toc217446063"/>
      <w:r>
        <w:rPr>
          <w:rFonts w:hint="eastAsia" w:ascii="仿宋" w:hAnsi="仿宋" w:eastAsia="仿宋"/>
          <w:sz w:val="24"/>
        </w:rPr>
        <w:t>24．开评标过程存档</w:t>
      </w:r>
    </w:p>
    <w:p>
      <w:pPr>
        <w:spacing w:line="400" w:lineRule="exact"/>
        <w:ind w:firstLine="480" w:firstLineChars="200"/>
        <w:rPr>
          <w:rFonts w:ascii="仿宋" w:hAnsi="仿宋" w:eastAsia="仿宋"/>
          <w:sz w:val="24"/>
        </w:rPr>
      </w:pPr>
      <w:r>
        <w:rPr>
          <w:rFonts w:hint="eastAsia" w:ascii="仿宋" w:hAnsi="仿宋" w:eastAsia="仿宋"/>
          <w:sz w:val="24"/>
        </w:rPr>
        <w:t>开标和评标过程进行全过程电子监控，并将电子监控资料存储介质留存归档。</w:t>
      </w:r>
    </w:p>
    <w:p>
      <w:pPr>
        <w:pStyle w:val="4"/>
        <w:spacing w:line="400" w:lineRule="exact"/>
        <w:ind w:firstLine="482" w:firstLineChars="200"/>
        <w:rPr>
          <w:rFonts w:ascii="仿宋" w:hAnsi="仿宋" w:eastAsia="仿宋"/>
          <w:sz w:val="24"/>
        </w:rPr>
      </w:pPr>
      <w:r>
        <w:rPr>
          <w:rFonts w:hint="eastAsia" w:ascii="仿宋" w:hAnsi="仿宋" w:eastAsia="仿宋"/>
          <w:sz w:val="24"/>
        </w:rPr>
        <w:t>25.评标情况公告</w:t>
      </w:r>
    </w:p>
    <w:p>
      <w:pPr>
        <w:spacing w:line="400" w:lineRule="exact"/>
        <w:ind w:firstLine="480" w:firstLineChars="200"/>
        <w:rPr>
          <w:rFonts w:ascii="仿宋" w:hAnsi="仿宋" w:eastAsia="仿宋"/>
          <w:sz w:val="24"/>
        </w:rPr>
      </w:pPr>
      <w:r>
        <w:rPr>
          <w:rFonts w:hint="eastAsia" w:ascii="仿宋" w:hAnsi="仿宋" w:eastAsia="仿宋"/>
          <w:sz w:val="24"/>
        </w:rPr>
        <w:t>所有供应商投标文件资格性、符合性检查情况、采用综合法时的总得分和分项汇总得分情况、评标结果等将在四川政府采购网上采购结果公告栏中予以公告。</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26.采购人确定中标人过程中，发现中标候选人有下列情形之一的，应当不予确定其为中标人：</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（1）发现中标候选人存在禁止参加本项目采购活动的违法行为的；</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（2）中标候选人因不可抗力，不能继续参加政府采购活动；</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（3）中标候选人无偿赠与或者低于成本价竞争；</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（4）中标候选人提供虚假材料；</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（5</w:t>
      </w:r>
      <w:r>
        <w:rPr>
          <w:rFonts w:ascii="仿宋" w:hAnsi="仿宋" w:eastAsia="仿宋"/>
          <w:b w:val="0"/>
          <w:sz w:val="24"/>
          <w:szCs w:val="24"/>
        </w:rPr>
        <w:t>）</w:t>
      </w:r>
      <w:r>
        <w:rPr>
          <w:rFonts w:hint="eastAsia" w:ascii="仿宋" w:hAnsi="仿宋" w:eastAsia="仿宋"/>
          <w:b w:val="0"/>
          <w:sz w:val="24"/>
          <w:szCs w:val="24"/>
        </w:rPr>
        <w:t>中标候选人恶意串通。</w:t>
      </w:r>
    </w:p>
    <w:p>
      <w:pPr>
        <w:pStyle w:val="4"/>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27.中标通知</w:t>
      </w:r>
      <w:bookmarkEnd w:id="115"/>
      <w:bookmarkEnd w:id="116"/>
      <w:r>
        <w:rPr>
          <w:rFonts w:hint="eastAsia" w:ascii="仿宋" w:hAnsi="仿宋" w:eastAsia="仿宋"/>
          <w:bCs w:val="0"/>
          <w:sz w:val="24"/>
          <w:szCs w:val="24"/>
        </w:rPr>
        <w:t>书</w:t>
      </w:r>
      <w:bookmarkEnd w:id="117"/>
      <w:bookmarkEnd w:id="118"/>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27</w:t>
      </w:r>
      <w:r>
        <w:rPr>
          <w:rFonts w:hint="eastAsia" w:ascii="仿宋" w:hAnsi="仿宋" w:eastAsia="仿宋"/>
          <w:bCs/>
          <w:sz w:val="24"/>
        </w:rPr>
        <w:t>.</w:t>
      </w:r>
      <w:r>
        <w:rPr>
          <w:rFonts w:hint="eastAsia" w:ascii="仿宋" w:hAnsi="仿宋" w:eastAsia="仿宋"/>
          <w:sz w:val="24"/>
        </w:rPr>
        <w:t>1 中标通知书为签订政府采购合同的依据之一，是合同的有效组成部分。</w:t>
      </w:r>
    </w:p>
    <w:p>
      <w:pPr>
        <w:tabs>
          <w:tab w:val="left" w:pos="7665"/>
        </w:tabs>
        <w:spacing w:line="400" w:lineRule="exact"/>
        <w:ind w:firstLine="480"/>
        <w:rPr>
          <w:rFonts w:ascii="仿宋" w:hAnsi="仿宋" w:eastAsia="仿宋"/>
          <w:sz w:val="24"/>
        </w:rPr>
      </w:pPr>
      <w:r>
        <w:rPr>
          <w:rFonts w:hint="eastAsia" w:ascii="仿宋" w:hAnsi="仿宋" w:eastAsia="仿宋"/>
          <w:sz w:val="24"/>
        </w:rPr>
        <w:t>27.2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eastAsia="仿宋"/>
          <w:sz w:val="24"/>
        </w:rPr>
      </w:pPr>
      <w:r>
        <w:rPr>
          <w:rFonts w:hint="eastAsia" w:ascii="仿宋" w:hAnsi="仿宋" w:eastAsia="仿宋"/>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eastAsia="仿宋"/>
          <w:sz w:val="24"/>
        </w:rPr>
      </w:pPr>
      <w:r>
        <w:rPr>
          <w:rFonts w:hint="eastAsia" w:ascii="仿宋" w:hAnsi="仿宋" w:eastAsia="仿宋"/>
          <w:sz w:val="24"/>
        </w:rPr>
        <w:t>27.4中标公告发出后，中标供应商领取中标通知书的，请登录我司网站http://sale.scbid.net/ 办理。（详见须知附表中联系方式）</w:t>
      </w:r>
    </w:p>
    <w:p>
      <w:pPr>
        <w:pStyle w:val="3"/>
        <w:spacing w:line="400" w:lineRule="exact"/>
        <w:jc w:val="center"/>
        <w:rPr>
          <w:rFonts w:ascii="仿宋" w:hAnsi="仿宋" w:eastAsia="仿宋"/>
          <w:szCs w:val="28"/>
        </w:rPr>
      </w:pPr>
      <w:bookmarkStart w:id="119" w:name="_Toc308164810"/>
      <w:bookmarkStart w:id="120" w:name="_Toc217446064"/>
      <w:bookmarkStart w:id="121" w:name="_Toc183582240"/>
      <w:bookmarkStart w:id="122" w:name="_Toc183682377"/>
      <w:r>
        <w:rPr>
          <w:rFonts w:hint="eastAsia" w:ascii="仿宋" w:hAnsi="仿宋" w:eastAsia="仿宋"/>
          <w:szCs w:val="28"/>
        </w:rPr>
        <w:t>六、签订及履行合同和验收</w:t>
      </w:r>
      <w:bookmarkEnd w:id="119"/>
      <w:bookmarkEnd w:id="120"/>
    </w:p>
    <w:p>
      <w:pPr>
        <w:pStyle w:val="4"/>
        <w:spacing w:line="400" w:lineRule="exact"/>
        <w:ind w:firstLine="482" w:firstLineChars="200"/>
        <w:rPr>
          <w:rFonts w:ascii="仿宋" w:hAnsi="仿宋" w:eastAsia="仿宋"/>
          <w:b w:val="0"/>
          <w:sz w:val="24"/>
          <w:szCs w:val="24"/>
        </w:rPr>
      </w:pPr>
      <w:bookmarkStart w:id="123" w:name="_Toc308164811"/>
      <w:bookmarkStart w:id="124" w:name="_Toc217446065"/>
      <w:r>
        <w:rPr>
          <w:rFonts w:hint="eastAsia" w:ascii="仿宋" w:hAnsi="仿宋" w:eastAsia="仿宋"/>
          <w:sz w:val="24"/>
        </w:rPr>
        <w:t>28.</w:t>
      </w:r>
      <w:r>
        <w:rPr>
          <w:rFonts w:hint="eastAsia" w:ascii="仿宋" w:hAnsi="仿宋" w:eastAsia="仿宋"/>
          <w:sz w:val="24"/>
          <w:szCs w:val="24"/>
        </w:rPr>
        <w:t>签订合同</w:t>
      </w:r>
      <w:bookmarkEnd w:id="123"/>
      <w:bookmarkEnd w:id="124"/>
    </w:p>
    <w:p>
      <w:pPr>
        <w:spacing w:line="400" w:lineRule="exact"/>
        <w:ind w:firstLine="480" w:firstLineChars="200"/>
        <w:rPr>
          <w:rFonts w:ascii="仿宋" w:hAnsi="仿宋" w:eastAsia="仿宋"/>
          <w:sz w:val="24"/>
        </w:rPr>
      </w:pPr>
      <w:r>
        <w:rPr>
          <w:rFonts w:hint="eastAsia" w:ascii="仿宋" w:hAnsi="仿宋" w:eastAsia="仿宋"/>
          <w:sz w:val="24"/>
        </w:rPr>
        <w:t>28.1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eastAsia="仿宋"/>
          <w:sz w:val="24"/>
        </w:rPr>
      </w:pPr>
      <w:r>
        <w:rPr>
          <w:rFonts w:hint="eastAsia" w:ascii="仿宋" w:hAnsi="仿宋" w:eastAsia="仿宋"/>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eastAsia="仿宋"/>
          <w:sz w:val="24"/>
        </w:rPr>
      </w:pPr>
      <w:r>
        <w:rPr>
          <w:rFonts w:hint="eastAsia" w:ascii="仿宋" w:hAnsi="仿宋" w:eastAsia="仿宋"/>
          <w:sz w:val="24"/>
        </w:rPr>
        <w:t>28.3 中标人拒绝与采购人签订合同的，采购人可以按照评审报告推荐的中标候选人名单排序，确定下一候选人为中标供应商，也可以重新开展政府采购活动。</w:t>
      </w:r>
    </w:p>
    <w:p>
      <w:pPr>
        <w:spacing w:line="400" w:lineRule="exact"/>
        <w:ind w:firstLine="420" w:firstLineChars="175"/>
        <w:rPr>
          <w:rFonts w:ascii="仿宋" w:hAnsi="仿宋" w:eastAsia="仿宋"/>
          <w:sz w:val="24"/>
        </w:rPr>
      </w:pPr>
      <w:r>
        <w:rPr>
          <w:rFonts w:hint="eastAsia" w:ascii="仿宋" w:hAnsi="仿宋" w:eastAsia="仿宋"/>
          <w:sz w:val="24"/>
        </w:rPr>
        <w:t>28.4 中标人在合同签订之后三个工作日内，将签订的合同（一式壹份）在我司指定网站（http://sale.scbid.net）上传。</w:t>
      </w:r>
    </w:p>
    <w:p>
      <w:pPr>
        <w:pStyle w:val="3"/>
        <w:spacing w:line="400" w:lineRule="exact"/>
        <w:ind w:firstLine="482" w:firstLineChars="200"/>
        <w:rPr>
          <w:rFonts w:ascii="仿宋" w:hAnsi="仿宋" w:eastAsia="仿宋"/>
          <w:sz w:val="24"/>
          <w:szCs w:val="24"/>
        </w:rPr>
      </w:pPr>
      <w:r>
        <w:rPr>
          <w:rFonts w:hint="eastAsia" w:ascii="仿宋" w:hAnsi="仿宋" w:eastAsia="仿宋"/>
          <w:sz w:val="24"/>
          <w:szCs w:val="24"/>
        </w:rPr>
        <w:t>29. 合同分包（实质性要求）</w:t>
      </w:r>
    </w:p>
    <w:p>
      <w:pPr>
        <w:spacing w:line="400" w:lineRule="exact"/>
        <w:ind w:firstLine="480" w:firstLineChars="200"/>
        <w:rPr>
          <w:rFonts w:ascii="仿宋" w:hAnsi="仿宋" w:eastAsia="仿宋"/>
          <w:sz w:val="24"/>
        </w:rPr>
      </w:pPr>
      <w:r>
        <w:rPr>
          <w:rFonts w:ascii="仿宋" w:hAnsi="仿宋" w:eastAsia="仿宋"/>
          <w:sz w:val="24"/>
        </w:rPr>
        <w:t>29.1</w:t>
      </w:r>
      <w:r>
        <w:rPr>
          <w:rFonts w:hint="eastAsia" w:ascii="仿宋" w:hAnsi="仿宋" w:eastAsia="仿宋"/>
          <w:sz w:val="24"/>
        </w:rPr>
        <w:t>本项目合同接受分包与否，以“投标人须知附表”勾选项为准。</w:t>
      </w:r>
    </w:p>
    <w:p>
      <w:pPr>
        <w:spacing w:line="400" w:lineRule="exact"/>
        <w:ind w:firstLine="480" w:firstLineChars="200"/>
        <w:rPr>
          <w:rFonts w:ascii="仿宋" w:hAnsi="仿宋" w:eastAsia="仿宋"/>
          <w:sz w:val="24"/>
        </w:rPr>
      </w:pPr>
      <w:r>
        <w:rPr>
          <w:rFonts w:ascii="仿宋" w:hAnsi="仿宋" w:eastAsia="仿宋"/>
          <w:sz w:val="24"/>
        </w:rPr>
        <w:t>29.</w:t>
      </w:r>
      <w:r>
        <w:rPr>
          <w:rFonts w:hint="eastAsia" w:ascii="仿宋" w:hAnsi="仿宋" w:eastAsia="仿宋"/>
          <w:sz w:val="24"/>
        </w:rPr>
        <w:t>2</w:t>
      </w:r>
      <w:r>
        <w:rPr>
          <w:rFonts w:ascii="仿宋" w:hAnsi="仿宋" w:eastAsia="仿宋"/>
          <w:sz w:val="24"/>
        </w:rPr>
        <w:t xml:space="preserve"> 中小企业依据</w:t>
      </w:r>
      <w:r>
        <w:rPr>
          <w:rFonts w:hint="eastAsia" w:ascii="仿宋" w:hAnsi="仿宋" w:eastAsia="仿宋"/>
          <w:sz w:val="24"/>
        </w:rPr>
        <w:t>《政府采购促进中小企业发展管理办法》（财库〔2020〕46号）</w:t>
      </w:r>
      <w:r>
        <w:rPr>
          <w:rFonts w:ascii="仿宋" w:hAnsi="仿宋" w:eastAsia="仿宋"/>
          <w:sz w:val="24"/>
        </w:rPr>
        <w:t>规定的政策获取政府采购合同后，小型、微型企业不得分包或转包给大型、中型企业，中型企业不得分包或转包给大型企业。</w:t>
      </w:r>
    </w:p>
    <w:p>
      <w:pPr>
        <w:pStyle w:val="3"/>
        <w:spacing w:line="400" w:lineRule="exact"/>
        <w:ind w:firstLine="482" w:firstLineChars="200"/>
        <w:rPr>
          <w:rFonts w:ascii="仿宋" w:hAnsi="仿宋" w:eastAsia="仿宋"/>
          <w:sz w:val="24"/>
          <w:szCs w:val="24"/>
        </w:rPr>
      </w:pPr>
      <w:r>
        <w:rPr>
          <w:rFonts w:hint="eastAsia" w:ascii="仿宋" w:hAnsi="仿宋" w:eastAsia="仿宋"/>
          <w:sz w:val="24"/>
          <w:szCs w:val="24"/>
        </w:rPr>
        <w:t>30.合同转包（实质性要求）</w:t>
      </w:r>
    </w:p>
    <w:p>
      <w:pPr>
        <w:spacing w:line="400" w:lineRule="exact"/>
        <w:ind w:firstLine="540" w:firstLineChars="225"/>
        <w:rPr>
          <w:rFonts w:ascii="仿宋" w:hAnsi="仿宋" w:eastAsia="仿宋"/>
          <w:sz w:val="24"/>
        </w:rPr>
      </w:pPr>
      <w:r>
        <w:rPr>
          <w:rFonts w:hint="eastAsia" w:ascii="仿宋" w:hAnsi="仿宋" w:eastAsia="仿宋"/>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eastAsia="仿宋"/>
          <w:sz w:val="24"/>
        </w:rPr>
      </w:pPr>
      <w:r>
        <w:rPr>
          <w:rFonts w:hint="eastAsia" w:ascii="仿宋" w:hAnsi="仿宋" w:eastAsia="仿宋"/>
          <w:sz w:val="24"/>
        </w:rPr>
        <w:t>中标人转包的，视同拒绝履行政府采购合同义务，将依法追究法律责任。</w:t>
      </w:r>
    </w:p>
    <w:p>
      <w:pPr>
        <w:pStyle w:val="3"/>
        <w:spacing w:line="400" w:lineRule="exact"/>
        <w:ind w:firstLine="482" w:firstLineChars="200"/>
        <w:rPr>
          <w:rFonts w:ascii="仿宋" w:hAnsi="仿宋" w:eastAsia="仿宋"/>
          <w:sz w:val="24"/>
          <w:szCs w:val="24"/>
        </w:rPr>
      </w:pPr>
      <w:bookmarkStart w:id="125" w:name="_Toc217446066"/>
      <w:r>
        <w:rPr>
          <w:rFonts w:hint="eastAsia" w:ascii="仿宋" w:hAnsi="仿宋" w:eastAsia="仿宋"/>
          <w:sz w:val="24"/>
          <w:szCs w:val="24"/>
        </w:rPr>
        <w:t>31.</w:t>
      </w:r>
      <w:bookmarkEnd w:id="125"/>
      <w:r>
        <w:rPr>
          <w:rFonts w:hint="eastAsia" w:ascii="仿宋" w:hAnsi="仿宋" w:eastAsia="仿宋"/>
          <w:sz w:val="24"/>
          <w:szCs w:val="24"/>
        </w:rPr>
        <w:t xml:space="preserve"> 补充合同</w:t>
      </w:r>
    </w:p>
    <w:p>
      <w:pPr>
        <w:spacing w:line="400" w:lineRule="exact"/>
        <w:ind w:firstLine="480" w:firstLineChars="200"/>
        <w:rPr>
          <w:rFonts w:ascii="仿宋" w:hAnsi="仿宋" w:eastAsia="仿宋"/>
          <w:sz w:val="24"/>
        </w:rPr>
      </w:pPr>
      <w:r>
        <w:rPr>
          <w:rFonts w:hint="eastAsia" w:ascii="仿宋" w:hAnsi="仿宋" w:eastAsia="仿宋"/>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4"/>
        <w:spacing w:line="400" w:lineRule="exact"/>
        <w:ind w:firstLine="482" w:firstLineChars="200"/>
        <w:rPr>
          <w:rFonts w:ascii="仿宋" w:hAnsi="仿宋" w:eastAsia="仿宋"/>
          <w:b w:val="0"/>
          <w:sz w:val="24"/>
          <w:szCs w:val="24"/>
        </w:rPr>
      </w:pPr>
      <w:bookmarkStart w:id="126" w:name="_Toc308164812"/>
      <w:bookmarkStart w:id="127" w:name="_Toc217446068"/>
      <w:r>
        <w:rPr>
          <w:rFonts w:hint="eastAsia" w:ascii="仿宋" w:hAnsi="仿宋" w:eastAsia="仿宋"/>
          <w:sz w:val="24"/>
          <w:szCs w:val="24"/>
        </w:rPr>
        <w:t>32</w:t>
      </w:r>
      <w:r>
        <w:rPr>
          <w:rFonts w:hint="eastAsia" w:ascii="仿宋" w:hAnsi="仿宋" w:eastAsia="仿宋"/>
          <w:b w:val="0"/>
          <w:sz w:val="24"/>
          <w:szCs w:val="24"/>
        </w:rPr>
        <w:t xml:space="preserve">. </w:t>
      </w:r>
      <w:r>
        <w:rPr>
          <w:rFonts w:hint="eastAsia" w:ascii="仿宋" w:hAnsi="仿宋" w:eastAsia="仿宋"/>
          <w:sz w:val="24"/>
          <w:szCs w:val="24"/>
        </w:rPr>
        <w:t>履约保证金</w:t>
      </w:r>
      <w:bookmarkEnd w:id="126"/>
      <w:bookmarkEnd w:id="127"/>
      <w:r>
        <w:rPr>
          <w:rFonts w:hint="eastAsia" w:ascii="仿宋" w:hAnsi="仿宋" w:eastAsia="仿宋"/>
          <w:sz w:val="24"/>
          <w:szCs w:val="24"/>
        </w:rPr>
        <w:t>（本项目不适用。）</w:t>
      </w:r>
    </w:p>
    <w:p>
      <w:pPr>
        <w:pStyle w:val="4"/>
        <w:spacing w:line="400" w:lineRule="exact"/>
        <w:ind w:firstLine="482" w:firstLineChars="200"/>
        <w:rPr>
          <w:rFonts w:ascii="仿宋" w:hAnsi="仿宋" w:eastAsia="仿宋"/>
          <w:sz w:val="24"/>
          <w:szCs w:val="24"/>
        </w:rPr>
      </w:pPr>
      <w:bookmarkStart w:id="128" w:name="_Toc217446069"/>
      <w:bookmarkStart w:id="129" w:name="_Toc308164813"/>
      <w:r>
        <w:rPr>
          <w:rFonts w:hint="eastAsia" w:ascii="仿宋" w:hAnsi="仿宋" w:eastAsia="仿宋"/>
          <w:sz w:val="24"/>
          <w:szCs w:val="24"/>
        </w:rPr>
        <w:t>33.合同公告</w:t>
      </w:r>
    </w:p>
    <w:p>
      <w:pPr>
        <w:spacing w:line="400" w:lineRule="exact"/>
        <w:ind w:firstLine="480" w:firstLineChars="200"/>
        <w:rPr>
          <w:rFonts w:ascii="仿宋" w:hAnsi="仿宋" w:eastAsia="仿宋"/>
          <w:sz w:val="24"/>
        </w:rPr>
      </w:pPr>
      <w:r>
        <w:rPr>
          <w:rFonts w:hint="eastAsia" w:ascii="仿宋" w:hAnsi="仿宋" w:eastAsia="仿宋"/>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pStyle w:val="4"/>
        <w:spacing w:line="400" w:lineRule="exact"/>
        <w:ind w:firstLine="482" w:firstLineChars="200"/>
        <w:rPr>
          <w:rFonts w:ascii="仿宋" w:hAnsi="仿宋" w:eastAsia="仿宋"/>
          <w:sz w:val="24"/>
          <w:szCs w:val="24"/>
        </w:rPr>
      </w:pPr>
      <w:r>
        <w:rPr>
          <w:rFonts w:hint="eastAsia" w:ascii="仿宋" w:hAnsi="仿宋" w:eastAsia="仿宋"/>
          <w:sz w:val="24"/>
          <w:szCs w:val="24"/>
        </w:rPr>
        <w:t>34、合同备案</w:t>
      </w:r>
    </w:p>
    <w:p>
      <w:pPr>
        <w:spacing w:line="400" w:lineRule="exact"/>
        <w:ind w:firstLine="480" w:firstLineChars="200"/>
        <w:rPr>
          <w:rFonts w:ascii="仿宋" w:hAnsi="仿宋" w:eastAsia="仿宋"/>
          <w:sz w:val="24"/>
        </w:rPr>
      </w:pPr>
      <w:r>
        <w:rPr>
          <w:rFonts w:hint="eastAsia" w:ascii="仿宋" w:hAnsi="仿宋" w:eastAsia="仿宋"/>
          <w:sz w:val="24"/>
        </w:rPr>
        <w:t>采购人应当将政府采购合同副本自签订（双方当事人均已签字盖章）之日起七个工作日内通过四川政府采购网报同级财政部门备案。</w:t>
      </w:r>
    </w:p>
    <w:p>
      <w:pPr>
        <w:pStyle w:val="4"/>
        <w:spacing w:line="400" w:lineRule="exact"/>
        <w:ind w:firstLine="482" w:firstLineChars="200"/>
        <w:rPr>
          <w:rFonts w:ascii="仿宋" w:hAnsi="仿宋" w:eastAsia="仿宋"/>
          <w:b w:val="0"/>
          <w:sz w:val="24"/>
          <w:szCs w:val="24"/>
        </w:rPr>
      </w:pPr>
      <w:r>
        <w:rPr>
          <w:rFonts w:hint="eastAsia" w:ascii="仿宋" w:hAnsi="仿宋" w:eastAsia="仿宋"/>
          <w:sz w:val="24"/>
          <w:szCs w:val="24"/>
        </w:rPr>
        <w:t>35. 履行合同</w:t>
      </w:r>
      <w:bookmarkEnd w:id="128"/>
      <w:bookmarkEnd w:id="129"/>
    </w:p>
    <w:p>
      <w:pPr>
        <w:spacing w:line="400" w:lineRule="exact"/>
        <w:ind w:firstLine="480" w:firstLineChars="200"/>
        <w:rPr>
          <w:rFonts w:ascii="仿宋" w:hAnsi="仿宋" w:eastAsia="仿宋"/>
          <w:sz w:val="24"/>
        </w:rPr>
      </w:pPr>
      <w:r>
        <w:rPr>
          <w:rFonts w:hint="eastAsia" w:ascii="仿宋" w:hAnsi="仿宋" w:eastAsia="仿宋"/>
          <w:sz w:val="24"/>
        </w:rPr>
        <w:t>35.1 中标人与采购人签订合同后，合同双方应严格执行合同条款，履行合同规定的义务，保证合同的顺利完成。</w:t>
      </w:r>
    </w:p>
    <w:p>
      <w:pPr>
        <w:spacing w:line="400" w:lineRule="exact"/>
        <w:ind w:firstLine="480" w:firstLineChars="200"/>
        <w:rPr>
          <w:rFonts w:ascii="仿宋" w:hAnsi="仿宋" w:eastAsia="仿宋"/>
          <w:sz w:val="24"/>
        </w:rPr>
      </w:pPr>
      <w:r>
        <w:rPr>
          <w:rFonts w:hint="eastAsia" w:ascii="仿宋" w:hAnsi="仿宋" w:eastAsia="仿宋"/>
          <w:sz w:val="24"/>
        </w:rPr>
        <w:t>35.2 在合同履行过程中，如发生合同纠纷，合同双方应按照《中华人民共和国民法典》的有关规定进行处理。</w:t>
      </w:r>
    </w:p>
    <w:p>
      <w:pPr>
        <w:pStyle w:val="4"/>
        <w:spacing w:line="400" w:lineRule="exact"/>
        <w:ind w:firstLine="482" w:firstLineChars="200"/>
        <w:rPr>
          <w:rFonts w:ascii="仿宋" w:hAnsi="仿宋" w:eastAsia="仿宋"/>
          <w:b w:val="0"/>
          <w:sz w:val="24"/>
          <w:szCs w:val="24"/>
        </w:rPr>
      </w:pPr>
      <w:bookmarkStart w:id="130" w:name="_Toc217446070"/>
      <w:bookmarkStart w:id="131" w:name="_Toc308164814"/>
      <w:r>
        <w:rPr>
          <w:rFonts w:hint="eastAsia" w:ascii="仿宋" w:hAnsi="仿宋" w:eastAsia="仿宋"/>
          <w:sz w:val="24"/>
          <w:szCs w:val="24"/>
        </w:rPr>
        <w:t>36. 验收</w:t>
      </w:r>
      <w:bookmarkEnd w:id="130"/>
      <w:bookmarkEnd w:id="131"/>
    </w:p>
    <w:p>
      <w:pPr>
        <w:spacing w:line="400" w:lineRule="exact"/>
        <w:ind w:firstLine="480" w:firstLineChars="200"/>
        <w:rPr>
          <w:rFonts w:ascii="仿宋" w:hAnsi="仿宋" w:eastAsia="仿宋"/>
          <w:sz w:val="24"/>
        </w:rPr>
      </w:pPr>
      <w:r>
        <w:rPr>
          <w:rFonts w:hint="eastAsia" w:ascii="仿宋" w:hAnsi="仿宋" w:eastAsia="仿宋"/>
          <w:sz w:val="24"/>
        </w:rPr>
        <w:t>36.1本项目采购人及其委托的采购代理机构将严格按照《财政部关于进一步加强政府采购需求和履约验收管理的指导意见》（财库〔2016〕205号）等政府采购相关法律法规的要求进行验收。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sz w:val="24"/>
        </w:rPr>
      </w:pPr>
      <w:r>
        <w:rPr>
          <w:rFonts w:hint="eastAsia" w:ascii="仿宋" w:hAnsi="仿宋" w:eastAsia="仿宋"/>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2" w:name="_Toc217446071"/>
    </w:p>
    <w:p>
      <w:pPr>
        <w:pStyle w:val="4"/>
        <w:spacing w:line="400" w:lineRule="exact"/>
        <w:ind w:firstLine="482" w:firstLineChars="200"/>
        <w:rPr>
          <w:rFonts w:ascii="仿宋" w:hAnsi="仿宋" w:eastAsia="仿宋"/>
          <w:sz w:val="24"/>
          <w:szCs w:val="24"/>
        </w:rPr>
      </w:pPr>
      <w:bookmarkStart w:id="133" w:name="_Toc217446077"/>
      <w:bookmarkStart w:id="134" w:name="_Toc308164818"/>
      <w:r>
        <w:rPr>
          <w:rFonts w:hint="eastAsia" w:ascii="仿宋" w:hAnsi="仿宋" w:eastAsia="仿宋"/>
          <w:sz w:val="24"/>
          <w:szCs w:val="24"/>
        </w:rPr>
        <w:t>37.资金支付</w:t>
      </w:r>
      <w:bookmarkEnd w:id="133"/>
      <w:bookmarkEnd w:id="134"/>
    </w:p>
    <w:p>
      <w:pPr>
        <w:spacing w:line="400" w:lineRule="exact"/>
        <w:ind w:firstLine="480" w:firstLineChars="200"/>
        <w:rPr>
          <w:rFonts w:ascii="仿宋" w:hAnsi="仿宋" w:eastAsia="仿宋"/>
          <w:sz w:val="24"/>
        </w:rPr>
      </w:pPr>
      <w:r>
        <w:rPr>
          <w:rFonts w:hint="eastAsia" w:ascii="仿宋" w:hAnsi="仿宋" w:eastAsia="仿宋"/>
          <w:sz w:val="24"/>
        </w:rPr>
        <w:t>采购人将按照政府采购合同规定，及时向中标供应商支付采购资金。本项目采购资金付款详见第六章商务要求中付款方式。</w:t>
      </w:r>
    </w:p>
    <w:bookmarkEnd w:id="121"/>
    <w:bookmarkEnd w:id="122"/>
    <w:bookmarkEnd w:id="132"/>
    <w:p>
      <w:pPr>
        <w:pStyle w:val="3"/>
        <w:spacing w:line="400" w:lineRule="exact"/>
        <w:jc w:val="center"/>
        <w:rPr>
          <w:rFonts w:ascii="仿宋" w:hAnsi="仿宋" w:eastAsia="仿宋"/>
          <w:szCs w:val="28"/>
        </w:rPr>
      </w:pPr>
      <w:bookmarkStart w:id="135" w:name="_Toc308164815"/>
      <w:bookmarkStart w:id="136" w:name="_Toc217446074"/>
      <w:bookmarkStart w:id="137" w:name="_Toc183682380"/>
      <w:bookmarkStart w:id="138" w:name="_Toc183582243"/>
      <w:r>
        <w:rPr>
          <w:rFonts w:hint="eastAsia" w:ascii="仿宋" w:hAnsi="仿宋" w:eastAsia="仿宋"/>
          <w:szCs w:val="28"/>
        </w:rPr>
        <w:t>七、投标纪律要求</w:t>
      </w:r>
      <w:bookmarkEnd w:id="135"/>
      <w:bookmarkEnd w:id="136"/>
    </w:p>
    <w:p>
      <w:pPr>
        <w:pStyle w:val="4"/>
        <w:spacing w:line="400" w:lineRule="exact"/>
        <w:ind w:firstLine="482" w:firstLineChars="200"/>
        <w:rPr>
          <w:rFonts w:ascii="仿宋" w:hAnsi="仿宋" w:eastAsia="仿宋"/>
          <w:bCs w:val="0"/>
          <w:sz w:val="24"/>
          <w:szCs w:val="24"/>
        </w:rPr>
      </w:pPr>
      <w:bookmarkStart w:id="139" w:name="_Toc217446075"/>
      <w:bookmarkStart w:id="140" w:name="_Toc308164816"/>
      <w:r>
        <w:rPr>
          <w:rFonts w:hint="eastAsia" w:ascii="仿宋" w:hAnsi="仿宋" w:eastAsia="仿宋"/>
          <w:sz w:val="24"/>
        </w:rPr>
        <w:t xml:space="preserve">38. </w:t>
      </w:r>
      <w:r>
        <w:rPr>
          <w:rFonts w:hint="eastAsia" w:ascii="仿宋" w:hAnsi="仿宋" w:eastAsia="仿宋"/>
          <w:bCs w:val="0"/>
          <w:sz w:val="24"/>
          <w:szCs w:val="24"/>
        </w:rPr>
        <w:t>投标人</w:t>
      </w:r>
      <w:bookmarkEnd w:id="139"/>
      <w:bookmarkEnd w:id="140"/>
      <w:r>
        <w:rPr>
          <w:rFonts w:hint="eastAsia" w:ascii="仿宋" w:hAnsi="仿宋" w:eastAsia="仿宋"/>
          <w:bCs w:val="0"/>
          <w:sz w:val="24"/>
          <w:szCs w:val="24"/>
        </w:rPr>
        <w:t>纪律要求</w:t>
      </w:r>
    </w:p>
    <w:p>
      <w:pPr>
        <w:spacing w:line="400" w:lineRule="exact"/>
        <w:ind w:firstLine="480"/>
        <w:rPr>
          <w:rFonts w:ascii="仿宋" w:hAnsi="仿宋" w:eastAsia="仿宋"/>
          <w:sz w:val="24"/>
        </w:rPr>
      </w:pPr>
      <w:r>
        <w:rPr>
          <w:rFonts w:hint="eastAsia" w:ascii="仿宋" w:hAnsi="仿宋" w:eastAsia="仿宋"/>
          <w:sz w:val="24"/>
        </w:rPr>
        <w:t>投标人应当遵循公平竞争的原则，不得恶意串通，不得妨碍其他投标人的竞争行为，不得损害采购人或者其他投标人的合法权益。</w:t>
      </w:r>
    </w:p>
    <w:p>
      <w:pPr>
        <w:spacing w:line="400" w:lineRule="exact"/>
        <w:ind w:firstLine="480"/>
        <w:rPr>
          <w:rFonts w:ascii="仿宋" w:hAnsi="仿宋" w:eastAsia="仿宋"/>
          <w:sz w:val="24"/>
        </w:rPr>
      </w:pPr>
      <w:r>
        <w:rPr>
          <w:rFonts w:hint="eastAsia" w:ascii="仿宋" w:hAnsi="仿宋" w:eastAsia="仿宋"/>
          <w:sz w:val="24"/>
        </w:rPr>
        <w:t>在评标过程中发现投标人有上述情形的，评标委员会应当认定其投标无效，并书面报告本级财政部门。</w:t>
      </w:r>
    </w:p>
    <w:p>
      <w:pPr>
        <w:spacing w:line="400" w:lineRule="exact"/>
        <w:ind w:firstLine="480" w:firstLineChars="200"/>
        <w:rPr>
          <w:rFonts w:ascii="仿宋" w:hAnsi="仿宋" w:eastAsia="仿宋"/>
          <w:sz w:val="24"/>
        </w:rPr>
      </w:pPr>
      <w:r>
        <w:rPr>
          <w:rFonts w:hint="eastAsia" w:ascii="仿宋" w:hAnsi="仿宋" w:eastAsia="仿宋"/>
          <w:sz w:val="24"/>
        </w:rPr>
        <w:t>38.1 投标人参加本项目投标不得有下列情形：</w:t>
      </w:r>
    </w:p>
    <w:p>
      <w:pPr>
        <w:spacing w:line="400" w:lineRule="exact"/>
        <w:ind w:firstLine="480" w:firstLineChars="200"/>
        <w:rPr>
          <w:rFonts w:ascii="仿宋" w:hAnsi="仿宋" w:eastAsia="仿宋"/>
          <w:sz w:val="24"/>
        </w:rPr>
      </w:pPr>
      <w:r>
        <w:rPr>
          <w:rFonts w:hint="eastAsia" w:ascii="仿宋" w:hAnsi="仿宋" w:eastAsia="仿宋"/>
          <w:sz w:val="24"/>
        </w:rPr>
        <w:t>（1）提供虚假材料谋取中标；</w:t>
      </w:r>
    </w:p>
    <w:p>
      <w:pPr>
        <w:spacing w:line="400" w:lineRule="exact"/>
        <w:ind w:firstLine="480" w:firstLineChars="200"/>
        <w:rPr>
          <w:rFonts w:ascii="仿宋" w:hAnsi="仿宋" w:eastAsia="仿宋"/>
          <w:sz w:val="24"/>
        </w:rPr>
      </w:pPr>
      <w:r>
        <w:rPr>
          <w:rFonts w:hint="eastAsia" w:ascii="仿宋" w:hAnsi="仿宋" w:eastAsia="仿宋"/>
          <w:sz w:val="24"/>
        </w:rPr>
        <w:t>（2）采取不正当手段诋毁、排挤其他投标人；</w:t>
      </w:r>
    </w:p>
    <w:p>
      <w:pPr>
        <w:spacing w:line="400" w:lineRule="exact"/>
        <w:ind w:firstLine="480" w:firstLineChars="200"/>
        <w:rPr>
          <w:rFonts w:ascii="仿宋" w:hAnsi="仿宋" w:eastAsia="仿宋"/>
          <w:sz w:val="24"/>
        </w:rPr>
      </w:pPr>
      <w:r>
        <w:rPr>
          <w:rFonts w:hint="eastAsia" w:ascii="仿宋" w:hAnsi="仿宋" w:eastAsia="仿宋"/>
          <w:sz w:val="24"/>
        </w:rPr>
        <w:t>（3）与招标采购单位、其他投标人恶意串通；</w:t>
      </w:r>
    </w:p>
    <w:p>
      <w:pPr>
        <w:spacing w:line="400" w:lineRule="exact"/>
        <w:ind w:firstLine="480" w:firstLineChars="200"/>
        <w:rPr>
          <w:rFonts w:ascii="仿宋" w:hAnsi="仿宋" w:eastAsia="仿宋"/>
          <w:sz w:val="24"/>
        </w:rPr>
      </w:pPr>
      <w:r>
        <w:rPr>
          <w:rFonts w:hint="eastAsia" w:ascii="仿宋" w:hAnsi="仿宋" w:eastAsia="仿宋"/>
          <w:sz w:val="24"/>
        </w:rPr>
        <w:t>（4）向招标采购单位、评标委员会成员行贿或者提供其他不正当利益；</w:t>
      </w:r>
    </w:p>
    <w:p>
      <w:pPr>
        <w:spacing w:line="400" w:lineRule="exact"/>
        <w:ind w:firstLine="480" w:firstLineChars="200"/>
        <w:rPr>
          <w:rFonts w:ascii="仿宋" w:hAnsi="仿宋" w:eastAsia="仿宋"/>
          <w:sz w:val="24"/>
        </w:rPr>
      </w:pPr>
      <w:r>
        <w:rPr>
          <w:rFonts w:hint="eastAsia" w:ascii="仿宋" w:hAnsi="仿宋" w:eastAsia="仿宋"/>
          <w:sz w:val="24"/>
        </w:rPr>
        <w:t>（5）在招标过程中与招标采购单位进行协商谈判；</w:t>
      </w:r>
    </w:p>
    <w:p>
      <w:pPr>
        <w:spacing w:line="400" w:lineRule="exact"/>
        <w:ind w:firstLine="480" w:firstLineChars="200"/>
        <w:rPr>
          <w:rFonts w:ascii="仿宋" w:hAnsi="仿宋" w:eastAsia="仿宋"/>
          <w:sz w:val="24"/>
        </w:rPr>
      </w:pPr>
      <w:r>
        <w:rPr>
          <w:rFonts w:hint="eastAsia" w:ascii="仿宋" w:hAnsi="仿宋" w:eastAsia="仿宋"/>
          <w:sz w:val="24"/>
        </w:rPr>
        <w:t>（6）中标或者成交后无正当理由拒不与采购人签订政府采购合同；</w:t>
      </w:r>
    </w:p>
    <w:p>
      <w:pPr>
        <w:spacing w:line="400" w:lineRule="exact"/>
        <w:ind w:firstLine="480" w:firstLineChars="200"/>
        <w:rPr>
          <w:rFonts w:ascii="仿宋" w:hAnsi="仿宋" w:eastAsia="仿宋"/>
          <w:sz w:val="24"/>
        </w:rPr>
      </w:pPr>
      <w:r>
        <w:rPr>
          <w:rFonts w:hint="eastAsia" w:ascii="仿宋" w:hAnsi="仿宋" w:eastAsia="仿宋"/>
          <w:sz w:val="24"/>
        </w:rPr>
        <w:t>（7）未按照采购文件确定的事项签订政府采购合同；</w:t>
      </w:r>
    </w:p>
    <w:p>
      <w:pPr>
        <w:spacing w:line="400" w:lineRule="exact"/>
        <w:ind w:firstLine="480" w:firstLineChars="200"/>
        <w:rPr>
          <w:rFonts w:ascii="仿宋" w:hAnsi="仿宋" w:eastAsia="仿宋"/>
          <w:sz w:val="24"/>
        </w:rPr>
      </w:pPr>
      <w:r>
        <w:rPr>
          <w:rFonts w:hint="eastAsia" w:ascii="仿宋" w:hAnsi="仿宋" w:eastAsia="仿宋"/>
          <w:sz w:val="24"/>
        </w:rPr>
        <w:t>（8）将政府采购合同转包或者违规分包；</w:t>
      </w:r>
    </w:p>
    <w:p>
      <w:pPr>
        <w:spacing w:line="400" w:lineRule="exact"/>
        <w:ind w:firstLine="480" w:firstLineChars="200"/>
        <w:rPr>
          <w:rFonts w:ascii="仿宋" w:hAnsi="仿宋" w:eastAsia="仿宋"/>
          <w:sz w:val="24"/>
        </w:rPr>
      </w:pPr>
      <w:r>
        <w:rPr>
          <w:rFonts w:hint="eastAsia" w:ascii="仿宋" w:hAnsi="仿宋" w:eastAsia="仿宋"/>
          <w:sz w:val="24"/>
        </w:rPr>
        <w:t>（9）提供假冒伪劣产品；</w:t>
      </w:r>
    </w:p>
    <w:p>
      <w:pPr>
        <w:spacing w:line="400" w:lineRule="exact"/>
        <w:ind w:firstLine="480" w:firstLineChars="200"/>
        <w:rPr>
          <w:rFonts w:ascii="仿宋" w:hAnsi="仿宋" w:eastAsia="仿宋"/>
          <w:sz w:val="24"/>
        </w:rPr>
      </w:pPr>
      <w:r>
        <w:rPr>
          <w:rFonts w:hint="eastAsia" w:ascii="仿宋" w:hAnsi="仿宋" w:eastAsia="仿宋"/>
          <w:sz w:val="24"/>
        </w:rPr>
        <w:t>（10）擅自变更、中止或者终止政府采购合同；</w:t>
      </w:r>
    </w:p>
    <w:p>
      <w:pPr>
        <w:spacing w:line="400" w:lineRule="exact"/>
        <w:ind w:firstLine="480" w:firstLineChars="200"/>
        <w:rPr>
          <w:rFonts w:ascii="仿宋" w:hAnsi="仿宋" w:eastAsia="仿宋"/>
          <w:sz w:val="24"/>
        </w:rPr>
      </w:pPr>
      <w:r>
        <w:rPr>
          <w:rFonts w:hint="eastAsia" w:ascii="仿宋" w:hAnsi="仿宋" w:eastAsia="仿宋"/>
          <w:sz w:val="24"/>
        </w:rPr>
        <w:t>（11）拒绝有关部门的监督检查或者向监督检查部门提供虚假情况；</w:t>
      </w:r>
    </w:p>
    <w:p>
      <w:pPr>
        <w:spacing w:line="400" w:lineRule="exact"/>
        <w:ind w:firstLine="480" w:firstLineChars="200"/>
        <w:rPr>
          <w:rFonts w:ascii="仿宋" w:hAnsi="仿宋" w:eastAsia="仿宋"/>
          <w:sz w:val="24"/>
        </w:rPr>
      </w:pPr>
      <w:r>
        <w:rPr>
          <w:rFonts w:hint="eastAsia" w:ascii="仿宋" w:hAnsi="仿宋" w:eastAsia="仿宋"/>
          <w:sz w:val="24"/>
        </w:rPr>
        <w:t>（12）法律法规规定的其他情形。</w:t>
      </w:r>
    </w:p>
    <w:p>
      <w:pPr>
        <w:spacing w:line="400" w:lineRule="exact"/>
        <w:ind w:firstLine="480" w:firstLineChars="200"/>
        <w:rPr>
          <w:rFonts w:ascii="仿宋" w:hAnsi="仿宋" w:eastAsia="仿宋"/>
          <w:sz w:val="24"/>
        </w:rPr>
      </w:pPr>
      <w:r>
        <w:rPr>
          <w:rFonts w:hint="eastAsia" w:ascii="仿宋" w:hAnsi="仿宋" w:eastAsia="仿宋"/>
          <w:sz w:val="24"/>
        </w:rPr>
        <w:t>投标人有上述情形的，按照规定追究法律责任，具备（1）-（10）条情形之一的，同时将取消中标资格或者认定中标无效。</w:t>
      </w:r>
      <w:bookmarkEnd w:id="54"/>
    </w:p>
    <w:p>
      <w:pPr>
        <w:spacing w:line="400" w:lineRule="exact"/>
        <w:ind w:firstLine="480" w:firstLineChars="200"/>
        <w:rPr>
          <w:rFonts w:ascii="仿宋" w:hAnsi="仿宋" w:eastAsia="仿宋"/>
          <w:sz w:val="24"/>
        </w:rPr>
      </w:pPr>
      <w:bookmarkStart w:id="141" w:name="PO_默认文件内容_23"/>
      <w:r>
        <w:rPr>
          <w:rFonts w:hint="eastAsia" w:ascii="仿宋" w:hAnsi="仿宋" w:eastAsia="仿宋"/>
          <w:sz w:val="24"/>
        </w:rPr>
        <w:t>38.2 投标人有下列情形之一的，视为投标人串通投标，其投标无效：</w:t>
      </w:r>
    </w:p>
    <w:p>
      <w:pPr>
        <w:spacing w:line="400" w:lineRule="exact"/>
        <w:ind w:firstLine="480" w:firstLineChars="200"/>
        <w:rPr>
          <w:rFonts w:ascii="仿宋" w:hAnsi="仿宋" w:eastAsia="仿宋"/>
          <w:sz w:val="24"/>
        </w:rPr>
      </w:pPr>
      <w:r>
        <w:rPr>
          <w:rFonts w:hint="eastAsia" w:ascii="仿宋" w:hAnsi="仿宋" w:eastAsia="仿宋"/>
          <w:sz w:val="24"/>
        </w:rPr>
        <w:t>（1）不同投标人的投标文件由同一单位或者个人编制；</w:t>
      </w:r>
    </w:p>
    <w:p>
      <w:pPr>
        <w:spacing w:line="400" w:lineRule="exact"/>
        <w:ind w:firstLine="480" w:firstLineChars="200"/>
        <w:rPr>
          <w:rFonts w:ascii="仿宋" w:hAnsi="仿宋" w:eastAsia="仿宋"/>
          <w:sz w:val="24"/>
        </w:rPr>
      </w:pPr>
      <w:r>
        <w:rPr>
          <w:rFonts w:hint="eastAsia" w:ascii="仿宋" w:hAnsi="仿宋" w:eastAsia="仿宋"/>
          <w:sz w:val="24"/>
        </w:rPr>
        <w:t>（2）不同投标人委托同一单位或者个人办理投标事宜；</w:t>
      </w:r>
    </w:p>
    <w:p>
      <w:pPr>
        <w:spacing w:line="400" w:lineRule="exact"/>
        <w:ind w:firstLine="480" w:firstLineChars="200"/>
        <w:rPr>
          <w:rFonts w:ascii="仿宋" w:hAnsi="仿宋" w:eastAsia="仿宋"/>
          <w:sz w:val="24"/>
        </w:rPr>
      </w:pPr>
      <w:r>
        <w:rPr>
          <w:rFonts w:hint="eastAsia" w:ascii="仿宋" w:hAnsi="仿宋" w:eastAsia="仿宋"/>
          <w:sz w:val="24"/>
        </w:rPr>
        <w:t>（3）不同投标人的投标文件载明的项目管理成员或者联系人员为同一人；</w:t>
      </w:r>
    </w:p>
    <w:p>
      <w:pPr>
        <w:spacing w:line="400" w:lineRule="exact"/>
        <w:ind w:firstLine="480" w:firstLineChars="200"/>
        <w:rPr>
          <w:rFonts w:ascii="仿宋" w:hAnsi="仿宋" w:eastAsia="仿宋"/>
          <w:sz w:val="24"/>
        </w:rPr>
      </w:pPr>
      <w:r>
        <w:rPr>
          <w:rFonts w:hint="eastAsia" w:ascii="仿宋" w:hAnsi="仿宋" w:eastAsia="仿宋"/>
          <w:sz w:val="24"/>
        </w:rPr>
        <w:t>（4）不同投标人的投标文件异常一致或者投标报价呈规律性差异；</w:t>
      </w:r>
    </w:p>
    <w:p>
      <w:pPr>
        <w:spacing w:line="400" w:lineRule="exact"/>
        <w:ind w:firstLine="480" w:firstLineChars="200"/>
        <w:rPr>
          <w:rFonts w:ascii="仿宋" w:hAnsi="仿宋" w:eastAsia="仿宋"/>
          <w:sz w:val="24"/>
        </w:rPr>
      </w:pPr>
      <w:r>
        <w:rPr>
          <w:rFonts w:hint="eastAsia" w:ascii="仿宋" w:hAnsi="仿宋" w:eastAsia="仿宋"/>
          <w:sz w:val="24"/>
        </w:rPr>
        <w:t>（5）不同投标人的投标文件相互混装；</w:t>
      </w:r>
    </w:p>
    <w:p>
      <w:pPr>
        <w:spacing w:line="400" w:lineRule="exact"/>
        <w:ind w:firstLine="480" w:firstLineChars="200"/>
        <w:rPr>
          <w:rFonts w:ascii="仿宋" w:hAnsi="仿宋" w:eastAsia="仿宋"/>
          <w:sz w:val="24"/>
        </w:rPr>
      </w:pPr>
      <w:r>
        <w:rPr>
          <w:rFonts w:hint="eastAsia" w:ascii="仿宋" w:hAnsi="仿宋" w:eastAsia="仿宋"/>
          <w:sz w:val="24"/>
        </w:rPr>
        <w:t>（6）不同投标人的投标保证金从同一单位或者个人的账户转出。</w:t>
      </w:r>
    </w:p>
    <w:p>
      <w:pPr>
        <w:pStyle w:val="3"/>
        <w:spacing w:line="400" w:lineRule="exact"/>
        <w:jc w:val="center"/>
        <w:rPr>
          <w:rFonts w:ascii="仿宋" w:hAnsi="仿宋" w:eastAsia="仿宋"/>
          <w:bCs w:val="0"/>
          <w:szCs w:val="28"/>
        </w:rPr>
      </w:pPr>
      <w:bookmarkStart w:id="142" w:name="_Toc308164819"/>
      <w:bookmarkStart w:id="143" w:name="_Toc217446078"/>
      <w:r>
        <w:rPr>
          <w:rFonts w:hint="eastAsia" w:ascii="仿宋" w:hAnsi="仿宋" w:eastAsia="仿宋"/>
          <w:bCs w:val="0"/>
          <w:szCs w:val="28"/>
        </w:rPr>
        <w:t>八、询问、质疑和投诉</w:t>
      </w:r>
      <w:bookmarkEnd w:id="142"/>
      <w:bookmarkEnd w:id="143"/>
      <w:bookmarkStart w:id="144" w:name="_Toc217446079"/>
    </w:p>
    <w:bookmarkEnd w:id="144"/>
    <w:p>
      <w:pPr>
        <w:widowControl/>
        <w:spacing w:line="480" w:lineRule="atLeast"/>
        <w:ind w:firstLine="472" w:firstLineChars="196"/>
        <w:jc w:val="left"/>
        <w:outlineLvl w:val="1"/>
        <w:rPr>
          <w:rFonts w:ascii="仿宋" w:hAnsi="仿宋" w:eastAsia="仿宋"/>
          <w:sz w:val="24"/>
        </w:rPr>
      </w:pPr>
      <w:r>
        <w:rPr>
          <w:rFonts w:hint="eastAsia" w:ascii="仿宋" w:hAnsi="仿宋" w:eastAsia="仿宋"/>
          <w:b/>
          <w:sz w:val="24"/>
        </w:rPr>
        <w:t>3</w:t>
      </w:r>
      <w:bookmarkEnd w:id="137"/>
      <w:bookmarkEnd w:id="138"/>
      <w:r>
        <w:rPr>
          <w:rFonts w:hint="eastAsia" w:ascii="仿宋" w:hAnsi="仿宋" w:eastAsia="仿宋"/>
          <w:b/>
          <w:sz w:val="24"/>
        </w:rPr>
        <w:t>9．</w:t>
      </w:r>
      <w:r>
        <w:rPr>
          <w:rFonts w:hint="eastAsia" w:ascii="仿宋" w:hAnsi="仿宋" w:eastAsia="仿宋"/>
          <w:sz w:val="24"/>
        </w:rPr>
        <w:t>询问、质疑、投诉的接收和处理严格按照《中华人民共和国政府采购法》、《中华人民共和国政府采购法实施条例》、《政府采购货物和服务招标投标管理办法》、《</w:t>
      </w:r>
      <w:r>
        <w:rPr>
          <w:rFonts w:hint="eastAsia" w:ascii="仿宋" w:hAnsi="仿宋" w:eastAsia="仿宋"/>
          <w:bCs/>
          <w:sz w:val="24"/>
        </w:rPr>
        <w:t>政府采购质疑和投诉办法</w:t>
      </w:r>
      <w:r>
        <w:rPr>
          <w:rFonts w:hint="eastAsia" w:ascii="仿宋" w:hAnsi="仿宋" w:eastAsia="仿宋"/>
          <w:sz w:val="24"/>
        </w:rPr>
        <w:t>》、《财政部关于加强政府采购供应商投诉受理审查工作的通知》和《四川省政府采购供应商投诉处理工作规程》的规定办理（详细规定请在四川政府采购网政策法规模块查询）。</w:t>
      </w:r>
    </w:p>
    <w:p>
      <w:pPr>
        <w:pStyle w:val="3"/>
        <w:spacing w:line="400" w:lineRule="exact"/>
        <w:jc w:val="center"/>
        <w:rPr>
          <w:rFonts w:ascii="仿宋" w:hAnsi="仿宋" w:eastAsia="仿宋"/>
          <w:bCs w:val="0"/>
          <w:szCs w:val="28"/>
        </w:rPr>
      </w:pPr>
      <w:r>
        <w:rPr>
          <w:rFonts w:hint="eastAsia" w:ascii="仿宋" w:hAnsi="仿宋" w:eastAsia="仿宋"/>
          <w:bCs w:val="0"/>
          <w:szCs w:val="28"/>
        </w:rPr>
        <w:t>九、其他</w:t>
      </w:r>
    </w:p>
    <w:p>
      <w:pPr>
        <w:widowControl/>
        <w:spacing w:line="480" w:lineRule="exact"/>
        <w:ind w:firstLine="482" w:firstLineChars="200"/>
        <w:jc w:val="left"/>
        <w:outlineLvl w:val="1"/>
        <w:rPr>
          <w:rFonts w:ascii="仿宋" w:hAnsi="仿宋" w:eastAsia="仿宋"/>
          <w:sz w:val="24"/>
        </w:rPr>
      </w:pPr>
      <w:r>
        <w:rPr>
          <w:rFonts w:hint="eastAsia" w:ascii="仿宋" w:hAnsi="仿宋" w:eastAsia="仿宋"/>
          <w:b/>
          <w:sz w:val="24"/>
        </w:rPr>
        <w:t>4</w:t>
      </w:r>
      <w:r>
        <w:rPr>
          <w:rFonts w:ascii="仿宋" w:hAnsi="仿宋" w:eastAsia="仿宋"/>
          <w:b/>
          <w:sz w:val="24"/>
        </w:rPr>
        <w:t>0</w:t>
      </w:r>
      <w:r>
        <w:rPr>
          <w:rFonts w:hint="eastAsia" w:ascii="仿宋" w:hAnsi="仿宋" w:eastAsia="仿宋"/>
          <w:b/>
          <w:sz w:val="24"/>
        </w:rPr>
        <w:t>.</w:t>
      </w:r>
      <w:r>
        <w:rPr>
          <w:rFonts w:hint="eastAsia" w:ascii="仿宋" w:hAnsi="仿宋" w:eastAsia="仿宋"/>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pacing w:line="480" w:lineRule="exact"/>
        <w:ind w:firstLine="480" w:firstLineChars="200"/>
        <w:jc w:val="left"/>
        <w:rPr>
          <w:rFonts w:ascii="仿宋" w:hAnsi="仿宋" w:eastAsia="仿宋"/>
          <w:kern w:val="0"/>
          <w:sz w:val="24"/>
        </w:rPr>
      </w:pPr>
      <w:r>
        <w:rPr>
          <w:rFonts w:hint="eastAsia" w:ascii="仿宋" w:hAnsi="仿宋" w:eastAsia="仿宋"/>
          <w:sz w:val="24"/>
        </w:rPr>
        <w:t>41．</w:t>
      </w:r>
      <w:r>
        <w:rPr>
          <w:rFonts w:hint="eastAsia" w:ascii="仿宋" w:hAnsi="仿宋" w:eastAsia="仿宋"/>
          <w:b/>
          <w:sz w:val="24"/>
        </w:rPr>
        <w:t>（实质性要求）</w:t>
      </w:r>
      <w:r>
        <w:rPr>
          <w:rFonts w:ascii="仿宋" w:hAnsi="仿宋" w:eastAsia="仿宋"/>
          <w:sz w:val="24"/>
        </w:rPr>
        <w:t>国家</w:t>
      </w:r>
      <w:r>
        <w:rPr>
          <w:rFonts w:hint="eastAsia" w:ascii="仿宋" w:hAnsi="仿宋" w:eastAsia="仿宋"/>
          <w:sz w:val="24"/>
        </w:rPr>
        <w:t>或行业主管部门</w:t>
      </w:r>
      <w:r>
        <w:rPr>
          <w:rFonts w:ascii="仿宋" w:hAnsi="仿宋" w:eastAsia="仿宋"/>
          <w:sz w:val="24"/>
        </w:rPr>
        <w:t>对</w:t>
      </w:r>
      <w:r>
        <w:rPr>
          <w:rFonts w:hint="eastAsia" w:ascii="仿宋" w:hAnsi="仿宋" w:eastAsia="仿宋"/>
          <w:sz w:val="24"/>
        </w:rPr>
        <w:t>采购产品的</w:t>
      </w:r>
      <w:r>
        <w:rPr>
          <w:rFonts w:ascii="仿宋" w:hAnsi="仿宋" w:eastAsia="仿宋"/>
          <w:sz w:val="24"/>
        </w:rPr>
        <w:t>技术</w:t>
      </w:r>
      <w:r>
        <w:rPr>
          <w:rFonts w:hint="eastAsia" w:ascii="仿宋" w:hAnsi="仿宋" w:eastAsia="仿宋"/>
          <w:sz w:val="24"/>
        </w:rPr>
        <w:t>标准、</w:t>
      </w:r>
      <w:r>
        <w:rPr>
          <w:rFonts w:ascii="仿宋" w:hAnsi="仿宋" w:eastAsia="仿宋"/>
          <w:sz w:val="24"/>
        </w:rPr>
        <w:t>质量</w:t>
      </w:r>
      <w:r>
        <w:rPr>
          <w:rFonts w:hint="eastAsia" w:ascii="仿宋" w:hAnsi="仿宋" w:eastAsia="仿宋"/>
          <w:sz w:val="24"/>
        </w:rPr>
        <w:t>标准和资格资质条件</w:t>
      </w:r>
      <w:r>
        <w:rPr>
          <w:rFonts w:ascii="仿宋" w:hAnsi="仿宋" w:eastAsia="仿宋"/>
          <w:sz w:val="24"/>
        </w:rPr>
        <w:t>等有</w:t>
      </w:r>
      <w:r>
        <w:rPr>
          <w:rFonts w:hint="eastAsia" w:ascii="仿宋" w:hAnsi="仿宋" w:eastAsia="仿宋"/>
          <w:sz w:val="24"/>
        </w:rPr>
        <w:t>强制性规定</w:t>
      </w:r>
      <w:r>
        <w:rPr>
          <w:rFonts w:ascii="仿宋" w:hAnsi="仿宋" w:eastAsia="仿宋"/>
          <w:sz w:val="24"/>
        </w:rPr>
        <w:t>的</w:t>
      </w:r>
      <w:r>
        <w:rPr>
          <w:rFonts w:hint="eastAsia" w:ascii="仿宋" w:hAnsi="仿宋" w:eastAsia="仿宋"/>
          <w:sz w:val="24"/>
        </w:rPr>
        <w:t>，必须符合其要求。</w:t>
      </w:r>
    </w:p>
    <w:p>
      <w:pPr>
        <w:widowControl/>
        <w:spacing w:line="360" w:lineRule="atLeast"/>
        <w:ind w:firstLine="480" w:firstLineChars="200"/>
        <w:jc w:val="left"/>
        <w:outlineLvl w:val="1"/>
        <w:rPr>
          <w:rFonts w:ascii="仿宋" w:hAnsi="仿宋" w:eastAsia="仿宋"/>
          <w:sz w:val="24"/>
        </w:rPr>
      </w:pPr>
    </w:p>
    <w:p>
      <w:pPr>
        <w:widowControl/>
        <w:spacing w:line="360" w:lineRule="atLeast"/>
        <w:jc w:val="center"/>
        <w:outlineLvl w:val="1"/>
        <w:rPr>
          <w:rFonts w:ascii="仿宋" w:hAnsi="仿宋" w:eastAsia="仿宋"/>
          <w:b/>
          <w:sz w:val="24"/>
        </w:rPr>
      </w:pPr>
      <w:bookmarkStart w:id="145" w:name="_Toc217446083"/>
    </w:p>
    <w:p>
      <w:pPr>
        <w:pStyle w:val="2"/>
        <w:jc w:val="center"/>
        <w:rPr>
          <w:rFonts w:ascii="仿宋" w:hAnsi="仿宋" w:eastAsia="仿宋"/>
          <w:sz w:val="36"/>
          <w:szCs w:val="36"/>
        </w:rPr>
        <w:sectPr>
          <w:pgSz w:w="11907" w:h="16840"/>
          <w:pgMar w:top="1440" w:right="1474" w:bottom="1440" w:left="1474" w:header="851" w:footer="992" w:gutter="0"/>
          <w:cols w:space="720" w:num="1"/>
          <w:docGrid w:linePitch="312" w:charSpace="0"/>
        </w:sectPr>
      </w:pPr>
      <w:bookmarkStart w:id="146" w:name="_Toc1368"/>
      <w:bookmarkStart w:id="147" w:name="_Toc24369"/>
    </w:p>
    <w:p>
      <w:pPr>
        <w:pStyle w:val="2"/>
        <w:jc w:val="center"/>
        <w:rPr>
          <w:rFonts w:ascii="仿宋" w:hAnsi="仿宋" w:eastAsia="仿宋"/>
          <w:sz w:val="36"/>
          <w:szCs w:val="36"/>
        </w:rPr>
      </w:pPr>
      <w:r>
        <w:rPr>
          <w:rFonts w:hint="eastAsia" w:ascii="仿宋" w:hAnsi="仿宋" w:eastAsia="仿宋"/>
          <w:sz w:val="36"/>
          <w:szCs w:val="36"/>
        </w:rPr>
        <w:t>第三章  投标文件格式</w:t>
      </w:r>
      <w:bookmarkEnd w:id="146"/>
      <w:bookmarkEnd w:id="147"/>
      <w:bookmarkStart w:id="148" w:name="_Toc217446082"/>
      <w:bookmarkStart w:id="149" w:name="_Toc308164821"/>
    </w:p>
    <w:p>
      <w:pPr>
        <w:widowControl/>
        <w:spacing w:line="360" w:lineRule="atLeast"/>
        <w:jc w:val="center"/>
        <w:outlineLvl w:val="1"/>
        <w:rPr>
          <w:rFonts w:ascii="仿宋" w:hAnsi="仿宋" w:eastAsia="仿宋"/>
          <w:b/>
          <w:sz w:val="24"/>
        </w:rPr>
      </w:pPr>
    </w:p>
    <w:p>
      <w:pPr>
        <w:widowControl/>
        <w:spacing w:line="360" w:lineRule="atLeast"/>
        <w:ind w:firstLine="470" w:firstLineChars="196"/>
        <w:outlineLvl w:val="1"/>
        <w:rPr>
          <w:rFonts w:ascii="仿宋" w:hAnsi="仿宋" w:eastAsia="仿宋"/>
          <w:sz w:val="24"/>
        </w:rPr>
      </w:pPr>
      <w:r>
        <w:rPr>
          <w:rFonts w:hint="eastAsia" w:ascii="仿宋" w:hAnsi="仿宋" w:eastAsia="仿宋"/>
          <w:sz w:val="24"/>
        </w:rPr>
        <w:t>一、本章所制投标文件格式，除格式中明确将该格式作为实质性要求的，一律不具有强制性。</w:t>
      </w:r>
    </w:p>
    <w:p>
      <w:pPr>
        <w:widowControl/>
        <w:spacing w:line="360" w:lineRule="atLeast"/>
        <w:ind w:firstLine="470" w:firstLineChars="196"/>
        <w:outlineLvl w:val="1"/>
        <w:rPr>
          <w:rFonts w:ascii="仿宋" w:hAnsi="仿宋" w:eastAsia="仿宋"/>
          <w:sz w:val="24"/>
        </w:rPr>
      </w:pPr>
      <w:r>
        <w:rPr>
          <w:rFonts w:hint="eastAsia" w:ascii="仿宋" w:hAnsi="仿宋" w:eastAsia="仿宋"/>
          <w:sz w:val="24"/>
        </w:rPr>
        <w:t>二、本章所制投标文件格式有关表格中的备注栏，由投标人根据自身投标情况作解释性说明，不作为必填项。</w:t>
      </w:r>
    </w:p>
    <w:p>
      <w:pPr>
        <w:widowControl/>
        <w:spacing w:line="360" w:lineRule="atLeast"/>
        <w:ind w:firstLine="470" w:firstLineChars="196"/>
        <w:outlineLvl w:val="1"/>
        <w:rPr>
          <w:rFonts w:ascii="仿宋" w:hAnsi="仿宋" w:eastAsia="仿宋"/>
          <w:sz w:val="24"/>
        </w:rPr>
      </w:pPr>
      <w:r>
        <w:rPr>
          <w:rFonts w:hint="eastAsia" w:ascii="仿宋" w:hAnsi="仿宋" w:eastAsia="仿宋"/>
          <w:sz w:val="24"/>
        </w:rPr>
        <w:t>三、本章所制投标文件格式中需要填写的相关内容事项，可能会与本采购项目无关，在不改变投标文件原义、不影响本项目采购需求的情况下，投标人可以不予填写，但应当注明。</w:t>
      </w:r>
      <w:bookmarkEnd w:id="141"/>
    </w:p>
    <w:p>
      <w:pPr>
        <w:tabs>
          <w:tab w:val="left" w:pos="900"/>
        </w:tabs>
        <w:spacing w:line="360" w:lineRule="auto"/>
        <w:jc w:val="center"/>
        <w:rPr>
          <w:rFonts w:ascii="仿宋" w:hAnsi="仿宋" w:eastAsia="仿宋"/>
          <w:b/>
          <w:sz w:val="32"/>
        </w:rPr>
      </w:pPr>
      <w:r>
        <w:rPr>
          <w:rFonts w:hint="eastAsia" w:ascii="仿宋" w:hAnsi="仿宋" w:eastAsia="仿宋"/>
          <w:b/>
          <w:sz w:val="32"/>
          <w:szCs w:val="32"/>
        </w:rPr>
        <w:br w:type="page"/>
      </w:r>
      <w:bookmarkStart w:id="150" w:name="PO_默认文件内容_24"/>
      <w:r>
        <w:rPr>
          <w:rFonts w:ascii="仿宋" w:hAnsi="仿宋" w:eastAsia="仿宋"/>
          <w:b/>
          <w:sz w:val="32"/>
        </w:rPr>
        <w:t xml:space="preserve">第一部分     </w:t>
      </w:r>
      <w:r>
        <w:rPr>
          <w:rFonts w:hint="eastAsia" w:ascii="仿宋" w:hAnsi="仿宋" w:eastAsia="仿宋"/>
          <w:b/>
          <w:sz w:val="32"/>
        </w:rPr>
        <w:t>“</w:t>
      </w:r>
      <w:r>
        <w:rPr>
          <w:rFonts w:ascii="仿宋" w:hAnsi="仿宋" w:eastAsia="仿宋"/>
          <w:b/>
          <w:sz w:val="32"/>
        </w:rPr>
        <w:t>资格性</w:t>
      </w:r>
      <w:r>
        <w:rPr>
          <w:rFonts w:hint="eastAsia" w:ascii="仿宋" w:hAnsi="仿宋" w:eastAsia="仿宋"/>
          <w:b/>
          <w:sz w:val="32"/>
        </w:rPr>
        <w:t>投标</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line="360" w:lineRule="auto"/>
        <w:rPr>
          <w:rFonts w:ascii="仿宋" w:hAnsi="仿宋" w:eastAsia="仿宋"/>
          <w:b/>
          <w:sz w:val="32"/>
          <w:szCs w:val="32"/>
        </w:rPr>
      </w:pPr>
      <w:r>
        <w:rPr>
          <w:rFonts w:hint="eastAsia" w:ascii="仿宋" w:hAnsi="仿宋" w:eastAsia="仿宋"/>
          <w:b/>
          <w:sz w:val="32"/>
          <w:szCs w:val="32"/>
        </w:rPr>
        <w:t>格式1-1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r>
        <w:rPr>
          <w:rFonts w:ascii="仿宋" w:hAnsi="仿宋" w:eastAsia="仿宋"/>
          <w:b/>
          <w:sz w:val="36"/>
        </w:rPr>
        <w:t>（正本/副本）</w:t>
      </w: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ascii="仿宋" w:hAnsi="仿宋" w:eastAsia="仿宋"/>
          <w:b/>
          <w:sz w:val="40"/>
          <w:szCs w:val="48"/>
          <w:u w:val="single"/>
        </w:rPr>
        <w:t>xxxxx</w:t>
      </w: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资格性投标文件</w:t>
      </w:r>
    </w:p>
    <w:p>
      <w:pPr>
        <w:spacing w:line="360" w:lineRule="auto"/>
        <w:jc w:val="left"/>
        <w:rPr>
          <w:rFonts w:ascii="仿宋" w:hAnsi="仿宋" w:eastAsia="仿宋"/>
          <w:b/>
          <w:sz w:val="32"/>
          <w:u w:val="single"/>
        </w:rPr>
      </w:pPr>
      <w:r>
        <w:rPr>
          <w:rFonts w:hint="eastAsia" w:ascii="仿宋" w:hAnsi="仿宋" w:eastAsia="仿宋"/>
          <w:b/>
          <w:sz w:val="32"/>
        </w:rPr>
        <w:t>投 标 人</w:t>
      </w:r>
      <w:r>
        <w:rPr>
          <w:rFonts w:ascii="仿宋" w:hAnsi="仿宋" w:eastAsia="仿宋"/>
          <w:b/>
          <w:sz w:val="32"/>
        </w:rPr>
        <w:t>名称：</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p>
    <w:p>
      <w:pPr>
        <w:spacing w:line="360" w:lineRule="auto"/>
        <w:ind w:firstLine="790" w:firstLineChars="246"/>
        <w:jc w:val="center"/>
        <w:rPr>
          <w:rFonts w:ascii="仿宋" w:hAnsi="仿宋" w:eastAsia="仿宋"/>
          <w:b/>
          <w:sz w:val="32"/>
        </w:rPr>
      </w:pPr>
    </w:p>
    <w:p>
      <w:pPr>
        <w:spacing w:line="360" w:lineRule="auto"/>
        <w:ind w:firstLine="790" w:firstLineChars="246"/>
        <w:jc w:val="center"/>
        <w:rPr>
          <w:rFonts w:ascii="仿宋" w:hAnsi="仿宋" w:eastAsia="仿宋"/>
          <w:b/>
          <w:sz w:val="32"/>
        </w:rPr>
      </w:pPr>
      <w:r>
        <w:rPr>
          <w:rFonts w:hint="eastAsia" w:ascii="仿宋" w:hAnsi="仿宋" w:eastAsia="仿宋"/>
          <w:b/>
          <w:sz w:val="32"/>
        </w:rPr>
        <w:t>投标时间</w:t>
      </w:r>
      <w:r>
        <w:rPr>
          <w:rFonts w:ascii="仿宋" w:hAnsi="仿宋" w:eastAsia="仿宋"/>
          <w:b/>
          <w:sz w:val="32"/>
        </w:rPr>
        <w:t>：</w:t>
      </w:r>
      <w:r>
        <w:rPr>
          <w:rFonts w:hint="eastAsia" w:ascii="仿宋" w:hAnsi="仿宋" w:eastAsia="仿宋"/>
          <w:b/>
          <w:sz w:val="32"/>
        </w:rPr>
        <w:t xml:space="preserve">年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p>
    <w:p>
      <w:pPr>
        <w:spacing w:after="0" w:line="360" w:lineRule="auto"/>
        <w:rPr>
          <w:rFonts w:ascii="仿宋" w:hAnsi="仿宋" w:eastAsia="仿宋"/>
          <w:b/>
          <w:sz w:val="32"/>
          <w:szCs w:val="32"/>
        </w:rPr>
      </w:pPr>
      <w:r>
        <w:rPr>
          <w:rFonts w:ascii="仿宋" w:hAnsi="仿宋" w:eastAsia="仿宋"/>
          <w:b/>
          <w:sz w:val="32"/>
        </w:rPr>
        <w:br w:type="page"/>
      </w:r>
      <w:r>
        <w:rPr>
          <w:rFonts w:hint="eastAsia" w:ascii="仿宋" w:hAnsi="仿宋" w:eastAsia="仿宋"/>
          <w:b/>
          <w:sz w:val="32"/>
          <w:szCs w:val="32"/>
        </w:rPr>
        <w:t>格式1-2</w:t>
      </w:r>
    </w:p>
    <w:p>
      <w:pPr>
        <w:spacing w:after="0" w:line="360" w:lineRule="auto"/>
        <w:ind w:firstLine="790" w:firstLineChars="246"/>
        <w:jc w:val="center"/>
        <w:rPr>
          <w:rFonts w:ascii="仿宋" w:hAnsi="仿宋" w:eastAsia="仿宋"/>
          <w:b/>
          <w:sz w:val="32"/>
          <w:szCs w:val="32"/>
        </w:rPr>
      </w:pPr>
      <w:r>
        <w:rPr>
          <w:rFonts w:hint="eastAsia" w:ascii="仿宋" w:hAnsi="仿宋" w:eastAsia="仿宋"/>
          <w:b/>
          <w:sz w:val="32"/>
          <w:szCs w:val="32"/>
        </w:rPr>
        <w:t>一、法定代表人/单位负责人授权书</w:t>
      </w:r>
    </w:p>
    <w:p>
      <w:pPr>
        <w:widowControl/>
        <w:spacing w:after="0" w:line="360" w:lineRule="atLeast"/>
        <w:ind w:firstLine="472" w:firstLineChars="196"/>
        <w:jc w:val="left"/>
        <w:outlineLvl w:val="1"/>
        <w:rPr>
          <w:rFonts w:ascii="仿宋" w:hAnsi="仿宋" w:eastAsia="仿宋"/>
          <w:b/>
          <w:sz w:val="24"/>
        </w:rPr>
      </w:pPr>
    </w:p>
    <w:p>
      <w:pPr>
        <w:widowControl/>
        <w:spacing w:after="0" w:line="360" w:lineRule="atLeast"/>
        <w:ind w:firstLine="472" w:firstLineChars="196"/>
        <w:jc w:val="left"/>
        <w:outlineLvl w:val="1"/>
        <w:rPr>
          <w:rFonts w:ascii="仿宋" w:hAnsi="仿宋" w:eastAsia="仿宋"/>
          <w:b/>
          <w:sz w:val="24"/>
        </w:rPr>
      </w:pPr>
    </w:p>
    <w:p>
      <w:pPr>
        <w:widowControl/>
        <w:spacing w:after="0" w:line="360" w:lineRule="atLeast"/>
        <w:jc w:val="left"/>
        <w:outlineLvl w:val="1"/>
        <w:rPr>
          <w:rFonts w:ascii="仿宋" w:hAnsi="仿宋" w:eastAsia="仿宋"/>
          <w:sz w:val="24"/>
        </w:rPr>
      </w:pPr>
      <w:r>
        <w:rPr>
          <w:rFonts w:hint="eastAsia" w:ascii="仿宋" w:hAnsi="仿宋" w:eastAsia="仿宋"/>
          <w:sz w:val="24"/>
        </w:rPr>
        <w:t>XXXXXXXX（采购代理机构名称）：</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特此声明。</w:t>
      </w:r>
    </w:p>
    <w:p>
      <w:pPr>
        <w:widowControl/>
        <w:spacing w:after="0" w:line="360" w:lineRule="atLeast"/>
        <w:ind w:firstLine="470" w:firstLineChars="196"/>
        <w:jc w:val="left"/>
        <w:outlineLvl w:val="1"/>
        <w:rPr>
          <w:rFonts w:ascii="仿宋" w:hAnsi="仿宋" w:eastAsia="仿宋"/>
          <w:sz w:val="24"/>
        </w:rPr>
      </w:pP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法定代表人/单位负责人（委托人）签字或者加盖个人名章：XXXX。</w:t>
      </w:r>
    </w:p>
    <w:p>
      <w:pPr>
        <w:widowControl/>
        <w:spacing w:after="0" w:line="360" w:lineRule="atLeast"/>
        <w:ind w:firstLine="470" w:firstLineChars="196"/>
        <w:jc w:val="left"/>
        <w:outlineLvl w:val="1"/>
        <w:rPr>
          <w:rFonts w:ascii="仿宋" w:hAnsi="仿宋" w:eastAsia="仿宋"/>
          <w:sz w:val="24"/>
        </w:rPr>
      </w:pP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授权代表（被授权人）签字：XXXX。</w:t>
      </w:r>
    </w:p>
    <w:p>
      <w:pPr>
        <w:widowControl/>
        <w:spacing w:after="0" w:line="360" w:lineRule="atLeast"/>
        <w:ind w:firstLine="470" w:firstLineChars="196"/>
        <w:jc w:val="left"/>
        <w:outlineLvl w:val="1"/>
        <w:rPr>
          <w:rFonts w:ascii="仿宋" w:hAnsi="仿宋" w:eastAsia="仿宋"/>
          <w:sz w:val="24"/>
        </w:rPr>
      </w:pP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日    期：XXXX。</w:t>
      </w:r>
    </w:p>
    <w:p>
      <w:pPr>
        <w:widowControl/>
        <w:spacing w:after="0" w:line="360" w:lineRule="atLeast"/>
        <w:jc w:val="left"/>
        <w:outlineLvl w:val="1"/>
        <w:rPr>
          <w:rFonts w:ascii="仿宋" w:hAnsi="仿宋" w:eastAsia="仿宋"/>
          <w:b/>
          <w:sz w:val="24"/>
        </w:rPr>
      </w:pPr>
      <w:bookmarkStart w:id="151" w:name="_Toc217446084"/>
    </w:p>
    <w:p>
      <w:pPr>
        <w:widowControl/>
        <w:spacing w:after="0" w:line="360" w:lineRule="atLeast"/>
        <w:jc w:val="left"/>
        <w:outlineLvl w:val="1"/>
        <w:rPr>
          <w:rFonts w:ascii="仿宋" w:hAnsi="仿宋" w:eastAsia="仿宋"/>
          <w:b/>
          <w:sz w:val="24"/>
        </w:rPr>
      </w:pPr>
    </w:p>
    <w:p>
      <w:pPr>
        <w:widowControl/>
        <w:spacing w:after="0" w:line="360" w:lineRule="atLeast"/>
        <w:jc w:val="left"/>
        <w:outlineLvl w:val="1"/>
        <w:rPr>
          <w:rFonts w:ascii="仿宋" w:hAnsi="仿宋" w:eastAsia="仿宋"/>
          <w:b/>
          <w:sz w:val="24"/>
        </w:rPr>
      </w:pPr>
    </w:p>
    <w:p>
      <w:pPr>
        <w:widowControl/>
        <w:spacing w:after="0" w:line="360" w:lineRule="atLeast"/>
        <w:jc w:val="left"/>
        <w:outlineLvl w:val="1"/>
        <w:rPr>
          <w:rFonts w:ascii="仿宋" w:hAnsi="仿宋" w:eastAsia="仿宋"/>
          <w:b/>
          <w:sz w:val="24"/>
        </w:rPr>
      </w:pPr>
    </w:p>
    <w:p>
      <w:pPr>
        <w:spacing w:after="0" w:line="400" w:lineRule="exact"/>
        <w:ind w:left="840" w:hanging="840" w:hangingChars="350"/>
        <w:jc w:val="left"/>
        <w:rPr>
          <w:rFonts w:ascii="仿宋" w:hAnsi="仿宋" w:eastAsia="仿宋"/>
          <w:sz w:val="24"/>
        </w:rPr>
      </w:pPr>
      <w:r>
        <w:rPr>
          <w:rFonts w:hint="eastAsia" w:ascii="仿宋" w:hAnsi="仿宋" w:eastAsia="仿宋"/>
          <w:sz w:val="24"/>
        </w:rPr>
        <w:t>注：</w:t>
      </w:r>
    </w:p>
    <w:p>
      <w:pPr>
        <w:spacing w:after="0" w:line="400" w:lineRule="exact"/>
        <w:ind w:firstLine="480" w:firstLineChars="200"/>
        <w:rPr>
          <w:rFonts w:ascii="仿宋" w:hAnsi="仿宋" w:eastAsia="仿宋"/>
          <w:sz w:val="24"/>
        </w:rPr>
      </w:pPr>
      <w:r>
        <w:rPr>
          <w:rFonts w:hint="eastAsia" w:ascii="仿宋" w:hAnsi="仿宋" w:eastAsia="仿宋"/>
          <w:sz w:val="24"/>
        </w:rPr>
        <w:t>1、供应商为法人单位时提供“法定代表人授权书”，供应商为其他组织时提供“单位负责人授权书”，供应商为自然人时提供“自然人身份证明材料”。</w:t>
      </w:r>
    </w:p>
    <w:p>
      <w:pPr>
        <w:spacing w:after="0" w:line="400" w:lineRule="exact"/>
        <w:ind w:firstLine="480" w:firstLineChars="200"/>
        <w:rPr>
          <w:rFonts w:ascii="仿宋" w:hAnsi="仿宋" w:eastAsia="仿宋"/>
          <w:sz w:val="24"/>
        </w:rPr>
      </w:pPr>
      <w:r>
        <w:rPr>
          <w:rFonts w:hint="eastAsia" w:ascii="仿宋" w:hAnsi="仿宋" w:eastAsia="仿宋"/>
          <w:sz w:val="24"/>
        </w:rPr>
        <w:t>2、应附法定代表人/单位负责人身份证明材料复印件和授权代表身份证明材料复印件。</w:t>
      </w:r>
    </w:p>
    <w:p>
      <w:pPr>
        <w:spacing w:after="0" w:line="400" w:lineRule="exact"/>
        <w:ind w:firstLine="480" w:firstLineChars="200"/>
        <w:rPr>
          <w:rFonts w:ascii="仿宋" w:hAnsi="仿宋" w:eastAsia="仿宋"/>
          <w:sz w:val="24"/>
        </w:rPr>
      </w:pPr>
      <w:r>
        <w:rPr>
          <w:rFonts w:hint="eastAsia" w:ascii="仿宋" w:hAnsi="仿宋" w:eastAsia="仿宋"/>
          <w:sz w:val="24"/>
        </w:rPr>
        <w:t>3、身份证明材料包括居民身份证或户口本或军官证或护照等。</w:t>
      </w:r>
    </w:p>
    <w:p>
      <w:pPr>
        <w:spacing w:after="0" w:line="400" w:lineRule="exact"/>
        <w:ind w:firstLine="480" w:firstLineChars="200"/>
        <w:rPr>
          <w:rFonts w:ascii="仿宋" w:hAnsi="仿宋" w:eastAsia="仿宋"/>
          <w:sz w:val="24"/>
        </w:rPr>
      </w:pPr>
      <w:r>
        <w:rPr>
          <w:rFonts w:hint="eastAsia" w:ascii="仿宋" w:hAnsi="仿宋" w:eastAsia="仿宋"/>
          <w:sz w:val="24"/>
        </w:rPr>
        <w:t>4、身份证明材料应同时提供其在有效期的材料，如居民身份证正、反面复印件。</w:t>
      </w:r>
    </w:p>
    <w:p>
      <w:pPr>
        <w:widowControl/>
        <w:spacing w:line="360" w:lineRule="atLeast"/>
        <w:jc w:val="left"/>
        <w:outlineLvl w:val="1"/>
        <w:rPr>
          <w:rFonts w:ascii="仿宋" w:hAnsi="仿宋" w:eastAsia="仿宋"/>
          <w:b/>
          <w:sz w:val="24"/>
        </w:rPr>
      </w:pPr>
    </w:p>
    <w:bookmarkEnd w:id="151"/>
    <w:p>
      <w:pPr>
        <w:spacing w:line="360" w:lineRule="auto"/>
        <w:ind w:firstLine="790" w:firstLineChars="246"/>
        <w:jc w:val="center"/>
        <w:rPr>
          <w:rFonts w:ascii="仿宋" w:hAnsi="仿宋" w:eastAsia="仿宋"/>
          <w:b/>
          <w:sz w:val="32"/>
        </w:rPr>
      </w:pPr>
    </w:p>
    <w:p>
      <w:pPr>
        <w:spacing w:line="360" w:lineRule="auto"/>
        <w:rPr>
          <w:rFonts w:ascii="仿宋" w:hAnsi="仿宋" w:eastAsia="仿宋"/>
          <w:b/>
          <w:sz w:val="32"/>
          <w:szCs w:val="32"/>
        </w:rPr>
      </w:pPr>
      <w:r>
        <w:rPr>
          <w:rFonts w:hint="eastAsia" w:ascii="仿宋" w:hAnsi="仿宋" w:eastAsia="仿宋"/>
          <w:b/>
          <w:sz w:val="32"/>
          <w:szCs w:val="32"/>
        </w:rPr>
        <w:br w:type="page"/>
      </w:r>
      <w:r>
        <w:rPr>
          <w:rFonts w:hint="eastAsia" w:ascii="仿宋" w:hAnsi="仿宋" w:eastAsia="仿宋"/>
          <w:b/>
          <w:sz w:val="32"/>
          <w:szCs w:val="32"/>
        </w:rPr>
        <w:t>格式1-3</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二、承诺函</w:t>
      </w:r>
    </w:p>
    <w:p>
      <w:pPr>
        <w:widowControl/>
        <w:spacing w:line="360" w:lineRule="atLeast"/>
        <w:jc w:val="center"/>
        <w:outlineLvl w:val="1"/>
        <w:rPr>
          <w:rFonts w:ascii="仿宋" w:hAnsi="仿宋" w:eastAsia="仿宋"/>
          <w:b/>
          <w:sz w:val="24"/>
        </w:rPr>
      </w:pPr>
    </w:p>
    <w:p>
      <w:pPr>
        <w:widowControl/>
        <w:spacing w:line="360" w:lineRule="atLeast"/>
        <w:jc w:val="left"/>
        <w:outlineLvl w:val="1"/>
        <w:rPr>
          <w:rFonts w:ascii="仿宋" w:hAnsi="仿宋" w:eastAsia="仿宋"/>
          <w:sz w:val="24"/>
        </w:rPr>
      </w:pPr>
      <w:r>
        <w:rPr>
          <w:rFonts w:hint="eastAsia" w:ascii="仿宋" w:hAnsi="仿宋" w:eastAsia="仿宋"/>
          <w:sz w:val="24"/>
        </w:rPr>
        <w:t>XXXX（采购代理机构名称）：</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我单位作为本次采购项目的投标人，根据招标文件要求，现郑重承诺如下：</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具备《中华人民共和国政府采购法》第二十二条第一款和本项目规定的条件：</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（一）具有独立承担民事责任的能力；</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（二）具有良好的商业信誉和健全的财务会计制度；</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（三）具有履行合同所必需的设备和专业技术能力；</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（四）有依法缴纳税收和社会保障资金的良好记录；</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（五）参加政府采购活动前三年内，在经营活动中没有重大违法记录；</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（六）法律、行政法规规定的其他条件；</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（七）根据采购项目提出的特殊条件</w:t>
      </w:r>
      <w:r>
        <w:rPr>
          <w:rFonts w:ascii="仿宋" w:hAnsi="仿宋" w:eastAsia="仿宋"/>
          <w:sz w:val="24"/>
        </w:rPr>
        <w:t>。</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投标人名称：XXXX（单位公章）。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日    期：XXXX。</w:t>
      </w:r>
    </w:p>
    <w:p>
      <w:pPr>
        <w:spacing w:line="360" w:lineRule="auto"/>
        <w:rPr>
          <w:rFonts w:ascii="仿宋" w:hAnsi="仿宋" w:eastAsia="仿宋" w:cs="宋体"/>
          <w:bCs/>
          <w:sz w:val="24"/>
        </w:rPr>
      </w:pPr>
      <w:r>
        <w:rPr>
          <w:rFonts w:hint="eastAsia" w:ascii="仿宋" w:hAnsi="仿宋" w:eastAsia="仿宋"/>
          <w:sz w:val="24"/>
        </w:rPr>
        <w:br w:type="page"/>
      </w:r>
    </w:p>
    <w:p>
      <w:pPr>
        <w:spacing w:line="360" w:lineRule="auto"/>
        <w:rPr>
          <w:rFonts w:ascii="仿宋" w:hAnsi="仿宋" w:eastAsia="仿宋"/>
          <w:b/>
          <w:sz w:val="32"/>
          <w:szCs w:val="32"/>
        </w:rPr>
      </w:pPr>
      <w:r>
        <w:rPr>
          <w:rFonts w:hint="eastAsia" w:ascii="仿宋" w:hAnsi="仿宋" w:eastAsia="仿宋"/>
          <w:b/>
          <w:sz w:val="32"/>
          <w:szCs w:val="32"/>
        </w:rPr>
        <w:t>格式1-4</w:t>
      </w:r>
    </w:p>
    <w:p>
      <w:pPr>
        <w:spacing w:line="360" w:lineRule="auto"/>
        <w:ind w:firstLine="790" w:firstLineChars="246"/>
        <w:jc w:val="center"/>
        <w:rPr>
          <w:rFonts w:ascii="仿宋" w:hAnsi="仿宋" w:eastAsia="仿宋"/>
          <w:b/>
          <w:sz w:val="32"/>
          <w:szCs w:val="32"/>
        </w:rPr>
      </w:pPr>
      <w:r>
        <w:rPr>
          <w:rFonts w:hint="eastAsia" w:ascii="仿宋" w:hAnsi="仿宋" w:eastAsia="仿宋"/>
          <w:b/>
          <w:sz w:val="32"/>
          <w:szCs w:val="32"/>
        </w:rPr>
        <w:t>投标人和投标产品其他资格、资质性及其他类似效力要求的相关证明材料</w:t>
      </w:r>
    </w:p>
    <w:p>
      <w:pPr>
        <w:spacing w:line="360" w:lineRule="auto"/>
        <w:rPr>
          <w:rFonts w:ascii="仿宋" w:hAnsi="仿宋" w:eastAsia="仿宋" w:cs="宋体"/>
          <w:bCs/>
          <w:sz w:val="24"/>
        </w:rPr>
      </w:pPr>
      <w:r>
        <w:rPr>
          <w:rFonts w:hint="eastAsia" w:ascii="仿宋" w:hAnsi="仿宋" w:eastAsia="仿宋" w:cs="宋体"/>
          <w:bCs/>
          <w:sz w:val="24"/>
        </w:rPr>
        <w:t>注：投标人应按招标文件第五章相关要求提供佐证材料，有格式要求的从其要求，无格式要求的格式自拟。</w:t>
      </w: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ascii="仿宋" w:hAnsi="仿宋" w:eastAsia="仿宋"/>
          <w:b/>
          <w:sz w:val="32"/>
        </w:rPr>
        <w:t>第</w:t>
      </w:r>
      <w:r>
        <w:rPr>
          <w:rFonts w:hint="eastAsia" w:ascii="仿宋" w:hAnsi="仿宋" w:eastAsia="仿宋"/>
          <w:b/>
          <w:sz w:val="32"/>
        </w:rPr>
        <w:t>二</w:t>
      </w:r>
      <w:r>
        <w:rPr>
          <w:rFonts w:ascii="仿宋" w:hAnsi="仿宋" w:eastAsia="仿宋"/>
          <w:b/>
          <w:sz w:val="32"/>
        </w:rPr>
        <w:t xml:space="preserve">部分     </w:t>
      </w:r>
      <w:r>
        <w:rPr>
          <w:rFonts w:hint="eastAsia" w:ascii="仿宋" w:hAnsi="仿宋" w:eastAsia="仿宋"/>
          <w:b/>
          <w:sz w:val="32"/>
        </w:rPr>
        <w:t>“其他响应性投标</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line="360" w:lineRule="auto"/>
        <w:rPr>
          <w:rFonts w:ascii="仿宋" w:hAnsi="仿宋" w:eastAsia="仿宋"/>
          <w:b/>
          <w:sz w:val="32"/>
          <w:szCs w:val="32"/>
        </w:rPr>
      </w:pPr>
      <w:r>
        <w:rPr>
          <w:rFonts w:hint="eastAsia" w:ascii="仿宋" w:hAnsi="仿宋" w:eastAsia="仿宋"/>
          <w:b/>
          <w:sz w:val="32"/>
          <w:szCs w:val="32"/>
        </w:rPr>
        <w:t>格式2-1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r>
        <w:rPr>
          <w:rFonts w:ascii="仿宋" w:hAnsi="仿宋" w:eastAsia="仿宋"/>
          <w:b/>
          <w:sz w:val="36"/>
        </w:rPr>
        <w:t>（正本/副本）</w:t>
      </w: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其他响应性投标文件</w:t>
      </w:r>
    </w:p>
    <w:p>
      <w:pPr>
        <w:spacing w:line="360" w:lineRule="auto"/>
        <w:rPr>
          <w:rFonts w:ascii="仿宋" w:hAnsi="仿宋" w:eastAsia="仿宋"/>
          <w:b/>
          <w:sz w:val="36"/>
        </w:rPr>
      </w:pPr>
    </w:p>
    <w:p>
      <w:pPr>
        <w:spacing w:line="360" w:lineRule="auto"/>
        <w:jc w:val="left"/>
        <w:rPr>
          <w:rFonts w:ascii="仿宋" w:hAnsi="仿宋" w:eastAsia="仿宋"/>
          <w:b/>
          <w:sz w:val="32"/>
          <w:u w:val="single"/>
        </w:rPr>
      </w:pPr>
      <w:r>
        <w:rPr>
          <w:rFonts w:hint="eastAsia" w:ascii="仿宋" w:hAnsi="仿宋" w:eastAsia="仿宋"/>
          <w:b/>
          <w:sz w:val="32"/>
        </w:rPr>
        <w:t>投 标 人</w:t>
      </w:r>
      <w:r>
        <w:rPr>
          <w:rFonts w:ascii="仿宋" w:hAnsi="仿宋" w:eastAsia="仿宋"/>
          <w:b/>
          <w:sz w:val="32"/>
        </w:rPr>
        <w:t>名称：</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p>
    <w:p>
      <w:pPr>
        <w:spacing w:line="360" w:lineRule="auto"/>
        <w:ind w:firstLine="790" w:firstLineChars="246"/>
        <w:jc w:val="center"/>
        <w:rPr>
          <w:rFonts w:ascii="仿宋" w:hAnsi="仿宋" w:eastAsia="仿宋"/>
          <w:b/>
          <w:sz w:val="32"/>
        </w:rPr>
      </w:pPr>
    </w:p>
    <w:p>
      <w:pPr>
        <w:spacing w:line="360" w:lineRule="auto"/>
        <w:ind w:firstLine="790" w:firstLineChars="246"/>
        <w:jc w:val="left"/>
        <w:rPr>
          <w:rFonts w:ascii="仿宋" w:hAnsi="仿宋" w:eastAsia="仿宋"/>
          <w:b/>
          <w:sz w:val="32"/>
          <w:szCs w:val="32"/>
        </w:rPr>
      </w:pPr>
      <w:r>
        <w:rPr>
          <w:rFonts w:hint="eastAsia" w:ascii="仿宋" w:hAnsi="仿宋" w:eastAsia="仿宋"/>
          <w:b/>
          <w:sz w:val="32"/>
        </w:rPr>
        <w:t xml:space="preserve">        投标时间</w:t>
      </w:r>
      <w:r>
        <w:rPr>
          <w:rFonts w:ascii="仿宋" w:hAnsi="仿宋" w:eastAsia="仿宋"/>
          <w:b/>
          <w:sz w:val="32"/>
        </w:rPr>
        <w:t>：</w:t>
      </w:r>
      <w:r>
        <w:rPr>
          <w:rFonts w:hint="eastAsia" w:ascii="仿宋" w:hAnsi="仿宋" w:eastAsia="仿宋"/>
          <w:b/>
          <w:sz w:val="32"/>
        </w:rPr>
        <w:t xml:space="preserve"> 年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r>
        <w:rPr>
          <w:rFonts w:ascii="仿宋" w:hAnsi="仿宋" w:eastAsia="仿宋"/>
          <w:b/>
          <w:sz w:val="32"/>
        </w:rPr>
        <w:br w:type="page"/>
      </w:r>
      <w:r>
        <w:rPr>
          <w:rFonts w:hint="eastAsia" w:ascii="仿宋" w:hAnsi="仿宋" w:eastAsia="仿宋"/>
          <w:b/>
          <w:sz w:val="32"/>
          <w:szCs w:val="32"/>
        </w:rPr>
        <w:t>格式2-2</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一、投 标 函</w:t>
      </w:r>
      <w:bookmarkEnd w:id="148"/>
      <w:bookmarkEnd w:id="149"/>
    </w:p>
    <w:p>
      <w:pPr>
        <w:widowControl/>
        <w:spacing w:line="360" w:lineRule="atLeast"/>
        <w:jc w:val="center"/>
        <w:outlineLvl w:val="1"/>
        <w:rPr>
          <w:rFonts w:ascii="仿宋" w:hAnsi="仿宋" w:eastAsia="仿宋"/>
          <w:b/>
          <w:sz w:val="24"/>
        </w:rPr>
      </w:pPr>
    </w:p>
    <w:p>
      <w:pPr>
        <w:widowControl/>
        <w:spacing w:line="360" w:lineRule="atLeast"/>
        <w:jc w:val="left"/>
        <w:outlineLvl w:val="1"/>
        <w:rPr>
          <w:rFonts w:ascii="仿宋" w:hAnsi="仿宋" w:eastAsia="仿宋"/>
          <w:sz w:val="24"/>
        </w:rPr>
      </w:pPr>
      <w:r>
        <w:rPr>
          <w:rFonts w:hint="eastAsia" w:ascii="仿宋" w:hAnsi="仿宋" w:eastAsia="仿宋"/>
          <w:sz w:val="24"/>
        </w:rPr>
        <w:t>XXXX（采购代理机构名称）：</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我方全面研究了“</w:t>
      </w:r>
      <w:r>
        <w:rPr>
          <w:rFonts w:hint="eastAsia" w:ascii="仿宋" w:hAnsi="仿宋" w:eastAsia="仿宋"/>
          <w:sz w:val="24"/>
          <w:u w:val="single"/>
        </w:rPr>
        <w:t>XXXXXXXX</w:t>
      </w:r>
      <w:r>
        <w:rPr>
          <w:rFonts w:hint="eastAsia" w:ascii="仿宋" w:hAnsi="仿宋" w:eastAsia="仿宋"/>
          <w:sz w:val="24"/>
        </w:rPr>
        <w:t>”项目（招标编号：</w:t>
      </w:r>
      <w:r>
        <w:rPr>
          <w:rFonts w:hint="eastAsia" w:ascii="仿宋" w:hAnsi="仿宋" w:eastAsia="仿宋"/>
          <w:sz w:val="24"/>
          <w:u w:val="single"/>
        </w:rPr>
        <w:t>XXXX</w:t>
      </w:r>
      <w:r>
        <w:rPr>
          <w:rFonts w:hint="eastAsia" w:ascii="仿宋" w:hAnsi="仿宋" w:eastAsia="仿宋"/>
          <w:sz w:val="24"/>
        </w:rPr>
        <w:t>）招标文件，决定参加贵单位组织的本项目投标。我方授权</w:t>
      </w:r>
      <w:r>
        <w:rPr>
          <w:rFonts w:hint="eastAsia" w:ascii="仿宋" w:hAnsi="仿宋" w:eastAsia="仿宋"/>
          <w:sz w:val="24"/>
          <w:u w:val="single"/>
        </w:rPr>
        <w:t>XXXX</w:t>
      </w:r>
      <w:r>
        <w:rPr>
          <w:rFonts w:hint="eastAsia" w:ascii="仿宋" w:hAnsi="仿宋" w:eastAsia="仿宋"/>
          <w:sz w:val="24"/>
        </w:rPr>
        <w:t>（姓名、职务）代表我方</w:t>
      </w:r>
      <w:r>
        <w:rPr>
          <w:rFonts w:hint="eastAsia" w:ascii="仿宋" w:hAnsi="仿宋" w:eastAsia="仿宋"/>
          <w:sz w:val="24"/>
          <w:u w:val="single"/>
        </w:rPr>
        <w:t>XXXXXXXX</w:t>
      </w:r>
      <w:r>
        <w:rPr>
          <w:rFonts w:hint="eastAsia" w:ascii="仿宋" w:hAnsi="仿宋" w:eastAsia="仿宋"/>
          <w:sz w:val="24"/>
        </w:rPr>
        <w:t>（投标单位的名称）全权处理本项目投标的有关事宜。</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一、我方自愿按照招标文件规定的各项要求向采购人提供所需货物/服务。</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二、一旦我方中标，我方将严格履行政府采购合同规定的责任和义务。</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三、我方为本项目提交的投标文件正本壹份，副本</w:t>
      </w:r>
      <w:r>
        <w:rPr>
          <w:rFonts w:hint="eastAsia" w:ascii="仿宋" w:hAnsi="仿宋" w:eastAsia="仿宋"/>
          <w:sz w:val="24"/>
          <w:u w:val="single"/>
        </w:rPr>
        <w:t>XXXX</w:t>
      </w:r>
      <w:r>
        <w:rPr>
          <w:rFonts w:hint="eastAsia" w:ascii="仿宋" w:hAnsi="仿宋" w:eastAsia="仿宋"/>
          <w:sz w:val="24"/>
        </w:rPr>
        <w:t>份。</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四、我方同意本次招标的投标有效期为投标截止时间届满后</w:t>
      </w:r>
      <w:r>
        <w:rPr>
          <w:rFonts w:hint="eastAsia" w:ascii="仿宋" w:hAnsi="仿宋" w:eastAsia="仿宋"/>
          <w:sz w:val="24"/>
          <w:u w:val="single"/>
        </w:rPr>
        <w:t>XXXX</w:t>
      </w:r>
      <w:r>
        <w:rPr>
          <w:rFonts w:hint="eastAsia" w:ascii="仿宋" w:hAnsi="仿宋" w:eastAsia="仿宋"/>
          <w:sz w:val="24"/>
        </w:rPr>
        <w:t>天，</w:t>
      </w:r>
      <w:r>
        <w:rPr>
          <w:rFonts w:ascii="仿宋" w:hAnsi="仿宋" w:eastAsia="仿宋"/>
          <w:sz w:val="24"/>
        </w:rPr>
        <w:t>并满足招标文件</w:t>
      </w:r>
      <w:r>
        <w:rPr>
          <w:rFonts w:hint="eastAsia" w:ascii="仿宋" w:hAnsi="仿宋" w:eastAsia="仿宋"/>
          <w:sz w:val="24"/>
        </w:rPr>
        <w:t>中其他</w:t>
      </w:r>
      <w:r>
        <w:rPr>
          <w:rFonts w:ascii="仿宋" w:hAnsi="仿宋" w:eastAsia="仿宋"/>
          <w:sz w:val="24"/>
        </w:rPr>
        <w:t>关于</w:t>
      </w:r>
      <w:r>
        <w:rPr>
          <w:rFonts w:hint="eastAsia" w:ascii="仿宋" w:hAnsi="仿宋" w:eastAsia="仿宋"/>
          <w:sz w:val="24"/>
        </w:rPr>
        <w:t>投标有效期的</w:t>
      </w:r>
      <w:r>
        <w:rPr>
          <w:rFonts w:ascii="仿宋" w:hAnsi="仿宋" w:eastAsia="仿宋"/>
          <w:sz w:val="24"/>
        </w:rPr>
        <w:t>实质性要求</w:t>
      </w:r>
      <w:r>
        <w:rPr>
          <w:rFonts w:hint="eastAsia" w:ascii="仿宋" w:hAnsi="仿宋" w:eastAsia="仿宋"/>
          <w:sz w:val="24"/>
        </w:rPr>
        <w:t>。</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五、我方愿意提供贵单位可能另外要求的，与投标有关的文件资料，并保证我方已提供和将要提供的文件资料是真实、准确的。</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投标人名称：XXXX（单位公章）。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通讯地址：XXXX。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邮政编码：XXXX。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联系电话：XXXX。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传    真：XXXX。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日    期：XXXX年XXXX月XXXX日。</w:t>
      </w:r>
    </w:p>
    <w:p>
      <w:pPr>
        <w:widowControl/>
        <w:spacing w:after="0" w:line="240" w:lineRule="auto"/>
        <w:jc w:val="left"/>
        <w:outlineLvl w:val="1"/>
        <w:rPr>
          <w:rFonts w:ascii="仿宋" w:hAnsi="仿宋" w:eastAsia="仿宋"/>
          <w:b/>
          <w:sz w:val="32"/>
          <w:szCs w:val="32"/>
        </w:rPr>
      </w:pPr>
      <w:bookmarkStart w:id="152" w:name="_Toc308164824"/>
      <w:r>
        <w:rPr>
          <w:rFonts w:hint="eastAsia" w:ascii="仿宋" w:hAnsi="仿宋" w:eastAsia="仿宋"/>
          <w:b/>
          <w:sz w:val="32"/>
          <w:szCs w:val="32"/>
        </w:rPr>
        <w:br w:type="page"/>
      </w:r>
      <w:r>
        <w:rPr>
          <w:rFonts w:hint="eastAsia" w:ascii="仿宋" w:hAnsi="仿宋" w:eastAsia="仿宋"/>
          <w:b/>
          <w:sz w:val="32"/>
          <w:szCs w:val="32"/>
        </w:rPr>
        <w:t>格式2-3</w:t>
      </w:r>
    </w:p>
    <w:p>
      <w:pPr>
        <w:widowControl/>
        <w:spacing w:after="0" w:line="240" w:lineRule="auto"/>
        <w:jc w:val="center"/>
        <w:outlineLvl w:val="1"/>
        <w:rPr>
          <w:rFonts w:ascii="仿宋" w:hAnsi="仿宋" w:eastAsia="仿宋"/>
          <w:b/>
          <w:sz w:val="32"/>
          <w:szCs w:val="32"/>
        </w:rPr>
      </w:pPr>
      <w:r>
        <w:rPr>
          <w:rFonts w:hint="eastAsia" w:ascii="仿宋" w:hAnsi="仿宋" w:eastAsia="仿宋"/>
          <w:b/>
          <w:sz w:val="32"/>
          <w:szCs w:val="32"/>
        </w:rPr>
        <w:t>二、承诺函</w:t>
      </w:r>
      <w:r>
        <w:rPr>
          <w:rFonts w:hint="eastAsia" w:ascii="仿宋" w:hAnsi="仿宋" w:eastAsia="仿宋"/>
          <w:sz w:val="32"/>
          <w:szCs w:val="32"/>
        </w:rPr>
        <w:t>（实质性要求）</w:t>
      </w:r>
    </w:p>
    <w:p>
      <w:pPr>
        <w:widowControl/>
        <w:spacing w:after="0" w:line="240" w:lineRule="auto"/>
        <w:jc w:val="center"/>
        <w:outlineLvl w:val="1"/>
        <w:rPr>
          <w:rFonts w:ascii="仿宋" w:hAnsi="仿宋" w:eastAsia="仿宋"/>
          <w:b/>
          <w:sz w:val="24"/>
        </w:rPr>
      </w:pPr>
    </w:p>
    <w:p>
      <w:pPr>
        <w:widowControl/>
        <w:spacing w:after="0" w:line="460" w:lineRule="exact"/>
        <w:jc w:val="left"/>
        <w:outlineLvl w:val="1"/>
        <w:rPr>
          <w:rFonts w:ascii="仿宋" w:hAnsi="仿宋" w:eastAsia="仿宋"/>
          <w:sz w:val="24"/>
        </w:rPr>
      </w:pPr>
      <w:r>
        <w:rPr>
          <w:rFonts w:hint="eastAsia" w:ascii="仿宋" w:hAnsi="仿宋" w:eastAsia="仿宋"/>
          <w:sz w:val="24"/>
        </w:rPr>
        <w:t>XXXX（采购代理机构名称）：</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我方作为本次采购项目的投标人，根据招标文件要求，现郑重承诺如下：</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一、我方已认真阅读并接受本项目招标文件第二章的全部实质性要求</w:t>
      </w:r>
      <w:r>
        <w:rPr>
          <w:rFonts w:ascii="仿宋" w:hAnsi="仿宋" w:eastAsia="仿宋"/>
          <w:sz w:val="24"/>
        </w:rPr>
        <w:t>，如对招标文件有异议，</w:t>
      </w:r>
      <w:r>
        <w:rPr>
          <w:rFonts w:hint="eastAsia" w:ascii="仿宋" w:hAnsi="仿宋" w:eastAsia="仿宋"/>
          <w:sz w:val="24"/>
        </w:rPr>
        <w:t>已</w:t>
      </w:r>
      <w:r>
        <w:rPr>
          <w:rFonts w:ascii="仿宋" w:hAnsi="仿宋" w:eastAsia="仿宋"/>
          <w:sz w:val="24"/>
        </w:rPr>
        <w:t>依法进行维权救济，不存在对招标文件有异议的同时又参加投标以求侥幸中标或者为实现其他非法目的的行为。</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二、参加本次招标采购活动，不存在与单位负责人为同一人或者存在直接控股、管理关系的其他供应商参与同一合同项下的政府采购活动的行为。</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三</w:t>
      </w:r>
      <w:r>
        <w:rPr>
          <w:rFonts w:ascii="仿宋" w:hAnsi="仿宋" w:eastAsia="仿宋"/>
          <w:sz w:val="24"/>
        </w:rPr>
        <w:t>、</w:t>
      </w:r>
      <w:r>
        <w:rPr>
          <w:rFonts w:hint="eastAsia" w:ascii="仿宋" w:hAnsi="仿宋" w:eastAsia="仿宋"/>
          <w:sz w:val="24"/>
        </w:rPr>
        <w:t>为采购项目提供整体设计、规范编制或者项目管理、监理、检测等服务的供应商，不得再参加该采购项目的其他采购活动，我方</w:t>
      </w:r>
      <w:r>
        <w:rPr>
          <w:rFonts w:ascii="仿宋" w:hAnsi="仿宋" w:eastAsia="仿宋"/>
          <w:sz w:val="24"/>
        </w:rPr>
        <w:t>承诺</w:t>
      </w:r>
      <w:r>
        <w:rPr>
          <w:rFonts w:hint="eastAsia" w:ascii="仿宋" w:hAnsi="仿宋" w:eastAsia="仿宋"/>
          <w:sz w:val="24"/>
        </w:rPr>
        <w:t>不属于此类禁止参加本项目的供应商</w:t>
      </w:r>
      <w:r>
        <w:rPr>
          <w:rFonts w:ascii="仿宋" w:hAnsi="仿宋" w:eastAsia="仿宋"/>
          <w:sz w:val="24"/>
        </w:rPr>
        <w:t>。</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四、参加本次招标采购活动，不存在和其他供应商在同一合同项下的采购项目中，同时委托同一个自然人、同一家庭的人员、同一单位的人员作为代理人的行为。</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五、投标文件中提供的能够给予我方带来优惠、好处的任何材料资料和技术、服务、商务、响应产品等响应承诺情况都是真实的、有效的、合法的。</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七、国家或行业主管部门对采购产品的技术标准、质量标准和资格资质条件等有强制性规定的，我方</w:t>
      </w:r>
      <w:r>
        <w:rPr>
          <w:rFonts w:ascii="仿宋" w:hAnsi="仿宋" w:eastAsia="仿宋"/>
          <w:sz w:val="24"/>
        </w:rPr>
        <w:t>承诺符合其要求。</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八、参加本次招标采购活动，</w:t>
      </w:r>
      <w:r>
        <w:rPr>
          <w:rFonts w:ascii="仿宋" w:hAnsi="仿宋" w:eastAsia="仿宋"/>
          <w:sz w:val="24"/>
        </w:rPr>
        <w:t>我方</w:t>
      </w:r>
      <w:r>
        <w:rPr>
          <w:rFonts w:hint="eastAsia" w:ascii="仿宋" w:hAnsi="仿宋" w:eastAsia="仿宋"/>
          <w:sz w:val="24"/>
        </w:rPr>
        <w:t>完全同意</w:t>
      </w:r>
      <w:r>
        <w:rPr>
          <w:rFonts w:ascii="仿宋" w:hAnsi="仿宋" w:eastAsia="仿宋"/>
          <w:sz w:val="24"/>
        </w:rPr>
        <w:t>招标文件第二章关于“</w:t>
      </w:r>
      <w:r>
        <w:rPr>
          <w:rFonts w:hint="eastAsia" w:ascii="仿宋" w:hAnsi="仿宋" w:eastAsia="仿宋"/>
          <w:sz w:val="24"/>
        </w:rPr>
        <w:t>投标</w:t>
      </w:r>
      <w:r>
        <w:rPr>
          <w:rFonts w:ascii="仿宋" w:hAnsi="仿宋" w:eastAsia="仿宋"/>
          <w:sz w:val="24"/>
        </w:rPr>
        <w:t>费用”</w:t>
      </w:r>
      <w:r>
        <w:rPr>
          <w:rFonts w:hint="eastAsia" w:ascii="仿宋" w:hAnsi="仿宋" w:eastAsia="仿宋"/>
          <w:sz w:val="24"/>
        </w:rPr>
        <w:t>、“合同</w:t>
      </w:r>
      <w:r>
        <w:rPr>
          <w:rFonts w:ascii="仿宋" w:hAnsi="仿宋" w:eastAsia="仿宋"/>
          <w:sz w:val="24"/>
        </w:rPr>
        <w:t>分包</w:t>
      </w:r>
      <w:r>
        <w:rPr>
          <w:rFonts w:hint="eastAsia" w:ascii="仿宋" w:hAnsi="仿宋" w:eastAsia="仿宋"/>
          <w:sz w:val="24"/>
        </w:rPr>
        <w:t>”、</w:t>
      </w:r>
      <w:r>
        <w:rPr>
          <w:rFonts w:ascii="仿宋" w:hAnsi="仿宋" w:eastAsia="仿宋"/>
          <w:sz w:val="24"/>
        </w:rPr>
        <w:t>“</w:t>
      </w:r>
      <w:r>
        <w:rPr>
          <w:rFonts w:hint="eastAsia" w:ascii="仿宋" w:hAnsi="仿宋" w:eastAsia="仿宋"/>
          <w:sz w:val="24"/>
        </w:rPr>
        <w:t>合同</w:t>
      </w:r>
      <w:r>
        <w:rPr>
          <w:rFonts w:ascii="仿宋" w:hAnsi="仿宋" w:eastAsia="仿宋"/>
          <w:sz w:val="24"/>
        </w:rPr>
        <w:t>转包”</w:t>
      </w:r>
      <w:r>
        <w:rPr>
          <w:rFonts w:hint="eastAsia" w:ascii="仿宋" w:hAnsi="仿宋" w:eastAsia="仿宋"/>
          <w:sz w:val="24"/>
        </w:rPr>
        <w:t>的</w:t>
      </w:r>
      <w:r>
        <w:rPr>
          <w:rFonts w:ascii="仿宋" w:hAnsi="仿宋" w:eastAsia="仿宋"/>
          <w:sz w:val="24"/>
        </w:rPr>
        <w:t>实质性要求</w:t>
      </w:r>
      <w:r>
        <w:rPr>
          <w:rFonts w:hint="eastAsia" w:ascii="仿宋" w:hAnsi="仿宋" w:eastAsia="仿宋"/>
          <w:sz w:val="24"/>
        </w:rPr>
        <w:t>，</w:t>
      </w:r>
      <w:r>
        <w:rPr>
          <w:rFonts w:ascii="仿宋" w:hAnsi="仿宋" w:eastAsia="仿宋"/>
          <w:sz w:val="24"/>
        </w:rPr>
        <w:t>并承诺严格按照招标文件要求</w:t>
      </w:r>
      <w:r>
        <w:rPr>
          <w:rFonts w:hint="eastAsia" w:ascii="仿宋" w:hAnsi="仿宋" w:eastAsia="仿宋"/>
          <w:sz w:val="24"/>
        </w:rPr>
        <w:t>履行</w:t>
      </w:r>
      <w:r>
        <w:rPr>
          <w:rFonts w:ascii="仿宋" w:hAnsi="仿宋" w:eastAsia="仿宋"/>
          <w:sz w:val="24"/>
        </w:rPr>
        <w:t>。</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九、在本次投标之前一周年内，投标人本次投标中对同一品牌同一型号相同配置的产品报价与其在中国境内其他地方的最低报价比例不得高于20%，</w:t>
      </w:r>
      <w:r>
        <w:rPr>
          <w:rFonts w:ascii="仿宋" w:hAnsi="仿宋" w:eastAsia="仿宋"/>
          <w:sz w:val="24"/>
        </w:rPr>
        <w:t>我方承诺符合</w:t>
      </w:r>
      <w:r>
        <w:rPr>
          <w:rFonts w:hint="eastAsia" w:ascii="仿宋" w:hAnsi="仿宋" w:eastAsia="仿宋"/>
          <w:sz w:val="24"/>
        </w:rPr>
        <w:t>该</w:t>
      </w:r>
      <w:r>
        <w:rPr>
          <w:rFonts w:ascii="仿宋" w:hAnsi="仿宋" w:eastAsia="仿宋"/>
          <w:sz w:val="24"/>
        </w:rPr>
        <w:t>要求。</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eastAsia="仿宋"/>
          <w:sz w:val="24"/>
        </w:rPr>
        <w:t>承诺</w:t>
      </w:r>
      <w:r>
        <w:rPr>
          <w:rFonts w:hint="eastAsia" w:ascii="仿宋" w:hAnsi="仿宋" w:eastAsia="仿宋"/>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460" w:lineRule="exact"/>
        <w:ind w:firstLine="480" w:firstLineChars="200"/>
        <w:jc w:val="left"/>
        <w:outlineLvl w:val="1"/>
        <w:rPr>
          <w:rFonts w:ascii="仿宋" w:hAnsi="仿宋" w:eastAsia="仿宋"/>
          <w:sz w:val="24"/>
        </w:rPr>
      </w:pPr>
    </w:p>
    <w:p>
      <w:pPr>
        <w:widowControl/>
        <w:spacing w:after="0" w:line="460" w:lineRule="exact"/>
        <w:ind w:firstLine="480" w:firstLineChars="200"/>
        <w:jc w:val="left"/>
        <w:outlineLvl w:val="1"/>
        <w:rPr>
          <w:rFonts w:ascii="仿宋" w:hAnsi="仿宋" w:eastAsia="仿宋"/>
          <w:sz w:val="24"/>
        </w:rPr>
      </w:pP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我方对上述承诺的内容事项真实性负责。如经查实上述承诺的内容事项存在虚假，我方愿意接受以提供虚假材料谋取中标追究法律责任。</w:t>
      </w:r>
    </w:p>
    <w:p>
      <w:pPr>
        <w:widowControl/>
        <w:spacing w:after="0" w:line="460" w:lineRule="exact"/>
        <w:ind w:firstLine="470" w:firstLineChars="196"/>
        <w:jc w:val="left"/>
        <w:outlineLvl w:val="1"/>
        <w:rPr>
          <w:rFonts w:ascii="仿宋" w:hAnsi="仿宋" w:eastAsia="仿宋"/>
          <w:sz w:val="24"/>
        </w:rPr>
      </w:pPr>
    </w:p>
    <w:p>
      <w:pPr>
        <w:widowControl/>
        <w:tabs>
          <w:tab w:val="left" w:pos="8127"/>
        </w:tabs>
        <w:spacing w:after="0" w:line="460" w:lineRule="exact"/>
        <w:ind w:firstLine="470" w:firstLineChars="196"/>
        <w:jc w:val="left"/>
        <w:outlineLvl w:val="1"/>
        <w:rPr>
          <w:rFonts w:ascii="仿宋" w:hAnsi="仿宋" w:eastAsia="仿宋"/>
          <w:sz w:val="24"/>
        </w:rPr>
      </w:pPr>
      <w:r>
        <w:rPr>
          <w:rFonts w:hint="eastAsia" w:ascii="仿宋" w:hAnsi="仿宋" w:eastAsia="仿宋"/>
          <w:sz w:val="24"/>
        </w:rPr>
        <w:t>投标人名称：XXXX（单位公章）。</w:t>
      </w:r>
      <w:r>
        <w:rPr>
          <w:rFonts w:ascii="仿宋" w:hAnsi="仿宋" w:eastAsia="仿宋"/>
          <w:sz w:val="24"/>
        </w:rPr>
        <w:tab/>
      </w:r>
    </w:p>
    <w:p>
      <w:pPr>
        <w:widowControl/>
        <w:spacing w:after="0" w:line="460" w:lineRule="exac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after="0" w:line="460" w:lineRule="exact"/>
        <w:ind w:firstLine="470" w:firstLineChars="196"/>
        <w:jc w:val="left"/>
        <w:outlineLvl w:val="1"/>
        <w:rPr>
          <w:rFonts w:ascii="仿宋" w:hAnsi="仿宋" w:eastAsia="仿宋"/>
          <w:sz w:val="24"/>
        </w:rPr>
      </w:pPr>
      <w:r>
        <w:rPr>
          <w:rFonts w:hint="eastAsia" w:ascii="仿宋" w:hAnsi="仿宋" w:eastAsia="仿宋"/>
          <w:sz w:val="24"/>
        </w:rPr>
        <w:t>日    期：XXXX。</w:t>
      </w:r>
    </w:p>
    <w:p>
      <w:pPr>
        <w:spacing w:line="460" w:lineRule="exact"/>
        <w:rPr>
          <w:rFonts w:ascii="仿宋" w:hAnsi="仿宋" w:eastAsia="仿宋"/>
          <w:b/>
          <w:sz w:val="32"/>
          <w:szCs w:val="32"/>
        </w:rPr>
      </w:pPr>
      <w:r>
        <w:rPr>
          <w:rFonts w:hint="eastAsia" w:ascii="仿宋" w:hAnsi="仿宋" w:eastAsia="仿宋"/>
          <w:b/>
          <w:sz w:val="32"/>
          <w:szCs w:val="32"/>
        </w:rPr>
        <w:br w:type="page"/>
      </w:r>
      <w:r>
        <w:rPr>
          <w:rFonts w:hint="eastAsia" w:ascii="仿宋" w:hAnsi="仿宋" w:eastAsia="仿宋"/>
          <w:b/>
          <w:sz w:val="32"/>
          <w:szCs w:val="32"/>
        </w:rPr>
        <w:t>格式2-4</w:t>
      </w:r>
    </w:p>
    <w:bookmarkEnd w:id="145"/>
    <w:bookmarkEnd w:id="152"/>
    <w:p>
      <w:pPr>
        <w:spacing w:line="400" w:lineRule="exact"/>
        <w:ind w:firstLine="643" w:firstLineChars="200"/>
        <w:jc w:val="center"/>
        <w:rPr>
          <w:rFonts w:ascii="仿宋" w:hAnsi="仿宋" w:eastAsia="仿宋"/>
          <w:b/>
          <w:sz w:val="32"/>
          <w:szCs w:val="32"/>
        </w:rPr>
      </w:pPr>
      <w:bookmarkStart w:id="153" w:name="_Toc217446085"/>
      <w:bookmarkStart w:id="154" w:name="_Toc217446086"/>
      <w:r>
        <w:rPr>
          <w:rFonts w:hint="eastAsia" w:ascii="仿宋" w:hAnsi="仿宋" w:eastAsia="仿宋"/>
          <w:b/>
          <w:sz w:val="32"/>
          <w:szCs w:val="32"/>
        </w:rPr>
        <w:t>三、开标一览表</w:t>
      </w:r>
      <w:bookmarkEnd w:id="153"/>
    </w:p>
    <w:tbl>
      <w:tblPr>
        <w:tblStyle w:val="23"/>
        <w:tblW w:w="8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4"/>
        <w:gridCol w:w="6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274" w:type="dxa"/>
            <w:vAlign w:val="center"/>
          </w:tcPr>
          <w:p>
            <w:pPr>
              <w:spacing w:line="400" w:lineRule="exact"/>
              <w:jc w:val="center"/>
              <w:rPr>
                <w:rFonts w:ascii="仿宋" w:hAnsi="仿宋" w:eastAsia="仿宋"/>
                <w:sz w:val="24"/>
              </w:rPr>
            </w:pPr>
            <w:r>
              <w:rPr>
                <w:rFonts w:hint="eastAsia" w:ascii="仿宋" w:hAnsi="仿宋" w:eastAsia="仿宋" w:cs="宋体"/>
                <w:bCs/>
                <w:sz w:val="24"/>
              </w:rPr>
              <w:t>招标编号</w:t>
            </w:r>
          </w:p>
        </w:tc>
        <w:tc>
          <w:tcPr>
            <w:tcW w:w="6581" w:type="dxa"/>
            <w:vAlign w:val="center"/>
          </w:tcPr>
          <w:p>
            <w:pPr>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274" w:type="dxa"/>
            <w:vAlign w:val="center"/>
          </w:tcPr>
          <w:p>
            <w:pPr>
              <w:widowControl/>
              <w:spacing w:line="360" w:lineRule="atLeast"/>
              <w:jc w:val="center"/>
              <w:outlineLvl w:val="1"/>
              <w:rPr>
                <w:rFonts w:ascii="仿宋" w:hAnsi="仿宋" w:eastAsia="仿宋"/>
                <w:sz w:val="24"/>
              </w:rPr>
            </w:pPr>
            <w:bookmarkStart w:id="155" w:name="_Toc529450121"/>
            <w:r>
              <w:rPr>
                <w:rFonts w:hint="eastAsia" w:ascii="仿宋" w:hAnsi="仿宋" w:eastAsia="仿宋"/>
                <w:sz w:val="24"/>
              </w:rPr>
              <w:t>交货时间</w:t>
            </w:r>
            <w:bookmarkEnd w:id="155"/>
          </w:p>
        </w:tc>
        <w:tc>
          <w:tcPr>
            <w:tcW w:w="6581" w:type="dxa"/>
            <w:vAlign w:val="center"/>
          </w:tcPr>
          <w:p>
            <w:pPr>
              <w:spacing w:line="400" w:lineRule="exac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274" w:type="dxa"/>
            <w:vAlign w:val="center"/>
          </w:tcPr>
          <w:p>
            <w:pPr>
              <w:widowControl/>
              <w:spacing w:line="360" w:lineRule="atLeast"/>
              <w:jc w:val="center"/>
              <w:outlineLvl w:val="1"/>
              <w:rPr>
                <w:rFonts w:ascii="仿宋" w:hAnsi="仿宋" w:eastAsia="仿宋"/>
                <w:sz w:val="24"/>
              </w:rPr>
            </w:pPr>
            <w:bookmarkStart w:id="156" w:name="_Toc529450122"/>
            <w:r>
              <w:rPr>
                <w:rFonts w:hint="eastAsia" w:ascii="仿宋" w:hAnsi="仿宋" w:eastAsia="仿宋"/>
                <w:sz w:val="24"/>
              </w:rPr>
              <w:t>数量</w:t>
            </w:r>
            <w:bookmarkEnd w:id="156"/>
          </w:p>
        </w:tc>
        <w:tc>
          <w:tcPr>
            <w:tcW w:w="6581" w:type="dxa"/>
            <w:vAlign w:val="center"/>
          </w:tcPr>
          <w:p>
            <w:pPr>
              <w:spacing w:line="400" w:lineRule="exact"/>
              <w:jc w:val="center"/>
              <w:rPr>
                <w:rFonts w:ascii="仿宋" w:hAnsi="仿宋" w:eastAsia="仿宋"/>
                <w:sz w:val="24"/>
              </w:rPr>
            </w:pPr>
            <w:r>
              <w:rPr>
                <w:rFonts w:hint="eastAsia" w:ascii="仿宋" w:hAnsi="仿宋" w:eastAsia="仿宋"/>
                <w:sz w:val="24"/>
              </w:rPr>
              <w:t>具体详见《分项报价明细表》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274" w:type="dxa"/>
            <w:vAlign w:val="center"/>
          </w:tcPr>
          <w:p>
            <w:pPr>
              <w:widowControl/>
              <w:spacing w:line="360" w:lineRule="atLeast"/>
              <w:jc w:val="center"/>
              <w:outlineLvl w:val="1"/>
              <w:rPr>
                <w:rFonts w:ascii="仿宋" w:hAnsi="仿宋" w:eastAsia="仿宋"/>
                <w:sz w:val="24"/>
              </w:rPr>
            </w:pPr>
            <w:bookmarkStart w:id="157" w:name="_Toc529450123"/>
            <w:r>
              <w:rPr>
                <w:rFonts w:hint="eastAsia" w:ascii="仿宋" w:hAnsi="仿宋" w:eastAsia="仿宋"/>
                <w:sz w:val="24"/>
              </w:rPr>
              <w:t>投标单价</w:t>
            </w:r>
            <w:bookmarkEnd w:id="157"/>
          </w:p>
        </w:tc>
        <w:tc>
          <w:tcPr>
            <w:tcW w:w="6581" w:type="dxa"/>
            <w:vAlign w:val="center"/>
          </w:tcPr>
          <w:p>
            <w:pPr>
              <w:spacing w:line="400" w:lineRule="exact"/>
              <w:jc w:val="center"/>
              <w:rPr>
                <w:rFonts w:ascii="仿宋" w:hAnsi="仿宋" w:eastAsia="仿宋"/>
                <w:sz w:val="24"/>
              </w:rPr>
            </w:pPr>
            <w:r>
              <w:rPr>
                <w:rFonts w:hint="eastAsia" w:ascii="仿宋" w:hAnsi="仿宋" w:eastAsia="仿宋"/>
                <w:sz w:val="24"/>
              </w:rPr>
              <w:t>具体详见《分项报价明细表》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2274" w:type="dxa"/>
            <w:vAlign w:val="center"/>
          </w:tcPr>
          <w:p>
            <w:pPr>
              <w:widowControl/>
              <w:spacing w:line="360" w:lineRule="atLeast"/>
              <w:jc w:val="center"/>
              <w:outlineLvl w:val="1"/>
              <w:rPr>
                <w:rFonts w:ascii="仿宋" w:hAnsi="仿宋" w:eastAsia="仿宋"/>
                <w:sz w:val="24"/>
              </w:rPr>
            </w:pPr>
            <w:bookmarkStart w:id="158" w:name="_Toc529450124"/>
            <w:r>
              <w:rPr>
                <w:rFonts w:hint="eastAsia" w:ascii="仿宋" w:hAnsi="仿宋" w:eastAsia="仿宋"/>
                <w:sz w:val="24"/>
              </w:rPr>
              <w:t>是否属于进口产品</w:t>
            </w:r>
            <w:bookmarkEnd w:id="158"/>
          </w:p>
        </w:tc>
        <w:tc>
          <w:tcPr>
            <w:tcW w:w="6581" w:type="dxa"/>
            <w:vAlign w:val="center"/>
          </w:tcPr>
          <w:p>
            <w:pPr>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274" w:type="dxa"/>
            <w:vAlign w:val="center"/>
          </w:tcPr>
          <w:p>
            <w:pPr>
              <w:widowControl/>
              <w:spacing w:line="360" w:lineRule="atLeast"/>
              <w:jc w:val="center"/>
              <w:outlineLvl w:val="1"/>
              <w:rPr>
                <w:rFonts w:ascii="仿宋" w:hAnsi="仿宋" w:eastAsia="仿宋"/>
                <w:sz w:val="24"/>
              </w:rPr>
            </w:pPr>
            <w:bookmarkStart w:id="159" w:name="_Toc529450125"/>
            <w:r>
              <w:rPr>
                <w:rFonts w:hint="eastAsia" w:ascii="仿宋" w:hAnsi="仿宋" w:eastAsia="仿宋"/>
                <w:sz w:val="24"/>
              </w:rPr>
              <w:t>投标总价（万元）</w:t>
            </w:r>
            <w:bookmarkEnd w:id="159"/>
          </w:p>
        </w:tc>
        <w:tc>
          <w:tcPr>
            <w:tcW w:w="6581" w:type="dxa"/>
            <w:vAlign w:val="center"/>
          </w:tcPr>
          <w:p>
            <w:pPr>
              <w:spacing w:line="400" w:lineRule="exact"/>
              <w:rPr>
                <w:rFonts w:ascii="仿宋" w:hAnsi="仿宋" w:eastAsia="仿宋"/>
                <w:sz w:val="24"/>
              </w:rPr>
            </w:pPr>
            <w:r>
              <w:rPr>
                <w:rFonts w:hint="eastAsia" w:ascii="仿宋" w:hAnsi="仿宋" w:eastAsia="仿宋"/>
                <w:sz w:val="24"/>
              </w:rPr>
              <w:t>小写：          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2274" w:type="dxa"/>
            <w:vAlign w:val="center"/>
          </w:tcPr>
          <w:p>
            <w:pPr>
              <w:spacing w:line="400" w:lineRule="exact"/>
              <w:jc w:val="center"/>
              <w:rPr>
                <w:rFonts w:ascii="仿宋" w:hAnsi="仿宋" w:eastAsia="仿宋"/>
                <w:sz w:val="24"/>
              </w:rPr>
            </w:pPr>
            <w:r>
              <w:rPr>
                <w:rFonts w:ascii="仿宋" w:hAnsi="仿宋" w:eastAsia="仿宋"/>
                <w:sz w:val="24"/>
              </w:rPr>
              <w:t>备注</w:t>
            </w:r>
          </w:p>
        </w:tc>
        <w:tc>
          <w:tcPr>
            <w:tcW w:w="6581" w:type="dxa"/>
            <w:vAlign w:val="center"/>
          </w:tcPr>
          <w:p>
            <w:pPr>
              <w:spacing w:line="400" w:lineRule="exact"/>
              <w:rPr>
                <w:rFonts w:ascii="仿宋" w:hAnsi="仿宋" w:eastAsia="仿宋"/>
                <w:sz w:val="24"/>
              </w:rPr>
            </w:pPr>
          </w:p>
        </w:tc>
      </w:tr>
    </w:tbl>
    <w:p>
      <w:pPr>
        <w:spacing w:before="156" w:beforeLines="50" w:after="156" w:afterLines="50" w:line="240" w:lineRule="auto"/>
        <w:rPr>
          <w:rFonts w:ascii="仿宋" w:hAnsi="仿宋" w:eastAsia="仿宋" w:cs="宋体"/>
          <w:bCs/>
          <w:sz w:val="24"/>
        </w:rPr>
      </w:pPr>
    </w:p>
    <w:p>
      <w:pPr>
        <w:spacing w:before="156" w:beforeLines="50" w:after="156" w:afterLines="50" w:line="440" w:lineRule="exact"/>
        <w:rPr>
          <w:rFonts w:ascii="仿宋" w:hAnsi="仿宋" w:eastAsia="仿宋" w:cs="宋体"/>
          <w:bCs/>
          <w:sz w:val="24"/>
        </w:rPr>
      </w:pPr>
      <w:r>
        <w:rPr>
          <w:rFonts w:hint="eastAsia" w:ascii="仿宋" w:hAnsi="仿宋" w:eastAsia="仿宋" w:cs="宋体"/>
          <w:bCs/>
          <w:sz w:val="24"/>
        </w:rPr>
        <w:t>注：1、 以上报价是最终用户验收合格后的总价，是</w:t>
      </w:r>
      <w:r>
        <w:rPr>
          <w:rFonts w:hint="eastAsia" w:ascii="仿宋" w:hAnsi="仿宋" w:eastAsia="仿宋"/>
          <w:sz w:val="24"/>
        </w:rPr>
        <w:t>响应招标项目要求的全部工作内容的体现，</w:t>
      </w:r>
      <w:r>
        <w:rPr>
          <w:rFonts w:hint="eastAsia" w:ascii="仿宋" w:hAnsi="仿宋" w:eastAsia="仿宋" w:cs="宋体"/>
          <w:bCs/>
          <w:sz w:val="24"/>
        </w:rPr>
        <w:t>包括产品运输、保险、代理、安装调试、培训、税费和招标文件规定的其它费用等</w:t>
      </w:r>
      <w:r>
        <w:rPr>
          <w:rFonts w:hint="eastAsia" w:ascii="仿宋" w:hAnsi="仿宋" w:eastAsia="仿宋"/>
          <w:sz w:val="24"/>
        </w:rPr>
        <w:t>完成本项目所需的一切费用</w:t>
      </w:r>
      <w:r>
        <w:rPr>
          <w:rFonts w:hint="eastAsia" w:ascii="仿宋" w:hAnsi="仿宋" w:eastAsia="仿宋" w:cs="宋体"/>
          <w:bCs/>
          <w:sz w:val="24"/>
        </w:rPr>
        <w:t xml:space="preserve">。 </w:t>
      </w:r>
    </w:p>
    <w:p>
      <w:pPr>
        <w:spacing w:before="156" w:beforeLines="50" w:after="156" w:afterLines="50" w:line="440" w:lineRule="exact"/>
        <w:rPr>
          <w:rFonts w:ascii="仿宋" w:hAnsi="仿宋" w:eastAsia="仿宋" w:cs="宋体"/>
          <w:bCs/>
          <w:sz w:val="24"/>
        </w:rPr>
      </w:pPr>
      <w:r>
        <w:rPr>
          <w:rFonts w:ascii="仿宋" w:hAnsi="仿宋" w:eastAsia="仿宋" w:cs="宋体"/>
          <w:bCs/>
          <w:sz w:val="24"/>
        </w:rPr>
        <w:t>2</w:t>
      </w:r>
      <w:r>
        <w:rPr>
          <w:rFonts w:hint="eastAsia" w:ascii="仿宋" w:hAnsi="仿宋" w:eastAsia="仿宋" w:cs="宋体"/>
          <w:bCs/>
          <w:sz w:val="24"/>
        </w:rPr>
        <w:t>、如所投产品中有进口的，须在表格中标明“进口”，并在《分项报价明细表》的备注中标明。</w:t>
      </w:r>
    </w:p>
    <w:p>
      <w:pPr>
        <w:spacing w:line="440" w:lineRule="exact"/>
        <w:ind w:firstLine="480" w:firstLineChars="200"/>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投标人名称：XXXX（单位公章）。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spacing w:before="156" w:beforeLines="50" w:after="156" w:afterLines="50" w:line="240" w:lineRule="auto"/>
        <w:rPr>
          <w:rFonts w:ascii="仿宋" w:hAnsi="仿宋" w:eastAsia="仿宋" w:cs="宋体"/>
          <w:sz w:val="24"/>
        </w:rPr>
      </w:pPr>
      <w:r>
        <w:rPr>
          <w:rFonts w:hint="eastAsia" w:ascii="仿宋" w:hAnsi="仿宋" w:eastAsia="仿宋"/>
          <w:sz w:val="24"/>
        </w:rPr>
        <w:t>投标日期：XXXX。</w:t>
      </w:r>
    </w:p>
    <w:p>
      <w:pPr>
        <w:spacing w:before="156" w:beforeLines="50" w:after="156" w:afterLines="50" w:line="240" w:lineRule="auto"/>
        <w:rPr>
          <w:rFonts w:ascii="仿宋" w:hAnsi="仿宋" w:eastAsia="仿宋" w:cs="宋体"/>
          <w:sz w:val="24"/>
        </w:rPr>
      </w:pPr>
    </w:p>
    <w:p>
      <w:pPr>
        <w:spacing w:before="156" w:beforeLines="50" w:after="156" w:afterLines="50" w:line="240" w:lineRule="auto"/>
        <w:rPr>
          <w:rFonts w:ascii="仿宋" w:hAnsi="仿宋" w:eastAsia="仿宋" w:cs="宋体"/>
          <w:sz w:val="24"/>
        </w:rPr>
      </w:pPr>
    </w:p>
    <w:p>
      <w:pPr>
        <w:spacing w:before="156" w:beforeLines="50" w:after="156" w:afterLines="50" w:line="240" w:lineRule="auto"/>
        <w:rPr>
          <w:rFonts w:ascii="仿宋" w:hAnsi="仿宋" w:eastAsia="仿宋" w:cs="宋体"/>
          <w:sz w:val="24"/>
        </w:rPr>
      </w:pPr>
    </w:p>
    <w:p>
      <w:pPr>
        <w:widowControl/>
        <w:spacing w:after="0" w:line="240" w:lineRule="auto"/>
        <w:jc w:val="left"/>
        <w:rPr>
          <w:rFonts w:ascii="仿宋" w:hAnsi="仿宋" w:eastAsia="仿宋"/>
          <w:b/>
          <w:sz w:val="32"/>
          <w:szCs w:val="32"/>
        </w:rPr>
      </w:pPr>
      <w:r>
        <w:rPr>
          <w:rFonts w:ascii="仿宋" w:hAnsi="仿宋" w:eastAsia="仿宋"/>
          <w:b/>
          <w:sz w:val="32"/>
          <w:szCs w:val="32"/>
        </w:rPr>
        <w:br w:type="page"/>
      </w:r>
    </w:p>
    <w:p>
      <w:pPr>
        <w:spacing w:line="360" w:lineRule="auto"/>
        <w:rPr>
          <w:rFonts w:ascii="仿宋" w:hAnsi="仿宋" w:eastAsia="仿宋"/>
          <w:b/>
          <w:sz w:val="32"/>
          <w:szCs w:val="32"/>
        </w:rPr>
      </w:pPr>
      <w:r>
        <w:rPr>
          <w:rFonts w:hint="eastAsia" w:ascii="仿宋" w:hAnsi="仿宋" w:eastAsia="仿宋"/>
          <w:b/>
          <w:sz w:val="32"/>
          <w:szCs w:val="32"/>
        </w:rPr>
        <w:t>格式2-5</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四、分项报价明细表</w:t>
      </w:r>
    </w:p>
    <w:p>
      <w:pPr>
        <w:widowControl/>
        <w:spacing w:line="360" w:lineRule="atLeast"/>
        <w:jc w:val="left"/>
        <w:outlineLvl w:val="1"/>
        <w:rPr>
          <w:rFonts w:ascii="仿宋" w:hAnsi="仿宋" w:eastAsia="仿宋"/>
          <w:sz w:val="24"/>
        </w:rPr>
      </w:pPr>
    </w:p>
    <w:tbl>
      <w:tblPr>
        <w:tblStyle w:val="23"/>
        <w:tblW w:w="9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275"/>
        <w:gridCol w:w="1360"/>
        <w:gridCol w:w="888"/>
        <w:gridCol w:w="1212"/>
        <w:gridCol w:w="840"/>
        <w:gridCol w:w="841"/>
        <w:gridCol w:w="876"/>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877"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序号</w:t>
            </w:r>
          </w:p>
        </w:tc>
        <w:tc>
          <w:tcPr>
            <w:tcW w:w="1275"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产品名称</w:t>
            </w:r>
          </w:p>
        </w:tc>
        <w:tc>
          <w:tcPr>
            <w:tcW w:w="1360"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规格型号</w:t>
            </w:r>
          </w:p>
        </w:tc>
        <w:tc>
          <w:tcPr>
            <w:tcW w:w="888"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品牌</w:t>
            </w:r>
          </w:p>
        </w:tc>
        <w:tc>
          <w:tcPr>
            <w:tcW w:w="1212"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单位</w:t>
            </w:r>
          </w:p>
        </w:tc>
        <w:tc>
          <w:tcPr>
            <w:tcW w:w="840"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数量</w:t>
            </w:r>
          </w:p>
        </w:tc>
        <w:tc>
          <w:tcPr>
            <w:tcW w:w="841"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单价</w:t>
            </w:r>
          </w:p>
        </w:tc>
        <w:tc>
          <w:tcPr>
            <w:tcW w:w="876"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金额</w:t>
            </w:r>
          </w:p>
        </w:tc>
        <w:tc>
          <w:tcPr>
            <w:tcW w:w="843" w:type="dxa"/>
            <w:vAlign w:val="center"/>
          </w:tcPr>
          <w:p>
            <w:pPr>
              <w:widowControl/>
              <w:spacing w:line="360" w:lineRule="atLeast"/>
              <w:outlineLvl w:val="1"/>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6416" w:type="dxa"/>
            <w:gridSpan w:val="6"/>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分项报价合计（万元）：   大写：</w:t>
            </w:r>
          </w:p>
        </w:tc>
        <w:tc>
          <w:tcPr>
            <w:tcW w:w="876"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843"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注：1、投标人应按“分项报价明细表”的格式详细报出投标总价的各个组成部分的报价。</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 xml:space="preserve">    2、“分项报价明细表”各分项报价合计应当与“开标一览表”报价合计相等。</w:t>
      </w:r>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投标日期：XXXX。</w:t>
      </w:r>
    </w:p>
    <w:p>
      <w:pPr>
        <w:spacing w:before="156" w:beforeLines="50" w:after="156" w:afterLines="50" w:line="240" w:lineRule="auto"/>
        <w:rPr>
          <w:rFonts w:ascii="仿宋" w:hAnsi="仿宋" w:eastAsia="仿宋" w:cs="宋体"/>
          <w:sz w:val="24"/>
        </w:rPr>
      </w:pPr>
      <w:r>
        <w:rPr>
          <w:rFonts w:hint="eastAsia" w:ascii="仿宋" w:hAnsi="仿宋" w:eastAsia="仿宋"/>
          <w:sz w:val="24"/>
        </w:rPr>
        <w:br w:type="page"/>
      </w:r>
    </w:p>
    <w:bookmarkEnd w:id="150"/>
    <w:bookmarkEnd w:id="154"/>
    <w:p>
      <w:pPr>
        <w:widowControl/>
        <w:spacing w:line="360" w:lineRule="atLeast"/>
        <w:jc w:val="left"/>
        <w:outlineLvl w:val="1"/>
        <w:rPr>
          <w:rFonts w:ascii="仿宋" w:hAnsi="仿宋" w:eastAsia="仿宋"/>
          <w:b/>
          <w:sz w:val="32"/>
          <w:szCs w:val="32"/>
        </w:rPr>
      </w:pPr>
      <w:bookmarkStart w:id="160" w:name="_Toc217446087"/>
      <w:bookmarkStart w:id="161" w:name="PO_默认文件内容_26"/>
      <w:r>
        <w:rPr>
          <w:rFonts w:hint="eastAsia" w:ascii="仿宋" w:hAnsi="仿宋" w:eastAsia="仿宋"/>
          <w:b/>
          <w:sz w:val="32"/>
          <w:szCs w:val="32"/>
        </w:rPr>
        <w:t>格式2-</w:t>
      </w:r>
      <w:r>
        <w:rPr>
          <w:rFonts w:ascii="仿宋" w:hAnsi="仿宋" w:eastAsia="仿宋"/>
          <w:b/>
          <w:sz w:val="32"/>
          <w:szCs w:val="32"/>
        </w:rPr>
        <w:t>6</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五、商务应答表</w:t>
      </w:r>
      <w:bookmarkEnd w:id="160"/>
    </w:p>
    <w:p>
      <w:pPr>
        <w:widowControl/>
        <w:spacing w:line="360" w:lineRule="atLeast"/>
        <w:jc w:val="left"/>
        <w:outlineLvl w:val="1"/>
        <w:rPr>
          <w:rFonts w:ascii="仿宋" w:hAnsi="仿宋" w:eastAsia="仿宋"/>
          <w:sz w:val="24"/>
        </w:rPr>
      </w:pPr>
      <w:r>
        <w:rPr>
          <w:rFonts w:hint="eastAsia" w:ascii="仿宋" w:hAnsi="仿宋" w:eastAsia="仿宋"/>
          <w:sz w:val="24"/>
        </w:rPr>
        <w:t>招标编号：</w:t>
      </w:r>
    </w:p>
    <w:tbl>
      <w:tblPr>
        <w:tblStyle w:val="23"/>
        <w:tblW w:w="9215"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5"/>
        <w:gridCol w:w="3751"/>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495"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序号</w:t>
            </w:r>
          </w:p>
        </w:tc>
        <w:tc>
          <w:tcPr>
            <w:tcW w:w="3751"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招标要求</w:t>
            </w:r>
          </w:p>
        </w:tc>
        <w:tc>
          <w:tcPr>
            <w:tcW w:w="3969" w:type="dxa"/>
            <w:vAlign w:val="center"/>
          </w:tcPr>
          <w:p>
            <w:pPr>
              <w:widowControl/>
              <w:spacing w:line="360" w:lineRule="atLeast"/>
              <w:ind w:firstLine="470" w:firstLineChars="196"/>
              <w:jc w:val="center"/>
              <w:outlineLvl w:val="1"/>
              <w:rPr>
                <w:rFonts w:ascii="仿宋" w:hAnsi="仿宋" w:eastAsia="仿宋"/>
                <w:sz w:val="24"/>
              </w:rPr>
            </w:pPr>
            <w:r>
              <w:rPr>
                <w:rFonts w:hint="eastAsia" w:ascii="仿宋" w:hAnsi="仿宋" w:eastAsia="仿宋"/>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495" w:type="dxa"/>
          </w:tcPr>
          <w:p>
            <w:pPr>
              <w:widowControl/>
              <w:spacing w:line="360" w:lineRule="atLeast"/>
              <w:ind w:firstLine="470" w:firstLineChars="196"/>
              <w:jc w:val="left"/>
              <w:outlineLvl w:val="1"/>
              <w:rPr>
                <w:rFonts w:ascii="仿宋" w:hAnsi="仿宋" w:eastAsia="仿宋"/>
                <w:sz w:val="24"/>
              </w:rPr>
            </w:pPr>
          </w:p>
        </w:tc>
        <w:tc>
          <w:tcPr>
            <w:tcW w:w="3751" w:type="dxa"/>
          </w:tcPr>
          <w:p>
            <w:pPr>
              <w:widowControl/>
              <w:spacing w:line="360" w:lineRule="atLeast"/>
              <w:ind w:firstLine="470" w:firstLineChars="196"/>
              <w:jc w:val="left"/>
              <w:outlineLvl w:val="1"/>
              <w:rPr>
                <w:rFonts w:ascii="仿宋" w:hAnsi="仿宋" w:eastAsia="仿宋"/>
                <w:sz w:val="24"/>
              </w:rPr>
            </w:pPr>
          </w:p>
        </w:tc>
        <w:tc>
          <w:tcPr>
            <w:tcW w:w="3969"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495" w:type="dxa"/>
          </w:tcPr>
          <w:p>
            <w:pPr>
              <w:widowControl/>
              <w:spacing w:line="360" w:lineRule="atLeast"/>
              <w:ind w:firstLine="470" w:firstLineChars="196"/>
              <w:jc w:val="left"/>
              <w:outlineLvl w:val="1"/>
              <w:rPr>
                <w:rFonts w:ascii="仿宋" w:hAnsi="仿宋" w:eastAsia="仿宋"/>
                <w:sz w:val="24"/>
              </w:rPr>
            </w:pPr>
          </w:p>
        </w:tc>
        <w:tc>
          <w:tcPr>
            <w:tcW w:w="3751" w:type="dxa"/>
          </w:tcPr>
          <w:p>
            <w:pPr>
              <w:widowControl/>
              <w:spacing w:line="360" w:lineRule="atLeast"/>
              <w:ind w:firstLine="470" w:firstLineChars="196"/>
              <w:jc w:val="left"/>
              <w:outlineLvl w:val="1"/>
              <w:rPr>
                <w:rFonts w:ascii="仿宋" w:hAnsi="仿宋" w:eastAsia="仿宋"/>
                <w:sz w:val="24"/>
              </w:rPr>
            </w:pPr>
          </w:p>
        </w:tc>
        <w:tc>
          <w:tcPr>
            <w:tcW w:w="3969"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495" w:type="dxa"/>
          </w:tcPr>
          <w:p>
            <w:pPr>
              <w:widowControl/>
              <w:spacing w:line="360" w:lineRule="atLeast"/>
              <w:ind w:firstLine="470" w:firstLineChars="196"/>
              <w:jc w:val="left"/>
              <w:outlineLvl w:val="1"/>
              <w:rPr>
                <w:rFonts w:ascii="仿宋" w:hAnsi="仿宋" w:eastAsia="仿宋"/>
                <w:sz w:val="24"/>
              </w:rPr>
            </w:pPr>
          </w:p>
        </w:tc>
        <w:tc>
          <w:tcPr>
            <w:tcW w:w="3751" w:type="dxa"/>
          </w:tcPr>
          <w:p>
            <w:pPr>
              <w:widowControl/>
              <w:spacing w:line="360" w:lineRule="atLeast"/>
              <w:ind w:firstLine="470" w:firstLineChars="196"/>
              <w:jc w:val="left"/>
              <w:outlineLvl w:val="1"/>
              <w:rPr>
                <w:rFonts w:ascii="仿宋" w:hAnsi="仿宋" w:eastAsia="仿宋"/>
                <w:sz w:val="24"/>
              </w:rPr>
            </w:pPr>
          </w:p>
        </w:tc>
        <w:tc>
          <w:tcPr>
            <w:tcW w:w="3969"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495" w:type="dxa"/>
          </w:tcPr>
          <w:p>
            <w:pPr>
              <w:widowControl/>
              <w:spacing w:line="360" w:lineRule="atLeast"/>
              <w:ind w:firstLine="470" w:firstLineChars="196"/>
              <w:jc w:val="left"/>
              <w:outlineLvl w:val="1"/>
              <w:rPr>
                <w:rFonts w:ascii="仿宋" w:hAnsi="仿宋" w:eastAsia="仿宋"/>
                <w:sz w:val="24"/>
              </w:rPr>
            </w:pPr>
          </w:p>
        </w:tc>
        <w:tc>
          <w:tcPr>
            <w:tcW w:w="3751" w:type="dxa"/>
          </w:tcPr>
          <w:p>
            <w:pPr>
              <w:widowControl/>
              <w:spacing w:line="360" w:lineRule="atLeast"/>
              <w:ind w:firstLine="470" w:firstLineChars="196"/>
              <w:jc w:val="left"/>
              <w:outlineLvl w:val="1"/>
              <w:rPr>
                <w:rFonts w:ascii="仿宋" w:hAnsi="仿宋" w:eastAsia="仿宋"/>
                <w:sz w:val="24"/>
              </w:rPr>
            </w:pPr>
          </w:p>
        </w:tc>
        <w:tc>
          <w:tcPr>
            <w:tcW w:w="3969" w:type="dxa"/>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注：1. 供应商必须把招标文件</w:t>
      </w:r>
      <w:r>
        <w:rPr>
          <w:rFonts w:hint="eastAsia" w:ascii="仿宋" w:hAnsi="仿宋" w:eastAsia="仿宋"/>
          <w:b/>
          <w:bCs/>
          <w:sz w:val="24"/>
        </w:rPr>
        <w:t>第六章全部商务要求</w:t>
      </w:r>
      <w:r>
        <w:rPr>
          <w:rFonts w:hint="eastAsia" w:ascii="仿宋" w:hAnsi="仿宋" w:eastAsia="仿宋"/>
          <w:sz w:val="24"/>
        </w:rPr>
        <w:t>列入此表。</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2．按照招标项目商务要求的顺序逐条对应填写。</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3．供应商必须据实填写，不得虚假填写，否则将取消其投标或中标资格。</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投标日期: XXXX。</w:t>
      </w:r>
    </w:p>
    <w:p>
      <w:pPr>
        <w:spacing w:after="0" w:line="340" w:lineRule="exact"/>
        <w:rPr>
          <w:rFonts w:ascii="仿宋" w:hAnsi="仿宋" w:eastAsia="仿宋"/>
          <w:b/>
          <w:sz w:val="32"/>
          <w:szCs w:val="32"/>
        </w:rPr>
      </w:pPr>
      <w:r>
        <w:rPr>
          <w:rFonts w:hint="eastAsia" w:ascii="仿宋" w:hAnsi="仿宋" w:eastAsia="仿宋"/>
          <w:sz w:val="24"/>
        </w:rPr>
        <w:br w:type="page"/>
      </w:r>
      <w:r>
        <w:rPr>
          <w:rFonts w:hint="eastAsia" w:ascii="仿宋" w:hAnsi="仿宋" w:eastAsia="仿宋"/>
          <w:b/>
          <w:sz w:val="32"/>
          <w:szCs w:val="32"/>
        </w:rPr>
        <w:t>格式2-</w:t>
      </w:r>
      <w:r>
        <w:rPr>
          <w:rFonts w:ascii="仿宋" w:hAnsi="仿宋" w:eastAsia="仿宋"/>
          <w:b/>
          <w:sz w:val="32"/>
          <w:szCs w:val="32"/>
        </w:rPr>
        <w:t>7</w:t>
      </w:r>
    </w:p>
    <w:p>
      <w:pPr>
        <w:widowControl/>
        <w:spacing w:after="0" w:line="340" w:lineRule="exact"/>
        <w:jc w:val="center"/>
        <w:rPr>
          <w:rFonts w:ascii="仿宋" w:hAnsi="仿宋" w:eastAsia="仿宋"/>
          <w:b/>
          <w:sz w:val="32"/>
          <w:szCs w:val="32"/>
        </w:rPr>
      </w:pPr>
      <w:r>
        <w:rPr>
          <w:rFonts w:hint="eastAsia" w:ascii="仿宋" w:hAnsi="仿宋" w:eastAsia="仿宋"/>
          <w:b/>
          <w:sz w:val="32"/>
          <w:szCs w:val="32"/>
        </w:rPr>
        <w:t>六、商务、技术、服务应答附表</w:t>
      </w:r>
    </w:p>
    <w:p>
      <w:pPr>
        <w:widowControl/>
        <w:spacing w:after="0" w:line="340" w:lineRule="exact"/>
        <w:jc w:val="center"/>
        <w:rPr>
          <w:rFonts w:ascii="仿宋" w:hAnsi="仿宋" w:eastAsia="仿宋"/>
          <w:b/>
          <w:sz w:val="32"/>
          <w:szCs w:val="32"/>
        </w:rPr>
      </w:pPr>
      <w:r>
        <w:rPr>
          <w:rFonts w:hint="eastAsia" w:ascii="仿宋" w:hAnsi="仿宋" w:eastAsia="仿宋"/>
          <w:b/>
          <w:sz w:val="32"/>
          <w:szCs w:val="32"/>
        </w:rPr>
        <w:t>（仅用于中标、成交结果公告，此表不作为评审内容）</w:t>
      </w:r>
    </w:p>
    <w:p>
      <w:pPr>
        <w:widowControl/>
        <w:spacing w:after="0" w:line="340" w:lineRule="exact"/>
        <w:ind w:firstLine="480"/>
        <w:jc w:val="left"/>
        <w:rPr>
          <w:rFonts w:ascii="仿宋" w:hAnsi="仿宋" w:eastAsia="仿宋" w:cs="宋体"/>
          <w:bCs/>
          <w:sz w:val="24"/>
        </w:rPr>
      </w:pPr>
      <w:r>
        <w:rPr>
          <w:rFonts w:hint="eastAsia" w:ascii="仿宋" w:hAnsi="仿宋" w:eastAsia="仿宋" w:cs="宋体"/>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3"/>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463"/>
        <w:gridCol w:w="1635"/>
        <w:gridCol w:w="275"/>
        <w:gridCol w:w="1075"/>
        <w:gridCol w:w="30"/>
        <w:gridCol w:w="1529"/>
        <w:gridCol w:w="31"/>
        <w:gridCol w:w="189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215" w:type="dxa"/>
            <w:gridSpan w:val="9"/>
            <w:vAlign w:val="center"/>
          </w:tcPr>
          <w:p>
            <w:pPr>
              <w:widowControl/>
              <w:spacing w:after="0" w:line="340" w:lineRule="exact"/>
              <w:jc w:val="center"/>
              <w:outlineLvl w:val="1"/>
              <w:rPr>
                <w:rFonts w:ascii="仿宋" w:hAnsi="仿宋" w:eastAsia="仿宋"/>
                <w:sz w:val="24"/>
              </w:rPr>
            </w:pPr>
            <w:r>
              <w:rPr>
                <w:rFonts w:hint="eastAsia" w:ascii="仿宋" w:hAnsi="仿宋" w:eastAsia="仿宋" w:cs="宋体"/>
                <w:b/>
                <w:kern w:val="0"/>
                <w:sz w:val="24"/>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*项目名称</w:t>
            </w:r>
          </w:p>
        </w:tc>
        <w:tc>
          <w:tcPr>
            <w:tcW w:w="6474" w:type="dxa"/>
            <w:gridSpan w:val="7"/>
            <w:vAlign w:val="center"/>
          </w:tcPr>
          <w:p>
            <w:pPr>
              <w:widowControl/>
              <w:spacing w:after="0" w:line="340" w:lineRule="exac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*投标人名称</w:t>
            </w:r>
          </w:p>
        </w:tc>
        <w:tc>
          <w:tcPr>
            <w:tcW w:w="6474" w:type="dxa"/>
            <w:gridSpan w:val="7"/>
            <w:vAlign w:val="center"/>
          </w:tcPr>
          <w:p>
            <w:pPr>
              <w:widowControl/>
              <w:spacing w:after="0" w:line="340" w:lineRule="exac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*注册地址</w:t>
            </w:r>
          </w:p>
        </w:tc>
        <w:tc>
          <w:tcPr>
            <w:tcW w:w="2985" w:type="dxa"/>
            <w:gridSpan w:val="3"/>
            <w:tcBorders>
              <w:right w:val="single" w:color="auto" w:sz="4" w:space="0"/>
            </w:tcBorders>
            <w:vAlign w:val="center"/>
          </w:tcPr>
          <w:p>
            <w:pPr>
              <w:widowControl/>
              <w:spacing w:after="0" w:line="340" w:lineRule="exact"/>
              <w:jc w:val="left"/>
              <w:outlineLvl w:val="1"/>
              <w:rPr>
                <w:rFonts w:ascii="仿宋" w:hAnsi="仿宋" w:eastAsia="仿宋"/>
                <w:sz w:val="24"/>
              </w:rPr>
            </w:pPr>
          </w:p>
        </w:tc>
        <w:tc>
          <w:tcPr>
            <w:tcW w:w="1590" w:type="dxa"/>
            <w:gridSpan w:val="3"/>
            <w:tcBorders>
              <w:left w:val="single" w:color="auto" w:sz="4" w:space="0"/>
              <w:right w:val="single" w:color="auto" w:sz="4" w:space="0"/>
            </w:tcBorders>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*行政区域</w:t>
            </w:r>
          </w:p>
        </w:tc>
        <w:tc>
          <w:tcPr>
            <w:tcW w:w="1899" w:type="dxa"/>
            <w:tcBorders>
              <w:left w:val="single" w:color="auto" w:sz="4" w:space="0"/>
            </w:tcBorders>
            <w:vAlign w:val="center"/>
          </w:tcPr>
          <w:p>
            <w:pPr>
              <w:widowControl/>
              <w:spacing w:after="0" w:line="340" w:lineRule="exac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*供应商规模</w:t>
            </w:r>
          </w:p>
        </w:tc>
        <w:tc>
          <w:tcPr>
            <w:tcW w:w="6474" w:type="dxa"/>
            <w:gridSpan w:val="7"/>
            <w:vAlign w:val="center"/>
          </w:tcPr>
          <w:p>
            <w:pPr>
              <w:widowControl/>
              <w:spacing w:after="0" w:line="340" w:lineRule="exact"/>
              <w:jc w:val="center"/>
              <w:outlineLvl w:val="1"/>
              <w:rPr>
                <w:rFonts w:ascii="仿宋" w:hAnsi="仿宋" w:eastAsia="仿宋"/>
                <w:sz w:val="24"/>
              </w:rPr>
            </w:pPr>
            <w:r>
              <w:rPr>
                <w:rFonts w:hint="eastAsia" w:ascii="仿宋" w:hAnsi="仿宋" w:eastAsia="仿宋" w:cs="黑体"/>
                <w:szCs w:val="21"/>
              </w:rPr>
              <w:t>□</w:t>
            </w:r>
            <w:r>
              <w:rPr>
                <w:rFonts w:hint="eastAsia" w:ascii="仿宋" w:hAnsi="仿宋" w:eastAsia="仿宋"/>
                <w:szCs w:val="21"/>
              </w:rPr>
              <w:t xml:space="preserve">大型企业   </w:t>
            </w:r>
            <w:r>
              <w:rPr>
                <w:rFonts w:hint="eastAsia" w:ascii="仿宋" w:hAnsi="仿宋" w:eastAsia="仿宋" w:cs="黑体"/>
                <w:szCs w:val="21"/>
              </w:rPr>
              <w:t>□</w:t>
            </w:r>
            <w:r>
              <w:rPr>
                <w:rFonts w:hint="eastAsia" w:ascii="仿宋" w:hAnsi="仿宋" w:eastAsia="仿宋"/>
                <w:szCs w:val="21"/>
              </w:rPr>
              <w:t xml:space="preserve">中型企业   </w:t>
            </w:r>
            <w:r>
              <w:rPr>
                <w:rFonts w:hint="eastAsia" w:ascii="仿宋" w:hAnsi="仿宋" w:eastAsia="仿宋" w:cs="黑体"/>
                <w:szCs w:val="21"/>
              </w:rPr>
              <w:t>□</w:t>
            </w:r>
            <w:r>
              <w:rPr>
                <w:rFonts w:hint="eastAsia" w:ascii="仿宋" w:hAnsi="仿宋" w:eastAsia="仿宋"/>
                <w:szCs w:val="21"/>
              </w:rPr>
              <w:t>小微型企业（对应处打“</w:t>
            </w:r>
            <w:r>
              <w:rPr>
                <w:rFonts w:hint="eastAsia" w:ascii="仿宋" w:hAnsi="仿宋" w:eastAsia="仿宋" w:cs="宋体"/>
                <w:szCs w:val="21"/>
              </w:rPr>
              <w:t>√”</w:t>
            </w:r>
            <w:r>
              <w:rPr>
                <w:rFonts w:hint="eastAsia" w:ascii="仿宋" w:hAnsi="仿宋" w:eastAsia="仿宋"/>
                <w:szCs w:val="21"/>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41" w:type="dxa"/>
            <w:gridSpan w:val="2"/>
            <w:vMerge w:val="restart"/>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*单位联系方式</w:t>
            </w:r>
          </w:p>
        </w:tc>
        <w:tc>
          <w:tcPr>
            <w:tcW w:w="1635" w:type="dxa"/>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*单位联系人</w:t>
            </w:r>
          </w:p>
        </w:tc>
        <w:tc>
          <w:tcPr>
            <w:tcW w:w="1380" w:type="dxa"/>
            <w:gridSpan w:val="3"/>
            <w:vAlign w:val="center"/>
          </w:tcPr>
          <w:p>
            <w:pPr>
              <w:widowControl/>
              <w:spacing w:after="0" w:line="340" w:lineRule="exact"/>
              <w:ind w:firstLine="470" w:firstLineChars="196"/>
              <w:jc w:val="left"/>
              <w:outlineLvl w:val="1"/>
              <w:rPr>
                <w:rFonts w:ascii="仿宋" w:hAnsi="仿宋" w:eastAsia="仿宋"/>
                <w:sz w:val="24"/>
              </w:rPr>
            </w:pPr>
          </w:p>
        </w:tc>
        <w:tc>
          <w:tcPr>
            <w:tcW w:w="1529" w:type="dxa"/>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*单位电话</w:t>
            </w:r>
          </w:p>
        </w:tc>
        <w:tc>
          <w:tcPr>
            <w:tcW w:w="1930" w:type="dxa"/>
            <w:gridSpan w:val="2"/>
            <w:vAlign w:val="center"/>
          </w:tcPr>
          <w:p>
            <w:pPr>
              <w:widowControl/>
              <w:spacing w:after="0" w:line="340" w:lineRule="exac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41" w:type="dxa"/>
            <w:gridSpan w:val="2"/>
            <w:vMerge w:val="continue"/>
            <w:vAlign w:val="center"/>
          </w:tcPr>
          <w:p>
            <w:pPr>
              <w:spacing w:after="0" w:line="340" w:lineRule="exact"/>
              <w:rPr>
                <w:rFonts w:ascii="仿宋" w:hAnsi="仿宋" w:eastAsia="仿宋"/>
              </w:rPr>
            </w:pPr>
          </w:p>
        </w:tc>
        <w:tc>
          <w:tcPr>
            <w:tcW w:w="1635" w:type="dxa"/>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*单位邮箱</w:t>
            </w:r>
          </w:p>
        </w:tc>
        <w:tc>
          <w:tcPr>
            <w:tcW w:w="4839" w:type="dxa"/>
            <w:gridSpan w:val="6"/>
            <w:vAlign w:val="center"/>
          </w:tcPr>
          <w:p>
            <w:pPr>
              <w:widowControl/>
              <w:spacing w:after="0" w:line="340" w:lineRule="exac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15" w:type="dxa"/>
            <w:gridSpan w:val="9"/>
            <w:vAlign w:val="center"/>
          </w:tcPr>
          <w:p>
            <w:pPr>
              <w:widowControl/>
              <w:spacing w:after="0" w:line="340" w:lineRule="exact"/>
              <w:ind w:firstLine="472" w:firstLineChars="196"/>
              <w:jc w:val="left"/>
              <w:outlineLvl w:val="1"/>
              <w:rPr>
                <w:rFonts w:ascii="仿宋" w:hAnsi="仿宋" w:eastAsia="仿宋"/>
                <w:sz w:val="24"/>
              </w:rPr>
            </w:pPr>
            <w:r>
              <w:rPr>
                <w:rFonts w:hint="eastAsia" w:ascii="仿宋" w:hAnsi="仿宋" w:eastAsia="仿宋"/>
                <w:b/>
                <w:bCs/>
                <w:sz w:val="24"/>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restart"/>
            <w:tcBorders>
              <w:right w:val="single" w:color="auto" w:sz="4" w:space="0"/>
            </w:tcBorders>
            <w:vAlign w:val="center"/>
          </w:tcPr>
          <w:p>
            <w:pPr>
              <w:widowControl/>
              <w:spacing w:after="0" w:line="340" w:lineRule="exact"/>
              <w:jc w:val="left"/>
              <w:outlineLvl w:val="1"/>
              <w:rPr>
                <w:rFonts w:ascii="仿宋" w:hAnsi="仿宋" w:eastAsia="仿宋"/>
                <w:b/>
                <w:bCs/>
                <w:sz w:val="24"/>
              </w:rPr>
            </w:pPr>
            <w:r>
              <w:rPr>
                <w:rFonts w:hint="eastAsia" w:ascii="仿宋" w:hAnsi="仿宋" w:eastAsia="仿宋"/>
                <w:b/>
                <w:bCs/>
                <w:sz w:val="24"/>
              </w:rPr>
              <w:t>供应商应答“采购文件”的主要内容</w:t>
            </w: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sz w:val="24"/>
              </w:rPr>
            </w:pPr>
            <w:r>
              <w:rPr>
                <w:rFonts w:hint="eastAsia" w:ascii="仿宋" w:hAnsi="仿宋" w:eastAsia="仿宋" w:cs="宋体"/>
                <w:bCs/>
                <w:kern w:val="0"/>
                <w:sz w:val="24"/>
              </w:rPr>
              <w:t>主要中标或者成交标的的名称</w:t>
            </w:r>
          </w:p>
        </w:tc>
        <w:tc>
          <w:tcPr>
            <w:tcW w:w="4564" w:type="dxa"/>
            <w:gridSpan w:val="5"/>
            <w:tcBorders>
              <w:left w:val="single" w:color="auto" w:sz="4" w:space="0"/>
            </w:tcBorders>
            <w:vAlign w:val="center"/>
          </w:tcPr>
          <w:p>
            <w:pPr>
              <w:spacing w:after="0" w:line="340" w:lineRule="exact"/>
              <w:jc w:val="left"/>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after="0" w:line="340" w:lineRule="exact"/>
              <w:ind w:firstLine="472" w:firstLineChars="196"/>
              <w:jc w:val="left"/>
              <w:outlineLvl w:val="1"/>
              <w:rPr>
                <w:rFonts w:ascii="仿宋" w:hAnsi="仿宋" w:eastAsia="仿宋"/>
                <w:b/>
                <w:bCs/>
                <w:sz w:val="24"/>
              </w:rPr>
            </w:pP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sz w:val="24"/>
              </w:rPr>
            </w:pPr>
            <w:r>
              <w:rPr>
                <w:rFonts w:hint="eastAsia" w:ascii="仿宋" w:hAnsi="仿宋" w:eastAsia="仿宋" w:cs="宋体"/>
                <w:bCs/>
                <w:kern w:val="0"/>
                <w:sz w:val="24"/>
              </w:rPr>
              <w:t>主要中标或者成交标的的规格型号</w:t>
            </w:r>
          </w:p>
        </w:tc>
        <w:tc>
          <w:tcPr>
            <w:tcW w:w="4564" w:type="dxa"/>
            <w:gridSpan w:val="5"/>
            <w:tcBorders>
              <w:left w:val="single" w:color="auto" w:sz="4" w:space="0"/>
            </w:tcBorders>
            <w:vAlign w:val="center"/>
          </w:tcPr>
          <w:p>
            <w:pPr>
              <w:spacing w:after="0" w:line="340" w:lineRule="exact"/>
              <w:jc w:val="left"/>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after="0" w:line="340" w:lineRule="exact"/>
              <w:ind w:firstLine="472" w:firstLineChars="196"/>
              <w:jc w:val="left"/>
              <w:outlineLvl w:val="1"/>
              <w:rPr>
                <w:rFonts w:ascii="仿宋" w:hAnsi="仿宋" w:eastAsia="仿宋"/>
                <w:b/>
                <w:bCs/>
                <w:sz w:val="24"/>
              </w:rPr>
            </w:pP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sz w:val="24"/>
              </w:rPr>
            </w:pPr>
            <w:r>
              <w:rPr>
                <w:rFonts w:hint="eastAsia" w:ascii="仿宋" w:hAnsi="仿宋" w:eastAsia="仿宋" w:cs="宋体"/>
                <w:bCs/>
                <w:kern w:val="0"/>
                <w:sz w:val="24"/>
              </w:rPr>
              <w:t>主要中标或者成交标的的数量</w:t>
            </w:r>
          </w:p>
        </w:tc>
        <w:tc>
          <w:tcPr>
            <w:tcW w:w="4564" w:type="dxa"/>
            <w:gridSpan w:val="5"/>
            <w:tcBorders>
              <w:left w:val="single" w:color="auto" w:sz="4" w:space="0"/>
            </w:tcBorders>
            <w:vAlign w:val="center"/>
          </w:tcPr>
          <w:p>
            <w:pPr>
              <w:spacing w:after="0" w:line="340" w:lineRule="exact"/>
              <w:jc w:val="left"/>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after="0" w:line="340" w:lineRule="exact"/>
              <w:ind w:firstLine="472" w:firstLineChars="196"/>
              <w:jc w:val="left"/>
              <w:outlineLvl w:val="1"/>
              <w:rPr>
                <w:rFonts w:ascii="仿宋" w:hAnsi="仿宋" w:eastAsia="仿宋"/>
                <w:b/>
                <w:bCs/>
                <w:sz w:val="24"/>
              </w:rPr>
            </w:pP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sz w:val="24"/>
              </w:rPr>
            </w:pPr>
            <w:r>
              <w:rPr>
                <w:rFonts w:hint="eastAsia" w:ascii="仿宋" w:hAnsi="仿宋" w:eastAsia="仿宋" w:cs="宋体"/>
                <w:bCs/>
                <w:kern w:val="0"/>
                <w:sz w:val="24"/>
              </w:rPr>
              <w:t>主要中标或者成交标的的单价</w:t>
            </w:r>
          </w:p>
        </w:tc>
        <w:tc>
          <w:tcPr>
            <w:tcW w:w="4564" w:type="dxa"/>
            <w:gridSpan w:val="5"/>
            <w:tcBorders>
              <w:left w:val="single" w:color="auto" w:sz="4" w:space="0"/>
            </w:tcBorders>
            <w:vAlign w:val="center"/>
          </w:tcPr>
          <w:p>
            <w:pPr>
              <w:spacing w:after="0" w:line="340" w:lineRule="exact"/>
              <w:jc w:val="left"/>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after="0" w:line="340" w:lineRule="exact"/>
              <w:ind w:firstLine="472" w:firstLineChars="196"/>
              <w:jc w:val="left"/>
              <w:outlineLvl w:val="1"/>
              <w:rPr>
                <w:rFonts w:ascii="仿宋" w:hAnsi="仿宋" w:eastAsia="仿宋"/>
                <w:b/>
                <w:bCs/>
                <w:sz w:val="24"/>
              </w:rPr>
            </w:pP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sz w:val="24"/>
              </w:rPr>
            </w:pPr>
            <w:r>
              <w:rPr>
                <w:rFonts w:hint="eastAsia" w:ascii="仿宋" w:hAnsi="仿宋" w:eastAsia="仿宋" w:cs="宋体"/>
                <w:bCs/>
                <w:kern w:val="0"/>
                <w:sz w:val="24"/>
              </w:rPr>
              <w:t>主要中标或者成交标的的服务要求（如：交货期、质保期、售后服务等等）</w:t>
            </w:r>
          </w:p>
        </w:tc>
        <w:tc>
          <w:tcPr>
            <w:tcW w:w="4564" w:type="dxa"/>
            <w:gridSpan w:val="5"/>
            <w:tcBorders>
              <w:left w:val="single" w:color="auto" w:sz="4" w:space="0"/>
            </w:tcBorders>
            <w:vAlign w:val="center"/>
          </w:tcPr>
          <w:p>
            <w:pPr>
              <w:numPr>
                <w:ilvl w:val="0"/>
                <w:numId w:val="2"/>
              </w:numPr>
              <w:spacing w:after="0" w:line="340" w:lineRule="exact"/>
              <w:jc w:val="left"/>
              <w:rPr>
                <w:rFonts w:ascii="仿宋" w:hAnsi="仿宋" w:eastAsia="仿宋" w:cs="宋体"/>
                <w:bCs/>
                <w:sz w:val="24"/>
              </w:rPr>
            </w:pPr>
            <w:r>
              <w:rPr>
                <w:rFonts w:hint="eastAsia" w:ascii="仿宋" w:hAnsi="仿宋" w:eastAsia="仿宋" w:cs="宋体"/>
                <w:bCs/>
                <w:sz w:val="24"/>
              </w:rPr>
              <w:t>....</w:t>
            </w:r>
          </w:p>
          <w:p>
            <w:pPr>
              <w:numPr>
                <w:ilvl w:val="0"/>
                <w:numId w:val="2"/>
              </w:numPr>
              <w:spacing w:after="0" w:line="340" w:lineRule="exact"/>
              <w:jc w:val="left"/>
              <w:rPr>
                <w:rFonts w:ascii="仿宋" w:hAnsi="仿宋" w:eastAsia="仿宋" w:cs="宋体"/>
                <w:bCs/>
                <w:sz w:val="24"/>
              </w:rPr>
            </w:pPr>
            <w:r>
              <w:rPr>
                <w:rFonts w:hint="eastAsia" w:ascii="仿宋" w:hAnsi="仿宋" w:eastAsia="仿宋" w:cs="宋体"/>
                <w:bCs/>
                <w:sz w:val="24"/>
              </w:rPr>
              <w:t>....</w:t>
            </w:r>
          </w:p>
          <w:p>
            <w:pPr>
              <w:numPr>
                <w:ilvl w:val="0"/>
                <w:numId w:val="2"/>
              </w:numPr>
              <w:spacing w:after="0" w:line="340" w:lineRule="exact"/>
              <w:jc w:val="left"/>
              <w:rPr>
                <w:rFonts w:ascii="仿宋" w:hAnsi="仿宋" w:eastAsia="仿宋" w:cs="宋体"/>
                <w:bCs/>
                <w:sz w:val="24"/>
              </w:rPr>
            </w:pPr>
            <w:r>
              <w:rPr>
                <w:rFonts w:hint="eastAsia" w:ascii="仿宋" w:hAnsi="仿宋" w:eastAsia="仿宋" w:cs="宋体"/>
                <w:bCs/>
                <w:sz w:val="24"/>
              </w:rPr>
              <w:t>....</w:t>
            </w:r>
          </w:p>
          <w:p>
            <w:pPr>
              <w:spacing w:after="0" w:line="340" w:lineRule="exact"/>
              <w:jc w:val="left"/>
              <w:rPr>
                <w:rFonts w:ascii="仿宋" w:hAnsi="仿宋" w:eastAsia="仿宋"/>
                <w:b/>
                <w:bCs/>
                <w:sz w:val="24"/>
              </w:rPr>
            </w:pPr>
            <w:r>
              <w:rPr>
                <w:rFonts w:hint="eastAsia" w:ascii="仿宋" w:hAnsi="仿宋" w:eastAsia="仿宋" w:cs="宋体"/>
                <w:bCs/>
                <w:sz w:val="24"/>
              </w:rPr>
              <w:t>......</w:t>
            </w:r>
          </w:p>
        </w:tc>
      </w:tr>
    </w:tbl>
    <w:p>
      <w:pPr>
        <w:spacing w:after="0" w:line="340" w:lineRule="exact"/>
        <w:rPr>
          <w:rFonts w:ascii="仿宋" w:hAnsi="仿宋" w:eastAsia="仿宋"/>
          <w:sz w:val="24"/>
        </w:rPr>
      </w:pPr>
      <w:r>
        <w:rPr>
          <w:rFonts w:hint="eastAsia" w:ascii="仿宋" w:hAnsi="仿宋" w:eastAsia="仿宋"/>
          <w:sz w:val="24"/>
        </w:rPr>
        <w:t>注：</w:t>
      </w:r>
    </w:p>
    <w:p>
      <w:pPr>
        <w:numPr>
          <w:ilvl w:val="0"/>
          <w:numId w:val="3"/>
        </w:numPr>
        <w:spacing w:after="0" w:line="340" w:lineRule="exact"/>
        <w:rPr>
          <w:rFonts w:ascii="仿宋" w:hAnsi="仿宋" w:eastAsia="仿宋"/>
          <w:sz w:val="24"/>
        </w:rPr>
      </w:pPr>
      <w:r>
        <w:rPr>
          <w:rFonts w:hint="eastAsia" w:ascii="仿宋" w:hAnsi="仿宋" w:eastAsia="仿宋"/>
          <w:sz w:val="24"/>
        </w:rPr>
        <w:t>供应商需如实完善表格内容。</w:t>
      </w:r>
    </w:p>
    <w:p>
      <w:pPr>
        <w:numPr>
          <w:ilvl w:val="0"/>
          <w:numId w:val="3"/>
        </w:numPr>
        <w:spacing w:after="0" w:line="340" w:lineRule="exact"/>
        <w:rPr>
          <w:rFonts w:ascii="仿宋" w:hAnsi="仿宋" w:eastAsia="仿宋"/>
          <w:sz w:val="24"/>
        </w:rPr>
      </w:pPr>
      <w:r>
        <w:rPr>
          <w:rFonts w:hint="eastAsia" w:ascii="仿宋" w:hAnsi="仿宋" w:eastAsia="仿宋"/>
          <w:sz w:val="24"/>
        </w:rPr>
        <w:t>供应商应答的主要内容应与投标文件一致，可以进行简要概括性表述。</w:t>
      </w:r>
    </w:p>
    <w:p>
      <w:pPr>
        <w:numPr>
          <w:ilvl w:val="0"/>
          <w:numId w:val="3"/>
        </w:numPr>
        <w:spacing w:after="0" w:line="340" w:lineRule="exact"/>
        <w:rPr>
          <w:rFonts w:ascii="仿宋" w:hAnsi="仿宋" w:eastAsia="仿宋"/>
          <w:sz w:val="24"/>
        </w:rPr>
      </w:pPr>
      <w:r>
        <w:rPr>
          <w:rFonts w:hint="eastAsia" w:ascii="仿宋" w:hAnsi="仿宋" w:eastAsia="仿宋"/>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pPr>
        <w:widowControl/>
        <w:spacing w:after="0" w:line="340" w:lineRule="exac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after="0" w:line="340" w:lineRule="exac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after="0" w:line="340" w:lineRule="exact"/>
        <w:ind w:firstLine="470" w:firstLineChars="196"/>
        <w:jc w:val="left"/>
        <w:outlineLvl w:val="1"/>
        <w:rPr>
          <w:rFonts w:ascii="仿宋" w:hAnsi="仿宋" w:eastAsia="仿宋"/>
          <w:b/>
          <w:sz w:val="24"/>
        </w:rPr>
      </w:pPr>
      <w:r>
        <w:rPr>
          <w:rFonts w:hint="eastAsia" w:ascii="仿宋" w:hAnsi="仿宋" w:eastAsia="仿宋"/>
          <w:sz w:val="24"/>
        </w:rPr>
        <w:t>投标日期: XXXX。</w:t>
      </w:r>
    </w:p>
    <w:p>
      <w:pPr>
        <w:spacing w:after="0" w:line="360" w:lineRule="auto"/>
        <w:rPr>
          <w:rFonts w:ascii="仿宋" w:hAnsi="仿宋" w:eastAsia="仿宋"/>
          <w:b/>
          <w:sz w:val="32"/>
          <w:szCs w:val="32"/>
        </w:rPr>
      </w:pPr>
      <w:bookmarkStart w:id="162" w:name="_Toc217446088"/>
      <w:r>
        <w:rPr>
          <w:rFonts w:hint="eastAsia" w:ascii="仿宋" w:hAnsi="仿宋" w:eastAsia="仿宋"/>
          <w:b/>
          <w:sz w:val="32"/>
          <w:szCs w:val="32"/>
        </w:rPr>
        <w:br w:type="page"/>
      </w:r>
      <w:r>
        <w:rPr>
          <w:rFonts w:hint="eastAsia" w:ascii="仿宋" w:hAnsi="仿宋" w:eastAsia="仿宋"/>
          <w:b/>
          <w:sz w:val="32"/>
          <w:szCs w:val="32"/>
        </w:rPr>
        <w:t>格式2-</w:t>
      </w:r>
      <w:r>
        <w:rPr>
          <w:rFonts w:ascii="仿宋" w:hAnsi="仿宋" w:eastAsia="仿宋"/>
          <w:b/>
          <w:sz w:val="32"/>
          <w:szCs w:val="32"/>
        </w:rPr>
        <w:t>8</w:t>
      </w:r>
    </w:p>
    <w:p>
      <w:pPr>
        <w:widowControl/>
        <w:spacing w:after="0" w:line="360" w:lineRule="atLeast"/>
        <w:jc w:val="center"/>
        <w:outlineLvl w:val="1"/>
        <w:rPr>
          <w:rFonts w:ascii="仿宋" w:hAnsi="仿宋" w:eastAsia="仿宋"/>
          <w:b/>
          <w:sz w:val="32"/>
          <w:szCs w:val="32"/>
        </w:rPr>
      </w:pPr>
      <w:r>
        <w:rPr>
          <w:rFonts w:hint="eastAsia" w:ascii="仿宋" w:hAnsi="仿宋" w:eastAsia="仿宋"/>
          <w:b/>
          <w:sz w:val="32"/>
          <w:szCs w:val="32"/>
        </w:rPr>
        <w:t>七、投标人基本情况表</w:t>
      </w:r>
      <w:bookmarkEnd w:id="162"/>
    </w:p>
    <w:tbl>
      <w:tblPr>
        <w:tblStyle w:val="23"/>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投标人名称</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注册地址</w:t>
            </w:r>
          </w:p>
        </w:tc>
        <w:tc>
          <w:tcPr>
            <w:tcW w:w="3443" w:type="dxa"/>
            <w:gridSpan w:val="3"/>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邮政编码</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联系方式</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联系人</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电话</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spacing w:after="0"/>
              <w:rPr>
                <w:rFonts w:ascii="仿宋" w:hAnsi="仿宋" w:eastAsia="仿宋"/>
              </w:rPr>
            </w:pP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传真</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网址</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组织结构</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法定代表人/单位负责人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成立时间</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4497" w:type="dxa"/>
            <w:gridSpan w:val="5"/>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企业资质等级</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restart"/>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其中</w:t>
            </w: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项目经理</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营业执照号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高级职称人员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注册资金</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中级职称人员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开户银行</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初级职称人员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账号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技工</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经营范围</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22" w:type="dxa"/>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备注</w:t>
            </w:r>
          </w:p>
        </w:tc>
        <w:tc>
          <w:tcPr>
            <w:tcW w:w="6693" w:type="dxa"/>
            <w:gridSpan w:val="7"/>
          </w:tcPr>
          <w:p>
            <w:pPr>
              <w:widowControl/>
              <w:spacing w:after="0" w:line="360" w:lineRule="atLeast"/>
              <w:ind w:firstLine="470" w:firstLineChars="196"/>
              <w:jc w:val="left"/>
              <w:outlineLvl w:val="1"/>
              <w:rPr>
                <w:rFonts w:ascii="仿宋" w:hAnsi="仿宋" w:eastAsia="仿宋"/>
                <w:sz w:val="24"/>
              </w:rPr>
            </w:pPr>
          </w:p>
        </w:tc>
      </w:tr>
    </w:tbl>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投标日期: XXXX。</w:t>
      </w:r>
    </w:p>
    <w:p>
      <w:pPr>
        <w:spacing w:line="360" w:lineRule="auto"/>
        <w:rPr>
          <w:rFonts w:ascii="仿宋" w:hAnsi="仿宋" w:eastAsia="仿宋"/>
          <w:b/>
          <w:sz w:val="32"/>
          <w:szCs w:val="32"/>
        </w:rPr>
      </w:pPr>
      <w:bookmarkStart w:id="163" w:name="_Toc217446089"/>
      <w:r>
        <w:rPr>
          <w:rFonts w:hint="eastAsia" w:ascii="仿宋" w:hAnsi="仿宋" w:eastAsia="仿宋"/>
          <w:b/>
          <w:sz w:val="36"/>
          <w:szCs w:val="36"/>
        </w:rPr>
        <w:br w:type="page"/>
      </w:r>
      <w:r>
        <w:rPr>
          <w:rFonts w:hint="eastAsia" w:ascii="仿宋" w:hAnsi="仿宋" w:eastAsia="仿宋"/>
          <w:b/>
          <w:sz w:val="32"/>
          <w:szCs w:val="32"/>
        </w:rPr>
        <w:t>格式2-</w:t>
      </w:r>
      <w:r>
        <w:rPr>
          <w:rFonts w:ascii="仿宋" w:hAnsi="仿宋" w:eastAsia="仿宋"/>
          <w:b/>
          <w:sz w:val="32"/>
          <w:szCs w:val="32"/>
        </w:rPr>
        <w:t>9</w:t>
      </w:r>
    </w:p>
    <w:p>
      <w:pPr>
        <w:widowControl/>
        <w:spacing w:line="360" w:lineRule="atLeast"/>
        <w:jc w:val="center"/>
        <w:outlineLvl w:val="1"/>
        <w:rPr>
          <w:rFonts w:ascii="仿宋" w:hAnsi="仿宋" w:eastAsia="仿宋"/>
          <w:b/>
          <w:sz w:val="36"/>
          <w:szCs w:val="36"/>
        </w:rPr>
      </w:pPr>
      <w:r>
        <w:rPr>
          <w:rFonts w:hint="eastAsia" w:ascii="仿宋" w:hAnsi="仿宋" w:eastAsia="仿宋"/>
          <w:b/>
          <w:sz w:val="36"/>
          <w:szCs w:val="36"/>
        </w:rPr>
        <w:t>八、类似项目业绩一览表</w:t>
      </w:r>
      <w:bookmarkEnd w:id="163"/>
    </w:p>
    <w:p>
      <w:pPr>
        <w:widowControl/>
        <w:spacing w:line="360" w:lineRule="atLeast"/>
        <w:ind w:firstLine="472" w:firstLineChars="196"/>
        <w:jc w:val="left"/>
        <w:outlineLvl w:val="1"/>
        <w:rPr>
          <w:rFonts w:ascii="仿宋" w:hAnsi="仿宋" w:eastAsia="仿宋"/>
          <w:b/>
          <w:sz w:val="24"/>
        </w:rPr>
      </w:pPr>
    </w:p>
    <w:tbl>
      <w:tblPr>
        <w:tblStyle w:val="23"/>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年份</w:t>
            </w:r>
          </w:p>
        </w:tc>
        <w:tc>
          <w:tcPr>
            <w:tcW w:w="144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用户名称</w:t>
            </w:r>
          </w:p>
        </w:tc>
        <w:tc>
          <w:tcPr>
            <w:tcW w:w="132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项目名称</w:t>
            </w:r>
          </w:p>
        </w:tc>
        <w:tc>
          <w:tcPr>
            <w:tcW w:w="1161"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完成时间</w:t>
            </w:r>
          </w:p>
        </w:tc>
        <w:tc>
          <w:tcPr>
            <w:tcW w:w="12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合同金额</w:t>
            </w:r>
          </w:p>
        </w:tc>
        <w:tc>
          <w:tcPr>
            <w:tcW w:w="1630" w:type="dxa"/>
            <w:gridSpan w:val="2"/>
            <w:tcBorders>
              <w:right w:val="single" w:color="auto" w:sz="4" w:space="0"/>
            </w:tcBorders>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是否通过验收</w:t>
            </w:r>
          </w:p>
        </w:tc>
        <w:tc>
          <w:tcPr>
            <w:tcW w:w="992" w:type="dxa"/>
            <w:tcBorders>
              <w:left w:val="single" w:color="auto" w:sz="4" w:space="0"/>
            </w:tcBorders>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top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注：以上业绩需提供招标文件要求的有关书面证明材料。</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b/>
          <w:sz w:val="32"/>
          <w:szCs w:val="32"/>
        </w:rPr>
      </w:pPr>
      <w:r>
        <w:rPr>
          <w:rFonts w:hint="eastAsia" w:ascii="仿宋" w:hAnsi="仿宋" w:eastAsia="仿宋"/>
          <w:sz w:val="24"/>
        </w:rPr>
        <w:t>投标日期: XXXX。</w:t>
      </w:r>
      <w:bookmarkStart w:id="164" w:name="_Toc217446090"/>
      <w:r>
        <w:rPr>
          <w:rFonts w:hint="eastAsia" w:ascii="仿宋" w:hAnsi="仿宋" w:eastAsia="仿宋"/>
          <w:b/>
          <w:sz w:val="32"/>
          <w:szCs w:val="32"/>
        </w:rPr>
        <w:br w:type="page"/>
      </w:r>
      <w:r>
        <w:rPr>
          <w:rFonts w:hint="eastAsia" w:ascii="仿宋" w:hAnsi="仿宋" w:eastAsia="仿宋"/>
          <w:b/>
          <w:sz w:val="32"/>
          <w:szCs w:val="32"/>
        </w:rPr>
        <w:t>格式2-</w:t>
      </w:r>
      <w:r>
        <w:rPr>
          <w:rFonts w:ascii="仿宋" w:hAnsi="仿宋" w:eastAsia="仿宋"/>
          <w:b/>
          <w:sz w:val="32"/>
          <w:szCs w:val="32"/>
        </w:rPr>
        <w:t>10</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九、</w:t>
      </w:r>
      <w:bookmarkEnd w:id="164"/>
      <w:r>
        <w:rPr>
          <w:rFonts w:hint="eastAsia" w:ascii="仿宋" w:hAnsi="仿宋" w:eastAsia="仿宋"/>
          <w:b/>
          <w:sz w:val="32"/>
          <w:szCs w:val="32"/>
        </w:rPr>
        <w:t>技术服务响应表</w:t>
      </w:r>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招标编号：</w:t>
      </w:r>
    </w:p>
    <w:tbl>
      <w:tblPr>
        <w:tblStyle w:val="23"/>
        <w:tblW w:w="8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2050"/>
        <w:gridCol w:w="2488"/>
        <w:gridCol w:w="2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 w:type="dxa"/>
            <w:vAlign w:val="center"/>
          </w:tcPr>
          <w:p>
            <w:pPr>
              <w:widowControl/>
              <w:spacing w:line="360" w:lineRule="atLeast"/>
              <w:jc w:val="center"/>
              <w:outlineLvl w:val="1"/>
              <w:rPr>
                <w:rFonts w:ascii="仿宋" w:hAnsi="仿宋" w:eastAsia="仿宋"/>
                <w:sz w:val="24"/>
              </w:rPr>
            </w:pPr>
            <w:r>
              <w:rPr>
                <w:rFonts w:hint="eastAsia" w:ascii="仿宋" w:hAnsi="仿宋" w:eastAsia="仿宋" w:cs="宋体"/>
                <w:sz w:val="24"/>
              </w:rPr>
              <w:t>序号</w:t>
            </w:r>
          </w:p>
        </w:tc>
        <w:tc>
          <w:tcPr>
            <w:tcW w:w="2050" w:type="dxa"/>
            <w:vAlign w:val="center"/>
          </w:tcPr>
          <w:p>
            <w:pPr>
              <w:widowControl/>
              <w:spacing w:line="360" w:lineRule="atLeast"/>
              <w:jc w:val="center"/>
              <w:outlineLvl w:val="1"/>
              <w:rPr>
                <w:rFonts w:ascii="仿宋" w:hAnsi="仿宋" w:eastAsia="仿宋"/>
                <w:sz w:val="24"/>
              </w:rPr>
            </w:pPr>
            <w:r>
              <w:rPr>
                <w:rFonts w:hint="eastAsia" w:ascii="仿宋" w:hAnsi="仿宋" w:eastAsia="仿宋" w:cs="宋体"/>
                <w:sz w:val="24"/>
              </w:rPr>
              <w:t>货物名称</w:t>
            </w:r>
          </w:p>
        </w:tc>
        <w:tc>
          <w:tcPr>
            <w:tcW w:w="2488" w:type="dxa"/>
            <w:vAlign w:val="center"/>
          </w:tcPr>
          <w:p>
            <w:pPr>
              <w:widowControl/>
              <w:spacing w:line="360" w:lineRule="atLeast"/>
              <w:jc w:val="center"/>
              <w:outlineLvl w:val="1"/>
              <w:rPr>
                <w:rFonts w:ascii="仿宋" w:hAnsi="仿宋" w:eastAsia="仿宋"/>
                <w:sz w:val="24"/>
              </w:rPr>
            </w:pPr>
            <w:r>
              <w:rPr>
                <w:rFonts w:hint="eastAsia" w:ascii="仿宋" w:hAnsi="仿宋" w:eastAsia="仿宋" w:cs="宋体"/>
                <w:sz w:val="24"/>
              </w:rPr>
              <w:t>招标文件要求</w:t>
            </w:r>
          </w:p>
        </w:tc>
        <w:tc>
          <w:tcPr>
            <w:tcW w:w="2741" w:type="dxa"/>
            <w:vAlign w:val="center"/>
          </w:tcPr>
          <w:p>
            <w:pPr>
              <w:widowControl/>
              <w:spacing w:line="360" w:lineRule="atLeast"/>
              <w:jc w:val="center"/>
              <w:outlineLvl w:val="1"/>
              <w:rPr>
                <w:rFonts w:ascii="仿宋" w:hAnsi="仿宋" w:eastAsia="仿宋"/>
                <w:sz w:val="24"/>
              </w:rPr>
            </w:pPr>
            <w:r>
              <w:rPr>
                <w:rFonts w:hint="eastAsia" w:ascii="仿宋" w:hAnsi="仿宋" w:eastAsia="仿宋" w:cs="宋体"/>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2488" w:type="dxa"/>
          </w:tcPr>
          <w:p>
            <w:pPr>
              <w:widowControl/>
              <w:spacing w:line="360" w:lineRule="atLeast"/>
              <w:ind w:firstLine="470" w:firstLineChars="196"/>
              <w:jc w:val="left"/>
              <w:outlineLvl w:val="1"/>
              <w:rPr>
                <w:rFonts w:ascii="仿宋" w:hAnsi="仿宋" w:eastAsia="仿宋"/>
                <w:sz w:val="24"/>
              </w:rPr>
            </w:pPr>
          </w:p>
        </w:tc>
        <w:tc>
          <w:tcPr>
            <w:tcW w:w="2741"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2488" w:type="dxa"/>
          </w:tcPr>
          <w:p>
            <w:pPr>
              <w:widowControl/>
              <w:spacing w:line="360" w:lineRule="atLeast"/>
              <w:ind w:firstLine="470" w:firstLineChars="196"/>
              <w:jc w:val="left"/>
              <w:outlineLvl w:val="1"/>
              <w:rPr>
                <w:rFonts w:ascii="仿宋" w:hAnsi="仿宋" w:eastAsia="仿宋"/>
                <w:sz w:val="24"/>
              </w:rPr>
            </w:pPr>
          </w:p>
        </w:tc>
        <w:tc>
          <w:tcPr>
            <w:tcW w:w="2741"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2488" w:type="dxa"/>
          </w:tcPr>
          <w:p>
            <w:pPr>
              <w:widowControl/>
              <w:spacing w:line="360" w:lineRule="atLeast"/>
              <w:ind w:firstLine="470" w:firstLineChars="196"/>
              <w:jc w:val="left"/>
              <w:outlineLvl w:val="1"/>
              <w:rPr>
                <w:rFonts w:ascii="仿宋" w:hAnsi="仿宋" w:eastAsia="仿宋"/>
                <w:sz w:val="24"/>
              </w:rPr>
            </w:pPr>
          </w:p>
        </w:tc>
        <w:tc>
          <w:tcPr>
            <w:tcW w:w="2741"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2488" w:type="dxa"/>
          </w:tcPr>
          <w:p>
            <w:pPr>
              <w:widowControl/>
              <w:spacing w:line="360" w:lineRule="atLeast"/>
              <w:ind w:firstLine="470" w:firstLineChars="196"/>
              <w:jc w:val="left"/>
              <w:outlineLvl w:val="1"/>
              <w:rPr>
                <w:rFonts w:ascii="仿宋" w:hAnsi="仿宋" w:eastAsia="仿宋"/>
                <w:sz w:val="24"/>
              </w:rPr>
            </w:pPr>
          </w:p>
        </w:tc>
        <w:tc>
          <w:tcPr>
            <w:tcW w:w="2741"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2488" w:type="dxa"/>
          </w:tcPr>
          <w:p>
            <w:pPr>
              <w:widowControl/>
              <w:spacing w:line="360" w:lineRule="atLeast"/>
              <w:ind w:firstLine="470" w:firstLineChars="196"/>
              <w:jc w:val="left"/>
              <w:outlineLvl w:val="1"/>
              <w:rPr>
                <w:rFonts w:ascii="仿宋" w:hAnsi="仿宋" w:eastAsia="仿宋"/>
                <w:sz w:val="24"/>
              </w:rPr>
            </w:pPr>
          </w:p>
        </w:tc>
        <w:tc>
          <w:tcPr>
            <w:tcW w:w="2741"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2488" w:type="dxa"/>
          </w:tcPr>
          <w:p>
            <w:pPr>
              <w:widowControl/>
              <w:spacing w:line="360" w:lineRule="atLeast"/>
              <w:ind w:firstLine="470" w:firstLineChars="196"/>
              <w:jc w:val="left"/>
              <w:outlineLvl w:val="1"/>
              <w:rPr>
                <w:rFonts w:ascii="仿宋" w:hAnsi="仿宋" w:eastAsia="仿宋"/>
                <w:sz w:val="24"/>
              </w:rPr>
            </w:pPr>
          </w:p>
        </w:tc>
        <w:tc>
          <w:tcPr>
            <w:tcW w:w="2741"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2488" w:type="dxa"/>
          </w:tcPr>
          <w:p>
            <w:pPr>
              <w:widowControl/>
              <w:spacing w:line="360" w:lineRule="atLeast"/>
              <w:ind w:firstLine="470" w:firstLineChars="196"/>
              <w:jc w:val="left"/>
              <w:outlineLvl w:val="1"/>
              <w:rPr>
                <w:rFonts w:ascii="仿宋" w:hAnsi="仿宋" w:eastAsia="仿宋"/>
                <w:sz w:val="24"/>
              </w:rPr>
            </w:pPr>
          </w:p>
        </w:tc>
        <w:tc>
          <w:tcPr>
            <w:tcW w:w="2741" w:type="dxa"/>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注：1. 供应商必须把招标文件</w:t>
      </w:r>
      <w:r>
        <w:rPr>
          <w:rFonts w:hint="eastAsia" w:ascii="仿宋" w:hAnsi="仿宋" w:eastAsia="仿宋"/>
          <w:b/>
          <w:bCs/>
          <w:sz w:val="24"/>
        </w:rPr>
        <w:t>第六章技术服务要求全部</w:t>
      </w:r>
      <w:r>
        <w:rPr>
          <w:rFonts w:hint="eastAsia" w:ascii="仿宋" w:hAnsi="仿宋" w:eastAsia="仿宋"/>
          <w:sz w:val="24"/>
        </w:rPr>
        <w:t>列入此表。</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2．按照招标项目技术要求的顺序逐条对应填写。</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3．供应商必须据实填写，不得虚假填写，否则将取消其投标或中标资格。</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投标日期: XXXX。</w:t>
      </w:r>
    </w:p>
    <w:p>
      <w:pPr>
        <w:widowControl/>
        <w:spacing w:line="360" w:lineRule="atLeast"/>
        <w:ind w:firstLine="470" w:firstLineChars="196"/>
        <w:jc w:val="left"/>
        <w:outlineLvl w:val="1"/>
        <w:rPr>
          <w:rFonts w:ascii="仿宋" w:hAnsi="仿宋" w:eastAsia="仿宋"/>
          <w:sz w:val="24"/>
        </w:rPr>
      </w:pPr>
    </w:p>
    <w:p>
      <w:pPr>
        <w:spacing w:line="360" w:lineRule="auto"/>
        <w:rPr>
          <w:rFonts w:ascii="仿宋" w:hAnsi="仿宋" w:eastAsia="仿宋"/>
          <w:b/>
          <w:sz w:val="32"/>
          <w:szCs w:val="32"/>
        </w:rPr>
      </w:pPr>
      <w:bookmarkStart w:id="165" w:name="_Toc217446091"/>
      <w:r>
        <w:rPr>
          <w:rFonts w:hint="eastAsia" w:ascii="仿宋" w:hAnsi="仿宋" w:eastAsia="仿宋"/>
          <w:b/>
          <w:sz w:val="32"/>
          <w:szCs w:val="32"/>
        </w:rPr>
        <w:br w:type="page"/>
      </w:r>
      <w:r>
        <w:rPr>
          <w:rFonts w:hint="eastAsia" w:ascii="仿宋" w:hAnsi="仿宋" w:eastAsia="仿宋"/>
          <w:b/>
          <w:sz w:val="32"/>
          <w:szCs w:val="32"/>
        </w:rPr>
        <w:t>格式2-</w:t>
      </w:r>
      <w:r>
        <w:rPr>
          <w:rFonts w:ascii="仿宋" w:hAnsi="仿宋" w:eastAsia="仿宋"/>
          <w:b/>
          <w:sz w:val="32"/>
          <w:szCs w:val="32"/>
        </w:rPr>
        <w:t>11</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十、投标人本项目管理、技术、服务人员情况表</w:t>
      </w:r>
      <w:bookmarkEnd w:id="165"/>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招标编号：</w:t>
      </w:r>
    </w:p>
    <w:tbl>
      <w:tblPr>
        <w:tblStyle w:val="23"/>
        <w:tblW w:w="7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类别</w:t>
            </w:r>
          </w:p>
        </w:tc>
        <w:tc>
          <w:tcPr>
            <w:tcW w:w="807"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职务</w:t>
            </w:r>
          </w:p>
        </w:tc>
        <w:tc>
          <w:tcPr>
            <w:tcW w:w="807"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姓名</w:t>
            </w:r>
          </w:p>
        </w:tc>
        <w:tc>
          <w:tcPr>
            <w:tcW w:w="807"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职称</w:t>
            </w:r>
          </w:p>
        </w:tc>
        <w:tc>
          <w:tcPr>
            <w:tcW w:w="807"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常住地</w:t>
            </w:r>
          </w:p>
        </w:tc>
        <w:tc>
          <w:tcPr>
            <w:tcW w:w="3390" w:type="dxa"/>
            <w:gridSpan w:val="4"/>
            <w:vAlign w:val="center"/>
          </w:tcPr>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51"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证书</w:t>
            </w:r>
          </w:p>
          <w:p>
            <w:pPr>
              <w:widowControl/>
              <w:spacing w:line="360" w:lineRule="atLeast"/>
              <w:jc w:val="left"/>
              <w:outlineLvl w:val="1"/>
              <w:rPr>
                <w:rFonts w:ascii="仿宋" w:hAnsi="仿宋" w:eastAsia="仿宋"/>
                <w:sz w:val="24"/>
              </w:rPr>
            </w:pPr>
            <w:r>
              <w:rPr>
                <w:rFonts w:hint="eastAsia" w:ascii="仿宋" w:hAnsi="仿宋" w:eastAsia="仿宋"/>
                <w:sz w:val="24"/>
              </w:rPr>
              <w:t>名称</w:t>
            </w:r>
          </w:p>
        </w:tc>
        <w:tc>
          <w:tcPr>
            <w:tcW w:w="9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级别</w:t>
            </w:r>
          </w:p>
        </w:tc>
        <w:tc>
          <w:tcPr>
            <w:tcW w:w="847"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证号</w:t>
            </w:r>
          </w:p>
        </w:tc>
        <w:tc>
          <w:tcPr>
            <w:tcW w:w="732"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outlineLvl w:val="1"/>
              <w:rPr>
                <w:rFonts w:ascii="仿宋" w:hAnsi="仿宋" w:eastAsia="仿宋"/>
                <w:sz w:val="24"/>
              </w:rPr>
            </w:pPr>
            <w:r>
              <w:rPr>
                <w:rFonts w:hint="eastAsia" w:ascii="仿宋" w:hAnsi="仿宋" w:eastAsia="仿宋"/>
                <w:sz w:val="24"/>
              </w:rPr>
              <w:t>管理</w:t>
            </w:r>
          </w:p>
          <w:p>
            <w:pPr>
              <w:widowControl/>
              <w:spacing w:line="360" w:lineRule="atLeast"/>
              <w:jc w:val="left"/>
              <w:outlineLvl w:val="1"/>
              <w:rPr>
                <w:rFonts w:ascii="仿宋" w:hAnsi="仿宋" w:eastAsia="仿宋"/>
                <w:sz w:val="24"/>
              </w:rPr>
            </w:pPr>
            <w:r>
              <w:rPr>
                <w:rFonts w:hint="eastAsia" w:ascii="仿宋" w:hAnsi="仿宋" w:eastAsia="仿宋"/>
                <w:sz w:val="24"/>
              </w:rPr>
              <w:t>人员</w:t>
            </w: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tcPr>
          <w:p>
            <w:pPr>
              <w:widowControl/>
              <w:spacing w:line="360" w:lineRule="atLeast"/>
              <w:jc w:val="left"/>
              <w:outlineLvl w:val="1"/>
              <w:rPr>
                <w:rFonts w:ascii="仿宋" w:hAnsi="仿宋" w:eastAsia="仿宋"/>
                <w:sz w:val="24"/>
              </w:rPr>
            </w:pPr>
            <w:r>
              <w:rPr>
                <w:rFonts w:hint="eastAsia" w:ascii="仿宋" w:hAnsi="仿宋" w:eastAsia="仿宋"/>
                <w:sz w:val="24"/>
              </w:rPr>
              <w:t>技术</w:t>
            </w:r>
          </w:p>
          <w:p>
            <w:pPr>
              <w:widowControl/>
              <w:spacing w:line="360" w:lineRule="atLeast"/>
              <w:jc w:val="left"/>
              <w:outlineLvl w:val="1"/>
              <w:rPr>
                <w:rFonts w:ascii="仿宋" w:hAnsi="仿宋" w:eastAsia="仿宋"/>
                <w:sz w:val="24"/>
              </w:rPr>
            </w:pPr>
            <w:r>
              <w:rPr>
                <w:rFonts w:hint="eastAsia" w:ascii="仿宋" w:hAnsi="仿宋" w:eastAsia="仿宋"/>
                <w:sz w:val="24"/>
              </w:rPr>
              <w:t>人员</w:t>
            </w: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outlineLvl w:val="1"/>
              <w:rPr>
                <w:rFonts w:ascii="仿宋" w:hAnsi="仿宋" w:eastAsia="仿宋"/>
                <w:sz w:val="24"/>
              </w:rPr>
            </w:pPr>
            <w:r>
              <w:rPr>
                <w:rFonts w:hint="eastAsia" w:ascii="仿宋" w:hAnsi="仿宋" w:eastAsia="仿宋"/>
                <w:sz w:val="24"/>
              </w:rPr>
              <w:t>售后服务人员</w:t>
            </w: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Borders>
              <w:bottom w:val="single" w:color="auto" w:sz="4" w:space="0"/>
            </w:tcBorders>
          </w:tcPr>
          <w:p>
            <w:pPr>
              <w:rPr>
                <w:rFonts w:ascii="仿宋" w:hAnsi="仿宋" w:eastAsia="仿宋"/>
              </w:rPr>
            </w:pPr>
          </w:p>
        </w:tc>
        <w:tc>
          <w:tcPr>
            <w:tcW w:w="807" w:type="dxa"/>
            <w:tcBorders>
              <w:bottom w:val="single" w:color="auto" w:sz="4" w:space="0"/>
            </w:tcBorders>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投标日期: XXXX。</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2" w:firstLineChars="196"/>
        <w:jc w:val="left"/>
        <w:outlineLvl w:val="1"/>
        <w:rPr>
          <w:rFonts w:ascii="仿宋" w:hAnsi="仿宋" w:eastAsia="仿宋"/>
          <w:b/>
          <w:sz w:val="24"/>
        </w:rPr>
      </w:pPr>
    </w:p>
    <w:p>
      <w:pPr>
        <w:spacing w:after="0" w:line="360" w:lineRule="auto"/>
        <w:rPr>
          <w:rFonts w:ascii="仿宋" w:hAnsi="仿宋" w:eastAsia="仿宋"/>
          <w:b/>
          <w:sz w:val="32"/>
          <w:szCs w:val="32"/>
        </w:rPr>
      </w:pPr>
      <w:r>
        <w:rPr>
          <w:rFonts w:hint="eastAsia" w:ascii="仿宋" w:hAnsi="仿宋" w:eastAsia="仿宋"/>
          <w:b/>
          <w:sz w:val="24"/>
        </w:rPr>
        <w:br w:type="page"/>
      </w:r>
    </w:p>
    <w:p>
      <w:pPr>
        <w:spacing w:after="0" w:line="360" w:lineRule="auto"/>
        <w:rPr>
          <w:rFonts w:ascii="仿宋" w:hAnsi="仿宋" w:eastAsia="仿宋"/>
          <w:b/>
          <w:sz w:val="32"/>
          <w:szCs w:val="32"/>
        </w:rPr>
      </w:pPr>
      <w:r>
        <w:rPr>
          <w:rFonts w:hint="eastAsia" w:ascii="仿宋" w:hAnsi="仿宋" w:eastAsia="仿宋"/>
          <w:b/>
          <w:sz w:val="32"/>
          <w:szCs w:val="32"/>
        </w:rPr>
        <w:t>格式2-1</w:t>
      </w:r>
      <w:r>
        <w:rPr>
          <w:rFonts w:ascii="仿宋" w:hAnsi="仿宋" w:eastAsia="仿宋"/>
          <w:b/>
          <w:sz w:val="32"/>
          <w:szCs w:val="32"/>
        </w:rPr>
        <w:t>2</w:t>
      </w:r>
    </w:p>
    <w:p>
      <w:pPr>
        <w:widowControl/>
        <w:spacing w:after="0" w:line="360" w:lineRule="atLeast"/>
        <w:jc w:val="center"/>
        <w:outlineLvl w:val="1"/>
        <w:rPr>
          <w:rFonts w:ascii="仿宋" w:hAnsi="仿宋" w:eastAsia="仿宋"/>
          <w:b/>
          <w:sz w:val="32"/>
          <w:szCs w:val="32"/>
        </w:rPr>
      </w:pPr>
      <w:bookmarkStart w:id="166" w:name="_Toc28495"/>
      <w:bookmarkStart w:id="167" w:name="_Toc28654"/>
      <w:r>
        <w:rPr>
          <w:rFonts w:hint="eastAsia" w:ascii="仿宋" w:hAnsi="仿宋" w:eastAsia="仿宋"/>
          <w:b/>
          <w:sz w:val="32"/>
          <w:szCs w:val="32"/>
        </w:rPr>
        <w:t>十一、中小企业声明函</w:t>
      </w:r>
    </w:p>
    <w:p>
      <w:pPr>
        <w:widowControl/>
        <w:spacing w:after="0" w:line="360" w:lineRule="atLeast"/>
        <w:jc w:val="center"/>
        <w:outlineLvl w:val="1"/>
        <w:rPr>
          <w:rFonts w:ascii="仿宋" w:hAnsi="仿宋" w:eastAsia="仿宋"/>
          <w:b/>
          <w:sz w:val="32"/>
          <w:szCs w:val="32"/>
        </w:rPr>
      </w:pPr>
    </w:p>
    <w:p>
      <w:pPr>
        <w:spacing w:after="0" w:line="360" w:lineRule="auto"/>
        <w:ind w:firstLine="480" w:firstLineChars="200"/>
        <w:jc w:val="left"/>
        <w:rPr>
          <w:rFonts w:ascii="仿宋" w:hAnsi="仿宋" w:eastAsia="仿宋"/>
          <w:sz w:val="24"/>
        </w:rPr>
      </w:pPr>
      <w:r>
        <w:rPr>
          <w:rFonts w:hint="eastAsia" w:ascii="仿宋" w:hAnsi="仿宋" w:eastAsia="仿宋"/>
          <w:sz w:val="24"/>
        </w:rPr>
        <w:t>本公司郑重声明，根据《政府采购促进中小企业发展管理办法》（财库〔2020</w:t>
      </w:r>
      <w:r>
        <w:rPr>
          <w:rFonts w:ascii="仿宋" w:hAnsi="仿宋" w:eastAsia="仿宋"/>
          <w:sz w:val="24"/>
        </w:rPr>
        <w:t>〕</w:t>
      </w:r>
      <w:r>
        <w:rPr>
          <w:rFonts w:hint="eastAsia" w:ascii="仿宋" w:hAnsi="仿宋" w:eastAsia="仿宋"/>
          <w:sz w:val="24"/>
        </w:rPr>
        <w:t>46 号）</w:t>
      </w:r>
      <w:r>
        <w:rPr>
          <w:rFonts w:ascii="仿宋" w:hAnsi="仿宋" w:eastAsia="仿宋"/>
          <w:sz w:val="24"/>
        </w:rPr>
        <w:t>的规定，</w:t>
      </w:r>
      <w:r>
        <w:rPr>
          <w:rFonts w:hint="eastAsia" w:ascii="仿宋" w:hAnsi="仿宋" w:eastAsia="仿宋"/>
          <w:sz w:val="24"/>
        </w:rPr>
        <w:t xml:space="preserve">本公司（联合体）参加 </w:t>
      </w:r>
      <w:r>
        <w:rPr>
          <w:rFonts w:hint="eastAsia" w:ascii="仿宋" w:hAnsi="仿宋" w:eastAsia="仿宋"/>
          <w:sz w:val="24"/>
          <w:u w:val="single"/>
        </w:rPr>
        <w:t xml:space="preserve">（单位名称） </w:t>
      </w:r>
      <w:r>
        <w:rPr>
          <w:rFonts w:hint="eastAsia" w:ascii="仿宋" w:hAnsi="仿宋" w:eastAsia="仿宋"/>
          <w:sz w:val="24"/>
        </w:rPr>
        <w:t xml:space="preserve">的 </w:t>
      </w:r>
      <w:r>
        <w:rPr>
          <w:rFonts w:hint="eastAsia" w:ascii="仿宋" w:hAnsi="仿宋" w:eastAsia="仿宋"/>
          <w:sz w:val="24"/>
          <w:u w:val="single"/>
        </w:rPr>
        <w:t xml:space="preserve">（项目名称） </w:t>
      </w:r>
      <w:r>
        <w:rPr>
          <w:rFonts w:hint="eastAsia" w:ascii="仿宋" w:hAnsi="仿宋" w:eastAsia="仿宋"/>
          <w:sz w:val="24"/>
        </w:rPr>
        <w:t>采购活动，提供的货物全部由符合政策要求的中小企业制造。相关企业（含联合体中的中小企业、签订分包意向协议的中小企业）的具体情况如下：</w:t>
      </w:r>
      <w:r>
        <w:rPr>
          <w:rFonts w:ascii="仿宋" w:hAnsi="仿宋" w:eastAsia="仿宋"/>
          <w:sz w:val="24"/>
        </w:rPr>
        <w:br w:type="textWrapping"/>
      </w:r>
      <w:r>
        <w:rPr>
          <w:rFonts w:hint="eastAsia" w:ascii="仿宋" w:hAnsi="仿宋" w:eastAsia="仿宋"/>
          <w:sz w:val="24"/>
        </w:rPr>
        <w:t>　　</w:t>
      </w:r>
      <w:bookmarkStart w:id="168" w:name="_Toc413748654"/>
      <w:bookmarkStart w:id="169" w:name="_Toc419811733"/>
      <w:bookmarkStart w:id="170" w:name="_Toc417911732"/>
      <w:bookmarkStart w:id="171" w:name="_Toc387658050"/>
      <w:bookmarkStart w:id="172" w:name="_Toc387147344"/>
      <w:r>
        <w:rPr>
          <w:rFonts w:hint="eastAsia" w:ascii="仿宋" w:hAnsi="仿宋" w:eastAsia="仿宋"/>
          <w:sz w:val="24"/>
        </w:rPr>
        <w:t xml:space="preserve">1. </w:t>
      </w:r>
      <w:r>
        <w:rPr>
          <w:rFonts w:hint="eastAsia" w:ascii="仿宋" w:hAnsi="仿宋" w:eastAsia="仿宋"/>
          <w:sz w:val="24"/>
          <w:u w:val="single"/>
        </w:rPr>
        <w:t xml:space="preserve">（标的名称）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；制造商为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2.</w:t>
      </w:r>
      <w:r>
        <w:rPr>
          <w:rFonts w:hint="eastAsia" w:ascii="仿宋" w:hAnsi="仿宋" w:eastAsia="仿宋"/>
          <w:sz w:val="24"/>
          <w:u w:val="single"/>
        </w:rPr>
        <w:t xml:space="preserve"> （标的名称）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；制造商为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以上企业，不属于大企业的分支机构，不存在控股股东为大企业的情形，也不存在与大企业的负责人为同一人的情形。</w:t>
      </w:r>
    </w:p>
    <w:p>
      <w:pPr>
        <w:spacing w:after="0" w:line="360" w:lineRule="auto"/>
        <w:ind w:firstLine="600" w:firstLineChars="250"/>
        <w:jc w:val="left"/>
        <w:rPr>
          <w:rFonts w:ascii="仿宋" w:hAnsi="仿宋" w:eastAsia="仿宋"/>
          <w:sz w:val="24"/>
        </w:rPr>
      </w:pPr>
      <w:r>
        <w:rPr>
          <w:rFonts w:hint="eastAsia" w:ascii="仿宋" w:hAnsi="仿宋" w:eastAsia="仿宋"/>
          <w:sz w:val="24"/>
        </w:rPr>
        <w:t>本企业对上述声明内容的真实性负责。如有虚假，将依法承担相应责任。</w:t>
      </w:r>
    </w:p>
    <w:p>
      <w:pPr>
        <w:spacing w:after="0" w:line="360" w:lineRule="auto"/>
        <w:jc w:val="center"/>
        <w:rPr>
          <w:rFonts w:ascii="仿宋" w:hAnsi="仿宋" w:eastAsia="仿宋"/>
          <w:sz w:val="24"/>
        </w:rPr>
      </w:pPr>
      <w:r>
        <w:rPr>
          <w:rFonts w:hint="eastAsia" w:ascii="仿宋" w:hAnsi="仿宋" w:eastAsia="仿宋"/>
          <w:sz w:val="24"/>
        </w:rPr>
        <w:t xml:space="preserve">                                 企业名称（盖章）：</w:t>
      </w:r>
    </w:p>
    <w:p>
      <w:pPr>
        <w:spacing w:after="0" w:line="360" w:lineRule="auto"/>
        <w:jc w:val="center"/>
        <w:rPr>
          <w:rFonts w:ascii="仿宋" w:hAnsi="仿宋" w:eastAsia="仿宋"/>
          <w:sz w:val="24"/>
        </w:rPr>
      </w:pPr>
      <w:r>
        <w:rPr>
          <w:rFonts w:hint="eastAsia" w:ascii="仿宋" w:hAnsi="仿宋" w:eastAsia="仿宋"/>
          <w:sz w:val="24"/>
        </w:rPr>
        <w:t xml:space="preserve">                        日 期：</w:t>
      </w:r>
    </w:p>
    <w:p>
      <w:pPr>
        <w:spacing w:after="0" w:line="360" w:lineRule="auto"/>
        <w:jc w:val="left"/>
        <w:rPr>
          <w:rFonts w:ascii="仿宋" w:hAnsi="仿宋" w:eastAsia="仿宋" w:cs="宋体"/>
          <w:sz w:val="24"/>
        </w:rPr>
      </w:pPr>
      <w:r>
        <w:rPr>
          <w:rFonts w:hint="eastAsia" w:ascii="仿宋" w:hAnsi="仿宋" w:eastAsia="仿宋" w:cs="宋体"/>
          <w:sz w:val="24"/>
        </w:rPr>
        <w:t>注：</w:t>
      </w:r>
    </w:p>
    <w:p>
      <w:pPr>
        <w:spacing w:after="0" w:line="360" w:lineRule="auto"/>
        <w:rPr>
          <w:rFonts w:ascii="仿宋" w:hAnsi="仿宋" w:eastAsia="仿宋"/>
          <w:b/>
          <w:sz w:val="32"/>
          <w:szCs w:val="32"/>
        </w:rPr>
      </w:pPr>
      <w:r>
        <w:rPr>
          <w:rFonts w:ascii="仿宋" w:hAnsi="仿宋" w:eastAsia="仿宋" w:cs="宋体"/>
          <w:sz w:val="24"/>
        </w:rPr>
        <w:t>1、</w:t>
      </w:r>
      <w:bookmarkEnd w:id="168"/>
      <w:bookmarkEnd w:id="169"/>
      <w:bookmarkEnd w:id="170"/>
      <w:bookmarkEnd w:id="171"/>
      <w:bookmarkEnd w:id="172"/>
      <w:r>
        <w:rPr>
          <w:rFonts w:hint="eastAsia" w:ascii="仿宋" w:hAnsi="仿宋" w:eastAsia="仿宋" w:cs="宋体"/>
          <w:sz w:val="24"/>
        </w:rPr>
        <w:t>从业人员、营业收入、资产总额填报上一年度数据，无上一年度数据的新成立企业可不填报。</w:t>
      </w:r>
      <w:r>
        <w:rPr>
          <w:rFonts w:hint="eastAsia" w:ascii="仿宋" w:hAnsi="仿宋" w:eastAsia="仿宋" w:cs="宋体"/>
          <w:sz w:val="24"/>
        </w:rPr>
        <w:br w:type="page"/>
      </w:r>
      <w:r>
        <w:rPr>
          <w:rFonts w:hint="eastAsia" w:ascii="仿宋" w:hAnsi="仿宋" w:eastAsia="仿宋"/>
          <w:b/>
          <w:sz w:val="32"/>
          <w:szCs w:val="32"/>
        </w:rPr>
        <w:t>格式2-1</w:t>
      </w:r>
      <w:r>
        <w:rPr>
          <w:rFonts w:ascii="仿宋" w:hAnsi="仿宋" w:eastAsia="仿宋"/>
          <w:b/>
          <w:sz w:val="32"/>
          <w:szCs w:val="32"/>
        </w:rPr>
        <w:t>3</w:t>
      </w:r>
    </w:p>
    <w:p>
      <w:pPr>
        <w:jc w:val="center"/>
        <w:rPr>
          <w:rFonts w:ascii="仿宋" w:hAnsi="仿宋" w:eastAsia="仿宋"/>
          <w:b/>
          <w:sz w:val="32"/>
          <w:szCs w:val="32"/>
        </w:rPr>
      </w:pPr>
      <w:r>
        <w:rPr>
          <w:rFonts w:hint="eastAsia" w:ascii="仿宋" w:hAnsi="仿宋" w:eastAsia="仿宋"/>
          <w:b/>
          <w:sz w:val="32"/>
          <w:szCs w:val="32"/>
        </w:rPr>
        <w:t>十二、残疾人福利性单位声明函</w:t>
      </w:r>
    </w:p>
    <w:p>
      <w:pPr>
        <w:spacing w:line="588" w:lineRule="exact"/>
        <w:rPr>
          <w:rFonts w:ascii="仿宋" w:hAnsi="仿宋" w:eastAsia="仿宋" w:cs="宋体"/>
          <w:b/>
          <w:spacing w:val="6"/>
          <w:sz w:val="24"/>
        </w:rPr>
      </w:pP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本单位郑重声明，根据《财政部 民政部 中国残疾人联合会关于促进残疾人就业政府采购政策的通知》（财库</w:t>
      </w:r>
      <w:r>
        <w:rPr>
          <w:rFonts w:hint="eastAsia" w:ascii="仿宋" w:hAnsi="仿宋" w:eastAsia="仿宋" w:cs="宋体"/>
          <w:sz w:val="24"/>
        </w:rPr>
        <w:t>〔2017〕 141</w:t>
      </w:r>
      <w:r>
        <w:rPr>
          <w:rFonts w:hint="eastAsia" w:ascii="仿宋" w:hAnsi="仿宋" w:eastAsia="仿宋" w:cs="宋体"/>
          <w:spacing w:val="6"/>
          <w:sz w:val="24"/>
        </w:rPr>
        <w:t>号）的规定，本单位为符合条件的残疾人福利性单位，且本单位参加</w:t>
      </w:r>
      <w:r>
        <w:rPr>
          <w:rFonts w:hint="eastAsia" w:ascii="仿宋" w:hAnsi="仿宋" w:eastAsia="仿宋"/>
          <w:sz w:val="24"/>
          <w:u w:val="single"/>
        </w:rPr>
        <w:t>XXXX</w:t>
      </w:r>
      <w:r>
        <w:rPr>
          <w:rFonts w:hint="eastAsia" w:ascii="仿宋" w:hAnsi="仿宋" w:eastAsia="仿宋" w:cs="宋体"/>
          <w:spacing w:val="6"/>
          <w:sz w:val="24"/>
        </w:rPr>
        <w:t>单位的</w:t>
      </w:r>
      <w:r>
        <w:rPr>
          <w:rFonts w:hint="eastAsia" w:ascii="仿宋" w:hAnsi="仿宋" w:eastAsia="仿宋"/>
          <w:sz w:val="24"/>
          <w:u w:val="single"/>
        </w:rPr>
        <w:t>XXXX</w:t>
      </w:r>
      <w:r>
        <w:rPr>
          <w:rFonts w:hint="eastAsia" w:ascii="仿宋" w:hAnsi="仿宋" w:eastAsia="仿宋" w:cs="宋体"/>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本单位对上述声明的真实性负责。如有虚假，将依法承担相应责任。</w:t>
      </w:r>
    </w:p>
    <w:p>
      <w:pPr>
        <w:spacing w:line="588" w:lineRule="exact"/>
        <w:rPr>
          <w:rFonts w:ascii="仿宋" w:hAnsi="仿宋" w:eastAsia="仿宋" w:cs="宋体"/>
          <w:spacing w:val="6"/>
          <w:sz w:val="24"/>
        </w:rPr>
      </w:pPr>
    </w:p>
    <w:p>
      <w:pPr>
        <w:spacing w:line="588" w:lineRule="exact"/>
        <w:rPr>
          <w:rFonts w:ascii="仿宋" w:hAnsi="仿宋" w:eastAsia="仿宋" w:cs="宋体"/>
          <w:spacing w:val="6"/>
          <w:sz w:val="24"/>
        </w:rPr>
      </w:pPr>
    </w:p>
    <w:p>
      <w:pPr>
        <w:tabs>
          <w:tab w:val="left" w:pos="4860"/>
        </w:tabs>
        <w:spacing w:line="588" w:lineRule="exact"/>
        <w:ind w:right="1560"/>
        <w:rPr>
          <w:rFonts w:ascii="仿宋" w:hAnsi="仿宋" w:eastAsia="仿宋" w:cs="宋体"/>
          <w:spacing w:val="6"/>
          <w:sz w:val="24"/>
        </w:rPr>
      </w:pPr>
      <w:r>
        <w:rPr>
          <w:rFonts w:hint="eastAsia" w:ascii="仿宋" w:hAnsi="仿宋" w:eastAsia="仿宋" w:cs="宋体"/>
          <w:spacing w:val="6"/>
          <w:sz w:val="24"/>
        </w:rPr>
        <w:t>单位名称（盖章）：</w:t>
      </w:r>
    </w:p>
    <w:p>
      <w:pPr>
        <w:rPr>
          <w:rFonts w:ascii="仿宋" w:hAnsi="仿宋" w:eastAsia="仿宋" w:cs="宋体"/>
          <w:spacing w:val="6"/>
          <w:sz w:val="24"/>
        </w:rPr>
      </w:pPr>
      <w:r>
        <w:rPr>
          <w:rFonts w:hint="eastAsia" w:ascii="仿宋" w:hAnsi="仿宋" w:eastAsia="仿宋" w:cs="宋体"/>
          <w:spacing w:val="6"/>
          <w:sz w:val="24"/>
        </w:rPr>
        <w:t>日  期：</w:t>
      </w:r>
    </w:p>
    <w:p>
      <w:pPr>
        <w:spacing w:line="360" w:lineRule="auto"/>
        <w:rPr>
          <w:rFonts w:ascii="仿宋" w:hAnsi="仿宋" w:eastAsia="仿宋" w:cs="宋体"/>
          <w:sz w:val="24"/>
        </w:rPr>
      </w:pPr>
    </w:p>
    <w:p>
      <w:pPr>
        <w:spacing w:line="360" w:lineRule="auto"/>
        <w:rPr>
          <w:rFonts w:ascii="仿宋" w:hAnsi="仿宋" w:eastAsia="仿宋" w:cs="宋体"/>
          <w:sz w:val="24"/>
        </w:rPr>
      </w:pPr>
      <w:r>
        <w:rPr>
          <w:rFonts w:hint="eastAsia" w:ascii="仿宋" w:hAnsi="仿宋" w:eastAsia="仿宋" w:cs="宋体"/>
          <w:sz w:val="24"/>
        </w:rPr>
        <w:t>注：</w:t>
      </w:r>
    </w:p>
    <w:p>
      <w:pPr>
        <w:numPr>
          <w:ilvl w:val="0"/>
          <w:numId w:val="4"/>
        </w:numPr>
        <w:spacing w:line="360" w:lineRule="auto"/>
        <w:rPr>
          <w:rFonts w:ascii="仿宋" w:hAnsi="仿宋" w:eastAsia="仿宋" w:cs="宋体"/>
          <w:sz w:val="24"/>
        </w:rPr>
      </w:pPr>
      <w:r>
        <w:rPr>
          <w:rFonts w:hint="eastAsia" w:ascii="仿宋" w:hAnsi="仿宋" w:eastAsia="仿宋" w:cs="宋体"/>
          <w:sz w:val="24"/>
        </w:rPr>
        <w:t>残疾人福利性单位视同小型、微型企业，享受预留份额、评审中价格扣除等促进中小企业发展的政府采购政策。残疾人福利性单位属于小型、微型企业的，不重复享受政策。</w:t>
      </w:r>
    </w:p>
    <w:p>
      <w:pPr>
        <w:numPr>
          <w:ilvl w:val="0"/>
          <w:numId w:val="4"/>
        </w:numPr>
        <w:spacing w:line="360" w:lineRule="auto"/>
        <w:rPr>
          <w:rFonts w:ascii="仿宋" w:hAnsi="仿宋" w:eastAsia="仿宋" w:cs="宋体"/>
          <w:sz w:val="24"/>
        </w:rPr>
      </w:pPr>
      <w:r>
        <w:rPr>
          <w:rFonts w:hint="eastAsia" w:ascii="仿宋" w:hAnsi="仿宋" w:eastAsia="仿宋" w:cs="宋体"/>
          <w:sz w:val="24"/>
        </w:rPr>
        <w:t>投标人为非残疾人福利性单位的，可不提供此声明。</w:t>
      </w:r>
    </w:p>
    <w:p>
      <w:pPr>
        <w:spacing w:line="300" w:lineRule="exact"/>
        <w:rPr>
          <w:rFonts w:ascii="仿宋" w:hAnsi="仿宋" w:eastAsia="仿宋" w:cs="宋体"/>
          <w:sz w:val="24"/>
        </w:rPr>
      </w:pPr>
    </w:p>
    <w:p>
      <w:pPr>
        <w:widowControl/>
        <w:spacing w:after="0" w:line="240" w:lineRule="auto"/>
        <w:jc w:val="left"/>
        <w:rPr>
          <w:rFonts w:ascii="仿宋" w:hAnsi="仿宋" w:eastAsia="仿宋" w:cs="宋体"/>
          <w:sz w:val="24"/>
        </w:rPr>
      </w:pPr>
      <w:r>
        <w:rPr>
          <w:rFonts w:ascii="仿宋" w:hAnsi="仿宋" w:eastAsia="仿宋" w:cs="宋体"/>
          <w:sz w:val="24"/>
        </w:rPr>
        <w:br w:type="page"/>
      </w:r>
    </w:p>
    <w:p>
      <w:pPr>
        <w:spacing w:after="0" w:line="360" w:lineRule="auto"/>
        <w:rPr>
          <w:rFonts w:ascii="仿宋" w:hAnsi="仿宋" w:eastAsia="仿宋"/>
          <w:b/>
          <w:sz w:val="32"/>
          <w:szCs w:val="32"/>
        </w:rPr>
      </w:pPr>
      <w:r>
        <w:rPr>
          <w:rFonts w:hint="eastAsia" w:ascii="仿宋" w:hAnsi="仿宋" w:eastAsia="仿宋"/>
          <w:b/>
          <w:sz w:val="32"/>
          <w:szCs w:val="32"/>
        </w:rPr>
        <w:t>格式2-1</w:t>
      </w:r>
      <w:r>
        <w:rPr>
          <w:rFonts w:ascii="仿宋" w:hAnsi="仿宋" w:eastAsia="仿宋"/>
          <w:b/>
          <w:sz w:val="32"/>
          <w:szCs w:val="32"/>
        </w:rPr>
        <w:t>4</w:t>
      </w:r>
    </w:p>
    <w:p>
      <w:pPr>
        <w:jc w:val="center"/>
        <w:rPr>
          <w:rFonts w:ascii="仿宋" w:hAnsi="仿宋" w:eastAsia="仿宋"/>
          <w:b/>
          <w:sz w:val="32"/>
          <w:szCs w:val="32"/>
        </w:rPr>
      </w:pPr>
      <w:r>
        <w:rPr>
          <w:rFonts w:hint="eastAsia" w:ascii="仿宋" w:hAnsi="仿宋" w:eastAsia="仿宋"/>
          <w:b/>
          <w:sz w:val="32"/>
          <w:szCs w:val="32"/>
        </w:rPr>
        <w:t>十三、监狱企业</w:t>
      </w:r>
    </w:p>
    <w:p>
      <w:pPr>
        <w:spacing w:after="0" w:line="360" w:lineRule="auto"/>
        <w:ind w:firstLine="480" w:firstLineChars="200"/>
        <w:jc w:val="left"/>
        <w:rPr>
          <w:rFonts w:ascii="仿宋" w:hAnsi="仿宋" w:eastAsia="仿宋"/>
          <w:sz w:val="24"/>
        </w:rPr>
      </w:pPr>
      <w:r>
        <w:rPr>
          <w:rFonts w:hint="eastAsia" w:ascii="仿宋" w:hAnsi="仿宋" w:eastAsia="仿宋"/>
          <w:sz w:val="24"/>
        </w:rPr>
        <w:t>根据</w:t>
      </w:r>
      <w:r>
        <w:rPr>
          <w:rFonts w:hint="eastAsia" w:ascii="仿宋" w:hAnsi="仿宋" w:eastAsia="仿宋" w:cs="仿宋"/>
          <w:sz w:val="24"/>
        </w:rPr>
        <w:t>《政府采购支持监狱企业发展有关问题的通知》</w:t>
      </w:r>
      <w:r>
        <w:rPr>
          <w:rFonts w:hint="eastAsia" w:ascii="仿宋" w:hAnsi="仿宋" w:eastAsia="仿宋"/>
          <w:sz w:val="24"/>
        </w:rPr>
        <w:t>（财库〔</w:t>
      </w:r>
      <w:r>
        <w:rPr>
          <w:rFonts w:ascii="仿宋" w:hAnsi="仿宋" w:eastAsia="仿宋"/>
          <w:sz w:val="24"/>
        </w:rPr>
        <w:t>2014〕68号）的规定</w:t>
      </w:r>
      <w:r>
        <w:rPr>
          <w:rFonts w:hint="eastAsia" w:ascii="仿宋" w:hAnsi="仿宋" w:eastAsia="仿宋"/>
          <w:sz w:val="24"/>
        </w:rPr>
        <w:t>监狱企业参加采购活动的，应</w:t>
      </w:r>
      <w:r>
        <w:rPr>
          <w:rFonts w:hint="eastAsia" w:ascii="仿宋" w:hAnsi="仿宋" w:eastAsia="仿宋" w:cs="宋体"/>
          <w:sz w:val="24"/>
        </w:rPr>
        <w:t>提供由省级以上监狱管理局、戒毒管理局</w:t>
      </w:r>
      <w:r>
        <w:rPr>
          <w:rFonts w:ascii="仿宋" w:hAnsi="仿宋" w:eastAsia="仿宋" w:cs="宋体"/>
          <w:sz w:val="24"/>
        </w:rPr>
        <w:t>(含新疆生产建设兵团)出具的属于监狱企业的证明文件。</w:t>
      </w:r>
    </w:p>
    <w:p>
      <w:pPr>
        <w:spacing w:after="0" w:line="360" w:lineRule="auto"/>
        <w:jc w:val="left"/>
        <w:rPr>
          <w:rFonts w:ascii="仿宋" w:hAnsi="仿宋" w:eastAsia="仿宋" w:cs="宋体"/>
          <w:sz w:val="24"/>
        </w:rPr>
      </w:pPr>
      <w:r>
        <w:rPr>
          <w:rFonts w:hint="eastAsia" w:ascii="仿宋" w:hAnsi="仿宋" w:eastAsia="仿宋" w:cs="宋体"/>
          <w:sz w:val="24"/>
        </w:rPr>
        <w:t>注：</w:t>
      </w:r>
    </w:p>
    <w:p>
      <w:pPr>
        <w:spacing w:after="0" w:line="360" w:lineRule="auto"/>
        <w:rPr>
          <w:rFonts w:ascii="仿宋" w:hAnsi="仿宋" w:eastAsia="仿宋" w:cs="宋体"/>
          <w:sz w:val="24"/>
        </w:rPr>
      </w:pPr>
      <w:r>
        <w:rPr>
          <w:rFonts w:ascii="仿宋" w:hAnsi="仿宋" w:eastAsia="仿宋" w:cs="宋体"/>
          <w:sz w:val="24"/>
        </w:rPr>
        <w:t>1、投标人符合《政府采购支持监狱企业发展有关问题的通知》（财库〔2014〕68号）规定的划分标准为监狱企业适用。</w:t>
      </w:r>
    </w:p>
    <w:p>
      <w:pPr>
        <w:spacing w:after="0" w:line="360" w:lineRule="auto"/>
        <w:rPr>
          <w:rFonts w:ascii="仿宋" w:hAnsi="仿宋" w:eastAsia="仿宋" w:cs="宋体"/>
          <w:sz w:val="24"/>
        </w:rPr>
      </w:pPr>
      <w:r>
        <w:rPr>
          <w:rFonts w:ascii="仿宋" w:hAnsi="仿宋" w:eastAsia="仿宋" w:cs="宋体"/>
          <w:sz w:val="24"/>
        </w:rPr>
        <w:t>2、在政府采购活动中，监狱企业视同小型、微型企业，享受预留份额、评审中</w:t>
      </w:r>
      <w:r>
        <w:rPr>
          <w:rFonts w:hint="eastAsia" w:ascii="仿宋" w:hAnsi="仿宋" w:eastAsia="仿宋" w:cs="宋体"/>
          <w:sz w:val="24"/>
        </w:rPr>
        <w:t>价格扣除等政府采购促进中小企业发展的政府采购政策。</w:t>
      </w:r>
    </w:p>
    <w:p>
      <w:pPr>
        <w:widowControl/>
        <w:spacing w:after="0" w:line="240" w:lineRule="auto"/>
        <w:jc w:val="left"/>
        <w:rPr>
          <w:rFonts w:ascii="仿宋" w:hAnsi="仿宋" w:eastAsia="仿宋" w:cs="宋体"/>
          <w:sz w:val="24"/>
        </w:rPr>
      </w:pPr>
      <w:r>
        <w:rPr>
          <w:rFonts w:ascii="仿宋" w:hAnsi="仿宋" w:eastAsia="仿宋" w:cs="宋体"/>
          <w:sz w:val="24"/>
        </w:rPr>
        <w:br w:type="page"/>
      </w:r>
    </w:p>
    <w:p>
      <w:pPr>
        <w:spacing w:line="300" w:lineRule="exact"/>
        <w:rPr>
          <w:rFonts w:ascii="仿宋" w:hAnsi="仿宋" w:eastAsia="仿宋" w:cs="宋体"/>
          <w:sz w:val="24"/>
        </w:rPr>
        <w:sectPr>
          <w:footerReference r:id="rId6" w:type="default"/>
          <w:pgSz w:w="11906" w:h="16838"/>
          <w:pgMar w:top="1440" w:right="1800" w:bottom="1440" w:left="1800" w:header="851" w:footer="992" w:gutter="0"/>
          <w:cols w:space="720" w:num="1"/>
          <w:docGrid w:type="lines" w:linePitch="312" w:charSpace="0"/>
        </w:sectPr>
      </w:pPr>
    </w:p>
    <w:p>
      <w:pPr>
        <w:pStyle w:val="2"/>
        <w:jc w:val="center"/>
        <w:rPr>
          <w:rFonts w:ascii="仿宋" w:hAnsi="仿宋" w:eastAsia="仿宋"/>
          <w:sz w:val="36"/>
          <w:szCs w:val="36"/>
        </w:rPr>
      </w:pPr>
      <w:r>
        <w:rPr>
          <w:rFonts w:hint="eastAsia" w:ascii="仿宋" w:hAnsi="仿宋" w:eastAsia="仿宋"/>
          <w:sz w:val="36"/>
          <w:szCs w:val="36"/>
        </w:rPr>
        <w:t>第四章  投标人和投标产品的资格、资质性及其他类似效力要求</w:t>
      </w:r>
      <w:bookmarkEnd w:id="166"/>
      <w:bookmarkEnd w:id="167"/>
    </w:p>
    <w:p>
      <w:pPr>
        <w:pStyle w:val="3"/>
        <w:spacing w:line="360" w:lineRule="exact"/>
        <w:rPr>
          <w:rFonts w:ascii="仿宋" w:hAnsi="仿宋" w:eastAsia="仿宋"/>
          <w:sz w:val="24"/>
          <w:szCs w:val="24"/>
        </w:rPr>
      </w:pPr>
      <w:r>
        <w:rPr>
          <w:rFonts w:hint="eastAsia" w:ascii="仿宋" w:hAnsi="仿宋" w:eastAsia="仿宋"/>
          <w:sz w:val="24"/>
          <w:szCs w:val="24"/>
        </w:rPr>
        <w:t>一、投标人资格、资质性及其他类似效力要求</w:t>
      </w:r>
    </w:p>
    <w:p>
      <w:pPr>
        <w:pStyle w:val="42"/>
        <w:spacing w:line="420" w:lineRule="exact"/>
        <w:ind w:firstLine="0" w:firstLineChars="0"/>
        <w:rPr>
          <w:rFonts w:ascii="仿宋" w:hAnsi="仿宋" w:eastAsia="仿宋"/>
          <w:b/>
          <w:bCs/>
        </w:rPr>
      </w:pPr>
      <w:r>
        <w:rPr>
          <w:rFonts w:ascii="仿宋" w:hAnsi="仿宋" w:eastAsia="仿宋"/>
          <w:b/>
          <w:bCs/>
        </w:rPr>
        <w:t>（一）</w:t>
      </w:r>
      <w:r>
        <w:rPr>
          <w:rFonts w:hint="eastAsia" w:ascii="仿宋" w:hAnsi="仿宋" w:eastAsia="仿宋"/>
          <w:b/>
          <w:bCs/>
        </w:rPr>
        <w:t>资格要求：</w:t>
      </w:r>
    </w:p>
    <w:p>
      <w:pPr>
        <w:pStyle w:val="42"/>
        <w:spacing w:line="420" w:lineRule="exact"/>
        <w:ind w:firstLine="0" w:firstLineChars="0"/>
        <w:rPr>
          <w:rFonts w:ascii="仿宋" w:hAnsi="仿宋" w:eastAsia="仿宋"/>
        </w:rPr>
      </w:pPr>
      <w:r>
        <w:rPr>
          <w:rFonts w:hint="eastAsia" w:ascii="仿宋" w:hAnsi="仿宋" w:eastAsia="仿宋"/>
        </w:rPr>
        <w:t>1、满足《中华人民共和国政府采购法》第二十二条规定</w:t>
      </w:r>
      <w:r>
        <w:rPr>
          <w:rFonts w:ascii="仿宋" w:hAnsi="仿宋" w:eastAsia="仿宋"/>
        </w:rPr>
        <w:t>；</w:t>
      </w:r>
    </w:p>
    <w:p>
      <w:pPr>
        <w:tabs>
          <w:tab w:val="left" w:pos="7665"/>
        </w:tabs>
        <w:spacing w:line="400" w:lineRule="exact"/>
        <w:rPr>
          <w:rFonts w:ascii="仿宋" w:hAnsi="仿宋" w:eastAsia="仿宋"/>
          <w:sz w:val="24"/>
        </w:rPr>
      </w:pPr>
      <w:r>
        <w:rPr>
          <w:rFonts w:hint="eastAsia" w:ascii="仿宋" w:hAnsi="仿宋" w:eastAsia="仿宋"/>
          <w:sz w:val="24"/>
        </w:rPr>
        <w:t>2、</w:t>
      </w:r>
      <w:r>
        <w:rPr>
          <w:rFonts w:hint="eastAsia" w:ascii="仿宋" w:hAnsi="仿宋" w:eastAsia="仿宋" w:cs="宋体"/>
          <w:sz w:val="24"/>
        </w:rPr>
        <w:t>落实政府采购政策需满足的资格要求：无。</w:t>
      </w:r>
    </w:p>
    <w:p>
      <w:pPr>
        <w:tabs>
          <w:tab w:val="left" w:pos="7665"/>
        </w:tabs>
        <w:spacing w:line="400" w:lineRule="exact"/>
        <w:rPr>
          <w:rFonts w:ascii="仿宋" w:hAnsi="仿宋" w:eastAsia="仿宋" w:cs="宋体"/>
          <w:sz w:val="24"/>
        </w:rPr>
      </w:pPr>
      <w:r>
        <w:rPr>
          <w:rFonts w:ascii="仿宋" w:hAnsi="仿宋" w:eastAsia="仿宋"/>
          <w:sz w:val="24"/>
        </w:rPr>
        <w:t>3</w:t>
      </w:r>
      <w:r>
        <w:rPr>
          <w:rFonts w:hint="eastAsia" w:ascii="仿宋" w:hAnsi="仿宋" w:eastAsia="仿宋"/>
          <w:sz w:val="24"/>
        </w:rPr>
        <w:t>、</w:t>
      </w:r>
      <w:r>
        <w:rPr>
          <w:rFonts w:hint="eastAsia" w:ascii="仿宋" w:hAnsi="仿宋" w:eastAsia="仿宋" w:cs="宋体"/>
          <w:sz w:val="24"/>
        </w:rPr>
        <w:t>本项目的特定资格要求：</w:t>
      </w:r>
    </w:p>
    <w:p>
      <w:pPr>
        <w:tabs>
          <w:tab w:val="left" w:pos="7665"/>
        </w:tabs>
        <w:spacing w:line="400" w:lineRule="exact"/>
        <w:ind w:firstLine="480" w:firstLineChars="200"/>
        <w:rPr>
          <w:rFonts w:ascii="仿宋" w:hAnsi="仿宋" w:eastAsia="仿宋" w:cs="宋体"/>
          <w:sz w:val="24"/>
        </w:rPr>
      </w:pPr>
      <w:r>
        <w:rPr>
          <w:rFonts w:hint="eastAsia" w:ascii="仿宋" w:hAnsi="仿宋" w:eastAsia="仿宋" w:cs="宋体"/>
          <w:sz w:val="24"/>
        </w:rPr>
        <w:t>3</w:t>
      </w:r>
      <w:r>
        <w:rPr>
          <w:rFonts w:ascii="仿宋" w:hAnsi="仿宋" w:eastAsia="仿宋" w:cs="宋体"/>
          <w:sz w:val="24"/>
        </w:rPr>
        <w:t>.1 投标人具有</w:t>
      </w:r>
      <w:r>
        <w:rPr>
          <w:rFonts w:hint="eastAsia" w:ascii="仿宋" w:hAnsi="仿宋" w:eastAsia="仿宋" w:cs="宋体"/>
          <w:sz w:val="24"/>
        </w:rPr>
        <w:t>《出版物经营许可证》；（若投标人按照招标文件要求进行分包的，则投标人可以不具有《出版物经营许可证》，但分包供应商须具有《出版物经营许可证》）</w:t>
      </w:r>
    </w:p>
    <w:p>
      <w:pPr>
        <w:pStyle w:val="42"/>
        <w:spacing w:line="420" w:lineRule="exact"/>
        <w:ind w:firstLine="0" w:firstLineChars="0"/>
        <w:rPr>
          <w:rFonts w:ascii="仿宋" w:hAnsi="仿宋" w:eastAsia="仿宋"/>
          <w:b/>
          <w:bCs/>
        </w:rPr>
      </w:pPr>
      <w:r>
        <w:rPr>
          <w:rFonts w:hint="eastAsia" w:ascii="仿宋" w:hAnsi="仿宋" w:eastAsia="仿宋"/>
          <w:b/>
          <w:bCs/>
        </w:rPr>
        <w:t>（二）资质性要求：无</w:t>
      </w:r>
    </w:p>
    <w:p>
      <w:pPr>
        <w:pStyle w:val="42"/>
        <w:spacing w:line="420" w:lineRule="exact"/>
        <w:ind w:firstLine="0" w:firstLineChars="0"/>
        <w:rPr>
          <w:rFonts w:ascii="仿宋" w:hAnsi="仿宋" w:eastAsia="仿宋"/>
          <w:b/>
          <w:bCs/>
        </w:rPr>
      </w:pPr>
      <w:r>
        <w:rPr>
          <w:rFonts w:hint="eastAsia" w:ascii="仿宋" w:hAnsi="仿宋" w:eastAsia="仿宋"/>
          <w:b/>
          <w:bCs/>
        </w:rPr>
        <w:t>（三）其他类似效力要求：</w:t>
      </w:r>
    </w:p>
    <w:p>
      <w:pPr>
        <w:pStyle w:val="42"/>
        <w:spacing w:line="420" w:lineRule="exact"/>
        <w:ind w:firstLine="0" w:firstLineChars="0"/>
        <w:rPr>
          <w:rFonts w:ascii="仿宋" w:hAnsi="仿宋" w:eastAsia="仿宋"/>
          <w:b/>
        </w:rPr>
      </w:pPr>
      <w:r>
        <w:rPr>
          <w:rFonts w:hint="eastAsia" w:ascii="仿宋" w:hAnsi="仿宋" w:eastAsia="仿宋"/>
        </w:rPr>
        <w:t>1、授权参加本次投标活动的供应商代表证明材料</w:t>
      </w:r>
    </w:p>
    <w:p>
      <w:pPr>
        <w:pStyle w:val="3"/>
        <w:spacing w:line="360" w:lineRule="exact"/>
        <w:rPr>
          <w:rFonts w:ascii="仿宋" w:hAnsi="仿宋" w:eastAsia="仿宋"/>
          <w:sz w:val="24"/>
          <w:szCs w:val="24"/>
        </w:rPr>
      </w:pPr>
      <w:r>
        <w:rPr>
          <w:rFonts w:hint="eastAsia" w:ascii="仿宋" w:hAnsi="仿宋" w:eastAsia="仿宋"/>
          <w:b w:val="0"/>
          <w:bCs w:val="0"/>
          <w:sz w:val="24"/>
          <w:szCs w:val="24"/>
        </w:rPr>
        <w:t>二、</w:t>
      </w:r>
      <w:r>
        <w:rPr>
          <w:rFonts w:hint="eastAsia" w:ascii="仿宋" w:hAnsi="仿宋" w:eastAsia="仿宋"/>
          <w:sz w:val="24"/>
          <w:szCs w:val="24"/>
        </w:rPr>
        <w:t>投标产品的资格、资质性及其他具有类似效力的要求</w:t>
      </w:r>
    </w:p>
    <w:p>
      <w:pPr>
        <w:rPr>
          <w:rFonts w:ascii="仿宋" w:hAnsi="仿宋" w:eastAsia="仿宋"/>
          <w:b/>
          <w:bCs/>
          <w:sz w:val="24"/>
        </w:rPr>
      </w:pPr>
      <w:r>
        <w:rPr>
          <w:rFonts w:hint="eastAsia" w:ascii="仿宋" w:hAnsi="仿宋" w:eastAsia="仿宋"/>
          <w:b/>
          <w:bCs/>
          <w:sz w:val="24"/>
        </w:rPr>
        <w:t>（一）资格要求：</w:t>
      </w:r>
    </w:p>
    <w:p>
      <w:pPr>
        <w:ind w:firstLine="480" w:firstLineChars="200"/>
        <w:rPr>
          <w:rFonts w:hint="eastAsia" w:ascii="仿宋" w:hAnsi="仿宋" w:eastAsia="仿宋"/>
          <w:b/>
          <w:bCs/>
          <w:sz w:val="24"/>
        </w:rPr>
      </w:pPr>
      <w:r>
        <w:rPr>
          <w:rFonts w:ascii="仿宋" w:hAnsi="仿宋" w:eastAsia="仿宋"/>
          <w:sz w:val="24"/>
        </w:rPr>
        <w:t>1</w:t>
      </w:r>
      <w:r>
        <w:rPr>
          <w:rFonts w:hint="eastAsia" w:ascii="仿宋" w:hAnsi="仿宋" w:eastAsia="仿宋"/>
          <w:sz w:val="24"/>
        </w:rPr>
        <w:t>、若采购产品为一类、二类消毒产品的，投标产品须具有有效的《消毒产品、卫生安全评价报告》。</w:t>
      </w:r>
    </w:p>
    <w:p>
      <w:pPr>
        <w:rPr>
          <w:rFonts w:ascii="仿宋" w:hAnsi="仿宋" w:eastAsia="仿宋"/>
          <w:b/>
          <w:bCs/>
          <w:sz w:val="24"/>
        </w:rPr>
      </w:pPr>
      <w:r>
        <w:rPr>
          <w:rFonts w:hint="eastAsia" w:ascii="仿宋" w:hAnsi="仿宋" w:eastAsia="仿宋"/>
          <w:b/>
          <w:bCs/>
          <w:sz w:val="24"/>
        </w:rPr>
        <w:t>（二）资质性要求：无。</w:t>
      </w:r>
    </w:p>
    <w:p>
      <w:pPr>
        <w:rPr>
          <w:rFonts w:ascii="仿宋" w:hAnsi="仿宋" w:eastAsia="仿宋"/>
          <w:b/>
          <w:bCs/>
          <w:sz w:val="24"/>
        </w:rPr>
      </w:pPr>
      <w:r>
        <w:rPr>
          <w:rFonts w:hint="eastAsia" w:ascii="仿宋" w:hAnsi="仿宋" w:eastAsia="仿宋"/>
          <w:b/>
          <w:bCs/>
          <w:sz w:val="24"/>
        </w:rPr>
        <w:t>（三）其他类似效力要求：无。</w:t>
      </w:r>
    </w:p>
    <w:p>
      <w:pPr>
        <w:pStyle w:val="42"/>
        <w:spacing w:line="420" w:lineRule="exact"/>
        <w:ind w:firstLine="0" w:firstLineChars="0"/>
        <w:rPr>
          <w:rFonts w:ascii="仿宋" w:hAnsi="仿宋" w:eastAsia="仿宋"/>
          <w:b/>
        </w:rPr>
      </w:pPr>
    </w:p>
    <w:p>
      <w:pPr>
        <w:pStyle w:val="42"/>
        <w:spacing w:line="420" w:lineRule="exact"/>
        <w:ind w:firstLine="0" w:firstLineChars="0"/>
        <w:rPr>
          <w:rFonts w:ascii="仿宋" w:hAnsi="仿宋" w:eastAsia="仿宋"/>
          <w:b/>
        </w:rPr>
      </w:pPr>
      <w:r>
        <w:rPr>
          <w:rFonts w:hint="eastAsia" w:ascii="仿宋" w:hAnsi="仿宋" w:eastAsia="仿宋"/>
          <w:b/>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pStyle w:val="42"/>
        <w:numPr>
          <w:ilvl w:val="0"/>
          <w:numId w:val="5"/>
        </w:numPr>
        <w:spacing w:line="420" w:lineRule="exact"/>
        <w:ind w:firstLine="472" w:firstLineChars="196"/>
        <w:rPr>
          <w:rFonts w:ascii="仿宋" w:hAnsi="仿宋" w:eastAsia="仿宋"/>
          <w:b/>
        </w:rPr>
      </w:pPr>
      <w:r>
        <w:rPr>
          <w:rFonts w:hint="eastAsia" w:ascii="仿宋" w:hAnsi="仿宋" w:eastAsia="仿宋"/>
          <w:b/>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2"/>
        <w:jc w:val="center"/>
        <w:rPr>
          <w:rFonts w:ascii="仿宋" w:hAnsi="仿宋" w:eastAsia="仿宋"/>
          <w:sz w:val="36"/>
          <w:szCs w:val="36"/>
        </w:rPr>
      </w:pPr>
      <w:bookmarkStart w:id="173" w:name="_Toc3806"/>
      <w:bookmarkStart w:id="174" w:name="_Toc1588"/>
      <w:r>
        <w:rPr>
          <w:rFonts w:hint="eastAsia" w:ascii="仿宋" w:hAnsi="仿宋" w:eastAsia="仿宋"/>
          <w:sz w:val="36"/>
          <w:szCs w:val="36"/>
        </w:rPr>
        <w:br w:type="page"/>
      </w:r>
      <w:r>
        <w:rPr>
          <w:rFonts w:hint="eastAsia" w:ascii="仿宋" w:hAnsi="仿宋" w:eastAsia="仿宋"/>
          <w:sz w:val="36"/>
          <w:szCs w:val="36"/>
        </w:rPr>
        <w:t>第五章  投标人应当提供的资格、资质性及其他类似效力要求的相关证明材料</w:t>
      </w:r>
      <w:bookmarkEnd w:id="173"/>
      <w:bookmarkEnd w:id="174"/>
    </w:p>
    <w:p>
      <w:pPr>
        <w:rPr>
          <w:rFonts w:ascii="仿宋" w:hAnsi="仿宋" w:eastAsia="仿宋"/>
        </w:rPr>
      </w:pPr>
    </w:p>
    <w:p>
      <w:pPr>
        <w:pStyle w:val="3"/>
        <w:spacing w:line="360" w:lineRule="exact"/>
        <w:rPr>
          <w:rFonts w:ascii="仿宋" w:hAnsi="仿宋" w:eastAsia="仿宋"/>
          <w:sz w:val="24"/>
          <w:szCs w:val="24"/>
        </w:rPr>
      </w:pPr>
      <w:r>
        <w:rPr>
          <w:rFonts w:hint="eastAsia" w:ascii="仿宋" w:hAnsi="仿宋" w:eastAsia="仿宋"/>
          <w:sz w:val="24"/>
          <w:szCs w:val="24"/>
        </w:rPr>
        <w:t>一、应当提供的投标人资格、资质性及其他类似效力要求的相关证明材料</w:t>
      </w:r>
    </w:p>
    <w:p>
      <w:pPr>
        <w:rPr>
          <w:rFonts w:ascii="仿宋" w:hAnsi="仿宋" w:eastAsia="仿宋"/>
          <w:b/>
          <w:bCs/>
          <w:sz w:val="24"/>
        </w:rPr>
      </w:pPr>
      <w:r>
        <w:rPr>
          <w:rFonts w:hint="eastAsia" w:ascii="仿宋" w:hAnsi="仿宋" w:eastAsia="仿宋"/>
          <w:b/>
          <w:bCs/>
          <w:sz w:val="24"/>
        </w:rPr>
        <w:t>（一）资格要求相关证明材料：</w:t>
      </w:r>
    </w:p>
    <w:p>
      <w:pPr>
        <w:pStyle w:val="42"/>
        <w:spacing w:line="420" w:lineRule="exact"/>
        <w:ind w:firstLine="0" w:firstLineChars="0"/>
        <w:rPr>
          <w:rFonts w:ascii="仿宋" w:hAnsi="仿宋" w:eastAsia="仿宋"/>
        </w:rPr>
      </w:pPr>
      <w:r>
        <w:rPr>
          <w:rFonts w:hint="eastAsia" w:ascii="仿宋" w:hAnsi="仿宋" w:eastAsia="仿宋"/>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pStyle w:val="42"/>
        <w:spacing w:line="420" w:lineRule="exact"/>
        <w:ind w:firstLine="0" w:firstLineChars="0"/>
        <w:rPr>
          <w:rFonts w:ascii="仿宋" w:hAnsi="仿宋" w:eastAsia="仿宋"/>
        </w:rPr>
      </w:pPr>
      <w:r>
        <w:rPr>
          <w:rFonts w:hint="eastAsia" w:ascii="仿宋" w:hAnsi="仿宋" w:eastAsia="仿宋"/>
        </w:rPr>
        <w:t>2、具备良好商业信誉的证明材料（可提供承诺函，格式详见第三章）；</w:t>
      </w:r>
    </w:p>
    <w:p>
      <w:pPr>
        <w:pStyle w:val="42"/>
        <w:spacing w:line="420" w:lineRule="exact"/>
        <w:ind w:firstLine="0" w:firstLineChars="0"/>
        <w:rPr>
          <w:rFonts w:ascii="仿宋" w:hAnsi="仿宋" w:eastAsia="仿宋"/>
        </w:rPr>
      </w:pPr>
      <w:r>
        <w:rPr>
          <w:rFonts w:hint="eastAsia" w:ascii="仿宋" w:hAnsi="仿宋" w:eastAsia="仿宋"/>
        </w:rPr>
        <w:t>3、具备健全的财务会计制度的证明材料；｛注：①可提供20</w:t>
      </w:r>
      <w:r>
        <w:rPr>
          <w:rFonts w:ascii="仿宋" w:hAnsi="仿宋" w:eastAsia="仿宋"/>
        </w:rPr>
        <w:t>19</w:t>
      </w:r>
      <w:r>
        <w:rPr>
          <w:rFonts w:hint="eastAsia" w:ascii="仿宋" w:hAnsi="仿宋" w:eastAsia="仿宋"/>
        </w:rPr>
        <w:t>或20</w:t>
      </w:r>
      <w:r>
        <w:rPr>
          <w:rFonts w:ascii="仿宋" w:hAnsi="仿宋" w:eastAsia="仿宋"/>
        </w:rPr>
        <w:t>20</w:t>
      </w:r>
      <w:r>
        <w:rPr>
          <w:rFonts w:hint="eastAsia" w:ascii="仿宋" w:hAnsi="仿宋" w:eastAsia="仿宋"/>
        </w:rPr>
        <w:t>年度经审计的财务报告复印件（包含审计报告和审计报告中所涉及的财务报表和报表附注），②也可提供20</w:t>
      </w:r>
      <w:r>
        <w:rPr>
          <w:rFonts w:ascii="仿宋" w:hAnsi="仿宋" w:eastAsia="仿宋"/>
        </w:rPr>
        <w:t>19</w:t>
      </w:r>
      <w:r>
        <w:rPr>
          <w:rFonts w:hint="eastAsia" w:ascii="仿宋" w:hAnsi="仿宋" w:eastAsia="仿宋"/>
        </w:rPr>
        <w:t>或20</w:t>
      </w:r>
      <w:r>
        <w:rPr>
          <w:rFonts w:ascii="仿宋" w:hAnsi="仿宋" w:eastAsia="仿宋"/>
        </w:rPr>
        <w:t>20</w:t>
      </w:r>
      <w:r>
        <w:rPr>
          <w:rFonts w:hint="eastAsia" w:ascii="仿宋" w:hAnsi="仿宋" w:eastAsia="仿宋"/>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eastAsia="仿宋"/>
        </w:rPr>
        <w:t>部门印章</w:t>
      </w:r>
      <w:r>
        <w:rPr>
          <w:rFonts w:hint="eastAsia" w:ascii="仿宋" w:hAnsi="仿宋" w:eastAsia="仿宋"/>
        </w:rPr>
        <w:t>的公司章程复印件。｝</w:t>
      </w:r>
    </w:p>
    <w:p>
      <w:pPr>
        <w:pStyle w:val="42"/>
        <w:spacing w:line="420" w:lineRule="exact"/>
        <w:ind w:firstLine="0" w:firstLineChars="0"/>
        <w:rPr>
          <w:rFonts w:ascii="仿宋" w:hAnsi="仿宋" w:eastAsia="仿宋"/>
        </w:rPr>
      </w:pPr>
      <w:r>
        <w:rPr>
          <w:rFonts w:hint="eastAsia" w:ascii="仿宋" w:hAnsi="仿宋" w:eastAsia="仿宋"/>
        </w:rPr>
        <w:t>4、具有依法缴纳税收和社会保障资金的良好记录（可提供承诺函，格式详见第三章）；</w:t>
      </w:r>
    </w:p>
    <w:p>
      <w:pPr>
        <w:pStyle w:val="42"/>
        <w:spacing w:line="420" w:lineRule="exact"/>
        <w:ind w:firstLine="0" w:firstLineChars="0"/>
        <w:rPr>
          <w:rFonts w:ascii="仿宋" w:hAnsi="仿宋" w:eastAsia="仿宋"/>
        </w:rPr>
      </w:pPr>
      <w:r>
        <w:rPr>
          <w:rFonts w:hint="eastAsia" w:ascii="仿宋" w:hAnsi="仿宋" w:eastAsia="仿宋"/>
        </w:rPr>
        <w:t>5、具备履行合同所必需的设备和专业技术能力的证明材料（可提供承诺函，格式详见第三章）；</w:t>
      </w:r>
    </w:p>
    <w:p>
      <w:pPr>
        <w:pStyle w:val="42"/>
        <w:spacing w:line="420" w:lineRule="exact"/>
        <w:ind w:firstLine="0" w:firstLineChars="0"/>
        <w:rPr>
          <w:rFonts w:ascii="仿宋" w:hAnsi="仿宋" w:eastAsia="仿宋"/>
        </w:rPr>
      </w:pPr>
      <w:r>
        <w:rPr>
          <w:rFonts w:hint="eastAsia" w:ascii="仿宋" w:hAnsi="仿宋" w:eastAsia="仿宋"/>
        </w:rPr>
        <w:t>6、参加政府采购活动前3年内在经营活动中没有重大违法记录的承诺函（格式详见第三章）；</w:t>
      </w:r>
    </w:p>
    <w:p>
      <w:pPr>
        <w:pStyle w:val="42"/>
        <w:spacing w:line="420" w:lineRule="exact"/>
        <w:ind w:firstLine="0" w:firstLineChars="0"/>
        <w:rPr>
          <w:rFonts w:ascii="仿宋" w:hAnsi="仿宋" w:eastAsia="仿宋"/>
        </w:rPr>
      </w:pPr>
      <w:r>
        <w:rPr>
          <w:rFonts w:hint="eastAsia" w:ascii="仿宋" w:hAnsi="仿宋" w:eastAsia="仿宋"/>
        </w:rPr>
        <w:t>7、具备法律、行政法规规定的其他条件的证明材料（可提供承诺函，格式详见第三章）；</w:t>
      </w:r>
    </w:p>
    <w:p>
      <w:pPr>
        <w:pStyle w:val="42"/>
        <w:spacing w:line="420" w:lineRule="exact"/>
        <w:ind w:firstLine="0" w:firstLineChars="0"/>
        <w:rPr>
          <w:rFonts w:ascii="仿宋" w:hAnsi="仿宋" w:eastAsia="仿宋"/>
        </w:rPr>
      </w:pPr>
      <w:r>
        <w:rPr>
          <w:rFonts w:hint="eastAsia" w:ascii="仿宋" w:hAnsi="仿宋" w:eastAsia="仿宋"/>
        </w:rPr>
        <w:t>8、落实政府采购政策需满足的资格要求：无。</w:t>
      </w:r>
    </w:p>
    <w:p>
      <w:pPr>
        <w:tabs>
          <w:tab w:val="left" w:pos="7665"/>
        </w:tabs>
        <w:spacing w:line="400" w:lineRule="exact"/>
        <w:rPr>
          <w:rFonts w:ascii="仿宋" w:hAnsi="仿宋" w:eastAsia="仿宋" w:cs="宋体"/>
          <w:sz w:val="24"/>
        </w:rPr>
      </w:pPr>
      <w:r>
        <w:rPr>
          <w:rFonts w:hint="eastAsia" w:ascii="仿宋" w:hAnsi="仿宋" w:eastAsia="仿宋"/>
          <w:sz w:val="24"/>
        </w:rPr>
        <w:t>9、</w:t>
      </w:r>
      <w:r>
        <w:rPr>
          <w:rFonts w:hint="eastAsia" w:ascii="仿宋" w:hAnsi="仿宋" w:eastAsia="仿宋" w:cs="宋体"/>
          <w:sz w:val="24"/>
        </w:rPr>
        <w:t>本项目的特定资格要求：</w:t>
      </w:r>
    </w:p>
    <w:p>
      <w:pPr>
        <w:tabs>
          <w:tab w:val="left" w:pos="7665"/>
        </w:tabs>
        <w:spacing w:line="400" w:lineRule="exact"/>
        <w:ind w:firstLine="480" w:firstLineChars="200"/>
        <w:rPr>
          <w:rFonts w:ascii="仿宋" w:hAnsi="仿宋" w:eastAsia="仿宋" w:cs="宋体"/>
          <w:sz w:val="24"/>
        </w:rPr>
      </w:pPr>
      <w:r>
        <w:rPr>
          <w:rFonts w:ascii="仿宋" w:hAnsi="仿宋" w:eastAsia="仿宋" w:cs="宋体"/>
          <w:sz w:val="24"/>
        </w:rPr>
        <w:t>9.1 投标人具有</w:t>
      </w:r>
      <w:r>
        <w:rPr>
          <w:rFonts w:hint="eastAsia" w:ascii="仿宋" w:hAnsi="仿宋" w:eastAsia="仿宋" w:cs="宋体"/>
          <w:sz w:val="24"/>
        </w:rPr>
        <w:t>《出版物经营许可证》；（若投标人按照招标文件要求进行分包的，则投标人可以不具有《出版物经营许可证》，但分包供应商须具有《出版物经营许可证》）（提供证书复印件）</w:t>
      </w:r>
    </w:p>
    <w:p>
      <w:pPr>
        <w:rPr>
          <w:rFonts w:ascii="仿宋" w:hAnsi="仿宋" w:eastAsia="仿宋"/>
          <w:b/>
          <w:bCs/>
          <w:sz w:val="24"/>
        </w:rPr>
      </w:pPr>
      <w:r>
        <w:rPr>
          <w:rFonts w:hint="eastAsia" w:ascii="仿宋" w:hAnsi="仿宋" w:eastAsia="仿宋"/>
          <w:b/>
          <w:bCs/>
          <w:sz w:val="24"/>
        </w:rPr>
        <w:t>（二）资质性要求相关证明材料：无</w:t>
      </w:r>
    </w:p>
    <w:p>
      <w:pPr>
        <w:rPr>
          <w:rFonts w:ascii="仿宋" w:hAnsi="仿宋" w:eastAsia="仿宋"/>
          <w:b/>
          <w:bCs/>
          <w:sz w:val="24"/>
        </w:rPr>
      </w:pPr>
      <w:r>
        <w:rPr>
          <w:rFonts w:hint="eastAsia" w:ascii="仿宋" w:hAnsi="仿宋" w:eastAsia="仿宋"/>
          <w:b/>
          <w:bCs/>
          <w:sz w:val="24"/>
        </w:rPr>
        <w:t>（三）其他类似效力要求相关证明材料：</w:t>
      </w:r>
    </w:p>
    <w:p>
      <w:pPr>
        <w:ind w:firstLine="240" w:firstLineChars="100"/>
        <w:rPr>
          <w:rFonts w:ascii="仿宋" w:hAnsi="仿宋" w:eastAsia="仿宋"/>
          <w:sz w:val="24"/>
        </w:rPr>
      </w:pPr>
      <w:r>
        <w:rPr>
          <w:rFonts w:ascii="仿宋" w:hAnsi="仿宋" w:eastAsia="仿宋"/>
          <w:sz w:val="24"/>
        </w:rPr>
        <w:t>1</w:t>
      </w:r>
      <w:r>
        <w:rPr>
          <w:rFonts w:hint="eastAsia" w:ascii="仿宋" w:hAnsi="仿宋" w:eastAsia="仿宋"/>
          <w:sz w:val="24"/>
        </w:rPr>
        <w:t>、法定代表人/单位负责人身份证明材料复印件。</w:t>
      </w:r>
    </w:p>
    <w:p>
      <w:pPr>
        <w:ind w:firstLine="240" w:firstLineChars="100"/>
        <w:rPr>
          <w:rFonts w:ascii="仿宋" w:hAnsi="仿宋" w:eastAsia="仿宋"/>
          <w:sz w:val="24"/>
        </w:rPr>
      </w:pPr>
      <w:r>
        <w:rPr>
          <w:rFonts w:ascii="仿宋" w:hAnsi="仿宋" w:eastAsia="仿宋"/>
          <w:sz w:val="24"/>
        </w:rPr>
        <w:t>2</w:t>
      </w:r>
      <w:r>
        <w:rPr>
          <w:rFonts w:hint="eastAsia" w:ascii="仿宋" w:hAnsi="仿宋" w:eastAsia="仿宋"/>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pPr>
        <w:pStyle w:val="3"/>
        <w:spacing w:line="360" w:lineRule="exact"/>
        <w:rPr>
          <w:rFonts w:ascii="仿宋" w:hAnsi="仿宋" w:eastAsia="仿宋"/>
          <w:sz w:val="24"/>
          <w:szCs w:val="24"/>
        </w:rPr>
      </w:pPr>
      <w:r>
        <w:rPr>
          <w:rFonts w:hint="eastAsia" w:ascii="仿宋" w:hAnsi="仿宋" w:eastAsia="仿宋"/>
          <w:b w:val="0"/>
          <w:bCs w:val="0"/>
          <w:sz w:val="24"/>
          <w:szCs w:val="24"/>
        </w:rPr>
        <w:t>二、</w:t>
      </w:r>
      <w:r>
        <w:rPr>
          <w:rFonts w:hint="eastAsia" w:ascii="仿宋" w:hAnsi="仿宋" w:eastAsia="仿宋"/>
          <w:sz w:val="24"/>
          <w:szCs w:val="24"/>
        </w:rPr>
        <w:t>应当提供的投标产品的资格、资质性及其他具有类似效力的要求的相关证明材料</w:t>
      </w:r>
    </w:p>
    <w:p>
      <w:pPr>
        <w:rPr>
          <w:rFonts w:ascii="仿宋" w:hAnsi="仿宋" w:eastAsia="仿宋"/>
          <w:b/>
          <w:bCs/>
          <w:sz w:val="24"/>
        </w:rPr>
      </w:pPr>
      <w:r>
        <w:rPr>
          <w:rFonts w:hint="eastAsia" w:ascii="仿宋" w:hAnsi="仿宋" w:eastAsia="仿宋"/>
          <w:b/>
          <w:bCs/>
          <w:sz w:val="24"/>
        </w:rPr>
        <w:t>（一）资格要求相关证明材料：</w:t>
      </w:r>
    </w:p>
    <w:p>
      <w:pPr>
        <w:ind w:firstLine="480" w:firstLineChars="200"/>
        <w:rPr>
          <w:rFonts w:hint="eastAsia" w:ascii="仿宋" w:hAnsi="仿宋" w:eastAsia="仿宋"/>
          <w:b/>
          <w:bCs/>
          <w:sz w:val="24"/>
        </w:rPr>
      </w:pPr>
      <w:r>
        <w:rPr>
          <w:rFonts w:ascii="仿宋" w:hAnsi="仿宋" w:eastAsia="仿宋"/>
          <w:sz w:val="24"/>
        </w:rPr>
        <w:t>1</w:t>
      </w:r>
      <w:r>
        <w:rPr>
          <w:rFonts w:hint="eastAsia" w:ascii="仿宋" w:hAnsi="仿宋" w:eastAsia="仿宋"/>
          <w:sz w:val="24"/>
        </w:rPr>
        <w:t>、若采购产品为一类、二类消毒产品的，投标产品须具有有效的《消毒产品卫生安全评价报告》。（提供报告复印件）</w:t>
      </w:r>
    </w:p>
    <w:p>
      <w:pPr>
        <w:rPr>
          <w:rFonts w:ascii="仿宋" w:hAnsi="仿宋" w:eastAsia="仿宋"/>
          <w:b/>
          <w:bCs/>
          <w:sz w:val="24"/>
        </w:rPr>
      </w:pPr>
      <w:r>
        <w:rPr>
          <w:rFonts w:hint="eastAsia" w:ascii="仿宋" w:hAnsi="仿宋" w:eastAsia="仿宋"/>
          <w:b/>
          <w:bCs/>
          <w:sz w:val="24"/>
        </w:rPr>
        <w:t>（二）资质性要求相关证明材料：无。</w:t>
      </w:r>
    </w:p>
    <w:p>
      <w:pPr>
        <w:rPr>
          <w:rFonts w:ascii="仿宋" w:hAnsi="仿宋" w:eastAsia="仿宋"/>
          <w:b/>
          <w:bCs/>
          <w:sz w:val="24"/>
        </w:rPr>
      </w:pPr>
      <w:r>
        <w:rPr>
          <w:rFonts w:hint="eastAsia" w:ascii="仿宋" w:hAnsi="仿宋" w:eastAsia="仿宋"/>
          <w:b/>
          <w:bCs/>
          <w:sz w:val="24"/>
        </w:rPr>
        <w:t>（三）其他类似效力要求相关证明材料：无。</w:t>
      </w:r>
    </w:p>
    <w:p>
      <w:pPr>
        <w:rPr>
          <w:rFonts w:ascii="仿宋" w:hAnsi="仿宋" w:eastAsia="仿宋"/>
        </w:rPr>
      </w:pPr>
    </w:p>
    <w:p>
      <w:pPr>
        <w:spacing w:line="360" w:lineRule="auto"/>
        <w:rPr>
          <w:rFonts w:ascii="仿宋" w:hAnsi="仿宋" w:eastAsia="仿宋" w:cs="宋体"/>
          <w:b/>
          <w:kern w:val="0"/>
          <w:sz w:val="24"/>
        </w:rPr>
      </w:pPr>
      <w:r>
        <w:rPr>
          <w:rFonts w:hint="eastAsia" w:ascii="仿宋" w:hAnsi="仿宋" w:eastAsia="仿宋" w:cs="宋体"/>
          <w:b/>
          <w:kern w:val="0"/>
          <w:sz w:val="24"/>
        </w:rPr>
        <w:t>注：1、以上要求的资料复印件均须加盖投标单位的公章（鲜章）。</w:t>
      </w:r>
    </w:p>
    <w:p>
      <w:pPr>
        <w:ind w:firstLine="482" w:firstLineChars="200"/>
        <w:rPr>
          <w:rFonts w:ascii="仿宋" w:hAnsi="仿宋" w:eastAsia="仿宋" w:cs="宋体"/>
          <w:b/>
          <w:kern w:val="0"/>
          <w:sz w:val="24"/>
        </w:rPr>
      </w:pPr>
      <w:r>
        <w:rPr>
          <w:rFonts w:hint="eastAsia" w:ascii="仿宋" w:hAnsi="仿宋" w:eastAsia="仿宋" w:cs="宋体"/>
          <w:b/>
          <w:kern w:val="0"/>
          <w:sz w:val="24"/>
        </w:rPr>
        <w:t>2、</w:t>
      </w:r>
      <w:bookmarkStart w:id="175" w:name="_Toc2122"/>
      <w:bookmarkStart w:id="176" w:name="_Toc217446093"/>
      <w:r>
        <w:rPr>
          <w:rFonts w:ascii="仿宋" w:hAnsi="仿宋" w:eastAsia="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b/>
          <w:kern w:val="0"/>
          <w:sz w:val="24"/>
        </w:rPr>
        <w:t>三</w:t>
      </w:r>
      <w:r>
        <w:rPr>
          <w:rFonts w:ascii="仿宋" w:hAnsi="仿宋" w:eastAsia="仿宋" w:cs="宋体"/>
          <w:b/>
          <w:kern w:val="0"/>
          <w:sz w:val="24"/>
        </w:rPr>
        <w:t xml:space="preserve">章）。 </w:t>
      </w:r>
      <w:bookmarkEnd w:id="161"/>
    </w:p>
    <w:p>
      <w:pPr>
        <w:spacing w:line="360" w:lineRule="auto"/>
        <w:rPr>
          <w:rFonts w:ascii="仿宋" w:hAnsi="仿宋" w:eastAsia="仿宋"/>
          <w:sz w:val="36"/>
          <w:szCs w:val="36"/>
        </w:rPr>
        <w:sectPr>
          <w:pgSz w:w="11906" w:h="16838"/>
          <w:pgMar w:top="1440" w:right="1800" w:bottom="1440" w:left="1800" w:header="851" w:footer="992" w:gutter="0"/>
          <w:cols w:space="720" w:num="1"/>
          <w:docGrid w:type="lines" w:linePitch="312" w:charSpace="0"/>
        </w:sectPr>
      </w:pPr>
    </w:p>
    <w:p>
      <w:pPr>
        <w:pStyle w:val="2"/>
        <w:jc w:val="center"/>
        <w:rPr>
          <w:rFonts w:ascii="仿宋" w:hAnsi="仿宋" w:eastAsia="仿宋"/>
          <w:sz w:val="36"/>
          <w:szCs w:val="36"/>
        </w:rPr>
      </w:pPr>
      <w:bookmarkStart w:id="177" w:name="PO_默认文件内容_32"/>
      <w:r>
        <w:rPr>
          <w:rFonts w:hint="eastAsia" w:ascii="仿宋" w:hAnsi="仿宋" w:eastAsia="仿宋"/>
          <w:sz w:val="36"/>
          <w:szCs w:val="36"/>
        </w:rPr>
        <w:t>第六章  招标项目技术、服务、政府采购合同内容条款及其他商务要求</w:t>
      </w:r>
      <w:bookmarkEnd w:id="175"/>
    </w:p>
    <w:bookmarkEnd w:id="176"/>
    <w:p>
      <w:pPr>
        <w:pStyle w:val="3"/>
        <w:spacing w:line="400" w:lineRule="exact"/>
        <w:ind w:firstLine="236" w:firstLineChars="98"/>
        <w:rPr>
          <w:rFonts w:ascii="仿宋" w:hAnsi="仿宋" w:eastAsia="仿宋"/>
          <w:sz w:val="24"/>
          <w:szCs w:val="24"/>
        </w:rPr>
      </w:pPr>
      <w:bookmarkStart w:id="178" w:name="_Toc217446094"/>
      <w:r>
        <w:rPr>
          <w:rFonts w:hint="eastAsia" w:ascii="仿宋" w:hAnsi="仿宋" w:eastAsia="仿宋"/>
          <w:sz w:val="24"/>
          <w:szCs w:val="24"/>
        </w:rPr>
        <w:t>前提：本章中标注“*”的条款为本项目的实质性条款，投标人不满足的，将按照无效投标处理。</w:t>
      </w:r>
    </w:p>
    <w:p>
      <w:pPr>
        <w:pStyle w:val="3"/>
        <w:spacing w:line="400" w:lineRule="exact"/>
        <w:rPr>
          <w:rFonts w:ascii="仿宋" w:hAnsi="仿宋" w:eastAsia="仿宋"/>
          <w:sz w:val="24"/>
          <w:szCs w:val="24"/>
        </w:rPr>
      </w:pPr>
      <w:r>
        <w:rPr>
          <w:rFonts w:hint="eastAsia" w:ascii="仿宋" w:hAnsi="仿宋" w:eastAsia="仿宋"/>
          <w:sz w:val="24"/>
          <w:szCs w:val="24"/>
        </w:rPr>
        <w:t>一、</w:t>
      </w:r>
      <w:bookmarkEnd w:id="178"/>
      <w:r>
        <w:rPr>
          <w:rFonts w:hint="eastAsia" w:ascii="仿宋" w:hAnsi="仿宋" w:eastAsia="仿宋"/>
          <w:sz w:val="24"/>
          <w:szCs w:val="24"/>
        </w:rPr>
        <w:t>采购清单</w:t>
      </w:r>
    </w:p>
    <w:tbl>
      <w:tblPr>
        <w:tblStyle w:val="23"/>
        <w:tblW w:w="10173" w:type="dxa"/>
        <w:tblInd w:w="-856" w:type="dxa"/>
        <w:tblLayout w:type="fixed"/>
        <w:tblCellMar>
          <w:top w:w="0" w:type="dxa"/>
          <w:left w:w="108" w:type="dxa"/>
          <w:bottom w:w="0" w:type="dxa"/>
          <w:right w:w="108" w:type="dxa"/>
        </w:tblCellMar>
      </w:tblPr>
      <w:tblGrid>
        <w:gridCol w:w="567"/>
        <w:gridCol w:w="1206"/>
        <w:gridCol w:w="1205"/>
        <w:gridCol w:w="708"/>
        <w:gridCol w:w="756"/>
        <w:gridCol w:w="804"/>
        <w:gridCol w:w="992"/>
        <w:gridCol w:w="850"/>
        <w:gridCol w:w="851"/>
        <w:gridCol w:w="709"/>
        <w:gridCol w:w="850"/>
        <w:gridCol w:w="675"/>
      </w:tblGrid>
      <w:tr>
        <w:tblPrEx>
          <w:tblCellMar>
            <w:top w:w="0" w:type="dxa"/>
            <w:left w:w="108" w:type="dxa"/>
            <w:bottom w:w="0" w:type="dxa"/>
            <w:right w:w="108" w:type="dxa"/>
          </w:tblCellMar>
        </w:tblPrEx>
        <w:trPr>
          <w:trHeight w:val="280" w:hRule="atLeast"/>
        </w:trPr>
        <w:tc>
          <w:tcPr>
            <w:tcW w:w="10173" w:type="dxa"/>
            <w:gridSpan w:val="12"/>
            <w:tcBorders>
              <w:top w:val="single" w:color="auto" w:sz="4" w:space="0"/>
              <w:left w:val="single" w:color="auto" w:sz="4" w:space="0"/>
              <w:bottom w:val="single" w:color="auto" w:sz="4" w:space="0"/>
              <w:right w:val="single" w:color="000000" w:sz="4" w:space="0"/>
            </w:tcBorders>
            <w:shd w:val="clear" w:color="auto" w:fill="auto"/>
            <w:vAlign w:val="center"/>
          </w:tcPr>
          <w:p>
            <w:pPr>
              <w:widowControl/>
              <w:spacing w:after="0" w:line="240" w:lineRule="auto"/>
              <w:jc w:val="center"/>
              <w:rPr>
                <w:rFonts w:ascii="仿宋" w:hAnsi="仿宋" w:eastAsia="仿宋" w:cs="宋体"/>
                <w:kern w:val="0"/>
                <w:sz w:val="22"/>
                <w:szCs w:val="22"/>
              </w:rPr>
            </w:pPr>
            <w:r>
              <w:rPr>
                <w:rFonts w:hint="eastAsia" w:ascii="仿宋" w:hAnsi="仿宋" w:eastAsia="仿宋" w:cs="宋体"/>
                <w:kern w:val="0"/>
                <w:sz w:val="22"/>
                <w:szCs w:val="22"/>
              </w:rPr>
              <w:t>小学科学</w:t>
            </w:r>
          </w:p>
        </w:tc>
      </w:tr>
      <w:tr>
        <w:tblPrEx>
          <w:tblCellMar>
            <w:top w:w="0" w:type="dxa"/>
            <w:left w:w="108" w:type="dxa"/>
            <w:bottom w:w="0" w:type="dxa"/>
            <w:right w:w="108" w:type="dxa"/>
          </w:tblCellMar>
        </w:tblPrEx>
        <w:trPr>
          <w:trHeight w:val="1340" w:hRule="atLeast"/>
        </w:trPr>
        <w:tc>
          <w:tcPr>
            <w:tcW w:w="567"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序号</w:t>
            </w:r>
          </w:p>
        </w:tc>
        <w:tc>
          <w:tcPr>
            <w:tcW w:w="2411" w:type="dxa"/>
            <w:gridSpan w:val="2"/>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标的名称</w:t>
            </w:r>
          </w:p>
        </w:tc>
        <w:tc>
          <w:tcPr>
            <w:tcW w:w="70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数量</w:t>
            </w:r>
          </w:p>
        </w:tc>
        <w:tc>
          <w:tcPr>
            <w:tcW w:w="75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单位</w:t>
            </w:r>
          </w:p>
        </w:tc>
        <w:tc>
          <w:tcPr>
            <w:tcW w:w="804"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成都市蓉城小学（斑竹社区）</w:t>
            </w:r>
          </w:p>
        </w:tc>
        <w:tc>
          <w:tcPr>
            <w:tcW w:w="992"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电子科技大学附属实验小学龙潭分校（华翰路西侧）</w:t>
            </w:r>
          </w:p>
        </w:tc>
        <w:tc>
          <w:tcPr>
            <w:tcW w:w="85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成都市石室小学（驷马桥南片区）</w:t>
            </w:r>
          </w:p>
        </w:tc>
        <w:tc>
          <w:tcPr>
            <w:tcW w:w="851"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成都市成华实验小学校（北湖片区）</w:t>
            </w:r>
          </w:p>
        </w:tc>
        <w:tc>
          <w:tcPr>
            <w:tcW w:w="709"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成都市石室小学</w:t>
            </w:r>
          </w:p>
        </w:tc>
        <w:tc>
          <w:tcPr>
            <w:tcW w:w="85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成都大学附属实验小学（隆兴南四路东侧）</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标的所属行业</w:t>
            </w:r>
          </w:p>
        </w:tc>
      </w:tr>
      <w:tr>
        <w:tblPrEx>
          <w:tblCellMar>
            <w:top w:w="0" w:type="dxa"/>
            <w:left w:w="108" w:type="dxa"/>
            <w:bottom w:w="0" w:type="dxa"/>
            <w:right w:w="108" w:type="dxa"/>
          </w:tblCellMar>
        </w:tblPrEx>
        <w:trPr>
          <w:trHeight w:val="4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241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一年级上册第一单元--植物(jk)</w:t>
            </w:r>
          </w:p>
        </w:tc>
        <w:tc>
          <w:tcPr>
            <w:tcW w:w="70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66</w:t>
            </w:r>
          </w:p>
        </w:tc>
        <w:tc>
          <w:tcPr>
            <w:tcW w:w="75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箱</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241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一年级上册第二单元--比较与测量(jk)</w:t>
            </w:r>
          </w:p>
        </w:tc>
        <w:tc>
          <w:tcPr>
            <w:tcW w:w="70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66</w:t>
            </w:r>
          </w:p>
        </w:tc>
        <w:tc>
          <w:tcPr>
            <w:tcW w:w="75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箱</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c>
          <w:tcPr>
            <w:tcW w:w="241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一年级下册第一单元--我们周围的物体(jk)</w:t>
            </w:r>
          </w:p>
        </w:tc>
        <w:tc>
          <w:tcPr>
            <w:tcW w:w="70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66</w:t>
            </w:r>
          </w:p>
        </w:tc>
        <w:tc>
          <w:tcPr>
            <w:tcW w:w="75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箱</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241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一年级下册第二单元--动物(jk)</w:t>
            </w:r>
          </w:p>
        </w:tc>
        <w:tc>
          <w:tcPr>
            <w:tcW w:w="70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66</w:t>
            </w:r>
          </w:p>
        </w:tc>
        <w:tc>
          <w:tcPr>
            <w:tcW w:w="75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箱</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w:t>
            </w:r>
          </w:p>
        </w:tc>
        <w:tc>
          <w:tcPr>
            <w:tcW w:w="241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二年级上册第一单元--我们的地球家园(jk)</w:t>
            </w:r>
          </w:p>
        </w:tc>
        <w:tc>
          <w:tcPr>
            <w:tcW w:w="70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66</w:t>
            </w:r>
          </w:p>
        </w:tc>
        <w:tc>
          <w:tcPr>
            <w:tcW w:w="75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箱</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241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二年级上册第二单元--材料(jk)</w:t>
            </w:r>
          </w:p>
        </w:tc>
        <w:tc>
          <w:tcPr>
            <w:tcW w:w="70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66</w:t>
            </w:r>
          </w:p>
        </w:tc>
        <w:tc>
          <w:tcPr>
            <w:tcW w:w="75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箱</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w:t>
            </w:r>
          </w:p>
        </w:tc>
        <w:tc>
          <w:tcPr>
            <w:tcW w:w="241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二年级下册第一单元--磁铁(jk)</w:t>
            </w:r>
          </w:p>
        </w:tc>
        <w:tc>
          <w:tcPr>
            <w:tcW w:w="70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66</w:t>
            </w:r>
          </w:p>
        </w:tc>
        <w:tc>
          <w:tcPr>
            <w:tcW w:w="75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箱</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241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二年级下册第二单元--我们的自己(jk)</w:t>
            </w:r>
          </w:p>
        </w:tc>
        <w:tc>
          <w:tcPr>
            <w:tcW w:w="70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66</w:t>
            </w:r>
          </w:p>
        </w:tc>
        <w:tc>
          <w:tcPr>
            <w:tcW w:w="75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箱</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w:t>
            </w:r>
          </w:p>
        </w:tc>
        <w:tc>
          <w:tcPr>
            <w:tcW w:w="241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三级上册第一单元-水（jk）</w:t>
            </w:r>
          </w:p>
        </w:tc>
        <w:tc>
          <w:tcPr>
            <w:tcW w:w="70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66</w:t>
            </w:r>
          </w:p>
        </w:tc>
        <w:tc>
          <w:tcPr>
            <w:tcW w:w="75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箱</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w:t>
            </w:r>
          </w:p>
        </w:tc>
        <w:tc>
          <w:tcPr>
            <w:tcW w:w="241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三年级上册第二单元-空气（jk）</w:t>
            </w:r>
          </w:p>
        </w:tc>
        <w:tc>
          <w:tcPr>
            <w:tcW w:w="70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66</w:t>
            </w:r>
          </w:p>
        </w:tc>
        <w:tc>
          <w:tcPr>
            <w:tcW w:w="75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箱</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241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三年级上册第三单元-天气（jk）</w:t>
            </w:r>
          </w:p>
        </w:tc>
        <w:tc>
          <w:tcPr>
            <w:tcW w:w="70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66</w:t>
            </w:r>
          </w:p>
        </w:tc>
        <w:tc>
          <w:tcPr>
            <w:tcW w:w="75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箱</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c>
          <w:tcPr>
            <w:tcW w:w="241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三年级下册第一单元-物体的运动（jk）</w:t>
            </w:r>
          </w:p>
        </w:tc>
        <w:tc>
          <w:tcPr>
            <w:tcW w:w="70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66</w:t>
            </w:r>
          </w:p>
        </w:tc>
        <w:tc>
          <w:tcPr>
            <w:tcW w:w="75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箱</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w:t>
            </w:r>
          </w:p>
        </w:tc>
        <w:tc>
          <w:tcPr>
            <w:tcW w:w="241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三年级下册第二单元-动物的一生（jk）</w:t>
            </w:r>
          </w:p>
        </w:tc>
        <w:tc>
          <w:tcPr>
            <w:tcW w:w="70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66</w:t>
            </w:r>
          </w:p>
        </w:tc>
        <w:tc>
          <w:tcPr>
            <w:tcW w:w="75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箱</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241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三年级下册第三单元-太阳、地球和月球（jk)</w:t>
            </w:r>
          </w:p>
        </w:tc>
        <w:tc>
          <w:tcPr>
            <w:tcW w:w="70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66</w:t>
            </w:r>
          </w:p>
        </w:tc>
        <w:tc>
          <w:tcPr>
            <w:tcW w:w="75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箱</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w:t>
            </w:r>
          </w:p>
        </w:tc>
        <w:tc>
          <w:tcPr>
            <w:tcW w:w="2411" w:type="dxa"/>
            <w:gridSpan w:val="2"/>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实验箱货架</w:t>
            </w:r>
          </w:p>
        </w:tc>
        <w:tc>
          <w:tcPr>
            <w:tcW w:w="70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66</w:t>
            </w:r>
          </w:p>
        </w:tc>
        <w:tc>
          <w:tcPr>
            <w:tcW w:w="75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w:t>
            </w:r>
          </w:p>
        </w:tc>
        <w:tc>
          <w:tcPr>
            <w:tcW w:w="2411" w:type="dxa"/>
            <w:gridSpan w:val="2"/>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教学案例</w:t>
            </w:r>
          </w:p>
        </w:tc>
        <w:tc>
          <w:tcPr>
            <w:tcW w:w="70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w:t>
            </w:r>
          </w:p>
        </w:tc>
        <w:tc>
          <w:tcPr>
            <w:tcW w:w="2411" w:type="dxa"/>
            <w:gridSpan w:val="2"/>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学生手册（含评价）</w:t>
            </w:r>
          </w:p>
        </w:tc>
        <w:tc>
          <w:tcPr>
            <w:tcW w:w="70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w:t>
            </w:r>
          </w:p>
        </w:tc>
        <w:tc>
          <w:tcPr>
            <w:tcW w:w="2411" w:type="dxa"/>
            <w:gridSpan w:val="2"/>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清洁能源实验箱</w:t>
            </w:r>
          </w:p>
        </w:tc>
        <w:tc>
          <w:tcPr>
            <w:tcW w:w="70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5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箱</w:t>
            </w:r>
          </w:p>
        </w:tc>
        <w:tc>
          <w:tcPr>
            <w:tcW w:w="80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　</w:t>
            </w:r>
          </w:p>
        </w:tc>
        <w:tc>
          <w:tcPr>
            <w:tcW w:w="992"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　</w:t>
            </w:r>
          </w:p>
        </w:tc>
        <w:tc>
          <w:tcPr>
            <w:tcW w:w="8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　</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　</w:t>
            </w:r>
          </w:p>
        </w:tc>
        <w:tc>
          <w:tcPr>
            <w:tcW w:w="70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　</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19</w:t>
            </w:r>
          </w:p>
        </w:tc>
        <w:tc>
          <w:tcPr>
            <w:tcW w:w="2411" w:type="dxa"/>
            <w:gridSpan w:val="2"/>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电与磁实验箱</w:t>
            </w:r>
          </w:p>
        </w:tc>
        <w:tc>
          <w:tcPr>
            <w:tcW w:w="70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5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箱</w:t>
            </w:r>
          </w:p>
        </w:tc>
        <w:tc>
          <w:tcPr>
            <w:tcW w:w="80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　</w:t>
            </w:r>
          </w:p>
        </w:tc>
        <w:tc>
          <w:tcPr>
            <w:tcW w:w="992"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　</w:t>
            </w:r>
          </w:p>
        </w:tc>
        <w:tc>
          <w:tcPr>
            <w:tcW w:w="8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　</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　</w:t>
            </w:r>
          </w:p>
        </w:tc>
        <w:tc>
          <w:tcPr>
            <w:tcW w:w="70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　</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10173" w:type="dxa"/>
            <w:gridSpan w:val="12"/>
            <w:tcBorders>
              <w:top w:val="single" w:color="auto" w:sz="4" w:space="0"/>
              <w:left w:val="single" w:color="auto" w:sz="4" w:space="0"/>
              <w:bottom w:val="single" w:color="auto" w:sz="4" w:space="0"/>
              <w:right w:val="single" w:color="000000" w:sz="4" w:space="0"/>
            </w:tcBorders>
            <w:shd w:val="clear" w:color="auto" w:fill="auto"/>
            <w:vAlign w:val="center"/>
          </w:tcPr>
          <w:p>
            <w:pPr>
              <w:widowControl/>
              <w:spacing w:after="0" w:line="240" w:lineRule="auto"/>
              <w:jc w:val="center"/>
              <w:rPr>
                <w:rFonts w:ascii="仿宋" w:hAnsi="仿宋" w:eastAsia="仿宋" w:cs="宋体"/>
                <w:kern w:val="0"/>
                <w:sz w:val="22"/>
                <w:szCs w:val="22"/>
              </w:rPr>
            </w:pPr>
            <w:r>
              <w:rPr>
                <w:rFonts w:hint="eastAsia" w:ascii="仿宋" w:hAnsi="仿宋" w:eastAsia="仿宋" w:cs="宋体"/>
                <w:kern w:val="0"/>
                <w:sz w:val="22"/>
                <w:szCs w:val="22"/>
              </w:rPr>
              <w:t>小学数学</w:t>
            </w:r>
          </w:p>
        </w:tc>
      </w:tr>
      <w:tr>
        <w:tblPrEx>
          <w:tblCellMar>
            <w:top w:w="0" w:type="dxa"/>
            <w:left w:w="108" w:type="dxa"/>
            <w:bottom w:w="0" w:type="dxa"/>
            <w:right w:w="108" w:type="dxa"/>
          </w:tblCellMar>
        </w:tblPrEx>
        <w:trPr>
          <w:trHeight w:val="16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序号</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编号</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名称</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数量</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单位</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成都市蓉城小学（斑竹社区）</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电子科技大学附属实验小学龙潭分校（华翰路西侧）</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成都市石室小学（驷马桥南片区）</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成都市成华实验小学校（北湖片区）</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成都市成华小学校 (万年校区)</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成都大学附属实验小学（隆兴南四路东侧）</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标的所属行业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10007</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软尺</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21</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10008</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卷尺</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22</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11006</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托盘天平</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11007</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简易天平</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24</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11019</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弹簧度盘秤</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11023</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弹簧秤</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26</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12003</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电子停表</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72</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27</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20001</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三角板</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28</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20002</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圆规</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24</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29</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20004</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量角器</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20501</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专用直尺</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支</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31</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20505</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标杆</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支</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32</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20506</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测绳</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条</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33</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20507</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塑料球</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34</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20508</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塑料小球</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35</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20510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竖式计数器</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36</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20511</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竖式计数器</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37</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20512</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竖式计数器</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540</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38</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20514</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计数棒</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24</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39</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20516</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钉板</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24</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40</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20518</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钉板</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540</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41</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20522</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数字骰子</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42</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20523</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空白骰子</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43</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20524</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数字转盘</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44</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20525</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色块转盘</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20526</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空白转盘</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46</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20527</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几何图形片</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47</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20528</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集合圈</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540</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48</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20530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七巧板</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540</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49</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20531</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角操作材料</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540</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20532</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图形变换操作材料</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540</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51</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20533</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面积测量器</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540</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96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52</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20534</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探索几何图形面积计算公式材料</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540</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96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53</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20535</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探索几何形体体积计算公式材料</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540</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54</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20536</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口算练习器</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55</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20537</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分数片</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540</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56</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20539</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塑料量杯</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57</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20540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塑料量杯</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58</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20541</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塑料量杯</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72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59</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20542</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小学低年级数学磁性教具</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72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20543</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小学中年级数学磁性教具</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72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61</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20544</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小学高年级数学磁性教具</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62</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30501</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钟表模型</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63</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30502</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钟表模型</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64</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30503</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钟表模型</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65</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30504</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钟表模型</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540</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66</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30505</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钟表模型</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540</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67</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30506</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几何形体模型</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68</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30507</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厘米立方块</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72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69</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30508</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几何形体表面积展开模型</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120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70</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圆面积、圆周率计算公式推导演示模型</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71</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81251</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圆柱形塑料杯</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72</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81252</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方形塑料杯</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73</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50051</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物品卡片</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96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74</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50052</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小学数学数与代数部分教学挂图</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96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75</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50053</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小学数学空间与图形部分教学挂图</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96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76</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50054</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小学数学统计与概率教学挂图</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10173" w:type="dxa"/>
            <w:gridSpan w:val="12"/>
            <w:tcBorders>
              <w:top w:val="single" w:color="auto" w:sz="4" w:space="0"/>
              <w:left w:val="single" w:color="auto" w:sz="4" w:space="0"/>
              <w:bottom w:val="single" w:color="auto" w:sz="4" w:space="0"/>
              <w:right w:val="single" w:color="000000" w:sz="4" w:space="0"/>
            </w:tcBorders>
            <w:shd w:val="clear" w:color="auto" w:fill="auto"/>
            <w:vAlign w:val="center"/>
          </w:tcPr>
          <w:p>
            <w:pPr>
              <w:widowControl/>
              <w:spacing w:after="0" w:line="240" w:lineRule="auto"/>
              <w:jc w:val="center"/>
              <w:rPr>
                <w:rFonts w:ascii="仿宋" w:hAnsi="仿宋" w:eastAsia="仿宋" w:cs="宋体"/>
                <w:kern w:val="0"/>
                <w:sz w:val="22"/>
                <w:szCs w:val="22"/>
              </w:rPr>
            </w:pPr>
            <w:r>
              <w:rPr>
                <w:rFonts w:hint="eastAsia" w:ascii="仿宋" w:hAnsi="仿宋" w:eastAsia="仿宋" w:cs="宋体"/>
                <w:kern w:val="0"/>
                <w:sz w:val="22"/>
                <w:szCs w:val="22"/>
              </w:rPr>
              <w:t>小学体育</w:t>
            </w:r>
          </w:p>
        </w:tc>
      </w:tr>
      <w:tr>
        <w:tblPrEx>
          <w:tblCellMar>
            <w:top w:w="0" w:type="dxa"/>
            <w:left w:w="108" w:type="dxa"/>
            <w:bottom w:w="0" w:type="dxa"/>
            <w:right w:w="108" w:type="dxa"/>
          </w:tblCellMar>
        </w:tblPrEx>
        <w:trPr>
          <w:trHeight w:val="72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序号</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编号</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标的名称</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数量</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单位</w:t>
            </w:r>
          </w:p>
        </w:tc>
        <w:tc>
          <w:tcPr>
            <w:tcW w:w="5056"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成都市成华小学校 (万年校区)</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标的所属行业</w:t>
            </w:r>
          </w:p>
        </w:tc>
      </w:tr>
      <w:tr>
        <w:tblPrEx>
          <w:tblCellMar>
            <w:top w:w="0" w:type="dxa"/>
            <w:left w:w="108" w:type="dxa"/>
            <w:bottom w:w="0" w:type="dxa"/>
            <w:right w:w="108" w:type="dxa"/>
          </w:tblCellMar>
        </w:tblPrEx>
        <w:trPr>
          <w:trHeight w:val="72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77</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D001</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微型无线话筒附接收扩大机</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056"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78</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T011</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固定单杠</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付</w:t>
            </w:r>
          </w:p>
        </w:tc>
        <w:tc>
          <w:tcPr>
            <w:tcW w:w="5056"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79</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T019</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肋木</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付</w:t>
            </w:r>
          </w:p>
        </w:tc>
        <w:tc>
          <w:tcPr>
            <w:tcW w:w="5056"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80</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T022</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篮球</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只</w:t>
            </w:r>
          </w:p>
        </w:tc>
        <w:tc>
          <w:tcPr>
            <w:tcW w:w="5056"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81</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T023</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篮球架</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副</w:t>
            </w:r>
          </w:p>
        </w:tc>
        <w:tc>
          <w:tcPr>
            <w:tcW w:w="5056"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82</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T023</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篮球架</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副</w:t>
            </w:r>
          </w:p>
        </w:tc>
        <w:tc>
          <w:tcPr>
            <w:tcW w:w="5056"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83</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T024</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排球</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只</w:t>
            </w:r>
          </w:p>
        </w:tc>
        <w:tc>
          <w:tcPr>
            <w:tcW w:w="5056"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84</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T025</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排球柱</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付</w:t>
            </w:r>
          </w:p>
        </w:tc>
        <w:tc>
          <w:tcPr>
            <w:tcW w:w="5056"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85</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T026</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排球网</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张</w:t>
            </w:r>
          </w:p>
        </w:tc>
        <w:tc>
          <w:tcPr>
            <w:tcW w:w="5056"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86</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T028</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足球</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只</w:t>
            </w:r>
          </w:p>
        </w:tc>
        <w:tc>
          <w:tcPr>
            <w:tcW w:w="5056"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87</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T029</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足球门</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付</w:t>
            </w:r>
          </w:p>
        </w:tc>
        <w:tc>
          <w:tcPr>
            <w:tcW w:w="5056"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88</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T030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足球网</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张</w:t>
            </w:r>
          </w:p>
        </w:tc>
        <w:tc>
          <w:tcPr>
            <w:tcW w:w="5056"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89</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T031</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乒乓球</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盒</w:t>
            </w:r>
          </w:p>
        </w:tc>
        <w:tc>
          <w:tcPr>
            <w:tcW w:w="5056"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T033</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乒乓球拍</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付</w:t>
            </w:r>
          </w:p>
        </w:tc>
        <w:tc>
          <w:tcPr>
            <w:tcW w:w="5056"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91</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T034</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乒乓球网架</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付</w:t>
            </w:r>
          </w:p>
        </w:tc>
        <w:tc>
          <w:tcPr>
            <w:tcW w:w="5056"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92</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T035</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乒乓球网</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张</w:t>
            </w:r>
          </w:p>
        </w:tc>
        <w:tc>
          <w:tcPr>
            <w:tcW w:w="5056"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93</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T036</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羽毛球</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盒</w:t>
            </w:r>
          </w:p>
        </w:tc>
        <w:tc>
          <w:tcPr>
            <w:tcW w:w="5056"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94</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T037</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羽毛球拍</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付</w:t>
            </w:r>
          </w:p>
        </w:tc>
        <w:tc>
          <w:tcPr>
            <w:tcW w:w="5056"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95</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T038</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羽毛球柱</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056"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96</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T039</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羽毛球网</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张</w:t>
            </w:r>
          </w:p>
        </w:tc>
        <w:tc>
          <w:tcPr>
            <w:tcW w:w="5056"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97</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T040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实心球</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只</w:t>
            </w:r>
          </w:p>
        </w:tc>
        <w:tc>
          <w:tcPr>
            <w:tcW w:w="5056"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98</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T041</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打气泵</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056"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99</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T045</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拨河绳</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根</w:t>
            </w:r>
          </w:p>
        </w:tc>
        <w:tc>
          <w:tcPr>
            <w:tcW w:w="5056"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100</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T048</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弹跳模高计</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056"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101</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T050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云梯</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架</w:t>
            </w:r>
          </w:p>
        </w:tc>
        <w:tc>
          <w:tcPr>
            <w:tcW w:w="5056"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10173" w:type="dxa"/>
            <w:gridSpan w:val="12"/>
            <w:tcBorders>
              <w:top w:val="single" w:color="auto" w:sz="4" w:space="0"/>
              <w:left w:val="single" w:color="auto" w:sz="4" w:space="0"/>
              <w:bottom w:val="single" w:color="auto" w:sz="4" w:space="0"/>
              <w:right w:val="single" w:color="000000" w:sz="4" w:space="0"/>
            </w:tcBorders>
            <w:shd w:val="clear" w:color="auto" w:fill="auto"/>
            <w:vAlign w:val="center"/>
          </w:tcPr>
          <w:p>
            <w:pPr>
              <w:widowControl/>
              <w:spacing w:after="0" w:line="240" w:lineRule="auto"/>
              <w:jc w:val="center"/>
              <w:rPr>
                <w:rFonts w:ascii="仿宋" w:hAnsi="仿宋" w:eastAsia="仿宋" w:cs="宋体"/>
                <w:kern w:val="0"/>
                <w:sz w:val="22"/>
                <w:szCs w:val="22"/>
              </w:rPr>
            </w:pPr>
            <w:r>
              <w:rPr>
                <w:rFonts w:hint="eastAsia" w:ascii="仿宋" w:hAnsi="仿宋" w:eastAsia="仿宋" w:cs="宋体"/>
                <w:kern w:val="0"/>
                <w:sz w:val="22"/>
                <w:szCs w:val="22"/>
              </w:rPr>
              <w:t>小学音乐</w:t>
            </w:r>
          </w:p>
        </w:tc>
      </w:tr>
      <w:tr>
        <w:tblPrEx>
          <w:tblCellMar>
            <w:top w:w="0" w:type="dxa"/>
            <w:left w:w="108" w:type="dxa"/>
            <w:bottom w:w="0" w:type="dxa"/>
            <w:right w:w="108" w:type="dxa"/>
          </w:tblCellMar>
        </w:tblPrEx>
        <w:trPr>
          <w:trHeight w:val="16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序号</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分类代码</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标的名称</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数量</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单位</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成都市蓉城小学（斑竹社区）</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电子科技大学附属实验小学龙潭分校（华翰路西侧）</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成都市石室小学（驷马桥南片区）</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成都市成华实验小学校（北湖片区）</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成都市成华小学校 (万年校区)</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成都大学附属实验小学（隆兴南四路东侧）</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标的所属行业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102</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30815400110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钢琴</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72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103</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30815600110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指挥台（含指挥棒）</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104</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30815600210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合唱台</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24</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组</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105</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30203000802</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音乐节拍器</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106</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30307200102</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音叉</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96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107</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50515000100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音乐教育教学相关图书及杂志</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240</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本</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40</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40</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40</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40</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40</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40</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108</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50515000200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小学音乐教学挂图</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109</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50515000400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小学音乐教学软件</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24</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72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110</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50515000600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小学音乐欣赏教学曲库</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72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111</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50515000800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小学音乐欣赏教学影像库</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24</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112</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30815300310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钟琴</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113</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30815300410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沙锤</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对</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114</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30815301420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摇铃（串铃）</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对</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115</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30815300710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双响筒</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副</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116</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30815300810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响板</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117</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30815300910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响棒</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副</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118</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30815301010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蛙鸣筒</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副</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119</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30815301210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南梆子</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副</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120</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30815301320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木鱼</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121</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30815303010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铃鼓</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24</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122</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30815301710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三角铁</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123</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30815301810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碰铃</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24</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副</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124</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30815303210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堂鼓</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125</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30815302010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中虎音锣</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126</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30815302210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小锣</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127</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30815302310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铙</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副</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128</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30815302410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钹</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副</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129</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30815202410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竖笛</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276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支</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46</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46</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46</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46</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46</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46</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10173" w:type="dxa"/>
            <w:gridSpan w:val="12"/>
            <w:tcBorders>
              <w:top w:val="single" w:color="auto" w:sz="4" w:space="0"/>
              <w:left w:val="single" w:color="auto" w:sz="4" w:space="0"/>
              <w:bottom w:val="single" w:color="auto" w:sz="4" w:space="0"/>
              <w:right w:val="single" w:color="000000" w:sz="4" w:space="0"/>
            </w:tcBorders>
            <w:shd w:val="clear" w:color="auto" w:fill="auto"/>
            <w:vAlign w:val="center"/>
          </w:tcPr>
          <w:p>
            <w:pPr>
              <w:widowControl/>
              <w:spacing w:after="0" w:line="240" w:lineRule="auto"/>
              <w:jc w:val="center"/>
              <w:rPr>
                <w:rFonts w:ascii="仿宋" w:hAnsi="仿宋" w:eastAsia="仿宋" w:cs="宋体"/>
                <w:kern w:val="0"/>
                <w:sz w:val="22"/>
                <w:szCs w:val="22"/>
              </w:rPr>
            </w:pPr>
            <w:r>
              <w:rPr>
                <w:rFonts w:hint="eastAsia" w:ascii="仿宋" w:hAnsi="仿宋" w:eastAsia="仿宋" w:cs="宋体"/>
                <w:kern w:val="0"/>
                <w:sz w:val="22"/>
                <w:szCs w:val="22"/>
              </w:rPr>
              <w:t>小学美术</w:t>
            </w:r>
          </w:p>
        </w:tc>
      </w:tr>
      <w:tr>
        <w:tblPrEx>
          <w:tblCellMar>
            <w:top w:w="0" w:type="dxa"/>
            <w:left w:w="108" w:type="dxa"/>
            <w:bottom w:w="0" w:type="dxa"/>
            <w:right w:w="108" w:type="dxa"/>
          </w:tblCellMar>
        </w:tblPrEx>
        <w:trPr>
          <w:trHeight w:val="16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序号</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分类代码</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标的名称</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数量</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单位</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成都市蓉城小学（斑竹社区）</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电子科技大学附属实验小学龙潭分校（华翰路西侧）</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成都市石室小学（驷马桥南片区）</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成都市成华实验小学校（北湖片区）</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成都市成华小学校 (万年校区)</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成都大学附属实验小学（隆兴南四路东侧）</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标的所属行业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130</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30816000110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衬布</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150</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131</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20604000202</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写生灯</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24</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132</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60203080101</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工作台</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133</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20201001301</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磁性白黑板</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134</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30816000210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展示画框</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150</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135</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50516000400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小学美术教学挂图</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136</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50516000300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影像资料</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137</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30816100030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写生画板</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270</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138</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30416000101</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人体结构活动模型</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24</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139</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60203080501</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云台</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270</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140</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30816000700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泥工工具</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270</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72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141</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30816000800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民间美术欣赏及写生样本</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142</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30816000900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美术学具</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270</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143</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30816100110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写生画箱</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144</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30816100310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写生教具（1）</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145</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30816100320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写生教具（2）</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146</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30816100510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画架</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147</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30816100020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画板</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148</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30816200100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版画工具</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149</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30816101300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绘画工具</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150</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30816100900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制作工具</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151</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30816101200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国画和书法工具</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152</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30816001220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电子绘画板</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153</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50516600100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书法与篆刻 挂图</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72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154</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30816200500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书法与篆刻 书法工具</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270</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72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155</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30816200600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书法与篆刻 篆刻工具</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270</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96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156</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50516000100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书法与篆刻 数字书法教学系统</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10173" w:type="dxa"/>
            <w:gridSpan w:val="12"/>
            <w:tcBorders>
              <w:top w:val="single" w:color="auto" w:sz="4" w:space="0"/>
              <w:left w:val="single" w:color="auto" w:sz="4" w:space="0"/>
              <w:bottom w:val="single" w:color="auto" w:sz="4" w:space="0"/>
              <w:right w:val="single" w:color="000000" w:sz="4" w:space="0"/>
            </w:tcBorders>
            <w:shd w:val="clear" w:color="auto" w:fill="auto"/>
            <w:vAlign w:val="center"/>
          </w:tcPr>
          <w:p>
            <w:pPr>
              <w:widowControl/>
              <w:spacing w:after="0" w:line="240" w:lineRule="auto"/>
              <w:jc w:val="center"/>
              <w:rPr>
                <w:rFonts w:ascii="仿宋" w:hAnsi="仿宋" w:eastAsia="仿宋" w:cs="宋体"/>
                <w:kern w:val="0"/>
                <w:sz w:val="22"/>
                <w:szCs w:val="22"/>
              </w:rPr>
            </w:pPr>
            <w:r>
              <w:rPr>
                <w:rFonts w:hint="eastAsia" w:ascii="仿宋" w:hAnsi="仿宋" w:eastAsia="仿宋" w:cs="宋体"/>
                <w:kern w:val="0"/>
                <w:sz w:val="22"/>
                <w:szCs w:val="22"/>
              </w:rPr>
              <w:t>小学卫生</w:t>
            </w:r>
          </w:p>
        </w:tc>
      </w:tr>
      <w:tr>
        <w:tblPrEx>
          <w:tblCellMar>
            <w:top w:w="0" w:type="dxa"/>
            <w:left w:w="108" w:type="dxa"/>
            <w:bottom w:w="0" w:type="dxa"/>
            <w:right w:w="108" w:type="dxa"/>
          </w:tblCellMar>
        </w:tblPrEx>
        <w:trPr>
          <w:trHeight w:val="16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序号</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编号</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标的名称</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数量</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单位</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成都市蓉城小学（斑竹社区）</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电子科技大学附属实验小学龙潭分校（华翰路西侧）</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成都市石室小学（驷马桥南片区）</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成都市成华实验小学校（北湖片区）</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成都市成华小学校 (万年校区)</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成都大学附属实验小学（隆兴南四路东侧）</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标的所属行业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157</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C001</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体重计</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158</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C002</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身高坐高计</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159</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C003</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胸围尺</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160</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C004</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肺活量计</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161</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C005</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血压计</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162</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C006</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听诊器</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163</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秒表（机械）</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164</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C007</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灯光视力表</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165</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C008</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远视力表</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张</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166</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C009</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近视力表</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张</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167</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C010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辨色图谱</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本（套）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168</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C011</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教学卫生测量尺</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169</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C014</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污物桶</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170</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C015</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敷料缸</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171</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C016</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棉球缸</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172</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C017</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器械缸</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173</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C018</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贮  槽</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174</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C020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方  盘</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175</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C021</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带盖方盘</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176</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201</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酒精灯</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177</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C022</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冲眼壶</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178</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C023</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受水器</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179</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C024</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剪  刀</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把</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180</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C025</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外伤处理器械</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181</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C026</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注射器</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182</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C027</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卫生箱</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183</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C031</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器械台</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184</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C032</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紫外灯</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185</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C033</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急救包</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186</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C034</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开合式担架</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187</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C036</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叩诊锤</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188</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C037</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带状检影镜</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189</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J1211</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照度计</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190</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C038</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柳形夹板</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191</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C050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观察床</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张</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192</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C041</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止血带</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　</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193</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C045</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饮水机</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194</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C046</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小型红外线消毒柜</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72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195</w:t>
            </w:r>
          </w:p>
        </w:tc>
        <w:tc>
          <w:tcPr>
            <w:tcW w:w="12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C050</w:t>
            </w:r>
          </w:p>
        </w:tc>
        <w:tc>
          <w:tcPr>
            <w:tcW w:w="120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电子计数心肺复苏人体模型</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75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67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bl>
    <w:p>
      <w:pPr>
        <w:rPr>
          <w:rFonts w:ascii="仿宋" w:hAnsi="仿宋" w:eastAsia="仿宋"/>
          <w:sz w:val="24"/>
        </w:rPr>
      </w:pPr>
    </w:p>
    <w:p>
      <w:pPr>
        <w:pStyle w:val="3"/>
        <w:spacing w:line="400" w:lineRule="exact"/>
        <w:rPr>
          <w:rFonts w:ascii="仿宋" w:hAnsi="仿宋" w:eastAsia="仿宋"/>
          <w:sz w:val="24"/>
          <w:szCs w:val="24"/>
        </w:rPr>
      </w:pPr>
      <w:bookmarkStart w:id="179" w:name="_Toc217446095"/>
      <w:r>
        <w:rPr>
          <w:rFonts w:hint="eastAsia" w:ascii="仿宋" w:hAnsi="仿宋" w:eastAsia="仿宋"/>
          <w:sz w:val="24"/>
          <w:szCs w:val="24"/>
        </w:rPr>
        <w:t>二、商务要求（本节为通用商务条款，对本章“三、技术要求及其它”中未明确的设备适用，如“三、技术参数及其它要求”中有明确规定，以其规定为准）</w:t>
      </w:r>
    </w:p>
    <w:p>
      <w:pPr>
        <w:spacing w:line="500" w:lineRule="exact"/>
        <w:rPr>
          <w:rFonts w:ascii="仿宋" w:hAnsi="仿宋" w:eastAsia="仿宋"/>
          <w:bCs/>
          <w:sz w:val="24"/>
        </w:rPr>
      </w:pPr>
      <w:r>
        <w:rPr>
          <w:rFonts w:hint="eastAsia" w:ascii="仿宋" w:hAnsi="仿宋" w:eastAsia="仿宋"/>
          <w:bCs/>
          <w:sz w:val="24"/>
        </w:rPr>
        <w:t xml:space="preserve">*1、交货期及地点 </w:t>
      </w:r>
    </w:p>
    <w:p>
      <w:pPr>
        <w:spacing w:line="500" w:lineRule="exact"/>
        <w:rPr>
          <w:rFonts w:ascii="仿宋" w:hAnsi="仿宋" w:eastAsia="仿宋"/>
          <w:bCs/>
          <w:sz w:val="24"/>
        </w:rPr>
      </w:pPr>
      <w:r>
        <w:rPr>
          <w:rFonts w:hint="eastAsia" w:ascii="仿宋" w:hAnsi="仿宋" w:eastAsia="仿宋"/>
          <w:bCs/>
          <w:sz w:val="24"/>
        </w:rPr>
        <w:t>1.1交货时间：合同签订生效后60日内完成安装和调试。</w:t>
      </w:r>
    </w:p>
    <w:p>
      <w:pPr>
        <w:spacing w:line="500" w:lineRule="exact"/>
        <w:rPr>
          <w:rFonts w:ascii="仿宋" w:hAnsi="仿宋" w:eastAsia="仿宋"/>
          <w:bCs/>
          <w:sz w:val="24"/>
        </w:rPr>
      </w:pPr>
      <w:r>
        <w:rPr>
          <w:rFonts w:hint="eastAsia" w:ascii="仿宋" w:hAnsi="仿宋" w:eastAsia="仿宋"/>
          <w:bCs/>
          <w:sz w:val="24"/>
        </w:rPr>
        <w:t>1.2安装地点：详见采购清单。</w:t>
      </w:r>
    </w:p>
    <w:p>
      <w:pPr>
        <w:spacing w:line="500" w:lineRule="exact"/>
        <w:rPr>
          <w:rFonts w:ascii="仿宋" w:hAnsi="仿宋" w:eastAsia="仿宋"/>
          <w:bCs/>
          <w:sz w:val="24"/>
        </w:rPr>
      </w:pPr>
      <w:r>
        <w:rPr>
          <w:rFonts w:hint="eastAsia" w:ascii="仿宋" w:hAnsi="仿宋" w:eastAsia="仿宋"/>
          <w:bCs/>
          <w:sz w:val="24"/>
        </w:rPr>
        <w:t>*2、付款方式</w:t>
      </w:r>
    </w:p>
    <w:p>
      <w:pPr>
        <w:spacing w:line="500" w:lineRule="exact"/>
        <w:ind w:firstLine="480" w:firstLineChars="200"/>
        <w:rPr>
          <w:rFonts w:ascii="仿宋" w:hAnsi="仿宋" w:eastAsia="仿宋"/>
          <w:bCs/>
          <w:sz w:val="24"/>
        </w:rPr>
      </w:pPr>
      <w:r>
        <w:rPr>
          <w:rFonts w:hint="eastAsia" w:ascii="仿宋" w:hAnsi="仿宋" w:eastAsia="仿宋"/>
          <w:bCs/>
          <w:sz w:val="24"/>
        </w:rPr>
        <w:t>签订合同后，应支付合同款的50%划拨到使用人账户后，使用人接到采购人通知，在 10个工作日内将应支付合同款的50%全额支付给中标人。中标人按照合同约定时间内完成本项目工作，并通知采购人组织验收，经验收小组验收合格，且应支付合同款的50%划拨到使用人账户后，使用人接到采购人通知，在10个工作日内将应支付合同款的50%全额支付给中标人。</w:t>
      </w:r>
    </w:p>
    <w:p>
      <w:pPr>
        <w:spacing w:line="500" w:lineRule="exact"/>
        <w:rPr>
          <w:rFonts w:ascii="仿宋" w:hAnsi="仿宋" w:eastAsia="仿宋"/>
          <w:bCs/>
          <w:sz w:val="24"/>
        </w:rPr>
      </w:pPr>
      <w:r>
        <w:rPr>
          <w:rFonts w:hint="eastAsia" w:ascii="仿宋" w:hAnsi="仿宋" w:eastAsia="仿宋"/>
          <w:bCs/>
          <w:sz w:val="24"/>
        </w:rPr>
        <w:t>*3.质保期：</w:t>
      </w:r>
    </w:p>
    <w:p>
      <w:pPr>
        <w:spacing w:line="500" w:lineRule="exact"/>
        <w:rPr>
          <w:rFonts w:ascii="仿宋" w:hAnsi="仿宋" w:eastAsia="仿宋"/>
          <w:bCs/>
          <w:sz w:val="24"/>
        </w:rPr>
      </w:pPr>
      <w:r>
        <w:rPr>
          <w:rFonts w:hint="eastAsia" w:ascii="仿宋" w:hAnsi="仿宋" w:eastAsia="仿宋"/>
          <w:bCs/>
          <w:sz w:val="24"/>
        </w:rPr>
        <w:t>3.1质保期：整体项目质保期为验收合格签字之日起</w:t>
      </w:r>
      <w:r>
        <w:rPr>
          <w:rFonts w:ascii="仿宋" w:hAnsi="仿宋" w:eastAsia="仿宋"/>
          <w:bCs/>
          <w:sz w:val="24"/>
        </w:rPr>
        <w:t>36</w:t>
      </w:r>
      <w:r>
        <w:rPr>
          <w:rFonts w:hint="eastAsia" w:ascii="仿宋" w:hAnsi="仿宋" w:eastAsia="仿宋"/>
          <w:bCs/>
          <w:sz w:val="24"/>
        </w:rPr>
        <w:t>个月。（投标文件中须提供质量保证期的承诺函）。</w:t>
      </w:r>
    </w:p>
    <w:p>
      <w:pPr>
        <w:spacing w:line="500" w:lineRule="exact"/>
        <w:rPr>
          <w:rFonts w:ascii="仿宋" w:hAnsi="仿宋" w:eastAsia="仿宋"/>
          <w:bCs/>
          <w:sz w:val="24"/>
        </w:rPr>
      </w:pPr>
      <w:r>
        <w:rPr>
          <w:rFonts w:hint="eastAsia" w:ascii="仿宋" w:hAnsi="仿宋" w:eastAsia="仿宋"/>
          <w:bCs/>
          <w:sz w:val="24"/>
        </w:rPr>
        <w:t>3.2质保期内中标单位必须提供良好的技术支持。对反映的问题在4个小时之内能得到及时响应，在远程不能解决问题的情况下，中标单位或设备供应商必须确保在12小时之内赶到现场。</w:t>
      </w:r>
    </w:p>
    <w:p>
      <w:pPr>
        <w:spacing w:line="500" w:lineRule="exact"/>
        <w:rPr>
          <w:rFonts w:ascii="仿宋" w:hAnsi="仿宋" w:eastAsia="仿宋"/>
          <w:bCs/>
          <w:sz w:val="24"/>
        </w:rPr>
      </w:pPr>
      <w:r>
        <w:rPr>
          <w:rFonts w:hint="eastAsia" w:ascii="仿宋" w:hAnsi="仿宋" w:eastAsia="仿宋"/>
          <w:bCs/>
          <w:sz w:val="24"/>
        </w:rPr>
        <w:t>*4. 验收时提供的技术资料</w:t>
      </w:r>
    </w:p>
    <w:p>
      <w:pPr>
        <w:spacing w:line="500" w:lineRule="exact"/>
        <w:rPr>
          <w:rFonts w:ascii="仿宋" w:hAnsi="仿宋" w:eastAsia="仿宋"/>
          <w:bCs/>
          <w:sz w:val="24"/>
        </w:rPr>
      </w:pPr>
      <w:r>
        <w:rPr>
          <w:rFonts w:hint="eastAsia" w:ascii="仿宋" w:hAnsi="仿宋" w:eastAsia="仿宋"/>
          <w:bCs/>
          <w:sz w:val="24"/>
        </w:rPr>
        <w:t>4.1原产地证明书(由制造厂签发)；</w:t>
      </w:r>
    </w:p>
    <w:p>
      <w:pPr>
        <w:spacing w:line="500" w:lineRule="exact"/>
        <w:rPr>
          <w:rFonts w:ascii="仿宋" w:hAnsi="仿宋" w:eastAsia="仿宋"/>
          <w:bCs/>
          <w:sz w:val="24"/>
        </w:rPr>
      </w:pPr>
      <w:r>
        <w:rPr>
          <w:rFonts w:hint="eastAsia" w:ascii="仿宋" w:hAnsi="仿宋" w:eastAsia="仿宋"/>
          <w:bCs/>
          <w:sz w:val="24"/>
        </w:rPr>
        <w:t>4.2提供产品的操作手册、使用说明、维修指南或服务手册；</w:t>
      </w:r>
    </w:p>
    <w:p>
      <w:pPr>
        <w:spacing w:line="500" w:lineRule="exact"/>
        <w:rPr>
          <w:rFonts w:ascii="仿宋" w:hAnsi="仿宋" w:eastAsia="仿宋"/>
          <w:bCs/>
          <w:sz w:val="24"/>
        </w:rPr>
      </w:pPr>
      <w:r>
        <w:rPr>
          <w:rFonts w:hint="eastAsia" w:ascii="仿宋" w:hAnsi="仿宋" w:eastAsia="仿宋"/>
          <w:bCs/>
          <w:sz w:val="24"/>
        </w:rPr>
        <w:t>4.4备件手册、零件及易损件的图纸及相关资料；</w:t>
      </w:r>
    </w:p>
    <w:p>
      <w:pPr>
        <w:spacing w:line="500" w:lineRule="exact"/>
        <w:rPr>
          <w:rFonts w:ascii="仿宋" w:hAnsi="仿宋" w:eastAsia="仿宋"/>
          <w:bCs/>
          <w:sz w:val="24"/>
        </w:rPr>
      </w:pPr>
      <w:r>
        <w:rPr>
          <w:rFonts w:hint="eastAsia" w:ascii="仿宋" w:hAnsi="仿宋" w:eastAsia="仿宋"/>
          <w:bCs/>
          <w:sz w:val="24"/>
        </w:rPr>
        <w:t>4.5其它相关技术资料：</w:t>
      </w:r>
    </w:p>
    <w:p>
      <w:pPr>
        <w:spacing w:line="500" w:lineRule="exact"/>
        <w:rPr>
          <w:rFonts w:ascii="仿宋" w:hAnsi="仿宋" w:eastAsia="仿宋"/>
          <w:bCs/>
          <w:sz w:val="24"/>
        </w:rPr>
      </w:pPr>
      <w:r>
        <w:rPr>
          <w:rFonts w:hint="eastAsia" w:ascii="仿宋" w:hAnsi="仿宋" w:eastAsia="仿宋"/>
          <w:bCs/>
          <w:sz w:val="24"/>
        </w:rPr>
        <w:t>*5.安装调试及验收：</w:t>
      </w:r>
    </w:p>
    <w:p>
      <w:pPr>
        <w:spacing w:line="500" w:lineRule="exact"/>
        <w:rPr>
          <w:rFonts w:ascii="仿宋" w:hAnsi="仿宋" w:eastAsia="仿宋"/>
          <w:bCs/>
          <w:sz w:val="24"/>
        </w:rPr>
      </w:pPr>
      <w:r>
        <w:rPr>
          <w:rFonts w:ascii="仿宋" w:hAnsi="仿宋" w:eastAsia="仿宋"/>
          <w:bCs/>
          <w:sz w:val="24"/>
        </w:rPr>
        <w:t>5.1</w:t>
      </w:r>
      <w:r>
        <w:rPr>
          <w:rFonts w:hint="eastAsia" w:ascii="仿宋" w:hAnsi="仿宋" w:eastAsia="仿宋"/>
          <w:bCs/>
          <w:sz w:val="24"/>
        </w:rPr>
        <w:t>投标供应商必须承诺中标后均严格按照所投质量产品技术参数交货。</w:t>
      </w:r>
    </w:p>
    <w:p>
      <w:pPr>
        <w:spacing w:line="500" w:lineRule="exact"/>
        <w:rPr>
          <w:rFonts w:ascii="仿宋" w:hAnsi="仿宋" w:eastAsia="仿宋"/>
          <w:bCs/>
          <w:sz w:val="24"/>
        </w:rPr>
      </w:pPr>
      <w:r>
        <w:rPr>
          <w:rFonts w:hint="eastAsia" w:ascii="仿宋" w:hAnsi="仿宋" w:eastAsia="仿宋"/>
          <w:bCs/>
          <w:sz w:val="24"/>
        </w:rPr>
        <w:t>5.</w:t>
      </w:r>
      <w:r>
        <w:rPr>
          <w:rFonts w:ascii="仿宋" w:hAnsi="仿宋" w:eastAsia="仿宋"/>
          <w:bCs/>
          <w:sz w:val="24"/>
        </w:rPr>
        <w:t>2</w:t>
      </w:r>
      <w:r>
        <w:rPr>
          <w:rFonts w:hint="eastAsia" w:ascii="仿宋" w:hAnsi="仿宋" w:eastAsia="仿宋"/>
          <w:bCs/>
          <w:sz w:val="24"/>
        </w:rPr>
        <w:t>中标人在发货之前，应对货物的有关内在和外观质量、规格、性能数量和重量进行准确的和全面的检验，并出具其货物符合本合同规定的质量合格证书。该证书将作为提交给使用人付款单据的组成部分，但不应视为是对质量、规格、性能、数量的最终确认。</w:t>
      </w:r>
    </w:p>
    <w:p>
      <w:pPr>
        <w:spacing w:line="500" w:lineRule="exact"/>
        <w:rPr>
          <w:rFonts w:ascii="仿宋" w:hAnsi="仿宋" w:eastAsia="仿宋"/>
          <w:bCs/>
          <w:sz w:val="24"/>
        </w:rPr>
      </w:pPr>
      <w:r>
        <w:rPr>
          <w:rFonts w:hint="eastAsia" w:ascii="仿宋" w:hAnsi="仿宋" w:eastAsia="仿宋"/>
          <w:bCs/>
          <w:sz w:val="24"/>
        </w:rPr>
        <w:t>5.</w:t>
      </w:r>
      <w:r>
        <w:rPr>
          <w:rFonts w:ascii="仿宋" w:hAnsi="仿宋" w:eastAsia="仿宋"/>
          <w:bCs/>
          <w:sz w:val="24"/>
        </w:rPr>
        <w:t>3</w:t>
      </w:r>
      <w:r>
        <w:rPr>
          <w:rFonts w:hint="eastAsia" w:ascii="仿宋" w:hAnsi="仿宋" w:eastAsia="仿宋"/>
          <w:bCs/>
          <w:sz w:val="24"/>
        </w:rPr>
        <w:t>在工程最终竣工验收前的实施过程中，货物的安全等问题均由中标人负责。</w:t>
      </w:r>
    </w:p>
    <w:p>
      <w:pPr>
        <w:spacing w:line="500" w:lineRule="exact"/>
        <w:rPr>
          <w:rFonts w:ascii="仿宋" w:hAnsi="仿宋" w:eastAsia="仿宋"/>
          <w:bCs/>
          <w:sz w:val="24"/>
        </w:rPr>
      </w:pPr>
      <w:r>
        <w:rPr>
          <w:rFonts w:hint="eastAsia" w:ascii="仿宋" w:hAnsi="仿宋" w:eastAsia="仿宋"/>
          <w:bCs/>
          <w:sz w:val="24"/>
        </w:rPr>
        <w:t>5.</w:t>
      </w:r>
      <w:r>
        <w:rPr>
          <w:rFonts w:ascii="仿宋" w:hAnsi="仿宋" w:eastAsia="仿宋"/>
          <w:bCs/>
          <w:sz w:val="24"/>
        </w:rPr>
        <w:t>4</w:t>
      </w:r>
      <w:r>
        <w:rPr>
          <w:rFonts w:hint="eastAsia" w:ascii="仿宋" w:hAnsi="仿宋" w:eastAsia="仿宋"/>
          <w:bCs/>
          <w:sz w:val="24"/>
        </w:rPr>
        <w:t>设备进场后，设备由中标人保管并安装调试完毕，在货物验收并交付使用人后，若因使用人管理不善或安全设施原因造成设备（包括整机、部件、零配件）丢失、被盗、更换等，中标人不负任何责任。</w:t>
      </w:r>
    </w:p>
    <w:p>
      <w:pPr>
        <w:spacing w:line="500" w:lineRule="exact"/>
        <w:rPr>
          <w:rFonts w:ascii="仿宋" w:hAnsi="仿宋" w:eastAsia="仿宋"/>
          <w:bCs/>
          <w:sz w:val="24"/>
        </w:rPr>
      </w:pPr>
      <w:r>
        <w:rPr>
          <w:rFonts w:hint="eastAsia" w:ascii="仿宋" w:hAnsi="仿宋" w:eastAsia="仿宋"/>
          <w:bCs/>
          <w:sz w:val="24"/>
        </w:rPr>
        <w:t>5.</w:t>
      </w:r>
      <w:r>
        <w:rPr>
          <w:rFonts w:ascii="仿宋" w:hAnsi="仿宋" w:eastAsia="仿宋"/>
          <w:bCs/>
          <w:sz w:val="24"/>
        </w:rPr>
        <w:t>5</w:t>
      </w:r>
      <w:r>
        <w:rPr>
          <w:rFonts w:hint="eastAsia" w:ascii="仿宋" w:hAnsi="仿宋" w:eastAsia="仿宋"/>
          <w:bCs/>
          <w:sz w:val="24"/>
        </w:rPr>
        <w:t>在合同规定的质量保证期内，如发现货物的质量或规格与本合同规定不符，或证明货物有缺陷，包括潜在的缺陷或使用不合适的原材料或器件等，采购方保留向中标人提出索赔的权利。</w:t>
      </w:r>
    </w:p>
    <w:p>
      <w:pPr>
        <w:spacing w:line="500" w:lineRule="exact"/>
        <w:rPr>
          <w:rFonts w:ascii="仿宋" w:hAnsi="仿宋" w:eastAsia="仿宋"/>
          <w:bCs/>
          <w:sz w:val="24"/>
        </w:rPr>
      </w:pPr>
      <w:r>
        <w:rPr>
          <w:rFonts w:hint="eastAsia" w:ascii="仿宋" w:hAnsi="仿宋" w:eastAsia="仿宋"/>
          <w:bCs/>
          <w:sz w:val="24"/>
        </w:rPr>
        <w:t>5.</w:t>
      </w:r>
      <w:r>
        <w:rPr>
          <w:rFonts w:ascii="仿宋" w:hAnsi="仿宋" w:eastAsia="仿宋"/>
          <w:bCs/>
          <w:sz w:val="24"/>
        </w:rPr>
        <w:t>6</w:t>
      </w:r>
      <w:r>
        <w:rPr>
          <w:rFonts w:hint="eastAsia" w:ascii="仿宋" w:hAnsi="仿宋" w:eastAsia="仿宋"/>
          <w:bCs/>
          <w:sz w:val="24"/>
        </w:rPr>
        <w:t>采购人有权派出技术专家对投标货物的制造过程进行抽查或监造，以及参与设备的性能检验和试验运行，中标人有义务提供方便和配合。</w:t>
      </w:r>
    </w:p>
    <w:p>
      <w:pPr>
        <w:spacing w:line="500" w:lineRule="exact"/>
        <w:rPr>
          <w:rFonts w:ascii="仿宋" w:hAnsi="仿宋" w:eastAsia="仿宋"/>
          <w:bCs/>
          <w:sz w:val="24"/>
        </w:rPr>
      </w:pPr>
      <w:r>
        <w:rPr>
          <w:rFonts w:hint="eastAsia" w:ascii="仿宋" w:hAnsi="仿宋" w:eastAsia="仿宋"/>
          <w:bCs/>
          <w:sz w:val="24"/>
        </w:rPr>
        <w:t>6.售后服务：</w:t>
      </w:r>
    </w:p>
    <w:p>
      <w:pPr>
        <w:spacing w:line="500" w:lineRule="exact"/>
        <w:rPr>
          <w:rFonts w:ascii="仿宋" w:hAnsi="仿宋" w:eastAsia="仿宋"/>
          <w:bCs/>
          <w:sz w:val="24"/>
        </w:rPr>
      </w:pPr>
      <w:r>
        <w:rPr>
          <w:rFonts w:ascii="仿宋" w:hAnsi="仿宋" w:eastAsia="仿宋"/>
          <w:bCs/>
          <w:sz w:val="24"/>
        </w:rPr>
        <w:t>6.1</w:t>
      </w:r>
      <w:r>
        <w:rPr>
          <w:rFonts w:hint="eastAsia" w:ascii="仿宋" w:hAnsi="仿宋" w:eastAsia="仿宋"/>
          <w:bCs/>
          <w:sz w:val="24"/>
        </w:rPr>
        <w:t>中标单位必须提出保修期内的维修、维护内容及服务方式、范围（产品、技术、模块、部件），承诺中标后在成都地区设立维修服务部。</w:t>
      </w:r>
    </w:p>
    <w:p>
      <w:pPr>
        <w:spacing w:line="500" w:lineRule="exact"/>
        <w:rPr>
          <w:rFonts w:ascii="仿宋" w:hAnsi="仿宋" w:eastAsia="仿宋"/>
          <w:bCs/>
          <w:sz w:val="24"/>
        </w:rPr>
      </w:pPr>
      <w:r>
        <w:rPr>
          <w:rFonts w:ascii="仿宋" w:hAnsi="仿宋" w:eastAsia="仿宋"/>
          <w:bCs/>
          <w:sz w:val="24"/>
        </w:rPr>
        <w:t>6.2</w:t>
      </w:r>
      <w:r>
        <w:rPr>
          <w:rFonts w:hint="eastAsia" w:ascii="仿宋" w:hAnsi="仿宋" w:eastAsia="仿宋"/>
          <w:bCs/>
          <w:sz w:val="24"/>
        </w:rPr>
        <w:t>保修期内，中标单位负责对其提供的设备进行现场维修，免收任何费用（如部件费、人工费、差旅费等）。</w:t>
      </w:r>
    </w:p>
    <w:p>
      <w:pPr>
        <w:spacing w:line="500" w:lineRule="exact"/>
        <w:rPr>
          <w:rFonts w:ascii="仿宋" w:hAnsi="仿宋" w:eastAsia="仿宋"/>
          <w:bCs/>
          <w:sz w:val="24"/>
        </w:rPr>
      </w:pPr>
      <w:r>
        <w:rPr>
          <w:rFonts w:ascii="仿宋" w:hAnsi="仿宋" w:eastAsia="仿宋"/>
          <w:bCs/>
          <w:sz w:val="24"/>
        </w:rPr>
        <w:t>6.3</w:t>
      </w:r>
      <w:r>
        <w:rPr>
          <w:rFonts w:hint="eastAsia" w:ascii="仿宋" w:hAnsi="仿宋" w:eastAsia="仿宋"/>
          <w:bCs/>
          <w:sz w:val="24"/>
        </w:rPr>
        <w:t>中标单位必须承诺保修期满后，继续向采购人提供设备维修、技术支持、备品备件、有偿升级等服务，只收材料成本费。</w:t>
      </w:r>
    </w:p>
    <w:p>
      <w:pPr>
        <w:spacing w:line="500" w:lineRule="exact"/>
        <w:rPr>
          <w:rFonts w:ascii="仿宋" w:hAnsi="仿宋" w:eastAsia="仿宋"/>
          <w:bCs/>
          <w:sz w:val="24"/>
        </w:rPr>
      </w:pPr>
      <w:r>
        <w:rPr>
          <w:rFonts w:hint="eastAsia" w:ascii="仿宋" w:hAnsi="仿宋" w:eastAsia="仿宋"/>
          <w:bCs/>
          <w:sz w:val="24"/>
        </w:rPr>
        <w:t>6.</w:t>
      </w:r>
      <w:r>
        <w:rPr>
          <w:rFonts w:ascii="仿宋" w:hAnsi="仿宋" w:eastAsia="仿宋"/>
          <w:bCs/>
          <w:sz w:val="24"/>
        </w:rPr>
        <w:t>4</w:t>
      </w:r>
      <w:r>
        <w:rPr>
          <w:rFonts w:hint="eastAsia" w:ascii="仿宋" w:hAnsi="仿宋" w:eastAsia="仿宋"/>
          <w:bCs/>
          <w:sz w:val="24"/>
        </w:rPr>
        <w:t>提供有关资料及售后服务承诺。</w:t>
      </w:r>
    </w:p>
    <w:p>
      <w:pPr>
        <w:spacing w:line="500" w:lineRule="exact"/>
        <w:rPr>
          <w:rFonts w:ascii="仿宋" w:hAnsi="仿宋" w:eastAsia="仿宋"/>
          <w:bCs/>
          <w:sz w:val="24"/>
        </w:rPr>
      </w:pPr>
      <w:r>
        <w:rPr>
          <w:rFonts w:hint="eastAsia" w:ascii="仿宋" w:hAnsi="仿宋" w:eastAsia="仿宋"/>
          <w:bCs/>
          <w:sz w:val="24"/>
        </w:rPr>
        <w:t>6.</w:t>
      </w:r>
      <w:r>
        <w:rPr>
          <w:rFonts w:ascii="仿宋" w:hAnsi="仿宋" w:eastAsia="仿宋"/>
          <w:bCs/>
          <w:sz w:val="24"/>
        </w:rPr>
        <w:t>5</w:t>
      </w:r>
      <w:r>
        <w:rPr>
          <w:rFonts w:hint="eastAsia" w:ascii="仿宋" w:hAnsi="仿宋" w:eastAsia="仿宋"/>
          <w:bCs/>
          <w:sz w:val="24"/>
        </w:rPr>
        <w:t>备件送达期限：在设备的使用寿命期内，卖方应保证国内不超过7天。</w:t>
      </w:r>
    </w:p>
    <w:p>
      <w:pPr>
        <w:spacing w:line="500" w:lineRule="exact"/>
        <w:rPr>
          <w:rFonts w:ascii="仿宋" w:hAnsi="仿宋" w:eastAsia="仿宋"/>
          <w:bCs/>
          <w:sz w:val="24"/>
        </w:rPr>
      </w:pPr>
      <w:r>
        <w:rPr>
          <w:rFonts w:hint="eastAsia" w:ascii="仿宋" w:hAnsi="仿宋" w:eastAsia="仿宋"/>
          <w:bCs/>
          <w:sz w:val="24"/>
        </w:rPr>
        <w:t>6.</w:t>
      </w:r>
      <w:r>
        <w:rPr>
          <w:rFonts w:ascii="仿宋" w:hAnsi="仿宋" w:eastAsia="仿宋"/>
          <w:bCs/>
          <w:sz w:val="24"/>
        </w:rPr>
        <w:t>6</w:t>
      </w:r>
      <w:r>
        <w:rPr>
          <w:rFonts w:hint="eastAsia" w:ascii="仿宋" w:hAnsi="仿宋" w:eastAsia="仿宋"/>
          <w:bCs/>
          <w:sz w:val="24"/>
        </w:rPr>
        <w:t>终身零配件供应：投标人应保证设备停产后的备件供应保证10年，并以优惠的价格提供该设备所需的维修零配件。</w:t>
      </w:r>
    </w:p>
    <w:p>
      <w:pPr>
        <w:spacing w:line="500" w:lineRule="exact"/>
        <w:rPr>
          <w:rFonts w:ascii="仿宋" w:hAnsi="仿宋" w:eastAsia="仿宋"/>
          <w:bCs/>
          <w:sz w:val="24"/>
        </w:rPr>
      </w:pPr>
      <w:r>
        <w:rPr>
          <w:rFonts w:hint="eastAsia" w:ascii="仿宋" w:hAnsi="仿宋" w:eastAsia="仿宋"/>
          <w:bCs/>
          <w:sz w:val="24"/>
        </w:rPr>
        <w:t>6.</w:t>
      </w:r>
      <w:r>
        <w:rPr>
          <w:rFonts w:ascii="仿宋" w:hAnsi="仿宋" w:eastAsia="仿宋"/>
          <w:bCs/>
          <w:sz w:val="24"/>
        </w:rPr>
        <w:t>7</w:t>
      </w:r>
      <w:r>
        <w:rPr>
          <w:rFonts w:hint="eastAsia" w:ascii="仿宋" w:hAnsi="仿宋" w:eastAsia="仿宋"/>
          <w:bCs/>
          <w:sz w:val="24"/>
        </w:rPr>
        <w:t>卖方在国内应有24小时电话维修系统，并列出工程师名单、联系电话、通讯地址及备件库地址和备件的详细目录。</w:t>
      </w:r>
    </w:p>
    <w:p>
      <w:pPr>
        <w:spacing w:line="500" w:lineRule="exact"/>
        <w:rPr>
          <w:rFonts w:ascii="仿宋" w:hAnsi="仿宋" w:eastAsia="仿宋"/>
          <w:bCs/>
          <w:sz w:val="24"/>
        </w:rPr>
      </w:pPr>
      <w:r>
        <w:rPr>
          <w:rFonts w:hint="eastAsia" w:ascii="仿宋" w:hAnsi="仿宋" w:eastAsia="仿宋"/>
          <w:bCs/>
          <w:sz w:val="24"/>
        </w:rPr>
        <w:t>6.</w:t>
      </w:r>
      <w:r>
        <w:rPr>
          <w:rFonts w:ascii="仿宋" w:hAnsi="仿宋" w:eastAsia="仿宋"/>
          <w:bCs/>
          <w:sz w:val="24"/>
        </w:rPr>
        <w:t>8</w:t>
      </w:r>
      <w:r>
        <w:rPr>
          <w:rFonts w:hint="eastAsia" w:ascii="仿宋" w:hAnsi="仿宋" w:eastAsia="仿宋"/>
          <w:bCs/>
          <w:sz w:val="24"/>
        </w:rPr>
        <w:t>质保期后，卖方应向用户提供及时的、优质的、价格优惠的技术服务和备品备件供应。</w:t>
      </w:r>
    </w:p>
    <w:p>
      <w:pPr>
        <w:spacing w:line="500" w:lineRule="exact"/>
        <w:rPr>
          <w:rFonts w:ascii="仿宋" w:hAnsi="仿宋" w:eastAsia="仿宋"/>
          <w:bCs/>
          <w:sz w:val="24"/>
        </w:rPr>
      </w:pPr>
      <w:r>
        <w:rPr>
          <w:rFonts w:hint="eastAsia" w:ascii="仿宋" w:hAnsi="仿宋" w:eastAsia="仿宋"/>
          <w:bCs/>
          <w:sz w:val="24"/>
        </w:rPr>
        <w:t>6.</w:t>
      </w:r>
      <w:r>
        <w:rPr>
          <w:rFonts w:ascii="仿宋" w:hAnsi="仿宋" w:eastAsia="仿宋"/>
          <w:bCs/>
          <w:sz w:val="24"/>
        </w:rPr>
        <w:t>9</w:t>
      </w:r>
      <w:r>
        <w:rPr>
          <w:rFonts w:hint="eastAsia" w:ascii="仿宋" w:hAnsi="仿宋" w:eastAsia="仿宋"/>
          <w:bCs/>
          <w:sz w:val="24"/>
        </w:rPr>
        <w:t>投标人在投标文件中应提供售后服务承诺函。</w:t>
      </w:r>
    </w:p>
    <w:p>
      <w:pPr>
        <w:spacing w:line="500" w:lineRule="exact"/>
        <w:jc w:val="center"/>
        <w:rPr>
          <w:rFonts w:ascii="仿宋" w:hAnsi="仿宋" w:eastAsia="仿宋"/>
          <w:bCs/>
          <w:sz w:val="24"/>
        </w:rPr>
      </w:pPr>
      <w:r>
        <w:rPr>
          <w:rFonts w:hint="eastAsia" w:ascii="仿宋" w:hAnsi="仿宋" w:eastAsia="仿宋"/>
          <w:bCs/>
          <w:sz w:val="24"/>
        </w:rPr>
        <w:t>售后服务承诺函</w:t>
      </w:r>
    </w:p>
    <w:p>
      <w:pPr>
        <w:spacing w:line="500" w:lineRule="exact"/>
        <w:rPr>
          <w:rFonts w:ascii="仿宋" w:hAnsi="仿宋" w:eastAsia="仿宋"/>
          <w:bCs/>
          <w:sz w:val="24"/>
        </w:rPr>
      </w:pPr>
      <w:r>
        <w:rPr>
          <w:rFonts w:hint="eastAsia" w:ascii="仿宋" w:hAnsi="仿宋" w:eastAsia="仿宋"/>
          <w:bCs/>
          <w:sz w:val="24"/>
        </w:rPr>
        <w:t>致：成都市成华区教育技术装备管理服务中心</w:t>
      </w:r>
    </w:p>
    <w:p>
      <w:pPr>
        <w:spacing w:line="500" w:lineRule="exact"/>
        <w:rPr>
          <w:rFonts w:ascii="仿宋" w:hAnsi="仿宋" w:eastAsia="仿宋"/>
          <w:bCs/>
          <w:sz w:val="24"/>
        </w:rPr>
      </w:pPr>
      <w:r>
        <w:rPr>
          <w:rFonts w:hint="eastAsia" w:ascii="仿宋" w:hAnsi="仿宋" w:eastAsia="仿宋"/>
          <w:bCs/>
          <w:sz w:val="24"/>
        </w:rPr>
        <w:t>在（项目名称及招标编号）公开招标中，我方作为投标方提供以下售后服务承诺：</w:t>
      </w:r>
    </w:p>
    <w:p>
      <w:pPr>
        <w:spacing w:line="500" w:lineRule="exact"/>
        <w:rPr>
          <w:rFonts w:ascii="仿宋" w:hAnsi="仿宋" w:eastAsia="仿宋"/>
          <w:bCs/>
          <w:sz w:val="24"/>
        </w:rPr>
      </w:pPr>
      <w:r>
        <w:rPr>
          <w:rFonts w:hint="eastAsia" w:ascii="仿宋" w:hAnsi="仿宋" w:eastAsia="仿宋"/>
          <w:bCs/>
          <w:sz w:val="24"/>
        </w:rPr>
        <w:t>1、我方保证售后服务由原制造厂家或我厂在蓉分公司直接提供；</w:t>
      </w:r>
    </w:p>
    <w:p>
      <w:pPr>
        <w:spacing w:line="500" w:lineRule="exact"/>
        <w:rPr>
          <w:rFonts w:ascii="仿宋" w:hAnsi="仿宋" w:eastAsia="仿宋"/>
          <w:bCs/>
          <w:sz w:val="24"/>
        </w:rPr>
      </w:pPr>
      <w:r>
        <w:rPr>
          <w:rFonts w:hint="eastAsia" w:ascii="仿宋" w:hAnsi="仿宋" w:eastAsia="仿宋"/>
          <w:bCs/>
          <w:sz w:val="24"/>
        </w:rPr>
        <w:t>2、我方保证合同项下所供的合同设备是全新的、未使用过的；</w:t>
      </w:r>
    </w:p>
    <w:p>
      <w:pPr>
        <w:spacing w:line="500" w:lineRule="exact"/>
        <w:rPr>
          <w:rFonts w:ascii="仿宋" w:hAnsi="仿宋" w:eastAsia="仿宋"/>
          <w:bCs/>
          <w:sz w:val="24"/>
        </w:rPr>
      </w:pPr>
      <w:r>
        <w:rPr>
          <w:rFonts w:hint="eastAsia" w:ascii="仿宋" w:hAnsi="仿宋" w:eastAsia="仿宋"/>
          <w:bCs/>
          <w:sz w:val="24"/>
        </w:rPr>
        <w:t>3、我方承诺：在设备到货后，我们将安排合格工程技术人员及施工人员到施工现场进行安装、调试及技术服务，并对产品质量全面负责，前述服务项目所涉费用已包含在合同总价中；</w:t>
      </w:r>
    </w:p>
    <w:p>
      <w:pPr>
        <w:spacing w:line="500" w:lineRule="exact"/>
        <w:rPr>
          <w:rFonts w:ascii="仿宋" w:hAnsi="仿宋" w:eastAsia="仿宋"/>
          <w:bCs/>
          <w:sz w:val="24"/>
        </w:rPr>
      </w:pPr>
      <w:r>
        <w:rPr>
          <w:rFonts w:hint="eastAsia" w:ascii="仿宋" w:hAnsi="仿宋" w:eastAsia="仿宋"/>
          <w:bCs/>
          <w:sz w:val="24"/>
        </w:rPr>
        <w:t>4、我方负责提供全套合同设备使用说明书及日常维护保养文件，以及相关技术文件、资料；</w:t>
      </w:r>
    </w:p>
    <w:p>
      <w:pPr>
        <w:spacing w:line="500" w:lineRule="exact"/>
        <w:rPr>
          <w:rFonts w:ascii="仿宋" w:hAnsi="仿宋" w:eastAsia="仿宋"/>
          <w:bCs/>
          <w:sz w:val="24"/>
        </w:rPr>
      </w:pPr>
      <w:r>
        <w:rPr>
          <w:rFonts w:hint="eastAsia" w:ascii="仿宋" w:hAnsi="仿宋" w:eastAsia="仿宋"/>
          <w:bCs/>
          <w:sz w:val="24"/>
        </w:rPr>
        <w:t>5、我方承诺所提供的合同设备实行保修，质保期为；在质保期内如不能正常使用需进行更换，则更换该部分质保期相应延长；</w:t>
      </w:r>
    </w:p>
    <w:p>
      <w:pPr>
        <w:spacing w:line="500" w:lineRule="exact"/>
        <w:rPr>
          <w:rFonts w:ascii="仿宋" w:hAnsi="仿宋" w:eastAsia="仿宋"/>
          <w:bCs/>
          <w:sz w:val="24"/>
        </w:rPr>
      </w:pPr>
      <w:r>
        <w:rPr>
          <w:rFonts w:hint="eastAsia" w:ascii="仿宋" w:hAnsi="仿宋" w:eastAsia="仿宋"/>
          <w:bCs/>
          <w:sz w:val="24"/>
        </w:rPr>
        <w:t>6、我方承诺提供每周天，每天小时的修服务，在接到报修通知后，技术人员在个小时内赶到现场，并在小时内解决问题；</w:t>
      </w:r>
    </w:p>
    <w:p>
      <w:pPr>
        <w:spacing w:line="500" w:lineRule="exact"/>
        <w:rPr>
          <w:rFonts w:ascii="仿宋" w:hAnsi="仿宋" w:eastAsia="仿宋"/>
          <w:bCs/>
          <w:sz w:val="24"/>
        </w:rPr>
      </w:pPr>
      <w:r>
        <w:rPr>
          <w:rFonts w:hint="eastAsia" w:ascii="仿宋" w:hAnsi="仿宋" w:eastAsia="仿宋"/>
          <w:bCs/>
          <w:sz w:val="24"/>
        </w:rPr>
        <w:t>7、我方承诺：保证贵方免受“第三方主张的任何权利”，“第三方主张的权利”包括所供设备的所有权、知识产权、债权、担保物权、用益物权等权利；</w:t>
      </w:r>
    </w:p>
    <w:p>
      <w:pPr>
        <w:spacing w:line="500" w:lineRule="exact"/>
        <w:rPr>
          <w:rFonts w:ascii="仿宋" w:hAnsi="仿宋" w:eastAsia="仿宋"/>
          <w:bCs/>
          <w:sz w:val="24"/>
        </w:rPr>
      </w:pPr>
      <w:r>
        <w:rPr>
          <w:rFonts w:hint="eastAsia" w:ascii="仿宋" w:hAnsi="仿宋" w:eastAsia="仿宋"/>
          <w:bCs/>
          <w:sz w:val="24"/>
        </w:rPr>
        <w:t>8、若第三方对合同标的物主张担保物权或者用益物权或者债权或者租赁权，贵方有权要求我方减少货款或免除第三方的权利。如果致使不能实现合同目的的，贵方有权解除合同，并追究我方的违约责任；</w:t>
      </w:r>
    </w:p>
    <w:p>
      <w:pPr>
        <w:spacing w:line="500" w:lineRule="exact"/>
        <w:rPr>
          <w:rFonts w:ascii="仿宋" w:hAnsi="仿宋" w:eastAsia="仿宋"/>
          <w:bCs/>
          <w:sz w:val="24"/>
        </w:rPr>
      </w:pPr>
      <w:r>
        <w:rPr>
          <w:rFonts w:hint="eastAsia" w:ascii="仿宋" w:hAnsi="仿宋" w:eastAsia="仿宋"/>
          <w:bCs/>
          <w:sz w:val="24"/>
        </w:rPr>
        <w:t>9、我方承诺：在合同履行过程中，贵方有确切证据证明第三方可能就合同标的物主张权利的，贵方有权中止支付相应的价款。因为第三方对发包人主张权利而发生的纠纷，我方承担相应的法律责任和诉讼费用、律师费用、其他为解除纠纷而发生的费用以及由此给贵方造成的经济损失；</w:t>
      </w:r>
    </w:p>
    <w:p>
      <w:pPr>
        <w:spacing w:line="500" w:lineRule="exact"/>
        <w:rPr>
          <w:rFonts w:ascii="仿宋" w:hAnsi="仿宋" w:eastAsia="仿宋"/>
          <w:bCs/>
          <w:sz w:val="24"/>
        </w:rPr>
      </w:pPr>
      <w:r>
        <w:rPr>
          <w:rFonts w:hint="eastAsia" w:ascii="仿宋" w:hAnsi="仿宋" w:eastAsia="仿宋"/>
          <w:bCs/>
          <w:sz w:val="24"/>
        </w:rPr>
        <w:t>10、我方保证在质保期满后的 年之内，如贵方需要，我方将保证供应备品备件，对投标文件所列清单中的备品备件的供应价格不高于本次投标价。</w:t>
      </w:r>
    </w:p>
    <w:p>
      <w:pPr>
        <w:spacing w:line="500" w:lineRule="exact"/>
        <w:rPr>
          <w:rFonts w:ascii="仿宋" w:hAnsi="仿宋" w:eastAsia="仿宋"/>
          <w:bCs/>
          <w:sz w:val="24"/>
        </w:rPr>
      </w:pPr>
      <w:r>
        <w:rPr>
          <w:rFonts w:hint="eastAsia" w:ascii="仿宋" w:hAnsi="仿宋" w:eastAsia="仿宋"/>
          <w:bCs/>
          <w:sz w:val="24"/>
        </w:rPr>
        <w:t>11、其他售后服务承诺：</w:t>
      </w:r>
    </w:p>
    <w:p>
      <w:pPr>
        <w:spacing w:line="500" w:lineRule="exact"/>
        <w:rPr>
          <w:rFonts w:ascii="仿宋" w:hAnsi="仿宋" w:eastAsia="仿宋"/>
          <w:bCs/>
          <w:sz w:val="24"/>
        </w:rPr>
      </w:pPr>
      <w:r>
        <w:rPr>
          <w:rFonts w:hint="eastAsia" w:ascii="仿宋" w:hAnsi="仿宋" w:eastAsia="仿宋"/>
          <w:bCs/>
          <w:sz w:val="24"/>
        </w:rPr>
        <w:t>a.提供的技术支持（其费用已计入本次投标报价）；</w:t>
      </w:r>
    </w:p>
    <w:p>
      <w:pPr>
        <w:spacing w:line="500" w:lineRule="exact"/>
        <w:rPr>
          <w:rFonts w:ascii="仿宋" w:hAnsi="仿宋" w:eastAsia="仿宋"/>
          <w:bCs/>
          <w:sz w:val="24"/>
        </w:rPr>
      </w:pPr>
      <w:r>
        <w:rPr>
          <w:rFonts w:hint="eastAsia" w:ascii="仿宋" w:hAnsi="仿宋" w:eastAsia="仿宋"/>
          <w:bCs/>
          <w:sz w:val="24"/>
        </w:rPr>
        <w:t>b.将所供设备的所有相关技术文件、资料；</w:t>
      </w:r>
    </w:p>
    <w:p>
      <w:pPr>
        <w:spacing w:line="500" w:lineRule="exact"/>
        <w:rPr>
          <w:rFonts w:ascii="仿宋" w:hAnsi="仿宋" w:eastAsia="仿宋"/>
          <w:bCs/>
          <w:sz w:val="24"/>
        </w:rPr>
      </w:pPr>
      <w:r>
        <w:rPr>
          <w:rFonts w:hint="eastAsia" w:ascii="仿宋" w:hAnsi="仿宋" w:eastAsia="仿宋"/>
          <w:bCs/>
          <w:sz w:val="24"/>
        </w:rPr>
        <w:t>c.除以上售后服务内容以外，投标人还可向采购人提供的其他售后服务内容说明：</w:t>
      </w:r>
    </w:p>
    <w:p>
      <w:pPr>
        <w:spacing w:line="500" w:lineRule="exact"/>
        <w:rPr>
          <w:rFonts w:ascii="仿宋" w:hAnsi="仿宋" w:eastAsia="仿宋"/>
          <w:bCs/>
          <w:sz w:val="24"/>
        </w:rPr>
      </w:pPr>
      <w:r>
        <w:rPr>
          <w:rFonts w:hint="eastAsia" w:ascii="仿宋" w:hAnsi="仿宋" w:eastAsia="仿宋"/>
          <w:bCs/>
          <w:sz w:val="24"/>
        </w:rPr>
        <w:t>（由投标人根据自身情况填写）</w:t>
      </w:r>
    </w:p>
    <w:p>
      <w:pPr>
        <w:spacing w:line="500" w:lineRule="exact"/>
        <w:rPr>
          <w:rFonts w:ascii="仿宋" w:hAnsi="仿宋" w:eastAsia="仿宋"/>
          <w:bCs/>
          <w:sz w:val="24"/>
        </w:rPr>
      </w:pPr>
      <w:r>
        <w:rPr>
          <w:rFonts w:hint="eastAsia" w:ascii="仿宋" w:hAnsi="仿宋" w:eastAsia="仿宋"/>
          <w:bCs/>
          <w:sz w:val="24"/>
        </w:rPr>
        <w:t>总之：我方的售后服务将全面接受招标文件中规定，并承诺按投标文件中承诺内容执行，若投标文件中承诺内容未完全达到招标文件中要求，将无条件履行招标文件中规定的义务。</w:t>
      </w:r>
    </w:p>
    <w:p>
      <w:pPr>
        <w:spacing w:line="500" w:lineRule="exact"/>
        <w:rPr>
          <w:rFonts w:ascii="仿宋" w:hAnsi="仿宋" w:eastAsia="仿宋"/>
          <w:bCs/>
          <w:sz w:val="24"/>
        </w:rPr>
      </w:pPr>
      <w:r>
        <w:rPr>
          <w:rFonts w:hint="eastAsia" w:ascii="仿宋" w:hAnsi="仿宋" w:eastAsia="仿宋"/>
          <w:bCs/>
          <w:sz w:val="24"/>
        </w:rPr>
        <w:t>投标人(章)：</w:t>
      </w:r>
    </w:p>
    <w:p>
      <w:pPr>
        <w:spacing w:line="500" w:lineRule="exact"/>
        <w:rPr>
          <w:rFonts w:ascii="仿宋" w:hAnsi="仿宋" w:eastAsia="仿宋"/>
          <w:bCs/>
          <w:sz w:val="24"/>
        </w:rPr>
      </w:pPr>
      <w:r>
        <w:rPr>
          <w:rFonts w:hint="eastAsia" w:ascii="仿宋" w:hAnsi="仿宋" w:eastAsia="仿宋"/>
          <w:bCs/>
          <w:sz w:val="24"/>
        </w:rPr>
        <w:t>法定代表人</w:t>
      </w:r>
    </w:p>
    <w:p>
      <w:pPr>
        <w:spacing w:line="500" w:lineRule="exact"/>
        <w:rPr>
          <w:rFonts w:ascii="仿宋" w:hAnsi="仿宋" w:eastAsia="仿宋"/>
          <w:bCs/>
          <w:sz w:val="24"/>
        </w:rPr>
      </w:pPr>
      <w:r>
        <w:rPr>
          <w:rFonts w:hint="eastAsia" w:ascii="仿宋" w:hAnsi="仿宋" w:eastAsia="仿宋"/>
          <w:bCs/>
          <w:sz w:val="24"/>
        </w:rPr>
        <w:t xml:space="preserve">或其授权委托人：  (签字或盖章)         </w:t>
      </w:r>
    </w:p>
    <w:p>
      <w:pPr>
        <w:spacing w:line="500" w:lineRule="exact"/>
        <w:rPr>
          <w:rFonts w:ascii="仿宋" w:hAnsi="仿宋" w:eastAsia="仿宋"/>
          <w:bCs/>
          <w:sz w:val="24"/>
        </w:rPr>
      </w:pPr>
      <w:r>
        <w:rPr>
          <w:rFonts w:hint="eastAsia" w:ascii="仿宋" w:hAnsi="仿宋" w:eastAsia="仿宋"/>
          <w:bCs/>
          <w:sz w:val="24"/>
        </w:rPr>
        <w:t>日期：</w:t>
      </w:r>
    </w:p>
    <w:p>
      <w:pPr>
        <w:spacing w:line="500" w:lineRule="exact"/>
        <w:rPr>
          <w:rFonts w:ascii="仿宋" w:hAnsi="仿宋" w:eastAsia="仿宋"/>
          <w:bCs/>
          <w:sz w:val="24"/>
        </w:rPr>
      </w:pPr>
      <w:r>
        <w:rPr>
          <w:rFonts w:hint="eastAsia" w:ascii="仿宋" w:hAnsi="仿宋" w:eastAsia="仿宋"/>
          <w:bCs/>
          <w:sz w:val="24"/>
        </w:rPr>
        <w:t>投标人地址：</w:t>
      </w:r>
    </w:p>
    <w:p>
      <w:pPr>
        <w:spacing w:line="500" w:lineRule="exact"/>
        <w:rPr>
          <w:rFonts w:ascii="仿宋" w:hAnsi="仿宋" w:eastAsia="仿宋"/>
          <w:bCs/>
          <w:sz w:val="24"/>
        </w:rPr>
      </w:pPr>
      <w:r>
        <w:rPr>
          <w:rFonts w:hint="eastAsia" w:ascii="仿宋" w:hAnsi="仿宋" w:eastAsia="仿宋"/>
          <w:bCs/>
          <w:sz w:val="24"/>
        </w:rPr>
        <w:t>邮政编码：</w:t>
      </w:r>
    </w:p>
    <w:p>
      <w:pPr>
        <w:spacing w:line="500" w:lineRule="exact"/>
        <w:rPr>
          <w:rFonts w:ascii="仿宋" w:hAnsi="仿宋" w:eastAsia="仿宋"/>
        </w:rPr>
      </w:pPr>
      <w:r>
        <w:rPr>
          <w:rFonts w:hint="eastAsia" w:ascii="仿宋" w:hAnsi="仿宋" w:eastAsia="仿宋"/>
          <w:bCs/>
          <w:sz w:val="24"/>
        </w:rPr>
        <w:t>电话：传真：</w:t>
      </w:r>
    </w:p>
    <w:p>
      <w:pPr>
        <w:spacing w:after="0" w:line="500" w:lineRule="exact"/>
        <w:rPr>
          <w:rFonts w:ascii="仿宋" w:hAnsi="仿宋" w:eastAsia="仿宋"/>
          <w:b/>
          <w:bCs/>
          <w:sz w:val="24"/>
        </w:rPr>
      </w:pPr>
      <w:r>
        <w:rPr>
          <w:rFonts w:hint="eastAsia" w:ascii="仿宋" w:hAnsi="仿宋" w:eastAsia="仿宋"/>
          <w:b/>
          <w:bCs/>
          <w:sz w:val="24"/>
        </w:rPr>
        <w:t>*7</w:t>
      </w:r>
      <w:r>
        <w:rPr>
          <w:rFonts w:ascii="仿宋" w:hAnsi="仿宋" w:eastAsia="仿宋"/>
          <w:b/>
          <w:bCs/>
          <w:sz w:val="24"/>
        </w:rPr>
        <w:t>.</w:t>
      </w:r>
      <w:r>
        <w:rPr>
          <w:rFonts w:hint="eastAsia" w:ascii="仿宋" w:hAnsi="仿宋" w:eastAsia="仿宋"/>
          <w:b/>
          <w:bCs/>
          <w:sz w:val="24"/>
        </w:rPr>
        <w:t>违约责任：</w:t>
      </w:r>
    </w:p>
    <w:p>
      <w:pPr>
        <w:spacing w:after="0" w:line="500" w:lineRule="exact"/>
        <w:rPr>
          <w:rFonts w:ascii="仿宋" w:hAnsi="仿宋" w:eastAsia="仿宋"/>
          <w:sz w:val="24"/>
        </w:rPr>
      </w:pPr>
      <w:r>
        <w:rPr>
          <w:rFonts w:hint="eastAsia" w:ascii="仿宋" w:hAnsi="仿宋" w:eastAsia="仿宋"/>
          <w:sz w:val="24"/>
        </w:rPr>
        <w:t>1、采购人违约责任</w:t>
      </w:r>
    </w:p>
    <w:p>
      <w:pPr>
        <w:spacing w:after="0" w:line="500" w:lineRule="exact"/>
        <w:rPr>
          <w:rFonts w:ascii="仿宋" w:hAnsi="仿宋" w:eastAsia="仿宋"/>
          <w:sz w:val="24"/>
        </w:rPr>
      </w:pPr>
      <w:r>
        <w:rPr>
          <w:rFonts w:hint="eastAsia" w:ascii="仿宋" w:hAnsi="仿宋" w:eastAsia="仿宋"/>
          <w:sz w:val="24"/>
        </w:rPr>
        <w:t>（1）采购人无正当理由拒收货物的，采购人应偿付合同总价百分之叁的违约金；</w:t>
      </w:r>
    </w:p>
    <w:p>
      <w:pPr>
        <w:spacing w:after="0" w:line="500" w:lineRule="exact"/>
        <w:rPr>
          <w:rFonts w:ascii="仿宋" w:hAnsi="仿宋" w:eastAsia="仿宋"/>
          <w:sz w:val="24"/>
        </w:rPr>
      </w:pPr>
      <w:r>
        <w:rPr>
          <w:rFonts w:hint="eastAsia" w:ascii="仿宋" w:hAnsi="仿宋" w:eastAsia="仿宋"/>
          <w:sz w:val="24"/>
        </w:rPr>
        <w:t>（2）采购人逾期支付货款的，除应及时付足货款外，应向中标人偿付欠款总额万分之壹/天的违约金；逾期付款超过30天的，中标人有权终止合同；</w:t>
      </w:r>
    </w:p>
    <w:p>
      <w:pPr>
        <w:spacing w:after="0" w:line="500" w:lineRule="exact"/>
        <w:rPr>
          <w:rFonts w:ascii="仿宋" w:hAnsi="仿宋" w:eastAsia="仿宋"/>
          <w:sz w:val="24"/>
        </w:rPr>
      </w:pPr>
      <w:r>
        <w:rPr>
          <w:rFonts w:hint="eastAsia" w:ascii="仿宋" w:hAnsi="仿宋" w:eastAsia="仿宋"/>
          <w:sz w:val="24"/>
        </w:rPr>
        <w:t>（3）采购人偿付的违约金不足以弥补中标人损失的，还应按中标人损失尚未弥补的部分，支付赔偿金给中标人。</w:t>
      </w:r>
    </w:p>
    <w:p>
      <w:pPr>
        <w:spacing w:after="0" w:line="500" w:lineRule="exact"/>
        <w:rPr>
          <w:rFonts w:ascii="仿宋" w:hAnsi="仿宋" w:eastAsia="仿宋"/>
          <w:sz w:val="24"/>
        </w:rPr>
      </w:pPr>
      <w:r>
        <w:rPr>
          <w:rFonts w:hint="eastAsia" w:ascii="仿宋" w:hAnsi="仿宋" w:eastAsia="仿宋"/>
          <w:sz w:val="24"/>
        </w:rPr>
        <w:t>2、中标人违约责任</w:t>
      </w:r>
    </w:p>
    <w:p>
      <w:pPr>
        <w:spacing w:after="0" w:line="500" w:lineRule="exact"/>
        <w:rPr>
          <w:rFonts w:ascii="仿宋" w:hAnsi="仿宋" w:eastAsia="仿宋"/>
          <w:sz w:val="24"/>
        </w:rPr>
      </w:pPr>
      <w:r>
        <w:rPr>
          <w:rFonts w:hint="eastAsia" w:ascii="仿宋" w:hAnsi="仿宋" w:eastAsia="仿宋"/>
          <w:sz w:val="24"/>
        </w:rPr>
        <w:t>（1）中标人交付的货物质量不符合合同规定的，中标人应向采购人支付合同总价的百分之叁的违约金，并须在合同规定的交货时间内更换合格的货物给采购人，否则，视作中标人不能交付货物而违约，按本条本款下述第“（2）”项规定由中标人偿付违约赔偿金给采购人。</w:t>
      </w:r>
    </w:p>
    <w:p>
      <w:pPr>
        <w:spacing w:after="0" w:line="500" w:lineRule="exact"/>
        <w:rPr>
          <w:rFonts w:ascii="仿宋" w:hAnsi="仿宋" w:eastAsia="仿宋"/>
          <w:sz w:val="24"/>
        </w:rPr>
      </w:pPr>
      <w:r>
        <w:rPr>
          <w:rFonts w:hint="eastAsia" w:ascii="仿宋" w:hAnsi="仿宋" w:eastAsia="仿宋"/>
          <w:sz w:val="24"/>
        </w:rPr>
        <w:t>（2）中标人不能交付货物或逾期交付货物而违约的，除应及时交足货物外，应向采购人偿付逾期交货部分货款总额的万分之壹/天的违约金；逾期交货超过30天，采购人有权终止合同，中标人则应按合同总价的百分之叁的款额向采购人偿付赔偿金，并须全额退还采购人已经付给中标人的货款及其利息。</w:t>
      </w:r>
    </w:p>
    <w:p>
      <w:pPr>
        <w:spacing w:after="0" w:line="500" w:lineRule="exact"/>
        <w:rPr>
          <w:rFonts w:ascii="仿宋" w:hAnsi="仿宋" w:eastAsia="仿宋"/>
          <w:sz w:val="24"/>
        </w:rPr>
      </w:pPr>
      <w:r>
        <w:rPr>
          <w:rFonts w:hint="eastAsia" w:ascii="仿宋" w:hAnsi="仿宋" w:eastAsia="仿宋"/>
          <w:sz w:val="24"/>
        </w:rPr>
        <w:t>（3）中标人货物经采购人送交具有法定资格条件的质量技术监督机构检测后，如检测结果认定货物质量不符合本合同规定标准的，则视为中标人没有按时交货而违约，中标人须在10天内无条件更换合格的货物，如逾期不能更换合格的货物，采购人有权终止本合同，中标人应另付合同总价的百分之叁的赔偿金给采购人。</w:t>
      </w:r>
    </w:p>
    <w:p>
      <w:pPr>
        <w:spacing w:after="0" w:line="500" w:lineRule="exact"/>
        <w:rPr>
          <w:rFonts w:ascii="仿宋" w:hAnsi="仿宋" w:eastAsia="仿宋"/>
          <w:sz w:val="24"/>
        </w:rPr>
      </w:pPr>
      <w:r>
        <w:rPr>
          <w:rFonts w:hint="eastAsia" w:ascii="仿宋" w:hAnsi="仿宋" w:eastAsia="仿宋"/>
          <w:sz w:val="24"/>
        </w:rPr>
        <w:t>（4）中标人保证本合同货物的权利无瑕疵，包括货物所有权及知识产权等权利无瑕疵。如任何第三方经法院（或仲裁机构）裁决有权对上述货物主张权利或国家机关依法对货物进行没收查处的，中标人除应向采购人返还已收款项外，还应另按合同总价的百分之叁向采购人支付违约金并赔偿因此给采购人造成的一切损失。</w:t>
      </w:r>
    </w:p>
    <w:p>
      <w:pPr>
        <w:spacing w:line="500" w:lineRule="exact"/>
        <w:rPr>
          <w:rFonts w:ascii="仿宋" w:hAnsi="仿宋" w:eastAsia="仿宋"/>
        </w:rPr>
      </w:pPr>
      <w:r>
        <w:rPr>
          <w:rFonts w:hint="eastAsia" w:ascii="仿宋" w:hAnsi="仿宋" w:eastAsia="仿宋"/>
          <w:sz w:val="24"/>
        </w:rPr>
        <w:t>（5）中标人偿付的违约金不足以弥补采购人损失的，还应按采购人损失尚未弥补的部分，支付赔偿金给采购人。</w:t>
      </w:r>
    </w:p>
    <w:p>
      <w:pPr>
        <w:pStyle w:val="3"/>
        <w:spacing w:line="400" w:lineRule="exact"/>
        <w:rPr>
          <w:rFonts w:ascii="仿宋" w:hAnsi="仿宋" w:eastAsia="仿宋"/>
          <w:sz w:val="24"/>
          <w:szCs w:val="24"/>
        </w:rPr>
      </w:pPr>
      <w:r>
        <w:rPr>
          <w:rFonts w:hint="eastAsia" w:ascii="仿宋" w:hAnsi="仿宋" w:eastAsia="仿宋"/>
          <w:sz w:val="24"/>
          <w:szCs w:val="24"/>
        </w:rPr>
        <w:t>三、技术参数及要求</w:t>
      </w:r>
      <w:bookmarkEnd w:id="179"/>
    </w:p>
    <w:p>
      <w:r>
        <w:rPr>
          <w:rFonts w:hint="eastAsia"/>
        </w:rPr>
        <w:t>【一】小学科学实验箱</w:t>
      </w:r>
    </w:p>
    <w:tbl>
      <w:tblPr>
        <w:tblStyle w:val="23"/>
        <w:tblW w:w="9357" w:type="dxa"/>
        <w:tblInd w:w="-431" w:type="dxa"/>
        <w:tblLayout w:type="fixed"/>
        <w:tblCellMar>
          <w:top w:w="0" w:type="dxa"/>
          <w:left w:w="108" w:type="dxa"/>
          <w:bottom w:w="0" w:type="dxa"/>
          <w:right w:w="108" w:type="dxa"/>
        </w:tblCellMar>
      </w:tblPr>
      <w:tblGrid>
        <w:gridCol w:w="852"/>
        <w:gridCol w:w="1139"/>
        <w:gridCol w:w="5806"/>
        <w:gridCol w:w="709"/>
        <w:gridCol w:w="851"/>
      </w:tblGrid>
      <w:tr>
        <w:tblPrEx>
          <w:tblCellMar>
            <w:top w:w="0" w:type="dxa"/>
            <w:left w:w="108" w:type="dxa"/>
            <w:bottom w:w="0" w:type="dxa"/>
            <w:right w:w="108" w:type="dxa"/>
          </w:tblCellMar>
        </w:tblPrEx>
        <w:trPr>
          <w:trHeight w:val="280" w:hRule="atLeast"/>
        </w:trPr>
        <w:tc>
          <w:tcPr>
            <w:tcW w:w="85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序号</w:t>
            </w:r>
          </w:p>
        </w:tc>
        <w:tc>
          <w:tcPr>
            <w:tcW w:w="1139"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标的名称</w:t>
            </w:r>
          </w:p>
        </w:tc>
        <w:tc>
          <w:tcPr>
            <w:tcW w:w="5806"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技术参数及要求</w:t>
            </w:r>
          </w:p>
        </w:tc>
        <w:tc>
          <w:tcPr>
            <w:tcW w:w="709"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数量</w:t>
            </w:r>
          </w:p>
        </w:tc>
        <w:tc>
          <w:tcPr>
            <w:tcW w:w="851"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单位</w:t>
            </w:r>
          </w:p>
        </w:tc>
      </w:tr>
      <w:tr>
        <w:tblPrEx>
          <w:tblCellMar>
            <w:top w:w="0" w:type="dxa"/>
            <w:left w:w="108" w:type="dxa"/>
            <w:bottom w:w="0" w:type="dxa"/>
            <w:right w:w="108" w:type="dxa"/>
          </w:tblCellMar>
        </w:tblPrEx>
        <w:trPr>
          <w:trHeight w:val="54" w:hRule="atLeast"/>
        </w:trPr>
        <w:tc>
          <w:tcPr>
            <w:tcW w:w="852"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1139"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一年级上册第一单元--植物(jk)</w:t>
            </w:r>
          </w:p>
        </w:tc>
        <w:tc>
          <w:tcPr>
            <w:tcW w:w="5806"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箱体外观尺寸（mm）：485×370×160mm（±2%）；箱体颜色：灰色；箱体材料：工程塑料（聚丙烯）；箱体内部构造：采用EPV珍珠棉隔离填充材料，每种实验器材有相对应插槽，每种实验器材设有固定位置包含：小麦发芽过程标本1个、水稻发芽过程标本1个、玉米发芽过程标本1个、大豆发芽过程标本1个、布丁杯1个、分装试管2个、大豆种子1瓶、绿豆种子1瓶、水稻种子1瓶、带灯放大镜1个、植物图卡1套、植物的叶标本1套、塑料烧杯1个、定植蓝1个、塑料碟1个、书写板1个、植物的叶1张、四季的树一张。</w:t>
            </w:r>
          </w:p>
        </w:tc>
        <w:tc>
          <w:tcPr>
            <w:tcW w:w="70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66</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箱</w:t>
            </w:r>
          </w:p>
        </w:tc>
      </w:tr>
      <w:tr>
        <w:tblPrEx>
          <w:tblCellMar>
            <w:top w:w="0" w:type="dxa"/>
            <w:left w:w="108" w:type="dxa"/>
            <w:bottom w:w="0" w:type="dxa"/>
            <w:right w:w="108" w:type="dxa"/>
          </w:tblCellMar>
        </w:tblPrEx>
        <w:trPr>
          <w:trHeight w:val="2280" w:hRule="atLeast"/>
        </w:trPr>
        <w:tc>
          <w:tcPr>
            <w:tcW w:w="852"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w:t>
            </w:r>
          </w:p>
        </w:tc>
        <w:tc>
          <w:tcPr>
            <w:tcW w:w="1139"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一年级上册第二单元--比较与测量(jk)</w:t>
            </w:r>
          </w:p>
        </w:tc>
        <w:tc>
          <w:tcPr>
            <w:tcW w:w="5806"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箱体外观尺寸（mm）：485×370×160mm（±2%）；箱体颜色：灰色；箱体材料：工程塑料（聚丙烯）；箱体内部构造：采用EPV珍珠棉隔离填充材料，每种实验器材有相对应插槽，每种实验器材设有固定位置；本箱包含：钢卷尺1个、红彩笔1支、黄彩笔1支、蓝彩笔1支、透明胶带1个、回形针1盒、跳跳蛙2个、安全剪刀1把、软尺1卷、橡皮擦1块、纸卷1卷、塑料块50个、木块50个、长卷尺1个、磁性小棒20根、塑料尺1根、纸青蛙折纸10张、纸青蛙折法流程图1张、恐龙（两大两小）1套。</w:t>
            </w:r>
          </w:p>
        </w:tc>
        <w:tc>
          <w:tcPr>
            <w:tcW w:w="70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66</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箱</w:t>
            </w:r>
          </w:p>
        </w:tc>
      </w:tr>
      <w:tr>
        <w:tblPrEx>
          <w:tblCellMar>
            <w:top w:w="0" w:type="dxa"/>
            <w:left w:w="108" w:type="dxa"/>
            <w:bottom w:w="0" w:type="dxa"/>
            <w:right w:w="108" w:type="dxa"/>
          </w:tblCellMar>
        </w:tblPrEx>
        <w:trPr>
          <w:trHeight w:val="3610" w:hRule="atLeast"/>
        </w:trPr>
        <w:tc>
          <w:tcPr>
            <w:tcW w:w="852"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w:t>
            </w:r>
          </w:p>
        </w:tc>
        <w:tc>
          <w:tcPr>
            <w:tcW w:w="1139"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一年级下册第一单元--我们周围的物体(jk)</w:t>
            </w:r>
          </w:p>
        </w:tc>
        <w:tc>
          <w:tcPr>
            <w:tcW w:w="5806"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箱体外观尺寸（mm）：485×370×160mm（±2%）；箱体颜色：灰色；箱体材料：工程塑料（聚丙烯）；箱体内部构造：采用EPV珍珠棉隔离填充材料，每种实验器材有相对应插槽，每种实验器材设有固定位置；本箱包含：木块17个、螺母-大18个、乒乓球10个、大橡皮17块、小铁架台底座1个、小铁架台支柱1个、简易天平托盘2格、平衡尺1个、简易天平指针1个、简易天平刻度盘1个、固定卡件（2轴）1个、简易天平刀口1个、简易天平平衡螺母2个、小铁架台固定块2个、小铁架台紧缩螺丝（M4）4个、蝶形螺母2套、S钩2个、柱卡扣8个、螺母-小1个、透明塑料盒1个、透明塑料瓶2个、塑料容量瓶1个、硬塑斜圆杯3个、硬塑方形杯1个、带灯放大镜1个、塑料培养皿3套、不锈钢药勺1个、玻璃搅拌棒1根、塑料块1个、回形针1盒、玻璃球1个、小石子、小橡皮1块、保鲜袋1袋、盐1瓶、红糖1瓶、洗发精1瓶</w:t>
            </w:r>
          </w:p>
        </w:tc>
        <w:tc>
          <w:tcPr>
            <w:tcW w:w="70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66</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箱</w:t>
            </w:r>
          </w:p>
        </w:tc>
      </w:tr>
      <w:tr>
        <w:tblPrEx>
          <w:tblCellMar>
            <w:top w:w="0" w:type="dxa"/>
            <w:left w:w="108" w:type="dxa"/>
            <w:bottom w:w="0" w:type="dxa"/>
            <w:right w:w="108" w:type="dxa"/>
          </w:tblCellMar>
        </w:tblPrEx>
        <w:trPr>
          <w:trHeight w:val="2090" w:hRule="atLeast"/>
        </w:trPr>
        <w:tc>
          <w:tcPr>
            <w:tcW w:w="852"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4</w:t>
            </w:r>
          </w:p>
        </w:tc>
        <w:tc>
          <w:tcPr>
            <w:tcW w:w="1139"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一年级下册第二单元--动物(jk)</w:t>
            </w:r>
          </w:p>
        </w:tc>
        <w:tc>
          <w:tcPr>
            <w:tcW w:w="5806"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箱体外观尺寸（mm）：485×370×160mm（±2%）；箱体颜色：灰色；箱体材料：工程塑料（聚丙烯）；箱体内部构造：采用EPV珍珠棉隔离填充材料，每种实验器材有相对应插槽，每种实验器材设有固定位置；本箱包含：棉签1盒、带灯放大镜1个、书写板1个、动物卡片1套、蜗牛饲养盒1个、小鱼缸1个、捕捞网（伸缩）1个、增氧泵（ 单孔2.5w）1个、昆虫观察盒1个、透明塑料片1个、不锈钢镊子1把、喷瓶1个、河沙1袋。</w:t>
            </w:r>
          </w:p>
        </w:tc>
        <w:tc>
          <w:tcPr>
            <w:tcW w:w="70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66</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箱</w:t>
            </w:r>
          </w:p>
        </w:tc>
      </w:tr>
      <w:tr>
        <w:tblPrEx>
          <w:tblCellMar>
            <w:top w:w="0" w:type="dxa"/>
            <w:left w:w="108" w:type="dxa"/>
            <w:bottom w:w="0" w:type="dxa"/>
            <w:right w:w="108" w:type="dxa"/>
          </w:tblCellMar>
        </w:tblPrEx>
        <w:trPr>
          <w:trHeight w:val="2850" w:hRule="atLeast"/>
        </w:trPr>
        <w:tc>
          <w:tcPr>
            <w:tcW w:w="852"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w:t>
            </w:r>
          </w:p>
        </w:tc>
        <w:tc>
          <w:tcPr>
            <w:tcW w:w="1139"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二年级上册第一单元--我们的地球家园(jk)</w:t>
            </w:r>
          </w:p>
        </w:tc>
        <w:tc>
          <w:tcPr>
            <w:tcW w:w="5806"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箱体外观尺寸（mm）：485×370×160mm（±2%）；箱体颜色：灰色；箱体材料：工程塑料（聚丙烯）；箱体内部构造：采用EPV珍珠棉隔离填充材料，每种实验器材有相对应插槽，每种实验器材设有固定位置；本箱包含：地球家园图卡1套，彩色蜡笔1盒，园艺工具1套，饲养盒1套，太阳卡（早晨）1个，太阳卡（中午）1个，太阳卡（傍晚）1个，方位卡（东）1个，方位卡（西）1个，方位卡（南）1个，方位卡（北）1个，月相形状图卡8张，月相记录图表-黑8张，月相记录图表-白8张，月相图卡1张，天气图卡15张，四季图卡4张，短语卡片36张，鸟食（小米）1瓶，喂鸟器1个，固体胶1个，安全剪刀1把。</w:t>
            </w:r>
          </w:p>
        </w:tc>
        <w:tc>
          <w:tcPr>
            <w:tcW w:w="70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66</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箱</w:t>
            </w:r>
          </w:p>
        </w:tc>
      </w:tr>
      <w:tr>
        <w:tblPrEx>
          <w:tblCellMar>
            <w:top w:w="0" w:type="dxa"/>
            <w:left w:w="108" w:type="dxa"/>
            <w:bottom w:w="0" w:type="dxa"/>
            <w:right w:w="108" w:type="dxa"/>
          </w:tblCellMar>
        </w:tblPrEx>
        <w:trPr>
          <w:trHeight w:val="3230" w:hRule="atLeast"/>
        </w:trPr>
        <w:tc>
          <w:tcPr>
            <w:tcW w:w="852"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1139"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二年级上册第二单元--材料(jk)</w:t>
            </w:r>
          </w:p>
        </w:tc>
        <w:tc>
          <w:tcPr>
            <w:tcW w:w="5806"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箱体外观尺寸（mm）：485×370×160mm（±2%）；箱体颜色：灰色；箱体材料：工程塑料（聚丙烯）；箱体内部构造：采用EPV珍珠棉隔离填充材料，每种实验器材有相对应插槽，每种实验器材设有固定位置；本箱包含：金属勺子1个，木块1个，木筷1双，气球8个，石头1个，玻璃珠1个，陶瓷勺1个，木勺子1个，塑料勺子1个，安全剪刀1个，透明胶1个，双面胶1个，固体胶1个，毛笔1支，布1个，纸杯套4个，竹笔1支，扭扭棒10根，金属碗1个，塑料碗1个，木碗1个，竹片1个，墨汁1瓶，线绳1管，陶泥1个，竹简1个，订书机1个，瓦楞纸10张，彩色卡纸30张，纸片5张，皱纹纸10张，白纸10张，食用油1瓶，纸杯4个，皮尺1个，防水布4张，吸水树脂1瓶，塑料瓶1个，塑料杯2个，塑料碗1个。</w:t>
            </w:r>
          </w:p>
        </w:tc>
        <w:tc>
          <w:tcPr>
            <w:tcW w:w="70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66</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箱</w:t>
            </w:r>
          </w:p>
        </w:tc>
      </w:tr>
      <w:tr>
        <w:tblPrEx>
          <w:tblCellMar>
            <w:top w:w="0" w:type="dxa"/>
            <w:left w:w="108" w:type="dxa"/>
            <w:bottom w:w="0" w:type="dxa"/>
            <w:right w:w="108" w:type="dxa"/>
          </w:tblCellMar>
        </w:tblPrEx>
        <w:trPr>
          <w:trHeight w:val="416" w:hRule="atLeast"/>
        </w:trPr>
        <w:tc>
          <w:tcPr>
            <w:tcW w:w="852"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7</w:t>
            </w:r>
          </w:p>
        </w:tc>
        <w:tc>
          <w:tcPr>
            <w:tcW w:w="1139"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二年级下册第一单元--磁铁(jk)</w:t>
            </w:r>
          </w:p>
        </w:tc>
        <w:tc>
          <w:tcPr>
            <w:tcW w:w="5806"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箱体外观尺寸（mm）：485×370×160mm（±2%）；箱体颜色：灰色；箱体材料：工程塑料（聚丙烯）；箱体内部构造：采用EPV珍珠棉隔离填充材料，每种实验器材有相对应插槽，每种实验器材设有固定位置；本箱包含：钓鱼玩具1盒，条形磁铁2个，柱形磁铁2个，U型磁铁1个，彩色磁环底座1个，彩色磁环3个，小石子1个，曲别针1个，橡皮筋1个，玻璃球1个，燕尾夹1个，铜芯线1个，水泥钉1个，砖头1个，木片1个，螺丝钉1个，一角硬币1个，一分二分五分硬币1个，一元硬币1个，铁珠10个，五角硬币1个，小车（慧鱼）1套，纸10张，曲别针1盒，磁力线模拟装置1套，旋转托架2个，指南针1个，吹塑纸4张，磁铁小车2个，木屑1套，旋转支架2个，小铁架台滑块-短1个，钢针1包，塑料盘1个，方位盘1个，纤维棒1个，布1个，塑料片1块，蝴蝶卡10个，铁粉盒1盒，小铁架台底板1个，线绳1个，磁环立柱，小铁架台紧锁螺丝2个。</w:t>
            </w:r>
          </w:p>
        </w:tc>
        <w:tc>
          <w:tcPr>
            <w:tcW w:w="70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66</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箱</w:t>
            </w:r>
          </w:p>
        </w:tc>
      </w:tr>
      <w:tr>
        <w:tblPrEx>
          <w:tblCellMar>
            <w:top w:w="0" w:type="dxa"/>
            <w:left w:w="108" w:type="dxa"/>
            <w:bottom w:w="0" w:type="dxa"/>
            <w:right w:w="108" w:type="dxa"/>
          </w:tblCellMar>
        </w:tblPrEx>
        <w:trPr>
          <w:trHeight w:val="2280" w:hRule="atLeast"/>
        </w:trPr>
        <w:tc>
          <w:tcPr>
            <w:tcW w:w="852"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8</w:t>
            </w:r>
          </w:p>
        </w:tc>
        <w:tc>
          <w:tcPr>
            <w:tcW w:w="1139"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二年级下册第二单元--我们的自己(jk)</w:t>
            </w:r>
          </w:p>
        </w:tc>
        <w:tc>
          <w:tcPr>
            <w:tcW w:w="5806"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箱体外观尺寸（mm）：485×370×160mm（±2%）；箱体颜色：灰色；箱体材料：工程塑料（聚丙烯）；箱体内部构造：采用EPV珍珠棉隔离填充材料，每种实验器材有相对应插槽，每种实验器材设有固定位置；本箱包含：人体结构拼图1张，人体轮廓图1张，人体图1张，眼球模型1个，耳朵剖面模型1个，人体肌肉模型1个，塑料杯3个，盲文板1套，找不同卡1套，塑料烧杯1个，胶头滴管1个，酱油1瓶，反应速度尺10个，时间胶囊8张，超声波身高测量仪1套，体重秤1套，皮尺1个。</w:t>
            </w:r>
          </w:p>
        </w:tc>
        <w:tc>
          <w:tcPr>
            <w:tcW w:w="70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66</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箱</w:t>
            </w:r>
          </w:p>
        </w:tc>
      </w:tr>
      <w:tr>
        <w:tblPrEx>
          <w:tblCellMar>
            <w:top w:w="0" w:type="dxa"/>
            <w:left w:w="108" w:type="dxa"/>
            <w:bottom w:w="0" w:type="dxa"/>
            <w:right w:w="108" w:type="dxa"/>
          </w:tblCellMar>
        </w:tblPrEx>
        <w:trPr>
          <w:trHeight w:val="3420" w:hRule="atLeast"/>
        </w:trPr>
        <w:tc>
          <w:tcPr>
            <w:tcW w:w="852"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9</w:t>
            </w:r>
          </w:p>
        </w:tc>
        <w:tc>
          <w:tcPr>
            <w:tcW w:w="1139"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三级上册第一单元-水（jk）</w:t>
            </w:r>
          </w:p>
        </w:tc>
        <w:tc>
          <w:tcPr>
            <w:tcW w:w="5806"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箱体外观尺寸（mm）：485×370×160mm（±2%）；箱体颜色：灰色；箱体材料：工程塑料（聚丙烯）；箱体内部构造：采用EPV珍珠棉隔离填充材料，每种实验器材有相对应插槽，每种实验器材设有固定位置；本箱包含：塑料杯2个，橡皮筋50个，保鲜膜1卷，塑料烧杯1个，水槽1个，小铁架台底座1个，小铁架台支柱1个，固定块-长1个，固定块-短1个，小铁架台固定块-紧锁螺丝4个，烧杯架1个，石棉网1个，玻璃烧杯1个，温度计1个，线绳1个，纤维棒1个，漏斗1个，长柄试管夹1个，保鲜袋1个，玻璃试管2个，双头药匙1个，小苏打1瓶，碱1瓶，红糖1瓶，食盐1瓶，沙子1瓶 ，味精1瓶，木屑20g，铁屑500g，培养皿2套，绿色打印纸30张，不锈钢勺子1个，玻璃棒，筛子80目1个，滤纸1盒，火柴1盒，蒸发皿1个，橡皮泥1罐，酒精灯1个，折纸20张。</w:t>
            </w:r>
          </w:p>
        </w:tc>
        <w:tc>
          <w:tcPr>
            <w:tcW w:w="70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66</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箱</w:t>
            </w:r>
          </w:p>
        </w:tc>
      </w:tr>
      <w:tr>
        <w:tblPrEx>
          <w:tblCellMar>
            <w:top w:w="0" w:type="dxa"/>
            <w:left w:w="108" w:type="dxa"/>
            <w:bottom w:w="0" w:type="dxa"/>
            <w:right w:w="108" w:type="dxa"/>
          </w:tblCellMar>
        </w:tblPrEx>
        <w:trPr>
          <w:trHeight w:val="3420" w:hRule="atLeast"/>
        </w:trPr>
        <w:tc>
          <w:tcPr>
            <w:tcW w:w="852"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10</w:t>
            </w:r>
          </w:p>
        </w:tc>
        <w:tc>
          <w:tcPr>
            <w:tcW w:w="1139"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三年级上册第二单元-空气（jk）</w:t>
            </w:r>
          </w:p>
        </w:tc>
        <w:tc>
          <w:tcPr>
            <w:tcW w:w="5806"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箱体外观尺寸（mm）：485×370×160mm（±2%）；箱体颜色：灰色；箱体材料：工程塑料（聚丙烯）；箱体内部构造：采用EPV珍珠棉隔离填充材料，每种实验器材有相对应插槽，每种实验器材设有固定位置；本箱包含：一次性塑料杯10个，自封袋20个，塑料碗1个，气球10个，水槽1个，大头针1盒，多用途打气筒1个，塑料瓶1个，弯头吸管10支，橡皮泥1罐，注射器1个，大橡皮-大2块，皮球1个，石子380g，绿豆210g，沙子360g，塑料桶2个，保鲜袋1袋，蜡烛2个，安全剪刀1把，透明胶1个，双面胶1个，回形针1盒，乒乓球1个，木块1个，卡纸10张，小铁架台底板1个，小铁架台支柱2套，平衡刻度盘1套，刀口1套，平衡尺1套，滑块短1套，S勾3个，火柴1盒，线香1管，通风管1个，塑料盒1个，橡胶塞3个，风的形成实验盒1套，孔明灯4套。</w:t>
            </w:r>
          </w:p>
        </w:tc>
        <w:tc>
          <w:tcPr>
            <w:tcW w:w="70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66</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箱</w:t>
            </w:r>
          </w:p>
        </w:tc>
      </w:tr>
      <w:tr>
        <w:tblPrEx>
          <w:tblCellMar>
            <w:top w:w="0" w:type="dxa"/>
            <w:left w:w="108" w:type="dxa"/>
            <w:bottom w:w="0" w:type="dxa"/>
            <w:right w:w="108" w:type="dxa"/>
          </w:tblCellMar>
        </w:tblPrEx>
        <w:trPr>
          <w:trHeight w:val="2090" w:hRule="atLeast"/>
        </w:trPr>
        <w:tc>
          <w:tcPr>
            <w:tcW w:w="852"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11</w:t>
            </w:r>
          </w:p>
        </w:tc>
        <w:tc>
          <w:tcPr>
            <w:tcW w:w="1139"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三年级上册第三单元-天气（jk）</w:t>
            </w:r>
          </w:p>
        </w:tc>
        <w:tc>
          <w:tcPr>
            <w:tcW w:w="5806"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箱体外观尺寸（mm）：485×370×160mm（±2%）；箱体颜色：灰色；箱体材料：工程塑料（聚丙烯）；箱体内部构造：采用EPV珍珠棉隔离填充材料，每种实验器材有相对应插槽，每种实验器材设有固定位置；本箱包含：气温计1个，体温计1个，温度计1个，双金属温度计1个，电子温度计1个，红外线温度计1个，雨量器1套，浇花花洒头1个，塑料瓶1个，水槽1个，天气符号卡片15张，24节气卡片24张，风向标1个。</w:t>
            </w:r>
          </w:p>
        </w:tc>
        <w:tc>
          <w:tcPr>
            <w:tcW w:w="70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66</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箱</w:t>
            </w:r>
          </w:p>
        </w:tc>
      </w:tr>
      <w:tr>
        <w:tblPrEx>
          <w:tblCellMar>
            <w:top w:w="0" w:type="dxa"/>
            <w:left w:w="108" w:type="dxa"/>
            <w:bottom w:w="0" w:type="dxa"/>
            <w:right w:w="108" w:type="dxa"/>
          </w:tblCellMar>
        </w:tblPrEx>
        <w:trPr>
          <w:trHeight w:val="3420" w:hRule="atLeast"/>
        </w:trPr>
        <w:tc>
          <w:tcPr>
            <w:tcW w:w="852"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12</w:t>
            </w:r>
          </w:p>
        </w:tc>
        <w:tc>
          <w:tcPr>
            <w:tcW w:w="1139"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三年级下册第一单元-物体的运动（jk）</w:t>
            </w:r>
          </w:p>
        </w:tc>
        <w:tc>
          <w:tcPr>
            <w:tcW w:w="5806"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箱体外观尺寸（mm）：485×370×160mm（±2%）；箱体颜色：灰色；箱体材料：工程塑料（聚丙烯）；箱体内部构造：采用EPV珍珠棉隔离填充材料，每种实验器材有相对应插槽，每种实验器材设有固定位置；本箱包含：皮尺1个，圆盘尺1个，汽车方位卡10张，溜溜球1个，钢尺1个，摇摆玩具1个，玩具汽车1个，手指陀螺1个，原木陀螺1个，轨道直1个，轨道板1个，斜面面板-长1个，下面支架-底座1个，下面支架-支柱2个，纤维棒1个，木块1个，乒乓球1个，多面体色子1套，小玻璃瓶1个，木球1个，秒表1个，140孔底板3块，滑道球2个，滑道起终点3个，滑道小弯道6个，滑道大直道2个，滑道小直道6个，滑道小斜坡4个，滑道大斜坡10个，滑道大弯道4个，滑道U型弯道2个，滑道U型高低弯道2个，转角件40个，2孔中阶6个，4孔正方中阶6个，6孔正方中阶4个。</w:t>
            </w:r>
          </w:p>
        </w:tc>
        <w:tc>
          <w:tcPr>
            <w:tcW w:w="70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66</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箱</w:t>
            </w:r>
          </w:p>
        </w:tc>
      </w:tr>
      <w:tr>
        <w:tblPrEx>
          <w:tblCellMar>
            <w:top w:w="0" w:type="dxa"/>
            <w:left w:w="108" w:type="dxa"/>
            <w:bottom w:w="0" w:type="dxa"/>
            <w:right w:w="108" w:type="dxa"/>
          </w:tblCellMar>
        </w:tblPrEx>
        <w:trPr>
          <w:trHeight w:val="2280" w:hRule="atLeast"/>
        </w:trPr>
        <w:tc>
          <w:tcPr>
            <w:tcW w:w="852"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w:t>
            </w:r>
          </w:p>
        </w:tc>
        <w:tc>
          <w:tcPr>
            <w:tcW w:w="1139"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三年级下册第二单元-动物的一生（jk）</w:t>
            </w:r>
          </w:p>
        </w:tc>
        <w:tc>
          <w:tcPr>
            <w:tcW w:w="5806"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箱体外观尺寸（mm）：485×370×160mm（±2%）；箱体颜色：灰色；箱体材料：工程塑料（聚丙烯）；箱体内部构造：采用EPV珍珠棉隔离填充材料，每种实验器材有相对应插槽，每种实验器材设有固定位置；本箱包含:带灯放大镜1个，蚕饲养盒1个，温度计1个，鹅毛1根，结茧网1个，清理网1个，镊子1个，蚕的一生标本1个，动物的卵图片卡P25 10张，蚕的生长变化图片卡P35 8张，蚕的一生统计表P35 10张，菜粉蝶的一生标本1个，小鸡孵化过程1套。</w:t>
            </w:r>
          </w:p>
        </w:tc>
        <w:tc>
          <w:tcPr>
            <w:tcW w:w="70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66</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箱</w:t>
            </w:r>
          </w:p>
        </w:tc>
      </w:tr>
      <w:tr>
        <w:tblPrEx>
          <w:tblCellMar>
            <w:top w:w="0" w:type="dxa"/>
            <w:left w:w="108" w:type="dxa"/>
            <w:bottom w:w="0" w:type="dxa"/>
            <w:right w:w="108" w:type="dxa"/>
          </w:tblCellMar>
        </w:tblPrEx>
        <w:trPr>
          <w:trHeight w:val="132" w:hRule="atLeast"/>
        </w:trPr>
        <w:tc>
          <w:tcPr>
            <w:tcW w:w="852"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14</w:t>
            </w:r>
          </w:p>
        </w:tc>
        <w:tc>
          <w:tcPr>
            <w:tcW w:w="1139"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三年级下册第三单元-太阳、地球和月球（jk)</w:t>
            </w:r>
          </w:p>
        </w:tc>
        <w:tc>
          <w:tcPr>
            <w:tcW w:w="5806"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箱体外观尺寸（mm）：485×370×160mm（±2%）；箱体颜色：灰色；箱体材料：工程塑料（聚丙烯）；箱体内部构造：采用EPV珍珠棉隔离填充材料，每种实验器材有相对应插槽，每种实验器材设有固定位置；本箱包含:圆纸筒1个，大圆纸片10张，小圆纸片10张，亚克力板1个，方位纸5张，磁悬浮底板1个，磁悬浮立柱1个，手电筒1个，圆木柱1个，月相图卡30张，水槽1个，玻璃球1个，木球1个，跳跳球1个，乒乓球1个，沙子360g，正圆气球1个，小船帆模型1个，白屏1个，正方体木块1个，地球仪1个，世界地图1张，透明方格纸10张，彩笔1盒。</w:t>
            </w:r>
          </w:p>
        </w:tc>
        <w:tc>
          <w:tcPr>
            <w:tcW w:w="70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66</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箱</w:t>
            </w:r>
          </w:p>
        </w:tc>
      </w:tr>
      <w:tr>
        <w:tblPrEx>
          <w:tblCellMar>
            <w:top w:w="0" w:type="dxa"/>
            <w:left w:w="108" w:type="dxa"/>
            <w:bottom w:w="0" w:type="dxa"/>
            <w:right w:w="108" w:type="dxa"/>
          </w:tblCellMar>
        </w:tblPrEx>
        <w:trPr>
          <w:trHeight w:val="760" w:hRule="atLeast"/>
        </w:trPr>
        <w:tc>
          <w:tcPr>
            <w:tcW w:w="852"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15</w:t>
            </w:r>
          </w:p>
        </w:tc>
        <w:tc>
          <w:tcPr>
            <w:tcW w:w="113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实验箱货架</w:t>
            </w:r>
          </w:p>
        </w:tc>
        <w:tc>
          <w:tcPr>
            <w:tcW w:w="580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L1060×D400×H1680（±2%）×7层可放置14个实验箱；立柱：38×38×1.0mm；横梁：50×14×1.1mm；刨花板：9mm。</w:t>
            </w:r>
          </w:p>
        </w:tc>
        <w:tc>
          <w:tcPr>
            <w:tcW w:w="70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66</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760" w:hRule="atLeast"/>
        </w:trPr>
        <w:tc>
          <w:tcPr>
            <w:tcW w:w="852"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16</w:t>
            </w:r>
          </w:p>
        </w:tc>
        <w:tc>
          <w:tcPr>
            <w:tcW w:w="113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教学案例</w:t>
            </w:r>
          </w:p>
        </w:tc>
        <w:tc>
          <w:tcPr>
            <w:tcW w:w="580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包含创新箱实验内容，是教师开展实验教学的有效指导路径，包括实验导入、实验说明、实验过程、实验准备等，为国家正式出版物，教学案例不少于95个。</w:t>
            </w:r>
          </w:p>
        </w:tc>
        <w:tc>
          <w:tcPr>
            <w:tcW w:w="70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1140" w:hRule="atLeast"/>
        </w:trPr>
        <w:tc>
          <w:tcPr>
            <w:tcW w:w="852"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17</w:t>
            </w:r>
          </w:p>
        </w:tc>
        <w:tc>
          <w:tcPr>
            <w:tcW w:w="113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学生手册（含评价）</w:t>
            </w:r>
          </w:p>
        </w:tc>
        <w:tc>
          <w:tcPr>
            <w:tcW w:w="580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是指导学生如何操作实验，记录实验过程，引发实验思考的有效支撑。包括具体实验的学生评价，以及整个科学素养形成的过程性评价量规。教师评价、学生自评相结合。每套含一、二、三学段各一册的课程和各一册的评价手册,共6册。为国家正式出版物，实验不少于110个。</w:t>
            </w:r>
          </w:p>
        </w:tc>
        <w:tc>
          <w:tcPr>
            <w:tcW w:w="70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1660" w:hRule="atLeast"/>
        </w:trPr>
        <w:tc>
          <w:tcPr>
            <w:tcW w:w="852"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18</w:t>
            </w:r>
          </w:p>
        </w:tc>
        <w:tc>
          <w:tcPr>
            <w:tcW w:w="113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清洁能源实验箱</w:t>
            </w:r>
          </w:p>
        </w:tc>
        <w:tc>
          <w:tcPr>
            <w:tcW w:w="580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箱体外观尺寸（mm）：485×370×160mm（±2%）；箱体颜色：灰色；箱体材料：工程塑料（聚丙烯）；箱体内部构造：采用EPV珍珠棉隔离填充材料，每种实验器材有相对应插槽，每种实验器材设有固定位置；主要配置及用材：氢能小车车身、发电电池、电解电池、电解发电二合一电池各一个，发电电池底座，电池盒等。氢能、太阳能、风能演示器材各一套,各种器材有序嵌放于珍珠棉发泡成型的空间内。氢能小车车身：规格：四轮、遇障碍自动转向；动力形式：氢气发电驱动；尺寸：240mm×110mm×48mm（±2</w:t>
            </w:r>
            <w:r>
              <w:rPr>
                <w:rFonts w:ascii="仿宋" w:hAnsi="仿宋" w:eastAsia="仿宋" w:cs="宋体"/>
                <w:kern w:val="0"/>
                <w:szCs w:val="21"/>
              </w:rPr>
              <w:t>%</w:t>
            </w:r>
            <w:r>
              <w:rPr>
                <w:rFonts w:hint="eastAsia" w:ascii="仿宋" w:hAnsi="仿宋" w:eastAsia="仿宋" w:cs="宋体"/>
                <w:kern w:val="0"/>
                <w:szCs w:val="21"/>
              </w:rPr>
              <w:t>）；塑料件工艺：模具注塑成型。功能描述：本实验箱要求体现一套实验室级别的清洁能源系统，氢动力小车实验。</w:t>
            </w:r>
          </w:p>
        </w:tc>
        <w:tc>
          <w:tcPr>
            <w:tcW w:w="70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箱</w:t>
            </w:r>
          </w:p>
        </w:tc>
      </w:tr>
      <w:tr>
        <w:tblPrEx>
          <w:tblCellMar>
            <w:top w:w="0" w:type="dxa"/>
            <w:left w:w="108" w:type="dxa"/>
            <w:bottom w:w="0" w:type="dxa"/>
            <w:right w:w="108" w:type="dxa"/>
          </w:tblCellMar>
        </w:tblPrEx>
        <w:trPr>
          <w:trHeight w:val="1410" w:hRule="atLeast"/>
        </w:trPr>
        <w:tc>
          <w:tcPr>
            <w:tcW w:w="852"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19</w:t>
            </w:r>
          </w:p>
        </w:tc>
        <w:tc>
          <w:tcPr>
            <w:tcW w:w="113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电与磁实验箱</w:t>
            </w:r>
          </w:p>
        </w:tc>
        <w:tc>
          <w:tcPr>
            <w:tcW w:w="5806" w:type="dxa"/>
            <w:tcBorders>
              <w:top w:val="nil"/>
              <w:left w:val="nil"/>
              <w:bottom w:val="single" w:color="auto" w:sz="4" w:space="0"/>
              <w:right w:val="single" w:color="auto" w:sz="4" w:space="0"/>
            </w:tcBorders>
            <w:shd w:val="clear" w:color="000000" w:fill="FFFFFF"/>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箱体外观尺寸（mm）：485×370×160mm（±2%）；箱体颜色：灰色；箱体材料：工程塑料（聚丙烯）；箱体内部构造：采用EPV珍珠棉隔离填充材料，每种实验器材有相对应插槽，每种实验器材设有固定位置；主要配置及用材：小电动机，手摇发电机，电磁秋千，纯铁棒等,各种器材有序嵌放于珍珠棉发泡成型的空间内。小电动机：规格：底座（长×宽×高）136mm×92mm×28mm（±2</w:t>
            </w:r>
            <w:r>
              <w:rPr>
                <w:rFonts w:ascii="仿宋" w:hAnsi="仿宋" w:eastAsia="仿宋" w:cs="宋体"/>
                <w:kern w:val="0"/>
                <w:szCs w:val="21"/>
              </w:rPr>
              <w:t>%</w:t>
            </w:r>
            <w:r>
              <w:rPr>
                <w:rFonts w:hint="eastAsia" w:ascii="仿宋" w:hAnsi="仿宋" w:eastAsia="仿宋" w:cs="宋体"/>
                <w:kern w:val="0"/>
                <w:szCs w:val="21"/>
              </w:rPr>
              <w:t>），套件整体（总高）68mm（±2</w:t>
            </w:r>
            <w:r>
              <w:rPr>
                <w:rFonts w:ascii="仿宋" w:hAnsi="仿宋" w:eastAsia="仿宋" w:cs="宋体"/>
                <w:kern w:val="0"/>
                <w:szCs w:val="21"/>
              </w:rPr>
              <w:t>%</w:t>
            </w:r>
            <w:r>
              <w:rPr>
                <w:rFonts w:hint="eastAsia" w:ascii="仿宋" w:hAnsi="仿宋" w:eastAsia="仿宋" w:cs="宋体"/>
                <w:kern w:val="0"/>
                <w:szCs w:val="21"/>
              </w:rPr>
              <w:t>）。构件底座材质：ABS，工艺：模具注塑成型。构件：电动机支架材质：透明PC，工艺：模具注塑成型；电动机参数：额定电压：DC 3V；功率：0.37W；转矩：24.5mN/m，负载转速146r/min,负载电流：0.1A。</w:t>
            </w:r>
            <w:r>
              <w:rPr>
                <w:rFonts w:hint="eastAsia" w:ascii="仿宋" w:hAnsi="仿宋" w:eastAsia="仿宋" w:cs="宋体"/>
                <w:kern w:val="0"/>
                <w:szCs w:val="21"/>
              </w:rPr>
              <w:br w:type="textWrapping"/>
            </w:r>
            <w:r>
              <w:rPr>
                <w:rFonts w:hint="eastAsia" w:ascii="仿宋" w:hAnsi="仿宋" w:eastAsia="仿宋" w:cs="宋体"/>
                <w:kern w:val="0"/>
                <w:szCs w:val="21"/>
              </w:rPr>
              <w:t>小电动机为模块化整体套件，实验时在接通电源后电动机，在电动机线圈径向平面将U形磁铁竖立到装置上电动机开始工作，移去磁铁电机虽有供电但不工作。可让学生探究电动机运动的条件。手摇发电机：规格：底座（长×宽×高）136mm×92mm×28mm（±2</w:t>
            </w:r>
            <w:r>
              <w:rPr>
                <w:rFonts w:ascii="仿宋" w:hAnsi="仿宋" w:eastAsia="仿宋" w:cs="宋体"/>
                <w:kern w:val="0"/>
                <w:szCs w:val="21"/>
              </w:rPr>
              <w:t>%</w:t>
            </w:r>
            <w:r>
              <w:rPr>
                <w:rFonts w:hint="eastAsia" w:ascii="仿宋" w:hAnsi="仿宋" w:eastAsia="仿宋" w:cs="宋体"/>
                <w:kern w:val="0"/>
                <w:szCs w:val="21"/>
              </w:rPr>
              <w:t>），套件整体（长×宽×高）142mm×110mm×100mm（±2</w:t>
            </w:r>
            <w:r>
              <w:rPr>
                <w:rFonts w:ascii="仿宋" w:hAnsi="仿宋" w:eastAsia="仿宋" w:cs="宋体"/>
                <w:kern w:val="0"/>
                <w:szCs w:val="21"/>
              </w:rPr>
              <w:t>%</w:t>
            </w:r>
            <w:r>
              <w:rPr>
                <w:rFonts w:hint="eastAsia" w:ascii="仿宋" w:hAnsi="仿宋" w:eastAsia="仿宋" w:cs="宋体"/>
                <w:kern w:val="0"/>
                <w:szCs w:val="21"/>
              </w:rPr>
              <w:t>）。</w:t>
            </w:r>
            <w:r>
              <w:rPr>
                <w:rFonts w:hint="eastAsia" w:ascii="仿宋" w:hAnsi="仿宋" w:eastAsia="仿宋" w:cs="宋体"/>
                <w:kern w:val="0"/>
                <w:szCs w:val="21"/>
              </w:rPr>
              <w:br w:type="textWrapping"/>
            </w:r>
            <w:r>
              <w:rPr>
                <w:rFonts w:hint="eastAsia" w:ascii="仿宋" w:hAnsi="仿宋" w:eastAsia="仿宋" w:cs="宋体"/>
                <w:kern w:val="0"/>
                <w:szCs w:val="21"/>
              </w:rPr>
              <w:t>构件：底座、模型发电机、齿轮变速装置；底座、发电机支架材质及工艺：模具成型注塑；变速装置规格：材质PA工艺：模具注塑成型；理论变速传动比1:32（2级变速）。第1级采用齿轮变速：主被动轮传动比1:4；第2级采用皮带传动方，理论传动比1：8。传动皮带材质：硅胶。发电机输出电压：高于1.45V（手柄转速大于90r/min）。装置底座上4个电流输出端，可供实验插接其他模块或器材，当发电装置手摇柄以60～80转/分钟匀速率摇动时，即可点亮器材中配套小电珠灯丝，装置电源输出接口可以直接插拔或驳接其他模块化实验器材，适宜小学生做探究性实验。电磁秋千：电磁秋千装置的主要构件：电磁秋千支架模块、按钮开关、秋千摆杆及线圈（千秋摆）。规格：秋千支架座模块（长×宽×高）136mm×92mm×155mm（±2</w:t>
            </w:r>
            <w:r>
              <w:rPr>
                <w:rFonts w:ascii="仿宋" w:hAnsi="仿宋" w:eastAsia="仿宋" w:cs="宋体"/>
                <w:kern w:val="0"/>
                <w:szCs w:val="21"/>
              </w:rPr>
              <w:t>%</w:t>
            </w:r>
            <w:r>
              <w:rPr>
                <w:rFonts w:hint="eastAsia" w:ascii="仿宋" w:hAnsi="仿宋" w:eastAsia="仿宋" w:cs="宋体"/>
                <w:kern w:val="0"/>
                <w:szCs w:val="21"/>
              </w:rPr>
              <w:t>），塑料件材质：ABS模具注塑成型；金属支架材质：碳钢镀镍；按钮开关规格：操作方式：自复式，操作行程：约1.5mm，操作压力约1N；接触电阻：≤50mΩ，绝缘电阻≥1000MΩ，绝缘强度：2000VAC；环境温度-20℃～+55℃；电器寿命：20万次以上； 秋千摆杆规格：中心长度48mm；材质：不锈钢丝，直径Φ0.8mm线圈（秋千摆）规格：模块的（长×宽×高）59mm×56mm×18mm（±2</w:t>
            </w:r>
            <w:r>
              <w:rPr>
                <w:rFonts w:ascii="仿宋" w:hAnsi="仿宋" w:eastAsia="仿宋" w:cs="宋体"/>
                <w:kern w:val="0"/>
                <w:szCs w:val="21"/>
              </w:rPr>
              <w:t>%</w:t>
            </w:r>
            <w:r>
              <w:rPr>
                <w:rFonts w:hint="eastAsia" w:ascii="仿宋" w:hAnsi="仿宋" w:eastAsia="仿宋" w:cs="宋体"/>
                <w:kern w:val="0"/>
                <w:szCs w:val="21"/>
              </w:rPr>
              <w:t>）；线圈架材质：PC透明，工艺模具注塑成型。电磁秋千实验模块化设计，装配快捷，配上模块化电源、U形磁铁后，通过按钮开关有规律的按压抬起使电磁秋千摆动起来，通过线圈（秋千摆）中U形磁铁的插入及插入磁铁极性的改变，能很好演示并诠释电与磁之间变化关系，可拓展至有关电磁学法则的实验验证。功能描述：本实验箱要求实现如下实验：1.电磁转换实验2.机械能发电实验3.电动机构造</w:t>
            </w:r>
          </w:p>
        </w:tc>
        <w:tc>
          <w:tcPr>
            <w:tcW w:w="70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箱</w:t>
            </w:r>
          </w:p>
        </w:tc>
      </w:tr>
    </w:tbl>
    <w:p/>
    <w:p>
      <w:r>
        <w:rPr>
          <w:rFonts w:hint="eastAsia"/>
        </w:rPr>
        <w:t>【二】小学数学</w:t>
      </w:r>
    </w:p>
    <w:tbl>
      <w:tblPr>
        <w:tblStyle w:val="23"/>
        <w:tblW w:w="9639" w:type="dxa"/>
        <w:tblInd w:w="-572" w:type="dxa"/>
        <w:tblLayout w:type="fixed"/>
        <w:tblCellMar>
          <w:top w:w="0" w:type="dxa"/>
          <w:left w:w="108" w:type="dxa"/>
          <w:bottom w:w="0" w:type="dxa"/>
          <w:right w:w="108" w:type="dxa"/>
        </w:tblCellMar>
      </w:tblPr>
      <w:tblGrid>
        <w:gridCol w:w="709"/>
        <w:gridCol w:w="992"/>
        <w:gridCol w:w="1276"/>
        <w:gridCol w:w="5245"/>
        <w:gridCol w:w="709"/>
        <w:gridCol w:w="708"/>
      </w:tblGrid>
      <w:tr>
        <w:tblPrEx>
          <w:tblCellMar>
            <w:top w:w="0" w:type="dxa"/>
            <w:left w:w="108" w:type="dxa"/>
            <w:bottom w:w="0" w:type="dxa"/>
            <w:right w:w="108" w:type="dxa"/>
          </w:tblCellMar>
        </w:tblPrEx>
        <w:trPr>
          <w:trHeight w:val="28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序号</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编号</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标的名称</w:t>
            </w:r>
          </w:p>
        </w:tc>
        <w:tc>
          <w:tcPr>
            <w:tcW w:w="5245"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技术参数及要求</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数量</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单位</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10007</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软尺</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2000mm。</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138</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10008</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卷尺</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20m。</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138</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112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22</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11006</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lang w:bidi="ar"/>
              </w:rPr>
              <w:t>▲</w:t>
            </w:r>
            <w:r>
              <w:rPr>
                <w:rFonts w:hint="eastAsia" w:ascii="仿宋" w:hAnsi="仿宋" w:eastAsia="仿宋" w:cs="宋体"/>
                <w:kern w:val="0"/>
                <w:szCs w:val="21"/>
              </w:rPr>
              <w:t>托盘天平</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称量范围：500g，精度：1.0g，底座、杠杆、连接杆均是金属制表面做防锈处理，刀口采用65锰钢淬火制成，刀口中间应是圆柱形。天平在使用过程中，中心差，前差，后差，前交差，后交差：的相差范围为0-0.3g</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12</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台</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11007</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简易天平</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200g，1g；由塑料注塑组装而成，由立柱，横梁、底座、挂桶和砝码组成。</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138</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台</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24</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11019</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弹簧度盘秤</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指针式，1kg。</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12</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台</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25</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11023</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弹簧秤</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质量单位，2.5kg。</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12</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26</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12003</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电子停表</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0.1s</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72</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块</w:t>
            </w:r>
          </w:p>
        </w:tc>
      </w:tr>
      <w:tr>
        <w:tblPrEx>
          <w:tblCellMar>
            <w:top w:w="0" w:type="dxa"/>
            <w:left w:w="108" w:type="dxa"/>
            <w:bottom w:w="0" w:type="dxa"/>
            <w:right w:w="108" w:type="dxa"/>
          </w:tblCellMar>
        </w:tblPrEx>
        <w:trPr>
          <w:trHeight w:val="364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27</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20001</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三角板</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三角板分60°、45°各1块。材料用塑料注塑成型,色泽为黄色；三角板中间位置设有可拆卸画线工作手把，把手应脱卸方便。等腰直角三角形，其斜边为500mm，两底角为45度。直角三角形的长直角边为500mm，但与斜边的夹角为30度，另一底角为60度，所有角度误差不超过±1度。量程：三角板量程为500mm。外形尺寸：厚为10mm，手把实际高度为20mm，长度为90mm。 刻度标记：三角板直边印刻线，每0.5cm一小格,每1cm一中格,每5cm一长格,每10cm一长格并标有以10为单位的读数值；三角板平面度误差不超过1mm，各边的直线度误差不超过1mm。三角板的刻度线应垂直达到尺边，刻线和数码应清晰、正确、不得有重线、断线、缺字。</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48</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5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28</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20002</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圆规</w:t>
            </w:r>
          </w:p>
        </w:tc>
        <w:tc>
          <w:tcPr>
            <w:tcW w:w="5245" w:type="dxa"/>
            <w:tcBorders>
              <w:top w:val="nil"/>
              <w:left w:val="nil"/>
              <w:bottom w:val="single" w:color="auto" w:sz="4" w:space="0"/>
              <w:right w:val="nil"/>
            </w:tcBorders>
            <w:shd w:val="clear" w:color="auto" w:fill="auto"/>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适合在黑板上画圆，附橡胶定位脚。规格为420～450mm。技术要求应符合QB/T 3902-1999的相关规定。</w:t>
            </w:r>
          </w:p>
        </w:tc>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24</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29</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20004</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量角器</w:t>
            </w:r>
          </w:p>
        </w:tc>
        <w:tc>
          <w:tcPr>
            <w:tcW w:w="5245" w:type="dxa"/>
            <w:tcBorders>
              <w:top w:val="nil"/>
              <w:left w:val="nil"/>
              <w:bottom w:val="single" w:color="auto" w:sz="4" w:space="0"/>
              <w:right w:val="nil"/>
            </w:tcBorders>
            <w:shd w:val="clear" w:color="auto" w:fill="auto"/>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演示用，0°-180°。技术要求应符合QB/T 1474.5-2005的相关规定。</w:t>
            </w:r>
          </w:p>
        </w:tc>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12</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13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20501</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专用直尺</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m，分别有米、分米、厘米、毫米四种单位；木质，木材经脱脂干燥处理,含水率≤18％。尺应平整、挺直、无毛刺、无节疤、无裂纹、无伤痕。尺的最小刻度为1mm,每厘米处刻线应为毫米刻线长的2～3倍，并标有相应数字。测量范围0～1000mm，全长累计误差≤2mm。尺两面涂漆,漆层均匀、光亮,无流挂、气泄等缺陷。尺面平面度公差≤3mm。尺边直线度公差≤2mm。尺的外形尺寸约：1020×30×7mm。</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138</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支</w:t>
            </w:r>
          </w:p>
        </w:tc>
      </w:tr>
      <w:tr>
        <w:tblPrEx>
          <w:tblCellMar>
            <w:top w:w="0" w:type="dxa"/>
            <w:left w:w="108" w:type="dxa"/>
            <w:bottom w:w="0" w:type="dxa"/>
            <w:right w:w="108" w:type="dxa"/>
          </w:tblCellMar>
        </w:tblPrEx>
        <w:trPr>
          <w:trHeight w:val="112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20505</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标杆</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1.6m；中、小学数学教学工具。有木杆和插地铁脚两部分。标杆长1600mm，直径φ25mm。杆身刷有红、白相间的油漆，间距为100mm。铁脚环与标杆连接的长度不小于50mm，铁脚外表应涂漆防锈。标杆直线度误差不大于4mm，圆度误差不大于3mm。</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138</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支</w:t>
            </w:r>
          </w:p>
        </w:tc>
      </w:tr>
      <w:tr>
        <w:tblPrEx>
          <w:tblCellMar>
            <w:top w:w="0" w:type="dxa"/>
            <w:left w:w="108" w:type="dxa"/>
            <w:bottom w:w="0" w:type="dxa"/>
            <w:right w:w="108" w:type="dxa"/>
          </w:tblCellMar>
        </w:tblPrEx>
        <w:trPr>
          <w:trHeight w:val="84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32</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20506</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测绳</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50m；中、小学测量用具。由有钢芯的帆布（或其它材料）制成。全长50m，粗不小于2.5mm。分度值1m，分度值充差±10mm，分度标志不易脱落。全长累计误差：±250mm。</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48</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条</w:t>
            </w:r>
          </w:p>
        </w:tc>
      </w:tr>
      <w:tr>
        <w:tblPrEx>
          <w:tblCellMar>
            <w:top w:w="0" w:type="dxa"/>
            <w:left w:w="108" w:type="dxa"/>
            <w:bottom w:w="0" w:type="dxa"/>
            <w:right w:w="108" w:type="dxa"/>
          </w:tblCellMar>
        </w:tblPrEx>
        <w:trPr>
          <w:trHeight w:val="5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20507</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塑料球</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三种颜色，外径不小于15mm，配不透明袋；适用于数学教学用，外形：圆形球体，三种颜色。外径不小于15mm ，材质：塑料制品。符合教学大纲要求。</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138</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5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34</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20508</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塑料小球</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五种颜色，外径不小于5mm；外形：圆形球体，五种颜色。外径不小于5mm ，材质：塑料制品。符合教学大纲要求。</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138</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35</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20510</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竖式计数器</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演示用，三档。</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12</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36</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20511</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竖式计数器</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演示用，五档。</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12</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37</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20512</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竖式计数器</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学生用，五档。</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540</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38</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20514</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计数棒</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演示用，每10根一捆，10捆。</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24</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39</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20516</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钉板</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390mm×590mm。</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24</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40</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20518</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钉板</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学生用，不小于140mm×140mm。</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540</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41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20522</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数字骰子</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不小于12mm×12mm×12mm，每个侧面上有不同的字，不少于3个。</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138</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42</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20523</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空白骰子</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不小于12mm×12mm×12mm,不少于2个。</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138</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140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43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20524</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数字转盘</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由底座、立桩、转盘片、指针组成。转盘片直径为137mm，厚8mm，成体呈黄色、ABS工程塑料制成。转盘表面均匀分为10个区，每区上分别印有0--9的数字，字体清楚、清晰、美观大方。指针为红色。整个转盘转动灵活。标志、说明书、包装、运输、贮存符合JY0001-2003的有关规定。</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138</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44</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20525</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色块转盘</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以圆心为中心将转盘用不同颜色分区。</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138</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45</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20526</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空白转盘</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以圆心为中心将转盘分区。</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138</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46</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20527</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几何图形片</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包括正方形、长方形、直角三角形、等边三角形、平行四边形、梯形、圆形。</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138</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47</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20528</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集合圈</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折叠式。</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540</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48</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20530</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七巧板</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七种颜色，所组成的正方形不小于80mm×80mm，厚不小于1mm。</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540</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274"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49</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20531</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角操作材料</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适用于小学数学教学用的角操作材料。角操作材料由长、短边和联接装置组成，0-360°折叠式，联接处应牢固，转动灵活，整体光洁、平整，无毛刺等缺陷。角操作材料由木材或塑料制作，木材表面经白色油漆处理。</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540</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5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50</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20532</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图形变换操作材料</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平移、旋转、对称等内容。</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540</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20533</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面积测量器</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透明，不小于100mm×100mm。</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540</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84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52</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20534</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探索几何图形面积计算公式材料</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正方形、长方形、三角形、平行四边形、梯形、圆形等。</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540</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84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20535</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探索几何形体体积计算公式材料</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长方体、正方体、圆柱体、圆锥体等。</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540</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140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54</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20536</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口算练习器</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插卡式。由面板和数字卡片、符号卡片等组成。面板尺寸不小于320mm×210mm×22mm，面板上可卡8张卡片，上6下2。支脚为可拆卸式，固定于面板下方后可使面板竖立。卡片尺寸为50mm×40mm，有+、—、×、=符号及0至92套数字。</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12</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55</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20537</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分数片</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（1～12）等分。</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540</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56</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20539</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塑料量杯</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透明，圆柱形，2L。</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138</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57</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20540</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塑料量杯</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透明，棱柱形，1.5L。</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138</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58</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20541</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塑料量杯</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透明，水杯形，1L。</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138</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140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59</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20542</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小学低年级数学磁性教具</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用于小学低年级数学教学。外观尺寸：180×110×35mm；小学磁性教具是由各种卡片及数字符号构成：=、﹢、－、×、÷、＞、＜、0—20数字，磁性与塑料片连接牢靠，磁性吸附钢制黑板必须牢靠不滑落。小学低年级数学磁性教具是由塑料、磁铁制作，图形符号色彩应鲜明，字迹应清晰，在正常采光下，5m处能清晰可见，塑料件应无飞边毛刺。</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16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60</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20543</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小学中年级数学磁性教具</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用于小学中年级数学教学。外观尺寸：540×350×70mm；小学中年级磁性教具是由各种卡片及数字符号构成：数字及各种符号115个，图形32个，圆形20个，各种几何图形29个，计数棒20根，尺子一把，教学用图7张。磁性与塑料片连接牢靠，磁性吸附钢制黑板必须牢靠不滑落。小学中年级数学磁性教具是由塑料、磁铁制作，图形符号色彩应鲜明，字迹应清晰，在正常采光下，5m处能清晰可见，塑料件应无飞边毛刺。</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13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20544</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小学高年级数学磁性教具</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用于小学高年级数学教学。外观尺寸：≥540×350×70mm；小学高年级磁性教具是由各种卡片及数字符号构成。磁性与塑料片连接牢靠，磁性吸附钢制黑板必须牢靠不滑落；提高学习兴趣，增强数学知识的掌握。小学高年级数学磁性教具是由塑料、磁铁制作，图形符号色彩应鲜明，字迹应清晰，在正常采光下，5m处能清晰可见，塑料件应无飞边毛刺。</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62</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30501</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钟表模型</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演示用，两针，非联动，12时表示。</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12</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30502</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钟表模型</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演示用，三针，联动，12时表示。</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12</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252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64</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30503</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钟表模型</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用于小学数学和幼儿教学“时、分、秒”的认识、读法及加减演示。规格：表盘的直径为260mm，整体高310mm。钟面模具为座式，由基座、表盘、指针（三针）、联动装置组成，盘面印有24时的整点标记和分钟标记。钟表模型表盘和盘底采用工程塑料一次性注塑而成。整体为黄色，指针为红色。有表盘、指针（三针）、联动装置各部分，表盘直径300mm。24时表示。标志、说明书、包装、运输、贮存符合JY0001-2003的有关规定。</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12</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65</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30504</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钟表模型</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学生用，两针，非联动。</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540</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66</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30505</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钟表模型</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学生用，三针，联动。</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540</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33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67</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30506</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几何形体模型</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小学数学教学演示用。有长方体、正方体、实心圆柱、空心圆柱、圆锥体、球。外形尺寸：长 方 体 长140mm、宽100mm、高60mm；正 方 体 棱长100mm；实心圆柱 直径60mm、高100mm；空心圆柱 外径100mm、内径61mm、高100mm圆 锥 体 等底等高底面直径60mm，高60mm；等第不等高底面直径60mm、高60mm、100mm；等高不等底底60mm、100mm，高100mm；球体 直径 ≥80mm。几何形体模型的形位公差及其它要求应符合JY0308-91第4章的要求，球体的圆度允差不大于1.5mm。模型未注允差尺寸应符合JY0027-93《教学仪器产品图样和技术文件未注公差尺寸的极限偏差》有关规定。塑料件符合JY0001-2003第6.27、7.7条要求。木制件符合JY0001-2003第6.28、7.4.3、7.8条要求。</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138</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68</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30507</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厘米立方块</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每块为单色，颜色种类不少于2种，10mm×10mm×10mm，30个。</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138</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84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69</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30508</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几何形体表面积展开模型</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长方体、正方体、圆柱体。</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138</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112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70</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30509</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圆面积、圆周率计算公式推导演示模型</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φ200mm。</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12</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5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71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81251</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圆柱形塑料杯</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透明圆柱形塑料杯。容积2Ｌ。</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138</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72</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81252</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方形塑料杯</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透明方形塑料杯。</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138</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73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50051</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物品卡片</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购物游戏用。</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138</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112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74</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50052</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小学数学数与代数部分教学挂图</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小学数学挂图，数与代数部分教学挂图。幅面：对开。纸张规格：大于128克铜版纸。印刷：彩色胶印。图形逼真，色彩鲜明，线条清晰，附使用说明书一本。适用于按照《全日制九年义务教育数学课程标准》编写的并经国家教材审定通过的各种版本的小学《数学》教材。</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112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75</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50053</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小学数学空间与图形部分教学挂图</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小学数学挂图，空间与图形部分教学挂图。幅面：对开。纸张规格：大于128克铜版纸。印刷：彩色胶印。图形逼真，色彩鲜明，线条清晰，附使用说明书一本。适用于按照《全日制九年义务教育数学课程标准》编写的并经国家教材审定通过的各种版本的小学《数学》教材。</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112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76</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50054</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小学数学统计与概率教学挂图</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小学数学挂图，统计与概率部分教学挂图。幅面：对开。纸张规格：大于128克铜版纸。印刷：彩色胶印。图形逼真，色彩鲜明，线条清晰，附使用说明书一本。适用于按照《全日制九年义务教育数学课程标准》编写的并经国家教材审定通过的各种版本的小学《数学》教材。</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bl>
    <w:p/>
    <w:p>
      <w:r>
        <w:rPr>
          <w:rFonts w:hint="eastAsia"/>
        </w:rPr>
        <w:t>【三】小学体育</w:t>
      </w:r>
    </w:p>
    <w:tbl>
      <w:tblPr>
        <w:tblStyle w:val="23"/>
        <w:tblW w:w="9639" w:type="dxa"/>
        <w:tblInd w:w="-572" w:type="dxa"/>
        <w:tblLayout w:type="fixed"/>
        <w:tblCellMar>
          <w:top w:w="0" w:type="dxa"/>
          <w:left w:w="108" w:type="dxa"/>
          <w:bottom w:w="0" w:type="dxa"/>
          <w:right w:w="108" w:type="dxa"/>
        </w:tblCellMar>
      </w:tblPr>
      <w:tblGrid>
        <w:gridCol w:w="709"/>
        <w:gridCol w:w="992"/>
        <w:gridCol w:w="1276"/>
        <w:gridCol w:w="5245"/>
        <w:gridCol w:w="709"/>
        <w:gridCol w:w="708"/>
      </w:tblGrid>
      <w:tr>
        <w:tblPrEx>
          <w:tblCellMar>
            <w:top w:w="0" w:type="dxa"/>
            <w:left w:w="108" w:type="dxa"/>
            <w:bottom w:w="0" w:type="dxa"/>
            <w:right w:w="108" w:type="dxa"/>
          </w:tblCellMar>
        </w:tblPrEx>
        <w:trPr>
          <w:trHeight w:val="28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序号</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编号</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标的名称</w:t>
            </w:r>
          </w:p>
        </w:tc>
        <w:tc>
          <w:tcPr>
            <w:tcW w:w="5245"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技术参数及要求</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数量</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单位</w:t>
            </w:r>
          </w:p>
        </w:tc>
      </w:tr>
      <w:tr>
        <w:tblPrEx>
          <w:tblCellMar>
            <w:top w:w="0" w:type="dxa"/>
            <w:left w:w="108" w:type="dxa"/>
            <w:bottom w:w="0" w:type="dxa"/>
            <w:right w:w="108" w:type="dxa"/>
          </w:tblCellMar>
        </w:tblPrEx>
        <w:trPr>
          <w:trHeight w:val="5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77</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D001</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微型无线话筒附接收扩大机</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2.4G无线扩音器，功率≥18W；阻抗3Ω，信噪比 ≥70dB；灵敏度600mV±50mV，频响范围80Hz-12000Hz；电源：锂电池≥1200mAh。</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78</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T011</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固定单杠</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四柱三杠，地埋深度600mm，应符合GB/T 19851.1-2005的有关规定。</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付</w:t>
            </w:r>
          </w:p>
        </w:tc>
      </w:tr>
      <w:tr>
        <w:tblPrEx>
          <w:tblCellMar>
            <w:top w:w="0" w:type="dxa"/>
            <w:left w:w="108" w:type="dxa"/>
            <w:bottom w:w="0" w:type="dxa"/>
            <w:right w:w="108" w:type="dxa"/>
          </w:tblCellMar>
        </w:tblPrEx>
        <w:trPr>
          <w:trHeight w:val="557"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79</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T019</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肋木</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体育器材供中、小学体育教学用，为室外地埋固定式。立柱地埋深度600mm，并设预埋件4根，规格Φ12mm，长30mm。 器械立柱与横杆，均作防锈处理，表面作装饰漆层。 三间一付, 应符合GB/T 19851.2-2005的有关规定。</w:t>
            </w:r>
          </w:p>
          <w:p>
            <w:pPr>
              <w:widowControl/>
              <w:spacing w:after="0" w:line="240" w:lineRule="auto"/>
              <w:rPr>
                <w:rFonts w:ascii="仿宋" w:hAnsi="仿宋" w:eastAsia="仿宋" w:cs="宋体"/>
                <w:kern w:val="0"/>
                <w:szCs w:val="21"/>
              </w:rPr>
            </w:pPr>
            <w:r>
              <w:rPr>
                <w:rFonts w:hint="eastAsia" w:ascii="仿宋" w:hAnsi="仿宋" w:eastAsia="仿宋" w:cs="宋体"/>
                <w:kern w:val="0"/>
                <w:szCs w:val="21"/>
              </w:rPr>
              <w:t>规格及材料见表（单位：mm）</w:t>
            </w:r>
            <w:r>
              <w:rPr>
                <w:rFonts w:hint="eastAsia" w:ascii="仿宋" w:hAnsi="仿宋" w:eastAsia="仿宋" w:cs="宋体"/>
                <w:kern w:val="0"/>
                <w:szCs w:val="21"/>
              </w:rPr>
              <w:br w:type="textWrapping"/>
            </w:r>
            <w:r>
              <w:rPr>
                <w:rFonts w:hint="eastAsia" w:ascii="仿宋" w:hAnsi="仿宋" w:eastAsia="仿宋" w:cs="宋体"/>
                <w:kern w:val="0"/>
                <w:szCs w:val="21"/>
              </w:rPr>
              <w:t>序号 结构件名称 单位 数量 规 格 材料</w:t>
            </w:r>
            <w:r>
              <w:rPr>
                <w:rFonts w:hint="eastAsia" w:ascii="仿宋" w:hAnsi="仿宋" w:eastAsia="仿宋" w:cs="宋体"/>
                <w:kern w:val="0"/>
                <w:szCs w:val="21"/>
              </w:rPr>
              <w:br w:type="textWrapping"/>
            </w:r>
            <w:r>
              <w:rPr>
                <w:rFonts w:hint="eastAsia" w:ascii="仿宋" w:hAnsi="仿宋" w:eastAsia="仿宋" w:cs="宋体"/>
                <w:kern w:val="0"/>
                <w:szCs w:val="21"/>
              </w:rPr>
              <w:t>1 立 柱 根 2 3000×55×40 钢管A3壁厚2.5</w:t>
            </w:r>
            <w:r>
              <w:rPr>
                <w:rFonts w:hint="eastAsia" w:ascii="仿宋" w:hAnsi="仿宋" w:eastAsia="仿宋" w:cs="宋体"/>
                <w:kern w:val="0"/>
                <w:szCs w:val="21"/>
              </w:rPr>
              <w:br w:type="textWrapping"/>
            </w:r>
            <w:r>
              <w:rPr>
                <w:rFonts w:hint="eastAsia" w:ascii="仿宋" w:hAnsi="仿宋" w:eastAsia="仿宋" w:cs="宋体"/>
                <w:kern w:val="0"/>
                <w:szCs w:val="21"/>
              </w:rPr>
              <w:t>2 横 杆 根 10 Φ27 长1000 钢管A3壁厚3</w:t>
            </w:r>
            <w:r>
              <w:rPr>
                <w:rFonts w:hint="eastAsia" w:ascii="仿宋" w:hAnsi="仿宋" w:eastAsia="仿宋" w:cs="宋体"/>
                <w:kern w:val="0"/>
                <w:szCs w:val="21"/>
              </w:rPr>
              <w:br w:type="textWrapping"/>
            </w:r>
            <w:r>
              <w:rPr>
                <w:rFonts w:hint="eastAsia" w:ascii="仿宋" w:hAnsi="仿宋" w:eastAsia="仿宋" w:cs="宋体"/>
                <w:kern w:val="0"/>
                <w:szCs w:val="21"/>
              </w:rPr>
              <w:t xml:space="preserve">3 固定螺丝 根 18 M16×35 </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付</w:t>
            </w:r>
          </w:p>
        </w:tc>
      </w:tr>
      <w:tr>
        <w:tblPrEx>
          <w:tblCellMar>
            <w:top w:w="0" w:type="dxa"/>
            <w:left w:w="108" w:type="dxa"/>
            <w:bottom w:w="0" w:type="dxa"/>
            <w:right w:w="108" w:type="dxa"/>
          </w:tblCellMar>
        </w:tblPrEx>
        <w:trPr>
          <w:trHeight w:val="84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80</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T022</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篮球</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 xml:space="preserve">体育器材供中学体育教学及蓝球投掷训练用。球外壳1个，橡胶皮粘合，PU合成革材质。球胆 1个，橡胶气 阀 1个 。 </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只</w:t>
            </w:r>
          </w:p>
        </w:tc>
      </w:tr>
      <w:tr>
        <w:tblPrEx>
          <w:tblCellMar>
            <w:top w:w="0" w:type="dxa"/>
            <w:left w:w="108" w:type="dxa"/>
            <w:bottom w:w="0" w:type="dxa"/>
            <w:right w:w="108" w:type="dxa"/>
          </w:tblCellMar>
        </w:tblPrEx>
        <w:trPr>
          <w:trHeight w:val="16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81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T023</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lang w:bidi="ar"/>
              </w:rPr>
              <w:t>▲</w:t>
            </w:r>
            <w:r>
              <w:rPr>
                <w:rFonts w:hint="eastAsia" w:ascii="仿宋" w:hAnsi="仿宋" w:eastAsia="仿宋" w:cs="宋体"/>
                <w:kern w:val="0"/>
                <w:szCs w:val="21"/>
              </w:rPr>
              <w:t>篮球架1</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供中学体育教学用。户外移动，立柱Ф165mm,壁厚4.0mm,带护套 ,立柱护套高度1800mm,带底座护套，底座长1800mm宽1000mm高320cm单个底座配重400K,兰框离地面高度3.05mm，配5个支撑点，兰板边框为铝合金框架，兰板为钢化玻璃。外观除锈静电喷塑。应符合GB/T19851.3的要求。</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4</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副</w:t>
            </w:r>
          </w:p>
        </w:tc>
      </w:tr>
      <w:tr>
        <w:tblPrEx>
          <w:tblCellMar>
            <w:top w:w="0" w:type="dxa"/>
            <w:left w:w="108" w:type="dxa"/>
            <w:bottom w:w="0" w:type="dxa"/>
            <w:right w:w="108" w:type="dxa"/>
          </w:tblCellMar>
        </w:tblPrEx>
        <w:trPr>
          <w:trHeight w:val="16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82</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T023</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篮球架2</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供中学体育教学用。户外移动，立柱Ф165mm,壁厚4.0mm,带护套 ,立柱护套高度1800mm,带底座护套，底座长1800mm宽1000mm高320cm单个底座配重400K,兰框离地面高度2.65mm，配5个支撑点，兰板边框为铝合金框架，兰板为钢化玻璃。外观除锈静电喷塑。应符合GB/T19851.3的要求。</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4</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副</w:t>
            </w:r>
          </w:p>
        </w:tc>
      </w:tr>
      <w:tr>
        <w:tblPrEx>
          <w:tblCellMar>
            <w:top w:w="0" w:type="dxa"/>
            <w:left w:w="108" w:type="dxa"/>
            <w:bottom w:w="0" w:type="dxa"/>
            <w:right w:w="108" w:type="dxa"/>
          </w:tblCellMar>
        </w:tblPrEx>
        <w:trPr>
          <w:trHeight w:val="841"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83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T024</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排球</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体育器材，供中、小学体育教学使用。少年类排球，贴布骨架结构。 PU合成革材质。软式、不伤手，少年排球。技术参数应符合GB/T 19851.5-2005的有关规定。</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只</w:t>
            </w:r>
          </w:p>
        </w:tc>
      </w:tr>
      <w:tr>
        <w:tblPrEx>
          <w:tblCellMar>
            <w:top w:w="0" w:type="dxa"/>
            <w:left w:w="108" w:type="dxa"/>
            <w:bottom w:w="0" w:type="dxa"/>
            <w:right w:w="108" w:type="dxa"/>
          </w:tblCellMar>
        </w:tblPrEx>
        <w:trPr>
          <w:trHeight w:val="755"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84</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T025</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排球柱</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体育器材，供中小学体育教学排球训练用。两件为1付，移动式。立柱用钢质材料，升降间距为100mm。立柱基座能保证立柱与地面保持垂直。电镀层耐蚀级别6级。</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付</w:t>
            </w:r>
          </w:p>
        </w:tc>
      </w:tr>
      <w:tr>
        <w:tblPrEx>
          <w:tblCellMar>
            <w:top w:w="0" w:type="dxa"/>
            <w:left w:w="108" w:type="dxa"/>
            <w:bottom w:w="0" w:type="dxa"/>
            <w:right w:w="108" w:type="dxa"/>
          </w:tblCellMar>
        </w:tblPrEx>
        <w:trPr>
          <w:trHeight w:val="19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85</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T026</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排球网</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适用于中小学体育教学和训练用排球网。网的基本原材料为棉织物。球网的颜色呈黑绿色、色泽一致、网的周边宽是20mm的白布边。网的顶端有一细绳固定在网柱上，网中央承受200g重物作用下垂20mm。球网缝制牢固，针脚整齐，无跳针.漏针现象。</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张</w:t>
            </w:r>
          </w:p>
        </w:tc>
      </w:tr>
      <w:tr>
        <w:tblPrEx>
          <w:tblCellMar>
            <w:top w:w="0" w:type="dxa"/>
            <w:left w:w="108" w:type="dxa"/>
            <w:bottom w:w="0" w:type="dxa"/>
            <w:right w:w="108" w:type="dxa"/>
          </w:tblCellMar>
        </w:tblPrEx>
        <w:trPr>
          <w:trHeight w:val="84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86</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T028</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足球</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体育器材，供小学体育教学及训练用；球体材料为PU革。球体装一内陷式气阀,作充气用,保证密封性能良好</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只</w:t>
            </w:r>
          </w:p>
        </w:tc>
      </w:tr>
      <w:tr>
        <w:tblPrEx>
          <w:tblCellMar>
            <w:top w:w="0" w:type="dxa"/>
            <w:left w:w="108" w:type="dxa"/>
            <w:bottom w:w="0" w:type="dxa"/>
            <w:right w:w="108" w:type="dxa"/>
          </w:tblCellMar>
        </w:tblPrEx>
        <w:trPr>
          <w:trHeight w:val="140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87</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T029</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足球门</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适用于中、小学的体育教学和训练足球用。3号矩形足球门。下方深度：1500、上方深度：900、内口高：2000、内口宽：3000mm。足球门的主要技术参数，主要材料符合DB51/T288.1-1999第八章和表1、表2的规定。足球门的油漆按DB51/T288.1-199第4章执行。</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付</w:t>
            </w:r>
          </w:p>
        </w:tc>
      </w:tr>
      <w:tr>
        <w:tblPrEx>
          <w:tblCellMar>
            <w:top w:w="0" w:type="dxa"/>
            <w:left w:w="108" w:type="dxa"/>
            <w:bottom w:w="0" w:type="dxa"/>
            <w:right w:w="108" w:type="dxa"/>
          </w:tblCellMar>
        </w:tblPrEx>
        <w:trPr>
          <w:trHeight w:val="16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88</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T030</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足球网</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适用于中小学体育教学和训练用足球网。技术参数根据中、小学足球网门的几何尺寸按DB51/T288.1-1999来定足球网的大、小。网的基本材料为棉织物。球网缝制牢固，针脚整齐、无跳针、漏针现象。</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张</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89</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T031</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乒乓球</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6只/盒。应符合GB/T 20045-2005的有关规定。</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8</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盒</w:t>
            </w:r>
          </w:p>
        </w:tc>
      </w:tr>
      <w:tr>
        <w:tblPrEx>
          <w:tblCellMar>
            <w:top w:w="0" w:type="dxa"/>
            <w:left w:w="108" w:type="dxa"/>
            <w:bottom w:w="0" w:type="dxa"/>
            <w:right w:w="108" w:type="dxa"/>
          </w:tblCellMar>
        </w:tblPrEx>
        <w:trPr>
          <w:trHeight w:val="112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90</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T033</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乒乓球拍</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体育器材供中、小学体育教学乒乓球训练用；结构组件、规格及材料：球拍 1副为2个，最长处长为230mm、最宽处宽为150mm,板厚为7mm，球拍为五合胶木板，表面为高泡塑料。球拍表面粘结高泡塑料,拍体为椭圆形。</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15</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付</w:t>
            </w:r>
          </w:p>
        </w:tc>
      </w:tr>
      <w:tr>
        <w:tblPrEx>
          <w:tblCellMar>
            <w:top w:w="0" w:type="dxa"/>
            <w:left w:w="108" w:type="dxa"/>
            <w:bottom w:w="0" w:type="dxa"/>
            <w:right w:w="108" w:type="dxa"/>
          </w:tblCellMar>
        </w:tblPrEx>
        <w:trPr>
          <w:trHeight w:val="112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91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T034</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乒乓球网架</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适用于中小学体育教学和训练用乒乓球网架。质量等级分高、中、普三种级品。技术参数，材质符合GB7904-87要求，表1执行。网架夹保持稳定性，承受18N拉力不发生转动或位移。</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付</w:t>
            </w:r>
          </w:p>
        </w:tc>
      </w:tr>
      <w:tr>
        <w:tblPrEx>
          <w:tblCellMar>
            <w:top w:w="0" w:type="dxa"/>
            <w:left w:w="108" w:type="dxa"/>
            <w:bottom w:w="0" w:type="dxa"/>
            <w:right w:w="108" w:type="dxa"/>
          </w:tblCellMar>
        </w:tblPrEx>
        <w:trPr>
          <w:trHeight w:val="1235"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92</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T035</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乒乓球网</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体育器材供中、小学体育教学和体育训练用；蜡线粗细均匀，蜡层均匀，网眼误差2mm。</w:t>
            </w:r>
          </w:p>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 xml:space="preserve">乒乓球网：1片 </w:t>
            </w:r>
            <w:r>
              <w:rPr>
                <w:rFonts w:ascii="仿宋" w:hAnsi="仿宋" w:eastAsia="仿宋" w:cs="宋体"/>
                <w:kern w:val="0"/>
                <w:szCs w:val="21"/>
              </w:rPr>
              <w:t xml:space="preserve"> </w:t>
            </w:r>
            <w:r>
              <w:rPr>
                <w:rFonts w:hint="eastAsia" w:ascii="仿宋" w:hAnsi="仿宋" w:eastAsia="仿宋" w:cs="宋体"/>
                <w:kern w:val="0"/>
                <w:szCs w:val="21"/>
              </w:rPr>
              <w:t>规格：长(1830)高(152.5) mm</w:t>
            </w:r>
            <w:r>
              <w:rPr>
                <w:rFonts w:hint="eastAsia" w:ascii="仿宋" w:hAnsi="仿宋" w:eastAsia="仿宋" w:cs="宋体"/>
                <w:kern w:val="0"/>
                <w:szCs w:val="21"/>
              </w:rPr>
              <w:br w:type="textWrapping"/>
            </w:r>
            <w:r>
              <w:rPr>
                <w:rFonts w:hint="eastAsia" w:ascii="仿宋" w:hAnsi="仿宋" w:eastAsia="仿宋" w:cs="宋体"/>
                <w:kern w:val="0"/>
                <w:szCs w:val="21"/>
              </w:rPr>
              <w:t>网眼边：长7.5</w:t>
            </w:r>
            <w:r>
              <w:rPr>
                <w:rFonts w:ascii="仿宋" w:hAnsi="仿宋" w:eastAsia="仿宋" w:cs="宋体"/>
                <w:kern w:val="0"/>
                <w:szCs w:val="21"/>
              </w:rPr>
              <w:t>mm</w:t>
            </w:r>
            <w:r>
              <w:rPr>
                <w:rFonts w:hint="eastAsia" w:ascii="仿宋" w:hAnsi="仿宋" w:eastAsia="仿宋" w:cs="宋体"/>
                <w:kern w:val="0"/>
                <w:szCs w:val="21"/>
              </w:rPr>
              <w:t xml:space="preserve"> </w:t>
            </w:r>
            <w:r>
              <w:rPr>
                <w:rFonts w:ascii="仿宋" w:hAnsi="仿宋" w:eastAsia="仿宋" w:cs="宋体"/>
                <w:kern w:val="0"/>
                <w:szCs w:val="21"/>
              </w:rPr>
              <w:t xml:space="preserve"> </w:t>
            </w:r>
            <w:r>
              <w:rPr>
                <w:rFonts w:hint="eastAsia" w:ascii="仿宋" w:hAnsi="仿宋" w:eastAsia="仿宋" w:cs="宋体"/>
                <w:kern w:val="0"/>
                <w:szCs w:val="21"/>
              </w:rPr>
              <w:t xml:space="preserve">白边宽度：15mm </w:t>
            </w:r>
            <w:r>
              <w:rPr>
                <w:rFonts w:ascii="仿宋" w:hAnsi="仿宋" w:eastAsia="仿宋" w:cs="宋体"/>
                <w:kern w:val="0"/>
                <w:szCs w:val="21"/>
              </w:rPr>
              <w:t xml:space="preserve"> </w:t>
            </w:r>
            <w:r>
              <w:rPr>
                <w:rFonts w:hint="eastAsia" w:ascii="仿宋" w:hAnsi="仿宋" w:eastAsia="仿宋" w:cs="宋体"/>
                <w:kern w:val="0"/>
                <w:szCs w:val="21"/>
              </w:rPr>
              <w:t>维纶蜡线。</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张</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93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T036</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羽毛球</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12只/盒。鹅毛，比赛专用球。应符合GB/T 11881-2006的要求。</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盒</w:t>
            </w:r>
          </w:p>
        </w:tc>
      </w:tr>
      <w:tr>
        <w:tblPrEx>
          <w:tblCellMar>
            <w:top w:w="0" w:type="dxa"/>
            <w:left w:w="108" w:type="dxa"/>
            <w:bottom w:w="0" w:type="dxa"/>
            <w:right w:w="108" w:type="dxa"/>
          </w:tblCellMar>
        </w:tblPrEx>
        <w:trPr>
          <w:trHeight w:val="140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94</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T037</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羽毛球拍</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体育器材供中、小学体育教学羽毛球训练用；结构组件、规格及材料：羽毛球拍长660mm、宽200mm、牛筋线。球拍喷漆均匀,经纬线坚固,网眼大小均匀,误差0.5mm。其它符合中华人民共和国专业标准ZBY56001－87《羽毛球拍》有关规定。</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付</w:t>
            </w:r>
          </w:p>
        </w:tc>
      </w:tr>
      <w:tr>
        <w:tblPrEx>
          <w:tblCellMar>
            <w:top w:w="0" w:type="dxa"/>
            <w:left w:w="108" w:type="dxa"/>
            <w:bottom w:w="0" w:type="dxa"/>
            <w:right w:w="108" w:type="dxa"/>
          </w:tblCellMar>
        </w:tblPrEx>
        <w:trPr>
          <w:trHeight w:val="140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95</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T038</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羽毛球柱</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适用于中小学体育教学和训练用羽毛球柱。羽毛球柱，移动式。技术参数：主要材料立柱Φ47mm钢管.拉线滚轮.网钩，底座组成。柱高1550mm；应符合GB/T 19851.13-2007的要求。</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71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96</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T039</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羽毛球网</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体育器材,供中小学体育教学及训练用；蜡层均匀,蜡线粗细均匀,经纬误差4.5mm网绳加白蜡浸制。结构组件.羽毛球网：1付 网体700x6000mm</w:t>
            </w:r>
            <w:r>
              <w:rPr>
                <w:rFonts w:ascii="仿宋" w:hAnsi="仿宋" w:eastAsia="仿宋" w:cs="宋体"/>
                <w:kern w:val="0"/>
                <w:szCs w:val="21"/>
              </w:rPr>
              <w:t xml:space="preserve">  </w:t>
            </w:r>
            <w:r>
              <w:rPr>
                <w:rFonts w:hint="eastAsia" w:ascii="仿宋" w:hAnsi="仿宋" w:eastAsia="仿宋" w:cs="宋体"/>
                <w:kern w:val="0"/>
                <w:szCs w:val="21"/>
              </w:rPr>
              <w:t>网眼25x25</w:t>
            </w:r>
            <w:r>
              <w:rPr>
                <w:rFonts w:ascii="仿宋" w:hAnsi="仿宋" w:eastAsia="仿宋" w:cs="宋体"/>
                <w:kern w:val="0"/>
                <w:szCs w:val="21"/>
              </w:rPr>
              <w:t>mm</w:t>
            </w:r>
            <w:r>
              <w:rPr>
                <w:rFonts w:hint="eastAsia" w:ascii="仿宋" w:hAnsi="仿宋" w:eastAsia="仿宋" w:cs="宋体"/>
                <w:kern w:val="0"/>
                <w:szCs w:val="21"/>
              </w:rPr>
              <w:t xml:space="preserve"> </w:t>
            </w:r>
            <w:r>
              <w:rPr>
                <w:rFonts w:ascii="仿宋" w:hAnsi="仿宋" w:eastAsia="仿宋" w:cs="宋体"/>
                <w:kern w:val="0"/>
                <w:szCs w:val="21"/>
              </w:rPr>
              <w:t xml:space="preserve"> </w:t>
            </w:r>
            <w:r>
              <w:rPr>
                <w:rFonts w:hint="eastAsia" w:ascii="仿宋" w:hAnsi="仿宋" w:eastAsia="仿宋" w:cs="宋体"/>
                <w:kern w:val="0"/>
                <w:szCs w:val="21"/>
              </w:rPr>
              <w:t>蜡线。</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张</w:t>
            </w:r>
          </w:p>
        </w:tc>
      </w:tr>
      <w:tr>
        <w:tblPrEx>
          <w:tblCellMar>
            <w:top w:w="0" w:type="dxa"/>
            <w:left w:w="108" w:type="dxa"/>
            <w:bottom w:w="0" w:type="dxa"/>
            <w:right w:w="108" w:type="dxa"/>
          </w:tblCellMar>
        </w:tblPrEx>
        <w:trPr>
          <w:trHeight w:val="84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97</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T040</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实心球</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体育器材，供小学体育教学训练用；结构组件、规格及材料：球体 1个，质量1Kg，内芯用白泥捏成圆形后,表面用猪皮分红黑色缝合。</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25</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只</w:t>
            </w:r>
          </w:p>
        </w:tc>
      </w:tr>
      <w:tr>
        <w:tblPrEx>
          <w:tblCellMar>
            <w:top w:w="0" w:type="dxa"/>
            <w:left w:w="108" w:type="dxa"/>
            <w:bottom w:w="0" w:type="dxa"/>
            <w:right w:w="108" w:type="dxa"/>
          </w:tblCellMar>
        </w:tblPrEx>
        <w:trPr>
          <w:trHeight w:val="5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98</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T041</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打气泵</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电动；电动打气泵（一台）、高压充气袋（一根）、充气针（一套）、按国家有关标准。</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台</w:t>
            </w:r>
          </w:p>
        </w:tc>
      </w:tr>
      <w:tr>
        <w:tblPrEx>
          <w:tblCellMar>
            <w:top w:w="0" w:type="dxa"/>
            <w:left w:w="108" w:type="dxa"/>
            <w:bottom w:w="0" w:type="dxa"/>
            <w:right w:w="108" w:type="dxa"/>
          </w:tblCellMar>
        </w:tblPrEx>
        <w:trPr>
          <w:trHeight w:val="84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99</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T045</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拨河绳</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供中小学体育教学及锻练用。该绳用多股麻绳绞合成，直径为25mm，长度28m的长绳，两端结孔，中间套以红色标记。该绳的拉力强度5000Kg。</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根</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100</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T048</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弹跳模高计</w:t>
            </w:r>
          </w:p>
        </w:tc>
        <w:tc>
          <w:tcPr>
            <w:tcW w:w="5245" w:type="dxa"/>
            <w:tcBorders>
              <w:top w:val="nil"/>
              <w:left w:val="nil"/>
              <w:bottom w:val="single" w:color="auto" w:sz="4" w:space="0"/>
              <w:right w:val="single" w:color="auto" w:sz="4" w:space="0"/>
            </w:tcBorders>
            <w:shd w:val="clear" w:color="auto" w:fill="auto"/>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高度 800mm。</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4</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台</w:t>
            </w:r>
          </w:p>
        </w:tc>
      </w:tr>
      <w:tr>
        <w:tblPrEx>
          <w:tblCellMar>
            <w:top w:w="0" w:type="dxa"/>
            <w:left w:w="108" w:type="dxa"/>
            <w:bottom w:w="0" w:type="dxa"/>
            <w:right w:w="108" w:type="dxa"/>
          </w:tblCellMar>
        </w:tblPrEx>
        <w:trPr>
          <w:trHeight w:val="280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101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T050</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云梯</w:t>
            </w:r>
          </w:p>
        </w:tc>
        <w:tc>
          <w:tcPr>
            <w:tcW w:w="5245"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 xml:space="preserve">体育器械,中小学体育教学和臂力训练用；所有金属件均作防锈处理，并加涂覆层。结构组件、规格及材料 (单位：mm) </w:t>
            </w:r>
            <w:r>
              <w:rPr>
                <w:rFonts w:hint="eastAsia" w:ascii="仿宋" w:hAnsi="仿宋" w:eastAsia="仿宋" w:cs="宋体"/>
                <w:kern w:val="0"/>
                <w:szCs w:val="21"/>
              </w:rPr>
              <w:br w:type="textWrapping"/>
            </w:r>
            <w:r>
              <w:rPr>
                <w:rFonts w:hint="eastAsia" w:ascii="仿宋" w:hAnsi="仿宋" w:eastAsia="仿宋" w:cs="宋体"/>
                <w:kern w:val="0"/>
                <w:szCs w:val="21"/>
              </w:rPr>
              <w:t>平梯长 4200 立柱4根横梁2根均用Φ60钢, 壁厚5的材料制成</w:t>
            </w:r>
            <w:r>
              <w:rPr>
                <w:rFonts w:hint="eastAsia" w:ascii="仿宋" w:hAnsi="仿宋" w:eastAsia="仿宋" w:cs="宋体"/>
                <w:kern w:val="0"/>
                <w:szCs w:val="21"/>
              </w:rPr>
              <w:br w:type="textWrapping"/>
            </w:r>
            <w:r>
              <w:rPr>
                <w:rFonts w:hint="eastAsia" w:ascii="仿宋" w:hAnsi="仿宋" w:eastAsia="仿宋" w:cs="宋体"/>
                <w:kern w:val="0"/>
                <w:szCs w:val="21"/>
              </w:rPr>
              <w:t xml:space="preserve">平梯横杠内侧间距 450 </w:t>
            </w:r>
            <w:r>
              <w:rPr>
                <w:rFonts w:hint="eastAsia" w:ascii="仿宋" w:hAnsi="仿宋" w:eastAsia="仿宋" w:cs="宋体"/>
                <w:kern w:val="0"/>
                <w:szCs w:val="21"/>
              </w:rPr>
              <w:br w:type="textWrapping"/>
            </w:r>
            <w:r>
              <w:rPr>
                <w:rFonts w:hint="eastAsia" w:ascii="仿宋" w:hAnsi="仿宋" w:eastAsia="仿宋" w:cs="宋体"/>
                <w:kern w:val="0"/>
                <w:szCs w:val="21"/>
              </w:rPr>
              <w:t xml:space="preserve">立柱高度 2000 </w:t>
            </w:r>
            <w:r>
              <w:rPr>
                <w:rFonts w:hint="eastAsia" w:ascii="仿宋" w:hAnsi="仿宋" w:eastAsia="仿宋" w:cs="宋体"/>
                <w:kern w:val="0"/>
                <w:szCs w:val="21"/>
              </w:rPr>
              <w:br w:type="textWrapping"/>
            </w:r>
            <w:r>
              <w:rPr>
                <w:rFonts w:hint="eastAsia" w:ascii="仿宋" w:hAnsi="仿宋" w:eastAsia="仿宋" w:cs="宋体"/>
                <w:kern w:val="0"/>
                <w:szCs w:val="21"/>
              </w:rPr>
              <w:t xml:space="preserve">横梁(管) 与两端立柱焊接牢固 </w:t>
            </w:r>
            <w:r>
              <w:rPr>
                <w:rFonts w:hint="eastAsia" w:ascii="仿宋" w:hAnsi="仿宋" w:eastAsia="仿宋" w:cs="宋体"/>
                <w:kern w:val="0"/>
                <w:szCs w:val="21"/>
              </w:rPr>
              <w:br w:type="textWrapping"/>
            </w:r>
            <w:r>
              <w:rPr>
                <w:rFonts w:hint="eastAsia" w:ascii="仿宋" w:hAnsi="仿宋" w:eastAsia="仿宋" w:cs="宋体"/>
                <w:kern w:val="0"/>
                <w:szCs w:val="21"/>
              </w:rPr>
              <w:t>梯    步 每端4梯，间距250,顶部梯步，每200间距设一步 用Φ34壁厚3的钢管制成</w:t>
            </w:r>
            <w:r>
              <w:rPr>
                <w:rFonts w:hint="eastAsia" w:ascii="仿宋" w:hAnsi="仿宋" w:eastAsia="仿宋" w:cs="宋体"/>
                <w:kern w:val="0"/>
                <w:szCs w:val="21"/>
              </w:rPr>
              <w:br w:type="textWrapping"/>
            </w:r>
            <w:r>
              <w:rPr>
                <w:rFonts w:hint="eastAsia" w:ascii="仿宋" w:hAnsi="仿宋" w:eastAsia="仿宋" w:cs="宋体"/>
                <w:kern w:val="0"/>
                <w:szCs w:val="21"/>
              </w:rPr>
              <w:t>立柱固定 采用地埋式,深度600，并设预埋件。</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架</w:t>
            </w:r>
          </w:p>
        </w:tc>
      </w:tr>
    </w:tbl>
    <w:p/>
    <w:p>
      <w:r>
        <w:rPr>
          <w:rFonts w:hint="eastAsia"/>
        </w:rPr>
        <w:t>【四】小学音乐</w:t>
      </w:r>
    </w:p>
    <w:tbl>
      <w:tblPr>
        <w:tblStyle w:val="23"/>
        <w:tblW w:w="9639" w:type="dxa"/>
        <w:tblInd w:w="-572" w:type="dxa"/>
        <w:tblLayout w:type="fixed"/>
        <w:tblCellMar>
          <w:top w:w="0" w:type="dxa"/>
          <w:left w:w="108" w:type="dxa"/>
          <w:bottom w:w="0" w:type="dxa"/>
          <w:right w:w="108" w:type="dxa"/>
        </w:tblCellMar>
      </w:tblPr>
      <w:tblGrid>
        <w:gridCol w:w="709"/>
        <w:gridCol w:w="1371"/>
        <w:gridCol w:w="1181"/>
        <w:gridCol w:w="4995"/>
        <w:gridCol w:w="696"/>
        <w:gridCol w:w="687"/>
      </w:tblGrid>
      <w:tr>
        <w:tblPrEx>
          <w:tblCellMar>
            <w:top w:w="0" w:type="dxa"/>
            <w:left w:w="108" w:type="dxa"/>
            <w:bottom w:w="0" w:type="dxa"/>
            <w:right w:w="108" w:type="dxa"/>
          </w:tblCellMar>
        </w:tblPrEx>
        <w:trPr>
          <w:trHeight w:val="28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b/>
                <w:bCs/>
                <w:kern w:val="0"/>
                <w:szCs w:val="21"/>
              </w:rPr>
            </w:pPr>
            <w:r>
              <w:rPr>
                <w:rFonts w:hint="eastAsia" w:ascii="仿宋" w:hAnsi="仿宋" w:eastAsia="仿宋" w:cs="宋体"/>
                <w:b/>
                <w:bCs/>
                <w:kern w:val="0"/>
                <w:szCs w:val="21"/>
              </w:rPr>
              <w:t>序号</w:t>
            </w:r>
          </w:p>
        </w:tc>
        <w:tc>
          <w:tcPr>
            <w:tcW w:w="137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b/>
                <w:bCs/>
                <w:kern w:val="0"/>
                <w:szCs w:val="21"/>
              </w:rPr>
            </w:pPr>
            <w:r>
              <w:rPr>
                <w:rFonts w:hint="eastAsia" w:ascii="仿宋" w:hAnsi="仿宋" w:eastAsia="仿宋" w:cs="宋体"/>
                <w:b/>
                <w:bCs/>
                <w:kern w:val="0"/>
                <w:szCs w:val="21"/>
              </w:rPr>
              <w:t>分类代码</w:t>
            </w:r>
          </w:p>
        </w:tc>
        <w:tc>
          <w:tcPr>
            <w:tcW w:w="118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b/>
                <w:bCs/>
                <w:kern w:val="0"/>
                <w:szCs w:val="21"/>
              </w:rPr>
            </w:pPr>
            <w:r>
              <w:rPr>
                <w:rFonts w:hint="eastAsia" w:ascii="仿宋" w:hAnsi="仿宋" w:eastAsia="仿宋" w:cs="宋体"/>
                <w:b/>
                <w:bCs/>
                <w:kern w:val="0"/>
                <w:szCs w:val="21"/>
              </w:rPr>
              <w:t>标的名称</w:t>
            </w:r>
          </w:p>
        </w:tc>
        <w:tc>
          <w:tcPr>
            <w:tcW w:w="4995"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b/>
                <w:bCs/>
                <w:kern w:val="0"/>
                <w:szCs w:val="21"/>
              </w:rPr>
            </w:pPr>
            <w:r>
              <w:rPr>
                <w:rFonts w:hint="eastAsia" w:ascii="仿宋" w:hAnsi="仿宋" w:eastAsia="仿宋" w:cs="宋体"/>
                <w:b/>
                <w:bCs/>
                <w:kern w:val="0"/>
                <w:szCs w:val="21"/>
              </w:rPr>
              <w:t>技术参数及要求</w:t>
            </w:r>
          </w:p>
        </w:tc>
        <w:tc>
          <w:tcPr>
            <w:tcW w:w="69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b/>
                <w:bCs/>
                <w:kern w:val="0"/>
                <w:szCs w:val="21"/>
              </w:rPr>
            </w:pPr>
            <w:r>
              <w:rPr>
                <w:rFonts w:hint="eastAsia" w:ascii="仿宋" w:hAnsi="仿宋" w:eastAsia="仿宋" w:cs="宋体"/>
                <w:b/>
                <w:bCs/>
                <w:kern w:val="0"/>
                <w:szCs w:val="21"/>
              </w:rPr>
              <w:t>数量</w:t>
            </w:r>
          </w:p>
        </w:tc>
        <w:tc>
          <w:tcPr>
            <w:tcW w:w="687"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b/>
                <w:bCs/>
                <w:kern w:val="0"/>
                <w:szCs w:val="21"/>
              </w:rPr>
            </w:pPr>
            <w:r>
              <w:rPr>
                <w:rFonts w:hint="eastAsia" w:ascii="仿宋" w:hAnsi="仿宋" w:eastAsia="仿宋" w:cs="宋体"/>
                <w:b/>
                <w:bCs/>
                <w:kern w:val="0"/>
                <w:szCs w:val="21"/>
              </w:rPr>
              <w:t>单位</w:t>
            </w:r>
          </w:p>
        </w:tc>
      </w:tr>
      <w:tr>
        <w:tblPrEx>
          <w:tblCellMar>
            <w:top w:w="0" w:type="dxa"/>
            <w:left w:w="108" w:type="dxa"/>
            <w:bottom w:w="0" w:type="dxa"/>
            <w:right w:w="108" w:type="dxa"/>
          </w:tblCellMar>
        </w:tblPrEx>
        <w:trPr>
          <w:trHeight w:val="3534"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102</w:t>
            </w:r>
          </w:p>
        </w:tc>
        <w:tc>
          <w:tcPr>
            <w:tcW w:w="137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30815400110</w:t>
            </w:r>
          </w:p>
        </w:tc>
        <w:tc>
          <w:tcPr>
            <w:tcW w:w="118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钢琴</w:t>
            </w:r>
          </w:p>
        </w:tc>
        <w:tc>
          <w:tcPr>
            <w:tcW w:w="4995"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满足教学使用，立式钢琴，123高度或以上，配置钢琴凳，音质低音浑厚、中音柔和、高音清脆明亮、全音域统一连贯，四度、五度谐和、八度纯净，无沙音、杂音、哑音。外壳尺寸：（长×宽×高）不低于1500×600×1230mm，弯腿工艺设计 ；铁板：采用传统砂铸铁板工艺，音色纯正。音板：采用加强型实木音板。琴弦：采用钢线，音色纯净，音准稳定。弦码：采用色木多层板制作，音频振动响应精确、迅速。弦轴板：由多层（不低于17层）硬木交错拼接而成，为弦轴钉提供稳固的握钉力。弦槌：采用国产羊毛毡并应用传统工艺制作的弦槌。制音器：采用羊毛制造，制音效果好。转击器、联动杆、制音杆：采用坚硬细密的木材制作，强度高韧性大、运动灵敏、观感典雅。顶杆：采用高强度实木材质，不易磨损，自润性能佳。琴键：采用亚光黑键，色泽和质感、触感舒适自然。采用十二平均律制，音准稳定性≤4音分；白键下沉深度不高于10.2mm-11.0mm，白键下沉偏差不高于0.8mm；琴键下降负荷不高于0.46N-0.67N，回升负荷不高于0.15N-0.39N,相邻两键负荷差不高于0.10N,；中盘底面距地面距离约为623mm。缓降器：采用内置键盖缓降器，安全耐用。脚轮：采用单轮脚轮，具有转动灵活、推行顺畅、噪声低的特点。外壳涂饰：采用不饱和树脂环保漆静电喷涂。</w:t>
            </w:r>
          </w:p>
        </w:tc>
        <w:tc>
          <w:tcPr>
            <w:tcW w:w="696"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11</w:t>
            </w:r>
          </w:p>
        </w:tc>
        <w:tc>
          <w:tcPr>
            <w:tcW w:w="687"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台</w:t>
            </w:r>
          </w:p>
        </w:tc>
      </w:tr>
      <w:tr>
        <w:tblPrEx>
          <w:tblCellMar>
            <w:top w:w="0" w:type="dxa"/>
            <w:left w:w="108" w:type="dxa"/>
            <w:bottom w:w="0" w:type="dxa"/>
            <w:right w:w="108" w:type="dxa"/>
          </w:tblCellMar>
        </w:tblPrEx>
        <w:trPr>
          <w:trHeight w:val="19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103</w:t>
            </w:r>
          </w:p>
        </w:tc>
        <w:tc>
          <w:tcPr>
            <w:tcW w:w="137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30815600110</w:t>
            </w:r>
          </w:p>
        </w:tc>
        <w:tc>
          <w:tcPr>
            <w:tcW w:w="118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lang w:bidi="ar"/>
              </w:rPr>
              <w:t>▲</w:t>
            </w:r>
            <w:r>
              <w:rPr>
                <w:rFonts w:hint="eastAsia" w:ascii="仿宋" w:hAnsi="仿宋" w:eastAsia="仿宋" w:cs="宋体"/>
                <w:kern w:val="0"/>
                <w:szCs w:val="21"/>
              </w:rPr>
              <w:t>指挥台（含指挥棒）</w:t>
            </w:r>
          </w:p>
        </w:tc>
        <w:tc>
          <w:tcPr>
            <w:tcW w:w="4995"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木制,谱台板尺寸：67*44c</w:t>
            </w:r>
            <w:r>
              <w:rPr>
                <w:rFonts w:ascii="仿宋" w:hAnsi="仿宋" w:eastAsia="仿宋" w:cs="宋体"/>
                <w:kern w:val="0"/>
                <w:szCs w:val="21"/>
              </w:rPr>
              <w:t>m</w:t>
            </w:r>
            <w:r>
              <w:rPr>
                <w:rFonts w:hint="eastAsia" w:ascii="仿宋" w:hAnsi="仿宋" w:eastAsia="仿宋" w:cs="宋体"/>
                <w:kern w:val="0"/>
                <w:szCs w:val="21"/>
              </w:rPr>
              <w:t>；二层台板尺寸：30*44 c</w:t>
            </w:r>
            <w:r>
              <w:rPr>
                <w:rFonts w:ascii="仿宋" w:hAnsi="仿宋" w:eastAsia="仿宋" w:cs="宋体"/>
                <w:kern w:val="0"/>
                <w:szCs w:val="21"/>
              </w:rPr>
              <w:t>m</w:t>
            </w:r>
            <w:r>
              <w:rPr>
                <w:rFonts w:hint="eastAsia" w:ascii="仿宋" w:hAnsi="仿宋" w:eastAsia="仿宋" w:cs="宋体"/>
                <w:kern w:val="0"/>
                <w:szCs w:val="21"/>
              </w:rPr>
              <w:t>；谱台板高度尺寸：80-120 c</w:t>
            </w:r>
            <w:r>
              <w:rPr>
                <w:rFonts w:ascii="仿宋" w:hAnsi="仿宋" w:eastAsia="仿宋" w:cs="宋体"/>
                <w:kern w:val="0"/>
                <w:szCs w:val="21"/>
              </w:rPr>
              <w:t>m</w:t>
            </w:r>
            <w:r>
              <w:rPr>
                <w:rFonts w:hint="eastAsia" w:ascii="仿宋" w:hAnsi="仿宋" w:eastAsia="仿宋" w:cs="宋体"/>
                <w:kern w:val="0"/>
                <w:szCs w:val="21"/>
              </w:rPr>
              <w:t>；护栏高度尺寸：高93 c</w:t>
            </w:r>
            <w:r>
              <w:rPr>
                <w:rFonts w:ascii="仿宋" w:hAnsi="仿宋" w:eastAsia="仿宋" w:cs="宋体"/>
                <w:kern w:val="0"/>
                <w:szCs w:val="21"/>
              </w:rPr>
              <w:t>m</w:t>
            </w:r>
            <w:r>
              <w:rPr>
                <w:rFonts w:hint="eastAsia" w:ascii="仿宋" w:hAnsi="仿宋" w:eastAsia="仿宋" w:cs="宋体"/>
                <w:kern w:val="0"/>
                <w:szCs w:val="21"/>
              </w:rPr>
              <w:t xml:space="preserve"> 宽：76 c</w:t>
            </w:r>
            <w:r>
              <w:rPr>
                <w:rFonts w:ascii="仿宋" w:hAnsi="仿宋" w:eastAsia="仿宋" w:cs="宋体"/>
                <w:kern w:val="0"/>
                <w:szCs w:val="21"/>
              </w:rPr>
              <w:t>m</w:t>
            </w:r>
            <w:r>
              <w:rPr>
                <w:rFonts w:hint="eastAsia" w:ascii="仿宋" w:hAnsi="仿宋" w:eastAsia="仿宋" w:cs="宋体"/>
                <w:kern w:val="0"/>
                <w:szCs w:val="21"/>
              </w:rPr>
              <w:t>；站台尺寸：100*125*26 c</w:t>
            </w:r>
            <w:r>
              <w:rPr>
                <w:rFonts w:ascii="仿宋" w:hAnsi="仿宋" w:eastAsia="仿宋" w:cs="宋体"/>
                <w:kern w:val="0"/>
                <w:szCs w:val="21"/>
              </w:rPr>
              <w:t>m</w:t>
            </w:r>
            <w:r>
              <w:rPr>
                <w:rFonts w:hint="eastAsia" w:ascii="仿宋" w:hAnsi="仿宋" w:eastAsia="仿宋" w:cs="宋体"/>
                <w:kern w:val="0"/>
                <w:szCs w:val="21"/>
              </w:rPr>
              <w:t>。便携可调/折叠式指挥台材质为纯实木，结实耐用，无噪音.站台表面铺有红地毯</w:t>
            </w:r>
            <w:r>
              <w:rPr>
                <w:rFonts w:ascii="仿宋" w:hAnsi="仿宋" w:eastAsia="仿宋" w:cs="宋体"/>
                <w:kern w:val="0"/>
                <w:szCs w:val="21"/>
              </w:rPr>
              <w:t>,</w:t>
            </w:r>
            <w:r>
              <w:rPr>
                <w:rFonts w:hint="eastAsia" w:ascii="仿宋" w:hAnsi="仿宋" w:eastAsia="仿宋" w:cs="宋体"/>
                <w:kern w:val="0"/>
                <w:szCs w:val="21"/>
              </w:rPr>
              <w:t>站台内部为钢制结构，站台带有安全护栏。谱台和二层板台也都为纯实木材质。</w:t>
            </w:r>
          </w:p>
        </w:tc>
        <w:tc>
          <w:tcPr>
            <w:tcW w:w="696"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6</w:t>
            </w:r>
          </w:p>
        </w:tc>
        <w:tc>
          <w:tcPr>
            <w:tcW w:w="687"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401"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104</w:t>
            </w:r>
          </w:p>
        </w:tc>
        <w:tc>
          <w:tcPr>
            <w:tcW w:w="137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30815600210</w:t>
            </w:r>
          </w:p>
        </w:tc>
        <w:tc>
          <w:tcPr>
            <w:tcW w:w="118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合唱台</w:t>
            </w:r>
          </w:p>
        </w:tc>
        <w:tc>
          <w:tcPr>
            <w:tcW w:w="4995"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实木制。三阶，每阶高度差20cm，每阶宽度 40cm，长度1200cm.内有安全钢架结构。</w:t>
            </w:r>
          </w:p>
        </w:tc>
        <w:tc>
          <w:tcPr>
            <w:tcW w:w="696"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24</w:t>
            </w:r>
          </w:p>
        </w:tc>
        <w:tc>
          <w:tcPr>
            <w:tcW w:w="687"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组</w:t>
            </w:r>
          </w:p>
        </w:tc>
      </w:tr>
      <w:tr>
        <w:tblPrEx>
          <w:tblCellMar>
            <w:top w:w="0" w:type="dxa"/>
            <w:left w:w="108" w:type="dxa"/>
            <w:bottom w:w="0" w:type="dxa"/>
            <w:right w:w="108" w:type="dxa"/>
          </w:tblCellMar>
        </w:tblPrEx>
        <w:trPr>
          <w:trHeight w:val="1263"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105</w:t>
            </w:r>
          </w:p>
        </w:tc>
        <w:tc>
          <w:tcPr>
            <w:tcW w:w="137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30203000802</w:t>
            </w:r>
          </w:p>
        </w:tc>
        <w:tc>
          <w:tcPr>
            <w:tcW w:w="118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音乐节拍器</w:t>
            </w:r>
          </w:p>
        </w:tc>
        <w:tc>
          <w:tcPr>
            <w:tcW w:w="4995"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材料：注塑外壳 纯金属机芯；机芯：金属机芯</w:t>
            </w:r>
            <w:r>
              <w:rPr>
                <w:rFonts w:hint="eastAsia" w:ascii="仿宋" w:hAnsi="仿宋" w:eastAsia="仿宋" w:cs="宋体"/>
                <w:kern w:val="0"/>
                <w:szCs w:val="21"/>
              </w:rPr>
              <w:br w:type="textWrapping"/>
            </w:r>
            <w:r>
              <w:rPr>
                <w:rFonts w:hint="eastAsia" w:ascii="仿宋" w:hAnsi="仿宋" w:eastAsia="仿宋" w:cs="宋体"/>
                <w:kern w:val="0"/>
                <w:szCs w:val="21"/>
              </w:rPr>
              <w:t>模式：传统示拍模式；速度：40~208拍/分；节拍：0、2、3、4、6；误差：速度误差&lt;1%；特色：纯金属机芯结构，精准、稳定、音亮、操作简便。</w:t>
            </w:r>
          </w:p>
        </w:tc>
        <w:tc>
          <w:tcPr>
            <w:tcW w:w="696"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6</w:t>
            </w:r>
          </w:p>
        </w:tc>
        <w:tc>
          <w:tcPr>
            <w:tcW w:w="687"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416"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106</w:t>
            </w:r>
          </w:p>
        </w:tc>
        <w:tc>
          <w:tcPr>
            <w:tcW w:w="137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30307200102</w:t>
            </w:r>
          </w:p>
        </w:tc>
        <w:tc>
          <w:tcPr>
            <w:tcW w:w="118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音叉</w:t>
            </w:r>
          </w:p>
        </w:tc>
        <w:tc>
          <w:tcPr>
            <w:tcW w:w="4995"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供中小学音乐教学用，440Hz。由叉股和手柄组成，手柄截面为圆形或方形。叉股采用 6的碳素钢制作，股平直段长90±1mm，叉股间距50±1mm，手柄长35±3mm。音叉频率为440Hz，频率误差为0.8Hz（在20℃时）。音叉外表应镀铬，光亮无毛刺，无裂纹。音叉击发以此共振音响持续时间不少于10s，发音清脆悦耳。</w:t>
            </w:r>
          </w:p>
        </w:tc>
        <w:tc>
          <w:tcPr>
            <w:tcW w:w="696"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6</w:t>
            </w:r>
          </w:p>
        </w:tc>
        <w:tc>
          <w:tcPr>
            <w:tcW w:w="687"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84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107</w:t>
            </w:r>
          </w:p>
        </w:tc>
        <w:tc>
          <w:tcPr>
            <w:tcW w:w="137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50515000100</w:t>
            </w:r>
          </w:p>
        </w:tc>
        <w:tc>
          <w:tcPr>
            <w:tcW w:w="118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音乐教育教学相关图书及杂志</w:t>
            </w:r>
          </w:p>
        </w:tc>
        <w:tc>
          <w:tcPr>
            <w:tcW w:w="4995"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音乐基本理论、音乐教育学、心理学、音乐教学 设计以及各种音乐专业杂志等。</w:t>
            </w:r>
          </w:p>
        </w:tc>
        <w:tc>
          <w:tcPr>
            <w:tcW w:w="696"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240</w:t>
            </w:r>
          </w:p>
        </w:tc>
        <w:tc>
          <w:tcPr>
            <w:tcW w:w="687"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本</w:t>
            </w:r>
          </w:p>
        </w:tc>
      </w:tr>
      <w:tr>
        <w:tblPrEx>
          <w:tblCellMar>
            <w:top w:w="0" w:type="dxa"/>
            <w:left w:w="108" w:type="dxa"/>
            <w:bottom w:w="0" w:type="dxa"/>
            <w:right w:w="108" w:type="dxa"/>
          </w:tblCellMar>
        </w:tblPrEx>
        <w:trPr>
          <w:trHeight w:val="2258"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108</w:t>
            </w:r>
          </w:p>
        </w:tc>
        <w:tc>
          <w:tcPr>
            <w:tcW w:w="137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50515000200</w:t>
            </w:r>
          </w:p>
        </w:tc>
        <w:tc>
          <w:tcPr>
            <w:tcW w:w="118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小学音乐教学挂图</w:t>
            </w:r>
          </w:p>
        </w:tc>
        <w:tc>
          <w:tcPr>
            <w:tcW w:w="4995"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产品规格：1.2015全新改版，铜版纸彩色印刷，规格：740×520mm，全对开。小学音乐挂图含音乐家挂图25张，乐器挂图35张，识谱知识挂图10张，教育部教育装备研究与发展中心研发（监制）。含中国音乐家：赵元任、刘天华、贺渌汀、黄自、冼星海、丁善德、聂耳、马思聪、外国音乐家；翰</w:t>
            </w:r>
            <w:r>
              <w:rPr>
                <w:rFonts w:hint="eastAsia" w:ascii="微软雅黑" w:hAnsi="微软雅黑" w:eastAsia="微软雅黑" w:cs="微软雅黑"/>
                <w:kern w:val="0"/>
                <w:szCs w:val="21"/>
              </w:rPr>
              <w:t>•</w:t>
            </w:r>
            <w:r>
              <w:rPr>
                <w:rFonts w:hint="eastAsia" w:ascii="仿宋" w:hAnsi="仿宋" w:eastAsia="仿宋" w:cs="宋体"/>
                <w:kern w:val="0"/>
                <w:szCs w:val="21"/>
              </w:rPr>
              <w:t>塞巴斯蒂安</w:t>
            </w:r>
            <w:r>
              <w:rPr>
                <w:rFonts w:hint="eastAsia" w:ascii="微软雅黑" w:hAnsi="微软雅黑" w:eastAsia="微软雅黑" w:cs="微软雅黑"/>
                <w:kern w:val="0"/>
                <w:szCs w:val="21"/>
              </w:rPr>
              <w:t>•</w:t>
            </w:r>
            <w:r>
              <w:rPr>
                <w:rFonts w:hint="eastAsia" w:ascii="仿宋" w:hAnsi="仿宋" w:eastAsia="仿宋" w:cs="宋体"/>
                <w:kern w:val="0"/>
                <w:szCs w:val="21"/>
              </w:rPr>
              <w:t>巴赫、乔治</w:t>
            </w:r>
            <w:r>
              <w:rPr>
                <w:rFonts w:hint="eastAsia" w:ascii="微软雅黑" w:hAnsi="微软雅黑" w:eastAsia="微软雅黑" w:cs="微软雅黑"/>
                <w:kern w:val="0"/>
                <w:szCs w:val="21"/>
              </w:rPr>
              <w:t>•</w:t>
            </w:r>
            <w:r>
              <w:rPr>
                <w:rFonts w:hint="eastAsia" w:ascii="仿宋" w:hAnsi="仿宋" w:eastAsia="仿宋" w:cs="宋体"/>
                <w:kern w:val="0"/>
                <w:szCs w:val="21"/>
              </w:rPr>
              <w:t>弗里德里希</w:t>
            </w:r>
            <w:r>
              <w:rPr>
                <w:rFonts w:hint="eastAsia" w:ascii="微软雅黑" w:hAnsi="微软雅黑" w:eastAsia="微软雅黑" w:cs="微软雅黑"/>
                <w:kern w:val="0"/>
                <w:szCs w:val="21"/>
              </w:rPr>
              <w:t>•</w:t>
            </w:r>
            <w:r>
              <w:rPr>
                <w:rFonts w:hint="eastAsia" w:ascii="仿宋" w:hAnsi="仿宋" w:eastAsia="仿宋" w:cs="宋体"/>
                <w:kern w:val="0"/>
                <w:szCs w:val="21"/>
              </w:rPr>
              <w:t>亨德尔、瑟夫</w:t>
            </w:r>
            <w:r>
              <w:rPr>
                <w:rFonts w:hint="eastAsia" w:ascii="微软雅黑" w:hAnsi="微软雅黑" w:eastAsia="微软雅黑" w:cs="微软雅黑"/>
                <w:kern w:val="0"/>
                <w:szCs w:val="21"/>
              </w:rPr>
              <w:t>•</w:t>
            </w:r>
            <w:r>
              <w:rPr>
                <w:rFonts w:hint="eastAsia" w:ascii="仿宋" w:hAnsi="仿宋" w:eastAsia="仿宋" w:cs="宋体"/>
                <w:kern w:val="0"/>
                <w:szCs w:val="21"/>
              </w:rPr>
              <w:t>海顿、沃尔夫冈</w:t>
            </w:r>
            <w:r>
              <w:rPr>
                <w:rFonts w:hint="eastAsia" w:ascii="微软雅黑" w:hAnsi="微软雅黑" w:eastAsia="微软雅黑" w:cs="微软雅黑"/>
                <w:kern w:val="0"/>
                <w:szCs w:val="21"/>
              </w:rPr>
              <w:t>•</w:t>
            </w:r>
            <w:r>
              <w:rPr>
                <w:rFonts w:hint="eastAsia" w:ascii="仿宋" w:hAnsi="仿宋" w:eastAsia="仿宋" w:cs="宋体"/>
                <w:kern w:val="0"/>
                <w:szCs w:val="21"/>
              </w:rPr>
              <w:t>阿玛多伊斯</w:t>
            </w:r>
            <w:r>
              <w:rPr>
                <w:rFonts w:hint="eastAsia" w:ascii="微软雅黑" w:hAnsi="微软雅黑" w:eastAsia="微软雅黑" w:cs="微软雅黑"/>
                <w:kern w:val="0"/>
                <w:szCs w:val="21"/>
              </w:rPr>
              <w:t>•</w:t>
            </w:r>
            <w:r>
              <w:rPr>
                <w:rFonts w:hint="eastAsia" w:ascii="仿宋" w:hAnsi="仿宋" w:eastAsia="仿宋" w:cs="宋体"/>
                <w:kern w:val="0"/>
                <w:szCs w:val="21"/>
              </w:rPr>
              <w:t>莫扎特、路德维希</w:t>
            </w:r>
            <w:r>
              <w:rPr>
                <w:rFonts w:hint="eastAsia" w:ascii="微软雅黑" w:hAnsi="微软雅黑" w:eastAsia="微软雅黑" w:cs="微软雅黑"/>
                <w:kern w:val="0"/>
                <w:szCs w:val="21"/>
              </w:rPr>
              <w:t>•</w:t>
            </w:r>
            <w:r>
              <w:rPr>
                <w:rFonts w:hint="eastAsia" w:ascii="仿宋" w:hAnsi="仿宋" w:eastAsia="仿宋" w:cs="宋体"/>
                <w:kern w:val="0"/>
                <w:szCs w:val="21"/>
              </w:rPr>
              <w:t>冯</w:t>
            </w:r>
            <w:r>
              <w:rPr>
                <w:rFonts w:hint="eastAsia" w:ascii="微软雅黑" w:hAnsi="微软雅黑" w:eastAsia="微软雅黑" w:cs="微软雅黑"/>
                <w:kern w:val="0"/>
                <w:szCs w:val="21"/>
              </w:rPr>
              <w:t>•</w:t>
            </w:r>
            <w:r>
              <w:rPr>
                <w:rFonts w:hint="eastAsia" w:ascii="仿宋" w:hAnsi="仿宋" w:eastAsia="仿宋" w:cs="宋体"/>
                <w:kern w:val="0"/>
                <w:szCs w:val="21"/>
              </w:rPr>
              <w:t>貝多芬、弗朗兹</w:t>
            </w:r>
            <w:r>
              <w:rPr>
                <w:rFonts w:hint="eastAsia" w:ascii="微软雅黑" w:hAnsi="微软雅黑" w:eastAsia="微软雅黑" w:cs="微软雅黑"/>
                <w:kern w:val="0"/>
                <w:szCs w:val="21"/>
              </w:rPr>
              <w:t>•</w:t>
            </w:r>
            <w:r>
              <w:rPr>
                <w:rFonts w:hint="eastAsia" w:ascii="仿宋" w:hAnsi="仿宋" w:eastAsia="仿宋" w:cs="宋体"/>
                <w:kern w:val="0"/>
                <w:szCs w:val="21"/>
              </w:rPr>
              <w:t>彼得</w:t>
            </w:r>
            <w:r>
              <w:rPr>
                <w:rFonts w:hint="eastAsia" w:ascii="微软雅黑" w:hAnsi="微软雅黑" w:eastAsia="微软雅黑" w:cs="微软雅黑"/>
                <w:kern w:val="0"/>
                <w:szCs w:val="21"/>
              </w:rPr>
              <w:t>•</w:t>
            </w:r>
            <w:r>
              <w:rPr>
                <w:rFonts w:hint="eastAsia" w:ascii="仿宋" w:hAnsi="仿宋" w:eastAsia="仿宋" w:cs="宋体"/>
                <w:kern w:val="0"/>
                <w:szCs w:val="21"/>
              </w:rPr>
              <w:t>舒伯特、弗雷德里克</w:t>
            </w:r>
            <w:r>
              <w:rPr>
                <w:rFonts w:hint="eastAsia" w:ascii="微软雅黑" w:hAnsi="微软雅黑" w:eastAsia="微软雅黑" w:cs="微软雅黑"/>
                <w:kern w:val="0"/>
                <w:szCs w:val="21"/>
              </w:rPr>
              <w:t>•</w:t>
            </w:r>
            <w:r>
              <w:rPr>
                <w:rFonts w:hint="eastAsia" w:ascii="仿宋" w:hAnsi="仿宋" w:eastAsia="仿宋" w:cs="宋体"/>
                <w:kern w:val="0"/>
                <w:szCs w:val="21"/>
              </w:rPr>
              <w:t>弗朗西斯克</w:t>
            </w:r>
            <w:r>
              <w:rPr>
                <w:rFonts w:hint="eastAsia" w:ascii="微软雅黑" w:hAnsi="微软雅黑" w:eastAsia="微软雅黑" w:cs="微软雅黑"/>
                <w:kern w:val="0"/>
                <w:szCs w:val="21"/>
              </w:rPr>
              <w:t>•</w:t>
            </w:r>
            <w:r>
              <w:rPr>
                <w:rFonts w:hint="eastAsia" w:ascii="仿宋" w:hAnsi="仿宋" w:eastAsia="仿宋" w:cs="宋体"/>
                <w:kern w:val="0"/>
                <w:szCs w:val="21"/>
              </w:rPr>
              <w:t>肖邦、罗伯特</w:t>
            </w:r>
            <w:r>
              <w:rPr>
                <w:rFonts w:hint="eastAsia" w:ascii="微软雅黑" w:hAnsi="微软雅黑" w:eastAsia="微软雅黑" w:cs="微软雅黑"/>
                <w:kern w:val="0"/>
                <w:szCs w:val="21"/>
              </w:rPr>
              <w:t>•</w:t>
            </w:r>
            <w:r>
              <w:rPr>
                <w:rFonts w:hint="eastAsia" w:ascii="仿宋" w:hAnsi="仿宋" w:eastAsia="仿宋" w:cs="宋体"/>
                <w:kern w:val="0"/>
                <w:szCs w:val="21"/>
              </w:rPr>
              <w:t>舒曼、朱塞佩</w:t>
            </w:r>
            <w:r>
              <w:rPr>
                <w:rFonts w:hint="eastAsia" w:ascii="微软雅黑" w:hAnsi="微软雅黑" w:eastAsia="微软雅黑" w:cs="微软雅黑"/>
                <w:kern w:val="0"/>
                <w:szCs w:val="21"/>
              </w:rPr>
              <w:t>•</w:t>
            </w:r>
            <w:r>
              <w:rPr>
                <w:rFonts w:hint="eastAsia" w:ascii="仿宋" w:hAnsi="仿宋" w:eastAsia="仿宋" w:cs="宋体"/>
                <w:kern w:val="0"/>
                <w:szCs w:val="21"/>
              </w:rPr>
              <w:t>威尔第、翰</w:t>
            </w:r>
            <w:r>
              <w:rPr>
                <w:rFonts w:hint="eastAsia" w:ascii="微软雅黑" w:hAnsi="微软雅黑" w:eastAsia="微软雅黑" w:cs="微软雅黑"/>
                <w:kern w:val="0"/>
                <w:szCs w:val="21"/>
              </w:rPr>
              <w:t>•</w:t>
            </w:r>
            <w:r>
              <w:rPr>
                <w:rFonts w:hint="eastAsia" w:ascii="仿宋" w:hAnsi="仿宋" w:eastAsia="仿宋" w:cs="宋体"/>
                <w:kern w:val="0"/>
                <w:szCs w:val="21"/>
              </w:rPr>
              <w:t>施特劳斯、翰内斯</w:t>
            </w:r>
            <w:r>
              <w:rPr>
                <w:rFonts w:hint="eastAsia" w:ascii="微软雅黑" w:hAnsi="微软雅黑" w:eastAsia="微软雅黑" w:cs="微软雅黑"/>
                <w:kern w:val="0"/>
                <w:szCs w:val="21"/>
              </w:rPr>
              <w:t>•</w:t>
            </w:r>
            <w:r>
              <w:rPr>
                <w:rFonts w:hint="eastAsia" w:ascii="仿宋" w:hAnsi="仿宋" w:eastAsia="仿宋" w:cs="宋体"/>
                <w:kern w:val="0"/>
                <w:szCs w:val="21"/>
              </w:rPr>
              <w:t>勃拉姆斯、夏尔</w:t>
            </w:r>
            <w:r>
              <w:rPr>
                <w:rFonts w:hint="eastAsia" w:ascii="微软雅黑" w:hAnsi="微软雅黑" w:eastAsia="微软雅黑" w:cs="微软雅黑"/>
                <w:kern w:val="0"/>
                <w:szCs w:val="21"/>
              </w:rPr>
              <w:t>•</w:t>
            </w:r>
            <w:r>
              <w:rPr>
                <w:rFonts w:hint="eastAsia" w:ascii="仿宋" w:hAnsi="仿宋" w:eastAsia="仿宋" w:cs="宋体"/>
                <w:kern w:val="0"/>
                <w:szCs w:val="21"/>
              </w:rPr>
              <w:t>卡米尔</w:t>
            </w:r>
            <w:r>
              <w:rPr>
                <w:rFonts w:hint="eastAsia" w:ascii="微软雅黑" w:hAnsi="微软雅黑" w:eastAsia="微软雅黑" w:cs="微软雅黑"/>
                <w:kern w:val="0"/>
                <w:szCs w:val="21"/>
              </w:rPr>
              <w:t>•</w:t>
            </w:r>
            <w:r>
              <w:rPr>
                <w:rFonts w:hint="eastAsia" w:ascii="仿宋" w:hAnsi="仿宋" w:eastAsia="仿宋" w:cs="宋体"/>
                <w:kern w:val="0"/>
                <w:szCs w:val="21"/>
              </w:rPr>
              <w:t>圣桑、乔治</w:t>
            </w:r>
            <w:r>
              <w:rPr>
                <w:rFonts w:hint="eastAsia" w:ascii="微软雅黑" w:hAnsi="微软雅黑" w:eastAsia="微软雅黑" w:cs="微软雅黑"/>
                <w:kern w:val="0"/>
                <w:szCs w:val="21"/>
              </w:rPr>
              <w:t>•</w:t>
            </w:r>
            <w:r>
              <w:rPr>
                <w:rFonts w:hint="eastAsia" w:ascii="仿宋" w:hAnsi="仿宋" w:eastAsia="仿宋" w:cs="宋体"/>
                <w:kern w:val="0"/>
                <w:szCs w:val="21"/>
              </w:rPr>
              <w:t>比才、彼得</w:t>
            </w:r>
            <w:r>
              <w:rPr>
                <w:rFonts w:hint="eastAsia" w:ascii="微软雅黑" w:hAnsi="微软雅黑" w:eastAsia="微软雅黑" w:cs="微软雅黑"/>
                <w:kern w:val="0"/>
                <w:szCs w:val="21"/>
              </w:rPr>
              <w:t>•</w:t>
            </w:r>
            <w:r>
              <w:rPr>
                <w:rFonts w:hint="eastAsia" w:ascii="仿宋" w:hAnsi="仿宋" w:eastAsia="仿宋" w:cs="宋体"/>
                <w:kern w:val="0"/>
                <w:szCs w:val="21"/>
              </w:rPr>
              <w:t>伊里奇</w:t>
            </w:r>
            <w:r>
              <w:rPr>
                <w:rFonts w:hint="eastAsia" w:ascii="微软雅黑" w:hAnsi="微软雅黑" w:eastAsia="微软雅黑" w:cs="微软雅黑"/>
                <w:kern w:val="0"/>
                <w:szCs w:val="21"/>
              </w:rPr>
              <w:t>•</w:t>
            </w:r>
            <w:r>
              <w:rPr>
                <w:rFonts w:hint="eastAsia" w:ascii="仿宋" w:hAnsi="仿宋" w:eastAsia="仿宋" w:cs="宋体"/>
                <w:kern w:val="0"/>
                <w:szCs w:val="21"/>
              </w:rPr>
              <w:t>柴科夫斯基、爱德华</w:t>
            </w:r>
            <w:r>
              <w:rPr>
                <w:rFonts w:hint="eastAsia" w:ascii="微软雅黑" w:hAnsi="微软雅黑" w:eastAsia="微软雅黑" w:cs="微软雅黑"/>
                <w:kern w:val="0"/>
                <w:szCs w:val="21"/>
              </w:rPr>
              <w:t>•</w:t>
            </w:r>
            <w:r>
              <w:rPr>
                <w:rFonts w:hint="eastAsia" w:ascii="仿宋" w:hAnsi="仿宋" w:eastAsia="仿宋" w:cs="宋体"/>
                <w:kern w:val="0"/>
                <w:szCs w:val="21"/>
              </w:rPr>
              <w:t>格里格、克罗德</w:t>
            </w:r>
            <w:r>
              <w:rPr>
                <w:rFonts w:hint="eastAsia" w:ascii="微软雅黑" w:hAnsi="微软雅黑" w:eastAsia="微软雅黑" w:cs="微软雅黑"/>
                <w:kern w:val="0"/>
                <w:szCs w:val="21"/>
              </w:rPr>
              <w:t>•</w:t>
            </w:r>
            <w:r>
              <w:rPr>
                <w:rFonts w:hint="eastAsia" w:ascii="仿宋" w:hAnsi="仿宋" w:eastAsia="仿宋" w:cs="宋体"/>
                <w:kern w:val="0"/>
                <w:szCs w:val="21"/>
              </w:rPr>
              <w:t>德彪西、德米特里</w:t>
            </w:r>
            <w:r>
              <w:rPr>
                <w:rFonts w:hint="eastAsia" w:ascii="微软雅黑" w:hAnsi="微软雅黑" w:eastAsia="微软雅黑" w:cs="微软雅黑"/>
                <w:kern w:val="0"/>
                <w:szCs w:val="21"/>
              </w:rPr>
              <w:t>•</w:t>
            </w:r>
            <w:r>
              <w:rPr>
                <w:rFonts w:hint="eastAsia" w:ascii="仿宋" w:hAnsi="仿宋" w:eastAsia="仿宋" w:cs="宋体"/>
                <w:kern w:val="0"/>
                <w:szCs w:val="21"/>
              </w:rPr>
              <w:t>肖斯塔科维奇、民族乐器；二胡、京胡、笛、唢呐、笙、琵琶、柳琴、阮、扬琴、筝、古琴、埙、云锣、我国少数民族乐器：马头琴、艾捷克、冬不拉、芦笙、巴乌、札木聂、伽倻琴、西洋乐器：小提琴、中提琴、大提琴、提琴家族、长笛、单簧管、双簧管、大管、小号、长号、圆号、大号、萨克斯管、民族管弦乐队、西洋管弦乐队乐理部分；五线谱、谱号、谱表、音名与长鸣、音符与休止符、拍子与拍号、三连音与切分音、装饰音、音阶与调式、音程、常用记号、常见的歌曲基本结构。</w:t>
            </w:r>
          </w:p>
        </w:tc>
        <w:tc>
          <w:tcPr>
            <w:tcW w:w="696"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6</w:t>
            </w:r>
          </w:p>
        </w:tc>
        <w:tc>
          <w:tcPr>
            <w:tcW w:w="687"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5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109</w:t>
            </w:r>
          </w:p>
        </w:tc>
        <w:tc>
          <w:tcPr>
            <w:tcW w:w="137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50515000400</w:t>
            </w:r>
          </w:p>
        </w:tc>
        <w:tc>
          <w:tcPr>
            <w:tcW w:w="118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小学音乐教学软件</w:t>
            </w:r>
          </w:p>
        </w:tc>
        <w:tc>
          <w:tcPr>
            <w:tcW w:w="4995"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具备小学音乐课堂教学、资料检索、学生自主学习等功能。</w:t>
            </w:r>
          </w:p>
        </w:tc>
        <w:tc>
          <w:tcPr>
            <w:tcW w:w="696"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24</w:t>
            </w:r>
          </w:p>
        </w:tc>
        <w:tc>
          <w:tcPr>
            <w:tcW w:w="687"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5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110</w:t>
            </w:r>
          </w:p>
        </w:tc>
        <w:tc>
          <w:tcPr>
            <w:tcW w:w="137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50515000600</w:t>
            </w:r>
          </w:p>
        </w:tc>
        <w:tc>
          <w:tcPr>
            <w:tcW w:w="118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小学音乐欣赏教学曲库</w:t>
            </w:r>
          </w:p>
        </w:tc>
        <w:tc>
          <w:tcPr>
            <w:tcW w:w="4995"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小学阶段音乐欣赏教学资料（CD)，应为国家正 式出版物。</w:t>
            </w:r>
          </w:p>
        </w:tc>
        <w:tc>
          <w:tcPr>
            <w:tcW w:w="696"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36</w:t>
            </w:r>
          </w:p>
        </w:tc>
        <w:tc>
          <w:tcPr>
            <w:tcW w:w="687"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5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111</w:t>
            </w:r>
          </w:p>
        </w:tc>
        <w:tc>
          <w:tcPr>
            <w:tcW w:w="137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50515000800</w:t>
            </w:r>
          </w:p>
        </w:tc>
        <w:tc>
          <w:tcPr>
            <w:tcW w:w="118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小学音乐欣赏教学影像库</w:t>
            </w:r>
          </w:p>
        </w:tc>
        <w:tc>
          <w:tcPr>
            <w:tcW w:w="4995"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各类小学音乐教学音像、歌舞剧等影像资料 (VCD、DVD等），应为国家正式出版物。</w:t>
            </w:r>
          </w:p>
        </w:tc>
        <w:tc>
          <w:tcPr>
            <w:tcW w:w="696"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24</w:t>
            </w:r>
          </w:p>
        </w:tc>
        <w:tc>
          <w:tcPr>
            <w:tcW w:w="687"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112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112</w:t>
            </w:r>
          </w:p>
        </w:tc>
        <w:tc>
          <w:tcPr>
            <w:tcW w:w="137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30815300310</w:t>
            </w:r>
          </w:p>
        </w:tc>
        <w:tc>
          <w:tcPr>
            <w:tcW w:w="118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钟琴</w:t>
            </w:r>
          </w:p>
        </w:tc>
        <w:tc>
          <w:tcPr>
            <w:tcW w:w="4995"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铝片、不锈钢支架；规格：长61cm、最宽34.5cm、最窄18.1cm、支架可以升降离地56-90cm；音域：上下两排32音；附件：敲击棒一副。配不透明布袋一个。</w:t>
            </w:r>
          </w:p>
        </w:tc>
        <w:tc>
          <w:tcPr>
            <w:tcW w:w="696"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6</w:t>
            </w:r>
          </w:p>
        </w:tc>
        <w:tc>
          <w:tcPr>
            <w:tcW w:w="687"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113</w:t>
            </w:r>
          </w:p>
        </w:tc>
        <w:tc>
          <w:tcPr>
            <w:tcW w:w="137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30815300410</w:t>
            </w:r>
          </w:p>
        </w:tc>
        <w:tc>
          <w:tcPr>
            <w:tcW w:w="118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沙锤</w:t>
            </w:r>
          </w:p>
        </w:tc>
        <w:tc>
          <w:tcPr>
            <w:tcW w:w="4995"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木制。</w:t>
            </w:r>
          </w:p>
        </w:tc>
        <w:tc>
          <w:tcPr>
            <w:tcW w:w="696"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48</w:t>
            </w:r>
          </w:p>
        </w:tc>
        <w:tc>
          <w:tcPr>
            <w:tcW w:w="687"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对</w:t>
            </w:r>
          </w:p>
        </w:tc>
      </w:tr>
      <w:tr>
        <w:tblPrEx>
          <w:tblCellMar>
            <w:top w:w="0" w:type="dxa"/>
            <w:left w:w="108" w:type="dxa"/>
            <w:bottom w:w="0" w:type="dxa"/>
            <w:right w:w="108" w:type="dxa"/>
          </w:tblCellMar>
        </w:tblPrEx>
        <w:trPr>
          <w:trHeight w:val="140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114</w:t>
            </w:r>
          </w:p>
        </w:tc>
        <w:tc>
          <w:tcPr>
            <w:tcW w:w="137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30815301420</w:t>
            </w:r>
          </w:p>
        </w:tc>
        <w:tc>
          <w:tcPr>
            <w:tcW w:w="118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摇铃（串铃）</w:t>
            </w:r>
          </w:p>
        </w:tc>
        <w:tc>
          <w:tcPr>
            <w:tcW w:w="4995"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供中小学音乐教学用，由铃及柄组成，每付为二个。每只串铃由5只钢质小铃串连而成，小铃镀铬，镀层均匀、光亮。手柄用硬塑制成，外形呈R50mm的半圆，厚约8mm。铃与手柄用铁圈连接，铁圈镀铬。串铃摇动时发音响亮。</w:t>
            </w:r>
          </w:p>
        </w:tc>
        <w:tc>
          <w:tcPr>
            <w:tcW w:w="696"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48</w:t>
            </w:r>
          </w:p>
        </w:tc>
        <w:tc>
          <w:tcPr>
            <w:tcW w:w="687"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对</w:t>
            </w:r>
          </w:p>
        </w:tc>
      </w:tr>
      <w:tr>
        <w:tblPrEx>
          <w:tblCellMar>
            <w:top w:w="0" w:type="dxa"/>
            <w:left w:w="108" w:type="dxa"/>
            <w:bottom w:w="0" w:type="dxa"/>
            <w:right w:w="108" w:type="dxa"/>
          </w:tblCellMar>
        </w:tblPrEx>
        <w:trPr>
          <w:trHeight w:val="19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115</w:t>
            </w:r>
          </w:p>
        </w:tc>
        <w:tc>
          <w:tcPr>
            <w:tcW w:w="137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30815300710</w:t>
            </w:r>
          </w:p>
        </w:tc>
        <w:tc>
          <w:tcPr>
            <w:tcW w:w="118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双响筒</w:t>
            </w:r>
          </w:p>
        </w:tc>
        <w:tc>
          <w:tcPr>
            <w:tcW w:w="4995"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供中小学音乐教学用，由筒体、手柄、击槌组成。筒体用槐木制成，外形尺寸约φ45×190mm。手柄用硬杂木制成，尺寸约φ15×150mm，两端呈球状。击槌用硬杂木制成，尺寸不小与φ10×150mm，两端呈球状。筒体与手柄嵌接而成，应牢固、不松动。产品表面涂树脂清漆，漆层光亮、均匀。敲打双响筒时，发音清脆、悦耳，不得有杂音。</w:t>
            </w:r>
          </w:p>
        </w:tc>
        <w:tc>
          <w:tcPr>
            <w:tcW w:w="696"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48</w:t>
            </w:r>
          </w:p>
        </w:tc>
        <w:tc>
          <w:tcPr>
            <w:tcW w:w="687"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副</w:t>
            </w:r>
          </w:p>
        </w:tc>
      </w:tr>
      <w:tr>
        <w:tblPrEx>
          <w:tblCellMar>
            <w:top w:w="0" w:type="dxa"/>
            <w:left w:w="108" w:type="dxa"/>
            <w:bottom w:w="0" w:type="dxa"/>
            <w:right w:w="108" w:type="dxa"/>
          </w:tblCellMar>
        </w:tblPrEx>
        <w:trPr>
          <w:trHeight w:val="19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116</w:t>
            </w:r>
          </w:p>
        </w:tc>
        <w:tc>
          <w:tcPr>
            <w:tcW w:w="137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30815300810</w:t>
            </w:r>
          </w:p>
        </w:tc>
        <w:tc>
          <w:tcPr>
            <w:tcW w:w="118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响板</w:t>
            </w:r>
          </w:p>
        </w:tc>
        <w:tc>
          <w:tcPr>
            <w:tcW w:w="4995"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供中小学音乐教学用，由主板及两块盖板连接组成。主板及盖板各有两个孔，主板夹在两盖板中间，用线绳穿过两圆孔串联在一起。主板外形尺寸约180×50×7mm，盖板外形尺寸约90×50×7mm。响板用桦木或槐木制成，表面无疖疤、裂缝，漆层均匀、光亮。演奏时，手持响板手柄摇动，上下盖板碰击主板应发出清脆的“啪、啪”声，不得有杂音。</w:t>
            </w:r>
          </w:p>
        </w:tc>
        <w:tc>
          <w:tcPr>
            <w:tcW w:w="696"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48</w:t>
            </w:r>
          </w:p>
        </w:tc>
        <w:tc>
          <w:tcPr>
            <w:tcW w:w="687"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16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117</w:t>
            </w:r>
          </w:p>
        </w:tc>
        <w:tc>
          <w:tcPr>
            <w:tcW w:w="137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30815300910</w:t>
            </w:r>
          </w:p>
        </w:tc>
        <w:tc>
          <w:tcPr>
            <w:tcW w:w="118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响棒</w:t>
            </w:r>
          </w:p>
        </w:tc>
        <w:tc>
          <w:tcPr>
            <w:tcW w:w="4995"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材质：硬木；规格：全长为≧20CM，直径为≧1.8CM；结构：由2根20CM的节奏棒组成 ，直线条流畅，使用手工砂纸打磨工艺，光润圆滑，不伤手。使用方法：演奏时，左右手各持一个，互相敲击，也可以用于敲鼓，多功能使用。</w:t>
            </w:r>
          </w:p>
        </w:tc>
        <w:tc>
          <w:tcPr>
            <w:tcW w:w="696"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48</w:t>
            </w:r>
          </w:p>
        </w:tc>
        <w:tc>
          <w:tcPr>
            <w:tcW w:w="687"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副</w:t>
            </w:r>
          </w:p>
        </w:tc>
      </w:tr>
      <w:tr>
        <w:tblPrEx>
          <w:tblCellMar>
            <w:top w:w="0" w:type="dxa"/>
            <w:left w:w="108" w:type="dxa"/>
            <w:bottom w:w="0" w:type="dxa"/>
            <w:right w:w="108" w:type="dxa"/>
          </w:tblCellMar>
        </w:tblPrEx>
        <w:trPr>
          <w:trHeight w:val="140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118</w:t>
            </w:r>
          </w:p>
        </w:tc>
        <w:tc>
          <w:tcPr>
            <w:tcW w:w="137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30815301010</w:t>
            </w:r>
          </w:p>
        </w:tc>
        <w:tc>
          <w:tcPr>
            <w:tcW w:w="118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蛙鸣筒</w:t>
            </w:r>
          </w:p>
        </w:tc>
        <w:tc>
          <w:tcPr>
            <w:tcW w:w="4995"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材质：木制，环保清漆；规格：全长≧20CM，直径≧5.7CM，小刮棒长≧15CM；结构：由1个鱼蛙筒和1根小刮棒组成；使用方法：演奏时，左右手拿蛙桶跟刮棒，通过刮擦或敲击可以发出青蛙的鸣叫声，音色响亮清脆。</w:t>
            </w:r>
          </w:p>
        </w:tc>
        <w:tc>
          <w:tcPr>
            <w:tcW w:w="696"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48</w:t>
            </w:r>
          </w:p>
        </w:tc>
        <w:tc>
          <w:tcPr>
            <w:tcW w:w="687"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副</w:t>
            </w:r>
          </w:p>
        </w:tc>
      </w:tr>
      <w:tr>
        <w:tblPrEx>
          <w:tblCellMar>
            <w:top w:w="0" w:type="dxa"/>
            <w:left w:w="108" w:type="dxa"/>
            <w:bottom w:w="0" w:type="dxa"/>
            <w:right w:w="108" w:type="dxa"/>
          </w:tblCellMar>
        </w:tblPrEx>
        <w:trPr>
          <w:trHeight w:val="5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119</w:t>
            </w:r>
          </w:p>
        </w:tc>
        <w:tc>
          <w:tcPr>
            <w:tcW w:w="137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30815301210</w:t>
            </w:r>
          </w:p>
        </w:tc>
        <w:tc>
          <w:tcPr>
            <w:tcW w:w="118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南梆子</w:t>
            </w:r>
          </w:p>
        </w:tc>
        <w:tc>
          <w:tcPr>
            <w:tcW w:w="4995"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红木制、枣木或其他硬木制，坚实无疤节或劈裂。直径4cm、长25cm的圆柱形和长20cm、宽6cm、厚4cm长方形为一副，外表光滑、圆弧和棱角适度</w:t>
            </w:r>
          </w:p>
        </w:tc>
        <w:tc>
          <w:tcPr>
            <w:tcW w:w="696"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12</w:t>
            </w:r>
          </w:p>
        </w:tc>
        <w:tc>
          <w:tcPr>
            <w:tcW w:w="687"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副</w:t>
            </w:r>
          </w:p>
        </w:tc>
      </w:tr>
      <w:tr>
        <w:tblPrEx>
          <w:tblCellMar>
            <w:top w:w="0" w:type="dxa"/>
            <w:left w:w="108" w:type="dxa"/>
            <w:bottom w:w="0" w:type="dxa"/>
            <w:right w:w="108" w:type="dxa"/>
          </w:tblCellMar>
        </w:tblPrEx>
        <w:trPr>
          <w:trHeight w:val="140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120</w:t>
            </w:r>
          </w:p>
        </w:tc>
        <w:tc>
          <w:tcPr>
            <w:tcW w:w="137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30815301320</w:t>
            </w:r>
          </w:p>
        </w:tc>
        <w:tc>
          <w:tcPr>
            <w:tcW w:w="118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木鱼</w:t>
            </w:r>
          </w:p>
        </w:tc>
        <w:tc>
          <w:tcPr>
            <w:tcW w:w="4995"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供中小学音乐教学用，用优质桦木制作，七个大小不一音高不同的木鱼为一套。由木鱼及木槌组成，表面均用油漆处理。木鱼呈梯形，最厚部开一缺口。演奏时，手持木锤敲击鱼腹应发出清脆“啵、啵”声，不得有其他杂音。</w:t>
            </w:r>
          </w:p>
        </w:tc>
        <w:tc>
          <w:tcPr>
            <w:tcW w:w="696"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6</w:t>
            </w:r>
          </w:p>
        </w:tc>
        <w:tc>
          <w:tcPr>
            <w:tcW w:w="687"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19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121</w:t>
            </w:r>
          </w:p>
        </w:tc>
        <w:tc>
          <w:tcPr>
            <w:tcW w:w="137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30815303010</w:t>
            </w:r>
          </w:p>
        </w:tc>
        <w:tc>
          <w:tcPr>
            <w:tcW w:w="118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铃鼓</w:t>
            </w:r>
          </w:p>
        </w:tc>
        <w:tc>
          <w:tcPr>
            <w:tcW w:w="4995"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供中小学音乐教学用，由鼓身、鼓面、五对小铃组成。鼓框木制，呈扁圆形，单面蒙以羊皮、马皮或驴皮，皮面周围用铁钉绷紧，鼓框上开有扁圆形小长孔6～8个，装置着5～7对铜制小铃，另有一个不装小铃的圆孔作为手握部位。鼓身高40±3mm，外径210～230mm，内径190～280mm。小铃直径36±2mm，孔径为5±1mm。演奏时，击鼓、摇鼓发声应清晰，无噪音。</w:t>
            </w:r>
          </w:p>
        </w:tc>
        <w:tc>
          <w:tcPr>
            <w:tcW w:w="696"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24</w:t>
            </w:r>
          </w:p>
        </w:tc>
        <w:tc>
          <w:tcPr>
            <w:tcW w:w="687"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54"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122</w:t>
            </w:r>
          </w:p>
        </w:tc>
        <w:tc>
          <w:tcPr>
            <w:tcW w:w="137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30815301710</w:t>
            </w:r>
          </w:p>
        </w:tc>
        <w:tc>
          <w:tcPr>
            <w:tcW w:w="118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三角铁</w:t>
            </w:r>
          </w:p>
        </w:tc>
        <w:tc>
          <w:tcPr>
            <w:tcW w:w="4995"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钢制，边长分别为15cm、20cm、25cm，三件一套，材质厚实，音质明亮，发音清脆，穿透力强，金属敲击棒的顶端带有软橡胶保护垫，更安全 ，每个三角铁都带有带有软橡胶制作的勾手，方便使用 。使用方法：用一根金属棒敲击三角铁即可。</w:t>
            </w:r>
          </w:p>
        </w:tc>
        <w:tc>
          <w:tcPr>
            <w:tcW w:w="696"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6</w:t>
            </w:r>
          </w:p>
        </w:tc>
        <w:tc>
          <w:tcPr>
            <w:tcW w:w="687"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84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123</w:t>
            </w:r>
          </w:p>
        </w:tc>
        <w:tc>
          <w:tcPr>
            <w:tcW w:w="137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30815301810</w:t>
            </w:r>
          </w:p>
        </w:tc>
        <w:tc>
          <w:tcPr>
            <w:tcW w:w="118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碰铃</w:t>
            </w:r>
          </w:p>
        </w:tc>
        <w:tc>
          <w:tcPr>
            <w:tcW w:w="4995"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材质：响铜质 4种规格：48MM、50MM、55MM、60MM；结构：由1根绳带连接2个碰钟组成，二个为一付，材质厚实，音质明亮；使用方法：手持碰撞发声</w:t>
            </w:r>
          </w:p>
        </w:tc>
        <w:tc>
          <w:tcPr>
            <w:tcW w:w="696"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24</w:t>
            </w:r>
          </w:p>
        </w:tc>
        <w:tc>
          <w:tcPr>
            <w:tcW w:w="687"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副</w:t>
            </w:r>
          </w:p>
        </w:tc>
      </w:tr>
      <w:tr>
        <w:tblPrEx>
          <w:tblCellMar>
            <w:top w:w="0" w:type="dxa"/>
            <w:left w:w="108" w:type="dxa"/>
            <w:bottom w:w="0" w:type="dxa"/>
            <w:right w:w="108" w:type="dxa"/>
          </w:tblCellMar>
        </w:tblPrEx>
        <w:trPr>
          <w:trHeight w:val="19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124</w:t>
            </w:r>
          </w:p>
        </w:tc>
        <w:tc>
          <w:tcPr>
            <w:tcW w:w="137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30815303210</w:t>
            </w:r>
          </w:p>
        </w:tc>
        <w:tc>
          <w:tcPr>
            <w:tcW w:w="118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lang w:bidi="ar"/>
              </w:rPr>
              <w:t>▲</w:t>
            </w:r>
            <w:r>
              <w:rPr>
                <w:rFonts w:hint="eastAsia" w:ascii="仿宋" w:hAnsi="仿宋" w:eastAsia="仿宋" w:cs="宋体"/>
                <w:kern w:val="0"/>
                <w:szCs w:val="21"/>
              </w:rPr>
              <w:t>堂鼓</w:t>
            </w:r>
          </w:p>
        </w:tc>
        <w:tc>
          <w:tcPr>
            <w:tcW w:w="4995"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材质：木制、水牛皮鼓面；规格:鼓面直径≧30CM，高度≧33CM ，鼓棒长度≧29.7CM，鼓棒直径≧1.3CM；结构：由木制鼓圈和水牛皮鼓面组成。鼓圈与鼓面连接处用锚钉固定，更为结实。鼓圈喷油红色环保油漆，鼓的侧面两端镶有铝制挂钩，可以同时挂在鼓架上使用，鼓上贴有商标 ；使用方法：左右手手持鼓棒敲击鼓面即可。</w:t>
            </w:r>
          </w:p>
        </w:tc>
        <w:tc>
          <w:tcPr>
            <w:tcW w:w="696"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18</w:t>
            </w:r>
          </w:p>
        </w:tc>
        <w:tc>
          <w:tcPr>
            <w:tcW w:w="687"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140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125</w:t>
            </w:r>
          </w:p>
        </w:tc>
        <w:tc>
          <w:tcPr>
            <w:tcW w:w="137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30815302010</w:t>
            </w:r>
          </w:p>
        </w:tc>
        <w:tc>
          <w:tcPr>
            <w:tcW w:w="118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中虎音锣</w:t>
            </w:r>
          </w:p>
        </w:tc>
        <w:tc>
          <w:tcPr>
            <w:tcW w:w="4995"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供中学音乐教学用，用薄青铜或黄铜板材制作。产品由铜锣及槌组成。铜锣质量不小于500g，直径约为300±5mm，中心脐直径约为90±5mm。厚薄均匀，平整，无毛刺，无裂缝，表面抛光氧化处理并涂油。槌用硬杂木制成，表面无疤痕。</w:t>
            </w:r>
          </w:p>
        </w:tc>
        <w:tc>
          <w:tcPr>
            <w:tcW w:w="696"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6</w:t>
            </w:r>
          </w:p>
        </w:tc>
        <w:tc>
          <w:tcPr>
            <w:tcW w:w="687"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112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126</w:t>
            </w:r>
          </w:p>
        </w:tc>
        <w:tc>
          <w:tcPr>
            <w:tcW w:w="137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30815302210</w:t>
            </w:r>
          </w:p>
        </w:tc>
        <w:tc>
          <w:tcPr>
            <w:tcW w:w="118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小锣</w:t>
            </w:r>
          </w:p>
        </w:tc>
        <w:tc>
          <w:tcPr>
            <w:tcW w:w="4995"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供中学音乐教学用，用薄青铜或黄铜板材制作，由铜锣及槌组成。产品质量不小于400g，直径不小于220mm，中心脐直径不小于20mm。厚薄均匀，平整，无毛刺，无裂缝，表面抛光氧化处理并涂油。槌用硬杂木制成，表面无疤痕。</w:t>
            </w:r>
          </w:p>
        </w:tc>
        <w:tc>
          <w:tcPr>
            <w:tcW w:w="696"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6</w:t>
            </w:r>
          </w:p>
        </w:tc>
        <w:tc>
          <w:tcPr>
            <w:tcW w:w="687"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5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127</w:t>
            </w:r>
          </w:p>
        </w:tc>
        <w:tc>
          <w:tcPr>
            <w:tcW w:w="137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30815302310</w:t>
            </w:r>
          </w:p>
        </w:tc>
        <w:tc>
          <w:tcPr>
            <w:tcW w:w="118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铙</w:t>
            </w:r>
          </w:p>
        </w:tc>
        <w:tc>
          <w:tcPr>
            <w:tcW w:w="4995"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铜制，直径27cm-55cm,铙面光、弧度适度、圆度准确、边缘厚度一致，中间的帽形大小和两面的音高要相同，两面为一副。</w:t>
            </w:r>
          </w:p>
        </w:tc>
        <w:tc>
          <w:tcPr>
            <w:tcW w:w="696"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6</w:t>
            </w:r>
          </w:p>
        </w:tc>
        <w:tc>
          <w:tcPr>
            <w:tcW w:w="687"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副</w:t>
            </w:r>
          </w:p>
        </w:tc>
      </w:tr>
      <w:tr>
        <w:tblPrEx>
          <w:tblCellMar>
            <w:top w:w="0" w:type="dxa"/>
            <w:left w:w="108" w:type="dxa"/>
            <w:bottom w:w="0" w:type="dxa"/>
            <w:right w:w="108" w:type="dxa"/>
          </w:tblCellMar>
        </w:tblPrEx>
        <w:trPr>
          <w:trHeight w:val="16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128</w:t>
            </w:r>
          </w:p>
        </w:tc>
        <w:tc>
          <w:tcPr>
            <w:tcW w:w="137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30815302410</w:t>
            </w:r>
          </w:p>
        </w:tc>
        <w:tc>
          <w:tcPr>
            <w:tcW w:w="118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钹</w:t>
            </w:r>
          </w:p>
        </w:tc>
        <w:tc>
          <w:tcPr>
            <w:tcW w:w="4995"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材质：响铜；规格：小钹直径为：≧14.8CM，壁厚≧0.1CM，中心脐直径≧6.7CM 碗高1.5厘米～2厘米；重量≧0.4kg；结构：钹体为一圆形金属板，用“响铜”制成，中部隆起的半球形部分称“帽”，顶部钻有小孔，用粗绳栓系，两个为一付，小钹的边缘位置印有商标 ；使用方法：演奏时，两手各执一面，互击发音。</w:t>
            </w:r>
          </w:p>
        </w:tc>
        <w:tc>
          <w:tcPr>
            <w:tcW w:w="696"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6</w:t>
            </w:r>
          </w:p>
        </w:tc>
        <w:tc>
          <w:tcPr>
            <w:tcW w:w="687"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副</w:t>
            </w:r>
          </w:p>
        </w:tc>
      </w:tr>
      <w:tr>
        <w:tblPrEx>
          <w:tblCellMar>
            <w:top w:w="0" w:type="dxa"/>
            <w:left w:w="108" w:type="dxa"/>
            <w:bottom w:w="0" w:type="dxa"/>
            <w:right w:w="108" w:type="dxa"/>
          </w:tblCellMar>
        </w:tblPrEx>
        <w:trPr>
          <w:trHeight w:val="19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129</w:t>
            </w:r>
          </w:p>
        </w:tc>
        <w:tc>
          <w:tcPr>
            <w:tcW w:w="137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30815202410</w:t>
            </w:r>
          </w:p>
        </w:tc>
        <w:tc>
          <w:tcPr>
            <w:tcW w:w="1181"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竖笛</w:t>
            </w:r>
          </w:p>
        </w:tc>
        <w:tc>
          <w:tcPr>
            <w:tcW w:w="4995"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left"/>
              <w:rPr>
                <w:rFonts w:ascii="仿宋" w:hAnsi="仿宋" w:eastAsia="仿宋" w:cs="宋体"/>
                <w:kern w:val="0"/>
                <w:szCs w:val="21"/>
              </w:rPr>
            </w:pPr>
            <w:r>
              <w:rPr>
                <w:rFonts w:hint="eastAsia" w:ascii="仿宋" w:hAnsi="仿宋" w:eastAsia="仿宋" w:cs="宋体"/>
                <w:kern w:val="0"/>
                <w:szCs w:val="21"/>
              </w:rPr>
              <w:t>供中小学音乐教学用。采用全新ABS树脂制作，无异味，无色差。高音6孔型，音孔直径8±1mm，竖笛长约325mm，宽约32mm. 配套完整包装，有清洗杆。发音清晰、纯正，无噪音、沙音，能准确演奏曲谱。竖笛有专用指拖，可任意调整指拖距离，方便手指更稳定地托住竖笛不滑动，确保在吹奏时竖笛的稳定。</w:t>
            </w:r>
          </w:p>
        </w:tc>
        <w:tc>
          <w:tcPr>
            <w:tcW w:w="696"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276</w:t>
            </w:r>
          </w:p>
        </w:tc>
        <w:tc>
          <w:tcPr>
            <w:tcW w:w="687" w:type="dxa"/>
            <w:tcBorders>
              <w:top w:val="nil"/>
              <w:left w:val="nil"/>
              <w:bottom w:val="single" w:color="auto" w:sz="4" w:space="0"/>
              <w:right w:val="single" w:color="auto" w:sz="4" w:space="0"/>
            </w:tcBorders>
            <w:shd w:val="clear" w:color="auto" w:fill="auto"/>
            <w:vAlign w:val="center"/>
          </w:tcPr>
          <w:p>
            <w:pPr>
              <w:widowControl/>
              <w:spacing w:after="0" w:line="240" w:lineRule="auto"/>
              <w:contextualSpacing/>
              <w:jc w:val="center"/>
              <w:rPr>
                <w:rFonts w:ascii="仿宋" w:hAnsi="仿宋" w:eastAsia="仿宋" w:cs="宋体"/>
                <w:kern w:val="0"/>
                <w:szCs w:val="21"/>
              </w:rPr>
            </w:pPr>
            <w:r>
              <w:rPr>
                <w:rFonts w:hint="eastAsia" w:ascii="仿宋" w:hAnsi="仿宋" w:eastAsia="仿宋" w:cs="宋体"/>
                <w:kern w:val="0"/>
                <w:szCs w:val="21"/>
              </w:rPr>
              <w:t>支</w:t>
            </w:r>
          </w:p>
        </w:tc>
      </w:tr>
    </w:tbl>
    <w:p/>
    <w:p>
      <w:r>
        <w:rPr>
          <w:rFonts w:hint="eastAsia"/>
        </w:rPr>
        <w:t>【五】小学美术</w:t>
      </w:r>
    </w:p>
    <w:tbl>
      <w:tblPr>
        <w:tblStyle w:val="23"/>
        <w:tblW w:w="9781" w:type="dxa"/>
        <w:tblInd w:w="-572" w:type="dxa"/>
        <w:tblLayout w:type="fixed"/>
        <w:tblCellMar>
          <w:top w:w="0" w:type="dxa"/>
          <w:left w:w="108" w:type="dxa"/>
          <w:bottom w:w="0" w:type="dxa"/>
          <w:right w:w="108" w:type="dxa"/>
        </w:tblCellMar>
      </w:tblPr>
      <w:tblGrid>
        <w:gridCol w:w="709"/>
        <w:gridCol w:w="1418"/>
        <w:gridCol w:w="1134"/>
        <w:gridCol w:w="4961"/>
        <w:gridCol w:w="850"/>
        <w:gridCol w:w="709"/>
      </w:tblGrid>
      <w:tr>
        <w:tblPrEx>
          <w:tblCellMar>
            <w:top w:w="0" w:type="dxa"/>
            <w:left w:w="108" w:type="dxa"/>
            <w:bottom w:w="0" w:type="dxa"/>
            <w:right w:w="108" w:type="dxa"/>
          </w:tblCellMar>
        </w:tblPrEx>
        <w:trPr>
          <w:trHeight w:val="5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序号</w:t>
            </w:r>
          </w:p>
        </w:tc>
        <w:tc>
          <w:tcPr>
            <w:tcW w:w="141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分类代码</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标的名称</w:t>
            </w:r>
          </w:p>
        </w:tc>
        <w:tc>
          <w:tcPr>
            <w:tcW w:w="496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技术参数及要求</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数量</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单位</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130</w:t>
            </w:r>
          </w:p>
        </w:tc>
        <w:tc>
          <w:tcPr>
            <w:tcW w:w="141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30816000110</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衬布</w:t>
            </w:r>
          </w:p>
        </w:tc>
        <w:tc>
          <w:tcPr>
            <w:tcW w:w="4961"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100cm×200cm；棉、麻、丝、绒。</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150</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块</w:t>
            </w:r>
          </w:p>
        </w:tc>
      </w:tr>
      <w:tr>
        <w:tblPrEx>
          <w:tblCellMar>
            <w:top w:w="0" w:type="dxa"/>
            <w:left w:w="108" w:type="dxa"/>
            <w:bottom w:w="0" w:type="dxa"/>
            <w:right w:w="108" w:type="dxa"/>
          </w:tblCellMar>
        </w:tblPrEx>
        <w:trPr>
          <w:trHeight w:val="19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131</w:t>
            </w:r>
          </w:p>
        </w:tc>
        <w:tc>
          <w:tcPr>
            <w:tcW w:w="141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20604000202</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写生灯</w:t>
            </w:r>
          </w:p>
        </w:tc>
        <w:tc>
          <w:tcPr>
            <w:tcW w:w="4961"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立式可升降，落地升降总高度1500mm—2600mm；三节升降杆:由一根直径为25mm钢管和一根直径为21mm钢管、10mm不锈钢管组成，其中上两节管为液压升降组成，升降固定钮用高强ABS件组成，液压杆中间部位带平行装置，聚光灯罩合金板喷塑，直径260mm，五角支撑架连接处用高强ABS而成，五角支撑用直径16mm铁管静电喷塑制成，高强LED光源板与灯罩一体，光源功率≥13W配2500mm长的电线，开关带有遥控装置（遥控距离50米）、插头；照度角度120度可调。</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24</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只</w:t>
            </w:r>
          </w:p>
        </w:tc>
      </w:tr>
      <w:tr>
        <w:tblPrEx>
          <w:tblCellMar>
            <w:top w:w="0" w:type="dxa"/>
            <w:left w:w="108" w:type="dxa"/>
            <w:bottom w:w="0" w:type="dxa"/>
            <w:right w:w="108" w:type="dxa"/>
          </w:tblCellMar>
        </w:tblPrEx>
        <w:trPr>
          <w:trHeight w:val="16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132</w:t>
            </w:r>
          </w:p>
        </w:tc>
        <w:tc>
          <w:tcPr>
            <w:tcW w:w="141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60203080101</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工作台</w:t>
            </w:r>
          </w:p>
        </w:tc>
        <w:tc>
          <w:tcPr>
            <w:tcW w:w="4961"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外形尺寸：1600×800×800mm（±</w:t>
            </w:r>
            <w:r>
              <w:rPr>
                <w:rFonts w:ascii="仿宋" w:hAnsi="仿宋" w:eastAsia="仿宋" w:cs="宋体"/>
                <w:kern w:val="0"/>
                <w:szCs w:val="21"/>
              </w:rPr>
              <w:t>2</w:t>
            </w:r>
            <w:r>
              <w:rPr>
                <w:rFonts w:hint="eastAsia" w:ascii="仿宋" w:hAnsi="仿宋" w:eastAsia="仿宋" w:cs="宋体"/>
                <w:kern w:val="0"/>
                <w:szCs w:val="21"/>
              </w:rPr>
              <w:t>%）。面板：25mm三聚氰胺双饰面中纤板。桌体、柜体：16mm三聚氰胺双饰面板。灯箱面板：5mm透明白玻璃（毛玻）。电源：220V 50Hz。光源：20W日光灯2具。产品环保，无异味。</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133</w:t>
            </w:r>
          </w:p>
        </w:tc>
        <w:tc>
          <w:tcPr>
            <w:tcW w:w="141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20201001301</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磁性白黑板</w:t>
            </w:r>
          </w:p>
        </w:tc>
        <w:tc>
          <w:tcPr>
            <w:tcW w:w="4961"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不小于100cm×80cm。</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块</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134</w:t>
            </w:r>
          </w:p>
        </w:tc>
        <w:tc>
          <w:tcPr>
            <w:tcW w:w="141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30816000210</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展示画框</w:t>
            </w:r>
          </w:p>
        </w:tc>
        <w:tc>
          <w:tcPr>
            <w:tcW w:w="4961"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60cmX45cm。</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150</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841"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135</w:t>
            </w:r>
          </w:p>
        </w:tc>
        <w:tc>
          <w:tcPr>
            <w:tcW w:w="141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50516000400</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小学美术教学挂图</w:t>
            </w:r>
          </w:p>
        </w:tc>
        <w:tc>
          <w:tcPr>
            <w:tcW w:w="4961"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2015全新改版，175g铜版纸彩色印刷，规格：740×520mm，全对开。教育部教育装备研究与发展中心研发（监制）。60张一套包含：岩画、色彩知识（1）、色彩知识（2）、平行透视、成角透视、中国画（1）、中国画（2）、中国画（3）油画（1-5）雕塑（1-6）、玉雕、青铜器、陶艺、版画（1-2）纸版画、陶器、瓷器、壁画（1-2）摄影、标志（1-2）、漫画、卡通、建筑艺术（1-2）、皮影、电脑美术、剪纸艺术、民间美术、年画、民间玩具、京剧脸谱、面具、白描、线描、人物速写、适合纹样（1-2）、二方连续图案、四方连续图案、平面构成（重复、渐变）工业产品欣赏、环境艺术、中国民居、文化遗产（1-4）。</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12</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33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136</w:t>
            </w:r>
          </w:p>
        </w:tc>
        <w:tc>
          <w:tcPr>
            <w:tcW w:w="141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50516000300</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影像资料</w:t>
            </w:r>
          </w:p>
        </w:tc>
        <w:tc>
          <w:tcPr>
            <w:tcW w:w="4961"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幻灯片、光盘、数字化美术教学资源库、虚拟美术博物馆、美术展等，VR沉浸式参观：虚拟美术博物馆应具备VR虚拟现实效果，支持VR沉浸式参观和3D漫游参观，具有如同身临真实博物馆的参观体验。内容丰富：博物馆按照年代顺序布置中、外美术发展史展厅，馆藏作品数量应不少于500，涵盖古、今、中、外多个艺术类别的具有代表性的作品。知识互动：可了解博物馆内所有作品的细节信息，如作品作者、年代、作品介绍等，同时作品还应具有由专业播音员配音的解说词，在师生浏览作品时主动为其进行语音讲解相关知识。名家名作欣赏：博物馆中应具备名家名作展厅，师生可随时参观欣赏。通过3D形式对当代知名画家的画作欣赏，并能够进行观摩和临摹，所有作品通过正规渠道获得，不发生版权纠纷。</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137</w:t>
            </w:r>
          </w:p>
        </w:tc>
        <w:tc>
          <w:tcPr>
            <w:tcW w:w="141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30816100030</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写生画板</w:t>
            </w:r>
          </w:p>
        </w:tc>
        <w:tc>
          <w:tcPr>
            <w:tcW w:w="4961"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不小于60cm×45cm。</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270</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块</w:t>
            </w:r>
          </w:p>
        </w:tc>
      </w:tr>
      <w:tr>
        <w:tblPrEx>
          <w:tblCellMar>
            <w:top w:w="0" w:type="dxa"/>
            <w:left w:w="108" w:type="dxa"/>
            <w:bottom w:w="0" w:type="dxa"/>
            <w:right w:w="108" w:type="dxa"/>
          </w:tblCellMar>
        </w:tblPrEx>
        <w:trPr>
          <w:trHeight w:val="5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138</w:t>
            </w:r>
          </w:p>
        </w:tc>
        <w:tc>
          <w:tcPr>
            <w:tcW w:w="141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30416000101</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人体结构活动模型</w:t>
            </w:r>
          </w:p>
        </w:tc>
        <w:tc>
          <w:tcPr>
            <w:tcW w:w="4961"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高不低于40cm，木质。</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24</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112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139</w:t>
            </w:r>
          </w:p>
        </w:tc>
        <w:tc>
          <w:tcPr>
            <w:tcW w:w="141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60203080501</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云台</w:t>
            </w:r>
          </w:p>
        </w:tc>
        <w:tc>
          <w:tcPr>
            <w:tcW w:w="4961"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适用范围：适用于小学、初中美术教学使用。技术要求：直径D≥295mm， d≥200mm，高H≥130mm。用于盘制泥条、泥塑。特点：表面喷漆处理，光洁、无毛刺，转动平稳灵活。应符合JY0001-2003的有关规定。</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270</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台</w:t>
            </w:r>
          </w:p>
        </w:tc>
      </w:tr>
      <w:tr>
        <w:tblPrEx>
          <w:tblCellMar>
            <w:top w:w="0" w:type="dxa"/>
            <w:left w:w="108" w:type="dxa"/>
            <w:bottom w:w="0" w:type="dxa"/>
            <w:right w:w="108" w:type="dxa"/>
          </w:tblCellMar>
        </w:tblPrEx>
        <w:trPr>
          <w:trHeight w:val="5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140</w:t>
            </w:r>
          </w:p>
        </w:tc>
        <w:tc>
          <w:tcPr>
            <w:tcW w:w="141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30816000700</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泥工工具</w:t>
            </w:r>
          </w:p>
        </w:tc>
        <w:tc>
          <w:tcPr>
            <w:tcW w:w="4961"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泥塑刀6把、环形刀3把、刮刀2把、切割线1套、刮板1件、拍板1件、型板1块、喷壶1个、海绵1块。</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270</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5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141</w:t>
            </w:r>
          </w:p>
        </w:tc>
        <w:tc>
          <w:tcPr>
            <w:tcW w:w="141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30816000800</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民间美术欣赏及写生样本</w:t>
            </w:r>
          </w:p>
        </w:tc>
        <w:tc>
          <w:tcPr>
            <w:tcW w:w="4961"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中国结、京剧脸谱、扎染、蜡染、皮影、年画、木板年画、剪纸、面具、泥塑、玩具、风车、纹样、风筝、唐三彩、彩陶器、瓷器等。</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5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142</w:t>
            </w:r>
          </w:p>
        </w:tc>
        <w:tc>
          <w:tcPr>
            <w:tcW w:w="141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30816000900</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美术学具</w:t>
            </w:r>
          </w:p>
        </w:tc>
        <w:tc>
          <w:tcPr>
            <w:tcW w:w="4961"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毛笔、小剪刀、调色盘、笔洗、美工刀、水溶性油墨、黑色胶滚、毛毡、刻纸刀、水粉画笔、调色盒、直尺。</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270</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143</w:t>
            </w:r>
          </w:p>
        </w:tc>
        <w:tc>
          <w:tcPr>
            <w:tcW w:w="141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30816100110</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写生画箱</w:t>
            </w:r>
          </w:p>
        </w:tc>
        <w:tc>
          <w:tcPr>
            <w:tcW w:w="4961"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箱体：47cm×33cm×8cm。</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只</w:t>
            </w:r>
          </w:p>
        </w:tc>
      </w:tr>
      <w:tr>
        <w:tblPrEx>
          <w:tblCellMar>
            <w:top w:w="0" w:type="dxa"/>
            <w:left w:w="108" w:type="dxa"/>
            <w:bottom w:w="0" w:type="dxa"/>
            <w:right w:w="108" w:type="dxa"/>
          </w:tblCellMar>
        </w:tblPrEx>
        <w:trPr>
          <w:trHeight w:val="13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144</w:t>
            </w:r>
          </w:p>
        </w:tc>
        <w:tc>
          <w:tcPr>
            <w:tcW w:w="141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30816100310</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写生教具（1）</w:t>
            </w:r>
          </w:p>
        </w:tc>
        <w:tc>
          <w:tcPr>
            <w:tcW w:w="4961"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适用范围：适用于小学、初中美术教学使用；技术要求：1．材质：优质石膏粉。2．配置：⑴鲁迅1件；⑵高尔基1件；⑶男青年头像1件；⑷小天使胸像1件；⑸石膏手1件；共5类5件。3．要求：形态逼真，工艺新颖，外观整洁，无反光，线条清晰，无裂纹。应符合JY0001-2003的有关规定。</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112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145</w:t>
            </w:r>
          </w:p>
        </w:tc>
        <w:tc>
          <w:tcPr>
            <w:tcW w:w="141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30816100320</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写生教具（2）</w:t>
            </w:r>
          </w:p>
        </w:tc>
        <w:tc>
          <w:tcPr>
            <w:tcW w:w="4961" w:type="dxa"/>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Cs w:val="21"/>
              </w:rPr>
            </w:pPr>
            <w:r>
              <w:rPr>
                <w:rFonts w:hint="eastAsia" w:ascii="仿宋" w:hAnsi="仿宋" w:eastAsia="仿宋" w:cs="宋体"/>
                <w:kern w:val="0"/>
                <w:szCs w:val="21"/>
              </w:rPr>
              <w:t>适用范围：适用于小学、初中美术教学使用。技术要求：1．材质：优质石膏粉。2.几何形体15件 ：圆球、四棱锥、正方体、圆锥、长方体、圆柱体、六棱柱、方带方、圆锥带圆、方锥带方、多面体、八棱柱、六棱锥、圆切、十二面体各一件。</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2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146</w:t>
            </w:r>
          </w:p>
        </w:tc>
        <w:tc>
          <w:tcPr>
            <w:tcW w:w="141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30816100510</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画架</w:t>
            </w:r>
          </w:p>
        </w:tc>
        <w:tc>
          <w:tcPr>
            <w:tcW w:w="4961"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高度不低于142cm。</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5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147</w:t>
            </w:r>
          </w:p>
        </w:tc>
        <w:tc>
          <w:tcPr>
            <w:tcW w:w="141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30816100020</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画板</w:t>
            </w:r>
          </w:p>
        </w:tc>
        <w:tc>
          <w:tcPr>
            <w:tcW w:w="4961"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双面榉木板，边框松木，规格：600mm×450mm×18mm，边框宽8mm，45度割角拼接。</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块</w:t>
            </w:r>
          </w:p>
        </w:tc>
      </w:tr>
      <w:tr>
        <w:tblPrEx>
          <w:tblCellMar>
            <w:top w:w="0" w:type="dxa"/>
            <w:left w:w="108" w:type="dxa"/>
            <w:bottom w:w="0" w:type="dxa"/>
            <w:right w:w="108" w:type="dxa"/>
          </w:tblCellMar>
        </w:tblPrEx>
        <w:trPr>
          <w:trHeight w:val="5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148</w:t>
            </w:r>
          </w:p>
        </w:tc>
        <w:tc>
          <w:tcPr>
            <w:tcW w:w="141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30816200100</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版画工具</w:t>
            </w:r>
          </w:p>
        </w:tc>
        <w:tc>
          <w:tcPr>
            <w:tcW w:w="4961"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木刻刀5把，笔刀1把，笔刀片3件，电烙铁1把，木蘑菇1只，胶滚1套（大中小各1件），油石1件，刮刀2-3把，6B中华绘图铅笔2支。</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5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149</w:t>
            </w:r>
          </w:p>
        </w:tc>
        <w:tc>
          <w:tcPr>
            <w:tcW w:w="141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30816101300</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绘画工具</w:t>
            </w:r>
          </w:p>
        </w:tc>
        <w:tc>
          <w:tcPr>
            <w:tcW w:w="4961"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水粉笔1-12#各1支，水彩笔1-12#各1支，大白毛笔1支，小狼毫1支，勾线笔1支斗笔1支，扁笔1支，调色盒1个，调色盘1个。</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140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150</w:t>
            </w:r>
          </w:p>
        </w:tc>
        <w:tc>
          <w:tcPr>
            <w:tcW w:w="141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30816100900</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制作工具</w:t>
            </w:r>
          </w:p>
        </w:tc>
        <w:tc>
          <w:tcPr>
            <w:tcW w:w="4961"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美工刀1把、剪刀2把、木刻刀12把、尖钻1把、籇刻刀1把、石油1块、改锥2把、多用锯1把、锯条5根、推刨1把、木锉1把、尖嘴钳1把、铁锤1把、电洛铁1把、凿子2把、什锦锉1套、切割垫板1块、三用圆规10根、手摇钻1个、刨子1把、盒尺1个、角尺1把、砂纸5张、小台钳1台、钢丝钳1把、钢锉1把、钢板尺1把、金属剪1把、铁砧子1件。</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5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151</w:t>
            </w:r>
          </w:p>
        </w:tc>
        <w:tc>
          <w:tcPr>
            <w:tcW w:w="141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30816101200</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国画和书法工具</w:t>
            </w:r>
          </w:p>
        </w:tc>
        <w:tc>
          <w:tcPr>
            <w:tcW w:w="4961"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毛笔8支、画毡1块、调色盘1块、砚台1个、笔洗1个、笔架1个、镇尺1付、笔帘1个、墨1块、印盒1个、墨汁1瓶。</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1349"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152</w:t>
            </w:r>
          </w:p>
        </w:tc>
        <w:tc>
          <w:tcPr>
            <w:tcW w:w="141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30816001220</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电子绘画板</w:t>
            </w:r>
          </w:p>
        </w:tc>
        <w:tc>
          <w:tcPr>
            <w:tcW w:w="4961"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 xml:space="preserve">具备电磁书写功能；绘画区域不小于135mm×200mm，无线无源压感笔，电磁感应式，压感级别不低于2048级；支持主流操作系统；可与“美术教学软件”配套使用；其余应符合JY/T 0001的规定。  </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块</w:t>
            </w:r>
          </w:p>
        </w:tc>
      </w:tr>
      <w:tr>
        <w:tblPrEx>
          <w:tblCellMar>
            <w:top w:w="0" w:type="dxa"/>
            <w:left w:w="108" w:type="dxa"/>
            <w:bottom w:w="0" w:type="dxa"/>
            <w:right w:w="108" w:type="dxa"/>
          </w:tblCellMar>
        </w:tblPrEx>
        <w:trPr>
          <w:trHeight w:val="27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153</w:t>
            </w:r>
          </w:p>
        </w:tc>
        <w:tc>
          <w:tcPr>
            <w:tcW w:w="141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50516600100</w:t>
            </w:r>
          </w:p>
        </w:tc>
        <w:tc>
          <w:tcPr>
            <w:tcW w:w="1134" w:type="dxa"/>
            <w:tcBorders>
              <w:top w:val="nil"/>
              <w:left w:val="nil"/>
              <w:bottom w:val="nil"/>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书法与篆刻 挂图</w:t>
            </w:r>
          </w:p>
        </w:tc>
        <w:tc>
          <w:tcPr>
            <w:tcW w:w="4961"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书法教学挂图或书法名作欣赏挂图，应为国家正式出版物。</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5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154</w:t>
            </w:r>
          </w:p>
        </w:tc>
        <w:tc>
          <w:tcPr>
            <w:tcW w:w="141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30816200500</w:t>
            </w:r>
          </w:p>
        </w:tc>
        <w:tc>
          <w:tcPr>
            <w:tcW w:w="1134" w:type="dxa"/>
            <w:tcBorders>
              <w:top w:val="single" w:color="auto" w:sz="4" w:space="0"/>
              <w:left w:val="nil"/>
              <w:bottom w:val="nil"/>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书法与篆刻 书法工具</w:t>
            </w:r>
          </w:p>
        </w:tc>
        <w:tc>
          <w:tcPr>
            <w:tcW w:w="4961"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毛笔（斗笔、大白云、中白云、小白云、小狼毫、勾线笔）、毛毡、镇尺、笔洗、墨汁、调色盘、笔架、名家字帖。</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270</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5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155</w:t>
            </w:r>
          </w:p>
        </w:tc>
        <w:tc>
          <w:tcPr>
            <w:tcW w:w="141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30816200600</w:t>
            </w:r>
          </w:p>
        </w:tc>
        <w:tc>
          <w:tcPr>
            <w:tcW w:w="1134" w:type="dxa"/>
            <w:tcBorders>
              <w:top w:val="single" w:color="auto" w:sz="4" w:space="0"/>
              <w:left w:val="nil"/>
              <w:bottom w:val="nil"/>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书法与篆刻 篆刻工具</w:t>
            </w:r>
          </w:p>
        </w:tc>
        <w:tc>
          <w:tcPr>
            <w:tcW w:w="4961"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篆刻刀、印床、章料、印泥等。</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270</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2259"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156</w:t>
            </w:r>
          </w:p>
        </w:tc>
        <w:tc>
          <w:tcPr>
            <w:tcW w:w="141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50516000100</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书法与篆刻数字书法教学系统</w:t>
            </w:r>
          </w:p>
        </w:tc>
        <w:tc>
          <w:tcPr>
            <w:tcW w:w="4961"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提供碑帖欣赏功能。具有碑帖简介、书家介绍和碑帖释文对照；实现碑帖高清缩放、翻页浏览和原碑临摹；双击碑帖单字可检索得到不同书体或写法的同字，并可从行笔线路、动画、视频、结字方面进行比对分析。提供行笔线路和单字书写动画模拟，真实再现毛笔书写过程。提供原笔迹书写示范功能。可在系统内，使用毛笔沾水在显示屏上进行书写示范，具有逼真毛笔书写效果。具有动画影片演绎书法家典故，提高学生学习兴趣。所有例字具有高清范写视频，视频分辨率为1920×1080 PX(帧宽度×帧高度)；例字视频具有同步配音讲解；例字视频能实现循环播放、快慢播放，可以设置“AB”段重复播放。可通过手机拍摄学生作品上传到书法教学系统中；可在系统内对学生作品进行展示、裁剪、放大缩小、旋转、标注、评星和比对分析；可上传保存到云端，可生成二维码进行扫描分享。具有结字分析功能。先对单字打散拆分成笔画，再搭建成单字；可采用比对、标注和隐藏样字方式进行结字（间架结构）分析；可更换字格样式、添加辅助线和辅助图进行结字分析，辅助线有直线、虚线和折线，辅助图包含三角形、矩形和圆形；可对搭建的单字进行智能，可总结字法则，并查出同法则字。提供书法知识和技法的拓展学习和书写体验，包括书体介绍、用笔介绍和书写体验。具有集字创作功能。可设置纸张、幅式和装裱样式；可落款和设置印章，印章包含名章和闲章，印章文字可更改；可对集字创作作品进行保存和上传到云端，并生成二维码进行扫描和作品分享。可以在系统内录制和播放微课；支持通过高拍仪对书法作品进行拍摄和展示评价。可通过图片、线段、文字实现对笔画、偏旁部首和单字的直观化、形象化的观察分析。系统支持网络化多终端教学功能。网络环境下软件启动时间不得超过18秒。系统须实现和教育部审定、本地区使用的《书法练习指导》教材完全配套。系统支持移动端（平板电脑）教学。移动端系统可基于云端书法教学资源库，任意检索和临摹单字。具有双钩、单钩、描红、轮廓和动态摹写(书法卡拉OK)五种摹写功能形式；且有高清书家范写视频(带配音)供临写练习。移动端系统须提供学生课堂同步临摹练习功能，练习方式包含描红、双钩、单钩、轮廓和动态摹写5种功能形式，且具有学习历史进度记录功能。移动端系统包含碑帖赏习功能，具有碑帖浏览、碑帖介绍、释文对照、图片缩放、原碑（原贴）临摹、手书摹写和作品保存功能。移动端系统可通过拍摄、扫描、下载或保存方式导入书法作品；对作品进行命名，删除，装裱编辑处理；可上传到云平台进行存储，可进行作品分享。移动端系统具有集中管理控制功能。教师平板可控制学生平板使之黑屏；教师平板可把教学内容同屏推送到学生平板上进行广播教学。移动端系统可远程操作教师机，进行移动书法教学。移动端提供远程打开教师机上书法教学系统，播放书写视频动画，进行屏幕标注功能。移动端系统具有直播学生书写视频功能。移动端系统拍摄的视频可在教师机上直播展示。</w:t>
            </w:r>
          </w:p>
        </w:tc>
        <w:tc>
          <w:tcPr>
            <w:tcW w:w="85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bl>
    <w:p/>
    <w:p>
      <w:r>
        <w:rPr>
          <w:rFonts w:hint="eastAsia"/>
        </w:rPr>
        <w:t>【六】小学卫生</w:t>
      </w:r>
    </w:p>
    <w:tbl>
      <w:tblPr>
        <w:tblStyle w:val="23"/>
        <w:tblW w:w="9781" w:type="dxa"/>
        <w:tblInd w:w="-572" w:type="dxa"/>
        <w:tblLayout w:type="fixed"/>
        <w:tblCellMar>
          <w:top w:w="0" w:type="dxa"/>
          <w:left w:w="108" w:type="dxa"/>
          <w:bottom w:w="0" w:type="dxa"/>
          <w:right w:w="108" w:type="dxa"/>
        </w:tblCellMar>
      </w:tblPr>
      <w:tblGrid>
        <w:gridCol w:w="709"/>
        <w:gridCol w:w="851"/>
        <w:gridCol w:w="1134"/>
        <w:gridCol w:w="5528"/>
        <w:gridCol w:w="855"/>
        <w:gridCol w:w="704"/>
      </w:tblGrid>
      <w:tr>
        <w:tblPrEx>
          <w:tblCellMar>
            <w:top w:w="0" w:type="dxa"/>
            <w:left w:w="108" w:type="dxa"/>
            <w:bottom w:w="0" w:type="dxa"/>
            <w:right w:w="108" w:type="dxa"/>
          </w:tblCellMar>
        </w:tblPrEx>
        <w:trPr>
          <w:trHeight w:val="28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Cs w:val="21"/>
              </w:rPr>
            </w:pPr>
            <w:bookmarkStart w:id="180" w:name="_Toc24786"/>
            <w:bookmarkStart w:id="181" w:name="_Toc31810"/>
            <w:r>
              <w:rPr>
                <w:rFonts w:hint="eastAsia" w:ascii="仿宋" w:hAnsi="仿宋" w:eastAsia="仿宋" w:cs="宋体"/>
                <w:b/>
                <w:bCs/>
                <w:kern w:val="0"/>
                <w:szCs w:val="21"/>
              </w:rPr>
              <w:t>序号</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编号</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标的名称</w:t>
            </w:r>
          </w:p>
        </w:tc>
        <w:tc>
          <w:tcPr>
            <w:tcW w:w="552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技术参数及要求</w:t>
            </w:r>
          </w:p>
        </w:tc>
        <w:tc>
          <w:tcPr>
            <w:tcW w:w="855"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数量</w:t>
            </w:r>
          </w:p>
        </w:tc>
        <w:tc>
          <w:tcPr>
            <w:tcW w:w="704"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单位</w:t>
            </w:r>
          </w:p>
        </w:tc>
      </w:tr>
      <w:tr>
        <w:tblPrEx>
          <w:tblCellMar>
            <w:top w:w="0" w:type="dxa"/>
            <w:left w:w="108" w:type="dxa"/>
            <w:bottom w:w="0" w:type="dxa"/>
            <w:right w:w="108" w:type="dxa"/>
          </w:tblCellMar>
        </w:tblPrEx>
        <w:trPr>
          <w:trHeight w:val="557"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157</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C001</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体重计</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供中小学卫生室测量体重用。产品由底座、立柱、刻度指示盘组成，还应附测身高的装置。最大秤量应不小于120kg，分度值不大于0.5kg。测量误差不大于±0.3%。身高测量范围量度范围700mm～1900mm，分度值不大于5mm。测量误差不大于±0.2%。各部件应安装正确、焊接和紧固可靠，无正常使用过程中构件断裂，开焊和紧固件脱落现象。正常垂直置于倾斜10度的斜面上时不应有翻倒现象。与人体接触或易接触的外露面，均应平整光滑，无锐边、尖角和毛刺现象。产品的外观应规整光洁，无较明显的外部机械损伤、涂镀层裂纹、变形、锈蚀等现象。产品应符合GB/T 19851.12-2005的相关要求 。</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12</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台</w:t>
            </w:r>
          </w:p>
        </w:tc>
      </w:tr>
      <w:tr>
        <w:tblPrEx>
          <w:tblCellMar>
            <w:top w:w="0" w:type="dxa"/>
            <w:left w:w="108" w:type="dxa"/>
            <w:bottom w:w="0" w:type="dxa"/>
            <w:right w:w="108" w:type="dxa"/>
          </w:tblCellMar>
        </w:tblPrEx>
        <w:trPr>
          <w:trHeight w:val="30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158</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C002</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身高坐高计</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供中小学卫生室测量学生的身高坐高用。产品由底座、座板和标尺组成。身高的测量范围为900mm～2100mm，分度值1mm，误差不大于0.2%。坐高测量范围为0～1060mm，分度值1mm，误差不大于0.2%。各部件应安装正确、焊接和紧固可靠，无正常使用过程中构件断裂，开焊和紧固件脱落现象。正常垂直置于倾斜10度的斜面上时不应有翻倒现象。                                                                     与人体接触或易接触的外露面，均应平整光滑，无锐边、尖角和毛刺现象。产品的外观应规整光洁，无较明显的外部机械损伤、涂镀层裂纹、变形、锈蚀等现象。产品应符合GB/T 19851.12-2005的相关要求 。</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台</w:t>
            </w:r>
          </w:p>
        </w:tc>
      </w:tr>
      <w:tr>
        <w:tblPrEx>
          <w:tblCellMar>
            <w:top w:w="0" w:type="dxa"/>
            <w:left w:w="108" w:type="dxa"/>
            <w:bottom w:w="0" w:type="dxa"/>
            <w:right w:w="108" w:type="dxa"/>
          </w:tblCellMar>
        </w:tblPrEx>
        <w:trPr>
          <w:trHeight w:val="84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159</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C003</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胸围尺</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供中小学卫生室测试学生的胸围用。产品为软皮尺。最大测量不小于1500mm，分度值不大于1mm。</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12</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84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160</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C004</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肺活量计</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 xml:space="preserve">供中小学卫生室测试学生的肺活量。数字式。肺活量的测量范围为100mL～9999mL，分度值1mL，误差不大于2.5%。 </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台</w:t>
            </w:r>
          </w:p>
        </w:tc>
      </w:tr>
      <w:tr>
        <w:tblPrEx>
          <w:tblCellMar>
            <w:top w:w="0" w:type="dxa"/>
            <w:left w:w="108" w:type="dxa"/>
            <w:bottom w:w="0" w:type="dxa"/>
            <w:right w:w="108" w:type="dxa"/>
          </w:tblCellMar>
        </w:tblPrEx>
        <w:trPr>
          <w:trHeight w:val="84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161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C005</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血压计</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汞柱式血压计。组成：刻度盛水银的玻璃管、橡皮管、橡皮囊袖带、打气球等。</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12</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台</w:t>
            </w:r>
          </w:p>
        </w:tc>
      </w:tr>
      <w:tr>
        <w:tblPrEx>
          <w:tblCellMar>
            <w:top w:w="0" w:type="dxa"/>
            <w:left w:w="108" w:type="dxa"/>
            <w:bottom w:w="0" w:type="dxa"/>
            <w:right w:w="108" w:type="dxa"/>
          </w:tblCellMar>
        </w:tblPrEx>
        <w:trPr>
          <w:trHeight w:val="1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162</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C006</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听诊器</w:t>
            </w:r>
          </w:p>
        </w:tc>
        <w:tc>
          <w:tcPr>
            <w:tcW w:w="55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供中小学卫生室诊疗用双头听诊器。耳环与弹簧片连接松紧适度，耳感舒适。听诊器传音清晰，传声道柔软密封，能隔绝外界杂音干扰。听诊器各连接应可靠，听诊头与传声道管应不易脱落。耳环的二耳塞拉开相距300mm时，回复后其变形距离不大于10mm。产品应符合YY91035-1999的规定。</w:t>
            </w:r>
          </w:p>
        </w:tc>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5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163</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205</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秒表（机械）</w:t>
            </w:r>
          </w:p>
        </w:tc>
        <w:tc>
          <w:tcPr>
            <w:tcW w:w="552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产品为机械式。秒表在正常使用条件下任意工作位置不应停走，零、部、组件不应松动。秒表机芯与表壳应稳定安装，上条、按钮操作时机芯不应有松动现象。秒表上条机构和按钮应灵活可靠，上条时不应有卡滞现象并能可靠上满发条。秒表上条后按下启动按钮应能立即启动，每种功能均应掀动一次按钮完成。秒表表盘应印有数字和刻度线并清晰可见，最小刻度值应与秒表跳动值一致。测量范围：0~15min。测量精度：0.1s。秒表玻璃应光洁、透明，表盘面和玻璃间不应任何肉眼可见异物。表壳组件外观应清洁、光滑，不应有明显缺陷和划痕，表面镀、涂层应色泽一致，不应泛色、锈斑现象。表盘面上各种字符和图案应准确、清晰；表针色泽应均匀一致，不应有泛色、污点、印迹和划痕等缺陷。应符合QB/T 1534-2006的要求。</w:t>
            </w:r>
          </w:p>
        </w:tc>
        <w:tc>
          <w:tcPr>
            <w:tcW w:w="855"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151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164</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C007</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灯光视力表</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供中小学卫生室测试学生的视力。产品规格：5.0m标准对数视力表，箱体采用铝合金型材整体成型。箱体内外采用静电喷涂；视力表的面框采用高强度铝合金型材，四个连接角采用钢板连接，表面采用ABS塑料装饰。视表板选用有机玻璃板。视表板自上而下按大小排列14行“E”字，行距24mm。视力记录方式应有小数记录和5分记录两种。选用荧光灯作为光源、配置电子镇流器，电压在150-260V时能正常工作，发光稳定、亮度均匀。</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18</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台</w:t>
            </w:r>
          </w:p>
        </w:tc>
      </w:tr>
      <w:tr>
        <w:tblPrEx>
          <w:tblCellMar>
            <w:top w:w="0" w:type="dxa"/>
            <w:left w:w="108" w:type="dxa"/>
            <w:bottom w:w="0" w:type="dxa"/>
            <w:right w:w="108" w:type="dxa"/>
          </w:tblCellMar>
        </w:tblPrEx>
        <w:trPr>
          <w:trHeight w:val="568"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165</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C008</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远视力表</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供中小学卫生室测试学生的远视视力。规格不小于1092×787mm。本品为黑色字体背景为白色突出了字体的清晰度。</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张</w:t>
            </w:r>
          </w:p>
        </w:tc>
      </w:tr>
      <w:tr>
        <w:tblPrEx>
          <w:tblCellMar>
            <w:top w:w="0" w:type="dxa"/>
            <w:left w:w="108" w:type="dxa"/>
            <w:bottom w:w="0" w:type="dxa"/>
            <w:right w:w="108" w:type="dxa"/>
          </w:tblCellMar>
        </w:tblPrEx>
        <w:trPr>
          <w:trHeight w:val="493"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166</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C009</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近视力表</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供中小学卫生室测试学生的近视视力。规格不小于1092×787mm。本品为黑色字体背景为白色突出了字体的清晰度。</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张</w:t>
            </w:r>
          </w:p>
        </w:tc>
      </w:tr>
      <w:tr>
        <w:tblPrEx>
          <w:tblCellMar>
            <w:top w:w="0" w:type="dxa"/>
            <w:left w:w="108" w:type="dxa"/>
            <w:bottom w:w="0" w:type="dxa"/>
            <w:right w:w="108" w:type="dxa"/>
          </w:tblCellMar>
        </w:tblPrEx>
        <w:trPr>
          <w:trHeight w:val="364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167</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C010</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辨色图谱</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供中小学卫生室测试学生是否是色盲用。本品有调合颜色卡，以及一张主颜色排列卡；其中所述多张的各调合颜色卡为一与宽适中的长形薄片，其顶部有一主颜色显示区（Ａ），在该主颜色显示区下方的大区域处，分别设有排列规则且彼此均有适当间隔的多个调合颜色小显示区（11），且于所述多个的各调合颜色小显示区下方的空间，则又分别设有特定数目与部位特定的一具多个洞孔的洞孔区（10）；该主颜色排列卡与所述多张的各调合颜色卡的大小相同，并且于相对于所述多张的各调合颜色卡中的各洞孔区处，设有一主颜色排列区，该主颜色排列区中显示有该辨色卡组合的所有主颜色的小面积彼此并排及相邻并对应各该洞孔区的洞孔，且各主颜色小面积的位置，系依调合颜色卡中洞孔设定部位的特定原则而定。本品对于学生是否有色盲症有很好的辨认作用。本图册色彩鲜艳、内容丰富。</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本（套）</w:t>
            </w:r>
          </w:p>
        </w:tc>
      </w:tr>
      <w:tr>
        <w:tblPrEx>
          <w:tblCellMar>
            <w:top w:w="0" w:type="dxa"/>
            <w:left w:w="108" w:type="dxa"/>
            <w:bottom w:w="0" w:type="dxa"/>
            <w:right w:w="108" w:type="dxa"/>
          </w:tblCellMar>
        </w:tblPrEx>
        <w:trPr>
          <w:trHeight w:val="978"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168</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C011</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教学卫生测量尺</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教学卫生测量尺供教学专用。木质无疤痕，三折。黄底黑字。尺子打开≥2000mm，折合后不到1000mm。分度值10mm。全长误差≤10mm。</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836"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169</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C014</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污物桶</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中小学卫生室盛装污物。塑料或金属制成。由桶盖、圆柱形桶身及桶盖的开启机构组成。规格直径不小于300mm，容量不小于12L。桶身下部应有桶盖的开启踏板或按钮。</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12</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609"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170</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C015</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敷料缸</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供中小学卫生室装载膏状物料。采用不锈钢材料冲压成形。应附带缸盖，盖子与缸体结合紧密，开启方便。直径不小于120mm。整体高度不小于120mm。壁厚不小于0.5mm。</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79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171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C016</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棉球缸</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供中小学卫生室装酒精棉球用。采用不锈钢材料冲压成形。                                                                      应附带缸盖，盖子与缸体结合紧密，开启方便。直径不小于80mm。整体高度不小于80mm。壁厚不小于0.5mm。</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54"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172</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C017</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器械缸</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供中小学卫生室装载器械用。带盖倒锥形，附有底座，应能放置平稳。采用不锈钢材料冲压成形。上端开口直径不小于80mm。整体高度不小于100mm。壁厚不小于0.5mm。</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465"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173</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C018</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贮槽</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敷料贮存及器械的消毒灭菌。采用不锈钢材料经拉伸、冲、焊接等工艺制成；盖与身配合合理，调节灵活自如。圆柱形，直径不小于200mm，高度不小于200mm。壁厚不小于0.7mm。外观应无皱折、凹坑。</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84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174</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C020</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方盘</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供中小学卫生室盛放各种医疗器械用。不锈钢制成。规格：不小于400×600×48mm。</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140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175</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C021</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带盖方盘</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产品为医用搪瓷方盘。规格不小于300mm×200mm。深度不小于45mm。盖的中心应有固定把手。整体呈乳白色，不应有泛黄现象。</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112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176</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201</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酒精灯</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规格：150mL，单头。以酒精为燃料的加热工具，由灯体、灯芯管和陶瓷灯帽组成，灯身与灯盖盖合精密。灯身无密集气泡，无密集条纹。其余要求应符合JY/T 0423-2011的规定。</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589"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177</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C022</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冲眼壶</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由壶体、壶盖、壶嘴和固定把手组成。为不锈钢材质。高度不小于115mm，直径不小于70mm。壁厚不小于0.5mm。</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84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178</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C023</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受水器</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为塑料一次性注塑成型。接液部分最大宽度不小于180mm。盛液部分的容积不小于250ml。</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667"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179</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C024</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剪  刀</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不锈钢制作。产品全长不小于190mm。由2个剪刀片组合而成，刀片厚度1.5±0.2mm。</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把</w:t>
            </w:r>
          </w:p>
        </w:tc>
      </w:tr>
      <w:tr>
        <w:tblPrEx>
          <w:tblCellMar>
            <w:top w:w="0" w:type="dxa"/>
            <w:left w:w="108" w:type="dxa"/>
            <w:bottom w:w="0" w:type="dxa"/>
            <w:right w:w="108" w:type="dxa"/>
          </w:tblCellMar>
        </w:tblPrEx>
        <w:trPr>
          <w:trHeight w:val="84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180</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C025</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外伤处理器械</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为处理体外伤害的器械装备。包含缝针、缝线、止血钳、剪刀、镊子及绷带、药棉组成。本品的配备按照国家统一标准安排。</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5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181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C026</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注射器</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供中小学卫生室注射药物用，塑料一次性产品。</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5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182</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C027</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卫生箱</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供中小学卫生室盛放急救用品，外包装为铝合金制成。规格不小于280×250×180mm。</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54"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183</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C031</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器械台</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供中小学卫生室盛放医疗器械之用，由不锈钢制成。产品主要由立柱、横梁、台面、脚轮组成，载重不小于75kg。规格不小于900×530×890mm。</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1003"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184</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C032</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紫外灯</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供中小学卫生室用。规格约900×20mm，圆柱形。本产品由两端插头加上中央的石英玻璃管材构成；采用紫外线透过滤高的石英玻璃管材制成。</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140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185</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C033</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急救包</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供中小学卫生室用。产品规格不小于430×250×350mm。内含物：纱布、胶带、药棉、创口贴、剪刀、乳胶止血带、钳子、体温计、听诊器、酒精、肚泻药等。产品应采用防水、无毒、环保型材料，具有防水、防尘、易清洗等特性。</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84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186</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C034</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开合式担架</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供中小学卫生室用，高强度铝合金制作。 产品展开后不小于2150×550×150 mm，折叠后不大于1080×170×90 mm，净重不超过6kg，承重不小于160kg。</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112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187</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C036</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叩诊锤</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叩诊锤由锤柄，锤头，锤头座和柔性击打部构成。前端为橡胶锤头后端为圆柱实木；规格：长不小于200mm。锤柄直径不小于18mm。</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1039"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188</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C037</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带状检影镜</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带状检影镜由镜身和镜柄二部分组成。镜内身部装有反光镜和聚光镜组件。镜柄由手柄和灯丝呈直线状的灯泡组成。仪器操作方便，灯丝可作360°旋转及上下移动，定位可靠，光带强度弱适中，测试误差小于5度。</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112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189</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J1211</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照度计</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供中小学卫生室用。数字显示 。产品分辨率0.01LX，4档量程，3.5位LED显示  精度：±4％。产品其他技术参数应符合JB/T 7403-1994的要求。</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r>
        <w:tblPrEx>
          <w:tblCellMar>
            <w:top w:w="0" w:type="dxa"/>
            <w:left w:w="108" w:type="dxa"/>
            <w:bottom w:w="0" w:type="dxa"/>
            <w:right w:w="108" w:type="dxa"/>
          </w:tblCellMar>
        </w:tblPrEx>
        <w:trPr>
          <w:trHeight w:val="84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190</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C038</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柳形夹板</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供中小学卫生室用。产品应定型优越、透气性好、质地轻。产品应有X射线穿透性、环保性、抗生性。</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711"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191</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C050</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观察床</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供中小学卫生室用。规格不小于1840×620×650mm。不锈钢制作。床面铺设人造革面料。</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张</w:t>
            </w:r>
          </w:p>
        </w:tc>
      </w:tr>
      <w:tr>
        <w:tblPrEx>
          <w:tblCellMar>
            <w:top w:w="0" w:type="dxa"/>
            <w:left w:w="108" w:type="dxa"/>
            <w:bottom w:w="0" w:type="dxa"/>
            <w:right w:w="108" w:type="dxa"/>
          </w:tblCellMar>
        </w:tblPrEx>
        <w:trPr>
          <w:trHeight w:val="56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192</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C041</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止血带</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供中小学卫生室用；产品采用乳胶制作，长不小于500mm。</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　</w:t>
            </w:r>
          </w:p>
        </w:tc>
      </w:tr>
      <w:tr>
        <w:tblPrEx>
          <w:tblCellMar>
            <w:top w:w="0" w:type="dxa"/>
            <w:left w:w="108" w:type="dxa"/>
            <w:bottom w:w="0" w:type="dxa"/>
            <w:right w:w="108" w:type="dxa"/>
          </w:tblCellMar>
        </w:tblPrEx>
        <w:trPr>
          <w:trHeight w:val="417"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193</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C045</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饮水机</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为立式。电源220V，50Hz。应符合GB/T22092-2008的要求。</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台</w:t>
            </w:r>
          </w:p>
        </w:tc>
      </w:tr>
      <w:tr>
        <w:tblPrEx>
          <w:tblCellMar>
            <w:top w:w="0" w:type="dxa"/>
            <w:left w:w="108" w:type="dxa"/>
            <w:bottom w:w="0" w:type="dxa"/>
            <w:right w:w="108" w:type="dxa"/>
          </w:tblCellMar>
        </w:tblPrEx>
        <w:trPr>
          <w:trHeight w:val="224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194</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C046</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lang w:bidi="ar"/>
              </w:rPr>
              <w:t>▲</w:t>
            </w:r>
            <w:r>
              <w:rPr>
                <w:rFonts w:hint="eastAsia" w:ascii="仿宋" w:hAnsi="仿宋" w:eastAsia="仿宋" w:cs="宋体"/>
                <w:kern w:val="0"/>
                <w:szCs w:val="21"/>
              </w:rPr>
              <w:t>小型红外线消毒柜</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供中小学卫生室消毒用。不锈钢型外壳，宽425*深362*高800MM，容积：65L,功率：600W；上层臭氧消毒，20毫克/立方米≤臭氧浓度≤30毫克/立方米，可有效杀灭大肠杆菌、金黄色葡萄球菌；下层远红外线加热至120度以上高温消毒，对大肠杆菌、金黄色葡萄球菌杀灭率99.99%，对乙肝表面抗原（HBsAg）的破坏呈阴性反。对人体无任何副作用温度控制准确可靠，并且备有超温保护，安全可靠；上下两室同时工作。</w:t>
            </w:r>
            <w:r>
              <w:rPr>
                <w:rFonts w:ascii="仿宋" w:hAnsi="仿宋" w:eastAsia="仿宋" w:cs="宋体"/>
                <w:kern w:val="0"/>
                <w:szCs w:val="21"/>
              </w:rPr>
              <w:t xml:space="preserve"> </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台</w:t>
            </w:r>
          </w:p>
        </w:tc>
      </w:tr>
      <w:tr>
        <w:tblPrEx>
          <w:tblCellMar>
            <w:top w:w="0" w:type="dxa"/>
            <w:left w:w="108" w:type="dxa"/>
            <w:bottom w:w="0" w:type="dxa"/>
            <w:right w:w="108" w:type="dxa"/>
          </w:tblCellMar>
        </w:tblPrEx>
        <w:trPr>
          <w:trHeight w:val="280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195</w:t>
            </w:r>
          </w:p>
        </w:tc>
        <w:tc>
          <w:tcPr>
            <w:tcW w:w="85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C050</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电子计数心肺复苏人体模型</w:t>
            </w:r>
          </w:p>
        </w:tc>
        <w:tc>
          <w:tcPr>
            <w:tcW w:w="5528"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供中小学卫生室用。可模拟标准气道开放、胸外按压、人工呼吸灯主要功能。操作程序可分为初学训练、单人考核、双人考核。在操作过程中每次胸外按压一次，心跳在液晶屏上显示一次，操作成功后，电脑显示器的液晶屏上显示正常动态心电图。模拟人人体上有颈动脉自动搏动，心脏自动恢复跳动的声音，瞳孔由散大自动缩小恢复正常，成绩报告打印等。产品面皮肤、颈皮肤、胸皮肤、头发，采用进口热塑弹性体混合胶材料，由不锈钢摸具、经注塑机高温注压而成，解剖标志准确、手感真实、肤色统一、形态逼真、经久耐用、消毒清洗不变形、拆装更换方便。</w:t>
            </w:r>
          </w:p>
        </w:tc>
        <w:tc>
          <w:tcPr>
            <w:tcW w:w="855"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7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个</w:t>
            </w:r>
          </w:p>
        </w:tc>
      </w:tr>
    </w:tbl>
    <w:p>
      <w:pPr>
        <w:rPr>
          <w:rFonts w:ascii="仿宋" w:hAnsi="仿宋" w:eastAsia="仿宋" w:cs="宋体"/>
          <w:kern w:val="0"/>
          <w:sz w:val="22"/>
          <w:szCs w:val="22"/>
        </w:rPr>
      </w:pPr>
    </w:p>
    <w:p>
      <w:pPr>
        <w:rPr>
          <w:rFonts w:ascii="仿宋" w:hAnsi="仿宋" w:eastAsia="仿宋" w:cs="宋体"/>
          <w:kern w:val="0"/>
          <w:sz w:val="22"/>
          <w:szCs w:val="22"/>
        </w:rPr>
      </w:pPr>
    </w:p>
    <w:p>
      <w:pPr>
        <w:sectPr>
          <w:pgSz w:w="11906" w:h="16838"/>
          <w:pgMar w:top="1440" w:right="1800" w:bottom="1440" w:left="1800" w:header="851" w:footer="992" w:gutter="0"/>
          <w:cols w:space="720" w:num="1"/>
          <w:docGrid w:type="lines" w:linePitch="312" w:charSpace="0"/>
        </w:sectPr>
      </w:pPr>
    </w:p>
    <w:p>
      <w:pPr>
        <w:pStyle w:val="2"/>
        <w:spacing w:line="400" w:lineRule="exact"/>
        <w:jc w:val="center"/>
        <w:rPr>
          <w:rFonts w:ascii="仿宋" w:hAnsi="仿宋" w:eastAsia="仿宋"/>
          <w:sz w:val="36"/>
          <w:szCs w:val="36"/>
        </w:rPr>
      </w:pPr>
      <w:r>
        <w:rPr>
          <w:rFonts w:hint="eastAsia" w:ascii="仿宋" w:hAnsi="仿宋" w:eastAsia="仿宋"/>
          <w:sz w:val="36"/>
          <w:szCs w:val="36"/>
        </w:rPr>
        <w:t>第七章  评标办法</w:t>
      </w:r>
      <w:bookmarkEnd w:id="180"/>
      <w:bookmarkEnd w:id="181"/>
      <w:bookmarkStart w:id="182" w:name="_Hlt101846155"/>
      <w:bookmarkEnd w:id="182"/>
      <w:bookmarkStart w:id="183" w:name="_Toc208849007"/>
      <w:bookmarkStart w:id="184" w:name="_Toc183682415"/>
      <w:bookmarkStart w:id="185" w:name="_Toc183582280"/>
      <w:bookmarkStart w:id="186" w:name="_Toc217446097"/>
    </w:p>
    <w:p>
      <w:pPr>
        <w:pStyle w:val="3"/>
        <w:rPr>
          <w:rFonts w:ascii="仿宋" w:hAnsi="仿宋" w:eastAsia="仿宋"/>
          <w:sz w:val="24"/>
          <w:szCs w:val="24"/>
        </w:rPr>
      </w:pPr>
      <w:r>
        <w:rPr>
          <w:rFonts w:hint="eastAsia" w:ascii="仿宋" w:hAnsi="仿宋" w:eastAsia="仿宋"/>
          <w:sz w:val="24"/>
          <w:szCs w:val="24"/>
        </w:rPr>
        <w:t>1. 总则</w:t>
      </w:r>
      <w:bookmarkEnd w:id="183"/>
      <w:bookmarkEnd w:id="184"/>
      <w:bookmarkEnd w:id="185"/>
      <w:bookmarkEnd w:id="186"/>
    </w:p>
    <w:p>
      <w:pPr>
        <w:spacing w:line="400" w:lineRule="exact"/>
        <w:ind w:firstLine="480" w:firstLineChars="200"/>
        <w:rPr>
          <w:rFonts w:ascii="仿宋" w:hAnsi="仿宋" w:eastAsia="仿宋"/>
          <w:sz w:val="24"/>
        </w:rPr>
      </w:pPr>
      <w:r>
        <w:rPr>
          <w:rFonts w:hint="eastAsia" w:ascii="仿宋" w:hAnsi="仿宋" w:eastAsia="仿宋"/>
          <w:sz w:val="24"/>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eastAsia="仿宋"/>
          <w:sz w:val="24"/>
        </w:rPr>
      </w:pPr>
      <w:r>
        <w:rPr>
          <w:rFonts w:hint="eastAsia" w:ascii="仿宋" w:hAnsi="仿宋" w:eastAsia="仿宋"/>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Pr>
          <w:rFonts w:ascii="仿宋" w:hAnsi="仿宋" w:eastAsia="仿宋"/>
          <w:sz w:val="24"/>
        </w:rPr>
        <w:t>进行审查</w:t>
      </w:r>
      <w:r>
        <w:rPr>
          <w:rFonts w:hint="eastAsia" w:ascii="仿宋" w:hAnsi="仿宋" w:eastAsia="仿宋"/>
          <w:sz w:val="24"/>
        </w:rPr>
        <w:t>，以确定投标供应商是否具备投标资格。</w:t>
      </w:r>
    </w:p>
    <w:p>
      <w:pPr>
        <w:spacing w:line="400" w:lineRule="exact"/>
        <w:ind w:firstLine="480" w:firstLineChars="200"/>
        <w:rPr>
          <w:rFonts w:ascii="仿宋" w:hAnsi="仿宋" w:eastAsia="仿宋"/>
          <w:sz w:val="24"/>
        </w:rPr>
      </w:pPr>
      <w:r>
        <w:rPr>
          <w:rFonts w:hint="eastAsia" w:ascii="仿宋" w:hAnsi="仿宋" w:eastAsia="仿宋"/>
          <w:sz w:val="24"/>
        </w:rPr>
        <w:t>合格投标人不足三家的，不得评标。</w:t>
      </w:r>
    </w:p>
    <w:p>
      <w:pPr>
        <w:spacing w:line="400" w:lineRule="exact"/>
        <w:ind w:firstLine="480" w:firstLineChars="200"/>
        <w:rPr>
          <w:rFonts w:ascii="仿宋" w:hAnsi="仿宋" w:eastAsia="仿宋"/>
          <w:sz w:val="24"/>
        </w:rPr>
      </w:pPr>
      <w:r>
        <w:rPr>
          <w:rFonts w:hint="eastAsia" w:ascii="仿宋" w:hAnsi="仿宋" w:eastAsia="仿宋"/>
          <w:sz w:val="24"/>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eastAsia="仿宋"/>
          <w:sz w:val="24"/>
        </w:rPr>
      </w:pPr>
      <w:r>
        <w:rPr>
          <w:rFonts w:hint="eastAsia" w:ascii="仿宋" w:hAnsi="仿宋" w:eastAsia="仿宋"/>
          <w:sz w:val="24"/>
        </w:rPr>
        <w:t>1.3 评标工作应遵循公平、公正、科学及择优的原则，并以相同的评标程序和标准对待所有的投标人。</w:t>
      </w:r>
    </w:p>
    <w:p>
      <w:pPr>
        <w:spacing w:line="400" w:lineRule="exact"/>
        <w:ind w:firstLine="480" w:firstLineChars="200"/>
        <w:rPr>
          <w:rFonts w:ascii="仿宋" w:hAnsi="仿宋" w:eastAsia="仿宋"/>
          <w:sz w:val="24"/>
        </w:rPr>
      </w:pPr>
      <w:r>
        <w:rPr>
          <w:rFonts w:hint="eastAsia" w:ascii="仿宋" w:hAnsi="仿宋" w:eastAsia="仿宋"/>
          <w:sz w:val="24"/>
        </w:rPr>
        <w:t>1.4 评标委员会按照招标文件规定的评标方法和标准进行评标，并独立履行下列职责：</w:t>
      </w:r>
    </w:p>
    <w:p>
      <w:pPr>
        <w:spacing w:line="400" w:lineRule="exact"/>
        <w:ind w:firstLine="480" w:firstLineChars="200"/>
        <w:rPr>
          <w:rFonts w:ascii="仿宋" w:hAnsi="仿宋" w:eastAsia="仿宋"/>
          <w:sz w:val="24"/>
        </w:rPr>
      </w:pPr>
      <w:bookmarkStart w:id="187" w:name="_Toc217446098"/>
      <w:r>
        <w:rPr>
          <w:rFonts w:hint="eastAsia" w:ascii="仿宋" w:hAnsi="仿宋" w:eastAsia="仿宋"/>
          <w:sz w:val="24"/>
        </w:rPr>
        <w:t>（一）熟悉和理解招标文件；</w:t>
      </w:r>
    </w:p>
    <w:p>
      <w:pPr>
        <w:spacing w:line="400" w:lineRule="exact"/>
        <w:ind w:firstLine="480" w:firstLineChars="200"/>
        <w:rPr>
          <w:rFonts w:ascii="仿宋" w:hAnsi="仿宋" w:eastAsia="仿宋"/>
          <w:sz w:val="24"/>
        </w:rPr>
      </w:pPr>
      <w:r>
        <w:rPr>
          <w:rFonts w:hint="eastAsia" w:ascii="仿宋" w:hAnsi="仿宋" w:eastAsia="仿宋"/>
          <w:sz w:val="24"/>
        </w:rPr>
        <w:t>（二）审查供应商（已通过资格审查）的投标文件是否满足招标文件要求，并作出评价；</w:t>
      </w:r>
    </w:p>
    <w:p>
      <w:pPr>
        <w:spacing w:line="400" w:lineRule="exact"/>
        <w:ind w:firstLine="480" w:firstLineChars="200"/>
        <w:rPr>
          <w:rFonts w:ascii="仿宋" w:hAnsi="仿宋" w:eastAsia="仿宋"/>
          <w:sz w:val="24"/>
        </w:rPr>
      </w:pPr>
      <w:r>
        <w:rPr>
          <w:rFonts w:hint="eastAsia" w:ascii="仿宋" w:hAnsi="仿宋" w:eastAsia="仿宋"/>
          <w:sz w:val="24"/>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eastAsia="仿宋"/>
          <w:sz w:val="24"/>
        </w:rPr>
      </w:pPr>
      <w:r>
        <w:rPr>
          <w:rFonts w:hint="eastAsia" w:ascii="仿宋" w:hAnsi="仿宋" w:eastAsia="仿宋"/>
          <w:sz w:val="24"/>
        </w:rPr>
        <w:t>（四）推荐中标候选供应商，或者受采购人委托确定中标供应商；</w:t>
      </w:r>
    </w:p>
    <w:p>
      <w:pPr>
        <w:spacing w:line="400" w:lineRule="exact"/>
        <w:ind w:firstLine="480" w:firstLineChars="200"/>
        <w:rPr>
          <w:rFonts w:ascii="仿宋" w:hAnsi="仿宋" w:eastAsia="仿宋"/>
          <w:sz w:val="24"/>
        </w:rPr>
      </w:pPr>
      <w:r>
        <w:rPr>
          <w:rFonts w:hint="eastAsia" w:ascii="仿宋" w:hAnsi="仿宋" w:eastAsia="仿宋"/>
          <w:sz w:val="24"/>
        </w:rPr>
        <w:t>（五）起草评标报告并进行签署；</w:t>
      </w:r>
    </w:p>
    <w:p>
      <w:pPr>
        <w:spacing w:line="400" w:lineRule="exact"/>
        <w:ind w:firstLine="480" w:firstLineChars="200"/>
        <w:rPr>
          <w:rFonts w:ascii="仿宋" w:hAnsi="仿宋" w:eastAsia="仿宋"/>
          <w:sz w:val="24"/>
        </w:rPr>
      </w:pPr>
      <w:r>
        <w:rPr>
          <w:rFonts w:hint="eastAsia" w:ascii="仿宋" w:hAnsi="仿宋" w:eastAsia="仿宋"/>
          <w:sz w:val="24"/>
        </w:rPr>
        <w:t>（六）向招标采购单位、财政部门或者其他监督部门报告非法干预评标工作的行为；</w:t>
      </w:r>
    </w:p>
    <w:p>
      <w:pPr>
        <w:spacing w:line="400" w:lineRule="exact"/>
        <w:ind w:firstLine="480" w:firstLineChars="200"/>
        <w:rPr>
          <w:rFonts w:ascii="仿宋" w:hAnsi="仿宋" w:eastAsia="仿宋"/>
          <w:sz w:val="24"/>
        </w:rPr>
      </w:pPr>
      <w:r>
        <w:rPr>
          <w:rFonts w:hint="eastAsia" w:ascii="仿宋" w:hAnsi="仿宋" w:eastAsia="仿宋"/>
          <w:sz w:val="24"/>
        </w:rPr>
        <w:t>（七）法律、法规和规章规定的其他职责。</w:t>
      </w:r>
    </w:p>
    <w:p>
      <w:pPr>
        <w:spacing w:line="400" w:lineRule="exact"/>
        <w:ind w:firstLine="480" w:firstLineChars="200"/>
        <w:rPr>
          <w:rFonts w:ascii="仿宋" w:hAnsi="仿宋" w:eastAsia="仿宋"/>
          <w:sz w:val="24"/>
        </w:rPr>
      </w:pPr>
      <w:r>
        <w:rPr>
          <w:rFonts w:hint="eastAsia" w:ascii="仿宋" w:hAnsi="仿宋" w:eastAsia="仿宋"/>
          <w:sz w:val="24"/>
        </w:rPr>
        <w:t>1.5 评标过程独立、保密。投标人非法干预评标过程的行为将导致其投标文件作为无效处理。</w:t>
      </w:r>
    </w:p>
    <w:p>
      <w:pPr>
        <w:spacing w:line="400" w:lineRule="exact"/>
        <w:ind w:firstLine="480" w:firstLineChars="200"/>
        <w:rPr>
          <w:rFonts w:ascii="仿宋" w:hAnsi="仿宋" w:eastAsia="仿宋"/>
          <w:sz w:val="24"/>
        </w:rPr>
      </w:pPr>
      <w:r>
        <w:rPr>
          <w:rFonts w:hint="eastAsia" w:ascii="仿宋" w:hAnsi="仿宋" w:eastAsia="仿宋"/>
          <w:sz w:val="24"/>
        </w:rPr>
        <w:t>1.6 评标委员会评价投标文件的响应性，对于投标人而言，除评标委员会要求其澄清、说明或者更正而提供的资料外，仅依据投标文件本身的内容，不寻求其他外部证据。</w:t>
      </w:r>
    </w:p>
    <w:p>
      <w:pPr>
        <w:pStyle w:val="3"/>
        <w:rPr>
          <w:rFonts w:ascii="仿宋" w:hAnsi="仿宋" w:eastAsia="仿宋"/>
          <w:sz w:val="24"/>
          <w:szCs w:val="24"/>
        </w:rPr>
      </w:pPr>
      <w:r>
        <w:rPr>
          <w:rFonts w:hint="eastAsia" w:ascii="仿宋" w:hAnsi="仿宋" w:eastAsia="仿宋"/>
          <w:sz w:val="24"/>
          <w:szCs w:val="24"/>
        </w:rPr>
        <w:t>2、 评标</w:t>
      </w:r>
      <w:bookmarkEnd w:id="187"/>
      <w:r>
        <w:rPr>
          <w:rFonts w:hint="eastAsia" w:ascii="仿宋" w:hAnsi="仿宋" w:eastAsia="仿宋"/>
          <w:sz w:val="24"/>
          <w:szCs w:val="24"/>
        </w:rPr>
        <w:t>方法</w:t>
      </w:r>
    </w:p>
    <w:p>
      <w:pPr>
        <w:spacing w:line="360" w:lineRule="auto"/>
        <w:ind w:firstLine="480" w:firstLineChars="200"/>
        <w:rPr>
          <w:rFonts w:ascii="仿宋" w:hAnsi="仿宋" w:eastAsia="仿宋"/>
          <w:sz w:val="24"/>
        </w:rPr>
      </w:pPr>
      <w:bookmarkStart w:id="188" w:name="_Toc217446103"/>
      <w:bookmarkStart w:id="189" w:name="_Toc217446099"/>
      <w:r>
        <w:rPr>
          <w:rFonts w:hint="eastAsia" w:ascii="仿宋" w:hAnsi="仿宋" w:eastAsia="仿宋"/>
          <w:sz w:val="24"/>
        </w:rPr>
        <w:t>2.1本项目评标方法为：</w:t>
      </w:r>
      <w:r>
        <w:rPr>
          <w:rFonts w:hint="eastAsia" w:ascii="仿宋" w:hAnsi="仿宋" w:eastAsia="仿宋"/>
          <w:b/>
          <w:bCs/>
          <w:sz w:val="24"/>
        </w:rPr>
        <w:t>综合法</w:t>
      </w:r>
      <w:r>
        <w:rPr>
          <w:rFonts w:hint="eastAsia" w:ascii="仿宋" w:hAnsi="仿宋" w:eastAsia="仿宋"/>
          <w:sz w:val="24"/>
        </w:rPr>
        <w:t>。</w:t>
      </w:r>
    </w:p>
    <w:p>
      <w:pPr>
        <w:pStyle w:val="3"/>
        <w:rPr>
          <w:rFonts w:ascii="仿宋" w:hAnsi="仿宋" w:eastAsia="仿宋"/>
          <w:sz w:val="24"/>
          <w:szCs w:val="24"/>
        </w:rPr>
      </w:pPr>
      <w:r>
        <w:rPr>
          <w:rFonts w:hint="eastAsia" w:ascii="仿宋" w:hAnsi="仿宋" w:eastAsia="仿宋"/>
          <w:sz w:val="24"/>
          <w:szCs w:val="24"/>
        </w:rPr>
        <w:t>3、 评标程序</w:t>
      </w:r>
    </w:p>
    <w:p>
      <w:pPr>
        <w:spacing w:line="400" w:lineRule="exact"/>
        <w:ind w:firstLine="480" w:firstLineChars="200"/>
        <w:rPr>
          <w:rFonts w:ascii="仿宋" w:hAnsi="仿宋" w:eastAsia="仿宋"/>
          <w:sz w:val="24"/>
        </w:rPr>
      </w:pPr>
      <w:r>
        <w:rPr>
          <w:rFonts w:hint="eastAsia" w:ascii="仿宋" w:hAnsi="仿宋" w:eastAsia="仿宋"/>
          <w:sz w:val="24"/>
        </w:rPr>
        <w:t>3.1熟悉和理解招标文件和停止评标。</w:t>
      </w:r>
    </w:p>
    <w:p>
      <w:pPr>
        <w:spacing w:line="400" w:lineRule="exact"/>
        <w:ind w:firstLine="480" w:firstLineChars="200"/>
        <w:rPr>
          <w:rFonts w:ascii="仿宋" w:hAnsi="仿宋" w:eastAsia="仿宋"/>
          <w:sz w:val="24"/>
        </w:rPr>
      </w:pPr>
      <w:r>
        <w:rPr>
          <w:rFonts w:hint="eastAsia" w:ascii="仿宋" w:hAnsi="仿宋" w:eastAsia="仿宋"/>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eastAsia="仿宋"/>
          <w:sz w:val="24"/>
        </w:rPr>
      </w:pPr>
      <w:r>
        <w:rPr>
          <w:rFonts w:hint="eastAsia" w:ascii="仿宋" w:hAnsi="仿宋" w:eastAsia="仿宋"/>
          <w:sz w:val="24"/>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eastAsia="仿宋"/>
          <w:sz w:val="24"/>
        </w:rPr>
      </w:pPr>
      <w:r>
        <w:rPr>
          <w:rFonts w:hint="eastAsia" w:ascii="仿宋" w:hAnsi="仿宋" w:eastAsia="仿宋"/>
          <w:sz w:val="24"/>
        </w:rPr>
        <w:t>（1）招标文件的规定存在歧义、重大缺陷的；</w:t>
      </w:r>
    </w:p>
    <w:p>
      <w:pPr>
        <w:spacing w:line="400" w:lineRule="exact"/>
        <w:ind w:firstLine="480" w:firstLineChars="200"/>
        <w:rPr>
          <w:rFonts w:ascii="仿宋" w:hAnsi="仿宋" w:eastAsia="仿宋"/>
          <w:sz w:val="24"/>
        </w:rPr>
      </w:pPr>
      <w:r>
        <w:rPr>
          <w:rFonts w:hint="eastAsia" w:ascii="仿宋" w:hAnsi="仿宋" w:eastAsia="仿宋"/>
          <w:sz w:val="24"/>
        </w:rPr>
        <w:t>（2）招标文件明显以不合理条件对供应商实行差别待遇或者歧视待遇的；</w:t>
      </w:r>
    </w:p>
    <w:p>
      <w:pPr>
        <w:spacing w:line="400" w:lineRule="exact"/>
        <w:ind w:firstLine="480" w:firstLineChars="200"/>
        <w:rPr>
          <w:rFonts w:ascii="仿宋" w:hAnsi="仿宋" w:eastAsia="仿宋"/>
          <w:sz w:val="24"/>
        </w:rPr>
      </w:pPr>
      <w:r>
        <w:rPr>
          <w:rFonts w:hint="eastAsia" w:ascii="仿宋" w:hAnsi="仿宋" w:eastAsia="仿宋"/>
          <w:sz w:val="24"/>
        </w:rPr>
        <w:t>（3）采购项目属于国家规定的优先、强制采购范围，但是招标文件未依法体现优先、强制采购相关规定的；</w:t>
      </w:r>
    </w:p>
    <w:p>
      <w:pPr>
        <w:spacing w:line="400" w:lineRule="exact"/>
        <w:ind w:firstLine="480" w:firstLineChars="200"/>
        <w:rPr>
          <w:rFonts w:ascii="仿宋" w:hAnsi="仿宋" w:eastAsia="仿宋"/>
          <w:sz w:val="24"/>
        </w:rPr>
      </w:pPr>
      <w:r>
        <w:rPr>
          <w:rFonts w:hint="eastAsia" w:ascii="仿宋" w:hAnsi="仿宋" w:eastAsia="仿宋"/>
          <w:sz w:val="24"/>
        </w:rPr>
        <w:t>（4）采购项目属于政府采购促进中小企业发展的范围，但是招标文件未依法体现促进中小企业发展相关规定的；</w:t>
      </w:r>
    </w:p>
    <w:p>
      <w:pPr>
        <w:spacing w:line="400" w:lineRule="exact"/>
        <w:ind w:firstLine="480" w:firstLineChars="200"/>
        <w:rPr>
          <w:rFonts w:ascii="仿宋" w:hAnsi="仿宋" w:eastAsia="仿宋"/>
          <w:sz w:val="24"/>
        </w:rPr>
      </w:pPr>
      <w:r>
        <w:rPr>
          <w:rFonts w:hint="eastAsia" w:ascii="仿宋" w:hAnsi="仿宋" w:eastAsia="仿宋"/>
          <w:sz w:val="24"/>
        </w:rPr>
        <w:t>（5）招标文件规定的评标方法是综合法、最低评标价法之外的评标方法，或者虽然名称为综合法、最低评标价法，但实际上不符合国家规定；</w:t>
      </w:r>
    </w:p>
    <w:p>
      <w:pPr>
        <w:spacing w:line="400" w:lineRule="exact"/>
        <w:ind w:firstLine="480" w:firstLineChars="200"/>
        <w:rPr>
          <w:rFonts w:ascii="仿宋" w:hAnsi="仿宋" w:eastAsia="仿宋"/>
          <w:sz w:val="24"/>
        </w:rPr>
      </w:pPr>
      <w:r>
        <w:rPr>
          <w:rFonts w:hint="eastAsia" w:ascii="仿宋" w:hAnsi="仿宋" w:eastAsia="仿宋"/>
          <w:sz w:val="24"/>
        </w:rPr>
        <w:t>（6）招标文件将投标人的资格条件列为因素的；</w:t>
      </w:r>
    </w:p>
    <w:p>
      <w:pPr>
        <w:spacing w:line="400" w:lineRule="exact"/>
        <w:ind w:firstLine="480" w:firstLineChars="200"/>
        <w:rPr>
          <w:rFonts w:ascii="仿宋" w:hAnsi="仿宋" w:eastAsia="仿宋"/>
          <w:sz w:val="24"/>
        </w:rPr>
      </w:pPr>
      <w:r>
        <w:rPr>
          <w:rFonts w:hint="eastAsia" w:ascii="仿宋" w:hAnsi="仿宋" w:eastAsia="仿宋"/>
          <w:sz w:val="24"/>
        </w:rPr>
        <w:t>（7）招标文件有违反国家其他有关强制性规定的情形。</w:t>
      </w:r>
    </w:p>
    <w:p>
      <w:pPr>
        <w:spacing w:line="400" w:lineRule="exact"/>
        <w:ind w:firstLine="480" w:firstLineChars="200"/>
        <w:rPr>
          <w:rFonts w:ascii="仿宋" w:hAnsi="仿宋" w:eastAsia="仿宋"/>
          <w:sz w:val="24"/>
        </w:rPr>
      </w:pPr>
      <w:r>
        <w:rPr>
          <w:rFonts w:hint="eastAsia" w:ascii="仿宋" w:hAnsi="仿宋" w:eastAsia="仿宋"/>
          <w:sz w:val="24"/>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eastAsia="仿宋"/>
          <w:sz w:val="24"/>
        </w:rPr>
      </w:pPr>
      <w:r>
        <w:rPr>
          <w:rFonts w:hint="eastAsia" w:ascii="仿宋" w:hAnsi="仿宋" w:eastAsia="仿宋"/>
          <w:sz w:val="24"/>
        </w:rPr>
        <w:t>3.2符合性检查。</w:t>
      </w:r>
    </w:p>
    <w:p>
      <w:pPr>
        <w:spacing w:line="400" w:lineRule="exact"/>
        <w:ind w:firstLine="480" w:firstLineChars="200"/>
        <w:rPr>
          <w:rFonts w:ascii="仿宋" w:hAnsi="仿宋" w:eastAsia="仿宋"/>
          <w:sz w:val="24"/>
        </w:rPr>
      </w:pPr>
      <w:r>
        <w:rPr>
          <w:rFonts w:hint="eastAsia" w:ascii="仿宋" w:hAnsi="仿宋" w:eastAsia="仿宋"/>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400" w:lineRule="exact"/>
        <w:ind w:firstLine="480" w:firstLineChars="200"/>
        <w:rPr>
          <w:rFonts w:ascii="仿宋" w:hAnsi="仿宋" w:eastAsia="仿宋"/>
          <w:sz w:val="24"/>
        </w:rPr>
      </w:pPr>
      <w:r>
        <w:rPr>
          <w:rFonts w:hint="eastAsia" w:ascii="仿宋" w:hAnsi="仿宋" w:eastAsia="仿宋"/>
          <w:sz w:val="24"/>
        </w:rPr>
        <w:t>3.2.2投标文件有下列情形的，本项目不作为实质性要求进行规定，即不作为符合性审查事项，不得作为无效投标处理：</w:t>
      </w:r>
    </w:p>
    <w:p>
      <w:pPr>
        <w:spacing w:line="400" w:lineRule="exact"/>
        <w:ind w:firstLine="480" w:firstLineChars="200"/>
        <w:rPr>
          <w:rFonts w:ascii="仿宋" w:hAnsi="仿宋" w:eastAsia="仿宋"/>
          <w:sz w:val="24"/>
        </w:rPr>
      </w:pPr>
      <w:r>
        <w:rPr>
          <w:rFonts w:hint="eastAsia" w:ascii="仿宋" w:hAnsi="仿宋" w:eastAsia="仿宋"/>
          <w:sz w:val="24"/>
        </w:rPr>
        <w:t>（一）存在个别地方（不超过2个）没有法定代表人/单位负责人签字，但有法定代表人/单位负责人的私人印章或者有效授权代理人签字的；</w:t>
      </w:r>
    </w:p>
    <w:p>
      <w:pPr>
        <w:spacing w:line="400" w:lineRule="exact"/>
        <w:ind w:firstLine="480" w:firstLineChars="200"/>
        <w:rPr>
          <w:rFonts w:ascii="仿宋" w:hAnsi="仿宋" w:eastAsia="仿宋"/>
          <w:sz w:val="24"/>
        </w:rPr>
      </w:pPr>
      <w:r>
        <w:rPr>
          <w:rFonts w:hint="eastAsia" w:ascii="仿宋" w:hAnsi="仿宋" w:eastAsia="仿宋"/>
          <w:sz w:val="24"/>
        </w:rPr>
        <w:t>（二）除招标文件明确要求加盖单位(法人)公章的以外，其他地方以相关专用章加盖的；</w:t>
      </w:r>
    </w:p>
    <w:p>
      <w:pPr>
        <w:spacing w:line="400" w:lineRule="exact"/>
        <w:ind w:firstLine="480" w:firstLineChars="200"/>
        <w:rPr>
          <w:rFonts w:ascii="仿宋" w:hAnsi="仿宋" w:eastAsia="仿宋"/>
          <w:sz w:val="24"/>
        </w:rPr>
      </w:pPr>
      <w:r>
        <w:rPr>
          <w:rFonts w:hint="eastAsia" w:ascii="仿宋" w:hAnsi="仿宋" w:eastAsia="仿宋"/>
          <w:sz w:val="24"/>
        </w:rPr>
        <w:t>（三）以骑缝章的形式代替投标文件内容逐页盖章的（但是骑缝章模糊不清，印章名称无法辨认的除外）；</w:t>
      </w:r>
    </w:p>
    <w:p>
      <w:pPr>
        <w:spacing w:line="400" w:lineRule="exact"/>
        <w:ind w:firstLine="480" w:firstLineChars="200"/>
        <w:rPr>
          <w:rFonts w:ascii="仿宋" w:hAnsi="仿宋" w:eastAsia="仿宋"/>
          <w:sz w:val="24"/>
        </w:rPr>
      </w:pPr>
      <w:r>
        <w:rPr>
          <w:rFonts w:hint="eastAsia" w:ascii="仿宋" w:hAnsi="仿宋" w:eastAsia="仿宋"/>
          <w:sz w:val="24"/>
        </w:rPr>
        <w:t>（四）其他不影响采购项目实质性要求的情形。</w:t>
      </w:r>
    </w:p>
    <w:p>
      <w:pPr>
        <w:spacing w:line="400" w:lineRule="exact"/>
        <w:ind w:firstLine="480" w:firstLineChars="200"/>
        <w:rPr>
          <w:rFonts w:ascii="仿宋" w:hAnsi="仿宋" w:eastAsia="仿宋"/>
          <w:sz w:val="24"/>
        </w:rPr>
      </w:pPr>
      <w:r>
        <w:rPr>
          <w:rFonts w:hint="eastAsia" w:ascii="仿宋" w:hAnsi="仿宋" w:eastAsia="仿宋"/>
          <w:sz w:val="24"/>
        </w:rPr>
        <w:t>3.2.3除政府采购法律制度规定的情形外，本项目投标人或者其投标文件有下列情形之一的，作为无效投标处理：</w:t>
      </w:r>
    </w:p>
    <w:p>
      <w:pPr>
        <w:spacing w:line="400" w:lineRule="exact"/>
        <w:ind w:firstLine="480" w:firstLineChars="200"/>
        <w:rPr>
          <w:rFonts w:ascii="仿宋" w:hAnsi="仿宋" w:eastAsia="仿宋"/>
          <w:sz w:val="24"/>
        </w:rPr>
      </w:pPr>
      <w:r>
        <w:rPr>
          <w:rFonts w:hint="eastAsia" w:ascii="仿宋" w:hAnsi="仿宋" w:eastAsia="仿宋"/>
          <w:sz w:val="24"/>
        </w:rPr>
        <w:t>（一）投标文件正副本数量不足的；</w:t>
      </w:r>
    </w:p>
    <w:p>
      <w:pPr>
        <w:spacing w:line="400" w:lineRule="exact"/>
        <w:ind w:firstLine="480" w:firstLineChars="200"/>
        <w:rPr>
          <w:rFonts w:ascii="仿宋" w:hAnsi="仿宋" w:eastAsia="仿宋"/>
          <w:sz w:val="24"/>
        </w:rPr>
      </w:pPr>
      <w:r>
        <w:rPr>
          <w:rFonts w:hint="eastAsia" w:ascii="仿宋" w:hAnsi="仿宋" w:eastAsia="仿宋"/>
          <w:sz w:val="24"/>
        </w:rPr>
        <w:t>（二）投标文件组成明显不符合招标文件的规定要求，影响评标委员会评判的；</w:t>
      </w:r>
    </w:p>
    <w:p>
      <w:pPr>
        <w:spacing w:line="400" w:lineRule="exact"/>
        <w:ind w:firstLine="480" w:firstLineChars="200"/>
        <w:rPr>
          <w:rFonts w:ascii="仿宋" w:hAnsi="仿宋" w:eastAsia="仿宋"/>
          <w:sz w:val="24"/>
        </w:rPr>
      </w:pPr>
      <w:r>
        <w:rPr>
          <w:rFonts w:hint="eastAsia" w:ascii="仿宋" w:hAnsi="仿宋" w:eastAsia="仿宋"/>
          <w:sz w:val="24"/>
        </w:rPr>
        <w:t>（三）投标文件语言、计量单位、报价货币、知识产权、投标有效期等不符合招标文件的规定，影响评标委员会评判的；</w:t>
      </w:r>
    </w:p>
    <w:p>
      <w:pPr>
        <w:spacing w:line="400" w:lineRule="exact"/>
        <w:ind w:firstLine="480" w:firstLineChars="200"/>
        <w:rPr>
          <w:rFonts w:ascii="仿宋" w:hAnsi="仿宋" w:eastAsia="仿宋"/>
          <w:sz w:val="24"/>
        </w:rPr>
      </w:pPr>
      <w:r>
        <w:rPr>
          <w:rFonts w:hint="eastAsia" w:ascii="仿宋" w:hAnsi="仿宋" w:eastAsia="仿宋"/>
          <w:sz w:val="24"/>
        </w:rPr>
        <w:t>（四）投标报价不符合招标文件规定的采购预算或限价或其他报价规定的；</w:t>
      </w:r>
    </w:p>
    <w:p>
      <w:pPr>
        <w:spacing w:line="400" w:lineRule="exact"/>
        <w:ind w:firstLine="480" w:firstLineChars="200"/>
        <w:rPr>
          <w:rFonts w:ascii="仿宋" w:hAnsi="仿宋" w:eastAsia="仿宋"/>
          <w:sz w:val="24"/>
        </w:rPr>
      </w:pPr>
      <w:r>
        <w:rPr>
          <w:rFonts w:hint="eastAsia" w:ascii="仿宋" w:hAnsi="仿宋" w:eastAsia="仿宋"/>
          <w:sz w:val="24"/>
        </w:rPr>
        <w:t>（五）商务、技术、服务应答内容没有完全响应招标文件的实质性要求的；</w:t>
      </w:r>
    </w:p>
    <w:p>
      <w:pPr>
        <w:spacing w:line="400" w:lineRule="exact"/>
        <w:ind w:firstLine="480" w:firstLineChars="200"/>
        <w:rPr>
          <w:rFonts w:ascii="仿宋" w:hAnsi="仿宋" w:eastAsia="仿宋"/>
          <w:sz w:val="24"/>
        </w:rPr>
      </w:pPr>
      <w:r>
        <w:rPr>
          <w:rFonts w:hint="eastAsia" w:ascii="仿宋" w:hAnsi="仿宋" w:eastAsia="仿宋"/>
          <w:sz w:val="24"/>
        </w:rPr>
        <w:t>（六）未载明或者载明的招标项目履约时间、方式、数量及其他政府采购合同实质性内容与招标文件要求不一致，且招标采购单位无法接受的。</w:t>
      </w:r>
    </w:p>
    <w:p>
      <w:pPr>
        <w:spacing w:line="400" w:lineRule="exact"/>
        <w:ind w:firstLine="480" w:firstLineChars="200"/>
        <w:rPr>
          <w:rFonts w:ascii="仿宋" w:hAnsi="仿宋" w:eastAsia="仿宋"/>
          <w:sz w:val="24"/>
        </w:rPr>
      </w:pPr>
      <w:r>
        <w:rPr>
          <w:rFonts w:hint="eastAsia" w:ascii="仿宋" w:hAnsi="仿宋" w:eastAsia="仿宋"/>
          <w:sz w:val="24"/>
        </w:rPr>
        <w:t>（七）投标文件未按招标文件要求签署、盖章的（本章</w:t>
      </w:r>
      <w:r>
        <w:rPr>
          <w:rFonts w:ascii="仿宋" w:hAnsi="仿宋" w:eastAsia="仿宋"/>
          <w:sz w:val="24"/>
        </w:rPr>
        <w:t>3.2.2</w:t>
      </w:r>
      <w:r>
        <w:rPr>
          <w:rFonts w:hint="eastAsia" w:ascii="仿宋" w:hAnsi="仿宋" w:eastAsia="仿宋"/>
          <w:sz w:val="24"/>
        </w:rPr>
        <w:t>规定</w:t>
      </w:r>
      <w:r>
        <w:rPr>
          <w:rFonts w:ascii="仿宋" w:hAnsi="仿宋" w:eastAsia="仿宋"/>
          <w:sz w:val="24"/>
        </w:rPr>
        <w:t>的</w:t>
      </w:r>
      <w:r>
        <w:rPr>
          <w:rFonts w:hint="eastAsia" w:ascii="仿宋" w:hAnsi="仿宋" w:eastAsia="仿宋"/>
          <w:sz w:val="24"/>
        </w:rPr>
        <w:t>例外</w:t>
      </w:r>
      <w:r>
        <w:rPr>
          <w:rFonts w:ascii="仿宋" w:hAnsi="仿宋" w:eastAsia="仿宋"/>
          <w:sz w:val="24"/>
        </w:rPr>
        <w:t>情形除外</w:t>
      </w:r>
      <w:r>
        <w:rPr>
          <w:rFonts w:hint="eastAsia" w:ascii="仿宋" w:hAnsi="仿宋" w:eastAsia="仿宋"/>
          <w:sz w:val="24"/>
        </w:rPr>
        <w:t>）；</w:t>
      </w:r>
    </w:p>
    <w:p>
      <w:pPr>
        <w:spacing w:line="400" w:lineRule="exact"/>
        <w:ind w:firstLine="480" w:firstLineChars="200"/>
        <w:rPr>
          <w:rFonts w:ascii="仿宋" w:hAnsi="仿宋" w:eastAsia="仿宋"/>
          <w:sz w:val="24"/>
        </w:rPr>
      </w:pPr>
      <w:r>
        <w:rPr>
          <w:rFonts w:hint="eastAsia" w:ascii="仿宋" w:hAnsi="仿宋" w:eastAsia="仿宋"/>
          <w:sz w:val="24"/>
        </w:rPr>
        <w:t>（八）没有完全响应招标文件的其他实质性要求或属于招标文件中投标无效情形的。</w:t>
      </w:r>
    </w:p>
    <w:p>
      <w:pPr>
        <w:spacing w:line="400" w:lineRule="exact"/>
        <w:ind w:firstLine="480" w:firstLineChars="200"/>
        <w:rPr>
          <w:rFonts w:ascii="仿宋" w:hAnsi="仿宋" w:eastAsia="仿宋"/>
          <w:sz w:val="24"/>
        </w:rPr>
      </w:pPr>
      <w:r>
        <w:rPr>
          <w:rFonts w:hint="eastAsia" w:ascii="仿宋" w:hAnsi="仿宋" w:eastAsia="仿宋"/>
          <w:sz w:val="24"/>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eastAsia="仿宋"/>
          <w:sz w:val="24"/>
        </w:rPr>
      </w:pPr>
      <w:r>
        <w:rPr>
          <w:rFonts w:hint="eastAsia" w:ascii="仿宋" w:hAnsi="仿宋" w:eastAsia="仿宋"/>
          <w:sz w:val="24"/>
        </w:rPr>
        <w:t>3.4复核。汇总结束后，评标委员会应当进行复核，特别要对拟推荐为中标候选供应商的、报价最低的、投标文件被认定为无效的进行重点复核。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eastAsia="仿宋"/>
          <w:sz w:val="24"/>
        </w:rPr>
      </w:pPr>
      <w:r>
        <w:rPr>
          <w:rFonts w:hint="eastAsia" w:ascii="仿宋" w:hAnsi="仿宋" w:eastAsia="仿宋"/>
          <w:sz w:val="24"/>
        </w:rPr>
        <w:t>3.5推荐中标候选供应商。中标候选供应商应当排序。本项目采用综合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sz w:val="24"/>
        </w:rPr>
      </w:pPr>
      <w:r>
        <w:rPr>
          <w:rFonts w:hint="eastAsia" w:ascii="仿宋" w:hAnsi="仿宋" w:eastAsia="仿宋"/>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eastAsia="仿宋"/>
          <w:sz w:val="24"/>
        </w:rPr>
      </w:pPr>
      <w:r>
        <w:rPr>
          <w:rFonts w:hint="eastAsia" w:ascii="仿宋" w:hAnsi="仿宋" w:eastAsia="仿宋"/>
          <w:sz w:val="24"/>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eastAsia="仿宋"/>
          <w:sz w:val="24"/>
        </w:rPr>
      </w:pPr>
      <w:r>
        <w:rPr>
          <w:rFonts w:hint="eastAsia" w:ascii="仿宋" w:hAnsi="仿宋" w:eastAsia="仿宋"/>
          <w:sz w:val="24"/>
        </w:rPr>
        <w:t>（一）招标公告刊登的媒体名称、开标日期和地点；</w:t>
      </w:r>
    </w:p>
    <w:p>
      <w:pPr>
        <w:spacing w:line="400" w:lineRule="exact"/>
        <w:ind w:firstLine="480" w:firstLineChars="200"/>
        <w:rPr>
          <w:rFonts w:ascii="仿宋" w:hAnsi="仿宋" w:eastAsia="仿宋"/>
          <w:sz w:val="24"/>
        </w:rPr>
      </w:pPr>
      <w:r>
        <w:rPr>
          <w:rFonts w:hint="eastAsia" w:ascii="仿宋" w:hAnsi="仿宋" w:eastAsia="仿宋"/>
          <w:sz w:val="24"/>
        </w:rPr>
        <w:t>（二）获取招标文件的投标人名单和评标委员会成员名单；</w:t>
      </w:r>
    </w:p>
    <w:p>
      <w:pPr>
        <w:spacing w:line="400" w:lineRule="exact"/>
        <w:ind w:firstLine="480" w:firstLineChars="200"/>
        <w:rPr>
          <w:rFonts w:ascii="仿宋" w:hAnsi="仿宋" w:eastAsia="仿宋"/>
          <w:sz w:val="24"/>
        </w:rPr>
      </w:pPr>
      <w:r>
        <w:rPr>
          <w:rFonts w:hint="eastAsia" w:ascii="仿宋" w:hAnsi="仿宋" w:eastAsia="仿宋"/>
          <w:sz w:val="24"/>
        </w:rPr>
        <w:t>（三）评标方法和标准；</w:t>
      </w:r>
    </w:p>
    <w:p>
      <w:pPr>
        <w:spacing w:line="400" w:lineRule="exact"/>
        <w:ind w:firstLine="480" w:firstLineChars="200"/>
        <w:rPr>
          <w:rFonts w:ascii="仿宋" w:hAnsi="仿宋" w:eastAsia="仿宋"/>
          <w:sz w:val="24"/>
        </w:rPr>
      </w:pPr>
      <w:r>
        <w:rPr>
          <w:rFonts w:hint="eastAsia" w:ascii="仿宋" w:hAnsi="仿宋" w:eastAsia="仿宋"/>
          <w:sz w:val="24"/>
        </w:rPr>
        <w:t>（四）开标记录和评标情况及说明，包括无效投标人名单及原因；</w:t>
      </w:r>
    </w:p>
    <w:p>
      <w:pPr>
        <w:spacing w:line="400" w:lineRule="exact"/>
        <w:ind w:firstLine="480" w:firstLineChars="200"/>
        <w:rPr>
          <w:rFonts w:ascii="仿宋" w:hAnsi="仿宋" w:eastAsia="仿宋"/>
          <w:sz w:val="24"/>
        </w:rPr>
      </w:pPr>
      <w:r>
        <w:rPr>
          <w:rFonts w:hint="eastAsia" w:ascii="仿宋" w:hAnsi="仿宋" w:eastAsia="仿宋"/>
          <w:sz w:val="24"/>
        </w:rPr>
        <w:t>（五）评标结果和中标候选供应商排序表；</w:t>
      </w:r>
    </w:p>
    <w:p>
      <w:pPr>
        <w:spacing w:line="400" w:lineRule="exact"/>
        <w:ind w:firstLine="480" w:firstLineChars="200"/>
        <w:rPr>
          <w:rFonts w:ascii="仿宋" w:hAnsi="仿宋" w:eastAsia="仿宋"/>
          <w:sz w:val="24"/>
        </w:rPr>
      </w:pPr>
      <w:r>
        <w:rPr>
          <w:rFonts w:hint="eastAsia" w:ascii="仿宋" w:hAnsi="仿宋" w:eastAsia="仿宋"/>
          <w:sz w:val="24"/>
        </w:rPr>
        <w:t>（六）评标委员会授标建议；</w:t>
      </w:r>
    </w:p>
    <w:p>
      <w:pPr>
        <w:spacing w:line="400" w:lineRule="exact"/>
        <w:ind w:firstLine="480" w:firstLineChars="200"/>
        <w:rPr>
          <w:rFonts w:ascii="仿宋" w:hAnsi="仿宋" w:eastAsia="仿宋"/>
          <w:sz w:val="24"/>
        </w:rPr>
      </w:pPr>
      <w:r>
        <w:rPr>
          <w:rFonts w:hint="eastAsia" w:ascii="仿宋" w:hAnsi="仿宋" w:eastAsia="仿宋"/>
          <w:sz w:val="24"/>
        </w:rPr>
        <w:t>（七）报价最高的投标人为中标候选人的，评标委员会应当对其报价的合理性予以特别说明。</w:t>
      </w:r>
    </w:p>
    <w:p>
      <w:pPr>
        <w:spacing w:line="400" w:lineRule="exact"/>
        <w:ind w:firstLine="480" w:firstLineChars="200"/>
        <w:rPr>
          <w:rFonts w:ascii="仿宋" w:hAnsi="仿宋" w:eastAsia="仿宋"/>
          <w:sz w:val="24"/>
        </w:rPr>
      </w:pPr>
      <w:r>
        <w:rPr>
          <w:rFonts w:hint="eastAsia" w:ascii="仿宋" w:hAnsi="仿宋" w:eastAsia="仿宋"/>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eastAsia="仿宋"/>
          <w:sz w:val="24"/>
        </w:rPr>
      </w:pPr>
      <w:r>
        <w:rPr>
          <w:rFonts w:hint="eastAsia" w:ascii="仿宋" w:hAnsi="仿宋" w:eastAsia="仿宋"/>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eastAsia="仿宋"/>
          <w:sz w:val="24"/>
        </w:rPr>
      </w:pPr>
      <w:r>
        <w:rPr>
          <w:rFonts w:hint="eastAsia" w:ascii="仿宋" w:hAnsi="仿宋" w:eastAsia="仿宋"/>
          <w:sz w:val="24"/>
        </w:rPr>
        <w:t>3.8供应商应当书面澄清、说明或者更正。</w:t>
      </w:r>
    </w:p>
    <w:p>
      <w:pPr>
        <w:spacing w:line="400" w:lineRule="exact"/>
        <w:ind w:firstLine="480" w:firstLineChars="200"/>
        <w:rPr>
          <w:rFonts w:ascii="仿宋" w:hAnsi="仿宋" w:eastAsia="仿宋"/>
          <w:sz w:val="24"/>
        </w:rPr>
      </w:pPr>
      <w:r>
        <w:rPr>
          <w:rFonts w:hint="eastAsia" w:ascii="仿宋" w:hAnsi="仿宋" w:eastAsia="仿宋"/>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eastAsia="仿宋"/>
          <w:sz w:val="24"/>
        </w:rPr>
      </w:pPr>
      <w:r>
        <w:rPr>
          <w:rFonts w:hint="eastAsia" w:ascii="仿宋" w:hAnsi="仿宋" w:eastAsia="仿宋"/>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pPr>
        <w:spacing w:line="400" w:lineRule="exact"/>
        <w:ind w:firstLine="480" w:firstLineChars="200"/>
        <w:rPr>
          <w:rFonts w:ascii="仿宋" w:hAnsi="仿宋" w:eastAsia="仿宋"/>
          <w:sz w:val="24"/>
        </w:rPr>
      </w:pPr>
      <w:r>
        <w:rPr>
          <w:rFonts w:hint="eastAsia" w:ascii="仿宋" w:hAnsi="仿宋" w:eastAsia="仿宋"/>
          <w:sz w:val="24"/>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eastAsia="仿宋"/>
          <w:sz w:val="24"/>
        </w:rPr>
      </w:pPr>
      <w:r>
        <w:rPr>
          <w:rFonts w:hint="eastAsia" w:ascii="仿宋" w:hAnsi="仿宋" w:eastAsia="仿宋"/>
          <w:sz w:val="24"/>
        </w:rPr>
        <w:t>（一）按财政部规定应当在评标时不予承认的投标文件内容事项；</w:t>
      </w:r>
    </w:p>
    <w:p>
      <w:pPr>
        <w:spacing w:line="400" w:lineRule="exact"/>
        <w:ind w:firstLine="480" w:firstLineChars="200"/>
        <w:rPr>
          <w:rFonts w:ascii="仿宋" w:hAnsi="仿宋" w:eastAsia="仿宋"/>
          <w:sz w:val="24"/>
        </w:rPr>
      </w:pPr>
      <w:r>
        <w:rPr>
          <w:rFonts w:hint="eastAsia" w:ascii="仿宋" w:hAnsi="仿宋" w:eastAsia="仿宋"/>
          <w:sz w:val="24"/>
        </w:rPr>
        <w:t>（二）投标文件中已经明确的内容事项；</w:t>
      </w:r>
    </w:p>
    <w:p>
      <w:pPr>
        <w:spacing w:line="400" w:lineRule="exact"/>
        <w:ind w:firstLine="480" w:firstLineChars="200"/>
        <w:rPr>
          <w:rFonts w:ascii="仿宋" w:hAnsi="仿宋" w:eastAsia="仿宋"/>
          <w:sz w:val="24"/>
        </w:rPr>
      </w:pPr>
      <w:r>
        <w:rPr>
          <w:rFonts w:hint="eastAsia" w:ascii="仿宋" w:hAnsi="仿宋" w:eastAsia="仿宋"/>
          <w:sz w:val="24"/>
        </w:rPr>
        <w:t>3.8.4 本项目采购过程中，投标文件报价出现前后不一致的，按照下列规定修正：</w:t>
      </w:r>
    </w:p>
    <w:p>
      <w:pPr>
        <w:spacing w:line="400" w:lineRule="exact"/>
        <w:ind w:firstLine="480" w:firstLineChars="200"/>
        <w:rPr>
          <w:rFonts w:ascii="仿宋" w:hAnsi="仿宋" w:eastAsia="仿宋"/>
          <w:sz w:val="24"/>
        </w:rPr>
      </w:pPr>
      <w:r>
        <w:rPr>
          <w:rFonts w:hint="eastAsia" w:ascii="仿宋" w:hAnsi="仿宋" w:eastAsia="仿宋"/>
          <w:sz w:val="24"/>
        </w:rPr>
        <w:t>（一）投标文件中开标一览表（报价表）内容与投标文件中相应内容不一致的，以开标一览表（报价表）为准；</w:t>
      </w:r>
    </w:p>
    <w:p>
      <w:pPr>
        <w:spacing w:line="400" w:lineRule="exact"/>
        <w:ind w:firstLine="480" w:firstLineChars="200"/>
        <w:rPr>
          <w:rFonts w:ascii="仿宋" w:hAnsi="仿宋" w:eastAsia="仿宋"/>
          <w:sz w:val="24"/>
        </w:rPr>
      </w:pPr>
      <w:r>
        <w:rPr>
          <w:rFonts w:hint="eastAsia" w:ascii="仿宋" w:hAnsi="仿宋" w:eastAsia="仿宋"/>
          <w:sz w:val="24"/>
        </w:rPr>
        <w:t>（二）大写金额和小写金额不一致的，以大写金额为准；</w:t>
      </w:r>
    </w:p>
    <w:p>
      <w:pPr>
        <w:spacing w:line="400" w:lineRule="exact"/>
        <w:ind w:firstLine="480" w:firstLineChars="200"/>
        <w:rPr>
          <w:rFonts w:ascii="仿宋" w:hAnsi="仿宋" w:eastAsia="仿宋"/>
          <w:sz w:val="24"/>
        </w:rPr>
      </w:pPr>
      <w:r>
        <w:rPr>
          <w:rFonts w:hint="eastAsia" w:ascii="仿宋" w:hAnsi="仿宋" w:eastAsia="仿宋"/>
          <w:sz w:val="24"/>
        </w:rPr>
        <w:t>（三）单价金额小数点或者百分比有明显错位的，以开标一览表的总价为准，并修改单价；</w:t>
      </w:r>
    </w:p>
    <w:p>
      <w:pPr>
        <w:spacing w:line="400" w:lineRule="exact"/>
        <w:ind w:firstLine="480" w:firstLineChars="200"/>
        <w:rPr>
          <w:rFonts w:ascii="仿宋" w:hAnsi="仿宋" w:eastAsia="仿宋"/>
          <w:sz w:val="24"/>
        </w:rPr>
      </w:pPr>
      <w:r>
        <w:rPr>
          <w:rFonts w:hint="eastAsia" w:ascii="仿宋" w:hAnsi="仿宋" w:eastAsia="仿宋"/>
          <w:sz w:val="24"/>
        </w:rPr>
        <w:t>（四）总价金额与按单价汇总金额不一致的，以单价金额计算结果为准。</w:t>
      </w:r>
    </w:p>
    <w:p>
      <w:pPr>
        <w:spacing w:line="400" w:lineRule="exact"/>
        <w:ind w:firstLine="480" w:firstLineChars="200"/>
        <w:rPr>
          <w:rFonts w:ascii="仿宋" w:hAnsi="仿宋" w:eastAsia="仿宋"/>
          <w:sz w:val="24"/>
        </w:rPr>
      </w:pPr>
      <w:r>
        <w:rPr>
          <w:rFonts w:hint="eastAsia" w:ascii="仿宋" w:hAnsi="仿宋" w:eastAsia="仿宋"/>
          <w:sz w:val="24"/>
        </w:rPr>
        <w:t>同时出现两种以上不一致的，按照前款规定的顺序修正。修正后的报价按照本章3.8.1-3.8.3的规定经投标人确认后产生约束力，投标人不确认的，其投标无效。</w:t>
      </w:r>
    </w:p>
    <w:p>
      <w:pPr>
        <w:spacing w:line="400" w:lineRule="exact"/>
        <w:ind w:firstLine="482" w:firstLineChars="200"/>
        <w:rPr>
          <w:rFonts w:ascii="仿宋" w:hAnsi="仿宋" w:eastAsia="仿宋"/>
          <w:b/>
          <w:sz w:val="24"/>
        </w:rPr>
      </w:pPr>
      <w:r>
        <w:rPr>
          <w:rFonts w:hint="eastAsia" w:ascii="仿宋" w:hAnsi="仿宋" w:eastAsia="仿宋"/>
          <w:b/>
          <w:sz w:val="24"/>
        </w:rPr>
        <w:t>注：评标委员会当积极履行澄清、说明或者更正的职责，不得滥用权力。供应商的投标文件应当要求澄清、说明或者更正的，不得未经澄清、说明或者更正而直接作无效投标处理。</w:t>
      </w:r>
    </w:p>
    <w:p>
      <w:pPr>
        <w:spacing w:line="400" w:lineRule="exact"/>
        <w:ind w:firstLine="480" w:firstLineChars="200"/>
        <w:rPr>
          <w:rFonts w:ascii="仿宋" w:hAnsi="仿宋" w:eastAsia="仿宋"/>
          <w:sz w:val="24"/>
        </w:rPr>
      </w:pPr>
      <w:r>
        <w:rPr>
          <w:rFonts w:hint="eastAsia" w:ascii="仿宋" w:hAnsi="仿宋" w:eastAsia="仿宋"/>
          <w:sz w:val="24"/>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400" w:lineRule="exact"/>
        <w:ind w:firstLine="480" w:firstLineChars="200"/>
        <w:rPr>
          <w:rFonts w:ascii="仿宋" w:hAnsi="仿宋" w:eastAsia="仿宋"/>
          <w:sz w:val="24"/>
        </w:rPr>
      </w:pPr>
      <w:r>
        <w:rPr>
          <w:rFonts w:hint="eastAsia" w:ascii="仿宋" w:hAnsi="仿宋" w:eastAsia="仿宋"/>
          <w:sz w:val="24"/>
        </w:rPr>
        <w:t>3.10招标采购单位现场复核评标结果。</w:t>
      </w:r>
    </w:p>
    <w:p>
      <w:pPr>
        <w:spacing w:line="400" w:lineRule="exact"/>
        <w:ind w:firstLine="480" w:firstLineChars="200"/>
        <w:rPr>
          <w:rFonts w:ascii="仿宋" w:hAnsi="仿宋" w:eastAsia="仿宋"/>
          <w:sz w:val="24"/>
        </w:rPr>
      </w:pPr>
      <w:r>
        <w:rPr>
          <w:rFonts w:hint="eastAsia" w:ascii="仿宋" w:hAnsi="仿宋" w:eastAsia="仿宋"/>
          <w:sz w:val="24"/>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spacing w:line="400" w:lineRule="exact"/>
        <w:ind w:firstLine="480" w:firstLineChars="200"/>
        <w:rPr>
          <w:rFonts w:ascii="仿宋" w:hAnsi="仿宋" w:eastAsia="仿宋"/>
          <w:sz w:val="24"/>
        </w:rPr>
      </w:pPr>
      <w:r>
        <w:rPr>
          <w:rFonts w:hint="eastAsia" w:ascii="仿宋" w:hAnsi="仿宋" w:eastAsia="仿宋"/>
          <w:sz w:val="24"/>
        </w:rPr>
        <w:t>（一）分值汇总计算错误的；</w:t>
      </w:r>
    </w:p>
    <w:p>
      <w:pPr>
        <w:spacing w:line="400" w:lineRule="exact"/>
        <w:ind w:firstLine="480" w:firstLineChars="200"/>
        <w:rPr>
          <w:rFonts w:ascii="仿宋" w:hAnsi="仿宋" w:eastAsia="仿宋"/>
          <w:sz w:val="24"/>
        </w:rPr>
      </w:pPr>
      <w:r>
        <w:rPr>
          <w:rFonts w:hint="eastAsia" w:ascii="仿宋" w:hAnsi="仿宋" w:eastAsia="仿宋"/>
          <w:sz w:val="24"/>
        </w:rPr>
        <w:t>（二）分项超出标准范围的；</w:t>
      </w:r>
    </w:p>
    <w:p>
      <w:pPr>
        <w:spacing w:line="400" w:lineRule="exact"/>
        <w:ind w:firstLine="480" w:firstLineChars="200"/>
        <w:rPr>
          <w:rFonts w:ascii="仿宋" w:hAnsi="仿宋" w:eastAsia="仿宋"/>
          <w:sz w:val="24"/>
        </w:rPr>
      </w:pPr>
      <w:r>
        <w:rPr>
          <w:rFonts w:hint="eastAsia" w:ascii="仿宋" w:hAnsi="仿宋" w:eastAsia="仿宋"/>
          <w:sz w:val="24"/>
        </w:rPr>
        <w:t>（三）客观不一致的；</w:t>
      </w:r>
    </w:p>
    <w:p>
      <w:pPr>
        <w:spacing w:line="400" w:lineRule="exact"/>
        <w:ind w:firstLine="480" w:firstLineChars="200"/>
        <w:rPr>
          <w:rFonts w:ascii="仿宋" w:hAnsi="仿宋" w:eastAsia="仿宋"/>
          <w:sz w:val="24"/>
        </w:rPr>
      </w:pPr>
      <w:r>
        <w:rPr>
          <w:rFonts w:hint="eastAsia" w:ascii="仿宋" w:hAnsi="仿宋" w:eastAsia="仿宋"/>
          <w:sz w:val="24"/>
        </w:rPr>
        <w:t>（四）经评标委员会认定畸高畸低的。</w:t>
      </w:r>
    </w:p>
    <w:p>
      <w:pPr>
        <w:spacing w:line="400" w:lineRule="exact"/>
        <w:ind w:firstLine="480" w:firstLineChars="200"/>
        <w:rPr>
          <w:rFonts w:ascii="仿宋" w:hAnsi="仿宋" w:eastAsia="仿宋"/>
          <w:sz w:val="24"/>
        </w:rPr>
      </w:pPr>
      <w:r>
        <w:rPr>
          <w:rFonts w:hint="eastAsia" w:ascii="仿宋" w:hAnsi="仿宋" w:eastAsia="仿宋"/>
          <w:sz w:val="24"/>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spacing w:line="400" w:lineRule="exact"/>
        <w:ind w:firstLine="480" w:firstLineChars="200"/>
        <w:rPr>
          <w:rFonts w:ascii="仿宋" w:hAnsi="仿宋" w:eastAsia="仿宋"/>
          <w:sz w:val="24"/>
        </w:rPr>
      </w:pPr>
      <w:r>
        <w:rPr>
          <w:rFonts w:hint="eastAsia" w:ascii="仿宋" w:hAnsi="仿宋" w:eastAsia="仿宋"/>
          <w:sz w:val="24"/>
        </w:rPr>
        <w:t>3.10.2有下列情形之一的，不得修改评标结果或者重新评审：</w:t>
      </w:r>
    </w:p>
    <w:p>
      <w:pPr>
        <w:spacing w:line="400" w:lineRule="exact"/>
        <w:ind w:firstLine="480" w:firstLineChars="200"/>
        <w:rPr>
          <w:rFonts w:ascii="仿宋" w:hAnsi="仿宋" w:eastAsia="仿宋"/>
          <w:sz w:val="24"/>
        </w:rPr>
      </w:pPr>
      <w:r>
        <w:rPr>
          <w:rFonts w:hint="eastAsia" w:ascii="仿宋" w:hAnsi="仿宋" w:eastAsia="仿宋"/>
          <w:sz w:val="24"/>
        </w:rPr>
        <w:t>（一）招标采购单位现场复核时，复核工作人员数量不足的；</w:t>
      </w:r>
    </w:p>
    <w:p>
      <w:pPr>
        <w:spacing w:line="400" w:lineRule="exact"/>
        <w:ind w:firstLine="480" w:firstLineChars="200"/>
        <w:rPr>
          <w:rFonts w:ascii="仿宋" w:hAnsi="仿宋" w:eastAsia="仿宋"/>
          <w:sz w:val="24"/>
        </w:rPr>
      </w:pPr>
      <w:r>
        <w:rPr>
          <w:rFonts w:hint="eastAsia" w:ascii="仿宋" w:hAnsi="仿宋" w:eastAsia="仿宋"/>
          <w:sz w:val="24"/>
        </w:rPr>
        <w:t>（二）招标采购单位现场复核时，没有采购监督人员现场监督的；</w:t>
      </w:r>
    </w:p>
    <w:p>
      <w:pPr>
        <w:spacing w:line="400" w:lineRule="exact"/>
        <w:ind w:firstLine="480" w:firstLineChars="200"/>
        <w:rPr>
          <w:rFonts w:ascii="仿宋" w:hAnsi="仿宋" w:eastAsia="仿宋"/>
          <w:sz w:val="24"/>
        </w:rPr>
      </w:pPr>
      <w:r>
        <w:rPr>
          <w:rFonts w:hint="eastAsia" w:ascii="仿宋" w:hAnsi="仿宋" w:eastAsia="仿宋"/>
          <w:sz w:val="24"/>
        </w:rPr>
        <w:t>（三）招标采购单位现场复核内容超出规定范围的；</w:t>
      </w:r>
    </w:p>
    <w:p>
      <w:pPr>
        <w:spacing w:line="400" w:lineRule="exact"/>
        <w:ind w:firstLine="480" w:firstLineChars="200"/>
        <w:rPr>
          <w:rFonts w:ascii="仿宋" w:hAnsi="仿宋" w:eastAsia="仿宋"/>
          <w:sz w:val="24"/>
        </w:rPr>
      </w:pPr>
      <w:r>
        <w:rPr>
          <w:rFonts w:hint="eastAsia" w:ascii="仿宋" w:hAnsi="仿宋" w:eastAsia="仿宋"/>
          <w:sz w:val="24"/>
        </w:rPr>
        <w:t>（四）招标采购单位未提供书面建议的。</w:t>
      </w:r>
    </w:p>
    <w:p>
      <w:pPr>
        <w:spacing w:line="400" w:lineRule="exact"/>
        <w:ind w:firstLine="480" w:firstLineChars="200"/>
        <w:rPr>
          <w:rFonts w:ascii="仿宋" w:hAnsi="仿宋" w:eastAsia="仿宋"/>
          <w:sz w:val="24"/>
        </w:rPr>
      </w:pPr>
      <w:r>
        <w:rPr>
          <w:rFonts w:hint="eastAsia" w:ascii="仿宋" w:hAnsi="仿宋" w:eastAsia="仿宋"/>
          <w:sz w:val="24"/>
        </w:rPr>
        <w:t>4. 评标细则及标准</w:t>
      </w:r>
      <w:bookmarkEnd w:id="188"/>
    </w:p>
    <w:p>
      <w:pPr>
        <w:spacing w:line="400" w:lineRule="exact"/>
        <w:ind w:firstLine="480" w:firstLineChars="200"/>
        <w:rPr>
          <w:rFonts w:ascii="仿宋" w:hAnsi="仿宋" w:eastAsia="仿宋"/>
          <w:sz w:val="24"/>
        </w:rPr>
      </w:pPr>
      <w:r>
        <w:rPr>
          <w:rFonts w:hint="eastAsia" w:ascii="仿宋" w:hAnsi="仿宋" w:eastAsia="仿宋"/>
          <w:sz w:val="24"/>
        </w:rPr>
        <w:t>4.1本项目采用综合法，因素详见综合明细表。</w:t>
      </w:r>
    </w:p>
    <w:p>
      <w:pPr>
        <w:spacing w:line="400" w:lineRule="exact"/>
        <w:ind w:firstLine="480" w:firstLineChars="200"/>
        <w:rPr>
          <w:rFonts w:ascii="仿宋" w:hAnsi="仿宋" w:eastAsia="仿宋"/>
          <w:sz w:val="24"/>
        </w:rPr>
      </w:pPr>
      <w:r>
        <w:rPr>
          <w:rFonts w:hint="eastAsia" w:ascii="仿宋" w:hAnsi="仿宋" w:eastAsia="仿宋"/>
          <w:sz w:val="24"/>
        </w:rPr>
        <w:t>4.2 评标委员会成员应当根据自身专业情况对每个有效投标供应商的投标文件进行独立，加权汇总每项因素的得分，得出每个有效投标供应商的总分。技术类因素由技术方面评标委员会成员独立。经济类因素由经济方面评标委员会成员独立。政策合同类的因素由法律方面评标委员会成员独立。采购人代表原则上对技术类因素独立。价格和其他不能明确区分的因素由评标委员会成员共同。</w:t>
      </w:r>
    </w:p>
    <w:p>
      <w:pPr>
        <w:spacing w:line="400" w:lineRule="exact"/>
        <w:ind w:firstLine="480" w:firstLineChars="200"/>
        <w:rPr>
          <w:rFonts w:ascii="仿宋" w:hAnsi="仿宋" w:eastAsia="仿宋"/>
          <w:sz w:val="24"/>
        </w:rPr>
      </w:pPr>
      <w:r>
        <w:rPr>
          <w:rFonts w:hint="eastAsia" w:ascii="仿宋" w:hAnsi="仿宋" w:eastAsia="仿宋"/>
          <w:sz w:val="24"/>
        </w:rPr>
        <w:t>4.3综合明细表</w:t>
      </w:r>
    </w:p>
    <w:p>
      <w:pPr>
        <w:spacing w:line="400" w:lineRule="exact"/>
        <w:ind w:firstLine="480" w:firstLineChars="200"/>
        <w:rPr>
          <w:rFonts w:ascii="仿宋" w:hAnsi="仿宋" w:eastAsia="仿宋"/>
          <w:sz w:val="24"/>
        </w:rPr>
      </w:pPr>
      <w:r>
        <w:rPr>
          <w:rFonts w:hint="eastAsia" w:ascii="仿宋" w:hAnsi="仿宋" w:eastAsia="仿宋"/>
          <w:sz w:val="24"/>
        </w:rPr>
        <w:t>4.3.1综合明细表的制定以科学合理、降低评委会自由裁量权为原则。</w:t>
      </w:r>
    </w:p>
    <w:p>
      <w:pPr>
        <w:spacing w:line="400" w:lineRule="exact"/>
        <w:ind w:firstLine="480" w:firstLineChars="200"/>
        <w:rPr>
          <w:rFonts w:ascii="仿宋" w:hAnsi="仿宋" w:eastAsia="仿宋"/>
          <w:sz w:val="24"/>
        </w:rPr>
      </w:pPr>
      <w:r>
        <w:rPr>
          <w:rFonts w:hint="eastAsia" w:ascii="仿宋" w:hAnsi="仿宋" w:eastAsia="仿宋"/>
          <w:sz w:val="24"/>
        </w:rPr>
        <w:t>4.3.2 综合明细表按须知表中的相关要求进行价格调整，再参与价格分评审。</w:t>
      </w:r>
    </w:p>
    <w:p>
      <w:pPr>
        <w:pStyle w:val="5"/>
        <w:tabs>
          <w:tab w:val="left" w:pos="600"/>
        </w:tabs>
        <w:spacing w:line="400" w:lineRule="exact"/>
        <w:ind w:left="0" w:leftChars="0"/>
        <w:rPr>
          <w:rFonts w:ascii="仿宋" w:hAnsi="仿宋" w:eastAsia="仿宋"/>
          <w:sz w:val="24"/>
        </w:rPr>
      </w:pPr>
      <w:r>
        <w:rPr>
          <w:rFonts w:hint="eastAsia" w:ascii="仿宋" w:hAnsi="仿宋" w:eastAsia="仿宋"/>
          <w:sz w:val="24"/>
        </w:rPr>
        <w:t>4.3.3综合明细表</w:t>
      </w:r>
    </w:p>
    <w:tbl>
      <w:tblPr>
        <w:tblStyle w:val="23"/>
        <w:tblW w:w="92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124"/>
        <w:gridCol w:w="780"/>
        <w:gridCol w:w="5809"/>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46" w:type="dxa"/>
            <w:vAlign w:val="center"/>
          </w:tcPr>
          <w:p>
            <w:pPr>
              <w:spacing w:line="240" w:lineRule="auto"/>
              <w:ind w:firstLine="28"/>
              <w:jc w:val="center"/>
              <w:rPr>
                <w:rFonts w:ascii="仿宋" w:hAnsi="仿宋" w:eastAsia="仿宋"/>
                <w:b/>
                <w:bCs/>
                <w:szCs w:val="21"/>
              </w:rPr>
            </w:pPr>
            <w:r>
              <w:rPr>
                <w:rFonts w:hint="eastAsia" w:ascii="仿宋" w:hAnsi="仿宋" w:eastAsia="仿宋"/>
                <w:b/>
                <w:bCs/>
                <w:szCs w:val="21"/>
              </w:rPr>
              <w:t>序号</w:t>
            </w:r>
          </w:p>
        </w:tc>
        <w:tc>
          <w:tcPr>
            <w:tcW w:w="1124" w:type="dxa"/>
            <w:vAlign w:val="center"/>
          </w:tcPr>
          <w:p>
            <w:pPr>
              <w:spacing w:line="240" w:lineRule="auto"/>
              <w:ind w:firstLine="28"/>
              <w:rPr>
                <w:rFonts w:ascii="仿宋" w:hAnsi="仿宋" w:eastAsia="仿宋"/>
                <w:b/>
                <w:bCs/>
                <w:szCs w:val="21"/>
              </w:rPr>
            </w:pPr>
            <w:r>
              <w:rPr>
                <w:rFonts w:hint="eastAsia" w:ascii="仿宋" w:hAnsi="仿宋" w:eastAsia="仿宋"/>
                <w:b/>
                <w:bCs/>
                <w:szCs w:val="21"/>
              </w:rPr>
              <w:t>因素及权重</w:t>
            </w:r>
          </w:p>
        </w:tc>
        <w:tc>
          <w:tcPr>
            <w:tcW w:w="780" w:type="dxa"/>
            <w:vAlign w:val="center"/>
          </w:tcPr>
          <w:p>
            <w:pPr>
              <w:spacing w:line="240" w:lineRule="auto"/>
              <w:ind w:firstLine="28"/>
              <w:jc w:val="center"/>
              <w:rPr>
                <w:rFonts w:ascii="仿宋" w:hAnsi="仿宋" w:eastAsia="仿宋"/>
                <w:b/>
                <w:bCs/>
                <w:szCs w:val="21"/>
              </w:rPr>
            </w:pPr>
            <w:r>
              <w:rPr>
                <w:rFonts w:hint="eastAsia" w:ascii="仿宋" w:hAnsi="仿宋" w:eastAsia="仿宋"/>
                <w:b/>
                <w:bCs/>
                <w:szCs w:val="21"/>
              </w:rPr>
              <w:t>分值</w:t>
            </w:r>
          </w:p>
        </w:tc>
        <w:tc>
          <w:tcPr>
            <w:tcW w:w="5809" w:type="dxa"/>
            <w:vAlign w:val="center"/>
          </w:tcPr>
          <w:p>
            <w:pPr>
              <w:spacing w:line="240" w:lineRule="auto"/>
              <w:ind w:firstLine="28"/>
              <w:jc w:val="center"/>
              <w:rPr>
                <w:rFonts w:ascii="仿宋" w:hAnsi="仿宋" w:eastAsia="仿宋"/>
                <w:b/>
                <w:bCs/>
                <w:szCs w:val="21"/>
              </w:rPr>
            </w:pPr>
            <w:r>
              <w:rPr>
                <w:rFonts w:hint="eastAsia" w:ascii="仿宋" w:hAnsi="仿宋" w:eastAsia="仿宋"/>
                <w:b/>
                <w:bCs/>
                <w:szCs w:val="21"/>
              </w:rPr>
              <w:t>标准</w:t>
            </w:r>
          </w:p>
        </w:tc>
        <w:tc>
          <w:tcPr>
            <w:tcW w:w="892" w:type="dxa"/>
            <w:vAlign w:val="center"/>
          </w:tcPr>
          <w:p>
            <w:pPr>
              <w:spacing w:line="240" w:lineRule="auto"/>
              <w:jc w:val="center"/>
              <w:rPr>
                <w:rFonts w:ascii="仿宋" w:hAnsi="仿宋" w:eastAsia="仿宋"/>
                <w:b/>
                <w:bCs/>
                <w:szCs w:val="21"/>
              </w:rPr>
            </w:pPr>
            <w:r>
              <w:rPr>
                <w:rFonts w:hint="eastAsia" w:ascii="仿宋" w:hAnsi="仿宋" w:eastAsia="仿宋"/>
                <w:b/>
                <w:bCs/>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646" w:type="dxa"/>
            <w:vAlign w:val="center"/>
          </w:tcPr>
          <w:p>
            <w:pPr>
              <w:widowControl/>
              <w:spacing w:line="240" w:lineRule="auto"/>
              <w:jc w:val="center"/>
              <w:rPr>
                <w:rFonts w:ascii="仿宋" w:hAnsi="仿宋" w:eastAsia="仿宋"/>
                <w:szCs w:val="21"/>
              </w:rPr>
            </w:pPr>
            <w:r>
              <w:rPr>
                <w:rFonts w:hint="eastAsia" w:ascii="仿宋" w:hAnsi="仿宋" w:eastAsia="仿宋"/>
                <w:szCs w:val="21"/>
              </w:rPr>
              <w:t>1</w:t>
            </w:r>
          </w:p>
        </w:tc>
        <w:tc>
          <w:tcPr>
            <w:tcW w:w="1124" w:type="dxa"/>
            <w:vAlign w:val="center"/>
          </w:tcPr>
          <w:p>
            <w:pPr>
              <w:widowControl/>
              <w:spacing w:line="240" w:lineRule="auto"/>
              <w:rPr>
                <w:rFonts w:ascii="仿宋" w:hAnsi="仿宋" w:eastAsia="仿宋"/>
                <w:szCs w:val="21"/>
              </w:rPr>
            </w:pPr>
            <w:r>
              <w:rPr>
                <w:rFonts w:hint="eastAsia" w:ascii="仿宋" w:hAnsi="仿宋" w:eastAsia="仿宋"/>
                <w:szCs w:val="21"/>
              </w:rPr>
              <w:t>投标报价</w:t>
            </w:r>
          </w:p>
        </w:tc>
        <w:tc>
          <w:tcPr>
            <w:tcW w:w="780" w:type="dxa"/>
            <w:vAlign w:val="center"/>
          </w:tcPr>
          <w:p>
            <w:pPr>
              <w:widowControl/>
              <w:spacing w:line="240" w:lineRule="auto"/>
              <w:rPr>
                <w:rFonts w:ascii="仿宋" w:hAnsi="仿宋" w:eastAsia="仿宋"/>
                <w:szCs w:val="21"/>
              </w:rPr>
            </w:pPr>
            <w:r>
              <w:rPr>
                <w:rFonts w:hint="eastAsia" w:ascii="仿宋" w:hAnsi="仿宋" w:eastAsia="仿宋"/>
                <w:szCs w:val="21"/>
              </w:rPr>
              <w:t>30分</w:t>
            </w:r>
          </w:p>
        </w:tc>
        <w:tc>
          <w:tcPr>
            <w:tcW w:w="5809" w:type="dxa"/>
            <w:vAlign w:val="center"/>
          </w:tcPr>
          <w:p>
            <w:pPr>
              <w:widowControl/>
              <w:spacing w:line="240" w:lineRule="auto"/>
              <w:jc w:val="left"/>
              <w:rPr>
                <w:rFonts w:ascii="仿宋" w:hAnsi="仿宋" w:eastAsia="仿宋"/>
                <w:szCs w:val="21"/>
              </w:rPr>
            </w:pPr>
            <w:r>
              <w:rPr>
                <w:rFonts w:hint="eastAsia" w:ascii="仿宋" w:hAnsi="仿宋" w:eastAsia="仿宋"/>
                <w:szCs w:val="21"/>
              </w:rPr>
              <w:t>满足招标文件要求，投标人的有效报价且投标价格最低的投标报价为评标基准价，其价格分为满分。其他投标人的价格分统一按照下列公式计算：投标报价得分=(评标基准价／投标报价)*30分。</w:t>
            </w:r>
          </w:p>
        </w:tc>
        <w:tc>
          <w:tcPr>
            <w:tcW w:w="892" w:type="dxa"/>
            <w:vAlign w:val="center"/>
          </w:tcPr>
          <w:p>
            <w:pPr>
              <w:widowControl/>
              <w:spacing w:line="240" w:lineRule="auto"/>
              <w:jc w:val="center"/>
              <w:rPr>
                <w:rFonts w:ascii="仿宋" w:hAnsi="仿宋" w:eastAsia="仿宋"/>
                <w:szCs w:val="21"/>
              </w:rPr>
            </w:pPr>
            <w:r>
              <w:rPr>
                <w:rFonts w:hint="eastAsia" w:ascii="仿宋" w:hAnsi="仿宋" w:eastAsia="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646" w:type="dxa"/>
            <w:vAlign w:val="center"/>
          </w:tcPr>
          <w:p>
            <w:pPr>
              <w:spacing w:line="240" w:lineRule="auto"/>
              <w:ind w:firstLine="28"/>
              <w:jc w:val="center"/>
              <w:rPr>
                <w:rFonts w:ascii="仿宋" w:hAnsi="仿宋" w:eastAsia="仿宋"/>
                <w:szCs w:val="21"/>
              </w:rPr>
            </w:pPr>
            <w:r>
              <w:rPr>
                <w:rFonts w:hint="eastAsia" w:ascii="仿宋" w:hAnsi="仿宋" w:eastAsia="仿宋"/>
                <w:szCs w:val="21"/>
              </w:rPr>
              <w:t>2</w:t>
            </w:r>
          </w:p>
        </w:tc>
        <w:tc>
          <w:tcPr>
            <w:tcW w:w="1124" w:type="dxa"/>
            <w:vAlign w:val="center"/>
          </w:tcPr>
          <w:p>
            <w:pPr>
              <w:spacing w:line="240" w:lineRule="auto"/>
              <w:ind w:firstLine="28"/>
              <w:jc w:val="center"/>
              <w:rPr>
                <w:rFonts w:ascii="仿宋" w:hAnsi="仿宋" w:eastAsia="仿宋"/>
                <w:szCs w:val="21"/>
              </w:rPr>
            </w:pPr>
            <w:r>
              <w:rPr>
                <w:rFonts w:hint="eastAsia" w:ascii="仿宋" w:hAnsi="仿宋" w:eastAsia="仿宋"/>
                <w:szCs w:val="21"/>
              </w:rPr>
              <w:t>技术参数及其它要求</w:t>
            </w:r>
          </w:p>
        </w:tc>
        <w:tc>
          <w:tcPr>
            <w:tcW w:w="780" w:type="dxa"/>
            <w:vAlign w:val="center"/>
          </w:tcPr>
          <w:p>
            <w:pPr>
              <w:spacing w:line="240" w:lineRule="auto"/>
              <w:ind w:firstLine="28"/>
              <w:jc w:val="center"/>
              <w:rPr>
                <w:rFonts w:ascii="仿宋" w:hAnsi="仿宋" w:eastAsia="仿宋"/>
                <w:szCs w:val="21"/>
              </w:rPr>
            </w:pPr>
            <w:r>
              <w:rPr>
                <w:rFonts w:hint="eastAsia" w:ascii="仿宋" w:hAnsi="仿宋" w:eastAsia="仿宋"/>
                <w:szCs w:val="21"/>
              </w:rPr>
              <w:t>30分</w:t>
            </w:r>
          </w:p>
        </w:tc>
        <w:tc>
          <w:tcPr>
            <w:tcW w:w="5809" w:type="dxa"/>
            <w:vAlign w:val="center"/>
          </w:tcPr>
          <w:p>
            <w:pPr>
              <w:widowControl/>
              <w:spacing w:after="0" w:line="240" w:lineRule="auto"/>
              <w:jc w:val="left"/>
              <w:rPr>
                <w:rFonts w:ascii="仿宋" w:hAnsi="仿宋" w:eastAsia="仿宋"/>
                <w:szCs w:val="21"/>
              </w:rPr>
            </w:pPr>
            <w:r>
              <w:rPr>
                <w:rFonts w:hint="eastAsia" w:ascii="仿宋" w:hAnsi="仿宋" w:eastAsia="仿宋" w:cs="宋体"/>
                <w:kern w:val="0"/>
                <w:szCs w:val="21"/>
              </w:rPr>
              <w:t>投标产品技术参数完全满足招标文件技术参数要求，没有负偏离的得</w:t>
            </w:r>
            <w:r>
              <w:rPr>
                <w:rFonts w:ascii="仿宋" w:hAnsi="仿宋" w:eastAsia="仿宋" w:cs="宋体"/>
                <w:kern w:val="0"/>
                <w:szCs w:val="21"/>
              </w:rPr>
              <w:t>30</w:t>
            </w:r>
            <w:r>
              <w:rPr>
                <w:rFonts w:hint="eastAsia" w:ascii="仿宋" w:hAnsi="仿宋" w:eastAsia="仿宋" w:cs="宋体"/>
                <w:kern w:val="0"/>
                <w:szCs w:val="21"/>
              </w:rPr>
              <w:t>分。</w:t>
            </w:r>
            <w:r>
              <w:rPr>
                <w:rFonts w:ascii="仿宋" w:hAnsi="仿宋" w:eastAsia="仿宋" w:cs="宋体"/>
                <w:kern w:val="0"/>
                <w:szCs w:val="21"/>
              </w:rPr>
              <w:br w:type="textWrapping"/>
            </w:r>
            <w:r>
              <w:rPr>
                <w:rFonts w:hint="eastAsia" w:ascii="仿宋" w:hAnsi="仿宋" w:eastAsia="仿宋" w:cs="宋体"/>
                <w:kern w:val="0"/>
                <w:szCs w:val="21"/>
              </w:rPr>
              <w:t>（1）带“▲”产品共</w:t>
            </w:r>
            <w:r>
              <w:rPr>
                <w:rFonts w:ascii="仿宋" w:hAnsi="仿宋" w:eastAsia="仿宋" w:cs="宋体"/>
                <w:kern w:val="0"/>
                <w:szCs w:val="21"/>
              </w:rPr>
              <w:t>5</w:t>
            </w:r>
            <w:r>
              <w:rPr>
                <w:rFonts w:hint="eastAsia" w:ascii="仿宋" w:hAnsi="仿宋" w:eastAsia="仿宋" w:cs="宋体"/>
                <w:kern w:val="0"/>
                <w:szCs w:val="21"/>
              </w:rPr>
              <w:t>项，未带 “▲”产品共</w:t>
            </w:r>
            <w:r>
              <w:rPr>
                <w:rFonts w:ascii="仿宋" w:hAnsi="仿宋" w:eastAsia="仿宋" w:cs="宋体"/>
                <w:kern w:val="0"/>
                <w:szCs w:val="21"/>
              </w:rPr>
              <w:t>190</w:t>
            </w:r>
            <w:r>
              <w:rPr>
                <w:rFonts w:hint="eastAsia" w:ascii="仿宋" w:hAnsi="仿宋" w:eastAsia="仿宋" w:cs="宋体"/>
                <w:kern w:val="0"/>
                <w:szCs w:val="21"/>
              </w:rPr>
              <w:t>项。</w:t>
            </w:r>
            <w:r>
              <w:rPr>
                <w:rFonts w:ascii="仿宋" w:hAnsi="仿宋" w:eastAsia="仿宋" w:cs="宋体"/>
                <w:kern w:val="0"/>
                <w:szCs w:val="21"/>
              </w:rPr>
              <w:br w:type="textWrapping"/>
            </w:r>
            <w:r>
              <w:rPr>
                <w:rFonts w:hint="eastAsia" w:ascii="仿宋" w:hAnsi="仿宋" w:eastAsia="仿宋" w:cs="宋体"/>
                <w:kern w:val="0"/>
                <w:szCs w:val="21"/>
              </w:rPr>
              <w:t>（2）带“▲”产品的技术指标和参数配置要求与招标文件要求有负偏离的，扣</w:t>
            </w:r>
            <w:r>
              <w:rPr>
                <w:rFonts w:ascii="仿宋" w:hAnsi="仿宋" w:eastAsia="仿宋" w:cs="宋体"/>
                <w:kern w:val="0"/>
                <w:szCs w:val="21"/>
              </w:rPr>
              <w:t>4.1</w:t>
            </w:r>
            <w:r>
              <w:rPr>
                <w:rFonts w:hint="eastAsia" w:ascii="仿宋" w:hAnsi="仿宋" w:eastAsia="仿宋" w:cs="宋体"/>
                <w:kern w:val="0"/>
                <w:szCs w:val="21"/>
              </w:rPr>
              <w:t xml:space="preserve">分； </w:t>
            </w:r>
            <w:r>
              <w:rPr>
                <w:rFonts w:ascii="仿宋" w:hAnsi="仿宋" w:eastAsia="仿宋" w:cs="宋体"/>
                <w:kern w:val="0"/>
                <w:szCs w:val="21"/>
              </w:rPr>
              <w:br w:type="textWrapping"/>
            </w:r>
            <w:r>
              <w:rPr>
                <w:rFonts w:hint="eastAsia" w:ascii="仿宋" w:hAnsi="仿宋" w:eastAsia="仿宋" w:cs="宋体"/>
                <w:kern w:val="0"/>
                <w:szCs w:val="21"/>
              </w:rPr>
              <w:t>（3）未带“▲”产品的技术指标和参数配置要求与招标文件要求有负偏离的，扣0</w:t>
            </w:r>
            <w:r>
              <w:rPr>
                <w:rFonts w:ascii="仿宋" w:hAnsi="仿宋" w:eastAsia="仿宋" w:cs="宋体"/>
                <w:kern w:val="0"/>
                <w:szCs w:val="21"/>
              </w:rPr>
              <w:t>.05</w:t>
            </w:r>
            <w:r>
              <w:rPr>
                <w:rFonts w:hint="eastAsia" w:ascii="仿宋" w:hAnsi="仿宋" w:eastAsia="仿宋" w:cs="宋体"/>
                <w:kern w:val="0"/>
                <w:szCs w:val="21"/>
              </w:rPr>
              <w:t>分</w:t>
            </w:r>
            <w:r>
              <w:rPr>
                <w:rFonts w:hint="eastAsia" w:ascii="仿宋" w:hAnsi="仿宋" w:eastAsia="仿宋" w:cs="宋体"/>
                <w:kern w:val="0"/>
                <w:szCs w:val="21"/>
              </w:rPr>
              <w:br w:type="textWrapping"/>
            </w:r>
            <w:r>
              <w:rPr>
                <w:rFonts w:hint="eastAsia" w:ascii="仿宋" w:hAnsi="仿宋" w:eastAsia="仿宋" w:cs="宋体"/>
                <w:kern w:val="0"/>
                <w:szCs w:val="21"/>
              </w:rPr>
              <w:t>说明：</w:t>
            </w:r>
            <w:r>
              <w:rPr>
                <w:rFonts w:ascii="仿宋" w:hAnsi="仿宋" w:eastAsia="仿宋" w:cs="宋体"/>
                <w:kern w:val="0"/>
                <w:szCs w:val="21"/>
              </w:rPr>
              <w:br w:type="textWrapping"/>
            </w:r>
            <w:r>
              <w:rPr>
                <w:rFonts w:hint="eastAsia" w:ascii="仿宋" w:hAnsi="仿宋" w:eastAsia="仿宋" w:cs="宋体"/>
                <w:kern w:val="0"/>
                <w:szCs w:val="21"/>
              </w:rPr>
              <w:t>①每个产品的所有技术参数视为一项技术参数，如产品技术参数中任一小项不满足招标文件要求的，则该产品的技术参数视为不满足招标文件要求即负偏离。</w:t>
            </w:r>
            <w:r>
              <w:rPr>
                <w:rFonts w:ascii="仿宋" w:hAnsi="仿宋" w:eastAsia="仿宋"/>
                <w:szCs w:val="21"/>
              </w:rPr>
              <w:t xml:space="preserve"> </w:t>
            </w:r>
          </w:p>
        </w:tc>
        <w:tc>
          <w:tcPr>
            <w:tcW w:w="892" w:type="dxa"/>
            <w:vAlign w:val="center"/>
          </w:tcPr>
          <w:p>
            <w:pPr>
              <w:spacing w:line="240" w:lineRule="auto"/>
              <w:ind w:firstLine="28"/>
              <w:rPr>
                <w:rFonts w:ascii="仿宋" w:hAnsi="仿宋" w:eastAsia="仿宋"/>
                <w:szCs w:val="21"/>
              </w:rPr>
            </w:pPr>
            <w:r>
              <w:rPr>
                <w:rFonts w:hint="eastAsia" w:ascii="仿宋" w:hAnsi="仿宋" w:eastAsia="仿宋"/>
                <w:szCs w:val="21"/>
              </w:rPr>
              <w:t>技术类因素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646" w:type="dxa"/>
            <w:vAlign w:val="center"/>
          </w:tcPr>
          <w:p>
            <w:pPr>
              <w:spacing w:line="240" w:lineRule="auto"/>
              <w:rPr>
                <w:rFonts w:ascii="仿宋" w:hAnsi="仿宋" w:eastAsia="仿宋"/>
                <w:szCs w:val="21"/>
              </w:rPr>
            </w:pPr>
            <w:r>
              <w:rPr>
                <w:rFonts w:ascii="仿宋" w:hAnsi="仿宋" w:eastAsia="仿宋"/>
                <w:szCs w:val="21"/>
              </w:rPr>
              <w:t>5</w:t>
            </w:r>
          </w:p>
        </w:tc>
        <w:tc>
          <w:tcPr>
            <w:tcW w:w="1124" w:type="dxa"/>
            <w:vAlign w:val="center"/>
          </w:tcPr>
          <w:p>
            <w:pPr>
              <w:spacing w:line="240" w:lineRule="auto"/>
              <w:rPr>
                <w:rFonts w:ascii="仿宋" w:hAnsi="仿宋" w:eastAsia="仿宋"/>
                <w:szCs w:val="21"/>
              </w:rPr>
            </w:pPr>
            <w:r>
              <w:rPr>
                <w:rFonts w:hint="eastAsia" w:ascii="仿宋" w:hAnsi="仿宋" w:eastAsia="仿宋"/>
                <w:szCs w:val="21"/>
              </w:rPr>
              <w:t>项目实施方案</w:t>
            </w:r>
          </w:p>
        </w:tc>
        <w:tc>
          <w:tcPr>
            <w:tcW w:w="780" w:type="dxa"/>
            <w:vAlign w:val="center"/>
          </w:tcPr>
          <w:p>
            <w:pPr>
              <w:spacing w:line="240" w:lineRule="auto"/>
              <w:jc w:val="center"/>
              <w:rPr>
                <w:rFonts w:ascii="仿宋" w:hAnsi="仿宋" w:eastAsia="仿宋"/>
                <w:szCs w:val="21"/>
              </w:rPr>
            </w:pPr>
            <w:r>
              <w:rPr>
                <w:rFonts w:hint="eastAsia" w:ascii="仿宋" w:hAnsi="仿宋" w:eastAsia="仿宋"/>
                <w:szCs w:val="21"/>
              </w:rPr>
              <w:t>12分</w:t>
            </w:r>
          </w:p>
        </w:tc>
        <w:tc>
          <w:tcPr>
            <w:tcW w:w="5809" w:type="dxa"/>
            <w:vAlign w:val="center"/>
          </w:tcPr>
          <w:p>
            <w:pPr>
              <w:spacing w:line="240" w:lineRule="auto"/>
              <w:rPr>
                <w:rFonts w:ascii="仿宋" w:hAnsi="仿宋" w:eastAsia="仿宋"/>
                <w:szCs w:val="21"/>
              </w:rPr>
            </w:pPr>
            <w:r>
              <w:rPr>
                <w:rFonts w:hint="eastAsia" w:ascii="仿宋" w:hAnsi="仿宋" w:eastAsia="仿宋"/>
                <w:szCs w:val="21"/>
              </w:rPr>
              <w:t>评审小组根据各供应商实施方案（包括：①工期人员安排、②施工安全环保措施、③质量保证措施、④应急处理措施）进行评审。方案完善、具有针对性且不存在不适用项目实际情况的情形，不存在凭空编造、逻辑漏洞以及不可能实现的夸大情形等情况的得12分；方案内容存在逻辑问题或与项目需求不符，存在无关内容或不满足要求的一项扣3分，扣完为止。</w:t>
            </w:r>
          </w:p>
        </w:tc>
        <w:tc>
          <w:tcPr>
            <w:tcW w:w="892" w:type="dxa"/>
            <w:vAlign w:val="center"/>
          </w:tcPr>
          <w:p>
            <w:pPr>
              <w:spacing w:line="240" w:lineRule="auto"/>
              <w:rPr>
                <w:rFonts w:ascii="仿宋" w:hAnsi="仿宋" w:eastAsia="仿宋"/>
                <w:szCs w:val="21"/>
              </w:rPr>
            </w:pPr>
            <w:r>
              <w:rPr>
                <w:rFonts w:hint="eastAsia" w:ascii="仿宋" w:hAnsi="仿宋" w:eastAsia="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646" w:type="dxa"/>
            <w:vAlign w:val="center"/>
          </w:tcPr>
          <w:p>
            <w:pPr>
              <w:widowControl/>
              <w:spacing w:line="240" w:lineRule="auto"/>
              <w:jc w:val="center"/>
              <w:rPr>
                <w:rFonts w:ascii="仿宋" w:hAnsi="仿宋" w:eastAsia="仿宋"/>
                <w:szCs w:val="21"/>
              </w:rPr>
            </w:pPr>
            <w:r>
              <w:rPr>
                <w:rFonts w:ascii="仿宋" w:hAnsi="仿宋" w:eastAsia="仿宋"/>
                <w:szCs w:val="21"/>
              </w:rPr>
              <w:t>4</w:t>
            </w:r>
          </w:p>
        </w:tc>
        <w:tc>
          <w:tcPr>
            <w:tcW w:w="1124" w:type="dxa"/>
            <w:vAlign w:val="center"/>
          </w:tcPr>
          <w:p>
            <w:pPr>
              <w:widowControl/>
              <w:spacing w:line="240" w:lineRule="auto"/>
              <w:rPr>
                <w:rFonts w:ascii="仿宋" w:hAnsi="仿宋" w:eastAsia="仿宋"/>
                <w:szCs w:val="21"/>
              </w:rPr>
            </w:pPr>
            <w:r>
              <w:rPr>
                <w:rFonts w:hint="eastAsia" w:ascii="仿宋" w:hAnsi="仿宋" w:eastAsia="仿宋"/>
                <w:szCs w:val="21"/>
              </w:rPr>
              <w:t>投标产品综合情况</w:t>
            </w:r>
          </w:p>
        </w:tc>
        <w:tc>
          <w:tcPr>
            <w:tcW w:w="780" w:type="dxa"/>
            <w:vAlign w:val="center"/>
          </w:tcPr>
          <w:p>
            <w:pPr>
              <w:widowControl/>
              <w:spacing w:line="240" w:lineRule="auto"/>
              <w:rPr>
                <w:rFonts w:ascii="仿宋" w:hAnsi="仿宋" w:eastAsia="仿宋"/>
                <w:szCs w:val="21"/>
              </w:rPr>
            </w:pPr>
            <w:r>
              <w:rPr>
                <w:rFonts w:hint="eastAsia" w:ascii="仿宋" w:hAnsi="仿宋" w:eastAsia="仿宋"/>
                <w:szCs w:val="21"/>
              </w:rPr>
              <w:t>18分</w:t>
            </w:r>
          </w:p>
        </w:tc>
        <w:tc>
          <w:tcPr>
            <w:tcW w:w="5809" w:type="dxa"/>
          </w:tcPr>
          <w:p>
            <w:pPr>
              <w:spacing w:line="240" w:lineRule="auto"/>
              <w:jc w:val="left"/>
              <w:rPr>
                <w:rFonts w:ascii="仿宋" w:hAnsi="仿宋" w:eastAsia="仿宋" w:cs="宋体"/>
                <w:szCs w:val="21"/>
                <w:u w:color="000000"/>
              </w:rPr>
            </w:pPr>
            <w:r>
              <w:rPr>
                <w:rFonts w:hint="eastAsia" w:ascii="仿宋" w:hAnsi="仿宋" w:eastAsia="仿宋"/>
                <w:szCs w:val="21"/>
              </w:rPr>
              <w:t>根据提供的2017年以来法定第三方检测机构出具的检验报告进行评审：</w:t>
            </w:r>
            <w:r>
              <w:rPr>
                <w:rFonts w:ascii="仿宋" w:hAnsi="仿宋" w:eastAsia="仿宋"/>
                <w:szCs w:val="21"/>
              </w:rPr>
              <w:br w:type="textWrapping"/>
            </w:r>
            <w:r>
              <w:rPr>
                <w:rFonts w:hint="eastAsia" w:ascii="仿宋" w:hAnsi="仿宋" w:eastAsia="仿宋"/>
                <w:szCs w:val="21"/>
              </w:rPr>
              <w:t>提供一年级上册第一单元--植物实验箱、一年级上册第二单元--比较与测量实验箱、一年级下册第一单元--我们周围的物体实验箱、一年级下册第二单元--动物实验箱、二年级上册第一单元--我们的地球家园、二年级上册第二单元--材料实验箱、二年级下册第一单元--磁铁实验箱、二年级下册第二单元--我们的自己实验箱、三级上册第一单元-水实验箱、三年级上册第二单元-空气实验箱、三年级上册第三单元-天气、三年级下册第一单元-物体的运动、三年级下册第二单元-动物的一生、三年级下册第三单元-太阳、地球和月球、清洁能源实验箱、电与磁实验箱、钢琴等产品的检验合格报告，有一份得1分，最多18分。</w:t>
            </w:r>
            <w:r>
              <w:rPr>
                <w:rFonts w:ascii="仿宋" w:hAnsi="仿宋" w:eastAsia="仿宋"/>
                <w:szCs w:val="21"/>
              </w:rPr>
              <w:br w:type="textWrapping"/>
            </w:r>
            <w:r>
              <w:rPr>
                <w:rFonts w:hint="eastAsia" w:ascii="仿宋" w:hAnsi="仿宋" w:eastAsia="仿宋"/>
                <w:szCs w:val="21"/>
              </w:rPr>
              <w:t>说明：提供检验报告复印件并加盖投标人公章鲜章。</w:t>
            </w:r>
          </w:p>
        </w:tc>
        <w:tc>
          <w:tcPr>
            <w:tcW w:w="892" w:type="dxa"/>
            <w:vAlign w:val="center"/>
          </w:tcPr>
          <w:p>
            <w:pPr>
              <w:widowControl/>
              <w:spacing w:line="240" w:lineRule="auto"/>
              <w:jc w:val="center"/>
              <w:rPr>
                <w:rFonts w:ascii="仿宋" w:hAnsi="仿宋" w:eastAsia="仿宋"/>
                <w:szCs w:val="21"/>
              </w:rPr>
            </w:pPr>
            <w:r>
              <w:rPr>
                <w:rFonts w:hint="eastAsia" w:ascii="仿宋" w:hAnsi="仿宋" w:eastAsia="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46" w:type="dxa"/>
            <w:vAlign w:val="center"/>
          </w:tcPr>
          <w:p>
            <w:pPr>
              <w:widowControl/>
              <w:spacing w:line="240" w:lineRule="auto"/>
              <w:jc w:val="center"/>
              <w:rPr>
                <w:rFonts w:ascii="仿宋" w:hAnsi="仿宋" w:eastAsia="仿宋"/>
                <w:szCs w:val="21"/>
              </w:rPr>
            </w:pPr>
            <w:r>
              <w:rPr>
                <w:rFonts w:ascii="仿宋" w:hAnsi="仿宋" w:eastAsia="仿宋"/>
                <w:szCs w:val="21"/>
              </w:rPr>
              <w:t>6</w:t>
            </w:r>
          </w:p>
        </w:tc>
        <w:tc>
          <w:tcPr>
            <w:tcW w:w="1124" w:type="dxa"/>
            <w:vAlign w:val="center"/>
          </w:tcPr>
          <w:p>
            <w:pPr>
              <w:widowControl/>
              <w:spacing w:line="240" w:lineRule="auto"/>
              <w:rPr>
                <w:rFonts w:ascii="仿宋" w:hAnsi="仿宋" w:eastAsia="仿宋"/>
                <w:szCs w:val="21"/>
              </w:rPr>
            </w:pPr>
            <w:r>
              <w:rPr>
                <w:rFonts w:hint="eastAsia" w:ascii="仿宋" w:hAnsi="仿宋" w:eastAsia="仿宋"/>
                <w:szCs w:val="21"/>
              </w:rPr>
              <w:t>服务保障</w:t>
            </w:r>
          </w:p>
        </w:tc>
        <w:tc>
          <w:tcPr>
            <w:tcW w:w="780" w:type="dxa"/>
            <w:vAlign w:val="center"/>
          </w:tcPr>
          <w:p>
            <w:pPr>
              <w:widowControl/>
              <w:spacing w:line="240" w:lineRule="auto"/>
              <w:rPr>
                <w:rFonts w:ascii="仿宋" w:hAnsi="仿宋" w:eastAsia="仿宋"/>
                <w:szCs w:val="21"/>
              </w:rPr>
            </w:pPr>
            <w:r>
              <w:rPr>
                <w:rFonts w:hint="eastAsia" w:ascii="仿宋" w:hAnsi="仿宋" w:eastAsia="仿宋"/>
                <w:szCs w:val="21"/>
              </w:rPr>
              <w:t>8分</w:t>
            </w:r>
          </w:p>
        </w:tc>
        <w:tc>
          <w:tcPr>
            <w:tcW w:w="5809" w:type="dxa"/>
            <w:vAlign w:val="center"/>
          </w:tcPr>
          <w:p>
            <w:pPr>
              <w:rPr>
                <w:rFonts w:ascii="仿宋" w:hAnsi="仿宋" w:eastAsia="仿宋"/>
                <w:szCs w:val="21"/>
              </w:rPr>
            </w:pPr>
            <w:r>
              <w:rPr>
                <w:rFonts w:hint="eastAsia" w:ascii="仿宋" w:hAnsi="仿宋" w:eastAsia="仿宋"/>
                <w:szCs w:val="21"/>
              </w:rPr>
              <w:t>1、根据投标人售后服务方案在响应机制及时间、响应保障、备机/备件供应、现场巡检、本地化服务等方面进行方案评审：完全满足项目需求且有可行性的得</w:t>
            </w:r>
            <w:r>
              <w:rPr>
                <w:rFonts w:ascii="仿宋" w:hAnsi="仿宋" w:eastAsia="仿宋"/>
                <w:szCs w:val="21"/>
              </w:rPr>
              <w:t>5</w:t>
            </w:r>
            <w:r>
              <w:rPr>
                <w:rFonts w:hint="eastAsia" w:ascii="仿宋" w:hAnsi="仿宋" w:eastAsia="仿宋"/>
                <w:szCs w:val="21"/>
              </w:rPr>
              <w:t>分；有一项不满足要求或缺项的在</w:t>
            </w:r>
            <w:r>
              <w:rPr>
                <w:rFonts w:ascii="仿宋" w:hAnsi="仿宋" w:eastAsia="仿宋"/>
                <w:szCs w:val="21"/>
              </w:rPr>
              <w:t>5</w:t>
            </w:r>
            <w:r>
              <w:rPr>
                <w:rFonts w:hint="eastAsia" w:ascii="仿宋" w:hAnsi="仿宋" w:eastAsia="仿宋"/>
                <w:szCs w:val="21"/>
              </w:rPr>
              <w:t>分的基础上扣</w:t>
            </w:r>
            <w:r>
              <w:rPr>
                <w:rFonts w:ascii="仿宋" w:hAnsi="仿宋" w:eastAsia="仿宋"/>
                <w:szCs w:val="21"/>
              </w:rPr>
              <w:t>1</w:t>
            </w:r>
            <w:r>
              <w:rPr>
                <w:rFonts w:hint="eastAsia" w:ascii="仿宋" w:hAnsi="仿宋" w:eastAsia="仿宋"/>
                <w:szCs w:val="21"/>
              </w:rPr>
              <w:t>分，扣完为止。</w:t>
            </w:r>
            <w:r>
              <w:rPr>
                <w:rFonts w:ascii="仿宋" w:hAnsi="仿宋" w:eastAsia="仿宋"/>
                <w:szCs w:val="21"/>
              </w:rPr>
              <w:br w:type="textWrapping"/>
            </w:r>
            <w:r>
              <w:rPr>
                <w:rFonts w:hint="eastAsia" w:ascii="仿宋" w:hAnsi="仿宋" w:eastAsia="仿宋"/>
                <w:szCs w:val="21"/>
              </w:rPr>
              <w:t>说明：提供售后服务方案并加盖投标人公章鲜章。</w:t>
            </w:r>
            <w:r>
              <w:rPr>
                <w:rFonts w:ascii="仿宋" w:hAnsi="仿宋" w:eastAsia="仿宋"/>
                <w:szCs w:val="21"/>
              </w:rPr>
              <w:br w:type="textWrapping"/>
            </w:r>
            <w:r>
              <w:rPr>
                <w:rFonts w:hint="eastAsia" w:ascii="仿宋" w:hAnsi="仿宋" w:eastAsia="仿宋"/>
                <w:szCs w:val="21"/>
              </w:rPr>
              <w:t>2、投标人获得的商品售后服务认证五星级及以上得3分，四星级得1分，四星级以下得0.5分，无不得分。</w:t>
            </w:r>
          </w:p>
        </w:tc>
        <w:tc>
          <w:tcPr>
            <w:tcW w:w="892" w:type="dxa"/>
            <w:vAlign w:val="center"/>
          </w:tcPr>
          <w:p>
            <w:pPr>
              <w:widowControl/>
              <w:spacing w:line="240" w:lineRule="auto"/>
              <w:jc w:val="center"/>
              <w:rPr>
                <w:rFonts w:ascii="仿宋" w:hAnsi="仿宋" w:eastAsia="仿宋"/>
                <w:b/>
                <w:szCs w:val="21"/>
              </w:rPr>
            </w:pPr>
            <w:r>
              <w:rPr>
                <w:rFonts w:hint="eastAsia" w:ascii="仿宋" w:hAnsi="仿宋" w:eastAsia="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646" w:type="dxa"/>
            <w:vAlign w:val="center"/>
          </w:tcPr>
          <w:p>
            <w:pPr>
              <w:widowControl/>
              <w:spacing w:line="240" w:lineRule="auto"/>
              <w:jc w:val="center"/>
              <w:rPr>
                <w:rFonts w:ascii="仿宋" w:hAnsi="仿宋" w:eastAsia="仿宋"/>
                <w:szCs w:val="21"/>
              </w:rPr>
            </w:pPr>
            <w:r>
              <w:rPr>
                <w:rFonts w:hint="eastAsia" w:ascii="仿宋" w:hAnsi="仿宋" w:eastAsia="仿宋"/>
                <w:szCs w:val="21"/>
              </w:rPr>
              <w:t>7</w:t>
            </w:r>
          </w:p>
        </w:tc>
        <w:tc>
          <w:tcPr>
            <w:tcW w:w="1124" w:type="dxa"/>
            <w:vAlign w:val="center"/>
          </w:tcPr>
          <w:p>
            <w:pPr>
              <w:widowControl/>
              <w:spacing w:line="240" w:lineRule="auto"/>
              <w:rPr>
                <w:rFonts w:ascii="仿宋" w:hAnsi="仿宋" w:eastAsia="仿宋"/>
                <w:szCs w:val="21"/>
              </w:rPr>
            </w:pPr>
            <w:r>
              <w:rPr>
                <w:rFonts w:hint="eastAsia" w:ascii="仿宋" w:hAnsi="仿宋" w:eastAsia="仿宋"/>
                <w:szCs w:val="21"/>
              </w:rPr>
              <w:t>节能、环境标志、无线局域网产品</w:t>
            </w:r>
          </w:p>
        </w:tc>
        <w:tc>
          <w:tcPr>
            <w:tcW w:w="780" w:type="dxa"/>
            <w:vAlign w:val="center"/>
          </w:tcPr>
          <w:p>
            <w:pPr>
              <w:widowControl/>
              <w:spacing w:line="240" w:lineRule="auto"/>
              <w:rPr>
                <w:rFonts w:ascii="仿宋" w:hAnsi="仿宋" w:eastAsia="仿宋"/>
                <w:szCs w:val="21"/>
              </w:rPr>
            </w:pPr>
            <w:r>
              <w:rPr>
                <w:rFonts w:hint="eastAsia" w:ascii="仿宋" w:hAnsi="仿宋" w:eastAsia="仿宋"/>
                <w:szCs w:val="21"/>
              </w:rPr>
              <w:t>2分</w:t>
            </w:r>
          </w:p>
        </w:tc>
        <w:tc>
          <w:tcPr>
            <w:tcW w:w="5809" w:type="dxa"/>
          </w:tcPr>
          <w:p>
            <w:pPr>
              <w:widowControl/>
              <w:spacing w:line="240" w:lineRule="auto"/>
              <w:rPr>
                <w:rFonts w:ascii="仿宋" w:hAnsi="仿宋" w:eastAsia="仿宋" w:cs="宋体"/>
                <w:kern w:val="0"/>
                <w:szCs w:val="21"/>
              </w:rPr>
            </w:pPr>
            <w:r>
              <w:rPr>
                <w:rFonts w:hint="eastAsia" w:ascii="仿宋" w:hAnsi="仿宋" w:eastAsia="仿宋"/>
                <w:szCs w:val="21"/>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共2分。</w:t>
            </w:r>
            <w:r>
              <w:rPr>
                <w:rFonts w:ascii="仿宋" w:hAnsi="仿宋" w:eastAsia="仿宋"/>
                <w:szCs w:val="21"/>
              </w:rPr>
              <w:br w:type="textWrapping"/>
            </w:r>
            <w:r>
              <w:rPr>
                <w:rFonts w:hint="eastAsia" w:ascii="仿宋" w:hAnsi="仿宋" w:eastAsia="仿宋"/>
                <w:szCs w:val="21"/>
              </w:rPr>
              <w:t>注：</w:t>
            </w:r>
            <w:r>
              <w:rPr>
                <w:rFonts w:ascii="仿宋" w:hAnsi="仿宋" w:eastAsia="仿宋"/>
                <w:szCs w:val="21"/>
              </w:rPr>
              <w:br w:type="textWrapping"/>
            </w:r>
            <w:r>
              <w:rPr>
                <w:rFonts w:hint="eastAsia" w:ascii="仿宋" w:hAnsi="仿宋" w:eastAsia="仿宋"/>
                <w:szCs w:val="21"/>
              </w:rPr>
              <w:t>1、可重复计分；</w:t>
            </w:r>
            <w:r>
              <w:rPr>
                <w:rFonts w:ascii="仿宋" w:hAnsi="仿宋" w:eastAsia="仿宋"/>
                <w:szCs w:val="21"/>
              </w:rPr>
              <w:br w:type="textWrapping"/>
            </w:r>
            <w:r>
              <w:rPr>
                <w:rFonts w:hint="eastAsia" w:ascii="仿宋" w:hAnsi="仿宋" w:eastAsia="仿宋"/>
                <w:szCs w:val="21"/>
              </w:rPr>
              <w:t>2、本项目采购的产品中属于节能产品或环境标志产品政府采购品目清单中强制采购范围的，不属于本项范围。</w:t>
            </w:r>
            <w:r>
              <w:rPr>
                <w:rFonts w:ascii="仿宋" w:hAnsi="仿宋" w:eastAsia="仿宋"/>
                <w:szCs w:val="21"/>
              </w:rPr>
              <w:br w:type="textWrapping"/>
            </w:r>
            <w:r>
              <w:rPr>
                <w:rFonts w:hint="eastAsia" w:ascii="仿宋" w:hAnsi="仿宋" w:eastAsia="仿宋"/>
                <w:szCs w:val="21"/>
              </w:rPr>
              <w:t>3、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r>
              <w:rPr>
                <w:rFonts w:ascii="仿宋" w:hAnsi="仿宋" w:eastAsia="仿宋"/>
                <w:szCs w:val="21"/>
              </w:rPr>
              <w:br w:type="textWrapping"/>
            </w:r>
            <w:r>
              <w:rPr>
                <w:rFonts w:hint="eastAsia" w:ascii="仿宋" w:hAnsi="仿宋" w:eastAsia="仿宋"/>
                <w:bCs/>
                <w:szCs w:val="21"/>
              </w:rPr>
              <w:t>4、</w:t>
            </w:r>
            <w:r>
              <w:rPr>
                <w:rFonts w:hint="eastAsia" w:ascii="仿宋" w:hAnsi="仿宋" w:eastAsia="仿宋"/>
                <w:szCs w:val="21"/>
              </w:rPr>
              <w:t>投标人所投产品</w:t>
            </w:r>
            <w:r>
              <w:rPr>
                <w:rFonts w:hint="eastAsia" w:ascii="仿宋" w:hAnsi="仿宋" w:eastAsia="仿宋"/>
                <w:bCs/>
                <w:szCs w:val="21"/>
              </w:rPr>
              <w:t>属于优先采购范围内的无线局域网产品的</w:t>
            </w:r>
            <w:r>
              <w:rPr>
                <w:rFonts w:hint="eastAsia" w:ascii="仿宋" w:hAnsi="仿宋" w:eastAsia="仿宋"/>
                <w:szCs w:val="21"/>
              </w:rPr>
              <w:t>，</w:t>
            </w:r>
            <w:r>
              <w:rPr>
                <w:rFonts w:hint="eastAsia" w:ascii="仿宋" w:hAnsi="仿宋" w:eastAsia="仿宋"/>
                <w:bCs/>
                <w:szCs w:val="21"/>
              </w:rPr>
              <w:t>需提供《中国政府采购网》公布的</w:t>
            </w:r>
            <w:r>
              <w:rPr>
                <w:rFonts w:hint="eastAsia" w:ascii="仿宋" w:hAnsi="仿宋" w:eastAsia="仿宋"/>
                <w:szCs w:val="21"/>
              </w:rPr>
              <w:t>无线局域网产品</w:t>
            </w:r>
            <w:r>
              <w:rPr>
                <w:rFonts w:hint="eastAsia" w:ascii="仿宋" w:hAnsi="仿宋" w:eastAsia="仿宋"/>
                <w:bCs/>
                <w:szCs w:val="21"/>
              </w:rPr>
              <w:t>政府采购清单封面及对应页并加盖供应商单位公章（鲜章）。</w:t>
            </w:r>
          </w:p>
        </w:tc>
        <w:tc>
          <w:tcPr>
            <w:tcW w:w="892" w:type="dxa"/>
          </w:tcPr>
          <w:p>
            <w:pPr>
              <w:widowControl/>
              <w:spacing w:line="240" w:lineRule="auto"/>
              <w:jc w:val="left"/>
              <w:rPr>
                <w:rFonts w:ascii="仿宋" w:hAnsi="仿宋" w:eastAsia="仿宋" w:cs="宋体"/>
                <w:kern w:val="0"/>
                <w:szCs w:val="21"/>
              </w:rPr>
            </w:pPr>
            <w:r>
              <w:rPr>
                <w:rFonts w:hint="eastAsia" w:ascii="仿宋" w:hAnsi="仿宋" w:eastAsia="仿宋"/>
                <w:szCs w:val="21"/>
              </w:rPr>
              <w:t>政策合同类因素</w:t>
            </w:r>
          </w:p>
        </w:tc>
      </w:tr>
    </w:tbl>
    <w:p>
      <w:pPr>
        <w:ind w:firstLine="360" w:firstLineChars="150"/>
        <w:rPr>
          <w:rFonts w:ascii="仿宋" w:hAnsi="仿宋" w:eastAsia="仿宋"/>
          <w:sz w:val="24"/>
        </w:rPr>
      </w:pPr>
      <w:r>
        <w:rPr>
          <w:rFonts w:hint="eastAsia" w:ascii="仿宋" w:hAnsi="仿宋" w:eastAsia="仿宋"/>
          <w:sz w:val="24"/>
        </w:rPr>
        <w:t>注： 的取值按四舍五入法，保留小数点后两位。</w:t>
      </w:r>
    </w:p>
    <w:p>
      <w:pPr>
        <w:pStyle w:val="22"/>
        <w:ind w:firstLine="420" w:firstLineChars="175"/>
        <w:rPr>
          <w:rFonts w:ascii="仿宋" w:hAnsi="仿宋" w:eastAsia="仿宋"/>
          <w:b w:val="0"/>
          <w:bCs w:val="0"/>
          <w:sz w:val="24"/>
        </w:rPr>
      </w:pPr>
      <w:bookmarkStart w:id="190" w:name="_Toc217446059"/>
      <w:r>
        <w:rPr>
          <w:rFonts w:hint="eastAsia" w:ascii="仿宋" w:hAnsi="仿宋" w:eastAsia="仿宋"/>
          <w:b w:val="0"/>
          <w:bCs w:val="0"/>
          <w:sz w:val="24"/>
        </w:rPr>
        <w:t xml:space="preserve">4.3.4 本次综合法由评标委员会各成员独立对通过初审（资格检查和符合性检查）的投标人的投标文件进行评审和打分，    </w:t>
      </w:r>
    </w:p>
    <w:p>
      <w:pPr>
        <w:pStyle w:val="22"/>
        <w:rPr>
          <w:rFonts w:ascii="仿宋" w:hAnsi="仿宋" w:eastAsia="仿宋"/>
          <w:b w:val="0"/>
          <w:bCs w:val="0"/>
          <w:sz w:val="24"/>
        </w:rPr>
      </w:pPr>
      <w:r>
        <w:rPr>
          <w:rFonts w:hint="eastAsia" w:ascii="仿宋" w:hAnsi="仿宋" w:eastAsia="仿宋"/>
          <w:b w:val="0"/>
          <w:bCs w:val="0"/>
          <w:sz w:val="24"/>
        </w:rPr>
        <w:t>评标得分＝（A1＋A2＋……＋An）/N</w:t>
      </w:r>
      <w:r>
        <w:rPr>
          <w:rFonts w:hint="eastAsia" w:ascii="仿宋" w:hAnsi="仿宋" w:eastAsia="仿宋"/>
          <w:b w:val="0"/>
          <w:bCs w:val="0"/>
          <w:sz w:val="24"/>
          <w:vertAlign w:val="subscript"/>
        </w:rPr>
        <w:t>A</w:t>
      </w:r>
      <w:r>
        <w:rPr>
          <w:rFonts w:hint="eastAsia" w:ascii="仿宋" w:hAnsi="仿宋" w:eastAsia="仿宋"/>
          <w:b w:val="0"/>
          <w:bCs w:val="0"/>
          <w:sz w:val="24"/>
        </w:rPr>
        <w:t>＋（B1＋B2＋……＋Bn）/ N</w:t>
      </w:r>
      <w:r>
        <w:rPr>
          <w:rFonts w:hint="eastAsia" w:ascii="仿宋" w:hAnsi="仿宋" w:eastAsia="仿宋"/>
          <w:b w:val="0"/>
          <w:bCs w:val="0"/>
          <w:sz w:val="24"/>
          <w:vertAlign w:val="subscript"/>
        </w:rPr>
        <w:t>B</w:t>
      </w:r>
      <w:r>
        <w:rPr>
          <w:rFonts w:hint="eastAsia" w:ascii="仿宋" w:hAnsi="仿宋" w:eastAsia="仿宋"/>
          <w:b w:val="0"/>
          <w:bCs w:val="0"/>
          <w:sz w:val="24"/>
        </w:rPr>
        <w:t>＋（C1＋C2＋……＋Cn）/ N</w:t>
      </w:r>
      <w:r>
        <w:rPr>
          <w:rFonts w:hint="eastAsia" w:ascii="仿宋" w:hAnsi="仿宋" w:eastAsia="仿宋"/>
          <w:b w:val="0"/>
          <w:bCs w:val="0"/>
          <w:sz w:val="24"/>
          <w:vertAlign w:val="subscript"/>
        </w:rPr>
        <w:t>C</w:t>
      </w:r>
      <w:r>
        <w:rPr>
          <w:rFonts w:hint="eastAsia" w:ascii="仿宋" w:hAnsi="仿宋" w:eastAsia="仿宋"/>
          <w:b w:val="0"/>
          <w:bCs w:val="0"/>
          <w:sz w:val="24"/>
        </w:rPr>
        <w:t>＋（D1＋D2＋……＋Dn）/ N</w:t>
      </w:r>
      <w:r>
        <w:rPr>
          <w:rFonts w:hint="eastAsia" w:ascii="仿宋" w:hAnsi="仿宋" w:eastAsia="仿宋"/>
          <w:b w:val="0"/>
          <w:bCs w:val="0"/>
          <w:sz w:val="24"/>
          <w:vertAlign w:val="subscript"/>
        </w:rPr>
        <w:t>D</w:t>
      </w:r>
      <w:r>
        <w:rPr>
          <w:rFonts w:ascii="仿宋" w:hAnsi="仿宋" w:eastAsia="仿宋"/>
          <w:b w:val="0"/>
          <w:bCs w:val="0"/>
          <w:sz w:val="24"/>
          <w:vertAlign w:val="subscript"/>
        </w:rPr>
        <w:br w:type="textWrapping"/>
      </w:r>
      <w:r>
        <w:rPr>
          <w:rFonts w:ascii="仿宋" w:hAnsi="仿宋" w:eastAsia="仿宋"/>
          <w:b w:val="0"/>
          <w:bCs w:val="0"/>
          <w:sz w:val="24"/>
          <w:vertAlign w:val="subscript"/>
        </w:rPr>
        <w:t xml:space="preserve">   </w:t>
      </w:r>
      <w:r>
        <w:rPr>
          <w:rFonts w:hint="eastAsia" w:ascii="仿宋" w:hAnsi="仿宋" w:eastAsia="仿宋"/>
          <w:b w:val="0"/>
          <w:bCs w:val="0"/>
          <w:sz w:val="24"/>
        </w:rPr>
        <w:t>A1、A2……An分别为每个经济类评委（经济类专家）的打分，N</w:t>
      </w:r>
      <w:r>
        <w:rPr>
          <w:rFonts w:hint="eastAsia" w:ascii="仿宋" w:hAnsi="仿宋" w:eastAsia="仿宋"/>
          <w:b w:val="0"/>
          <w:bCs w:val="0"/>
          <w:sz w:val="24"/>
          <w:vertAlign w:val="subscript"/>
        </w:rPr>
        <w:t>A</w:t>
      </w:r>
      <w:r>
        <w:rPr>
          <w:rFonts w:hint="eastAsia" w:ascii="仿宋" w:hAnsi="仿宋" w:eastAsia="仿宋"/>
          <w:b w:val="0"/>
          <w:bCs w:val="0"/>
          <w:sz w:val="24"/>
        </w:rPr>
        <w:t>为经济类评委（经济类专家）人数；B1、B2＋……Bn 分别为每个技术类评委（技术类专家和采购人代表）的打分，N</w:t>
      </w:r>
      <w:r>
        <w:rPr>
          <w:rFonts w:hint="eastAsia" w:ascii="仿宋" w:hAnsi="仿宋" w:eastAsia="仿宋"/>
          <w:b w:val="0"/>
          <w:bCs w:val="0"/>
          <w:sz w:val="24"/>
          <w:vertAlign w:val="subscript"/>
        </w:rPr>
        <w:t>B</w:t>
      </w:r>
      <w:r>
        <w:rPr>
          <w:rFonts w:hint="eastAsia" w:ascii="仿宋" w:hAnsi="仿宋" w:eastAsia="仿宋"/>
          <w:b w:val="0"/>
          <w:bCs w:val="0"/>
          <w:sz w:val="24"/>
        </w:rPr>
        <w:t>为技术类评委（技术类专家和采购人代表）人数；C1、C2……Cn 分别为每个政策合同类评委（法律类专家）的打分，N</w:t>
      </w:r>
      <w:r>
        <w:rPr>
          <w:rFonts w:hint="eastAsia" w:ascii="仿宋" w:hAnsi="仿宋" w:eastAsia="仿宋"/>
          <w:b w:val="0"/>
          <w:bCs w:val="0"/>
          <w:sz w:val="24"/>
          <w:vertAlign w:val="subscript"/>
        </w:rPr>
        <w:t>C</w:t>
      </w:r>
      <w:r>
        <w:rPr>
          <w:rFonts w:hint="eastAsia" w:ascii="仿宋" w:hAnsi="仿宋" w:eastAsia="仿宋"/>
          <w:b w:val="0"/>
          <w:bCs w:val="0"/>
          <w:sz w:val="24"/>
        </w:rPr>
        <w:t>为政策合同类评委（法律类专家）人数；D1、D2……Dn 分别为评审委员会每个成员的打分（共同类），N</w:t>
      </w:r>
      <w:r>
        <w:rPr>
          <w:rFonts w:hint="eastAsia" w:ascii="仿宋" w:hAnsi="仿宋" w:eastAsia="仿宋"/>
          <w:b w:val="0"/>
          <w:bCs w:val="0"/>
          <w:sz w:val="24"/>
          <w:vertAlign w:val="subscript"/>
        </w:rPr>
        <w:t>D</w:t>
      </w:r>
      <w:r>
        <w:rPr>
          <w:rFonts w:hint="eastAsia" w:ascii="仿宋" w:hAnsi="仿宋" w:eastAsia="仿宋"/>
          <w:b w:val="0"/>
          <w:bCs w:val="0"/>
          <w:sz w:val="24"/>
        </w:rPr>
        <w:t>为评标委员会人数。</w:t>
      </w:r>
    </w:p>
    <w:bookmarkEnd w:id="190"/>
    <w:p>
      <w:pPr>
        <w:pStyle w:val="3"/>
        <w:spacing w:line="400" w:lineRule="exact"/>
        <w:ind w:firstLine="472" w:firstLineChars="196"/>
        <w:rPr>
          <w:rFonts w:ascii="仿宋" w:hAnsi="仿宋" w:eastAsia="仿宋"/>
          <w:sz w:val="24"/>
          <w:szCs w:val="24"/>
        </w:rPr>
      </w:pPr>
      <w:bookmarkStart w:id="191" w:name="_Toc217446060"/>
      <w:r>
        <w:rPr>
          <w:rFonts w:hint="eastAsia" w:ascii="仿宋" w:hAnsi="仿宋" w:eastAsia="仿宋"/>
          <w:sz w:val="24"/>
          <w:szCs w:val="24"/>
        </w:rPr>
        <w:t>5、 废 标</w:t>
      </w:r>
    </w:p>
    <w:p>
      <w:pPr>
        <w:spacing w:line="400" w:lineRule="exact"/>
        <w:ind w:firstLine="480" w:firstLineChars="200"/>
        <w:rPr>
          <w:rFonts w:ascii="仿宋" w:hAnsi="仿宋" w:eastAsia="仿宋"/>
          <w:sz w:val="24"/>
        </w:rPr>
      </w:pPr>
      <w:r>
        <w:rPr>
          <w:rFonts w:hint="eastAsia" w:ascii="仿宋" w:hAnsi="仿宋" w:eastAsia="仿宋"/>
          <w:sz w:val="24"/>
        </w:rPr>
        <w:t>5.1本次政府采购活动中，出现下列情形之一的，予以废标：</w:t>
      </w:r>
    </w:p>
    <w:p>
      <w:pPr>
        <w:spacing w:line="400" w:lineRule="exact"/>
        <w:ind w:firstLine="480" w:firstLineChars="200"/>
        <w:rPr>
          <w:rFonts w:ascii="仿宋" w:hAnsi="仿宋" w:eastAsia="仿宋"/>
          <w:sz w:val="24"/>
        </w:rPr>
      </w:pPr>
      <w:r>
        <w:rPr>
          <w:rFonts w:hint="eastAsia" w:ascii="仿宋" w:hAnsi="仿宋" w:eastAsia="仿宋"/>
          <w:sz w:val="24"/>
        </w:rPr>
        <w:t>（1）符合专业条件的供应商或者对招标文件作实质响应的供应商不足三家的；</w:t>
      </w:r>
    </w:p>
    <w:p>
      <w:pPr>
        <w:spacing w:line="400" w:lineRule="exact"/>
        <w:ind w:firstLine="480" w:firstLineChars="200"/>
        <w:rPr>
          <w:rFonts w:ascii="仿宋" w:hAnsi="仿宋" w:eastAsia="仿宋"/>
          <w:sz w:val="24"/>
        </w:rPr>
      </w:pPr>
      <w:r>
        <w:rPr>
          <w:rFonts w:hint="eastAsia" w:ascii="仿宋" w:hAnsi="仿宋" w:eastAsia="仿宋"/>
          <w:sz w:val="24"/>
        </w:rPr>
        <w:t>（2）出现影响采购公正的违法、违规行为的；</w:t>
      </w:r>
    </w:p>
    <w:p>
      <w:pPr>
        <w:spacing w:line="400" w:lineRule="exact"/>
        <w:ind w:firstLine="480" w:firstLineChars="200"/>
        <w:rPr>
          <w:rFonts w:ascii="仿宋" w:hAnsi="仿宋" w:eastAsia="仿宋"/>
          <w:sz w:val="24"/>
        </w:rPr>
      </w:pPr>
      <w:r>
        <w:rPr>
          <w:rFonts w:hint="eastAsia" w:ascii="仿宋" w:hAnsi="仿宋" w:eastAsia="仿宋"/>
          <w:sz w:val="24"/>
        </w:rPr>
        <w:t>（3）投标人的报价均超过了采购预算，采购人不能支付的；</w:t>
      </w:r>
    </w:p>
    <w:p>
      <w:pPr>
        <w:spacing w:line="400" w:lineRule="exact"/>
        <w:ind w:firstLine="480" w:firstLineChars="200"/>
        <w:rPr>
          <w:rFonts w:ascii="仿宋" w:hAnsi="仿宋" w:eastAsia="仿宋"/>
          <w:sz w:val="24"/>
        </w:rPr>
      </w:pPr>
      <w:r>
        <w:rPr>
          <w:rFonts w:hint="eastAsia" w:ascii="仿宋" w:hAnsi="仿宋" w:eastAsia="仿宋"/>
          <w:sz w:val="24"/>
        </w:rPr>
        <w:t>（4）因重大变故，采购任务取消的。</w:t>
      </w:r>
    </w:p>
    <w:p>
      <w:pPr>
        <w:spacing w:line="400" w:lineRule="exact"/>
        <w:ind w:firstLine="480" w:firstLineChars="200"/>
        <w:rPr>
          <w:rFonts w:ascii="仿宋" w:hAnsi="仿宋" w:eastAsia="仿宋"/>
          <w:sz w:val="24"/>
        </w:rPr>
      </w:pPr>
      <w:r>
        <w:rPr>
          <w:rFonts w:hint="eastAsia" w:ascii="仿宋" w:hAnsi="仿宋" w:eastAsia="仿宋"/>
          <w:sz w:val="24"/>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eastAsia="仿宋"/>
          <w:sz w:val="24"/>
        </w:rPr>
      </w:pPr>
      <w:r>
        <w:rPr>
          <w:rFonts w:hint="eastAsia" w:ascii="仿宋" w:hAnsi="仿宋" w:eastAsia="仿宋"/>
          <w:sz w:val="24"/>
        </w:rPr>
        <w:t>5.2对于评标过程中废标的采购项目，评标委员会应当对招标文件是否存在倾向性和歧视性、是否存在不合理条款进行论证，并出具书面论证意见。</w:t>
      </w:r>
    </w:p>
    <w:p>
      <w:pPr>
        <w:spacing w:line="400" w:lineRule="exact"/>
        <w:ind w:firstLine="480" w:firstLineChars="200"/>
        <w:rPr>
          <w:rFonts w:ascii="仿宋" w:hAnsi="仿宋" w:eastAsia="仿宋"/>
          <w:sz w:val="24"/>
        </w:rPr>
      </w:pPr>
    </w:p>
    <w:p>
      <w:pPr>
        <w:pStyle w:val="3"/>
        <w:spacing w:line="400" w:lineRule="exact"/>
        <w:ind w:firstLine="472" w:firstLineChars="196"/>
        <w:rPr>
          <w:rFonts w:ascii="仿宋" w:hAnsi="仿宋" w:eastAsia="仿宋"/>
          <w:sz w:val="24"/>
          <w:szCs w:val="24"/>
        </w:rPr>
      </w:pPr>
      <w:r>
        <w:rPr>
          <w:rFonts w:hint="eastAsia" w:ascii="仿宋" w:hAnsi="仿宋" w:eastAsia="仿宋"/>
          <w:sz w:val="24"/>
          <w:szCs w:val="24"/>
        </w:rPr>
        <w:t>6、定标</w:t>
      </w:r>
      <w:bookmarkEnd w:id="191"/>
      <w:bookmarkStart w:id="192" w:name="_Toc217446061"/>
    </w:p>
    <w:p>
      <w:pPr>
        <w:spacing w:line="400" w:lineRule="exact"/>
        <w:ind w:firstLine="480" w:firstLineChars="200"/>
        <w:rPr>
          <w:rFonts w:ascii="仿宋" w:hAnsi="仿宋" w:eastAsia="仿宋"/>
          <w:sz w:val="24"/>
        </w:rPr>
      </w:pPr>
      <w:r>
        <w:rPr>
          <w:rFonts w:hint="eastAsia" w:ascii="仿宋" w:hAnsi="仿宋" w:eastAsia="仿宋"/>
          <w:sz w:val="24"/>
        </w:rPr>
        <w:t>6.1. 定标原则</w:t>
      </w:r>
      <w:bookmarkEnd w:id="192"/>
      <w:r>
        <w:rPr>
          <w:rFonts w:hint="eastAsia" w:ascii="仿宋" w:hAnsi="仿宋" w:eastAsia="仿宋"/>
          <w:sz w:val="24"/>
        </w:rPr>
        <w:t>：本项目根据评标委员会推荐的中标候选供应商名单，按顺序确定中标供应商。</w:t>
      </w:r>
    </w:p>
    <w:p>
      <w:pPr>
        <w:spacing w:line="400" w:lineRule="exact"/>
        <w:ind w:firstLine="480" w:firstLineChars="200"/>
        <w:rPr>
          <w:rFonts w:ascii="仿宋" w:hAnsi="仿宋" w:eastAsia="仿宋"/>
          <w:sz w:val="24"/>
        </w:rPr>
      </w:pPr>
      <w:bookmarkStart w:id="193" w:name="_Toc217446062"/>
      <w:r>
        <w:rPr>
          <w:rFonts w:hint="eastAsia" w:ascii="仿宋" w:hAnsi="仿宋" w:eastAsia="仿宋"/>
          <w:sz w:val="24"/>
        </w:rPr>
        <w:t>6.2. 定标程序</w:t>
      </w:r>
      <w:bookmarkEnd w:id="193"/>
    </w:p>
    <w:p>
      <w:pPr>
        <w:spacing w:line="400" w:lineRule="exact"/>
        <w:ind w:firstLine="480" w:firstLineChars="200"/>
        <w:rPr>
          <w:rFonts w:ascii="仿宋" w:hAnsi="仿宋" w:eastAsia="仿宋"/>
          <w:sz w:val="24"/>
        </w:rPr>
      </w:pPr>
      <w:r>
        <w:rPr>
          <w:rFonts w:hint="eastAsia" w:ascii="仿宋" w:hAnsi="仿宋" w:eastAsia="仿宋"/>
          <w:sz w:val="24"/>
        </w:rPr>
        <w:t>6.2.1 评标委员会将评标情况写出书面报告，推荐中标候选供应商。</w:t>
      </w:r>
    </w:p>
    <w:p>
      <w:pPr>
        <w:spacing w:line="400" w:lineRule="exact"/>
        <w:ind w:firstLine="480" w:firstLineChars="200"/>
        <w:rPr>
          <w:rFonts w:ascii="仿宋" w:hAnsi="仿宋" w:eastAsia="仿宋"/>
          <w:sz w:val="24"/>
        </w:rPr>
      </w:pPr>
      <w:r>
        <w:rPr>
          <w:rFonts w:hint="eastAsia" w:ascii="仿宋" w:hAnsi="仿宋" w:eastAsia="仿宋"/>
          <w:sz w:val="24"/>
        </w:rPr>
        <w:t>6.2.2 采购代理机构在评标结束后2个工作日内将评标报告送采购人。</w:t>
      </w:r>
    </w:p>
    <w:p>
      <w:pPr>
        <w:spacing w:line="400" w:lineRule="exact"/>
        <w:ind w:firstLine="480" w:firstLineChars="200"/>
        <w:rPr>
          <w:rFonts w:ascii="仿宋" w:hAnsi="仿宋" w:eastAsia="仿宋"/>
          <w:sz w:val="24"/>
        </w:rPr>
      </w:pPr>
      <w:r>
        <w:rPr>
          <w:rFonts w:hint="eastAsia" w:ascii="仿宋" w:hAnsi="仿宋" w:eastAsia="仿宋"/>
          <w:sz w:val="24"/>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eastAsia="仿宋"/>
          <w:sz w:val="24"/>
        </w:rPr>
      </w:pPr>
      <w:r>
        <w:rPr>
          <w:rFonts w:hint="eastAsia" w:ascii="仿宋" w:hAnsi="仿宋" w:eastAsia="仿宋"/>
          <w:sz w:val="24"/>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eastAsia="仿宋"/>
          <w:sz w:val="24"/>
        </w:rPr>
      </w:pPr>
      <w:r>
        <w:rPr>
          <w:rFonts w:hint="eastAsia" w:ascii="仿宋" w:hAnsi="仿宋" w:eastAsia="仿宋"/>
          <w:sz w:val="24"/>
        </w:rPr>
        <w:t>6.2.5 招标采购单位不退回投标人投标文件和其他投标资料。</w:t>
      </w:r>
    </w:p>
    <w:bookmarkEnd w:id="189"/>
    <w:p>
      <w:pPr>
        <w:pStyle w:val="3"/>
        <w:spacing w:line="400" w:lineRule="exact"/>
        <w:ind w:firstLine="482" w:firstLineChars="200"/>
        <w:rPr>
          <w:rFonts w:ascii="仿宋" w:hAnsi="仿宋" w:eastAsia="仿宋"/>
          <w:bCs w:val="0"/>
          <w:sz w:val="24"/>
          <w:szCs w:val="24"/>
        </w:rPr>
      </w:pPr>
      <w:bookmarkStart w:id="194" w:name="_Toc217446105"/>
      <w:bookmarkStart w:id="195" w:name="_Toc183682432"/>
      <w:bookmarkStart w:id="196" w:name="_Toc208849022"/>
      <w:bookmarkStart w:id="197" w:name="_Toc183582297"/>
      <w:r>
        <w:rPr>
          <w:rFonts w:hint="eastAsia" w:ascii="仿宋" w:hAnsi="仿宋" w:eastAsia="仿宋"/>
          <w:bCs w:val="0"/>
          <w:sz w:val="24"/>
          <w:szCs w:val="24"/>
        </w:rPr>
        <w:t xml:space="preserve">7. </w:t>
      </w:r>
      <w:bookmarkEnd w:id="194"/>
      <w:bookmarkEnd w:id="195"/>
      <w:bookmarkEnd w:id="196"/>
      <w:bookmarkEnd w:id="197"/>
      <w:r>
        <w:rPr>
          <w:rFonts w:hint="eastAsia" w:ascii="仿宋" w:hAnsi="仿宋" w:eastAsia="仿宋"/>
          <w:sz w:val="24"/>
          <w:szCs w:val="24"/>
        </w:rPr>
        <w:t>评标专家在</w:t>
      </w:r>
      <w:r>
        <w:rPr>
          <w:rFonts w:hint="eastAsia" w:ascii="仿宋" w:hAnsi="仿宋" w:eastAsia="仿宋"/>
          <w:sz w:val="24"/>
        </w:rPr>
        <w:t>政府采购活动</w:t>
      </w:r>
      <w:r>
        <w:rPr>
          <w:rFonts w:hint="eastAsia" w:ascii="仿宋" w:hAnsi="仿宋" w:eastAsia="仿宋"/>
          <w:sz w:val="24"/>
          <w:szCs w:val="24"/>
        </w:rPr>
        <w:t>中承担以下义务：</w:t>
      </w:r>
    </w:p>
    <w:p>
      <w:pPr>
        <w:spacing w:line="400" w:lineRule="exact"/>
        <w:ind w:firstLine="480" w:firstLineChars="200"/>
        <w:rPr>
          <w:rFonts w:ascii="仿宋" w:hAnsi="仿宋" w:eastAsia="仿宋"/>
          <w:sz w:val="24"/>
        </w:rPr>
      </w:pPr>
      <w:r>
        <w:rPr>
          <w:rFonts w:hint="eastAsia" w:ascii="仿宋" w:hAnsi="仿宋" w:eastAsia="仿宋"/>
          <w:sz w:val="24"/>
        </w:rPr>
        <w:t xml:space="preserve">（一）遵守评审工作纪律； </w:t>
      </w:r>
    </w:p>
    <w:p>
      <w:pPr>
        <w:spacing w:line="400" w:lineRule="exact"/>
        <w:ind w:firstLine="480" w:firstLineChars="200"/>
        <w:rPr>
          <w:rFonts w:ascii="仿宋" w:hAnsi="仿宋" w:eastAsia="仿宋"/>
          <w:sz w:val="24"/>
        </w:rPr>
      </w:pPr>
      <w:r>
        <w:rPr>
          <w:rFonts w:hint="eastAsia" w:ascii="仿宋" w:hAnsi="仿宋" w:eastAsia="仿宋"/>
          <w:sz w:val="24"/>
        </w:rPr>
        <w:t>（二）按照客观、公正、审慎的原则，根据采购文件规定的评审程序、评审方法和评审标准进行独立评审；</w:t>
      </w:r>
    </w:p>
    <w:p>
      <w:pPr>
        <w:spacing w:line="400" w:lineRule="exact"/>
        <w:ind w:firstLine="480" w:firstLineChars="200"/>
        <w:rPr>
          <w:rFonts w:ascii="仿宋" w:hAnsi="仿宋" w:eastAsia="仿宋"/>
          <w:sz w:val="24"/>
        </w:rPr>
      </w:pPr>
      <w:r>
        <w:rPr>
          <w:rFonts w:hint="eastAsia" w:ascii="仿宋" w:hAnsi="仿宋" w:eastAsia="仿宋"/>
          <w:sz w:val="24"/>
        </w:rPr>
        <w:t>（三）不得泄露评审文件、评审情况和在评审过程中获悉的商业秘密；</w:t>
      </w:r>
    </w:p>
    <w:p>
      <w:pPr>
        <w:spacing w:line="400" w:lineRule="exact"/>
        <w:ind w:firstLine="480" w:firstLineChars="200"/>
        <w:rPr>
          <w:rFonts w:ascii="仿宋" w:hAnsi="仿宋" w:eastAsia="仿宋"/>
          <w:sz w:val="24"/>
        </w:rPr>
      </w:pPr>
      <w:r>
        <w:rPr>
          <w:rFonts w:hint="eastAsia" w:ascii="仿宋" w:hAnsi="仿宋" w:eastAsia="仿宋"/>
          <w:sz w:val="24"/>
        </w:rPr>
        <w:t>（四）及时向监督部门报告评审过程中采购组织单位向评审专家做倾向性、误导性的解释或者说明，供应商行贿、提供虚假材料或者串通、受到的非法干预情况等违法违规行为；</w:t>
      </w:r>
    </w:p>
    <w:p>
      <w:pPr>
        <w:spacing w:line="400" w:lineRule="exact"/>
        <w:ind w:firstLine="480" w:firstLineChars="200"/>
        <w:rPr>
          <w:rFonts w:ascii="仿宋" w:hAnsi="仿宋" w:eastAsia="仿宋"/>
          <w:sz w:val="24"/>
        </w:rPr>
      </w:pPr>
      <w:r>
        <w:rPr>
          <w:rFonts w:hint="eastAsia" w:ascii="仿宋" w:hAnsi="仿宋" w:eastAsia="仿宋"/>
          <w:sz w:val="24"/>
        </w:rPr>
        <w:t>（五）发现采购文件内容违反国家有关强制性规定或者存在歧义、重大缺陷导致评审工作无法进行时，停止评审并向采购组织单位书面说明情况；</w:t>
      </w:r>
    </w:p>
    <w:p>
      <w:pPr>
        <w:spacing w:line="400" w:lineRule="exact"/>
        <w:ind w:firstLine="480" w:firstLineChars="200"/>
        <w:rPr>
          <w:rFonts w:ascii="仿宋" w:hAnsi="仿宋" w:eastAsia="仿宋"/>
          <w:sz w:val="24"/>
        </w:rPr>
      </w:pPr>
      <w:r>
        <w:rPr>
          <w:rFonts w:hint="eastAsia" w:ascii="仿宋" w:hAnsi="仿宋" w:eastAsia="仿宋"/>
          <w:sz w:val="24"/>
        </w:rPr>
        <w:t>（六）配合答复处理供应商的询问、质疑和投诉等事项；</w:t>
      </w:r>
    </w:p>
    <w:p>
      <w:pPr>
        <w:spacing w:line="400" w:lineRule="exact"/>
        <w:ind w:firstLine="480" w:firstLineChars="200"/>
        <w:rPr>
          <w:rFonts w:ascii="仿宋" w:hAnsi="仿宋" w:eastAsia="仿宋"/>
          <w:sz w:val="24"/>
        </w:rPr>
      </w:pPr>
      <w:r>
        <w:rPr>
          <w:rFonts w:hint="eastAsia" w:ascii="仿宋" w:hAnsi="仿宋" w:eastAsia="仿宋"/>
          <w:sz w:val="24"/>
        </w:rPr>
        <w:t>（七）法律、法规和规章规定的其他义务。</w:t>
      </w:r>
    </w:p>
    <w:p>
      <w:pPr>
        <w:pStyle w:val="3"/>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8.评标专家在政府采购活动中应当遵守以下工作纪律：</w:t>
      </w:r>
    </w:p>
    <w:p>
      <w:pPr>
        <w:spacing w:line="400" w:lineRule="exact"/>
        <w:ind w:firstLine="480" w:firstLineChars="200"/>
        <w:rPr>
          <w:rFonts w:ascii="仿宋" w:hAnsi="仿宋" w:eastAsia="仿宋"/>
          <w:sz w:val="24"/>
        </w:rPr>
      </w:pPr>
      <w:r>
        <w:rPr>
          <w:rFonts w:hint="eastAsia" w:ascii="仿宋" w:hAnsi="仿宋" w:eastAsia="仿宋"/>
          <w:sz w:val="24"/>
        </w:rPr>
        <w:t>（一）遵行《政府采购法》第十二条和《政府采购法实施条例》第九条及财政部关于回避的规定。</w:t>
      </w:r>
    </w:p>
    <w:p>
      <w:pPr>
        <w:spacing w:line="400" w:lineRule="exact"/>
        <w:ind w:firstLine="480" w:firstLineChars="200"/>
        <w:rPr>
          <w:rFonts w:ascii="仿宋" w:hAnsi="仿宋" w:eastAsia="仿宋"/>
          <w:sz w:val="24"/>
        </w:rPr>
      </w:pPr>
      <w:r>
        <w:rPr>
          <w:rFonts w:hint="eastAsia" w:ascii="仿宋" w:hAnsi="仿宋" w:eastAsia="仿宋"/>
          <w:sz w:val="24"/>
        </w:rPr>
        <w:t>（二）评标前，应当将通讯工具或者相关电子设备交由招标采购单位统一保管。</w:t>
      </w:r>
    </w:p>
    <w:p>
      <w:pPr>
        <w:spacing w:line="400" w:lineRule="exact"/>
        <w:ind w:firstLine="480" w:firstLineChars="200"/>
        <w:rPr>
          <w:rFonts w:ascii="仿宋" w:hAnsi="仿宋" w:eastAsia="仿宋"/>
          <w:sz w:val="24"/>
        </w:rPr>
      </w:pPr>
      <w:r>
        <w:rPr>
          <w:rFonts w:hint="eastAsia" w:ascii="仿宋" w:hAnsi="仿宋" w:eastAsia="仿宋"/>
          <w:sz w:val="24"/>
        </w:rPr>
        <w:t>（三）评标过程中，不得与外界联系，因发生不可预见情况，确实需要与外界联系的，应当在监督人员监督之下办理。</w:t>
      </w:r>
    </w:p>
    <w:p>
      <w:pPr>
        <w:spacing w:line="400" w:lineRule="exact"/>
        <w:ind w:firstLine="480" w:firstLineChars="200"/>
        <w:rPr>
          <w:rFonts w:ascii="仿宋" w:hAnsi="仿宋" w:eastAsia="仿宋"/>
          <w:sz w:val="24"/>
        </w:rPr>
      </w:pPr>
      <w:r>
        <w:rPr>
          <w:rFonts w:hint="eastAsia" w:ascii="仿宋" w:hAnsi="仿宋" w:eastAsia="仿宋"/>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不得违反规定的评标格式和撰写评标意见，不得拒绝对自己的评标意见签字确认。</w:t>
      </w:r>
    </w:p>
    <w:p>
      <w:pPr>
        <w:spacing w:line="400" w:lineRule="exact"/>
        <w:ind w:firstLine="480" w:firstLineChars="200"/>
        <w:rPr>
          <w:rFonts w:ascii="仿宋" w:hAnsi="仿宋" w:eastAsia="仿宋"/>
          <w:sz w:val="24"/>
        </w:rPr>
      </w:pPr>
      <w:r>
        <w:rPr>
          <w:rFonts w:hint="eastAsia" w:ascii="仿宋" w:hAnsi="仿宋" w:eastAsia="仿宋"/>
          <w:sz w:val="24"/>
        </w:rPr>
        <w:t>（五）在评标过程中和评标结束后，不得记录、复制或带走任何评标资料，除因规定的义务外，不得向外界透露评标内容。</w:t>
      </w:r>
    </w:p>
    <w:p>
      <w:pPr>
        <w:spacing w:line="400" w:lineRule="exact"/>
        <w:ind w:firstLine="480" w:firstLineChars="200"/>
        <w:rPr>
          <w:rFonts w:ascii="仿宋" w:hAnsi="仿宋" w:eastAsia="仿宋"/>
          <w:sz w:val="24"/>
        </w:rPr>
      </w:pPr>
      <w:r>
        <w:rPr>
          <w:rFonts w:hint="eastAsia" w:ascii="仿宋" w:hAnsi="仿宋" w:eastAsia="仿宋"/>
          <w:sz w:val="24"/>
        </w:rPr>
        <w:t>（六）服从评标现场招标采购单位的现场秩序管理，接受评标现场监督人员的合法监督。</w:t>
      </w:r>
    </w:p>
    <w:p>
      <w:pPr>
        <w:spacing w:line="400" w:lineRule="exact"/>
        <w:ind w:firstLine="480" w:firstLineChars="200"/>
        <w:rPr>
          <w:rFonts w:ascii="仿宋" w:hAnsi="仿宋" w:eastAsia="仿宋"/>
          <w:sz w:val="24"/>
        </w:rPr>
      </w:pPr>
      <w:r>
        <w:rPr>
          <w:rFonts w:hint="eastAsia" w:ascii="仿宋" w:hAnsi="仿宋" w:eastAsia="仿宋"/>
          <w:sz w:val="24"/>
        </w:rPr>
        <w:t>（七）遵守有关廉洁自律规定，不得私下接触供应商，不得收受供应商及有关业务单位和个人的财物或好处，不得接受采购组织单位的请托。</w:t>
      </w:r>
    </w:p>
    <w:p>
      <w:pPr>
        <w:pStyle w:val="2"/>
        <w:spacing w:line="400" w:lineRule="exact"/>
        <w:jc w:val="center"/>
        <w:rPr>
          <w:rFonts w:ascii="仿宋" w:hAnsi="仿宋" w:eastAsia="仿宋"/>
          <w:sz w:val="36"/>
          <w:szCs w:val="36"/>
        </w:rPr>
      </w:pPr>
      <w:bookmarkStart w:id="198" w:name="_Toc23042"/>
      <w:bookmarkStart w:id="199" w:name="_Toc5845"/>
      <w:r>
        <w:rPr>
          <w:rFonts w:hint="eastAsia" w:ascii="仿宋" w:hAnsi="仿宋" w:eastAsia="仿宋"/>
          <w:sz w:val="36"/>
          <w:szCs w:val="36"/>
        </w:rPr>
        <w:br w:type="page"/>
      </w:r>
      <w:bookmarkEnd w:id="198"/>
      <w:bookmarkEnd w:id="199"/>
      <w:r>
        <w:rPr>
          <w:rFonts w:hint="eastAsia" w:ascii="仿宋" w:hAnsi="仿宋" w:eastAsia="仿宋"/>
          <w:sz w:val="36"/>
          <w:szCs w:val="36"/>
        </w:rPr>
        <w:t>第八章</w:t>
      </w:r>
      <w:r>
        <w:rPr>
          <w:rFonts w:ascii="仿宋" w:hAnsi="仿宋" w:eastAsia="仿宋"/>
          <w:sz w:val="36"/>
          <w:szCs w:val="36"/>
        </w:rPr>
        <w:t xml:space="preserve">  </w:t>
      </w:r>
      <w:r>
        <w:rPr>
          <w:rFonts w:hint="eastAsia" w:ascii="仿宋" w:hAnsi="仿宋" w:eastAsia="仿宋"/>
          <w:sz w:val="36"/>
          <w:szCs w:val="36"/>
        </w:rPr>
        <w:t>政府采购合同</w:t>
      </w:r>
    </w:p>
    <w:p>
      <w:pPr>
        <w:spacing w:line="400" w:lineRule="exact"/>
        <w:rPr>
          <w:rFonts w:ascii="仿宋" w:hAnsi="仿宋" w:eastAsia="仿宋"/>
        </w:rPr>
      </w:pPr>
    </w:p>
    <w:p>
      <w:pPr>
        <w:spacing w:line="360" w:lineRule="auto"/>
        <w:ind w:firstLine="480" w:firstLineChars="200"/>
        <w:rPr>
          <w:rFonts w:ascii="仿宋" w:hAnsi="仿宋" w:eastAsia="仿宋"/>
          <w:sz w:val="24"/>
        </w:rPr>
      </w:pPr>
      <w:r>
        <w:rPr>
          <w:rFonts w:hint="eastAsia" w:ascii="仿宋" w:hAnsi="仿宋" w:eastAsia="仿宋"/>
          <w:sz w:val="24"/>
        </w:rPr>
        <w:t>合同编号：</w:t>
      </w:r>
      <w:r>
        <w:rPr>
          <w:rFonts w:hint="eastAsia" w:ascii="仿宋" w:hAnsi="仿宋" w:eastAsia="仿宋"/>
          <w:szCs w:val="21"/>
        </w:rPr>
        <w:t>XXXX。</w:t>
      </w:r>
    </w:p>
    <w:p>
      <w:pPr>
        <w:spacing w:line="360" w:lineRule="auto"/>
        <w:ind w:firstLine="480" w:firstLineChars="200"/>
        <w:rPr>
          <w:rFonts w:ascii="仿宋" w:hAnsi="仿宋" w:eastAsia="仿宋"/>
          <w:sz w:val="24"/>
        </w:rPr>
      </w:pPr>
      <w:r>
        <w:rPr>
          <w:rFonts w:hint="eastAsia" w:ascii="仿宋" w:hAnsi="仿宋" w:eastAsia="仿宋"/>
          <w:sz w:val="24"/>
        </w:rPr>
        <w:t>签订地点：</w:t>
      </w:r>
      <w:r>
        <w:rPr>
          <w:rFonts w:hint="eastAsia" w:ascii="仿宋" w:hAnsi="仿宋" w:eastAsia="仿宋"/>
          <w:szCs w:val="21"/>
        </w:rPr>
        <w:t>XXXX。</w:t>
      </w:r>
    </w:p>
    <w:p>
      <w:pPr>
        <w:spacing w:line="360" w:lineRule="auto"/>
        <w:ind w:firstLine="480" w:firstLineChars="200"/>
        <w:rPr>
          <w:rFonts w:ascii="仿宋" w:hAnsi="仿宋" w:eastAsia="仿宋"/>
          <w:sz w:val="24"/>
        </w:rPr>
      </w:pPr>
      <w:r>
        <w:rPr>
          <w:rFonts w:hint="eastAsia" w:ascii="仿宋" w:hAnsi="仿宋" w:eastAsia="仿宋"/>
          <w:sz w:val="24"/>
        </w:rPr>
        <w:t>签订时间：</w:t>
      </w:r>
      <w:r>
        <w:rPr>
          <w:rFonts w:hint="eastAsia" w:ascii="仿宋" w:hAnsi="仿宋" w:eastAsia="仿宋"/>
          <w:szCs w:val="21"/>
        </w:rPr>
        <w:t>XXXX</w:t>
      </w:r>
      <w:r>
        <w:rPr>
          <w:rFonts w:hint="eastAsia" w:ascii="仿宋" w:hAnsi="仿宋" w:eastAsia="仿宋"/>
          <w:sz w:val="24"/>
        </w:rPr>
        <w:t>年</w:t>
      </w:r>
      <w:r>
        <w:rPr>
          <w:rFonts w:hint="eastAsia" w:ascii="仿宋" w:hAnsi="仿宋" w:eastAsia="仿宋"/>
          <w:szCs w:val="21"/>
        </w:rPr>
        <w:t>XX</w:t>
      </w:r>
      <w:r>
        <w:rPr>
          <w:rFonts w:hint="eastAsia" w:ascii="仿宋" w:hAnsi="仿宋" w:eastAsia="仿宋"/>
          <w:sz w:val="24"/>
        </w:rPr>
        <w:t>月</w:t>
      </w:r>
      <w:r>
        <w:rPr>
          <w:rFonts w:hint="eastAsia" w:ascii="仿宋" w:hAnsi="仿宋" w:eastAsia="仿宋"/>
          <w:szCs w:val="21"/>
        </w:rPr>
        <w:t>XX</w:t>
      </w:r>
      <w:r>
        <w:rPr>
          <w:rFonts w:hint="eastAsia" w:ascii="仿宋" w:hAnsi="仿宋" w:eastAsia="仿宋"/>
          <w:sz w:val="24"/>
        </w:rPr>
        <w:t>日。</w:t>
      </w:r>
    </w:p>
    <w:p>
      <w:pPr>
        <w:spacing w:line="360" w:lineRule="auto"/>
        <w:ind w:firstLine="480" w:firstLineChars="200"/>
        <w:rPr>
          <w:rFonts w:ascii="仿宋" w:hAnsi="仿宋" w:eastAsia="仿宋"/>
          <w:sz w:val="24"/>
        </w:rPr>
      </w:pPr>
      <w:r>
        <w:rPr>
          <w:rFonts w:hint="eastAsia" w:ascii="仿宋" w:hAnsi="仿宋" w:eastAsia="仿宋"/>
          <w:sz w:val="24"/>
        </w:rPr>
        <w:t>采购人（甲方）：</w:t>
      </w:r>
    </w:p>
    <w:p>
      <w:pPr>
        <w:spacing w:line="360" w:lineRule="auto"/>
        <w:ind w:firstLine="480" w:firstLineChars="200"/>
        <w:rPr>
          <w:rFonts w:ascii="仿宋" w:hAnsi="仿宋" w:eastAsia="仿宋"/>
          <w:sz w:val="24"/>
        </w:rPr>
      </w:pPr>
      <w:r>
        <w:rPr>
          <w:rFonts w:hint="eastAsia" w:ascii="仿宋" w:hAnsi="仿宋" w:eastAsia="仿宋"/>
          <w:sz w:val="24"/>
        </w:rPr>
        <w:t>供应商（乙</w:t>
      </w:r>
      <w:r>
        <w:rPr>
          <w:rFonts w:ascii="仿宋" w:hAnsi="仿宋" w:eastAsia="仿宋"/>
          <w:sz w:val="24"/>
        </w:rPr>
        <w:t>方</w:t>
      </w:r>
      <w:r>
        <w:rPr>
          <w:rFonts w:hint="eastAsia" w:ascii="仿宋" w:hAnsi="仿宋" w:eastAsia="仿宋"/>
          <w:sz w:val="24"/>
        </w:rPr>
        <w:t>）</w:t>
      </w:r>
      <w:r>
        <w:rPr>
          <w:rFonts w:ascii="仿宋" w:hAnsi="仿宋" w:eastAsia="仿宋"/>
          <w:sz w:val="24"/>
        </w:rPr>
        <w:t>：</w:t>
      </w:r>
    </w:p>
    <w:p>
      <w:pPr>
        <w:spacing w:line="400" w:lineRule="exact"/>
        <w:rPr>
          <w:rFonts w:ascii="仿宋" w:hAnsi="仿宋" w:eastAsia="仿宋"/>
          <w:sz w:val="24"/>
        </w:rPr>
      </w:pPr>
    </w:p>
    <w:p>
      <w:pPr>
        <w:ind w:firstLine="480"/>
        <w:rPr>
          <w:rFonts w:ascii="仿宋" w:hAnsi="仿宋" w:eastAsia="仿宋"/>
        </w:rPr>
      </w:pPr>
      <w:r>
        <w:rPr>
          <w:rFonts w:hint="eastAsia" w:ascii="仿宋" w:hAnsi="仿宋" w:eastAsia="仿宋"/>
        </w:rPr>
        <w:t>根据《中华人民共和国政府采购法》、《中华人民共和国民法典》及</w:t>
      </w:r>
      <w:r>
        <w:rPr>
          <w:rFonts w:hint="eastAsia" w:ascii="仿宋" w:hAnsi="仿宋" w:eastAsia="仿宋"/>
          <w:szCs w:val="21"/>
        </w:rPr>
        <w:t>XXXX</w:t>
      </w:r>
      <w:r>
        <w:rPr>
          <w:rFonts w:hint="eastAsia" w:ascii="仿宋" w:hAnsi="仿宋" w:eastAsia="仿宋"/>
        </w:rPr>
        <w:t>采购项目（项目编号：</w:t>
      </w:r>
      <w:r>
        <w:rPr>
          <w:rFonts w:hint="eastAsia" w:ascii="仿宋" w:hAnsi="仿宋" w:eastAsia="仿宋"/>
          <w:szCs w:val="21"/>
        </w:rPr>
        <w:t>XX</w:t>
      </w:r>
      <w:r>
        <w:rPr>
          <w:rFonts w:hint="eastAsia" w:ascii="仿宋" w:hAnsi="仿宋" w:eastAsia="仿宋"/>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3"/>
        <w:spacing w:line="400" w:lineRule="exact"/>
        <w:ind w:firstLine="482" w:firstLineChars="200"/>
        <w:rPr>
          <w:rFonts w:ascii="仿宋" w:hAnsi="仿宋" w:eastAsia="仿宋"/>
          <w:sz w:val="24"/>
          <w:szCs w:val="24"/>
        </w:rPr>
      </w:pPr>
      <w:bookmarkStart w:id="200" w:name="_Toc217446107"/>
      <w:r>
        <w:rPr>
          <w:rFonts w:hint="eastAsia" w:ascii="仿宋" w:hAnsi="仿宋" w:eastAsia="仿宋"/>
          <w:sz w:val="24"/>
          <w:szCs w:val="24"/>
        </w:rPr>
        <w:t>一、合同货物</w:t>
      </w:r>
      <w:bookmarkEnd w:id="200"/>
    </w:p>
    <w:tbl>
      <w:tblPr>
        <w:tblStyle w:val="23"/>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eastAsia="仿宋"/>
                <w:sz w:val="24"/>
              </w:rPr>
            </w:pPr>
            <w:r>
              <w:rPr>
                <w:rFonts w:hint="eastAsia" w:ascii="仿宋" w:hAnsi="仿宋" w:eastAsia="仿宋" w:cs="Arial"/>
                <w:sz w:val="24"/>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sz w:val="24"/>
              </w:rPr>
            </w:pPr>
            <w:r>
              <w:rPr>
                <w:rFonts w:hint="eastAsia" w:ascii="仿宋" w:hAnsi="仿宋" w:eastAsia="仿宋" w:cs="Arial"/>
                <w:sz w:val="24"/>
              </w:rPr>
              <w:t>规格</w:t>
            </w:r>
          </w:p>
          <w:p>
            <w:pPr>
              <w:spacing w:line="400" w:lineRule="exact"/>
              <w:jc w:val="center"/>
              <w:rPr>
                <w:rFonts w:ascii="仿宋" w:hAnsi="仿宋" w:eastAsia="仿宋"/>
                <w:sz w:val="24"/>
              </w:rPr>
            </w:pPr>
            <w:r>
              <w:rPr>
                <w:rFonts w:hint="eastAsia" w:ascii="仿宋" w:hAnsi="仿宋" w:eastAsia="仿宋" w:cs="Arial"/>
                <w:sz w:val="24"/>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sz w:val="24"/>
              </w:rPr>
            </w:pPr>
            <w:r>
              <w:rPr>
                <w:rFonts w:hint="eastAsia" w:ascii="仿宋" w:hAnsi="仿宋" w:eastAsia="仿宋" w:cs="Arial"/>
                <w:sz w:val="24"/>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eastAsia="仿宋"/>
                <w:sz w:val="24"/>
              </w:rPr>
            </w:pPr>
            <w:r>
              <w:rPr>
                <w:rFonts w:hint="eastAsia" w:ascii="仿宋" w:hAnsi="仿宋" w:eastAsia="仿宋" w:cs="Arial"/>
                <w:sz w:val="24"/>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jc w:val="center"/>
              <w:rPr>
                <w:rFonts w:ascii="仿宋" w:hAnsi="仿宋" w:eastAsia="仿宋" w:cs="Arial"/>
                <w:sz w:val="24"/>
              </w:rPr>
            </w:pPr>
            <w:r>
              <w:rPr>
                <w:rFonts w:hint="eastAsia" w:ascii="仿宋" w:hAnsi="仿宋" w:eastAsia="仿宋" w:cs="Arial"/>
                <w:sz w:val="24"/>
              </w:rPr>
              <w:t>单价</w:t>
            </w:r>
          </w:p>
          <w:p>
            <w:pPr>
              <w:spacing w:line="400" w:lineRule="exact"/>
              <w:jc w:val="center"/>
              <w:rPr>
                <w:rFonts w:ascii="仿宋" w:hAnsi="仿宋" w:eastAsia="仿宋" w:cs="Arial"/>
                <w:sz w:val="24"/>
              </w:rPr>
            </w:pPr>
            <w:r>
              <w:rPr>
                <w:rFonts w:hint="eastAsia" w:ascii="仿宋" w:hAnsi="仿宋" w:eastAsia="仿宋" w:cs="Arial"/>
                <w:sz w:val="24"/>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eastAsia="仿宋" w:cs="Arial"/>
                <w:sz w:val="24"/>
              </w:rPr>
            </w:pPr>
            <w:r>
              <w:rPr>
                <w:rFonts w:hint="eastAsia" w:ascii="仿宋" w:hAnsi="仿宋" w:eastAsia="仿宋" w:cs="Arial"/>
                <w:sz w:val="24"/>
              </w:rPr>
              <w:t>总价</w:t>
            </w:r>
          </w:p>
          <w:p>
            <w:pPr>
              <w:spacing w:line="400" w:lineRule="exact"/>
              <w:rPr>
                <w:rFonts w:ascii="仿宋" w:hAnsi="仿宋" w:eastAsia="仿宋"/>
                <w:sz w:val="24"/>
              </w:rPr>
            </w:pPr>
            <w:r>
              <w:rPr>
                <w:rFonts w:hint="eastAsia" w:ascii="仿宋" w:hAnsi="仿宋" w:eastAsia="仿宋" w:cs="Arial"/>
                <w:sz w:val="24"/>
              </w:rPr>
              <w:t>（万元）</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sz w:val="24"/>
              </w:rPr>
            </w:pPr>
            <w:r>
              <w:rPr>
                <w:rFonts w:hint="eastAsia" w:ascii="仿宋" w:hAnsi="仿宋" w:eastAsia="仿宋" w:cs="Arial"/>
                <w:sz w:val="24"/>
              </w:rPr>
              <w:t>随机</w:t>
            </w:r>
          </w:p>
          <w:p>
            <w:pPr>
              <w:spacing w:line="400" w:lineRule="exact"/>
              <w:jc w:val="center"/>
              <w:rPr>
                <w:rFonts w:ascii="仿宋" w:hAnsi="仿宋" w:eastAsia="仿宋"/>
                <w:sz w:val="24"/>
              </w:rPr>
            </w:pPr>
            <w:r>
              <w:rPr>
                <w:rFonts w:hint="eastAsia" w:ascii="仿宋" w:hAnsi="仿宋" w:eastAsia="仿宋" w:cs="Arial"/>
                <w:sz w:val="24"/>
              </w:rPr>
              <w:t>配件</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eastAsia="仿宋"/>
                <w:sz w:val="24"/>
              </w:rPr>
            </w:pPr>
            <w:r>
              <w:rPr>
                <w:rFonts w:hint="eastAsia" w:ascii="仿宋" w:hAnsi="仿宋" w:eastAsia="仿宋" w:cs="Arial"/>
                <w:sz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r>
    </w:tbl>
    <w:p>
      <w:pPr>
        <w:pStyle w:val="3"/>
        <w:spacing w:line="400" w:lineRule="exact"/>
        <w:ind w:firstLine="482" w:firstLineChars="200"/>
        <w:rPr>
          <w:rFonts w:ascii="仿宋" w:hAnsi="仿宋" w:eastAsia="仿宋"/>
          <w:sz w:val="24"/>
          <w:szCs w:val="24"/>
        </w:rPr>
      </w:pPr>
      <w:bookmarkStart w:id="201" w:name="_Toc217446108"/>
      <w:r>
        <w:rPr>
          <w:rFonts w:hint="eastAsia" w:ascii="仿宋" w:hAnsi="仿宋" w:eastAsia="仿宋"/>
          <w:sz w:val="24"/>
          <w:szCs w:val="24"/>
        </w:rPr>
        <w:t>二、合同总价</w:t>
      </w:r>
      <w:bookmarkEnd w:id="201"/>
    </w:p>
    <w:p>
      <w:pPr>
        <w:spacing w:line="400" w:lineRule="exact"/>
        <w:ind w:firstLine="420" w:firstLineChars="175"/>
        <w:rPr>
          <w:rFonts w:ascii="仿宋" w:hAnsi="仿宋" w:eastAsia="仿宋"/>
          <w:sz w:val="24"/>
        </w:rPr>
      </w:pPr>
      <w:r>
        <w:rPr>
          <w:rFonts w:hint="eastAsia" w:ascii="仿宋" w:hAnsi="仿宋" w:eastAsia="仿宋"/>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3"/>
        <w:spacing w:line="400" w:lineRule="exact"/>
        <w:ind w:firstLine="482" w:firstLineChars="200"/>
        <w:rPr>
          <w:rFonts w:ascii="仿宋" w:hAnsi="仿宋" w:eastAsia="仿宋"/>
          <w:sz w:val="24"/>
          <w:szCs w:val="24"/>
        </w:rPr>
      </w:pPr>
      <w:bookmarkStart w:id="202" w:name="_Toc217446109"/>
      <w:r>
        <w:rPr>
          <w:rFonts w:hint="eastAsia" w:ascii="仿宋" w:hAnsi="仿宋" w:eastAsia="仿宋"/>
          <w:sz w:val="24"/>
          <w:szCs w:val="24"/>
        </w:rPr>
        <w:t>三、质量要求</w:t>
      </w:r>
      <w:bookmarkEnd w:id="202"/>
    </w:p>
    <w:p>
      <w:pPr>
        <w:ind w:firstLine="480"/>
        <w:rPr>
          <w:rFonts w:ascii="仿宋" w:hAnsi="仿宋" w:eastAsia="仿宋"/>
        </w:rPr>
      </w:pPr>
      <w:r>
        <w:rPr>
          <w:rFonts w:hint="eastAsia" w:ascii="仿宋" w:hAnsi="仿宋" w:eastAsia="仿宋"/>
        </w:rPr>
        <w:t>1、乙方须提供全新的货物（含零部件、配件等），表面无划伤、无碰撞痕迹，且权属清楚，不得侵害他人的知识产权。</w:t>
      </w:r>
    </w:p>
    <w:p>
      <w:pPr>
        <w:ind w:firstLine="480"/>
        <w:rPr>
          <w:rFonts w:ascii="仿宋" w:hAnsi="仿宋" w:eastAsia="仿宋"/>
        </w:rPr>
      </w:pPr>
      <w:r>
        <w:rPr>
          <w:rFonts w:hint="eastAsia" w:ascii="仿宋" w:hAnsi="仿宋" w:eastAsia="仿宋"/>
        </w:rPr>
        <w:t>2、货物必须符合或优于国家（行业）标准，以及本项目招标文件的质量要求和技术指标与出厂标准。</w:t>
      </w:r>
    </w:p>
    <w:p>
      <w:pPr>
        <w:ind w:firstLine="480"/>
        <w:rPr>
          <w:rFonts w:ascii="仿宋" w:hAnsi="仿宋" w:eastAsia="仿宋"/>
        </w:rPr>
      </w:pPr>
      <w:r>
        <w:rPr>
          <w:rFonts w:hint="eastAsia" w:ascii="仿宋" w:hAnsi="仿宋" w:eastAsia="仿宋"/>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ind w:firstLine="480"/>
        <w:rPr>
          <w:rFonts w:ascii="仿宋" w:hAnsi="仿宋" w:eastAsia="仿宋"/>
        </w:rPr>
      </w:pPr>
      <w:r>
        <w:rPr>
          <w:rFonts w:hint="eastAsia" w:ascii="仿宋" w:hAnsi="仿宋" w:eastAsia="仿宋"/>
        </w:rPr>
        <w:t>4、货物制造质量出现问题，乙方应负责三包（包修、包换、包退），费用由乙方负担，甲方有权到乙方生产场地检查货物质量和生产进度。</w:t>
      </w:r>
    </w:p>
    <w:p>
      <w:pPr>
        <w:ind w:firstLine="480"/>
        <w:rPr>
          <w:rFonts w:ascii="仿宋" w:hAnsi="仿宋" w:eastAsia="仿宋"/>
        </w:rPr>
      </w:pPr>
      <w:r>
        <w:rPr>
          <w:rFonts w:hint="eastAsia" w:ascii="仿宋" w:hAnsi="仿宋" w:eastAsia="仿宋"/>
        </w:rPr>
        <w:t>5、货到现场后由于甲方保管不当造成的质量问题，乙方亦应负责修理，但费用由甲方负担。</w:t>
      </w:r>
    </w:p>
    <w:p>
      <w:pPr>
        <w:pStyle w:val="3"/>
        <w:spacing w:line="400" w:lineRule="exact"/>
        <w:ind w:firstLine="482" w:firstLineChars="200"/>
        <w:rPr>
          <w:rFonts w:ascii="仿宋" w:hAnsi="仿宋" w:eastAsia="仿宋"/>
          <w:sz w:val="24"/>
          <w:szCs w:val="24"/>
        </w:rPr>
      </w:pPr>
      <w:bookmarkStart w:id="203" w:name="_Toc217446110"/>
      <w:r>
        <w:rPr>
          <w:rFonts w:hint="eastAsia" w:ascii="仿宋" w:hAnsi="仿宋" w:eastAsia="仿宋"/>
          <w:sz w:val="24"/>
          <w:szCs w:val="24"/>
        </w:rPr>
        <w:t>四、交货及验收</w:t>
      </w:r>
      <w:bookmarkEnd w:id="203"/>
    </w:p>
    <w:p>
      <w:pPr>
        <w:ind w:firstLine="480"/>
        <w:rPr>
          <w:rFonts w:ascii="仿宋" w:hAnsi="仿宋" w:eastAsia="仿宋"/>
        </w:rPr>
      </w:pPr>
      <w:r>
        <w:rPr>
          <w:rFonts w:hint="eastAsia" w:ascii="仿宋" w:hAnsi="仿宋" w:eastAsia="仿宋"/>
        </w:rPr>
        <w:t>1、乙方交货期限为合同签订生效后的</w:t>
      </w:r>
      <w:r>
        <w:rPr>
          <w:rFonts w:hint="eastAsia" w:ascii="仿宋" w:hAnsi="仿宋" w:eastAsia="仿宋"/>
          <w:szCs w:val="21"/>
        </w:rPr>
        <w:t>XX</w:t>
      </w:r>
      <w:r>
        <w:rPr>
          <w:rFonts w:hint="eastAsia" w:ascii="仿宋" w:hAnsi="仿宋" w:eastAsia="仿宋"/>
        </w:rPr>
        <w:t>日内，在合同签订生效之日起</w:t>
      </w:r>
      <w:r>
        <w:rPr>
          <w:rFonts w:hint="eastAsia" w:ascii="仿宋" w:hAnsi="仿宋" w:eastAsia="仿宋"/>
          <w:szCs w:val="21"/>
        </w:rPr>
        <w:t>XX</w:t>
      </w:r>
      <w:r>
        <w:rPr>
          <w:rFonts w:hint="eastAsia" w:ascii="仿宋" w:hAnsi="仿宋" w:eastAsia="仿宋"/>
        </w:rPr>
        <w:t>天内交货到甲方指定地点，随即在</w:t>
      </w:r>
      <w:r>
        <w:rPr>
          <w:rFonts w:hint="eastAsia" w:ascii="仿宋" w:hAnsi="仿宋" w:eastAsia="仿宋"/>
          <w:szCs w:val="21"/>
        </w:rPr>
        <w:t>XX</w:t>
      </w:r>
      <w:r>
        <w:rPr>
          <w:rFonts w:hint="eastAsia" w:ascii="仿宋" w:hAnsi="仿宋" w:eastAsia="仿宋"/>
        </w:rPr>
        <w:t>日内全部完成安装调试验收合格交付使用，并且最迟应在</w:t>
      </w:r>
      <w:r>
        <w:rPr>
          <w:rFonts w:hint="eastAsia" w:ascii="仿宋" w:hAnsi="仿宋" w:eastAsia="仿宋"/>
          <w:szCs w:val="21"/>
        </w:rPr>
        <w:t>XX</w:t>
      </w:r>
      <w:r>
        <w:rPr>
          <w:rFonts w:hint="eastAsia" w:ascii="仿宋" w:hAnsi="仿宋" w:eastAsia="仿宋"/>
        </w:rPr>
        <w:t>年</w:t>
      </w:r>
      <w:r>
        <w:rPr>
          <w:rFonts w:hint="eastAsia" w:ascii="仿宋" w:hAnsi="仿宋" w:eastAsia="仿宋"/>
          <w:szCs w:val="21"/>
        </w:rPr>
        <w:t>XX</w:t>
      </w:r>
      <w:r>
        <w:rPr>
          <w:rFonts w:hint="eastAsia" w:ascii="仿宋" w:hAnsi="仿宋" w:eastAsia="仿宋"/>
        </w:rPr>
        <w:t>月</w:t>
      </w:r>
      <w:r>
        <w:rPr>
          <w:rFonts w:hint="eastAsia" w:ascii="仿宋" w:hAnsi="仿宋" w:eastAsia="仿宋"/>
          <w:szCs w:val="21"/>
        </w:rPr>
        <w:t>XX</w:t>
      </w:r>
      <w:r>
        <w:rPr>
          <w:rFonts w:hint="eastAsia" w:ascii="仿宋" w:hAnsi="仿宋" w:eastAsia="仿宋"/>
        </w:rPr>
        <w:t>日前全部完成安装调试验收合格交付使用(如由于采购人的原因造成合同延迟签订或验收的，时间顺延)。交货验收时须提供产品质检部门从同类产品中抽样检查合格的检测报告。</w:t>
      </w:r>
    </w:p>
    <w:p>
      <w:pPr>
        <w:ind w:firstLine="480"/>
        <w:rPr>
          <w:rFonts w:ascii="仿宋" w:hAnsi="仿宋" w:eastAsia="仿宋"/>
        </w:rPr>
      </w:pPr>
      <w:r>
        <w:rPr>
          <w:rFonts w:hint="eastAsia" w:ascii="仿宋" w:hAnsi="仿宋" w:eastAsia="仿宋"/>
        </w:rPr>
        <w:t>2、验收由甲方组织，乙方配合进行：</w:t>
      </w:r>
    </w:p>
    <w:p>
      <w:pPr>
        <w:ind w:firstLine="480"/>
        <w:rPr>
          <w:rFonts w:ascii="仿宋" w:hAnsi="仿宋" w:eastAsia="仿宋"/>
        </w:rPr>
      </w:pPr>
      <w:r>
        <w:rPr>
          <w:rFonts w:hint="eastAsia" w:ascii="仿宋" w:hAnsi="仿宋" w:eastAsia="仿宋"/>
        </w:rPr>
        <w:t>(1) 货物在乙方通知安装调试完毕后日内初步验收。初步验收合格后，进入试用期；试用期间发生重大质量问题，修复后试用相应顺延；试用期结束后日内完成最终验收；</w:t>
      </w:r>
    </w:p>
    <w:p>
      <w:pPr>
        <w:ind w:firstLine="480"/>
        <w:rPr>
          <w:rFonts w:ascii="仿宋" w:hAnsi="仿宋" w:eastAsia="仿宋"/>
        </w:rPr>
      </w:pPr>
      <w:r>
        <w:rPr>
          <w:rFonts w:hint="eastAsia" w:ascii="仿宋" w:hAnsi="仿宋" w:eastAsia="仿宋"/>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ind w:firstLine="480"/>
        <w:rPr>
          <w:rFonts w:ascii="仿宋" w:hAnsi="仿宋" w:eastAsia="仿宋"/>
        </w:rPr>
      </w:pPr>
      <w:r>
        <w:rPr>
          <w:rFonts w:hint="eastAsia" w:ascii="仿宋" w:hAnsi="仿宋" w:eastAsia="仿宋"/>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ind w:firstLine="480"/>
        <w:rPr>
          <w:rFonts w:ascii="仿宋" w:hAnsi="仿宋" w:eastAsia="仿宋"/>
        </w:rPr>
      </w:pPr>
      <w:r>
        <w:rPr>
          <w:rFonts w:hint="eastAsia" w:ascii="仿宋" w:hAnsi="仿宋" w:eastAsia="仿宋"/>
        </w:rPr>
        <w:t>(4) 如质量验收合格，双方签署质量验收报告。</w:t>
      </w:r>
    </w:p>
    <w:p>
      <w:pPr>
        <w:ind w:firstLine="480"/>
        <w:rPr>
          <w:rFonts w:ascii="仿宋" w:hAnsi="仿宋" w:eastAsia="仿宋"/>
        </w:rPr>
      </w:pPr>
      <w:r>
        <w:rPr>
          <w:rFonts w:hint="eastAsia" w:ascii="仿宋" w:hAnsi="仿宋" w:eastAsia="仿宋"/>
        </w:rPr>
        <w:t>3、货物安装完成后日内，甲方无故不进行验收工作并已使用货物的，视同已安装调试完成并验收合格。</w:t>
      </w:r>
    </w:p>
    <w:p>
      <w:pPr>
        <w:ind w:firstLine="480"/>
        <w:rPr>
          <w:rFonts w:ascii="仿宋" w:hAnsi="仿宋" w:eastAsia="仿宋"/>
        </w:rPr>
      </w:pPr>
      <w:r>
        <w:rPr>
          <w:rFonts w:hint="eastAsia" w:ascii="仿宋" w:hAnsi="仿宋" w:eastAsia="仿宋"/>
        </w:rPr>
        <w:t>4、乙方应将所提供货物的装箱清单、配件、随机工具、用户使用手册、原厂保修卡等资料交付给甲方；乙方不能完整交付货物及本款规定的单证和工具的，必须负责补齐，否则视为未按合同约定交货。</w:t>
      </w:r>
    </w:p>
    <w:p>
      <w:pPr>
        <w:ind w:firstLine="480"/>
        <w:rPr>
          <w:rFonts w:ascii="仿宋" w:hAnsi="仿宋" w:eastAsia="仿宋"/>
        </w:rPr>
      </w:pPr>
      <w:r>
        <w:rPr>
          <w:rFonts w:hint="eastAsia" w:ascii="仿宋" w:hAnsi="仿宋" w:eastAsia="仿宋"/>
        </w:rPr>
        <w:t>5、如货物经乙方次维修仍不能达到合同约定的质量标准，甲方有权退货，并视作乙方不能交付货物而须支付违约赔偿金给甲方，甲方还可依法追究乙方的违约责任。</w:t>
      </w:r>
      <w:r>
        <w:rPr>
          <w:rFonts w:eastAsia="仿宋" w:cs="Calibri"/>
        </w:rPr>
        <w:t> </w:t>
      </w:r>
    </w:p>
    <w:p>
      <w:pPr>
        <w:ind w:firstLine="480"/>
        <w:rPr>
          <w:rFonts w:ascii="仿宋" w:hAnsi="仿宋" w:eastAsia="仿宋"/>
        </w:rPr>
      </w:pPr>
      <w:r>
        <w:rPr>
          <w:rFonts w:hint="eastAsia" w:ascii="仿宋" w:hAnsi="仿宋" w:eastAsia="仿宋"/>
        </w:rPr>
        <w:t>6、其他未尽事宜应严格按照《财政部关于进一步加强政府采购需求和履约验收管理的指导意见》（财库〔2016〕205号）等政府采购相关法律法规的要求进行。</w:t>
      </w:r>
    </w:p>
    <w:p>
      <w:pPr>
        <w:pStyle w:val="3"/>
        <w:spacing w:line="400" w:lineRule="exact"/>
        <w:ind w:firstLine="482" w:firstLineChars="200"/>
        <w:rPr>
          <w:rFonts w:ascii="仿宋" w:hAnsi="仿宋" w:eastAsia="仿宋"/>
          <w:sz w:val="24"/>
          <w:szCs w:val="24"/>
        </w:rPr>
      </w:pPr>
      <w:bookmarkStart w:id="204" w:name="_Toc217446111"/>
      <w:r>
        <w:rPr>
          <w:rFonts w:hint="eastAsia" w:ascii="仿宋" w:hAnsi="仿宋" w:eastAsia="仿宋"/>
          <w:sz w:val="24"/>
          <w:szCs w:val="24"/>
        </w:rPr>
        <w:t>五、付款方式</w:t>
      </w:r>
      <w:bookmarkEnd w:id="204"/>
    </w:p>
    <w:p>
      <w:pPr>
        <w:ind w:firstLine="480"/>
        <w:rPr>
          <w:rFonts w:ascii="仿宋" w:hAnsi="仿宋" w:eastAsia="仿宋"/>
        </w:rPr>
      </w:pPr>
      <w:r>
        <w:rPr>
          <w:rFonts w:hint="eastAsia" w:ascii="仿宋" w:hAnsi="仿宋" w:eastAsia="仿宋"/>
        </w:rPr>
        <w:t>（一）适用于无预付款采购项目</w:t>
      </w:r>
    </w:p>
    <w:p>
      <w:pPr>
        <w:ind w:firstLine="480"/>
        <w:rPr>
          <w:rFonts w:ascii="仿宋" w:hAnsi="仿宋" w:eastAsia="仿宋"/>
        </w:rPr>
      </w:pPr>
      <w:r>
        <w:rPr>
          <w:rFonts w:hint="eastAsia" w:ascii="仿宋" w:hAnsi="仿宋" w:eastAsia="仿宋"/>
        </w:rPr>
        <w:t>1、全部货物安装调试完毕并验收合格之日起，甲方接到乙方通知与票据凭证资料以后的日内，按照财政性资金支付有关规定，向乙方支付合同价款￥元，人民币大写元整；</w:t>
      </w:r>
    </w:p>
    <w:p>
      <w:pPr>
        <w:ind w:firstLine="480"/>
        <w:rPr>
          <w:rFonts w:ascii="仿宋" w:hAnsi="仿宋" w:eastAsia="仿宋"/>
        </w:rPr>
      </w:pPr>
      <w:r>
        <w:rPr>
          <w:rFonts w:hint="eastAsia" w:ascii="仿宋" w:hAnsi="仿宋" w:eastAsia="仿宋"/>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ind w:firstLine="480"/>
        <w:rPr>
          <w:rFonts w:ascii="仿宋" w:hAnsi="仿宋" w:eastAsia="仿宋"/>
        </w:rPr>
      </w:pPr>
      <w:r>
        <w:rPr>
          <w:rFonts w:hint="eastAsia" w:ascii="仿宋" w:hAnsi="仿宋" w:eastAsia="仿宋"/>
        </w:rPr>
        <w:t>3、乙方须向甲方出具合法有效完整的完税发票及凭证资料进行支付结算。</w:t>
      </w:r>
    </w:p>
    <w:p>
      <w:pPr>
        <w:ind w:firstLine="480"/>
        <w:rPr>
          <w:rFonts w:ascii="仿宋" w:hAnsi="仿宋" w:eastAsia="仿宋"/>
        </w:rPr>
      </w:pPr>
      <w:r>
        <w:rPr>
          <w:rFonts w:hint="eastAsia" w:ascii="仿宋" w:hAnsi="仿宋" w:eastAsia="仿宋"/>
        </w:rPr>
        <w:t>（二）适用于有预付款采购项目（预付款建议不超过政府采购合同金额的30%）</w:t>
      </w:r>
    </w:p>
    <w:p>
      <w:pPr>
        <w:ind w:firstLine="480"/>
        <w:rPr>
          <w:rFonts w:ascii="仿宋" w:hAnsi="仿宋" w:eastAsia="仿宋"/>
        </w:rPr>
      </w:pPr>
      <w:r>
        <w:rPr>
          <w:rFonts w:hint="eastAsia" w:ascii="仿宋" w:hAnsi="仿宋" w:eastAsia="仿宋"/>
        </w:rPr>
        <w:t>1、甲方在本合同签订生效之日起接到乙方通知和票据凭证资料以及乙方交给甲方的合同履约保证金（按合同总价的百分之  计算款额￥元，人民币大写：元整）后的日内支付合同金额百分之的价款；</w:t>
      </w:r>
    </w:p>
    <w:p>
      <w:pPr>
        <w:ind w:firstLine="480"/>
        <w:rPr>
          <w:rFonts w:ascii="仿宋" w:hAnsi="仿宋" w:eastAsia="仿宋"/>
        </w:rPr>
      </w:pPr>
      <w:r>
        <w:rPr>
          <w:rFonts w:hint="eastAsia" w:ascii="仿宋" w:hAnsi="仿宋" w:eastAsia="仿宋"/>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pPr>
        <w:ind w:firstLine="480"/>
        <w:rPr>
          <w:rFonts w:ascii="仿宋" w:hAnsi="仿宋" w:eastAsia="仿宋"/>
        </w:rPr>
      </w:pPr>
      <w:r>
        <w:rPr>
          <w:rFonts w:hint="eastAsia" w:ascii="仿宋" w:hAnsi="仿宋" w:eastAsia="仿宋"/>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ind w:firstLine="480"/>
        <w:rPr>
          <w:rFonts w:ascii="仿宋" w:hAnsi="仿宋" w:eastAsia="仿宋"/>
        </w:rPr>
      </w:pPr>
      <w:r>
        <w:rPr>
          <w:rFonts w:hint="eastAsia" w:ascii="仿宋" w:hAnsi="仿宋" w:eastAsia="仿宋"/>
        </w:rPr>
        <w:t>4、乙方须向甲方出具合法有效完整的完税发票及凭证资料进行支付结算。</w:t>
      </w:r>
    </w:p>
    <w:p>
      <w:pPr>
        <w:pStyle w:val="3"/>
        <w:spacing w:line="400" w:lineRule="exact"/>
        <w:ind w:firstLine="482" w:firstLineChars="200"/>
        <w:rPr>
          <w:rFonts w:ascii="仿宋" w:hAnsi="仿宋" w:eastAsia="仿宋"/>
          <w:sz w:val="24"/>
          <w:szCs w:val="24"/>
        </w:rPr>
      </w:pPr>
      <w:bookmarkStart w:id="205" w:name="_Toc217446112"/>
      <w:r>
        <w:rPr>
          <w:rFonts w:hint="eastAsia" w:ascii="仿宋" w:hAnsi="仿宋" w:eastAsia="仿宋"/>
          <w:sz w:val="24"/>
          <w:szCs w:val="24"/>
        </w:rPr>
        <w:t>六、售后服务</w:t>
      </w:r>
      <w:bookmarkEnd w:id="205"/>
    </w:p>
    <w:p>
      <w:pPr>
        <w:ind w:firstLine="480"/>
        <w:rPr>
          <w:rFonts w:ascii="仿宋" w:hAnsi="仿宋" w:eastAsia="仿宋"/>
        </w:rPr>
      </w:pPr>
      <w:r>
        <w:rPr>
          <w:rFonts w:hint="eastAsia" w:ascii="仿宋" w:hAnsi="仿宋" w:eastAsia="仿宋"/>
        </w:rPr>
        <w:t>1、质保期为验收合格后</w:t>
      </w:r>
      <w:r>
        <w:rPr>
          <w:rFonts w:hint="eastAsia" w:ascii="仿宋" w:hAnsi="仿宋" w:eastAsia="仿宋"/>
          <w:szCs w:val="21"/>
        </w:rPr>
        <w:t>XX</w:t>
      </w:r>
      <w:r>
        <w:rPr>
          <w:rFonts w:hint="eastAsia" w:ascii="仿宋" w:hAnsi="仿宋" w:eastAsia="仿宋"/>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ind w:firstLine="480"/>
        <w:rPr>
          <w:rFonts w:ascii="仿宋" w:hAnsi="仿宋" w:eastAsia="仿宋"/>
        </w:rPr>
      </w:pPr>
      <w:r>
        <w:rPr>
          <w:rFonts w:hint="eastAsia" w:ascii="仿宋" w:hAnsi="仿宋" w:eastAsia="仿宋"/>
        </w:rPr>
        <w:t>2、乙方须指派专人负责与甲方联系售后服务事宜。</w:t>
      </w:r>
      <w:r>
        <w:rPr>
          <w:rFonts w:eastAsia="仿宋" w:cs="Calibri"/>
        </w:rPr>
        <w:t> </w:t>
      </w:r>
    </w:p>
    <w:p>
      <w:pPr>
        <w:pStyle w:val="3"/>
        <w:spacing w:line="400" w:lineRule="exact"/>
        <w:ind w:firstLine="482" w:firstLineChars="200"/>
        <w:rPr>
          <w:rFonts w:ascii="仿宋" w:hAnsi="仿宋" w:eastAsia="仿宋"/>
          <w:sz w:val="24"/>
          <w:szCs w:val="24"/>
        </w:rPr>
      </w:pPr>
      <w:bookmarkStart w:id="206" w:name="_Toc217446113"/>
      <w:r>
        <w:rPr>
          <w:rFonts w:hint="eastAsia" w:ascii="仿宋" w:hAnsi="仿宋" w:eastAsia="仿宋"/>
          <w:sz w:val="24"/>
          <w:szCs w:val="24"/>
        </w:rPr>
        <w:t>七、违约责任</w:t>
      </w:r>
      <w:bookmarkEnd w:id="206"/>
    </w:p>
    <w:p>
      <w:pPr>
        <w:ind w:firstLine="480"/>
        <w:rPr>
          <w:rFonts w:ascii="仿宋" w:hAnsi="仿宋" w:eastAsia="仿宋"/>
        </w:rPr>
      </w:pPr>
      <w:r>
        <w:rPr>
          <w:rFonts w:hint="eastAsia" w:ascii="仿宋" w:hAnsi="仿宋" w:eastAsia="仿宋"/>
        </w:rPr>
        <w:t>1、甲方违约责任</w:t>
      </w:r>
    </w:p>
    <w:p>
      <w:pPr>
        <w:ind w:firstLine="480"/>
        <w:rPr>
          <w:rFonts w:ascii="仿宋" w:hAnsi="仿宋" w:eastAsia="仿宋"/>
        </w:rPr>
      </w:pPr>
      <w:r>
        <w:rPr>
          <w:rFonts w:hint="eastAsia" w:ascii="仿宋" w:hAnsi="仿宋" w:eastAsia="仿宋"/>
        </w:rPr>
        <w:t>（1） 甲方无正当理由拒收货物的，甲方应偿付合同总价百分之  的违约金；</w:t>
      </w:r>
    </w:p>
    <w:p>
      <w:pPr>
        <w:ind w:firstLine="480"/>
        <w:rPr>
          <w:rFonts w:ascii="仿宋" w:hAnsi="仿宋" w:eastAsia="仿宋"/>
        </w:rPr>
      </w:pPr>
      <w:r>
        <w:rPr>
          <w:rFonts w:hint="eastAsia" w:ascii="仿宋" w:hAnsi="仿宋" w:eastAsia="仿宋"/>
        </w:rPr>
        <w:t>（2） 甲方逾期支付货款的，除应及时付足货款外，应向乙方偿付欠款总额万分之/天的违约金；逾期付款超过天的，乙方有权终止合同；</w:t>
      </w:r>
    </w:p>
    <w:p>
      <w:pPr>
        <w:ind w:firstLine="480"/>
        <w:rPr>
          <w:rFonts w:ascii="仿宋" w:hAnsi="仿宋" w:eastAsia="仿宋"/>
        </w:rPr>
      </w:pPr>
      <w:r>
        <w:rPr>
          <w:rFonts w:hint="eastAsia" w:ascii="仿宋" w:hAnsi="仿宋" w:eastAsia="仿宋"/>
        </w:rPr>
        <w:t>（3） 甲方偿付的违约金不足以弥补乙方损失的，还应按乙方损失尚未弥补的部分，支付赔偿金给乙方。</w:t>
      </w:r>
    </w:p>
    <w:p>
      <w:pPr>
        <w:ind w:firstLine="480"/>
        <w:rPr>
          <w:rFonts w:ascii="仿宋" w:hAnsi="仿宋" w:eastAsia="仿宋"/>
        </w:rPr>
      </w:pPr>
      <w:r>
        <w:rPr>
          <w:rFonts w:hint="eastAsia" w:ascii="仿宋" w:hAnsi="仿宋" w:eastAsia="仿宋"/>
        </w:rPr>
        <w:t>2、乙方违约责任</w:t>
      </w:r>
    </w:p>
    <w:p>
      <w:pPr>
        <w:ind w:firstLine="480"/>
        <w:rPr>
          <w:rFonts w:ascii="仿宋" w:hAnsi="仿宋" w:eastAsia="仿宋"/>
        </w:rPr>
      </w:pPr>
      <w:r>
        <w:rPr>
          <w:rFonts w:hint="eastAsia" w:ascii="仿宋" w:hAnsi="仿宋" w:eastAsia="仿宋"/>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ind w:firstLine="480"/>
        <w:rPr>
          <w:rFonts w:ascii="仿宋" w:hAnsi="仿宋" w:eastAsia="仿宋"/>
        </w:rPr>
      </w:pPr>
      <w:r>
        <w:rPr>
          <w:rFonts w:hint="eastAsia" w:ascii="仿宋" w:hAnsi="仿宋" w:eastAsia="仿宋"/>
        </w:rPr>
        <w:t>（2）乙方不能交付货物或逾期交付货物而违约的，除应及时交足货物外，应向甲方偿付逾期交货部分货款总额的万分之/天的违约金；逾期交货超过</w:t>
      </w:r>
      <w:r>
        <w:rPr>
          <w:rFonts w:hint="eastAsia" w:ascii="仿宋" w:hAnsi="仿宋" w:eastAsia="仿宋"/>
          <w:szCs w:val="21"/>
        </w:rPr>
        <w:t>XX</w:t>
      </w:r>
      <w:r>
        <w:rPr>
          <w:rFonts w:hint="eastAsia" w:ascii="仿宋" w:hAnsi="仿宋" w:eastAsia="仿宋"/>
        </w:rPr>
        <w:t>天，甲方有权终止合同，乙方则应按合同总价的百分之的款额向甲方偿付赔偿金，并须全额退还甲方已经付给乙方的货款及其利息。</w:t>
      </w:r>
    </w:p>
    <w:p>
      <w:pPr>
        <w:ind w:firstLine="480"/>
        <w:rPr>
          <w:rFonts w:ascii="仿宋" w:hAnsi="仿宋" w:eastAsia="仿宋"/>
        </w:rPr>
      </w:pPr>
      <w:r>
        <w:rPr>
          <w:rFonts w:hint="eastAsia" w:ascii="仿宋" w:hAnsi="仿宋" w:eastAsia="仿宋"/>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ind w:firstLine="480"/>
        <w:rPr>
          <w:rFonts w:ascii="仿宋" w:hAnsi="仿宋" w:eastAsia="仿宋"/>
        </w:rPr>
      </w:pPr>
      <w:r>
        <w:rPr>
          <w:rFonts w:hint="eastAsia" w:ascii="仿宋" w:hAnsi="仿宋" w:eastAsia="仿宋"/>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ind w:firstLine="480"/>
        <w:rPr>
          <w:rFonts w:ascii="仿宋" w:hAnsi="仿宋" w:eastAsia="仿宋"/>
        </w:rPr>
      </w:pPr>
      <w:r>
        <w:rPr>
          <w:rFonts w:hint="eastAsia" w:ascii="仿宋" w:hAnsi="仿宋" w:eastAsia="仿宋"/>
        </w:rPr>
        <w:t>（5）乙方偿付的违约金不足以弥补甲方损失的，还应按甲方损失尚未弥补的部分，支付赔偿金给甲方。</w:t>
      </w:r>
    </w:p>
    <w:p>
      <w:pPr>
        <w:pStyle w:val="3"/>
        <w:spacing w:line="400" w:lineRule="exact"/>
        <w:ind w:firstLine="482" w:firstLineChars="200"/>
        <w:rPr>
          <w:rFonts w:ascii="仿宋" w:hAnsi="仿宋" w:eastAsia="仿宋"/>
          <w:sz w:val="24"/>
          <w:szCs w:val="24"/>
        </w:rPr>
      </w:pPr>
      <w:bookmarkStart w:id="207" w:name="_Toc217446114"/>
      <w:r>
        <w:rPr>
          <w:rFonts w:hint="eastAsia" w:ascii="仿宋" w:hAnsi="仿宋" w:eastAsia="仿宋"/>
          <w:sz w:val="24"/>
          <w:szCs w:val="24"/>
        </w:rPr>
        <w:t>八、争议解决办法</w:t>
      </w:r>
      <w:bookmarkEnd w:id="207"/>
    </w:p>
    <w:p>
      <w:pPr>
        <w:ind w:firstLine="480"/>
        <w:rPr>
          <w:rFonts w:ascii="仿宋" w:hAnsi="仿宋" w:eastAsia="仿宋"/>
        </w:rPr>
      </w:pPr>
      <w:r>
        <w:rPr>
          <w:rFonts w:hint="eastAsia" w:ascii="仿宋" w:hAnsi="仿宋" w:eastAsia="仿宋"/>
        </w:rPr>
        <w:t>1、因货物的质量问题发生争议，由质量技术监督部门或其指定的质量鉴定机构进行质量鉴定。货物符合标准的，鉴定费由甲方承担；货物不符合质量标准的，鉴定费由乙方承担。</w:t>
      </w:r>
    </w:p>
    <w:p>
      <w:pPr>
        <w:ind w:firstLine="480"/>
        <w:rPr>
          <w:rFonts w:ascii="仿宋" w:hAnsi="仿宋" w:eastAsia="仿宋"/>
        </w:rPr>
      </w:pPr>
      <w:r>
        <w:rPr>
          <w:rFonts w:hint="eastAsia" w:ascii="仿宋" w:hAnsi="仿宋" w:eastAsia="仿宋"/>
        </w:rPr>
        <w:t>2、合同履行期间,若双方发生争议，可协商或由有关部门调解解决，协商或调解不成的，由当事人依法维护其合法权益。</w:t>
      </w:r>
    </w:p>
    <w:p>
      <w:pPr>
        <w:pStyle w:val="3"/>
        <w:spacing w:line="400" w:lineRule="exact"/>
        <w:ind w:firstLine="482" w:firstLineChars="200"/>
        <w:rPr>
          <w:rFonts w:ascii="仿宋" w:hAnsi="仿宋" w:eastAsia="仿宋"/>
          <w:sz w:val="24"/>
          <w:szCs w:val="24"/>
        </w:rPr>
      </w:pPr>
      <w:bookmarkStart w:id="208" w:name="_Toc217446115"/>
      <w:r>
        <w:rPr>
          <w:rFonts w:hint="eastAsia" w:ascii="仿宋" w:hAnsi="仿宋" w:eastAsia="仿宋"/>
          <w:sz w:val="24"/>
          <w:szCs w:val="24"/>
        </w:rPr>
        <w:t>九、其他</w:t>
      </w:r>
      <w:bookmarkEnd w:id="208"/>
    </w:p>
    <w:p>
      <w:pPr>
        <w:ind w:firstLine="480"/>
        <w:rPr>
          <w:rFonts w:ascii="仿宋" w:hAnsi="仿宋" w:eastAsia="仿宋"/>
        </w:rPr>
      </w:pPr>
      <w:r>
        <w:rPr>
          <w:rFonts w:hint="eastAsia" w:ascii="仿宋" w:hAnsi="仿宋" w:eastAsia="仿宋"/>
        </w:rPr>
        <w:t>1、如有未尽事宜，由双方依法订立补充合同。</w:t>
      </w:r>
    </w:p>
    <w:p>
      <w:pPr>
        <w:ind w:firstLine="480"/>
        <w:rPr>
          <w:rFonts w:ascii="仿宋" w:hAnsi="仿宋" w:eastAsia="仿宋"/>
        </w:rPr>
      </w:pPr>
      <w:r>
        <w:rPr>
          <w:rFonts w:hint="eastAsia" w:ascii="仿宋" w:hAnsi="仿宋" w:eastAsia="仿宋"/>
        </w:rPr>
        <w:t>2、本合同一式六份，自双方签章之日起生效。甲方三份，乙方、政府采购管理部门、采购代理机构各一份。</w:t>
      </w:r>
    </w:p>
    <w:p>
      <w:pPr>
        <w:spacing w:line="400" w:lineRule="exact"/>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 xml:space="preserve">甲方：   （盖章）   </w:t>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 xml:space="preserve">       乙方：   （盖章）</w:t>
      </w:r>
    </w:p>
    <w:p>
      <w:pPr>
        <w:spacing w:line="400" w:lineRule="exact"/>
        <w:ind w:firstLine="480" w:firstLineChars="200"/>
        <w:rPr>
          <w:rFonts w:ascii="仿宋" w:hAnsi="仿宋" w:eastAsia="仿宋"/>
          <w:sz w:val="24"/>
        </w:rPr>
      </w:pPr>
      <w:r>
        <w:rPr>
          <w:rFonts w:hint="eastAsia" w:ascii="仿宋" w:hAnsi="仿宋" w:eastAsia="仿宋"/>
          <w:sz w:val="24"/>
        </w:rPr>
        <w:t>法定代表人/单位负责人（授权代表）：            法定代表人/单位负责人（授权代表）：</w:t>
      </w:r>
    </w:p>
    <w:p>
      <w:pPr>
        <w:spacing w:line="400" w:lineRule="exact"/>
        <w:ind w:firstLine="480" w:firstLineChars="200"/>
        <w:rPr>
          <w:rFonts w:ascii="仿宋" w:hAnsi="仿宋" w:eastAsia="仿宋"/>
          <w:sz w:val="24"/>
        </w:rPr>
      </w:pPr>
      <w:r>
        <w:rPr>
          <w:rFonts w:hint="eastAsia" w:ascii="仿宋" w:hAnsi="仿宋" w:eastAsia="仿宋"/>
          <w:sz w:val="24"/>
        </w:rPr>
        <w:t>地    址：                         地    址：</w:t>
      </w:r>
    </w:p>
    <w:p>
      <w:pPr>
        <w:spacing w:line="400" w:lineRule="exact"/>
        <w:ind w:firstLine="480" w:firstLineChars="200"/>
        <w:rPr>
          <w:rFonts w:ascii="仿宋" w:hAnsi="仿宋" w:eastAsia="仿宋"/>
          <w:sz w:val="24"/>
        </w:rPr>
      </w:pPr>
      <w:r>
        <w:rPr>
          <w:rFonts w:hint="eastAsia" w:ascii="仿宋" w:hAnsi="仿宋" w:eastAsia="仿宋"/>
          <w:sz w:val="24"/>
        </w:rPr>
        <w:t>开户银行：                         开户银行：</w:t>
      </w:r>
    </w:p>
    <w:p>
      <w:pPr>
        <w:spacing w:line="400" w:lineRule="exact"/>
        <w:ind w:firstLine="480" w:firstLineChars="200"/>
        <w:rPr>
          <w:rFonts w:ascii="仿宋" w:hAnsi="仿宋" w:eastAsia="仿宋"/>
          <w:sz w:val="24"/>
        </w:rPr>
      </w:pPr>
      <w:r>
        <w:rPr>
          <w:rFonts w:hint="eastAsia" w:ascii="仿宋" w:hAnsi="仿宋" w:eastAsia="仿宋"/>
          <w:sz w:val="24"/>
        </w:rPr>
        <w:t>账号：                             账号：</w:t>
      </w:r>
    </w:p>
    <w:p>
      <w:pPr>
        <w:spacing w:line="400" w:lineRule="exact"/>
        <w:ind w:firstLine="480" w:firstLineChars="200"/>
        <w:rPr>
          <w:rFonts w:ascii="仿宋" w:hAnsi="仿宋" w:eastAsia="仿宋"/>
          <w:sz w:val="24"/>
        </w:rPr>
      </w:pPr>
      <w:r>
        <w:rPr>
          <w:rFonts w:hint="eastAsia" w:ascii="仿宋" w:hAnsi="仿宋" w:eastAsia="仿宋"/>
          <w:sz w:val="24"/>
        </w:rPr>
        <w:t>电    话：                         电    话：</w:t>
      </w:r>
    </w:p>
    <w:p>
      <w:pPr>
        <w:spacing w:line="400" w:lineRule="exact"/>
        <w:ind w:firstLine="480" w:firstLineChars="200"/>
        <w:rPr>
          <w:rFonts w:ascii="仿宋" w:hAnsi="仿宋" w:eastAsia="仿宋"/>
          <w:sz w:val="24"/>
        </w:rPr>
      </w:pPr>
      <w:r>
        <w:rPr>
          <w:rFonts w:hint="eastAsia" w:ascii="仿宋" w:hAnsi="仿宋" w:eastAsia="仿宋"/>
          <w:sz w:val="24"/>
        </w:rPr>
        <w:t>传    真：                         传    真：</w:t>
      </w:r>
    </w:p>
    <w:p>
      <w:pPr>
        <w:spacing w:line="400" w:lineRule="exact"/>
        <w:ind w:firstLine="420" w:firstLineChars="200"/>
        <w:rPr>
          <w:rFonts w:ascii="仿宋" w:hAnsi="仿宋" w:eastAsia="仿宋"/>
          <w:szCs w:val="21"/>
        </w:rPr>
      </w:pPr>
      <w:r>
        <w:rPr>
          <w:rFonts w:hint="eastAsia" w:ascii="仿宋" w:hAnsi="仿宋" w:eastAsia="仿宋"/>
        </w:rPr>
        <w:t>签约日期：</w:t>
      </w:r>
      <w:r>
        <w:rPr>
          <w:rFonts w:hint="eastAsia" w:ascii="仿宋" w:hAnsi="仿宋" w:eastAsia="仿宋"/>
          <w:szCs w:val="21"/>
        </w:rPr>
        <w:t>XX</w:t>
      </w:r>
      <w:r>
        <w:rPr>
          <w:rFonts w:hint="eastAsia" w:ascii="仿宋" w:hAnsi="仿宋" w:eastAsia="仿宋"/>
        </w:rPr>
        <w:t>年</w:t>
      </w:r>
      <w:r>
        <w:rPr>
          <w:rFonts w:hint="eastAsia" w:ascii="仿宋" w:hAnsi="仿宋" w:eastAsia="仿宋"/>
          <w:szCs w:val="21"/>
        </w:rPr>
        <w:t>XX</w:t>
      </w:r>
      <w:r>
        <w:rPr>
          <w:rFonts w:hint="eastAsia" w:ascii="仿宋" w:hAnsi="仿宋" w:eastAsia="仿宋"/>
        </w:rPr>
        <w:t>月</w:t>
      </w:r>
      <w:r>
        <w:rPr>
          <w:rFonts w:hint="eastAsia" w:ascii="仿宋" w:hAnsi="仿宋" w:eastAsia="仿宋"/>
          <w:szCs w:val="21"/>
        </w:rPr>
        <w:t>XX</w:t>
      </w:r>
      <w:r>
        <w:rPr>
          <w:rFonts w:hint="eastAsia" w:ascii="仿宋" w:hAnsi="仿宋" w:eastAsia="仿宋"/>
        </w:rPr>
        <w:t xml:space="preserve">日 </w:t>
      </w:r>
      <w:r>
        <w:rPr>
          <w:rFonts w:hint="eastAsia" w:ascii="仿宋" w:hAnsi="仿宋" w:eastAsia="仿宋"/>
        </w:rPr>
        <w:tab/>
      </w:r>
      <w:r>
        <w:rPr>
          <w:rFonts w:hint="eastAsia" w:ascii="仿宋" w:hAnsi="仿宋" w:eastAsia="仿宋"/>
        </w:rPr>
        <w:tab/>
      </w:r>
      <w:r>
        <w:rPr>
          <w:rFonts w:hint="eastAsia" w:ascii="仿宋" w:hAnsi="仿宋" w:eastAsia="仿宋"/>
        </w:rPr>
        <w:tab/>
      </w:r>
      <w:r>
        <w:rPr>
          <w:rFonts w:hint="eastAsia" w:ascii="仿宋" w:hAnsi="仿宋" w:eastAsia="仿宋"/>
        </w:rPr>
        <w:t>签约日期：</w:t>
      </w:r>
      <w:r>
        <w:rPr>
          <w:rFonts w:hint="eastAsia" w:ascii="仿宋" w:hAnsi="仿宋" w:eastAsia="仿宋"/>
          <w:szCs w:val="21"/>
        </w:rPr>
        <w:t>XX</w:t>
      </w:r>
      <w:r>
        <w:rPr>
          <w:rFonts w:hint="eastAsia" w:ascii="仿宋" w:hAnsi="仿宋" w:eastAsia="仿宋"/>
        </w:rPr>
        <w:t>年</w:t>
      </w:r>
      <w:r>
        <w:rPr>
          <w:rFonts w:hint="eastAsia" w:ascii="仿宋" w:hAnsi="仿宋" w:eastAsia="仿宋"/>
          <w:szCs w:val="21"/>
        </w:rPr>
        <w:t>XX</w:t>
      </w:r>
      <w:r>
        <w:rPr>
          <w:rFonts w:hint="eastAsia" w:ascii="仿宋" w:hAnsi="仿宋" w:eastAsia="仿宋"/>
        </w:rPr>
        <w:t>月</w:t>
      </w:r>
      <w:r>
        <w:rPr>
          <w:rFonts w:hint="eastAsia" w:ascii="仿宋" w:hAnsi="仿宋" w:eastAsia="仿宋"/>
          <w:szCs w:val="21"/>
        </w:rPr>
        <w:t>XX日</w:t>
      </w:r>
    </w:p>
    <w:p>
      <w:pPr>
        <w:spacing w:before="156" w:beforeLines="50" w:after="156" w:afterLines="50"/>
        <w:rPr>
          <w:rFonts w:ascii="仿宋" w:hAnsi="仿宋" w:eastAsia="仿宋"/>
          <w:sz w:val="24"/>
        </w:rPr>
        <w:sectPr>
          <w:pgSz w:w="11906" w:h="16838"/>
          <w:pgMar w:top="1440" w:right="1800" w:bottom="1440" w:left="1800" w:header="851" w:footer="992" w:gutter="0"/>
          <w:cols w:space="720" w:num="1"/>
          <w:docGrid w:type="lines" w:linePitch="312" w:charSpace="0"/>
        </w:sectPr>
      </w:pPr>
      <w:r>
        <w:rPr>
          <w:rFonts w:ascii="仿宋" w:hAnsi="仿宋" w:eastAsia="仿宋"/>
          <w:sz w:val="24"/>
        </w:rPr>
        <w:t xml:space="preserve"> </w:t>
      </w:r>
    </w:p>
    <w:bookmarkEnd w:id="177"/>
    <w:p>
      <w:pPr>
        <w:spacing w:before="159" w:beforeLines="50" w:after="159" w:afterLines="50"/>
        <w:rPr>
          <w:rFonts w:ascii="仿宋" w:hAnsi="仿宋" w:eastAsia="仿宋"/>
          <w:b/>
          <w:sz w:val="28"/>
          <w:szCs w:val="28"/>
        </w:rPr>
      </w:pPr>
      <w:r>
        <w:rPr>
          <w:rFonts w:hint="eastAsia" w:ascii="仿宋" w:hAnsi="仿宋" w:eastAsia="仿宋"/>
          <w:b/>
          <w:sz w:val="28"/>
          <w:szCs w:val="28"/>
        </w:rPr>
        <w:t>附件：递交投标文件签收表</w:t>
      </w:r>
    </w:p>
    <w:tbl>
      <w:tblPr>
        <w:tblStyle w:val="23"/>
        <w:tblW w:w="14314" w:type="dxa"/>
        <w:tblInd w:w="0" w:type="dxa"/>
        <w:tblLayout w:type="fixed"/>
        <w:tblCellMar>
          <w:top w:w="15" w:type="dxa"/>
          <w:left w:w="15" w:type="dxa"/>
          <w:bottom w:w="15" w:type="dxa"/>
          <w:right w:w="15" w:type="dxa"/>
        </w:tblCellMar>
      </w:tblPr>
      <w:tblGrid>
        <w:gridCol w:w="1276"/>
        <w:gridCol w:w="1808"/>
        <w:gridCol w:w="1747"/>
        <w:gridCol w:w="2150"/>
        <w:gridCol w:w="2233"/>
        <w:gridCol w:w="2835"/>
        <w:gridCol w:w="2265"/>
      </w:tblGrid>
      <w:tr>
        <w:tblPrEx>
          <w:tblCellMar>
            <w:top w:w="15" w:type="dxa"/>
            <w:left w:w="15" w:type="dxa"/>
            <w:bottom w:w="15" w:type="dxa"/>
            <w:right w:w="15" w:type="dxa"/>
          </w:tblCellMar>
        </w:tblPrEx>
        <w:trPr>
          <w:trHeight w:val="668" w:hRule="atLeast"/>
        </w:trPr>
        <w:tc>
          <w:tcPr>
            <w:tcW w:w="14314" w:type="dxa"/>
            <w:gridSpan w:val="7"/>
            <w:vAlign w:val="center"/>
          </w:tcPr>
          <w:p>
            <w:pPr>
              <w:jc w:val="center"/>
              <w:textAlignment w:val="center"/>
              <w:rPr>
                <w:rFonts w:ascii="仿宋" w:hAnsi="仿宋" w:eastAsia="仿宋" w:cs="黑体"/>
                <w:b/>
                <w:sz w:val="36"/>
                <w:szCs w:val="36"/>
                <w:u w:val="single"/>
              </w:rPr>
            </w:pPr>
            <w:r>
              <w:rPr>
                <w:rFonts w:hint="eastAsia" w:ascii="仿宋" w:hAnsi="仿宋" w:eastAsia="仿宋" w:cs="黑体"/>
                <w:b/>
                <w:sz w:val="36"/>
                <w:szCs w:val="36"/>
                <w:u w:val="single"/>
              </w:rPr>
              <w:t>递交投标文件签收表</w:t>
            </w:r>
          </w:p>
        </w:tc>
      </w:tr>
      <w:tr>
        <w:tblPrEx>
          <w:tblCellMar>
            <w:top w:w="15" w:type="dxa"/>
            <w:left w:w="15" w:type="dxa"/>
            <w:bottom w:w="15" w:type="dxa"/>
            <w:right w:w="15" w:type="dxa"/>
          </w:tblCellMar>
        </w:tblPrEx>
        <w:trPr>
          <w:trHeight w:val="463" w:hRule="atLeast"/>
        </w:trPr>
        <w:tc>
          <w:tcPr>
            <w:tcW w:w="1276" w:type="dxa"/>
            <w:vAlign w:val="center"/>
          </w:tcPr>
          <w:p>
            <w:pPr>
              <w:widowControl/>
              <w:jc w:val="left"/>
              <w:textAlignment w:val="center"/>
              <w:rPr>
                <w:rFonts w:ascii="仿宋" w:hAnsi="仿宋" w:eastAsia="仿宋" w:cs="宋体"/>
                <w:b/>
                <w:sz w:val="22"/>
                <w:szCs w:val="22"/>
              </w:rPr>
            </w:pPr>
            <w:r>
              <w:rPr>
                <w:rFonts w:hint="eastAsia" w:ascii="仿宋" w:hAnsi="仿宋" w:eastAsia="仿宋" w:cs="宋体"/>
                <w:b/>
                <w:kern w:val="0"/>
                <w:sz w:val="22"/>
                <w:szCs w:val="22"/>
              </w:rPr>
              <w:t>项目名称：</w:t>
            </w:r>
          </w:p>
        </w:tc>
        <w:tc>
          <w:tcPr>
            <w:tcW w:w="7938" w:type="dxa"/>
            <w:gridSpan w:val="4"/>
            <w:vAlign w:val="center"/>
          </w:tcPr>
          <w:p>
            <w:pPr>
              <w:jc w:val="left"/>
              <w:rPr>
                <w:rFonts w:ascii="仿宋" w:hAnsi="仿宋" w:eastAsia="仿宋" w:cs="宋体"/>
                <w:b/>
                <w:sz w:val="22"/>
                <w:szCs w:val="22"/>
              </w:rPr>
            </w:pPr>
          </w:p>
        </w:tc>
        <w:tc>
          <w:tcPr>
            <w:tcW w:w="2835" w:type="dxa"/>
            <w:vAlign w:val="center"/>
          </w:tcPr>
          <w:p>
            <w:pPr>
              <w:widowControl/>
              <w:ind w:right="990"/>
              <w:jc w:val="right"/>
              <w:textAlignment w:val="center"/>
              <w:rPr>
                <w:rFonts w:ascii="仿宋" w:hAnsi="仿宋" w:eastAsia="仿宋" w:cs="宋体"/>
                <w:b/>
                <w:sz w:val="22"/>
                <w:szCs w:val="22"/>
              </w:rPr>
            </w:pPr>
            <w:r>
              <w:rPr>
                <w:rFonts w:hint="eastAsia" w:ascii="仿宋" w:hAnsi="仿宋" w:eastAsia="仿宋" w:cs="宋体"/>
                <w:b/>
                <w:kern w:val="0"/>
                <w:sz w:val="22"/>
                <w:szCs w:val="22"/>
              </w:rPr>
              <w:t>招标编号：</w:t>
            </w:r>
          </w:p>
        </w:tc>
        <w:tc>
          <w:tcPr>
            <w:tcW w:w="2265" w:type="dxa"/>
            <w:vAlign w:val="center"/>
          </w:tcPr>
          <w:p>
            <w:pPr>
              <w:rPr>
                <w:rFonts w:ascii="仿宋" w:hAnsi="仿宋" w:eastAsia="仿宋" w:cs="宋体"/>
                <w:b/>
                <w:sz w:val="22"/>
                <w:szCs w:val="22"/>
              </w:rPr>
            </w:pPr>
          </w:p>
        </w:tc>
      </w:tr>
      <w:tr>
        <w:tblPrEx>
          <w:tblCellMar>
            <w:top w:w="15" w:type="dxa"/>
            <w:left w:w="15" w:type="dxa"/>
            <w:bottom w:w="15" w:type="dxa"/>
            <w:right w:w="15" w:type="dxa"/>
          </w:tblCellMar>
        </w:tblPrEx>
        <w:trPr>
          <w:trHeight w:val="463" w:hRule="atLeast"/>
        </w:trPr>
        <w:tc>
          <w:tcPr>
            <w:tcW w:w="1276" w:type="dxa"/>
            <w:tcBorders>
              <w:bottom w:val="single" w:color="000000" w:sz="12" w:space="0"/>
            </w:tcBorders>
            <w:vAlign w:val="center"/>
          </w:tcPr>
          <w:p>
            <w:pPr>
              <w:widowControl/>
              <w:jc w:val="left"/>
              <w:textAlignment w:val="center"/>
              <w:rPr>
                <w:rFonts w:ascii="仿宋" w:hAnsi="仿宋" w:eastAsia="仿宋" w:cs="宋体"/>
                <w:b/>
                <w:sz w:val="22"/>
                <w:szCs w:val="22"/>
              </w:rPr>
            </w:pPr>
            <w:r>
              <w:rPr>
                <w:rFonts w:hint="eastAsia" w:ascii="仿宋" w:hAnsi="仿宋" w:eastAsia="仿宋" w:cs="宋体"/>
                <w:b/>
                <w:kern w:val="0"/>
                <w:sz w:val="22"/>
                <w:szCs w:val="22"/>
              </w:rPr>
              <w:t>开标时间：</w:t>
            </w:r>
          </w:p>
        </w:tc>
        <w:tc>
          <w:tcPr>
            <w:tcW w:w="1808" w:type="dxa"/>
            <w:tcBorders>
              <w:bottom w:val="single" w:color="000000" w:sz="12" w:space="0"/>
            </w:tcBorders>
            <w:vAlign w:val="center"/>
          </w:tcPr>
          <w:p>
            <w:pPr>
              <w:rPr>
                <w:rFonts w:ascii="仿宋" w:hAnsi="仿宋" w:eastAsia="仿宋" w:cs="宋体"/>
                <w:b/>
                <w:sz w:val="22"/>
                <w:szCs w:val="22"/>
              </w:rPr>
            </w:pPr>
          </w:p>
        </w:tc>
        <w:tc>
          <w:tcPr>
            <w:tcW w:w="1747" w:type="dxa"/>
            <w:tcBorders>
              <w:bottom w:val="single" w:color="000000" w:sz="12" w:space="0"/>
            </w:tcBorders>
            <w:vAlign w:val="center"/>
          </w:tcPr>
          <w:p>
            <w:pPr>
              <w:rPr>
                <w:rFonts w:ascii="仿宋" w:hAnsi="仿宋" w:eastAsia="仿宋" w:cs="宋体"/>
                <w:b/>
                <w:sz w:val="22"/>
                <w:szCs w:val="22"/>
              </w:rPr>
            </w:pPr>
          </w:p>
        </w:tc>
        <w:tc>
          <w:tcPr>
            <w:tcW w:w="4383" w:type="dxa"/>
            <w:gridSpan w:val="2"/>
            <w:tcBorders>
              <w:bottom w:val="single" w:color="000000" w:sz="12" w:space="0"/>
            </w:tcBorders>
            <w:vAlign w:val="center"/>
          </w:tcPr>
          <w:p>
            <w:pPr>
              <w:rPr>
                <w:rFonts w:ascii="仿宋" w:hAnsi="仿宋" w:eastAsia="仿宋" w:cs="宋体"/>
              </w:rPr>
            </w:pPr>
          </w:p>
        </w:tc>
        <w:tc>
          <w:tcPr>
            <w:tcW w:w="2835" w:type="dxa"/>
            <w:tcBorders>
              <w:bottom w:val="single" w:color="000000" w:sz="12" w:space="0"/>
            </w:tcBorders>
            <w:vAlign w:val="center"/>
          </w:tcPr>
          <w:p>
            <w:pPr>
              <w:widowControl/>
              <w:ind w:right="990"/>
              <w:jc w:val="right"/>
              <w:textAlignment w:val="center"/>
              <w:rPr>
                <w:rFonts w:ascii="仿宋" w:hAnsi="仿宋" w:eastAsia="仿宋" w:cs="宋体"/>
                <w:b/>
                <w:sz w:val="22"/>
                <w:szCs w:val="22"/>
              </w:rPr>
            </w:pPr>
            <w:r>
              <w:rPr>
                <w:rFonts w:hint="eastAsia" w:ascii="仿宋" w:hAnsi="仿宋" w:eastAsia="仿宋" w:cs="宋体"/>
                <w:b/>
                <w:kern w:val="0"/>
                <w:sz w:val="22"/>
                <w:szCs w:val="22"/>
              </w:rPr>
              <w:t>开标地点：</w:t>
            </w:r>
          </w:p>
        </w:tc>
        <w:tc>
          <w:tcPr>
            <w:tcW w:w="2265" w:type="dxa"/>
            <w:tcBorders>
              <w:bottom w:val="single" w:color="000000" w:sz="12" w:space="0"/>
            </w:tcBorders>
            <w:vAlign w:val="center"/>
          </w:tcPr>
          <w:p>
            <w:pPr>
              <w:rPr>
                <w:rFonts w:ascii="仿宋" w:hAnsi="仿宋" w:eastAsia="仿宋" w:cs="宋体"/>
                <w:b/>
                <w:sz w:val="22"/>
                <w:szCs w:val="22"/>
              </w:rPr>
            </w:pPr>
          </w:p>
        </w:tc>
      </w:tr>
      <w:tr>
        <w:tblPrEx>
          <w:tblCellMar>
            <w:top w:w="15" w:type="dxa"/>
            <w:left w:w="15" w:type="dxa"/>
            <w:bottom w:w="15" w:type="dxa"/>
            <w:right w:w="15" w:type="dxa"/>
          </w:tblCellMar>
        </w:tblPrEx>
        <w:trPr>
          <w:trHeight w:val="1231" w:hRule="atLeast"/>
        </w:trPr>
        <w:tc>
          <w:tcPr>
            <w:tcW w:w="1276" w:type="dxa"/>
            <w:tcBorders>
              <w:top w:val="single" w:color="000000" w:sz="12" w:space="0"/>
              <w:left w:val="single" w:color="000000" w:sz="12" w:space="0"/>
              <w:bottom w:val="single" w:color="000000" w:sz="4" w:space="0"/>
              <w:right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包号</w:t>
            </w:r>
          </w:p>
        </w:tc>
        <w:tc>
          <w:tcPr>
            <w:tcW w:w="1808"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投标人</w:t>
            </w:r>
          </w:p>
        </w:tc>
        <w:tc>
          <w:tcPr>
            <w:tcW w:w="1747"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递交时间</w:t>
            </w:r>
          </w:p>
        </w:tc>
        <w:tc>
          <w:tcPr>
            <w:tcW w:w="2150" w:type="dxa"/>
            <w:tcBorders>
              <w:top w:val="single" w:color="000000" w:sz="12" w:space="0"/>
              <w:left w:val="single" w:color="000000" w:sz="4" w:space="0"/>
              <w:bottom w:val="single" w:color="000000" w:sz="4" w:space="0"/>
              <w:right w:val="single" w:color="auto"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密封合格与否</w:t>
            </w:r>
          </w:p>
          <w:p>
            <w:pPr>
              <w:jc w:val="center"/>
              <w:textAlignment w:val="center"/>
              <w:rPr>
                <w:rFonts w:ascii="仿宋" w:hAnsi="仿宋" w:eastAsia="仿宋" w:cs="宋体"/>
                <w:b/>
                <w:szCs w:val="21"/>
              </w:rPr>
            </w:pPr>
            <w:r>
              <w:rPr>
                <w:rFonts w:hint="eastAsia" w:ascii="仿宋" w:hAnsi="仿宋" w:eastAsia="仿宋" w:cs="宋体"/>
                <w:b/>
                <w:szCs w:val="21"/>
              </w:rPr>
              <w:t>（签收人确认）</w:t>
            </w:r>
          </w:p>
        </w:tc>
        <w:tc>
          <w:tcPr>
            <w:tcW w:w="2233" w:type="dxa"/>
            <w:tcBorders>
              <w:top w:val="single" w:color="000000" w:sz="12" w:space="0"/>
              <w:left w:val="single" w:color="auto" w:sz="4" w:space="0"/>
              <w:bottom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联系方式</w:t>
            </w:r>
          </w:p>
        </w:tc>
        <w:tc>
          <w:tcPr>
            <w:tcW w:w="2835"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签收回执确认</w:t>
            </w:r>
          </w:p>
        </w:tc>
        <w:tc>
          <w:tcPr>
            <w:tcW w:w="2265" w:type="dxa"/>
            <w:tcBorders>
              <w:top w:val="single" w:color="000000" w:sz="12" w:space="0"/>
              <w:left w:val="single" w:color="000000" w:sz="4" w:space="0"/>
              <w:bottom w:val="single" w:color="000000" w:sz="4" w:space="0"/>
              <w:right w:val="single" w:color="000000" w:sz="12"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签收人</w:t>
            </w:r>
          </w:p>
        </w:tc>
      </w:tr>
      <w:tr>
        <w:tblPrEx>
          <w:tblCellMar>
            <w:top w:w="15" w:type="dxa"/>
            <w:left w:w="15" w:type="dxa"/>
            <w:bottom w:w="15" w:type="dxa"/>
            <w:right w:w="15" w:type="dxa"/>
          </w:tblCellMar>
        </w:tblPrEx>
        <w:trPr>
          <w:trHeight w:val="542" w:hRule="atLeast"/>
        </w:trPr>
        <w:tc>
          <w:tcPr>
            <w:tcW w:w="1276" w:type="dxa"/>
            <w:vMerge w:val="restart"/>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szCs w:val="21"/>
              </w:rPr>
            </w:pPr>
          </w:p>
        </w:tc>
        <w:tc>
          <w:tcPr>
            <w:tcW w:w="1808" w:type="dxa"/>
            <w:vMerge w:val="restart"/>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szCs w:val="21"/>
              </w:rPr>
            </w:pPr>
          </w:p>
        </w:tc>
        <w:tc>
          <w:tcPr>
            <w:tcW w:w="1747" w:type="dxa"/>
            <w:vMerge w:val="restart"/>
            <w:tcBorders>
              <w:top w:val="single" w:color="000000" w:sz="4" w:space="0"/>
              <w:left w:val="single" w:color="000000" w:sz="4" w:space="0"/>
              <w:bottom w:val="single" w:color="000000" w:sz="4" w:space="0"/>
              <w:right w:val="single" w:color="000000" w:sz="4" w:space="0"/>
            </w:tcBorders>
          </w:tcPr>
          <w:p>
            <w:pPr>
              <w:jc w:val="center"/>
              <w:textAlignment w:val="center"/>
              <w:rPr>
                <w:rStyle w:val="29"/>
                <w:rFonts w:ascii="仿宋" w:hAnsi="仿宋" w:eastAsia="仿宋"/>
              </w:rPr>
            </w:pPr>
            <w:r>
              <w:rPr>
                <w:rStyle w:val="29"/>
                <w:rFonts w:ascii="仿宋" w:hAnsi="仿宋" w:eastAsia="仿宋"/>
              </w:rPr>
              <w:t xml:space="preserve">  </w:t>
            </w:r>
          </w:p>
          <w:p>
            <w:pPr>
              <w:jc w:val="center"/>
              <w:textAlignment w:val="center"/>
              <w:rPr>
                <w:rFonts w:ascii="仿宋" w:hAnsi="仿宋" w:eastAsia="仿宋" w:cs="Eʩ"/>
                <w:szCs w:val="21"/>
                <w:u w:val="single"/>
              </w:rPr>
            </w:pPr>
            <w:r>
              <w:rPr>
                <w:rStyle w:val="29"/>
                <w:rFonts w:ascii="仿宋" w:hAnsi="仿宋" w:eastAsia="仿宋"/>
              </w:rPr>
              <w:t>年  月  日</w:t>
            </w:r>
          </w:p>
          <w:p>
            <w:pPr>
              <w:jc w:val="center"/>
              <w:rPr>
                <w:rFonts w:ascii="仿宋" w:hAnsi="仿宋" w:eastAsia="仿宋" w:cs="Eʩ"/>
                <w:sz w:val="32"/>
                <w:szCs w:val="32"/>
              </w:rPr>
            </w:pPr>
            <w:r>
              <w:rPr>
                <w:rStyle w:val="29"/>
                <w:rFonts w:ascii="仿宋" w:hAnsi="仿宋" w:eastAsia="仿宋"/>
              </w:rPr>
              <w:t>时   分</w:t>
            </w:r>
          </w:p>
        </w:tc>
        <w:tc>
          <w:tcPr>
            <w:tcW w:w="2150" w:type="dxa"/>
            <w:vMerge w:val="restart"/>
            <w:tcBorders>
              <w:top w:val="single" w:color="000000" w:sz="4" w:space="0"/>
              <w:left w:val="single" w:color="000000" w:sz="4" w:space="0"/>
              <w:right w:val="single" w:color="auto" w:sz="4" w:space="0"/>
            </w:tcBorders>
            <w:vAlign w:val="center"/>
          </w:tcPr>
          <w:p>
            <w:pPr>
              <w:jc w:val="center"/>
              <w:textAlignment w:val="center"/>
              <w:rPr>
                <w:rFonts w:ascii="仿宋" w:hAnsi="仿宋" w:eastAsia="仿宋" w:cs="Eʩ"/>
                <w:szCs w:val="21"/>
              </w:rPr>
            </w:pPr>
            <w:r>
              <w:rPr>
                <w:rFonts w:hint="eastAsia" w:ascii="仿宋" w:hAnsi="仿宋" w:eastAsia="仿宋" w:cs="黑体"/>
                <w:szCs w:val="21"/>
              </w:rPr>
              <w:t>□</w:t>
            </w:r>
            <w:r>
              <w:rPr>
                <w:rFonts w:hint="eastAsia" w:ascii="仿宋" w:hAnsi="仿宋" w:eastAsia="仿宋" w:cs="Eʩ"/>
                <w:szCs w:val="21"/>
              </w:rPr>
              <w:t>是</w:t>
            </w:r>
          </w:p>
          <w:p>
            <w:pPr>
              <w:jc w:val="center"/>
              <w:textAlignment w:val="center"/>
              <w:rPr>
                <w:rFonts w:ascii="仿宋" w:hAnsi="仿宋" w:eastAsia="仿宋" w:cs="Eʩ"/>
                <w:szCs w:val="21"/>
              </w:rPr>
            </w:pPr>
          </w:p>
          <w:p>
            <w:pPr>
              <w:jc w:val="center"/>
              <w:textAlignment w:val="center"/>
              <w:rPr>
                <w:rFonts w:ascii="仿宋" w:hAnsi="仿宋" w:eastAsia="仿宋" w:cs="宋体"/>
                <w:b/>
                <w:bCs/>
                <w:szCs w:val="21"/>
              </w:rPr>
            </w:pPr>
            <w:r>
              <w:rPr>
                <w:rFonts w:hint="eastAsia" w:ascii="仿宋" w:hAnsi="仿宋" w:eastAsia="仿宋" w:cs="黑体"/>
                <w:szCs w:val="21"/>
              </w:rPr>
              <w:t>□</w:t>
            </w:r>
            <w:r>
              <w:rPr>
                <w:rFonts w:hint="eastAsia" w:ascii="仿宋" w:hAnsi="仿宋" w:eastAsia="仿宋" w:cs="Eʩ"/>
                <w:szCs w:val="21"/>
              </w:rPr>
              <w:t>否</w:t>
            </w:r>
          </w:p>
        </w:tc>
        <w:tc>
          <w:tcPr>
            <w:tcW w:w="2233" w:type="dxa"/>
            <w:tcBorders>
              <w:top w:val="single" w:color="000000" w:sz="4" w:space="0"/>
              <w:left w:val="single" w:color="auto" w:sz="4" w:space="0"/>
              <w:bottom w:val="single" w:color="auto" w:sz="4" w:space="0"/>
            </w:tcBorders>
          </w:tcPr>
          <w:p>
            <w:pPr>
              <w:jc w:val="left"/>
              <w:textAlignment w:val="center"/>
              <w:rPr>
                <w:rFonts w:ascii="仿宋" w:hAnsi="仿宋" w:eastAsia="仿宋" w:cs="Eʩ"/>
                <w:szCs w:val="21"/>
                <w:u w:val="single"/>
              </w:rPr>
            </w:pPr>
            <w:r>
              <w:rPr>
                <w:rFonts w:hint="eastAsia" w:ascii="仿宋" w:hAnsi="仿宋" w:eastAsia="仿宋" w:cs="宋体"/>
                <w:szCs w:val="21"/>
              </w:rPr>
              <w:t>联系人：</w:t>
            </w:r>
          </w:p>
        </w:tc>
        <w:tc>
          <w:tcPr>
            <w:tcW w:w="2835" w:type="dxa"/>
            <w:vMerge w:val="restart"/>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宋体"/>
                <w:szCs w:val="21"/>
              </w:rPr>
            </w:pPr>
          </w:p>
          <w:p>
            <w:pPr>
              <w:jc w:val="center"/>
              <w:rPr>
                <w:rFonts w:ascii="仿宋" w:hAnsi="仿宋" w:eastAsia="仿宋" w:cs="宋体"/>
                <w:szCs w:val="21"/>
              </w:rPr>
            </w:pPr>
            <w:r>
              <w:rPr>
                <w:rFonts w:hint="eastAsia" w:ascii="仿宋" w:hAnsi="仿宋" w:eastAsia="仿宋" w:cs="宋体"/>
                <w:szCs w:val="21"/>
              </w:rPr>
              <w:t>投标人代表签字：</w:t>
            </w:r>
          </w:p>
          <w:p>
            <w:pPr>
              <w:jc w:val="left"/>
              <w:rPr>
                <w:rFonts w:ascii="仿宋" w:hAnsi="仿宋" w:eastAsia="仿宋" w:cs="Eʩ"/>
                <w:sz w:val="32"/>
                <w:szCs w:val="32"/>
                <w:u w:val="single"/>
              </w:rPr>
            </w:pPr>
            <w:r>
              <w:rPr>
                <w:rFonts w:ascii="仿宋" w:hAnsi="仿宋" w:eastAsia="仿宋" w:cs="Eʩ"/>
                <w:sz w:val="32"/>
                <w:szCs w:val="32"/>
                <w:u w:val="single"/>
              </w:rPr>
              <w:t xml:space="preserve">         </w:t>
            </w:r>
            <w:r>
              <w:rPr>
                <w:rFonts w:hint="eastAsia" w:ascii="仿宋" w:hAnsi="仿宋" w:eastAsia="仿宋" w:cs="Eʩ"/>
                <w:sz w:val="32"/>
                <w:szCs w:val="32"/>
                <w:u w:val="single"/>
              </w:rPr>
              <w:t xml:space="preserve">    </w:t>
            </w:r>
            <w:r>
              <w:rPr>
                <w:rFonts w:ascii="仿宋" w:hAnsi="仿宋" w:eastAsia="仿宋" w:cs="Eʩ"/>
                <w:sz w:val="32"/>
                <w:szCs w:val="32"/>
                <w:u w:val="single"/>
              </w:rPr>
              <w:t xml:space="preserve">    </w:t>
            </w:r>
          </w:p>
        </w:tc>
        <w:tc>
          <w:tcPr>
            <w:tcW w:w="2265" w:type="dxa"/>
            <w:vMerge w:val="restart"/>
            <w:tcBorders>
              <w:top w:val="single" w:color="000000" w:sz="4" w:space="0"/>
              <w:left w:val="single" w:color="000000" w:sz="4" w:space="0"/>
              <w:right w:val="single" w:color="000000" w:sz="12" w:space="0"/>
            </w:tcBorders>
          </w:tcPr>
          <w:p>
            <w:pPr>
              <w:textAlignment w:val="center"/>
              <w:rPr>
                <w:rFonts w:ascii="仿宋" w:hAnsi="仿宋" w:eastAsia="仿宋" w:cs="宋体"/>
                <w:szCs w:val="21"/>
              </w:rPr>
            </w:pPr>
          </w:p>
        </w:tc>
      </w:tr>
      <w:tr>
        <w:tblPrEx>
          <w:tblCellMar>
            <w:top w:w="15" w:type="dxa"/>
            <w:left w:w="15" w:type="dxa"/>
            <w:bottom w:w="15" w:type="dxa"/>
            <w:right w:w="15" w:type="dxa"/>
          </w:tblCellMar>
        </w:tblPrEx>
        <w:trPr>
          <w:trHeight w:val="522" w:hRule="atLeast"/>
        </w:trPr>
        <w:tc>
          <w:tcPr>
            <w:tcW w:w="1276"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szCs w:val="21"/>
              </w:rPr>
            </w:pPr>
          </w:p>
        </w:tc>
        <w:tc>
          <w:tcPr>
            <w:tcW w:w="1808"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szCs w:val="21"/>
              </w:rPr>
            </w:pPr>
          </w:p>
        </w:tc>
        <w:tc>
          <w:tcPr>
            <w:tcW w:w="1747"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150" w:type="dxa"/>
            <w:vMerge w:val="continue"/>
            <w:tcBorders>
              <w:left w:val="single" w:color="000000" w:sz="4" w:space="0"/>
              <w:right w:val="single" w:color="auto" w:sz="4" w:space="0"/>
            </w:tcBorders>
            <w:vAlign w:val="center"/>
          </w:tcPr>
          <w:p>
            <w:pPr>
              <w:textAlignment w:val="center"/>
              <w:rPr>
                <w:rFonts w:ascii="仿宋" w:hAnsi="仿宋" w:eastAsia="仿宋" w:cs="宋体"/>
                <w:szCs w:val="21"/>
              </w:rPr>
            </w:pPr>
          </w:p>
        </w:tc>
        <w:tc>
          <w:tcPr>
            <w:tcW w:w="2233" w:type="dxa"/>
            <w:tcBorders>
              <w:top w:val="single" w:color="auto" w:sz="4" w:space="0"/>
              <w:left w:val="single" w:color="auto" w:sz="4" w:space="0"/>
              <w:bottom w:val="single" w:color="auto" w:sz="4" w:space="0"/>
            </w:tcBorders>
          </w:tcPr>
          <w:p>
            <w:pPr>
              <w:jc w:val="left"/>
              <w:textAlignment w:val="center"/>
              <w:rPr>
                <w:rFonts w:ascii="仿宋" w:hAnsi="仿宋" w:eastAsia="仿宋" w:cs="Eʩ"/>
                <w:b/>
                <w:bCs/>
                <w:szCs w:val="21"/>
                <w:u w:val="single"/>
              </w:rPr>
            </w:pPr>
            <w:r>
              <w:rPr>
                <w:rFonts w:hint="eastAsia" w:ascii="仿宋" w:hAnsi="仿宋" w:eastAsia="仿宋" w:cs="宋体"/>
                <w:szCs w:val="21"/>
              </w:rPr>
              <w:t>电话：</w:t>
            </w:r>
          </w:p>
        </w:tc>
        <w:tc>
          <w:tcPr>
            <w:tcW w:w="2835"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265" w:type="dxa"/>
            <w:vMerge w:val="continue"/>
            <w:tcBorders>
              <w:left w:val="single" w:color="000000" w:sz="4" w:space="0"/>
              <w:right w:val="single" w:color="000000" w:sz="12" w:space="0"/>
            </w:tcBorders>
          </w:tcPr>
          <w:p>
            <w:pPr>
              <w:textAlignment w:val="center"/>
              <w:rPr>
                <w:rFonts w:ascii="仿宋" w:hAnsi="仿宋" w:eastAsia="仿宋" w:cs="宋体"/>
                <w:szCs w:val="21"/>
              </w:rPr>
            </w:pPr>
          </w:p>
        </w:tc>
      </w:tr>
      <w:tr>
        <w:tblPrEx>
          <w:tblCellMar>
            <w:top w:w="15" w:type="dxa"/>
            <w:left w:w="15" w:type="dxa"/>
            <w:bottom w:w="15" w:type="dxa"/>
            <w:right w:w="15" w:type="dxa"/>
          </w:tblCellMar>
        </w:tblPrEx>
        <w:trPr>
          <w:trHeight w:val="516" w:hRule="atLeast"/>
        </w:trPr>
        <w:tc>
          <w:tcPr>
            <w:tcW w:w="1276"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szCs w:val="21"/>
              </w:rPr>
            </w:pPr>
          </w:p>
        </w:tc>
        <w:tc>
          <w:tcPr>
            <w:tcW w:w="1808"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szCs w:val="21"/>
              </w:rPr>
            </w:pPr>
          </w:p>
        </w:tc>
        <w:tc>
          <w:tcPr>
            <w:tcW w:w="1747"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150" w:type="dxa"/>
            <w:vMerge w:val="continue"/>
            <w:tcBorders>
              <w:left w:val="single" w:color="000000" w:sz="4" w:space="0"/>
              <w:bottom w:val="nil"/>
              <w:right w:val="single" w:color="auto" w:sz="4" w:space="0"/>
            </w:tcBorders>
            <w:vAlign w:val="center"/>
          </w:tcPr>
          <w:p>
            <w:pPr>
              <w:textAlignment w:val="center"/>
              <w:rPr>
                <w:rFonts w:ascii="仿宋" w:hAnsi="仿宋" w:eastAsia="仿宋" w:cs="宋体"/>
                <w:szCs w:val="21"/>
              </w:rPr>
            </w:pPr>
          </w:p>
        </w:tc>
        <w:tc>
          <w:tcPr>
            <w:tcW w:w="2233" w:type="dxa"/>
            <w:tcBorders>
              <w:top w:val="single" w:color="auto" w:sz="4" w:space="0"/>
              <w:left w:val="single" w:color="auto" w:sz="4" w:space="0"/>
              <w:bottom w:val="nil"/>
            </w:tcBorders>
          </w:tcPr>
          <w:p>
            <w:pPr>
              <w:jc w:val="left"/>
              <w:textAlignment w:val="center"/>
              <w:rPr>
                <w:rFonts w:ascii="仿宋" w:hAnsi="仿宋" w:eastAsia="仿宋" w:cs="Eʩ"/>
                <w:szCs w:val="21"/>
                <w:u w:val="single"/>
              </w:rPr>
            </w:pPr>
            <w:r>
              <w:rPr>
                <w:rFonts w:hint="eastAsia" w:ascii="仿宋" w:hAnsi="仿宋" w:eastAsia="仿宋" w:cs="宋体"/>
                <w:szCs w:val="21"/>
              </w:rPr>
              <w:t>邮箱：</w:t>
            </w:r>
          </w:p>
        </w:tc>
        <w:tc>
          <w:tcPr>
            <w:tcW w:w="2835"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265" w:type="dxa"/>
            <w:vMerge w:val="continue"/>
            <w:tcBorders>
              <w:left w:val="single" w:color="000000" w:sz="4" w:space="0"/>
              <w:bottom w:val="nil"/>
              <w:right w:val="single" w:color="000000" w:sz="12" w:space="0"/>
            </w:tcBorders>
          </w:tcPr>
          <w:p>
            <w:pPr>
              <w:textAlignment w:val="center"/>
              <w:rPr>
                <w:rFonts w:ascii="仿宋" w:hAnsi="仿宋" w:eastAsia="仿宋" w:cs="宋体"/>
                <w:szCs w:val="21"/>
              </w:rPr>
            </w:pPr>
          </w:p>
        </w:tc>
      </w:tr>
      <w:tr>
        <w:tblPrEx>
          <w:tblCellMar>
            <w:top w:w="15" w:type="dxa"/>
            <w:left w:w="15" w:type="dxa"/>
            <w:bottom w:w="15" w:type="dxa"/>
            <w:right w:w="15" w:type="dxa"/>
          </w:tblCellMar>
        </w:tblPrEx>
        <w:trPr>
          <w:trHeight w:val="533" w:hRule="atLeast"/>
        </w:trPr>
        <w:tc>
          <w:tcPr>
            <w:tcW w:w="1276" w:type="dxa"/>
            <w:tcBorders>
              <w:top w:val="single" w:color="000000" w:sz="12" w:space="0"/>
            </w:tcBorders>
            <w:vAlign w:val="center"/>
          </w:tcPr>
          <w:p>
            <w:pPr>
              <w:textAlignment w:val="center"/>
              <w:rPr>
                <w:rFonts w:ascii="仿宋" w:hAnsi="仿宋" w:eastAsia="仿宋" w:cs="宋体"/>
              </w:rPr>
            </w:pPr>
          </w:p>
        </w:tc>
        <w:tc>
          <w:tcPr>
            <w:tcW w:w="13038" w:type="dxa"/>
            <w:gridSpan w:val="6"/>
            <w:tcBorders>
              <w:top w:val="single" w:color="000000" w:sz="12" w:space="0"/>
            </w:tcBorders>
            <w:vAlign w:val="center"/>
          </w:tcPr>
          <w:p>
            <w:pPr>
              <w:rPr>
                <w:rFonts w:ascii="仿宋" w:hAnsi="仿宋" w:eastAsia="仿宋" w:cs="宋体"/>
                <w:u w:val="single"/>
              </w:rPr>
            </w:pPr>
          </w:p>
        </w:tc>
      </w:tr>
      <w:tr>
        <w:tblPrEx>
          <w:tblCellMar>
            <w:top w:w="15" w:type="dxa"/>
            <w:left w:w="15" w:type="dxa"/>
            <w:bottom w:w="15" w:type="dxa"/>
            <w:right w:w="15" w:type="dxa"/>
          </w:tblCellMar>
        </w:tblPrEx>
        <w:trPr>
          <w:trHeight w:val="788" w:hRule="atLeast"/>
        </w:trPr>
        <w:tc>
          <w:tcPr>
            <w:tcW w:w="14314" w:type="dxa"/>
            <w:gridSpan w:val="7"/>
            <w:vAlign w:val="bottom"/>
          </w:tcPr>
          <w:p>
            <w:pPr>
              <w:textAlignment w:val="bottom"/>
              <w:rPr>
                <w:rFonts w:ascii="仿宋" w:hAnsi="仿宋" w:eastAsia="仿宋" w:cs="宋体"/>
              </w:rPr>
            </w:pPr>
            <w:r>
              <w:rPr>
                <w:rFonts w:hint="eastAsia" w:ascii="仿宋" w:hAnsi="仿宋" w:eastAsia="仿宋" w:cs="宋体"/>
              </w:rPr>
              <w:t>备注：请以正楷字填写各项目内容，“递交时间”、“联系方式”请在现场签收时填写。我公司将向投标人出具投标文件签收回执，请投标人代表在“签收回执确认”签字确认。</w:t>
            </w:r>
          </w:p>
        </w:tc>
      </w:tr>
    </w:tbl>
    <w:p>
      <w:pPr>
        <w:spacing w:line="360" w:lineRule="auto"/>
        <w:rPr>
          <w:rFonts w:ascii="仿宋" w:hAnsi="仿宋" w:eastAsia="仿宋"/>
          <w:sz w:val="24"/>
        </w:rPr>
        <w:sectPr>
          <w:pgSz w:w="16838" w:h="11906" w:orient="landscape"/>
          <w:pgMar w:top="1803" w:right="1440" w:bottom="1803" w:left="1440" w:header="851" w:footer="992" w:gutter="0"/>
          <w:cols w:space="720" w:num="1"/>
          <w:docGrid w:type="lines" w:linePitch="319" w:charSpace="0"/>
        </w:sectPr>
      </w:pPr>
    </w:p>
    <w:p>
      <w:pPr>
        <w:spacing w:line="360" w:lineRule="auto"/>
      </w:pPr>
      <w: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宋体" w:hAnsi="宋体" w:cs="Tahoma"/>
          <w:b/>
          <w:sz w:val="30"/>
          <w:szCs w:val="30"/>
        </w:rPr>
      </w:pPr>
    </w:p>
    <w:p>
      <w:r>
        <w:rPr>
          <w:rFonts w:hint="eastAsia"/>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
      <w:r>
        <w:rPr>
          <w:rFonts w:hint="eastAsia"/>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
      <w:r>
        <w:rPr>
          <w:rFonts w:hint="eastAsia"/>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
      <w:r>
        <w:rPr>
          <w:rFonts w:hint="eastAsia"/>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
      <w:r>
        <w:rPr>
          <w:rFonts w:hint="eastAsia"/>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
      <w:r>
        <w:rPr>
          <w:rFonts w:hint="eastAsia"/>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
      <w:r>
        <w:rPr>
          <w:rFonts w:hint="eastAsia"/>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
      <w:r>
        <w:rPr>
          <w:rFonts w:hint="eastAsia"/>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
      <w:r>
        <w:rPr>
          <w:rFonts w:hint="eastAsia"/>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
      <w:r>
        <w:rPr>
          <w:rFonts w:hint="eastAsia"/>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
      <w:r>
        <w:rPr>
          <w:rFonts w:hint="eastAsia"/>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
      <w:r>
        <w:rPr>
          <w:rFonts w:hint="eastAsia"/>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
      <w:r>
        <w:rPr>
          <w:rFonts w:hint="eastAsia"/>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
      <w:r>
        <w:rPr>
          <w:rFonts w:hint="eastAsia"/>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
    <w:p>
      <w:r>
        <w:rPr>
          <w:rFonts w:hint="eastAsia"/>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
      <w:r>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6"/>
                    <a:stretch>
                      <a:fillRect/>
                    </a:stretch>
                  </pic:blipFill>
                  <pic:spPr>
                    <a:xfrm>
                      <a:off x="0" y="0"/>
                      <a:ext cx="5629275" cy="7543800"/>
                    </a:xfrm>
                    <a:prstGeom prst="rect">
                      <a:avLst/>
                    </a:prstGeom>
                  </pic:spPr>
                </pic:pic>
              </a:graphicData>
            </a:graphic>
          </wp:inline>
        </w:drawing>
      </w:r>
    </w:p>
    <w:p>
      <w: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7"/>
                    <a:stretch>
                      <a:fillRect/>
                    </a:stretch>
                  </pic:blipFill>
                  <pic:spPr>
                    <a:xfrm>
                      <a:off x="0" y="0"/>
                      <a:ext cx="5591175" cy="8143875"/>
                    </a:xfrm>
                    <a:prstGeom prst="rect">
                      <a:avLst/>
                    </a:prstGeom>
                  </pic:spPr>
                </pic:pic>
              </a:graphicData>
            </a:graphic>
          </wp:inline>
        </w:drawing>
      </w:r>
    </w:p>
    <w:p>
      <w: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8"/>
                    <a:stretch>
                      <a:fillRect/>
                    </a:stretch>
                  </pic:blipFill>
                  <pic:spPr>
                    <a:xfrm>
                      <a:off x="0" y="0"/>
                      <a:ext cx="5941060" cy="3790950"/>
                    </a:xfrm>
                    <a:prstGeom prst="rect">
                      <a:avLst/>
                    </a:prstGeom>
                  </pic:spPr>
                </pic:pic>
              </a:graphicData>
            </a:graphic>
          </wp:inline>
        </w:drawing>
      </w:r>
    </w:p>
    <w:sectPr>
      <w:footerReference r:id="rId7" w:type="default"/>
      <w:footerReference r:id="rId8" w:type="even"/>
      <w:pgSz w:w="11906" w:h="16838"/>
      <w:pgMar w:top="720" w:right="1274" w:bottom="720" w:left="1276"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Eʩ">
    <w:altName w:val="微软雅黑"/>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06F" w:usb1="1200FBEF" w:usb2="0064C000" w:usb3="00000002" w:csb0="00000001" w:csb1="40000000"/>
  </w:font>
  <w:font w:name="Segoe UI Emoji">
    <w:altName w:val="Segoe UI"/>
    <w:panose1 w:val="020B0502040204020203"/>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jc w:val="center"/>
      <w:rPr>
        <w:rStyle w:val="36"/>
      </w:rPr>
    </w:pPr>
    <w:r>
      <w:fldChar w:fldCharType="begin"/>
    </w:r>
    <w:r>
      <w:rPr>
        <w:rStyle w:val="36"/>
      </w:rPr>
      <w:instrText xml:space="preserve">PAGE  </w:instrText>
    </w:r>
    <w:r>
      <w:fldChar w:fldCharType="separate"/>
    </w:r>
    <w:r>
      <w:rPr>
        <w:rStyle w:val="36"/>
      </w:rPr>
      <w:t>23</w:t>
    </w:r>
    <w:r>
      <w:fldChar w:fldCharType="end"/>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36"/>
      </w:rPr>
    </w:pPr>
    <w:r>
      <w:fldChar w:fldCharType="begin"/>
    </w:r>
    <w:r>
      <w:rPr>
        <w:rStyle w:val="36"/>
      </w:rPr>
      <w:instrText xml:space="preserve">PAGE  </w:instrText>
    </w:r>
    <w:r>
      <w:fldChar w:fldCharType="separate"/>
    </w:r>
    <w:r>
      <w:rPr>
        <w:rStyle w:val="36"/>
      </w:rPr>
      <w:t>80</w:t>
    </w:r>
    <w:r>
      <w:fldChar w:fldCharType="end"/>
    </w: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jc w:val="center"/>
      <w:rPr>
        <w:rStyle w:val="36"/>
      </w:rPr>
    </w:pPr>
    <w:r>
      <w:fldChar w:fldCharType="begin"/>
    </w:r>
    <w:r>
      <w:rPr>
        <w:rStyle w:val="36"/>
      </w:rPr>
      <w:instrText xml:space="preserve">PAGE  </w:instrText>
    </w:r>
    <w:r>
      <w:fldChar w:fldCharType="separate"/>
    </w:r>
    <w:r>
      <w:rPr>
        <w:rStyle w:val="36"/>
      </w:rPr>
      <w:t>81</w:t>
    </w:r>
    <w:r>
      <w:fldChar w:fldCharType="end"/>
    </w:r>
  </w:p>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36"/>
      </w:rPr>
    </w:pPr>
    <w:r>
      <w:fldChar w:fldCharType="begin"/>
    </w:r>
    <w:r>
      <w:rPr>
        <w:rStyle w:val="36"/>
      </w:rPr>
      <w:instrText xml:space="preserve">PAGE  </w:instrText>
    </w:r>
    <w:r>
      <w:fldChar w:fldCharType="separate"/>
    </w:r>
    <w:r>
      <w:rPr>
        <w:rStyle w:val="36"/>
      </w:rPr>
      <w:t>137</w:t>
    </w:r>
    <w:r>
      <w:fldChar w:fldCharType="end"/>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36"/>
      </w:rPr>
    </w:pPr>
    <w:r>
      <w:fldChar w:fldCharType="begin"/>
    </w:r>
    <w:r>
      <w:rPr>
        <w:rStyle w:val="36"/>
      </w:rPr>
      <w:instrText xml:space="preserve">PAGE  </w:instrText>
    </w:r>
    <w:r>
      <w:fldChar w:fldCharType="separate"/>
    </w:r>
    <w:r>
      <w:rPr>
        <w:rStyle w:val="36"/>
      </w:rPr>
      <w:t>136</w:t>
    </w:r>
    <w:r>
      <w:fldChar w:fldCharType="end"/>
    </w:r>
  </w:p>
  <w:p>
    <w:pPr>
      <w:pStyle w:val="10"/>
      <w:ind w:right="360"/>
    </w:pPr>
  </w:p>
  <w:p/>
  <w:p/>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1190"/>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7D89C6"/>
    <w:multiLevelType w:val="singleLevel"/>
    <w:tmpl w:val="587D89C6"/>
    <w:lvl w:ilvl="0" w:tentative="0">
      <w:start w:val="1"/>
      <w:numFmt w:val="decimal"/>
      <w:suff w:val="nothing"/>
      <w:lvlText w:val="%1、"/>
      <w:lvlJc w:val="left"/>
    </w:lvl>
  </w:abstractNum>
  <w:abstractNum w:abstractNumId="1">
    <w:nsid w:val="58807131"/>
    <w:multiLevelType w:val="singleLevel"/>
    <w:tmpl w:val="58807131"/>
    <w:lvl w:ilvl="0" w:tentative="0">
      <w:start w:val="1"/>
      <w:numFmt w:val="decimal"/>
      <w:suff w:val="nothing"/>
      <w:lvlText w:val="%1、"/>
      <w:lvlJc w:val="left"/>
    </w:lvl>
  </w:abstractNum>
  <w:abstractNum w:abstractNumId="2">
    <w:nsid w:val="58EC9FF9"/>
    <w:multiLevelType w:val="singleLevel"/>
    <w:tmpl w:val="58EC9FF9"/>
    <w:lvl w:ilvl="0" w:tentative="0">
      <w:start w:val="2"/>
      <w:numFmt w:val="decimal"/>
      <w:suff w:val="nothing"/>
      <w:lvlText w:val="%1、"/>
      <w:lvlJc w:val="left"/>
    </w:lvl>
  </w:abstractNum>
  <w:abstractNum w:abstractNumId="3">
    <w:nsid w:val="597C3AB9"/>
    <w:multiLevelType w:val="multilevel"/>
    <w:tmpl w:val="597C3AB9"/>
    <w:lvl w:ilvl="0" w:tentative="0">
      <w:start w:val="1"/>
      <w:numFmt w:val="japaneseCounting"/>
      <w:lvlText w:val="（%1）"/>
      <w:lvlJc w:val="left"/>
      <w:pPr>
        <w:ind w:left="1247" w:hanging="765"/>
      </w:pPr>
      <w:rPr>
        <w:rFonts w:hint="default"/>
      </w:rPr>
    </w:lvl>
    <w:lvl w:ilvl="1" w:tentative="0">
      <w:start w:val="1"/>
      <w:numFmt w:val="decimal"/>
      <w:lvlText w:val="%2、"/>
      <w:lvlJc w:val="left"/>
      <w:pPr>
        <w:ind w:left="1262" w:hanging="360"/>
      </w:pPr>
      <w:rPr>
        <w:rFonts w:hint="default"/>
      </w:r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59C07086"/>
    <w:multiLevelType w:val="singleLevel"/>
    <w:tmpl w:val="59C07086"/>
    <w:lvl w:ilvl="0" w:tentative="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evenAndOddHeaders w:val="1"/>
  <w:drawingGridHorizontalSpacing w:val="105"/>
  <w:drawingGridVerticalSpacing w:val="31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0C1D"/>
    <w:rsid w:val="00002E81"/>
    <w:rsid w:val="00002FBF"/>
    <w:rsid w:val="00007AD8"/>
    <w:rsid w:val="00010DEF"/>
    <w:rsid w:val="0001199C"/>
    <w:rsid w:val="0001226E"/>
    <w:rsid w:val="00017150"/>
    <w:rsid w:val="00022E18"/>
    <w:rsid w:val="00026152"/>
    <w:rsid w:val="00031B04"/>
    <w:rsid w:val="00031FE7"/>
    <w:rsid w:val="00032952"/>
    <w:rsid w:val="00034908"/>
    <w:rsid w:val="00036751"/>
    <w:rsid w:val="00036EEF"/>
    <w:rsid w:val="00046675"/>
    <w:rsid w:val="00060755"/>
    <w:rsid w:val="00060BF7"/>
    <w:rsid w:val="00062AA7"/>
    <w:rsid w:val="00063B2E"/>
    <w:rsid w:val="000705EB"/>
    <w:rsid w:val="00072E9C"/>
    <w:rsid w:val="00075294"/>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4A23"/>
    <w:rsid w:val="000C5ABD"/>
    <w:rsid w:val="000C6FE5"/>
    <w:rsid w:val="000D22E0"/>
    <w:rsid w:val="000D2B0E"/>
    <w:rsid w:val="000D717B"/>
    <w:rsid w:val="000E06D5"/>
    <w:rsid w:val="000E17D3"/>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56A6"/>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A7344"/>
    <w:rsid w:val="001B171B"/>
    <w:rsid w:val="001B1735"/>
    <w:rsid w:val="001B3EC5"/>
    <w:rsid w:val="001B6CE3"/>
    <w:rsid w:val="001B7069"/>
    <w:rsid w:val="001C03A0"/>
    <w:rsid w:val="001C2626"/>
    <w:rsid w:val="001C6ECA"/>
    <w:rsid w:val="001D39C4"/>
    <w:rsid w:val="001D4748"/>
    <w:rsid w:val="001D4C75"/>
    <w:rsid w:val="001E4CD3"/>
    <w:rsid w:val="001E69D8"/>
    <w:rsid w:val="001E7DDD"/>
    <w:rsid w:val="001F126B"/>
    <w:rsid w:val="001F1980"/>
    <w:rsid w:val="001F1BA6"/>
    <w:rsid w:val="001F3E72"/>
    <w:rsid w:val="001F7393"/>
    <w:rsid w:val="001F76E7"/>
    <w:rsid w:val="0020039F"/>
    <w:rsid w:val="00202A19"/>
    <w:rsid w:val="00203A74"/>
    <w:rsid w:val="002120E1"/>
    <w:rsid w:val="002129B6"/>
    <w:rsid w:val="0021461E"/>
    <w:rsid w:val="00216109"/>
    <w:rsid w:val="00217312"/>
    <w:rsid w:val="0022001E"/>
    <w:rsid w:val="002257C4"/>
    <w:rsid w:val="00225D67"/>
    <w:rsid w:val="00227213"/>
    <w:rsid w:val="00227396"/>
    <w:rsid w:val="002345F1"/>
    <w:rsid w:val="00234CA2"/>
    <w:rsid w:val="0023577B"/>
    <w:rsid w:val="00237A7C"/>
    <w:rsid w:val="002440ED"/>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4F53"/>
    <w:rsid w:val="002B734E"/>
    <w:rsid w:val="002C195F"/>
    <w:rsid w:val="002C48FA"/>
    <w:rsid w:val="002D042C"/>
    <w:rsid w:val="002D4AB1"/>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27248"/>
    <w:rsid w:val="003300C6"/>
    <w:rsid w:val="003300EE"/>
    <w:rsid w:val="00330FC4"/>
    <w:rsid w:val="00331608"/>
    <w:rsid w:val="00332D89"/>
    <w:rsid w:val="003354C8"/>
    <w:rsid w:val="00336716"/>
    <w:rsid w:val="00346B52"/>
    <w:rsid w:val="003479D0"/>
    <w:rsid w:val="00347D55"/>
    <w:rsid w:val="00347F91"/>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8164F"/>
    <w:rsid w:val="00394D48"/>
    <w:rsid w:val="00397CB0"/>
    <w:rsid w:val="003A079A"/>
    <w:rsid w:val="003A30C2"/>
    <w:rsid w:val="003A32A6"/>
    <w:rsid w:val="003A3336"/>
    <w:rsid w:val="003A6A7E"/>
    <w:rsid w:val="003B11F4"/>
    <w:rsid w:val="003C1555"/>
    <w:rsid w:val="003C5FD8"/>
    <w:rsid w:val="003C6641"/>
    <w:rsid w:val="003C6FC6"/>
    <w:rsid w:val="003D09DE"/>
    <w:rsid w:val="003D2186"/>
    <w:rsid w:val="003D3C37"/>
    <w:rsid w:val="003E03F4"/>
    <w:rsid w:val="003E0BB3"/>
    <w:rsid w:val="003E15DF"/>
    <w:rsid w:val="003E1ABC"/>
    <w:rsid w:val="003E3AE9"/>
    <w:rsid w:val="003E6D4C"/>
    <w:rsid w:val="003F07BA"/>
    <w:rsid w:val="00414E18"/>
    <w:rsid w:val="00415F60"/>
    <w:rsid w:val="00416ED9"/>
    <w:rsid w:val="004241BE"/>
    <w:rsid w:val="00425A95"/>
    <w:rsid w:val="0042766D"/>
    <w:rsid w:val="00431D6C"/>
    <w:rsid w:val="00434342"/>
    <w:rsid w:val="00437902"/>
    <w:rsid w:val="004404BC"/>
    <w:rsid w:val="00445E84"/>
    <w:rsid w:val="004476A3"/>
    <w:rsid w:val="00447BA7"/>
    <w:rsid w:val="00450051"/>
    <w:rsid w:val="0045177D"/>
    <w:rsid w:val="0045297E"/>
    <w:rsid w:val="004557B0"/>
    <w:rsid w:val="00460537"/>
    <w:rsid w:val="00462067"/>
    <w:rsid w:val="00466B6D"/>
    <w:rsid w:val="0047571F"/>
    <w:rsid w:val="00480D18"/>
    <w:rsid w:val="00482AB7"/>
    <w:rsid w:val="004836E9"/>
    <w:rsid w:val="00487BBB"/>
    <w:rsid w:val="0049079F"/>
    <w:rsid w:val="00493260"/>
    <w:rsid w:val="00493894"/>
    <w:rsid w:val="00494396"/>
    <w:rsid w:val="004A0508"/>
    <w:rsid w:val="004A30DB"/>
    <w:rsid w:val="004A69C4"/>
    <w:rsid w:val="004B0037"/>
    <w:rsid w:val="004B30A1"/>
    <w:rsid w:val="004B4A5A"/>
    <w:rsid w:val="004C42FC"/>
    <w:rsid w:val="004C4AC6"/>
    <w:rsid w:val="004D1262"/>
    <w:rsid w:val="004D1906"/>
    <w:rsid w:val="004D288D"/>
    <w:rsid w:val="004D3115"/>
    <w:rsid w:val="004D491F"/>
    <w:rsid w:val="004E04DE"/>
    <w:rsid w:val="004E26F0"/>
    <w:rsid w:val="004E4B68"/>
    <w:rsid w:val="004E4E93"/>
    <w:rsid w:val="004E5C7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891"/>
    <w:rsid w:val="00594AC4"/>
    <w:rsid w:val="00594F42"/>
    <w:rsid w:val="005962C4"/>
    <w:rsid w:val="005A2C8E"/>
    <w:rsid w:val="005A2FE2"/>
    <w:rsid w:val="005A3B30"/>
    <w:rsid w:val="005A5D20"/>
    <w:rsid w:val="005A6B70"/>
    <w:rsid w:val="005A7E31"/>
    <w:rsid w:val="005B2A38"/>
    <w:rsid w:val="005B334C"/>
    <w:rsid w:val="005B383D"/>
    <w:rsid w:val="005B5331"/>
    <w:rsid w:val="005B547C"/>
    <w:rsid w:val="005B71FB"/>
    <w:rsid w:val="005C1739"/>
    <w:rsid w:val="005C5F85"/>
    <w:rsid w:val="005C6399"/>
    <w:rsid w:val="005C7DD5"/>
    <w:rsid w:val="005D063C"/>
    <w:rsid w:val="005D07BF"/>
    <w:rsid w:val="005D2D57"/>
    <w:rsid w:val="005D3A0A"/>
    <w:rsid w:val="005D7308"/>
    <w:rsid w:val="005E112B"/>
    <w:rsid w:val="005E25EC"/>
    <w:rsid w:val="005E426D"/>
    <w:rsid w:val="005E4EBE"/>
    <w:rsid w:val="005E5F71"/>
    <w:rsid w:val="005E6359"/>
    <w:rsid w:val="005E709D"/>
    <w:rsid w:val="005F34FF"/>
    <w:rsid w:val="005F6D60"/>
    <w:rsid w:val="006005C1"/>
    <w:rsid w:val="0060236E"/>
    <w:rsid w:val="0060494D"/>
    <w:rsid w:val="00605736"/>
    <w:rsid w:val="0060700E"/>
    <w:rsid w:val="00614A60"/>
    <w:rsid w:val="00614DC0"/>
    <w:rsid w:val="00615BA3"/>
    <w:rsid w:val="00615BEE"/>
    <w:rsid w:val="00621550"/>
    <w:rsid w:val="006243C6"/>
    <w:rsid w:val="00627859"/>
    <w:rsid w:val="006310EB"/>
    <w:rsid w:val="00632B8B"/>
    <w:rsid w:val="00634B10"/>
    <w:rsid w:val="006363E3"/>
    <w:rsid w:val="00636410"/>
    <w:rsid w:val="006365F5"/>
    <w:rsid w:val="006372F2"/>
    <w:rsid w:val="00640A83"/>
    <w:rsid w:val="00645433"/>
    <w:rsid w:val="00647F5B"/>
    <w:rsid w:val="00650AD0"/>
    <w:rsid w:val="00653EF4"/>
    <w:rsid w:val="0066396F"/>
    <w:rsid w:val="00665C6C"/>
    <w:rsid w:val="006728A0"/>
    <w:rsid w:val="00672C40"/>
    <w:rsid w:val="00680D58"/>
    <w:rsid w:val="0068385D"/>
    <w:rsid w:val="0068412C"/>
    <w:rsid w:val="00685341"/>
    <w:rsid w:val="006853DD"/>
    <w:rsid w:val="00685D51"/>
    <w:rsid w:val="0068666D"/>
    <w:rsid w:val="00690CCA"/>
    <w:rsid w:val="006940AD"/>
    <w:rsid w:val="00695C19"/>
    <w:rsid w:val="00696FA3"/>
    <w:rsid w:val="00697C2D"/>
    <w:rsid w:val="006A0A85"/>
    <w:rsid w:val="006A4F7D"/>
    <w:rsid w:val="006A5099"/>
    <w:rsid w:val="006B1BDD"/>
    <w:rsid w:val="006B4813"/>
    <w:rsid w:val="006B7484"/>
    <w:rsid w:val="006C281F"/>
    <w:rsid w:val="006C34CB"/>
    <w:rsid w:val="006C5A79"/>
    <w:rsid w:val="006D13F5"/>
    <w:rsid w:val="006D21D8"/>
    <w:rsid w:val="006D616B"/>
    <w:rsid w:val="006D6C86"/>
    <w:rsid w:val="006D76E4"/>
    <w:rsid w:val="006E0B95"/>
    <w:rsid w:val="006E2549"/>
    <w:rsid w:val="006E4C50"/>
    <w:rsid w:val="006E6822"/>
    <w:rsid w:val="006E7CE9"/>
    <w:rsid w:val="006F1ACB"/>
    <w:rsid w:val="006F2FC8"/>
    <w:rsid w:val="006F52E3"/>
    <w:rsid w:val="006F6F3F"/>
    <w:rsid w:val="007014F1"/>
    <w:rsid w:val="0070204C"/>
    <w:rsid w:val="00702FC0"/>
    <w:rsid w:val="00704120"/>
    <w:rsid w:val="00704D34"/>
    <w:rsid w:val="00706260"/>
    <w:rsid w:val="0070720E"/>
    <w:rsid w:val="00707412"/>
    <w:rsid w:val="007171DF"/>
    <w:rsid w:val="0071749F"/>
    <w:rsid w:val="00720D64"/>
    <w:rsid w:val="00721BDE"/>
    <w:rsid w:val="00727510"/>
    <w:rsid w:val="00731235"/>
    <w:rsid w:val="00732B25"/>
    <w:rsid w:val="007343BC"/>
    <w:rsid w:val="00737C32"/>
    <w:rsid w:val="00737EF2"/>
    <w:rsid w:val="0075240E"/>
    <w:rsid w:val="00760C67"/>
    <w:rsid w:val="007716C1"/>
    <w:rsid w:val="00771E82"/>
    <w:rsid w:val="00774AB9"/>
    <w:rsid w:val="00775E7A"/>
    <w:rsid w:val="00776BF1"/>
    <w:rsid w:val="0078341B"/>
    <w:rsid w:val="00792546"/>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13FE"/>
    <w:rsid w:val="008120D6"/>
    <w:rsid w:val="008125B3"/>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1087"/>
    <w:rsid w:val="00835F45"/>
    <w:rsid w:val="00840853"/>
    <w:rsid w:val="008416B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A6F12"/>
    <w:rsid w:val="008A73C5"/>
    <w:rsid w:val="008B1E46"/>
    <w:rsid w:val="008B5C9C"/>
    <w:rsid w:val="008D6A9F"/>
    <w:rsid w:val="008E02F9"/>
    <w:rsid w:val="008E1BA7"/>
    <w:rsid w:val="008E310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770DA"/>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08F8"/>
    <w:rsid w:val="009D3555"/>
    <w:rsid w:val="009D5489"/>
    <w:rsid w:val="009D60C2"/>
    <w:rsid w:val="009E31BE"/>
    <w:rsid w:val="009E4A1C"/>
    <w:rsid w:val="009E5664"/>
    <w:rsid w:val="009E66AF"/>
    <w:rsid w:val="009F0956"/>
    <w:rsid w:val="009F0D87"/>
    <w:rsid w:val="009F2BDF"/>
    <w:rsid w:val="009F4AFF"/>
    <w:rsid w:val="009F72AD"/>
    <w:rsid w:val="00A00504"/>
    <w:rsid w:val="00A01D50"/>
    <w:rsid w:val="00A02ADE"/>
    <w:rsid w:val="00A0428C"/>
    <w:rsid w:val="00A0608C"/>
    <w:rsid w:val="00A11A8F"/>
    <w:rsid w:val="00A12EDC"/>
    <w:rsid w:val="00A20D61"/>
    <w:rsid w:val="00A214F2"/>
    <w:rsid w:val="00A23584"/>
    <w:rsid w:val="00A30A91"/>
    <w:rsid w:val="00A30D68"/>
    <w:rsid w:val="00A31830"/>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39D7"/>
    <w:rsid w:val="00AA6433"/>
    <w:rsid w:val="00AB0302"/>
    <w:rsid w:val="00AB40B8"/>
    <w:rsid w:val="00AB7BF3"/>
    <w:rsid w:val="00AC3E85"/>
    <w:rsid w:val="00AC5321"/>
    <w:rsid w:val="00AC6736"/>
    <w:rsid w:val="00AC7C51"/>
    <w:rsid w:val="00AD0386"/>
    <w:rsid w:val="00AD0A60"/>
    <w:rsid w:val="00AD35B6"/>
    <w:rsid w:val="00AD40EC"/>
    <w:rsid w:val="00AD76EC"/>
    <w:rsid w:val="00AE0F63"/>
    <w:rsid w:val="00AE3136"/>
    <w:rsid w:val="00AE5163"/>
    <w:rsid w:val="00AE55DC"/>
    <w:rsid w:val="00AF220B"/>
    <w:rsid w:val="00AF5EB2"/>
    <w:rsid w:val="00B05D43"/>
    <w:rsid w:val="00B11239"/>
    <w:rsid w:val="00B122D1"/>
    <w:rsid w:val="00B150CC"/>
    <w:rsid w:val="00B17F43"/>
    <w:rsid w:val="00B2007F"/>
    <w:rsid w:val="00B237F7"/>
    <w:rsid w:val="00B238C8"/>
    <w:rsid w:val="00B243DE"/>
    <w:rsid w:val="00B253EC"/>
    <w:rsid w:val="00B26750"/>
    <w:rsid w:val="00B272E8"/>
    <w:rsid w:val="00B27E55"/>
    <w:rsid w:val="00B30B38"/>
    <w:rsid w:val="00B35233"/>
    <w:rsid w:val="00B4327E"/>
    <w:rsid w:val="00B50900"/>
    <w:rsid w:val="00B5278E"/>
    <w:rsid w:val="00B52A1D"/>
    <w:rsid w:val="00B54097"/>
    <w:rsid w:val="00B55FA0"/>
    <w:rsid w:val="00B57B8A"/>
    <w:rsid w:val="00B607A2"/>
    <w:rsid w:val="00B6390C"/>
    <w:rsid w:val="00B64899"/>
    <w:rsid w:val="00B67AD7"/>
    <w:rsid w:val="00B7188C"/>
    <w:rsid w:val="00B755EC"/>
    <w:rsid w:val="00B76F0A"/>
    <w:rsid w:val="00B80536"/>
    <w:rsid w:val="00B8457B"/>
    <w:rsid w:val="00B849AD"/>
    <w:rsid w:val="00B858C3"/>
    <w:rsid w:val="00B87940"/>
    <w:rsid w:val="00B919BB"/>
    <w:rsid w:val="00B93201"/>
    <w:rsid w:val="00B95CB7"/>
    <w:rsid w:val="00B95F58"/>
    <w:rsid w:val="00B97136"/>
    <w:rsid w:val="00B9715A"/>
    <w:rsid w:val="00BA157F"/>
    <w:rsid w:val="00BA3C31"/>
    <w:rsid w:val="00BA5358"/>
    <w:rsid w:val="00BA56EA"/>
    <w:rsid w:val="00BA5A1E"/>
    <w:rsid w:val="00BA6484"/>
    <w:rsid w:val="00BA6D4C"/>
    <w:rsid w:val="00BB1614"/>
    <w:rsid w:val="00BB3849"/>
    <w:rsid w:val="00BB5969"/>
    <w:rsid w:val="00BB635D"/>
    <w:rsid w:val="00BC1700"/>
    <w:rsid w:val="00BC3689"/>
    <w:rsid w:val="00BC5BF2"/>
    <w:rsid w:val="00BC5FFF"/>
    <w:rsid w:val="00BC613E"/>
    <w:rsid w:val="00BD577F"/>
    <w:rsid w:val="00BE0658"/>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39F9"/>
    <w:rsid w:val="00C351E4"/>
    <w:rsid w:val="00C35DF4"/>
    <w:rsid w:val="00C36C73"/>
    <w:rsid w:val="00C421B6"/>
    <w:rsid w:val="00C5022C"/>
    <w:rsid w:val="00C508C1"/>
    <w:rsid w:val="00C54028"/>
    <w:rsid w:val="00C54267"/>
    <w:rsid w:val="00C55F14"/>
    <w:rsid w:val="00C573F3"/>
    <w:rsid w:val="00C60C83"/>
    <w:rsid w:val="00C63A38"/>
    <w:rsid w:val="00C71858"/>
    <w:rsid w:val="00C72D09"/>
    <w:rsid w:val="00C81912"/>
    <w:rsid w:val="00C8585D"/>
    <w:rsid w:val="00C865EB"/>
    <w:rsid w:val="00C955E0"/>
    <w:rsid w:val="00C958BF"/>
    <w:rsid w:val="00CA2734"/>
    <w:rsid w:val="00CA3F50"/>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CF50B8"/>
    <w:rsid w:val="00D000EC"/>
    <w:rsid w:val="00D01A9B"/>
    <w:rsid w:val="00D05321"/>
    <w:rsid w:val="00D13549"/>
    <w:rsid w:val="00D15273"/>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57ED6"/>
    <w:rsid w:val="00D60D3D"/>
    <w:rsid w:val="00D614AD"/>
    <w:rsid w:val="00D61DB6"/>
    <w:rsid w:val="00D67157"/>
    <w:rsid w:val="00D701B5"/>
    <w:rsid w:val="00D7091B"/>
    <w:rsid w:val="00D71901"/>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A7CF4"/>
    <w:rsid w:val="00DC09C7"/>
    <w:rsid w:val="00DC103C"/>
    <w:rsid w:val="00DC1A76"/>
    <w:rsid w:val="00DD4C4F"/>
    <w:rsid w:val="00DD5BDA"/>
    <w:rsid w:val="00DD773B"/>
    <w:rsid w:val="00DE25B3"/>
    <w:rsid w:val="00DE3088"/>
    <w:rsid w:val="00DE3B1C"/>
    <w:rsid w:val="00DE40E4"/>
    <w:rsid w:val="00DE44FF"/>
    <w:rsid w:val="00DE4D28"/>
    <w:rsid w:val="00DF7A83"/>
    <w:rsid w:val="00E01326"/>
    <w:rsid w:val="00E01F8E"/>
    <w:rsid w:val="00E04587"/>
    <w:rsid w:val="00E04E6B"/>
    <w:rsid w:val="00E04FAA"/>
    <w:rsid w:val="00E14F06"/>
    <w:rsid w:val="00E17D3C"/>
    <w:rsid w:val="00E21484"/>
    <w:rsid w:val="00E21EEB"/>
    <w:rsid w:val="00E22F39"/>
    <w:rsid w:val="00E275F6"/>
    <w:rsid w:val="00E310A1"/>
    <w:rsid w:val="00E359F2"/>
    <w:rsid w:val="00E35AE6"/>
    <w:rsid w:val="00E36411"/>
    <w:rsid w:val="00E36E25"/>
    <w:rsid w:val="00E46283"/>
    <w:rsid w:val="00E47B16"/>
    <w:rsid w:val="00E51527"/>
    <w:rsid w:val="00E51D6C"/>
    <w:rsid w:val="00E51E5E"/>
    <w:rsid w:val="00E55CA7"/>
    <w:rsid w:val="00E55E19"/>
    <w:rsid w:val="00E56857"/>
    <w:rsid w:val="00E61C9F"/>
    <w:rsid w:val="00E61CE3"/>
    <w:rsid w:val="00E62188"/>
    <w:rsid w:val="00E64F68"/>
    <w:rsid w:val="00E67189"/>
    <w:rsid w:val="00E716D6"/>
    <w:rsid w:val="00E71735"/>
    <w:rsid w:val="00E75990"/>
    <w:rsid w:val="00E77958"/>
    <w:rsid w:val="00E81B9F"/>
    <w:rsid w:val="00E837A1"/>
    <w:rsid w:val="00E83889"/>
    <w:rsid w:val="00E83AF9"/>
    <w:rsid w:val="00E840C6"/>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3545"/>
    <w:rsid w:val="00EC4AC3"/>
    <w:rsid w:val="00ED1FF6"/>
    <w:rsid w:val="00ED2B68"/>
    <w:rsid w:val="00ED46D0"/>
    <w:rsid w:val="00ED4D98"/>
    <w:rsid w:val="00ED661A"/>
    <w:rsid w:val="00EF577B"/>
    <w:rsid w:val="00EF76EC"/>
    <w:rsid w:val="00F148EA"/>
    <w:rsid w:val="00F17770"/>
    <w:rsid w:val="00F24508"/>
    <w:rsid w:val="00F2458F"/>
    <w:rsid w:val="00F269E0"/>
    <w:rsid w:val="00F26FBC"/>
    <w:rsid w:val="00F27939"/>
    <w:rsid w:val="00F308BA"/>
    <w:rsid w:val="00F32C53"/>
    <w:rsid w:val="00F3326A"/>
    <w:rsid w:val="00F3333D"/>
    <w:rsid w:val="00F42037"/>
    <w:rsid w:val="00F43258"/>
    <w:rsid w:val="00F43C59"/>
    <w:rsid w:val="00F529B1"/>
    <w:rsid w:val="00F55083"/>
    <w:rsid w:val="00F56A96"/>
    <w:rsid w:val="00F627EE"/>
    <w:rsid w:val="00F63291"/>
    <w:rsid w:val="00F6363F"/>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3DC1"/>
    <w:rsid w:val="00FF658A"/>
    <w:rsid w:val="00FF7B67"/>
    <w:rsid w:val="016B3CA6"/>
    <w:rsid w:val="01CD7511"/>
    <w:rsid w:val="022E6D4C"/>
    <w:rsid w:val="02317836"/>
    <w:rsid w:val="02430B2B"/>
    <w:rsid w:val="02E836CB"/>
    <w:rsid w:val="03386882"/>
    <w:rsid w:val="03745EB4"/>
    <w:rsid w:val="03C93DE4"/>
    <w:rsid w:val="03CF276F"/>
    <w:rsid w:val="03FE7515"/>
    <w:rsid w:val="04104985"/>
    <w:rsid w:val="05052E25"/>
    <w:rsid w:val="0520376D"/>
    <w:rsid w:val="062126EF"/>
    <w:rsid w:val="0662250D"/>
    <w:rsid w:val="069756C9"/>
    <w:rsid w:val="06EA41D2"/>
    <w:rsid w:val="06F82B78"/>
    <w:rsid w:val="072E42E3"/>
    <w:rsid w:val="07D729CE"/>
    <w:rsid w:val="08404482"/>
    <w:rsid w:val="0968446C"/>
    <w:rsid w:val="09880AD8"/>
    <w:rsid w:val="09DC6ECA"/>
    <w:rsid w:val="0AA5328F"/>
    <w:rsid w:val="0B134589"/>
    <w:rsid w:val="0B7E48FD"/>
    <w:rsid w:val="0BFB0153"/>
    <w:rsid w:val="0CA00E3D"/>
    <w:rsid w:val="0CFC2EE8"/>
    <w:rsid w:val="0D417D41"/>
    <w:rsid w:val="0E2F068D"/>
    <w:rsid w:val="0E545AFA"/>
    <w:rsid w:val="0EFD6F96"/>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6E94221"/>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1FFC6900"/>
    <w:rsid w:val="208E2D86"/>
    <w:rsid w:val="20A41BDD"/>
    <w:rsid w:val="20B869CB"/>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C3E44"/>
    <w:rsid w:val="2AED414D"/>
    <w:rsid w:val="2B7A199A"/>
    <w:rsid w:val="2B812B85"/>
    <w:rsid w:val="2BB97180"/>
    <w:rsid w:val="2C5300D5"/>
    <w:rsid w:val="2CB15DAF"/>
    <w:rsid w:val="2D2864D4"/>
    <w:rsid w:val="2D6405B3"/>
    <w:rsid w:val="2DAA40C0"/>
    <w:rsid w:val="2DD32383"/>
    <w:rsid w:val="2DE50909"/>
    <w:rsid w:val="2E917FC7"/>
    <w:rsid w:val="2EB1759E"/>
    <w:rsid w:val="2EE575C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4F771D8"/>
    <w:rsid w:val="357A5788"/>
    <w:rsid w:val="360308BC"/>
    <w:rsid w:val="36147632"/>
    <w:rsid w:val="36530971"/>
    <w:rsid w:val="36561BAE"/>
    <w:rsid w:val="36610C56"/>
    <w:rsid w:val="366B24CA"/>
    <w:rsid w:val="36AA1444"/>
    <w:rsid w:val="37133678"/>
    <w:rsid w:val="376916D4"/>
    <w:rsid w:val="376E6E4C"/>
    <w:rsid w:val="38095396"/>
    <w:rsid w:val="385666E5"/>
    <w:rsid w:val="38DB70E7"/>
    <w:rsid w:val="3AD16F1E"/>
    <w:rsid w:val="3B192EFF"/>
    <w:rsid w:val="3BCE25E6"/>
    <w:rsid w:val="3C1B106D"/>
    <w:rsid w:val="3CD659E6"/>
    <w:rsid w:val="3CEA2ACF"/>
    <w:rsid w:val="3D0C77C5"/>
    <w:rsid w:val="3D48523F"/>
    <w:rsid w:val="3D8B06B4"/>
    <w:rsid w:val="3DC46A40"/>
    <w:rsid w:val="3E773063"/>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4728C7"/>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5C96DC9"/>
    <w:rsid w:val="560B1770"/>
    <w:rsid w:val="56146833"/>
    <w:rsid w:val="563D07A6"/>
    <w:rsid w:val="568527A9"/>
    <w:rsid w:val="56F23726"/>
    <w:rsid w:val="57787D9B"/>
    <w:rsid w:val="577C1E80"/>
    <w:rsid w:val="579E6879"/>
    <w:rsid w:val="588C0AAD"/>
    <w:rsid w:val="58AA3B72"/>
    <w:rsid w:val="58E73614"/>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2BAC"/>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246C85"/>
    <w:rsid w:val="7763578D"/>
    <w:rsid w:val="788E700F"/>
    <w:rsid w:val="794006DB"/>
    <w:rsid w:val="79D85CE8"/>
    <w:rsid w:val="7A007349"/>
    <w:rsid w:val="7A1E0BB7"/>
    <w:rsid w:val="7A322C02"/>
    <w:rsid w:val="7AF65F04"/>
    <w:rsid w:val="7B052BD7"/>
    <w:rsid w:val="7B072853"/>
    <w:rsid w:val="7B5B2FAF"/>
    <w:rsid w:val="7BA10F88"/>
    <w:rsid w:val="7C675975"/>
    <w:rsid w:val="7CA44252"/>
    <w:rsid w:val="7DA40457"/>
    <w:rsid w:val="7DB479EE"/>
    <w:rsid w:val="7DCD6635"/>
    <w:rsid w:val="7E9C1324"/>
    <w:rsid w:val="7EE36967"/>
    <w:rsid w:val="7F0149D6"/>
    <w:rsid w:val="7F4108E0"/>
    <w:rsid w:val="7F9663C3"/>
    <w:rsid w:val="7FA345E5"/>
    <w:rsid w:val="7FBE0F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2">
    <w:name w:val="heading 1"/>
    <w:basedOn w:val="1"/>
    <w:next w:val="1"/>
    <w:link w:val="30"/>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5" w:lineRule="auto"/>
      <w:outlineLvl w:val="2"/>
    </w:pPr>
    <w:rPr>
      <w:b/>
      <w:bCs/>
      <w:sz w:val="32"/>
      <w:szCs w:val="32"/>
    </w:rPr>
  </w:style>
  <w:style w:type="character" w:default="1" w:styleId="25">
    <w:name w:val="Default Paragraph Font"/>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qFormat/>
    <w:uiPriority w:val="0"/>
    <w:pPr>
      <w:ind w:left="2520" w:leftChars="1200"/>
    </w:pPr>
  </w:style>
  <w:style w:type="paragraph" w:styleId="6">
    <w:name w:val="Normal Indent"/>
    <w:basedOn w:val="1"/>
    <w:qFormat/>
    <w:uiPriority w:val="0"/>
    <w:pPr>
      <w:ind w:firstLine="200" w:firstLineChars="200"/>
    </w:pPr>
  </w:style>
  <w:style w:type="paragraph" w:styleId="7">
    <w:name w:val="Document Map"/>
    <w:basedOn w:val="1"/>
    <w:link w:val="33"/>
    <w:qFormat/>
    <w:uiPriority w:val="0"/>
    <w:rPr>
      <w:rFonts w:ascii="宋体"/>
      <w:sz w:val="18"/>
      <w:szCs w:val="18"/>
    </w:rPr>
  </w:style>
  <w:style w:type="paragraph" w:styleId="8">
    <w:name w:val="annotation text"/>
    <w:basedOn w:val="1"/>
    <w:link w:val="31"/>
    <w:qFormat/>
    <w:uiPriority w:val="0"/>
    <w:pPr>
      <w:jc w:val="left"/>
    </w:pPr>
  </w:style>
  <w:style w:type="paragraph" w:styleId="9">
    <w:name w:val="Body Text Indent"/>
    <w:basedOn w:val="1"/>
    <w:qFormat/>
    <w:uiPriority w:val="0"/>
    <w:pPr>
      <w:ind w:firstLine="630"/>
    </w:pPr>
    <w:rPr>
      <w:sz w:val="32"/>
      <w:szCs w:val="20"/>
    </w:rPr>
  </w:style>
  <w:style w:type="paragraph" w:styleId="10">
    <w:name w:val="toc 5"/>
    <w:basedOn w:val="1"/>
    <w:next w:val="1"/>
    <w:qFormat/>
    <w:uiPriority w:val="0"/>
    <w:pPr>
      <w:ind w:left="1680" w:leftChars="800"/>
    </w:pPr>
  </w:style>
  <w:style w:type="paragraph" w:styleId="11">
    <w:name w:val="toc 3"/>
    <w:basedOn w:val="1"/>
    <w:next w:val="1"/>
    <w:qFormat/>
    <w:uiPriority w:val="0"/>
    <w:pPr>
      <w:ind w:left="840" w:leftChars="400"/>
    </w:pPr>
  </w:style>
  <w:style w:type="paragraph" w:styleId="12">
    <w:name w:val="toc 8"/>
    <w:basedOn w:val="1"/>
    <w:next w:val="1"/>
    <w:qFormat/>
    <w:uiPriority w:val="0"/>
    <w:pPr>
      <w:ind w:left="2940" w:leftChars="1400"/>
    </w:pPr>
  </w:style>
  <w:style w:type="paragraph" w:styleId="13">
    <w:name w:val="Balloon Text"/>
    <w:basedOn w:val="1"/>
    <w:link w:val="34"/>
    <w:qFormat/>
    <w:uiPriority w:val="0"/>
    <w:rPr>
      <w:sz w:val="18"/>
      <w:szCs w:val="18"/>
    </w:rPr>
  </w:style>
  <w:style w:type="paragraph" w:styleId="14">
    <w:name w:val="footer"/>
    <w:basedOn w:val="1"/>
    <w:link w:val="35"/>
    <w:qFormat/>
    <w:uiPriority w:val="99"/>
    <w:pPr>
      <w:tabs>
        <w:tab w:val="center" w:pos="4153"/>
        <w:tab w:val="right" w:pos="8306"/>
      </w:tabs>
      <w:snapToGrid w:val="0"/>
      <w:jc w:val="left"/>
    </w:pPr>
    <w:rPr>
      <w:sz w:val="18"/>
      <w:szCs w:val="20"/>
    </w:rPr>
  </w:style>
  <w:style w:type="paragraph" w:styleId="15">
    <w:name w:val="header"/>
    <w:basedOn w:val="1"/>
    <w:link w:val="36"/>
    <w:qFormat/>
    <w:uiPriority w:val="0"/>
    <w:pPr>
      <w:pBdr>
        <w:bottom w:val="single" w:color="auto" w:sz="6" w:space="1"/>
      </w:pBdr>
      <w:tabs>
        <w:tab w:val="center" w:pos="4153"/>
        <w:tab w:val="right" w:pos="8306"/>
      </w:tabs>
      <w:snapToGrid w:val="0"/>
      <w:jc w:val="center"/>
    </w:pPr>
    <w:rPr>
      <w:sz w:val="18"/>
      <w:szCs w:val="20"/>
    </w:rPr>
  </w:style>
  <w:style w:type="paragraph" w:styleId="16">
    <w:name w:val="toc 1"/>
    <w:basedOn w:val="1"/>
    <w:next w:val="1"/>
    <w:qFormat/>
    <w:uiPriority w:val="39"/>
  </w:style>
  <w:style w:type="paragraph" w:styleId="17">
    <w:name w:val="toc 4"/>
    <w:basedOn w:val="1"/>
    <w:next w:val="1"/>
    <w:qFormat/>
    <w:uiPriority w:val="0"/>
    <w:pPr>
      <w:ind w:left="1260" w:leftChars="600"/>
    </w:pPr>
  </w:style>
  <w:style w:type="paragraph" w:styleId="18">
    <w:name w:val="toc 6"/>
    <w:basedOn w:val="1"/>
    <w:next w:val="1"/>
    <w:qFormat/>
    <w:uiPriority w:val="0"/>
    <w:pPr>
      <w:ind w:left="2100" w:leftChars="1000"/>
    </w:pPr>
  </w:style>
  <w:style w:type="paragraph" w:styleId="19">
    <w:name w:val="toc 2"/>
    <w:basedOn w:val="1"/>
    <w:next w:val="1"/>
    <w:qFormat/>
    <w:uiPriority w:val="0"/>
    <w:pPr>
      <w:ind w:left="420" w:leftChars="200"/>
    </w:pPr>
  </w:style>
  <w:style w:type="paragraph" w:styleId="20">
    <w:name w:val="toc 9"/>
    <w:basedOn w:val="1"/>
    <w:next w:val="1"/>
    <w:qFormat/>
    <w:uiPriority w:val="0"/>
    <w:pPr>
      <w:ind w:left="3360" w:leftChars="1600"/>
    </w:pPr>
  </w:style>
  <w:style w:type="paragraph" w:styleId="21">
    <w:name w:val="Normal (Web)"/>
    <w:basedOn w:val="1"/>
    <w:qFormat/>
    <w:uiPriority w:val="0"/>
    <w:pPr>
      <w:widowControl/>
      <w:spacing w:before="100" w:beforeAutospacing="1" w:after="100" w:afterAutospacing="1"/>
      <w:jc w:val="left"/>
    </w:pPr>
    <w:rPr>
      <w:rFonts w:ascii="宋体"/>
      <w:kern w:val="0"/>
      <w:sz w:val="18"/>
      <w:szCs w:val="18"/>
    </w:rPr>
  </w:style>
  <w:style w:type="paragraph" w:styleId="22">
    <w:name w:val="annotation subject"/>
    <w:basedOn w:val="8"/>
    <w:next w:val="8"/>
    <w:link w:val="32"/>
    <w:qFormat/>
    <w:uiPriority w:val="0"/>
    <w:rPr>
      <w:b/>
      <w:bCs/>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qFormat/>
    <w:uiPriority w:val="0"/>
  </w:style>
  <w:style w:type="character" w:styleId="27">
    <w:name w:val="FollowedHyperlink"/>
    <w:basedOn w:val="25"/>
    <w:unhideWhenUsed/>
    <w:qFormat/>
    <w:uiPriority w:val="99"/>
    <w:rPr>
      <w:color w:val="954F72" w:themeColor="followedHyperlink"/>
      <w:u w:val="single"/>
      <w14:textFill>
        <w14:solidFill>
          <w14:schemeClr w14:val="folHlink"/>
        </w14:solidFill>
      </w14:textFill>
    </w:rPr>
  </w:style>
  <w:style w:type="character" w:styleId="28">
    <w:name w:val="Hyperlink"/>
    <w:basedOn w:val="25"/>
    <w:unhideWhenUsed/>
    <w:qFormat/>
    <w:uiPriority w:val="99"/>
    <w:rPr>
      <w:color w:val="0563C1" w:themeColor="hyperlink"/>
      <w:u w:val="single"/>
      <w14:textFill>
        <w14:solidFill>
          <w14:schemeClr w14:val="hlink"/>
        </w14:solidFill>
      </w14:textFill>
    </w:rPr>
  </w:style>
  <w:style w:type="character" w:styleId="29">
    <w:name w:val="annotation reference"/>
    <w:qFormat/>
    <w:uiPriority w:val="99"/>
    <w:rPr>
      <w:sz w:val="21"/>
      <w:szCs w:val="21"/>
    </w:rPr>
  </w:style>
  <w:style w:type="character" w:customStyle="1" w:styleId="30">
    <w:name w:val="标题 1 字符"/>
    <w:link w:val="2"/>
    <w:qFormat/>
    <w:uiPriority w:val="0"/>
    <w:rPr>
      <w:b/>
      <w:bCs/>
      <w:kern w:val="44"/>
      <w:sz w:val="44"/>
      <w:szCs w:val="44"/>
    </w:rPr>
  </w:style>
  <w:style w:type="character" w:customStyle="1" w:styleId="31">
    <w:name w:val="批注文字 字符"/>
    <w:link w:val="8"/>
    <w:qFormat/>
    <w:uiPriority w:val="0"/>
    <w:rPr>
      <w:kern w:val="2"/>
      <w:sz w:val="21"/>
      <w:szCs w:val="24"/>
    </w:rPr>
  </w:style>
  <w:style w:type="character" w:customStyle="1" w:styleId="32">
    <w:name w:val="批注主题 字符"/>
    <w:link w:val="22"/>
    <w:qFormat/>
    <w:uiPriority w:val="0"/>
    <w:rPr>
      <w:b/>
      <w:bCs/>
      <w:kern w:val="2"/>
      <w:sz w:val="21"/>
      <w:szCs w:val="24"/>
    </w:rPr>
  </w:style>
  <w:style w:type="character" w:customStyle="1" w:styleId="33">
    <w:name w:val="文档结构图 字符"/>
    <w:link w:val="7"/>
    <w:qFormat/>
    <w:uiPriority w:val="0"/>
    <w:rPr>
      <w:rFonts w:ascii="宋体"/>
      <w:kern w:val="2"/>
      <w:sz w:val="18"/>
      <w:szCs w:val="18"/>
    </w:rPr>
  </w:style>
  <w:style w:type="character" w:customStyle="1" w:styleId="34">
    <w:name w:val="批注框文本 字符"/>
    <w:link w:val="13"/>
    <w:qFormat/>
    <w:uiPriority w:val="0"/>
    <w:rPr>
      <w:kern w:val="2"/>
      <w:sz w:val="18"/>
      <w:szCs w:val="18"/>
    </w:rPr>
  </w:style>
  <w:style w:type="character" w:customStyle="1" w:styleId="35">
    <w:name w:val="页脚 字符"/>
    <w:link w:val="14"/>
    <w:qFormat/>
    <w:uiPriority w:val="99"/>
    <w:rPr>
      <w:kern w:val="2"/>
      <w:sz w:val="18"/>
    </w:rPr>
  </w:style>
  <w:style w:type="character" w:customStyle="1" w:styleId="36">
    <w:name w:val="页眉 字符"/>
    <w:basedOn w:val="25"/>
    <w:link w:val="15"/>
    <w:qFormat/>
    <w:uiPriority w:val="0"/>
    <w:rPr>
      <w:kern w:val="2"/>
      <w:sz w:val="18"/>
    </w:rPr>
  </w:style>
  <w:style w:type="character" w:customStyle="1" w:styleId="37">
    <w:name w:val="font91"/>
    <w:qFormat/>
    <w:uiPriority w:val="0"/>
    <w:rPr>
      <w:rFonts w:hint="eastAsia" w:ascii="宋体" w:hAnsi="宋体" w:eastAsia="宋体" w:cs="宋体"/>
      <w:color w:val="FF0000"/>
      <w:sz w:val="21"/>
      <w:szCs w:val="21"/>
      <w:u w:val="single"/>
    </w:rPr>
  </w:style>
  <w:style w:type="character" w:customStyle="1" w:styleId="38">
    <w:name w:val="font101"/>
    <w:qFormat/>
    <w:uiPriority w:val="0"/>
    <w:rPr>
      <w:rFonts w:hint="eastAsia" w:ascii="宋体" w:hAnsi="宋体" w:eastAsia="宋体" w:cs="宋体"/>
      <w:color w:val="000000"/>
      <w:sz w:val="21"/>
      <w:szCs w:val="21"/>
      <w:u w:val="single"/>
    </w:rPr>
  </w:style>
  <w:style w:type="character" w:customStyle="1" w:styleId="39">
    <w:name w:val="font111"/>
    <w:qFormat/>
    <w:uiPriority w:val="0"/>
    <w:rPr>
      <w:rFonts w:hint="default" w:ascii="Eʩ" w:hAnsi="Eʩ" w:eastAsia="Eʩ" w:cs="Eʩ"/>
      <w:color w:val="000000"/>
      <w:sz w:val="21"/>
      <w:szCs w:val="21"/>
      <w:u w:val="single"/>
    </w:rPr>
  </w:style>
  <w:style w:type="character" w:customStyle="1" w:styleId="40">
    <w:name w:val="font31"/>
    <w:qFormat/>
    <w:uiPriority w:val="0"/>
    <w:rPr>
      <w:rFonts w:hint="eastAsia" w:ascii="宋体" w:hAnsi="宋体" w:eastAsia="宋体" w:cs="宋体"/>
      <w:color w:val="000000"/>
      <w:sz w:val="21"/>
      <w:szCs w:val="21"/>
      <w:u w:val="none"/>
    </w:rPr>
  </w:style>
  <w:style w:type="paragraph" w:customStyle="1" w:styleId="41">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42">
    <w:name w:val="样式 首行缩进:  2 字符"/>
    <w:basedOn w:val="1"/>
    <w:qFormat/>
    <w:uiPriority w:val="0"/>
    <w:pPr>
      <w:spacing w:line="400" w:lineRule="exact"/>
      <w:ind w:firstLine="200" w:firstLineChars="200"/>
    </w:pPr>
    <w:rPr>
      <w:rFonts w:cs="宋体"/>
      <w:sz w:val="24"/>
    </w:rPr>
  </w:style>
  <w:style w:type="paragraph" w:customStyle="1" w:styleId="43">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44">
    <w:name w:val="正文首行缩进两字符"/>
    <w:basedOn w:val="1"/>
    <w:qFormat/>
    <w:uiPriority w:val="99"/>
    <w:pPr>
      <w:spacing w:line="360" w:lineRule="auto"/>
      <w:ind w:firstLine="200" w:firstLineChars="200"/>
    </w:pPr>
  </w:style>
  <w:style w:type="character" w:customStyle="1" w:styleId="45">
    <w:name w:val="批注文字 Char1"/>
    <w:basedOn w:val="25"/>
    <w:qFormat/>
    <w:uiPriority w:val="0"/>
    <w:rPr>
      <w:rFonts w:ascii="Times New Roman" w:hAnsi="Times New Roman" w:eastAsia="宋体" w:cs="Times New Roman"/>
      <w:szCs w:val="24"/>
    </w:rPr>
  </w:style>
  <w:style w:type="paragraph" w:customStyle="1" w:styleId="46">
    <w:name w:val="修订1"/>
    <w:hidden/>
    <w:unhideWhenUsed/>
    <w:qFormat/>
    <w:uiPriority w:val="99"/>
    <w:rPr>
      <w:rFonts w:ascii="Calibri" w:hAnsi="Calibri" w:eastAsia="宋体" w:cs="Times New Roman"/>
      <w:kern w:val="2"/>
      <w:sz w:val="21"/>
      <w:szCs w:val="24"/>
      <w:lang w:val="en-US" w:eastAsia="zh-CN" w:bidi="ar-SA"/>
    </w:rPr>
  </w:style>
  <w:style w:type="paragraph" w:customStyle="1" w:styleId="47">
    <w:name w:val="列表段落1"/>
    <w:basedOn w:val="1"/>
    <w:unhideWhenUsed/>
    <w:qFormat/>
    <w:uiPriority w:val="99"/>
    <w:pPr>
      <w:ind w:firstLine="420" w:firstLineChars="200"/>
    </w:pPr>
  </w:style>
  <w:style w:type="paragraph" w:customStyle="1" w:styleId="48">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49">
    <w:name w:val="列出段落2"/>
    <w:basedOn w:val="1"/>
    <w:qFormat/>
    <w:uiPriority w:val="99"/>
    <w:pPr>
      <w:spacing w:after="0" w:line="240" w:lineRule="auto"/>
      <w:ind w:firstLine="420" w:firstLineChars="200"/>
    </w:pPr>
    <w:rPr>
      <w:rFonts w:cs="Calibri"/>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3A369B-DF2F-41A8-9CBC-5FC29F2604CF}">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137</Pages>
  <Words>11200</Words>
  <Characters>63841</Characters>
  <Lines>532</Lines>
  <Paragraphs>149</Paragraphs>
  <TotalTime>3</TotalTime>
  <ScaleCrop>false</ScaleCrop>
  <LinksUpToDate>false</LinksUpToDate>
  <CharactersWithSpaces>74892</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2020-12-31T03:40:00Z</dcterms:created>
  <dc:creator>Administrator</dc:creator>
  <cp:lastModifiedBy>Administrator</cp:lastModifiedBy>
  <dcterms:modified xsi:type="dcterms:W3CDTF">2021-06-15T07:10:07Z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y fmtid="{D5CDD505-2E9C-101B-9397-08002B2CF9AE}" pid="3" name="ICV">
    <vt:lpwstr>1588D0FCE17F4CF990D1CB659FFB4517</vt:lpwstr>
  </property>
</Properties>
</file>