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00" w:lineRule="exact"/>
        <w:rPr>
          <w:b/>
          <w:sz w:val="30"/>
          <w:szCs w:val="30"/>
          <w:highlight w:val="none"/>
        </w:rPr>
      </w:pPr>
      <w:r>
        <w:rPr>
          <w:highlight w:val="none"/>
        </w:rPr>
        <w:drawing>
          <wp:anchor distT="0" distB="0" distL="114300" distR="114300" simplePos="0" relativeHeight="251665408" behindDoc="0" locked="0" layoutInCell="1" allowOverlap="1">
            <wp:simplePos x="0" y="0"/>
            <wp:positionH relativeFrom="column">
              <wp:posOffset>4561840</wp:posOffset>
            </wp:positionH>
            <wp:positionV relativeFrom="paragraph">
              <wp:posOffset>-97155</wp:posOffset>
            </wp:positionV>
            <wp:extent cx="1144905" cy="898525"/>
            <wp:effectExtent l="0" t="0" r="13335" b="635"/>
            <wp:wrapNone/>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3"/>
                    <a:stretch>
                      <a:fillRect/>
                    </a:stretch>
                  </pic:blipFill>
                  <pic:spPr>
                    <a:xfrm>
                      <a:off x="0" y="0"/>
                      <a:ext cx="1144905" cy="898525"/>
                    </a:xfrm>
                    <a:prstGeom prst="rect">
                      <a:avLst/>
                    </a:prstGeom>
                    <a:noFill/>
                    <a:ln w="9525">
                      <a:noFill/>
                    </a:ln>
                  </pic:spPr>
                </pic:pic>
              </a:graphicData>
            </a:graphic>
          </wp:anchor>
        </w:drawing>
      </w:r>
    </w:p>
    <w:p>
      <w:pPr>
        <w:spacing w:line="500" w:lineRule="exact"/>
        <w:ind w:firstLine="1807" w:firstLineChars="600"/>
        <w:rPr>
          <w:b/>
          <w:sz w:val="30"/>
          <w:szCs w:val="30"/>
          <w:highlight w:val="none"/>
        </w:rPr>
      </w:pPr>
    </w:p>
    <w:p>
      <w:pPr>
        <w:spacing w:line="500" w:lineRule="exact"/>
        <w:rPr>
          <w:b/>
          <w:sz w:val="36"/>
          <w:szCs w:val="36"/>
          <w:highlight w:val="none"/>
        </w:rPr>
      </w:pPr>
      <w:r>
        <w:rPr>
          <w:rFonts w:hint="eastAsia"/>
          <w:b/>
          <w:sz w:val="30"/>
          <w:szCs w:val="30"/>
          <w:highlight w:val="none"/>
        </w:rPr>
        <w:t xml:space="preserve">                招标编号：scby-cd-zc-2021290</w:t>
      </w:r>
    </w:p>
    <w:p>
      <w:pPr>
        <w:pStyle w:val="2"/>
        <w:rPr>
          <w:b/>
          <w:sz w:val="36"/>
          <w:szCs w:val="36"/>
          <w:highlight w:val="none"/>
        </w:rPr>
      </w:pPr>
    </w:p>
    <w:p>
      <w:pPr>
        <w:spacing w:line="500" w:lineRule="exact"/>
        <w:jc w:val="center"/>
        <w:rPr>
          <w:b/>
          <w:sz w:val="48"/>
          <w:szCs w:val="48"/>
          <w:highlight w:val="none"/>
        </w:rPr>
      </w:pPr>
      <w:r>
        <w:rPr>
          <w:rFonts w:hint="eastAsia"/>
          <w:b/>
          <w:sz w:val="48"/>
          <w:szCs w:val="48"/>
          <w:highlight w:val="none"/>
        </w:rPr>
        <w:t>成都市殡仪馆殡仪服务成本（墓材）采购项目</w:t>
      </w:r>
    </w:p>
    <w:p>
      <w:pPr>
        <w:pStyle w:val="2"/>
        <w:rPr>
          <w:sz w:val="48"/>
          <w:szCs w:val="48"/>
          <w:highlight w:val="none"/>
        </w:rPr>
      </w:pPr>
    </w:p>
    <w:p>
      <w:pPr>
        <w:tabs>
          <w:tab w:val="left" w:pos="2505"/>
          <w:tab w:val="center" w:pos="4204"/>
        </w:tabs>
        <w:spacing w:line="360" w:lineRule="auto"/>
        <w:jc w:val="center"/>
        <w:rPr>
          <w:b/>
          <w:sz w:val="84"/>
          <w:szCs w:val="84"/>
          <w:highlight w:val="none"/>
        </w:rPr>
      </w:pPr>
      <w:r>
        <w:rPr>
          <w:rFonts w:hint="eastAsia"/>
          <w:b/>
          <w:sz w:val="84"/>
          <w:szCs w:val="84"/>
          <w:highlight w:val="none"/>
        </w:rPr>
        <w:t>招</w:t>
      </w:r>
    </w:p>
    <w:p>
      <w:pPr>
        <w:spacing w:line="360" w:lineRule="auto"/>
        <w:jc w:val="center"/>
        <w:rPr>
          <w:sz w:val="84"/>
          <w:szCs w:val="84"/>
          <w:highlight w:val="none"/>
        </w:rPr>
      </w:pPr>
      <w:r>
        <w:rPr>
          <w:rFonts w:hint="eastAsia"/>
          <w:b/>
          <w:sz w:val="84"/>
          <w:szCs w:val="84"/>
          <w:highlight w:val="none"/>
        </w:rPr>
        <w:t>标</w:t>
      </w:r>
    </w:p>
    <w:p>
      <w:pPr>
        <w:spacing w:line="360" w:lineRule="auto"/>
        <w:jc w:val="center"/>
        <w:rPr>
          <w:sz w:val="84"/>
          <w:szCs w:val="84"/>
          <w:highlight w:val="none"/>
        </w:rPr>
      </w:pPr>
      <w:r>
        <w:rPr>
          <w:rFonts w:hint="eastAsia"/>
          <w:b/>
          <w:sz w:val="84"/>
          <w:szCs w:val="84"/>
          <w:highlight w:val="none"/>
        </w:rPr>
        <w:t>文</w:t>
      </w:r>
    </w:p>
    <w:p>
      <w:pPr>
        <w:spacing w:line="360" w:lineRule="auto"/>
        <w:jc w:val="center"/>
        <w:rPr>
          <w:b/>
          <w:sz w:val="84"/>
          <w:szCs w:val="84"/>
          <w:highlight w:val="none"/>
        </w:rPr>
      </w:pPr>
      <w:r>
        <w:rPr>
          <w:rFonts w:hint="eastAsia"/>
          <w:b/>
          <w:sz w:val="84"/>
          <w:szCs w:val="84"/>
          <w:highlight w:val="none"/>
        </w:rPr>
        <w:t>件</w:t>
      </w:r>
    </w:p>
    <w:p>
      <w:pPr>
        <w:spacing w:line="500" w:lineRule="exact"/>
        <w:jc w:val="center"/>
        <w:rPr>
          <w:b/>
          <w:sz w:val="32"/>
          <w:szCs w:val="32"/>
          <w:highlight w:val="none"/>
        </w:rPr>
      </w:pPr>
      <w:r>
        <w:rPr>
          <w:rFonts w:hint="eastAsia"/>
          <w:b/>
          <w:sz w:val="32"/>
          <w:szCs w:val="32"/>
          <w:highlight w:val="none"/>
        </w:rPr>
        <w:t>成都市殡仪馆</w:t>
      </w:r>
    </w:p>
    <w:p>
      <w:pPr>
        <w:spacing w:line="500" w:lineRule="exact"/>
        <w:jc w:val="center"/>
        <w:rPr>
          <w:b/>
          <w:sz w:val="32"/>
          <w:szCs w:val="32"/>
          <w:highlight w:val="none"/>
        </w:rPr>
      </w:pPr>
      <w:r>
        <w:rPr>
          <w:rFonts w:hint="eastAsia"/>
          <w:b/>
          <w:sz w:val="32"/>
          <w:szCs w:val="32"/>
          <w:highlight w:val="none"/>
        </w:rPr>
        <w:t>四川标源招标代理有限公司</w:t>
      </w:r>
    </w:p>
    <w:p>
      <w:pPr>
        <w:spacing w:line="500" w:lineRule="exact"/>
        <w:jc w:val="center"/>
        <w:rPr>
          <w:b/>
          <w:sz w:val="32"/>
          <w:szCs w:val="32"/>
          <w:highlight w:val="none"/>
        </w:rPr>
      </w:pPr>
      <w:r>
        <w:rPr>
          <w:rFonts w:hint="eastAsia"/>
          <w:b/>
          <w:sz w:val="32"/>
          <w:szCs w:val="32"/>
          <w:highlight w:val="none"/>
        </w:rPr>
        <w:t>共同编制</w:t>
      </w:r>
    </w:p>
    <w:p>
      <w:pPr>
        <w:pStyle w:val="2"/>
        <w:jc w:val="center"/>
        <w:rPr>
          <w:highlight w:val="none"/>
        </w:rPr>
      </w:pPr>
      <w:r>
        <w:rPr>
          <w:rFonts w:hint="eastAsia" w:hAnsi="宋体" w:cs="宋体"/>
          <w:b/>
          <w:sz w:val="32"/>
          <w:szCs w:val="32"/>
          <w:highlight w:val="none"/>
        </w:rPr>
        <w:t>中国·四川·（成都）</w:t>
      </w:r>
    </w:p>
    <w:p>
      <w:pPr>
        <w:spacing w:line="500" w:lineRule="exact"/>
        <w:jc w:val="center"/>
        <w:rPr>
          <w:b/>
          <w:bCs/>
          <w:sz w:val="32"/>
          <w:szCs w:val="32"/>
          <w:highlight w:val="none"/>
          <w:lang w:val="zh-CN"/>
        </w:rPr>
      </w:pPr>
      <w:r>
        <w:rPr>
          <w:rFonts w:hint="eastAsia"/>
          <w:b/>
          <w:sz w:val="30"/>
          <w:szCs w:val="30"/>
          <w:highlight w:val="none"/>
        </w:rPr>
        <w:t>2021</w:t>
      </w:r>
      <w:r>
        <w:rPr>
          <w:b/>
          <w:bCs/>
          <w:sz w:val="32"/>
          <w:szCs w:val="32"/>
          <w:highlight w:val="none"/>
          <w:lang w:val="zh-CN"/>
        </w:rPr>
        <w:t>年</w:t>
      </w:r>
      <w:r>
        <w:rPr>
          <w:rFonts w:hint="eastAsia"/>
          <w:b/>
          <w:bCs/>
          <w:sz w:val="32"/>
          <w:szCs w:val="32"/>
          <w:highlight w:val="none"/>
        </w:rPr>
        <w:t>7</w:t>
      </w:r>
      <w:r>
        <w:rPr>
          <w:b/>
          <w:bCs/>
          <w:sz w:val="32"/>
          <w:szCs w:val="32"/>
          <w:highlight w:val="none"/>
          <w:lang w:val="zh-CN"/>
        </w:rPr>
        <w:t>月</w:t>
      </w:r>
    </w:p>
    <w:p>
      <w:pPr>
        <w:spacing w:line="500" w:lineRule="exact"/>
        <w:rPr>
          <w:sz w:val="32"/>
          <w:highlight w:val="none"/>
        </w:rPr>
      </w:pPr>
    </w:p>
    <w:p>
      <w:pPr>
        <w:pStyle w:val="18"/>
        <w:spacing w:before="480" w:after="480"/>
        <w:rPr>
          <w:highlight w:val="none"/>
        </w:rPr>
        <w:sectPr>
          <w:headerReference r:id="rId5" w:type="first"/>
          <w:footerReference r:id="rId8" w:type="first"/>
          <w:headerReference r:id="rId3" w:type="default"/>
          <w:footerReference r:id="rId6" w:type="default"/>
          <w:headerReference r:id="rId4" w:type="even"/>
          <w:footerReference r:id="rId7" w:type="even"/>
          <w:type w:val="nextColumn"/>
          <w:pgSz w:w="11907" w:h="16840"/>
          <w:pgMar w:top="1361" w:right="1361" w:bottom="1418" w:left="1474" w:header="851" w:footer="992" w:gutter="0"/>
          <w:pgNumType w:start="1"/>
          <w:cols w:space="720" w:num="1"/>
          <w:titlePg/>
          <w:docGrid w:linePitch="312" w:charSpace="0"/>
        </w:sectPr>
      </w:pPr>
    </w:p>
    <w:p>
      <w:pPr>
        <w:pStyle w:val="4"/>
        <w:tabs>
          <w:tab w:val="left" w:pos="680"/>
        </w:tabs>
        <w:spacing w:line="500" w:lineRule="exact"/>
        <w:jc w:val="center"/>
        <w:rPr>
          <w:rFonts w:ascii="宋体" w:eastAsia="宋体"/>
          <w:bCs w:val="0"/>
          <w:sz w:val="36"/>
          <w:highlight w:val="none"/>
        </w:rPr>
      </w:pPr>
      <w:r>
        <w:rPr>
          <w:rFonts w:hint="eastAsia" w:ascii="宋体" w:eastAsia="宋体"/>
          <w:bCs w:val="0"/>
          <w:sz w:val="36"/>
          <w:highlight w:val="none"/>
        </w:rPr>
        <w:t>目    录</w:t>
      </w:r>
    </w:p>
    <w:p>
      <w:pPr>
        <w:pStyle w:val="18"/>
        <w:tabs>
          <w:tab w:val="right" w:leader="dot" w:pos="9062"/>
        </w:tabs>
        <w:rPr>
          <w:rFonts w:asciiTheme="minorEastAsia" w:hAnsiTheme="minorEastAsia" w:eastAsiaTheme="minorEastAsia" w:cstheme="minorBidi"/>
          <w:b w:val="0"/>
          <w:bCs w:val="0"/>
          <w:caps w:val="0"/>
          <w:kern w:val="2"/>
          <w:sz w:val="28"/>
          <w:szCs w:val="28"/>
          <w:highlight w:val="none"/>
        </w:rPr>
      </w:pPr>
      <w:r>
        <w:rPr>
          <w:rFonts w:asciiTheme="minorEastAsia" w:hAnsiTheme="minorEastAsia" w:eastAsiaTheme="minorEastAsia"/>
          <w:b w:val="0"/>
          <w:bCs w:val="0"/>
          <w:caps w:val="0"/>
          <w:sz w:val="28"/>
          <w:szCs w:val="28"/>
          <w:highlight w:val="none"/>
        </w:rPr>
        <w:fldChar w:fldCharType="begin"/>
      </w:r>
      <w:r>
        <w:rPr>
          <w:rFonts w:hint="eastAsia" w:asciiTheme="minorEastAsia" w:hAnsiTheme="minorEastAsia" w:eastAsiaTheme="minorEastAsia"/>
          <w:b w:val="0"/>
          <w:bCs w:val="0"/>
          <w:caps w:val="0"/>
          <w:sz w:val="28"/>
          <w:szCs w:val="28"/>
          <w:highlight w:val="none"/>
        </w:rPr>
        <w:instrText xml:space="preserve">TOC \o "1-1" \h \z \u</w:instrText>
      </w:r>
      <w:r>
        <w:rPr>
          <w:rFonts w:asciiTheme="minorEastAsia" w:hAnsiTheme="minorEastAsia" w:eastAsiaTheme="minorEastAsia"/>
          <w:b w:val="0"/>
          <w:bCs w:val="0"/>
          <w:caps w:val="0"/>
          <w:sz w:val="28"/>
          <w:szCs w:val="28"/>
          <w:highlight w:val="none"/>
        </w:rPr>
        <w:fldChar w:fldCharType="separate"/>
      </w:r>
      <w:r>
        <w:rPr>
          <w:highlight w:val="none"/>
        </w:rPr>
        <w:fldChar w:fldCharType="begin"/>
      </w:r>
      <w:r>
        <w:rPr>
          <w:highlight w:val="none"/>
        </w:rPr>
        <w:instrText xml:space="preserve"> HYPERLINK \l "_Toc69980127" </w:instrText>
      </w:r>
      <w:r>
        <w:rPr>
          <w:highlight w:val="none"/>
        </w:rPr>
        <w:fldChar w:fldCharType="separate"/>
      </w:r>
      <w:r>
        <w:rPr>
          <w:rStyle w:val="32"/>
          <w:rFonts w:hint="eastAsia" w:asciiTheme="minorEastAsia" w:hAnsiTheme="minorEastAsia" w:eastAsiaTheme="minorEastAsia"/>
          <w:b w:val="0"/>
          <w:color w:val="auto"/>
          <w:sz w:val="28"/>
          <w:szCs w:val="28"/>
          <w:highlight w:val="none"/>
        </w:rPr>
        <w:t>第一章投标邀请</w:t>
      </w:r>
      <w:r>
        <w:rPr>
          <w:rFonts w:asciiTheme="minorEastAsia" w:hAnsiTheme="minorEastAsia" w:eastAsiaTheme="minorEastAsia"/>
          <w:b w:val="0"/>
          <w:sz w:val="28"/>
          <w:szCs w:val="28"/>
          <w:highlight w:val="none"/>
        </w:rPr>
        <w:tab/>
      </w:r>
      <w:r>
        <w:rPr>
          <w:rFonts w:asciiTheme="minorEastAsia" w:hAnsiTheme="minorEastAsia" w:eastAsiaTheme="minorEastAsia"/>
          <w:b w:val="0"/>
          <w:sz w:val="28"/>
          <w:szCs w:val="28"/>
          <w:highlight w:val="none"/>
        </w:rPr>
        <w:fldChar w:fldCharType="begin"/>
      </w:r>
      <w:r>
        <w:rPr>
          <w:rFonts w:asciiTheme="minorEastAsia" w:hAnsiTheme="minorEastAsia" w:eastAsiaTheme="minorEastAsia"/>
          <w:b w:val="0"/>
          <w:sz w:val="28"/>
          <w:szCs w:val="28"/>
          <w:highlight w:val="none"/>
        </w:rPr>
        <w:instrText xml:space="preserve"> PAGEREF _Toc69980127 \h </w:instrText>
      </w:r>
      <w:r>
        <w:rPr>
          <w:rFonts w:asciiTheme="minorEastAsia" w:hAnsiTheme="minorEastAsia" w:eastAsiaTheme="minorEastAsia"/>
          <w:b w:val="0"/>
          <w:sz w:val="28"/>
          <w:szCs w:val="28"/>
          <w:highlight w:val="none"/>
        </w:rPr>
        <w:fldChar w:fldCharType="separate"/>
      </w:r>
      <w:r>
        <w:rPr>
          <w:rFonts w:asciiTheme="minorEastAsia" w:hAnsiTheme="minorEastAsia" w:eastAsiaTheme="minorEastAsia"/>
          <w:b w:val="0"/>
          <w:sz w:val="28"/>
          <w:szCs w:val="28"/>
          <w:highlight w:val="none"/>
        </w:rPr>
        <w:t>3</w:t>
      </w:r>
      <w:r>
        <w:rPr>
          <w:rFonts w:asciiTheme="minorEastAsia" w:hAnsiTheme="minorEastAsia" w:eastAsiaTheme="minorEastAsia"/>
          <w:b w:val="0"/>
          <w:sz w:val="28"/>
          <w:szCs w:val="28"/>
          <w:highlight w:val="none"/>
        </w:rPr>
        <w:fldChar w:fldCharType="end"/>
      </w:r>
      <w:r>
        <w:rPr>
          <w:rFonts w:asciiTheme="minorEastAsia" w:hAnsiTheme="minorEastAsia" w:eastAsiaTheme="minorEastAsia"/>
          <w:b w:val="0"/>
          <w:sz w:val="28"/>
          <w:szCs w:val="28"/>
          <w:highlight w:val="none"/>
        </w:rPr>
        <w:fldChar w:fldCharType="end"/>
      </w:r>
    </w:p>
    <w:p>
      <w:pPr>
        <w:pStyle w:val="18"/>
        <w:tabs>
          <w:tab w:val="right" w:leader="dot" w:pos="9062"/>
        </w:tabs>
        <w:rPr>
          <w:rFonts w:asciiTheme="minorEastAsia" w:hAnsiTheme="minorEastAsia" w:eastAsiaTheme="minorEastAsia" w:cstheme="minorBidi"/>
          <w:b w:val="0"/>
          <w:bCs w:val="0"/>
          <w:caps w:val="0"/>
          <w:kern w:val="2"/>
          <w:sz w:val="28"/>
          <w:szCs w:val="28"/>
          <w:highlight w:val="none"/>
        </w:rPr>
      </w:pPr>
      <w:r>
        <w:rPr>
          <w:highlight w:val="none"/>
        </w:rPr>
        <w:fldChar w:fldCharType="begin"/>
      </w:r>
      <w:r>
        <w:rPr>
          <w:highlight w:val="none"/>
        </w:rPr>
        <w:instrText xml:space="preserve"> HYPERLINK \l "_Toc69980128" </w:instrText>
      </w:r>
      <w:r>
        <w:rPr>
          <w:highlight w:val="none"/>
        </w:rPr>
        <w:fldChar w:fldCharType="separate"/>
      </w:r>
      <w:r>
        <w:rPr>
          <w:rStyle w:val="32"/>
          <w:rFonts w:hint="eastAsia" w:asciiTheme="minorEastAsia" w:hAnsiTheme="minorEastAsia" w:eastAsiaTheme="minorEastAsia"/>
          <w:b w:val="0"/>
          <w:color w:val="auto"/>
          <w:sz w:val="28"/>
          <w:szCs w:val="28"/>
          <w:highlight w:val="none"/>
        </w:rPr>
        <w:t>第二章投标人须知</w:t>
      </w:r>
      <w:r>
        <w:rPr>
          <w:rFonts w:asciiTheme="minorEastAsia" w:hAnsiTheme="minorEastAsia" w:eastAsiaTheme="minorEastAsia"/>
          <w:b w:val="0"/>
          <w:sz w:val="28"/>
          <w:szCs w:val="28"/>
          <w:highlight w:val="none"/>
        </w:rPr>
        <w:tab/>
      </w:r>
      <w:r>
        <w:rPr>
          <w:rFonts w:asciiTheme="minorEastAsia" w:hAnsiTheme="minorEastAsia" w:eastAsiaTheme="minorEastAsia"/>
          <w:b w:val="0"/>
          <w:sz w:val="28"/>
          <w:szCs w:val="28"/>
          <w:highlight w:val="none"/>
        </w:rPr>
        <w:fldChar w:fldCharType="begin"/>
      </w:r>
      <w:r>
        <w:rPr>
          <w:rFonts w:asciiTheme="minorEastAsia" w:hAnsiTheme="minorEastAsia" w:eastAsiaTheme="minorEastAsia"/>
          <w:b w:val="0"/>
          <w:sz w:val="28"/>
          <w:szCs w:val="28"/>
          <w:highlight w:val="none"/>
        </w:rPr>
        <w:instrText xml:space="preserve"> PAGEREF _Toc69980128 \h </w:instrText>
      </w:r>
      <w:r>
        <w:rPr>
          <w:rFonts w:asciiTheme="minorEastAsia" w:hAnsiTheme="minorEastAsia" w:eastAsiaTheme="minorEastAsia"/>
          <w:b w:val="0"/>
          <w:sz w:val="28"/>
          <w:szCs w:val="28"/>
          <w:highlight w:val="none"/>
        </w:rPr>
        <w:fldChar w:fldCharType="separate"/>
      </w:r>
      <w:r>
        <w:rPr>
          <w:rFonts w:asciiTheme="minorEastAsia" w:hAnsiTheme="minorEastAsia" w:eastAsiaTheme="minorEastAsia"/>
          <w:b w:val="0"/>
          <w:sz w:val="28"/>
          <w:szCs w:val="28"/>
          <w:highlight w:val="none"/>
        </w:rPr>
        <w:t>7</w:t>
      </w:r>
      <w:r>
        <w:rPr>
          <w:rFonts w:asciiTheme="minorEastAsia" w:hAnsiTheme="minorEastAsia" w:eastAsiaTheme="minorEastAsia"/>
          <w:b w:val="0"/>
          <w:sz w:val="28"/>
          <w:szCs w:val="28"/>
          <w:highlight w:val="none"/>
        </w:rPr>
        <w:fldChar w:fldCharType="end"/>
      </w:r>
      <w:r>
        <w:rPr>
          <w:rFonts w:asciiTheme="minorEastAsia" w:hAnsiTheme="minorEastAsia" w:eastAsiaTheme="minorEastAsia"/>
          <w:b w:val="0"/>
          <w:sz w:val="28"/>
          <w:szCs w:val="28"/>
          <w:highlight w:val="none"/>
        </w:rPr>
        <w:fldChar w:fldCharType="end"/>
      </w:r>
    </w:p>
    <w:p>
      <w:pPr>
        <w:pStyle w:val="18"/>
        <w:tabs>
          <w:tab w:val="right" w:leader="dot" w:pos="9062"/>
        </w:tabs>
        <w:rPr>
          <w:rFonts w:asciiTheme="minorEastAsia" w:hAnsiTheme="minorEastAsia" w:eastAsiaTheme="minorEastAsia" w:cstheme="minorBidi"/>
          <w:b w:val="0"/>
          <w:bCs w:val="0"/>
          <w:caps w:val="0"/>
          <w:kern w:val="2"/>
          <w:sz w:val="28"/>
          <w:szCs w:val="28"/>
          <w:highlight w:val="none"/>
        </w:rPr>
      </w:pPr>
      <w:r>
        <w:rPr>
          <w:highlight w:val="none"/>
        </w:rPr>
        <w:fldChar w:fldCharType="begin"/>
      </w:r>
      <w:r>
        <w:rPr>
          <w:highlight w:val="none"/>
        </w:rPr>
        <w:instrText xml:space="preserve"> HYPERLINK \l "_Toc69980129" </w:instrText>
      </w:r>
      <w:r>
        <w:rPr>
          <w:highlight w:val="none"/>
        </w:rPr>
        <w:fldChar w:fldCharType="separate"/>
      </w:r>
      <w:r>
        <w:rPr>
          <w:rStyle w:val="32"/>
          <w:rFonts w:hint="eastAsia" w:asciiTheme="minorEastAsia" w:hAnsiTheme="minorEastAsia" w:eastAsiaTheme="minorEastAsia"/>
          <w:b w:val="0"/>
          <w:color w:val="auto"/>
          <w:sz w:val="28"/>
          <w:szCs w:val="28"/>
          <w:highlight w:val="none"/>
        </w:rPr>
        <w:t>第三章投标文件格式</w:t>
      </w:r>
      <w:r>
        <w:rPr>
          <w:rFonts w:asciiTheme="minorEastAsia" w:hAnsiTheme="minorEastAsia" w:eastAsiaTheme="minorEastAsia"/>
          <w:b w:val="0"/>
          <w:sz w:val="28"/>
          <w:szCs w:val="28"/>
          <w:highlight w:val="none"/>
        </w:rPr>
        <w:tab/>
      </w:r>
      <w:r>
        <w:rPr>
          <w:rFonts w:asciiTheme="minorEastAsia" w:hAnsiTheme="minorEastAsia" w:eastAsiaTheme="minorEastAsia"/>
          <w:b w:val="0"/>
          <w:sz w:val="28"/>
          <w:szCs w:val="28"/>
          <w:highlight w:val="none"/>
        </w:rPr>
        <w:fldChar w:fldCharType="begin"/>
      </w:r>
      <w:r>
        <w:rPr>
          <w:rFonts w:asciiTheme="minorEastAsia" w:hAnsiTheme="minorEastAsia" w:eastAsiaTheme="minorEastAsia"/>
          <w:b w:val="0"/>
          <w:sz w:val="28"/>
          <w:szCs w:val="28"/>
          <w:highlight w:val="none"/>
        </w:rPr>
        <w:instrText xml:space="preserve"> PAGEREF _Toc69980129 \h </w:instrText>
      </w:r>
      <w:r>
        <w:rPr>
          <w:rFonts w:asciiTheme="minorEastAsia" w:hAnsiTheme="minorEastAsia" w:eastAsiaTheme="minorEastAsia"/>
          <w:b w:val="0"/>
          <w:sz w:val="28"/>
          <w:szCs w:val="28"/>
          <w:highlight w:val="none"/>
        </w:rPr>
        <w:fldChar w:fldCharType="separate"/>
      </w:r>
      <w:r>
        <w:rPr>
          <w:rFonts w:asciiTheme="minorEastAsia" w:hAnsiTheme="minorEastAsia" w:eastAsiaTheme="minorEastAsia"/>
          <w:b w:val="0"/>
          <w:sz w:val="28"/>
          <w:szCs w:val="28"/>
          <w:highlight w:val="none"/>
        </w:rPr>
        <w:t>28</w:t>
      </w:r>
      <w:r>
        <w:rPr>
          <w:rFonts w:asciiTheme="minorEastAsia" w:hAnsiTheme="minorEastAsia" w:eastAsiaTheme="minorEastAsia"/>
          <w:b w:val="0"/>
          <w:sz w:val="28"/>
          <w:szCs w:val="28"/>
          <w:highlight w:val="none"/>
        </w:rPr>
        <w:fldChar w:fldCharType="end"/>
      </w:r>
      <w:r>
        <w:rPr>
          <w:rFonts w:asciiTheme="minorEastAsia" w:hAnsiTheme="minorEastAsia" w:eastAsiaTheme="minorEastAsia"/>
          <w:b w:val="0"/>
          <w:sz w:val="28"/>
          <w:szCs w:val="28"/>
          <w:highlight w:val="none"/>
        </w:rPr>
        <w:fldChar w:fldCharType="end"/>
      </w:r>
    </w:p>
    <w:p>
      <w:pPr>
        <w:pStyle w:val="18"/>
        <w:tabs>
          <w:tab w:val="right" w:leader="dot" w:pos="9062"/>
        </w:tabs>
        <w:rPr>
          <w:rFonts w:asciiTheme="minorEastAsia" w:hAnsiTheme="minorEastAsia" w:eastAsiaTheme="minorEastAsia" w:cstheme="minorBidi"/>
          <w:b w:val="0"/>
          <w:bCs w:val="0"/>
          <w:caps w:val="0"/>
          <w:kern w:val="2"/>
          <w:sz w:val="28"/>
          <w:szCs w:val="28"/>
          <w:highlight w:val="none"/>
        </w:rPr>
      </w:pPr>
      <w:r>
        <w:rPr>
          <w:highlight w:val="none"/>
        </w:rPr>
        <w:fldChar w:fldCharType="begin"/>
      </w:r>
      <w:r>
        <w:rPr>
          <w:highlight w:val="none"/>
        </w:rPr>
        <w:instrText xml:space="preserve"> HYPERLINK \l "_Toc69980130" </w:instrText>
      </w:r>
      <w:r>
        <w:rPr>
          <w:highlight w:val="none"/>
        </w:rPr>
        <w:fldChar w:fldCharType="separate"/>
      </w:r>
      <w:r>
        <w:rPr>
          <w:rStyle w:val="32"/>
          <w:rFonts w:hint="eastAsia" w:asciiTheme="minorEastAsia" w:hAnsiTheme="minorEastAsia" w:eastAsiaTheme="minorEastAsia"/>
          <w:b w:val="0"/>
          <w:color w:val="auto"/>
          <w:sz w:val="28"/>
          <w:szCs w:val="28"/>
          <w:highlight w:val="none"/>
        </w:rPr>
        <w:t>第四章 投标人和投标产品的资格、资质性及其他类似效力要求</w:t>
      </w:r>
      <w:r>
        <w:rPr>
          <w:rFonts w:asciiTheme="minorEastAsia" w:hAnsiTheme="minorEastAsia" w:eastAsiaTheme="minorEastAsia"/>
          <w:b w:val="0"/>
          <w:sz w:val="28"/>
          <w:szCs w:val="28"/>
          <w:highlight w:val="none"/>
        </w:rPr>
        <w:tab/>
      </w:r>
      <w:r>
        <w:rPr>
          <w:rFonts w:asciiTheme="minorEastAsia" w:hAnsiTheme="minorEastAsia" w:eastAsiaTheme="minorEastAsia"/>
          <w:b w:val="0"/>
          <w:sz w:val="28"/>
          <w:szCs w:val="28"/>
          <w:highlight w:val="none"/>
        </w:rPr>
        <w:fldChar w:fldCharType="begin"/>
      </w:r>
      <w:r>
        <w:rPr>
          <w:rFonts w:asciiTheme="minorEastAsia" w:hAnsiTheme="minorEastAsia" w:eastAsiaTheme="minorEastAsia"/>
          <w:b w:val="0"/>
          <w:sz w:val="28"/>
          <w:szCs w:val="28"/>
          <w:highlight w:val="none"/>
        </w:rPr>
        <w:instrText xml:space="preserve"> PAGEREF _Toc69980130 \h </w:instrText>
      </w:r>
      <w:r>
        <w:rPr>
          <w:rFonts w:asciiTheme="minorEastAsia" w:hAnsiTheme="minorEastAsia" w:eastAsiaTheme="minorEastAsia"/>
          <w:b w:val="0"/>
          <w:sz w:val="28"/>
          <w:szCs w:val="28"/>
          <w:highlight w:val="none"/>
        </w:rPr>
        <w:fldChar w:fldCharType="separate"/>
      </w:r>
      <w:r>
        <w:rPr>
          <w:rFonts w:asciiTheme="minorEastAsia" w:hAnsiTheme="minorEastAsia" w:eastAsiaTheme="minorEastAsia"/>
          <w:b w:val="0"/>
          <w:sz w:val="28"/>
          <w:szCs w:val="28"/>
          <w:highlight w:val="none"/>
        </w:rPr>
        <w:t>42</w:t>
      </w:r>
      <w:r>
        <w:rPr>
          <w:rFonts w:asciiTheme="minorEastAsia" w:hAnsiTheme="minorEastAsia" w:eastAsiaTheme="minorEastAsia"/>
          <w:b w:val="0"/>
          <w:sz w:val="28"/>
          <w:szCs w:val="28"/>
          <w:highlight w:val="none"/>
        </w:rPr>
        <w:fldChar w:fldCharType="end"/>
      </w:r>
      <w:r>
        <w:rPr>
          <w:rFonts w:asciiTheme="minorEastAsia" w:hAnsiTheme="minorEastAsia" w:eastAsiaTheme="minorEastAsia"/>
          <w:b w:val="0"/>
          <w:sz w:val="28"/>
          <w:szCs w:val="28"/>
          <w:highlight w:val="none"/>
        </w:rPr>
        <w:fldChar w:fldCharType="end"/>
      </w:r>
    </w:p>
    <w:p>
      <w:pPr>
        <w:pStyle w:val="18"/>
        <w:tabs>
          <w:tab w:val="right" w:leader="dot" w:pos="9062"/>
        </w:tabs>
        <w:rPr>
          <w:rFonts w:asciiTheme="minorEastAsia" w:hAnsiTheme="minorEastAsia" w:eastAsiaTheme="minorEastAsia" w:cstheme="minorBidi"/>
          <w:b w:val="0"/>
          <w:bCs w:val="0"/>
          <w:caps w:val="0"/>
          <w:kern w:val="2"/>
          <w:sz w:val="28"/>
          <w:szCs w:val="28"/>
          <w:highlight w:val="none"/>
        </w:rPr>
      </w:pPr>
      <w:r>
        <w:rPr>
          <w:highlight w:val="none"/>
        </w:rPr>
        <w:fldChar w:fldCharType="begin"/>
      </w:r>
      <w:r>
        <w:rPr>
          <w:highlight w:val="none"/>
        </w:rPr>
        <w:instrText xml:space="preserve"> HYPERLINK \l "_Toc69980131" </w:instrText>
      </w:r>
      <w:r>
        <w:rPr>
          <w:highlight w:val="none"/>
        </w:rPr>
        <w:fldChar w:fldCharType="separate"/>
      </w:r>
      <w:r>
        <w:rPr>
          <w:rStyle w:val="32"/>
          <w:rFonts w:hint="eastAsia" w:asciiTheme="minorEastAsia" w:hAnsiTheme="minorEastAsia" w:eastAsiaTheme="minorEastAsia"/>
          <w:b w:val="0"/>
          <w:color w:val="auto"/>
          <w:sz w:val="28"/>
          <w:szCs w:val="28"/>
          <w:highlight w:val="none"/>
        </w:rPr>
        <w:t>第五章投标人应当提供的资格、资质性及其他类似效力要求的相关证明材料</w:t>
      </w:r>
      <w:r>
        <w:rPr>
          <w:rFonts w:asciiTheme="minorEastAsia" w:hAnsiTheme="minorEastAsia" w:eastAsiaTheme="minorEastAsia"/>
          <w:b w:val="0"/>
          <w:sz w:val="28"/>
          <w:szCs w:val="28"/>
          <w:highlight w:val="none"/>
        </w:rPr>
        <w:tab/>
      </w:r>
      <w:r>
        <w:rPr>
          <w:rFonts w:asciiTheme="minorEastAsia" w:hAnsiTheme="minorEastAsia" w:eastAsiaTheme="minorEastAsia"/>
          <w:b w:val="0"/>
          <w:sz w:val="28"/>
          <w:szCs w:val="28"/>
          <w:highlight w:val="none"/>
        </w:rPr>
        <w:fldChar w:fldCharType="begin"/>
      </w:r>
      <w:r>
        <w:rPr>
          <w:rFonts w:asciiTheme="minorEastAsia" w:hAnsiTheme="minorEastAsia" w:eastAsiaTheme="minorEastAsia"/>
          <w:b w:val="0"/>
          <w:sz w:val="28"/>
          <w:szCs w:val="28"/>
          <w:highlight w:val="none"/>
        </w:rPr>
        <w:instrText xml:space="preserve"> PAGEREF _Toc69980131 \h </w:instrText>
      </w:r>
      <w:r>
        <w:rPr>
          <w:rFonts w:asciiTheme="minorEastAsia" w:hAnsiTheme="minorEastAsia" w:eastAsiaTheme="minorEastAsia"/>
          <w:b w:val="0"/>
          <w:sz w:val="28"/>
          <w:szCs w:val="28"/>
          <w:highlight w:val="none"/>
        </w:rPr>
        <w:fldChar w:fldCharType="separate"/>
      </w:r>
      <w:r>
        <w:rPr>
          <w:rFonts w:asciiTheme="minorEastAsia" w:hAnsiTheme="minorEastAsia" w:eastAsiaTheme="minorEastAsia"/>
          <w:b w:val="0"/>
          <w:sz w:val="28"/>
          <w:szCs w:val="28"/>
          <w:highlight w:val="none"/>
        </w:rPr>
        <w:t>44</w:t>
      </w:r>
      <w:r>
        <w:rPr>
          <w:rFonts w:asciiTheme="minorEastAsia" w:hAnsiTheme="minorEastAsia" w:eastAsiaTheme="minorEastAsia"/>
          <w:b w:val="0"/>
          <w:sz w:val="28"/>
          <w:szCs w:val="28"/>
          <w:highlight w:val="none"/>
        </w:rPr>
        <w:fldChar w:fldCharType="end"/>
      </w:r>
      <w:r>
        <w:rPr>
          <w:rFonts w:asciiTheme="minorEastAsia" w:hAnsiTheme="minorEastAsia" w:eastAsiaTheme="minorEastAsia"/>
          <w:b w:val="0"/>
          <w:sz w:val="28"/>
          <w:szCs w:val="28"/>
          <w:highlight w:val="none"/>
        </w:rPr>
        <w:fldChar w:fldCharType="end"/>
      </w:r>
    </w:p>
    <w:p>
      <w:pPr>
        <w:pStyle w:val="18"/>
        <w:tabs>
          <w:tab w:val="right" w:leader="dot" w:pos="9062"/>
        </w:tabs>
        <w:rPr>
          <w:rFonts w:asciiTheme="minorEastAsia" w:hAnsiTheme="minorEastAsia" w:eastAsiaTheme="minorEastAsia" w:cstheme="minorBidi"/>
          <w:b w:val="0"/>
          <w:bCs w:val="0"/>
          <w:caps w:val="0"/>
          <w:kern w:val="2"/>
          <w:sz w:val="28"/>
          <w:szCs w:val="28"/>
          <w:highlight w:val="none"/>
        </w:rPr>
      </w:pPr>
      <w:r>
        <w:rPr>
          <w:highlight w:val="none"/>
        </w:rPr>
        <w:fldChar w:fldCharType="begin"/>
      </w:r>
      <w:r>
        <w:rPr>
          <w:highlight w:val="none"/>
        </w:rPr>
        <w:instrText xml:space="preserve"> HYPERLINK \l "_Toc69980132" </w:instrText>
      </w:r>
      <w:r>
        <w:rPr>
          <w:highlight w:val="none"/>
        </w:rPr>
        <w:fldChar w:fldCharType="separate"/>
      </w:r>
      <w:r>
        <w:rPr>
          <w:rStyle w:val="32"/>
          <w:rFonts w:hint="eastAsia" w:asciiTheme="minorEastAsia" w:hAnsiTheme="minorEastAsia" w:eastAsiaTheme="minorEastAsia"/>
          <w:b w:val="0"/>
          <w:color w:val="auto"/>
          <w:sz w:val="28"/>
          <w:szCs w:val="28"/>
          <w:highlight w:val="none"/>
        </w:rPr>
        <w:t>第六章招标项目技术、服务及其他商务要求</w:t>
      </w:r>
      <w:r>
        <w:rPr>
          <w:rFonts w:asciiTheme="minorEastAsia" w:hAnsiTheme="minorEastAsia" w:eastAsiaTheme="minorEastAsia"/>
          <w:b w:val="0"/>
          <w:sz w:val="28"/>
          <w:szCs w:val="28"/>
          <w:highlight w:val="none"/>
        </w:rPr>
        <w:tab/>
      </w:r>
      <w:r>
        <w:rPr>
          <w:rFonts w:asciiTheme="minorEastAsia" w:hAnsiTheme="minorEastAsia" w:eastAsiaTheme="minorEastAsia"/>
          <w:b w:val="0"/>
          <w:sz w:val="28"/>
          <w:szCs w:val="28"/>
          <w:highlight w:val="none"/>
        </w:rPr>
        <w:fldChar w:fldCharType="begin"/>
      </w:r>
      <w:r>
        <w:rPr>
          <w:rFonts w:asciiTheme="minorEastAsia" w:hAnsiTheme="minorEastAsia" w:eastAsiaTheme="minorEastAsia"/>
          <w:b w:val="0"/>
          <w:sz w:val="28"/>
          <w:szCs w:val="28"/>
          <w:highlight w:val="none"/>
        </w:rPr>
        <w:instrText xml:space="preserve"> PAGEREF _Toc69980132 \h </w:instrText>
      </w:r>
      <w:r>
        <w:rPr>
          <w:rFonts w:asciiTheme="minorEastAsia" w:hAnsiTheme="minorEastAsia" w:eastAsiaTheme="minorEastAsia"/>
          <w:b w:val="0"/>
          <w:sz w:val="28"/>
          <w:szCs w:val="28"/>
          <w:highlight w:val="none"/>
        </w:rPr>
        <w:fldChar w:fldCharType="separate"/>
      </w:r>
      <w:r>
        <w:rPr>
          <w:rFonts w:asciiTheme="minorEastAsia" w:hAnsiTheme="minorEastAsia" w:eastAsiaTheme="minorEastAsia"/>
          <w:b w:val="0"/>
          <w:sz w:val="28"/>
          <w:szCs w:val="28"/>
          <w:highlight w:val="none"/>
        </w:rPr>
        <w:t>46</w:t>
      </w:r>
      <w:r>
        <w:rPr>
          <w:rFonts w:asciiTheme="minorEastAsia" w:hAnsiTheme="minorEastAsia" w:eastAsiaTheme="minorEastAsia"/>
          <w:b w:val="0"/>
          <w:sz w:val="28"/>
          <w:szCs w:val="28"/>
          <w:highlight w:val="none"/>
        </w:rPr>
        <w:fldChar w:fldCharType="end"/>
      </w:r>
      <w:r>
        <w:rPr>
          <w:rFonts w:asciiTheme="minorEastAsia" w:hAnsiTheme="minorEastAsia" w:eastAsiaTheme="minorEastAsia"/>
          <w:b w:val="0"/>
          <w:sz w:val="28"/>
          <w:szCs w:val="28"/>
          <w:highlight w:val="none"/>
        </w:rPr>
        <w:fldChar w:fldCharType="end"/>
      </w:r>
    </w:p>
    <w:p>
      <w:pPr>
        <w:pStyle w:val="18"/>
        <w:tabs>
          <w:tab w:val="right" w:leader="dot" w:pos="9062"/>
        </w:tabs>
        <w:rPr>
          <w:rFonts w:asciiTheme="minorEastAsia" w:hAnsiTheme="minorEastAsia" w:eastAsiaTheme="minorEastAsia" w:cstheme="minorBidi"/>
          <w:b w:val="0"/>
          <w:bCs w:val="0"/>
          <w:caps w:val="0"/>
          <w:kern w:val="2"/>
          <w:sz w:val="28"/>
          <w:szCs w:val="28"/>
          <w:highlight w:val="none"/>
        </w:rPr>
      </w:pPr>
      <w:r>
        <w:rPr>
          <w:highlight w:val="none"/>
        </w:rPr>
        <w:fldChar w:fldCharType="begin"/>
      </w:r>
      <w:r>
        <w:rPr>
          <w:highlight w:val="none"/>
        </w:rPr>
        <w:instrText xml:space="preserve"> HYPERLINK \l "_Toc69980133" </w:instrText>
      </w:r>
      <w:r>
        <w:rPr>
          <w:highlight w:val="none"/>
        </w:rPr>
        <w:fldChar w:fldCharType="separate"/>
      </w:r>
      <w:r>
        <w:rPr>
          <w:rStyle w:val="32"/>
          <w:rFonts w:hint="eastAsia" w:asciiTheme="minorEastAsia" w:hAnsiTheme="minorEastAsia" w:eastAsiaTheme="minorEastAsia"/>
          <w:b w:val="0"/>
          <w:color w:val="auto"/>
          <w:sz w:val="28"/>
          <w:szCs w:val="28"/>
          <w:highlight w:val="none"/>
        </w:rPr>
        <w:t>第七章评标办法</w:t>
      </w:r>
      <w:r>
        <w:rPr>
          <w:rFonts w:asciiTheme="minorEastAsia" w:hAnsiTheme="minorEastAsia" w:eastAsiaTheme="minorEastAsia"/>
          <w:b w:val="0"/>
          <w:sz w:val="28"/>
          <w:szCs w:val="28"/>
          <w:highlight w:val="none"/>
        </w:rPr>
        <w:tab/>
      </w:r>
      <w:r>
        <w:rPr>
          <w:rFonts w:asciiTheme="minorEastAsia" w:hAnsiTheme="minorEastAsia" w:eastAsiaTheme="minorEastAsia"/>
          <w:b w:val="0"/>
          <w:sz w:val="28"/>
          <w:szCs w:val="28"/>
          <w:highlight w:val="none"/>
        </w:rPr>
        <w:fldChar w:fldCharType="begin"/>
      </w:r>
      <w:r>
        <w:rPr>
          <w:rFonts w:asciiTheme="minorEastAsia" w:hAnsiTheme="minorEastAsia" w:eastAsiaTheme="minorEastAsia"/>
          <w:b w:val="0"/>
          <w:sz w:val="28"/>
          <w:szCs w:val="28"/>
          <w:highlight w:val="none"/>
        </w:rPr>
        <w:instrText xml:space="preserve"> PAGEREF _Toc69980133 \h </w:instrText>
      </w:r>
      <w:r>
        <w:rPr>
          <w:rFonts w:asciiTheme="minorEastAsia" w:hAnsiTheme="minorEastAsia" w:eastAsiaTheme="minorEastAsia"/>
          <w:b w:val="0"/>
          <w:sz w:val="28"/>
          <w:szCs w:val="28"/>
          <w:highlight w:val="none"/>
        </w:rPr>
        <w:fldChar w:fldCharType="separate"/>
      </w:r>
      <w:r>
        <w:rPr>
          <w:rFonts w:asciiTheme="minorEastAsia" w:hAnsiTheme="minorEastAsia" w:eastAsiaTheme="minorEastAsia"/>
          <w:b w:val="0"/>
          <w:sz w:val="28"/>
          <w:szCs w:val="28"/>
          <w:highlight w:val="none"/>
        </w:rPr>
        <w:t>110</w:t>
      </w:r>
      <w:r>
        <w:rPr>
          <w:rFonts w:asciiTheme="minorEastAsia" w:hAnsiTheme="minorEastAsia" w:eastAsiaTheme="minorEastAsia"/>
          <w:b w:val="0"/>
          <w:sz w:val="28"/>
          <w:szCs w:val="28"/>
          <w:highlight w:val="none"/>
        </w:rPr>
        <w:fldChar w:fldCharType="end"/>
      </w:r>
      <w:r>
        <w:rPr>
          <w:rFonts w:asciiTheme="minorEastAsia" w:hAnsiTheme="minorEastAsia" w:eastAsiaTheme="minorEastAsia"/>
          <w:b w:val="0"/>
          <w:sz w:val="28"/>
          <w:szCs w:val="28"/>
          <w:highlight w:val="none"/>
        </w:rPr>
        <w:fldChar w:fldCharType="end"/>
      </w:r>
    </w:p>
    <w:p>
      <w:pPr>
        <w:pStyle w:val="18"/>
        <w:tabs>
          <w:tab w:val="right" w:leader="dot" w:pos="9062"/>
        </w:tabs>
        <w:rPr>
          <w:rFonts w:asciiTheme="minorEastAsia" w:hAnsiTheme="minorEastAsia" w:eastAsiaTheme="minorEastAsia" w:cstheme="minorBidi"/>
          <w:b w:val="0"/>
          <w:bCs w:val="0"/>
          <w:caps w:val="0"/>
          <w:kern w:val="2"/>
          <w:sz w:val="28"/>
          <w:szCs w:val="28"/>
          <w:highlight w:val="none"/>
        </w:rPr>
      </w:pPr>
      <w:r>
        <w:rPr>
          <w:highlight w:val="none"/>
        </w:rPr>
        <w:fldChar w:fldCharType="begin"/>
      </w:r>
      <w:r>
        <w:rPr>
          <w:highlight w:val="none"/>
        </w:rPr>
        <w:instrText xml:space="preserve"> HYPERLINK \l "_Toc69980134" </w:instrText>
      </w:r>
      <w:r>
        <w:rPr>
          <w:highlight w:val="none"/>
        </w:rPr>
        <w:fldChar w:fldCharType="separate"/>
      </w:r>
      <w:r>
        <w:rPr>
          <w:rStyle w:val="32"/>
          <w:rFonts w:hint="eastAsia" w:asciiTheme="minorEastAsia" w:hAnsiTheme="minorEastAsia" w:eastAsiaTheme="minorEastAsia"/>
          <w:b w:val="0"/>
          <w:color w:val="auto"/>
          <w:sz w:val="28"/>
          <w:szCs w:val="28"/>
          <w:highlight w:val="none"/>
        </w:rPr>
        <w:t>第八章政府采购合同（样例）</w:t>
      </w:r>
      <w:r>
        <w:rPr>
          <w:rFonts w:asciiTheme="minorEastAsia" w:hAnsiTheme="minorEastAsia" w:eastAsiaTheme="minorEastAsia"/>
          <w:b w:val="0"/>
          <w:sz w:val="28"/>
          <w:szCs w:val="28"/>
          <w:highlight w:val="none"/>
        </w:rPr>
        <w:tab/>
      </w:r>
      <w:r>
        <w:rPr>
          <w:rFonts w:asciiTheme="minorEastAsia" w:hAnsiTheme="minorEastAsia" w:eastAsiaTheme="minorEastAsia"/>
          <w:b w:val="0"/>
          <w:sz w:val="28"/>
          <w:szCs w:val="28"/>
          <w:highlight w:val="none"/>
        </w:rPr>
        <w:fldChar w:fldCharType="begin"/>
      </w:r>
      <w:r>
        <w:rPr>
          <w:rFonts w:asciiTheme="minorEastAsia" w:hAnsiTheme="minorEastAsia" w:eastAsiaTheme="minorEastAsia"/>
          <w:b w:val="0"/>
          <w:sz w:val="28"/>
          <w:szCs w:val="28"/>
          <w:highlight w:val="none"/>
        </w:rPr>
        <w:instrText xml:space="preserve"> PAGEREF _Toc69980134 \h </w:instrText>
      </w:r>
      <w:r>
        <w:rPr>
          <w:rFonts w:asciiTheme="minorEastAsia" w:hAnsiTheme="minorEastAsia" w:eastAsiaTheme="minorEastAsia"/>
          <w:b w:val="0"/>
          <w:sz w:val="28"/>
          <w:szCs w:val="28"/>
          <w:highlight w:val="none"/>
        </w:rPr>
        <w:fldChar w:fldCharType="separate"/>
      </w:r>
      <w:r>
        <w:rPr>
          <w:rFonts w:asciiTheme="minorEastAsia" w:hAnsiTheme="minorEastAsia" w:eastAsiaTheme="minorEastAsia"/>
          <w:b w:val="0"/>
          <w:sz w:val="28"/>
          <w:szCs w:val="28"/>
          <w:highlight w:val="none"/>
        </w:rPr>
        <w:t>124</w:t>
      </w:r>
      <w:r>
        <w:rPr>
          <w:rFonts w:asciiTheme="minorEastAsia" w:hAnsiTheme="minorEastAsia" w:eastAsiaTheme="minorEastAsia"/>
          <w:b w:val="0"/>
          <w:sz w:val="28"/>
          <w:szCs w:val="28"/>
          <w:highlight w:val="none"/>
        </w:rPr>
        <w:fldChar w:fldCharType="end"/>
      </w:r>
      <w:r>
        <w:rPr>
          <w:rFonts w:asciiTheme="minorEastAsia" w:hAnsiTheme="minorEastAsia" w:eastAsiaTheme="minorEastAsia"/>
          <w:b w:val="0"/>
          <w:sz w:val="28"/>
          <w:szCs w:val="28"/>
          <w:highlight w:val="none"/>
        </w:rPr>
        <w:fldChar w:fldCharType="end"/>
      </w:r>
    </w:p>
    <w:p>
      <w:pPr>
        <w:pStyle w:val="18"/>
        <w:tabs>
          <w:tab w:val="right" w:leader="dot" w:pos="9062"/>
        </w:tabs>
        <w:rPr>
          <w:rFonts w:asciiTheme="minorEastAsia" w:hAnsiTheme="minorEastAsia" w:eastAsiaTheme="minorEastAsia" w:cstheme="minorBidi"/>
          <w:b w:val="0"/>
          <w:bCs w:val="0"/>
          <w:caps w:val="0"/>
          <w:kern w:val="2"/>
          <w:sz w:val="28"/>
          <w:szCs w:val="28"/>
          <w:highlight w:val="none"/>
        </w:rPr>
      </w:pPr>
      <w:r>
        <w:rPr>
          <w:highlight w:val="none"/>
        </w:rPr>
        <w:fldChar w:fldCharType="begin"/>
      </w:r>
      <w:r>
        <w:rPr>
          <w:highlight w:val="none"/>
        </w:rPr>
        <w:instrText xml:space="preserve"> HYPERLINK \l "_Toc69980135" </w:instrText>
      </w:r>
      <w:r>
        <w:rPr>
          <w:highlight w:val="none"/>
        </w:rPr>
        <w:fldChar w:fldCharType="separate"/>
      </w:r>
      <w:r>
        <w:rPr>
          <w:rStyle w:val="32"/>
          <w:rFonts w:hint="eastAsia" w:asciiTheme="minorEastAsia" w:hAnsiTheme="minorEastAsia" w:eastAsiaTheme="minorEastAsia"/>
          <w:b w:val="0"/>
          <w:color w:val="auto"/>
          <w:sz w:val="28"/>
          <w:szCs w:val="28"/>
          <w:highlight w:val="none"/>
        </w:rPr>
        <w:t>附件一：报名登记表</w:t>
      </w:r>
      <w:r>
        <w:rPr>
          <w:rFonts w:asciiTheme="minorEastAsia" w:hAnsiTheme="minorEastAsia" w:eastAsiaTheme="minorEastAsia"/>
          <w:b w:val="0"/>
          <w:sz w:val="28"/>
          <w:szCs w:val="28"/>
          <w:highlight w:val="none"/>
        </w:rPr>
        <w:tab/>
      </w:r>
      <w:r>
        <w:rPr>
          <w:rFonts w:asciiTheme="minorEastAsia" w:hAnsiTheme="minorEastAsia" w:eastAsiaTheme="minorEastAsia"/>
          <w:b w:val="0"/>
          <w:sz w:val="28"/>
          <w:szCs w:val="28"/>
          <w:highlight w:val="none"/>
        </w:rPr>
        <w:fldChar w:fldCharType="begin"/>
      </w:r>
      <w:r>
        <w:rPr>
          <w:rFonts w:asciiTheme="minorEastAsia" w:hAnsiTheme="minorEastAsia" w:eastAsiaTheme="minorEastAsia"/>
          <w:b w:val="0"/>
          <w:sz w:val="28"/>
          <w:szCs w:val="28"/>
          <w:highlight w:val="none"/>
        </w:rPr>
        <w:instrText xml:space="preserve"> PAGEREF _Toc69980135 \h </w:instrText>
      </w:r>
      <w:r>
        <w:rPr>
          <w:rFonts w:asciiTheme="minorEastAsia" w:hAnsiTheme="minorEastAsia" w:eastAsiaTheme="minorEastAsia"/>
          <w:b w:val="0"/>
          <w:sz w:val="28"/>
          <w:szCs w:val="28"/>
          <w:highlight w:val="none"/>
        </w:rPr>
        <w:fldChar w:fldCharType="separate"/>
      </w:r>
      <w:r>
        <w:rPr>
          <w:rFonts w:asciiTheme="minorEastAsia" w:hAnsiTheme="minorEastAsia" w:eastAsiaTheme="minorEastAsia"/>
          <w:b w:val="0"/>
          <w:sz w:val="28"/>
          <w:szCs w:val="28"/>
          <w:highlight w:val="none"/>
        </w:rPr>
        <w:t>128</w:t>
      </w:r>
      <w:r>
        <w:rPr>
          <w:rFonts w:asciiTheme="minorEastAsia" w:hAnsiTheme="minorEastAsia" w:eastAsiaTheme="minorEastAsia"/>
          <w:b w:val="0"/>
          <w:sz w:val="28"/>
          <w:szCs w:val="28"/>
          <w:highlight w:val="none"/>
        </w:rPr>
        <w:fldChar w:fldCharType="end"/>
      </w:r>
      <w:r>
        <w:rPr>
          <w:rFonts w:asciiTheme="minorEastAsia" w:hAnsiTheme="minorEastAsia" w:eastAsiaTheme="minorEastAsia"/>
          <w:b w:val="0"/>
          <w:sz w:val="28"/>
          <w:szCs w:val="28"/>
          <w:highlight w:val="none"/>
        </w:rPr>
        <w:fldChar w:fldCharType="end"/>
      </w:r>
    </w:p>
    <w:p>
      <w:pPr>
        <w:spacing w:line="400" w:lineRule="exact"/>
        <w:rPr>
          <w:rFonts w:asciiTheme="minorEastAsia" w:hAnsiTheme="minorEastAsia" w:eastAsiaTheme="minorEastAsia"/>
          <w:sz w:val="28"/>
          <w:szCs w:val="28"/>
          <w:highlight w:val="none"/>
        </w:rPr>
      </w:pPr>
      <w:r>
        <w:rPr>
          <w:rFonts w:asciiTheme="minorEastAsia" w:hAnsiTheme="minorEastAsia" w:eastAsiaTheme="minorEastAsia" w:cstheme="minorHAnsi"/>
          <w:bCs/>
          <w:caps/>
          <w:sz w:val="28"/>
          <w:szCs w:val="28"/>
          <w:highlight w:val="none"/>
        </w:rPr>
        <w:fldChar w:fldCharType="end"/>
      </w:r>
    </w:p>
    <w:p>
      <w:pPr>
        <w:spacing w:line="500" w:lineRule="exact"/>
        <w:rPr>
          <w:highlight w:val="none"/>
        </w:rPr>
      </w:pPr>
    </w:p>
    <w:p>
      <w:pPr>
        <w:pStyle w:val="2"/>
        <w:spacing w:line="500" w:lineRule="exact"/>
        <w:rPr>
          <w:highlight w:val="none"/>
        </w:rPr>
      </w:pPr>
    </w:p>
    <w:p>
      <w:pPr>
        <w:pStyle w:val="2"/>
        <w:spacing w:line="500" w:lineRule="exact"/>
        <w:rPr>
          <w:highlight w:val="none"/>
        </w:rPr>
      </w:pPr>
    </w:p>
    <w:p>
      <w:pPr>
        <w:pStyle w:val="2"/>
        <w:spacing w:line="500" w:lineRule="exact"/>
        <w:rPr>
          <w:highlight w:val="none"/>
        </w:rPr>
      </w:pPr>
    </w:p>
    <w:p>
      <w:pPr>
        <w:pStyle w:val="2"/>
        <w:spacing w:line="500" w:lineRule="exact"/>
        <w:rPr>
          <w:highlight w:val="none"/>
        </w:rPr>
      </w:pPr>
    </w:p>
    <w:p>
      <w:pPr>
        <w:rPr>
          <w:sz w:val="32"/>
          <w:szCs w:val="32"/>
          <w:highlight w:val="none"/>
        </w:rPr>
      </w:pPr>
      <w:r>
        <w:rPr>
          <w:rFonts w:hint="eastAsia"/>
          <w:sz w:val="32"/>
          <w:szCs w:val="32"/>
          <w:highlight w:val="none"/>
        </w:rPr>
        <w:br w:type="page"/>
      </w:r>
    </w:p>
    <w:p>
      <w:pPr>
        <w:pStyle w:val="3"/>
        <w:spacing w:before="260" w:after="260" w:line="500" w:lineRule="exact"/>
        <w:rPr>
          <w:bCs w:val="0"/>
          <w:sz w:val="32"/>
          <w:szCs w:val="32"/>
          <w:highlight w:val="none"/>
        </w:rPr>
      </w:pPr>
      <w:bookmarkStart w:id="0" w:name="_Toc69980127"/>
      <w:r>
        <w:rPr>
          <w:rFonts w:hint="eastAsia"/>
          <w:bCs w:val="0"/>
          <w:sz w:val="32"/>
          <w:szCs w:val="32"/>
          <w:highlight w:val="none"/>
        </w:rPr>
        <w:t>第一章  投标邀请</w:t>
      </w:r>
      <w:bookmarkEnd w:id="0"/>
    </w:p>
    <w:p>
      <w:pPr>
        <w:spacing w:line="500" w:lineRule="exact"/>
        <w:ind w:firstLine="480" w:firstLineChars="200"/>
        <w:jc w:val="left"/>
        <w:rPr>
          <w:sz w:val="24"/>
          <w:szCs w:val="28"/>
          <w:highlight w:val="none"/>
        </w:rPr>
      </w:pPr>
      <w:r>
        <w:rPr>
          <w:rFonts w:hint="eastAsia"/>
          <w:sz w:val="24"/>
          <w:highlight w:val="none"/>
          <w:u w:val="single"/>
        </w:rPr>
        <w:t xml:space="preserve">四川标源招标代理有限公司 </w:t>
      </w:r>
      <w:r>
        <w:rPr>
          <w:rFonts w:hint="eastAsia"/>
          <w:sz w:val="24"/>
          <w:highlight w:val="none"/>
        </w:rPr>
        <w:t>（采购代理机构）受</w:t>
      </w:r>
      <w:r>
        <w:rPr>
          <w:rFonts w:hint="eastAsia" w:hAnsi="宋体" w:cs="宋体"/>
          <w:bCs/>
          <w:sz w:val="24"/>
          <w:szCs w:val="24"/>
          <w:highlight w:val="none"/>
          <w:u w:val="single"/>
        </w:rPr>
        <w:t>成都市殡仪馆</w:t>
      </w:r>
      <w:r>
        <w:rPr>
          <w:rFonts w:hint="eastAsia"/>
          <w:bCs/>
          <w:sz w:val="24"/>
          <w:highlight w:val="none"/>
        </w:rPr>
        <w:t>（采购人）</w:t>
      </w:r>
      <w:r>
        <w:rPr>
          <w:rFonts w:hint="eastAsia"/>
          <w:sz w:val="24"/>
          <w:highlight w:val="none"/>
        </w:rPr>
        <w:t>委托，拟对</w:t>
      </w:r>
      <w:r>
        <w:rPr>
          <w:rFonts w:hint="eastAsia" w:hAnsi="宋体" w:cs="宋体"/>
          <w:bCs/>
          <w:sz w:val="24"/>
          <w:szCs w:val="24"/>
          <w:highlight w:val="none"/>
          <w:u w:val="single"/>
        </w:rPr>
        <w:t>成都市殡仪馆殡仪服务成本（墓材）采购项目</w:t>
      </w:r>
      <w:r>
        <w:rPr>
          <w:rFonts w:hint="eastAsia"/>
          <w:sz w:val="24"/>
          <w:highlight w:val="none"/>
        </w:rPr>
        <w:t>进行国内</w:t>
      </w:r>
      <w:r>
        <w:rPr>
          <w:rFonts w:hint="eastAsia"/>
          <w:bCs/>
          <w:sz w:val="24"/>
          <w:highlight w:val="none"/>
        </w:rPr>
        <w:t>公开</w:t>
      </w:r>
      <w:r>
        <w:rPr>
          <w:rFonts w:hint="eastAsia"/>
          <w:sz w:val="24"/>
          <w:highlight w:val="none"/>
        </w:rPr>
        <w:t>招标，</w:t>
      </w:r>
      <w:r>
        <w:rPr>
          <w:rFonts w:hint="eastAsia"/>
          <w:sz w:val="24"/>
          <w:szCs w:val="28"/>
          <w:highlight w:val="none"/>
        </w:rPr>
        <w:t>兹邀请符合本次招标要求的投标人参加</w:t>
      </w:r>
      <w:r>
        <w:rPr>
          <w:rFonts w:hint="eastAsia"/>
          <w:sz w:val="24"/>
          <w:highlight w:val="none"/>
        </w:rPr>
        <w:t>投标</w:t>
      </w:r>
      <w:r>
        <w:rPr>
          <w:rFonts w:hint="eastAsia"/>
          <w:sz w:val="24"/>
          <w:szCs w:val="28"/>
          <w:highlight w:val="none"/>
        </w:rPr>
        <w:t>。</w:t>
      </w:r>
      <w:bookmarkStart w:id="164" w:name="_GoBack"/>
      <w:bookmarkEnd w:id="164"/>
    </w:p>
    <w:p>
      <w:pPr>
        <w:spacing w:line="500" w:lineRule="exact"/>
        <w:ind w:firstLine="482" w:firstLineChars="200"/>
        <w:rPr>
          <w:b/>
          <w:sz w:val="24"/>
          <w:highlight w:val="none"/>
        </w:rPr>
      </w:pPr>
      <w:r>
        <w:rPr>
          <w:rFonts w:hint="eastAsia"/>
          <w:b/>
          <w:sz w:val="24"/>
          <w:highlight w:val="none"/>
        </w:rPr>
        <w:t>一、招标编号：scby-cd-zc-2021290。</w:t>
      </w:r>
    </w:p>
    <w:p>
      <w:pPr>
        <w:spacing w:line="500" w:lineRule="exact"/>
        <w:ind w:right="51" w:rightChars="15" w:firstLine="482" w:firstLineChars="200"/>
        <w:rPr>
          <w:b/>
          <w:sz w:val="24"/>
          <w:szCs w:val="32"/>
          <w:highlight w:val="none"/>
        </w:rPr>
      </w:pPr>
      <w:r>
        <w:rPr>
          <w:rFonts w:hint="eastAsia"/>
          <w:b/>
          <w:bCs/>
          <w:sz w:val="24"/>
          <w:highlight w:val="none"/>
        </w:rPr>
        <w:t>二、</w:t>
      </w:r>
      <w:r>
        <w:rPr>
          <w:rFonts w:hint="eastAsia"/>
          <w:b/>
          <w:sz w:val="24"/>
          <w:highlight w:val="none"/>
        </w:rPr>
        <w:t>招标项目：成都市殡仪馆殡仪服务成本（墓材）采购项目</w:t>
      </w:r>
      <w:r>
        <w:rPr>
          <w:rFonts w:hint="eastAsia"/>
          <w:b/>
          <w:sz w:val="24"/>
          <w:szCs w:val="32"/>
          <w:highlight w:val="none"/>
        </w:rPr>
        <w:t>。</w:t>
      </w:r>
    </w:p>
    <w:p>
      <w:pPr>
        <w:spacing w:line="500" w:lineRule="exact"/>
        <w:ind w:right="51" w:rightChars="15" w:firstLine="482" w:firstLineChars="200"/>
        <w:rPr>
          <w:b/>
          <w:bCs/>
          <w:sz w:val="24"/>
          <w:highlight w:val="none"/>
        </w:rPr>
      </w:pPr>
      <w:r>
        <w:rPr>
          <w:rFonts w:hint="eastAsia"/>
          <w:b/>
          <w:sz w:val="24"/>
          <w:szCs w:val="28"/>
          <w:highlight w:val="none"/>
        </w:rPr>
        <w:t>三、资金来源：财政性资金，</w:t>
      </w:r>
      <w:r>
        <w:rPr>
          <w:rFonts w:hint="eastAsia"/>
          <w:b/>
          <w:bCs/>
          <w:sz w:val="24"/>
          <w:highlight w:val="none"/>
        </w:rPr>
        <w:t>资金已落实。</w:t>
      </w:r>
    </w:p>
    <w:p>
      <w:pPr>
        <w:spacing w:line="500" w:lineRule="exact"/>
        <w:ind w:firstLine="482" w:firstLineChars="200"/>
        <w:rPr>
          <w:sz w:val="24"/>
          <w:szCs w:val="28"/>
          <w:highlight w:val="none"/>
        </w:rPr>
      </w:pPr>
      <w:r>
        <w:rPr>
          <w:rFonts w:hint="eastAsia"/>
          <w:b/>
          <w:sz w:val="24"/>
          <w:highlight w:val="none"/>
        </w:rPr>
        <w:t>四、招标项目简介：</w:t>
      </w:r>
      <w:r>
        <w:rPr>
          <w:rFonts w:hint="eastAsia" w:hAnsi="宋体" w:cs="宋体"/>
          <w:b/>
          <w:bCs/>
          <w:sz w:val="24"/>
          <w:highlight w:val="none"/>
        </w:rPr>
        <w:t>本项目共1个包，采购墓材石材。</w:t>
      </w:r>
      <w:r>
        <w:rPr>
          <w:rFonts w:hint="eastAsia"/>
          <w:b/>
          <w:bCs/>
          <w:sz w:val="24"/>
          <w:szCs w:val="28"/>
          <w:highlight w:val="none"/>
        </w:rPr>
        <w:t>（详见招标文件第</w:t>
      </w:r>
      <w:r>
        <w:rPr>
          <w:rFonts w:hint="eastAsia"/>
          <w:b/>
          <w:bCs/>
          <w:sz w:val="24"/>
          <w:highlight w:val="none"/>
        </w:rPr>
        <w:t>六</w:t>
      </w:r>
      <w:r>
        <w:rPr>
          <w:rFonts w:hint="eastAsia"/>
          <w:b/>
          <w:bCs/>
          <w:sz w:val="24"/>
          <w:szCs w:val="28"/>
          <w:highlight w:val="none"/>
        </w:rPr>
        <w:t>章）。</w:t>
      </w:r>
    </w:p>
    <w:p>
      <w:pPr>
        <w:spacing w:afterLines="50" w:line="500" w:lineRule="exact"/>
        <w:ind w:firstLine="482" w:firstLineChars="200"/>
        <w:rPr>
          <w:b/>
          <w:bCs/>
          <w:sz w:val="24"/>
          <w:highlight w:val="none"/>
        </w:rPr>
      </w:pPr>
      <w:r>
        <w:rPr>
          <w:rFonts w:hint="eastAsia"/>
          <w:b/>
          <w:bCs/>
          <w:sz w:val="24"/>
          <w:highlight w:val="none"/>
        </w:rPr>
        <w:t>五、投标人参加本次政府采购活动，应当在提交投标文件前具备下列条件：</w:t>
      </w:r>
    </w:p>
    <w:p>
      <w:pPr>
        <w:autoSpaceDE w:val="0"/>
        <w:spacing w:line="500" w:lineRule="exact"/>
        <w:ind w:firstLine="480" w:firstLineChars="200"/>
        <w:rPr>
          <w:rFonts w:hAnsi="宋体" w:cs="宋体"/>
          <w:sz w:val="24"/>
          <w:szCs w:val="24"/>
          <w:highlight w:val="none"/>
        </w:rPr>
      </w:pPr>
      <w:r>
        <w:rPr>
          <w:rFonts w:hint="eastAsia" w:hAnsi="宋体" w:cs="宋体"/>
          <w:sz w:val="24"/>
          <w:szCs w:val="24"/>
          <w:highlight w:val="none"/>
        </w:rPr>
        <w:t>1、具备《中华人民共和国政府采购法》第二十二条规定的条件</w:t>
      </w:r>
    </w:p>
    <w:p>
      <w:pPr>
        <w:autoSpaceDE w:val="0"/>
        <w:spacing w:line="500" w:lineRule="exact"/>
        <w:ind w:firstLine="720" w:firstLineChars="300"/>
        <w:rPr>
          <w:rFonts w:hAnsi="宋体" w:cs="宋体"/>
          <w:sz w:val="24"/>
          <w:szCs w:val="24"/>
          <w:highlight w:val="none"/>
        </w:rPr>
      </w:pPr>
      <w:r>
        <w:rPr>
          <w:rFonts w:hint="eastAsia" w:hAnsi="宋体" w:cs="宋体"/>
          <w:sz w:val="24"/>
          <w:szCs w:val="24"/>
          <w:highlight w:val="none"/>
        </w:rPr>
        <w:t>1.1具备独立的承担民事责任能力；</w:t>
      </w:r>
    </w:p>
    <w:p>
      <w:pPr>
        <w:autoSpaceDE w:val="0"/>
        <w:spacing w:line="500" w:lineRule="exact"/>
        <w:ind w:firstLine="720" w:firstLineChars="300"/>
        <w:rPr>
          <w:rFonts w:hAnsi="宋体" w:cs="宋体"/>
          <w:sz w:val="24"/>
          <w:szCs w:val="24"/>
          <w:highlight w:val="none"/>
        </w:rPr>
      </w:pPr>
      <w:r>
        <w:rPr>
          <w:rFonts w:hint="eastAsia" w:hAnsi="宋体" w:cs="宋体"/>
          <w:sz w:val="24"/>
          <w:szCs w:val="24"/>
          <w:highlight w:val="none"/>
        </w:rPr>
        <w:t>1.2具有良好的商业信誉和健全的财务会计制度；</w:t>
      </w:r>
    </w:p>
    <w:p>
      <w:pPr>
        <w:autoSpaceDE w:val="0"/>
        <w:spacing w:line="500" w:lineRule="exact"/>
        <w:ind w:firstLine="720" w:firstLineChars="300"/>
        <w:rPr>
          <w:rFonts w:hAnsi="宋体" w:cs="宋体"/>
          <w:sz w:val="24"/>
          <w:szCs w:val="24"/>
          <w:highlight w:val="none"/>
        </w:rPr>
      </w:pPr>
      <w:r>
        <w:rPr>
          <w:rFonts w:hint="eastAsia" w:hAnsi="宋体" w:cs="宋体"/>
          <w:sz w:val="24"/>
          <w:szCs w:val="24"/>
          <w:highlight w:val="none"/>
        </w:rPr>
        <w:t>1.3有依法缴纳税收和社会保障资金的良好记录：</w:t>
      </w:r>
    </w:p>
    <w:p>
      <w:pPr>
        <w:autoSpaceDE w:val="0"/>
        <w:spacing w:line="500" w:lineRule="exact"/>
        <w:ind w:firstLine="720" w:firstLineChars="300"/>
        <w:rPr>
          <w:rFonts w:hAnsi="宋体" w:cs="宋体"/>
          <w:sz w:val="24"/>
          <w:szCs w:val="24"/>
          <w:highlight w:val="none"/>
        </w:rPr>
      </w:pPr>
      <w:r>
        <w:rPr>
          <w:rFonts w:hint="eastAsia" w:hAnsi="宋体" w:cs="宋体"/>
          <w:sz w:val="24"/>
          <w:szCs w:val="24"/>
          <w:highlight w:val="none"/>
        </w:rPr>
        <w:t>1.4具有履行合同所必需的设备和专业技术能力；</w:t>
      </w:r>
    </w:p>
    <w:p>
      <w:pPr>
        <w:autoSpaceDE w:val="0"/>
        <w:spacing w:line="500" w:lineRule="exact"/>
        <w:ind w:firstLine="720" w:firstLineChars="300"/>
        <w:rPr>
          <w:rFonts w:hAnsi="宋体" w:cs="宋体"/>
          <w:sz w:val="24"/>
          <w:szCs w:val="24"/>
          <w:highlight w:val="none"/>
        </w:rPr>
      </w:pPr>
      <w:r>
        <w:rPr>
          <w:rFonts w:hint="eastAsia" w:hAnsi="宋体" w:cs="宋体"/>
          <w:sz w:val="24"/>
          <w:szCs w:val="24"/>
          <w:highlight w:val="none"/>
        </w:rPr>
        <w:t>1.5参加政府采购活动前三年内，在经营活动中没有重大违法记录；</w:t>
      </w:r>
    </w:p>
    <w:p>
      <w:pPr>
        <w:autoSpaceDE w:val="0"/>
        <w:spacing w:line="500" w:lineRule="exact"/>
        <w:ind w:firstLine="720" w:firstLineChars="300"/>
        <w:rPr>
          <w:rFonts w:hAnsi="宋体" w:cs="宋体"/>
          <w:sz w:val="24"/>
          <w:szCs w:val="24"/>
          <w:highlight w:val="none"/>
        </w:rPr>
      </w:pPr>
      <w:r>
        <w:rPr>
          <w:rFonts w:hint="eastAsia" w:hAnsi="宋体" w:cs="宋体"/>
          <w:sz w:val="24"/>
          <w:szCs w:val="24"/>
          <w:highlight w:val="none"/>
        </w:rPr>
        <w:t>1.6法律、行政法规规定的其他条件。</w:t>
      </w:r>
    </w:p>
    <w:p>
      <w:pPr>
        <w:autoSpaceDE w:val="0"/>
        <w:spacing w:line="500" w:lineRule="exact"/>
        <w:ind w:firstLine="480" w:firstLineChars="200"/>
        <w:rPr>
          <w:rFonts w:hAnsi="宋体" w:cs="宋体"/>
          <w:sz w:val="24"/>
          <w:szCs w:val="24"/>
          <w:highlight w:val="none"/>
        </w:rPr>
      </w:pPr>
      <w:r>
        <w:rPr>
          <w:rFonts w:hint="eastAsia" w:hAnsi="宋体" w:cs="宋体"/>
          <w:sz w:val="24"/>
          <w:szCs w:val="24"/>
          <w:highlight w:val="none"/>
        </w:rPr>
        <w:t>2、</w:t>
      </w:r>
      <w:r>
        <w:rPr>
          <w:rFonts w:hint="eastAsia"/>
          <w:sz w:val="24"/>
          <w:highlight w:val="none"/>
        </w:rPr>
        <w:t>参加本次招标采购活动，不存在与单位负责人为同一人或者存在直接控股、管理关系的其他投标人参与同一合同项下的政府采购活动的行为。</w:t>
      </w:r>
    </w:p>
    <w:p>
      <w:pPr>
        <w:autoSpaceDE w:val="0"/>
        <w:spacing w:line="500" w:lineRule="exact"/>
        <w:ind w:firstLine="480" w:firstLineChars="200"/>
        <w:rPr>
          <w:rFonts w:hAnsi="宋体" w:cs="宋体"/>
          <w:sz w:val="24"/>
          <w:szCs w:val="24"/>
          <w:highlight w:val="none"/>
        </w:rPr>
      </w:pPr>
      <w:r>
        <w:rPr>
          <w:rFonts w:hint="eastAsia" w:hAnsi="宋体" w:cs="宋体"/>
          <w:sz w:val="24"/>
          <w:szCs w:val="24"/>
          <w:highlight w:val="none"/>
        </w:rPr>
        <w:t>3、投标人未对本次采购项目提供过整体设计、规范编制或者项目管理、监理、检测等服务。</w:t>
      </w:r>
    </w:p>
    <w:p>
      <w:pPr>
        <w:autoSpaceDE w:val="0"/>
        <w:spacing w:line="500" w:lineRule="exact"/>
        <w:ind w:firstLine="480" w:firstLineChars="200"/>
        <w:rPr>
          <w:rFonts w:hAnsi="宋体" w:cs="宋体"/>
          <w:sz w:val="24"/>
          <w:szCs w:val="24"/>
          <w:highlight w:val="none"/>
        </w:rPr>
      </w:pPr>
      <w:r>
        <w:rPr>
          <w:rFonts w:hint="eastAsia" w:hAnsi="宋体" w:cs="宋体"/>
          <w:sz w:val="24"/>
          <w:szCs w:val="24"/>
          <w:highlight w:val="none"/>
        </w:rPr>
        <w:t>4、投标人单位及其现任法定代表人、主要负责人不得具有行贿犯罪记录。</w:t>
      </w:r>
    </w:p>
    <w:p>
      <w:pPr>
        <w:autoSpaceDE w:val="0"/>
        <w:spacing w:line="500" w:lineRule="exact"/>
        <w:ind w:firstLine="480" w:firstLineChars="200"/>
        <w:rPr>
          <w:rFonts w:hAnsi="宋体" w:cs="宋体"/>
          <w:sz w:val="24"/>
          <w:szCs w:val="24"/>
          <w:highlight w:val="none"/>
        </w:rPr>
      </w:pPr>
      <w:r>
        <w:rPr>
          <w:rFonts w:hint="eastAsia" w:hAnsi="宋体" w:cs="宋体"/>
          <w:sz w:val="24"/>
          <w:szCs w:val="24"/>
          <w:highlight w:val="none"/>
        </w:rPr>
        <w:t>5、投标人“截至投标截止日未被列入失信被执行人、重大税收违法案件当事人、政府采购严重违法失信行为记录名单”。</w:t>
      </w:r>
    </w:p>
    <w:p>
      <w:pPr>
        <w:autoSpaceDE w:val="0"/>
        <w:spacing w:line="500" w:lineRule="exact"/>
        <w:ind w:firstLine="480" w:firstLineChars="200"/>
        <w:rPr>
          <w:rFonts w:hAnsi="宋体" w:cs="宋体"/>
          <w:sz w:val="24"/>
          <w:szCs w:val="24"/>
          <w:highlight w:val="none"/>
        </w:rPr>
      </w:pPr>
      <w:r>
        <w:rPr>
          <w:rFonts w:hint="eastAsia" w:hAnsi="宋体" w:cs="宋体"/>
          <w:sz w:val="24"/>
          <w:szCs w:val="24"/>
          <w:highlight w:val="none"/>
        </w:rPr>
        <w:t>6、本项目不接受联合体投标。</w:t>
      </w:r>
    </w:p>
    <w:p>
      <w:pPr>
        <w:autoSpaceDE w:val="0"/>
        <w:spacing w:line="500" w:lineRule="exact"/>
        <w:ind w:firstLine="480" w:firstLineChars="200"/>
        <w:rPr>
          <w:rFonts w:hAnsi="宋体" w:cs="宋体"/>
          <w:sz w:val="24"/>
          <w:szCs w:val="24"/>
          <w:highlight w:val="none"/>
        </w:rPr>
      </w:pPr>
      <w:r>
        <w:rPr>
          <w:rFonts w:hint="eastAsia" w:hAnsi="宋体" w:cs="宋体"/>
          <w:sz w:val="24"/>
          <w:szCs w:val="24"/>
          <w:highlight w:val="none"/>
        </w:rPr>
        <w:t>7.</w:t>
      </w:r>
      <w:r>
        <w:rPr>
          <w:rFonts w:hint="eastAsia" w:hAnsi="宋体" w:cs="宋体"/>
          <w:sz w:val="24"/>
          <w:szCs w:val="22"/>
          <w:highlight w:val="none"/>
        </w:rPr>
        <w:t>落实政府采购政策需满足的资格要求：本项目专门面向中小企业采购(监狱企业、残疾人福利性单位均视同小微企业)，非中小企业参与的将视为无效响应。</w:t>
      </w:r>
    </w:p>
    <w:p>
      <w:pPr>
        <w:spacing w:after="50" w:line="500" w:lineRule="exact"/>
        <w:ind w:firstLine="482" w:firstLineChars="200"/>
        <w:rPr>
          <w:b/>
          <w:sz w:val="24"/>
          <w:highlight w:val="none"/>
        </w:rPr>
      </w:pPr>
      <w:r>
        <w:rPr>
          <w:rFonts w:hint="eastAsia"/>
          <w:b/>
          <w:sz w:val="24"/>
          <w:highlight w:val="none"/>
        </w:rPr>
        <w:t>六、禁止参加本次采购活动的投标人</w:t>
      </w:r>
    </w:p>
    <w:p>
      <w:pPr>
        <w:spacing w:after="50" w:line="500" w:lineRule="exact"/>
        <w:ind w:firstLine="480" w:firstLineChars="200"/>
        <w:rPr>
          <w:bCs/>
          <w:sz w:val="24"/>
          <w:szCs w:val="22"/>
          <w:highlight w:val="none"/>
        </w:rPr>
      </w:pPr>
      <w:r>
        <w:rPr>
          <w:rFonts w:hint="eastAsia"/>
          <w:bCs/>
          <w:sz w:val="24"/>
          <w:szCs w:val="22"/>
          <w:highlight w:val="none"/>
        </w:rPr>
        <w:t>根据《关于在政府采购活动中查询及使用信用记录有关问题的通知》（财库〔2016〕125 号）的要求，采购代理机构将通过“信用中国”网站（www.creditchina.gov.cn）、“中国政府采购网”网站（www.ccgp.gov.cn）等渠道查询投标人在投标截止日前的信用记录并保存信用记录结果网页截图，拒绝列入失信被执行人、重大税收违法案件当事人名单、政府采购严重违法失信行为记录名单中的投标人报名参加本项目的采购活动。</w:t>
      </w:r>
    </w:p>
    <w:p>
      <w:pPr>
        <w:spacing w:after="50" w:line="500" w:lineRule="exact"/>
        <w:ind w:firstLine="482" w:firstLineChars="200"/>
        <w:rPr>
          <w:b/>
          <w:sz w:val="24"/>
          <w:highlight w:val="none"/>
        </w:rPr>
      </w:pPr>
      <w:r>
        <w:rPr>
          <w:rFonts w:hint="eastAsia"/>
          <w:b/>
          <w:sz w:val="24"/>
          <w:highlight w:val="none"/>
        </w:rPr>
        <w:t>七、招标文件发售时间、地点：</w:t>
      </w:r>
    </w:p>
    <w:p>
      <w:pPr>
        <w:spacing w:after="50" w:line="500" w:lineRule="exact"/>
        <w:ind w:firstLine="480" w:firstLineChars="200"/>
        <w:rPr>
          <w:rFonts w:hAnsi="宋体" w:cs="宋体"/>
          <w:sz w:val="24"/>
          <w:szCs w:val="24"/>
          <w:highlight w:val="none"/>
        </w:rPr>
      </w:pPr>
      <w:r>
        <w:rPr>
          <w:rFonts w:hint="eastAsia"/>
          <w:sz w:val="24"/>
          <w:highlight w:val="none"/>
        </w:rPr>
        <w:t>招标文件发售时间：2021年</w:t>
      </w:r>
      <w:r>
        <w:rPr>
          <w:rFonts w:hint="eastAsia"/>
          <w:sz w:val="24"/>
          <w:highlight w:val="none"/>
          <w:lang w:val="en-US" w:eastAsia="zh-CN"/>
        </w:rPr>
        <w:t>7</w:t>
      </w:r>
      <w:r>
        <w:rPr>
          <w:rFonts w:hint="eastAsia"/>
          <w:sz w:val="24"/>
          <w:highlight w:val="none"/>
        </w:rPr>
        <w:t>月</w:t>
      </w:r>
      <w:r>
        <w:rPr>
          <w:rFonts w:hint="eastAsia"/>
          <w:sz w:val="24"/>
          <w:highlight w:val="none"/>
          <w:lang w:val="en-US" w:eastAsia="zh-CN"/>
        </w:rPr>
        <w:t>20</w:t>
      </w:r>
      <w:r>
        <w:rPr>
          <w:rFonts w:hint="eastAsia"/>
          <w:sz w:val="24"/>
          <w:highlight w:val="none"/>
        </w:rPr>
        <w:t>日至2021年</w:t>
      </w:r>
      <w:r>
        <w:rPr>
          <w:rFonts w:hint="eastAsia"/>
          <w:sz w:val="24"/>
          <w:highlight w:val="none"/>
          <w:lang w:val="en-US" w:eastAsia="zh-CN"/>
        </w:rPr>
        <w:t>7</w:t>
      </w:r>
      <w:r>
        <w:rPr>
          <w:rFonts w:hint="eastAsia"/>
          <w:sz w:val="24"/>
          <w:highlight w:val="none"/>
        </w:rPr>
        <w:t>月</w:t>
      </w:r>
      <w:r>
        <w:rPr>
          <w:rFonts w:hint="eastAsia"/>
          <w:sz w:val="24"/>
          <w:highlight w:val="none"/>
          <w:lang w:val="en-US" w:eastAsia="zh-CN"/>
        </w:rPr>
        <w:t>27</w:t>
      </w:r>
      <w:r>
        <w:rPr>
          <w:rFonts w:hint="eastAsia"/>
          <w:sz w:val="24"/>
          <w:highlight w:val="none"/>
        </w:rPr>
        <w:t>日</w:t>
      </w:r>
      <w:r>
        <w:rPr>
          <w:rFonts w:hint="eastAsia"/>
          <w:sz w:val="24"/>
          <w:szCs w:val="28"/>
          <w:highlight w:val="none"/>
        </w:rPr>
        <w:t>（</w:t>
      </w:r>
      <w:r>
        <w:rPr>
          <w:rFonts w:hint="eastAsia" w:hAnsi="宋体" w:cs="宋体"/>
          <w:sz w:val="24"/>
          <w:szCs w:val="24"/>
          <w:highlight w:val="none"/>
        </w:rPr>
        <w:t>每天上午9:00-12:00，下午14:00-17:00</w:t>
      </w:r>
      <w:r>
        <w:rPr>
          <w:rFonts w:hint="eastAsia"/>
          <w:sz w:val="24"/>
          <w:szCs w:val="28"/>
          <w:highlight w:val="none"/>
        </w:rPr>
        <w:t>，法定节假日除外），</w:t>
      </w:r>
      <w:r>
        <w:rPr>
          <w:rFonts w:hint="eastAsia" w:hAnsi="宋体" w:cs="宋体"/>
          <w:sz w:val="24"/>
          <w:szCs w:val="24"/>
          <w:highlight w:val="none"/>
        </w:rPr>
        <w:t>通过官网售卖或现场售卖的方式获取。如在规定时间内未领取招标文件并登记备案的投标人均无资格参加该项目的投标。</w:t>
      </w:r>
    </w:p>
    <w:p>
      <w:pPr>
        <w:spacing w:line="440" w:lineRule="exact"/>
        <w:ind w:firstLine="480" w:firstLineChars="200"/>
        <w:rPr>
          <w:rFonts w:hAnsi="宋体" w:cs="宋体"/>
          <w:kern w:val="2"/>
          <w:sz w:val="24"/>
          <w:szCs w:val="22"/>
          <w:highlight w:val="none"/>
        </w:rPr>
      </w:pPr>
      <w:r>
        <w:rPr>
          <w:rFonts w:hint="eastAsia" w:hAnsi="宋体" w:cs="宋体"/>
          <w:kern w:val="2"/>
          <w:sz w:val="24"/>
          <w:szCs w:val="22"/>
          <w:highlight w:val="none"/>
        </w:rPr>
        <w:t>1、</w:t>
      </w:r>
      <w:r>
        <w:rPr>
          <w:rFonts w:hint="eastAsia" w:hAnsi="宋体" w:cs="宋体"/>
          <w:sz w:val="24"/>
          <w:szCs w:val="24"/>
          <w:highlight w:val="none"/>
        </w:rPr>
        <w:t>官网售卖：招标代理机构指定网站(http://www.biaoyuanzhaobiao.com/)标书售卖系统购买。</w:t>
      </w:r>
    </w:p>
    <w:p>
      <w:pPr>
        <w:pStyle w:val="37"/>
        <w:spacing w:line="460" w:lineRule="exact"/>
        <w:ind w:firstLine="480"/>
        <w:rPr>
          <w:rFonts w:hAnsi="宋体" w:cs="宋体"/>
          <w:sz w:val="24"/>
          <w:szCs w:val="24"/>
          <w:highlight w:val="none"/>
        </w:rPr>
      </w:pPr>
      <w:r>
        <w:rPr>
          <w:rFonts w:hint="eastAsia" w:hAnsi="宋体" w:cs="宋体"/>
          <w:kern w:val="2"/>
          <w:sz w:val="24"/>
          <w:szCs w:val="22"/>
          <w:highlight w:val="none"/>
        </w:rPr>
        <w:t>2、现场购买地址：</w:t>
      </w:r>
      <w:r>
        <w:rPr>
          <w:rFonts w:hint="eastAsia" w:hAnsi="宋体"/>
          <w:sz w:val="24"/>
          <w:szCs w:val="24"/>
          <w:highlight w:val="none"/>
        </w:rPr>
        <w:t>四川省成都市金牛区兴盛西路2号6栋B座13楼（郦湾国际酒店右侧）</w:t>
      </w:r>
      <w:r>
        <w:rPr>
          <w:rFonts w:hint="eastAsia" w:hAnsi="宋体" w:cs="宋体"/>
          <w:sz w:val="24"/>
          <w:szCs w:val="24"/>
          <w:highlight w:val="none"/>
        </w:rPr>
        <w:t>。</w:t>
      </w:r>
    </w:p>
    <w:p>
      <w:pPr>
        <w:spacing w:after="50" w:line="460" w:lineRule="exact"/>
        <w:ind w:firstLine="482" w:firstLineChars="200"/>
        <w:rPr>
          <w:b/>
          <w:bCs/>
          <w:sz w:val="24"/>
          <w:highlight w:val="none"/>
        </w:rPr>
      </w:pPr>
      <w:r>
        <w:rPr>
          <w:rFonts w:hint="eastAsia"/>
          <w:b/>
          <w:bCs/>
          <w:sz w:val="24"/>
          <w:highlight w:val="none"/>
        </w:rPr>
        <w:t>投标人在购买招标文件时须携带以下有效证明文件：</w:t>
      </w:r>
    </w:p>
    <w:p>
      <w:pPr>
        <w:spacing w:after="50" w:line="460" w:lineRule="exact"/>
        <w:ind w:firstLine="480" w:firstLineChars="200"/>
        <w:rPr>
          <w:sz w:val="24"/>
          <w:highlight w:val="none"/>
        </w:rPr>
      </w:pPr>
      <w:r>
        <w:rPr>
          <w:rFonts w:hint="eastAsia"/>
          <w:sz w:val="24"/>
          <w:highlight w:val="none"/>
        </w:rPr>
        <w:t>投标人为法人或者其他组织的，只需提供单位介绍信原件（格式自拟）、加盖单位鲜章的经办人身份证明复印件；投标人为自然人的，只需提供本人身份证明复印件。投标人应提前填写《报名登记表》（格式详见附件一），</w:t>
      </w:r>
      <w:r>
        <w:rPr>
          <w:rFonts w:hint="eastAsia"/>
          <w:bCs/>
          <w:sz w:val="24"/>
          <w:highlight w:val="none"/>
        </w:rPr>
        <w:t>在获取招标文件时</w:t>
      </w:r>
      <w:r>
        <w:rPr>
          <w:rFonts w:hint="eastAsia"/>
          <w:sz w:val="24"/>
          <w:highlight w:val="none"/>
        </w:rPr>
        <w:t>以扫描件形式将《报名登记表》提交代理机构，完成报名手续。</w:t>
      </w:r>
    </w:p>
    <w:p>
      <w:pPr>
        <w:spacing w:after="50" w:line="460" w:lineRule="exact"/>
        <w:ind w:firstLine="480" w:firstLineChars="200"/>
        <w:rPr>
          <w:sz w:val="24"/>
          <w:highlight w:val="none"/>
        </w:rPr>
      </w:pPr>
      <w:r>
        <w:rPr>
          <w:rFonts w:hint="eastAsia"/>
          <w:sz w:val="24"/>
          <w:szCs w:val="24"/>
          <w:highlight w:val="none"/>
        </w:rPr>
        <w:t>以上资料身份证明文件现场购买时带原件查验，采购代理机构留存加盖公章的身份证明文件复印件及单位介绍信原件。</w:t>
      </w:r>
      <w:r>
        <w:rPr>
          <w:rFonts w:hint="eastAsia"/>
          <w:sz w:val="24"/>
          <w:highlight w:val="none"/>
        </w:rPr>
        <w:t>投标人购买招标文件时必须如实认真填写项目信息及投标人信息；若因投标人提供的信息错误，对自身投标事宜造成影响的，由投标人自行承担责任。</w:t>
      </w:r>
    </w:p>
    <w:p>
      <w:pPr>
        <w:spacing w:afterLines="50" w:line="460" w:lineRule="exact"/>
        <w:ind w:firstLine="482" w:firstLineChars="200"/>
        <w:rPr>
          <w:b/>
          <w:sz w:val="24"/>
          <w:szCs w:val="28"/>
          <w:highlight w:val="none"/>
        </w:rPr>
      </w:pPr>
      <w:r>
        <w:rPr>
          <w:rFonts w:hint="eastAsia"/>
          <w:b/>
          <w:sz w:val="24"/>
          <w:szCs w:val="28"/>
          <w:highlight w:val="none"/>
        </w:rPr>
        <w:t>八、招标文件售价：人民币0元/份（招标文件售后不退, 投标资格不能转让）。</w:t>
      </w:r>
    </w:p>
    <w:p>
      <w:pPr>
        <w:spacing w:afterLines="50" w:line="460" w:lineRule="exact"/>
        <w:ind w:firstLine="482" w:firstLineChars="200"/>
        <w:rPr>
          <w:b/>
          <w:sz w:val="24"/>
          <w:highlight w:val="none"/>
        </w:rPr>
      </w:pPr>
      <w:r>
        <w:rPr>
          <w:rFonts w:hint="eastAsia"/>
          <w:b/>
          <w:sz w:val="24"/>
          <w:szCs w:val="28"/>
          <w:highlight w:val="none"/>
        </w:rPr>
        <w:t>九、</w:t>
      </w:r>
      <w:r>
        <w:rPr>
          <w:rFonts w:hint="eastAsia"/>
          <w:b/>
          <w:sz w:val="24"/>
          <w:highlight w:val="none"/>
        </w:rPr>
        <w:t>投标截止时间：</w:t>
      </w:r>
      <w:r>
        <w:rPr>
          <w:rFonts w:hint="eastAsia"/>
          <w:b/>
          <w:bCs/>
          <w:sz w:val="24"/>
          <w:highlight w:val="none"/>
        </w:rPr>
        <w:t>2021年</w:t>
      </w:r>
      <w:r>
        <w:rPr>
          <w:rFonts w:hint="eastAsia"/>
          <w:b/>
          <w:bCs/>
          <w:sz w:val="24"/>
          <w:highlight w:val="none"/>
          <w:lang w:val="en-US" w:eastAsia="zh-CN"/>
        </w:rPr>
        <w:t>8</w:t>
      </w:r>
      <w:r>
        <w:rPr>
          <w:rFonts w:hint="eastAsia"/>
          <w:b/>
          <w:bCs/>
          <w:sz w:val="24"/>
          <w:highlight w:val="none"/>
        </w:rPr>
        <w:t>月</w:t>
      </w:r>
      <w:r>
        <w:rPr>
          <w:rFonts w:hint="eastAsia"/>
          <w:b/>
          <w:bCs/>
          <w:sz w:val="24"/>
          <w:highlight w:val="none"/>
          <w:lang w:val="en-US" w:eastAsia="zh-CN"/>
        </w:rPr>
        <w:t>10</w:t>
      </w:r>
      <w:r>
        <w:rPr>
          <w:rFonts w:hint="eastAsia"/>
          <w:b/>
          <w:bCs/>
          <w:sz w:val="24"/>
          <w:highlight w:val="none"/>
        </w:rPr>
        <w:t>日</w:t>
      </w:r>
      <w:r>
        <w:rPr>
          <w:rFonts w:hint="eastAsia"/>
          <w:b/>
          <w:bCs/>
          <w:sz w:val="24"/>
          <w:highlight w:val="none"/>
          <w:lang w:val="en-US" w:eastAsia="zh-CN"/>
        </w:rPr>
        <w:t>10</w:t>
      </w:r>
      <w:r>
        <w:rPr>
          <w:rFonts w:hint="eastAsia"/>
          <w:b/>
          <w:bCs/>
          <w:sz w:val="24"/>
          <w:highlight w:val="none"/>
        </w:rPr>
        <w:t>:</w:t>
      </w:r>
      <w:r>
        <w:rPr>
          <w:rFonts w:hint="eastAsia"/>
          <w:b/>
          <w:bCs/>
          <w:sz w:val="24"/>
          <w:highlight w:val="none"/>
          <w:lang w:val="en-US" w:eastAsia="zh-CN"/>
        </w:rPr>
        <w:t>3</w:t>
      </w:r>
      <w:r>
        <w:rPr>
          <w:rFonts w:hint="eastAsia"/>
          <w:b/>
          <w:bCs/>
          <w:sz w:val="24"/>
          <w:highlight w:val="none"/>
        </w:rPr>
        <w:t>0（</w:t>
      </w:r>
      <w:r>
        <w:rPr>
          <w:rFonts w:hint="eastAsia"/>
          <w:sz w:val="24"/>
          <w:szCs w:val="28"/>
          <w:highlight w:val="none"/>
        </w:rPr>
        <w:t>北京时间）。</w:t>
      </w:r>
    </w:p>
    <w:p>
      <w:pPr>
        <w:spacing w:afterLines="50" w:line="460" w:lineRule="exact"/>
        <w:ind w:firstLine="482" w:firstLineChars="200"/>
        <w:rPr>
          <w:sz w:val="24"/>
          <w:szCs w:val="28"/>
          <w:highlight w:val="none"/>
        </w:rPr>
      </w:pPr>
      <w:r>
        <w:rPr>
          <w:rFonts w:hint="eastAsia"/>
          <w:b/>
          <w:sz w:val="24"/>
          <w:highlight w:val="none"/>
        </w:rPr>
        <w:t xml:space="preserve">    开标时间：</w:t>
      </w:r>
      <w:r>
        <w:rPr>
          <w:rFonts w:hint="eastAsia"/>
          <w:b/>
          <w:bCs/>
          <w:sz w:val="24"/>
          <w:highlight w:val="none"/>
        </w:rPr>
        <w:t>2021年</w:t>
      </w:r>
      <w:r>
        <w:rPr>
          <w:rFonts w:hint="eastAsia"/>
          <w:b/>
          <w:bCs/>
          <w:sz w:val="24"/>
          <w:highlight w:val="none"/>
          <w:lang w:val="en-US" w:eastAsia="zh-CN"/>
        </w:rPr>
        <w:t>8</w:t>
      </w:r>
      <w:r>
        <w:rPr>
          <w:rFonts w:hint="eastAsia"/>
          <w:b/>
          <w:bCs/>
          <w:sz w:val="24"/>
          <w:highlight w:val="none"/>
        </w:rPr>
        <w:t>月</w:t>
      </w:r>
      <w:r>
        <w:rPr>
          <w:rFonts w:hint="eastAsia"/>
          <w:b/>
          <w:bCs/>
          <w:sz w:val="24"/>
          <w:highlight w:val="none"/>
          <w:lang w:val="en-US" w:eastAsia="zh-CN"/>
        </w:rPr>
        <w:t>10</w:t>
      </w:r>
      <w:r>
        <w:rPr>
          <w:rFonts w:hint="eastAsia"/>
          <w:b/>
          <w:bCs/>
          <w:sz w:val="24"/>
          <w:highlight w:val="none"/>
        </w:rPr>
        <w:t>日</w:t>
      </w:r>
      <w:r>
        <w:rPr>
          <w:rFonts w:hint="eastAsia"/>
          <w:b/>
          <w:bCs/>
          <w:sz w:val="24"/>
          <w:highlight w:val="none"/>
          <w:lang w:val="en-US" w:eastAsia="zh-CN"/>
        </w:rPr>
        <w:t>10</w:t>
      </w:r>
      <w:r>
        <w:rPr>
          <w:rFonts w:hint="eastAsia"/>
          <w:b/>
          <w:bCs/>
          <w:sz w:val="24"/>
          <w:highlight w:val="none"/>
        </w:rPr>
        <w:t>:</w:t>
      </w:r>
      <w:r>
        <w:rPr>
          <w:rFonts w:hint="eastAsia"/>
          <w:b/>
          <w:bCs/>
          <w:sz w:val="24"/>
          <w:highlight w:val="none"/>
          <w:lang w:val="en-US" w:eastAsia="zh-CN"/>
        </w:rPr>
        <w:t>3</w:t>
      </w:r>
      <w:r>
        <w:rPr>
          <w:rFonts w:hint="eastAsia"/>
          <w:b/>
          <w:bCs/>
          <w:sz w:val="24"/>
          <w:highlight w:val="none"/>
        </w:rPr>
        <w:t>0</w:t>
      </w:r>
      <w:r>
        <w:rPr>
          <w:rFonts w:hint="eastAsia"/>
          <w:sz w:val="24"/>
          <w:szCs w:val="28"/>
          <w:highlight w:val="none"/>
        </w:rPr>
        <w:t>（北京时间）。</w:t>
      </w:r>
    </w:p>
    <w:p>
      <w:pPr>
        <w:spacing w:afterLines="50" w:line="460" w:lineRule="exact"/>
        <w:ind w:firstLine="480" w:firstLineChars="200"/>
        <w:rPr>
          <w:sz w:val="24"/>
          <w:szCs w:val="28"/>
          <w:highlight w:val="none"/>
        </w:rPr>
      </w:pPr>
      <w:r>
        <w:rPr>
          <w:rFonts w:hint="eastAsia"/>
          <w:sz w:val="24"/>
          <w:szCs w:val="28"/>
          <w:highlight w:val="none"/>
        </w:rPr>
        <w:t>投标文件应在开标当日投标截止时间前送达开标地点，本次招标不接受以电子邮件、传真及邮寄方式递交的投标文件。逾期送达的投标文件不予接收。</w:t>
      </w:r>
    </w:p>
    <w:p>
      <w:pPr>
        <w:spacing w:afterLines="50" w:line="460" w:lineRule="exact"/>
        <w:ind w:firstLine="480" w:firstLineChars="200"/>
        <w:rPr>
          <w:sz w:val="24"/>
          <w:szCs w:val="28"/>
          <w:highlight w:val="none"/>
        </w:rPr>
      </w:pPr>
      <w:r>
        <w:rPr>
          <w:rFonts w:hint="eastAsia"/>
          <w:sz w:val="24"/>
          <w:szCs w:val="28"/>
          <w:highlight w:val="none"/>
        </w:rPr>
        <w:t>请投标人按时参与本项目的开标，投标人未参加开标的，视同认可开标结果。</w:t>
      </w:r>
    </w:p>
    <w:p>
      <w:pPr>
        <w:spacing w:after="50" w:line="460" w:lineRule="exact"/>
        <w:ind w:firstLine="489" w:firstLineChars="203"/>
        <w:rPr>
          <w:sz w:val="24"/>
          <w:szCs w:val="28"/>
          <w:highlight w:val="none"/>
        </w:rPr>
      </w:pPr>
      <w:r>
        <w:rPr>
          <w:rFonts w:hint="eastAsia"/>
          <w:b/>
          <w:sz w:val="24"/>
          <w:szCs w:val="28"/>
          <w:highlight w:val="none"/>
        </w:rPr>
        <w:t>十、投标文件递交地点及</w:t>
      </w:r>
      <w:r>
        <w:rPr>
          <w:rFonts w:hint="eastAsia"/>
          <w:b/>
          <w:bCs/>
          <w:sz w:val="24"/>
          <w:szCs w:val="28"/>
          <w:highlight w:val="none"/>
        </w:rPr>
        <w:t>开标地点</w:t>
      </w:r>
      <w:r>
        <w:rPr>
          <w:rFonts w:hint="eastAsia"/>
          <w:sz w:val="24"/>
          <w:szCs w:val="28"/>
          <w:highlight w:val="none"/>
        </w:rPr>
        <w:t>：四川省成都市金牛区兴盛西路2号6栋B座13楼（郦湾国际酒店右侧）。</w:t>
      </w:r>
    </w:p>
    <w:p>
      <w:pPr>
        <w:pStyle w:val="37"/>
        <w:spacing w:line="460" w:lineRule="exact"/>
        <w:ind w:firstLine="482"/>
        <w:rPr>
          <w:sz w:val="24"/>
          <w:highlight w:val="none"/>
        </w:rPr>
      </w:pPr>
      <w:r>
        <w:rPr>
          <w:rFonts w:hint="eastAsia"/>
          <w:b/>
          <w:sz w:val="24"/>
          <w:highlight w:val="none"/>
        </w:rPr>
        <w:t>十一、</w:t>
      </w:r>
      <w:r>
        <w:rPr>
          <w:rFonts w:hint="eastAsia"/>
          <w:sz w:val="24"/>
          <w:highlight w:val="none"/>
        </w:rPr>
        <w:t>本投标邀请在四川政府采购网（www.ccgp-sichuan.gov.cn）上以公告形式发布，公告期限为发布之日起 5 个工作日。</w:t>
      </w:r>
    </w:p>
    <w:p>
      <w:pPr>
        <w:pStyle w:val="37"/>
        <w:spacing w:line="460" w:lineRule="exact"/>
        <w:ind w:firstLine="482"/>
        <w:rPr>
          <w:b/>
          <w:sz w:val="24"/>
          <w:highlight w:val="none"/>
        </w:rPr>
      </w:pPr>
      <w:r>
        <w:rPr>
          <w:rFonts w:hint="eastAsia"/>
          <w:b/>
          <w:sz w:val="24"/>
          <w:highlight w:val="none"/>
        </w:rPr>
        <w:t>十二、联系方式</w:t>
      </w:r>
    </w:p>
    <w:p>
      <w:pPr>
        <w:pStyle w:val="37"/>
        <w:spacing w:line="460" w:lineRule="exact"/>
        <w:ind w:firstLine="482"/>
        <w:rPr>
          <w:b/>
          <w:sz w:val="24"/>
          <w:highlight w:val="none"/>
        </w:rPr>
      </w:pPr>
      <w:r>
        <w:rPr>
          <w:rFonts w:hint="eastAsia"/>
          <w:b/>
          <w:sz w:val="24"/>
          <w:highlight w:val="none"/>
        </w:rPr>
        <w:t>采 购 人：成都市殡仪馆</w:t>
      </w:r>
    </w:p>
    <w:p>
      <w:pPr>
        <w:pStyle w:val="37"/>
        <w:spacing w:line="460" w:lineRule="exact"/>
        <w:ind w:firstLine="480"/>
        <w:rPr>
          <w:sz w:val="24"/>
          <w:szCs w:val="22"/>
          <w:highlight w:val="none"/>
        </w:rPr>
      </w:pPr>
      <w:r>
        <w:rPr>
          <w:rFonts w:hint="eastAsia"/>
          <w:sz w:val="24"/>
          <w:szCs w:val="22"/>
          <w:highlight w:val="none"/>
        </w:rPr>
        <w:t>地址：成都市成华区蜀陵路998号</w:t>
      </w:r>
    </w:p>
    <w:p>
      <w:pPr>
        <w:pStyle w:val="37"/>
        <w:spacing w:line="460" w:lineRule="exact"/>
        <w:ind w:firstLine="480"/>
        <w:rPr>
          <w:sz w:val="24"/>
          <w:szCs w:val="22"/>
          <w:highlight w:val="none"/>
        </w:rPr>
      </w:pPr>
      <w:r>
        <w:rPr>
          <w:rFonts w:hint="eastAsia"/>
          <w:sz w:val="24"/>
          <w:szCs w:val="22"/>
          <w:highlight w:val="none"/>
        </w:rPr>
        <w:t>联 系 人：李老师</w:t>
      </w:r>
    </w:p>
    <w:p>
      <w:pPr>
        <w:pStyle w:val="37"/>
        <w:spacing w:line="460" w:lineRule="exact"/>
        <w:ind w:firstLine="480"/>
        <w:rPr>
          <w:sz w:val="24"/>
          <w:szCs w:val="22"/>
          <w:highlight w:val="none"/>
        </w:rPr>
      </w:pPr>
      <w:r>
        <w:rPr>
          <w:rFonts w:hint="eastAsia"/>
          <w:sz w:val="24"/>
          <w:szCs w:val="22"/>
          <w:highlight w:val="none"/>
        </w:rPr>
        <w:t>联系电话：028-61388063</w:t>
      </w:r>
    </w:p>
    <w:p>
      <w:pPr>
        <w:pStyle w:val="37"/>
        <w:spacing w:line="460" w:lineRule="exact"/>
        <w:ind w:firstLine="482"/>
        <w:rPr>
          <w:b/>
          <w:sz w:val="24"/>
          <w:highlight w:val="none"/>
        </w:rPr>
      </w:pPr>
      <w:r>
        <w:rPr>
          <w:rFonts w:hint="eastAsia"/>
          <w:b/>
          <w:sz w:val="24"/>
          <w:highlight w:val="none"/>
        </w:rPr>
        <w:t>采购代理机构：</w:t>
      </w:r>
      <w:r>
        <w:rPr>
          <w:rFonts w:hint="eastAsia" w:hAnsi="宋体"/>
          <w:b/>
          <w:sz w:val="24"/>
          <w:szCs w:val="24"/>
          <w:highlight w:val="none"/>
        </w:rPr>
        <w:t>四川标源招标代理有限公司</w:t>
      </w:r>
    </w:p>
    <w:p>
      <w:pPr>
        <w:pStyle w:val="37"/>
        <w:spacing w:line="460" w:lineRule="exact"/>
        <w:ind w:firstLine="480"/>
        <w:rPr>
          <w:sz w:val="24"/>
          <w:highlight w:val="none"/>
        </w:rPr>
      </w:pPr>
      <w:r>
        <w:rPr>
          <w:rFonts w:hint="eastAsia"/>
          <w:sz w:val="24"/>
          <w:highlight w:val="none"/>
        </w:rPr>
        <w:t>地    址：</w:t>
      </w:r>
      <w:r>
        <w:rPr>
          <w:rFonts w:hint="eastAsia" w:hAnsi="宋体"/>
          <w:sz w:val="24"/>
          <w:szCs w:val="24"/>
          <w:highlight w:val="none"/>
        </w:rPr>
        <w:t>四川省成都市金牛区兴盛西路2号6栋B座13楼（郦湾国际酒店右侧）</w:t>
      </w:r>
    </w:p>
    <w:p>
      <w:pPr>
        <w:pStyle w:val="37"/>
        <w:spacing w:line="460" w:lineRule="exact"/>
        <w:ind w:firstLine="480"/>
        <w:rPr>
          <w:sz w:val="24"/>
          <w:highlight w:val="none"/>
        </w:rPr>
      </w:pPr>
      <w:r>
        <w:rPr>
          <w:rFonts w:hint="eastAsia"/>
          <w:sz w:val="24"/>
          <w:highlight w:val="none"/>
        </w:rPr>
        <w:t>邮    编：</w:t>
      </w:r>
      <w:r>
        <w:rPr>
          <w:rFonts w:hint="eastAsia" w:hAnsi="宋体"/>
          <w:sz w:val="24"/>
          <w:szCs w:val="24"/>
          <w:highlight w:val="none"/>
        </w:rPr>
        <w:t>610037</w:t>
      </w:r>
    </w:p>
    <w:p>
      <w:pPr>
        <w:pStyle w:val="37"/>
        <w:spacing w:line="460" w:lineRule="exact"/>
        <w:ind w:firstLine="480"/>
        <w:rPr>
          <w:sz w:val="24"/>
          <w:highlight w:val="none"/>
        </w:rPr>
      </w:pPr>
      <w:r>
        <w:rPr>
          <w:rFonts w:hint="eastAsia"/>
          <w:sz w:val="24"/>
          <w:highlight w:val="none"/>
        </w:rPr>
        <w:t>联 系 人：</w:t>
      </w:r>
      <w:r>
        <w:rPr>
          <w:rFonts w:hint="eastAsia" w:hAnsi="宋体"/>
          <w:sz w:val="24"/>
          <w:szCs w:val="24"/>
          <w:highlight w:val="none"/>
        </w:rPr>
        <w:t>田女士</w:t>
      </w:r>
    </w:p>
    <w:p>
      <w:pPr>
        <w:pStyle w:val="37"/>
        <w:spacing w:line="460" w:lineRule="exact"/>
        <w:ind w:firstLine="480"/>
        <w:rPr>
          <w:rFonts w:hAnsi="宋体"/>
          <w:sz w:val="24"/>
          <w:szCs w:val="24"/>
          <w:highlight w:val="none"/>
        </w:rPr>
      </w:pPr>
      <w:r>
        <w:rPr>
          <w:rFonts w:hint="eastAsia"/>
          <w:sz w:val="24"/>
          <w:highlight w:val="none"/>
        </w:rPr>
        <w:t>项目咨询电话：</w:t>
      </w:r>
      <w:r>
        <w:rPr>
          <w:rFonts w:hint="eastAsia" w:hAnsi="宋体"/>
          <w:sz w:val="24"/>
          <w:szCs w:val="24"/>
          <w:highlight w:val="none"/>
        </w:rPr>
        <w:t>028-87791929、</w:t>
      </w:r>
      <w:r>
        <w:rPr>
          <w:rFonts w:hint="eastAsia" w:hAnsi="宋体" w:cs="宋体"/>
          <w:sz w:val="24"/>
          <w:szCs w:val="24"/>
          <w:highlight w:val="none"/>
        </w:rPr>
        <w:t>18227601678（仅限技术咨询）</w:t>
      </w:r>
    </w:p>
    <w:p>
      <w:pPr>
        <w:pStyle w:val="37"/>
        <w:spacing w:line="460" w:lineRule="exact"/>
        <w:ind w:firstLine="480"/>
        <w:rPr>
          <w:rFonts w:hAnsi="宋体"/>
          <w:sz w:val="24"/>
          <w:szCs w:val="24"/>
          <w:highlight w:val="none"/>
        </w:rPr>
      </w:pPr>
      <w:r>
        <w:rPr>
          <w:rFonts w:hint="eastAsia" w:hAnsi="宋体"/>
          <w:sz w:val="24"/>
          <w:szCs w:val="24"/>
          <w:highlight w:val="none"/>
        </w:rPr>
        <w:t>标书售卖咨询电话：028-87791929</w:t>
      </w:r>
    </w:p>
    <w:p>
      <w:pPr>
        <w:pStyle w:val="2"/>
        <w:spacing w:line="440" w:lineRule="exact"/>
        <w:ind w:firstLine="480" w:firstLineChars="200"/>
        <w:rPr>
          <w:rStyle w:val="32"/>
          <w:rFonts w:asciiTheme="minorEastAsia" w:hAnsiTheme="minorEastAsia" w:eastAsiaTheme="minorEastAsia" w:cstheme="minorEastAsia"/>
          <w:color w:val="auto"/>
          <w:sz w:val="24"/>
          <w:szCs w:val="24"/>
          <w:highlight w:val="none"/>
          <w:u w:val="none"/>
        </w:rPr>
      </w:pPr>
      <w:r>
        <w:rPr>
          <w:rStyle w:val="32"/>
          <w:rFonts w:hint="eastAsia" w:asciiTheme="minorEastAsia" w:hAnsiTheme="minorEastAsia" w:eastAsiaTheme="minorEastAsia" w:cstheme="minorEastAsia"/>
          <w:color w:val="auto"/>
          <w:sz w:val="24"/>
          <w:szCs w:val="24"/>
          <w:highlight w:val="none"/>
          <w:u w:val="none"/>
        </w:rPr>
        <w:t>财务咨询电话（包括保证金、发票、通知书）：18180671505</w:t>
      </w:r>
    </w:p>
    <w:p>
      <w:pPr>
        <w:pStyle w:val="37"/>
        <w:spacing w:line="460" w:lineRule="exact"/>
        <w:ind w:firstLine="480"/>
        <w:rPr>
          <w:sz w:val="24"/>
          <w:highlight w:val="none"/>
        </w:rPr>
      </w:pPr>
      <w:r>
        <w:rPr>
          <w:rFonts w:hint="eastAsia"/>
          <w:sz w:val="24"/>
          <w:highlight w:val="none"/>
        </w:rPr>
        <w:t>传    真：</w:t>
      </w:r>
      <w:r>
        <w:rPr>
          <w:rFonts w:hint="eastAsia" w:hAnsi="宋体"/>
          <w:sz w:val="24"/>
          <w:szCs w:val="24"/>
          <w:highlight w:val="none"/>
        </w:rPr>
        <w:t>028-87791929</w:t>
      </w:r>
    </w:p>
    <w:p>
      <w:pPr>
        <w:pStyle w:val="37"/>
        <w:spacing w:line="460" w:lineRule="exact"/>
        <w:ind w:firstLine="480"/>
        <w:rPr>
          <w:rFonts w:hAnsi="宋体"/>
          <w:sz w:val="24"/>
          <w:szCs w:val="24"/>
          <w:highlight w:val="none"/>
        </w:rPr>
      </w:pPr>
      <w:r>
        <w:rPr>
          <w:rFonts w:hint="eastAsia"/>
          <w:sz w:val="24"/>
          <w:highlight w:val="none"/>
        </w:rPr>
        <w:t>电子邮件：</w:t>
      </w:r>
      <w:r>
        <w:rPr>
          <w:rFonts w:hint="eastAsia" w:hAnsi="宋体"/>
          <w:sz w:val="24"/>
          <w:szCs w:val="24"/>
          <w:highlight w:val="none"/>
        </w:rPr>
        <w:t>2337932433@QQ.com</w:t>
      </w:r>
    </w:p>
    <w:p>
      <w:pPr>
        <w:spacing w:line="480" w:lineRule="exact"/>
        <w:ind w:left="-680" w:leftChars="-200" w:firstLine="1200" w:firstLineChars="500"/>
        <w:rPr>
          <w:rFonts w:hAnsi="宋体"/>
          <w:b/>
          <w:sz w:val="24"/>
          <w:szCs w:val="24"/>
          <w:highlight w:val="none"/>
        </w:rPr>
      </w:pPr>
      <w:r>
        <w:rPr>
          <w:rFonts w:hint="eastAsia"/>
          <w:sz w:val="24"/>
          <w:highlight w:val="none"/>
        </w:rPr>
        <w:t>网    址：</w:t>
      </w:r>
      <w:r>
        <w:rPr>
          <w:rFonts w:hint="eastAsia"/>
          <w:highlight w:val="none"/>
        </w:rPr>
        <w:fldChar w:fldCharType="begin"/>
      </w:r>
      <w:r>
        <w:rPr>
          <w:highlight w:val="none"/>
        </w:rPr>
        <w:instrText xml:space="preserve"> HYPERLINK "http://www.biaoyuanzhaobiao.com"</w:instrText>
      </w:r>
      <w:r>
        <w:rPr>
          <w:rFonts w:hint="eastAsia"/>
          <w:highlight w:val="none"/>
        </w:rPr>
        <w:fldChar w:fldCharType="separate"/>
      </w:r>
      <w:r>
        <w:rPr>
          <w:rStyle w:val="32"/>
          <w:rFonts w:hint="eastAsia"/>
          <w:color w:val="auto"/>
          <w:sz w:val="24"/>
          <w:highlight w:val="none"/>
          <w:u w:val="none"/>
        </w:rPr>
        <w:t>www.biaoyuanzhaobiao.com</w:t>
      </w:r>
    </w:p>
    <w:p>
      <w:pPr>
        <w:spacing w:line="480" w:lineRule="exact"/>
        <w:ind w:left="-680" w:leftChars="-200" w:firstLine="482" w:firstLineChars="200"/>
        <w:rPr>
          <w:rFonts w:hAnsi="宋体"/>
          <w:b/>
          <w:sz w:val="24"/>
          <w:szCs w:val="24"/>
          <w:highlight w:val="none"/>
        </w:rPr>
      </w:pPr>
      <w:r>
        <w:rPr>
          <w:rFonts w:hint="eastAsia" w:hAnsi="宋体"/>
          <w:b/>
          <w:sz w:val="24"/>
          <w:szCs w:val="24"/>
          <w:highlight w:val="none"/>
        </w:rPr>
        <w:t>十三、</w:t>
      </w:r>
      <w:r>
        <w:rPr>
          <w:rFonts w:hAnsi="宋体"/>
          <w:b/>
          <w:sz w:val="24"/>
          <w:szCs w:val="24"/>
          <w:highlight w:val="none"/>
        </w:rPr>
        <w:t>“政采贷”</w:t>
      </w:r>
      <w:r>
        <w:rPr>
          <w:rFonts w:hint="eastAsia" w:hAnsi="宋体"/>
          <w:b/>
          <w:sz w:val="24"/>
          <w:szCs w:val="24"/>
          <w:highlight w:val="none"/>
        </w:rPr>
        <w:t>信用融资渠道</w:t>
      </w:r>
    </w:p>
    <w:p>
      <w:pPr>
        <w:spacing w:line="480" w:lineRule="exact"/>
        <w:ind w:firstLine="480" w:firstLineChars="200"/>
        <w:rPr>
          <w:rFonts w:hAnsi="宋体" w:cs="宋体"/>
          <w:bCs/>
          <w:sz w:val="24"/>
          <w:szCs w:val="22"/>
          <w:highlight w:val="none"/>
        </w:rPr>
      </w:pPr>
      <w:r>
        <w:rPr>
          <w:rStyle w:val="63"/>
          <w:rFonts w:hint="eastAsia" w:ascii="宋体" w:hAnsi="宋体" w:cs="宋体"/>
          <w:b w:val="0"/>
          <w:sz w:val="24"/>
          <w:szCs w:val="22"/>
          <w:highlight w:val="none"/>
        </w:rPr>
        <w:t>根据《四川省财政厅关于推进四川省政府采购供应商信用融资工作的通知》(川财采[2018]123号文)的通知，为解决政府采购</w:t>
      </w:r>
      <w:r>
        <w:rPr>
          <w:rStyle w:val="63"/>
          <w:rFonts w:hint="eastAsia" w:hAnsi="宋体" w:cs="宋体"/>
          <w:b w:val="0"/>
          <w:sz w:val="24"/>
          <w:szCs w:val="22"/>
          <w:highlight w:val="none"/>
        </w:rPr>
        <w:t>中标</w:t>
      </w:r>
      <w:r>
        <w:rPr>
          <w:rStyle w:val="63"/>
          <w:rFonts w:hint="eastAsia" w:ascii="宋体" w:hAnsi="宋体" w:cs="宋体"/>
          <w:b w:val="0"/>
          <w:sz w:val="24"/>
          <w:szCs w:val="22"/>
          <w:highlight w:val="none"/>
        </w:rPr>
        <w:t>供应商资金不足、融资难、融资贵的问题，现有融资需求的供应商可根据四川省政府采购网公示的银行及其“政采贷”产品，自行选择符合自身情况的“政采贷”银行及其产品，凭</w:t>
      </w:r>
      <w:r>
        <w:rPr>
          <w:rStyle w:val="63"/>
          <w:rFonts w:hint="eastAsia" w:hAnsi="宋体" w:cs="宋体"/>
          <w:b w:val="0"/>
          <w:sz w:val="24"/>
          <w:szCs w:val="22"/>
          <w:highlight w:val="none"/>
        </w:rPr>
        <w:t>中标</w:t>
      </w:r>
      <w:r>
        <w:rPr>
          <w:rStyle w:val="63"/>
          <w:rFonts w:hint="eastAsia" w:ascii="宋体" w:hAnsi="宋体" w:cs="宋体"/>
          <w:b w:val="0"/>
          <w:sz w:val="24"/>
          <w:szCs w:val="22"/>
          <w:highlight w:val="none"/>
        </w:rPr>
        <w:t>通知书向银行提出贷款意向申请。</w:t>
      </w:r>
      <w:r>
        <w:rPr>
          <w:rFonts w:hint="eastAsia" w:hAnsi="宋体" w:cs="宋体"/>
          <w:bCs/>
          <w:sz w:val="24"/>
          <w:szCs w:val="22"/>
          <w:highlight w:val="none"/>
        </w:rPr>
        <w:t>（具体内容详见采购文件附件“川财采〔2018〕123号”）</w:t>
      </w:r>
    </w:p>
    <w:p>
      <w:pPr>
        <w:spacing w:line="480" w:lineRule="exact"/>
        <w:ind w:firstLine="480" w:firstLineChars="200"/>
        <w:rPr>
          <w:rFonts w:hAnsi="宋体" w:cs="宋体"/>
          <w:sz w:val="24"/>
          <w:highlight w:val="none"/>
        </w:rPr>
      </w:pPr>
      <w:r>
        <w:rPr>
          <w:rFonts w:hint="eastAsia" w:hAnsi="宋体" w:cs="宋体"/>
          <w:sz w:val="24"/>
          <w:highlight w:val="none"/>
        </w:rPr>
        <w:t>为有效缓解中小企业融资难、融资贵问题，成都市财政局、中国人民银行成都分行营业管理部制定了《成都市中小企业政府采购信用融资暂行办法》和《成都市级支持中小企业政府采购信用融资实施方案》（成财采[2019]17号），成都市范围内政府采购项目成交的中小微企业可向开展政府采购信用融资业务的银行提出融资申请。（具体内容详见采购文件附件“成财采〔2019〕17号”）</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3"/>
        <w:gridCol w:w="4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39" w:type="dxa"/>
            <w:gridSpan w:val="2"/>
            <w:noWrap/>
          </w:tcPr>
          <w:p>
            <w:pPr>
              <w:spacing w:line="480" w:lineRule="exact"/>
              <w:jc w:val="center"/>
              <w:rPr>
                <w:rFonts w:hAnsi="宋体" w:cs="宋体"/>
                <w:sz w:val="24"/>
                <w:highlight w:val="none"/>
              </w:rPr>
            </w:pPr>
            <w:r>
              <w:rPr>
                <w:rFonts w:hAnsi="宋体" w:cs="宋体"/>
                <w:sz w:val="24"/>
                <w:highlight w:val="none"/>
              </w:rPr>
              <w:t>开展“政采贷”业务的银行名单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1.中国建设银行四川省分行</w:t>
            </w:r>
          </w:p>
        </w:tc>
        <w:tc>
          <w:tcPr>
            <w:tcW w:w="4536" w:type="dxa"/>
            <w:noWrap/>
          </w:tcPr>
          <w:p>
            <w:pPr>
              <w:spacing w:line="480" w:lineRule="exact"/>
              <w:jc w:val="left"/>
              <w:rPr>
                <w:rFonts w:hAnsi="宋体" w:cs="宋体"/>
                <w:sz w:val="24"/>
                <w:highlight w:val="none"/>
              </w:rPr>
            </w:pPr>
            <w:r>
              <w:rPr>
                <w:rFonts w:hAnsi="宋体" w:cs="宋体"/>
                <w:sz w:val="24"/>
                <w:highlight w:val="none"/>
              </w:rPr>
              <w:t>2.中国工商银行四川省分行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3.中国农业银行四川省分行</w:t>
            </w:r>
          </w:p>
        </w:tc>
        <w:tc>
          <w:tcPr>
            <w:tcW w:w="4536" w:type="dxa"/>
            <w:noWrap/>
          </w:tcPr>
          <w:p>
            <w:pPr>
              <w:spacing w:line="480" w:lineRule="exact"/>
              <w:jc w:val="left"/>
              <w:rPr>
                <w:rFonts w:hAnsi="宋体" w:cs="宋体"/>
                <w:sz w:val="24"/>
                <w:highlight w:val="none"/>
              </w:rPr>
            </w:pPr>
            <w:r>
              <w:rPr>
                <w:rFonts w:hAnsi="宋体" w:cs="宋体"/>
                <w:sz w:val="24"/>
                <w:highlight w:val="none"/>
              </w:rPr>
              <w:t>4.中国银行四川省分行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5.交通银行四川省分行</w:t>
            </w:r>
          </w:p>
        </w:tc>
        <w:tc>
          <w:tcPr>
            <w:tcW w:w="4536" w:type="dxa"/>
            <w:noWrap/>
          </w:tcPr>
          <w:p>
            <w:pPr>
              <w:spacing w:line="480" w:lineRule="exact"/>
              <w:jc w:val="left"/>
              <w:rPr>
                <w:rFonts w:hAnsi="宋体" w:cs="宋体"/>
                <w:sz w:val="24"/>
                <w:highlight w:val="none"/>
              </w:rPr>
            </w:pPr>
            <w:r>
              <w:rPr>
                <w:rFonts w:hAnsi="宋体" w:cs="宋体"/>
                <w:sz w:val="24"/>
                <w:highlight w:val="none"/>
              </w:rPr>
              <w:t>6.中国邮储银行四川省分行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7.华夏银行成都分行</w:t>
            </w:r>
          </w:p>
        </w:tc>
        <w:tc>
          <w:tcPr>
            <w:tcW w:w="4536" w:type="dxa"/>
            <w:noWrap/>
          </w:tcPr>
          <w:p>
            <w:pPr>
              <w:spacing w:line="480" w:lineRule="exact"/>
              <w:jc w:val="left"/>
              <w:rPr>
                <w:rFonts w:hAnsi="宋体" w:cs="宋体"/>
                <w:sz w:val="24"/>
                <w:highlight w:val="none"/>
              </w:rPr>
            </w:pPr>
            <w:r>
              <w:rPr>
                <w:rFonts w:hAnsi="宋体" w:cs="宋体"/>
                <w:sz w:val="24"/>
                <w:highlight w:val="none"/>
              </w:rPr>
              <w:t>8.民生银行成都分行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9.四川天府银行</w:t>
            </w:r>
          </w:p>
        </w:tc>
        <w:tc>
          <w:tcPr>
            <w:tcW w:w="4536" w:type="dxa"/>
            <w:noWrap/>
          </w:tcPr>
          <w:p>
            <w:pPr>
              <w:spacing w:line="480" w:lineRule="exact"/>
              <w:jc w:val="left"/>
              <w:rPr>
                <w:rFonts w:hAnsi="宋体" w:cs="宋体"/>
                <w:sz w:val="24"/>
                <w:highlight w:val="none"/>
              </w:rPr>
            </w:pPr>
            <w:r>
              <w:rPr>
                <w:rFonts w:hAnsi="宋体" w:cs="宋体"/>
                <w:sz w:val="24"/>
                <w:highlight w:val="none"/>
              </w:rPr>
              <w:t>10.兴业银行成都分行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11.成都银行</w:t>
            </w:r>
          </w:p>
        </w:tc>
        <w:tc>
          <w:tcPr>
            <w:tcW w:w="4536" w:type="dxa"/>
            <w:noWrap/>
          </w:tcPr>
          <w:p>
            <w:pPr>
              <w:spacing w:line="480" w:lineRule="exact"/>
              <w:jc w:val="left"/>
              <w:rPr>
                <w:rFonts w:hAnsi="宋体" w:cs="宋体"/>
                <w:sz w:val="24"/>
                <w:highlight w:val="none"/>
              </w:rPr>
            </w:pPr>
            <w:r>
              <w:rPr>
                <w:rFonts w:hAnsi="宋体" w:cs="宋体"/>
                <w:sz w:val="24"/>
                <w:highlight w:val="none"/>
              </w:rPr>
              <w:t>12.成都农村商业银行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13.上海银行成都分行</w:t>
            </w:r>
          </w:p>
        </w:tc>
        <w:tc>
          <w:tcPr>
            <w:tcW w:w="4536" w:type="dxa"/>
            <w:noWrap/>
          </w:tcPr>
          <w:p>
            <w:pPr>
              <w:spacing w:line="480" w:lineRule="exact"/>
              <w:jc w:val="left"/>
              <w:rPr>
                <w:rFonts w:hAnsi="宋体" w:cs="宋体"/>
                <w:sz w:val="24"/>
                <w:highlight w:val="none"/>
              </w:rPr>
            </w:pPr>
            <w:r>
              <w:rPr>
                <w:rFonts w:hAnsi="宋体" w:cs="宋体"/>
                <w:sz w:val="24"/>
                <w:highlight w:val="none"/>
              </w:rPr>
              <w:t>14.渤海银行成都分行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15.雅安农村商业银行</w:t>
            </w:r>
          </w:p>
        </w:tc>
        <w:tc>
          <w:tcPr>
            <w:tcW w:w="4536" w:type="dxa"/>
            <w:noWrap/>
          </w:tcPr>
          <w:p>
            <w:pPr>
              <w:spacing w:line="480" w:lineRule="exact"/>
              <w:jc w:val="left"/>
              <w:rPr>
                <w:rFonts w:hAnsi="宋体" w:cs="宋体"/>
                <w:sz w:val="24"/>
                <w:highlight w:val="none"/>
              </w:rPr>
            </w:pPr>
            <w:r>
              <w:rPr>
                <w:rFonts w:hAnsi="宋体" w:cs="宋体"/>
                <w:sz w:val="24"/>
                <w:highlight w:val="none"/>
              </w:rPr>
              <w:t>16.雅安市商业银行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17.眉山农村商业银行</w:t>
            </w:r>
          </w:p>
        </w:tc>
        <w:tc>
          <w:tcPr>
            <w:tcW w:w="4536" w:type="dxa"/>
            <w:noWrap/>
          </w:tcPr>
          <w:p>
            <w:pPr>
              <w:spacing w:line="480" w:lineRule="exact"/>
              <w:jc w:val="left"/>
              <w:rPr>
                <w:rFonts w:hAnsi="宋体" w:cs="宋体"/>
                <w:sz w:val="24"/>
                <w:highlight w:val="none"/>
              </w:rPr>
            </w:pPr>
            <w:r>
              <w:rPr>
                <w:rFonts w:hAnsi="宋体" w:cs="宋体"/>
                <w:sz w:val="24"/>
                <w:highlight w:val="none"/>
              </w:rPr>
              <w:t>18</w:t>
            </w:r>
            <w:r>
              <w:rPr>
                <w:rFonts w:hint="eastAsia" w:hAnsi="宋体" w:cs="宋体"/>
                <w:sz w:val="24"/>
                <w:highlight w:val="none"/>
              </w:rPr>
              <w:t>.</w:t>
            </w:r>
            <w:r>
              <w:rPr>
                <w:rFonts w:hAnsi="宋体" w:cs="宋体"/>
                <w:sz w:val="24"/>
                <w:highlight w:val="none"/>
              </w:rPr>
              <w:t>乐山市商业银行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19.乐山嘉州民富村镇银行</w:t>
            </w:r>
          </w:p>
        </w:tc>
        <w:tc>
          <w:tcPr>
            <w:tcW w:w="4536" w:type="dxa"/>
            <w:noWrap/>
          </w:tcPr>
          <w:p>
            <w:pPr>
              <w:spacing w:line="480" w:lineRule="exact"/>
              <w:jc w:val="left"/>
              <w:rPr>
                <w:rFonts w:hAnsi="宋体" w:cs="宋体"/>
                <w:sz w:val="24"/>
                <w:highlight w:val="none"/>
              </w:rPr>
            </w:pPr>
            <w:r>
              <w:rPr>
                <w:rFonts w:hAnsi="宋体" w:cs="宋体"/>
                <w:sz w:val="24"/>
                <w:highlight w:val="none"/>
              </w:rPr>
              <w:t>20.绵阳市商业银行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21.四川省农村信用社联合社</w:t>
            </w:r>
          </w:p>
        </w:tc>
        <w:tc>
          <w:tcPr>
            <w:tcW w:w="4536" w:type="dxa"/>
            <w:noWrap/>
          </w:tcPr>
          <w:p>
            <w:pPr>
              <w:spacing w:line="480" w:lineRule="exact"/>
              <w:jc w:val="left"/>
              <w:rPr>
                <w:rFonts w:hAnsi="宋体" w:cs="宋体"/>
                <w:sz w:val="24"/>
                <w:highlight w:val="none"/>
              </w:rPr>
            </w:pPr>
            <w:r>
              <w:rPr>
                <w:rFonts w:hAnsi="宋体" w:cs="宋体"/>
                <w:sz w:val="24"/>
                <w:highlight w:val="none"/>
              </w:rPr>
              <w:t>22.平安银行股份有限公司成都分行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23.上海浦东发展银行股份有限公司成都</w:t>
            </w:r>
          </w:p>
        </w:tc>
        <w:tc>
          <w:tcPr>
            <w:tcW w:w="4536" w:type="dxa"/>
            <w:noWrap/>
          </w:tcPr>
          <w:p>
            <w:pPr>
              <w:spacing w:line="480" w:lineRule="exact"/>
              <w:jc w:val="left"/>
              <w:rPr>
                <w:rFonts w:hAnsi="宋体" w:cs="宋体"/>
                <w:sz w:val="24"/>
                <w:highlight w:val="none"/>
              </w:rPr>
            </w:pPr>
            <w:r>
              <w:rPr>
                <w:rFonts w:hAnsi="宋体" w:cs="宋体"/>
                <w:sz w:val="24"/>
                <w:highlight w:val="none"/>
              </w:rPr>
              <w:t>24.雅安雨城惠民村镇银行有限责任公司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3" w:type="dxa"/>
            <w:noWrap/>
          </w:tcPr>
          <w:p>
            <w:pPr>
              <w:spacing w:line="480" w:lineRule="exact"/>
              <w:jc w:val="left"/>
              <w:rPr>
                <w:rFonts w:hAnsi="宋体" w:cs="宋体"/>
                <w:sz w:val="24"/>
                <w:highlight w:val="none"/>
              </w:rPr>
            </w:pPr>
            <w:r>
              <w:rPr>
                <w:rFonts w:hAnsi="宋体" w:cs="宋体"/>
                <w:sz w:val="24"/>
                <w:highlight w:val="none"/>
              </w:rPr>
              <w:t>25.自贡银行股份有限公司</w:t>
            </w:r>
          </w:p>
        </w:tc>
        <w:tc>
          <w:tcPr>
            <w:tcW w:w="4536" w:type="dxa"/>
            <w:noWrap/>
          </w:tcPr>
          <w:p>
            <w:pPr>
              <w:spacing w:line="480" w:lineRule="exact"/>
              <w:jc w:val="left"/>
              <w:rPr>
                <w:rFonts w:hAnsi="宋体" w:cs="宋体"/>
                <w:sz w:val="24"/>
                <w:highlight w:val="none"/>
              </w:rPr>
            </w:pPr>
            <w:r>
              <w:rPr>
                <w:rFonts w:hAnsi="宋体" w:cs="宋体"/>
                <w:sz w:val="24"/>
                <w:highlight w:val="none"/>
              </w:rPr>
              <w:t>26.宜宾市商业银行股份有限公司</w:t>
            </w:r>
          </w:p>
        </w:tc>
      </w:tr>
    </w:tbl>
    <w:p>
      <w:pPr>
        <w:pStyle w:val="37"/>
        <w:spacing w:line="460" w:lineRule="exact"/>
        <w:ind w:firstLine="480"/>
        <w:rPr>
          <w:sz w:val="24"/>
          <w:highlight w:val="none"/>
        </w:rPr>
      </w:pPr>
      <w:r>
        <w:rPr>
          <w:rStyle w:val="32"/>
          <w:rFonts w:hint="eastAsia"/>
          <w:color w:val="auto"/>
          <w:sz w:val="24"/>
          <w:highlight w:val="none"/>
          <w:u w:val="none"/>
        </w:rPr>
        <w:br w:type="page"/>
      </w:r>
      <w:r>
        <w:rPr>
          <w:rStyle w:val="32"/>
          <w:rFonts w:hint="eastAsia"/>
          <w:color w:val="auto"/>
          <w:sz w:val="24"/>
          <w:highlight w:val="none"/>
          <w:u w:val="none"/>
        </w:rPr>
        <w:fldChar w:fldCharType="end"/>
      </w:r>
    </w:p>
    <w:p>
      <w:pPr>
        <w:pStyle w:val="3"/>
        <w:spacing w:before="0" w:after="0" w:line="500" w:lineRule="exact"/>
        <w:rPr>
          <w:sz w:val="36"/>
          <w:szCs w:val="36"/>
          <w:highlight w:val="none"/>
        </w:rPr>
      </w:pPr>
      <w:bookmarkStart w:id="1" w:name="_Toc69980128"/>
      <w:bookmarkStart w:id="2" w:name="_Toc213396759"/>
      <w:bookmarkStart w:id="3" w:name="_Toc213496267"/>
      <w:bookmarkStart w:id="4" w:name="_Toc213396945"/>
      <w:bookmarkStart w:id="5" w:name="_Toc217446031"/>
      <w:bookmarkStart w:id="6" w:name="_Toc213397009"/>
      <w:r>
        <w:rPr>
          <w:rFonts w:hint="eastAsia"/>
          <w:sz w:val="36"/>
          <w:szCs w:val="36"/>
          <w:highlight w:val="none"/>
        </w:rPr>
        <w:t>第二章  投标人须知</w:t>
      </w:r>
      <w:bookmarkEnd w:id="1"/>
    </w:p>
    <w:p>
      <w:pPr>
        <w:pStyle w:val="4"/>
        <w:spacing w:line="240" w:lineRule="auto"/>
        <w:jc w:val="center"/>
        <w:rPr>
          <w:highlight w:val="none"/>
        </w:rPr>
      </w:pPr>
      <w:r>
        <w:rPr>
          <w:rFonts w:hint="eastAsia"/>
          <w:highlight w:val="none"/>
        </w:rPr>
        <w:t>一、投标人须知附表</w:t>
      </w:r>
    </w:p>
    <w:bookmarkEnd w:id="2"/>
    <w:bookmarkEnd w:id="3"/>
    <w:bookmarkEnd w:id="4"/>
    <w:bookmarkEnd w:id="5"/>
    <w:bookmarkEnd w:id="6"/>
    <w:tbl>
      <w:tblPr>
        <w:tblStyle w:val="27"/>
        <w:tblW w:w="9116"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671"/>
        <w:gridCol w:w="2045"/>
        <w:gridCol w:w="6400"/>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序号</w:t>
            </w:r>
          </w:p>
        </w:tc>
        <w:tc>
          <w:tcPr>
            <w:tcW w:w="2045" w:type="dxa"/>
            <w:vAlign w:val="center"/>
          </w:tcPr>
          <w:p>
            <w:pPr>
              <w:pStyle w:val="38"/>
              <w:spacing w:line="480" w:lineRule="exact"/>
              <w:ind w:left="38"/>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条款名称</w:t>
            </w:r>
          </w:p>
        </w:tc>
        <w:tc>
          <w:tcPr>
            <w:tcW w:w="6400" w:type="dxa"/>
            <w:vAlign w:val="center"/>
          </w:tcPr>
          <w:p>
            <w:pPr>
              <w:pStyle w:val="38"/>
              <w:spacing w:line="480" w:lineRule="exact"/>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Merge w:val="restart"/>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w:t>
            </w:r>
          </w:p>
        </w:tc>
        <w:tc>
          <w:tcPr>
            <w:tcW w:w="2045" w:type="dxa"/>
            <w:tcBorders>
              <w:bottom w:val="single" w:color="auto" w:sz="4" w:space="0"/>
            </w:tcBorders>
            <w:vAlign w:val="center"/>
          </w:tcPr>
          <w:p>
            <w:pPr>
              <w:pStyle w:val="38"/>
              <w:spacing w:line="480" w:lineRule="exact"/>
              <w:ind w:left="38"/>
              <w:jc w:val="center"/>
              <w:rPr>
                <w:rFonts w:cs="Times New Roman"/>
                <w:kern w:val="2"/>
                <w:highlight w:val="none"/>
              </w:rPr>
            </w:pPr>
            <w:r>
              <w:rPr>
                <w:rFonts w:hint="eastAsia" w:cs="Times New Roman"/>
                <w:kern w:val="2"/>
                <w:highlight w:val="none"/>
              </w:rPr>
              <w:t>采购预算</w:t>
            </w:r>
          </w:p>
          <w:p>
            <w:pPr>
              <w:pStyle w:val="38"/>
              <w:spacing w:line="480" w:lineRule="exact"/>
              <w:ind w:left="38"/>
              <w:jc w:val="center"/>
              <w:rPr>
                <w:rFonts w:cs="Times New Roman"/>
                <w:kern w:val="2"/>
                <w:highlight w:val="none"/>
              </w:rPr>
            </w:pPr>
            <w:r>
              <w:rPr>
                <w:rFonts w:hint="eastAsia"/>
                <w:highlight w:val="none"/>
              </w:rPr>
              <w:t>（实质性要求）</w:t>
            </w:r>
          </w:p>
        </w:tc>
        <w:tc>
          <w:tcPr>
            <w:tcW w:w="6400" w:type="dxa"/>
            <w:tcBorders>
              <w:bottom w:val="single" w:color="auto" w:sz="4" w:space="0"/>
            </w:tcBorders>
            <w:vAlign w:val="center"/>
          </w:tcPr>
          <w:p>
            <w:pPr>
              <w:pStyle w:val="38"/>
              <w:spacing w:line="480" w:lineRule="exact"/>
              <w:jc w:val="both"/>
              <w:rPr>
                <w:highlight w:val="none"/>
              </w:rPr>
            </w:pPr>
            <w:r>
              <w:rPr>
                <w:rFonts w:hint="eastAsia"/>
                <w:highlight w:val="none"/>
              </w:rPr>
              <w:t>预算金额为人民币为320万元。</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Merge w:val="continue"/>
            <w:vAlign w:val="center"/>
          </w:tcPr>
          <w:p>
            <w:pPr>
              <w:pStyle w:val="38"/>
              <w:spacing w:line="480" w:lineRule="exact"/>
              <w:ind w:left="9"/>
              <w:jc w:val="center"/>
              <w:rPr>
                <w:rFonts w:ascii="Times New Roman" w:hAnsi="Times New Roman" w:cs="Times New Roman"/>
                <w:kern w:val="2"/>
                <w:szCs w:val="28"/>
                <w:highlight w:val="none"/>
              </w:rPr>
            </w:pPr>
          </w:p>
        </w:tc>
        <w:tc>
          <w:tcPr>
            <w:tcW w:w="2045" w:type="dxa"/>
            <w:tcBorders>
              <w:bottom w:val="single" w:color="auto" w:sz="4" w:space="0"/>
            </w:tcBorders>
            <w:vAlign w:val="center"/>
          </w:tcPr>
          <w:p>
            <w:pPr>
              <w:pStyle w:val="38"/>
              <w:spacing w:line="480" w:lineRule="exact"/>
              <w:ind w:left="38"/>
              <w:jc w:val="center"/>
              <w:rPr>
                <w:highlight w:val="none"/>
              </w:rPr>
            </w:pPr>
            <w:r>
              <w:rPr>
                <w:rFonts w:hint="eastAsia"/>
                <w:highlight w:val="none"/>
              </w:rPr>
              <w:t>是否专门面向中小</w:t>
            </w:r>
          </w:p>
          <w:p>
            <w:pPr>
              <w:pStyle w:val="38"/>
              <w:spacing w:line="480" w:lineRule="exact"/>
              <w:ind w:left="38"/>
              <w:jc w:val="center"/>
              <w:rPr>
                <w:highlight w:val="none"/>
              </w:rPr>
            </w:pPr>
            <w:r>
              <w:rPr>
                <w:rFonts w:hint="eastAsia"/>
                <w:highlight w:val="none"/>
              </w:rPr>
              <w:t>企业（实质性要求）</w:t>
            </w:r>
          </w:p>
        </w:tc>
        <w:tc>
          <w:tcPr>
            <w:tcW w:w="6400" w:type="dxa"/>
            <w:tcBorders>
              <w:bottom w:val="single" w:color="auto" w:sz="4" w:space="0"/>
            </w:tcBorders>
            <w:vAlign w:val="center"/>
          </w:tcPr>
          <w:p>
            <w:pPr>
              <w:pStyle w:val="38"/>
              <w:spacing w:line="480" w:lineRule="exact"/>
              <w:ind w:left="38"/>
              <w:jc w:val="both"/>
              <w:rPr>
                <w:bCs/>
                <w:highlight w:val="none"/>
              </w:rPr>
            </w:pPr>
            <w:r>
              <w:rPr>
                <w:rFonts w:hint="eastAsia"/>
                <w:bCs/>
                <w:highlight w:val="none"/>
              </w:rPr>
              <w:t>是；</w:t>
            </w:r>
          </w:p>
          <w:p>
            <w:pPr>
              <w:pStyle w:val="38"/>
              <w:spacing w:line="480" w:lineRule="exact"/>
              <w:ind w:left="38"/>
              <w:rPr>
                <w:highlight w:val="none"/>
              </w:rPr>
            </w:pPr>
            <w:r>
              <w:rPr>
                <w:rFonts w:hint="eastAsia"/>
                <w:bCs/>
                <w:highlight w:val="none"/>
                <w:lang w:val="zh-CN"/>
              </w:rPr>
              <w:t>备注：监狱企业、残疾人福利性单位视为小型或微型企业，供应商需提供相关证明材料。</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Merge w:val="continue"/>
            <w:vAlign w:val="center"/>
          </w:tcPr>
          <w:p>
            <w:pPr>
              <w:spacing w:line="480" w:lineRule="exact"/>
              <w:jc w:val="center"/>
              <w:rPr>
                <w:highlight w:val="none"/>
              </w:rPr>
            </w:pPr>
          </w:p>
        </w:tc>
        <w:tc>
          <w:tcPr>
            <w:tcW w:w="2045" w:type="dxa"/>
            <w:tcBorders>
              <w:top w:val="single" w:color="auto" w:sz="4" w:space="0"/>
            </w:tcBorders>
            <w:vAlign w:val="center"/>
          </w:tcPr>
          <w:p>
            <w:pPr>
              <w:pStyle w:val="38"/>
              <w:spacing w:line="480" w:lineRule="exact"/>
              <w:jc w:val="center"/>
              <w:rPr>
                <w:rFonts w:cs="Times New Roman"/>
                <w:kern w:val="2"/>
                <w:highlight w:val="none"/>
              </w:rPr>
            </w:pPr>
            <w:r>
              <w:rPr>
                <w:rFonts w:hint="eastAsia" w:cs="Times New Roman"/>
                <w:kern w:val="2"/>
                <w:highlight w:val="none"/>
              </w:rPr>
              <w:t>最高限价</w:t>
            </w:r>
          </w:p>
          <w:p>
            <w:pPr>
              <w:pStyle w:val="38"/>
              <w:spacing w:line="480" w:lineRule="exact"/>
              <w:jc w:val="center"/>
              <w:rPr>
                <w:rFonts w:cs="Times New Roman"/>
                <w:kern w:val="2"/>
                <w:highlight w:val="none"/>
              </w:rPr>
            </w:pPr>
            <w:r>
              <w:rPr>
                <w:rFonts w:hint="eastAsia"/>
                <w:highlight w:val="none"/>
              </w:rPr>
              <w:t>（实质性要求）</w:t>
            </w:r>
          </w:p>
        </w:tc>
        <w:tc>
          <w:tcPr>
            <w:tcW w:w="6400" w:type="dxa"/>
            <w:tcBorders>
              <w:top w:val="single" w:color="auto" w:sz="4" w:space="0"/>
            </w:tcBorders>
            <w:vAlign w:val="center"/>
          </w:tcPr>
          <w:p>
            <w:pPr>
              <w:pStyle w:val="38"/>
              <w:spacing w:line="480" w:lineRule="exact"/>
              <w:jc w:val="both"/>
              <w:rPr>
                <w:highlight w:val="none"/>
              </w:rPr>
            </w:pPr>
            <w:r>
              <w:rPr>
                <w:rFonts w:hint="eastAsia"/>
                <w:highlight w:val="none"/>
                <w:lang w:val="zh-CN"/>
              </w:rPr>
              <w:t>最高限价为人民币</w:t>
            </w:r>
            <w:r>
              <w:rPr>
                <w:rFonts w:hint="eastAsia"/>
                <w:highlight w:val="none"/>
              </w:rPr>
              <w:t>320万元；单价限价详见第六章。</w:t>
            </w:r>
          </w:p>
          <w:p>
            <w:pPr>
              <w:pStyle w:val="38"/>
              <w:spacing w:line="480" w:lineRule="exact"/>
              <w:jc w:val="both"/>
              <w:rPr>
                <w:highlight w:val="none"/>
                <w:lang w:val="zh-CN"/>
              </w:rPr>
            </w:pPr>
            <w:r>
              <w:rPr>
                <w:rFonts w:hint="eastAsia"/>
                <w:highlight w:val="none"/>
                <w:lang w:val="zh-CN"/>
              </w:rPr>
              <w:t>投标报价超过本项目最高限价或单价限价的作无效投标处理。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Merge w:val="restart"/>
            <w:vAlign w:val="center"/>
          </w:tcPr>
          <w:p>
            <w:pPr>
              <w:spacing w:line="480" w:lineRule="exact"/>
              <w:jc w:val="center"/>
              <w:rPr>
                <w:highlight w:val="none"/>
              </w:rPr>
            </w:pPr>
            <w:r>
              <w:rPr>
                <w:rFonts w:hint="eastAsia" w:hAnsi="宋体" w:cs="宋体"/>
                <w:sz w:val="24"/>
                <w:szCs w:val="24"/>
                <w:highlight w:val="none"/>
              </w:rPr>
              <w:t>2</w:t>
            </w:r>
          </w:p>
        </w:tc>
        <w:tc>
          <w:tcPr>
            <w:tcW w:w="2045" w:type="dxa"/>
            <w:tcBorders>
              <w:top w:val="single" w:color="auto" w:sz="4" w:space="0"/>
            </w:tcBorders>
            <w:vAlign w:val="center"/>
          </w:tcPr>
          <w:p>
            <w:pPr>
              <w:spacing w:line="480" w:lineRule="exact"/>
              <w:jc w:val="center"/>
              <w:outlineLvl w:val="5"/>
              <w:rPr>
                <w:rFonts w:hAnsi="宋体"/>
                <w:bCs/>
                <w:sz w:val="24"/>
                <w:szCs w:val="24"/>
                <w:highlight w:val="none"/>
              </w:rPr>
            </w:pPr>
            <w:r>
              <w:rPr>
                <w:rFonts w:hint="eastAsia" w:hAnsi="宋体"/>
                <w:bCs/>
                <w:sz w:val="24"/>
                <w:szCs w:val="24"/>
                <w:highlight w:val="none"/>
              </w:rPr>
              <w:t>采购类别</w:t>
            </w:r>
          </w:p>
        </w:tc>
        <w:tc>
          <w:tcPr>
            <w:tcW w:w="6400" w:type="dxa"/>
            <w:tcBorders>
              <w:top w:val="single" w:color="auto" w:sz="4" w:space="0"/>
            </w:tcBorders>
            <w:vAlign w:val="center"/>
          </w:tcPr>
          <w:p>
            <w:pPr>
              <w:pStyle w:val="38"/>
              <w:spacing w:line="480" w:lineRule="exact"/>
              <w:ind w:left="38"/>
              <w:rPr>
                <w:rFonts w:cs="Times New Roman"/>
                <w:bCs/>
                <w:highlight w:val="none"/>
              </w:rPr>
            </w:pPr>
            <w:r>
              <w:rPr>
                <w:rFonts w:hint="eastAsia" w:cs="Times New Roman"/>
                <w:bCs/>
                <w:highlight w:val="none"/>
              </w:rPr>
              <w:t>货物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Merge w:val="continue"/>
            <w:vAlign w:val="center"/>
          </w:tcPr>
          <w:p>
            <w:pPr>
              <w:spacing w:line="480" w:lineRule="exact"/>
              <w:jc w:val="center"/>
              <w:rPr>
                <w:rFonts w:hAnsi="宋体" w:cs="宋体"/>
                <w:sz w:val="24"/>
                <w:szCs w:val="24"/>
                <w:highlight w:val="none"/>
              </w:rPr>
            </w:pPr>
          </w:p>
        </w:tc>
        <w:tc>
          <w:tcPr>
            <w:tcW w:w="2045" w:type="dxa"/>
            <w:tcBorders>
              <w:top w:val="single" w:color="auto" w:sz="4" w:space="0"/>
            </w:tcBorders>
            <w:vAlign w:val="center"/>
          </w:tcPr>
          <w:p>
            <w:pPr>
              <w:spacing w:line="480" w:lineRule="exact"/>
              <w:jc w:val="center"/>
              <w:outlineLvl w:val="5"/>
              <w:rPr>
                <w:rFonts w:hAnsi="宋体"/>
                <w:bCs/>
                <w:sz w:val="24"/>
                <w:szCs w:val="24"/>
                <w:highlight w:val="none"/>
              </w:rPr>
            </w:pPr>
            <w:r>
              <w:rPr>
                <w:rFonts w:hint="eastAsia" w:hAnsi="宋体"/>
                <w:bCs/>
                <w:sz w:val="24"/>
                <w:szCs w:val="24"/>
                <w:highlight w:val="none"/>
              </w:rPr>
              <w:t>所属行业</w:t>
            </w:r>
          </w:p>
        </w:tc>
        <w:tc>
          <w:tcPr>
            <w:tcW w:w="6400" w:type="dxa"/>
            <w:tcBorders>
              <w:top w:val="single" w:color="auto" w:sz="4" w:space="0"/>
            </w:tcBorders>
            <w:vAlign w:val="center"/>
          </w:tcPr>
          <w:p>
            <w:pPr>
              <w:pStyle w:val="38"/>
              <w:spacing w:line="480" w:lineRule="exact"/>
              <w:ind w:left="38"/>
              <w:rPr>
                <w:rFonts w:cs="Times New Roman"/>
                <w:bCs/>
                <w:highlight w:val="none"/>
              </w:rPr>
            </w:pPr>
            <w:r>
              <w:rPr>
                <w:rFonts w:hint="eastAsia" w:cs="Times New Roman"/>
                <w:bCs/>
                <w:highlight w:val="none"/>
              </w:rPr>
              <w:t>工业(制造业)</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Merge w:val="continue"/>
            <w:vAlign w:val="center"/>
          </w:tcPr>
          <w:p>
            <w:pPr>
              <w:spacing w:line="480" w:lineRule="exact"/>
              <w:jc w:val="center"/>
              <w:rPr>
                <w:rFonts w:hAnsi="宋体" w:cs="宋体"/>
                <w:sz w:val="24"/>
                <w:szCs w:val="24"/>
                <w:highlight w:val="none"/>
              </w:rPr>
            </w:pPr>
          </w:p>
        </w:tc>
        <w:tc>
          <w:tcPr>
            <w:tcW w:w="2045" w:type="dxa"/>
            <w:tcBorders>
              <w:top w:val="single" w:color="auto" w:sz="4" w:space="0"/>
            </w:tcBorders>
            <w:vAlign w:val="center"/>
          </w:tcPr>
          <w:p>
            <w:pPr>
              <w:spacing w:line="480" w:lineRule="exact"/>
              <w:jc w:val="center"/>
              <w:outlineLvl w:val="5"/>
              <w:rPr>
                <w:rFonts w:hAnsi="宋体"/>
                <w:bCs/>
                <w:sz w:val="24"/>
                <w:szCs w:val="24"/>
                <w:highlight w:val="none"/>
              </w:rPr>
            </w:pPr>
            <w:r>
              <w:rPr>
                <w:rFonts w:hint="eastAsia" w:hAnsi="宋体"/>
                <w:bCs/>
                <w:sz w:val="24"/>
                <w:szCs w:val="24"/>
                <w:highlight w:val="none"/>
              </w:rPr>
              <w:t>报价方式</w:t>
            </w:r>
          </w:p>
          <w:p>
            <w:pPr>
              <w:spacing w:line="480" w:lineRule="exact"/>
              <w:jc w:val="center"/>
              <w:outlineLvl w:val="5"/>
              <w:rPr>
                <w:rFonts w:hAnsi="宋体"/>
                <w:bCs/>
                <w:sz w:val="24"/>
                <w:szCs w:val="24"/>
                <w:highlight w:val="none"/>
              </w:rPr>
            </w:pPr>
            <w:r>
              <w:rPr>
                <w:rFonts w:hint="eastAsia" w:hAnsi="宋体"/>
                <w:bCs/>
                <w:sz w:val="24"/>
                <w:szCs w:val="24"/>
                <w:highlight w:val="none"/>
              </w:rPr>
              <w:t>（实质性要求）</w:t>
            </w:r>
          </w:p>
        </w:tc>
        <w:tc>
          <w:tcPr>
            <w:tcW w:w="6400" w:type="dxa"/>
            <w:tcBorders>
              <w:top w:val="single" w:color="auto" w:sz="4" w:space="0"/>
            </w:tcBorders>
            <w:vAlign w:val="center"/>
          </w:tcPr>
          <w:p>
            <w:pPr>
              <w:pStyle w:val="38"/>
              <w:spacing w:line="480" w:lineRule="exact"/>
              <w:ind w:left="38"/>
              <w:rPr>
                <w:rFonts w:cs="Times New Roman"/>
                <w:bCs/>
                <w:highlight w:val="none"/>
              </w:rPr>
            </w:pPr>
            <w:r>
              <w:rPr>
                <w:rFonts w:hint="eastAsia"/>
                <w:highlight w:val="none"/>
              </w:rPr>
              <w:t>本项目采用折扣率报价，投标报价：</w:t>
            </w:r>
            <w:r>
              <w:rPr>
                <w:rFonts w:hint="eastAsia"/>
                <w:bCs/>
                <w:highlight w:val="none"/>
              </w:rPr>
              <w:t>折扣率=1-优惠率，如10元的产品优惠2元，即优惠率为20%。折扣率就是1-20%=80%</w:t>
            </w:r>
            <w:r>
              <w:rPr>
                <w:rFonts w:hint="eastAsia"/>
                <w:highlight w:val="none"/>
              </w:rPr>
              <w:t>；此折扣率为本项目统一折扣，则实际结算金额=实际采购量×单价限价×报价折扣率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3</w:t>
            </w:r>
          </w:p>
        </w:tc>
        <w:tc>
          <w:tcPr>
            <w:tcW w:w="2045" w:type="dxa"/>
            <w:tcBorders>
              <w:top w:val="single" w:color="auto" w:sz="4" w:space="0"/>
            </w:tcBorders>
            <w:vAlign w:val="center"/>
          </w:tcPr>
          <w:p>
            <w:pPr>
              <w:pStyle w:val="38"/>
              <w:spacing w:line="480" w:lineRule="exact"/>
              <w:jc w:val="center"/>
              <w:rPr>
                <w:highlight w:val="none"/>
              </w:rPr>
            </w:pPr>
            <w:r>
              <w:rPr>
                <w:rFonts w:hint="eastAsia"/>
                <w:highlight w:val="none"/>
              </w:rPr>
              <w:t>是否允许合同分包</w:t>
            </w:r>
          </w:p>
          <w:p>
            <w:pPr>
              <w:pStyle w:val="38"/>
              <w:spacing w:line="480" w:lineRule="exact"/>
              <w:jc w:val="center"/>
              <w:rPr>
                <w:highlight w:val="none"/>
              </w:rPr>
            </w:pPr>
            <w:r>
              <w:rPr>
                <w:rFonts w:hint="eastAsia"/>
                <w:highlight w:val="none"/>
              </w:rPr>
              <w:t>（实质性要求）</w:t>
            </w:r>
          </w:p>
        </w:tc>
        <w:tc>
          <w:tcPr>
            <w:tcW w:w="6400" w:type="dxa"/>
            <w:tcBorders>
              <w:top w:val="single" w:color="auto" w:sz="4" w:space="0"/>
            </w:tcBorders>
            <w:vAlign w:val="center"/>
          </w:tcPr>
          <w:p>
            <w:pPr>
              <w:pStyle w:val="38"/>
              <w:spacing w:line="480" w:lineRule="exact"/>
              <w:rPr>
                <w:highlight w:val="none"/>
                <w:lang w:val="zh-CN"/>
              </w:rPr>
            </w:pPr>
            <w:r>
              <w:rPr>
                <w:rFonts w:hint="eastAsia"/>
                <w:highlight w:val="none"/>
                <w:lang w:val="zh-CN"/>
              </w:rPr>
              <w:t>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cs="Courier New"/>
                <w:sz w:val="21"/>
                <w:szCs w:val="21"/>
                <w:highlight w:val="none"/>
                <w:lang w:val="zh-CN"/>
              </w:rPr>
            </w:pPr>
            <w:r>
              <w:rPr>
                <w:rFonts w:hint="eastAsia" w:ascii="Times New Roman" w:hAnsi="Times New Roman" w:cs="Times New Roman"/>
                <w:kern w:val="2"/>
                <w:szCs w:val="28"/>
                <w:highlight w:val="none"/>
              </w:rPr>
              <w:t>4</w:t>
            </w:r>
          </w:p>
        </w:tc>
        <w:tc>
          <w:tcPr>
            <w:tcW w:w="2045" w:type="dxa"/>
            <w:vAlign w:val="center"/>
          </w:tcPr>
          <w:p>
            <w:pPr>
              <w:pStyle w:val="38"/>
              <w:spacing w:line="480" w:lineRule="exact"/>
              <w:ind w:left="38"/>
              <w:jc w:val="center"/>
              <w:rPr>
                <w:rFonts w:cs="Times New Roman"/>
                <w:kern w:val="2"/>
                <w:highlight w:val="none"/>
              </w:rPr>
            </w:pPr>
            <w:r>
              <w:rPr>
                <w:rFonts w:hint="eastAsia" w:cs="Times New Roman"/>
                <w:kern w:val="2"/>
                <w:highlight w:val="none"/>
              </w:rPr>
              <w:t>低于成本价不正当</w:t>
            </w:r>
          </w:p>
          <w:p>
            <w:pPr>
              <w:pStyle w:val="38"/>
              <w:spacing w:line="480" w:lineRule="exact"/>
              <w:ind w:left="38"/>
              <w:jc w:val="center"/>
              <w:rPr>
                <w:rFonts w:cs="Times New Roman"/>
                <w:kern w:val="2"/>
                <w:highlight w:val="none"/>
              </w:rPr>
            </w:pPr>
            <w:r>
              <w:rPr>
                <w:rFonts w:hint="eastAsia" w:cs="Times New Roman"/>
                <w:kern w:val="2"/>
                <w:highlight w:val="none"/>
              </w:rPr>
              <w:t>竞争预防措施</w:t>
            </w:r>
          </w:p>
          <w:p>
            <w:pPr>
              <w:pStyle w:val="38"/>
              <w:spacing w:line="480" w:lineRule="exact"/>
              <w:ind w:left="38"/>
              <w:jc w:val="center"/>
              <w:rPr>
                <w:rFonts w:cs="Times New Roman"/>
                <w:kern w:val="2"/>
                <w:highlight w:val="none"/>
              </w:rPr>
            </w:pPr>
            <w:r>
              <w:rPr>
                <w:rFonts w:hint="eastAsia"/>
                <w:highlight w:val="none"/>
              </w:rPr>
              <w:t>（实质性要求）</w:t>
            </w:r>
          </w:p>
        </w:tc>
        <w:tc>
          <w:tcPr>
            <w:tcW w:w="6400" w:type="dxa"/>
          </w:tcPr>
          <w:p>
            <w:pPr>
              <w:pStyle w:val="38"/>
              <w:spacing w:line="480" w:lineRule="exact"/>
              <w:ind w:firstLine="480" w:firstLineChars="200"/>
              <w:jc w:val="both"/>
              <w:rPr>
                <w:highlight w:val="none"/>
                <w:lang w:val="zh-CN"/>
              </w:rPr>
            </w:pPr>
            <w:r>
              <w:rPr>
                <w:rFonts w:hint="eastAsia"/>
                <w:highlight w:val="none"/>
                <w:lang w:val="zh-CN"/>
              </w:rPr>
              <w:t>在评标过程中，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pPr>
              <w:pStyle w:val="38"/>
              <w:spacing w:line="480" w:lineRule="exact"/>
              <w:ind w:firstLine="480" w:firstLineChars="200"/>
              <w:jc w:val="both"/>
              <w:rPr>
                <w:highlight w:val="none"/>
                <w:lang w:val="zh-CN"/>
              </w:rPr>
            </w:pPr>
            <w:r>
              <w:rPr>
                <w:rFonts w:hint="eastAsia"/>
                <w:highlight w:val="none"/>
                <w:lang w:val="zh-CN"/>
              </w:rPr>
              <w:t>投标人书面说明应当按照国家财务会计制度的规定要求，逐项就投标人提供的货物、工程和服务的主营业务成本（应根据投标人企业类型予以区别）、税金及附加、销售费用、管理费用、财务费用等成本构成事项详细陈述。</w:t>
            </w:r>
          </w:p>
          <w:p>
            <w:pPr>
              <w:pStyle w:val="38"/>
              <w:spacing w:line="480" w:lineRule="exact"/>
              <w:ind w:firstLine="480" w:firstLineChars="200"/>
              <w:jc w:val="both"/>
              <w:rPr>
                <w:highlight w:val="none"/>
                <w:lang w:val="zh-CN"/>
              </w:rPr>
            </w:pPr>
            <w:r>
              <w:rPr>
                <w:rFonts w:hint="eastAsia"/>
                <w:highlight w:val="none"/>
                <w:lang w:val="zh-CN"/>
              </w:rPr>
              <w:t>投标人书面说明应当签字确认或者加盖公章，否则无效。书面说明的签字确认，投标人为法人的，由其法定代表人或者代理人签字确认；投标人为其他组织的，由其主要负责人或者代理人签字确认；投标人为自然人的，由其本人或者代理人签字确认。</w:t>
            </w:r>
          </w:p>
          <w:p>
            <w:pPr>
              <w:pStyle w:val="38"/>
              <w:spacing w:line="480" w:lineRule="exact"/>
              <w:ind w:firstLine="480" w:firstLineChars="200"/>
              <w:jc w:val="both"/>
              <w:rPr>
                <w:highlight w:val="none"/>
                <w:lang w:val="zh-CN"/>
              </w:rPr>
            </w:pPr>
            <w:r>
              <w:rPr>
                <w:rFonts w:hint="eastAsia"/>
                <w:highlight w:val="none"/>
                <w:lang w:val="zh-CN"/>
              </w:rPr>
              <w:t>投标人提供书面说明后，评标委员会应当结合采购项目采购需求、专业实际情况、投标人财务状况报告、与其他投标人比较情况等就投标人书面说明进行审查评价。</w:t>
            </w:r>
          </w:p>
          <w:p>
            <w:pPr>
              <w:pStyle w:val="38"/>
              <w:spacing w:line="480" w:lineRule="exact"/>
              <w:ind w:firstLine="480" w:firstLineChars="200"/>
              <w:jc w:val="both"/>
              <w:rPr>
                <w:highlight w:val="none"/>
                <w:lang w:val="zh-CN"/>
              </w:rPr>
            </w:pPr>
            <w:r>
              <w:rPr>
                <w:rFonts w:hint="eastAsia"/>
                <w:highlight w:val="none"/>
                <w:lang w:val="zh-CN"/>
              </w:rPr>
              <w:t>投标人拒绝或者变相拒绝提供有效书面说明或者书面说明不能证明其报价合理性的，评标委员会应当将其投标文件作为无效处理。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Merge w:val="restart"/>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5</w:t>
            </w:r>
          </w:p>
        </w:tc>
        <w:tc>
          <w:tcPr>
            <w:tcW w:w="2045" w:type="dxa"/>
            <w:vAlign w:val="center"/>
          </w:tcPr>
          <w:p>
            <w:pPr>
              <w:spacing w:line="480" w:lineRule="exact"/>
              <w:jc w:val="center"/>
              <w:outlineLvl w:val="5"/>
              <w:rPr>
                <w:rFonts w:hAnsi="宋体"/>
                <w:bCs/>
                <w:sz w:val="24"/>
                <w:szCs w:val="24"/>
                <w:highlight w:val="none"/>
              </w:rPr>
            </w:pPr>
            <w:r>
              <w:rPr>
                <w:rFonts w:hint="eastAsia" w:hAnsi="宋体" w:cs="宋体"/>
                <w:bCs/>
                <w:sz w:val="24"/>
                <w:szCs w:val="24"/>
                <w:highlight w:val="none"/>
              </w:rPr>
              <w:t>小微企业价格扣除</w:t>
            </w:r>
          </w:p>
        </w:tc>
        <w:tc>
          <w:tcPr>
            <w:tcW w:w="6400" w:type="dxa"/>
            <w:vAlign w:val="center"/>
          </w:tcPr>
          <w:p>
            <w:pPr>
              <w:spacing w:line="480" w:lineRule="exact"/>
              <w:ind w:right="170" w:rightChars="50"/>
              <w:rPr>
                <w:rFonts w:hAnsi="宋体" w:cs="宋体"/>
                <w:sz w:val="24"/>
                <w:szCs w:val="24"/>
                <w:highlight w:val="none"/>
              </w:rPr>
            </w:pPr>
            <w:r>
              <w:rPr>
                <w:rFonts w:hint="eastAsia" w:hAnsi="宋体" w:cs="宋体"/>
                <w:sz w:val="24"/>
                <w:szCs w:val="24"/>
                <w:highlight w:val="none"/>
              </w:rPr>
              <w:t>1、本项目专门面向中小企业，因此不再对小微企业进行价格扣除。</w:t>
            </w:r>
          </w:p>
          <w:p>
            <w:pPr>
              <w:spacing w:line="480" w:lineRule="exact"/>
              <w:ind w:right="170" w:rightChars="50"/>
              <w:rPr>
                <w:rFonts w:hAnsi="宋体"/>
                <w:bCs/>
                <w:sz w:val="24"/>
                <w:szCs w:val="24"/>
                <w:highlight w:val="none"/>
              </w:rPr>
            </w:pPr>
            <w:r>
              <w:rPr>
                <w:rFonts w:hint="eastAsia" w:hAnsi="宋体" w:cs="宋体"/>
                <w:sz w:val="24"/>
                <w:szCs w:val="24"/>
                <w:highlight w:val="none"/>
              </w:rPr>
              <w:t>2、参加政府采购活动的中小企业应当提供《中小企业声明函》原件。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Merge w:val="continue"/>
            <w:vAlign w:val="center"/>
          </w:tcPr>
          <w:p>
            <w:pPr>
              <w:pStyle w:val="38"/>
              <w:spacing w:line="480" w:lineRule="exact"/>
              <w:ind w:left="9"/>
              <w:jc w:val="center"/>
              <w:rPr>
                <w:rFonts w:ascii="Times New Roman" w:hAnsi="Times New Roman" w:cs="Times New Roman"/>
                <w:kern w:val="2"/>
                <w:szCs w:val="28"/>
                <w:highlight w:val="none"/>
              </w:rPr>
            </w:pPr>
          </w:p>
        </w:tc>
        <w:tc>
          <w:tcPr>
            <w:tcW w:w="2045" w:type="dxa"/>
            <w:vAlign w:val="center"/>
          </w:tcPr>
          <w:p>
            <w:pPr>
              <w:spacing w:line="480" w:lineRule="exact"/>
              <w:jc w:val="center"/>
              <w:outlineLvl w:val="5"/>
              <w:rPr>
                <w:rFonts w:hAnsi="宋体"/>
                <w:bCs/>
                <w:sz w:val="24"/>
                <w:szCs w:val="24"/>
                <w:highlight w:val="none"/>
              </w:rPr>
            </w:pPr>
            <w:r>
              <w:rPr>
                <w:rFonts w:hint="eastAsia" w:hAnsi="宋体" w:cs="宋体"/>
                <w:bCs/>
                <w:sz w:val="24"/>
                <w:szCs w:val="24"/>
                <w:highlight w:val="none"/>
              </w:rPr>
              <w:t>监狱企业</w:t>
            </w:r>
          </w:p>
        </w:tc>
        <w:tc>
          <w:tcPr>
            <w:tcW w:w="6400" w:type="dxa"/>
            <w:vAlign w:val="center"/>
          </w:tcPr>
          <w:p>
            <w:pPr>
              <w:snapToGrid w:val="0"/>
              <w:spacing w:line="480" w:lineRule="exact"/>
              <w:outlineLvl w:val="5"/>
              <w:rPr>
                <w:rFonts w:hAnsi="宋体" w:cs="宋体"/>
                <w:bCs/>
                <w:sz w:val="24"/>
                <w:szCs w:val="24"/>
                <w:highlight w:val="none"/>
              </w:rPr>
            </w:pPr>
            <w:r>
              <w:rPr>
                <w:rFonts w:hint="eastAsia" w:hAnsi="宋体" w:cs="宋体"/>
                <w:bCs/>
                <w:sz w:val="24"/>
                <w:szCs w:val="24"/>
                <w:highlight w:val="none"/>
              </w:rPr>
              <w:t>1、本项目专门面向中小企业，监狱企业视为小型或微型企业，因此不再对监狱企业进行价格扣除。</w:t>
            </w:r>
          </w:p>
          <w:p>
            <w:pPr>
              <w:snapToGrid w:val="0"/>
              <w:spacing w:line="480" w:lineRule="exact"/>
              <w:outlineLvl w:val="5"/>
              <w:rPr>
                <w:rFonts w:hAnsi="宋体"/>
                <w:bCs/>
                <w:sz w:val="24"/>
                <w:szCs w:val="24"/>
                <w:highlight w:val="none"/>
              </w:rPr>
            </w:pPr>
            <w:r>
              <w:rPr>
                <w:rFonts w:hint="eastAsia" w:hAnsi="宋体" w:cs="宋体"/>
                <w:bCs/>
                <w:sz w:val="24"/>
                <w:szCs w:val="24"/>
                <w:highlight w:val="none"/>
              </w:rPr>
              <w:t>2、参加政府采购活动的监狱企业应当提供省级以上监狱管理局、戒毒管理局（含新疆生产建设兵团）出具的属于监狱企业的证明文件。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Merge w:val="continue"/>
            <w:vAlign w:val="center"/>
          </w:tcPr>
          <w:p>
            <w:pPr>
              <w:pStyle w:val="38"/>
              <w:spacing w:line="480" w:lineRule="exact"/>
              <w:ind w:left="9"/>
              <w:jc w:val="center"/>
              <w:rPr>
                <w:rFonts w:ascii="Times New Roman" w:hAnsi="Times New Roman" w:cs="Times New Roman"/>
                <w:kern w:val="2"/>
                <w:szCs w:val="28"/>
                <w:highlight w:val="none"/>
              </w:rPr>
            </w:pPr>
          </w:p>
        </w:tc>
        <w:tc>
          <w:tcPr>
            <w:tcW w:w="2045" w:type="dxa"/>
            <w:vAlign w:val="center"/>
          </w:tcPr>
          <w:p>
            <w:pPr>
              <w:spacing w:line="480" w:lineRule="exact"/>
              <w:jc w:val="center"/>
              <w:outlineLvl w:val="5"/>
              <w:rPr>
                <w:rFonts w:hAnsi="宋体"/>
                <w:bCs/>
                <w:sz w:val="24"/>
                <w:szCs w:val="24"/>
                <w:highlight w:val="none"/>
              </w:rPr>
            </w:pPr>
            <w:r>
              <w:rPr>
                <w:rFonts w:hint="eastAsia" w:hAnsi="宋体" w:cs="宋体"/>
                <w:bCs/>
                <w:sz w:val="24"/>
                <w:szCs w:val="24"/>
                <w:highlight w:val="none"/>
              </w:rPr>
              <w:t>残疾人福利性单位</w:t>
            </w:r>
          </w:p>
        </w:tc>
        <w:tc>
          <w:tcPr>
            <w:tcW w:w="6400" w:type="dxa"/>
            <w:vAlign w:val="center"/>
          </w:tcPr>
          <w:p>
            <w:pPr>
              <w:spacing w:line="480" w:lineRule="exact"/>
              <w:ind w:right="170" w:rightChars="50"/>
              <w:rPr>
                <w:rFonts w:hAnsi="宋体" w:cs="宋体"/>
                <w:sz w:val="24"/>
                <w:szCs w:val="24"/>
                <w:highlight w:val="none"/>
              </w:rPr>
            </w:pPr>
            <w:r>
              <w:rPr>
                <w:rFonts w:hint="eastAsia" w:hAnsi="宋体" w:cs="宋体"/>
                <w:sz w:val="24"/>
                <w:szCs w:val="24"/>
                <w:highlight w:val="none"/>
              </w:rPr>
              <w:t>1、本项目专门面向中小企业，残疾人福利性单位视为小型或微型企业，因此不再对残疾人福利性单位进行价格扣除。</w:t>
            </w:r>
          </w:p>
          <w:p>
            <w:pPr>
              <w:spacing w:line="480" w:lineRule="exact"/>
              <w:ind w:right="170" w:rightChars="50"/>
              <w:rPr>
                <w:rFonts w:hAnsi="宋体"/>
                <w:bCs/>
                <w:sz w:val="24"/>
                <w:szCs w:val="24"/>
                <w:highlight w:val="none"/>
              </w:rPr>
            </w:pPr>
            <w:r>
              <w:rPr>
                <w:rFonts w:hint="eastAsia" w:hAnsi="宋体" w:cs="宋体"/>
                <w:sz w:val="24"/>
                <w:szCs w:val="24"/>
                <w:highlight w:val="none"/>
              </w:rPr>
              <w:t>2、参加政府采购活动的残疾人福利性单位应当提供《残疾人福利性单位声明函》原件。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6</w:t>
            </w:r>
          </w:p>
        </w:tc>
        <w:tc>
          <w:tcPr>
            <w:tcW w:w="2045" w:type="dxa"/>
            <w:vAlign w:val="center"/>
          </w:tcPr>
          <w:p>
            <w:pPr>
              <w:pStyle w:val="38"/>
              <w:spacing w:line="480" w:lineRule="exact"/>
              <w:jc w:val="center"/>
              <w:rPr>
                <w:rFonts w:cs="Times New Roman"/>
                <w:kern w:val="2"/>
                <w:highlight w:val="none"/>
              </w:rPr>
            </w:pPr>
            <w:r>
              <w:rPr>
                <w:rFonts w:hint="eastAsia" w:cs="Times New Roman"/>
                <w:kern w:val="2"/>
                <w:highlight w:val="none"/>
              </w:rPr>
              <w:t>参数说明</w:t>
            </w:r>
          </w:p>
        </w:tc>
        <w:tc>
          <w:tcPr>
            <w:tcW w:w="6400" w:type="dxa"/>
          </w:tcPr>
          <w:p>
            <w:pPr>
              <w:pStyle w:val="38"/>
              <w:spacing w:line="480" w:lineRule="exact"/>
              <w:jc w:val="both"/>
              <w:rPr>
                <w:highlight w:val="none"/>
                <w:lang w:val="zh-CN"/>
              </w:rPr>
            </w:pPr>
            <w:r>
              <w:rPr>
                <w:rFonts w:hint="eastAsia"/>
                <w:highlight w:val="none"/>
                <w:lang w:val="zh-CN"/>
              </w:rPr>
              <w:t>本项目中对未有注明的参数要求，均以标准配置为准。如在各</w:t>
            </w:r>
          </w:p>
          <w:p>
            <w:pPr>
              <w:pStyle w:val="38"/>
              <w:spacing w:line="480" w:lineRule="exact"/>
              <w:jc w:val="both"/>
              <w:rPr>
                <w:highlight w:val="none"/>
                <w:lang w:val="zh-CN"/>
              </w:rPr>
            </w:pPr>
            <w:r>
              <w:rPr>
                <w:rFonts w:hint="eastAsia"/>
                <w:highlight w:val="none"/>
                <w:lang w:val="zh-CN"/>
              </w:rPr>
              <w:t>技术参数中指出某些技术参数仅为某一品牌所特有的，仅起说明作用，并没有任何限制性。投标人在投标中可以选用替代标</w:t>
            </w:r>
          </w:p>
          <w:p>
            <w:pPr>
              <w:pStyle w:val="38"/>
              <w:spacing w:line="480" w:lineRule="exact"/>
              <w:jc w:val="both"/>
              <w:rPr>
                <w:highlight w:val="none"/>
                <w:lang w:val="zh-CN"/>
              </w:rPr>
            </w:pPr>
            <w:r>
              <w:rPr>
                <w:rFonts w:hint="eastAsia"/>
                <w:highlight w:val="none"/>
                <w:lang w:val="zh-CN"/>
              </w:rPr>
              <w:t>准，但这些替代要实质性相当于技术规格的要求，并提供相关</w:t>
            </w:r>
          </w:p>
          <w:p>
            <w:pPr>
              <w:pStyle w:val="38"/>
              <w:spacing w:line="480" w:lineRule="exact"/>
              <w:jc w:val="both"/>
              <w:rPr>
                <w:highlight w:val="none"/>
                <w:lang w:val="zh-CN"/>
              </w:rPr>
            </w:pPr>
            <w:r>
              <w:rPr>
                <w:rFonts w:hint="eastAsia"/>
                <w:highlight w:val="none"/>
                <w:lang w:val="zh-CN"/>
              </w:rPr>
              <w:t>证明材料；在招标文件中有未提及到的技术细节或招标文件中</w:t>
            </w:r>
          </w:p>
          <w:p>
            <w:pPr>
              <w:pStyle w:val="38"/>
              <w:spacing w:line="480" w:lineRule="exact"/>
              <w:jc w:val="both"/>
              <w:rPr>
                <w:highlight w:val="none"/>
                <w:lang w:val="zh-CN"/>
              </w:rPr>
            </w:pPr>
            <w:r>
              <w:rPr>
                <w:rFonts w:hint="eastAsia"/>
                <w:highlight w:val="none"/>
                <w:lang w:val="zh-CN"/>
              </w:rPr>
              <w:t>任何条款的叙述中没有明确的规定的，都视为是指国家（或部</w:t>
            </w:r>
          </w:p>
          <w:p>
            <w:pPr>
              <w:pStyle w:val="38"/>
              <w:spacing w:line="480" w:lineRule="exact"/>
              <w:jc w:val="both"/>
              <w:rPr>
                <w:highlight w:val="none"/>
                <w:lang w:val="zh-CN"/>
              </w:rPr>
            </w:pPr>
            <w:r>
              <w:rPr>
                <w:rFonts w:hint="eastAsia"/>
                <w:highlight w:val="none"/>
                <w:lang w:val="zh-CN"/>
              </w:rPr>
              <w:t>颁行业）的最新标准和规范。</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7</w:t>
            </w:r>
          </w:p>
        </w:tc>
        <w:tc>
          <w:tcPr>
            <w:tcW w:w="2045" w:type="dxa"/>
            <w:vAlign w:val="center"/>
          </w:tcPr>
          <w:p>
            <w:pPr>
              <w:pStyle w:val="38"/>
              <w:spacing w:line="480" w:lineRule="exact"/>
              <w:jc w:val="center"/>
              <w:rPr>
                <w:highlight w:val="none"/>
                <w:lang w:val="zh-CN"/>
              </w:rPr>
            </w:pPr>
            <w:r>
              <w:rPr>
                <w:rFonts w:hint="eastAsia"/>
                <w:highlight w:val="none"/>
                <w:lang w:val="zh-CN"/>
              </w:rPr>
              <w:t>不发达地区和少数民族地区</w:t>
            </w:r>
          </w:p>
        </w:tc>
        <w:tc>
          <w:tcPr>
            <w:tcW w:w="6400" w:type="dxa"/>
            <w:vAlign w:val="center"/>
          </w:tcPr>
          <w:p>
            <w:pPr>
              <w:pStyle w:val="38"/>
              <w:spacing w:line="480" w:lineRule="exact"/>
              <w:rPr>
                <w:highlight w:val="none"/>
              </w:rPr>
            </w:pPr>
            <w:r>
              <w:rPr>
                <w:rFonts w:hint="eastAsia"/>
                <w:highlight w:val="none"/>
                <w:lang w:val="zh-CN"/>
              </w:rPr>
              <w:t>扶持不发达地区和少数民族地区政策，按现行有效政策执行。投标人为</w:t>
            </w:r>
            <w:r>
              <w:rPr>
                <w:highlight w:val="none"/>
                <w:lang w:val="zh-CN"/>
              </w:rPr>
              <w:t>不发达地区和少数民族地区政策条件的,在同等条件</w:t>
            </w:r>
            <w:r>
              <w:rPr>
                <w:rFonts w:hint="eastAsia"/>
                <w:highlight w:val="none"/>
                <w:lang w:val="zh-CN"/>
              </w:rPr>
              <w:t>（包括但不限于）</w:t>
            </w:r>
            <w:r>
              <w:rPr>
                <w:highlight w:val="none"/>
                <w:lang w:val="zh-CN"/>
              </w:rPr>
              <w:t>下享有优先采购的机会。</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8</w:t>
            </w:r>
          </w:p>
        </w:tc>
        <w:tc>
          <w:tcPr>
            <w:tcW w:w="2045" w:type="dxa"/>
            <w:vAlign w:val="center"/>
          </w:tcPr>
          <w:p>
            <w:pPr>
              <w:pStyle w:val="38"/>
              <w:spacing w:line="480" w:lineRule="exact"/>
              <w:jc w:val="center"/>
              <w:rPr>
                <w:highlight w:val="none"/>
                <w:lang w:val="zh-CN"/>
              </w:rPr>
            </w:pPr>
            <w:r>
              <w:rPr>
                <w:rFonts w:hint="eastAsia" w:cs="Times New Roman"/>
                <w:kern w:val="2"/>
                <w:szCs w:val="22"/>
                <w:highlight w:val="none"/>
              </w:rPr>
              <w:t>节能、环保、</w:t>
            </w:r>
            <w:r>
              <w:rPr>
                <w:rFonts w:hint="eastAsia"/>
                <w:highlight w:val="none"/>
              </w:rPr>
              <w:t>无线局域网产品</w:t>
            </w:r>
          </w:p>
        </w:tc>
        <w:tc>
          <w:tcPr>
            <w:tcW w:w="6400" w:type="dxa"/>
            <w:vAlign w:val="center"/>
          </w:tcPr>
          <w:p>
            <w:pPr>
              <w:pStyle w:val="38"/>
              <w:spacing w:line="480" w:lineRule="exact"/>
              <w:rPr>
                <w:highlight w:val="none"/>
                <w:lang w:val="zh-CN"/>
              </w:rPr>
            </w:pPr>
            <w:r>
              <w:rPr>
                <w:rFonts w:hint="eastAsia"/>
                <w:highlight w:val="none"/>
                <w:lang w:val="zh-CN"/>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w:t>
            </w:r>
            <w:r>
              <w:rPr>
                <w:rFonts w:hint="eastAsia"/>
                <w:bCs/>
                <w:highlight w:val="none"/>
              </w:rPr>
              <w:t>按照第七章《综合评分明细表》的规则进行加分</w:t>
            </w:r>
            <w:r>
              <w:rPr>
                <w:rFonts w:hint="eastAsia"/>
                <w:highlight w:val="none"/>
                <w:lang w:val="zh-CN"/>
              </w:rPr>
              <w:t>。</w:t>
            </w:r>
          </w:p>
          <w:p>
            <w:pPr>
              <w:pStyle w:val="38"/>
              <w:spacing w:line="480" w:lineRule="exact"/>
              <w:rPr>
                <w:highlight w:val="none"/>
                <w:lang w:val="zh-CN"/>
              </w:rPr>
            </w:pPr>
            <w:r>
              <w:rPr>
                <w:rFonts w:hint="eastAsia"/>
                <w:highlight w:val="none"/>
                <w:lang w:val="zh-CN"/>
              </w:rPr>
              <w:t>本项目采购的产品属于品目清单范围内强制采购的，投标人应按上述要求提供产品认证证书复印件并加盖投标人单位公章（鲜章），否则投标无效。</w:t>
            </w:r>
          </w:p>
          <w:p>
            <w:pPr>
              <w:pStyle w:val="38"/>
              <w:spacing w:line="480" w:lineRule="exact"/>
              <w:rPr>
                <w:highlight w:val="none"/>
                <w:lang w:val="zh-CN"/>
              </w:rPr>
            </w:pPr>
            <w:r>
              <w:rPr>
                <w:rFonts w:hint="eastAsia"/>
                <w:highlight w:val="none"/>
                <w:lang w:val="zh-CN"/>
              </w:rPr>
              <w:t>本项目采购的产品属于品目清单范围内优先采购的，属于中国政府采购网公布的《无线局域网认证产品政府采购清单》的,</w:t>
            </w:r>
            <w:r>
              <w:rPr>
                <w:rFonts w:hint="eastAsia"/>
                <w:bCs/>
                <w:highlight w:val="none"/>
              </w:rPr>
              <w:t>按照第七章《综合评分明细表》的规则进行加分</w:t>
            </w:r>
            <w:r>
              <w:rPr>
                <w:rFonts w:hint="eastAsia"/>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9</w:t>
            </w:r>
          </w:p>
        </w:tc>
        <w:tc>
          <w:tcPr>
            <w:tcW w:w="2045" w:type="dxa"/>
            <w:vAlign w:val="center"/>
          </w:tcPr>
          <w:p>
            <w:pPr>
              <w:pStyle w:val="38"/>
              <w:spacing w:line="480" w:lineRule="exact"/>
              <w:jc w:val="center"/>
              <w:rPr>
                <w:highlight w:val="none"/>
                <w:lang w:val="zh-CN"/>
              </w:rPr>
            </w:pPr>
            <w:r>
              <w:rPr>
                <w:rFonts w:hint="eastAsia"/>
                <w:highlight w:val="none"/>
                <w:lang w:val="zh-CN"/>
              </w:rPr>
              <w:t>国家关于政府采购</w:t>
            </w:r>
          </w:p>
          <w:p>
            <w:pPr>
              <w:pStyle w:val="38"/>
              <w:spacing w:line="480" w:lineRule="exact"/>
              <w:jc w:val="center"/>
              <w:rPr>
                <w:rFonts w:cs="Times New Roman"/>
                <w:kern w:val="2"/>
                <w:highlight w:val="none"/>
              </w:rPr>
            </w:pPr>
            <w:r>
              <w:rPr>
                <w:rFonts w:hint="eastAsia"/>
                <w:highlight w:val="none"/>
                <w:lang w:val="zh-CN"/>
              </w:rPr>
              <w:t>进口产品的规定</w:t>
            </w:r>
          </w:p>
        </w:tc>
        <w:tc>
          <w:tcPr>
            <w:tcW w:w="6400" w:type="dxa"/>
            <w:vAlign w:val="center"/>
          </w:tcPr>
          <w:p>
            <w:pPr>
              <w:pStyle w:val="38"/>
              <w:spacing w:line="480" w:lineRule="exact"/>
              <w:jc w:val="center"/>
              <w:rPr>
                <w:highlight w:val="none"/>
                <w:lang w:val="zh-CN"/>
              </w:rPr>
            </w:pPr>
            <w:r>
              <w:rPr>
                <w:rFonts w:hint="eastAsia"/>
                <w:highlight w:val="none"/>
                <w:lang w:val="zh-CN"/>
              </w:rPr>
              <w:t>招标文件明确规定可以采购进口产品时，仍有满足需求的国</w:t>
            </w:r>
          </w:p>
          <w:p>
            <w:pPr>
              <w:pStyle w:val="38"/>
              <w:spacing w:line="480" w:lineRule="exact"/>
              <w:rPr>
                <w:highlight w:val="none"/>
              </w:rPr>
            </w:pPr>
            <w:r>
              <w:rPr>
                <w:rFonts w:hint="eastAsia"/>
                <w:highlight w:val="none"/>
                <w:lang w:val="zh-CN"/>
              </w:rPr>
              <w:t>内产品要求参与采购竞争的，不得对国内产品加以限制，应当按照公平竞争原则实施采购。招标文件未注明允许进口产品参与投标的，凡投标进口产品的一律投标无效。招标文件中载明“允许采购进口产品”的产品，允许国产产品参与投标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10</w:t>
            </w:r>
          </w:p>
        </w:tc>
        <w:tc>
          <w:tcPr>
            <w:tcW w:w="2045" w:type="dxa"/>
            <w:vAlign w:val="center"/>
          </w:tcPr>
          <w:p>
            <w:pPr>
              <w:spacing w:line="480" w:lineRule="exact"/>
              <w:ind w:left="170" w:leftChars="50" w:right="170" w:rightChars="50"/>
              <w:jc w:val="center"/>
              <w:rPr>
                <w:sz w:val="24"/>
                <w:highlight w:val="none"/>
              </w:rPr>
            </w:pPr>
            <w:r>
              <w:rPr>
                <w:rFonts w:hint="eastAsia"/>
                <w:sz w:val="24"/>
                <w:highlight w:val="none"/>
              </w:rPr>
              <w:t>联合体投标</w:t>
            </w:r>
          </w:p>
          <w:p>
            <w:pPr>
              <w:spacing w:line="480" w:lineRule="exact"/>
              <w:ind w:left="170" w:leftChars="50" w:right="170" w:rightChars="50"/>
              <w:jc w:val="center"/>
              <w:rPr>
                <w:sz w:val="24"/>
                <w:highlight w:val="none"/>
              </w:rPr>
            </w:pPr>
            <w:r>
              <w:rPr>
                <w:rFonts w:hint="eastAsia"/>
                <w:sz w:val="24"/>
                <w:highlight w:val="none"/>
              </w:rPr>
              <w:t>（实质性要求）</w:t>
            </w:r>
          </w:p>
        </w:tc>
        <w:tc>
          <w:tcPr>
            <w:tcW w:w="6400" w:type="dxa"/>
            <w:vAlign w:val="center"/>
          </w:tcPr>
          <w:p>
            <w:pPr>
              <w:pStyle w:val="38"/>
              <w:spacing w:line="480" w:lineRule="exact"/>
              <w:jc w:val="both"/>
              <w:rPr>
                <w:highlight w:val="none"/>
                <w:lang w:val="zh-CN"/>
              </w:rPr>
            </w:pPr>
            <w:r>
              <w:rPr>
                <w:rFonts w:hint="eastAsia"/>
                <w:highlight w:val="none"/>
                <w:lang w:val="zh-CN"/>
              </w:rPr>
              <w:t>本项目不接受联合体投标。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11</w:t>
            </w:r>
          </w:p>
        </w:tc>
        <w:tc>
          <w:tcPr>
            <w:tcW w:w="2045" w:type="dxa"/>
            <w:vAlign w:val="center"/>
          </w:tcPr>
          <w:p>
            <w:pPr>
              <w:spacing w:line="480" w:lineRule="exact"/>
              <w:ind w:left="170" w:leftChars="50" w:right="170" w:rightChars="50"/>
              <w:jc w:val="center"/>
              <w:rPr>
                <w:sz w:val="24"/>
                <w:highlight w:val="none"/>
              </w:rPr>
            </w:pPr>
            <w:r>
              <w:rPr>
                <w:rFonts w:hint="eastAsia"/>
                <w:sz w:val="24"/>
                <w:highlight w:val="none"/>
              </w:rPr>
              <w:t>采购方式</w:t>
            </w:r>
          </w:p>
        </w:tc>
        <w:tc>
          <w:tcPr>
            <w:tcW w:w="6400" w:type="dxa"/>
            <w:vAlign w:val="center"/>
          </w:tcPr>
          <w:p>
            <w:pPr>
              <w:pStyle w:val="38"/>
              <w:spacing w:line="480" w:lineRule="exact"/>
              <w:jc w:val="both"/>
              <w:rPr>
                <w:highlight w:val="none"/>
                <w:lang w:val="zh-CN"/>
              </w:rPr>
            </w:pPr>
            <w:r>
              <w:rPr>
                <w:rFonts w:hint="eastAsia"/>
                <w:highlight w:val="none"/>
                <w:lang w:val="zh-CN"/>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12</w:t>
            </w:r>
          </w:p>
        </w:tc>
        <w:tc>
          <w:tcPr>
            <w:tcW w:w="2045" w:type="dxa"/>
            <w:vAlign w:val="center"/>
          </w:tcPr>
          <w:p>
            <w:pPr>
              <w:spacing w:line="480" w:lineRule="exact"/>
              <w:ind w:left="170" w:leftChars="50" w:right="170" w:rightChars="50"/>
              <w:jc w:val="center"/>
              <w:rPr>
                <w:sz w:val="24"/>
                <w:highlight w:val="none"/>
              </w:rPr>
            </w:pPr>
            <w:r>
              <w:rPr>
                <w:rFonts w:hint="eastAsia"/>
                <w:sz w:val="24"/>
                <w:highlight w:val="none"/>
              </w:rPr>
              <w:t>构成招标文件的</w:t>
            </w:r>
          </w:p>
          <w:p>
            <w:pPr>
              <w:spacing w:line="480" w:lineRule="exact"/>
              <w:ind w:left="170" w:leftChars="50" w:right="170" w:rightChars="50"/>
              <w:jc w:val="center"/>
              <w:rPr>
                <w:sz w:val="24"/>
                <w:highlight w:val="none"/>
              </w:rPr>
            </w:pPr>
            <w:r>
              <w:rPr>
                <w:rFonts w:hint="eastAsia"/>
                <w:sz w:val="24"/>
                <w:highlight w:val="none"/>
              </w:rPr>
              <w:t>其他文件</w:t>
            </w:r>
          </w:p>
        </w:tc>
        <w:tc>
          <w:tcPr>
            <w:tcW w:w="6400" w:type="dxa"/>
            <w:vAlign w:val="center"/>
          </w:tcPr>
          <w:p>
            <w:pPr>
              <w:pStyle w:val="38"/>
              <w:spacing w:line="480" w:lineRule="exact"/>
              <w:jc w:val="both"/>
              <w:rPr>
                <w:highlight w:val="none"/>
                <w:lang w:val="zh-CN"/>
              </w:rPr>
            </w:pPr>
            <w:r>
              <w:rPr>
                <w:rFonts w:hint="eastAsia"/>
                <w:highlight w:val="none"/>
                <w:lang w:val="zh-CN"/>
              </w:rPr>
              <w:t>招标文件的澄清、修改书及有关补充通知为招标文件的有效组成部分。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13</w:t>
            </w:r>
          </w:p>
        </w:tc>
        <w:tc>
          <w:tcPr>
            <w:tcW w:w="2045" w:type="dxa"/>
            <w:vAlign w:val="center"/>
          </w:tcPr>
          <w:p>
            <w:pPr>
              <w:spacing w:line="480" w:lineRule="exact"/>
              <w:ind w:left="170" w:leftChars="50" w:right="170" w:rightChars="50"/>
              <w:jc w:val="center"/>
              <w:rPr>
                <w:sz w:val="24"/>
                <w:highlight w:val="none"/>
              </w:rPr>
            </w:pPr>
            <w:r>
              <w:rPr>
                <w:rFonts w:hint="eastAsia"/>
                <w:sz w:val="24"/>
                <w:highlight w:val="none"/>
              </w:rPr>
              <w:t>考察现场标前答疑会</w:t>
            </w:r>
          </w:p>
        </w:tc>
        <w:tc>
          <w:tcPr>
            <w:tcW w:w="6400" w:type="dxa"/>
            <w:vAlign w:val="center"/>
          </w:tcPr>
          <w:p>
            <w:pPr>
              <w:pStyle w:val="38"/>
              <w:spacing w:line="480" w:lineRule="exact"/>
              <w:jc w:val="both"/>
              <w:rPr>
                <w:highlight w:val="none"/>
                <w:lang w:val="zh-CN"/>
              </w:rPr>
            </w:pPr>
            <w:r>
              <w:rPr>
                <w:rFonts w:hint="eastAsia"/>
                <w:highlight w:val="none"/>
                <w:lang w:val="zh-CN"/>
              </w:rPr>
              <w:t>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14</w:t>
            </w:r>
          </w:p>
        </w:tc>
        <w:tc>
          <w:tcPr>
            <w:tcW w:w="2045" w:type="dxa"/>
            <w:vAlign w:val="center"/>
          </w:tcPr>
          <w:p>
            <w:pPr>
              <w:pStyle w:val="38"/>
              <w:spacing w:line="480" w:lineRule="exact"/>
              <w:ind w:left="96"/>
              <w:jc w:val="center"/>
              <w:rPr>
                <w:highlight w:val="none"/>
                <w:lang w:val="zh-CN"/>
              </w:rPr>
            </w:pPr>
            <w:r>
              <w:rPr>
                <w:rFonts w:hint="eastAsia"/>
                <w:highlight w:val="none"/>
                <w:lang w:val="zh-CN"/>
              </w:rPr>
              <w:t>投标保证金</w:t>
            </w:r>
          </w:p>
        </w:tc>
        <w:tc>
          <w:tcPr>
            <w:tcW w:w="6400" w:type="dxa"/>
          </w:tcPr>
          <w:p>
            <w:pPr>
              <w:pStyle w:val="10"/>
              <w:spacing w:line="480" w:lineRule="exact"/>
              <w:rPr>
                <w:highlight w:val="none"/>
                <w:lang w:val="zh-CN"/>
              </w:rPr>
            </w:pPr>
            <w:r>
              <w:rPr>
                <w:rFonts w:hint="eastAsia" w:hAnsi="宋体" w:cs="宋体"/>
                <w:sz w:val="24"/>
                <w:szCs w:val="24"/>
                <w:highlight w:val="none"/>
              </w:rPr>
              <w:t>根据《四川省财政厅关于进一步做好疫情防控期间政府采购工作有关事项的通知》（川财采 [2020]28 号）文件要求，本项目不收取投标保证金。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15</w:t>
            </w:r>
          </w:p>
        </w:tc>
        <w:tc>
          <w:tcPr>
            <w:tcW w:w="2045" w:type="dxa"/>
            <w:vAlign w:val="center"/>
          </w:tcPr>
          <w:p>
            <w:pPr>
              <w:pStyle w:val="38"/>
              <w:spacing w:line="480" w:lineRule="exact"/>
              <w:ind w:left="96"/>
              <w:jc w:val="center"/>
              <w:rPr>
                <w:highlight w:val="none"/>
                <w:lang w:val="zh-CN"/>
              </w:rPr>
            </w:pPr>
            <w:r>
              <w:rPr>
                <w:rFonts w:hint="eastAsia"/>
                <w:highlight w:val="none"/>
                <w:lang w:val="zh-CN"/>
              </w:rPr>
              <w:t>投标有效期</w:t>
            </w:r>
          </w:p>
          <w:p>
            <w:pPr>
              <w:pStyle w:val="38"/>
              <w:spacing w:line="480" w:lineRule="exact"/>
              <w:ind w:left="96"/>
              <w:jc w:val="center"/>
              <w:rPr>
                <w:highlight w:val="none"/>
                <w:lang w:val="zh-CN"/>
              </w:rPr>
            </w:pPr>
            <w:r>
              <w:rPr>
                <w:rFonts w:hint="eastAsia"/>
                <w:highlight w:val="none"/>
                <w:lang w:val="zh-CN"/>
              </w:rPr>
              <w:t>（实质性要求）</w:t>
            </w:r>
          </w:p>
        </w:tc>
        <w:tc>
          <w:tcPr>
            <w:tcW w:w="6400" w:type="dxa"/>
            <w:vAlign w:val="center"/>
          </w:tcPr>
          <w:p>
            <w:pPr>
              <w:pStyle w:val="38"/>
              <w:spacing w:line="480" w:lineRule="exact"/>
              <w:jc w:val="both"/>
              <w:rPr>
                <w:highlight w:val="none"/>
                <w:lang w:val="zh-CN"/>
              </w:rPr>
            </w:pPr>
            <w:r>
              <w:rPr>
                <w:rFonts w:hint="eastAsia"/>
                <w:highlight w:val="none"/>
                <w:lang w:val="zh-CN"/>
              </w:rPr>
              <w:t>从提交投标文件的截止之日起90天。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16</w:t>
            </w:r>
          </w:p>
        </w:tc>
        <w:tc>
          <w:tcPr>
            <w:tcW w:w="2045" w:type="dxa"/>
            <w:vAlign w:val="center"/>
          </w:tcPr>
          <w:p>
            <w:pPr>
              <w:pStyle w:val="38"/>
              <w:spacing w:line="480" w:lineRule="exact"/>
              <w:ind w:left="96"/>
              <w:jc w:val="center"/>
              <w:rPr>
                <w:highlight w:val="none"/>
                <w:lang w:val="zh-CN"/>
              </w:rPr>
            </w:pPr>
            <w:r>
              <w:rPr>
                <w:rFonts w:hint="eastAsia"/>
                <w:highlight w:val="none"/>
                <w:lang w:val="zh-CN"/>
              </w:rPr>
              <w:t>备选投标方案和报</w:t>
            </w:r>
          </w:p>
          <w:p>
            <w:pPr>
              <w:pStyle w:val="38"/>
              <w:spacing w:line="480" w:lineRule="exact"/>
              <w:ind w:left="96"/>
              <w:jc w:val="center"/>
              <w:rPr>
                <w:highlight w:val="none"/>
                <w:lang w:val="zh-CN"/>
              </w:rPr>
            </w:pPr>
            <w:r>
              <w:rPr>
                <w:rFonts w:hint="eastAsia"/>
                <w:highlight w:val="none"/>
                <w:lang w:val="zh-CN"/>
              </w:rPr>
              <w:t>价（实质性要求）</w:t>
            </w:r>
          </w:p>
        </w:tc>
        <w:tc>
          <w:tcPr>
            <w:tcW w:w="6400" w:type="dxa"/>
            <w:vAlign w:val="center"/>
          </w:tcPr>
          <w:p>
            <w:pPr>
              <w:pStyle w:val="38"/>
              <w:spacing w:line="480" w:lineRule="exact"/>
              <w:jc w:val="both"/>
              <w:rPr>
                <w:highlight w:val="none"/>
                <w:lang w:val="zh-CN"/>
              </w:rPr>
            </w:pPr>
            <w:r>
              <w:rPr>
                <w:rFonts w:hint="eastAsia"/>
                <w:highlight w:val="none"/>
                <w:lang w:val="zh-CN"/>
              </w:rPr>
              <w:t>不接受备选投标方案和多个报价。</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17</w:t>
            </w:r>
          </w:p>
        </w:tc>
        <w:tc>
          <w:tcPr>
            <w:tcW w:w="2045" w:type="dxa"/>
            <w:vAlign w:val="center"/>
          </w:tcPr>
          <w:p>
            <w:pPr>
              <w:pStyle w:val="38"/>
              <w:spacing w:line="480" w:lineRule="exact"/>
              <w:ind w:left="96"/>
              <w:jc w:val="center"/>
              <w:rPr>
                <w:highlight w:val="none"/>
                <w:lang w:val="zh-CN"/>
              </w:rPr>
            </w:pPr>
            <w:r>
              <w:rPr>
                <w:rFonts w:hint="eastAsia"/>
                <w:highlight w:val="none"/>
                <w:lang w:val="zh-CN"/>
              </w:rPr>
              <w:t>投标文件装订方式</w:t>
            </w:r>
          </w:p>
        </w:tc>
        <w:tc>
          <w:tcPr>
            <w:tcW w:w="6400" w:type="dxa"/>
            <w:vAlign w:val="center"/>
          </w:tcPr>
          <w:p>
            <w:pPr>
              <w:pStyle w:val="38"/>
              <w:spacing w:line="480" w:lineRule="exact"/>
              <w:ind w:left="96"/>
              <w:rPr>
                <w:highlight w:val="none"/>
                <w:lang w:val="zh-CN"/>
              </w:rPr>
            </w:pPr>
            <w:r>
              <w:rPr>
                <w:rFonts w:hint="eastAsia"/>
                <w:highlight w:val="none"/>
                <w:lang w:val="zh-CN"/>
              </w:rPr>
              <w:t>左侧胶装方式装订成册(单独密封提交的开标一览表及电子文档除外)。</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18</w:t>
            </w:r>
          </w:p>
        </w:tc>
        <w:tc>
          <w:tcPr>
            <w:tcW w:w="2045" w:type="dxa"/>
            <w:vAlign w:val="center"/>
          </w:tcPr>
          <w:p>
            <w:pPr>
              <w:pStyle w:val="38"/>
              <w:spacing w:line="480" w:lineRule="exact"/>
              <w:ind w:left="96"/>
              <w:jc w:val="center"/>
              <w:rPr>
                <w:highlight w:val="none"/>
              </w:rPr>
            </w:pPr>
            <w:r>
              <w:rPr>
                <w:highlight w:val="none"/>
              </w:rPr>
              <w:t>投标文件份数</w:t>
            </w:r>
          </w:p>
          <w:p>
            <w:pPr>
              <w:pStyle w:val="38"/>
              <w:spacing w:line="480" w:lineRule="exact"/>
              <w:ind w:left="96"/>
              <w:jc w:val="center"/>
              <w:rPr>
                <w:highlight w:val="none"/>
                <w:lang w:val="zh-CN"/>
              </w:rPr>
            </w:pPr>
            <w:r>
              <w:rPr>
                <w:rFonts w:hint="eastAsia"/>
                <w:highlight w:val="none"/>
              </w:rPr>
              <w:t>（实质性要求）</w:t>
            </w:r>
          </w:p>
        </w:tc>
        <w:tc>
          <w:tcPr>
            <w:tcW w:w="6400" w:type="dxa"/>
            <w:vAlign w:val="center"/>
          </w:tcPr>
          <w:p>
            <w:pPr>
              <w:pStyle w:val="38"/>
              <w:spacing w:line="480" w:lineRule="exact"/>
              <w:ind w:left="96"/>
              <w:rPr>
                <w:highlight w:val="none"/>
              </w:rPr>
            </w:pPr>
            <w:r>
              <w:rPr>
                <w:highlight w:val="none"/>
              </w:rPr>
              <w:t>资格性投标文件正本1份，副本</w:t>
            </w:r>
            <w:r>
              <w:rPr>
                <w:rFonts w:hint="eastAsia"/>
                <w:highlight w:val="none"/>
              </w:rPr>
              <w:t>2</w:t>
            </w:r>
            <w:r>
              <w:rPr>
                <w:highlight w:val="none"/>
              </w:rPr>
              <w:t>份</w:t>
            </w:r>
            <w:r>
              <w:rPr>
                <w:rFonts w:hint="eastAsia"/>
                <w:highlight w:val="none"/>
              </w:rPr>
              <w:t>。</w:t>
            </w:r>
          </w:p>
          <w:p>
            <w:pPr>
              <w:pStyle w:val="38"/>
              <w:spacing w:line="480" w:lineRule="exact"/>
              <w:ind w:left="96"/>
              <w:rPr>
                <w:highlight w:val="none"/>
              </w:rPr>
            </w:pPr>
            <w:r>
              <w:rPr>
                <w:highlight w:val="none"/>
              </w:rPr>
              <w:t>其他投标文件正本1份，副本</w:t>
            </w:r>
            <w:r>
              <w:rPr>
                <w:rFonts w:hint="eastAsia"/>
                <w:highlight w:val="none"/>
              </w:rPr>
              <w:t>4</w:t>
            </w:r>
            <w:r>
              <w:rPr>
                <w:highlight w:val="none"/>
              </w:rPr>
              <w:t>份</w:t>
            </w:r>
            <w:r>
              <w:rPr>
                <w:rFonts w:hint="eastAsia"/>
                <w:highlight w:val="none"/>
              </w:rPr>
              <w:t>。</w:t>
            </w:r>
          </w:p>
          <w:p>
            <w:pPr>
              <w:pStyle w:val="38"/>
              <w:spacing w:line="480" w:lineRule="exact"/>
              <w:ind w:left="96"/>
              <w:rPr>
                <w:highlight w:val="none"/>
              </w:rPr>
            </w:pPr>
            <w:r>
              <w:rPr>
                <w:highlight w:val="none"/>
              </w:rPr>
              <w:t>用于唱标的开标一览表</w:t>
            </w:r>
            <w:r>
              <w:rPr>
                <w:rFonts w:hint="eastAsia"/>
                <w:highlight w:val="none"/>
              </w:rPr>
              <w:t>一式2份。</w:t>
            </w:r>
          </w:p>
          <w:p>
            <w:pPr>
              <w:pStyle w:val="38"/>
              <w:spacing w:line="480" w:lineRule="exact"/>
              <w:ind w:left="96"/>
              <w:rPr>
                <w:highlight w:val="none"/>
              </w:rPr>
            </w:pPr>
            <w:r>
              <w:rPr>
                <w:rFonts w:hint="eastAsia"/>
                <w:highlight w:val="none"/>
              </w:rPr>
              <w:t>电子文档1份（电子文档为正本加盖公章后的PDF扫描件）。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19</w:t>
            </w:r>
          </w:p>
        </w:tc>
        <w:tc>
          <w:tcPr>
            <w:tcW w:w="2045" w:type="dxa"/>
            <w:vAlign w:val="center"/>
          </w:tcPr>
          <w:p>
            <w:pPr>
              <w:pStyle w:val="38"/>
              <w:spacing w:line="480" w:lineRule="exact"/>
              <w:jc w:val="center"/>
              <w:rPr>
                <w:highlight w:val="none"/>
                <w:lang w:val="zh-CN"/>
              </w:rPr>
            </w:pPr>
            <w:r>
              <w:rPr>
                <w:rFonts w:hint="eastAsia" w:cs="Times New Roman"/>
                <w:kern w:val="2"/>
                <w:highlight w:val="none"/>
              </w:rPr>
              <w:t>投标人询问</w:t>
            </w:r>
          </w:p>
        </w:tc>
        <w:tc>
          <w:tcPr>
            <w:tcW w:w="6400" w:type="dxa"/>
          </w:tcPr>
          <w:p>
            <w:pPr>
              <w:pStyle w:val="38"/>
              <w:spacing w:line="480" w:lineRule="exact"/>
              <w:jc w:val="both"/>
              <w:rPr>
                <w:highlight w:val="none"/>
                <w:lang w:val="zh-CN"/>
              </w:rPr>
            </w:pPr>
            <w:r>
              <w:rPr>
                <w:rFonts w:hint="eastAsia"/>
                <w:highlight w:val="none"/>
                <w:lang w:val="zh-CN"/>
              </w:rPr>
              <w:t>根据委托代理协议约定，投标人询问由四川标源招标代理有限公司负责答复。</w:t>
            </w:r>
          </w:p>
          <w:p>
            <w:pPr>
              <w:pStyle w:val="38"/>
              <w:spacing w:line="480" w:lineRule="exact"/>
              <w:jc w:val="both"/>
              <w:rPr>
                <w:highlight w:val="none"/>
                <w:lang w:val="zh-CN"/>
              </w:rPr>
            </w:pPr>
            <w:r>
              <w:rPr>
                <w:rFonts w:hint="eastAsia"/>
                <w:highlight w:val="none"/>
                <w:lang w:val="zh-CN"/>
              </w:rPr>
              <w:t>联系人：田</w:t>
            </w:r>
            <w:r>
              <w:rPr>
                <w:rFonts w:hint="eastAsia"/>
                <w:highlight w:val="none"/>
              </w:rPr>
              <w:t>女士</w:t>
            </w:r>
            <w:r>
              <w:rPr>
                <w:rFonts w:hint="eastAsia"/>
                <w:highlight w:val="none"/>
                <w:lang w:val="zh-CN"/>
              </w:rPr>
              <w:t>。</w:t>
            </w:r>
          </w:p>
          <w:p>
            <w:pPr>
              <w:pStyle w:val="38"/>
              <w:spacing w:line="480" w:lineRule="exact"/>
              <w:jc w:val="both"/>
              <w:rPr>
                <w:highlight w:val="none"/>
                <w:lang w:val="zh-CN"/>
              </w:rPr>
            </w:pPr>
            <w:r>
              <w:rPr>
                <w:rFonts w:hint="eastAsia"/>
                <w:highlight w:val="none"/>
                <w:lang w:val="zh-CN"/>
              </w:rPr>
              <w:t>联系电话：</w:t>
            </w:r>
            <w:r>
              <w:rPr>
                <w:rFonts w:hint="eastAsia"/>
                <w:highlight w:val="none"/>
              </w:rPr>
              <w:t>028-87582997</w:t>
            </w:r>
            <w:r>
              <w:rPr>
                <w:rFonts w:hint="eastAsia"/>
                <w:highlight w:val="none"/>
                <w:lang w:val="zh-CN"/>
              </w:rPr>
              <w:t>。</w:t>
            </w:r>
          </w:p>
          <w:p>
            <w:pPr>
              <w:pStyle w:val="38"/>
              <w:spacing w:line="480" w:lineRule="exact"/>
              <w:jc w:val="both"/>
              <w:rPr>
                <w:highlight w:val="none"/>
                <w:lang w:val="zh-CN"/>
              </w:rPr>
            </w:pPr>
            <w:r>
              <w:rPr>
                <w:rFonts w:hint="eastAsia"/>
                <w:highlight w:val="none"/>
                <w:lang w:val="zh-CN"/>
              </w:rPr>
              <w:t>地址：</w:t>
            </w:r>
            <w:r>
              <w:rPr>
                <w:rFonts w:hint="eastAsia"/>
                <w:highlight w:val="none"/>
              </w:rPr>
              <w:t>四川省成都市金牛区兴盛西路2号6栋B座13楼（郦湾国际酒店右侧）</w:t>
            </w:r>
            <w:r>
              <w:rPr>
                <w:rFonts w:hint="eastAsia"/>
                <w:highlight w:val="none"/>
                <w:lang w:val="zh-CN"/>
              </w:rPr>
              <w:t>。</w:t>
            </w:r>
          </w:p>
          <w:p>
            <w:pPr>
              <w:pStyle w:val="38"/>
              <w:spacing w:line="480" w:lineRule="exact"/>
              <w:jc w:val="both"/>
              <w:rPr>
                <w:highlight w:val="none"/>
                <w:lang w:val="zh-CN"/>
              </w:rPr>
            </w:pPr>
            <w:r>
              <w:rPr>
                <w:rFonts w:hint="eastAsia"/>
                <w:highlight w:val="none"/>
                <w:lang w:val="zh-CN"/>
              </w:rPr>
              <w:t>邮编：</w:t>
            </w:r>
            <w:r>
              <w:rPr>
                <w:rFonts w:hint="eastAsia"/>
                <w:highlight w:val="none"/>
              </w:rPr>
              <w:t>610037</w:t>
            </w:r>
            <w:r>
              <w:rPr>
                <w:rFonts w:hint="eastAsia"/>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20</w:t>
            </w:r>
          </w:p>
        </w:tc>
        <w:tc>
          <w:tcPr>
            <w:tcW w:w="2045" w:type="dxa"/>
            <w:vAlign w:val="center"/>
          </w:tcPr>
          <w:p>
            <w:pPr>
              <w:pStyle w:val="38"/>
              <w:spacing w:line="480" w:lineRule="exact"/>
              <w:ind w:left="96"/>
              <w:jc w:val="center"/>
              <w:rPr>
                <w:highlight w:val="none"/>
                <w:lang w:val="zh-CN"/>
              </w:rPr>
            </w:pPr>
            <w:r>
              <w:rPr>
                <w:rFonts w:hint="eastAsia" w:cs="Times New Roman"/>
                <w:kern w:val="2"/>
                <w:highlight w:val="none"/>
              </w:rPr>
              <w:t>投标人</w:t>
            </w:r>
            <w:r>
              <w:rPr>
                <w:rFonts w:hint="eastAsia"/>
                <w:highlight w:val="none"/>
                <w:lang w:val="zh-CN"/>
              </w:rPr>
              <w:t>质疑</w:t>
            </w:r>
          </w:p>
        </w:tc>
        <w:tc>
          <w:tcPr>
            <w:tcW w:w="6400" w:type="dxa"/>
            <w:vAlign w:val="center"/>
          </w:tcPr>
          <w:p>
            <w:pPr>
              <w:pStyle w:val="38"/>
              <w:spacing w:line="480" w:lineRule="exact"/>
              <w:rPr>
                <w:highlight w:val="none"/>
                <w:lang w:val="zh-CN"/>
              </w:rPr>
            </w:pPr>
            <w:r>
              <w:rPr>
                <w:rFonts w:hint="eastAsia"/>
                <w:highlight w:val="none"/>
                <w:lang w:val="zh-CN"/>
              </w:rPr>
              <w:t>1.对招标文件技术参数、评分办法的质疑：</w:t>
            </w:r>
          </w:p>
          <w:p>
            <w:pPr>
              <w:pStyle w:val="38"/>
              <w:spacing w:line="480" w:lineRule="exact"/>
              <w:rPr>
                <w:highlight w:val="none"/>
                <w:lang w:val="zh-CN"/>
              </w:rPr>
            </w:pPr>
            <w:r>
              <w:rPr>
                <w:rFonts w:hint="eastAsia"/>
                <w:highlight w:val="none"/>
                <w:lang w:val="zh-CN"/>
              </w:rPr>
              <w:t>向采购人提出，并由采购人按相关规定作出答复。</w:t>
            </w:r>
          </w:p>
          <w:p>
            <w:pPr>
              <w:pStyle w:val="38"/>
              <w:spacing w:line="480" w:lineRule="exact"/>
              <w:rPr>
                <w:highlight w:val="none"/>
                <w:lang w:val="zh-CN"/>
              </w:rPr>
            </w:pPr>
            <w:r>
              <w:rPr>
                <w:rFonts w:hint="eastAsia"/>
                <w:highlight w:val="none"/>
                <w:lang w:val="zh-CN"/>
              </w:rPr>
              <w:t>质疑时间：购买招标文件之日起七个工作日内。</w:t>
            </w:r>
          </w:p>
          <w:p>
            <w:pPr>
              <w:pStyle w:val="38"/>
              <w:spacing w:line="480" w:lineRule="exact"/>
              <w:rPr>
                <w:highlight w:val="none"/>
                <w:lang w:val="zh-CN"/>
              </w:rPr>
            </w:pPr>
            <w:r>
              <w:rPr>
                <w:rFonts w:hint="eastAsia"/>
                <w:highlight w:val="none"/>
                <w:lang w:val="zh-CN"/>
              </w:rPr>
              <w:t>联系人、联系电话、联系地址：详见第1章投标邀请中的采购人联系方式。</w:t>
            </w:r>
          </w:p>
          <w:p>
            <w:pPr>
              <w:pStyle w:val="38"/>
              <w:spacing w:line="480" w:lineRule="exact"/>
              <w:rPr>
                <w:highlight w:val="none"/>
                <w:lang w:val="zh-CN"/>
              </w:rPr>
            </w:pPr>
            <w:r>
              <w:rPr>
                <w:rFonts w:hint="eastAsia"/>
                <w:highlight w:val="none"/>
                <w:lang w:val="zh-CN"/>
              </w:rPr>
              <w:t>2.对采购过程和采购结果的质疑：</w:t>
            </w:r>
          </w:p>
          <w:p>
            <w:pPr>
              <w:pStyle w:val="38"/>
              <w:spacing w:line="480" w:lineRule="exact"/>
              <w:rPr>
                <w:highlight w:val="none"/>
                <w:lang w:val="zh-CN"/>
              </w:rPr>
            </w:pPr>
            <w:r>
              <w:rPr>
                <w:rFonts w:hint="eastAsia"/>
                <w:highlight w:val="none"/>
                <w:lang w:val="zh-CN"/>
              </w:rPr>
              <w:t>（</w:t>
            </w:r>
            <w:r>
              <w:rPr>
                <w:rFonts w:hint="eastAsia"/>
                <w:highlight w:val="none"/>
              </w:rPr>
              <w:t>1</w:t>
            </w:r>
            <w:r>
              <w:rPr>
                <w:rFonts w:hint="eastAsia"/>
                <w:highlight w:val="none"/>
                <w:lang w:val="zh-CN"/>
              </w:rPr>
              <w:t>）向采购代理机构提出，并由采购代理机构按相关规定作出答复。</w:t>
            </w:r>
          </w:p>
          <w:p>
            <w:pPr>
              <w:pStyle w:val="38"/>
              <w:spacing w:line="480" w:lineRule="exact"/>
              <w:rPr>
                <w:highlight w:val="none"/>
                <w:lang w:val="zh-CN"/>
              </w:rPr>
            </w:pPr>
            <w:r>
              <w:rPr>
                <w:rFonts w:hint="eastAsia"/>
                <w:highlight w:val="none"/>
                <w:lang w:val="zh-CN"/>
              </w:rPr>
              <w:t>（</w:t>
            </w:r>
            <w:r>
              <w:rPr>
                <w:rFonts w:hint="eastAsia"/>
                <w:highlight w:val="none"/>
              </w:rPr>
              <w:t>2</w:t>
            </w:r>
            <w:r>
              <w:rPr>
                <w:rFonts w:hint="eastAsia"/>
                <w:highlight w:val="none"/>
                <w:lang w:val="zh-CN"/>
              </w:rPr>
              <w:t>）对采购过程质疑时间：为各采购程序环节结束之日起七个工作日内。</w:t>
            </w:r>
          </w:p>
          <w:p>
            <w:pPr>
              <w:pStyle w:val="38"/>
              <w:spacing w:line="480" w:lineRule="exact"/>
              <w:rPr>
                <w:highlight w:val="none"/>
                <w:lang w:val="zh-CN"/>
              </w:rPr>
            </w:pPr>
            <w:r>
              <w:rPr>
                <w:rFonts w:hint="eastAsia"/>
                <w:highlight w:val="none"/>
                <w:lang w:val="zh-CN"/>
              </w:rPr>
              <w:t>联系人、联系电话、联系地址：详见第1章投标邀请中的采购</w:t>
            </w:r>
          </w:p>
          <w:p>
            <w:pPr>
              <w:pStyle w:val="38"/>
              <w:spacing w:line="480" w:lineRule="exact"/>
              <w:rPr>
                <w:highlight w:val="none"/>
                <w:lang w:val="zh-CN"/>
              </w:rPr>
            </w:pPr>
            <w:r>
              <w:rPr>
                <w:rFonts w:hint="eastAsia"/>
                <w:highlight w:val="none"/>
                <w:lang w:val="zh-CN"/>
              </w:rPr>
              <w:t>代理机构联系方式。</w:t>
            </w:r>
          </w:p>
          <w:p>
            <w:pPr>
              <w:pStyle w:val="38"/>
              <w:spacing w:line="480" w:lineRule="exact"/>
              <w:rPr>
                <w:highlight w:val="none"/>
                <w:lang w:val="zh-CN"/>
              </w:rPr>
            </w:pPr>
            <w:r>
              <w:rPr>
                <w:rFonts w:hint="eastAsia"/>
                <w:highlight w:val="none"/>
              </w:rPr>
              <w:t>3.项目</w:t>
            </w:r>
            <w:r>
              <w:rPr>
                <w:rFonts w:hint="eastAsia"/>
                <w:highlight w:val="none"/>
                <w:lang w:val="zh-CN"/>
              </w:rPr>
              <w:t>质疑的接收方式必须以书面形式(原件)提出，并附质疑书WORD电子文档U盘一份，以当面提交或者快递邮寄形式且收到为准，以其他形式提出的质疑均不接受和回复。</w:t>
            </w:r>
          </w:p>
          <w:p>
            <w:pPr>
              <w:pStyle w:val="38"/>
              <w:spacing w:line="480" w:lineRule="exact"/>
              <w:rPr>
                <w:highlight w:val="none"/>
                <w:lang w:val="zh-CN"/>
              </w:rPr>
            </w:pPr>
            <w:r>
              <w:rPr>
                <w:rFonts w:hint="eastAsia"/>
                <w:highlight w:val="none"/>
                <w:lang w:val="zh-CN"/>
              </w:rPr>
              <w:t>注：投标人按要求报名成功并购买招标文件的，为依法获取招标文件的投标人，可以对该文件提出质疑。投标人质疑不得超出招标文件、招标过程、招标结果的范围，投标人在法定质疑期内一次性提出针对同一采购程序环节的质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21</w:t>
            </w:r>
          </w:p>
        </w:tc>
        <w:tc>
          <w:tcPr>
            <w:tcW w:w="2045" w:type="dxa"/>
            <w:vAlign w:val="center"/>
          </w:tcPr>
          <w:p>
            <w:pPr>
              <w:pStyle w:val="38"/>
              <w:spacing w:line="480" w:lineRule="exact"/>
              <w:ind w:left="96"/>
              <w:jc w:val="center"/>
              <w:rPr>
                <w:highlight w:val="none"/>
                <w:lang w:val="zh-CN"/>
              </w:rPr>
            </w:pPr>
            <w:r>
              <w:rPr>
                <w:rFonts w:hint="eastAsia" w:cs="Times New Roman"/>
                <w:kern w:val="2"/>
                <w:highlight w:val="none"/>
              </w:rPr>
              <w:t>投标人</w:t>
            </w:r>
            <w:r>
              <w:rPr>
                <w:rFonts w:hint="eastAsia"/>
                <w:highlight w:val="none"/>
                <w:lang w:val="zh-CN"/>
              </w:rPr>
              <w:t>投诉</w:t>
            </w:r>
          </w:p>
        </w:tc>
        <w:tc>
          <w:tcPr>
            <w:tcW w:w="6400" w:type="dxa"/>
            <w:vAlign w:val="center"/>
          </w:tcPr>
          <w:p>
            <w:pPr>
              <w:pStyle w:val="38"/>
              <w:spacing w:line="480" w:lineRule="exact"/>
              <w:rPr>
                <w:highlight w:val="none"/>
              </w:rPr>
            </w:pPr>
            <w:r>
              <w:rPr>
                <w:rFonts w:hint="eastAsia"/>
                <w:highlight w:val="none"/>
                <w:lang w:val="zh-CN"/>
              </w:rPr>
              <w:t>投诉受理单位：本项目同级财政部门。</w:t>
            </w:r>
          </w:p>
          <w:p>
            <w:pPr>
              <w:pStyle w:val="38"/>
              <w:spacing w:line="480" w:lineRule="exact"/>
              <w:rPr>
                <w:highlight w:val="none"/>
                <w:lang w:val="zh-CN"/>
              </w:rPr>
            </w:pPr>
            <w:r>
              <w:rPr>
                <w:rFonts w:hint="eastAsia"/>
                <w:highlight w:val="none"/>
                <w:lang w:val="zh-CN"/>
              </w:rPr>
              <w:t>注：投诉事项不得超出已质疑事项的范围。</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22</w:t>
            </w:r>
          </w:p>
        </w:tc>
        <w:tc>
          <w:tcPr>
            <w:tcW w:w="2045" w:type="dxa"/>
            <w:vAlign w:val="center"/>
          </w:tcPr>
          <w:p>
            <w:pPr>
              <w:pStyle w:val="38"/>
              <w:spacing w:line="480" w:lineRule="exact"/>
              <w:ind w:left="96"/>
              <w:jc w:val="center"/>
              <w:rPr>
                <w:highlight w:val="none"/>
                <w:lang w:val="zh-CN"/>
              </w:rPr>
            </w:pPr>
            <w:r>
              <w:rPr>
                <w:rFonts w:hint="eastAsia"/>
                <w:highlight w:val="none"/>
                <w:lang w:val="zh-CN"/>
              </w:rPr>
              <w:t>招标代理服务费（实质性要求）</w:t>
            </w:r>
          </w:p>
        </w:tc>
        <w:tc>
          <w:tcPr>
            <w:tcW w:w="6400" w:type="dxa"/>
            <w:vAlign w:val="center"/>
          </w:tcPr>
          <w:p>
            <w:pPr>
              <w:pStyle w:val="38"/>
              <w:spacing w:line="480" w:lineRule="exact"/>
              <w:rPr>
                <w:highlight w:val="none"/>
                <w:lang w:val="zh-CN"/>
              </w:rPr>
            </w:pPr>
            <w:r>
              <w:rPr>
                <w:rFonts w:hint="eastAsia"/>
                <w:highlight w:val="none"/>
                <w:lang w:val="zh-CN"/>
              </w:rPr>
              <w:t>按照《四川省政府采购营商环境指标提升专项行动工作方案》中“成本+合理利润”原则,本项目代理费定额收取31400元，由中标人领取中标通知书前支付至采购代理机构。</w:t>
            </w:r>
          </w:p>
          <w:p>
            <w:pPr>
              <w:pStyle w:val="38"/>
              <w:spacing w:line="480" w:lineRule="exact"/>
              <w:rPr>
                <w:rFonts w:cs="Times New Roman"/>
                <w:highlight w:val="none"/>
              </w:rPr>
            </w:pPr>
            <w:r>
              <w:rPr>
                <w:rFonts w:hint="eastAsia" w:cs="Times New Roman"/>
                <w:highlight w:val="none"/>
              </w:rPr>
              <w:t>收款单位：四川标源招标代理有限公司；</w:t>
            </w:r>
          </w:p>
          <w:p>
            <w:pPr>
              <w:pStyle w:val="38"/>
              <w:spacing w:line="480" w:lineRule="exact"/>
              <w:rPr>
                <w:rFonts w:cs="Times New Roman"/>
                <w:highlight w:val="none"/>
              </w:rPr>
            </w:pPr>
            <w:r>
              <w:rPr>
                <w:rFonts w:hint="eastAsia" w:cs="Times New Roman"/>
                <w:highlight w:val="none"/>
              </w:rPr>
              <w:t>开户行：中国工商银行成都成飞大道支行；</w:t>
            </w:r>
          </w:p>
          <w:p>
            <w:pPr>
              <w:pStyle w:val="38"/>
              <w:spacing w:line="480" w:lineRule="exact"/>
              <w:rPr>
                <w:highlight w:val="none"/>
                <w:lang w:val="zh-CN"/>
              </w:rPr>
            </w:pPr>
            <w:r>
              <w:rPr>
                <w:rFonts w:hint="eastAsia" w:cs="Times New Roman"/>
                <w:highlight w:val="none"/>
              </w:rPr>
              <w:t>银行账号：4402070219000007820；</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23</w:t>
            </w:r>
          </w:p>
        </w:tc>
        <w:tc>
          <w:tcPr>
            <w:tcW w:w="2045" w:type="dxa"/>
            <w:vAlign w:val="center"/>
          </w:tcPr>
          <w:p>
            <w:pPr>
              <w:pStyle w:val="38"/>
              <w:spacing w:line="480" w:lineRule="exact"/>
              <w:ind w:left="96"/>
              <w:jc w:val="center"/>
              <w:rPr>
                <w:highlight w:val="none"/>
                <w:lang w:val="zh-CN"/>
              </w:rPr>
            </w:pPr>
            <w:r>
              <w:rPr>
                <w:rFonts w:hint="eastAsia"/>
                <w:highlight w:val="none"/>
                <w:lang w:val="zh-CN"/>
              </w:rPr>
              <w:t>履约保证金</w:t>
            </w:r>
          </w:p>
        </w:tc>
        <w:tc>
          <w:tcPr>
            <w:tcW w:w="6400" w:type="dxa"/>
            <w:vAlign w:val="center"/>
          </w:tcPr>
          <w:p>
            <w:pPr>
              <w:pStyle w:val="38"/>
              <w:spacing w:line="480" w:lineRule="exact"/>
              <w:rPr>
                <w:highlight w:val="none"/>
              </w:rPr>
            </w:pPr>
            <w:r>
              <w:rPr>
                <w:rFonts w:hint="eastAsia"/>
                <w:highlight w:val="none"/>
              </w:rPr>
              <w:t>本项目不收取。</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tcBorders>
              <w:top w:val="single" w:color="auto" w:sz="4" w:space="0"/>
            </w:tcBorders>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24</w:t>
            </w:r>
          </w:p>
        </w:tc>
        <w:tc>
          <w:tcPr>
            <w:tcW w:w="2045" w:type="dxa"/>
            <w:tcBorders>
              <w:top w:val="single" w:color="auto" w:sz="4" w:space="0"/>
            </w:tcBorders>
            <w:vAlign w:val="center"/>
          </w:tcPr>
          <w:p>
            <w:pPr>
              <w:pStyle w:val="38"/>
              <w:spacing w:line="480" w:lineRule="exact"/>
              <w:ind w:left="96"/>
              <w:jc w:val="center"/>
              <w:rPr>
                <w:highlight w:val="none"/>
                <w:lang w:val="zh-CN"/>
              </w:rPr>
            </w:pPr>
            <w:r>
              <w:rPr>
                <w:rFonts w:hint="eastAsia"/>
                <w:highlight w:val="none"/>
                <w:lang w:val="zh-CN"/>
              </w:rPr>
              <w:t>中标通知书领取</w:t>
            </w:r>
          </w:p>
        </w:tc>
        <w:tc>
          <w:tcPr>
            <w:tcW w:w="6400" w:type="dxa"/>
            <w:tcBorders>
              <w:top w:val="single" w:color="auto" w:sz="4" w:space="0"/>
            </w:tcBorders>
          </w:tcPr>
          <w:p>
            <w:pPr>
              <w:pStyle w:val="38"/>
              <w:spacing w:line="480" w:lineRule="exact"/>
              <w:jc w:val="both"/>
              <w:rPr>
                <w:highlight w:val="none"/>
                <w:lang w:val="zh-CN"/>
              </w:rPr>
            </w:pPr>
            <w:r>
              <w:rPr>
                <w:rFonts w:hint="eastAsia"/>
                <w:highlight w:val="none"/>
                <w:lang w:val="zh-CN"/>
              </w:rPr>
              <w:t>中标公告在四川政府采购网上公告后，请中标人凭有效身份证明证件到四川标源招标代理有限公司领取中标通知书。</w:t>
            </w:r>
          </w:p>
          <w:p>
            <w:pPr>
              <w:pStyle w:val="38"/>
              <w:spacing w:line="480" w:lineRule="exact"/>
              <w:jc w:val="both"/>
              <w:rPr>
                <w:highlight w:val="none"/>
                <w:lang w:val="zh-CN"/>
              </w:rPr>
            </w:pPr>
            <w:r>
              <w:rPr>
                <w:rFonts w:hint="eastAsia"/>
                <w:highlight w:val="none"/>
                <w:lang w:val="zh-CN"/>
              </w:rPr>
              <w:t>联系人：樊女士。</w:t>
            </w:r>
          </w:p>
          <w:p>
            <w:pPr>
              <w:pStyle w:val="38"/>
              <w:spacing w:line="480" w:lineRule="exact"/>
              <w:jc w:val="both"/>
              <w:rPr>
                <w:highlight w:val="none"/>
                <w:lang w:val="zh-CN"/>
              </w:rPr>
            </w:pPr>
            <w:r>
              <w:rPr>
                <w:rFonts w:hint="eastAsia"/>
                <w:highlight w:val="none"/>
                <w:lang w:val="zh-CN"/>
              </w:rPr>
              <w:t>联系电话：</w:t>
            </w:r>
            <w:r>
              <w:rPr>
                <w:rStyle w:val="32"/>
                <w:rFonts w:hint="eastAsia" w:asciiTheme="minorEastAsia" w:hAnsiTheme="minorEastAsia" w:eastAsiaTheme="minorEastAsia" w:cstheme="minorEastAsia"/>
                <w:color w:val="auto"/>
                <w:highlight w:val="none"/>
                <w:u w:val="none"/>
              </w:rPr>
              <w:t>18180671505</w:t>
            </w:r>
            <w:r>
              <w:rPr>
                <w:rFonts w:hint="eastAsia"/>
                <w:highlight w:val="none"/>
                <w:lang w:val="zh-CN"/>
              </w:rPr>
              <w:t>。</w:t>
            </w:r>
          </w:p>
          <w:p>
            <w:pPr>
              <w:pStyle w:val="38"/>
              <w:spacing w:line="480" w:lineRule="exact"/>
              <w:jc w:val="both"/>
              <w:rPr>
                <w:highlight w:val="none"/>
                <w:lang w:val="zh-CN"/>
              </w:rPr>
            </w:pPr>
            <w:r>
              <w:rPr>
                <w:rFonts w:hint="eastAsia"/>
                <w:highlight w:val="none"/>
                <w:lang w:val="zh-CN"/>
              </w:rPr>
              <w:t>地址：</w:t>
            </w:r>
            <w:r>
              <w:rPr>
                <w:rFonts w:hint="eastAsia"/>
                <w:highlight w:val="none"/>
              </w:rPr>
              <w:t>四川省成都市金牛区兴盛西路2号6栋B座13楼（郦湾国际酒店右侧）</w:t>
            </w:r>
            <w:r>
              <w:rPr>
                <w:rFonts w:hint="eastAsia"/>
                <w:highlight w:val="none"/>
                <w:lang w:val="zh-CN"/>
              </w:rPr>
              <w:t>。</w:t>
            </w:r>
          </w:p>
          <w:p>
            <w:pPr>
              <w:pStyle w:val="38"/>
              <w:spacing w:line="480" w:lineRule="exact"/>
              <w:jc w:val="both"/>
              <w:rPr>
                <w:highlight w:val="none"/>
                <w:lang w:val="zh-CN"/>
              </w:rPr>
            </w:pPr>
            <w:r>
              <w:rPr>
                <w:rFonts w:hint="eastAsia"/>
                <w:highlight w:val="none"/>
              </w:rPr>
              <w:t>注：领取中标通知书时，根据四川省财政厅关于推进四川省政府采购供应商信用融资工作的通知（川财采[2018]123号）、成都市财政局 中国人民银行成都分行营业管理部关于印发《成都市中小企业政府采购信用融资暂行办法》和《成都市级支持中小企业政府采购信用融资实施方案》的通知（成财采[2019]17号）的要求，符合通知要求、有融资需求的供应商可根据四川政府采购网公示的银行或成都市政府采购监督管理系统集中展示的融资机构及其“政采贷”产品，自行选择符合自身情况的“政采贷”银行及其产品，选择“政采贷”银行及其产品的需向代理机构进行登记。</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tcBorders>
              <w:top w:val="single" w:color="auto" w:sz="4" w:space="0"/>
              <w:bottom w:val="single" w:color="auto" w:sz="4" w:space="0"/>
            </w:tcBorders>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25</w:t>
            </w:r>
          </w:p>
        </w:tc>
        <w:tc>
          <w:tcPr>
            <w:tcW w:w="2045" w:type="dxa"/>
            <w:tcBorders>
              <w:top w:val="single" w:color="auto" w:sz="4" w:space="0"/>
              <w:bottom w:val="single" w:color="auto" w:sz="4" w:space="0"/>
            </w:tcBorders>
            <w:vAlign w:val="center"/>
          </w:tcPr>
          <w:p>
            <w:pPr>
              <w:pStyle w:val="38"/>
              <w:spacing w:line="480" w:lineRule="exact"/>
              <w:ind w:right="264"/>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政府采购合同</w:t>
            </w:r>
          </w:p>
          <w:p>
            <w:pPr>
              <w:pStyle w:val="38"/>
              <w:spacing w:line="480" w:lineRule="exact"/>
              <w:ind w:right="264"/>
              <w:jc w:val="center"/>
              <w:rPr>
                <w:rFonts w:cs="Times New Roman"/>
                <w:kern w:val="2"/>
                <w:highlight w:val="none"/>
              </w:rPr>
            </w:pPr>
            <w:r>
              <w:rPr>
                <w:rFonts w:hint="eastAsia" w:ascii="Times New Roman" w:hAnsi="Times New Roman" w:cs="Times New Roman"/>
                <w:kern w:val="2"/>
                <w:szCs w:val="28"/>
                <w:highlight w:val="none"/>
              </w:rPr>
              <w:t>公告备案</w:t>
            </w:r>
          </w:p>
        </w:tc>
        <w:tc>
          <w:tcPr>
            <w:tcW w:w="6400" w:type="dxa"/>
            <w:tcBorders>
              <w:top w:val="single" w:color="auto" w:sz="4" w:space="0"/>
              <w:bottom w:val="single" w:color="auto" w:sz="4" w:space="0"/>
            </w:tcBorders>
            <w:vAlign w:val="center"/>
          </w:tcPr>
          <w:p>
            <w:pPr>
              <w:pStyle w:val="38"/>
              <w:spacing w:line="480" w:lineRule="exact"/>
              <w:rPr>
                <w:highlight w:val="none"/>
                <w:lang w:val="zh-CN"/>
              </w:rPr>
            </w:pPr>
            <w:r>
              <w:rPr>
                <w:rFonts w:hint="eastAsia"/>
                <w:highlight w:val="none"/>
                <w:lang w:val="zh-CN"/>
              </w:rPr>
              <w:t>政府采购合同签订之日起2个工作日内，政府采购合同将在四川政府采购网公告；政府采购合同签订之日起七个工作日内，政府采购合同将向本采购项目同级财政部门备案。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jc w:val="center"/>
        </w:trPr>
        <w:tc>
          <w:tcPr>
            <w:tcW w:w="671" w:type="dxa"/>
            <w:tcBorders>
              <w:top w:val="single" w:color="auto" w:sz="4" w:space="0"/>
            </w:tcBorders>
            <w:vAlign w:val="center"/>
          </w:tcPr>
          <w:p>
            <w:pPr>
              <w:pStyle w:val="38"/>
              <w:spacing w:line="480" w:lineRule="exact"/>
              <w:ind w:left="9"/>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26</w:t>
            </w:r>
          </w:p>
        </w:tc>
        <w:tc>
          <w:tcPr>
            <w:tcW w:w="2045" w:type="dxa"/>
            <w:tcBorders>
              <w:top w:val="single" w:color="auto" w:sz="4" w:space="0"/>
            </w:tcBorders>
            <w:vAlign w:val="center"/>
          </w:tcPr>
          <w:p>
            <w:pPr>
              <w:pStyle w:val="38"/>
              <w:spacing w:line="480" w:lineRule="exact"/>
              <w:ind w:right="264"/>
              <w:jc w:val="center"/>
              <w:rPr>
                <w:rFonts w:ascii="Times New Roman" w:hAnsi="Times New Roman" w:cs="Times New Roman"/>
                <w:kern w:val="2"/>
                <w:szCs w:val="28"/>
                <w:highlight w:val="none"/>
              </w:rPr>
            </w:pPr>
            <w:r>
              <w:rPr>
                <w:rFonts w:hint="eastAsia" w:ascii="Times New Roman" w:hAnsi="Times New Roman" w:cs="Times New Roman"/>
                <w:kern w:val="2"/>
                <w:szCs w:val="28"/>
                <w:highlight w:val="none"/>
              </w:rPr>
              <w:t>其他</w:t>
            </w:r>
          </w:p>
        </w:tc>
        <w:tc>
          <w:tcPr>
            <w:tcW w:w="6400" w:type="dxa"/>
            <w:tcBorders>
              <w:top w:val="single" w:color="auto" w:sz="4" w:space="0"/>
            </w:tcBorders>
            <w:vAlign w:val="center"/>
          </w:tcPr>
          <w:p>
            <w:pPr>
              <w:pStyle w:val="38"/>
              <w:spacing w:line="480" w:lineRule="exact"/>
              <w:jc w:val="both"/>
              <w:rPr>
                <w:highlight w:val="none"/>
                <w:lang w:val="zh-CN"/>
              </w:rPr>
            </w:pPr>
            <w:r>
              <w:rPr>
                <w:rFonts w:hint="eastAsia"/>
                <w:highlight w:val="none"/>
                <w:lang w:val="zh-CN"/>
              </w:rPr>
              <w:t>投标人须知附表与招标文件其他描述不一致时，以投标人须知附表为准。</w:t>
            </w:r>
          </w:p>
        </w:tc>
      </w:tr>
    </w:tbl>
    <w:p>
      <w:pPr>
        <w:pStyle w:val="4"/>
        <w:spacing w:line="500" w:lineRule="exact"/>
        <w:jc w:val="center"/>
        <w:rPr>
          <w:rFonts w:ascii="黑体"/>
          <w:bCs w:val="0"/>
          <w:highlight w:val="none"/>
        </w:rPr>
      </w:pPr>
      <w:r>
        <w:rPr>
          <w:rFonts w:hint="eastAsia" w:ascii="黑体"/>
          <w:bCs w:val="0"/>
          <w:highlight w:val="none"/>
        </w:rPr>
        <w:t>二、总  则</w:t>
      </w:r>
    </w:p>
    <w:p>
      <w:pPr>
        <w:pStyle w:val="5"/>
        <w:spacing w:line="500" w:lineRule="exact"/>
        <w:ind w:firstLine="482" w:firstLineChars="200"/>
        <w:rPr>
          <w:sz w:val="24"/>
          <w:highlight w:val="none"/>
        </w:rPr>
      </w:pPr>
      <w:bookmarkStart w:id="7" w:name="_Toc183582205"/>
      <w:bookmarkStart w:id="8" w:name="_Toc183682342"/>
      <w:bookmarkStart w:id="9" w:name="_Toc217446034"/>
      <w:r>
        <w:rPr>
          <w:rFonts w:hint="eastAsia"/>
          <w:sz w:val="24"/>
          <w:highlight w:val="none"/>
        </w:rPr>
        <w:t>1.</w:t>
      </w:r>
      <w:bookmarkEnd w:id="7"/>
      <w:bookmarkEnd w:id="8"/>
      <w:r>
        <w:rPr>
          <w:rFonts w:hint="eastAsia"/>
          <w:sz w:val="24"/>
          <w:szCs w:val="24"/>
          <w:highlight w:val="none"/>
        </w:rPr>
        <w:t>适用范围</w:t>
      </w:r>
      <w:bookmarkEnd w:id="9"/>
    </w:p>
    <w:p>
      <w:pPr>
        <w:tabs>
          <w:tab w:val="left" w:pos="7665"/>
        </w:tabs>
        <w:spacing w:line="500" w:lineRule="exact"/>
        <w:ind w:firstLine="480" w:firstLineChars="200"/>
        <w:rPr>
          <w:sz w:val="24"/>
          <w:highlight w:val="none"/>
        </w:rPr>
      </w:pPr>
      <w:r>
        <w:rPr>
          <w:rFonts w:hint="eastAsia"/>
          <w:sz w:val="24"/>
          <w:highlight w:val="none"/>
        </w:rPr>
        <w:t>1.1 本招标文件仅适用于本次招标采购项目。</w:t>
      </w:r>
    </w:p>
    <w:p>
      <w:pPr>
        <w:pStyle w:val="5"/>
        <w:spacing w:line="500" w:lineRule="exact"/>
        <w:ind w:firstLine="482" w:firstLineChars="200"/>
        <w:rPr>
          <w:sz w:val="24"/>
          <w:highlight w:val="none"/>
        </w:rPr>
      </w:pPr>
      <w:bookmarkStart w:id="10" w:name="_Toc183682343"/>
      <w:bookmarkStart w:id="11" w:name="_Toc183582206"/>
      <w:bookmarkStart w:id="12" w:name="_Toc217446035"/>
      <w:r>
        <w:rPr>
          <w:rFonts w:hint="eastAsia"/>
          <w:sz w:val="24"/>
          <w:highlight w:val="none"/>
        </w:rPr>
        <w:t xml:space="preserve">2. </w:t>
      </w:r>
      <w:bookmarkEnd w:id="10"/>
      <w:bookmarkEnd w:id="11"/>
      <w:r>
        <w:rPr>
          <w:rFonts w:hint="eastAsia"/>
          <w:sz w:val="24"/>
          <w:highlight w:val="none"/>
        </w:rPr>
        <w:t>有关</w:t>
      </w:r>
      <w:r>
        <w:rPr>
          <w:rFonts w:hint="eastAsia"/>
          <w:sz w:val="24"/>
          <w:szCs w:val="24"/>
          <w:highlight w:val="none"/>
        </w:rPr>
        <w:t>定义</w:t>
      </w:r>
      <w:bookmarkEnd w:id="12"/>
    </w:p>
    <w:p>
      <w:pPr>
        <w:tabs>
          <w:tab w:val="left" w:pos="7665"/>
        </w:tabs>
        <w:spacing w:line="500" w:lineRule="exact"/>
        <w:ind w:firstLine="480" w:firstLineChars="200"/>
        <w:rPr>
          <w:sz w:val="24"/>
          <w:highlight w:val="none"/>
        </w:rPr>
      </w:pPr>
      <w:r>
        <w:rPr>
          <w:rFonts w:hint="eastAsia"/>
          <w:sz w:val="24"/>
          <w:highlight w:val="none"/>
        </w:rPr>
        <w:t>2.1 “采购人”和“甲方”系指依法进行政府采购的国家机关、事业单位、团体组织。本项目的采购人是</w:t>
      </w:r>
      <w:r>
        <w:rPr>
          <w:rFonts w:hint="eastAsia"/>
          <w:sz w:val="24"/>
          <w:highlight w:val="none"/>
          <w:u w:val="single"/>
        </w:rPr>
        <w:t>成都市殡仪馆</w:t>
      </w:r>
      <w:r>
        <w:rPr>
          <w:rFonts w:hint="eastAsia"/>
          <w:sz w:val="24"/>
          <w:highlight w:val="none"/>
        </w:rPr>
        <w:t>。</w:t>
      </w:r>
    </w:p>
    <w:p>
      <w:pPr>
        <w:tabs>
          <w:tab w:val="left" w:pos="7665"/>
        </w:tabs>
        <w:spacing w:line="500" w:lineRule="exact"/>
        <w:ind w:firstLine="480" w:firstLineChars="200"/>
        <w:rPr>
          <w:sz w:val="24"/>
          <w:highlight w:val="none"/>
        </w:rPr>
      </w:pPr>
      <w:r>
        <w:rPr>
          <w:rFonts w:hint="eastAsia"/>
          <w:sz w:val="24"/>
          <w:highlight w:val="none"/>
        </w:rPr>
        <w:t>2.2 “采购代理机构” 系指根据采购人的委托依法办理招标事宜的采购机构。本次招标的采购代理机构是</w:t>
      </w:r>
      <w:r>
        <w:rPr>
          <w:rFonts w:hint="eastAsia"/>
          <w:sz w:val="24"/>
          <w:highlight w:val="none"/>
          <w:u w:val="single"/>
        </w:rPr>
        <w:t xml:space="preserve"> 四川标源招标代理有限公司 </w:t>
      </w:r>
      <w:r>
        <w:rPr>
          <w:rFonts w:hint="eastAsia"/>
          <w:sz w:val="24"/>
          <w:highlight w:val="none"/>
        </w:rPr>
        <w:t xml:space="preserve"> 。</w:t>
      </w:r>
    </w:p>
    <w:p>
      <w:pPr>
        <w:tabs>
          <w:tab w:val="left" w:pos="7665"/>
        </w:tabs>
        <w:spacing w:line="500" w:lineRule="exact"/>
        <w:ind w:firstLine="480" w:firstLineChars="200"/>
        <w:rPr>
          <w:sz w:val="24"/>
          <w:highlight w:val="none"/>
        </w:rPr>
      </w:pPr>
      <w:r>
        <w:rPr>
          <w:rFonts w:hint="eastAsia"/>
          <w:sz w:val="24"/>
          <w:highlight w:val="none"/>
        </w:rPr>
        <w:t>2.3 “招标采购单位”系指“采购人”和“采购代理机构”的统称。</w:t>
      </w:r>
    </w:p>
    <w:p>
      <w:pPr>
        <w:tabs>
          <w:tab w:val="left" w:pos="7665"/>
        </w:tabs>
        <w:spacing w:line="500" w:lineRule="exact"/>
        <w:ind w:firstLine="480" w:firstLineChars="200"/>
        <w:rPr>
          <w:sz w:val="24"/>
          <w:highlight w:val="none"/>
        </w:rPr>
      </w:pPr>
      <w:r>
        <w:rPr>
          <w:rFonts w:hint="eastAsia"/>
          <w:sz w:val="24"/>
          <w:highlight w:val="none"/>
        </w:rPr>
        <w:t>2.4 “投标人”系指购买了招标文件拟参加投标和向采购人提供货物及相应服务的投标人。</w:t>
      </w:r>
    </w:p>
    <w:p>
      <w:pPr>
        <w:tabs>
          <w:tab w:val="left" w:pos="7665"/>
        </w:tabs>
        <w:spacing w:line="500" w:lineRule="exact"/>
        <w:ind w:firstLine="480" w:firstLineChars="200"/>
        <w:rPr>
          <w:sz w:val="24"/>
          <w:szCs w:val="22"/>
          <w:highlight w:val="none"/>
        </w:rPr>
      </w:pPr>
      <w:r>
        <w:rPr>
          <w:rFonts w:hint="eastAsia"/>
          <w:sz w:val="24"/>
          <w:szCs w:val="22"/>
          <w:highlight w:val="none"/>
        </w:rPr>
        <w:t>2.5本招标文件按日计算期间的，开始当天不计入，从次日开始计算。期限的最后一日是国家法定节假日的，顺延到节假日后的次日为期限的最后一日。</w:t>
      </w:r>
    </w:p>
    <w:p>
      <w:pPr>
        <w:tabs>
          <w:tab w:val="left" w:pos="7665"/>
        </w:tabs>
        <w:spacing w:line="500" w:lineRule="exact"/>
        <w:ind w:firstLine="480" w:firstLineChars="200"/>
        <w:rPr>
          <w:sz w:val="24"/>
          <w:szCs w:val="22"/>
          <w:highlight w:val="none"/>
        </w:rPr>
      </w:pPr>
      <w:r>
        <w:rPr>
          <w:sz w:val="24"/>
          <w:szCs w:val="22"/>
          <w:highlight w:val="none"/>
        </w:rPr>
        <w:t>2.6本招标文件所称“投标文件”系指投标人响应招标文件要求提供的所有文件资料，为</w:t>
      </w:r>
      <w:r>
        <w:rPr>
          <w:rFonts w:hint="eastAsia"/>
          <w:sz w:val="24"/>
          <w:highlight w:val="none"/>
        </w:rPr>
        <w:t>资格性投标文件及</w:t>
      </w:r>
      <w:r>
        <w:rPr>
          <w:rFonts w:hAnsi="宋体" w:cs="宋体"/>
          <w:sz w:val="24"/>
          <w:highlight w:val="none"/>
        </w:rPr>
        <w:t>其他投标文件的统称。</w:t>
      </w:r>
    </w:p>
    <w:p>
      <w:pPr>
        <w:pStyle w:val="5"/>
        <w:spacing w:line="500" w:lineRule="exact"/>
        <w:ind w:firstLine="482" w:firstLineChars="200"/>
        <w:rPr>
          <w:sz w:val="24"/>
          <w:highlight w:val="none"/>
        </w:rPr>
      </w:pPr>
      <w:bookmarkStart w:id="13" w:name="_Toc217390843"/>
      <w:bookmarkStart w:id="14" w:name="_Toc217446036"/>
      <w:bookmarkStart w:id="15" w:name="_Toc183682344"/>
      <w:bookmarkStart w:id="16" w:name="_Toc183582207"/>
      <w:r>
        <w:rPr>
          <w:rFonts w:hint="eastAsia"/>
          <w:sz w:val="24"/>
          <w:highlight w:val="none"/>
        </w:rPr>
        <w:t>3. 合格的投标人</w:t>
      </w:r>
      <w:bookmarkEnd w:id="13"/>
      <w:bookmarkEnd w:id="14"/>
      <w:bookmarkEnd w:id="15"/>
      <w:bookmarkEnd w:id="16"/>
      <w:r>
        <w:rPr>
          <w:rFonts w:hint="eastAsia"/>
          <w:sz w:val="24"/>
          <w:szCs w:val="24"/>
          <w:highlight w:val="none"/>
        </w:rPr>
        <w:t>（实质性要求）</w:t>
      </w:r>
    </w:p>
    <w:p>
      <w:pPr>
        <w:tabs>
          <w:tab w:val="left" w:pos="7665"/>
        </w:tabs>
        <w:spacing w:line="500" w:lineRule="exact"/>
        <w:ind w:firstLine="480" w:firstLineChars="200"/>
        <w:rPr>
          <w:sz w:val="24"/>
          <w:highlight w:val="none"/>
        </w:rPr>
      </w:pPr>
      <w:r>
        <w:rPr>
          <w:rFonts w:hint="eastAsia"/>
          <w:sz w:val="24"/>
          <w:highlight w:val="none"/>
        </w:rPr>
        <w:t>合格的投标人应具备以下条件：</w:t>
      </w:r>
    </w:p>
    <w:p>
      <w:pPr>
        <w:tabs>
          <w:tab w:val="left" w:pos="7665"/>
        </w:tabs>
        <w:spacing w:line="500" w:lineRule="exact"/>
        <w:ind w:firstLine="480" w:firstLineChars="200"/>
        <w:rPr>
          <w:sz w:val="24"/>
          <w:highlight w:val="none"/>
        </w:rPr>
      </w:pPr>
      <w:r>
        <w:rPr>
          <w:rFonts w:hint="eastAsia"/>
          <w:sz w:val="24"/>
          <w:highlight w:val="none"/>
        </w:rPr>
        <w:t>（1）本招标文件规定的投标人资格条件；</w:t>
      </w:r>
    </w:p>
    <w:p>
      <w:pPr>
        <w:tabs>
          <w:tab w:val="left" w:pos="7665"/>
        </w:tabs>
        <w:spacing w:line="500" w:lineRule="exact"/>
        <w:ind w:firstLine="480" w:firstLineChars="200"/>
        <w:rPr>
          <w:sz w:val="24"/>
          <w:highlight w:val="none"/>
        </w:rPr>
      </w:pPr>
      <w:r>
        <w:rPr>
          <w:rFonts w:hint="eastAsia"/>
          <w:sz w:val="24"/>
          <w:highlight w:val="none"/>
        </w:rPr>
        <w:t>（2）遵守国家有关的法律、法规、规章和其他政策制度；</w:t>
      </w:r>
    </w:p>
    <w:p>
      <w:pPr>
        <w:tabs>
          <w:tab w:val="left" w:pos="7665"/>
        </w:tabs>
        <w:spacing w:line="500" w:lineRule="exact"/>
        <w:ind w:firstLine="480" w:firstLineChars="200"/>
        <w:rPr>
          <w:sz w:val="24"/>
          <w:highlight w:val="none"/>
        </w:rPr>
      </w:pPr>
      <w:r>
        <w:rPr>
          <w:rFonts w:hint="eastAsia"/>
          <w:sz w:val="24"/>
          <w:highlight w:val="none"/>
        </w:rPr>
        <w:t>（3）向采购代理机构购买了招标文件。</w:t>
      </w:r>
    </w:p>
    <w:p>
      <w:pPr>
        <w:pStyle w:val="5"/>
        <w:spacing w:line="500" w:lineRule="exact"/>
        <w:ind w:firstLine="482" w:firstLineChars="200"/>
        <w:rPr>
          <w:sz w:val="24"/>
          <w:highlight w:val="none"/>
        </w:rPr>
      </w:pPr>
      <w:bookmarkStart w:id="17" w:name="_Toc183582208"/>
      <w:bookmarkStart w:id="18" w:name="_Toc217446037"/>
      <w:bookmarkStart w:id="19" w:name="_Toc183682345"/>
      <w:r>
        <w:rPr>
          <w:rFonts w:hint="eastAsia"/>
          <w:sz w:val="24"/>
          <w:highlight w:val="none"/>
        </w:rPr>
        <w:t>4. 投标费用</w:t>
      </w:r>
      <w:bookmarkEnd w:id="17"/>
      <w:bookmarkEnd w:id="18"/>
      <w:bookmarkEnd w:id="19"/>
      <w:r>
        <w:rPr>
          <w:rFonts w:hint="eastAsia"/>
          <w:sz w:val="24"/>
          <w:szCs w:val="24"/>
          <w:highlight w:val="none"/>
        </w:rPr>
        <w:t>（实质性要求）</w:t>
      </w:r>
    </w:p>
    <w:p>
      <w:pPr>
        <w:tabs>
          <w:tab w:val="left" w:pos="7665"/>
        </w:tabs>
        <w:spacing w:line="500" w:lineRule="exact"/>
        <w:ind w:firstLine="480"/>
        <w:rPr>
          <w:sz w:val="24"/>
          <w:highlight w:val="none"/>
        </w:rPr>
      </w:pPr>
      <w:r>
        <w:rPr>
          <w:rFonts w:hint="eastAsia"/>
          <w:sz w:val="24"/>
          <w:highlight w:val="none"/>
        </w:rPr>
        <w:t>投标人参加投标的有关费用由投标人自行承担。</w:t>
      </w:r>
    </w:p>
    <w:p>
      <w:pPr>
        <w:pStyle w:val="5"/>
        <w:spacing w:line="500" w:lineRule="exact"/>
        <w:ind w:firstLine="482" w:firstLineChars="200"/>
        <w:rPr>
          <w:sz w:val="24"/>
          <w:highlight w:val="none"/>
        </w:rPr>
      </w:pPr>
      <w:r>
        <w:rPr>
          <w:rFonts w:hint="eastAsia"/>
          <w:sz w:val="24"/>
          <w:highlight w:val="none"/>
        </w:rPr>
        <w:t>5. 充分、公平竞争保障措施</w:t>
      </w:r>
      <w:r>
        <w:rPr>
          <w:rFonts w:hint="eastAsia"/>
          <w:sz w:val="24"/>
          <w:szCs w:val="24"/>
          <w:highlight w:val="none"/>
        </w:rPr>
        <w:t>（实质性要求）</w:t>
      </w:r>
    </w:p>
    <w:p>
      <w:pPr>
        <w:pStyle w:val="37"/>
        <w:spacing w:line="460" w:lineRule="exact"/>
        <w:ind w:left="1" w:firstLine="482"/>
        <w:rPr>
          <w:b/>
          <w:sz w:val="24"/>
          <w:szCs w:val="24"/>
          <w:highlight w:val="none"/>
        </w:rPr>
      </w:pPr>
      <w:r>
        <w:rPr>
          <w:rFonts w:hint="eastAsia"/>
          <w:b/>
          <w:sz w:val="24"/>
          <w:highlight w:val="none"/>
        </w:rPr>
        <w:t>5.1 提供相同品牌产品处理</w:t>
      </w:r>
      <w:r>
        <w:rPr>
          <w:rFonts w:hint="eastAsia"/>
          <w:b/>
          <w:sz w:val="24"/>
          <w:szCs w:val="24"/>
          <w:highlight w:val="none"/>
        </w:rPr>
        <w:t>。</w:t>
      </w:r>
    </w:p>
    <w:p>
      <w:pPr>
        <w:pStyle w:val="37"/>
        <w:spacing w:line="460" w:lineRule="exact"/>
        <w:ind w:left="1" w:firstLine="482"/>
        <w:rPr>
          <w:bCs/>
          <w:sz w:val="24"/>
          <w:szCs w:val="24"/>
          <w:highlight w:val="none"/>
        </w:rPr>
      </w:pPr>
      <w:r>
        <w:rPr>
          <w:rFonts w:hint="eastAsia"/>
          <w:b/>
          <w:sz w:val="24"/>
          <w:szCs w:val="24"/>
          <w:highlight w:val="none"/>
        </w:rPr>
        <w:t xml:space="preserve">5.1.1 </w:t>
      </w:r>
      <w:r>
        <w:rPr>
          <w:rFonts w:hint="eastAsia"/>
          <w:bCs/>
          <w:sz w:val="24"/>
          <w:szCs w:val="24"/>
          <w:highlight w:val="none"/>
        </w:rPr>
        <w:t>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pPr>
        <w:pStyle w:val="37"/>
        <w:spacing w:line="460" w:lineRule="exact"/>
        <w:ind w:left="1" w:firstLine="480"/>
        <w:rPr>
          <w:bCs/>
          <w:sz w:val="24"/>
          <w:szCs w:val="24"/>
          <w:highlight w:val="none"/>
        </w:rPr>
      </w:pPr>
      <w:r>
        <w:rPr>
          <w:rFonts w:hint="eastAsia"/>
          <w:bCs/>
          <w:sz w:val="24"/>
          <w:szCs w:val="24"/>
          <w:highlight w:val="none"/>
        </w:rPr>
        <w:t>非单一产品采购项目中，采购人根据采购项目技术构成、产品价格比重等合理确定核心产品，并在招标文件中载明。多家投标人提供的任一核心产品品牌相同的，视为提供相同品牌产品。</w:t>
      </w:r>
    </w:p>
    <w:p>
      <w:pPr>
        <w:pStyle w:val="37"/>
        <w:spacing w:line="460" w:lineRule="exact"/>
        <w:ind w:left="1" w:firstLine="480"/>
        <w:rPr>
          <w:bCs/>
          <w:sz w:val="24"/>
          <w:szCs w:val="24"/>
          <w:highlight w:val="none"/>
        </w:rPr>
      </w:pPr>
      <w:r>
        <w:rPr>
          <w:rFonts w:hint="eastAsia"/>
          <w:bCs/>
          <w:sz w:val="24"/>
          <w:szCs w:val="24"/>
          <w:highlight w:val="none"/>
        </w:rPr>
        <w:t>5.1.2利害关系投标人处理—禁止投标情形。</w:t>
      </w:r>
    </w:p>
    <w:p>
      <w:pPr>
        <w:pStyle w:val="37"/>
        <w:spacing w:line="460" w:lineRule="exact"/>
        <w:ind w:left="1" w:firstLine="480"/>
        <w:rPr>
          <w:bCs/>
          <w:sz w:val="24"/>
          <w:szCs w:val="24"/>
          <w:highlight w:val="none"/>
        </w:rPr>
      </w:pPr>
      <w:r>
        <w:rPr>
          <w:rFonts w:hint="eastAsia"/>
          <w:bCs/>
          <w:sz w:val="24"/>
          <w:szCs w:val="24"/>
          <w:highlight w:val="none"/>
        </w:rPr>
        <w:t>单位负责人为同一人或者存在直接控股、管理关系的不同投标人不得参加同一合同项下的政府采购活动。</w:t>
      </w:r>
    </w:p>
    <w:p>
      <w:pPr>
        <w:pStyle w:val="37"/>
        <w:spacing w:line="460" w:lineRule="exact"/>
        <w:ind w:left="1" w:firstLine="480"/>
        <w:rPr>
          <w:bCs/>
          <w:sz w:val="24"/>
          <w:szCs w:val="24"/>
          <w:highlight w:val="none"/>
        </w:rPr>
      </w:pPr>
      <w:r>
        <w:rPr>
          <w:rFonts w:hint="eastAsia"/>
          <w:bCs/>
          <w:sz w:val="24"/>
          <w:szCs w:val="24"/>
          <w:highlight w:val="none"/>
        </w:rPr>
        <w:t>5.1.3前期参与投标人处理—禁止投标情形。</w:t>
      </w:r>
    </w:p>
    <w:p>
      <w:pPr>
        <w:pStyle w:val="37"/>
        <w:spacing w:line="460" w:lineRule="exact"/>
        <w:ind w:left="1" w:firstLine="480"/>
        <w:rPr>
          <w:bCs/>
          <w:sz w:val="24"/>
          <w:szCs w:val="24"/>
          <w:highlight w:val="none"/>
        </w:rPr>
      </w:pPr>
      <w:r>
        <w:rPr>
          <w:rFonts w:hint="eastAsia"/>
          <w:bCs/>
          <w:sz w:val="24"/>
          <w:szCs w:val="24"/>
          <w:highlight w:val="none"/>
        </w:rPr>
        <w:t>为采购项目提供整体设计、规范编制或者项目管理、监理、检测等服务的投标人，不得再参加该采购项目的其他采购活动。投标人为采购人、采购代理机构在确定采购需求、编制招标文件过程中提供咨询论证，其提供的咨询论证意见成为招标文件中规定的投标人资格条件、技术服务商务要求、评标因素和标准、政府采购合同等实质性内容条款的，视同为采购项目提供规范编制。</w:t>
      </w:r>
    </w:p>
    <w:p>
      <w:pPr>
        <w:pStyle w:val="37"/>
        <w:spacing w:line="460" w:lineRule="exact"/>
        <w:ind w:left="1" w:firstLine="480"/>
        <w:rPr>
          <w:bCs/>
          <w:sz w:val="24"/>
          <w:szCs w:val="24"/>
          <w:highlight w:val="none"/>
        </w:rPr>
      </w:pPr>
      <w:r>
        <w:rPr>
          <w:rFonts w:hint="eastAsia"/>
          <w:bCs/>
          <w:sz w:val="24"/>
          <w:szCs w:val="24"/>
          <w:highlight w:val="none"/>
        </w:rPr>
        <w:t>5.1.4利害关系代理人处理—禁止投标情形。</w:t>
      </w:r>
    </w:p>
    <w:p>
      <w:pPr>
        <w:pStyle w:val="37"/>
        <w:spacing w:line="460" w:lineRule="exact"/>
        <w:ind w:left="1" w:firstLine="480"/>
        <w:rPr>
          <w:bCs/>
          <w:sz w:val="24"/>
          <w:szCs w:val="24"/>
          <w:highlight w:val="none"/>
        </w:rPr>
      </w:pPr>
      <w:r>
        <w:rPr>
          <w:rFonts w:hint="eastAsia"/>
          <w:bCs/>
          <w:sz w:val="24"/>
          <w:szCs w:val="24"/>
          <w:highlight w:val="none"/>
        </w:rPr>
        <w:t>2家以上的投标人不得在同一合同项下的采购项目中，同时委托同一个自然人、同一家庭的人员、同一单位的人员作为其代理人，否则，其投标文件作为无效处理。</w:t>
      </w:r>
    </w:p>
    <w:p>
      <w:pPr>
        <w:pStyle w:val="4"/>
        <w:spacing w:line="500" w:lineRule="exact"/>
        <w:jc w:val="center"/>
        <w:rPr>
          <w:rFonts w:ascii="黑体"/>
          <w:bCs w:val="0"/>
          <w:highlight w:val="none"/>
        </w:rPr>
      </w:pPr>
      <w:bookmarkStart w:id="20" w:name="_Toc217446038"/>
      <w:bookmarkStart w:id="21" w:name="_Toc77400779"/>
      <w:bookmarkStart w:id="22" w:name="_Toc183582209"/>
      <w:bookmarkStart w:id="23" w:name="_Toc89075875"/>
      <w:bookmarkStart w:id="24" w:name="_Toc183682346"/>
      <w:r>
        <w:rPr>
          <w:rFonts w:hint="eastAsia" w:ascii="黑体"/>
          <w:bCs w:val="0"/>
          <w:highlight w:val="none"/>
        </w:rPr>
        <w:t>三、招标文件</w:t>
      </w:r>
      <w:bookmarkEnd w:id="20"/>
      <w:bookmarkEnd w:id="21"/>
      <w:bookmarkEnd w:id="22"/>
      <w:bookmarkEnd w:id="23"/>
      <w:bookmarkEnd w:id="24"/>
    </w:p>
    <w:p>
      <w:pPr>
        <w:pStyle w:val="5"/>
        <w:spacing w:line="500" w:lineRule="exact"/>
        <w:ind w:firstLine="482" w:firstLineChars="200"/>
        <w:rPr>
          <w:sz w:val="24"/>
          <w:highlight w:val="none"/>
        </w:rPr>
      </w:pPr>
      <w:bookmarkStart w:id="25" w:name="_Toc183682347"/>
      <w:bookmarkStart w:id="26" w:name="_Toc217446039"/>
      <w:bookmarkStart w:id="27" w:name="_Toc183582210"/>
      <w:r>
        <w:rPr>
          <w:rFonts w:hint="eastAsia"/>
          <w:sz w:val="24"/>
          <w:highlight w:val="none"/>
        </w:rPr>
        <w:t>6．招标文件的构成</w:t>
      </w:r>
      <w:bookmarkEnd w:id="25"/>
      <w:bookmarkEnd w:id="26"/>
      <w:bookmarkEnd w:id="27"/>
    </w:p>
    <w:p>
      <w:pPr>
        <w:tabs>
          <w:tab w:val="left" w:pos="7665"/>
        </w:tabs>
        <w:spacing w:line="500" w:lineRule="exact"/>
        <w:rPr>
          <w:sz w:val="24"/>
          <w:highlight w:val="none"/>
        </w:rPr>
      </w:pPr>
      <w:r>
        <w:rPr>
          <w:rFonts w:hint="eastAsia"/>
          <w:sz w:val="24"/>
          <w:highlight w:val="none"/>
        </w:rPr>
        <w:t xml:space="preserve">   招标文件是投标人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pPr>
        <w:tabs>
          <w:tab w:val="left" w:pos="720"/>
        </w:tabs>
        <w:spacing w:line="500" w:lineRule="exact"/>
        <w:ind w:firstLine="480" w:firstLineChars="200"/>
        <w:rPr>
          <w:sz w:val="24"/>
          <w:highlight w:val="none"/>
        </w:rPr>
      </w:pPr>
      <w:r>
        <w:rPr>
          <w:rFonts w:hint="eastAsia"/>
          <w:sz w:val="24"/>
          <w:highlight w:val="none"/>
        </w:rPr>
        <w:t>（一）投标邀请；</w:t>
      </w:r>
    </w:p>
    <w:p>
      <w:pPr>
        <w:tabs>
          <w:tab w:val="left" w:pos="720"/>
        </w:tabs>
        <w:spacing w:line="500" w:lineRule="exact"/>
        <w:ind w:firstLine="480" w:firstLineChars="200"/>
        <w:rPr>
          <w:sz w:val="24"/>
          <w:highlight w:val="none"/>
        </w:rPr>
      </w:pPr>
      <w:r>
        <w:rPr>
          <w:rFonts w:hint="eastAsia"/>
          <w:sz w:val="24"/>
          <w:highlight w:val="none"/>
        </w:rPr>
        <w:t>（二）投标人须知；</w:t>
      </w:r>
    </w:p>
    <w:p>
      <w:pPr>
        <w:tabs>
          <w:tab w:val="left" w:pos="720"/>
        </w:tabs>
        <w:spacing w:line="500" w:lineRule="exact"/>
        <w:ind w:firstLine="480" w:firstLineChars="200"/>
        <w:rPr>
          <w:sz w:val="24"/>
          <w:highlight w:val="none"/>
        </w:rPr>
      </w:pPr>
      <w:r>
        <w:rPr>
          <w:rFonts w:hint="eastAsia"/>
          <w:sz w:val="24"/>
          <w:highlight w:val="none"/>
        </w:rPr>
        <w:t>（三）投标文件格式；</w:t>
      </w:r>
    </w:p>
    <w:p>
      <w:pPr>
        <w:tabs>
          <w:tab w:val="left" w:pos="720"/>
        </w:tabs>
        <w:spacing w:line="500" w:lineRule="exact"/>
        <w:ind w:firstLine="480" w:firstLineChars="200"/>
        <w:rPr>
          <w:sz w:val="24"/>
          <w:highlight w:val="none"/>
        </w:rPr>
      </w:pPr>
      <w:r>
        <w:rPr>
          <w:rFonts w:hint="eastAsia"/>
          <w:sz w:val="24"/>
          <w:highlight w:val="none"/>
        </w:rPr>
        <w:t>（四）投标人和投标产品的资格、资质性及其他类似效力要求；</w:t>
      </w:r>
    </w:p>
    <w:p>
      <w:pPr>
        <w:tabs>
          <w:tab w:val="left" w:pos="720"/>
        </w:tabs>
        <w:spacing w:line="500" w:lineRule="exact"/>
        <w:ind w:firstLine="480" w:firstLineChars="200"/>
        <w:rPr>
          <w:sz w:val="24"/>
          <w:highlight w:val="none"/>
        </w:rPr>
      </w:pPr>
      <w:r>
        <w:rPr>
          <w:rFonts w:hint="eastAsia"/>
          <w:sz w:val="24"/>
          <w:highlight w:val="none"/>
        </w:rPr>
        <w:t>（五）投标人应当提供的资格、资质性及其他类似效力要求的相关证明材料；</w:t>
      </w:r>
    </w:p>
    <w:p>
      <w:pPr>
        <w:tabs>
          <w:tab w:val="left" w:pos="720"/>
        </w:tabs>
        <w:spacing w:line="500" w:lineRule="exact"/>
        <w:ind w:firstLine="480" w:firstLineChars="200"/>
        <w:rPr>
          <w:sz w:val="24"/>
          <w:highlight w:val="none"/>
        </w:rPr>
      </w:pPr>
      <w:r>
        <w:rPr>
          <w:rFonts w:hint="eastAsia"/>
          <w:sz w:val="24"/>
          <w:highlight w:val="none"/>
        </w:rPr>
        <w:t>（六）招标项目技术、服务及其他商务要求；</w:t>
      </w:r>
    </w:p>
    <w:p>
      <w:pPr>
        <w:tabs>
          <w:tab w:val="left" w:pos="720"/>
        </w:tabs>
        <w:spacing w:line="500" w:lineRule="exact"/>
        <w:ind w:firstLine="480" w:firstLineChars="200"/>
        <w:rPr>
          <w:sz w:val="24"/>
          <w:highlight w:val="none"/>
        </w:rPr>
      </w:pPr>
      <w:r>
        <w:rPr>
          <w:rFonts w:hint="eastAsia"/>
          <w:sz w:val="24"/>
          <w:highlight w:val="none"/>
        </w:rPr>
        <w:t>（七）评标办法；</w:t>
      </w:r>
    </w:p>
    <w:p>
      <w:pPr>
        <w:tabs>
          <w:tab w:val="left" w:pos="720"/>
        </w:tabs>
        <w:spacing w:line="500" w:lineRule="exact"/>
        <w:ind w:firstLine="480" w:firstLineChars="200"/>
        <w:rPr>
          <w:sz w:val="24"/>
          <w:highlight w:val="none"/>
        </w:rPr>
      </w:pPr>
      <w:r>
        <w:rPr>
          <w:rFonts w:hint="eastAsia"/>
          <w:sz w:val="24"/>
          <w:highlight w:val="none"/>
        </w:rPr>
        <w:t>（八）政府采购合同（样例）。</w:t>
      </w:r>
    </w:p>
    <w:p>
      <w:pPr>
        <w:pStyle w:val="5"/>
        <w:spacing w:line="500" w:lineRule="exact"/>
        <w:ind w:firstLine="482" w:firstLineChars="200"/>
        <w:rPr>
          <w:sz w:val="24"/>
          <w:highlight w:val="none"/>
        </w:rPr>
      </w:pPr>
      <w:bookmarkStart w:id="28" w:name="_Toc183582211"/>
      <w:bookmarkStart w:id="29" w:name="_Toc183682348"/>
      <w:bookmarkStart w:id="30" w:name="_Toc217446040"/>
      <w:r>
        <w:rPr>
          <w:rFonts w:hint="eastAsia"/>
          <w:sz w:val="24"/>
          <w:highlight w:val="none"/>
        </w:rPr>
        <w:t>7. 招标文件的澄清</w:t>
      </w:r>
      <w:bookmarkEnd w:id="28"/>
      <w:bookmarkEnd w:id="29"/>
      <w:r>
        <w:rPr>
          <w:rFonts w:hint="eastAsia"/>
          <w:sz w:val="24"/>
          <w:highlight w:val="none"/>
        </w:rPr>
        <w:t>和修改</w:t>
      </w:r>
      <w:bookmarkEnd w:id="30"/>
    </w:p>
    <w:p>
      <w:pPr>
        <w:tabs>
          <w:tab w:val="left" w:pos="7665"/>
        </w:tabs>
        <w:spacing w:line="500" w:lineRule="exact"/>
        <w:ind w:firstLine="480" w:firstLineChars="200"/>
        <w:rPr>
          <w:sz w:val="24"/>
          <w:highlight w:val="none"/>
        </w:rPr>
      </w:pPr>
      <w:r>
        <w:rPr>
          <w:rFonts w:hint="eastAsia"/>
          <w:sz w:val="24"/>
          <w:highlight w:val="none"/>
        </w:rPr>
        <w:t>7.1招标采购单位可以依法对招标文件进行澄清或者修改。</w:t>
      </w:r>
    </w:p>
    <w:p>
      <w:pPr>
        <w:tabs>
          <w:tab w:val="left" w:pos="7665"/>
        </w:tabs>
        <w:spacing w:line="500" w:lineRule="exact"/>
        <w:ind w:firstLine="480" w:firstLineChars="200"/>
        <w:rPr>
          <w:rFonts w:hAnsi="宋体" w:cs="宋体"/>
          <w:sz w:val="24"/>
          <w:highlight w:val="none"/>
        </w:rPr>
      </w:pPr>
      <w:r>
        <w:rPr>
          <w:rFonts w:hint="eastAsia"/>
          <w:sz w:val="24"/>
          <w:highlight w:val="none"/>
        </w:rPr>
        <w:t xml:space="preserve">7.2 </w:t>
      </w:r>
      <w:r>
        <w:rPr>
          <w:rFonts w:hint="eastAsia"/>
          <w:sz w:val="24"/>
          <w:szCs w:val="22"/>
          <w:highlight w:val="none"/>
        </w:rPr>
        <w:t>采购人或者采购代理机构可以对已发出的招标文件进行必要的澄清或者修改，但不得改变采购标的和资格条件。澄清或者修改将在招标文件要求的提交投标文件截止时间15日前进行，并以书面形式将澄清或者修改的内容通知所有购买了招标文件的投标人，</w:t>
      </w:r>
      <w:r>
        <w:rPr>
          <w:rFonts w:hAnsi="宋体" w:cs="宋体"/>
          <w:sz w:val="24"/>
          <w:highlight w:val="none"/>
        </w:rPr>
        <w:t>同时在四川政府采购网上发布更正公告。该澄清或者修改的内容为招标文件的组成部分</w:t>
      </w:r>
      <w:r>
        <w:rPr>
          <w:rFonts w:hint="eastAsia" w:hAnsi="宋体" w:cs="宋体"/>
          <w:sz w:val="24"/>
          <w:highlight w:val="none"/>
        </w:rPr>
        <w:t>，</w:t>
      </w:r>
      <w:r>
        <w:rPr>
          <w:rFonts w:hint="eastAsia"/>
          <w:sz w:val="24"/>
          <w:highlight w:val="none"/>
        </w:rPr>
        <w:t>澄清或者修改的内容可能影响投标文件、资格预审申请文件编制的，采购人或者采购代理机构发布公告并书面通知投标人的时间，应当在投标截止时间至少15日前、提交资格预审申请文件截止时间至少3日前；不足上述时间的，应当顺延提交投标文件、资格预审申请文件的截止时间。</w:t>
      </w:r>
    </w:p>
    <w:p>
      <w:pPr>
        <w:tabs>
          <w:tab w:val="left" w:pos="7665"/>
        </w:tabs>
        <w:spacing w:line="500" w:lineRule="exact"/>
        <w:ind w:firstLine="480" w:firstLineChars="200"/>
        <w:rPr>
          <w:sz w:val="24"/>
          <w:szCs w:val="22"/>
          <w:highlight w:val="none"/>
        </w:rPr>
      </w:pPr>
      <w:r>
        <w:rPr>
          <w:rFonts w:hint="eastAsia"/>
          <w:sz w:val="24"/>
          <w:highlight w:val="none"/>
        </w:rPr>
        <w:t xml:space="preserve">7.3 </w:t>
      </w:r>
      <w:r>
        <w:rPr>
          <w:rFonts w:hint="eastAsia"/>
          <w:sz w:val="24"/>
          <w:szCs w:val="22"/>
          <w:highlight w:val="none"/>
        </w:rPr>
        <w:t>投标人要求对招标文件进行澄清或者修改的，均应按招标文件中的联系方式，以书面形式向采购人或者采购代理机构提出申请，但采购人或者采购代理机构可以决定是否采纳投标人的申请事项。</w:t>
      </w:r>
    </w:p>
    <w:p>
      <w:pPr>
        <w:pStyle w:val="5"/>
        <w:spacing w:line="500" w:lineRule="exact"/>
        <w:ind w:firstLine="482" w:firstLineChars="200"/>
        <w:rPr>
          <w:sz w:val="24"/>
          <w:highlight w:val="none"/>
        </w:rPr>
      </w:pPr>
      <w:bookmarkStart w:id="31" w:name="_Toc217446041"/>
      <w:bookmarkStart w:id="32" w:name="_Toc208848971"/>
      <w:r>
        <w:rPr>
          <w:rFonts w:hint="eastAsia"/>
          <w:sz w:val="24"/>
          <w:highlight w:val="none"/>
        </w:rPr>
        <w:t>8. 答疑会和现场考察</w:t>
      </w:r>
      <w:bookmarkEnd w:id="31"/>
      <w:bookmarkEnd w:id="32"/>
    </w:p>
    <w:p>
      <w:pPr>
        <w:tabs>
          <w:tab w:val="left" w:pos="7665"/>
        </w:tabs>
        <w:spacing w:line="500" w:lineRule="exact"/>
        <w:ind w:firstLine="480" w:firstLineChars="200"/>
        <w:rPr>
          <w:sz w:val="24"/>
          <w:highlight w:val="none"/>
        </w:rPr>
      </w:pPr>
      <w:r>
        <w:rPr>
          <w:rFonts w:hint="eastAsia"/>
          <w:sz w:val="24"/>
          <w:highlight w:val="none"/>
        </w:rPr>
        <w:t>8.1 根据采购项目和具体情况，招标采购单位认为有必要，可以在招标文件提供期限截止后，组织已获取招标文件的潜在投标人现场考察或者召开开标前答疑会。组织现场考察或者召开答疑会的，应当以书面形式通知所有获取招标文件的潜在投标人。</w:t>
      </w:r>
    </w:p>
    <w:p>
      <w:pPr>
        <w:tabs>
          <w:tab w:val="left" w:pos="7665"/>
        </w:tabs>
        <w:spacing w:line="500" w:lineRule="exact"/>
        <w:ind w:firstLine="480" w:firstLineChars="200"/>
        <w:rPr>
          <w:sz w:val="24"/>
          <w:highlight w:val="none"/>
        </w:rPr>
      </w:pPr>
      <w:r>
        <w:rPr>
          <w:rFonts w:hint="eastAsia"/>
          <w:sz w:val="24"/>
          <w:highlight w:val="none"/>
        </w:rPr>
        <w:t>8.2 投标人考察现场所发生的一切费用由投标人自己承担。</w:t>
      </w:r>
    </w:p>
    <w:p>
      <w:pPr>
        <w:pStyle w:val="4"/>
        <w:spacing w:line="500" w:lineRule="exact"/>
        <w:jc w:val="center"/>
        <w:rPr>
          <w:rFonts w:ascii="黑体"/>
          <w:bCs w:val="0"/>
          <w:highlight w:val="none"/>
        </w:rPr>
      </w:pPr>
      <w:bookmarkStart w:id="33" w:name="_Toc217446042"/>
      <w:bookmarkStart w:id="34" w:name="_Toc89075876"/>
      <w:bookmarkStart w:id="35" w:name="_Toc77400780"/>
      <w:bookmarkStart w:id="36" w:name="_Toc183582214"/>
      <w:bookmarkStart w:id="37" w:name="_Toc183682351"/>
      <w:r>
        <w:rPr>
          <w:rFonts w:hint="eastAsia" w:ascii="黑体"/>
          <w:bCs w:val="0"/>
          <w:highlight w:val="none"/>
        </w:rPr>
        <w:t>四、投标文件</w:t>
      </w:r>
      <w:bookmarkEnd w:id="33"/>
      <w:bookmarkEnd w:id="34"/>
      <w:bookmarkEnd w:id="35"/>
      <w:bookmarkEnd w:id="36"/>
      <w:bookmarkEnd w:id="37"/>
    </w:p>
    <w:p>
      <w:pPr>
        <w:pStyle w:val="5"/>
        <w:spacing w:line="500" w:lineRule="exact"/>
        <w:ind w:firstLine="482" w:firstLineChars="200"/>
        <w:rPr>
          <w:bCs w:val="0"/>
          <w:sz w:val="24"/>
          <w:highlight w:val="none"/>
        </w:rPr>
      </w:pPr>
      <w:bookmarkStart w:id="38" w:name="_Toc217446043"/>
      <w:bookmarkStart w:id="39" w:name="_Toc183582215"/>
      <w:bookmarkStart w:id="40" w:name="_Toc183682352"/>
      <w:r>
        <w:rPr>
          <w:rFonts w:hint="eastAsia"/>
          <w:bCs w:val="0"/>
          <w:sz w:val="24"/>
          <w:highlight w:val="none"/>
        </w:rPr>
        <w:t>9．投标文件的语言</w:t>
      </w:r>
      <w:bookmarkEnd w:id="38"/>
      <w:bookmarkEnd w:id="39"/>
      <w:bookmarkEnd w:id="40"/>
      <w:r>
        <w:rPr>
          <w:rFonts w:hint="eastAsia"/>
          <w:sz w:val="24"/>
          <w:szCs w:val="24"/>
          <w:highlight w:val="none"/>
        </w:rPr>
        <w:t>（实质性要求）</w:t>
      </w:r>
    </w:p>
    <w:p>
      <w:pPr>
        <w:tabs>
          <w:tab w:val="left" w:pos="1134"/>
        </w:tabs>
        <w:spacing w:line="500" w:lineRule="exact"/>
        <w:ind w:firstLine="480" w:firstLineChars="200"/>
        <w:jc w:val="left"/>
        <w:rPr>
          <w:sz w:val="24"/>
          <w:szCs w:val="22"/>
          <w:highlight w:val="none"/>
        </w:rPr>
      </w:pPr>
      <w:bookmarkStart w:id="41" w:name="_Toc183682353"/>
      <w:bookmarkStart w:id="42" w:name="_Toc217446044"/>
      <w:bookmarkStart w:id="43" w:name="_Toc183582216"/>
      <w:r>
        <w:rPr>
          <w:rFonts w:hint="eastAsia"/>
          <w:sz w:val="24"/>
          <w:highlight w:val="none"/>
        </w:rPr>
        <w:t>9.1 投标人提交的投标文件以及投标人与招标采购单位就有关投标的所有来往书面文件均须使用中文。投标文件中如附有外文资料，必须逐一对应翻译成中文并加盖投标人公章后附在相关外文资料后面，否则，所提供的外文资料将可能被视为无效材料。（说明：投标人的法定代表人为外籍人士的，法定代表人的签字或印章、护照除外。）</w:t>
      </w:r>
    </w:p>
    <w:p>
      <w:pPr>
        <w:tabs>
          <w:tab w:val="left" w:pos="1134"/>
        </w:tabs>
        <w:spacing w:line="500" w:lineRule="exact"/>
        <w:ind w:firstLine="480" w:firstLineChars="200"/>
        <w:jc w:val="left"/>
        <w:rPr>
          <w:sz w:val="24"/>
          <w:highlight w:val="none"/>
        </w:rPr>
      </w:pPr>
      <w:r>
        <w:rPr>
          <w:rFonts w:hint="eastAsia"/>
          <w:sz w:val="24"/>
          <w:highlight w:val="none"/>
        </w:rPr>
        <w:t>9.2 翻译的中文资料与外文资料如果出现差异和矛盾时，以中文为准，</w:t>
      </w:r>
      <w:r>
        <w:rPr>
          <w:rFonts w:hint="eastAsia"/>
          <w:sz w:val="24"/>
          <w:szCs w:val="22"/>
          <w:highlight w:val="none"/>
        </w:rPr>
        <w:t>若投标人投标文件中提供的外文资料未翻译成中文，则将可视为无效材料。</w:t>
      </w:r>
      <w:r>
        <w:rPr>
          <w:rFonts w:hint="eastAsia"/>
          <w:sz w:val="24"/>
          <w:highlight w:val="none"/>
        </w:rPr>
        <w:t>涉嫌虚假响应的按照相关法律法规处理。</w:t>
      </w:r>
    </w:p>
    <w:p>
      <w:pPr>
        <w:pStyle w:val="5"/>
        <w:spacing w:line="500" w:lineRule="exact"/>
        <w:ind w:firstLine="482" w:firstLineChars="200"/>
        <w:rPr>
          <w:sz w:val="24"/>
          <w:highlight w:val="none"/>
        </w:rPr>
      </w:pPr>
      <w:r>
        <w:rPr>
          <w:rFonts w:hint="eastAsia"/>
          <w:sz w:val="24"/>
          <w:highlight w:val="none"/>
        </w:rPr>
        <w:t>10．计量单位</w:t>
      </w:r>
      <w:bookmarkEnd w:id="41"/>
      <w:bookmarkEnd w:id="42"/>
      <w:bookmarkEnd w:id="43"/>
      <w:r>
        <w:rPr>
          <w:rFonts w:hint="eastAsia"/>
          <w:sz w:val="24"/>
          <w:szCs w:val="24"/>
          <w:highlight w:val="none"/>
        </w:rPr>
        <w:t>（实质性要求）</w:t>
      </w:r>
    </w:p>
    <w:p>
      <w:pPr>
        <w:spacing w:line="500" w:lineRule="exact"/>
        <w:ind w:firstLine="470" w:firstLineChars="196"/>
        <w:rPr>
          <w:highlight w:val="none"/>
        </w:rPr>
      </w:pPr>
      <w:r>
        <w:rPr>
          <w:rFonts w:hint="eastAsia"/>
          <w:sz w:val="24"/>
          <w:highlight w:val="none"/>
        </w:rPr>
        <w:t>除招标文件中另有规定外，本次采购项目所有合同项下的投标均采用国家法定的计量单位。</w:t>
      </w:r>
    </w:p>
    <w:p>
      <w:pPr>
        <w:pStyle w:val="5"/>
        <w:spacing w:line="500" w:lineRule="exact"/>
        <w:ind w:firstLine="482" w:firstLineChars="200"/>
        <w:rPr>
          <w:sz w:val="24"/>
          <w:highlight w:val="none"/>
        </w:rPr>
      </w:pPr>
      <w:bookmarkStart w:id="44" w:name="_Toc217446045"/>
      <w:r>
        <w:rPr>
          <w:rFonts w:hint="eastAsia"/>
          <w:sz w:val="24"/>
          <w:highlight w:val="none"/>
        </w:rPr>
        <w:t>11. 投标货币</w:t>
      </w:r>
      <w:bookmarkEnd w:id="44"/>
      <w:r>
        <w:rPr>
          <w:rFonts w:hint="eastAsia"/>
          <w:sz w:val="24"/>
          <w:highlight w:val="none"/>
        </w:rPr>
        <w:t>（实质性要求）</w:t>
      </w:r>
    </w:p>
    <w:p>
      <w:pPr>
        <w:tabs>
          <w:tab w:val="left" w:pos="7665"/>
        </w:tabs>
        <w:spacing w:line="500" w:lineRule="exact"/>
        <w:ind w:left="139" w:leftChars="41" w:firstLine="393" w:firstLineChars="164"/>
        <w:rPr>
          <w:highlight w:val="none"/>
        </w:rPr>
      </w:pPr>
      <w:r>
        <w:rPr>
          <w:rFonts w:hint="eastAsia"/>
          <w:sz w:val="24"/>
          <w:highlight w:val="none"/>
        </w:rPr>
        <w:t>本次招标项目的投标均以人民币报价，</w:t>
      </w:r>
      <w:r>
        <w:rPr>
          <w:rFonts w:hAnsi="宋体" w:cs="宋体"/>
          <w:sz w:val="24"/>
          <w:highlight w:val="none"/>
        </w:rPr>
        <w:t>报价以招标文件约定为准。</w:t>
      </w:r>
    </w:p>
    <w:p>
      <w:pPr>
        <w:pStyle w:val="5"/>
        <w:numPr>
          <w:ilvl w:val="0"/>
          <w:numId w:val="2"/>
        </w:numPr>
        <w:spacing w:line="460" w:lineRule="exact"/>
        <w:ind w:firstLine="482" w:firstLineChars="200"/>
        <w:rPr>
          <w:sz w:val="24"/>
          <w:highlight w:val="none"/>
        </w:rPr>
      </w:pPr>
      <w:bookmarkStart w:id="45" w:name="_Toc217446046"/>
      <w:r>
        <w:rPr>
          <w:rFonts w:hint="eastAsia"/>
          <w:sz w:val="24"/>
          <w:highlight w:val="none"/>
        </w:rPr>
        <w:t>联合体投标</w:t>
      </w:r>
      <w:bookmarkEnd w:id="45"/>
      <w:r>
        <w:rPr>
          <w:rFonts w:hint="eastAsia"/>
          <w:sz w:val="24"/>
          <w:highlight w:val="none"/>
        </w:rPr>
        <w:t>（实质性要求）</w:t>
      </w:r>
    </w:p>
    <w:p>
      <w:pPr>
        <w:tabs>
          <w:tab w:val="left" w:pos="7665"/>
        </w:tabs>
        <w:spacing w:line="500" w:lineRule="exact"/>
        <w:ind w:left="139" w:leftChars="41" w:firstLine="393" w:firstLineChars="164"/>
        <w:rPr>
          <w:sz w:val="24"/>
          <w:highlight w:val="none"/>
        </w:rPr>
      </w:pPr>
      <w:r>
        <w:rPr>
          <w:rFonts w:hint="eastAsia"/>
          <w:sz w:val="24"/>
          <w:highlight w:val="none"/>
        </w:rPr>
        <w:t>本项目不接受联合体投标。</w:t>
      </w:r>
    </w:p>
    <w:p>
      <w:pPr>
        <w:pStyle w:val="5"/>
        <w:spacing w:line="500" w:lineRule="exact"/>
        <w:ind w:firstLine="482" w:firstLineChars="200"/>
        <w:rPr>
          <w:sz w:val="24"/>
          <w:highlight w:val="none"/>
        </w:rPr>
      </w:pPr>
      <w:bookmarkStart w:id="46" w:name="_Toc217446047"/>
      <w:bookmarkStart w:id="47" w:name="_Toc308164797"/>
      <w:r>
        <w:rPr>
          <w:rFonts w:hint="eastAsia"/>
          <w:sz w:val="24"/>
          <w:highlight w:val="none"/>
        </w:rPr>
        <w:t>13. 知识产权</w:t>
      </w:r>
      <w:bookmarkEnd w:id="46"/>
      <w:bookmarkEnd w:id="47"/>
      <w:r>
        <w:rPr>
          <w:rFonts w:hint="eastAsia"/>
          <w:sz w:val="24"/>
          <w:highlight w:val="none"/>
        </w:rPr>
        <w:t>（实质性要求）</w:t>
      </w:r>
    </w:p>
    <w:p>
      <w:pPr>
        <w:spacing w:line="500" w:lineRule="exact"/>
        <w:ind w:firstLine="470" w:firstLineChars="196"/>
        <w:rPr>
          <w:sz w:val="24"/>
          <w:highlight w:val="none"/>
        </w:rPr>
      </w:pPr>
      <w:r>
        <w:rPr>
          <w:rFonts w:hint="eastAsia"/>
          <w:sz w:val="24"/>
          <w:highlight w:val="none"/>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spacing w:line="500" w:lineRule="exact"/>
        <w:ind w:firstLine="470" w:firstLineChars="196"/>
        <w:rPr>
          <w:sz w:val="24"/>
          <w:highlight w:val="none"/>
        </w:rPr>
      </w:pPr>
      <w:r>
        <w:rPr>
          <w:rFonts w:hint="eastAsia"/>
          <w:sz w:val="24"/>
          <w:highlight w:val="none"/>
        </w:rPr>
        <w:t>13.2 采购人享有本项目实施过程中产生的知识成果及知识产权。</w:t>
      </w:r>
    </w:p>
    <w:p>
      <w:pPr>
        <w:spacing w:line="500" w:lineRule="exact"/>
        <w:ind w:firstLine="470" w:firstLineChars="196"/>
        <w:rPr>
          <w:sz w:val="24"/>
          <w:highlight w:val="none"/>
        </w:rPr>
      </w:pPr>
      <w:r>
        <w:rPr>
          <w:rFonts w:hint="eastAsia"/>
          <w:sz w:val="24"/>
          <w:highlight w:val="none"/>
        </w:rPr>
        <w:t xml:space="preserve">13.3 投标人如欲在项目实施过程中采用自有知识成果，需在投标文件中声明，并提供相关知识产权证明文件。使用该知识成果后，投标人需提供开发接口和开发手册等技术文档，并承诺提供无限期技术支持，采购人享有永久使用权（含采购人委托第三方在该项目后续开发的使用权），同时需在投标文件中提供声明，并提供相关知识产权证明文件，否则视为投标人未在本项目实施过程中采用自有知识成果，不影响有效性。 </w:t>
      </w:r>
    </w:p>
    <w:p>
      <w:pPr>
        <w:spacing w:line="500" w:lineRule="exact"/>
        <w:ind w:firstLine="470" w:firstLineChars="196"/>
        <w:rPr>
          <w:sz w:val="24"/>
          <w:highlight w:val="none"/>
        </w:rPr>
      </w:pPr>
      <w:r>
        <w:rPr>
          <w:rFonts w:hint="eastAsia"/>
          <w:sz w:val="24"/>
          <w:highlight w:val="none"/>
        </w:rPr>
        <w:t xml:space="preserve">13.4 如采用投标人所不拥有的知识产权，则在投标报价中必须包括合法获取该知识产权的相关费用，采购人不再因投标人采用所不拥有的知识产权而另行支付任何费用。 </w:t>
      </w:r>
    </w:p>
    <w:p>
      <w:pPr>
        <w:spacing w:line="500" w:lineRule="exact"/>
        <w:ind w:firstLine="470" w:firstLineChars="196"/>
        <w:rPr>
          <w:sz w:val="24"/>
          <w:szCs w:val="22"/>
          <w:highlight w:val="none"/>
        </w:rPr>
      </w:pPr>
      <w:r>
        <w:rPr>
          <w:rFonts w:hint="eastAsia"/>
          <w:sz w:val="24"/>
          <w:szCs w:val="22"/>
          <w:highlight w:val="none"/>
        </w:rPr>
        <w:t>13.5根据《中华人民共和国政府采购法实施条例》第四十三条的规定，公告内容应当包括主要中标或者成交标的的名称、规格型号、数量、单价、服务要求以及评审专家名单。投标人需将投标文件中涉及商业秘密和知识产权的内容进行标注和说明。若未进行标注和说明的，视为全部内容均可公布，采购人或者采购代理机构对此不承担任何责任。</w:t>
      </w:r>
    </w:p>
    <w:p>
      <w:pPr>
        <w:pStyle w:val="5"/>
        <w:spacing w:line="500" w:lineRule="exact"/>
        <w:ind w:firstLine="482" w:firstLineChars="200"/>
        <w:rPr>
          <w:sz w:val="24"/>
          <w:highlight w:val="none"/>
        </w:rPr>
      </w:pPr>
      <w:bookmarkStart w:id="48" w:name="_Toc183682354"/>
      <w:bookmarkStart w:id="49" w:name="_Toc217446048"/>
      <w:bookmarkStart w:id="50" w:name="_Toc183582217"/>
      <w:bookmarkStart w:id="51" w:name="_Toc308164798"/>
      <w:r>
        <w:rPr>
          <w:rFonts w:hint="eastAsia"/>
          <w:sz w:val="24"/>
          <w:highlight w:val="none"/>
        </w:rPr>
        <w:t>14．投标文件的组成</w:t>
      </w:r>
      <w:bookmarkEnd w:id="48"/>
      <w:bookmarkEnd w:id="49"/>
      <w:bookmarkEnd w:id="50"/>
      <w:bookmarkEnd w:id="51"/>
    </w:p>
    <w:p>
      <w:pPr>
        <w:spacing w:line="480" w:lineRule="auto"/>
        <w:ind w:firstLine="480" w:firstLineChars="200"/>
        <w:rPr>
          <w:sz w:val="24"/>
          <w:highlight w:val="none"/>
        </w:rPr>
      </w:pPr>
      <w:r>
        <w:rPr>
          <w:rFonts w:hint="eastAsia"/>
          <w:sz w:val="24"/>
          <w:highlight w:val="none"/>
        </w:rPr>
        <w:t>投标人编写的投标文件应包括资格性投标文件和其他投标文件两部分，分册装订。资格性投标文件用于资格审查，应包括投标人响应招标文件</w:t>
      </w:r>
      <w:r>
        <w:rPr>
          <w:sz w:val="24"/>
          <w:highlight w:val="none"/>
        </w:rPr>
        <w:t>第四章和第五章</w:t>
      </w:r>
      <w:r>
        <w:rPr>
          <w:rFonts w:hint="eastAsia"/>
          <w:sz w:val="24"/>
          <w:highlight w:val="none"/>
        </w:rPr>
        <w:t>资格</w:t>
      </w:r>
      <w:r>
        <w:rPr>
          <w:sz w:val="24"/>
          <w:highlight w:val="none"/>
        </w:rPr>
        <w:t>性</w:t>
      </w:r>
      <w:r>
        <w:rPr>
          <w:rFonts w:hint="eastAsia"/>
          <w:sz w:val="24"/>
          <w:highlight w:val="none"/>
        </w:rPr>
        <w:t>要求的所有证明材料。</w:t>
      </w:r>
    </w:p>
    <w:p>
      <w:pPr>
        <w:spacing w:line="500" w:lineRule="exact"/>
        <w:ind w:firstLine="470" w:firstLineChars="196"/>
        <w:rPr>
          <w:sz w:val="24"/>
          <w:highlight w:val="none"/>
        </w:rPr>
      </w:pPr>
      <w:r>
        <w:rPr>
          <w:rFonts w:hint="eastAsia"/>
          <w:sz w:val="24"/>
          <w:highlight w:val="none"/>
        </w:rPr>
        <w:t>其他投标文件用于符合性审查和综合评审，应包括投标人响应招标文件</w:t>
      </w:r>
      <w:r>
        <w:rPr>
          <w:sz w:val="24"/>
          <w:highlight w:val="none"/>
        </w:rPr>
        <w:t>第四章和第五章资格性</w:t>
      </w:r>
      <w:r>
        <w:rPr>
          <w:rFonts w:hint="eastAsia"/>
          <w:sz w:val="24"/>
          <w:highlight w:val="none"/>
        </w:rPr>
        <w:t>要求以外的所有材料，包括但不限于下列部分：</w:t>
      </w:r>
    </w:p>
    <w:p>
      <w:pPr>
        <w:tabs>
          <w:tab w:val="left" w:pos="2621"/>
        </w:tabs>
        <w:spacing w:line="500" w:lineRule="exact"/>
        <w:jc w:val="left"/>
        <w:rPr>
          <w:rFonts w:hAnsi="宋体" w:cs="宋体"/>
          <w:sz w:val="24"/>
          <w:szCs w:val="24"/>
          <w:highlight w:val="none"/>
        </w:rPr>
      </w:pPr>
      <w:r>
        <w:rPr>
          <w:rFonts w:hAnsi="宋体" w:cs="宋体"/>
          <w:sz w:val="24"/>
          <w:szCs w:val="24"/>
          <w:highlight w:val="none"/>
        </w:rPr>
        <w:t>（1）投标函</w:t>
      </w:r>
    </w:p>
    <w:p>
      <w:pPr>
        <w:tabs>
          <w:tab w:val="left" w:pos="2621"/>
        </w:tabs>
        <w:spacing w:line="500" w:lineRule="exact"/>
        <w:jc w:val="left"/>
        <w:rPr>
          <w:rFonts w:hAnsi="宋体" w:cs="宋体"/>
          <w:sz w:val="24"/>
          <w:szCs w:val="24"/>
          <w:highlight w:val="none"/>
        </w:rPr>
      </w:pPr>
      <w:r>
        <w:rPr>
          <w:rFonts w:hint="eastAsia" w:hAnsi="宋体" w:cs="宋体"/>
          <w:sz w:val="24"/>
          <w:szCs w:val="24"/>
          <w:highlight w:val="none"/>
        </w:rPr>
        <w:t>（2）承诺函</w:t>
      </w:r>
    </w:p>
    <w:p>
      <w:pPr>
        <w:spacing w:line="500" w:lineRule="exact"/>
        <w:jc w:val="left"/>
        <w:rPr>
          <w:sz w:val="24"/>
          <w:szCs w:val="24"/>
          <w:highlight w:val="none"/>
        </w:rPr>
      </w:pPr>
      <w:r>
        <w:rPr>
          <w:rFonts w:hAnsi="宋体" w:cs="宋体"/>
          <w:sz w:val="24"/>
          <w:szCs w:val="24"/>
          <w:highlight w:val="none"/>
        </w:rPr>
        <w:t>（</w:t>
      </w:r>
      <w:r>
        <w:rPr>
          <w:rFonts w:hint="eastAsia" w:hAnsi="宋体" w:cs="宋体"/>
          <w:sz w:val="24"/>
          <w:szCs w:val="24"/>
          <w:highlight w:val="none"/>
        </w:rPr>
        <w:t>3</w:t>
      </w:r>
      <w:r>
        <w:rPr>
          <w:rFonts w:hAnsi="宋体" w:cs="宋体"/>
          <w:sz w:val="24"/>
          <w:szCs w:val="24"/>
          <w:highlight w:val="none"/>
        </w:rPr>
        <w:t>）开标一览表</w:t>
      </w:r>
    </w:p>
    <w:p>
      <w:pPr>
        <w:tabs>
          <w:tab w:val="left" w:pos="2621"/>
        </w:tabs>
        <w:spacing w:line="500" w:lineRule="exact"/>
        <w:jc w:val="left"/>
        <w:rPr>
          <w:sz w:val="24"/>
          <w:szCs w:val="24"/>
          <w:highlight w:val="none"/>
        </w:rPr>
      </w:pPr>
      <w:r>
        <w:rPr>
          <w:rFonts w:hAnsi="宋体" w:cs="宋体"/>
          <w:sz w:val="24"/>
          <w:szCs w:val="24"/>
          <w:highlight w:val="none"/>
        </w:rPr>
        <w:t>（</w:t>
      </w:r>
      <w:r>
        <w:rPr>
          <w:rFonts w:hint="eastAsia" w:hAnsi="宋体" w:cs="宋体"/>
          <w:sz w:val="24"/>
          <w:szCs w:val="24"/>
          <w:highlight w:val="none"/>
        </w:rPr>
        <w:t>4</w:t>
      </w:r>
      <w:r>
        <w:rPr>
          <w:rFonts w:hAnsi="宋体" w:cs="宋体"/>
          <w:sz w:val="24"/>
          <w:szCs w:val="24"/>
          <w:highlight w:val="none"/>
        </w:rPr>
        <w:t>）商务应答表</w:t>
      </w:r>
    </w:p>
    <w:p>
      <w:pPr>
        <w:tabs>
          <w:tab w:val="left" w:pos="2621"/>
        </w:tabs>
        <w:spacing w:line="500" w:lineRule="exact"/>
        <w:jc w:val="left"/>
        <w:rPr>
          <w:sz w:val="24"/>
          <w:szCs w:val="24"/>
          <w:highlight w:val="none"/>
        </w:rPr>
      </w:pPr>
      <w:r>
        <w:rPr>
          <w:rFonts w:hAnsi="宋体" w:cs="宋体"/>
          <w:sz w:val="24"/>
          <w:szCs w:val="24"/>
          <w:highlight w:val="none"/>
        </w:rPr>
        <w:t>（</w:t>
      </w:r>
      <w:r>
        <w:rPr>
          <w:rFonts w:hint="eastAsia" w:hAnsi="宋体" w:cs="宋体"/>
          <w:sz w:val="24"/>
          <w:szCs w:val="24"/>
          <w:highlight w:val="none"/>
        </w:rPr>
        <w:t>5</w:t>
      </w:r>
      <w:r>
        <w:rPr>
          <w:rFonts w:hAnsi="宋体" w:cs="宋体"/>
          <w:sz w:val="24"/>
          <w:szCs w:val="24"/>
          <w:highlight w:val="none"/>
        </w:rPr>
        <w:t>）投标人基本情况表</w:t>
      </w:r>
    </w:p>
    <w:p>
      <w:pPr>
        <w:tabs>
          <w:tab w:val="left" w:pos="2621"/>
        </w:tabs>
        <w:spacing w:line="500" w:lineRule="exact"/>
        <w:jc w:val="left"/>
        <w:rPr>
          <w:rFonts w:hAnsi="宋体" w:cs="宋体"/>
          <w:sz w:val="24"/>
          <w:szCs w:val="24"/>
          <w:highlight w:val="none"/>
        </w:rPr>
      </w:pPr>
      <w:r>
        <w:rPr>
          <w:rFonts w:hAnsi="宋体" w:cs="宋体"/>
          <w:sz w:val="24"/>
          <w:szCs w:val="24"/>
          <w:highlight w:val="none"/>
        </w:rPr>
        <w:t>（</w:t>
      </w:r>
      <w:r>
        <w:rPr>
          <w:rFonts w:hint="eastAsia" w:hAnsi="宋体" w:cs="宋体"/>
          <w:sz w:val="24"/>
          <w:szCs w:val="24"/>
          <w:highlight w:val="none"/>
        </w:rPr>
        <w:t>6</w:t>
      </w:r>
      <w:r>
        <w:rPr>
          <w:rFonts w:hAnsi="宋体" w:cs="宋体"/>
          <w:sz w:val="24"/>
          <w:szCs w:val="24"/>
          <w:highlight w:val="none"/>
        </w:rPr>
        <w:t>）</w:t>
      </w:r>
      <w:r>
        <w:rPr>
          <w:rFonts w:hint="eastAsia" w:hAnsi="宋体" w:cs="宋体"/>
          <w:sz w:val="24"/>
          <w:szCs w:val="24"/>
          <w:highlight w:val="none"/>
        </w:rPr>
        <w:t>投标人类似项目业绩一览表</w:t>
      </w:r>
    </w:p>
    <w:p>
      <w:pPr>
        <w:tabs>
          <w:tab w:val="left" w:pos="2621"/>
        </w:tabs>
        <w:spacing w:line="500" w:lineRule="exact"/>
        <w:jc w:val="left"/>
        <w:rPr>
          <w:rFonts w:hAnsi="宋体" w:cs="宋体"/>
          <w:sz w:val="24"/>
          <w:szCs w:val="24"/>
          <w:highlight w:val="none"/>
        </w:rPr>
      </w:pPr>
      <w:r>
        <w:rPr>
          <w:rFonts w:hAnsi="宋体" w:cs="宋体"/>
          <w:sz w:val="24"/>
          <w:szCs w:val="24"/>
          <w:highlight w:val="none"/>
        </w:rPr>
        <w:t>（</w:t>
      </w:r>
      <w:r>
        <w:rPr>
          <w:rFonts w:hint="eastAsia" w:hAnsi="宋体" w:cs="宋体"/>
          <w:sz w:val="24"/>
          <w:szCs w:val="24"/>
          <w:highlight w:val="none"/>
        </w:rPr>
        <w:t>7</w:t>
      </w:r>
      <w:r>
        <w:rPr>
          <w:rFonts w:hAnsi="宋体" w:cs="宋体"/>
          <w:sz w:val="24"/>
          <w:szCs w:val="24"/>
          <w:highlight w:val="none"/>
        </w:rPr>
        <w:t>）</w:t>
      </w:r>
      <w:r>
        <w:rPr>
          <w:rFonts w:hint="eastAsia" w:hAnsi="宋体" w:cs="宋体"/>
          <w:sz w:val="24"/>
          <w:szCs w:val="24"/>
          <w:highlight w:val="none"/>
        </w:rPr>
        <w:t>投标产品技术参数表</w:t>
      </w:r>
    </w:p>
    <w:p>
      <w:pPr>
        <w:tabs>
          <w:tab w:val="left" w:pos="2621"/>
        </w:tabs>
        <w:spacing w:line="500" w:lineRule="exact"/>
        <w:jc w:val="left"/>
        <w:rPr>
          <w:rFonts w:hAnsi="宋体" w:cs="宋体"/>
          <w:sz w:val="24"/>
          <w:szCs w:val="24"/>
          <w:highlight w:val="none"/>
        </w:rPr>
      </w:pPr>
      <w:r>
        <w:rPr>
          <w:rFonts w:hAnsi="宋体" w:cs="宋体"/>
          <w:sz w:val="24"/>
          <w:szCs w:val="24"/>
          <w:highlight w:val="none"/>
        </w:rPr>
        <w:t>（</w:t>
      </w:r>
      <w:r>
        <w:rPr>
          <w:rFonts w:hint="eastAsia" w:hAnsi="宋体" w:cs="宋体"/>
          <w:sz w:val="24"/>
          <w:szCs w:val="24"/>
          <w:highlight w:val="none"/>
        </w:rPr>
        <w:t>8</w:t>
      </w:r>
      <w:r>
        <w:rPr>
          <w:rFonts w:hAnsi="宋体" w:cs="宋体"/>
          <w:sz w:val="24"/>
          <w:szCs w:val="24"/>
          <w:highlight w:val="none"/>
        </w:rPr>
        <w:t>）</w:t>
      </w:r>
      <w:r>
        <w:rPr>
          <w:rFonts w:hint="eastAsia" w:hAnsi="宋体" w:cs="宋体"/>
          <w:sz w:val="24"/>
          <w:szCs w:val="24"/>
          <w:highlight w:val="none"/>
        </w:rPr>
        <w:t>投标人本项目管理、技术、服务人员情况表</w:t>
      </w:r>
    </w:p>
    <w:p>
      <w:pPr>
        <w:tabs>
          <w:tab w:val="left" w:pos="2621"/>
        </w:tabs>
        <w:spacing w:line="500" w:lineRule="exact"/>
        <w:jc w:val="left"/>
        <w:rPr>
          <w:sz w:val="24"/>
          <w:szCs w:val="24"/>
          <w:highlight w:val="none"/>
        </w:rPr>
      </w:pPr>
      <w:r>
        <w:rPr>
          <w:rFonts w:hAnsi="宋体" w:cs="宋体"/>
          <w:sz w:val="24"/>
          <w:szCs w:val="24"/>
          <w:highlight w:val="none"/>
        </w:rPr>
        <w:t>（</w:t>
      </w:r>
      <w:r>
        <w:rPr>
          <w:rFonts w:hint="eastAsia" w:hAnsi="宋体" w:cs="宋体"/>
          <w:sz w:val="24"/>
          <w:szCs w:val="24"/>
          <w:highlight w:val="none"/>
        </w:rPr>
        <w:t>9</w:t>
      </w:r>
      <w:r>
        <w:rPr>
          <w:rFonts w:hAnsi="宋体" w:cs="宋体"/>
          <w:sz w:val="24"/>
          <w:szCs w:val="24"/>
          <w:highlight w:val="none"/>
        </w:rPr>
        <w:t>）中小企业</w:t>
      </w:r>
      <w:r>
        <w:rPr>
          <w:rFonts w:hint="eastAsia" w:hAnsi="宋体" w:cs="宋体"/>
          <w:sz w:val="24"/>
          <w:szCs w:val="24"/>
          <w:highlight w:val="none"/>
        </w:rPr>
        <w:t>声明</w:t>
      </w:r>
      <w:r>
        <w:rPr>
          <w:rFonts w:hAnsi="宋体" w:cs="宋体"/>
          <w:sz w:val="24"/>
          <w:szCs w:val="24"/>
          <w:highlight w:val="none"/>
        </w:rPr>
        <w:t>函</w:t>
      </w:r>
    </w:p>
    <w:p>
      <w:pPr>
        <w:spacing w:line="500" w:lineRule="exact"/>
        <w:jc w:val="left"/>
        <w:rPr>
          <w:sz w:val="24"/>
          <w:szCs w:val="24"/>
          <w:highlight w:val="none"/>
        </w:rPr>
      </w:pPr>
      <w:r>
        <w:rPr>
          <w:rFonts w:hAnsi="宋体" w:cs="宋体"/>
          <w:sz w:val="24"/>
          <w:szCs w:val="24"/>
          <w:highlight w:val="none"/>
        </w:rPr>
        <w:t>（1</w:t>
      </w:r>
      <w:r>
        <w:rPr>
          <w:rFonts w:hint="eastAsia" w:hAnsi="宋体" w:cs="宋体"/>
          <w:sz w:val="24"/>
          <w:szCs w:val="24"/>
          <w:highlight w:val="none"/>
        </w:rPr>
        <w:t>0</w:t>
      </w:r>
      <w:r>
        <w:rPr>
          <w:rFonts w:hAnsi="宋体" w:cs="宋体"/>
          <w:sz w:val="24"/>
          <w:szCs w:val="24"/>
          <w:highlight w:val="none"/>
        </w:rPr>
        <w:t>）监狱企业证明材料</w:t>
      </w:r>
    </w:p>
    <w:p>
      <w:pPr>
        <w:spacing w:line="500" w:lineRule="exact"/>
        <w:jc w:val="left"/>
        <w:rPr>
          <w:sz w:val="24"/>
          <w:szCs w:val="24"/>
          <w:highlight w:val="none"/>
        </w:rPr>
      </w:pPr>
      <w:r>
        <w:rPr>
          <w:rFonts w:hAnsi="宋体" w:cs="宋体"/>
          <w:sz w:val="24"/>
          <w:szCs w:val="24"/>
          <w:highlight w:val="none"/>
        </w:rPr>
        <w:t>（1</w:t>
      </w:r>
      <w:r>
        <w:rPr>
          <w:rFonts w:hint="eastAsia" w:hAnsi="宋体" w:cs="宋体"/>
          <w:sz w:val="24"/>
          <w:szCs w:val="24"/>
          <w:highlight w:val="none"/>
        </w:rPr>
        <w:t>1</w:t>
      </w:r>
      <w:r>
        <w:rPr>
          <w:rFonts w:hAnsi="宋体" w:cs="宋体"/>
          <w:sz w:val="24"/>
          <w:szCs w:val="24"/>
          <w:highlight w:val="none"/>
        </w:rPr>
        <w:t>）残疾人福利性单位声明函</w:t>
      </w:r>
    </w:p>
    <w:p>
      <w:pPr>
        <w:spacing w:line="500" w:lineRule="exact"/>
        <w:jc w:val="left"/>
        <w:rPr>
          <w:sz w:val="24"/>
          <w:szCs w:val="24"/>
          <w:highlight w:val="none"/>
        </w:rPr>
      </w:pPr>
      <w:r>
        <w:rPr>
          <w:rFonts w:hAnsi="宋体" w:cs="宋体"/>
          <w:sz w:val="24"/>
          <w:szCs w:val="24"/>
          <w:highlight w:val="none"/>
        </w:rPr>
        <w:t>（1</w:t>
      </w:r>
      <w:r>
        <w:rPr>
          <w:rFonts w:hint="eastAsia" w:hAnsi="宋体" w:cs="宋体"/>
          <w:sz w:val="24"/>
          <w:szCs w:val="24"/>
          <w:highlight w:val="none"/>
        </w:rPr>
        <w:t>2</w:t>
      </w:r>
      <w:r>
        <w:rPr>
          <w:rFonts w:hAnsi="宋体" w:cs="宋体"/>
          <w:sz w:val="24"/>
          <w:szCs w:val="24"/>
          <w:highlight w:val="none"/>
        </w:rPr>
        <w:t>）</w:t>
      </w:r>
      <w:r>
        <w:rPr>
          <w:rFonts w:hint="eastAsia" w:hAnsi="宋体" w:cs="宋体"/>
          <w:sz w:val="24"/>
          <w:szCs w:val="24"/>
          <w:highlight w:val="none"/>
        </w:rPr>
        <w:t>项目实施方案</w:t>
      </w:r>
    </w:p>
    <w:p>
      <w:pPr>
        <w:spacing w:line="500" w:lineRule="exact"/>
        <w:jc w:val="left"/>
        <w:rPr>
          <w:rFonts w:hAnsi="宋体" w:cs="宋体"/>
          <w:sz w:val="24"/>
          <w:szCs w:val="24"/>
          <w:highlight w:val="none"/>
        </w:rPr>
      </w:pPr>
      <w:r>
        <w:rPr>
          <w:rFonts w:hAnsi="宋体" w:cs="宋体"/>
          <w:sz w:val="24"/>
          <w:szCs w:val="24"/>
          <w:highlight w:val="none"/>
        </w:rPr>
        <w:t>（1</w:t>
      </w:r>
      <w:r>
        <w:rPr>
          <w:rFonts w:hint="eastAsia" w:hAnsi="宋体" w:cs="宋体"/>
          <w:sz w:val="24"/>
          <w:szCs w:val="24"/>
          <w:highlight w:val="none"/>
        </w:rPr>
        <w:t>3</w:t>
      </w:r>
      <w:r>
        <w:rPr>
          <w:rFonts w:hAnsi="宋体" w:cs="宋体"/>
          <w:sz w:val="24"/>
          <w:szCs w:val="24"/>
          <w:highlight w:val="none"/>
        </w:rPr>
        <w:t>）投标人认为需要提供的其他文件和资料</w:t>
      </w:r>
    </w:p>
    <w:p>
      <w:pPr>
        <w:spacing w:line="500" w:lineRule="exact"/>
        <w:ind w:firstLine="472" w:firstLineChars="196"/>
        <w:rPr>
          <w:b/>
          <w:bCs/>
          <w:sz w:val="24"/>
          <w:szCs w:val="22"/>
          <w:highlight w:val="none"/>
        </w:rPr>
      </w:pPr>
      <w:r>
        <w:rPr>
          <w:rFonts w:hint="eastAsia"/>
          <w:b/>
          <w:bCs/>
          <w:sz w:val="24"/>
          <w:szCs w:val="22"/>
          <w:highlight w:val="none"/>
        </w:rPr>
        <w:t>14.1投标报价（实质性要求）</w:t>
      </w:r>
    </w:p>
    <w:p>
      <w:pPr>
        <w:spacing w:line="500" w:lineRule="exact"/>
        <w:ind w:firstLine="470" w:firstLineChars="196"/>
        <w:rPr>
          <w:sz w:val="24"/>
          <w:szCs w:val="22"/>
          <w:highlight w:val="none"/>
        </w:rPr>
      </w:pPr>
      <w:r>
        <w:rPr>
          <w:rFonts w:hint="eastAsia"/>
          <w:sz w:val="24"/>
          <w:szCs w:val="22"/>
          <w:highlight w:val="none"/>
        </w:rPr>
        <w:t>14.1.1.</w:t>
      </w:r>
      <w:r>
        <w:rPr>
          <w:rFonts w:hint="eastAsia" w:hAnsi="宋体" w:cs="宋体"/>
          <w:sz w:val="24"/>
          <w:szCs w:val="24"/>
          <w:highlight w:val="none"/>
        </w:rPr>
        <w:t>投标人的报价应包括但不限于材料成本、制造、雕刻、包装、运输、安装、税费及招标文件规定的各项费用</w:t>
      </w:r>
      <w:r>
        <w:rPr>
          <w:rFonts w:hint="eastAsia"/>
          <w:sz w:val="24"/>
          <w:szCs w:val="22"/>
          <w:highlight w:val="none"/>
        </w:rPr>
        <w:t>。</w:t>
      </w:r>
    </w:p>
    <w:p>
      <w:pPr>
        <w:spacing w:line="500" w:lineRule="exact"/>
        <w:ind w:firstLine="470" w:firstLineChars="196"/>
        <w:rPr>
          <w:sz w:val="24"/>
          <w:szCs w:val="22"/>
          <w:highlight w:val="none"/>
        </w:rPr>
      </w:pPr>
      <w:r>
        <w:rPr>
          <w:rFonts w:hint="eastAsia"/>
          <w:sz w:val="24"/>
          <w:szCs w:val="22"/>
          <w:highlight w:val="none"/>
        </w:rPr>
        <w:t>14.1.2.投标人对每一种货物只允许有一个报价，并且在合同履行过程中是固定不变的，任何有选择或可调整的报价将不予接受，并按无效投标处理。</w:t>
      </w:r>
    </w:p>
    <w:p>
      <w:pPr>
        <w:pStyle w:val="10"/>
        <w:spacing w:line="500" w:lineRule="exact"/>
        <w:ind w:firstLine="480" w:firstLineChars="200"/>
        <w:rPr>
          <w:highlight w:val="none"/>
        </w:rPr>
      </w:pPr>
      <w:r>
        <w:rPr>
          <w:rFonts w:hint="eastAsia"/>
          <w:sz w:val="24"/>
          <w:szCs w:val="24"/>
          <w:highlight w:val="none"/>
        </w:rPr>
        <w:t>14.1.3.在本次投标之前一周年内，投标人本次投标中对同一品牌同一型号相同配置的产品报价与其在中国境内其他地方的最低报价比例不得高于</w:t>
      </w:r>
      <w:r>
        <w:rPr>
          <w:rFonts w:hint="eastAsia"/>
          <w:sz w:val="24"/>
          <w:szCs w:val="24"/>
          <w:highlight w:val="none"/>
          <w:lang w:val="zh-CN"/>
        </w:rPr>
        <w:t>20</w:t>
      </w:r>
      <w:r>
        <w:rPr>
          <w:rFonts w:hint="eastAsia"/>
          <w:sz w:val="24"/>
          <w:szCs w:val="24"/>
          <w:highlight w:val="none"/>
        </w:rPr>
        <w:t>%。</w:t>
      </w:r>
    </w:p>
    <w:p>
      <w:pPr>
        <w:pStyle w:val="5"/>
        <w:tabs>
          <w:tab w:val="left" w:pos="3480"/>
        </w:tabs>
        <w:spacing w:line="500" w:lineRule="exact"/>
        <w:ind w:firstLine="482" w:firstLineChars="200"/>
        <w:rPr>
          <w:sz w:val="24"/>
          <w:highlight w:val="none"/>
        </w:rPr>
      </w:pPr>
      <w:bookmarkStart w:id="52" w:name="_Toc308164799"/>
      <w:bookmarkStart w:id="53" w:name="_Toc183582218"/>
      <w:bookmarkStart w:id="54" w:name="_Toc183682355"/>
      <w:bookmarkStart w:id="55" w:name="_Toc217446049"/>
      <w:r>
        <w:rPr>
          <w:rFonts w:hint="eastAsia"/>
          <w:sz w:val="24"/>
          <w:highlight w:val="none"/>
        </w:rPr>
        <w:t>15．投标文件格式</w:t>
      </w:r>
      <w:bookmarkEnd w:id="52"/>
      <w:bookmarkEnd w:id="53"/>
      <w:bookmarkEnd w:id="54"/>
      <w:bookmarkEnd w:id="55"/>
    </w:p>
    <w:p>
      <w:pPr>
        <w:tabs>
          <w:tab w:val="left" w:pos="7665"/>
        </w:tabs>
        <w:spacing w:line="500" w:lineRule="exact"/>
        <w:ind w:left="20" w:leftChars="6" w:firstLine="480" w:firstLineChars="200"/>
        <w:rPr>
          <w:sz w:val="24"/>
          <w:highlight w:val="none"/>
        </w:rPr>
      </w:pPr>
      <w:r>
        <w:rPr>
          <w:rFonts w:hint="eastAsia"/>
          <w:sz w:val="24"/>
          <w:highlight w:val="none"/>
        </w:rPr>
        <w:t>15.1 投标人应执行招标文件第三章的规定要求。</w:t>
      </w:r>
    </w:p>
    <w:p>
      <w:pPr>
        <w:tabs>
          <w:tab w:val="left" w:pos="7665"/>
        </w:tabs>
        <w:spacing w:line="500" w:lineRule="exact"/>
        <w:ind w:left="20" w:leftChars="6" w:firstLine="480" w:firstLineChars="200"/>
        <w:rPr>
          <w:sz w:val="24"/>
          <w:highlight w:val="none"/>
        </w:rPr>
      </w:pPr>
      <w:r>
        <w:rPr>
          <w:rFonts w:hint="eastAsia"/>
          <w:sz w:val="24"/>
          <w:highlight w:val="none"/>
        </w:rPr>
        <w:t>15.2 对于没有格式要求的投标文件由投标人自行编写。</w:t>
      </w:r>
    </w:p>
    <w:p>
      <w:pPr>
        <w:pStyle w:val="5"/>
        <w:spacing w:line="500" w:lineRule="exact"/>
        <w:ind w:firstLine="482" w:firstLineChars="200"/>
        <w:rPr>
          <w:sz w:val="24"/>
          <w:highlight w:val="none"/>
        </w:rPr>
      </w:pPr>
      <w:bookmarkStart w:id="56" w:name="_Toc217446050"/>
      <w:bookmarkStart w:id="57" w:name="_Toc308164800"/>
      <w:bookmarkStart w:id="58" w:name="_Toc183682360"/>
      <w:bookmarkStart w:id="59" w:name="_Toc183582223"/>
      <w:r>
        <w:rPr>
          <w:rFonts w:hint="eastAsia"/>
          <w:bCs w:val="0"/>
          <w:sz w:val="24"/>
          <w:highlight w:val="none"/>
        </w:rPr>
        <w:t>16．投标保证金</w:t>
      </w:r>
      <w:bookmarkEnd w:id="56"/>
      <w:bookmarkEnd w:id="57"/>
      <w:bookmarkEnd w:id="58"/>
      <w:bookmarkEnd w:id="59"/>
      <w:r>
        <w:rPr>
          <w:rFonts w:hint="eastAsia"/>
          <w:sz w:val="24"/>
          <w:szCs w:val="24"/>
          <w:highlight w:val="none"/>
        </w:rPr>
        <w:t>（本项目不适用）</w:t>
      </w:r>
    </w:p>
    <w:p>
      <w:pPr>
        <w:pStyle w:val="5"/>
        <w:spacing w:line="500" w:lineRule="exact"/>
        <w:ind w:firstLine="482" w:firstLineChars="200"/>
        <w:rPr>
          <w:bCs w:val="0"/>
          <w:sz w:val="24"/>
          <w:highlight w:val="none"/>
        </w:rPr>
      </w:pPr>
      <w:bookmarkStart w:id="60" w:name="_Toc183582224"/>
      <w:bookmarkStart w:id="61" w:name="_Toc308164801"/>
      <w:bookmarkStart w:id="62" w:name="_Toc183682361"/>
      <w:bookmarkStart w:id="63" w:name="_Toc217446051"/>
      <w:r>
        <w:rPr>
          <w:rFonts w:hint="eastAsia"/>
          <w:bCs w:val="0"/>
          <w:sz w:val="24"/>
          <w:highlight w:val="none"/>
        </w:rPr>
        <w:t>17．投标有效期</w:t>
      </w:r>
      <w:bookmarkEnd w:id="60"/>
      <w:bookmarkEnd w:id="61"/>
      <w:bookmarkEnd w:id="62"/>
      <w:bookmarkEnd w:id="63"/>
      <w:r>
        <w:rPr>
          <w:rFonts w:hint="eastAsia"/>
          <w:sz w:val="24"/>
          <w:szCs w:val="24"/>
          <w:highlight w:val="none"/>
        </w:rPr>
        <w:t>（实质性要求）</w:t>
      </w:r>
    </w:p>
    <w:p>
      <w:pPr>
        <w:tabs>
          <w:tab w:val="left" w:pos="7665"/>
        </w:tabs>
        <w:spacing w:line="500" w:lineRule="exact"/>
        <w:ind w:left="20" w:leftChars="6" w:firstLine="480" w:firstLineChars="200"/>
        <w:rPr>
          <w:sz w:val="24"/>
          <w:highlight w:val="none"/>
        </w:rPr>
      </w:pPr>
      <w:r>
        <w:rPr>
          <w:rFonts w:hint="eastAsia"/>
          <w:sz w:val="24"/>
          <w:highlight w:val="none"/>
        </w:rPr>
        <w:t>17.1 本项目投标有效期为</w:t>
      </w:r>
      <w:r>
        <w:rPr>
          <w:rFonts w:hAnsi="宋体" w:cs="宋体"/>
          <w:sz w:val="24"/>
          <w:highlight w:val="none"/>
        </w:rPr>
        <w:t>提交投标文件的截止之日起90</w:t>
      </w:r>
      <w:r>
        <w:rPr>
          <w:rFonts w:hAnsi="宋体" w:cs="宋体"/>
          <w:spacing w:val="-2"/>
          <w:sz w:val="24"/>
          <w:highlight w:val="none"/>
        </w:rPr>
        <w:t>天</w:t>
      </w:r>
      <w:r>
        <w:rPr>
          <w:rFonts w:hint="eastAsia"/>
          <w:sz w:val="24"/>
          <w:highlight w:val="none"/>
        </w:rPr>
        <w:t>。投标人投标文件中必须载明投标有效期，投标文件中载明的投标有效期可以长于招标文件规定的期限，但不得短于招标文件规定的期限。否则，其投标文件将作为无效投标处理。</w:t>
      </w:r>
    </w:p>
    <w:p>
      <w:pPr>
        <w:tabs>
          <w:tab w:val="left" w:pos="7665"/>
        </w:tabs>
        <w:spacing w:line="500" w:lineRule="exact"/>
        <w:ind w:left="20" w:leftChars="6" w:firstLine="480" w:firstLineChars="200"/>
        <w:rPr>
          <w:sz w:val="24"/>
          <w:highlight w:val="none"/>
        </w:rPr>
      </w:pPr>
      <w:r>
        <w:rPr>
          <w:rFonts w:hint="eastAsia"/>
          <w:sz w:val="24"/>
          <w:highlight w:val="none"/>
        </w:rPr>
        <w:t>17.2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其投标文件。</w:t>
      </w:r>
    </w:p>
    <w:p>
      <w:pPr>
        <w:tabs>
          <w:tab w:val="left" w:pos="7665"/>
        </w:tabs>
        <w:spacing w:line="500" w:lineRule="exact"/>
        <w:ind w:left="20" w:leftChars="6" w:firstLine="480" w:firstLineChars="200"/>
        <w:rPr>
          <w:sz w:val="24"/>
          <w:highlight w:val="none"/>
        </w:rPr>
      </w:pPr>
      <w:r>
        <w:rPr>
          <w:rFonts w:hint="eastAsia"/>
          <w:sz w:val="24"/>
          <w:highlight w:val="none"/>
        </w:rPr>
        <w:t>17.3 因采购人采购需求作出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其投标文件。</w:t>
      </w:r>
    </w:p>
    <w:p>
      <w:pPr>
        <w:pStyle w:val="5"/>
        <w:spacing w:line="500" w:lineRule="exact"/>
        <w:ind w:firstLine="482" w:firstLineChars="200"/>
        <w:rPr>
          <w:bCs w:val="0"/>
          <w:sz w:val="24"/>
          <w:highlight w:val="none"/>
        </w:rPr>
      </w:pPr>
      <w:bookmarkStart w:id="64" w:name="_Toc183582225"/>
      <w:bookmarkStart w:id="65" w:name="_Toc217446052"/>
      <w:bookmarkStart w:id="66" w:name="_Toc308164802"/>
      <w:bookmarkStart w:id="67" w:name="_Toc183682362"/>
      <w:r>
        <w:rPr>
          <w:rFonts w:hint="eastAsia"/>
          <w:bCs w:val="0"/>
          <w:sz w:val="24"/>
          <w:highlight w:val="none"/>
        </w:rPr>
        <w:t>18．投标文件的印制和签署</w:t>
      </w:r>
      <w:bookmarkEnd w:id="64"/>
      <w:bookmarkEnd w:id="65"/>
      <w:bookmarkEnd w:id="66"/>
      <w:bookmarkEnd w:id="67"/>
    </w:p>
    <w:p>
      <w:pPr>
        <w:tabs>
          <w:tab w:val="left" w:pos="1080"/>
        </w:tabs>
        <w:spacing w:line="500" w:lineRule="exact"/>
        <w:ind w:firstLine="460" w:firstLineChars="192"/>
        <w:rPr>
          <w:sz w:val="24"/>
          <w:highlight w:val="none"/>
        </w:rPr>
      </w:pPr>
      <w:r>
        <w:rPr>
          <w:rFonts w:hint="eastAsia"/>
          <w:sz w:val="24"/>
          <w:highlight w:val="none"/>
        </w:rPr>
        <w:t>18.1 投标人应按招标文件要求准备</w:t>
      </w:r>
      <w:r>
        <w:rPr>
          <w:sz w:val="24"/>
          <w:highlight w:val="none"/>
        </w:rPr>
        <w:t>投标文件（包含</w:t>
      </w:r>
      <w:r>
        <w:rPr>
          <w:rFonts w:hint="eastAsia"/>
          <w:sz w:val="24"/>
          <w:highlight w:val="none"/>
        </w:rPr>
        <w:t>资格性投标文件及</w:t>
      </w:r>
      <w:r>
        <w:rPr>
          <w:rFonts w:hAnsi="宋体" w:cs="宋体"/>
          <w:sz w:val="24"/>
          <w:highlight w:val="none"/>
        </w:rPr>
        <w:t>其他投标文件</w:t>
      </w:r>
      <w:r>
        <w:rPr>
          <w:sz w:val="24"/>
          <w:highlight w:val="none"/>
        </w:rPr>
        <w:t>）</w:t>
      </w:r>
      <w:r>
        <w:rPr>
          <w:rFonts w:hint="eastAsia"/>
          <w:sz w:val="24"/>
          <w:highlight w:val="none"/>
        </w:rPr>
        <w:t>。</w:t>
      </w:r>
      <w:r>
        <w:rPr>
          <w:rFonts w:hint="eastAsia" w:hAnsi="宋体" w:cs="宋体"/>
          <w:sz w:val="24"/>
          <w:highlight w:val="none"/>
        </w:rPr>
        <w:t>投标文件的正本和副本应在其封面右上角清楚地标明“正本”或“副本”字样，电子文档采用光盘或U盘制作。若正本和副本、电子文档有不一致的内容，以正本书面投标文件为准。</w:t>
      </w:r>
      <w:r>
        <w:rPr>
          <w:rFonts w:hint="eastAsia"/>
          <w:sz w:val="24"/>
          <w:highlight w:val="none"/>
        </w:rPr>
        <w:t>（实质性要求）</w:t>
      </w:r>
    </w:p>
    <w:p>
      <w:pPr>
        <w:tabs>
          <w:tab w:val="left" w:pos="1095"/>
        </w:tabs>
        <w:spacing w:line="500" w:lineRule="exact"/>
        <w:ind w:firstLine="460" w:firstLineChars="192"/>
        <w:rPr>
          <w:rFonts w:hAnsi="宋体" w:cs="宋体"/>
          <w:spacing w:val="-2"/>
          <w:sz w:val="24"/>
          <w:highlight w:val="none"/>
        </w:rPr>
      </w:pPr>
      <w:r>
        <w:rPr>
          <w:rFonts w:hint="eastAsia"/>
          <w:sz w:val="24"/>
          <w:highlight w:val="none"/>
        </w:rPr>
        <w:t xml:space="preserve">18.2 </w:t>
      </w:r>
      <w:r>
        <w:rPr>
          <w:rFonts w:hAnsi="宋体" w:cs="宋体"/>
          <w:sz w:val="24"/>
          <w:highlight w:val="none"/>
        </w:rPr>
        <w:t>投标文件统一用A4</w:t>
      </w:r>
      <w:r>
        <w:rPr>
          <w:rFonts w:hAnsi="宋体" w:cs="宋体"/>
          <w:spacing w:val="-2"/>
          <w:sz w:val="24"/>
          <w:highlight w:val="none"/>
        </w:rPr>
        <w:t>幅面纸印制（表、图及证件可以除外）</w:t>
      </w:r>
      <w:r>
        <w:rPr>
          <w:rFonts w:hint="eastAsia" w:hAnsi="宋体" w:cs="宋体"/>
          <w:spacing w:val="-2"/>
          <w:sz w:val="24"/>
          <w:highlight w:val="none"/>
        </w:rPr>
        <w:t>，</w:t>
      </w:r>
      <w:r>
        <w:rPr>
          <w:rFonts w:hAnsi="宋体" w:cs="宋体"/>
          <w:sz w:val="24"/>
          <w:highlight w:val="none"/>
        </w:rPr>
        <w:t>逐页编码并</w:t>
      </w:r>
      <w:r>
        <w:rPr>
          <w:rFonts w:hint="eastAsia" w:hAnsi="宋体" w:cs="宋体"/>
          <w:sz w:val="24"/>
          <w:highlight w:val="none"/>
        </w:rPr>
        <w:t>左侧</w:t>
      </w:r>
      <w:r>
        <w:rPr>
          <w:rFonts w:hAnsi="宋体" w:cs="宋体"/>
          <w:sz w:val="24"/>
          <w:highlight w:val="none"/>
        </w:rPr>
        <w:t>装订成册。</w:t>
      </w:r>
    </w:p>
    <w:p>
      <w:pPr>
        <w:tabs>
          <w:tab w:val="left" w:pos="1095"/>
        </w:tabs>
        <w:spacing w:line="500" w:lineRule="exact"/>
        <w:ind w:firstLine="460" w:firstLineChars="192"/>
        <w:rPr>
          <w:rFonts w:ascii="Calibri" w:hAnsi="Calibri" w:cs="Calibri"/>
          <w:sz w:val="24"/>
          <w:szCs w:val="22"/>
          <w:highlight w:val="none"/>
        </w:rPr>
      </w:pPr>
      <w:r>
        <w:rPr>
          <w:rFonts w:hint="eastAsia"/>
          <w:sz w:val="24"/>
          <w:szCs w:val="22"/>
          <w:highlight w:val="none"/>
        </w:rPr>
        <w:t>18.3</w:t>
      </w:r>
      <w:r>
        <w:rPr>
          <w:rFonts w:ascii="Calibri" w:hAnsi="Calibri" w:cs="Calibri"/>
          <w:sz w:val="24"/>
          <w:szCs w:val="22"/>
          <w:highlight w:val="none"/>
        </w:rPr>
        <w:t>投标文件的正本均需打印或用不褪色的墨水书写(证明材料除外)。投标文件副本可以为正本的复印件。投标文件应由投标人法定代表人或经法定代表人正式授权的代理人在招标文件要求的地方签字或加盖印章，要求加盖公章的地方加盖公章。开标一览表应按要求签字或加盖印章，盖章，开标一览表应为原件。唱标的开标一览表与投标文件中的开标一览表不一致的，以唱标的开标一览表为准。（实质性要求）</w:t>
      </w:r>
    </w:p>
    <w:p>
      <w:pPr>
        <w:tabs>
          <w:tab w:val="left" w:pos="1095"/>
        </w:tabs>
        <w:spacing w:line="500" w:lineRule="exact"/>
        <w:ind w:firstLine="460" w:firstLineChars="192"/>
        <w:rPr>
          <w:sz w:val="24"/>
          <w:highlight w:val="none"/>
        </w:rPr>
      </w:pPr>
      <w:r>
        <w:rPr>
          <w:rFonts w:hint="eastAsia"/>
          <w:sz w:val="24"/>
          <w:szCs w:val="22"/>
          <w:highlight w:val="none"/>
        </w:rPr>
        <w:t>18.4</w:t>
      </w:r>
      <w:r>
        <w:rPr>
          <w:rFonts w:ascii="Calibri" w:hAnsi="Calibri" w:cs="Calibri"/>
          <w:sz w:val="24"/>
          <w:szCs w:val="22"/>
          <w:highlight w:val="none"/>
        </w:rPr>
        <w:t>投标文件的打印和书写应清楚工整，任何行间插字、涂改或增删，必须由投标人的法定代表人或其授权代理人签字或加盖印章。（实质性要求）</w:t>
      </w:r>
    </w:p>
    <w:p>
      <w:pPr>
        <w:tabs>
          <w:tab w:val="left" w:pos="1080"/>
        </w:tabs>
        <w:spacing w:line="500" w:lineRule="exact"/>
        <w:ind w:firstLine="460" w:firstLineChars="192"/>
        <w:rPr>
          <w:sz w:val="24"/>
          <w:highlight w:val="none"/>
        </w:rPr>
      </w:pPr>
      <w:r>
        <w:rPr>
          <w:rFonts w:hint="eastAsia"/>
          <w:sz w:val="24"/>
          <w:highlight w:val="none"/>
        </w:rPr>
        <w:t>18.5 投标文件正本和副本应当采取左侧胶装方式装订成册，不得散装或者合页装订。</w:t>
      </w:r>
    </w:p>
    <w:p>
      <w:pPr>
        <w:tabs>
          <w:tab w:val="left" w:pos="1080"/>
        </w:tabs>
        <w:spacing w:line="500" w:lineRule="exact"/>
        <w:ind w:firstLine="460" w:firstLineChars="192"/>
        <w:rPr>
          <w:sz w:val="24"/>
          <w:szCs w:val="22"/>
          <w:highlight w:val="none"/>
        </w:rPr>
      </w:pPr>
      <w:r>
        <w:rPr>
          <w:rFonts w:hint="eastAsia"/>
          <w:sz w:val="24"/>
          <w:szCs w:val="22"/>
          <w:highlight w:val="none"/>
        </w:rPr>
        <w:t>18.5 投标文件应根据招标文件的要求制作、签署、盖章。（1、招标文件中要求提供复印件加盖公章的证明材料的，复印件所在页按要求加盖了公章或复印件为多页但至少有一页按要求加盖了公章的，视为满足复印件加盖公章的要求；2、招标文件中要求提供复印件的证明材料的，系指原件的复印件或影印件。）。（实质性要求）</w:t>
      </w:r>
    </w:p>
    <w:p>
      <w:pPr>
        <w:tabs>
          <w:tab w:val="left" w:pos="1080"/>
        </w:tabs>
        <w:spacing w:line="500" w:lineRule="exact"/>
        <w:ind w:firstLine="460" w:firstLineChars="192"/>
        <w:rPr>
          <w:highlight w:val="none"/>
        </w:rPr>
      </w:pPr>
      <w:r>
        <w:rPr>
          <w:rFonts w:hint="eastAsia"/>
          <w:sz w:val="24"/>
          <w:szCs w:val="22"/>
          <w:highlight w:val="none"/>
        </w:rPr>
        <w:t>18.6所有要求盖公章的地方都应加盖投标人单位（法定名称）章（鲜章），不得使用专用章（如经</w:t>
      </w:r>
      <w:r>
        <w:rPr>
          <w:rFonts w:hAnsi="宋体" w:cs="宋体"/>
          <w:spacing w:val="-1"/>
          <w:sz w:val="24"/>
          <w:highlight w:val="none"/>
        </w:rPr>
        <w:t>济合同章、投标专用章等）或下属单位印章代替。（实质性要求）</w:t>
      </w:r>
    </w:p>
    <w:p>
      <w:pPr>
        <w:pStyle w:val="5"/>
        <w:spacing w:line="500" w:lineRule="exact"/>
        <w:ind w:firstLine="482" w:firstLineChars="200"/>
        <w:rPr>
          <w:bCs w:val="0"/>
          <w:sz w:val="24"/>
          <w:highlight w:val="none"/>
        </w:rPr>
      </w:pPr>
      <w:bookmarkStart w:id="68" w:name="_Toc89075877"/>
      <w:bookmarkStart w:id="69" w:name="_Toc77400781"/>
      <w:bookmarkStart w:id="70" w:name="_Toc183682363"/>
      <w:bookmarkStart w:id="71" w:name="_Toc183582226"/>
      <w:bookmarkStart w:id="72" w:name="_Toc217446053"/>
      <w:bookmarkStart w:id="73" w:name="_Toc308164803"/>
      <w:r>
        <w:rPr>
          <w:rFonts w:hint="eastAsia"/>
          <w:bCs w:val="0"/>
          <w:sz w:val="24"/>
          <w:highlight w:val="none"/>
        </w:rPr>
        <w:t>19.投标文件的密封和标</w:t>
      </w:r>
      <w:bookmarkEnd w:id="68"/>
      <w:bookmarkEnd w:id="69"/>
      <w:bookmarkEnd w:id="70"/>
      <w:bookmarkEnd w:id="71"/>
      <w:r>
        <w:rPr>
          <w:rFonts w:hint="eastAsia"/>
          <w:bCs w:val="0"/>
          <w:sz w:val="24"/>
          <w:highlight w:val="none"/>
        </w:rPr>
        <w:t>注</w:t>
      </w:r>
      <w:bookmarkEnd w:id="72"/>
      <w:bookmarkEnd w:id="73"/>
    </w:p>
    <w:p>
      <w:pPr>
        <w:tabs>
          <w:tab w:val="left" w:pos="1080"/>
        </w:tabs>
        <w:spacing w:line="500" w:lineRule="exact"/>
        <w:ind w:firstLine="460" w:firstLineChars="192"/>
        <w:rPr>
          <w:sz w:val="24"/>
          <w:szCs w:val="22"/>
          <w:highlight w:val="none"/>
        </w:rPr>
      </w:pPr>
      <w:r>
        <w:rPr>
          <w:rFonts w:hint="eastAsia"/>
          <w:sz w:val="24"/>
          <w:szCs w:val="22"/>
          <w:highlight w:val="none"/>
        </w:rPr>
        <w:t>投标文件包括正本、副本、电子文档和用于开标唱标单独提交的“开标一览表”。</w:t>
      </w:r>
    </w:p>
    <w:p>
      <w:pPr>
        <w:tabs>
          <w:tab w:val="left" w:pos="1080"/>
        </w:tabs>
        <w:spacing w:line="500" w:lineRule="exact"/>
        <w:ind w:firstLine="460" w:firstLineChars="192"/>
        <w:rPr>
          <w:sz w:val="24"/>
          <w:szCs w:val="22"/>
          <w:highlight w:val="none"/>
        </w:rPr>
      </w:pPr>
      <w:r>
        <w:rPr>
          <w:rFonts w:hint="eastAsia"/>
          <w:sz w:val="24"/>
          <w:szCs w:val="22"/>
          <w:highlight w:val="none"/>
        </w:rPr>
        <w:t>19.1 投标文件正本、副本的包装和密封、标注。</w:t>
      </w:r>
    </w:p>
    <w:p>
      <w:pPr>
        <w:tabs>
          <w:tab w:val="left" w:pos="1080"/>
        </w:tabs>
        <w:spacing w:line="500" w:lineRule="exact"/>
        <w:ind w:firstLine="460" w:firstLineChars="192"/>
        <w:rPr>
          <w:sz w:val="24"/>
          <w:szCs w:val="22"/>
          <w:highlight w:val="none"/>
        </w:rPr>
      </w:pPr>
      <w:r>
        <w:rPr>
          <w:rFonts w:hint="eastAsia"/>
          <w:sz w:val="24"/>
          <w:szCs w:val="22"/>
          <w:highlight w:val="none"/>
        </w:rPr>
        <w:t>19.1.1.投标文件正本、副本应分别密封包装。</w:t>
      </w:r>
    </w:p>
    <w:p>
      <w:pPr>
        <w:tabs>
          <w:tab w:val="left" w:pos="1080"/>
        </w:tabs>
        <w:spacing w:line="500" w:lineRule="exact"/>
        <w:ind w:firstLine="460" w:firstLineChars="192"/>
        <w:rPr>
          <w:sz w:val="24"/>
          <w:highlight w:val="none"/>
        </w:rPr>
      </w:pPr>
      <w:r>
        <w:rPr>
          <w:rFonts w:hint="eastAsia"/>
          <w:sz w:val="24"/>
          <w:highlight w:val="none"/>
        </w:rPr>
        <w:t>19.1.2投标人应在投标文件正本和所有副本的封面上注明投标人名称、招标编号、项目名称及分包号（如有分包）。</w:t>
      </w:r>
    </w:p>
    <w:p>
      <w:pPr>
        <w:tabs>
          <w:tab w:val="left" w:pos="1080"/>
        </w:tabs>
        <w:spacing w:line="500" w:lineRule="exact"/>
        <w:ind w:firstLine="460" w:firstLineChars="192"/>
        <w:rPr>
          <w:rFonts w:hAnsi="宋体" w:cs="宋体"/>
          <w:sz w:val="24"/>
          <w:highlight w:val="none"/>
        </w:rPr>
      </w:pPr>
      <w:r>
        <w:rPr>
          <w:rFonts w:hint="eastAsia"/>
          <w:sz w:val="24"/>
          <w:szCs w:val="22"/>
          <w:highlight w:val="none"/>
        </w:rPr>
        <w:t>19.1.3每一个包装的最外层应标明采购项目名称、招标编号、投标人名称，以及分包号（如有分包），并</w:t>
      </w:r>
      <w:r>
        <w:rPr>
          <w:rFonts w:hint="eastAsia" w:hAnsi="宋体" w:cs="宋体"/>
          <w:sz w:val="24"/>
          <w:highlight w:val="none"/>
        </w:rPr>
        <w:t>加盖投标人公章。</w:t>
      </w:r>
    </w:p>
    <w:p>
      <w:pPr>
        <w:tabs>
          <w:tab w:val="left" w:pos="1080"/>
        </w:tabs>
        <w:spacing w:line="500" w:lineRule="exact"/>
        <w:ind w:firstLine="460" w:firstLineChars="192"/>
        <w:rPr>
          <w:sz w:val="24"/>
          <w:szCs w:val="22"/>
          <w:highlight w:val="none"/>
        </w:rPr>
      </w:pPr>
      <w:r>
        <w:rPr>
          <w:rFonts w:hint="eastAsia"/>
          <w:sz w:val="24"/>
          <w:szCs w:val="22"/>
          <w:highlight w:val="none"/>
        </w:rPr>
        <w:t>19.2开标一览表及电子文档的包装和密封、标注</w:t>
      </w:r>
    </w:p>
    <w:p>
      <w:pPr>
        <w:tabs>
          <w:tab w:val="left" w:pos="1080"/>
        </w:tabs>
        <w:spacing w:line="500" w:lineRule="exact"/>
        <w:ind w:firstLine="460" w:firstLineChars="192"/>
        <w:rPr>
          <w:sz w:val="24"/>
          <w:szCs w:val="22"/>
          <w:highlight w:val="none"/>
        </w:rPr>
      </w:pPr>
      <w:r>
        <w:rPr>
          <w:rFonts w:hint="eastAsia"/>
          <w:sz w:val="24"/>
          <w:szCs w:val="22"/>
          <w:highlight w:val="none"/>
        </w:rPr>
        <w:t>19.2.1为方便开标唱标，投标人应将开标一览表与投标文件和电子文档分开单独包装，投标时，同时递交。</w:t>
      </w:r>
    </w:p>
    <w:p>
      <w:pPr>
        <w:tabs>
          <w:tab w:val="left" w:pos="1080"/>
        </w:tabs>
        <w:spacing w:line="500" w:lineRule="exact"/>
        <w:ind w:firstLine="460" w:firstLineChars="192"/>
        <w:rPr>
          <w:sz w:val="24"/>
          <w:szCs w:val="22"/>
          <w:highlight w:val="none"/>
        </w:rPr>
      </w:pPr>
      <w:r>
        <w:rPr>
          <w:rFonts w:hint="eastAsia"/>
          <w:sz w:val="24"/>
          <w:szCs w:val="22"/>
          <w:highlight w:val="none"/>
        </w:rPr>
        <w:t>19.2.2每一个包装的最外层应标明采购项目名称、招标编号、投标人名称，以及分包号（如有分包），并加盖投标人公章。</w:t>
      </w:r>
    </w:p>
    <w:p>
      <w:pPr>
        <w:tabs>
          <w:tab w:val="left" w:pos="1080"/>
        </w:tabs>
        <w:spacing w:line="500" w:lineRule="exact"/>
        <w:ind w:firstLine="460" w:firstLineChars="192"/>
        <w:rPr>
          <w:sz w:val="24"/>
          <w:szCs w:val="22"/>
          <w:highlight w:val="none"/>
        </w:rPr>
      </w:pPr>
      <w:r>
        <w:rPr>
          <w:rFonts w:hint="eastAsia"/>
          <w:sz w:val="24"/>
          <w:szCs w:val="22"/>
          <w:highlight w:val="none"/>
        </w:rPr>
        <w:t>19.2.3如有分包，投标人须分包密封和标注，投标时，同时递交。</w:t>
      </w:r>
    </w:p>
    <w:p>
      <w:pPr>
        <w:tabs>
          <w:tab w:val="left" w:pos="0"/>
        </w:tabs>
        <w:spacing w:line="560" w:lineRule="exact"/>
        <w:ind w:firstLine="480" w:firstLineChars="200"/>
        <w:rPr>
          <w:highlight w:val="none"/>
        </w:rPr>
      </w:pPr>
      <w:r>
        <w:rPr>
          <w:rFonts w:hint="eastAsia"/>
          <w:sz w:val="24"/>
          <w:szCs w:val="22"/>
          <w:highlight w:val="none"/>
        </w:rPr>
        <w:t>19.3</w:t>
      </w:r>
      <w:r>
        <w:rPr>
          <w:rFonts w:hint="eastAsia" w:hAnsi="宋体"/>
          <w:sz w:val="24"/>
          <w:highlight w:val="none"/>
        </w:rPr>
        <w:t>所有外层密封袋的封口处应粘贴牢固，并加盖密封章（投标人公章）。</w:t>
      </w:r>
    </w:p>
    <w:p>
      <w:pPr>
        <w:tabs>
          <w:tab w:val="left" w:pos="1080"/>
        </w:tabs>
        <w:spacing w:line="500" w:lineRule="exact"/>
        <w:ind w:firstLine="460" w:firstLineChars="192"/>
        <w:rPr>
          <w:sz w:val="24"/>
          <w:szCs w:val="22"/>
          <w:highlight w:val="none"/>
        </w:rPr>
      </w:pPr>
      <w:r>
        <w:rPr>
          <w:rFonts w:hint="eastAsia"/>
          <w:sz w:val="24"/>
          <w:szCs w:val="22"/>
          <w:highlight w:val="none"/>
        </w:rPr>
        <w:t>19.4未按照招标文件要求密封和标注的投标文件，采购人、采购代理机构应当拒收。</w:t>
      </w:r>
    </w:p>
    <w:p>
      <w:pPr>
        <w:pStyle w:val="5"/>
        <w:spacing w:line="500" w:lineRule="exact"/>
        <w:ind w:firstLine="482" w:firstLineChars="200"/>
        <w:rPr>
          <w:bCs w:val="0"/>
          <w:sz w:val="24"/>
          <w:szCs w:val="24"/>
          <w:highlight w:val="none"/>
        </w:rPr>
      </w:pPr>
      <w:bookmarkStart w:id="74" w:name="_Toc183582227"/>
      <w:bookmarkStart w:id="75" w:name="_Toc183682364"/>
      <w:bookmarkStart w:id="76" w:name="_Toc308164804"/>
      <w:bookmarkStart w:id="77" w:name="_Toc217446054"/>
      <w:r>
        <w:rPr>
          <w:rFonts w:hint="eastAsia"/>
          <w:bCs w:val="0"/>
          <w:sz w:val="24"/>
          <w:szCs w:val="24"/>
          <w:highlight w:val="none"/>
        </w:rPr>
        <w:t>20</w:t>
      </w:r>
      <w:r>
        <w:rPr>
          <w:rFonts w:hint="eastAsia"/>
          <w:bCs w:val="0"/>
          <w:sz w:val="28"/>
          <w:szCs w:val="28"/>
          <w:highlight w:val="none"/>
        </w:rPr>
        <w:t>．</w:t>
      </w:r>
      <w:r>
        <w:rPr>
          <w:rFonts w:hint="eastAsia"/>
          <w:bCs w:val="0"/>
          <w:sz w:val="24"/>
          <w:szCs w:val="24"/>
          <w:highlight w:val="none"/>
        </w:rPr>
        <w:t>投标文件的</w:t>
      </w:r>
      <w:bookmarkEnd w:id="74"/>
      <w:bookmarkEnd w:id="75"/>
      <w:r>
        <w:rPr>
          <w:rFonts w:hint="eastAsia"/>
          <w:bCs w:val="0"/>
          <w:sz w:val="24"/>
          <w:szCs w:val="24"/>
          <w:highlight w:val="none"/>
        </w:rPr>
        <w:t>递交</w:t>
      </w:r>
      <w:bookmarkEnd w:id="76"/>
      <w:bookmarkEnd w:id="77"/>
    </w:p>
    <w:p>
      <w:pPr>
        <w:tabs>
          <w:tab w:val="left" w:pos="1095"/>
        </w:tabs>
        <w:spacing w:line="500" w:lineRule="exact"/>
        <w:ind w:firstLine="460" w:firstLineChars="192"/>
        <w:rPr>
          <w:sz w:val="24"/>
          <w:highlight w:val="none"/>
        </w:rPr>
      </w:pPr>
      <w:r>
        <w:rPr>
          <w:rFonts w:hint="eastAsia"/>
          <w:sz w:val="24"/>
          <w:highlight w:val="none"/>
        </w:rPr>
        <w:t>20.1 投标人应在招标文件规定的投标截止时间前，将投标文件按招标文件的规定密封后送达开标地点。采购人或者采购代理机构收到投标文件后，应当如实记载投标文件的送达时间和密封情况，签收保存，并向投标人出具签收回执。投标截止时间以后送达的投标文件将不予接收，招标采购单位将告知投标人不予接收的原因。</w:t>
      </w:r>
    </w:p>
    <w:p>
      <w:pPr>
        <w:tabs>
          <w:tab w:val="left" w:pos="1095"/>
        </w:tabs>
        <w:spacing w:line="500" w:lineRule="exact"/>
        <w:ind w:firstLine="460" w:firstLineChars="192"/>
        <w:rPr>
          <w:sz w:val="24"/>
          <w:highlight w:val="none"/>
        </w:rPr>
      </w:pPr>
      <w:r>
        <w:rPr>
          <w:rFonts w:hint="eastAsia"/>
          <w:sz w:val="24"/>
          <w:highlight w:val="none"/>
        </w:rPr>
        <w:t>任何单位和个人不得在开标前开启投标文件。</w:t>
      </w:r>
    </w:p>
    <w:p>
      <w:pPr>
        <w:tabs>
          <w:tab w:val="left" w:pos="1095"/>
        </w:tabs>
        <w:spacing w:line="500" w:lineRule="exact"/>
        <w:ind w:firstLine="460" w:firstLineChars="192"/>
        <w:rPr>
          <w:sz w:val="24"/>
          <w:highlight w:val="none"/>
        </w:rPr>
      </w:pPr>
      <w:r>
        <w:rPr>
          <w:rFonts w:hint="eastAsia"/>
          <w:sz w:val="24"/>
          <w:szCs w:val="22"/>
          <w:highlight w:val="none"/>
        </w:rPr>
        <w:t>20.2 因招标文件的修改推迟投标截止日期的，按四川标源招标代理有限公司的书面通知</w:t>
      </w:r>
      <w:r>
        <w:rPr>
          <w:rFonts w:hAnsi="宋体" w:cs="宋体"/>
          <w:sz w:val="24"/>
          <w:highlight w:val="none"/>
        </w:rPr>
        <w:t>修改的时间递交。</w:t>
      </w:r>
    </w:p>
    <w:p>
      <w:pPr>
        <w:tabs>
          <w:tab w:val="left" w:pos="1095"/>
        </w:tabs>
        <w:spacing w:line="500" w:lineRule="exact"/>
        <w:ind w:firstLine="460" w:firstLineChars="192"/>
        <w:rPr>
          <w:sz w:val="24"/>
          <w:highlight w:val="none"/>
        </w:rPr>
      </w:pPr>
      <w:r>
        <w:rPr>
          <w:rFonts w:hint="eastAsia"/>
          <w:sz w:val="24"/>
          <w:highlight w:val="none"/>
        </w:rPr>
        <w:t>20.3递交投标文件时，报名投标人名称和招标编号、分包号应当与投标人名称和招标编号、分包号一致。但是，投标文件实质内容报名投标人名称和招标编号、分包号一致，只是封面文字错误的，可以在评标过程中当面予以澄清，以有效的澄清材料作为认定投标文件是否有效的依据。</w:t>
      </w:r>
    </w:p>
    <w:p>
      <w:pPr>
        <w:tabs>
          <w:tab w:val="left" w:pos="1095"/>
        </w:tabs>
        <w:spacing w:line="500" w:lineRule="exact"/>
        <w:ind w:firstLine="460" w:firstLineChars="192"/>
        <w:rPr>
          <w:sz w:val="24"/>
          <w:highlight w:val="none"/>
        </w:rPr>
      </w:pPr>
      <w:r>
        <w:rPr>
          <w:rFonts w:hint="eastAsia"/>
          <w:sz w:val="24"/>
          <w:highlight w:val="none"/>
        </w:rPr>
        <w:t>20.4本次招标不接收邮寄的投标文件。</w:t>
      </w:r>
    </w:p>
    <w:p>
      <w:pPr>
        <w:pStyle w:val="5"/>
        <w:spacing w:line="500" w:lineRule="exact"/>
        <w:ind w:firstLine="482" w:firstLineChars="200"/>
        <w:rPr>
          <w:bCs w:val="0"/>
          <w:sz w:val="24"/>
          <w:szCs w:val="24"/>
          <w:highlight w:val="none"/>
        </w:rPr>
      </w:pPr>
      <w:bookmarkStart w:id="78" w:name="_Toc183682365"/>
      <w:bookmarkStart w:id="79" w:name="_Toc183582228"/>
      <w:bookmarkStart w:id="80" w:name="_Toc217446055"/>
      <w:r>
        <w:rPr>
          <w:rFonts w:hint="eastAsia"/>
          <w:bCs w:val="0"/>
          <w:sz w:val="24"/>
          <w:szCs w:val="24"/>
          <w:highlight w:val="none"/>
        </w:rPr>
        <w:t>21．投标文件的修改和撤</w:t>
      </w:r>
      <w:bookmarkEnd w:id="78"/>
      <w:bookmarkEnd w:id="79"/>
      <w:r>
        <w:rPr>
          <w:rFonts w:hint="eastAsia"/>
          <w:bCs w:val="0"/>
          <w:sz w:val="24"/>
          <w:szCs w:val="24"/>
          <w:highlight w:val="none"/>
        </w:rPr>
        <w:t>回</w:t>
      </w:r>
      <w:bookmarkEnd w:id="80"/>
    </w:p>
    <w:p>
      <w:pPr>
        <w:spacing w:line="500" w:lineRule="exact"/>
        <w:ind w:firstLine="470" w:firstLineChars="196"/>
        <w:rPr>
          <w:sz w:val="24"/>
          <w:szCs w:val="22"/>
          <w:highlight w:val="none"/>
        </w:rPr>
      </w:pPr>
      <w:r>
        <w:rPr>
          <w:rFonts w:hint="eastAsia"/>
          <w:sz w:val="24"/>
          <w:szCs w:val="22"/>
          <w:highlight w:val="none"/>
        </w:rPr>
        <w:t>21.1 投标人在投标截止时间前，可以对所递交的投标文件进行补充、修改或者撤回，并书面通知采购人或者采购代理机构。补充、修改的内容应当按照招标文件要求签署、盖章、密封后，作为投标文件的组成部分。</w:t>
      </w:r>
    </w:p>
    <w:p>
      <w:pPr>
        <w:spacing w:line="500" w:lineRule="exact"/>
        <w:ind w:firstLine="470" w:firstLineChars="196"/>
        <w:rPr>
          <w:sz w:val="24"/>
          <w:highlight w:val="none"/>
        </w:rPr>
      </w:pPr>
      <w:r>
        <w:rPr>
          <w:rFonts w:hint="eastAsia"/>
          <w:sz w:val="24"/>
          <w:highlight w:val="none"/>
        </w:rPr>
        <w:t>21.2 投标人的修改书或撤回通知书，应由其法定代表人或授权代表签署并盖单位印章。修改书应按投标须知第19条规定进行密封和标注，并在密封袋上标注“修改”字样。</w:t>
      </w:r>
    </w:p>
    <w:p>
      <w:pPr>
        <w:spacing w:line="500" w:lineRule="exact"/>
        <w:ind w:firstLine="480"/>
        <w:rPr>
          <w:sz w:val="24"/>
          <w:highlight w:val="none"/>
        </w:rPr>
      </w:pPr>
      <w:r>
        <w:rPr>
          <w:rFonts w:hint="eastAsia"/>
          <w:sz w:val="24"/>
          <w:highlight w:val="none"/>
        </w:rPr>
        <w:t>21.3 在投标截止时间之后，投标人不得对其递交的投标文件做任何修改或撤回投标。</w:t>
      </w:r>
    </w:p>
    <w:p>
      <w:pPr>
        <w:pStyle w:val="4"/>
        <w:spacing w:line="500" w:lineRule="exact"/>
        <w:jc w:val="center"/>
        <w:rPr>
          <w:highlight w:val="none"/>
        </w:rPr>
      </w:pPr>
      <w:bookmarkStart w:id="81" w:name="_Toc89075878"/>
      <w:bookmarkStart w:id="82" w:name="_Toc77400782"/>
      <w:bookmarkStart w:id="83" w:name="_Toc217446056"/>
      <w:bookmarkStart w:id="84" w:name="_Toc183582231"/>
      <w:bookmarkStart w:id="85" w:name="_Toc183682368"/>
      <w:bookmarkStart w:id="86" w:name="_Toc308164805"/>
      <w:r>
        <w:rPr>
          <w:rFonts w:hint="eastAsia"/>
          <w:highlight w:val="none"/>
        </w:rPr>
        <w:t>五、开标和中标</w:t>
      </w:r>
      <w:bookmarkEnd w:id="81"/>
      <w:bookmarkEnd w:id="82"/>
      <w:bookmarkEnd w:id="83"/>
      <w:bookmarkEnd w:id="84"/>
      <w:bookmarkEnd w:id="85"/>
      <w:bookmarkEnd w:id="86"/>
    </w:p>
    <w:p>
      <w:pPr>
        <w:pStyle w:val="5"/>
        <w:spacing w:line="500" w:lineRule="exact"/>
        <w:ind w:firstLine="482" w:firstLineChars="200"/>
        <w:rPr>
          <w:bCs w:val="0"/>
          <w:sz w:val="24"/>
          <w:highlight w:val="none"/>
        </w:rPr>
      </w:pPr>
      <w:bookmarkStart w:id="87" w:name="_Toc308164806"/>
      <w:bookmarkStart w:id="88" w:name="_Toc183582232"/>
      <w:bookmarkStart w:id="89" w:name="_Toc217446057"/>
      <w:bookmarkStart w:id="90" w:name="_Toc183682369"/>
      <w:r>
        <w:rPr>
          <w:rFonts w:hint="eastAsia"/>
          <w:bCs w:val="0"/>
          <w:sz w:val="24"/>
          <w:highlight w:val="none"/>
        </w:rPr>
        <w:t>22．开标</w:t>
      </w:r>
      <w:bookmarkEnd w:id="87"/>
      <w:bookmarkEnd w:id="88"/>
      <w:bookmarkEnd w:id="89"/>
      <w:bookmarkEnd w:id="90"/>
    </w:p>
    <w:p>
      <w:pPr>
        <w:spacing w:before="120" w:line="500" w:lineRule="exact"/>
        <w:ind w:firstLine="480" w:firstLineChars="200"/>
        <w:rPr>
          <w:sz w:val="24"/>
          <w:szCs w:val="22"/>
          <w:highlight w:val="none"/>
        </w:rPr>
      </w:pPr>
      <w:r>
        <w:rPr>
          <w:rFonts w:hint="eastAsia"/>
          <w:sz w:val="24"/>
          <w:szCs w:val="22"/>
          <w:highlight w:val="none"/>
        </w:rPr>
        <w:t>22.1采购代理机构在招标文件规定的时间和地点组织公开开标，采购人、投标人法定代表或代理人参加并签到以证明其出席。开标由采购代理机构主持，采购人、投标人代表参加。评标专家不参加开标活动。</w:t>
      </w:r>
    </w:p>
    <w:p>
      <w:pPr>
        <w:spacing w:before="120" w:line="500" w:lineRule="exact"/>
        <w:ind w:firstLine="480" w:firstLineChars="200"/>
        <w:rPr>
          <w:sz w:val="24"/>
          <w:szCs w:val="22"/>
          <w:highlight w:val="none"/>
        </w:rPr>
      </w:pPr>
      <w:r>
        <w:rPr>
          <w:rFonts w:hint="eastAsia"/>
          <w:sz w:val="24"/>
          <w:szCs w:val="22"/>
          <w:highlight w:val="none"/>
        </w:rPr>
        <w:t>22.2采购人或者采购代理机构收到投标文件后，应当如实记载投标文件的送达时间和密封情况。任何单位和个人不得在开标前开启投标文件。</w:t>
      </w:r>
    </w:p>
    <w:p>
      <w:pPr>
        <w:spacing w:before="120" w:line="500" w:lineRule="exact"/>
        <w:ind w:firstLine="480" w:firstLineChars="200"/>
        <w:rPr>
          <w:sz w:val="24"/>
          <w:szCs w:val="22"/>
          <w:highlight w:val="none"/>
        </w:rPr>
      </w:pPr>
      <w:r>
        <w:rPr>
          <w:rFonts w:hint="eastAsia"/>
          <w:sz w:val="24"/>
          <w:szCs w:val="22"/>
          <w:highlight w:val="none"/>
        </w:rPr>
        <w:t>22.3开标时，采购代理机构可以邀请有关人员参加。</w:t>
      </w:r>
    </w:p>
    <w:p>
      <w:pPr>
        <w:spacing w:before="120" w:line="500" w:lineRule="exact"/>
        <w:ind w:firstLine="480" w:firstLineChars="200"/>
        <w:rPr>
          <w:sz w:val="24"/>
          <w:szCs w:val="22"/>
          <w:highlight w:val="none"/>
        </w:rPr>
      </w:pPr>
      <w:r>
        <w:rPr>
          <w:rFonts w:hint="eastAsia"/>
          <w:sz w:val="24"/>
          <w:szCs w:val="22"/>
          <w:highlight w:val="none"/>
        </w:rPr>
        <w:t>22.4开标时，由投标人代表自行检查其自己递交的投标文件的密封情况，经确认无误后，由工作人员将投标人单独递交的“开标一览表”当众拆封，并由唱标人员按照招标文件规定的内容进行宣读，并加以记录。</w:t>
      </w:r>
    </w:p>
    <w:p>
      <w:pPr>
        <w:spacing w:before="120" w:line="500" w:lineRule="exact"/>
        <w:ind w:firstLine="480" w:firstLineChars="200"/>
        <w:rPr>
          <w:sz w:val="24"/>
          <w:szCs w:val="22"/>
          <w:highlight w:val="none"/>
        </w:rPr>
      </w:pPr>
      <w:r>
        <w:rPr>
          <w:rFonts w:hint="eastAsia"/>
          <w:sz w:val="24"/>
          <w:szCs w:val="22"/>
          <w:highlight w:val="none"/>
        </w:rPr>
        <w:t>22.5开标时，投标人代表确认投标文件情况，仅限于确认其自己递交的投标文件的密封情况，不得对其他投标人的投标文件的密封情况进行确认。</w:t>
      </w:r>
    </w:p>
    <w:p>
      <w:pPr>
        <w:spacing w:before="120" w:line="500" w:lineRule="exact"/>
        <w:ind w:firstLine="480" w:firstLineChars="200"/>
        <w:rPr>
          <w:sz w:val="24"/>
          <w:szCs w:val="22"/>
          <w:highlight w:val="none"/>
        </w:rPr>
      </w:pPr>
      <w:r>
        <w:rPr>
          <w:rFonts w:hint="eastAsia"/>
          <w:sz w:val="24"/>
          <w:szCs w:val="22"/>
          <w:highlight w:val="none"/>
        </w:rPr>
        <w:t>22.6开标时，投标文件报价出现前后不一致的，除招标文件另有规定外，按照下列规定修正：</w:t>
      </w:r>
    </w:p>
    <w:p>
      <w:pPr>
        <w:spacing w:before="120" w:line="500" w:lineRule="exact"/>
        <w:ind w:firstLine="480" w:firstLineChars="200"/>
        <w:rPr>
          <w:sz w:val="24"/>
          <w:szCs w:val="22"/>
          <w:highlight w:val="none"/>
        </w:rPr>
      </w:pPr>
      <w:r>
        <w:rPr>
          <w:rFonts w:hint="eastAsia"/>
          <w:sz w:val="24"/>
          <w:szCs w:val="22"/>
          <w:highlight w:val="none"/>
        </w:rPr>
        <w:t>（1）投标文件中开标一览表（报价表）内容与投标文件中相应内容不一致的，以开标一览表（报价表）为准；</w:t>
      </w:r>
    </w:p>
    <w:p>
      <w:pPr>
        <w:spacing w:before="120" w:line="500" w:lineRule="exact"/>
        <w:ind w:firstLine="480" w:firstLineChars="200"/>
        <w:rPr>
          <w:sz w:val="24"/>
          <w:szCs w:val="22"/>
          <w:highlight w:val="none"/>
        </w:rPr>
      </w:pPr>
      <w:r>
        <w:rPr>
          <w:rFonts w:hint="eastAsia"/>
          <w:sz w:val="24"/>
          <w:szCs w:val="22"/>
          <w:highlight w:val="none"/>
        </w:rPr>
        <w:t>（2）大写金额和小写金额不一致的，以大写金额为准；</w:t>
      </w:r>
    </w:p>
    <w:p>
      <w:pPr>
        <w:spacing w:before="120" w:line="500" w:lineRule="exact"/>
        <w:ind w:firstLine="480" w:firstLineChars="200"/>
        <w:rPr>
          <w:sz w:val="24"/>
          <w:szCs w:val="22"/>
          <w:highlight w:val="none"/>
        </w:rPr>
      </w:pPr>
      <w:r>
        <w:rPr>
          <w:rFonts w:hint="eastAsia"/>
          <w:sz w:val="24"/>
          <w:szCs w:val="22"/>
          <w:highlight w:val="none"/>
        </w:rPr>
        <w:t>（3）单价金额小数点或者百分比有明显错位的，以开标一览表的总价为准，并修改单价；</w:t>
      </w:r>
    </w:p>
    <w:p>
      <w:pPr>
        <w:spacing w:before="120" w:line="500" w:lineRule="exact"/>
        <w:ind w:firstLine="480" w:firstLineChars="200"/>
        <w:rPr>
          <w:sz w:val="24"/>
          <w:szCs w:val="22"/>
          <w:highlight w:val="none"/>
        </w:rPr>
      </w:pPr>
      <w:r>
        <w:rPr>
          <w:rFonts w:hint="eastAsia"/>
          <w:sz w:val="24"/>
          <w:szCs w:val="22"/>
          <w:highlight w:val="none"/>
        </w:rPr>
        <w:t>（4）总价金额与按单价汇总金额不一致的，以单价金额计算结果为准。</w:t>
      </w:r>
    </w:p>
    <w:p>
      <w:pPr>
        <w:spacing w:before="120" w:line="500" w:lineRule="exact"/>
        <w:ind w:firstLine="480" w:firstLineChars="200"/>
        <w:rPr>
          <w:sz w:val="24"/>
          <w:szCs w:val="22"/>
          <w:highlight w:val="none"/>
        </w:rPr>
      </w:pPr>
      <w:r>
        <w:rPr>
          <w:rFonts w:hint="eastAsia"/>
          <w:sz w:val="24"/>
          <w:szCs w:val="22"/>
          <w:highlight w:val="none"/>
        </w:rPr>
        <w:t>同时出现两种以上不一致的，按照前款规定的顺序修正。修正后的报价按照《政府采购货物和服务招标投标管理办法》（中华人民共和国财政部令第87号）第五十一条第二款的规定经投标人确认后产生约束力，投标人不确认的，其投标无效。</w:t>
      </w:r>
    </w:p>
    <w:p>
      <w:pPr>
        <w:spacing w:before="120" w:line="500" w:lineRule="exact"/>
        <w:ind w:firstLine="480" w:firstLineChars="200"/>
        <w:rPr>
          <w:sz w:val="24"/>
          <w:szCs w:val="22"/>
          <w:highlight w:val="none"/>
        </w:rPr>
      </w:pPr>
      <w:r>
        <w:rPr>
          <w:rFonts w:hint="eastAsia"/>
          <w:sz w:val="24"/>
          <w:szCs w:val="22"/>
          <w:highlight w:val="none"/>
        </w:rPr>
        <w:t>22.7投标文件中相关内容与“开标一览表”不一致的，以“开标一览表”为准。对不同文字文本投标文件的解释发生异议的，以中文文本为准。</w:t>
      </w:r>
    </w:p>
    <w:p>
      <w:pPr>
        <w:spacing w:before="120" w:line="500" w:lineRule="exact"/>
        <w:ind w:firstLine="480" w:firstLineChars="200"/>
        <w:rPr>
          <w:sz w:val="24"/>
          <w:szCs w:val="22"/>
          <w:highlight w:val="none"/>
        </w:rPr>
      </w:pPr>
      <w:r>
        <w:rPr>
          <w:rFonts w:hint="eastAsia"/>
          <w:sz w:val="24"/>
          <w:szCs w:val="22"/>
          <w:highlight w:val="none"/>
        </w:rPr>
        <w:t>22.8所有投标唱标完毕，如投标人代表对宣读的“开标一览表”上的内容有异议的，应在获得开标会主持人同意后当场提出。如确实属于唱标人员宣读错了的，经现场监督人员核实后，当场予以更正。</w:t>
      </w:r>
    </w:p>
    <w:p>
      <w:pPr>
        <w:spacing w:before="120" w:line="500" w:lineRule="exact"/>
        <w:ind w:firstLine="480" w:firstLineChars="200"/>
        <w:rPr>
          <w:sz w:val="24"/>
          <w:szCs w:val="22"/>
          <w:highlight w:val="none"/>
        </w:rPr>
      </w:pPr>
      <w:r>
        <w:rPr>
          <w:rFonts w:hint="eastAsia"/>
          <w:sz w:val="24"/>
          <w:szCs w:val="22"/>
          <w:highlight w:val="none"/>
        </w:rPr>
        <w:t>22.9投标人代表对开标过程和开标记录有疑义，以及认为采购人、采购代理机构相关工作人员有需要回避的情形的，应当场提出询问或者回避申请。采购人、采购代理机构对投标人代表提出的询问或者回避申请应当及时处理。投标人未当场提出的，开标后质疑采购人或者采购代理机构不予受理。</w:t>
      </w:r>
    </w:p>
    <w:p>
      <w:pPr>
        <w:spacing w:before="120" w:line="500" w:lineRule="exact"/>
        <w:ind w:firstLine="480" w:firstLineChars="200"/>
        <w:rPr>
          <w:sz w:val="24"/>
          <w:szCs w:val="22"/>
          <w:highlight w:val="none"/>
        </w:rPr>
      </w:pPr>
      <w:r>
        <w:rPr>
          <w:rFonts w:hint="eastAsia"/>
          <w:sz w:val="24"/>
          <w:szCs w:val="22"/>
          <w:highlight w:val="none"/>
        </w:rPr>
        <w:t>22.10无论何种原因，在开标时没有宣读的报价在评标时不予考虑，采购代理机构对此不承担任何责任。</w:t>
      </w:r>
    </w:p>
    <w:p>
      <w:pPr>
        <w:spacing w:before="120" w:line="500" w:lineRule="exact"/>
        <w:ind w:firstLine="480" w:firstLineChars="200"/>
        <w:rPr>
          <w:sz w:val="24"/>
          <w:szCs w:val="22"/>
          <w:highlight w:val="none"/>
        </w:rPr>
      </w:pPr>
      <w:r>
        <w:rPr>
          <w:rFonts w:hint="eastAsia"/>
          <w:sz w:val="24"/>
          <w:szCs w:val="22"/>
          <w:highlight w:val="none"/>
        </w:rPr>
        <w:t>22.11开标时出现下列情况之一的，采购代理机构将开标情况记录后，由评标委员会进行评审:</w:t>
      </w:r>
    </w:p>
    <w:p>
      <w:pPr>
        <w:spacing w:before="120" w:line="500" w:lineRule="exact"/>
        <w:ind w:firstLine="480" w:firstLineChars="200"/>
        <w:rPr>
          <w:sz w:val="24"/>
          <w:szCs w:val="22"/>
          <w:highlight w:val="none"/>
        </w:rPr>
      </w:pPr>
      <w:r>
        <w:rPr>
          <w:rFonts w:hint="eastAsia"/>
          <w:sz w:val="24"/>
          <w:szCs w:val="22"/>
          <w:highlight w:val="none"/>
        </w:rPr>
        <w:t>（1）单独提交的“开标一览表”未按格式要求签字或加盖印章的，或要求加盖公章的地方未加盖公章的，或提供复印件的；</w:t>
      </w:r>
    </w:p>
    <w:p>
      <w:pPr>
        <w:spacing w:before="120" w:line="500" w:lineRule="exact"/>
        <w:ind w:firstLine="480" w:firstLineChars="200"/>
        <w:rPr>
          <w:rFonts w:hAnsi="宋体"/>
          <w:sz w:val="24"/>
          <w:szCs w:val="22"/>
          <w:highlight w:val="none"/>
        </w:rPr>
      </w:pPr>
      <w:r>
        <w:rPr>
          <w:rFonts w:hint="eastAsia" w:hAnsi="宋体"/>
          <w:sz w:val="24"/>
          <w:szCs w:val="22"/>
          <w:highlight w:val="none"/>
        </w:rPr>
        <w:t>（2）没有提供用于开标的“开标一览表”的或“开标一览表”提交份数不足的。</w:t>
      </w:r>
    </w:p>
    <w:p>
      <w:pPr>
        <w:spacing w:before="120" w:line="500" w:lineRule="exact"/>
        <w:ind w:firstLine="480" w:firstLineChars="200"/>
        <w:rPr>
          <w:rFonts w:hAnsi="宋体"/>
          <w:sz w:val="24"/>
          <w:szCs w:val="22"/>
          <w:highlight w:val="none"/>
        </w:rPr>
      </w:pPr>
      <w:r>
        <w:rPr>
          <w:rFonts w:hint="eastAsia" w:hAnsi="宋体"/>
          <w:sz w:val="24"/>
          <w:szCs w:val="22"/>
          <w:highlight w:val="none"/>
        </w:rPr>
        <w:t>（3）“开标一览表”无报价的。</w:t>
      </w:r>
    </w:p>
    <w:p>
      <w:pPr>
        <w:pStyle w:val="5"/>
        <w:spacing w:line="500" w:lineRule="exact"/>
        <w:ind w:firstLine="482" w:firstLineChars="200"/>
        <w:rPr>
          <w:bCs w:val="0"/>
          <w:sz w:val="24"/>
          <w:szCs w:val="24"/>
          <w:highlight w:val="none"/>
        </w:rPr>
      </w:pPr>
      <w:bookmarkStart w:id="91" w:name="_Toc308164807"/>
      <w:bookmarkStart w:id="92" w:name="_Toc217446058"/>
      <w:r>
        <w:rPr>
          <w:rFonts w:hint="eastAsia"/>
          <w:bCs w:val="0"/>
          <w:sz w:val="24"/>
          <w:szCs w:val="24"/>
          <w:highlight w:val="none"/>
        </w:rPr>
        <w:t>23. 开标程序</w:t>
      </w:r>
      <w:bookmarkEnd w:id="91"/>
      <w:bookmarkEnd w:id="92"/>
    </w:p>
    <w:p>
      <w:pPr>
        <w:spacing w:line="500" w:lineRule="exact"/>
        <w:ind w:firstLine="480" w:firstLineChars="200"/>
        <w:rPr>
          <w:sz w:val="24"/>
          <w:highlight w:val="none"/>
        </w:rPr>
      </w:pPr>
      <w:r>
        <w:rPr>
          <w:rFonts w:hint="eastAsia"/>
          <w:sz w:val="24"/>
          <w:highlight w:val="none"/>
        </w:rPr>
        <w:t>23.1 开标会主持人按照招标文件规定的开标时间宣布开标，按照规定要求主持开标会。开标将按以下程序进行：</w:t>
      </w:r>
    </w:p>
    <w:p>
      <w:pPr>
        <w:spacing w:line="500" w:lineRule="exact"/>
        <w:ind w:firstLine="480" w:firstLineChars="200"/>
        <w:rPr>
          <w:sz w:val="24"/>
          <w:highlight w:val="none"/>
        </w:rPr>
      </w:pPr>
      <w:r>
        <w:rPr>
          <w:rFonts w:hint="eastAsia"/>
          <w:sz w:val="24"/>
          <w:highlight w:val="none"/>
        </w:rPr>
        <w:t>（1）宣布开标会开始。当众宣布参加开标会主持人、唱标人、会议记录人以及根据情况邀请的现场监督人等工作人员，根据“投标人签到表”宣布参加投标的投标人名单。</w:t>
      </w:r>
    </w:p>
    <w:p>
      <w:pPr>
        <w:spacing w:line="500" w:lineRule="exact"/>
        <w:ind w:firstLine="480" w:firstLineChars="200"/>
        <w:rPr>
          <w:sz w:val="24"/>
          <w:highlight w:val="none"/>
        </w:rPr>
      </w:pPr>
      <w:r>
        <w:rPr>
          <w:rFonts w:hint="eastAsia"/>
          <w:sz w:val="24"/>
          <w:highlight w:val="none"/>
        </w:rPr>
        <w:t>（2）根据投标人或者其推选的代表对投标文件密封的检查结果，当众宣布投标文件的密封情况。</w:t>
      </w:r>
    </w:p>
    <w:p>
      <w:pPr>
        <w:spacing w:line="500" w:lineRule="exact"/>
        <w:ind w:firstLine="480" w:firstLineChars="200"/>
        <w:rPr>
          <w:sz w:val="24"/>
          <w:highlight w:val="none"/>
        </w:rPr>
      </w:pPr>
      <w:r>
        <w:rPr>
          <w:rFonts w:hint="eastAsia"/>
          <w:sz w:val="24"/>
          <w:highlight w:val="none"/>
        </w:rPr>
        <w:t>（3）投标人不足3家的，不得开标。</w:t>
      </w:r>
    </w:p>
    <w:p>
      <w:pPr>
        <w:spacing w:line="500" w:lineRule="exact"/>
        <w:ind w:firstLine="480" w:firstLineChars="200"/>
        <w:rPr>
          <w:sz w:val="24"/>
          <w:highlight w:val="none"/>
        </w:rPr>
      </w:pPr>
      <w:r>
        <w:rPr>
          <w:rFonts w:hint="eastAsia"/>
          <w:sz w:val="24"/>
          <w:szCs w:val="22"/>
          <w:highlight w:val="none"/>
        </w:rPr>
        <w:t>（4）开标唱标。主持人宣布开标后，由现场工作人员按任意顺序对投标人的“开标一览表”当众进行拆封，由唱标人员宣读投标人名称、投标价格（价格折扣）称、投标报价，以及采购人认为合适的其他内容并加以记录。唱标时仅宣读投标报价，分项报价内容可以宣读或投影展示。唱标人员在唱标过程中，如遇有字迹不清楚或有明显错误的（未签字或加盖印章，未盖章，未报价除外），应即刻报告监督人员，经现场核实后，主持人立即请投标人代表现场进行澄清或确认，但不得实质性修改报价。唱标完毕后投标人代表需现场对开标记录进行签字确认，投标人代表对唱标内容有异议的，</w:t>
      </w:r>
      <w:r>
        <w:rPr>
          <w:rFonts w:hint="eastAsia"/>
          <w:sz w:val="24"/>
          <w:highlight w:val="none"/>
        </w:rPr>
        <w:t>可以当场提出，并要求会议记录人在开标记录中予以记录，或者另行提供书面异议资料，不签字又不提出异议的，视同认可唱标内容和结果，且不得干扰、阻挠开（唱）标、评标工作。</w:t>
      </w:r>
    </w:p>
    <w:p>
      <w:pPr>
        <w:spacing w:line="500" w:lineRule="exact"/>
        <w:ind w:firstLine="480" w:firstLineChars="200"/>
        <w:rPr>
          <w:sz w:val="24"/>
          <w:highlight w:val="none"/>
        </w:rPr>
      </w:pPr>
      <w:r>
        <w:rPr>
          <w:rFonts w:hint="eastAsia"/>
          <w:sz w:val="24"/>
          <w:highlight w:val="none"/>
        </w:rPr>
        <w:t>（5）宣布开标会结束。主持人宣布开标会结束。所有投标人代表应立即退场（招标文件要求有演示、介绍等的除外）。同时所有投标人应保持通讯设备的畅通，以方便在评标过程中评标委员会要求投标人对投标文件的必要澄清、说明和纠正。评标结果请投标人在四川政府采购网上查询。</w:t>
      </w:r>
    </w:p>
    <w:p>
      <w:pPr>
        <w:pStyle w:val="5"/>
        <w:spacing w:line="500" w:lineRule="exact"/>
        <w:ind w:firstLine="482" w:firstLineChars="200"/>
        <w:rPr>
          <w:bCs w:val="0"/>
          <w:sz w:val="24"/>
          <w:szCs w:val="24"/>
          <w:highlight w:val="none"/>
        </w:rPr>
      </w:pPr>
      <w:bookmarkStart w:id="93" w:name="_Toc183582238"/>
      <w:bookmarkStart w:id="94" w:name="_Toc183682375"/>
      <w:bookmarkStart w:id="95" w:name="_Toc217446063"/>
      <w:bookmarkStart w:id="96" w:name="_Toc308164809"/>
      <w:r>
        <w:rPr>
          <w:rFonts w:hint="eastAsia"/>
          <w:bCs w:val="0"/>
          <w:sz w:val="24"/>
          <w:szCs w:val="24"/>
          <w:highlight w:val="none"/>
        </w:rPr>
        <w:t>24．开评标过程存档</w:t>
      </w:r>
    </w:p>
    <w:p>
      <w:pPr>
        <w:spacing w:line="500" w:lineRule="exact"/>
        <w:ind w:firstLine="480" w:firstLineChars="200"/>
        <w:rPr>
          <w:sz w:val="24"/>
          <w:highlight w:val="none"/>
        </w:rPr>
      </w:pPr>
      <w:r>
        <w:rPr>
          <w:rFonts w:hint="eastAsia"/>
          <w:sz w:val="24"/>
          <w:highlight w:val="none"/>
        </w:rPr>
        <w:t>开标和评标过程进行全过程电子监控，并将电子监控资料存储介质留存归档。</w:t>
      </w:r>
    </w:p>
    <w:p>
      <w:pPr>
        <w:pStyle w:val="5"/>
        <w:spacing w:line="500" w:lineRule="exact"/>
        <w:ind w:firstLine="482" w:firstLineChars="200"/>
        <w:rPr>
          <w:sz w:val="24"/>
          <w:szCs w:val="22"/>
          <w:highlight w:val="none"/>
        </w:rPr>
      </w:pPr>
      <w:r>
        <w:rPr>
          <w:rFonts w:hint="eastAsia"/>
          <w:bCs w:val="0"/>
          <w:sz w:val="24"/>
          <w:szCs w:val="24"/>
          <w:highlight w:val="none"/>
        </w:rPr>
        <w:t>25.中标结果公告</w:t>
      </w:r>
    </w:p>
    <w:p>
      <w:pPr>
        <w:spacing w:line="500" w:lineRule="exact"/>
        <w:ind w:firstLine="480" w:firstLineChars="200"/>
        <w:rPr>
          <w:sz w:val="24"/>
          <w:szCs w:val="22"/>
          <w:highlight w:val="none"/>
        </w:rPr>
      </w:pPr>
      <w:r>
        <w:rPr>
          <w:rFonts w:hint="eastAsia"/>
          <w:sz w:val="24"/>
          <w:szCs w:val="22"/>
          <w:highlight w:val="none"/>
        </w:rPr>
        <w:t>25.1采购人或者采购代理机构应当自中标人确定之日起 2 个工作日内，在四川政府采购网上公告中标结果，招标文件应当随中标结果同时公告。</w:t>
      </w:r>
    </w:p>
    <w:p>
      <w:pPr>
        <w:spacing w:line="500" w:lineRule="exact"/>
        <w:ind w:firstLine="480" w:firstLineChars="200"/>
        <w:rPr>
          <w:sz w:val="24"/>
          <w:szCs w:val="22"/>
          <w:highlight w:val="none"/>
        </w:rPr>
      </w:pPr>
      <w:r>
        <w:rPr>
          <w:rFonts w:hint="eastAsia"/>
          <w:sz w:val="24"/>
          <w:szCs w:val="22"/>
          <w:highlight w:val="none"/>
        </w:rPr>
        <w:t>25.2中标结果公告内容应当包括采购人及其委托的采购代理机构的名称、地址、联系方式，项目名称和招标编号，中标人名称、地址和中标金额，主要中标标的的名称、规格型号、数量、单价，中标公告期限，评审专家名单以及所有投标人投标文件资格、符合性检查情况、采用综合评分法时的总得分和分项汇总得分情况、评标结果等。</w:t>
      </w:r>
    </w:p>
    <w:p>
      <w:pPr>
        <w:spacing w:line="500" w:lineRule="exact"/>
        <w:ind w:firstLine="480" w:firstLineChars="200"/>
        <w:rPr>
          <w:sz w:val="24"/>
          <w:szCs w:val="22"/>
          <w:highlight w:val="none"/>
        </w:rPr>
      </w:pPr>
      <w:r>
        <w:rPr>
          <w:rFonts w:hint="eastAsia"/>
          <w:sz w:val="24"/>
          <w:szCs w:val="22"/>
          <w:highlight w:val="none"/>
        </w:rPr>
        <w:t>25.3在公告中标结果的同时，采购人或者采购代理机构应当向中标人发出中标通知书；对未通过资格审查的投标人，应当告知其未通过的原因；采用综合评分法评审的，还应当告知未中标人本人的评审得分与排序。</w:t>
      </w:r>
    </w:p>
    <w:p>
      <w:pPr>
        <w:spacing w:line="500" w:lineRule="exact"/>
        <w:ind w:firstLine="480" w:firstLineChars="200"/>
        <w:rPr>
          <w:highlight w:val="none"/>
        </w:rPr>
      </w:pPr>
      <w:r>
        <w:rPr>
          <w:rFonts w:hint="eastAsia"/>
          <w:sz w:val="24"/>
          <w:szCs w:val="22"/>
          <w:highlight w:val="none"/>
        </w:rPr>
        <w:t>25.4中标公告期限自发布公告之日起1个工作日。</w:t>
      </w:r>
    </w:p>
    <w:p>
      <w:pPr>
        <w:pStyle w:val="5"/>
        <w:spacing w:line="500" w:lineRule="exact"/>
        <w:ind w:firstLine="482" w:firstLineChars="200"/>
        <w:rPr>
          <w:bCs w:val="0"/>
          <w:sz w:val="24"/>
          <w:szCs w:val="24"/>
          <w:highlight w:val="none"/>
        </w:rPr>
      </w:pPr>
      <w:r>
        <w:rPr>
          <w:rFonts w:hint="eastAsia"/>
          <w:bCs w:val="0"/>
          <w:sz w:val="24"/>
          <w:szCs w:val="24"/>
          <w:highlight w:val="none"/>
        </w:rPr>
        <w:t>26.中标通知</w:t>
      </w:r>
      <w:bookmarkEnd w:id="93"/>
      <w:bookmarkEnd w:id="94"/>
      <w:r>
        <w:rPr>
          <w:rFonts w:hint="eastAsia"/>
          <w:bCs w:val="0"/>
          <w:sz w:val="24"/>
          <w:szCs w:val="24"/>
          <w:highlight w:val="none"/>
        </w:rPr>
        <w:t>书</w:t>
      </w:r>
      <w:bookmarkEnd w:id="95"/>
      <w:bookmarkEnd w:id="96"/>
    </w:p>
    <w:p>
      <w:pPr>
        <w:spacing w:line="500" w:lineRule="exact"/>
        <w:ind w:firstLine="480" w:firstLineChars="200"/>
        <w:rPr>
          <w:sz w:val="24"/>
          <w:highlight w:val="none"/>
        </w:rPr>
      </w:pPr>
      <w:r>
        <w:rPr>
          <w:rFonts w:hint="eastAsia"/>
          <w:sz w:val="24"/>
          <w:highlight w:val="none"/>
        </w:rPr>
        <w:t>26.1 中标通知书为签订政府采购合同的依据之一，是合同的有效组成部分。</w:t>
      </w:r>
    </w:p>
    <w:p>
      <w:pPr>
        <w:spacing w:line="500" w:lineRule="exact"/>
        <w:ind w:firstLine="480" w:firstLineChars="200"/>
        <w:rPr>
          <w:sz w:val="24"/>
          <w:szCs w:val="22"/>
          <w:highlight w:val="none"/>
        </w:rPr>
      </w:pPr>
      <w:r>
        <w:rPr>
          <w:rFonts w:hint="eastAsia"/>
          <w:sz w:val="24"/>
          <w:szCs w:val="22"/>
          <w:highlight w:val="none"/>
        </w:rPr>
        <w:t>26.2 投标人中标后，拒绝领取中标通知书的，招标采购单位采购代理机构将采取邮寄、快递方式按照投标人投标文件中的地址发出中标通知书，同时，中标通知书邮寄、快递发出之日起即视中标人已领取中标通知书。</w:t>
      </w:r>
    </w:p>
    <w:p>
      <w:pPr>
        <w:spacing w:line="500" w:lineRule="exact"/>
        <w:ind w:firstLine="480" w:firstLineChars="200"/>
        <w:rPr>
          <w:sz w:val="24"/>
          <w:highlight w:val="none"/>
        </w:rPr>
      </w:pPr>
      <w:r>
        <w:rPr>
          <w:rFonts w:hint="eastAsia"/>
          <w:sz w:val="24"/>
          <w:szCs w:val="22"/>
          <w:highlight w:val="none"/>
        </w:rPr>
        <w:t>26.3 中标通知书发出后，采购人不得违法改变中标结果，中标人无正当理由不得放弃</w:t>
      </w:r>
      <w:r>
        <w:rPr>
          <w:rFonts w:hAnsi="宋体" w:cs="宋体"/>
          <w:sz w:val="24"/>
          <w:highlight w:val="none"/>
        </w:rPr>
        <w:t>中标。</w:t>
      </w:r>
    </w:p>
    <w:p>
      <w:pPr>
        <w:tabs>
          <w:tab w:val="left" w:pos="7665"/>
        </w:tabs>
        <w:spacing w:line="500" w:lineRule="exact"/>
        <w:ind w:firstLine="480"/>
        <w:rPr>
          <w:sz w:val="24"/>
          <w:highlight w:val="none"/>
        </w:rPr>
      </w:pPr>
      <w:r>
        <w:rPr>
          <w:rFonts w:hint="eastAsia"/>
          <w:sz w:val="24"/>
          <w:highlight w:val="none"/>
        </w:rPr>
        <w:t>26.4中标通知书对采购人和中标人均具有法律效力。中标通知书发出后，采购人改变中标结果，或者中标人无正当理由放弃中标的，应当承担相应的法律责任。</w:t>
      </w:r>
    </w:p>
    <w:p>
      <w:pPr>
        <w:tabs>
          <w:tab w:val="left" w:pos="7665"/>
        </w:tabs>
        <w:spacing w:line="500" w:lineRule="exact"/>
        <w:ind w:firstLine="480"/>
        <w:rPr>
          <w:sz w:val="24"/>
          <w:highlight w:val="none"/>
        </w:rPr>
      </w:pPr>
      <w:r>
        <w:rPr>
          <w:rFonts w:hint="eastAsia"/>
          <w:sz w:val="24"/>
          <w:highlight w:val="none"/>
        </w:rPr>
        <w:t>26.5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pPr>
        <w:pStyle w:val="10"/>
        <w:spacing w:line="500" w:lineRule="exact"/>
        <w:rPr>
          <w:sz w:val="24"/>
          <w:highlight w:val="none"/>
        </w:rPr>
      </w:pPr>
      <w:r>
        <w:rPr>
          <w:rFonts w:hint="eastAsia"/>
          <w:sz w:val="24"/>
          <w:highlight w:val="none"/>
        </w:rPr>
        <w:t xml:space="preserve">    26.5中标公告发出后，中标投标人自行领取中标通知书的，可凭有效身份证明证件到采购代理机构办理。（详见须知附表中联系方式）</w:t>
      </w:r>
    </w:p>
    <w:p>
      <w:pPr>
        <w:pStyle w:val="4"/>
        <w:spacing w:line="500" w:lineRule="exact"/>
        <w:jc w:val="center"/>
        <w:rPr>
          <w:rFonts w:ascii="黑体"/>
          <w:szCs w:val="28"/>
          <w:highlight w:val="none"/>
        </w:rPr>
      </w:pPr>
      <w:bookmarkStart w:id="97" w:name="_Toc308164810"/>
      <w:bookmarkStart w:id="98" w:name="_Toc217446064"/>
      <w:bookmarkStart w:id="99" w:name="_Toc183582240"/>
      <w:bookmarkStart w:id="100" w:name="_Toc183682377"/>
      <w:r>
        <w:rPr>
          <w:rFonts w:hint="eastAsia" w:ascii="黑体"/>
          <w:szCs w:val="28"/>
          <w:highlight w:val="none"/>
        </w:rPr>
        <w:t>六、签订及履行合同和验收</w:t>
      </w:r>
      <w:bookmarkEnd w:id="97"/>
      <w:bookmarkEnd w:id="98"/>
    </w:p>
    <w:p>
      <w:pPr>
        <w:pStyle w:val="5"/>
        <w:spacing w:line="500" w:lineRule="exact"/>
        <w:ind w:firstLine="482" w:firstLineChars="200"/>
        <w:rPr>
          <w:b w:val="0"/>
          <w:sz w:val="24"/>
          <w:szCs w:val="24"/>
          <w:highlight w:val="none"/>
        </w:rPr>
      </w:pPr>
      <w:bookmarkStart w:id="101" w:name="_Toc217446065"/>
      <w:bookmarkStart w:id="102" w:name="_Toc308164811"/>
      <w:r>
        <w:rPr>
          <w:rFonts w:hint="eastAsia"/>
          <w:sz w:val="24"/>
          <w:highlight w:val="none"/>
        </w:rPr>
        <w:t>27.</w:t>
      </w:r>
      <w:r>
        <w:rPr>
          <w:rFonts w:hint="eastAsia"/>
          <w:sz w:val="24"/>
          <w:szCs w:val="24"/>
          <w:highlight w:val="none"/>
        </w:rPr>
        <w:t>签订合同</w:t>
      </w:r>
      <w:bookmarkEnd w:id="101"/>
      <w:bookmarkEnd w:id="102"/>
    </w:p>
    <w:p>
      <w:pPr>
        <w:spacing w:line="500" w:lineRule="exact"/>
        <w:ind w:firstLine="420" w:firstLineChars="175"/>
        <w:rPr>
          <w:sz w:val="24"/>
          <w:highlight w:val="none"/>
        </w:rPr>
      </w:pPr>
      <w:r>
        <w:rPr>
          <w:rFonts w:hint="eastAsia"/>
          <w:sz w:val="24"/>
          <w:szCs w:val="22"/>
          <w:highlight w:val="none"/>
        </w:rPr>
        <w:t>27.1 中标人应在中标通知书发出之日起三十日内与采购人签订采购合同。按照招标文件和中标人投标文件的规定，与中标人签订书面合同。所签订的合同不得对招标文件确定的事项和中标人投标文件作实质性修改。</w:t>
      </w:r>
      <w:r>
        <w:rPr>
          <w:rFonts w:hint="eastAsia"/>
          <w:sz w:val="24"/>
          <w:highlight w:val="none"/>
        </w:rPr>
        <w:t>由于中标人的原因逾期未与采购人签订采购合同的，将视为放弃中标，取消其中标资格并将按相关规定进行处理。</w:t>
      </w:r>
    </w:p>
    <w:p>
      <w:pPr>
        <w:spacing w:line="500" w:lineRule="exact"/>
        <w:ind w:firstLine="420" w:firstLineChars="175"/>
        <w:rPr>
          <w:sz w:val="24"/>
          <w:highlight w:val="none"/>
        </w:rPr>
      </w:pPr>
      <w:r>
        <w:rPr>
          <w:rFonts w:hint="eastAsia"/>
          <w:sz w:val="24"/>
          <w:highlight w:val="none"/>
        </w:rPr>
        <w:t>27.2 采购人不得向中标人提出任何不合理的要求，作为签订合同的条件，不得与中标人私下订立背离合同实质性内容的任何协议，所签订的合同不得对招标文件和中标人投标文件确定的事项进行修改。</w:t>
      </w:r>
    </w:p>
    <w:p>
      <w:pPr>
        <w:spacing w:line="500" w:lineRule="exact"/>
        <w:ind w:firstLine="420" w:firstLineChars="175"/>
        <w:rPr>
          <w:sz w:val="24"/>
          <w:szCs w:val="22"/>
          <w:highlight w:val="none"/>
        </w:rPr>
      </w:pPr>
      <w:r>
        <w:rPr>
          <w:rFonts w:hint="eastAsia"/>
          <w:sz w:val="24"/>
          <w:szCs w:val="22"/>
          <w:highlight w:val="none"/>
        </w:rPr>
        <w:t>27.3政府采购合同应当包括采购人与中标人的名称和住所、标的、数量、质量、价款或者报酬、履行期限及地点和方式、验收要求、违约责任、解决争议的方法等内容。</w:t>
      </w:r>
    </w:p>
    <w:p>
      <w:pPr>
        <w:spacing w:line="500" w:lineRule="exact"/>
        <w:ind w:firstLine="420" w:firstLineChars="175"/>
        <w:rPr>
          <w:sz w:val="24"/>
          <w:szCs w:val="22"/>
          <w:highlight w:val="none"/>
        </w:rPr>
      </w:pPr>
      <w:r>
        <w:rPr>
          <w:rFonts w:hint="eastAsia"/>
          <w:sz w:val="24"/>
          <w:szCs w:val="22"/>
          <w:highlight w:val="none"/>
        </w:rPr>
        <w:t>27.4</w:t>
      </w:r>
      <w:r>
        <w:rPr>
          <w:rFonts w:hint="eastAsia"/>
          <w:sz w:val="24"/>
          <w:highlight w:val="none"/>
        </w:rPr>
        <w:t>中标人因不可抗力原因不能履行采购合同或放弃中标的，采购人可以与排在中标人之后第一</w:t>
      </w:r>
      <w:r>
        <w:rPr>
          <w:rFonts w:hint="eastAsia"/>
          <w:sz w:val="24"/>
          <w:szCs w:val="22"/>
          <w:highlight w:val="none"/>
        </w:rPr>
        <w:t>位的中标候选人签订采购合同，以此类推。</w:t>
      </w:r>
    </w:p>
    <w:p>
      <w:pPr>
        <w:spacing w:line="500" w:lineRule="exact"/>
        <w:ind w:firstLine="420" w:firstLineChars="175"/>
        <w:rPr>
          <w:sz w:val="24"/>
          <w:highlight w:val="none"/>
        </w:rPr>
      </w:pPr>
      <w:r>
        <w:rPr>
          <w:rFonts w:hint="eastAsia"/>
          <w:sz w:val="24"/>
          <w:szCs w:val="22"/>
          <w:highlight w:val="none"/>
        </w:rPr>
        <w:t>27</w:t>
      </w:r>
      <w:r>
        <w:rPr>
          <w:rFonts w:hint="eastAsia"/>
          <w:sz w:val="24"/>
          <w:highlight w:val="none"/>
        </w:rPr>
        <w:t>.5 中标人在合同签订之后</w:t>
      </w:r>
      <w:r>
        <w:rPr>
          <w:rFonts w:hint="eastAsia"/>
          <w:b/>
          <w:bCs/>
          <w:sz w:val="24"/>
          <w:highlight w:val="none"/>
        </w:rPr>
        <w:t>3</w:t>
      </w:r>
      <w:r>
        <w:rPr>
          <w:rFonts w:hint="eastAsia"/>
          <w:sz w:val="24"/>
          <w:highlight w:val="none"/>
        </w:rPr>
        <w:t>个工作日内，将签订的合同（一式肆份）送采购代理机构进行合同编号。</w:t>
      </w:r>
      <w:r>
        <w:rPr>
          <w:rFonts w:hint="eastAsia"/>
          <w:sz w:val="24"/>
          <w:highlight w:val="none"/>
          <w:lang w:val="zh-CN"/>
        </w:rPr>
        <w:t>联系人：樊女士。联系电话：</w:t>
      </w:r>
      <w:r>
        <w:rPr>
          <w:rStyle w:val="32"/>
          <w:rFonts w:hint="eastAsia" w:asciiTheme="minorEastAsia" w:hAnsiTheme="minorEastAsia" w:eastAsiaTheme="minorEastAsia" w:cstheme="minorEastAsia"/>
          <w:color w:val="auto"/>
          <w:sz w:val="24"/>
          <w:szCs w:val="24"/>
          <w:highlight w:val="none"/>
          <w:u w:val="none"/>
        </w:rPr>
        <w:t>18180671505</w:t>
      </w:r>
      <w:r>
        <w:rPr>
          <w:rFonts w:hint="eastAsia"/>
          <w:sz w:val="24"/>
          <w:highlight w:val="none"/>
          <w:lang w:val="zh-CN"/>
        </w:rPr>
        <w:t>。地址：</w:t>
      </w:r>
      <w:r>
        <w:rPr>
          <w:rFonts w:hint="eastAsia"/>
          <w:sz w:val="24"/>
          <w:highlight w:val="none"/>
        </w:rPr>
        <w:t>四川省成都市金牛区兴盛西路2号6栋B座13楼（郦湾国际酒店右侧）</w:t>
      </w:r>
      <w:r>
        <w:rPr>
          <w:rFonts w:hint="eastAsia"/>
          <w:sz w:val="24"/>
          <w:highlight w:val="none"/>
          <w:lang w:val="zh-CN"/>
        </w:rPr>
        <w:t>。</w:t>
      </w:r>
    </w:p>
    <w:p>
      <w:pPr>
        <w:pStyle w:val="5"/>
        <w:spacing w:line="500" w:lineRule="exact"/>
        <w:ind w:firstLine="482" w:firstLineChars="200"/>
        <w:rPr>
          <w:sz w:val="24"/>
          <w:szCs w:val="24"/>
          <w:highlight w:val="none"/>
        </w:rPr>
      </w:pPr>
      <w:r>
        <w:rPr>
          <w:rFonts w:hint="eastAsia"/>
          <w:sz w:val="24"/>
          <w:szCs w:val="24"/>
          <w:highlight w:val="none"/>
        </w:rPr>
        <w:t>28. 合同分包（实质性要求）</w:t>
      </w:r>
    </w:p>
    <w:p>
      <w:pPr>
        <w:rPr>
          <w:highlight w:val="none"/>
        </w:rPr>
      </w:pPr>
      <w:r>
        <w:rPr>
          <w:rFonts w:hint="eastAsia"/>
          <w:sz w:val="24"/>
          <w:szCs w:val="24"/>
          <w:highlight w:val="none"/>
        </w:rPr>
        <w:t xml:space="preserve">    本项目不允许合同分包。</w:t>
      </w:r>
    </w:p>
    <w:p>
      <w:pPr>
        <w:pStyle w:val="5"/>
        <w:spacing w:line="500" w:lineRule="exact"/>
        <w:ind w:firstLine="482" w:firstLineChars="200"/>
        <w:rPr>
          <w:sz w:val="24"/>
          <w:szCs w:val="24"/>
          <w:highlight w:val="none"/>
        </w:rPr>
      </w:pPr>
      <w:r>
        <w:rPr>
          <w:rFonts w:hint="eastAsia"/>
          <w:sz w:val="24"/>
          <w:szCs w:val="24"/>
          <w:highlight w:val="none"/>
        </w:rPr>
        <w:t>29.合同转包（实质性要求）</w:t>
      </w:r>
    </w:p>
    <w:p>
      <w:pPr>
        <w:spacing w:line="500" w:lineRule="exact"/>
        <w:ind w:firstLine="540" w:firstLineChars="225"/>
        <w:rPr>
          <w:sz w:val="24"/>
          <w:highlight w:val="none"/>
        </w:rPr>
      </w:pPr>
      <w:r>
        <w:rPr>
          <w:rFonts w:hint="eastAsia"/>
          <w:sz w:val="24"/>
          <w:highlight w:val="none"/>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pPr>
        <w:spacing w:line="500" w:lineRule="exact"/>
        <w:ind w:firstLine="540" w:firstLineChars="225"/>
        <w:rPr>
          <w:sz w:val="24"/>
          <w:highlight w:val="none"/>
        </w:rPr>
      </w:pPr>
      <w:r>
        <w:rPr>
          <w:rFonts w:hint="eastAsia"/>
          <w:sz w:val="24"/>
          <w:highlight w:val="none"/>
        </w:rPr>
        <w:t>中标人转包的，视同拒绝履行政府采购合同义务，将依法追究法律责任。</w:t>
      </w:r>
    </w:p>
    <w:p>
      <w:pPr>
        <w:pStyle w:val="5"/>
        <w:spacing w:line="500" w:lineRule="exact"/>
        <w:ind w:firstLine="482" w:firstLineChars="200"/>
        <w:rPr>
          <w:sz w:val="24"/>
          <w:szCs w:val="24"/>
          <w:highlight w:val="none"/>
        </w:rPr>
      </w:pPr>
      <w:bookmarkStart w:id="103" w:name="_Toc217446066"/>
      <w:r>
        <w:rPr>
          <w:rFonts w:hint="eastAsia"/>
          <w:sz w:val="24"/>
          <w:szCs w:val="24"/>
          <w:highlight w:val="none"/>
        </w:rPr>
        <w:t>30.</w:t>
      </w:r>
      <w:bookmarkEnd w:id="103"/>
      <w:r>
        <w:rPr>
          <w:rFonts w:hAnsi="宋体" w:cs="宋体"/>
          <w:sz w:val="24"/>
          <w:highlight w:val="none"/>
        </w:rPr>
        <w:t>采购人增加合同标的权利</w:t>
      </w:r>
    </w:p>
    <w:p>
      <w:pPr>
        <w:spacing w:line="500" w:lineRule="exact"/>
        <w:ind w:firstLine="480" w:firstLineChars="200"/>
        <w:rPr>
          <w:sz w:val="24"/>
          <w:highlight w:val="none"/>
        </w:rPr>
      </w:pPr>
      <w:r>
        <w:rPr>
          <w:rFonts w:hint="eastAsia"/>
          <w:sz w:val="24"/>
          <w:highlight w:val="none"/>
        </w:rPr>
        <w:t xml:space="preserve">采购合同履行过程中，采购人需要追加与合同标的相同的货物或者服务的，在不改变合同其他条款的前提下，可以与中标投标人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pPr>
        <w:pStyle w:val="5"/>
        <w:spacing w:line="500" w:lineRule="exact"/>
        <w:ind w:firstLine="482" w:firstLineChars="200"/>
        <w:rPr>
          <w:sz w:val="24"/>
          <w:szCs w:val="24"/>
          <w:highlight w:val="none"/>
        </w:rPr>
      </w:pPr>
      <w:bookmarkStart w:id="104" w:name="_Toc308164813"/>
      <w:bookmarkStart w:id="105" w:name="_Toc217446069"/>
      <w:r>
        <w:rPr>
          <w:rFonts w:hint="eastAsia"/>
          <w:sz w:val="24"/>
          <w:szCs w:val="24"/>
          <w:highlight w:val="none"/>
        </w:rPr>
        <w:t>31.合同公告</w:t>
      </w:r>
    </w:p>
    <w:p>
      <w:pPr>
        <w:spacing w:line="500" w:lineRule="exact"/>
        <w:ind w:firstLine="480" w:firstLineChars="200"/>
        <w:rPr>
          <w:sz w:val="24"/>
          <w:highlight w:val="none"/>
        </w:rPr>
      </w:pPr>
      <w:r>
        <w:rPr>
          <w:rFonts w:hint="eastAsia"/>
          <w:sz w:val="24"/>
          <w:highlight w:val="none"/>
        </w:rPr>
        <w:t>采购人应当自政府采购合同签订（双方当事人均已签字盖章）之日起2个工作日内，将政府采购合同在省级以上人民政府财政部门指定的媒体上公告（四川政府采购网），但政府采购合同中涉及国家秘密、商业秘密的内容除外。</w:t>
      </w:r>
    </w:p>
    <w:p>
      <w:pPr>
        <w:pStyle w:val="5"/>
        <w:spacing w:line="500" w:lineRule="exact"/>
        <w:ind w:firstLine="482" w:firstLineChars="200"/>
        <w:rPr>
          <w:sz w:val="24"/>
          <w:szCs w:val="24"/>
          <w:highlight w:val="none"/>
        </w:rPr>
      </w:pPr>
      <w:r>
        <w:rPr>
          <w:rFonts w:hint="eastAsia"/>
          <w:sz w:val="24"/>
          <w:szCs w:val="24"/>
          <w:highlight w:val="none"/>
        </w:rPr>
        <w:t>32.合同备案</w:t>
      </w:r>
    </w:p>
    <w:p>
      <w:pPr>
        <w:spacing w:line="500" w:lineRule="exact"/>
        <w:ind w:firstLine="480" w:firstLineChars="200"/>
        <w:rPr>
          <w:sz w:val="24"/>
          <w:highlight w:val="none"/>
        </w:rPr>
      </w:pPr>
      <w:r>
        <w:rPr>
          <w:rFonts w:hint="eastAsia"/>
          <w:sz w:val="24"/>
          <w:highlight w:val="none"/>
        </w:rPr>
        <w:t>采购人应当将政府采购合同副本自签订（双方当事人均已签字盖章）之日起七个工作日内通过四川政府采购网报同级财政备案。</w:t>
      </w:r>
    </w:p>
    <w:p>
      <w:pPr>
        <w:pStyle w:val="5"/>
        <w:spacing w:line="500" w:lineRule="exact"/>
        <w:ind w:firstLine="482" w:firstLineChars="200"/>
        <w:rPr>
          <w:b w:val="0"/>
          <w:sz w:val="24"/>
          <w:szCs w:val="24"/>
          <w:highlight w:val="none"/>
        </w:rPr>
      </w:pPr>
      <w:r>
        <w:rPr>
          <w:rFonts w:hint="eastAsia"/>
          <w:sz w:val="24"/>
          <w:szCs w:val="24"/>
          <w:highlight w:val="none"/>
        </w:rPr>
        <w:t>33. 履行合同</w:t>
      </w:r>
      <w:bookmarkEnd w:id="104"/>
      <w:bookmarkEnd w:id="105"/>
    </w:p>
    <w:p>
      <w:pPr>
        <w:spacing w:line="500" w:lineRule="exact"/>
        <w:rPr>
          <w:sz w:val="24"/>
          <w:highlight w:val="none"/>
        </w:rPr>
      </w:pPr>
      <w:r>
        <w:rPr>
          <w:rFonts w:hint="eastAsia"/>
          <w:sz w:val="24"/>
          <w:highlight w:val="none"/>
        </w:rPr>
        <w:t xml:space="preserve">   33.1 中标人与采购人签订合同后，合同双方应严格执行合同条款，履行合同规定的义务，保证合同的顺利完成。</w:t>
      </w:r>
    </w:p>
    <w:p>
      <w:pPr>
        <w:spacing w:line="500" w:lineRule="exact"/>
        <w:rPr>
          <w:sz w:val="24"/>
          <w:highlight w:val="none"/>
        </w:rPr>
      </w:pPr>
      <w:r>
        <w:rPr>
          <w:rFonts w:hint="eastAsia"/>
          <w:sz w:val="24"/>
          <w:szCs w:val="22"/>
          <w:highlight w:val="none"/>
        </w:rPr>
        <w:t xml:space="preserve">   33.2 政府采购合同的履行、违约责任和解决争议的方法等适用《中华人民共和国民法典》。</w:t>
      </w:r>
    </w:p>
    <w:p>
      <w:pPr>
        <w:pStyle w:val="5"/>
        <w:spacing w:line="500" w:lineRule="exact"/>
        <w:ind w:firstLine="482" w:firstLineChars="200"/>
        <w:rPr>
          <w:b w:val="0"/>
          <w:sz w:val="24"/>
          <w:szCs w:val="24"/>
          <w:highlight w:val="none"/>
        </w:rPr>
      </w:pPr>
      <w:bookmarkStart w:id="106" w:name="_Toc308164814"/>
      <w:bookmarkStart w:id="107" w:name="_Toc217446070"/>
      <w:r>
        <w:rPr>
          <w:rFonts w:hint="eastAsia"/>
          <w:sz w:val="24"/>
          <w:szCs w:val="24"/>
          <w:highlight w:val="none"/>
        </w:rPr>
        <w:t>34. 验收</w:t>
      </w:r>
      <w:bookmarkEnd w:id="106"/>
      <w:bookmarkEnd w:id="107"/>
    </w:p>
    <w:p>
      <w:pPr>
        <w:spacing w:line="500" w:lineRule="exact"/>
        <w:ind w:firstLine="480" w:firstLineChars="200"/>
        <w:rPr>
          <w:sz w:val="24"/>
          <w:highlight w:val="none"/>
        </w:rPr>
      </w:pPr>
      <w:r>
        <w:rPr>
          <w:rFonts w:hint="eastAsia" w:hAnsi="宋体" w:cs="宋体"/>
          <w:sz w:val="24"/>
          <w:szCs w:val="24"/>
          <w:highlight w:val="none"/>
        </w:rPr>
        <w:t>严格按照《中华人民共和国政府采购法》《中华人民共和国政府采购法实施条例》和《财政部关于进一步加强政府采购需求和履约验收管理的指导意见》（财库〔2016〕205号）的要求进行验收</w:t>
      </w:r>
      <w:r>
        <w:rPr>
          <w:rFonts w:hint="eastAsia"/>
          <w:sz w:val="24"/>
          <w:highlight w:val="none"/>
        </w:rPr>
        <w:t>。</w:t>
      </w:r>
      <w:bookmarkStart w:id="108" w:name="_Toc217446071"/>
    </w:p>
    <w:p>
      <w:pPr>
        <w:pStyle w:val="5"/>
        <w:spacing w:line="500" w:lineRule="exact"/>
        <w:ind w:firstLine="482" w:firstLineChars="200"/>
        <w:rPr>
          <w:sz w:val="24"/>
          <w:szCs w:val="24"/>
          <w:highlight w:val="none"/>
        </w:rPr>
      </w:pPr>
      <w:bookmarkStart w:id="109" w:name="_Toc217446077"/>
      <w:bookmarkStart w:id="110" w:name="_Toc308164818"/>
      <w:r>
        <w:rPr>
          <w:rFonts w:hint="eastAsia"/>
          <w:sz w:val="24"/>
          <w:szCs w:val="24"/>
          <w:highlight w:val="none"/>
        </w:rPr>
        <w:t>35.资金支付</w:t>
      </w:r>
      <w:bookmarkEnd w:id="109"/>
      <w:bookmarkEnd w:id="110"/>
    </w:p>
    <w:p>
      <w:pPr>
        <w:spacing w:line="360" w:lineRule="auto"/>
        <w:ind w:firstLine="480"/>
        <w:rPr>
          <w:sz w:val="24"/>
          <w:szCs w:val="22"/>
          <w:highlight w:val="none"/>
        </w:rPr>
      </w:pPr>
      <w:r>
        <w:rPr>
          <w:rFonts w:hint="eastAsia"/>
          <w:sz w:val="24"/>
          <w:szCs w:val="22"/>
          <w:highlight w:val="none"/>
        </w:rPr>
        <w:t>采购人将按照政府采购合同规定，及时向中标人支付采购资金。本项目采购资金付款详见第六章商务要求中付款方式。</w:t>
      </w:r>
    </w:p>
    <w:bookmarkEnd w:id="99"/>
    <w:bookmarkEnd w:id="100"/>
    <w:bookmarkEnd w:id="108"/>
    <w:p>
      <w:pPr>
        <w:pStyle w:val="4"/>
        <w:spacing w:line="500" w:lineRule="exact"/>
        <w:jc w:val="center"/>
        <w:rPr>
          <w:szCs w:val="28"/>
          <w:highlight w:val="none"/>
        </w:rPr>
      </w:pPr>
      <w:bookmarkStart w:id="111" w:name="_Toc217446074"/>
      <w:bookmarkStart w:id="112" w:name="_Toc308164815"/>
      <w:bookmarkStart w:id="113" w:name="_Toc183582243"/>
      <w:bookmarkStart w:id="114" w:name="_Toc183682380"/>
      <w:r>
        <w:rPr>
          <w:rFonts w:hint="eastAsia"/>
          <w:szCs w:val="28"/>
          <w:highlight w:val="none"/>
        </w:rPr>
        <w:t>七、投标纪律要求</w:t>
      </w:r>
      <w:bookmarkEnd w:id="111"/>
      <w:bookmarkEnd w:id="112"/>
    </w:p>
    <w:p>
      <w:pPr>
        <w:pStyle w:val="5"/>
        <w:spacing w:line="500" w:lineRule="exact"/>
        <w:ind w:firstLine="482" w:firstLineChars="200"/>
        <w:rPr>
          <w:bCs w:val="0"/>
          <w:sz w:val="24"/>
          <w:szCs w:val="24"/>
          <w:highlight w:val="none"/>
        </w:rPr>
      </w:pPr>
      <w:bookmarkStart w:id="115" w:name="_Toc308164816"/>
      <w:bookmarkStart w:id="116" w:name="_Toc217446075"/>
      <w:r>
        <w:rPr>
          <w:rFonts w:hint="eastAsia"/>
          <w:sz w:val="24"/>
          <w:highlight w:val="none"/>
        </w:rPr>
        <w:t xml:space="preserve">36. </w:t>
      </w:r>
      <w:r>
        <w:rPr>
          <w:rFonts w:hint="eastAsia"/>
          <w:bCs w:val="0"/>
          <w:sz w:val="24"/>
          <w:szCs w:val="24"/>
          <w:highlight w:val="none"/>
        </w:rPr>
        <w:t>投标人不得具有的情形</w:t>
      </w:r>
      <w:bookmarkEnd w:id="115"/>
      <w:bookmarkEnd w:id="116"/>
    </w:p>
    <w:p>
      <w:pPr>
        <w:pStyle w:val="8"/>
        <w:spacing w:line="500" w:lineRule="exact"/>
        <w:ind w:firstLine="480"/>
        <w:rPr>
          <w:sz w:val="24"/>
          <w:highlight w:val="none"/>
        </w:rPr>
      </w:pPr>
      <w:r>
        <w:rPr>
          <w:rFonts w:hint="eastAsia"/>
          <w:sz w:val="24"/>
          <w:highlight w:val="none"/>
        </w:rPr>
        <w:t>36.1投标人参加本项目投标不得有下列情形：</w:t>
      </w:r>
    </w:p>
    <w:p>
      <w:pPr>
        <w:spacing w:line="500" w:lineRule="exact"/>
        <w:ind w:firstLine="460" w:firstLineChars="192"/>
        <w:rPr>
          <w:sz w:val="24"/>
          <w:highlight w:val="none"/>
        </w:rPr>
      </w:pPr>
      <w:r>
        <w:rPr>
          <w:rFonts w:hint="eastAsia"/>
          <w:sz w:val="24"/>
          <w:highlight w:val="none"/>
        </w:rPr>
        <w:t>（1）提供虚假材料谋取中标；</w:t>
      </w:r>
    </w:p>
    <w:p>
      <w:pPr>
        <w:spacing w:line="500" w:lineRule="exact"/>
        <w:ind w:firstLine="460" w:firstLineChars="192"/>
        <w:rPr>
          <w:sz w:val="24"/>
          <w:highlight w:val="none"/>
        </w:rPr>
      </w:pPr>
      <w:r>
        <w:rPr>
          <w:rFonts w:hint="eastAsia"/>
          <w:sz w:val="24"/>
          <w:highlight w:val="none"/>
        </w:rPr>
        <w:t>（2）采取不正当手段诋毁、排挤其他投标人；</w:t>
      </w:r>
    </w:p>
    <w:p>
      <w:pPr>
        <w:spacing w:line="500" w:lineRule="exact"/>
        <w:ind w:firstLine="480" w:firstLineChars="200"/>
        <w:rPr>
          <w:sz w:val="24"/>
          <w:highlight w:val="none"/>
        </w:rPr>
      </w:pPr>
      <w:r>
        <w:rPr>
          <w:rFonts w:hint="eastAsia"/>
          <w:sz w:val="24"/>
          <w:highlight w:val="none"/>
        </w:rPr>
        <w:t>（3）与招标采购单位、其他投标人恶意串通；</w:t>
      </w:r>
    </w:p>
    <w:p>
      <w:pPr>
        <w:spacing w:line="500" w:lineRule="exact"/>
        <w:ind w:firstLine="460" w:firstLineChars="192"/>
        <w:rPr>
          <w:sz w:val="24"/>
          <w:highlight w:val="none"/>
        </w:rPr>
      </w:pPr>
      <w:r>
        <w:rPr>
          <w:rFonts w:hint="eastAsia"/>
          <w:sz w:val="24"/>
          <w:highlight w:val="none"/>
        </w:rPr>
        <w:t>（4）向招标采购单位、评标委员会成员行贿或者提供其他不正当利益；</w:t>
      </w:r>
    </w:p>
    <w:p>
      <w:pPr>
        <w:spacing w:line="500" w:lineRule="exact"/>
        <w:ind w:firstLine="460" w:firstLineChars="192"/>
        <w:rPr>
          <w:sz w:val="24"/>
          <w:highlight w:val="none"/>
        </w:rPr>
      </w:pPr>
      <w:r>
        <w:rPr>
          <w:rFonts w:hint="eastAsia"/>
          <w:sz w:val="24"/>
          <w:highlight w:val="none"/>
        </w:rPr>
        <w:t>（5）在招标过程中与招标采购单位进行协商谈判；</w:t>
      </w:r>
    </w:p>
    <w:p>
      <w:pPr>
        <w:spacing w:line="500" w:lineRule="exact"/>
        <w:ind w:firstLine="460" w:firstLineChars="192"/>
        <w:rPr>
          <w:sz w:val="24"/>
          <w:highlight w:val="none"/>
        </w:rPr>
      </w:pPr>
      <w:r>
        <w:rPr>
          <w:rFonts w:hint="eastAsia"/>
          <w:sz w:val="24"/>
          <w:highlight w:val="none"/>
        </w:rPr>
        <w:t>（6）中标或者成交后无正当理由拒不与采购人签订政府采购合同；</w:t>
      </w:r>
    </w:p>
    <w:p>
      <w:pPr>
        <w:spacing w:line="500" w:lineRule="exact"/>
        <w:ind w:firstLine="480" w:firstLineChars="200"/>
        <w:rPr>
          <w:sz w:val="24"/>
          <w:highlight w:val="none"/>
        </w:rPr>
      </w:pPr>
      <w:r>
        <w:rPr>
          <w:rFonts w:hint="eastAsia"/>
          <w:sz w:val="24"/>
          <w:highlight w:val="none"/>
        </w:rPr>
        <w:t>（7）未按照采购文件确定的事项签订政府采购合同；</w:t>
      </w:r>
    </w:p>
    <w:p>
      <w:pPr>
        <w:spacing w:line="500" w:lineRule="exact"/>
        <w:ind w:firstLine="480" w:firstLineChars="200"/>
        <w:rPr>
          <w:sz w:val="24"/>
          <w:highlight w:val="none"/>
        </w:rPr>
      </w:pPr>
      <w:r>
        <w:rPr>
          <w:rFonts w:hint="eastAsia"/>
          <w:sz w:val="24"/>
          <w:highlight w:val="none"/>
        </w:rPr>
        <w:t>（8）将政府采购合同转包或者违规分包；</w:t>
      </w:r>
    </w:p>
    <w:p>
      <w:pPr>
        <w:spacing w:line="500" w:lineRule="exact"/>
        <w:ind w:firstLine="480" w:firstLineChars="200"/>
        <w:rPr>
          <w:sz w:val="24"/>
          <w:highlight w:val="none"/>
        </w:rPr>
      </w:pPr>
      <w:r>
        <w:rPr>
          <w:rFonts w:hint="eastAsia"/>
          <w:sz w:val="24"/>
          <w:highlight w:val="none"/>
        </w:rPr>
        <w:t>（9）提供假冒伪劣产品；</w:t>
      </w:r>
    </w:p>
    <w:p>
      <w:pPr>
        <w:spacing w:line="500" w:lineRule="exact"/>
        <w:ind w:firstLine="480" w:firstLineChars="200"/>
        <w:rPr>
          <w:sz w:val="24"/>
          <w:highlight w:val="none"/>
        </w:rPr>
      </w:pPr>
      <w:r>
        <w:rPr>
          <w:rFonts w:hint="eastAsia"/>
          <w:sz w:val="24"/>
          <w:highlight w:val="none"/>
        </w:rPr>
        <w:t>（10）擅自变更、中止或者终止政府采购合同；</w:t>
      </w:r>
    </w:p>
    <w:p>
      <w:pPr>
        <w:spacing w:line="500" w:lineRule="exact"/>
        <w:ind w:firstLine="460" w:firstLineChars="192"/>
        <w:rPr>
          <w:sz w:val="24"/>
          <w:highlight w:val="none"/>
        </w:rPr>
      </w:pPr>
      <w:r>
        <w:rPr>
          <w:rFonts w:hint="eastAsia"/>
          <w:sz w:val="24"/>
          <w:highlight w:val="none"/>
        </w:rPr>
        <w:t>（11）</w:t>
      </w:r>
      <w:r>
        <w:rPr>
          <w:rFonts w:hint="eastAsia"/>
          <w:sz w:val="24"/>
          <w:szCs w:val="22"/>
          <w:highlight w:val="none"/>
        </w:rPr>
        <w:t>被列入失信被执行人、重大税收违法案件当事人名单、政府采购严重违法失信行为记录名单（如投标人在参加政府采购活动前被禁止在一定期限内参加政府采购活动，期限届满的，可以参加政府采购活动），参加政府采购活动前三年内，在经营活动中有重大违法记录（如投标人在参加政府采购活动前3年内因违法经营被禁止在一定期限内参加政府采购活动，期限届满的，可以参加政府采购活动）；</w:t>
      </w:r>
    </w:p>
    <w:p>
      <w:pPr>
        <w:spacing w:line="500" w:lineRule="exact"/>
        <w:ind w:firstLine="460" w:firstLineChars="192"/>
        <w:rPr>
          <w:sz w:val="24"/>
          <w:szCs w:val="22"/>
          <w:highlight w:val="none"/>
        </w:rPr>
      </w:pPr>
      <w:r>
        <w:rPr>
          <w:rFonts w:hint="eastAsia"/>
          <w:sz w:val="24"/>
          <w:szCs w:val="22"/>
          <w:highlight w:val="none"/>
        </w:rPr>
        <w:t>（12）在行贿犯罪信息查询期限内，根据中国裁判文书网</w:t>
      </w:r>
    </w:p>
    <w:p>
      <w:pPr>
        <w:spacing w:line="500" w:lineRule="exact"/>
        <w:rPr>
          <w:sz w:val="24"/>
          <w:szCs w:val="22"/>
          <w:highlight w:val="none"/>
        </w:rPr>
      </w:pPr>
      <w:r>
        <w:rPr>
          <w:rFonts w:hint="eastAsia"/>
          <w:sz w:val="24"/>
          <w:szCs w:val="22"/>
          <w:highlight w:val="none"/>
        </w:rPr>
        <w:t>（http://wenshu.court.gov.cn/）查询结果投标人及其现任法定代表人/主要负责人有行贿犯罪记录；</w:t>
      </w:r>
    </w:p>
    <w:p>
      <w:pPr>
        <w:spacing w:line="500" w:lineRule="exact"/>
        <w:ind w:firstLine="480" w:firstLineChars="200"/>
        <w:rPr>
          <w:b/>
          <w:bCs/>
          <w:sz w:val="24"/>
          <w:szCs w:val="22"/>
          <w:highlight w:val="none"/>
        </w:rPr>
      </w:pPr>
      <w:r>
        <w:rPr>
          <w:rFonts w:hint="eastAsia"/>
          <w:sz w:val="24"/>
          <w:szCs w:val="22"/>
          <w:highlight w:val="none"/>
        </w:rPr>
        <w:t>（13）</w:t>
      </w:r>
      <w:r>
        <w:rPr>
          <w:rFonts w:hint="eastAsia"/>
          <w:sz w:val="24"/>
          <w:highlight w:val="none"/>
        </w:rPr>
        <w:t>拒绝有关部门的监督检查或者向监督检查部门提供虚假情况；</w:t>
      </w:r>
    </w:p>
    <w:p>
      <w:pPr>
        <w:spacing w:line="500" w:lineRule="exact"/>
        <w:ind w:firstLine="480" w:firstLineChars="200"/>
        <w:rPr>
          <w:sz w:val="24"/>
          <w:highlight w:val="none"/>
        </w:rPr>
      </w:pPr>
      <w:r>
        <w:rPr>
          <w:rFonts w:hint="eastAsia"/>
          <w:sz w:val="24"/>
          <w:highlight w:val="none"/>
        </w:rPr>
        <w:t>（14）法律法规规定的其他情形。</w:t>
      </w:r>
    </w:p>
    <w:p>
      <w:pPr>
        <w:spacing w:line="500" w:lineRule="exact"/>
        <w:ind w:firstLine="480" w:firstLineChars="200"/>
        <w:rPr>
          <w:sz w:val="24"/>
          <w:highlight w:val="none"/>
        </w:rPr>
      </w:pPr>
      <w:r>
        <w:rPr>
          <w:rFonts w:hint="eastAsia"/>
          <w:sz w:val="24"/>
          <w:highlight w:val="none"/>
        </w:rPr>
        <w:t>投标人有上述情形的，按照规定追究法律责任，具备（1）-（12）条情形之一的，同时将取消中标资格或者认定中标无效。</w:t>
      </w:r>
    </w:p>
    <w:p>
      <w:pPr>
        <w:spacing w:line="500" w:lineRule="exact"/>
        <w:ind w:firstLine="480" w:firstLineChars="200"/>
        <w:rPr>
          <w:sz w:val="24"/>
          <w:szCs w:val="22"/>
          <w:highlight w:val="none"/>
        </w:rPr>
      </w:pPr>
      <w:r>
        <w:rPr>
          <w:rFonts w:hint="eastAsia"/>
          <w:sz w:val="24"/>
          <w:szCs w:val="22"/>
          <w:highlight w:val="none"/>
        </w:rPr>
        <w:t>36.2有下列情形之一的，视为投标人串通投标，其投标无效：</w:t>
      </w:r>
    </w:p>
    <w:p>
      <w:pPr>
        <w:spacing w:line="500" w:lineRule="exact"/>
        <w:ind w:firstLine="480" w:firstLineChars="200"/>
        <w:rPr>
          <w:sz w:val="24"/>
          <w:szCs w:val="22"/>
          <w:highlight w:val="none"/>
        </w:rPr>
      </w:pPr>
      <w:r>
        <w:rPr>
          <w:rFonts w:hint="eastAsia"/>
          <w:sz w:val="24"/>
          <w:szCs w:val="22"/>
          <w:highlight w:val="none"/>
        </w:rPr>
        <w:t>（1）不同投标人的投标文件由同一单位或者个人编制；</w:t>
      </w:r>
    </w:p>
    <w:p>
      <w:pPr>
        <w:spacing w:line="500" w:lineRule="exact"/>
        <w:ind w:firstLine="480" w:firstLineChars="200"/>
        <w:rPr>
          <w:sz w:val="24"/>
          <w:szCs w:val="22"/>
          <w:highlight w:val="none"/>
        </w:rPr>
      </w:pPr>
      <w:r>
        <w:rPr>
          <w:rFonts w:hint="eastAsia"/>
          <w:sz w:val="24"/>
          <w:szCs w:val="22"/>
          <w:highlight w:val="none"/>
        </w:rPr>
        <w:t>（2）不同投标人委托同一单位或者个人办理投标事宜；</w:t>
      </w:r>
    </w:p>
    <w:p>
      <w:pPr>
        <w:spacing w:line="500" w:lineRule="exact"/>
        <w:ind w:firstLine="480" w:firstLineChars="200"/>
        <w:rPr>
          <w:sz w:val="24"/>
          <w:szCs w:val="22"/>
          <w:highlight w:val="none"/>
        </w:rPr>
      </w:pPr>
      <w:r>
        <w:rPr>
          <w:rFonts w:hint="eastAsia"/>
          <w:sz w:val="24"/>
          <w:szCs w:val="22"/>
          <w:highlight w:val="none"/>
        </w:rPr>
        <w:t>（3）不同投标人的投标文件载明的项目管理成员或者联系人员为同一人；</w:t>
      </w:r>
    </w:p>
    <w:p>
      <w:pPr>
        <w:spacing w:line="500" w:lineRule="exact"/>
        <w:ind w:firstLine="480" w:firstLineChars="200"/>
        <w:rPr>
          <w:sz w:val="24"/>
          <w:szCs w:val="22"/>
          <w:highlight w:val="none"/>
        </w:rPr>
      </w:pPr>
      <w:r>
        <w:rPr>
          <w:rFonts w:hint="eastAsia"/>
          <w:sz w:val="24"/>
          <w:szCs w:val="22"/>
          <w:highlight w:val="none"/>
        </w:rPr>
        <w:t>（4）不同投标人的投标文件异常一致或者投标报价呈规律性差异；</w:t>
      </w:r>
    </w:p>
    <w:p>
      <w:pPr>
        <w:spacing w:line="500" w:lineRule="exact"/>
        <w:ind w:firstLine="480" w:firstLineChars="200"/>
        <w:rPr>
          <w:sz w:val="24"/>
          <w:szCs w:val="22"/>
          <w:highlight w:val="none"/>
        </w:rPr>
      </w:pPr>
      <w:r>
        <w:rPr>
          <w:rFonts w:hint="eastAsia"/>
          <w:sz w:val="24"/>
          <w:szCs w:val="22"/>
          <w:highlight w:val="none"/>
        </w:rPr>
        <w:t>（5）不同投标人的投标文件相互混装；</w:t>
      </w:r>
    </w:p>
    <w:p>
      <w:pPr>
        <w:spacing w:line="500" w:lineRule="exact"/>
        <w:ind w:firstLine="480" w:firstLineChars="200"/>
        <w:rPr>
          <w:sz w:val="24"/>
          <w:szCs w:val="22"/>
          <w:highlight w:val="none"/>
        </w:rPr>
      </w:pPr>
      <w:r>
        <w:rPr>
          <w:rFonts w:hint="eastAsia"/>
          <w:sz w:val="24"/>
          <w:szCs w:val="22"/>
          <w:highlight w:val="none"/>
        </w:rPr>
        <w:t>（6）不同投标人的投标保证金从同一单位或者个人的账户转出。</w:t>
      </w:r>
    </w:p>
    <w:p>
      <w:pPr>
        <w:pStyle w:val="5"/>
        <w:spacing w:line="500" w:lineRule="exact"/>
        <w:ind w:firstLine="482" w:firstLineChars="200"/>
        <w:rPr>
          <w:bCs w:val="0"/>
          <w:sz w:val="24"/>
          <w:szCs w:val="24"/>
          <w:highlight w:val="none"/>
        </w:rPr>
      </w:pPr>
      <w:r>
        <w:rPr>
          <w:rFonts w:hint="eastAsia"/>
          <w:bCs w:val="0"/>
          <w:sz w:val="24"/>
          <w:szCs w:val="24"/>
          <w:highlight w:val="none"/>
        </w:rPr>
        <w:t>37.保密</w:t>
      </w:r>
    </w:p>
    <w:p>
      <w:pPr>
        <w:spacing w:line="500" w:lineRule="exact"/>
        <w:ind w:firstLine="480" w:firstLineChars="200"/>
        <w:rPr>
          <w:highlight w:val="none"/>
        </w:rPr>
      </w:pPr>
      <w:r>
        <w:rPr>
          <w:rFonts w:hint="eastAsia"/>
          <w:sz w:val="24"/>
          <w:szCs w:val="22"/>
          <w:highlight w:val="none"/>
        </w:rPr>
        <w:t>投标截止时间前，采购人、采购代理机构和有关人员不得向他人透露已获取招标文件的潜在投标人的名称、数量以及可能影响公平竞争的有关招标投标的其他情况。</w:t>
      </w:r>
    </w:p>
    <w:p>
      <w:pPr>
        <w:pStyle w:val="4"/>
        <w:spacing w:line="500" w:lineRule="exact"/>
        <w:jc w:val="center"/>
        <w:rPr>
          <w:rFonts w:ascii="黑体"/>
          <w:bCs w:val="0"/>
          <w:szCs w:val="28"/>
          <w:highlight w:val="none"/>
        </w:rPr>
      </w:pPr>
      <w:bookmarkStart w:id="117" w:name="_Toc308164819"/>
      <w:bookmarkStart w:id="118" w:name="_Toc217446078"/>
      <w:r>
        <w:rPr>
          <w:rFonts w:hint="eastAsia" w:ascii="黑体"/>
          <w:bCs w:val="0"/>
          <w:szCs w:val="28"/>
          <w:highlight w:val="none"/>
        </w:rPr>
        <w:t>八、询问、质疑和投诉</w:t>
      </w:r>
      <w:bookmarkEnd w:id="117"/>
      <w:bookmarkEnd w:id="118"/>
      <w:bookmarkStart w:id="119" w:name="_Toc217446079"/>
    </w:p>
    <w:bookmarkEnd w:id="113"/>
    <w:bookmarkEnd w:id="114"/>
    <w:bookmarkEnd w:id="119"/>
    <w:p>
      <w:pPr>
        <w:widowControl/>
        <w:spacing w:line="500" w:lineRule="exact"/>
        <w:ind w:firstLine="472" w:firstLineChars="196"/>
        <w:jc w:val="left"/>
        <w:outlineLvl w:val="1"/>
        <w:rPr>
          <w:sz w:val="24"/>
          <w:highlight w:val="none"/>
        </w:rPr>
      </w:pPr>
      <w:r>
        <w:rPr>
          <w:rFonts w:hint="eastAsia"/>
          <w:b/>
          <w:sz w:val="24"/>
          <w:highlight w:val="none"/>
        </w:rPr>
        <w:t>38．</w:t>
      </w:r>
      <w:r>
        <w:rPr>
          <w:rFonts w:hint="eastAsia"/>
          <w:sz w:val="24"/>
          <w:highlight w:val="none"/>
        </w:rPr>
        <w:t>询问、质疑、投诉的接收和处理严格按照《中华人共和国政府采购法》《中华人民共和国政府采购法实施条例》《政府采购货物和服务招标投标管理办法《政府采购质疑和投诉办法》《财政部关于加强政府采购投标人投诉受理审查工作的通知》和《四川省政府采购投标人投诉处理工作规程》等规定办理（详细规定请在四川政府采购网政策法规模块查询）。</w:t>
      </w:r>
    </w:p>
    <w:p>
      <w:pPr>
        <w:pStyle w:val="4"/>
        <w:spacing w:line="500" w:lineRule="exact"/>
        <w:jc w:val="center"/>
        <w:rPr>
          <w:rFonts w:ascii="黑体"/>
          <w:bCs w:val="0"/>
          <w:szCs w:val="28"/>
          <w:highlight w:val="none"/>
        </w:rPr>
      </w:pPr>
      <w:r>
        <w:rPr>
          <w:rFonts w:hint="eastAsia" w:ascii="黑体"/>
          <w:bCs w:val="0"/>
          <w:szCs w:val="28"/>
          <w:highlight w:val="none"/>
        </w:rPr>
        <w:t>九、其他</w:t>
      </w:r>
    </w:p>
    <w:p>
      <w:pPr>
        <w:spacing w:line="500" w:lineRule="exact"/>
        <w:ind w:firstLine="482" w:firstLineChars="200"/>
        <w:rPr>
          <w:sz w:val="24"/>
          <w:szCs w:val="22"/>
          <w:highlight w:val="none"/>
        </w:rPr>
      </w:pPr>
      <w:r>
        <w:rPr>
          <w:rFonts w:hint="eastAsia"/>
          <w:b/>
          <w:sz w:val="24"/>
          <w:highlight w:val="none"/>
        </w:rPr>
        <w:t>39.</w:t>
      </w:r>
      <w:r>
        <w:rPr>
          <w:rFonts w:hint="eastAsia"/>
          <w:sz w:val="24"/>
          <w:highlight w:val="none"/>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w:t>
      </w:r>
      <w:r>
        <w:rPr>
          <w:rFonts w:hint="eastAsia"/>
          <w:sz w:val="24"/>
          <w:szCs w:val="22"/>
          <w:highlight w:val="none"/>
        </w:rPr>
        <w:t>法律制度规定的，直接按照变化后的相关法律制度规定执行，本招标文件不再做调整。</w:t>
      </w:r>
    </w:p>
    <w:p>
      <w:pPr>
        <w:spacing w:line="500" w:lineRule="exact"/>
        <w:ind w:firstLine="480" w:firstLineChars="200"/>
        <w:rPr>
          <w:sz w:val="24"/>
          <w:szCs w:val="22"/>
          <w:highlight w:val="none"/>
        </w:rPr>
      </w:pPr>
      <w:r>
        <w:rPr>
          <w:rFonts w:hint="eastAsia"/>
          <w:sz w:val="24"/>
          <w:szCs w:val="22"/>
          <w:highlight w:val="none"/>
        </w:rPr>
        <w:t>本招标文件中未引用的相关法律制度规定，按照中华人民共和国政府采购法及其实施条例，以及其他相关的法律、规章的规定执行。</w:t>
      </w:r>
    </w:p>
    <w:p>
      <w:pPr>
        <w:widowControl/>
        <w:spacing w:line="500" w:lineRule="exact"/>
        <w:ind w:firstLine="480" w:firstLineChars="200"/>
        <w:jc w:val="left"/>
        <w:outlineLvl w:val="1"/>
        <w:rPr>
          <w:sz w:val="24"/>
          <w:szCs w:val="22"/>
          <w:highlight w:val="none"/>
        </w:rPr>
      </w:pPr>
      <w:r>
        <w:rPr>
          <w:rFonts w:hint="eastAsia"/>
          <w:sz w:val="24"/>
          <w:szCs w:val="22"/>
          <w:highlight w:val="none"/>
        </w:rPr>
        <w:t>40.国家或行业主管部门对投标人和采购产品的技术标准、质量标准和资格资质条件等有强制性规定的，必须符合其要求。（实质性要求）</w:t>
      </w:r>
    </w:p>
    <w:p>
      <w:pPr>
        <w:widowControl/>
        <w:spacing w:line="500" w:lineRule="exact"/>
        <w:ind w:firstLine="480" w:firstLineChars="200"/>
        <w:jc w:val="left"/>
        <w:outlineLvl w:val="1"/>
        <w:rPr>
          <w:highlight w:val="none"/>
        </w:rPr>
      </w:pPr>
      <w:r>
        <w:rPr>
          <w:rFonts w:hint="eastAsia"/>
          <w:sz w:val="24"/>
          <w:szCs w:val="22"/>
          <w:highlight w:val="none"/>
        </w:rPr>
        <w:t>41.本章中作为实质性要求的内容，除明确要求提供承诺函等证明材料的外，采购人或采购代理机构或评</w:t>
      </w:r>
      <w:r>
        <w:rPr>
          <w:rFonts w:hAnsi="宋体" w:cs="宋体"/>
          <w:sz w:val="24"/>
          <w:highlight w:val="none"/>
        </w:rPr>
        <w:t>标委员会在评审时，仅对投标文件是否违背实质性要求进行审查。</w:t>
      </w:r>
    </w:p>
    <w:p>
      <w:pPr>
        <w:widowControl/>
        <w:spacing w:line="500" w:lineRule="exact"/>
        <w:ind w:firstLine="482" w:firstLineChars="200"/>
        <w:jc w:val="left"/>
        <w:outlineLvl w:val="1"/>
        <w:rPr>
          <w:sz w:val="24"/>
          <w:highlight w:val="none"/>
        </w:rPr>
      </w:pPr>
      <w:r>
        <w:rPr>
          <w:rFonts w:hint="eastAsia"/>
          <w:b/>
          <w:sz w:val="24"/>
          <w:highlight w:val="none"/>
        </w:rPr>
        <w:t>42.</w:t>
      </w:r>
      <w:r>
        <w:rPr>
          <w:rFonts w:hint="eastAsia"/>
          <w:sz w:val="24"/>
          <w:highlight w:val="none"/>
        </w:rPr>
        <w:t>根据《关于在政府采购活动中查询及使用信用记录有关问题的通知》（财库〔2016〕125 号）的要求，采购代理机构将通过“信用中国”网站（www.creditchina.gov.cn）、“中国政府采购网”网站（www.ccgp.gov.cn）等渠道查询投标人在投标截止日前的信用记录并保存信用记录结果网页截图，拒绝列入失信被执行人、重大税收违法案件当事人名单、政府采购严重违法失信行为记录名单中的投标人报名参加本项目的采购活动。（实质性要求）</w:t>
      </w:r>
    </w:p>
    <w:p>
      <w:pPr>
        <w:widowControl/>
        <w:spacing w:line="500" w:lineRule="exact"/>
        <w:ind w:firstLine="480" w:firstLineChars="200"/>
        <w:jc w:val="left"/>
        <w:outlineLvl w:val="1"/>
        <w:rPr>
          <w:b/>
          <w:sz w:val="24"/>
          <w:highlight w:val="none"/>
        </w:rPr>
      </w:pPr>
      <w:r>
        <w:rPr>
          <w:rFonts w:hint="eastAsia"/>
          <w:sz w:val="24"/>
          <w:highlight w:val="none"/>
        </w:rPr>
        <w:t>43.根据四川省财政厅关于推进四川省政府采购供应商信用融资工作的通知（川财采[2018]123号）、成都市财政局 中国人民银行成都分行营业管理部关于印发《成都市中小企业政府采购信用融资暂行办法》和《成都市级支持中小企业政府采购信用融资实施方案》的通知（成财采[2019]17号）的要求，符合通知要求、有融资需求的供应商可根据四川政府采购网公示的银行或成都市政府采购监督管理系统集中展示的融资机构及其“政采贷”产品，自行选择符合自身情况的“政采贷”银行及其产品，选择“政采贷”银行及其产品的需向代理机构进行登记。凭中标通知书向银行提出贷款意向申请。银行应及时按照有关规定完成对供应商的信用审查以及开设账户等相关工作。</w:t>
      </w:r>
    </w:p>
    <w:p>
      <w:pPr>
        <w:widowControl/>
        <w:spacing w:line="500" w:lineRule="exact"/>
        <w:jc w:val="center"/>
        <w:outlineLvl w:val="0"/>
        <w:rPr>
          <w:b/>
          <w:bCs/>
          <w:sz w:val="36"/>
          <w:szCs w:val="36"/>
          <w:highlight w:val="none"/>
        </w:rPr>
      </w:pPr>
      <w:bookmarkStart w:id="120" w:name="_Toc217446083"/>
      <w:r>
        <w:rPr>
          <w:rFonts w:hint="eastAsia"/>
          <w:b/>
          <w:bCs/>
          <w:sz w:val="36"/>
          <w:szCs w:val="36"/>
          <w:highlight w:val="none"/>
        </w:rPr>
        <w:br w:type="page"/>
      </w:r>
      <w:bookmarkStart w:id="121" w:name="_Toc69980129"/>
      <w:r>
        <w:rPr>
          <w:rFonts w:hint="eastAsia"/>
          <w:b/>
          <w:bCs/>
          <w:sz w:val="36"/>
          <w:szCs w:val="36"/>
          <w:highlight w:val="none"/>
        </w:rPr>
        <w:t>第三章 投标文件格式</w:t>
      </w:r>
      <w:bookmarkEnd w:id="121"/>
      <w:bookmarkStart w:id="122" w:name="_Toc217446082"/>
      <w:bookmarkStart w:id="123" w:name="_Toc308164821"/>
    </w:p>
    <w:p>
      <w:pPr>
        <w:widowControl/>
        <w:spacing w:line="500" w:lineRule="exact"/>
        <w:ind w:firstLine="470" w:firstLineChars="196"/>
        <w:rPr>
          <w:sz w:val="24"/>
          <w:highlight w:val="none"/>
        </w:rPr>
      </w:pPr>
      <w:r>
        <w:rPr>
          <w:rFonts w:hint="eastAsia"/>
          <w:sz w:val="24"/>
          <w:highlight w:val="none"/>
        </w:rPr>
        <w:t>一、本章所制投标文件格式，除格式中明确将该格式作为实质性要求的，一律不具有强制性，但是，投标人投标文件相关资料和本章所制格式不一致的，评标委员会将在评分时以投标文件不规范予以扣分处理。</w:t>
      </w:r>
    </w:p>
    <w:p>
      <w:pPr>
        <w:widowControl/>
        <w:spacing w:line="500" w:lineRule="exact"/>
        <w:ind w:firstLine="470" w:firstLineChars="196"/>
        <w:rPr>
          <w:sz w:val="24"/>
          <w:highlight w:val="none"/>
        </w:rPr>
      </w:pPr>
      <w:r>
        <w:rPr>
          <w:rFonts w:hint="eastAsia"/>
          <w:sz w:val="24"/>
          <w:highlight w:val="none"/>
        </w:rPr>
        <w:t>二、本章所制投标文件格式有关表格中的备注栏，由投标人根据自身投标情况作解释性说明，不作为必填项。</w:t>
      </w:r>
    </w:p>
    <w:p>
      <w:pPr>
        <w:widowControl/>
        <w:spacing w:line="500" w:lineRule="exact"/>
        <w:ind w:firstLine="470" w:firstLineChars="196"/>
        <w:rPr>
          <w:sz w:val="24"/>
          <w:highlight w:val="none"/>
        </w:rPr>
      </w:pPr>
      <w:r>
        <w:rPr>
          <w:rFonts w:hint="eastAsia"/>
          <w:sz w:val="24"/>
          <w:highlight w:val="none"/>
        </w:rPr>
        <w:t>三、本章所制投标文件格式中需要填写的相关内容事项，可能会与本采购项目无关，在不改变投标文件原义、不影响本项目采购需求的情况下，投标人可以不予填写，但应当注明。</w:t>
      </w:r>
    </w:p>
    <w:p>
      <w:pPr>
        <w:widowControl/>
        <w:spacing w:line="500" w:lineRule="exact"/>
        <w:ind w:firstLine="470" w:firstLineChars="196"/>
        <w:rPr>
          <w:sz w:val="24"/>
          <w:highlight w:val="none"/>
        </w:rPr>
      </w:pPr>
      <w:r>
        <w:rPr>
          <w:rFonts w:hint="eastAsia"/>
          <w:sz w:val="24"/>
          <w:highlight w:val="none"/>
        </w:rPr>
        <w:br w:type="page"/>
      </w:r>
    </w:p>
    <w:p>
      <w:pPr>
        <w:widowControl/>
        <w:spacing w:line="480" w:lineRule="exact"/>
        <w:jc w:val="center"/>
        <w:outlineLvl w:val="1"/>
        <w:rPr>
          <w:b/>
          <w:sz w:val="24"/>
          <w:highlight w:val="none"/>
        </w:rPr>
      </w:pPr>
      <w:r>
        <w:rPr>
          <w:rFonts w:hint="eastAsia" w:ascii="黑体" w:eastAsia="黑体"/>
          <w:b/>
          <w:sz w:val="32"/>
          <w:szCs w:val="32"/>
          <w:highlight w:val="none"/>
        </w:rPr>
        <w:t>一、投 标 函</w:t>
      </w:r>
      <w:bookmarkEnd w:id="122"/>
      <w:bookmarkEnd w:id="123"/>
    </w:p>
    <w:p>
      <w:pPr>
        <w:widowControl/>
        <w:spacing w:line="480" w:lineRule="exact"/>
        <w:jc w:val="left"/>
        <w:rPr>
          <w:sz w:val="24"/>
          <w:highlight w:val="none"/>
          <w:u w:val="single"/>
        </w:rPr>
      </w:pPr>
      <w:r>
        <w:rPr>
          <w:rFonts w:hint="eastAsia"/>
          <w:sz w:val="24"/>
          <w:highlight w:val="none"/>
          <w:u w:val="single"/>
        </w:rPr>
        <w:t>四川标源招标代理有限公司：</w:t>
      </w:r>
    </w:p>
    <w:p>
      <w:pPr>
        <w:widowControl/>
        <w:spacing w:line="480" w:lineRule="exact"/>
        <w:ind w:firstLine="470" w:firstLineChars="196"/>
        <w:jc w:val="left"/>
        <w:rPr>
          <w:sz w:val="24"/>
          <w:highlight w:val="none"/>
        </w:rPr>
      </w:pPr>
      <w:r>
        <w:rPr>
          <w:rFonts w:hint="eastAsia"/>
          <w:sz w:val="24"/>
          <w:highlight w:val="none"/>
        </w:rPr>
        <w:t>我方全面研究了“XXXXXXXX”项目（招标编号：XXXX）招标文件，决定参加贵单位组织的本项目投标。我方授权XXXX（姓名、职务）代表我方XXXX（投标单位的名称）全权处理本项目投标的有关事宜。</w:t>
      </w:r>
    </w:p>
    <w:p>
      <w:pPr>
        <w:widowControl/>
        <w:spacing w:line="480" w:lineRule="exact"/>
        <w:ind w:firstLine="470" w:firstLineChars="196"/>
        <w:jc w:val="left"/>
        <w:rPr>
          <w:sz w:val="24"/>
          <w:highlight w:val="none"/>
        </w:rPr>
      </w:pPr>
      <w:r>
        <w:rPr>
          <w:rFonts w:hint="eastAsia"/>
          <w:sz w:val="24"/>
          <w:szCs w:val="22"/>
          <w:highlight w:val="none"/>
        </w:rPr>
        <w:t>一、我方自愿按照招标文件规定的各项要求向甲方提供所需货物及服务，投标折扣率为XX%</w:t>
      </w:r>
      <w:r>
        <w:rPr>
          <w:rFonts w:hint="eastAsia"/>
          <w:sz w:val="24"/>
          <w:highlight w:val="none"/>
        </w:rPr>
        <w:t>。</w:t>
      </w:r>
    </w:p>
    <w:p>
      <w:pPr>
        <w:widowControl/>
        <w:spacing w:line="480" w:lineRule="exact"/>
        <w:ind w:firstLine="470" w:firstLineChars="196"/>
        <w:jc w:val="left"/>
        <w:rPr>
          <w:sz w:val="24"/>
          <w:szCs w:val="22"/>
          <w:highlight w:val="none"/>
        </w:rPr>
      </w:pPr>
      <w:r>
        <w:rPr>
          <w:rFonts w:hint="eastAsia"/>
          <w:sz w:val="24"/>
          <w:szCs w:val="22"/>
          <w:highlight w:val="none"/>
        </w:rPr>
        <w:t>二、一旦我方中标，我方将严格履行合同规定的责任和义务，并完成项目的供货、运输并交付采购人验收、使用。</w:t>
      </w:r>
    </w:p>
    <w:p>
      <w:pPr>
        <w:widowControl/>
        <w:spacing w:line="480" w:lineRule="exact"/>
        <w:ind w:firstLine="470" w:firstLineChars="196"/>
        <w:jc w:val="left"/>
        <w:rPr>
          <w:sz w:val="24"/>
          <w:highlight w:val="none"/>
        </w:rPr>
      </w:pPr>
      <w:r>
        <w:rPr>
          <w:rFonts w:hint="eastAsia"/>
          <w:sz w:val="24"/>
          <w:highlight w:val="none"/>
        </w:rPr>
        <w:t>三、我方为本项目提交的资格性投标文件（正本1份、副本2份）、其他投标文件（正本1份、副本4份）、电子文档1份（U盘或光盘）、开标一览表（一式2份）。</w:t>
      </w:r>
    </w:p>
    <w:p>
      <w:pPr>
        <w:widowControl/>
        <w:spacing w:line="480" w:lineRule="exact"/>
        <w:ind w:firstLine="470" w:firstLineChars="196"/>
        <w:jc w:val="left"/>
        <w:rPr>
          <w:sz w:val="24"/>
          <w:szCs w:val="22"/>
          <w:highlight w:val="none"/>
        </w:rPr>
      </w:pPr>
      <w:r>
        <w:rPr>
          <w:rFonts w:hint="eastAsia"/>
          <w:sz w:val="24"/>
          <w:highlight w:val="none"/>
        </w:rPr>
        <w:t>四、我方同意本次招标的投标</w:t>
      </w:r>
      <w:r>
        <w:rPr>
          <w:rFonts w:hint="eastAsia"/>
          <w:sz w:val="24"/>
          <w:szCs w:val="22"/>
          <w:highlight w:val="none"/>
        </w:rPr>
        <w:t>有效期为</w:t>
      </w:r>
      <w:r>
        <w:rPr>
          <w:rFonts w:hint="eastAsia"/>
          <w:sz w:val="24"/>
          <w:szCs w:val="22"/>
          <w:highlight w:val="none"/>
          <w:lang w:val="zh-CN"/>
        </w:rPr>
        <w:t>从提交投标文件的截止之日起90天</w:t>
      </w:r>
      <w:r>
        <w:rPr>
          <w:rFonts w:hint="eastAsia"/>
          <w:sz w:val="24"/>
          <w:szCs w:val="22"/>
          <w:highlight w:val="none"/>
        </w:rPr>
        <w:t>。</w:t>
      </w:r>
    </w:p>
    <w:p>
      <w:pPr>
        <w:widowControl/>
        <w:spacing w:line="480" w:lineRule="exact"/>
        <w:ind w:firstLine="470" w:firstLineChars="196"/>
        <w:jc w:val="left"/>
        <w:rPr>
          <w:sz w:val="24"/>
          <w:highlight w:val="none"/>
        </w:rPr>
      </w:pPr>
      <w:r>
        <w:rPr>
          <w:rFonts w:hint="eastAsia"/>
          <w:sz w:val="24"/>
          <w:highlight w:val="none"/>
        </w:rPr>
        <w:t>五、我方愿意提供贵公司可能另外要求的，与投标有关的文件资料，并保证我方已提供和将要提供的文件资料是真实、准确的。</w:t>
      </w:r>
    </w:p>
    <w:p>
      <w:pPr>
        <w:widowControl/>
        <w:spacing w:line="480" w:lineRule="exact"/>
        <w:ind w:firstLine="470" w:firstLineChars="196"/>
        <w:jc w:val="left"/>
        <w:rPr>
          <w:sz w:val="24"/>
          <w:szCs w:val="22"/>
          <w:highlight w:val="none"/>
        </w:rPr>
      </w:pPr>
      <w:r>
        <w:rPr>
          <w:rFonts w:hint="eastAsia"/>
          <w:sz w:val="24"/>
          <w:szCs w:val="22"/>
          <w:highlight w:val="none"/>
        </w:rPr>
        <w:t>六、国家或行业主管部门对投标人和采购产品的技术标准、质量标准和资格资质条件等有强制性规定的，我方符合其要求。</w:t>
      </w:r>
    </w:p>
    <w:p>
      <w:pPr>
        <w:widowControl/>
        <w:spacing w:line="480" w:lineRule="exact"/>
        <w:ind w:firstLine="470" w:firstLineChars="196"/>
        <w:jc w:val="left"/>
        <w:rPr>
          <w:sz w:val="24"/>
          <w:szCs w:val="22"/>
          <w:highlight w:val="none"/>
        </w:rPr>
      </w:pPr>
      <w:r>
        <w:rPr>
          <w:rFonts w:hint="eastAsia" w:hAnsi="宋体" w:cs="宋体"/>
          <w:sz w:val="24"/>
          <w:highlight w:val="none"/>
        </w:rPr>
        <w:t>七、</w:t>
      </w:r>
      <w:r>
        <w:rPr>
          <w:rFonts w:hAnsi="宋体" w:cs="宋体"/>
          <w:sz w:val="24"/>
          <w:highlight w:val="none"/>
        </w:rPr>
        <w:t>我方完全响应招标文件中关于知识产权的要求。</w:t>
      </w:r>
    </w:p>
    <w:p>
      <w:pPr>
        <w:widowControl/>
        <w:spacing w:line="480" w:lineRule="exact"/>
        <w:ind w:firstLine="470" w:firstLineChars="196"/>
        <w:jc w:val="left"/>
        <w:rPr>
          <w:sz w:val="24"/>
          <w:szCs w:val="22"/>
          <w:highlight w:val="none"/>
        </w:rPr>
      </w:pPr>
      <w:r>
        <w:rPr>
          <w:rFonts w:hint="eastAsia"/>
          <w:sz w:val="24"/>
          <w:szCs w:val="22"/>
          <w:highlight w:val="none"/>
        </w:rPr>
        <w:t>八、若我方中标，我方承诺按照本招标文件约定支付招标代理服务费，否则视为虚</w:t>
      </w:r>
    </w:p>
    <w:p>
      <w:pPr>
        <w:widowControl/>
        <w:spacing w:line="480" w:lineRule="exact"/>
        <w:jc w:val="left"/>
        <w:rPr>
          <w:sz w:val="24"/>
          <w:szCs w:val="22"/>
          <w:highlight w:val="none"/>
        </w:rPr>
      </w:pPr>
      <w:r>
        <w:rPr>
          <w:rFonts w:hint="eastAsia"/>
          <w:sz w:val="24"/>
          <w:szCs w:val="22"/>
          <w:highlight w:val="none"/>
        </w:rPr>
        <w:t>假应标并承担由此带来的一切后果。</w:t>
      </w:r>
    </w:p>
    <w:p>
      <w:pPr>
        <w:widowControl/>
        <w:spacing w:line="480" w:lineRule="exact"/>
        <w:ind w:firstLine="470" w:firstLineChars="196"/>
        <w:jc w:val="left"/>
        <w:rPr>
          <w:sz w:val="24"/>
          <w:highlight w:val="none"/>
        </w:rPr>
      </w:pPr>
      <w:r>
        <w:rPr>
          <w:rFonts w:hint="eastAsia"/>
          <w:sz w:val="24"/>
          <w:highlight w:val="none"/>
        </w:rPr>
        <w:t>投标人名称：XXXX（单位公章）。</w:t>
      </w:r>
    </w:p>
    <w:p>
      <w:pPr>
        <w:widowControl/>
        <w:spacing w:line="480" w:lineRule="exact"/>
        <w:ind w:firstLine="470" w:firstLineChars="196"/>
        <w:jc w:val="left"/>
        <w:rPr>
          <w:sz w:val="24"/>
          <w:highlight w:val="none"/>
        </w:rPr>
      </w:pPr>
      <w:r>
        <w:rPr>
          <w:rFonts w:hint="eastAsia"/>
          <w:sz w:val="24"/>
          <w:highlight w:val="none"/>
        </w:rPr>
        <w:t>法定代表人或授权代表（签字或加盖个人名章）：XXXX。</w:t>
      </w:r>
    </w:p>
    <w:p>
      <w:pPr>
        <w:widowControl/>
        <w:spacing w:line="480" w:lineRule="exact"/>
        <w:ind w:firstLine="470" w:firstLineChars="196"/>
        <w:jc w:val="left"/>
        <w:rPr>
          <w:sz w:val="24"/>
          <w:highlight w:val="none"/>
        </w:rPr>
      </w:pPr>
      <w:r>
        <w:rPr>
          <w:rFonts w:hint="eastAsia"/>
          <w:sz w:val="24"/>
          <w:highlight w:val="none"/>
        </w:rPr>
        <w:t>通讯地址：XXXX。</w:t>
      </w:r>
    </w:p>
    <w:p>
      <w:pPr>
        <w:widowControl/>
        <w:spacing w:line="480" w:lineRule="exact"/>
        <w:ind w:firstLine="470" w:firstLineChars="196"/>
        <w:jc w:val="left"/>
        <w:rPr>
          <w:sz w:val="24"/>
          <w:highlight w:val="none"/>
        </w:rPr>
      </w:pPr>
      <w:r>
        <w:rPr>
          <w:rFonts w:hint="eastAsia"/>
          <w:sz w:val="24"/>
          <w:highlight w:val="none"/>
        </w:rPr>
        <w:t>邮政编码：XXXX。</w:t>
      </w:r>
    </w:p>
    <w:p>
      <w:pPr>
        <w:widowControl/>
        <w:spacing w:line="480" w:lineRule="exact"/>
        <w:ind w:firstLine="470" w:firstLineChars="196"/>
        <w:jc w:val="left"/>
        <w:rPr>
          <w:sz w:val="24"/>
          <w:highlight w:val="none"/>
        </w:rPr>
      </w:pPr>
      <w:r>
        <w:rPr>
          <w:rFonts w:hint="eastAsia"/>
          <w:sz w:val="24"/>
          <w:highlight w:val="none"/>
        </w:rPr>
        <w:t>联系电话：XXXX。</w:t>
      </w:r>
    </w:p>
    <w:p>
      <w:pPr>
        <w:widowControl/>
        <w:spacing w:line="480" w:lineRule="exact"/>
        <w:ind w:firstLine="470" w:firstLineChars="196"/>
        <w:jc w:val="left"/>
        <w:rPr>
          <w:sz w:val="24"/>
          <w:highlight w:val="none"/>
        </w:rPr>
      </w:pPr>
      <w:r>
        <w:rPr>
          <w:rFonts w:hint="eastAsia"/>
          <w:sz w:val="24"/>
          <w:highlight w:val="none"/>
        </w:rPr>
        <w:t>传    真：XXXX。</w:t>
      </w:r>
    </w:p>
    <w:p>
      <w:pPr>
        <w:widowControl/>
        <w:spacing w:line="480" w:lineRule="exact"/>
        <w:ind w:firstLine="470" w:firstLineChars="196"/>
        <w:jc w:val="left"/>
        <w:rPr>
          <w:sz w:val="24"/>
          <w:highlight w:val="none"/>
        </w:rPr>
      </w:pPr>
      <w:r>
        <w:rPr>
          <w:rFonts w:hint="eastAsia"/>
          <w:sz w:val="24"/>
          <w:highlight w:val="none"/>
        </w:rPr>
        <w:t>日    期：XXXX年XXXX月XXXX日。</w:t>
      </w:r>
    </w:p>
    <w:p>
      <w:pPr>
        <w:pStyle w:val="2"/>
        <w:rPr>
          <w:highlight w:val="none"/>
        </w:rPr>
      </w:pPr>
    </w:p>
    <w:p>
      <w:pPr>
        <w:rPr>
          <w:rFonts w:ascii="黑体" w:eastAsia="黑体"/>
          <w:b/>
          <w:sz w:val="32"/>
          <w:szCs w:val="32"/>
          <w:highlight w:val="none"/>
        </w:rPr>
      </w:pPr>
      <w:bookmarkStart w:id="124" w:name="_Toc308164824"/>
      <w:r>
        <w:rPr>
          <w:rFonts w:hint="eastAsia" w:ascii="黑体" w:eastAsia="黑体"/>
          <w:b/>
          <w:sz w:val="32"/>
          <w:szCs w:val="32"/>
          <w:highlight w:val="none"/>
        </w:rPr>
        <w:br w:type="page"/>
      </w:r>
    </w:p>
    <w:p>
      <w:pPr>
        <w:widowControl/>
        <w:spacing w:line="500" w:lineRule="exact"/>
        <w:jc w:val="center"/>
        <w:outlineLvl w:val="1"/>
        <w:rPr>
          <w:rFonts w:ascii="黑体" w:eastAsia="黑体"/>
          <w:b/>
          <w:sz w:val="32"/>
          <w:szCs w:val="32"/>
          <w:highlight w:val="none"/>
        </w:rPr>
      </w:pPr>
      <w:r>
        <w:rPr>
          <w:rFonts w:hint="eastAsia" w:ascii="黑体" w:eastAsia="黑体"/>
          <w:b/>
          <w:sz w:val="32"/>
          <w:szCs w:val="32"/>
          <w:highlight w:val="none"/>
        </w:rPr>
        <w:t>二、</w:t>
      </w:r>
      <w:bookmarkEnd w:id="124"/>
      <w:r>
        <w:rPr>
          <w:rFonts w:hint="eastAsia" w:ascii="黑体" w:eastAsia="黑体"/>
          <w:b/>
          <w:sz w:val="32"/>
          <w:szCs w:val="32"/>
          <w:highlight w:val="none"/>
        </w:rPr>
        <w:t>承诺函</w:t>
      </w:r>
    </w:p>
    <w:p>
      <w:pPr>
        <w:widowControl/>
        <w:spacing w:line="500" w:lineRule="exact"/>
        <w:jc w:val="left"/>
        <w:rPr>
          <w:sz w:val="24"/>
          <w:highlight w:val="none"/>
          <w:u w:val="single"/>
        </w:rPr>
      </w:pPr>
      <w:r>
        <w:rPr>
          <w:rFonts w:hint="eastAsia"/>
          <w:sz w:val="24"/>
          <w:highlight w:val="none"/>
          <w:u w:val="single"/>
        </w:rPr>
        <w:t>四川标源招标代理有限公司：</w:t>
      </w:r>
    </w:p>
    <w:p>
      <w:pPr>
        <w:widowControl/>
        <w:spacing w:line="360" w:lineRule="exact"/>
        <w:ind w:firstLine="480" w:firstLineChars="200"/>
        <w:jc w:val="left"/>
        <w:rPr>
          <w:sz w:val="24"/>
          <w:highlight w:val="none"/>
        </w:rPr>
      </w:pPr>
      <w:r>
        <w:rPr>
          <w:rFonts w:hint="eastAsia"/>
          <w:sz w:val="24"/>
          <w:highlight w:val="none"/>
        </w:rPr>
        <w:t>我公司作为本次采购项目的投标人，根据招标文件要求，现郑重承诺如下：</w:t>
      </w:r>
    </w:p>
    <w:p>
      <w:pPr>
        <w:widowControl/>
        <w:spacing w:line="360" w:lineRule="exact"/>
        <w:ind w:firstLine="480" w:firstLineChars="200"/>
        <w:jc w:val="left"/>
        <w:rPr>
          <w:sz w:val="24"/>
          <w:highlight w:val="none"/>
        </w:rPr>
      </w:pPr>
      <w:r>
        <w:rPr>
          <w:rFonts w:hint="eastAsia"/>
          <w:sz w:val="24"/>
          <w:highlight w:val="none"/>
        </w:rPr>
        <w:t>一、具备《中华人民共和国政府采购法》第二十二条第一款和本项目规定的条件：</w:t>
      </w:r>
    </w:p>
    <w:p>
      <w:pPr>
        <w:widowControl/>
        <w:spacing w:line="360" w:lineRule="exact"/>
        <w:ind w:firstLine="480" w:firstLineChars="200"/>
        <w:jc w:val="left"/>
        <w:rPr>
          <w:sz w:val="24"/>
          <w:highlight w:val="none"/>
        </w:rPr>
      </w:pPr>
      <w:r>
        <w:rPr>
          <w:rFonts w:hint="eastAsia"/>
          <w:sz w:val="24"/>
          <w:highlight w:val="none"/>
        </w:rPr>
        <w:t xml:space="preserve">（一）具有独立承担民事责任的能力； </w:t>
      </w:r>
      <w:r>
        <w:rPr>
          <w:rFonts w:hint="eastAsia"/>
          <w:sz w:val="24"/>
          <w:highlight w:val="none"/>
        </w:rPr>
        <w:br w:type="textWrapping"/>
      </w:r>
      <w:r>
        <w:rPr>
          <w:rFonts w:hint="eastAsia"/>
          <w:sz w:val="24"/>
          <w:highlight w:val="none"/>
        </w:rPr>
        <w:t xml:space="preserve">　　（二）具有良好的商业信誉和健全的财务会计制度； </w:t>
      </w:r>
      <w:r>
        <w:rPr>
          <w:rFonts w:hint="eastAsia"/>
          <w:sz w:val="24"/>
          <w:highlight w:val="none"/>
        </w:rPr>
        <w:br w:type="textWrapping"/>
      </w:r>
      <w:r>
        <w:rPr>
          <w:rFonts w:hint="eastAsia"/>
          <w:sz w:val="24"/>
          <w:highlight w:val="none"/>
        </w:rPr>
        <w:t xml:space="preserve">　　（三）具有履行合同所必需的设备和专业技术能力； </w:t>
      </w:r>
      <w:r>
        <w:rPr>
          <w:rFonts w:hint="eastAsia"/>
          <w:sz w:val="24"/>
          <w:highlight w:val="none"/>
        </w:rPr>
        <w:br w:type="textWrapping"/>
      </w:r>
      <w:r>
        <w:rPr>
          <w:rFonts w:hint="eastAsia"/>
          <w:sz w:val="24"/>
          <w:highlight w:val="none"/>
        </w:rPr>
        <w:t xml:space="preserve">　　（四）有依法缴纳税收和社会保障资金的良好记录； </w:t>
      </w:r>
      <w:r>
        <w:rPr>
          <w:rFonts w:hint="eastAsia"/>
          <w:sz w:val="24"/>
          <w:highlight w:val="none"/>
        </w:rPr>
        <w:br w:type="textWrapping"/>
      </w:r>
      <w:r>
        <w:rPr>
          <w:rFonts w:hint="eastAsia"/>
          <w:sz w:val="24"/>
          <w:highlight w:val="none"/>
        </w:rPr>
        <w:t>　　（五）参加政府采购活动前三年内，在经营活动中没有重大违法记录；</w:t>
      </w:r>
    </w:p>
    <w:p>
      <w:pPr>
        <w:widowControl/>
        <w:spacing w:line="360" w:lineRule="exact"/>
        <w:ind w:firstLine="480" w:firstLineChars="200"/>
        <w:jc w:val="left"/>
        <w:rPr>
          <w:sz w:val="24"/>
          <w:highlight w:val="none"/>
        </w:rPr>
      </w:pPr>
      <w:r>
        <w:rPr>
          <w:rFonts w:hint="eastAsia"/>
          <w:sz w:val="24"/>
          <w:highlight w:val="none"/>
        </w:rPr>
        <w:t>（六）法律、行政法规规定的其他条件；</w:t>
      </w:r>
    </w:p>
    <w:p>
      <w:pPr>
        <w:widowControl/>
        <w:spacing w:line="360" w:lineRule="exact"/>
        <w:ind w:firstLine="480" w:firstLineChars="200"/>
        <w:jc w:val="left"/>
        <w:rPr>
          <w:sz w:val="24"/>
          <w:highlight w:val="none"/>
        </w:rPr>
      </w:pPr>
      <w:r>
        <w:rPr>
          <w:rFonts w:hint="eastAsia"/>
          <w:sz w:val="24"/>
          <w:highlight w:val="none"/>
        </w:rPr>
        <w:t>（七）根据采购项目提出的特殊条件</w:t>
      </w:r>
      <w:r>
        <w:rPr>
          <w:sz w:val="24"/>
          <w:highlight w:val="none"/>
        </w:rPr>
        <w:t>。</w:t>
      </w:r>
    </w:p>
    <w:p>
      <w:pPr>
        <w:widowControl/>
        <w:spacing w:line="360" w:lineRule="exact"/>
        <w:ind w:firstLine="480" w:firstLineChars="200"/>
        <w:jc w:val="left"/>
        <w:rPr>
          <w:sz w:val="24"/>
          <w:highlight w:val="none"/>
        </w:rPr>
      </w:pPr>
      <w:r>
        <w:rPr>
          <w:sz w:val="24"/>
          <w:highlight w:val="none"/>
        </w:rPr>
        <w:t>二、完全接受和满足本项目招标文件中规定的实质性要求，如对</w:t>
      </w:r>
      <w:r>
        <w:rPr>
          <w:rFonts w:hint="eastAsia"/>
          <w:sz w:val="24"/>
          <w:highlight w:val="none"/>
        </w:rPr>
        <w:t>招标文件、招标文件的澄清和修改（如有）及与招标文件相关的文件资料和有关附件</w:t>
      </w:r>
      <w:r>
        <w:rPr>
          <w:sz w:val="24"/>
          <w:highlight w:val="none"/>
        </w:rPr>
        <w:t>有异议，已经在投标截止时间届满前依法进行维权救济，不存在对招标文件有异议的同时又参加投标以求侥幸中标或者为实现其他非法目的的行为。</w:t>
      </w:r>
    </w:p>
    <w:p>
      <w:pPr>
        <w:widowControl/>
        <w:spacing w:line="360" w:lineRule="exact"/>
        <w:ind w:firstLine="480" w:firstLineChars="200"/>
        <w:jc w:val="left"/>
        <w:rPr>
          <w:sz w:val="24"/>
          <w:highlight w:val="none"/>
        </w:rPr>
      </w:pPr>
      <w:r>
        <w:rPr>
          <w:rFonts w:hint="eastAsia"/>
          <w:sz w:val="24"/>
          <w:highlight w:val="none"/>
        </w:rPr>
        <w:t>三、参加本次招标采购活动，不存在与单位负责人为同一人或者存在直接控股、管理关系的其他投标人参与同一合同项下的政府采购活动的行为。</w:t>
      </w:r>
    </w:p>
    <w:p>
      <w:pPr>
        <w:pStyle w:val="2"/>
        <w:spacing w:line="360" w:lineRule="exact"/>
        <w:rPr>
          <w:highlight w:val="none"/>
        </w:rPr>
      </w:pPr>
      <w:r>
        <w:rPr>
          <w:rFonts w:hint="eastAsia"/>
          <w:sz w:val="24"/>
          <w:highlight w:val="none"/>
        </w:rPr>
        <w:t xml:space="preserve">    四、投标人未对本次采购项目提供过整体设计、规范编制或者项目管理、监理、检测等服务。</w:t>
      </w:r>
    </w:p>
    <w:p>
      <w:pPr>
        <w:widowControl/>
        <w:spacing w:line="360" w:lineRule="exact"/>
        <w:ind w:firstLine="480" w:firstLineChars="200"/>
        <w:jc w:val="left"/>
        <w:rPr>
          <w:sz w:val="24"/>
          <w:highlight w:val="none"/>
        </w:rPr>
      </w:pPr>
      <w:r>
        <w:rPr>
          <w:rFonts w:hint="eastAsia"/>
          <w:sz w:val="24"/>
          <w:highlight w:val="none"/>
        </w:rPr>
        <w:t>五、参加本次招标采购活动，不存在和其他投标人在同一合同项下的采购项目中，同时委托同一个自然人、同一家庭的人员、同一单位的人员作为代理人的行为。</w:t>
      </w:r>
    </w:p>
    <w:p>
      <w:pPr>
        <w:widowControl/>
        <w:spacing w:line="360" w:lineRule="exact"/>
        <w:ind w:firstLine="480" w:firstLineChars="200"/>
        <w:jc w:val="left"/>
        <w:rPr>
          <w:sz w:val="24"/>
          <w:highlight w:val="none"/>
        </w:rPr>
      </w:pPr>
      <w:r>
        <w:rPr>
          <w:rFonts w:hint="eastAsia"/>
          <w:sz w:val="24"/>
          <w:highlight w:val="none"/>
        </w:rPr>
        <w:t>六、投标文件中提供的能够给予我公司带来优惠、好处的任何材料资料和技术、服务、商务等响应承诺情况都是真实的、有效的、合法的。</w:t>
      </w:r>
    </w:p>
    <w:p>
      <w:pPr>
        <w:widowControl/>
        <w:spacing w:line="360" w:lineRule="exact"/>
        <w:ind w:firstLine="480" w:firstLineChars="200"/>
        <w:jc w:val="left"/>
        <w:rPr>
          <w:sz w:val="24"/>
          <w:highlight w:val="none"/>
        </w:rPr>
      </w:pPr>
      <w:r>
        <w:rPr>
          <w:rFonts w:hint="eastAsia"/>
          <w:sz w:val="24"/>
          <w:highlight w:val="none"/>
        </w:rPr>
        <w:t>七、如本项目评标过程中需要提供样品，则我公司提供的样品即为中标后将要提供的中标产品，我公司对提供样品的性能和质量负责，因样品存在缺陷或者不符合招标文件要求导致未能中标的，我公司愿意承担相应不利后果。</w:t>
      </w:r>
    </w:p>
    <w:p>
      <w:pPr>
        <w:widowControl/>
        <w:spacing w:line="360" w:lineRule="exact"/>
        <w:ind w:firstLine="480" w:firstLineChars="200"/>
        <w:jc w:val="left"/>
        <w:rPr>
          <w:sz w:val="24"/>
          <w:highlight w:val="none"/>
        </w:rPr>
      </w:pPr>
      <w:r>
        <w:rPr>
          <w:rFonts w:hint="eastAsia"/>
          <w:sz w:val="24"/>
          <w:highlight w:val="none"/>
        </w:rPr>
        <w:t>八、我单位承诺截至本项目投标截止日期，未被列入失信被执行人、重大税收违法案件当事人名单、政府采购严重违法失信行为记录名单。</w:t>
      </w:r>
    </w:p>
    <w:p>
      <w:pPr>
        <w:widowControl/>
        <w:spacing w:line="360" w:lineRule="exact"/>
        <w:ind w:firstLine="480" w:firstLineChars="200"/>
        <w:jc w:val="left"/>
        <w:rPr>
          <w:sz w:val="24"/>
          <w:highlight w:val="none"/>
        </w:rPr>
      </w:pPr>
      <w:r>
        <w:rPr>
          <w:rFonts w:hint="eastAsia"/>
          <w:sz w:val="24"/>
          <w:highlight w:val="none"/>
        </w:rPr>
        <w:t>九、</w:t>
      </w:r>
      <w:r>
        <w:rPr>
          <w:rFonts w:hint="eastAsia" w:hAnsi="宋体" w:cs="宋体"/>
          <w:sz w:val="24"/>
          <w:szCs w:val="24"/>
          <w:highlight w:val="none"/>
        </w:rPr>
        <w:t>正确、妥善处理各种关系，不发生因我方原因造成上访、滋事行为。</w:t>
      </w:r>
    </w:p>
    <w:p>
      <w:pPr>
        <w:widowControl/>
        <w:spacing w:line="360" w:lineRule="exact"/>
        <w:ind w:firstLine="480" w:firstLineChars="200"/>
        <w:jc w:val="left"/>
        <w:rPr>
          <w:sz w:val="24"/>
          <w:highlight w:val="none"/>
        </w:rPr>
      </w:pPr>
      <w:r>
        <w:rPr>
          <w:rFonts w:hint="eastAsia"/>
          <w:sz w:val="24"/>
          <w:highlight w:val="none"/>
        </w:rPr>
        <w:t>本公司对上述承诺的内容事项真实性负责。如经查实上述承诺的内容事项存在虚假，我公司愿意接受以提供虚假材料谋取中标追究法律责任。</w:t>
      </w:r>
    </w:p>
    <w:p>
      <w:pPr>
        <w:widowControl/>
        <w:spacing w:line="440" w:lineRule="exact"/>
        <w:jc w:val="left"/>
        <w:rPr>
          <w:sz w:val="24"/>
          <w:highlight w:val="none"/>
        </w:rPr>
      </w:pPr>
    </w:p>
    <w:p>
      <w:pPr>
        <w:widowControl/>
        <w:spacing w:line="440" w:lineRule="exact"/>
        <w:ind w:firstLine="470" w:firstLineChars="196"/>
        <w:jc w:val="left"/>
        <w:rPr>
          <w:sz w:val="24"/>
          <w:highlight w:val="none"/>
        </w:rPr>
      </w:pPr>
      <w:r>
        <w:rPr>
          <w:rFonts w:hint="eastAsia"/>
          <w:sz w:val="24"/>
          <w:highlight w:val="none"/>
        </w:rPr>
        <w:t>投标人名称：XXXX（单位公章）。</w:t>
      </w:r>
    </w:p>
    <w:p>
      <w:pPr>
        <w:widowControl/>
        <w:spacing w:line="440" w:lineRule="exact"/>
        <w:ind w:firstLine="470" w:firstLineChars="196"/>
        <w:jc w:val="left"/>
        <w:rPr>
          <w:sz w:val="24"/>
          <w:highlight w:val="none"/>
        </w:rPr>
      </w:pPr>
      <w:r>
        <w:rPr>
          <w:rFonts w:hint="eastAsia"/>
          <w:sz w:val="24"/>
          <w:highlight w:val="none"/>
        </w:rPr>
        <w:t>法定代表人或授权代表（签字或加盖个人名章）：XXXX。</w:t>
      </w:r>
    </w:p>
    <w:p>
      <w:pPr>
        <w:widowControl/>
        <w:spacing w:line="440" w:lineRule="exact"/>
        <w:ind w:firstLine="470" w:firstLineChars="196"/>
        <w:jc w:val="left"/>
        <w:rPr>
          <w:sz w:val="24"/>
          <w:highlight w:val="none"/>
        </w:rPr>
      </w:pPr>
      <w:r>
        <w:rPr>
          <w:rFonts w:hint="eastAsia"/>
          <w:sz w:val="24"/>
          <w:highlight w:val="none"/>
        </w:rPr>
        <w:t>日    期：XXXX。</w:t>
      </w:r>
    </w:p>
    <w:p>
      <w:pPr>
        <w:pStyle w:val="4"/>
        <w:spacing w:line="400" w:lineRule="exact"/>
        <w:jc w:val="center"/>
        <w:rPr>
          <w:rFonts w:ascii="宋体" w:hAnsi="宋体" w:eastAsia="宋体"/>
          <w:szCs w:val="28"/>
          <w:highlight w:val="none"/>
        </w:rPr>
      </w:pPr>
      <w:r>
        <w:rPr>
          <w:rFonts w:hint="eastAsia" w:ascii="宋体" w:hAnsi="宋体" w:eastAsia="宋体"/>
          <w:szCs w:val="28"/>
          <w:highlight w:val="none"/>
        </w:rPr>
        <w:t>三、法定代表人身份证明</w:t>
      </w:r>
    </w:p>
    <w:p>
      <w:pPr>
        <w:spacing w:line="500" w:lineRule="exact"/>
        <w:ind w:firstLine="480" w:firstLineChars="200"/>
        <w:rPr>
          <w:rFonts w:hAnsi="宋体"/>
          <w:sz w:val="24"/>
          <w:szCs w:val="24"/>
          <w:highlight w:val="none"/>
          <w:u w:val="single"/>
        </w:rPr>
      </w:pPr>
      <w:r>
        <w:rPr>
          <w:rFonts w:hint="eastAsia" w:hAnsi="宋体"/>
          <w:sz w:val="24"/>
          <w:szCs w:val="24"/>
          <w:highlight w:val="none"/>
        </w:rPr>
        <w:t>投标人名称：</w:t>
      </w:r>
      <w:r>
        <w:rPr>
          <w:rFonts w:hint="eastAsia" w:hAnsi="宋体"/>
          <w:sz w:val="24"/>
          <w:szCs w:val="24"/>
          <w:highlight w:val="none"/>
          <w:u w:val="single"/>
        </w:rPr>
        <w:t>XXXX</w:t>
      </w:r>
    </w:p>
    <w:p>
      <w:pPr>
        <w:pStyle w:val="2"/>
        <w:spacing w:line="500" w:lineRule="exact"/>
        <w:ind w:firstLine="436" w:firstLineChars="182"/>
        <w:rPr>
          <w:rFonts w:hAnsi="宋体"/>
          <w:sz w:val="24"/>
          <w:szCs w:val="24"/>
          <w:highlight w:val="none"/>
        </w:rPr>
      </w:pPr>
      <w:r>
        <w:rPr>
          <w:rFonts w:hint="eastAsia" w:hAnsi="宋体"/>
          <w:sz w:val="24"/>
          <w:szCs w:val="24"/>
          <w:highlight w:val="none"/>
        </w:rPr>
        <w:t>单位性质：</w:t>
      </w:r>
      <w:r>
        <w:rPr>
          <w:rFonts w:hint="eastAsia" w:hAnsi="宋体"/>
          <w:sz w:val="24"/>
          <w:szCs w:val="24"/>
          <w:highlight w:val="none"/>
          <w:u w:val="single"/>
        </w:rPr>
        <w:t>XXXX</w:t>
      </w:r>
    </w:p>
    <w:p>
      <w:pPr>
        <w:pStyle w:val="2"/>
        <w:spacing w:line="500" w:lineRule="exact"/>
        <w:ind w:firstLine="436" w:firstLineChars="182"/>
        <w:rPr>
          <w:rFonts w:hAnsi="宋体"/>
          <w:sz w:val="24"/>
          <w:szCs w:val="24"/>
          <w:highlight w:val="none"/>
        </w:rPr>
      </w:pPr>
      <w:r>
        <w:rPr>
          <w:rFonts w:hint="eastAsia" w:hAnsi="宋体"/>
          <w:sz w:val="24"/>
          <w:szCs w:val="24"/>
          <w:highlight w:val="none"/>
        </w:rPr>
        <w:t>地    址：</w:t>
      </w:r>
      <w:r>
        <w:rPr>
          <w:rFonts w:hAnsi="宋体"/>
          <w:sz w:val="24"/>
          <w:szCs w:val="24"/>
          <w:highlight w:val="none"/>
          <w:u w:val="single"/>
        </w:rPr>
        <w:t>XXXX</w:t>
      </w:r>
    </w:p>
    <w:p>
      <w:pPr>
        <w:pStyle w:val="2"/>
        <w:spacing w:line="500" w:lineRule="exact"/>
        <w:ind w:firstLine="436" w:firstLineChars="182"/>
        <w:rPr>
          <w:rFonts w:hAnsi="宋体"/>
          <w:sz w:val="24"/>
          <w:szCs w:val="24"/>
          <w:highlight w:val="none"/>
        </w:rPr>
      </w:pPr>
      <w:r>
        <w:rPr>
          <w:rFonts w:hint="eastAsia" w:hAnsi="宋体"/>
          <w:sz w:val="24"/>
          <w:szCs w:val="24"/>
          <w:highlight w:val="none"/>
        </w:rPr>
        <w:t>成立时间：</w:t>
      </w:r>
      <w:r>
        <w:rPr>
          <w:rFonts w:hAnsi="宋体"/>
          <w:sz w:val="24"/>
          <w:szCs w:val="24"/>
          <w:highlight w:val="none"/>
          <w:u w:val="single"/>
        </w:rPr>
        <w:t>XXXX</w:t>
      </w:r>
      <w:r>
        <w:rPr>
          <w:rFonts w:hint="eastAsia" w:hAnsi="宋体"/>
          <w:sz w:val="24"/>
          <w:szCs w:val="24"/>
          <w:highlight w:val="none"/>
        </w:rPr>
        <w:br w:type="textWrapping"/>
      </w:r>
      <w:r>
        <w:rPr>
          <w:rFonts w:hint="eastAsia" w:hAnsi="宋体"/>
          <w:sz w:val="24"/>
          <w:szCs w:val="24"/>
          <w:highlight w:val="none"/>
        </w:rPr>
        <w:t xml:space="preserve">    经营期限：</w:t>
      </w:r>
      <w:r>
        <w:rPr>
          <w:rFonts w:hAnsi="宋体"/>
          <w:sz w:val="24"/>
          <w:szCs w:val="24"/>
          <w:highlight w:val="none"/>
          <w:u w:val="single"/>
        </w:rPr>
        <w:t>XXXX</w:t>
      </w:r>
    </w:p>
    <w:p>
      <w:pPr>
        <w:spacing w:line="500" w:lineRule="exact"/>
        <w:ind w:firstLine="480" w:firstLineChars="200"/>
        <w:rPr>
          <w:rFonts w:hAnsi="宋体"/>
          <w:sz w:val="24"/>
          <w:szCs w:val="24"/>
          <w:highlight w:val="none"/>
        </w:rPr>
      </w:pPr>
      <w:r>
        <w:rPr>
          <w:rFonts w:hAnsi="宋体"/>
          <w:sz w:val="24"/>
          <w:szCs w:val="24"/>
          <w:highlight w:val="none"/>
          <w:u w:val="single"/>
        </w:rPr>
        <w:t>XXXX</w:t>
      </w:r>
      <w:r>
        <w:rPr>
          <w:rFonts w:hint="eastAsia" w:hAnsi="宋体"/>
          <w:sz w:val="24"/>
          <w:szCs w:val="24"/>
          <w:highlight w:val="none"/>
        </w:rPr>
        <w:t>（法定代表人姓名/性别/职务）系</w:t>
      </w:r>
      <w:r>
        <w:rPr>
          <w:rFonts w:hint="eastAsia" w:hAnsi="宋体"/>
          <w:sz w:val="24"/>
          <w:szCs w:val="24"/>
          <w:highlight w:val="none"/>
          <w:u w:val="single"/>
        </w:rPr>
        <w:t>XXXX</w:t>
      </w:r>
      <w:r>
        <w:rPr>
          <w:rFonts w:hint="eastAsia" w:hAnsi="宋体"/>
          <w:sz w:val="24"/>
          <w:szCs w:val="24"/>
          <w:highlight w:val="none"/>
        </w:rPr>
        <w:t>（投标人名称）的法定代表人。</w:t>
      </w:r>
    </w:p>
    <w:p>
      <w:pPr>
        <w:pStyle w:val="2"/>
        <w:spacing w:line="500" w:lineRule="exact"/>
        <w:rPr>
          <w:rFonts w:hAnsi="宋体"/>
          <w:sz w:val="24"/>
          <w:szCs w:val="24"/>
          <w:highlight w:val="none"/>
        </w:rPr>
      </w:pPr>
      <w:r>
        <w:rPr>
          <w:rFonts w:hint="eastAsia" w:hAnsi="宋体"/>
          <w:sz w:val="24"/>
          <w:szCs w:val="24"/>
          <w:highlight w:val="none"/>
        </w:rPr>
        <w:t xml:space="preserve">   特此证明</w:t>
      </w:r>
    </w:p>
    <w:p>
      <w:pPr>
        <w:spacing w:line="500" w:lineRule="exact"/>
        <w:jc w:val="left"/>
        <w:rPr>
          <w:rFonts w:hAnsi="宋体"/>
          <w:sz w:val="24"/>
          <w:szCs w:val="24"/>
          <w:highlight w:val="none"/>
        </w:rPr>
      </w:pPr>
    </w:p>
    <w:p>
      <w:pPr>
        <w:spacing w:line="500" w:lineRule="exact"/>
        <w:jc w:val="right"/>
        <w:rPr>
          <w:rFonts w:hAnsi="宋体"/>
          <w:sz w:val="24"/>
          <w:szCs w:val="24"/>
          <w:highlight w:val="none"/>
        </w:rPr>
      </w:pPr>
      <w:r>
        <w:rPr>
          <w:rFonts w:hint="eastAsia" w:hAnsi="宋体"/>
          <w:sz w:val="24"/>
          <w:szCs w:val="24"/>
          <w:highlight w:val="none"/>
        </w:rPr>
        <w:t xml:space="preserve">  投标人名称：         （盖章）</w:t>
      </w:r>
    </w:p>
    <w:p>
      <w:pPr>
        <w:pStyle w:val="8"/>
        <w:spacing w:line="500" w:lineRule="exact"/>
        <w:ind w:firstLine="0" w:firstLineChars="0"/>
        <w:jc w:val="right"/>
        <w:rPr>
          <w:sz w:val="24"/>
          <w:highlight w:val="none"/>
        </w:rPr>
      </w:pPr>
    </w:p>
    <w:p>
      <w:pPr>
        <w:pStyle w:val="8"/>
        <w:spacing w:line="500" w:lineRule="exact"/>
        <w:ind w:firstLine="0" w:firstLineChars="0"/>
        <w:jc w:val="right"/>
        <w:rPr>
          <w:sz w:val="24"/>
          <w:highlight w:val="none"/>
        </w:rPr>
      </w:pPr>
      <w:r>
        <w:rPr>
          <w:rFonts w:hint="eastAsia"/>
          <w:sz w:val="24"/>
          <w:highlight w:val="none"/>
        </w:rPr>
        <w:t xml:space="preserve"> 年     月    日 </w:t>
      </w:r>
    </w:p>
    <w:p>
      <w:pPr>
        <w:widowControl/>
        <w:jc w:val="right"/>
        <w:rPr>
          <w:rFonts w:hAnsi="宋体" w:cs="宋体"/>
          <w:sz w:val="24"/>
          <w:szCs w:val="24"/>
          <w:highlight w:val="none"/>
        </w:rPr>
      </w:pPr>
    </w:p>
    <w:p>
      <w:pPr>
        <w:widowControl/>
        <w:spacing w:line="360" w:lineRule="auto"/>
        <w:jc w:val="left"/>
        <w:rPr>
          <w:rFonts w:hAnsi="宋体" w:cs="宋体"/>
          <w:sz w:val="24"/>
          <w:szCs w:val="24"/>
          <w:highlight w:val="none"/>
        </w:rPr>
      </w:pPr>
    </w:p>
    <w:p>
      <w:pPr>
        <w:widowControl/>
        <w:spacing w:line="360" w:lineRule="auto"/>
        <w:jc w:val="left"/>
        <w:rPr>
          <w:rFonts w:hAnsi="宋体"/>
          <w:b/>
          <w:sz w:val="24"/>
          <w:highlight w:val="none"/>
        </w:rPr>
      </w:pPr>
      <w:r>
        <w:rPr>
          <w:rFonts w:hint="eastAsia" w:hAnsi="宋体" w:cs="宋体"/>
          <w:sz w:val="24"/>
          <w:szCs w:val="24"/>
          <w:highlight w:val="none"/>
        </w:rPr>
        <w:t>注：该项仅为</w:t>
      </w:r>
      <w:r>
        <w:rPr>
          <w:rFonts w:hAnsi="宋体" w:cs="宋体"/>
          <w:sz w:val="24"/>
          <w:szCs w:val="24"/>
          <w:highlight w:val="none"/>
        </w:rPr>
        <w:t>法定代表人参与投标时提供</w:t>
      </w:r>
      <w:r>
        <w:rPr>
          <w:rFonts w:hint="eastAsia" w:hAnsi="宋体" w:cs="宋体"/>
          <w:sz w:val="24"/>
          <w:szCs w:val="24"/>
          <w:highlight w:val="none"/>
        </w:rPr>
        <w:t>，并</w:t>
      </w:r>
      <w:r>
        <w:rPr>
          <w:rFonts w:hint="eastAsia" w:hAnsi="宋体"/>
          <w:bCs/>
          <w:sz w:val="24"/>
          <w:highlight w:val="none"/>
          <w:lang w:val="zh-CN"/>
        </w:rPr>
        <w:t>附有法定代表人身份证复印件（身份证两面均应复印）时才能生效,不允许粘贴。</w:t>
      </w:r>
    </w:p>
    <w:p>
      <w:pPr>
        <w:tabs>
          <w:tab w:val="left" w:pos="720"/>
          <w:tab w:val="left" w:pos="6300"/>
        </w:tabs>
        <w:ind w:firstLine="573"/>
        <w:rPr>
          <w:rFonts w:hAnsi="宋体"/>
          <w:b/>
          <w:sz w:val="24"/>
          <w:highlight w:val="none"/>
          <w:lang w:val="zh-CN"/>
        </w:rPr>
      </w:pPr>
    </w:p>
    <w:p>
      <w:pPr>
        <w:pStyle w:val="18"/>
        <w:spacing w:before="480" w:after="480"/>
        <w:rPr>
          <w:highlight w:val="none"/>
          <w:lang w:val="zh-CN"/>
        </w:rPr>
      </w:pPr>
    </w:p>
    <w:p>
      <w:pPr>
        <w:tabs>
          <w:tab w:val="left" w:pos="720"/>
          <w:tab w:val="left" w:pos="6300"/>
        </w:tabs>
        <w:spacing w:line="360" w:lineRule="auto"/>
        <w:ind w:firstLine="573"/>
        <w:rPr>
          <w:rFonts w:hAnsi="宋体"/>
          <w:b/>
          <w:sz w:val="24"/>
          <w:highlight w:val="none"/>
          <w:lang w:val="zh-CN"/>
        </w:rPr>
      </w:pPr>
    </w:p>
    <w:p>
      <w:pPr>
        <w:pStyle w:val="14"/>
        <w:spacing w:line="240" w:lineRule="auto"/>
        <w:ind w:left="16" w:leftChars="0" w:hanging="16" w:hangingChars="7"/>
        <w:jc w:val="left"/>
        <w:rPr>
          <w:rFonts w:hAnsi="宋体"/>
          <w:bCs/>
          <w:sz w:val="24"/>
          <w:highlight w:val="none"/>
        </w:rPr>
      </w:pPr>
    </w:p>
    <w:p>
      <w:pPr>
        <w:pStyle w:val="14"/>
        <w:spacing w:line="240" w:lineRule="auto"/>
        <w:ind w:left="16" w:leftChars="0" w:hanging="16" w:hangingChars="7"/>
        <w:jc w:val="left"/>
        <w:rPr>
          <w:rFonts w:hAnsi="宋体"/>
          <w:bCs/>
          <w:sz w:val="24"/>
          <w:highlight w:val="none"/>
        </w:rPr>
      </w:pPr>
    </w:p>
    <w:p>
      <w:pPr>
        <w:pStyle w:val="14"/>
        <w:spacing w:line="240" w:lineRule="auto"/>
        <w:ind w:left="16" w:leftChars="0" w:hanging="16" w:hangingChars="7"/>
        <w:jc w:val="left"/>
        <w:rPr>
          <w:rFonts w:hAnsi="宋体"/>
          <w:bCs/>
          <w:sz w:val="24"/>
          <w:highlight w:val="none"/>
        </w:rPr>
      </w:pPr>
    </w:p>
    <w:p>
      <w:pPr>
        <w:pStyle w:val="14"/>
        <w:spacing w:line="240" w:lineRule="auto"/>
        <w:ind w:left="16" w:leftChars="0" w:hanging="16" w:hangingChars="7"/>
        <w:jc w:val="left"/>
        <w:rPr>
          <w:rFonts w:hAnsi="宋体"/>
          <w:bCs/>
          <w:sz w:val="24"/>
          <w:highlight w:val="none"/>
        </w:rPr>
      </w:pPr>
    </w:p>
    <w:p>
      <w:pPr>
        <w:pStyle w:val="14"/>
        <w:spacing w:line="240" w:lineRule="auto"/>
        <w:ind w:left="16" w:leftChars="0" w:hanging="16" w:hangingChars="7"/>
        <w:jc w:val="left"/>
        <w:rPr>
          <w:rFonts w:hAnsi="宋体"/>
          <w:bCs/>
          <w:sz w:val="24"/>
          <w:highlight w:val="none"/>
        </w:rPr>
      </w:pPr>
    </w:p>
    <w:p>
      <w:pPr>
        <w:pStyle w:val="14"/>
        <w:spacing w:line="240" w:lineRule="auto"/>
        <w:ind w:left="16" w:leftChars="0" w:hanging="16" w:hangingChars="7"/>
        <w:jc w:val="left"/>
        <w:rPr>
          <w:rFonts w:hAnsi="宋体"/>
          <w:bCs/>
          <w:sz w:val="24"/>
          <w:highlight w:val="none"/>
        </w:rPr>
      </w:pPr>
    </w:p>
    <w:p>
      <w:pPr>
        <w:pStyle w:val="14"/>
        <w:spacing w:line="240" w:lineRule="auto"/>
        <w:ind w:left="16" w:leftChars="0" w:hanging="16" w:hangingChars="7"/>
        <w:jc w:val="left"/>
        <w:rPr>
          <w:rFonts w:hAnsi="宋体"/>
          <w:bCs/>
          <w:sz w:val="24"/>
          <w:highlight w:val="none"/>
        </w:rPr>
      </w:pPr>
    </w:p>
    <w:p>
      <w:pPr>
        <w:pStyle w:val="14"/>
        <w:spacing w:line="240" w:lineRule="auto"/>
        <w:ind w:left="16" w:leftChars="0" w:hanging="16" w:hangingChars="7"/>
        <w:jc w:val="left"/>
        <w:rPr>
          <w:rFonts w:hAnsi="宋体"/>
          <w:bCs/>
          <w:sz w:val="24"/>
          <w:highlight w:val="none"/>
        </w:rPr>
      </w:pPr>
    </w:p>
    <w:p>
      <w:pPr>
        <w:pStyle w:val="14"/>
        <w:spacing w:line="240" w:lineRule="auto"/>
        <w:ind w:left="16" w:leftChars="0" w:hanging="16" w:hangingChars="7"/>
        <w:jc w:val="left"/>
        <w:rPr>
          <w:rFonts w:hAnsi="宋体"/>
          <w:bCs/>
          <w:sz w:val="24"/>
          <w:highlight w:val="none"/>
        </w:rPr>
      </w:pPr>
    </w:p>
    <w:p>
      <w:pPr>
        <w:pStyle w:val="14"/>
        <w:spacing w:line="240" w:lineRule="auto"/>
        <w:ind w:left="16" w:leftChars="0" w:hanging="16" w:hangingChars="7"/>
        <w:jc w:val="left"/>
        <w:rPr>
          <w:rFonts w:hAnsi="宋体"/>
          <w:bCs/>
          <w:sz w:val="24"/>
          <w:highlight w:val="none"/>
        </w:rPr>
      </w:pPr>
    </w:p>
    <w:p>
      <w:pPr>
        <w:pStyle w:val="2"/>
        <w:rPr>
          <w:sz w:val="24"/>
          <w:highlight w:val="none"/>
        </w:rPr>
      </w:pPr>
    </w:p>
    <w:p>
      <w:pPr>
        <w:pStyle w:val="2"/>
        <w:rPr>
          <w:sz w:val="24"/>
          <w:highlight w:val="none"/>
        </w:rPr>
      </w:pPr>
    </w:p>
    <w:p>
      <w:pPr>
        <w:pStyle w:val="2"/>
        <w:rPr>
          <w:sz w:val="24"/>
          <w:highlight w:val="none"/>
        </w:rPr>
      </w:pPr>
    </w:p>
    <w:p>
      <w:pPr>
        <w:widowControl/>
        <w:spacing w:line="500" w:lineRule="exact"/>
        <w:jc w:val="center"/>
        <w:outlineLvl w:val="1"/>
        <w:rPr>
          <w:rFonts w:ascii="黑体" w:eastAsia="黑体"/>
          <w:b/>
          <w:sz w:val="32"/>
          <w:szCs w:val="32"/>
          <w:highlight w:val="none"/>
        </w:rPr>
      </w:pPr>
      <w:r>
        <w:rPr>
          <w:rFonts w:hint="eastAsia" w:ascii="黑体" w:eastAsia="黑体"/>
          <w:b/>
          <w:sz w:val="32"/>
          <w:szCs w:val="32"/>
          <w:highlight w:val="none"/>
        </w:rPr>
        <w:t>四、法定代表人授权书</w:t>
      </w:r>
      <w:bookmarkEnd w:id="120"/>
    </w:p>
    <w:p>
      <w:pPr>
        <w:pStyle w:val="2"/>
        <w:rPr>
          <w:highlight w:val="none"/>
        </w:rPr>
      </w:pPr>
    </w:p>
    <w:p>
      <w:pPr>
        <w:widowControl/>
        <w:spacing w:line="500" w:lineRule="exact"/>
        <w:jc w:val="left"/>
        <w:rPr>
          <w:sz w:val="24"/>
          <w:highlight w:val="none"/>
          <w:u w:val="single"/>
        </w:rPr>
      </w:pPr>
      <w:r>
        <w:rPr>
          <w:rFonts w:hint="eastAsia"/>
          <w:sz w:val="24"/>
          <w:highlight w:val="none"/>
          <w:u w:val="single"/>
        </w:rPr>
        <w:t>（代理机构名称）：</w:t>
      </w:r>
    </w:p>
    <w:p>
      <w:pPr>
        <w:spacing w:line="500" w:lineRule="exact"/>
        <w:ind w:firstLine="480" w:firstLineChars="200"/>
        <w:rPr>
          <w:rFonts w:hAnsi="宋体"/>
          <w:sz w:val="24"/>
          <w:szCs w:val="24"/>
          <w:highlight w:val="none"/>
        </w:rPr>
      </w:pPr>
      <w:r>
        <w:rPr>
          <w:rFonts w:hint="eastAsia" w:hAnsi="宋体"/>
          <w:sz w:val="24"/>
          <w:szCs w:val="24"/>
          <w:highlight w:val="none"/>
        </w:rPr>
        <w:t>本授权声明：</w:t>
      </w:r>
      <w:r>
        <w:rPr>
          <w:rFonts w:hint="eastAsia" w:hAnsi="宋体"/>
          <w:sz w:val="24"/>
          <w:szCs w:val="24"/>
          <w:highlight w:val="none"/>
          <w:u w:val="single"/>
        </w:rPr>
        <w:t>XXXXXXXX</w:t>
      </w:r>
      <w:r>
        <w:rPr>
          <w:rFonts w:hint="eastAsia" w:hAnsi="宋体"/>
          <w:sz w:val="24"/>
          <w:szCs w:val="24"/>
          <w:highlight w:val="none"/>
        </w:rPr>
        <w:t>（投标人名称）</w:t>
      </w:r>
      <w:r>
        <w:rPr>
          <w:rFonts w:hint="eastAsia" w:hAnsi="宋体"/>
          <w:sz w:val="24"/>
          <w:szCs w:val="24"/>
          <w:highlight w:val="none"/>
          <w:u w:val="single"/>
        </w:rPr>
        <w:t>XXXX</w:t>
      </w:r>
      <w:r>
        <w:rPr>
          <w:rFonts w:hint="eastAsia" w:hAnsi="宋体"/>
          <w:sz w:val="24"/>
          <w:szCs w:val="24"/>
          <w:highlight w:val="none"/>
        </w:rPr>
        <w:t>（法定代表人姓名、职务）授权</w:t>
      </w:r>
      <w:r>
        <w:rPr>
          <w:rFonts w:hint="eastAsia" w:hAnsi="宋体"/>
          <w:sz w:val="24"/>
          <w:szCs w:val="24"/>
          <w:highlight w:val="none"/>
          <w:u w:val="single"/>
        </w:rPr>
        <w:t>XXXX</w:t>
      </w:r>
      <w:r>
        <w:rPr>
          <w:rFonts w:hint="eastAsia" w:hAnsi="宋体"/>
          <w:sz w:val="24"/>
          <w:szCs w:val="24"/>
          <w:highlight w:val="none"/>
        </w:rPr>
        <w:t>（被授权人姓名、职务）为我方 “</w:t>
      </w:r>
      <w:r>
        <w:rPr>
          <w:rFonts w:hint="eastAsia" w:hAnsi="宋体"/>
          <w:sz w:val="24"/>
          <w:szCs w:val="24"/>
          <w:highlight w:val="none"/>
          <w:u w:val="single"/>
        </w:rPr>
        <w:t>XXXX</w:t>
      </w:r>
      <w:r>
        <w:rPr>
          <w:rFonts w:hint="eastAsia" w:hAnsi="宋体"/>
          <w:sz w:val="24"/>
          <w:szCs w:val="24"/>
          <w:highlight w:val="none"/>
        </w:rPr>
        <w:t>” 项目（招标编号：</w:t>
      </w:r>
      <w:r>
        <w:rPr>
          <w:rFonts w:hint="eastAsia" w:hAnsi="宋体"/>
          <w:sz w:val="24"/>
          <w:szCs w:val="24"/>
          <w:highlight w:val="none"/>
          <w:u w:val="single"/>
        </w:rPr>
        <w:t>XXXX</w:t>
      </w:r>
      <w:r>
        <w:rPr>
          <w:rFonts w:hint="eastAsia" w:hAnsi="宋体"/>
          <w:sz w:val="24"/>
          <w:szCs w:val="24"/>
          <w:highlight w:val="none"/>
        </w:rPr>
        <w:t>）投标活动的合法代表，以我方名义全权处理该项目有关投标、签订合同以及执行合同等一切事宜，我公司均予承认，所产生的法律后果均由我单位承担。</w:t>
      </w:r>
    </w:p>
    <w:p>
      <w:pPr>
        <w:spacing w:line="500" w:lineRule="exact"/>
        <w:ind w:firstLine="480" w:firstLineChars="200"/>
        <w:rPr>
          <w:rFonts w:hAnsi="宋体"/>
          <w:sz w:val="24"/>
          <w:szCs w:val="24"/>
          <w:highlight w:val="none"/>
        </w:rPr>
      </w:pPr>
      <w:r>
        <w:rPr>
          <w:rFonts w:hint="eastAsia" w:hAnsi="宋体"/>
          <w:sz w:val="24"/>
          <w:szCs w:val="24"/>
          <w:highlight w:val="none"/>
        </w:rPr>
        <w:t>代理人无转委托权，本授权书自</w:t>
      </w:r>
      <w:r>
        <w:rPr>
          <w:rFonts w:hint="eastAsia" w:hAnsi="宋体"/>
          <w:sz w:val="24"/>
          <w:szCs w:val="24"/>
          <w:highlight w:val="none"/>
          <w:u w:val="single"/>
        </w:rPr>
        <w:t>XXX</w:t>
      </w:r>
      <w:r>
        <w:rPr>
          <w:rFonts w:hint="eastAsia" w:hAnsi="宋体"/>
          <w:sz w:val="24"/>
          <w:szCs w:val="24"/>
          <w:highlight w:val="none"/>
        </w:rPr>
        <w:t>年</w:t>
      </w:r>
      <w:r>
        <w:rPr>
          <w:rFonts w:hint="eastAsia" w:hAnsi="宋体"/>
          <w:sz w:val="24"/>
          <w:szCs w:val="24"/>
          <w:highlight w:val="none"/>
          <w:u w:val="single"/>
        </w:rPr>
        <w:tab/>
      </w:r>
      <w:r>
        <w:rPr>
          <w:rFonts w:hint="eastAsia" w:hAnsi="宋体"/>
          <w:sz w:val="24"/>
          <w:szCs w:val="24"/>
          <w:highlight w:val="none"/>
          <w:u w:val="single"/>
        </w:rPr>
        <w:t>XXX</w:t>
      </w:r>
      <w:r>
        <w:rPr>
          <w:rFonts w:hint="eastAsia" w:hAnsi="宋体"/>
          <w:sz w:val="24"/>
          <w:szCs w:val="24"/>
          <w:highlight w:val="none"/>
        </w:rPr>
        <w:t>月</w:t>
      </w:r>
      <w:r>
        <w:rPr>
          <w:rFonts w:hint="eastAsia" w:hAnsi="宋体"/>
          <w:sz w:val="24"/>
          <w:szCs w:val="24"/>
          <w:highlight w:val="none"/>
          <w:u w:val="single"/>
        </w:rPr>
        <w:t>XXX</w:t>
      </w:r>
      <w:r>
        <w:rPr>
          <w:rFonts w:hint="eastAsia" w:hAnsi="宋体"/>
          <w:sz w:val="24"/>
          <w:szCs w:val="24"/>
          <w:highlight w:val="none"/>
        </w:rPr>
        <w:t>日生效，特此声明。</w:t>
      </w: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r>
        <w:rPr>
          <w:rFonts w:hint="eastAsia"/>
          <w:sz w:val="24"/>
          <w:highlight w:val="none"/>
        </w:rPr>
        <w:t>法定代表人签字或者加盖个人名章：XXXX。</w:t>
      </w:r>
    </w:p>
    <w:p>
      <w:pPr>
        <w:widowControl/>
        <w:spacing w:line="500" w:lineRule="exact"/>
        <w:ind w:firstLine="470" w:firstLineChars="196"/>
        <w:jc w:val="left"/>
        <w:rPr>
          <w:sz w:val="24"/>
          <w:highlight w:val="none"/>
        </w:rPr>
      </w:pPr>
      <w:r>
        <w:rPr>
          <w:rFonts w:hint="eastAsia"/>
          <w:sz w:val="24"/>
          <w:highlight w:val="none"/>
        </w:rPr>
        <w:t>授权代表签字：XXXX。</w:t>
      </w:r>
    </w:p>
    <w:p>
      <w:pPr>
        <w:widowControl/>
        <w:spacing w:line="500" w:lineRule="exact"/>
        <w:ind w:firstLine="470" w:firstLineChars="196"/>
        <w:jc w:val="left"/>
        <w:rPr>
          <w:sz w:val="24"/>
          <w:highlight w:val="none"/>
        </w:rPr>
      </w:pPr>
      <w:r>
        <w:rPr>
          <w:rFonts w:hint="eastAsia"/>
          <w:sz w:val="24"/>
          <w:highlight w:val="none"/>
        </w:rPr>
        <w:t>投标人名称：XXXX（单位盖章）。</w:t>
      </w:r>
    </w:p>
    <w:p>
      <w:pPr>
        <w:widowControl/>
        <w:spacing w:line="500" w:lineRule="exact"/>
        <w:ind w:firstLine="470" w:firstLineChars="196"/>
        <w:jc w:val="left"/>
        <w:rPr>
          <w:sz w:val="24"/>
          <w:highlight w:val="none"/>
        </w:rPr>
      </w:pPr>
      <w:r>
        <w:rPr>
          <w:rFonts w:hint="eastAsia"/>
          <w:sz w:val="24"/>
          <w:highlight w:val="none"/>
        </w:rPr>
        <w:t>日    期：XXXX。</w:t>
      </w:r>
    </w:p>
    <w:p>
      <w:pPr>
        <w:widowControl/>
        <w:spacing w:line="500" w:lineRule="exact"/>
        <w:jc w:val="left"/>
        <w:rPr>
          <w:b/>
          <w:sz w:val="24"/>
          <w:highlight w:val="none"/>
        </w:rPr>
      </w:pPr>
      <w:bookmarkStart w:id="125" w:name="_Toc217446084"/>
    </w:p>
    <w:p>
      <w:pPr>
        <w:widowControl/>
        <w:spacing w:line="500" w:lineRule="exact"/>
        <w:ind w:firstLine="470" w:firstLineChars="196"/>
        <w:jc w:val="left"/>
        <w:rPr>
          <w:sz w:val="24"/>
          <w:szCs w:val="22"/>
          <w:highlight w:val="none"/>
        </w:rPr>
      </w:pPr>
      <w:r>
        <w:rPr>
          <w:rFonts w:hint="eastAsia"/>
          <w:sz w:val="24"/>
          <w:szCs w:val="22"/>
          <w:highlight w:val="none"/>
        </w:rPr>
        <w:t>说明：1）上述证明文件在投标文件中附有法定代表人身份证复印件和代理人身份证复印件（身份证两面均应复印）时才能生效，不允许粘贴。</w:t>
      </w:r>
    </w:p>
    <w:p>
      <w:pPr>
        <w:widowControl/>
        <w:spacing w:line="500" w:lineRule="exact"/>
        <w:ind w:firstLine="470" w:firstLineChars="196"/>
        <w:jc w:val="left"/>
        <w:rPr>
          <w:sz w:val="24"/>
          <w:szCs w:val="22"/>
          <w:highlight w:val="none"/>
        </w:rPr>
      </w:pPr>
      <w:r>
        <w:rPr>
          <w:rFonts w:hint="eastAsia"/>
          <w:sz w:val="24"/>
          <w:szCs w:val="22"/>
          <w:highlight w:val="none"/>
        </w:rPr>
        <w:t>2）投标文件由投标人法定代表人签字或加盖印章的,投标文件中可不提供法定代表人授权委托书及代理人身份证复印件，但必须提供法定代表人身份证复印件及法定代表人身份证明。</w:t>
      </w:r>
    </w:p>
    <w:p>
      <w:pPr>
        <w:widowControl/>
        <w:spacing w:line="500" w:lineRule="exact"/>
        <w:jc w:val="left"/>
        <w:rPr>
          <w:b/>
          <w:sz w:val="24"/>
          <w:highlight w:val="none"/>
        </w:rPr>
      </w:pPr>
    </w:p>
    <w:p>
      <w:pPr>
        <w:widowControl/>
        <w:spacing w:line="500" w:lineRule="exact"/>
        <w:jc w:val="left"/>
        <w:rPr>
          <w:b/>
          <w:sz w:val="24"/>
          <w:highlight w:val="none"/>
        </w:rPr>
      </w:pPr>
    </w:p>
    <w:p>
      <w:pPr>
        <w:widowControl/>
        <w:spacing w:line="500" w:lineRule="exact"/>
        <w:jc w:val="left"/>
        <w:rPr>
          <w:b/>
          <w:sz w:val="24"/>
          <w:highlight w:val="none"/>
        </w:rPr>
      </w:pPr>
    </w:p>
    <w:p>
      <w:pPr>
        <w:widowControl/>
        <w:spacing w:line="500" w:lineRule="exact"/>
        <w:jc w:val="left"/>
        <w:rPr>
          <w:b/>
          <w:sz w:val="24"/>
          <w:highlight w:val="none"/>
        </w:rPr>
      </w:pPr>
    </w:p>
    <w:p>
      <w:pPr>
        <w:widowControl/>
        <w:spacing w:line="500" w:lineRule="exact"/>
        <w:jc w:val="left"/>
        <w:rPr>
          <w:b/>
          <w:sz w:val="24"/>
          <w:highlight w:val="none"/>
        </w:rPr>
      </w:pPr>
    </w:p>
    <w:p>
      <w:pPr>
        <w:widowControl/>
        <w:spacing w:line="500" w:lineRule="exact"/>
        <w:jc w:val="left"/>
        <w:rPr>
          <w:b/>
          <w:sz w:val="24"/>
          <w:highlight w:val="none"/>
        </w:rPr>
      </w:pPr>
    </w:p>
    <w:p>
      <w:pPr>
        <w:pStyle w:val="2"/>
        <w:rPr>
          <w:highlight w:val="none"/>
        </w:rPr>
      </w:pPr>
    </w:p>
    <w:p>
      <w:pPr>
        <w:widowControl/>
        <w:spacing w:line="500" w:lineRule="exact"/>
        <w:jc w:val="left"/>
        <w:rPr>
          <w:b/>
          <w:sz w:val="24"/>
          <w:highlight w:val="none"/>
        </w:rPr>
      </w:pPr>
    </w:p>
    <w:bookmarkEnd w:id="125"/>
    <w:p>
      <w:pPr>
        <w:widowControl/>
        <w:spacing w:line="500" w:lineRule="exact"/>
        <w:jc w:val="center"/>
        <w:outlineLvl w:val="1"/>
        <w:rPr>
          <w:rFonts w:ascii="黑体" w:eastAsia="黑体"/>
          <w:b/>
          <w:sz w:val="32"/>
          <w:szCs w:val="32"/>
          <w:highlight w:val="none"/>
        </w:rPr>
      </w:pPr>
      <w:bookmarkStart w:id="126" w:name="_Toc217446085"/>
      <w:r>
        <w:rPr>
          <w:rFonts w:hint="eastAsia" w:ascii="黑体" w:eastAsia="黑体"/>
          <w:b/>
          <w:sz w:val="32"/>
          <w:szCs w:val="32"/>
          <w:highlight w:val="none"/>
        </w:rPr>
        <w:t>五、开标一览表</w:t>
      </w:r>
      <w:bookmarkEnd w:id="126"/>
    </w:p>
    <w:p>
      <w:pPr>
        <w:widowControl/>
        <w:spacing w:line="500" w:lineRule="exact"/>
        <w:ind w:firstLine="480" w:firstLineChars="200"/>
        <w:jc w:val="left"/>
        <w:rPr>
          <w:sz w:val="24"/>
          <w:highlight w:val="none"/>
        </w:rPr>
      </w:pPr>
      <w:r>
        <w:rPr>
          <w:rFonts w:hint="eastAsia"/>
          <w:sz w:val="24"/>
          <w:highlight w:val="none"/>
        </w:rPr>
        <w:t>项目名称：</w:t>
      </w:r>
    </w:p>
    <w:p>
      <w:pPr>
        <w:widowControl/>
        <w:spacing w:line="500" w:lineRule="exact"/>
        <w:ind w:firstLine="470" w:firstLineChars="196"/>
        <w:jc w:val="left"/>
        <w:rPr>
          <w:sz w:val="24"/>
          <w:highlight w:val="none"/>
        </w:rPr>
      </w:pPr>
      <w:r>
        <w:rPr>
          <w:rFonts w:hint="eastAsia"/>
          <w:sz w:val="24"/>
          <w:highlight w:val="none"/>
        </w:rPr>
        <w:t>招标编号：</w:t>
      </w:r>
    </w:p>
    <w:tbl>
      <w:tblPr>
        <w:tblStyle w:val="27"/>
        <w:tblW w:w="85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2383"/>
        <w:gridCol w:w="2790"/>
        <w:gridCol w:w="2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746" w:type="dxa"/>
            <w:vAlign w:val="center"/>
          </w:tcPr>
          <w:p>
            <w:pPr>
              <w:widowControl/>
              <w:spacing w:line="500" w:lineRule="exact"/>
              <w:jc w:val="center"/>
              <w:rPr>
                <w:sz w:val="24"/>
                <w:highlight w:val="none"/>
              </w:rPr>
            </w:pPr>
            <w:r>
              <w:rPr>
                <w:rFonts w:hint="eastAsia"/>
                <w:sz w:val="24"/>
                <w:highlight w:val="none"/>
              </w:rPr>
              <w:t>序号</w:t>
            </w:r>
          </w:p>
        </w:tc>
        <w:tc>
          <w:tcPr>
            <w:tcW w:w="2383" w:type="dxa"/>
            <w:vAlign w:val="center"/>
          </w:tcPr>
          <w:p>
            <w:pPr>
              <w:widowControl/>
              <w:spacing w:line="500" w:lineRule="exact"/>
              <w:jc w:val="center"/>
              <w:rPr>
                <w:sz w:val="24"/>
                <w:highlight w:val="none"/>
              </w:rPr>
            </w:pPr>
            <w:r>
              <w:rPr>
                <w:rFonts w:hint="eastAsia"/>
                <w:sz w:val="24"/>
                <w:highlight w:val="none"/>
              </w:rPr>
              <w:t>项目名称</w:t>
            </w:r>
          </w:p>
        </w:tc>
        <w:tc>
          <w:tcPr>
            <w:tcW w:w="2790" w:type="dxa"/>
            <w:vAlign w:val="center"/>
          </w:tcPr>
          <w:p>
            <w:pPr>
              <w:widowControl/>
              <w:spacing w:line="500" w:lineRule="exact"/>
              <w:jc w:val="center"/>
              <w:rPr>
                <w:sz w:val="24"/>
                <w:highlight w:val="none"/>
              </w:rPr>
            </w:pPr>
            <w:r>
              <w:rPr>
                <w:rFonts w:hint="eastAsia"/>
                <w:sz w:val="24"/>
                <w:highlight w:val="none"/>
              </w:rPr>
              <w:t>投标折扣率</w:t>
            </w:r>
          </w:p>
          <w:p>
            <w:pPr>
              <w:widowControl/>
              <w:spacing w:line="500" w:lineRule="exact"/>
              <w:jc w:val="center"/>
              <w:rPr>
                <w:sz w:val="24"/>
                <w:highlight w:val="none"/>
              </w:rPr>
            </w:pPr>
            <w:r>
              <w:rPr>
                <w:rFonts w:hint="eastAsia"/>
                <w:sz w:val="24"/>
                <w:highlight w:val="none"/>
              </w:rPr>
              <w:t>（%）</w:t>
            </w:r>
          </w:p>
        </w:tc>
        <w:tc>
          <w:tcPr>
            <w:tcW w:w="2616" w:type="dxa"/>
            <w:vAlign w:val="center"/>
          </w:tcPr>
          <w:p>
            <w:pPr>
              <w:widowControl/>
              <w:spacing w:line="500" w:lineRule="exact"/>
              <w:ind w:left="-14" w:leftChars="-4" w:firstLine="84" w:firstLineChars="35"/>
              <w:jc w:val="center"/>
              <w:rPr>
                <w:sz w:val="24"/>
                <w:highlight w:val="none"/>
              </w:rPr>
            </w:pPr>
            <w:r>
              <w:rPr>
                <w:rFonts w:hint="eastAsia"/>
                <w:sz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746" w:type="dxa"/>
            <w:vAlign w:val="center"/>
          </w:tcPr>
          <w:p>
            <w:pPr>
              <w:widowControl/>
              <w:spacing w:line="500" w:lineRule="exact"/>
              <w:jc w:val="center"/>
              <w:rPr>
                <w:sz w:val="24"/>
                <w:highlight w:val="none"/>
              </w:rPr>
            </w:pPr>
          </w:p>
        </w:tc>
        <w:tc>
          <w:tcPr>
            <w:tcW w:w="2383" w:type="dxa"/>
            <w:vAlign w:val="center"/>
          </w:tcPr>
          <w:p>
            <w:pPr>
              <w:widowControl/>
              <w:spacing w:line="500" w:lineRule="exact"/>
              <w:jc w:val="center"/>
              <w:rPr>
                <w:sz w:val="24"/>
                <w:highlight w:val="none"/>
              </w:rPr>
            </w:pPr>
          </w:p>
        </w:tc>
        <w:tc>
          <w:tcPr>
            <w:tcW w:w="2790" w:type="dxa"/>
            <w:vAlign w:val="center"/>
          </w:tcPr>
          <w:p>
            <w:pPr>
              <w:widowControl/>
              <w:spacing w:line="500" w:lineRule="exact"/>
              <w:jc w:val="center"/>
              <w:rPr>
                <w:sz w:val="24"/>
                <w:highlight w:val="none"/>
              </w:rPr>
            </w:pPr>
          </w:p>
        </w:tc>
        <w:tc>
          <w:tcPr>
            <w:tcW w:w="2616" w:type="dxa"/>
            <w:vAlign w:val="center"/>
          </w:tcPr>
          <w:p>
            <w:pPr>
              <w:widowControl/>
              <w:spacing w:line="500" w:lineRule="exact"/>
              <w:jc w:val="center"/>
              <w:rPr>
                <w:sz w:val="24"/>
                <w:highlight w:val="none"/>
              </w:rPr>
            </w:pPr>
          </w:p>
        </w:tc>
      </w:tr>
    </w:tbl>
    <w:p>
      <w:pPr>
        <w:spacing w:line="293" w:lineRule="exact"/>
        <w:jc w:val="left"/>
        <w:rPr>
          <w:rFonts w:hAnsi="宋体" w:cs="宋体"/>
          <w:sz w:val="24"/>
          <w:highlight w:val="none"/>
        </w:rPr>
      </w:pPr>
    </w:p>
    <w:p>
      <w:pPr>
        <w:spacing w:line="293" w:lineRule="exact"/>
        <w:jc w:val="left"/>
        <w:rPr>
          <w:rFonts w:hAnsi="宋体" w:cs="宋体"/>
          <w:sz w:val="24"/>
          <w:highlight w:val="none"/>
        </w:rPr>
      </w:pPr>
    </w:p>
    <w:p>
      <w:pPr>
        <w:spacing w:line="360" w:lineRule="auto"/>
        <w:rPr>
          <w:b/>
          <w:bCs/>
          <w:sz w:val="24"/>
          <w:szCs w:val="24"/>
          <w:highlight w:val="none"/>
        </w:rPr>
      </w:pPr>
      <w:r>
        <w:rPr>
          <w:rFonts w:hAnsi="宋体" w:cs="宋体"/>
          <w:sz w:val="24"/>
          <w:szCs w:val="24"/>
          <w:highlight w:val="none"/>
        </w:rPr>
        <w:t>注：</w:t>
      </w:r>
      <w:r>
        <w:rPr>
          <w:rFonts w:hint="eastAsia"/>
          <w:sz w:val="24"/>
          <w:szCs w:val="24"/>
          <w:highlight w:val="none"/>
        </w:rPr>
        <w:t>1.以上表格格式行可增减。</w:t>
      </w:r>
    </w:p>
    <w:p>
      <w:pPr>
        <w:spacing w:line="360" w:lineRule="auto"/>
        <w:ind w:firstLine="480" w:firstLineChars="200"/>
        <w:rPr>
          <w:sz w:val="24"/>
          <w:szCs w:val="24"/>
          <w:highlight w:val="none"/>
        </w:rPr>
      </w:pPr>
      <w:r>
        <w:rPr>
          <w:rFonts w:hint="eastAsia"/>
          <w:sz w:val="24"/>
          <w:szCs w:val="24"/>
          <w:highlight w:val="none"/>
        </w:rPr>
        <w:t>2.</w:t>
      </w:r>
      <w:r>
        <w:rPr>
          <w:rFonts w:hint="eastAsia" w:hAnsi="宋体" w:cs="宋体"/>
          <w:sz w:val="24"/>
          <w:szCs w:val="24"/>
          <w:highlight w:val="none"/>
        </w:rPr>
        <w:t>投标人的报价应包括但不限于材料成本、制造、雕刻、包装、运输、安装、税费及招标文件规定的各项费用</w:t>
      </w:r>
      <w:r>
        <w:rPr>
          <w:rFonts w:hint="eastAsia"/>
          <w:sz w:val="24"/>
          <w:szCs w:val="24"/>
          <w:highlight w:val="none"/>
        </w:rPr>
        <w:t>。</w:t>
      </w:r>
    </w:p>
    <w:p>
      <w:pPr>
        <w:spacing w:line="360" w:lineRule="auto"/>
        <w:ind w:firstLine="480" w:firstLineChars="200"/>
        <w:rPr>
          <w:sz w:val="24"/>
          <w:szCs w:val="24"/>
          <w:highlight w:val="none"/>
        </w:rPr>
      </w:pPr>
      <w:r>
        <w:rPr>
          <w:rFonts w:hint="eastAsia"/>
          <w:sz w:val="24"/>
          <w:szCs w:val="24"/>
          <w:highlight w:val="none"/>
        </w:rPr>
        <w:t>3.“开标一览表”为多页的，每页均需加盖投标人公章（实质性要求）。</w:t>
      </w: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r>
        <w:rPr>
          <w:rFonts w:hint="eastAsia"/>
          <w:sz w:val="24"/>
          <w:highlight w:val="none"/>
        </w:rPr>
        <w:t>投标人名称：XXXX（单位公章）。</w:t>
      </w:r>
    </w:p>
    <w:p>
      <w:pPr>
        <w:widowControl/>
        <w:spacing w:line="500" w:lineRule="exact"/>
        <w:ind w:firstLine="470" w:firstLineChars="196"/>
        <w:jc w:val="left"/>
        <w:rPr>
          <w:sz w:val="24"/>
          <w:highlight w:val="none"/>
        </w:rPr>
      </w:pPr>
      <w:r>
        <w:rPr>
          <w:rFonts w:hint="eastAsia"/>
          <w:sz w:val="24"/>
          <w:highlight w:val="none"/>
        </w:rPr>
        <w:t>法定代表人或授权代表（签字或加盖个人名章）：XXXX。</w:t>
      </w:r>
    </w:p>
    <w:p>
      <w:pPr>
        <w:widowControl/>
        <w:spacing w:line="500" w:lineRule="exact"/>
        <w:ind w:firstLine="470" w:firstLineChars="196"/>
        <w:jc w:val="left"/>
        <w:rPr>
          <w:sz w:val="24"/>
          <w:highlight w:val="none"/>
        </w:rPr>
      </w:pPr>
      <w:r>
        <w:rPr>
          <w:rFonts w:hint="eastAsia"/>
          <w:sz w:val="24"/>
          <w:highlight w:val="none"/>
        </w:rPr>
        <w:t>投标日期：XXXX。</w:t>
      </w: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p>
    <w:p>
      <w:pPr>
        <w:rPr>
          <w:rFonts w:ascii="黑体" w:eastAsia="黑体"/>
          <w:b/>
          <w:sz w:val="32"/>
          <w:szCs w:val="32"/>
          <w:highlight w:val="none"/>
        </w:rPr>
      </w:pPr>
      <w:bookmarkStart w:id="127" w:name="_Toc217446086"/>
      <w:r>
        <w:rPr>
          <w:rFonts w:hint="eastAsia" w:ascii="黑体" w:eastAsia="黑体"/>
          <w:b/>
          <w:sz w:val="32"/>
          <w:szCs w:val="32"/>
          <w:highlight w:val="none"/>
        </w:rPr>
        <w:br w:type="page"/>
      </w:r>
    </w:p>
    <w:p>
      <w:pPr>
        <w:widowControl/>
        <w:spacing w:line="500" w:lineRule="exact"/>
        <w:jc w:val="center"/>
        <w:outlineLvl w:val="1"/>
        <w:rPr>
          <w:rFonts w:ascii="黑体" w:eastAsia="黑体"/>
          <w:b/>
          <w:sz w:val="32"/>
          <w:szCs w:val="32"/>
          <w:highlight w:val="none"/>
        </w:rPr>
      </w:pPr>
      <w:r>
        <w:rPr>
          <w:rFonts w:hint="eastAsia" w:ascii="黑体" w:eastAsia="黑体"/>
          <w:b/>
          <w:sz w:val="32"/>
          <w:szCs w:val="32"/>
          <w:highlight w:val="none"/>
        </w:rPr>
        <w:t>六、</w:t>
      </w:r>
      <w:bookmarkEnd w:id="127"/>
      <w:bookmarkStart w:id="128" w:name="_Toc217446087"/>
      <w:r>
        <w:rPr>
          <w:rFonts w:hint="eastAsia" w:ascii="黑体" w:eastAsia="黑体"/>
          <w:b/>
          <w:sz w:val="32"/>
          <w:szCs w:val="32"/>
          <w:highlight w:val="none"/>
        </w:rPr>
        <w:t>商务应答表</w:t>
      </w:r>
      <w:bookmarkEnd w:id="128"/>
    </w:p>
    <w:p>
      <w:pPr>
        <w:widowControl/>
        <w:spacing w:line="500" w:lineRule="exact"/>
        <w:ind w:firstLine="472" w:firstLineChars="196"/>
        <w:jc w:val="left"/>
        <w:rPr>
          <w:b/>
          <w:sz w:val="24"/>
          <w:highlight w:val="none"/>
        </w:rPr>
      </w:pPr>
    </w:p>
    <w:p>
      <w:pPr>
        <w:widowControl/>
        <w:spacing w:line="500" w:lineRule="exact"/>
        <w:jc w:val="left"/>
        <w:rPr>
          <w:sz w:val="24"/>
          <w:highlight w:val="none"/>
        </w:rPr>
      </w:pPr>
      <w:r>
        <w:rPr>
          <w:rFonts w:hint="eastAsia"/>
          <w:sz w:val="24"/>
          <w:highlight w:val="none"/>
        </w:rPr>
        <w:t>招标编号：</w:t>
      </w:r>
    </w:p>
    <w:tbl>
      <w:tblPr>
        <w:tblStyle w:val="27"/>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2"/>
        <w:gridCol w:w="4150"/>
        <w:gridCol w:w="4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942" w:type="dxa"/>
            <w:vAlign w:val="center"/>
          </w:tcPr>
          <w:p>
            <w:pPr>
              <w:widowControl/>
              <w:spacing w:line="500" w:lineRule="exact"/>
              <w:jc w:val="center"/>
              <w:rPr>
                <w:sz w:val="24"/>
                <w:highlight w:val="none"/>
              </w:rPr>
            </w:pPr>
            <w:r>
              <w:rPr>
                <w:rFonts w:hint="eastAsia"/>
                <w:sz w:val="24"/>
                <w:highlight w:val="none"/>
              </w:rPr>
              <w:t>序号</w:t>
            </w:r>
          </w:p>
        </w:tc>
        <w:tc>
          <w:tcPr>
            <w:tcW w:w="4150" w:type="dxa"/>
            <w:vAlign w:val="center"/>
          </w:tcPr>
          <w:p>
            <w:pPr>
              <w:widowControl/>
              <w:spacing w:line="500" w:lineRule="exact"/>
              <w:jc w:val="center"/>
              <w:rPr>
                <w:sz w:val="24"/>
                <w:highlight w:val="none"/>
              </w:rPr>
            </w:pPr>
            <w:r>
              <w:rPr>
                <w:rFonts w:hint="eastAsia"/>
                <w:sz w:val="24"/>
                <w:highlight w:val="none"/>
              </w:rPr>
              <w:t>商务要求</w:t>
            </w:r>
          </w:p>
        </w:tc>
        <w:tc>
          <w:tcPr>
            <w:tcW w:w="4195" w:type="dxa"/>
            <w:vAlign w:val="center"/>
          </w:tcPr>
          <w:p>
            <w:pPr>
              <w:widowControl/>
              <w:spacing w:line="500" w:lineRule="exact"/>
              <w:jc w:val="center"/>
              <w:rPr>
                <w:sz w:val="24"/>
                <w:highlight w:val="none"/>
              </w:rPr>
            </w:pPr>
            <w:r>
              <w:rPr>
                <w:rFonts w:hint="eastAsia"/>
                <w:sz w:val="24"/>
                <w:highlight w:val="none"/>
              </w:rPr>
              <w:t>投标应答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42" w:type="dxa"/>
            <w:vAlign w:val="center"/>
          </w:tcPr>
          <w:p>
            <w:pPr>
              <w:widowControl/>
              <w:spacing w:line="500" w:lineRule="exact"/>
              <w:jc w:val="center"/>
              <w:rPr>
                <w:sz w:val="24"/>
                <w:highlight w:val="none"/>
              </w:rPr>
            </w:pPr>
          </w:p>
        </w:tc>
        <w:tc>
          <w:tcPr>
            <w:tcW w:w="4150" w:type="dxa"/>
            <w:vAlign w:val="center"/>
          </w:tcPr>
          <w:p>
            <w:pPr>
              <w:widowControl/>
              <w:spacing w:line="500" w:lineRule="exact"/>
              <w:jc w:val="center"/>
              <w:rPr>
                <w:sz w:val="24"/>
                <w:highlight w:val="none"/>
              </w:rPr>
            </w:pPr>
          </w:p>
        </w:tc>
        <w:tc>
          <w:tcPr>
            <w:tcW w:w="4195" w:type="dxa"/>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42" w:type="dxa"/>
            <w:vAlign w:val="center"/>
          </w:tcPr>
          <w:p>
            <w:pPr>
              <w:widowControl/>
              <w:spacing w:line="500" w:lineRule="exact"/>
              <w:jc w:val="center"/>
              <w:rPr>
                <w:sz w:val="24"/>
                <w:highlight w:val="none"/>
              </w:rPr>
            </w:pPr>
          </w:p>
        </w:tc>
        <w:tc>
          <w:tcPr>
            <w:tcW w:w="4150" w:type="dxa"/>
            <w:vAlign w:val="center"/>
          </w:tcPr>
          <w:p>
            <w:pPr>
              <w:widowControl/>
              <w:spacing w:line="500" w:lineRule="exact"/>
              <w:jc w:val="center"/>
              <w:rPr>
                <w:sz w:val="24"/>
                <w:highlight w:val="none"/>
              </w:rPr>
            </w:pPr>
          </w:p>
        </w:tc>
        <w:tc>
          <w:tcPr>
            <w:tcW w:w="4195" w:type="dxa"/>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42" w:type="dxa"/>
            <w:vAlign w:val="center"/>
          </w:tcPr>
          <w:p>
            <w:pPr>
              <w:widowControl/>
              <w:spacing w:line="500" w:lineRule="exact"/>
              <w:jc w:val="center"/>
              <w:rPr>
                <w:sz w:val="24"/>
                <w:highlight w:val="none"/>
              </w:rPr>
            </w:pPr>
          </w:p>
        </w:tc>
        <w:tc>
          <w:tcPr>
            <w:tcW w:w="4150" w:type="dxa"/>
            <w:vAlign w:val="center"/>
          </w:tcPr>
          <w:p>
            <w:pPr>
              <w:widowControl/>
              <w:spacing w:line="500" w:lineRule="exact"/>
              <w:jc w:val="center"/>
              <w:rPr>
                <w:sz w:val="24"/>
                <w:highlight w:val="none"/>
              </w:rPr>
            </w:pPr>
          </w:p>
        </w:tc>
        <w:tc>
          <w:tcPr>
            <w:tcW w:w="4195" w:type="dxa"/>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42" w:type="dxa"/>
            <w:vAlign w:val="center"/>
          </w:tcPr>
          <w:p>
            <w:pPr>
              <w:widowControl/>
              <w:spacing w:line="500" w:lineRule="exact"/>
              <w:jc w:val="center"/>
              <w:rPr>
                <w:sz w:val="24"/>
                <w:highlight w:val="none"/>
              </w:rPr>
            </w:pPr>
          </w:p>
        </w:tc>
        <w:tc>
          <w:tcPr>
            <w:tcW w:w="4150" w:type="dxa"/>
            <w:vAlign w:val="center"/>
          </w:tcPr>
          <w:p>
            <w:pPr>
              <w:widowControl/>
              <w:spacing w:line="500" w:lineRule="exact"/>
              <w:jc w:val="center"/>
              <w:rPr>
                <w:sz w:val="24"/>
                <w:highlight w:val="none"/>
              </w:rPr>
            </w:pPr>
          </w:p>
        </w:tc>
        <w:tc>
          <w:tcPr>
            <w:tcW w:w="4195" w:type="dxa"/>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42" w:type="dxa"/>
            <w:vAlign w:val="center"/>
          </w:tcPr>
          <w:p>
            <w:pPr>
              <w:widowControl/>
              <w:spacing w:line="500" w:lineRule="exact"/>
              <w:jc w:val="center"/>
              <w:rPr>
                <w:sz w:val="24"/>
                <w:highlight w:val="none"/>
              </w:rPr>
            </w:pPr>
          </w:p>
        </w:tc>
        <w:tc>
          <w:tcPr>
            <w:tcW w:w="4150" w:type="dxa"/>
            <w:vAlign w:val="center"/>
          </w:tcPr>
          <w:p>
            <w:pPr>
              <w:widowControl/>
              <w:spacing w:line="500" w:lineRule="exact"/>
              <w:jc w:val="center"/>
              <w:rPr>
                <w:sz w:val="24"/>
                <w:highlight w:val="none"/>
              </w:rPr>
            </w:pPr>
          </w:p>
        </w:tc>
        <w:tc>
          <w:tcPr>
            <w:tcW w:w="4195" w:type="dxa"/>
            <w:vAlign w:val="center"/>
          </w:tcPr>
          <w:p>
            <w:pPr>
              <w:widowControl/>
              <w:spacing w:line="500" w:lineRule="exact"/>
              <w:jc w:val="center"/>
              <w:rPr>
                <w:sz w:val="24"/>
                <w:highlight w:val="none"/>
              </w:rPr>
            </w:pPr>
          </w:p>
        </w:tc>
      </w:tr>
    </w:tbl>
    <w:p>
      <w:pPr>
        <w:widowControl/>
        <w:spacing w:line="500" w:lineRule="exact"/>
        <w:jc w:val="left"/>
        <w:rPr>
          <w:highlight w:val="none"/>
        </w:rPr>
      </w:pPr>
      <w:r>
        <w:rPr>
          <w:rFonts w:hint="eastAsia"/>
          <w:sz w:val="24"/>
          <w:highlight w:val="none"/>
        </w:rPr>
        <w:t>注：投标人必须据实填写，不得虚假应答，否则将取消其投标或中标资格。</w:t>
      </w: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r>
        <w:rPr>
          <w:rFonts w:hint="eastAsia"/>
          <w:sz w:val="24"/>
          <w:highlight w:val="none"/>
        </w:rPr>
        <w:t>投标人名称：XXXX（单位盖章）。</w:t>
      </w:r>
    </w:p>
    <w:p>
      <w:pPr>
        <w:widowControl/>
        <w:spacing w:line="500" w:lineRule="exact"/>
        <w:ind w:firstLine="470" w:firstLineChars="196"/>
        <w:jc w:val="left"/>
        <w:rPr>
          <w:sz w:val="24"/>
          <w:highlight w:val="none"/>
        </w:rPr>
      </w:pPr>
      <w:r>
        <w:rPr>
          <w:rFonts w:hint="eastAsia"/>
          <w:sz w:val="24"/>
          <w:highlight w:val="none"/>
        </w:rPr>
        <w:t>法定代表人或授权代表（签字或加盖个人名章）：XXXX。</w:t>
      </w:r>
    </w:p>
    <w:p>
      <w:pPr>
        <w:widowControl/>
        <w:spacing w:line="500" w:lineRule="exact"/>
        <w:ind w:firstLine="470" w:firstLineChars="196"/>
        <w:jc w:val="left"/>
        <w:rPr>
          <w:sz w:val="24"/>
          <w:highlight w:val="none"/>
        </w:rPr>
      </w:pPr>
      <w:r>
        <w:rPr>
          <w:rFonts w:hint="eastAsia"/>
          <w:sz w:val="24"/>
          <w:highlight w:val="none"/>
        </w:rPr>
        <w:t>投标日期: XXXX。</w:t>
      </w:r>
    </w:p>
    <w:p>
      <w:pPr>
        <w:widowControl/>
        <w:spacing w:line="500" w:lineRule="exact"/>
        <w:ind w:firstLine="470" w:firstLineChars="196"/>
        <w:jc w:val="left"/>
        <w:rPr>
          <w:sz w:val="24"/>
          <w:highlight w:val="none"/>
        </w:rPr>
      </w:pPr>
    </w:p>
    <w:p>
      <w:pPr>
        <w:widowControl/>
        <w:spacing w:line="500" w:lineRule="exact"/>
        <w:ind w:firstLine="472" w:firstLineChars="196"/>
        <w:jc w:val="left"/>
        <w:rPr>
          <w:b/>
          <w:sz w:val="24"/>
          <w:highlight w:val="none"/>
        </w:rPr>
      </w:pPr>
    </w:p>
    <w:p>
      <w:pPr>
        <w:widowControl/>
        <w:spacing w:line="500" w:lineRule="exact"/>
        <w:ind w:firstLine="472" w:firstLineChars="196"/>
        <w:jc w:val="left"/>
        <w:rPr>
          <w:b/>
          <w:sz w:val="24"/>
          <w:highlight w:val="none"/>
        </w:rPr>
      </w:pPr>
    </w:p>
    <w:p>
      <w:pPr>
        <w:widowControl/>
        <w:spacing w:line="500" w:lineRule="exact"/>
        <w:ind w:firstLine="472" w:firstLineChars="196"/>
        <w:jc w:val="left"/>
        <w:rPr>
          <w:b/>
          <w:sz w:val="24"/>
          <w:highlight w:val="none"/>
        </w:rPr>
      </w:pPr>
    </w:p>
    <w:p>
      <w:pPr>
        <w:widowControl/>
        <w:spacing w:line="500" w:lineRule="exact"/>
        <w:ind w:firstLine="472" w:firstLineChars="196"/>
        <w:jc w:val="left"/>
        <w:rPr>
          <w:b/>
          <w:sz w:val="24"/>
          <w:highlight w:val="none"/>
        </w:rPr>
      </w:pPr>
    </w:p>
    <w:p>
      <w:pPr>
        <w:widowControl/>
        <w:spacing w:line="500" w:lineRule="exact"/>
        <w:jc w:val="left"/>
        <w:rPr>
          <w:b/>
          <w:sz w:val="24"/>
          <w:highlight w:val="none"/>
        </w:rPr>
      </w:pPr>
      <w:bookmarkStart w:id="129" w:name="_Toc217446088"/>
    </w:p>
    <w:p>
      <w:pPr>
        <w:rPr>
          <w:rFonts w:ascii="黑体" w:eastAsia="黑体"/>
          <w:b/>
          <w:sz w:val="32"/>
          <w:szCs w:val="32"/>
          <w:highlight w:val="none"/>
        </w:rPr>
      </w:pPr>
      <w:r>
        <w:rPr>
          <w:rFonts w:hint="eastAsia" w:ascii="黑体" w:eastAsia="黑体"/>
          <w:b/>
          <w:sz w:val="32"/>
          <w:szCs w:val="32"/>
          <w:highlight w:val="none"/>
        </w:rPr>
        <w:br w:type="page"/>
      </w:r>
    </w:p>
    <w:p>
      <w:pPr>
        <w:widowControl/>
        <w:spacing w:line="500" w:lineRule="exact"/>
        <w:jc w:val="center"/>
        <w:outlineLvl w:val="1"/>
        <w:rPr>
          <w:rFonts w:ascii="黑体" w:eastAsia="黑体"/>
          <w:b/>
          <w:sz w:val="32"/>
          <w:szCs w:val="32"/>
          <w:highlight w:val="none"/>
        </w:rPr>
      </w:pPr>
      <w:r>
        <w:rPr>
          <w:rFonts w:hint="eastAsia" w:ascii="黑体" w:eastAsia="黑体"/>
          <w:b/>
          <w:sz w:val="32"/>
          <w:szCs w:val="32"/>
          <w:highlight w:val="none"/>
        </w:rPr>
        <w:t>七、投标人基本情况表</w:t>
      </w:r>
      <w:bookmarkEnd w:id="129"/>
    </w:p>
    <w:p>
      <w:pPr>
        <w:widowControl/>
        <w:spacing w:line="500" w:lineRule="exact"/>
        <w:ind w:firstLine="472" w:firstLineChars="196"/>
        <w:jc w:val="left"/>
        <w:rPr>
          <w:b/>
          <w:sz w:val="24"/>
          <w:highlight w:val="none"/>
        </w:rPr>
      </w:pPr>
    </w:p>
    <w:tbl>
      <w:tblPr>
        <w:tblStyle w:val="27"/>
        <w:tblW w:w="9288"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721"/>
        <w:gridCol w:w="1082"/>
        <w:gridCol w:w="1401"/>
        <w:gridCol w:w="1410"/>
        <w:gridCol w:w="1492"/>
        <w:gridCol w:w="179"/>
        <w:gridCol w:w="782"/>
        <w:gridCol w:w="1221"/>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721" w:type="dxa"/>
            <w:vAlign w:val="center"/>
          </w:tcPr>
          <w:p>
            <w:pPr>
              <w:widowControl/>
              <w:spacing w:line="500" w:lineRule="exact"/>
              <w:jc w:val="left"/>
              <w:rPr>
                <w:sz w:val="24"/>
                <w:highlight w:val="none"/>
              </w:rPr>
            </w:pPr>
            <w:r>
              <w:rPr>
                <w:rFonts w:hint="eastAsia"/>
                <w:sz w:val="24"/>
                <w:highlight w:val="none"/>
              </w:rPr>
              <w:t>投标人名称</w:t>
            </w:r>
          </w:p>
        </w:tc>
        <w:tc>
          <w:tcPr>
            <w:tcW w:w="7567" w:type="dxa"/>
            <w:gridSpan w:val="7"/>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721" w:type="dxa"/>
            <w:vAlign w:val="center"/>
          </w:tcPr>
          <w:p>
            <w:pPr>
              <w:widowControl/>
              <w:spacing w:line="500" w:lineRule="exact"/>
              <w:jc w:val="left"/>
              <w:rPr>
                <w:sz w:val="24"/>
                <w:highlight w:val="none"/>
              </w:rPr>
            </w:pPr>
            <w:r>
              <w:rPr>
                <w:rFonts w:hint="eastAsia"/>
                <w:sz w:val="24"/>
                <w:highlight w:val="none"/>
              </w:rPr>
              <w:t>注册地址</w:t>
            </w:r>
          </w:p>
        </w:tc>
        <w:tc>
          <w:tcPr>
            <w:tcW w:w="3893" w:type="dxa"/>
            <w:gridSpan w:val="3"/>
            <w:vAlign w:val="center"/>
          </w:tcPr>
          <w:p>
            <w:pPr>
              <w:widowControl/>
              <w:spacing w:line="500" w:lineRule="exact"/>
              <w:ind w:firstLine="470" w:firstLineChars="196"/>
              <w:jc w:val="left"/>
              <w:rPr>
                <w:sz w:val="24"/>
                <w:highlight w:val="none"/>
              </w:rPr>
            </w:pPr>
          </w:p>
        </w:tc>
        <w:tc>
          <w:tcPr>
            <w:tcW w:w="1492" w:type="dxa"/>
            <w:vAlign w:val="center"/>
          </w:tcPr>
          <w:p>
            <w:pPr>
              <w:widowControl/>
              <w:spacing w:line="500" w:lineRule="exact"/>
              <w:jc w:val="left"/>
              <w:rPr>
                <w:sz w:val="24"/>
                <w:highlight w:val="none"/>
              </w:rPr>
            </w:pPr>
            <w:r>
              <w:rPr>
                <w:rFonts w:hint="eastAsia"/>
                <w:sz w:val="24"/>
                <w:highlight w:val="none"/>
              </w:rPr>
              <w:t>邮政编码</w:t>
            </w:r>
          </w:p>
        </w:tc>
        <w:tc>
          <w:tcPr>
            <w:tcW w:w="2182" w:type="dxa"/>
            <w:gridSpan w:val="3"/>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721" w:type="dxa"/>
            <w:vMerge w:val="restart"/>
            <w:vAlign w:val="center"/>
          </w:tcPr>
          <w:p>
            <w:pPr>
              <w:widowControl/>
              <w:spacing w:line="500" w:lineRule="exact"/>
              <w:jc w:val="left"/>
              <w:rPr>
                <w:sz w:val="24"/>
                <w:highlight w:val="none"/>
              </w:rPr>
            </w:pPr>
            <w:r>
              <w:rPr>
                <w:rFonts w:hint="eastAsia"/>
                <w:sz w:val="24"/>
                <w:highlight w:val="none"/>
              </w:rPr>
              <w:t>联系方式</w:t>
            </w:r>
          </w:p>
        </w:tc>
        <w:tc>
          <w:tcPr>
            <w:tcW w:w="1082" w:type="dxa"/>
            <w:vAlign w:val="center"/>
          </w:tcPr>
          <w:p>
            <w:pPr>
              <w:widowControl/>
              <w:spacing w:line="500" w:lineRule="exact"/>
              <w:jc w:val="left"/>
              <w:rPr>
                <w:sz w:val="24"/>
                <w:highlight w:val="none"/>
              </w:rPr>
            </w:pPr>
            <w:r>
              <w:rPr>
                <w:rFonts w:hint="eastAsia"/>
                <w:sz w:val="24"/>
                <w:highlight w:val="none"/>
              </w:rPr>
              <w:t>联系人</w:t>
            </w:r>
          </w:p>
        </w:tc>
        <w:tc>
          <w:tcPr>
            <w:tcW w:w="2811" w:type="dxa"/>
            <w:gridSpan w:val="2"/>
            <w:vAlign w:val="center"/>
          </w:tcPr>
          <w:p>
            <w:pPr>
              <w:widowControl/>
              <w:spacing w:line="500" w:lineRule="exact"/>
              <w:ind w:firstLine="470" w:firstLineChars="196"/>
              <w:jc w:val="left"/>
              <w:rPr>
                <w:sz w:val="24"/>
                <w:highlight w:val="none"/>
              </w:rPr>
            </w:pPr>
          </w:p>
        </w:tc>
        <w:tc>
          <w:tcPr>
            <w:tcW w:w="1492" w:type="dxa"/>
            <w:vAlign w:val="center"/>
          </w:tcPr>
          <w:p>
            <w:pPr>
              <w:widowControl/>
              <w:spacing w:line="500" w:lineRule="exact"/>
              <w:ind w:firstLine="470" w:firstLineChars="196"/>
              <w:jc w:val="left"/>
              <w:rPr>
                <w:sz w:val="24"/>
                <w:highlight w:val="none"/>
              </w:rPr>
            </w:pPr>
            <w:r>
              <w:rPr>
                <w:rFonts w:hint="eastAsia"/>
                <w:sz w:val="24"/>
                <w:highlight w:val="none"/>
              </w:rPr>
              <w:t>电话</w:t>
            </w:r>
          </w:p>
        </w:tc>
        <w:tc>
          <w:tcPr>
            <w:tcW w:w="2182" w:type="dxa"/>
            <w:gridSpan w:val="3"/>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48" w:hRule="atLeast"/>
        </w:trPr>
        <w:tc>
          <w:tcPr>
            <w:tcW w:w="1721" w:type="dxa"/>
            <w:vMerge w:val="continue"/>
            <w:vAlign w:val="center"/>
          </w:tcPr>
          <w:p>
            <w:pPr>
              <w:spacing w:line="500" w:lineRule="exact"/>
              <w:rPr>
                <w:highlight w:val="none"/>
              </w:rPr>
            </w:pPr>
          </w:p>
        </w:tc>
        <w:tc>
          <w:tcPr>
            <w:tcW w:w="1082" w:type="dxa"/>
            <w:vAlign w:val="center"/>
          </w:tcPr>
          <w:p>
            <w:pPr>
              <w:widowControl/>
              <w:spacing w:line="500" w:lineRule="exact"/>
              <w:jc w:val="left"/>
              <w:rPr>
                <w:sz w:val="24"/>
                <w:highlight w:val="none"/>
              </w:rPr>
            </w:pPr>
            <w:r>
              <w:rPr>
                <w:rFonts w:hint="eastAsia"/>
                <w:sz w:val="24"/>
                <w:highlight w:val="none"/>
              </w:rPr>
              <w:t>传真</w:t>
            </w:r>
          </w:p>
        </w:tc>
        <w:tc>
          <w:tcPr>
            <w:tcW w:w="2811" w:type="dxa"/>
            <w:gridSpan w:val="2"/>
            <w:vAlign w:val="center"/>
          </w:tcPr>
          <w:p>
            <w:pPr>
              <w:widowControl/>
              <w:spacing w:line="500" w:lineRule="exact"/>
              <w:ind w:firstLine="470" w:firstLineChars="196"/>
              <w:jc w:val="left"/>
              <w:rPr>
                <w:sz w:val="24"/>
                <w:highlight w:val="none"/>
              </w:rPr>
            </w:pPr>
          </w:p>
        </w:tc>
        <w:tc>
          <w:tcPr>
            <w:tcW w:w="1492" w:type="dxa"/>
            <w:vAlign w:val="center"/>
          </w:tcPr>
          <w:p>
            <w:pPr>
              <w:widowControl/>
              <w:spacing w:line="500" w:lineRule="exact"/>
              <w:ind w:firstLine="470" w:firstLineChars="196"/>
              <w:jc w:val="left"/>
              <w:rPr>
                <w:sz w:val="24"/>
                <w:highlight w:val="none"/>
              </w:rPr>
            </w:pPr>
            <w:r>
              <w:rPr>
                <w:rFonts w:hint="eastAsia"/>
                <w:sz w:val="24"/>
                <w:highlight w:val="none"/>
              </w:rPr>
              <w:t>网址</w:t>
            </w:r>
          </w:p>
        </w:tc>
        <w:tc>
          <w:tcPr>
            <w:tcW w:w="2182" w:type="dxa"/>
            <w:gridSpan w:val="3"/>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721" w:type="dxa"/>
            <w:vAlign w:val="center"/>
          </w:tcPr>
          <w:p>
            <w:pPr>
              <w:widowControl/>
              <w:spacing w:line="500" w:lineRule="exact"/>
              <w:jc w:val="left"/>
              <w:rPr>
                <w:sz w:val="24"/>
                <w:highlight w:val="none"/>
              </w:rPr>
            </w:pPr>
            <w:r>
              <w:rPr>
                <w:rFonts w:hint="eastAsia"/>
                <w:sz w:val="24"/>
                <w:highlight w:val="none"/>
              </w:rPr>
              <w:t>组织结构</w:t>
            </w:r>
          </w:p>
        </w:tc>
        <w:tc>
          <w:tcPr>
            <w:tcW w:w="7567" w:type="dxa"/>
            <w:gridSpan w:val="7"/>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62" w:hRule="atLeast"/>
        </w:trPr>
        <w:tc>
          <w:tcPr>
            <w:tcW w:w="1721" w:type="dxa"/>
            <w:vAlign w:val="center"/>
          </w:tcPr>
          <w:p>
            <w:pPr>
              <w:widowControl/>
              <w:spacing w:line="500" w:lineRule="exact"/>
              <w:jc w:val="left"/>
              <w:rPr>
                <w:sz w:val="24"/>
                <w:highlight w:val="none"/>
              </w:rPr>
            </w:pPr>
            <w:r>
              <w:rPr>
                <w:rFonts w:hint="eastAsia"/>
                <w:sz w:val="24"/>
                <w:highlight w:val="none"/>
              </w:rPr>
              <w:t>法定代表人</w:t>
            </w:r>
          </w:p>
        </w:tc>
        <w:tc>
          <w:tcPr>
            <w:tcW w:w="1082" w:type="dxa"/>
            <w:vAlign w:val="center"/>
          </w:tcPr>
          <w:p>
            <w:pPr>
              <w:widowControl/>
              <w:spacing w:line="500" w:lineRule="exact"/>
              <w:jc w:val="left"/>
              <w:rPr>
                <w:sz w:val="24"/>
                <w:highlight w:val="none"/>
              </w:rPr>
            </w:pPr>
            <w:r>
              <w:rPr>
                <w:rFonts w:hint="eastAsia"/>
                <w:sz w:val="24"/>
                <w:highlight w:val="none"/>
              </w:rPr>
              <w:t>姓名</w:t>
            </w:r>
          </w:p>
        </w:tc>
        <w:tc>
          <w:tcPr>
            <w:tcW w:w="1401" w:type="dxa"/>
            <w:vAlign w:val="center"/>
          </w:tcPr>
          <w:p>
            <w:pPr>
              <w:widowControl/>
              <w:spacing w:line="500" w:lineRule="exact"/>
              <w:ind w:firstLine="470" w:firstLineChars="196"/>
              <w:jc w:val="left"/>
              <w:rPr>
                <w:sz w:val="24"/>
                <w:highlight w:val="none"/>
              </w:rPr>
            </w:pPr>
          </w:p>
        </w:tc>
        <w:tc>
          <w:tcPr>
            <w:tcW w:w="1410" w:type="dxa"/>
            <w:vAlign w:val="center"/>
          </w:tcPr>
          <w:p>
            <w:pPr>
              <w:widowControl/>
              <w:spacing w:line="500" w:lineRule="exact"/>
              <w:jc w:val="left"/>
              <w:rPr>
                <w:sz w:val="24"/>
                <w:highlight w:val="none"/>
              </w:rPr>
            </w:pPr>
            <w:r>
              <w:rPr>
                <w:rFonts w:hint="eastAsia"/>
                <w:sz w:val="24"/>
                <w:highlight w:val="none"/>
              </w:rPr>
              <w:t>技术职称</w:t>
            </w:r>
          </w:p>
        </w:tc>
        <w:tc>
          <w:tcPr>
            <w:tcW w:w="1492" w:type="dxa"/>
            <w:vAlign w:val="center"/>
          </w:tcPr>
          <w:p>
            <w:pPr>
              <w:widowControl/>
              <w:spacing w:line="500" w:lineRule="exact"/>
              <w:ind w:firstLine="470" w:firstLineChars="196"/>
              <w:jc w:val="left"/>
              <w:rPr>
                <w:sz w:val="24"/>
                <w:highlight w:val="none"/>
              </w:rPr>
            </w:pPr>
          </w:p>
        </w:tc>
        <w:tc>
          <w:tcPr>
            <w:tcW w:w="961" w:type="dxa"/>
            <w:gridSpan w:val="2"/>
            <w:vAlign w:val="center"/>
          </w:tcPr>
          <w:p>
            <w:pPr>
              <w:widowControl/>
              <w:spacing w:line="500" w:lineRule="exact"/>
              <w:jc w:val="left"/>
              <w:rPr>
                <w:sz w:val="24"/>
                <w:highlight w:val="none"/>
              </w:rPr>
            </w:pPr>
            <w:r>
              <w:rPr>
                <w:rFonts w:hint="eastAsia"/>
                <w:sz w:val="24"/>
                <w:highlight w:val="none"/>
              </w:rPr>
              <w:t>电话</w:t>
            </w:r>
          </w:p>
        </w:tc>
        <w:tc>
          <w:tcPr>
            <w:tcW w:w="1221" w:type="dxa"/>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721" w:type="dxa"/>
            <w:vAlign w:val="center"/>
          </w:tcPr>
          <w:p>
            <w:pPr>
              <w:widowControl/>
              <w:spacing w:line="500" w:lineRule="exact"/>
              <w:jc w:val="left"/>
              <w:rPr>
                <w:sz w:val="24"/>
                <w:highlight w:val="none"/>
              </w:rPr>
            </w:pPr>
            <w:r>
              <w:rPr>
                <w:rFonts w:hint="eastAsia"/>
                <w:sz w:val="24"/>
                <w:highlight w:val="none"/>
              </w:rPr>
              <w:t>技术负责人</w:t>
            </w:r>
          </w:p>
        </w:tc>
        <w:tc>
          <w:tcPr>
            <w:tcW w:w="1082" w:type="dxa"/>
            <w:vAlign w:val="center"/>
          </w:tcPr>
          <w:p>
            <w:pPr>
              <w:widowControl/>
              <w:spacing w:line="500" w:lineRule="exact"/>
              <w:jc w:val="left"/>
              <w:rPr>
                <w:sz w:val="24"/>
                <w:highlight w:val="none"/>
              </w:rPr>
            </w:pPr>
            <w:r>
              <w:rPr>
                <w:rFonts w:hint="eastAsia"/>
                <w:sz w:val="24"/>
                <w:highlight w:val="none"/>
              </w:rPr>
              <w:t>姓名</w:t>
            </w:r>
          </w:p>
        </w:tc>
        <w:tc>
          <w:tcPr>
            <w:tcW w:w="1401" w:type="dxa"/>
            <w:vAlign w:val="center"/>
          </w:tcPr>
          <w:p>
            <w:pPr>
              <w:widowControl/>
              <w:spacing w:line="500" w:lineRule="exact"/>
              <w:ind w:firstLine="470" w:firstLineChars="196"/>
              <w:jc w:val="left"/>
              <w:rPr>
                <w:sz w:val="24"/>
                <w:highlight w:val="none"/>
              </w:rPr>
            </w:pPr>
          </w:p>
        </w:tc>
        <w:tc>
          <w:tcPr>
            <w:tcW w:w="1410" w:type="dxa"/>
            <w:vAlign w:val="center"/>
          </w:tcPr>
          <w:p>
            <w:pPr>
              <w:widowControl/>
              <w:spacing w:line="500" w:lineRule="exact"/>
              <w:jc w:val="left"/>
              <w:rPr>
                <w:sz w:val="24"/>
                <w:highlight w:val="none"/>
              </w:rPr>
            </w:pPr>
            <w:r>
              <w:rPr>
                <w:rFonts w:hint="eastAsia"/>
                <w:sz w:val="24"/>
                <w:highlight w:val="none"/>
              </w:rPr>
              <w:t>技术职称</w:t>
            </w:r>
          </w:p>
        </w:tc>
        <w:tc>
          <w:tcPr>
            <w:tcW w:w="1492" w:type="dxa"/>
            <w:vAlign w:val="center"/>
          </w:tcPr>
          <w:p>
            <w:pPr>
              <w:widowControl/>
              <w:spacing w:line="500" w:lineRule="exact"/>
              <w:ind w:firstLine="470" w:firstLineChars="196"/>
              <w:jc w:val="left"/>
              <w:rPr>
                <w:sz w:val="24"/>
                <w:highlight w:val="none"/>
              </w:rPr>
            </w:pPr>
          </w:p>
        </w:tc>
        <w:tc>
          <w:tcPr>
            <w:tcW w:w="961" w:type="dxa"/>
            <w:gridSpan w:val="2"/>
            <w:vAlign w:val="center"/>
          </w:tcPr>
          <w:p>
            <w:pPr>
              <w:widowControl/>
              <w:spacing w:line="500" w:lineRule="exact"/>
              <w:jc w:val="left"/>
              <w:rPr>
                <w:sz w:val="24"/>
                <w:highlight w:val="none"/>
              </w:rPr>
            </w:pPr>
            <w:r>
              <w:rPr>
                <w:rFonts w:hint="eastAsia"/>
                <w:sz w:val="24"/>
                <w:highlight w:val="none"/>
              </w:rPr>
              <w:t>电话</w:t>
            </w:r>
          </w:p>
        </w:tc>
        <w:tc>
          <w:tcPr>
            <w:tcW w:w="1221" w:type="dxa"/>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721" w:type="dxa"/>
            <w:vAlign w:val="center"/>
          </w:tcPr>
          <w:p>
            <w:pPr>
              <w:widowControl/>
              <w:spacing w:line="500" w:lineRule="exact"/>
              <w:jc w:val="left"/>
              <w:rPr>
                <w:sz w:val="24"/>
                <w:highlight w:val="none"/>
              </w:rPr>
            </w:pPr>
            <w:r>
              <w:rPr>
                <w:rFonts w:hint="eastAsia"/>
                <w:sz w:val="24"/>
                <w:highlight w:val="none"/>
              </w:rPr>
              <w:t>成立时间</w:t>
            </w:r>
          </w:p>
        </w:tc>
        <w:tc>
          <w:tcPr>
            <w:tcW w:w="2483" w:type="dxa"/>
            <w:gridSpan w:val="2"/>
            <w:vAlign w:val="center"/>
          </w:tcPr>
          <w:p>
            <w:pPr>
              <w:widowControl/>
              <w:spacing w:line="500" w:lineRule="exact"/>
              <w:ind w:firstLine="470" w:firstLineChars="196"/>
              <w:jc w:val="left"/>
              <w:rPr>
                <w:sz w:val="24"/>
                <w:highlight w:val="none"/>
              </w:rPr>
            </w:pPr>
          </w:p>
        </w:tc>
        <w:tc>
          <w:tcPr>
            <w:tcW w:w="5084" w:type="dxa"/>
            <w:gridSpan w:val="5"/>
            <w:vAlign w:val="center"/>
          </w:tcPr>
          <w:p>
            <w:pPr>
              <w:widowControl/>
              <w:spacing w:line="500" w:lineRule="exact"/>
              <w:jc w:val="left"/>
              <w:rPr>
                <w:sz w:val="24"/>
                <w:highlight w:val="none"/>
              </w:rPr>
            </w:pPr>
            <w:r>
              <w:rPr>
                <w:rFonts w:hint="eastAsia"/>
                <w:sz w:val="24"/>
                <w:highlight w:val="none"/>
              </w:rPr>
              <w:t>员工总人数：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721" w:type="dxa"/>
            <w:vAlign w:val="center"/>
          </w:tcPr>
          <w:p>
            <w:pPr>
              <w:widowControl/>
              <w:spacing w:line="500" w:lineRule="exact"/>
              <w:jc w:val="left"/>
              <w:rPr>
                <w:sz w:val="24"/>
                <w:highlight w:val="none"/>
              </w:rPr>
            </w:pPr>
            <w:r>
              <w:rPr>
                <w:rFonts w:hint="eastAsia"/>
                <w:sz w:val="24"/>
                <w:highlight w:val="none"/>
              </w:rPr>
              <w:t>企业资质等级</w:t>
            </w:r>
          </w:p>
        </w:tc>
        <w:tc>
          <w:tcPr>
            <w:tcW w:w="2483" w:type="dxa"/>
            <w:gridSpan w:val="2"/>
            <w:vAlign w:val="center"/>
          </w:tcPr>
          <w:p>
            <w:pPr>
              <w:widowControl/>
              <w:spacing w:line="500" w:lineRule="exact"/>
              <w:ind w:firstLine="470" w:firstLineChars="196"/>
              <w:jc w:val="left"/>
              <w:rPr>
                <w:sz w:val="24"/>
                <w:highlight w:val="none"/>
              </w:rPr>
            </w:pPr>
          </w:p>
        </w:tc>
        <w:tc>
          <w:tcPr>
            <w:tcW w:w="1410" w:type="dxa"/>
            <w:vMerge w:val="restart"/>
            <w:vAlign w:val="center"/>
          </w:tcPr>
          <w:p>
            <w:pPr>
              <w:widowControl/>
              <w:spacing w:line="500" w:lineRule="exact"/>
              <w:ind w:firstLine="470" w:firstLineChars="196"/>
              <w:jc w:val="left"/>
              <w:rPr>
                <w:sz w:val="24"/>
                <w:highlight w:val="none"/>
              </w:rPr>
            </w:pPr>
            <w:r>
              <w:rPr>
                <w:rFonts w:hint="eastAsia"/>
                <w:sz w:val="24"/>
                <w:highlight w:val="none"/>
              </w:rPr>
              <w:t>其中</w:t>
            </w:r>
          </w:p>
        </w:tc>
        <w:tc>
          <w:tcPr>
            <w:tcW w:w="1671" w:type="dxa"/>
            <w:gridSpan w:val="2"/>
            <w:vAlign w:val="center"/>
          </w:tcPr>
          <w:p>
            <w:pPr>
              <w:widowControl/>
              <w:spacing w:line="500" w:lineRule="exact"/>
              <w:jc w:val="left"/>
              <w:rPr>
                <w:sz w:val="24"/>
                <w:highlight w:val="none"/>
              </w:rPr>
            </w:pPr>
            <w:r>
              <w:rPr>
                <w:rFonts w:hint="eastAsia"/>
                <w:sz w:val="24"/>
                <w:highlight w:val="none"/>
              </w:rPr>
              <w:t>项目经理</w:t>
            </w:r>
          </w:p>
        </w:tc>
        <w:tc>
          <w:tcPr>
            <w:tcW w:w="2003" w:type="dxa"/>
            <w:gridSpan w:val="2"/>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721" w:type="dxa"/>
            <w:vAlign w:val="center"/>
          </w:tcPr>
          <w:p>
            <w:pPr>
              <w:widowControl/>
              <w:spacing w:line="500" w:lineRule="exact"/>
              <w:jc w:val="left"/>
              <w:rPr>
                <w:sz w:val="24"/>
                <w:highlight w:val="none"/>
              </w:rPr>
            </w:pPr>
            <w:r>
              <w:rPr>
                <w:rFonts w:hint="eastAsia"/>
                <w:sz w:val="24"/>
                <w:highlight w:val="none"/>
              </w:rPr>
              <w:t>营业执照号</w:t>
            </w:r>
          </w:p>
        </w:tc>
        <w:tc>
          <w:tcPr>
            <w:tcW w:w="2483" w:type="dxa"/>
            <w:gridSpan w:val="2"/>
            <w:vAlign w:val="center"/>
          </w:tcPr>
          <w:p>
            <w:pPr>
              <w:widowControl/>
              <w:spacing w:line="500" w:lineRule="exact"/>
              <w:ind w:firstLine="470" w:firstLineChars="196"/>
              <w:jc w:val="left"/>
              <w:rPr>
                <w:sz w:val="24"/>
                <w:highlight w:val="none"/>
              </w:rPr>
            </w:pPr>
          </w:p>
        </w:tc>
        <w:tc>
          <w:tcPr>
            <w:tcW w:w="1410" w:type="dxa"/>
            <w:vMerge w:val="continue"/>
            <w:vAlign w:val="center"/>
          </w:tcPr>
          <w:p>
            <w:pPr>
              <w:spacing w:line="500" w:lineRule="exact"/>
              <w:rPr>
                <w:highlight w:val="none"/>
              </w:rPr>
            </w:pPr>
          </w:p>
        </w:tc>
        <w:tc>
          <w:tcPr>
            <w:tcW w:w="1671" w:type="dxa"/>
            <w:gridSpan w:val="2"/>
            <w:vAlign w:val="center"/>
          </w:tcPr>
          <w:p>
            <w:pPr>
              <w:widowControl/>
              <w:spacing w:line="500" w:lineRule="exact"/>
              <w:jc w:val="left"/>
              <w:rPr>
                <w:sz w:val="24"/>
                <w:highlight w:val="none"/>
              </w:rPr>
            </w:pPr>
            <w:r>
              <w:rPr>
                <w:rFonts w:hint="eastAsia"/>
                <w:sz w:val="24"/>
                <w:highlight w:val="none"/>
              </w:rPr>
              <w:t>高级职称人员</w:t>
            </w:r>
          </w:p>
        </w:tc>
        <w:tc>
          <w:tcPr>
            <w:tcW w:w="2003" w:type="dxa"/>
            <w:gridSpan w:val="2"/>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721" w:type="dxa"/>
            <w:vAlign w:val="center"/>
          </w:tcPr>
          <w:p>
            <w:pPr>
              <w:widowControl/>
              <w:spacing w:line="500" w:lineRule="exact"/>
              <w:jc w:val="left"/>
              <w:rPr>
                <w:sz w:val="24"/>
                <w:highlight w:val="none"/>
              </w:rPr>
            </w:pPr>
            <w:r>
              <w:rPr>
                <w:rFonts w:hint="eastAsia"/>
                <w:sz w:val="24"/>
                <w:highlight w:val="none"/>
              </w:rPr>
              <w:t>注册资金</w:t>
            </w:r>
          </w:p>
        </w:tc>
        <w:tc>
          <w:tcPr>
            <w:tcW w:w="2483" w:type="dxa"/>
            <w:gridSpan w:val="2"/>
            <w:vAlign w:val="center"/>
          </w:tcPr>
          <w:p>
            <w:pPr>
              <w:widowControl/>
              <w:spacing w:line="500" w:lineRule="exact"/>
              <w:ind w:firstLine="470" w:firstLineChars="196"/>
              <w:jc w:val="left"/>
              <w:rPr>
                <w:sz w:val="24"/>
                <w:highlight w:val="none"/>
              </w:rPr>
            </w:pPr>
          </w:p>
        </w:tc>
        <w:tc>
          <w:tcPr>
            <w:tcW w:w="1410" w:type="dxa"/>
            <w:vMerge w:val="continue"/>
            <w:vAlign w:val="center"/>
          </w:tcPr>
          <w:p>
            <w:pPr>
              <w:spacing w:line="500" w:lineRule="exact"/>
              <w:rPr>
                <w:highlight w:val="none"/>
              </w:rPr>
            </w:pPr>
          </w:p>
        </w:tc>
        <w:tc>
          <w:tcPr>
            <w:tcW w:w="1671" w:type="dxa"/>
            <w:gridSpan w:val="2"/>
            <w:vAlign w:val="center"/>
          </w:tcPr>
          <w:p>
            <w:pPr>
              <w:widowControl/>
              <w:spacing w:line="500" w:lineRule="exact"/>
              <w:jc w:val="left"/>
              <w:rPr>
                <w:sz w:val="24"/>
                <w:highlight w:val="none"/>
              </w:rPr>
            </w:pPr>
            <w:r>
              <w:rPr>
                <w:rFonts w:hint="eastAsia"/>
                <w:sz w:val="24"/>
                <w:highlight w:val="none"/>
              </w:rPr>
              <w:t>中级职称人员</w:t>
            </w:r>
          </w:p>
        </w:tc>
        <w:tc>
          <w:tcPr>
            <w:tcW w:w="2003" w:type="dxa"/>
            <w:gridSpan w:val="2"/>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721" w:type="dxa"/>
            <w:vAlign w:val="center"/>
          </w:tcPr>
          <w:p>
            <w:pPr>
              <w:widowControl/>
              <w:spacing w:line="500" w:lineRule="exact"/>
              <w:jc w:val="left"/>
              <w:rPr>
                <w:sz w:val="24"/>
                <w:highlight w:val="none"/>
              </w:rPr>
            </w:pPr>
            <w:r>
              <w:rPr>
                <w:rFonts w:hint="eastAsia"/>
                <w:sz w:val="24"/>
                <w:highlight w:val="none"/>
              </w:rPr>
              <w:t>开户银行</w:t>
            </w:r>
          </w:p>
        </w:tc>
        <w:tc>
          <w:tcPr>
            <w:tcW w:w="2483" w:type="dxa"/>
            <w:gridSpan w:val="2"/>
            <w:vAlign w:val="center"/>
          </w:tcPr>
          <w:p>
            <w:pPr>
              <w:widowControl/>
              <w:spacing w:line="500" w:lineRule="exact"/>
              <w:ind w:firstLine="470" w:firstLineChars="196"/>
              <w:jc w:val="left"/>
              <w:rPr>
                <w:sz w:val="24"/>
                <w:highlight w:val="none"/>
              </w:rPr>
            </w:pPr>
          </w:p>
        </w:tc>
        <w:tc>
          <w:tcPr>
            <w:tcW w:w="1410" w:type="dxa"/>
            <w:vMerge w:val="continue"/>
            <w:vAlign w:val="center"/>
          </w:tcPr>
          <w:p>
            <w:pPr>
              <w:spacing w:line="500" w:lineRule="exact"/>
              <w:rPr>
                <w:highlight w:val="none"/>
              </w:rPr>
            </w:pPr>
          </w:p>
        </w:tc>
        <w:tc>
          <w:tcPr>
            <w:tcW w:w="1671" w:type="dxa"/>
            <w:gridSpan w:val="2"/>
            <w:vAlign w:val="center"/>
          </w:tcPr>
          <w:p>
            <w:pPr>
              <w:widowControl/>
              <w:spacing w:line="500" w:lineRule="exact"/>
              <w:jc w:val="left"/>
              <w:rPr>
                <w:sz w:val="24"/>
                <w:highlight w:val="none"/>
              </w:rPr>
            </w:pPr>
            <w:r>
              <w:rPr>
                <w:rFonts w:hint="eastAsia"/>
                <w:sz w:val="24"/>
                <w:highlight w:val="none"/>
              </w:rPr>
              <w:t>初级职称人员</w:t>
            </w:r>
          </w:p>
        </w:tc>
        <w:tc>
          <w:tcPr>
            <w:tcW w:w="2003" w:type="dxa"/>
            <w:gridSpan w:val="2"/>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721" w:type="dxa"/>
            <w:vAlign w:val="center"/>
          </w:tcPr>
          <w:p>
            <w:pPr>
              <w:widowControl/>
              <w:spacing w:line="500" w:lineRule="exact"/>
              <w:ind w:firstLine="470" w:firstLineChars="196"/>
              <w:jc w:val="left"/>
              <w:rPr>
                <w:sz w:val="24"/>
                <w:highlight w:val="none"/>
              </w:rPr>
            </w:pPr>
            <w:r>
              <w:rPr>
                <w:rFonts w:hint="eastAsia"/>
                <w:sz w:val="24"/>
                <w:highlight w:val="none"/>
              </w:rPr>
              <w:t>账号</w:t>
            </w:r>
          </w:p>
        </w:tc>
        <w:tc>
          <w:tcPr>
            <w:tcW w:w="2483" w:type="dxa"/>
            <w:gridSpan w:val="2"/>
            <w:vAlign w:val="center"/>
          </w:tcPr>
          <w:p>
            <w:pPr>
              <w:widowControl/>
              <w:spacing w:line="500" w:lineRule="exact"/>
              <w:ind w:firstLine="470" w:firstLineChars="196"/>
              <w:jc w:val="left"/>
              <w:rPr>
                <w:sz w:val="24"/>
                <w:highlight w:val="none"/>
              </w:rPr>
            </w:pPr>
          </w:p>
        </w:tc>
        <w:tc>
          <w:tcPr>
            <w:tcW w:w="1410" w:type="dxa"/>
            <w:vMerge w:val="continue"/>
            <w:vAlign w:val="center"/>
          </w:tcPr>
          <w:p>
            <w:pPr>
              <w:spacing w:line="500" w:lineRule="exact"/>
              <w:rPr>
                <w:highlight w:val="none"/>
              </w:rPr>
            </w:pPr>
          </w:p>
        </w:tc>
        <w:tc>
          <w:tcPr>
            <w:tcW w:w="1671" w:type="dxa"/>
            <w:gridSpan w:val="2"/>
            <w:vAlign w:val="center"/>
          </w:tcPr>
          <w:p>
            <w:pPr>
              <w:widowControl/>
              <w:spacing w:line="500" w:lineRule="exact"/>
              <w:ind w:firstLine="470" w:firstLineChars="196"/>
              <w:jc w:val="left"/>
              <w:rPr>
                <w:sz w:val="24"/>
                <w:highlight w:val="none"/>
              </w:rPr>
            </w:pPr>
            <w:r>
              <w:rPr>
                <w:rFonts w:hint="eastAsia"/>
                <w:sz w:val="24"/>
                <w:highlight w:val="none"/>
              </w:rPr>
              <w:t>技工</w:t>
            </w:r>
          </w:p>
        </w:tc>
        <w:tc>
          <w:tcPr>
            <w:tcW w:w="2003" w:type="dxa"/>
            <w:gridSpan w:val="2"/>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442" w:hRule="atLeast"/>
        </w:trPr>
        <w:tc>
          <w:tcPr>
            <w:tcW w:w="1721" w:type="dxa"/>
            <w:vAlign w:val="center"/>
          </w:tcPr>
          <w:p>
            <w:pPr>
              <w:widowControl/>
              <w:spacing w:line="500" w:lineRule="exact"/>
              <w:jc w:val="center"/>
              <w:rPr>
                <w:sz w:val="24"/>
                <w:highlight w:val="none"/>
              </w:rPr>
            </w:pPr>
            <w:r>
              <w:rPr>
                <w:rFonts w:hint="eastAsia"/>
                <w:sz w:val="24"/>
                <w:highlight w:val="none"/>
              </w:rPr>
              <w:t>经营范围</w:t>
            </w:r>
          </w:p>
        </w:tc>
        <w:tc>
          <w:tcPr>
            <w:tcW w:w="7567" w:type="dxa"/>
            <w:gridSpan w:val="7"/>
            <w:vAlign w:val="center"/>
          </w:tcPr>
          <w:p>
            <w:pPr>
              <w:widowControl/>
              <w:spacing w:line="500" w:lineRule="exact"/>
              <w:ind w:firstLine="470" w:firstLineChars="196"/>
              <w:jc w:val="left"/>
              <w:rPr>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trPr>
        <w:tc>
          <w:tcPr>
            <w:tcW w:w="1721" w:type="dxa"/>
          </w:tcPr>
          <w:p>
            <w:pPr>
              <w:widowControl/>
              <w:spacing w:line="500" w:lineRule="exact"/>
              <w:ind w:firstLine="470" w:firstLineChars="196"/>
              <w:jc w:val="left"/>
              <w:rPr>
                <w:sz w:val="24"/>
                <w:highlight w:val="none"/>
              </w:rPr>
            </w:pPr>
            <w:r>
              <w:rPr>
                <w:rFonts w:hint="eastAsia"/>
                <w:sz w:val="24"/>
                <w:highlight w:val="none"/>
              </w:rPr>
              <w:t>备注</w:t>
            </w:r>
          </w:p>
        </w:tc>
        <w:tc>
          <w:tcPr>
            <w:tcW w:w="7567" w:type="dxa"/>
            <w:gridSpan w:val="7"/>
          </w:tcPr>
          <w:p>
            <w:pPr>
              <w:widowControl/>
              <w:spacing w:line="500" w:lineRule="exact"/>
              <w:ind w:firstLine="470" w:firstLineChars="196"/>
              <w:jc w:val="left"/>
              <w:rPr>
                <w:sz w:val="24"/>
                <w:highlight w:val="none"/>
              </w:rPr>
            </w:pPr>
          </w:p>
        </w:tc>
      </w:tr>
    </w:tbl>
    <w:p>
      <w:pPr>
        <w:widowControl/>
        <w:spacing w:line="500" w:lineRule="exact"/>
        <w:ind w:firstLine="472" w:firstLineChars="196"/>
        <w:jc w:val="left"/>
        <w:rPr>
          <w:b/>
          <w:sz w:val="24"/>
          <w:highlight w:val="none"/>
        </w:rPr>
      </w:pPr>
    </w:p>
    <w:p>
      <w:pPr>
        <w:widowControl/>
        <w:spacing w:line="500" w:lineRule="exact"/>
        <w:ind w:firstLine="470" w:firstLineChars="196"/>
        <w:jc w:val="left"/>
        <w:rPr>
          <w:sz w:val="24"/>
          <w:highlight w:val="none"/>
        </w:rPr>
      </w:pPr>
      <w:r>
        <w:rPr>
          <w:rFonts w:hint="eastAsia"/>
          <w:sz w:val="24"/>
          <w:highlight w:val="none"/>
        </w:rPr>
        <w:t>投标人名称：XXXX（单位盖章）。</w:t>
      </w:r>
    </w:p>
    <w:p>
      <w:pPr>
        <w:widowControl/>
        <w:spacing w:line="500" w:lineRule="exact"/>
        <w:ind w:firstLine="470" w:firstLineChars="196"/>
        <w:jc w:val="left"/>
        <w:rPr>
          <w:sz w:val="24"/>
          <w:highlight w:val="none"/>
        </w:rPr>
      </w:pPr>
      <w:r>
        <w:rPr>
          <w:rFonts w:hint="eastAsia"/>
          <w:sz w:val="24"/>
          <w:highlight w:val="none"/>
        </w:rPr>
        <w:t>法定代表人或授权代表（签字或加盖个人名章）：XXXX。</w:t>
      </w:r>
    </w:p>
    <w:p>
      <w:pPr>
        <w:widowControl/>
        <w:spacing w:line="500" w:lineRule="exact"/>
        <w:ind w:firstLine="470" w:firstLineChars="196"/>
        <w:jc w:val="left"/>
        <w:rPr>
          <w:sz w:val="24"/>
          <w:highlight w:val="none"/>
        </w:rPr>
      </w:pPr>
      <w:r>
        <w:rPr>
          <w:rFonts w:hint="eastAsia"/>
          <w:sz w:val="24"/>
          <w:highlight w:val="none"/>
        </w:rPr>
        <w:t>投标日期: XXXX。</w:t>
      </w:r>
    </w:p>
    <w:p>
      <w:pPr>
        <w:pStyle w:val="2"/>
        <w:rPr>
          <w:highlight w:val="none"/>
        </w:rPr>
      </w:pPr>
    </w:p>
    <w:p>
      <w:pPr>
        <w:widowControl/>
        <w:spacing w:line="500" w:lineRule="exact"/>
        <w:jc w:val="center"/>
        <w:outlineLvl w:val="1"/>
        <w:rPr>
          <w:rFonts w:ascii="黑体" w:eastAsia="黑体"/>
          <w:b/>
          <w:sz w:val="36"/>
          <w:szCs w:val="36"/>
          <w:highlight w:val="none"/>
        </w:rPr>
      </w:pPr>
      <w:bookmarkStart w:id="130" w:name="_Toc217446089"/>
      <w:r>
        <w:rPr>
          <w:rFonts w:hint="eastAsia" w:ascii="黑体" w:eastAsia="黑体"/>
          <w:b/>
          <w:sz w:val="36"/>
          <w:szCs w:val="36"/>
          <w:highlight w:val="none"/>
        </w:rPr>
        <w:t>八、投标人类似项目业绩一览表</w:t>
      </w:r>
      <w:bookmarkEnd w:id="130"/>
    </w:p>
    <w:p>
      <w:pPr>
        <w:widowControl/>
        <w:spacing w:line="500" w:lineRule="exact"/>
        <w:ind w:firstLine="472" w:firstLineChars="196"/>
        <w:jc w:val="left"/>
        <w:rPr>
          <w:b/>
          <w:sz w:val="24"/>
          <w:highlight w:val="none"/>
        </w:rPr>
      </w:pPr>
    </w:p>
    <w:tbl>
      <w:tblPr>
        <w:tblStyle w:val="27"/>
        <w:tblW w:w="918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54" w:type="dxa"/>
          <w:bottom w:w="0" w:type="dxa"/>
          <w:right w:w="54" w:type="dxa"/>
        </w:tblCellMar>
      </w:tblPr>
      <w:tblGrid>
        <w:gridCol w:w="820"/>
        <w:gridCol w:w="1641"/>
        <w:gridCol w:w="1504"/>
        <w:gridCol w:w="1323"/>
        <w:gridCol w:w="1435"/>
        <w:gridCol w:w="11"/>
        <w:gridCol w:w="1545"/>
        <w:gridCol w:w="10"/>
        <w:gridCol w:w="89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820" w:type="dxa"/>
            <w:tcBorders>
              <w:top w:val="single" w:color="auto" w:sz="4" w:space="0"/>
            </w:tcBorders>
            <w:vAlign w:val="center"/>
          </w:tcPr>
          <w:p>
            <w:pPr>
              <w:widowControl/>
              <w:spacing w:line="500" w:lineRule="exact"/>
              <w:jc w:val="center"/>
              <w:rPr>
                <w:sz w:val="24"/>
                <w:highlight w:val="none"/>
              </w:rPr>
            </w:pPr>
            <w:r>
              <w:rPr>
                <w:rFonts w:hint="eastAsia"/>
                <w:sz w:val="24"/>
                <w:highlight w:val="none"/>
              </w:rPr>
              <w:t>年份</w:t>
            </w:r>
          </w:p>
        </w:tc>
        <w:tc>
          <w:tcPr>
            <w:tcW w:w="1641" w:type="dxa"/>
            <w:vAlign w:val="center"/>
          </w:tcPr>
          <w:p>
            <w:pPr>
              <w:widowControl/>
              <w:spacing w:line="500" w:lineRule="exact"/>
              <w:jc w:val="center"/>
              <w:rPr>
                <w:sz w:val="24"/>
                <w:highlight w:val="none"/>
              </w:rPr>
            </w:pPr>
            <w:r>
              <w:rPr>
                <w:rFonts w:hint="eastAsia"/>
                <w:sz w:val="24"/>
                <w:highlight w:val="none"/>
              </w:rPr>
              <w:t>用户名称</w:t>
            </w:r>
          </w:p>
        </w:tc>
        <w:tc>
          <w:tcPr>
            <w:tcW w:w="1504" w:type="dxa"/>
            <w:vAlign w:val="center"/>
          </w:tcPr>
          <w:p>
            <w:pPr>
              <w:widowControl/>
              <w:spacing w:line="500" w:lineRule="exact"/>
              <w:jc w:val="center"/>
              <w:rPr>
                <w:sz w:val="24"/>
                <w:highlight w:val="none"/>
              </w:rPr>
            </w:pPr>
            <w:r>
              <w:rPr>
                <w:rFonts w:hint="eastAsia"/>
                <w:sz w:val="24"/>
                <w:highlight w:val="none"/>
              </w:rPr>
              <w:t>项目名称</w:t>
            </w:r>
          </w:p>
        </w:tc>
        <w:tc>
          <w:tcPr>
            <w:tcW w:w="1323" w:type="dxa"/>
            <w:vAlign w:val="center"/>
          </w:tcPr>
          <w:p>
            <w:pPr>
              <w:widowControl/>
              <w:spacing w:line="500" w:lineRule="exact"/>
              <w:jc w:val="center"/>
              <w:rPr>
                <w:sz w:val="24"/>
                <w:highlight w:val="none"/>
              </w:rPr>
            </w:pPr>
            <w:r>
              <w:rPr>
                <w:rFonts w:hint="eastAsia"/>
                <w:sz w:val="24"/>
                <w:highlight w:val="none"/>
              </w:rPr>
              <w:t>完成时间</w:t>
            </w:r>
          </w:p>
        </w:tc>
        <w:tc>
          <w:tcPr>
            <w:tcW w:w="1435" w:type="dxa"/>
            <w:vAlign w:val="center"/>
          </w:tcPr>
          <w:p>
            <w:pPr>
              <w:widowControl/>
              <w:spacing w:line="500" w:lineRule="exact"/>
              <w:jc w:val="center"/>
              <w:rPr>
                <w:sz w:val="24"/>
                <w:highlight w:val="none"/>
              </w:rPr>
            </w:pPr>
            <w:r>
              <w:rPr>
                <w:rFonts w:hint="eastAsia"/>
                <w:sz w:val="24"/>
                <w:highlight w:val="none"/>
              </w:rPr>
              <w:t>合同金额</w:t>
            </w:r>
          </w:p>
        </w:tc>
        <w:tc>
          <w:tcPr>
            <w:tcW w:w="1566" w:type="dxa"/>
            <w:gridSpan w:val="3"/>
            <w:tcBorders>
              <w:right w:val="single" w:color="auto" w:sz="4" w:space="0"/>
            </w:tcBorders>
            <w:vAlign w:val="center"/>
          </w:tcPr>
          <w:p>
            <w:pPr>
              <w:widowControl/>
              <w:spacing w:line="500" w:lineRule="exact"/>
              <w:jc w:val="center"/>
              <w:rPr>
                <w:sz w:val="24"/>
                <w:highlight w:val="none"/>
              </w:rPr>
            </w:pPr>
            <w:r>
              <w:rPr>
                <w:rFonts w:hint="eastAsia"/>
                <w:sz w:val="24"/>
                <w:highlight w:val="none"/>
              </w:rPr>
              <w:t>是否通过验收</w:t>
            </w:r>
          </w:p>
        </w:tc>
        <w:tc>
          <w:tcPr>
            <w:tcW w:w="891" w:type="dxa"/>
            <w:tcBorders>
              <w:left w:val="single" w:color="auto" w:sz="4" w:space="0"/>
            </w:tcBorders>
            <w:vAlign w:val="center"/>
          </w:tcPr>
          <w:p>
            <w:pPr>
              <w:widowControl/>
              <w:spacing w:line="500" w:lineRule="exact"/>
              <w:jc w:val="center"/>
              <w:rPr>
                <w:sz w:val="24"/>
                <w:highlight w:val="none"/>
              </w:rPr>
            </w:pPr>
            <w:r>
              <w:rPr>
                <w:rFonts w:hint="eastAsia"/>
                <w:sz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820" w:type="dxa"/>
            <w:vAlign w:val="center"/>
          </w:tcPr>
          <w:p>
            <w:pPr>
              <w:widowControl/>
              <w:spacing w:line="500" w:lineRule="exact"/>
              <w:jc w:val="center"/>
              <w:rPr>
                <w:sz w:val="24"/>
                <w:highlight w:val="none"/>
              </w:rPr>
            </w:pPr>
          </w:p>
        </w:tc>
        <w:tc>
          <w:tcPr>
            <w:tcW w:w="1641" w:type="dxa"/>
            <w:vAlign w:val="center"/>
          </w:tcPr>
          <w:p>
            <w:pPr>
              <w:widowControl/>
              <w:spacing w:line="500" w:lineRule="exact"/>
              <w:jc w:val="center"/>
              <w:rPr>
                <w:sz w:val="24"/>
                <w:highlight w:val="none"/>
              </w:rPr>
            </w:pPr>
          </w:p>
        </w:tc>
        <w:tc>
          <w:tcPr>
            <w:tcW w:w="1504" w:type="dxa"/>
            <w:vAlign w:val="center"/>
          </w:tcPr>
          <w:p>
            <w:pPr>
              <w:widowControl/>
              <w:spacing w:line="500" w:lineRule="exact"/>
              <w:jc w:val="center"/>
              <w:rPr>
                <w:sz w:val="24"/>
                <w:highlight w:val="none"/>
              </w:rPr>
            </w:pPr>
          </w:p>
        </w:tc>
        <w:tc>
          <w:tcPr>
            <w:tcW w:w="1323" w:type="dxa"/>
            <w:vAlign w:val="center"/>
          </w:tcPr>
          <w:p>
            <w:pPr>
              <w:widowControl/>
              <w:spacing w:line="500" w:lineRule="exact"/>
              <w:jc w:val="center"/>
              <w:rPr>
                <w:sz w:val="24"/>
                <w:highlight w:val="none"/>
              </w:rPr>
            </w:pPr>
          </w:p>
        </w:tc>
        <w:tc>
          <w:tcPr>
            <w:tcW w:w="1435" w:type="dxa"/>
            <w:vAlign w:val="center"/>
          </w:tcPr>
          <w:p>
            <w:pPr>
              <w:widowControl/>
              <w:spacing w:line="500" w:lineRule="exact"/>
              <w:jc w:val="center"/>
              <w:rPr>
                <w:sz w:val="24"/>
                <w:highlight w:val="none"/>
              </w:rPr>
            </w:pPr>
          </w:p>
        </w:tc>
        <w:tc>
          <w:tcPr>
            <w:tcW w:w="1566" w:type="dxa"/>
            <w:gridSpan w:val="3"/>
            <w:tcBorders>
              <w:right w:val="single" w:color="auto" w:sz="4" w:space="0"/>
            </w:tcBorders>
            <w:vAlign w:val="center"/>
          </w:tcPr>
          <w:p>
            <w:pPr>
              <w:widowControl/>
              <w:spacing w:line="500" w:lineRule="exact"/>
              <w:jc w:val="center"/>
              <w:rPr>
                <w:sz w:val="24"/>
                <w:highlight w:val="none"/>
              </w:rPr>
            </w:pPr>
          </w:p>
        </w:tc>
        <w:tc>
          <w:tcPr>
            <w:tcW w:w="891" w:type="dxa"/>
            <w:tcBorders>
              <w:left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820" w:type="dxa"/>
            <w:vAlign w:val="center"/>
          </w:tcPr>
          <w:p>
            <w:pPr>
              <w:widowControl/>
              <w:spacing w:line="500" w:lineRule="exact"/>
              <w:jc w:val="center"/>
              <w:rPr>
                <w:sz w:val="24"/>
                <w:highlight w:val="none"/>
              </w:rPr>
            </w:pPr>
          </w:p>
        </w:tc>
        <w:tc>
          <w:tcPr>
            <w:tcW w:w="1641" w:type="dxa"/>
            <w:vAlign w:val="center"/>
          </w:tcPr>
          <w:p>
            <w:pPr>
              <w:widowControl/>
              <w:spacing w:line="500" w:lineRule="exact"/>
              <w:jc w:val="center"/>
              <w:rPr>
                <w:sz w:val="24"/>
                <w:highlight w:val="none"/>
              </w:rPr>
            </w:pPr>
          </w:p>
        </w:tc>
        <w:tc>
          <w:tcPr>
            <w:tcW w:w="1504" w:type="dxa"/>
            <w:vAlign w:val="center"/>
          </w:tcPr>
          <w:p>
            <w:pPr>
              <w:widowControl/>
              <w:spacing w:line="500" w:lineRule="exact"/>
              <w:jc w:val="center"/>
              <w:rPr>
                <w:sz w:val="24"/>
                <w:highlight w:val="none"/>
              </w:rPr>
            </w:pPr>
          </w:p>
        </w:tc>
        <w:tc>
          <w:tcPr>
            <w:tcW w:w="1323" w:type="dxa"/>
            <w:vAlign w:val="center"/>
          </w:tcPr>
          <w:p>
            <w:pPr>
              <w:widowControl/>
              <w:spacing w:line="500" w:lineRule="exact"/>
              <w:jc w:val="center"/>
              <w:rPr>
                <w:sz w:val="24"/>
                <w:highlight w:val="none"/>
              </w:rPr>
            </w:pPr>
          </w:p>
        </w:tc>
        <w:tc>
          <w:tcPr>
            <w:tcW w:w="1435" w:type="dxa"/>
            <w:vAlign w:val="center"/>
          </w:tcPr>
          <w:p>
            <w:pPr>
              <w:widowControl/>
              <w:spacing w:line="500" w:lineRule="exact"/>
              <w:jc w:val="center"/>
              <w:rPr>
                <w:sz w:val="24"/>
                <w:highlight w:val="none"/>
              </w:rPr>
            </w:pPr>
          </w:p>
        </w:tc>
        <w:tc>
          <w:tcPr>
            <w:tcW w:w="1566" w:type="dxa"/>
            <w:gridSpan w:val="3"/>
            <w:tcBorders>
              <w:right w:val="single" w:color="auto" w:sz="4" w:space="0"/>
            </w:tcBorders>
            <w:vAlign w:val="center"/>
          </w:tcPr>
          <w:p>
            <w:pPr>
              <w:widowControl/>
              <w:spacing w:line="500" w:lineRule="exact"/>
              <w:jc w:val="center"/>
              <w:rPr>
                <w:sz w:val="24"/>
                <w:highlight w:val="none"/>
              </w:rPr>
            </w:pPr>
          </w:p>
        </w:tc>
        <w:tc>
          <w:tcPr>
            <w:tcW w:w="891" w:type="dxa"/>
            <w:tcBorders>
              <w:left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820" w:type="dxa"/>
            <w:vAlign w:val="center"/>
          </w:tcPr>
          <w:p>
            <w:pPr>
              <w:widowControl/>
              <w:spacing w:line="500" w:lineRule="exact"/>
              <w:jc w:val="center"/>
              <w:rPr>
                <w:sz w:val="24"/>
                <w:highlight w:val="none"/>
              </w:rPr>
            </w:pPr>
          </w:p>
        </w:tc>
        <w:tc>
          <w:tcPr>
            <w:tcW w:w="1641" w:type="dxa"/>
            <w:vAlign w:val="center"/>
          </w:tcPr>
          <w:p>
            <w:pPr>
              <w:widowControl/>
              <w:spacing w:line="500" w:lineRule="exact"/>
              <w:jc w:val="center"/>
              <w:rPr>
                <w:sz w:val="24"/>
                <w:highlight w:val="none"/>
              </w:rPr>
            </w:pPr>
          </w:p>
        </w:tc>
        <w:tc>
          <w:tcPr>
            <w:tcW w:w="1504" w:type="dxa"/>
            <w:vAlign w:val="center"/>
          </w:tcPr>
          <w:p>
            <w:pPr>
              <w:widowControl/>
              <w:spacing w:line="500" w:lineRule="exact"/>
              <w:jc w:val="center"/>
              <w:rPr>
                <w:sz w:val="24"/>
                <w:highlight w:val="none"/>
              </w:rPr>
            </w:pPr>
          </w:p>
        </w:tc>
        <w:tc>
          <w:tcPr>
            <w:tcW w:w="1323" w:type="dxa"/>
            <w:vAlign w:val="center"/>
          </w:tcPr>
          <w:p>
            <w:pPr>
              <w:widowControl/>
              <w:spacing w:line="500" w:lineRule="exact"/>
              <w:jc w:val="center"/>
              <w:rPr>
                <w:sz w:val="24"/>
                <w:highlight w:val="none"/>
              </w:rPr>
            </w:pPr>
          </w:p>
        </w:tc>
        <w:tc>
          <w:tcPr>
            <w:tcW w:w="1435" w:type="dxa"/>
            <w:vAlign w:val="center"/>
          </w:tcPr>
          <w:p>
            <w:pPr>
              <w:widowControl/>
              <w:spacing w:line="500" w:lineRule="exact"/>
              <w:jc w:val="center"/>
              <w:rPr>
                <w:sz w:val="24"/>
                <w:highlight w:val="none"/>
              </w:rPr>
            </w:pPr>
          </w:p>
        </w:tc>
        <w:tc>
          <w:tcPr>
            <w:tcW w:w="1566" w:type="dxa"/>
            <w:gridSpan w:val="3"/>
            <w:tcBorders>
              <w:right w:val="single" w:color="auto" w:sz="4" w:space="0"/>
            </w:tcBorders>
            <w:vAlign w:val="center"/>
          </w:tcPr>
          <w:p>
            <w:pPr>
              <w:widowControl/>
              <w:spacing w:line="500" w:lineRule="exact"/>
              <w:jc w:val="center"/>
              <w:rPr>
                <w:sz w:val="24"/>
                <w:highlight w:val="none"/>
              </w:rPr>
            </w:pPr>
          </w:p>
        </w:tc>
        <w:tc>
          <w:tcPr>
            <w:tcW w:w="891" w:type="dxa"/>
            <w:tcBorders>
              <w:left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820" w:type="dxa"/>
            <w:vAlign w:val="center"/>
          </w:tcPr>
          <w:p>
            <w:pPr>
              <w:widowControl/>
              <w:spacing w:line="500" w:lineRule="exact"/>
              <w:jc w:val="center"/>
              <w:rPr>
                <w:sz w:val="24"/>
                <w:highlight w:val="none"/>
              </w:rPr>
            </w:pPr>
          </w:p>
        </w:tc>
        <w:tc>
          <w:tcPr>
            <w:tcW w:w="1641" w:type="dxa"/>
            <w:tcBorders>
              <w:right w:val="single" w:color="auto" w:sz="4" w:space="0"/>
            </w:tcBorders>
            <w:vAlign w:val="center"/>
          </w:tcPr>
          <w:p>
            <w:pPr>
              <w:widowControl/>
              <w:spacing w:line="500" w:lineRule="exact"/>
              <w:jc w:val="center"/>
              <w:rPr>
                <w:sz w:val="24"/>
                <w:highlight w:val="none"/>
              </w:rPr>
            </w:pPr>
          </w:p>
        </w:tc>
        <w:tc>
          <w:tcPr>
            <w:tcW w:w="1504" w:type="dxa"/>
            <w:tcBorders>
              <w:left w:val="single" w:color="auto" w:sz="4" w:space="0"/>
            </w:tcBorders>
            <w:vAlign w:val="center"/>
          </w:tcPr>
          <w:p>
            <w:pPr>
              <w:widowControl/>
              <w:spacing w:line="500" w:lineRule="exact"/>
              <w:jc w:val="center"/>
              <w:rPr>
                <w:sz w:val="24"/>
                <w:highlight w:val="none"/>
              </w:rPr>
            </w:pPr>
          </w:p>
        </w:tc>
        <w:tc>
          <w:tcPr>
            <w:tcW w:w="1323" w:type="dxa"/>
            <w:vAlign w:val="center"/>
          </w:tcPr>
          <w:p>
            <w:pPr>
              <w:widowControl/>
              <w:spacing w:line="500" w:lineRule="exact"/>
              <w:jc w:val="center"/>
              <w:rPr>
                <w:sz w:val="24"/>
                <w:highlight w:val="none"/>
              </w:rPr>
            </w:pPr>
          </w:p>
        </w:tc>
        <w:tc>
          <w:tcPr>
            <w:tcW w:w="1435" w:type="dxa"/>
            <w:vAlign w:val="center"/>
          </w:tcPr>
          <w:p>
            <w:pPr>
              <w:widowControl/>
              <w:spacing w:line="500" w:lineRule="exact"/>
              <w:jc w:val="center"/>
              <w:rPr>
                <w:sz w:val="24"/>
                <w:highlight w:val="none"/>
              </w:rPr>
            </w:pPr>
          </w:p>
        </w:tc>
        <w:tc>
          <w:tcPr>
            <w:tcW w:w="1566" w:type="dxa"/>
            <w:gridSpan w:val="3"/>
            <w:tcBorders>
              <w:right w:val="single" w:color="auto" w:sz="4" w:space="0"/>
            </w:tcBorders>
            <w:vAlign w:val="center"/>
          </w:tcPr>
          <w:p>
            <w:pPr>
              <w:widowControl/>
              <w:spacing w:line="500" w:lineRule="exact"/>
              <w:jc w:val="center"/>
              <w:rPr>
                <w:sz w:val="24"/>
                <w:highlight w:val="none"/>
              </w:rPr>
            </w:pPr>
          </w:p>
        </w:tc>
        <w:tc>
          <w:tcPr>
            <w:tcW w:w="891" w:type="dxa"/>
            <w:tcBorders>
              <w:left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820" w:type="dxa"/>
            <w:tcBorders>
              <w:right w:val="single" w:color="auto" w:sz="4" w:space="0"/>
            </w:tcBorders>
            <w:vAlign w:val="center"/>
          </w:tcPr>
          <w:p>
            <w:pPr>
              <w:widowControl/>
              <w:spacing w:line="500" w:lineRule="exact"/>
              <w:jc w:val="center"/>
              <w:rPr>
                <w:sz w:val="24"/>
                <w:highlight w:val="none"/>
              </w:rPr>
            </w:pPr>
          </w:p>
        </w:tc>
        <w:tc>
          <w:tcPr>
            <w:tcW w:w="1641" w:type="dxa"/>
            <w:tcBorders>
              <w:left w:val="single" w:color="auto" w:sz="4" w:space="0"/>
              <w:right w:val="single" w:color="auto" w:sz="4" w:space="0"/>
            </w:tcBorders>
            <w:vAlign w:val="center"/>
          </w:tcPr>
          <w:p>
            <w:pPr>
              <w:widowControl/>
              <w:spacing w:line="500" w:lineRule="exact"/>
              <w:jc w:val="center"/>
              <w:rPr>
                <w:sz w:val="24"/>
                <w:highlight w:val="none"/>
              </w:rPr>
            </w:pPr>
          </w:p>
        </w:tc>
        <w:tc>
          <w:tcPr>
            <w:tcW w:w="1504" w:type="dxa"/>
            <w:tcBorders>
              <w:left w:val="single" w:color="auto" w:sz="4" w:space="0"/>
              <w:right w:val="single" w:color="auto" w:sz="4" w:space="0"/>
            </w:tcBorders>
            <w:vAlign w:val="center"/>
          </w:tcPr>
          <w:p>
            <w:pPr>
              <w:widowControl/>
              <w:spacing w:line="500" w:lineRule="exact"/>
              <w:jc w:val="center"/>
              <w:rPr>
                <w:sz w:val="24"/>
                <w:highlight w:val="none"/>
              </w:rPr>
            </w:pPr>
          </w:p>
        </w:tc>
        <w:tc>
          <w:tcPr>
            <w:tcW w:w="1323" w:type="dxa"/>
            <w:tcBorders>
              <w:left w:val="single" w:color="auto" w:sz="4" w:space="0"/>
              <w:right w:val="single" w:color="auto" w:sz="4" w:space="0"/>
            </w:tcBorders>
            <w:vAlign w:val="center"/>
          </w:tcPr>
          <w:p>
            <w:pPr>
              <w:widowControl/>
              <w:spacing w:line="500" w:lineRule="exact"/>
              <w:jc w:val="center"/>
              <w:rPr>
                <w:sz w:val="24"/>
                <w:highlight w:val="none"/>
              </w:rPr>
            </w:pPr>
          </w:p>
        </w:tc>
        <w:tc>
          <w:tcPr>
            <w:tcW w:w="1446" w:type="dxa"/>
            <w:gridSpan w:val="2"/>
            <w:tcBorders>
              <w:left w:val="single" w:color="auto" w:sz="4" w:space="0"/>
              <w:right w:val="single" w:color="auto" w:sz="4" w:space="0"/>
            </w:tcBorders>
            <w:vAlign w:val="center"/>
          </w:tcPr>
          <w:p>
            <w:pPr>
              <w:widowControl/>
              <w:spacing w:line="500" w:lineRule="exact"/>
              <w:jc w:val="center"/>
              <w:rPr>
                <w:sz w:val="24"/>
                <w:highlight w:val="none"/>
              </w:rPr>
            </w:pPr>
          </w:p>
        </w:tc>
        <w:tc>
          <w:tcPr>
            <w:tcW w:w="1555" w:type="dxa"/>
            <w:gridSpan w:val="2"/>
            <w:tcBorders>
              <w:left w:val="single" w:color="auto" w:sz="4" w:space="0"/>
              <w:right w:val="single" w:color="auto" w:sz="4" w:space="0"/>
            </w:tcBorders>
            <w:vAlign w:val="center"/>
          </w:tcPr>
          <w:p>
            <w:pPr>
              <w:widowControl/>
              <w:spacing w:line="500" w:lineRule="exact"/>
              <w:jc w:val="center"/>
              <w:rPr>
                <w:sz w:val="24"/>
                <w:highlight w:val="none"/>
              </w:rPr>
            </w:pPr>
          </w:p>
        </w:tc>
        <w:tc>
          <w:tcPr>
            <w:tcW w:w="891" w:type="dxa"/>
            <w:tcBorders>
              <w:left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820" w:type="dxa"/>
            <w:vAlign w:val="center"/>
          </w:tcPr>
          <w:p>
            <w:pPr>
              <w:widowControl/>
              <w:spacing w:line="500" w:lineRule="exact"/>
              <w:jc w:val="center"/>
              <w:rPr>
                <w:sz w:val="24"/>
                <w:highlight w:val="none"/>
              </w:rPr>
            </w:pPr>
          </w:p>
        </w:tc>
        <w:tc>
          <w:tcPr>
            <w:tcW w:w="1641" w:type="dxa"/>
            <w:vAlign w:val="center"/>
          </w:tcPr>
          <w:p>
            <w:pPr>
              <w:widowControl/>
              <w:spacing w:line="500" w:lineRule="exact"/>
              <w:jc w:val="center"/>
              <w:rPr>
                <w:sz w:val="24"/>
                <w:highlight w:val="none"/>
              </w:rPr>
            </w:pPr>
          </w:p>
        </w:tc>
        <w:tc>
          <w:tcPr>
            <w:tcW w:w="1504" w:type="dxa"/>
            <w:vAlign w:val="center"/>
          </w:tcPr>
          <w:p>
            <w:pPr>
              <w:widowControl/>
              <w:spacing w:line="500" w:lineRule="exact"/>
              <w:jc w:val="center"/>
              <w:rPr>
                <w:sz w:val="24"/>
                <w:highlight w:val="none"/>
              </w:rPr>
            </w:pPr>
          </w:p>
        </w:tc>
        <w:tc>
          <w:tcPr>
            <w:tcW w:w="1323" w:type="dxa"/>
            <w:vAlign w:val="center"/>
          </w:tcPr>
          <w:p>
            <w:pPr>
              <w:widowControl/>
              <w:spacing w:line="500" w:lineRule="exact"/>
              <w:jc w:val="center"/>
              <w:rPr>
                <w:sz w:val="24"/>
                <w:highlight w:val="none"/>
              </w:rPr>
            </w:pPr>
          </w:p>
        </w:tc>
        <w:tc>
          <w:tcPr>
            <w:tcW w:w="1446" w:type="dxa"/>
            <w:gridSpan w:val="2"/>
            <w:tcBorders>
              <w:right w:val="single" w:color="auto" w:sz="4" w:space="0"/>
            </w:tcBorders>
            <w:vAlign w:val="center"/>
          </w:tcPr>
          <w:p>
            <w:pPr>
              <w:widowControl/>
              <w:spacing w:line="500" w:lineRule="exact"/>
              <w:jc w:val="center"/>
              <w:rPr>
                <w:sz w:val="24"/>
                <w:highlight w:val="none"/>
              </w:rPr>
            </w:pPr>
          </w:p>
        </w:tc>
        <w:tc>
          <w:tcPr>
            <w:tcW w:w="1545" w:type="dxa"/>
            <w:tcBorders>
              <w:left w:val="single" w:color="auto" w:sz="4" w:space="0"/>
              <w:right w:val="single" w:color="auto" w:sz="4" w:space="0"/>
            </w:tcBorders>
            <w:vAlign w:val="center"/>
          </w:tcPr>
          <w:p>
            <w:pPr>
              <w:widowControl/>
              <w:spacing w:line="500" w:lineRule="exact"/>
              <w:jc w:val="center"/>
              <w:rPr>
                <w:sz w:val="24"/>
                <w:highlight w:val="none"/>
              </w:rPr>
            </w:pPr>
          </w:p>
        </w:tc>
        <w:tc>
          <w:tcPr>
            <w:tcW w:w="901" w:type="dxa"/>
            <w:gridSpan w:val="2"/>
            <w:tcBorders>
              <w:left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820" w:type="dxa"/>
            <w:vAlign w:val="center"/>
          </w:tcPr>
          <w:p>
            <w:pPr>
              <w:widowControl/>
              <w:spacing w:line="500" w:lineRule="exact"/>
              <w:jc w:val="center"/>
              <w:rPr>
                <w:sz w:val="24"/>
                <w:highlight w:val="none"/>
              </w:rPr>
            </w:pPr>
          </w:p>
        </w:tc>
        <w:tc>
          <w:tcPr>
            <w:tcW w:w="1641" w:type="dxa"/>
            <w:vAlign w:val="center"/>
          </w:tcPr>
          <w:p>
            <w:pPr>
              <w:widowControl/>
              <w:spacing w:line="500" w:lineRule="exact"/>
              <w:jc w:val="center"/>
              <w:rPr>
                <w:sz w:val="24"/>
                <w:highlight w:val="none"/>
              </w:rPr>
            </w:pPr>
          </w:p>
        </w:tc>
        <w:tc>
          <w:tcPr>
            <w:tcW w:w="1504" w:type="dxa"/>
            <w:vAlign w:val="center"/>
          </w:tcPr>
          <w:p>
            <w:pPr>
              <w:widowControl/>
              <w:spacing w:line="500" w:lineRule="exact"/>
              <w:jc w:val="center"/>
              <w:rPr>
                <w:sz w:val="24"/>
                <w:highlight w:val="none"/>
              </w:rPr>
            </w:pPr>
          </w:p>
        </w:tc>
        <w:tc>
          <w:tcPr>
            <w:tcW w:w="1323" w:type="dxa"/>
            <w:vAlign w:val="center"/>
          </w:tcPr>
          <w:p>
            <w:pPr>
              <w:widowControl/>
              <w:spacing w:line="500" w:lineRule="exact"/>
              <w:jc w:val="center"/>
              <w:rPr>
                <w:sz w:val="24"/>
                <w:highlight w:val="none"/>
              </w:rPr>
            </w:pPr>
          </w:p>
        </w:tc>
        <w:tc>
          <w:tcPr>
            <w:tcW w:w="1446" w:type="dxa"/>
            <w:gridSpan w:val="2"/>
            <w:tcBorders>
              <w:right w:val="single" w:color="auto" w:sz="4" w:space="0"/>
            </w:tcBorders>
            <w:vAlign w:val="center"/>
          </w:tcPr>
          <w:p>
            <w:pPr>
              <w:widowControl/>
              <w:spacing w:line="500" w:lineRule="exact"/>
              <w:jc w:val="center"/>
              <w:rPr>
                <w:sz w:val="24"/>
                <w:highlight w:val="none"/>
              </w:rPr>
            </w:pPr>
          </w:p>
        </w:tc>
        <w:tc>
          <w:tcPr>
            <w:tcW w:w="1545" w:type="dxa"/>
            <w:tcBorders>
              <w:left w:val="single" w:color="auto" w:sz="4" w:space="0"/>
              <w:right w:val="single" w:color="auto" w:sz="4" w:space="0"/>
            </w:tcBorders>
            <w:vAlign w:val="center"/>
          </w:tcPr>
          <w:p>
            <w:pPr>
              <w:widowControl/>
              <w:spacing w:line="500" w:lineRule="exact"/>
              <w:jc w:val="center"/>
              <w:rPr>
                <w:sz w:val="24"/>
                <w:highlight w:val="none"/>
              </w:rPr>
            </w:pPr>
          </w:p>
        </w:tc>
        <w:tc>
          <w:tcPr>
            <w:tcW w:w="901" w:type="dxa"/>
            <w:gridSpan w:val="2"/>
            <w:tcBorders>
              <w:left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820" w:type="dxa"/>
            <w:vAlign w:val="center"/>
          </w:tcPr>
          <w:p>
            <w:pPr>
              <w:widowControl/>
              <w:spacing w:line="500" w:lineRule="exact"/>
              <w:jc w:val="center"/>
              <w:rPr>
                <w:sz w:val="24"/>
                <w:highlight w:val="none"/>
              </w:rPr>
            </w:pPr>
          </w:p>
        </w:tc>
        <w:tc>
          <w:tcPr>
            <w:tcW w:w="1641" w:type="dxa"/>
            <w:vAlign w:val="center"/>
          </w:tcPr>
          <w:p>
            <w:pPr>
              <w:widowControl/>
              <w:spacing w:line="500" w:lineRule="exact"/>
              <w:jc w:val="center"/>
              <w:rPr>
                <w:sz w:val="24"/>
                <w:highlight w:val="none"/>
              </w:rPr>
            </w:pPr>
          </w:p>
        </w:tc>
        <w:tc>
          <w:tcPr>
            <w:tcW w:w="1504" w:type="dxa"/>
            <w:vAlign w:val="center"/>
          </w:tcPr>
          <w:p>
            <w:pPr>
              <w:widowControl/>
              <w:spacing w:line="500" w:lineRule="exact"/>
              <w:jc w:val="center"/>
              <w:rPr>
                <w:sz w:val="24"/>
                <w:highlight w:val="none"/>
              </w:rPr>
            </w:pPr>
          </w:p>
        </w:tc>
        <w:tc>
          <w:tcPr>
            <w:tcW w:w="1323" w:type="dxa"/>
            <w:vAlign w:val="center"/>
          </w:tcPr>
          <w:p>
            <w:pPr>
              <w:widowControl/>
              <w:spacing w:line="500" w:lineRule="exact"/>
              <w:jc w:val="center"/>
              <w:rPr>
                <w:sz w:val="24"/>
                <w:highlight w:val="none"/>
              </w:rPr>
            </w:pPr>
          </w:p>
        </w:tc>
        <w:tc>
          <w:tcPr>
            <w:tcW w:w="1446" w:type="dxa"/>
            <w:gridSpan w:val="2"/>
            <w:tcBorders>
              <w:right w:val="single" w:color="auto" w:sz="4" w:space="0"/>
            </w:tcBorders>
            <w:vAlign w:val="center"/>
          </w:tcPr>
          <w:p>
            <w:pPr>
              <w:widowControl/>
              <w:spacing w:line="500" w:lineRule="exact"/>
              <w:jc w:val="center"/>
              <w:rPr>
                <w:sz w:val="24"/>
                <w:highlight w:val="none"/>
              </w:rPr>
            </w:pPr>
          </w:p>
        </w:tc>
        <w:tc>
          <w:tcPr>
            <w:tcW w:w="1545" w:type="dxa"/>
            <w:tcBorders>
              <w:left w:val="single" w:color="auto" w:sz="4" w:space="0"/>
              <w:right w:val="single" w:color="auto" w:sz="4" w:space="0"/>
            </w:tcBorders>
            <w:vAlign w:val="center"/>
          </w:tcPr>
          <w:p>
            <w:pPr>
              <w:widowControl/>
              <w:spacing w:line="500" w:lineRule="exact"/>
              <w:jc w:val="center"/>
              <w:rPr>
                <w:sz w:val="24"/>
                <w:highlight w:val="none"/>
              </w:rPr>
            </w:pPr>
          </w:p>
        </w:tc>
        <w:tc>
          <w:tcPr>
            <w:tcW w:w="901" w:type="dxa"/>
            <w:gridSpan w:val="2"/>
            <w:tcBorders>
              <w:left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510" w:hRule="atLeast"/>
          <w:jc w:val="center"/>
        </w:trPr>
        <w:tc>
          <w:tcPr>
            <w:tcW w:w="820" w:type="dxa"/>
            <w:tcBorders>
              <w:bottom w:val="single" w:color="auto" w:sz="4" w:space="0"/>
            </w:tcBorders>
            <w:vAlign w:val="center"/>
          </w:tcPr>
          <w:p>
            <w:pPr>
              <w:widowControl/>
              <w:spacing w:line="500" w:lineRule="exact"/>
              <w:jc w:val="center"/>
              <w:rPr>
                <w:sz w:val="24"/>
                <w:highlight w:val="none"/>
              </w:rPr>
            </w:pPr>
          </w:p>
        </w:tc>
        <w:tc>
          <w:tcPr>
            <w:tcW w:w="1641" w:type="dxa"/>
            <w:tcBorders>
              <w:bottom w:val="single" w:color="auto" w:sz="4" w:space="0"/>
            </w:tcBorders>
            <w:vAlign w:val="center"/>
          </w:tcPr>
          <w:p>
            <w:pPr>
              <w:widowControl/>
              <w:spacing w:line="500" w:lineRule="exact"/>
              <w:jc w:val="center"/>
              <w:rPr>
                <w:sz w:val="24"/>
                <w:highlight w:val="none"/>
              </w:rPr>
            </w:pPr>
          </w:p>
        </w:tc>
        <w:tc>
          <w:tcPr>
            <w:tcW w:w="1504" w:type="dxa"/>
            <w:tcBorders>
              <w:bottom w:val="single" w:color="auto" w:sz="4" w:space="0"/>
            </w:tcBorders>
            <w:vAlign w:val="center"/>
          </w:tcPr>
          <w:p>
            <w:pPr>
              <w:widowControl/>
              <w:spacing w:line="500" w:lineRule="exact"/>
              <w:jc w:val="center"/>
              <w:rPr>
                <w:sz w:val="24"/>
                <w:highlight w:val="none"/>
              </w:rPr>
            </w:pPr>
          </w:p>
        </w:tc>
        <w:tc>
          <w:tcPr>
            <w:tcW w:w="1323" w:type="dxa"/>
            <w:tcBorders>
              <w:bottom w:val="single" w:color="auto" w:sz="4" w:space="0"/>
            </w:tcBorders>
            <w:vAlign w:val="center"/>
          </w:tcPr>
          <w:p>
            <w:pPr>
              <w:widowControl/>
              <w:spacing w:line="500" w:lineRule="exact"/>
              <w:jc w:val="center"/>
              <w:rPr>
                <w:sz w:val="24"/>
                <w:highlight w:val="none"/>
              </w:rPr>
            </w:pPr>
          </w:p>
        </w:tc>
        <w:tc>
          <w:tcPr>
            <w:tcW w:w="1446" w:type="dxa"/>
            <w:gridSpan w:val="2"/>
            <w:tcBorders>
              <w:bottom w:val="single" w:color="auto" w:sz="4" w:space="0"/>
              <w:right w:val="single" w:color="auto" w:sz="4" w:space="0"/>
            </w:tcBorders>
            <w:vAlign w:val="center"/>
          </w:tcPr>
          <w:p>
            <w:pPr>
              <w:widowControl/>
              <w:spacing w:line="500" w:lineRule="exact"/>
              <w:jc w:val="center"/>
              <w:rPr>
                <w:sz w:val="24"/>
                <w:highlight w:val="none"/>
              </w:rPr>
            </w:pPr>
          </w:p>
        </w:tc>
        <w:tc>
          <w:tcPr>
            <w:tcW w:w="1545" w:type="dxa"/>
            <w:tcBorders>
              <w:left w:val="single" w:color="auto" w:sz="4" w:space="0"/>
              <w:bottom w:val="single" w:color="auto" w:sz="4" w:space="0"/>
              <w:right w:val="single" w:color="auto" w:sz="4" w:space="0"/>
            </w:tcBorders>
            <w:vAlign w:val="center"/>
          </w:tcPr>
          <w:p>
            <w:pPr>
              <w:widowControl/>
              <w:spacing w:line="500" w:lineRule="exact"/>
              <w:jc w:val="center"/>
              <w:rPr>
                <w:sz w:val="24"/>
                <w:highlight w:val="none"/>
              </w:rPr>
            </w:pPr>
          </w:p>
        </w:tc>
        <w:tc>
          <w:tcPr>
            <w:tcW w:w="901" w:type="dxa"/>
            <w:gridSpan w:val="2"/>
            <w:tcBorders>
              <w:left w:val="single" w:color="auto" w:sz="4" w:space="0"/>
              <w:bottom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820"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641"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504"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323"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446" w:type="dxa"/>
            <w:gridSpan w:val="2"/>
            <w:tcBorders>
              <w:top w:val="single" w:color="auto" w:sz="4" w:space="0"/>
              <w:bottom w:val="single" w:color="auto" w:sz="4" w:space="0"/>
              <w:right w:val="single" w:color="auto" w:sz="4" w:space="0"/>
            </w:tcBorders>
            <w:vAlign w:val="center"/>
          </w:tcPr>
          <w:p>
            <w:pPr>
              <w:widowControl/>
              <w:spacing w:line="500" w:lineRule="exact"/>
              <w:jc w:val="center"/>
              <w:rPr>
                <w:sz w:val="24"/>
                <w:highlight w:val="none"/>
              </w:rPr>
            </w:pPr>
          </w:p>
        </w:tc>
        <w:tc>
          <w:tcPr>
            <w:tcW w:w="1545" w:type="dxa"/>
            <w:tcBorders>
              <w:top w:val="single" w:color="auto" w:sz="4" w:space="0"/>
              <w:left w:val="single" w:color="auto" w:sz="4" w:space="0"/>
              <w:bottom w:val="single" w:color="auto" w:sz="4" w:space="0"/>
              <w:right w:val="single" w:color="auto" w:sz="4" w:space="0"/>
            </w:tcBorders>
            <w:vAlign w:val="center"/>
          </w:tcPr>
          <w:p>
            <w:pPr>
              <w:widowControl/>
              <w:spacing w:line="500" w:lineRule="exact"/>
              <w:jc w:val="center"/>
              <w:rPr>
                <w:sz w:val="24"/>
                <w:highlight w:val="none"/>
              </w:rPr>
            </w:pPr>
          </w:p>
        </w:tc>
        <w:tc>
          <w:tcPr>
            <w:tcW w:w="901" w:type="dxa"/>
            <w:gridSpan w:val="2"/>
            <w:tcBorders>
              <w:top w:val="single" w:color="auto" w:sz="4" w:space="0"/>
              <w:left w:val="single" w:color="auto" w:sz="4" w:space="0"/>
              <w:bottom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820"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641"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504"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323"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446" w:type="dxa"/>
            <w:gridSpan w:val="2"/>
            <w:tcBorders>
              <w:top w:val="single" w:color="auto" w:sz="4" w:space="0"/>
              <w:bottom w:val="single" w:color="auto" w:sz="4" w:space="0"/>
              <w:right w:val="single" w:color="auto" w:sz="4" w:space="0"/>
            </w:tcBorders>
            <w:vAlign w:val="center"/>
          </w:tcPr>
          <w:p>
            <w:pPr>
              <w:widowControl/>
              <w:spacing w:line="500" w:lineRule="exact"/>
              <w:jc w:val="center"/>
              <w:rPr>
                <w:sz w:val="24"/>
                <w:highlight w:val="none"/>
              </w:rPr>
            </w:pPr>
          </w:p>
        </w:tc>
        <w:tc>
          <w:tcPr>
            <w:tcW w:w="1545" w:type="dxa"/>
            <w:tcBorders>
              <w:top w:val="single" w:color="auto" w:sz="4" w:space="0"/>
              <w:left w:val="single" w:color="auto" w:sz="4" w:space="0"/>
              <w:bottom w:val="single" w:color="auto" w:sz="4" w:space="0"/>
              <w:right w:val="single" w:color="auto" w:sz="4" w:space="0"/>
            </w:tcBorders>
            <w:vAlign w:val="center"/>
          </w:tcPr>
          <w:p>
            <w:pPr>
              <w:widowControl/>
              <w:spacing w:line="500" w:lineRule="exact"/>
              <w:jc w:val="center"/>
              <w:rPr>
                <w:sz w:val="24"/>
                <w:highlight w:val="none"/>
              </w:rPr>
            </w:pPr>
          </w:p>
        </w:tc>
        <w:tc>
          <w:tcPr>
            <w:tcW w:w="901" w:type="dxa"/>
            <w:gridSpan w:val="2"/>
            <w:tcBorders>
              <w:top w:val="single" w:color="auto" w:sz="4" w:space="0"/>
              <w:left w:val="single" w:color="auto" w:sz="4" w:space="0"/>
              <w:bottom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450" w:hRule="atLeast"/>
          <w:jc w:val="center"/>
        </w:trPr>
        <w:tc>
          <w:tcPr>
            <w:tcW w:w="820"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641"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504"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323" w:type="dxa"/>
            <w:tcBorders>
              <w:top w:val="single" w:color="auto" w:sz="4" w:space="0"/>
              <w:bottom w:val="single" w:color="auto" w:sz="4" w:space="0"/>
            </w:tcBorders>
            <w:vAlign w:val="center"/>
          </w:tcPr>
          <w:p>
            <w:pPr>
              <w:widowControl/>
              <w:spacing w:line="500" w:lineRule="exact"/>
              <w:jc w:val="center"/>
              <w:rPr>
                <w:sz w:val="24"/>
                <w:highlight w:val="none"/>
              </w:rPr>
            </w:pPr>
          </w:p>
        </w:tc>
        <w:tc>
          <w:tcPr>
            <w:tcW w:w="1446" w:type="dxa"/>
            <w:gridSpan w:val="2"/>
            <w:tcBorders>
              <w:top w:val="single" w:color="auto" w:sz="4" w:space="0"/>
              <w:bottom w:val="single" w:color="auto" w:sz="4" w:space="0"/>
              <w:right w:val="single" w:color="auto" w:sz="4" w:space="0"/>
            </w:tcBorders>
            <w:vAlign w:val="center"/>
          </w:tcPr>
          <w:p>
            <w:pPr>
              <w:widowControl/>
              <w:spacing w:line="500" w:lineRule="exact"/>
              <w:jc w:val="center"/>
              <w:rPr>
                <w:sz w:val="24"/>
                <w:highlight w:val="none"/>
              </w:rPr>
            </w:pPr>
          </w:p>
        </w:tc>
        <w:tc>
          <w:tcPr>
            <w:tcW w:w="1545" w:type="dxa"/>
            <w:tcBorders>
              <w:top w:val="single" w:color="auto" w:sz="4" w:space="0"/>
              <w:left w:val="single" w:color="auto" w:sz="4" w:space="0"/>
              <w:bottom w:val="single" w:color="auto" w:sz="4" w:space="0"/>
              <w:right w:val="single" w:color="auto" w:sz="4" w:space="0"/>
            </w:tcBorders>
            <w:vAlign w:val="center"/>
          </w:tcPr>
          <w:p>
            <w:pPr>
              <w:widowControl/>
              <w:spacing w:line="500" w:lineRule="exact"/>
              <w:jc w:val="center"/>
              <w:rPr>
                <w:sz w:val="24"/>
                <w:highlight w:val="none"/>
              </w:rPr>
            </w:pPr>
          </w:p>
        </w:tc>
        <w:tc>
          <w:tcPr>
            <w:tcW w:w="901" w:type="dxa"/>
            <w:gridSpan w:val="2"/>
            <w:tcBorders>
              <w:top w:val="single" w:color="auto" w:sz="4" w:space="0"/>
              <w:left w:val="single" w:color="auto" w:sz="4" w:space="0"/>
              <w:bottom w:val="single" w:color="auto" w:sz="4" w:space="0"/>
            </w:tcBorders>
            <w:vAlign w:val="center"/>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435" w:hRule="atLeast"/>
          <w:jc w:val="center"/>
        </w:trPr>
        <w:tc>
          <w:tcPr>
            <w:tcW w:w="820" w:type="dxa"/>
            <w:tcBorders>
              <w:top w:val="single" w:color="auto" w:sz="4" w:space="0"/>
            </w:tcBorders>
            <w:vAlign w:val="center"/>
          </w:tcPr>
          <w:p>
            <w:pPr>
              <w:widowControl/>
              <w:spacing w:line="500" w:lineRule="exact"/>
              <w:jc w:val="center"/>
              <w:rPr>
                <w:sz w:val="24"/>
                <w:highlight w:val="none"/>
              </w:rPr>
            </w:pPr>
          </w:p>
        </w:tc>
        <w:tc>
          <w:tcPr>
            <w:tcW w:w="1641" w:type="dxa"/>
            <w:tcBorders>
              <w:top w:val="single" w:color="auto" w:sz="4" w:space="0"/>
            </w:tcBorders>
            <w:vAlign w:val="center"/>
          </w:tcPr>
          <w:p>
            <w:pPr>
              <w:widowControl/>
              <w:spacing w:line="500" w:lineRule="exact"/>
              <w:jc w:val="center"/>
              <w:rPr>
                <w:sz w:val="24"/>
                <w:highlight w:val="none"/>
              </w:rPr>
            </w:pPr>
          </w:p>
        </w:tc>
        <w:tc>
          <w:tcPr>
            <w:tcW w:w="1504" w:type="dxa"/>
            <w:tcBorders>
              <w:top w:val="single" w:color="auto" w:sz="4" w:space="0"/>
            </w:tcBorders>
            <w:vAlign w:val="center"/>
          </w:tcPr>
          <w:p>
            <w:pPr>
              <w:widowControl/>
              <w:spacing w:line="500" w:lineRule="exact"/>
              <w:jc w:val="center"/>
              <w:rPr>
                <w:sz w:val="24"/>
                <w:highlight w:val="none"/>
              </w:rPr>
            </w:pPr>
          </w:p>
        </w:tc>
        <w:tc>
          <w:tcPr>
            <w:tcW w:w="1323" w:type="dxa"/>
            <w:tcBorders>
              <w:top w:val="single" w:color="auto" w:sz="4" w:space="0"/>
            </w:tcBorders>
            <w:vAlign w:val="center"/>
          </w:tcPr>
          <w:p>
            <w:pPr>
              <w:widowControl/>
              <w:spacing w:line="500" w:lineRule="exact"/>
              <w:jc w:val="center"/>
              <w:rPr>
                <w:sz w:val="24"/>
                <w:highlight w:val="none"/>
              </w:rPr>
            </w:pPr>
          </w:p>
        </w:tc>
        <w:tc>
          <w:tcPr>
            <w:tcW w:w="1446" w:type="dxa"/>
            <w:gridSpan w:val="2"/>
            <w:tcBorders>
              <w:top w:val="single" w:color="auto" w:sz="4" w:space="0"/>
              <w:right w:val="single" w:color="auto" w:sz="4" w:space="0"/>
            </w:tcBorders>
            <w:vAlign w:val="center"/>
          </w:tcPr>
          <w:p>
            <w:pPr>
              <w:widowControl/>
              <w:spacing w:line="500" w:lineRule="exact"/>
              <w:jc w:val="center"/>
              <w:rPr>
                <w:sz w:val="24"/>
                <w:highlight w:val="none"/>
              </w:rPr>
            </w:pPr>
          </w:p>
        </w:tc>
        <w:tc>
          <w:tcPr>
            <w:tcW w:w="1545" w:type="dxa"/>
            <w:tcBorders>
              <w:top w:val="single" w:color="auto" w:sz="4" w:space="0"/>
              <w:left w:val="single" w:color="auto" w:sz="4" w:space="0"/>
              <w:right w:val="single" w:color="auto" w:sz="4" w:space="0"/>
            </w:tcBorders>
            <w:vAlign w:val="center"/>
          </w:tcPr>
          <w:p>
            <w:pPr>
              <w:widowControl/>
              <w:spacing w:line="500" w:lineRule="exact"/>
              <w:jc w:val="center"/>
              <w:rPr>
                <w:sz w:val="24"/>
                <w:highlight w:val="none"/>
              </w:rPr>
            </w:pPr>
          </w:p>
        </w:tc>
        <w:tc>
          <w:tcPr>
            <w:tcW w:w="901" w:type="dxa"/>
            <w:gridSpan w:val="2"/>
            <w:tcBorders>
              <w:top w:val="single" w:color="auto" w:sz="4" w:space="0"/>
              <w:left w:val="single" w:color="auto" w:sz="4" w:space="0"/>
            </w:tcBorders>
            <w:vAlign w:val="center"/>
          </w:tcPr>
          <w:p>
            <w:pPr>
              <w:widowControl/>
              <w:spacing w:line="500" w:lineRule="exact"/>
              <w:jc w:val="center"/>
              <w:rPr>
                <w:sz w:val="24"/>
                <w:highlight w:val="none"/>
              </w:rPr>
            </w:pPr>
          </w:p>
        </w:tc>
      </w:tr>
    </w:tbl>
    <w:p>
      <w:pPr>
        <w:widowControl/>
        <w:spacing w:line="500" w:lineRule="exact"/>
        <w:ind w:firstLine="470" w:firstLineChars="196"/>
        <w:jc w:val="left"/>
        <w:rPr>
          <w:rFonts w:hAnsi="宋体"/>
          <w:sz w:val="24"/>
          <w:szCs w:val="24"/>
          <w:highlight w:val="none"/>
        </w:rPr>
      </w:pPr>
      <w:r>
        <w:rPr>
          <w:rFonts w:hint="eastAsia"/>
          <w:sz w:val="24"/>
          <w:szCs w:val="24"/>
          <w:highlight w:val="none"/>
        </w:rPr>
        <w:t>注：1、</w:t>
      </w:r>
      <w:r>
        <w:rPr>
          <w:rFonts w:hint="eastAsia" w:hAnsi="宋体"/>
          <w:sz w:val="24"/>
          <w:szCs w:val="24"/>
          <w:highlight w:val="none"/>
        </w:rPr>
        <w:t>以上表格格式行可增减。</w:t>
      </w:r>
    </w:p>
    <w:p>
      <w:pPr>
        <w:spacing w:line="520" w:lineRule="exact"/>
        <w:ind w:right="-228" w:rightChars="-67" w:firstLine="960" w:firstLineChars="400"/>
        <w:rPr>
          <w:sz w:val="24"/>
          <w:szCs w:val="24"/>
          <w:highlight w:val="none"/>
        </w:rPr>
      </w:pPr>
      <w:r>
        <w:rPr>
          <w:rFonts w:hint="eastAsia" w:hAnsi="宋体" w:cs="Arial"/>
          <w:sz w:val="24"/>
          <w:szCs w:val="24"/>
          <w:highlight w:val="none"/>
        </w:rPr>
        <w:t>2、业绩证明材料要求详见</w:t>
      </w:r>
      <w:r>
        <w:rPr>
          <w:rFonts w:hint="eastAsia" w:hAnsi="宋体"/>
          <w:sz w:val="24"/>
          <w:szCs w:val="24"/>
          <w:highlight w:val="none"/>
        </w:rPr>
        <w:t>综合评分明细表</w:t>
      </w:r>
      <w:r>
        <w:rPr>
          <w:rFonts w:hint="eastAsia" w:hAnsi="宋体" w:cs="Arial"/>
          <w:sz w:val="24"/>
          <w:szCs w:val="24"/>
          <w:highlight w:val="none"/>
        </w:rPr>
        <w:t>。</w:t>
      </w:r>
    </w:p>
    <w:p>
      <w:pPr>
        <w:pStyle w:val="18"/>
        <w:spacing w:before="480" w:after="480"/>
        <w:rPr>
          <w:highlight w:val="none"/>
        </w:rPr>
      </w:pPr>
    </w:p>
    <w:p>
      <w:pPr>
        <w:widowControl/>
        <w:spacing w:line="500" w:lineRule="exact"/>
        <w:ind w:firstLine="470" w:firstLineChars="196"/>
        <w:jc w:val="left"/>
        <w:rPr>
          <w:sz w:val="24"/>
          <w:highlight w:val="none"/>
        </w:rPr>
      </w:pPr>
      <w:r>
        <w:rPr>
          <w:rFonts w:hint="eastAsia"/>
          <w:sz w:val="24"/>
          <w:highlight w:val="none"/>
        </w:rPr>
        <w:t>投标人名称：XXXX（单位盖章）。</w:t>
      </w:r>
    </w:p>
    <w:p>
      <w:pPr>
        <w:widowControl/>
        <w:spacing w:line="500" w:lineRule="exact"/>
        <w:ind w:firstLine="470" w:firstLineChars="196"/>
        <w:jc w:val="left"/>
        <w:rPr>
          <w:sz w:val="24"/>
          <w:highlight w:val="none"/>
        </w:rPr>
      </w:pPr>
      <w:r>
        <w:rPr>
          <w:rFonts w:hint="eastAsia"/>
          <w:sz w:val="24"/>
          <w:highlight w:val="none"/>
        </w:rPr>
        <w:t>法定代表人或授权代表（签字或加盖个人名章）：XXXX。</w:t>
      </w:r>
    </w:p>
    <w:p>
      <w:pPr>
        <w:widowControl/>
        <w:spacing w:line="500" w:lineRule="exact"/>
        <w:ind w:firstLine="470" w:firstLineChars="196"/>
        <w:jc w:val="left"/>
        <w:rPr>
          <w:sz w:val="24"/>
          <w:highlight w:val="none"/>
        </w:rPr>
      </w:pPr>
      <w:r>
        <w:rPr>
          <w:rFonts w:hint="eastAsia"/>
          <w:sz w:val="24"/>
          <w:highlight w:val="none"/>
        </w:rPr>
        <w:t>投标日期: XXXX。</w:t>
      </w:r>
    </w:p>
    <w:p>
      <w:pPr>
        <w:pStyle w:val="2"/>
        <w:spacing w:line="500" w:lineRule="exact"/>
        <w:rPr>
          <w:highlight w:val="none"/>
        </w:rPr>
      </w:pPr>
    </w:p>
    <w:p>
      <w:pPr>
        <w:widowControl/>
        <w:spacing w:line="500" w:lineRule="exact"/>
        <w:jc w:val="center"/>
        <w:outlineLvl w:val="1"/>
        <w:rPr>
          <w:rFonts w:ascii="黑体" w:eastAsia="黑体"/>
          <w:b/>
          <w:sz w:val="32"/>
          <w:szCs w:val="32"/>
          <w:highlight w:val="none"/>
        </w:rPr>
      </w:pPr>
      <w:bookmarkStart w:id="131" w:name="_Toc217446090"/>
      <w:r>
        <w:rPr>
          <w:rFonts w:hint="eastAsia" w:ascii="黑体" w:eastAsia="黑体"/>
          <w:b/>
          <w:sz w:val="32"/>
          <w:szCs w:val="32"/>
          <w:highlight w:val="none"/>
        </w:rPr>
        <w:t>九、投标产品技术参数表</w:t>
      </w:r>
      <w:bookmarkEnd w:id="131"/>
    </w:p>
    <w:p>
      <w:pPr>
        <w:widowControl/>
        <w:spacing w:line="500" w:lineRule="exact"/>
        <w:ind w:firstLine="472" w:firstLineChars="196"/>
        <w:jc w:val="left"/>
        <w:rPr>
          <w:b/>
          <w:sz w:val="24"/>
          <w:highlight w:val="none"/>
        </w:rPr>
      </w:pPr>
    </w:p>
    <w:p>
      <w:pPr>
        <w:widowControl/>
        <w:spacing w:line="500" w:lineRule="exact"/>
        <w:ind w:firstLine="120" w:firstLineChars="50"/>
        <w:jc w:val="left"/>
        <w:rPr>
          <w:sz w:val="24"/>
          <w:highlight w:val="none"/>
        </w:rPr>
      </w:pPr>
      <w:r>
        <w:rPr>
          <w:rFonts w:hint="eastAsia"/>
          <w:sz w:val="24"/>
          <w:highlight w:val="none"/>
        </w:rPr>
        <w:t xml:space="preserve">招标编号：                                </w:t>
      </w:r>
    </w:p>
    <w:tbl>
      <w:tblPr>
        <w:tblStyle w:val="27"/>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1912"/>
        <w:gridCol w:w="2426"/>
        <w:gridCol w:w="2572"/>
        <w:gridCol w:w="1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vAlign w:val="center"/>
          </w:tcPr>
          <w:p>
            <w:pPr>
              <w:widowControl/>
              <w:spacing w:line="500" w:lineRule="exact"/>
              <w:jc w:val="center"/>
              <w:rPr>
                <w:sz w:val="24"/>
                <w:highlight w:val="none"/>
              </w:rPr>
            </w:pPr>
            <w:r>
              <w:rPr>
                <w:rFonts w:hint="eastAsia"/>
                <w:sz w:val="24"/>
                <w:highlight w:val="none"/>
              </w:rPr>
              <w:t>序号</w:t>
            </w:r>
          </w:p>
        </w:tc>
        <w:tc>
          <w:tcPr>
            <w:tcW w:w="1912" w:type="dxa"/>
            <w:vAlign w:val="center"/>
          </w:tcPr>
          <w:p>
            <w:pPr>
              <w:widowControl/>
              <w:spacing w:line="500" w:lineRule="exact"/>
              <w:jc w:val="center"/>
              <w:rPr>
                <w:sz w:val="24"/>
                <w:highlight w:val="none"/>
              </w:rPr>
            </w:pPr>
            <w:r>
              <w:rPr>
                <w:rFonts w:hint="eastAsia"/>
                <w:sz w:val="24"/>
                <w:highlight w:val="none"/>
              </w:rPr>
              <w:t>产品名称</w:t>
            </w:r>
          </w:p>
        </w:tc>
        <w:tc>
          <w:tcPr>
            <w:tcW w:w="2426" w:type="dxa"/>
            <w:vAlign w:val="center"/>
          </w:tcPr>
          <w:p>
            <w:pPr>
              <w:widowControl/>
              <w:spacing w:line="500" w:lineRule="exact"/>
              <w:jc w:val="center"/>
              <w:rPr>
                <w:sz w:val="24"/>
                <w:highlight w:val="none"/>
              </w:rPr>
            </w:pPr>
            <w:r>
              <w:rPr>
                <w:rFonts w:hint="eastAsia"/>
                <w:sz w:val="24"/>
                <w:highlight w:val="none"/>
              </w:rPr>
              <w:t>招标文件要求</w:t>
            </w:r>
          </w:p>
        </w:tc>
        <w:tc>
          <w:tcPr>
            <w:tcW w:w="2572" w:type="dxa"/>
            <w:vAlign w:val="center"/>
          </w:tcPr>
          <w:p>
            <w:pPr>
              <w:widowControl/>
              <w:spacing w:line="500" w:lineRule="exact"/>
              <w:jc w:val="center"/>
              <w:rPr>
                <w:sz w:val="24"/>
                <w:highlight w:val="none"/>
              </w:rPr>
            </w:pPr>
            <w:r>
              <w:rPr>
                <w:rFonts w:hint="eastAsia"/>
                <w:sz w:val="24"/>
                <w:highlight w:val="none"/>
              </w:rPr>
              <w:t>投标产品技术参数</w:t>
            </w:r>
          </w:p>
        </w:tc>
        <w:tc>
          <w:tcPr>
            <w:tcW w:w="1617" w:type="dxa"/>
            <w:vAlign w:val="center"/>
          </w:tcPr>
          <w:p>
            <w:pPr>
              <w:widowControl/>
              <w:spacing w:line="500" w:lineRule="exact"/>
              <w:jc w:val="center"/>
              <w:rPr>
                <w:sz w:val="24"/>
                <w:highlight w:val="none"/>
              </w:rPr>
            </w:pPr>
            <w:r>
              <w:rPr>
                <w:rFonts w:hint="eastAsia"/>
                <w:sz w:val="24"/>
                <w:highlight w:val="none"/>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tcPr>
          <w:p>
            <w:pPr>
              <w:widowControl/>
              <w:spacing w:line="500" w:lineRule="exact"/>
              <w:jc w:val="center"/>
              <w:rPr>
                <w:sz w:val="24"/>
                <w:highlight w:val="none"/>
              </w:rPr>
            </w:pPr>
          </w:p>
        </w:tc>
        <w:tc>
          <w:tcPr>
            <w:tcW w:w="1912" w:type="dxa"/>
          </w:tcPr>
          <w:p>
            <w:pPr>
              <w:widowControl/>
              <w:spacing w:line="500" w:lineRule="exact"/>
              <w:jc w:val="center"/>
              <w:rPr>
                <w:sz w:val="24"/>
                <w:highlight w:val="none"/>
              </w:rPr>
            </w:pPr>
          </w:p>
        </w:tc>
        <w:tc>
          <w:tcPr>
            <w:tcW w:w="2426" w:type="dxa"/>
          </w:tcPr>
          <w:p>
            <w:pPr>
              <w:widowControl/>
              <w:spacing w:line="500" w:lineRule="exact"/>
              <w:jc w:val="center"/>
              <w:rPr>
                <w:sz w:val="24"/>
                <w:highlight w:val="none"/>
              </w:rPr>
            </w:pPr>
          </w:p>
        </w:tc>
        <w:tc>
          <w:tcPr>
            <w:tcW w:w="2572" w:type="dxa"/>
          </w:tcPr>
          <w:p>
            <w:pPr>
              <w:widowControl/>
              <w:spacing w:line="500" w:lineRule="exact"/>
              <w:jc w:val="center"/>
              <w:rPr>
                <w:sz w:val="24"/>
                <w:highlight w:val="none"/>
              </w:rPr>
            </w:pPr>
          </w:p>
        </w:tc>
        <w:tc>
          <w:tcPr>
            <w:tcW w:w="1617"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tcPr>
          <w:p>
            <w:pPr>
              <w:widowControl/>
              <w:spacing w:line="500" w:lineRule="exact"/>
              <w:jc w:val="center"/>
              <w:rPr>
                <w:sz w:val="24"/>
                <w:highlight w:val="none"/>
              </w:rPr>
            </w:pPr>
          </w:p>
        </w:tc>
        <w:tc>
          <w:tcPr>
            <w:tcW w:w="1912" w:type="dxa"/>
          </w:tcPr>
          <w:p>
            <w:pPr>
              <w:widowControl/>
              <w:spacing w:line="500" w:lineRule="exact"/>
              <w:jc w:val="center"/>
              <w:rPr>
                <w:sz w:val="24"/>
                <w:highlight w:val="none"/>
              </w:rPr>
            </w:pPr>
          </w:p>
        </w:tc>
        <w:tc>
          <w:tcPr>
            <w:tcW w:w="2426" w:type="dxa"/>
          </w:tcPr>
          <w:p>
            <w:pPr>
              <w:widowControl/>
              <w:spacing w:line="500" w:lineRule="exact"/>
              <w:jc w:val="center"/>
              <w:rPr>
                <w:sz w:val="24"/>
                <w:highlight w:val="none"/>
              </w:rPr>
            </w:pPr>
          </w:p>
        </w:tc>
        <w:tc>
          <w:tcPr>
            <w:tcW w:w="2572" w:type="dxa"/>
          </w:tcPr>
          <w:p>
            <w:pPr>
              <w:widowControl/>
              <w:spacing w:line="500" w:lineRule="exact"/>
              <w:jc w:val="center"/>
              <w:rPr>
                <w:sz w:val="24"/>
                <w:highlight w:val="none"/>
              </w:rPr>
            </w:pPr>
          </w:p>
        </w:tc>
        <w:tc>
          <w:tcPr>
            <w:tcW w:w="1617"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tcPr>
          <w:p>
            <w:pPr>
              <w:widowControl/>
              <w:spacing w:line="500" w:lineRule="exact"/>
              <w:jc w:val="center"/>
              <w:rPr>
                <w:sz w:val="24"/>
                <w:highlight w:val="none"/>
              </w:rPr>
            </w:pPr>
          </w:p>
        </w:tc>
        <w:tc>
          <w:tcPr>
            <w:tcW w:w="1912" w:type="dxa"/>
          </w:tcPr>
          <w:p>
            <w:pPr>
              <w:widowControl/>
              <w:spacing w:line="500" w:lineRule="exact"/>
              <w:jc w:val="center"/>
              <w:rPr>
                <w:sz w:val="24"/>
                <w:highlight w:val="none"/>
              </w:rPr>
            </w:pPr>
          </w:p>
        </w:tc>
        <w:tc>
          <w:tcPr>
            <w:tcW w:w="2426" w:type="dxa"/>
          </w:tcPr>
          <w:p>
            <w:pPr>
              <w:widowControl/>
              <w:spacing w:line="500" w:lineRule="exact"/>
              <w:jc w:val="center"/>
              <w:rPr>
                <w:sz w:val="24"/>
                <w:highlight w:val="none"/>
              </w:rPr>
            </w:pPr>
          </w:p>
        </w:tc>
        <w:tc>
          <w:tcPr>
            <w:tcW w:w="2572" w:type="dxa"/>
          </w:tcPr>
          <w:p>
            <w:pPr>
              <w:widowControl/>
              <w:spacing w:line="500" w:lineRule="exact"/>
              <w:jc w:val="center"/>
              <w:rPr>
                <w:sz w:val="24"/>
                <w:highlight w:val="none"/>
              </w:rPr>
            </w:pPr>
          </w:p>
        </w:tc>
        <w:tc>
          <w:tcPr>
            <w:tcW w:w="1617"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tcPr>
          <w:p>
            <w:pPr>
              <w:widowControl/>
              <w:spacing w:line="500" w:lineRule="exact"/>
              <w:jc w:val="center"/>
              <w:rPr>
                <w:sz w:val="24"/>
                <w:highlight w:val="none"/>
              </w:rPr>
            </w:pPr>
          </w:p>
        </w:tc>
        <w:tc>
          <w:tcPr>
            <w:tcW w:w="1912" w:type="dxa"/>
          </w:tcPr>
          <w:p>
            <w:pPr>
              <w:widowControl/>
              <w:spacing w:line="500" w:lineRule="exact"/>
              <w:jc w:val="center"/>
              <w:rPr>
                <w:sz w:val="24"/>
                <w:highlight w:val="none"/>
              </w:rPr>
            </w:pPr>
          </w:p>
        </w:tc>
        <w:tc>
          <w:tcPr>
            <w:tcW w:w="2426" w:type="dxa"/>
          </w:tcPr>
          <w:p>
            <w:pPr>
              <w:widowControl/>
              <w:spacing w:line="500" w:lineRule="exact"/>
              <w:jc w:val="center"/>
              <w:rPr>
                <w:sz w:val="24"/>
                <w:highlight w:val="none"/>
              </w:rPr>
            </w:pPr>
          </w:p>
        </w:tc>
        <w:tc>
          <w:tcPr>
            <w:tcW w:w="2572" w:type="dxa"/>
          </w:tcPr>
          <w:p>
            <w:pPr>
              <w:widowControl/>
              <w:spacing w:line="500" w:lineRule="exact"/>
              <w:jc w:val="center"/>
              <w:rPr>
                <w:sz w:val="24"/>
                <w:highlight w:val="none"/>
              </w:rPr>
            </w:pPr>
          </w:p>
        </w:tc>
        <w:tc>
          <w:tcPr>
            <w:tcW w:w="1617"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tcPr>
          <w:p>
            <w:pPr>
              <w:widowControl/>
              <w:spacing w:line="500" w:lineRule="exact"/>
              <w:jc w:val="center"/>
              <w:rPr>
                <w:sz w:val="24"/>
                <w:highlight w:val="none"/>
              </w:rPr>
            </w:pPr>
          </w:p>
        </w:tc>
        <w:tc>
          <w:tcPr>
            <w:tcW w:w="1912" w:type="dxa"/>
          </w:tcPr>
          <w:p>
            <w:pPr>
              <w:widowControl/>
              <w:spacing w:line="500" w:lineRule="exact"/>
              <w:jc w:val="center"/>
              <w:rPr>
                <w:sz w:val="24"/>
                <w:highlight w:val="none"/>
              </w:rPr>
            </w:pPr>
          </w:p>
        </w:tc>
        <w:tc>
          <w:tcPr>
            <w:tcW w:w="2426" w:type="dxa"/>
          </w:tcPr>
          <w:p>
            <w:pPr>
              <w:widowControl/>
              <w:spacing w:line="500" w:lineRule="exact"/>
              <w:jc w:val="center"/>
              <w:rPr>
                <w:sz w:val="24"/>
                <w:highlight w:val="none"/>
              </w:rPr>
            </w:pPr>
          </w:p>
        </w:tc>
        <w:tc>
          <w:tcPr>
            <w:tcW w:w="2572" w:type="dxa"/>
          </w:tcPr>
          <w:p>
            <w:pPr>
              <w:widowControl/>
              <w:spacing w:line="500" w:lineRule="exact"/>
              <w:jc w:val="center"/>
              <w:rPr>
                <w:sz w:val="24"/>
                <w:highlight w:val="none"/>
              </w:rPr>
            </w:pPr>
          </w:p>
        </w:tc>
        <w:tc>
          <w:tcPr>
            <w:tcW w:w="1617"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tcPr>
          <w:p>
            <w:pPr>
              <w:widowControl/>
              <w:spacing w:line="500" w:lineRule="exact"/>
              <w:jc w:val="center"/>
              <w:rPr>
                <w:sz w:val="24"/>
                <w:highlight w:val="none"/>
              </w:rPr>
            </w:pPr>
          </w:p>
        </w:tc>
        <w:tc>
          <w:tcPr>
            <w:tcW w:w="1912" w:type="dxa"/>
          </w:tcPr>
          <w:p>
            <w:pPr>
              <w:widowControl/>
              <w:spacing w:line="500" w:lineRule="exact"/>
              <w:jc w:val="center"/>
              <w:rPr>
                <w:sz w:val="24"/>
                <w:highlight w:val="none"/>
              </w:rPr>
            </w:pPr>
          </w:p>
        </w:tc>
        <w:tc>
          <w:tcPr>
            <w:tcW w:w="2426" w:type="dxa"/>
          </w:tcPr>
          <w:p>
            <w:pPr>
              <w:widowControl/>
              <w:spacing w:line="500" w:lineRule="exact"/>
              <w:jc w:val="center"/>
              <w:rPr>
                <w:sz w:val="24"/>
                <w:highlight w:val="none"/>
              </w:rPr>
            </w:pPr>
          </w:p>
        </w:tc>
        <w:tc>
          <w:tcPr>
            <w:tcW w:w="2572" w:type="dxa"/>
          </w:tcPr>
          <w:p>
            <w:pPr>
              <w:widowControl/>
              <w:spacing w:line="500" w:lineRule="exact"/>
              <w:jc w:val="center"/>
              <w:rPr>
                <w:sz w:val="24"/>
                <w:highlight w:val="none"/>
              </w:rPr>
            </w:pPr>
          </w:p>
        </w:tc>
        <w:tc>
          <w:tcPr>
            <w:tcW w:w="1617"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0" w:type="dxa"/>
          </w:tcPr>
          <w:p>
            <w:pPr>
              <w:widowControl/>
              <w:spacing w:line="500" w:lineRule="exact"/>
              <w:jc w:val="center"/>
              <w:rPr>
                <w:sz w:val="24"/>
                <w:highlight w:val="none"/>
              </w:rPr>
            </w:pPr>
          </w:p>
        </w:tc>
        <w:tc>
          <w:tcPr>
            <w:tcW w:w="1912" w:type="dxa"/>
          </w:tcPr>
          <w:p>
            <w:pPr>
              <w:widowControl/>
              <w:spacing w:line="500" w:lineRule="exact"/>
              <w:jc w:val="center"/>
              <w:rPr>
                <w:sz w:val="24"/>
                <w:highlight w:val="none"/>
              </w:rPr>
            </w:pPr>
          </w:p>
        </w:tc>
        <w:tc>
          <w:tcPr>
            <w:tcW w:w="2426" w:type="dxa"/>
          </w:tcPr>
          <w:p>
            <w:pPr>
              <w:widowControl/>
              <w:spacing w:line="500" w:lineRule="exact"/>
              <w:jc w:val="center"/>
              <w:rPr>
                <w:sz w:val="24"/>
                <w:highlight w:val="none"/>
              </w:rPr>
            </w:pPr>
          </w:p>
        </w:tc>
        <w:tc>
          <w:tcPr>
            <w:tcW w:w="2572" w:type="dxa"/>
          </w:tcPr>
          <w:p>
            <w:pPr>
              <w:widowControl/>
              <w:spacing w:line="500" w:lineRule="exact"/>
              <w:jc w:val="center"/>
              <w:rPr>
                <w:sz w:val="24"/>
                <w:highlight w:val="none"/>
              </w:rPr>
            </w:pPr>
          </w:p>
        </w:tc>
        <w:tc>
          <w:tcPr>
            <w:tcW w:w="1617" w:type="dxa"/>
          </w:tcPr>
          <w:p>
            <w:pPr>
              <w:widowControl/>
              <w:spacing w:line="500" w:lineRule="exact"/>
              <w:jc w:val="center"/>
              <w:rPr>
                <w:sz w:val="24"/>
                <w:highlight w:val="none"/>
              </w:rPr>
            </w:pPr>
          </w:p>
        </w:tc>
      </w:tr>
    </w:tbl>
    <w:p>
      <w:pPr>
        <w:widowControl/>
        <w:spacing w:line="500" w:lineRule="exact"/>
        <w:ind w:firstLine="470" w:firstLineChars="196"/>
        <w:jc w:val="left"/>
        <w:rPr>
          <w:sz w:val="24"/>
          <w:highlight w:val="none"/>
        </w:rPr>
      </w:pPr>
    </w:p>
    <w:p>
      <w:pPr>
        <w:widowControl/>
        <w:spacing w:line="500" w:lineRule="exact"/>
        <w:ind w:firstLine="470" w:firstLineChars="196"/>
        <w:jc w:val="left"/>
        <w:rPr>
          <w:rFonts w:hAnsi="宋体"/>
          <w:sz w:val="24"/>
          <w:highlight w:val="none"/>
        </w:rPr>
      </w:pPr>
      <w:r>
        <w:rPr>
          <w:rFonts w:hint="eastAsia"/>
          <w:sz w:val="24"/>
          <w:highlight w:val="none"/>
        </w:rPr>
        <w:t xml:space="preserve">注：1. </w:t>
      </w:r>
      <w:r>
        <w:rPr>
          <w:rFonts w:hint="eastAsia" w:hAnsi="宋体"/>
          <w:sz w:val="24"/>
          <w:highlight w:val="none"/>
        </w:rPr>
        <w:t>以上表格格式行可增减。</w:t>
      </w:r>
    </w:p>
    <w:p>
      <w:pPr>
        <w:widowControl/>
        <w:spacing w:line="500" w:lineRule="exact"/>
        <w:ind w:firstLine="950" w:firstLineChars="396"/>
        <w:jc w:val="left"/>
        <w:rPr>
          <w:sz w:val="24"/>
          <w:highlight w:val="none"/>
        </w:rPr>
      </w:pPr>
      <w:r>
        <w:rPr>
          <w:rFonts w:hint="eastAsia"/>
          <w:sz w:val="24"/>
          <w:highlight w:val="none"/>
        </w:rPr>
        <w:t>2．投标人必须把招标文件第六章一、项目技术、服务要求（二）</w:t>
      </w:r>
      <w:r>
        <w:rPr>
          <w:rFonts w:hint="eastAsia" w:hAnsi="宋体" w:cs="宋体"/>
          <w:kern w:val="2"/>
          <w:sz w:val="24"/>
          <w:szCs w:val="24"/>
          <w:highlight w:val="none"/>
        </w:rPr>
        <w:t>技术要求</w:t>
      </w:r>
      <w:r>
        <w:rPr>
          <w:rFonts w:hint="eastAsia"/>
          <w:sz w:val="24"/>
          <w:highlight w:val="none"/>
        </w:rPr>
        <w:t>中的全部技术参数列入此表。根据投标情况在“偏离说明”填写正偏离或负偏离，完全符合的填写“无偏离”。</w:t>
      </w:r>
    </w:p>
    <w:p>
      <w:pPr>
        <w:widowControl/>
        <w:spacing w:line="500" w:lineRule="exact"/>
        <w:ind w:firstLine="950" w:firstLineChars="396"/>
        <w:jc w:val="left"/>
        <w:rPr>
          <w:sz w:val="24"/>
          <w:szCs w:val="22"/>
          <w:highlight w:val="none"/>
        </w:rPr>
      </w:pPr>
      <w:r>
        <w:rPr>
          <w:rFonts w:hint="eastAsia"/>
          <w:sz w:val="24"/>
          <w:szCs w:val="22"/>
          <w:highlight w:val="none"/>
        </w:rPr>
        <w:t>3．投标人必须据实填写，不得虚假填写，否则将取消其投标或中标资格。若采购人在项目实施中发现投标人虚假响应，则采购人有权单方面中止合同；若采购人在项目验收后发现投标人有虚假响应行为，采购人有权追索投标人由此给采购人造成的一切损失。</w:t>
      </w: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p>
    <w:p>
      <w:pPr>
        <w:widowControl/>
        <w:spacing w:line="500" w:lineRule="exact"/>
        <w:ind w:firstLine="470" w:firstLineChars="196"/>
        <w:jc w:val="left"/>
        <w:rPr>
          <w:sz w:val="24"/>
          <w:highlight w:val="none"/>
        </w:rPr>
      </w:pPr>
      <w:r>
        <w:rPr>
          <w:rFonts w:hint="eastAsia"/>
          <w:sz w:val="24"/>
          <w:highlight w:val="none"/>
        </w:rPr>
        <w:t>投标人名称：XXXX（单位盖章）。</w:t>
      </w:r>
    </w:p>
    <w:p>
      <w:pPr>
        <w:widowControl/>
        <w:spacing w:line="500" w:lineRule="exact"/>
        <w:ind w:firstLine="470" w:firstLineChars="196"/>
        <w:jc w:val="left"/>
        <w:rPr>
          <w:sz w:val="24"/>
          <w:highlight w:val="none"/>
        </w:rPr>
      </w:pPr>
      <w:r>
        <w:rPr>
          <w:rFonts w:hint="eastAsia"/>
          <w:sz w:val="24"/>
          <w:highlight w:val="none"/>
        </w:rPr>
        <w:t>法定代表人或授权代表（签字或加盖个人名章）：XXXX。</w:t>
      </w:r>
    </w:p>
    <w:p>
      <w:pPr>
        <w:widowControl/>
        <w:spacing w:line="500" w:lineRule="exact"/>
        <w:ind w:firstLine="470" w:firstLineChars="196"/>
        <w:jc w:val="left"/>
        <w:rPr>
          <w:sz w:val="24"/>
          <w:highlight w:val="none"/>
        </w:rPr>
      </w:pPr>
      <w:r>
        <w:rPr>
          <w:rFonts w:hint="eastAsia"/>
          <w:sz w:val="24"/>
          <w:highlight w:val="none"/>
        </w:rPr>
        <w:t>投标日期: XXXX。</w:t>
      </w:r>
    </w:p>
    <w:p>
      <w:pPr>
        <w:widowControl/>
        <w:spacing w:line="500" w:lineRule="exact"/>
        <w:ind w:firstLine="470" w:firstLineChars="196"/>
        <w:jc w:val="left"/>
        <w:rPr>
          <w:sz w:val="24"/>
          <w:highlight w:val="none"/>
        </w:rPr>
      </w:pPr>
    </w:p>
    <w:p>
      <w:pPr>
        <w:rPr>
          <w:rFonts w:ascii="黑体" w:eastAsia="黑体"/>
          <w:b/>
          <w:sz w:val="32"/>
          <w:szCs w:val="32"/>
          <w:highlight w:val="none"/>
        </w:rPr>
      </w:pPr>
      <w:bookmarkStart w:id="132" w:name="_Toc217446091"/>
      <w:r>
        <w:rPr>
          <w:rFonts w:hint="eastAsia" w:ascii="黑体" w:eastAsia="黑体"/>
          <w:b/>
          <w:sz w:val="32"/>
          <w:szCs w:val="32"/>
          <w:highlight w:val="none"/>
        </w:rPr>
        <w:br w:type="page"/>
      </w:r>
    </w:p>
    <w:p>
      <w:pPr>
        <w:widowControl/>
        <w:spacing w:line="500" w:lineRule="exact"/>
        <w:jc w:val="center"/>
        <w:outlineLvl w:val="1"/>
        <w:rPr>
          <w:rFonts w:ascii="黑体" w:eastAsia="黑体"/>
          <w:b/>
          <w:sz w:val="32"/>
          <w:szCs w:val="32"/>
          <w:highlight w:val="none"/>
        </w:rPr>
      </w:pPr>
      <w:r>
        <w:rPr>
          <w:rFonts w:hint="eastAsia" w:ascii="黑体" w:eastAsia="黑体"/>
          <w:b/>
          <w:sz w:val="32"/>
          <w:szCs w:val="32"/>
          <w:highlight w:val="none"/>
        </w:rPr>
        <w:t>十、投标人本项目管理、技术、服务人员情况表</w:t>
      </w:r>
      <w:bookmarkEnd w:id="132"/>
    </w:p>
    <w:p>
      <w:pPr>
        <w:widowControl/>
        <w:spacing w:line="500" w:lineRule="exact"/>
        <w:jc w:val="left"/>
        <w:rPr>
          <w:sz w:val="24"/>
          <w:highlight w:val="none"/>
        </w:rPr>
      </w:pPr>
      <w:r>
        <w:rPr>
          <w:rFonts w:hint="eastAsia"/>
          <w:sz w:val="24"/>
          <w:highlight w:val="none"/>
        </w:rPr>
        <w:t>招标编号：</w:t>
      </w:r>
    </w:p>
    <w:tbl>
      <w:tblPr>
        <w:tblStyle w:val="27"/>
        <w:tblW w:w="9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990"/>
        <w:gridCol w:w="990"/>
        <w:gridCol w:w="990"/>
        <w:gridCol w:w="990"/>
        <w:gridCol w:w="1044"/>
        <w:gridCol w:w="1177"/>
        <w:gridCol w:w="1039"/>
        <w:gridCol w:w="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9" w:type="dxa"/>
            <w:vMerge w:val="restart"/>
            <w:vAlign w:val="center"/>
          </w:tcPr>
          <w:p>
            <w:pPr>
              <w:widowControl/>
              <w:spacing w:line="500" w:lineRule="exact"/>
              <w:jc w:val="center"/>
              <w:rPr>
                <w:sz w:val="24"/>
                <w:highlight w:val="none"/>
              </w:rPr>
            </w:pPr>
            <w:r>
              <w:rPr>
                <w:rFonts w:hint="eastAsia"/>
                <w:sz w:val="24"/>
                <w:highlight w:val="none"/>
              </w:rPr>
              <w:t>类别</w:t>
            </w:r>
          </w:p>
        </w:tc>
        <w:tc>
          <w:tcPr>
            <w:tcW w:w="990" w:type="dxa"/>
            <w:vMerge w:val="restart"/>
            <w:vAlign w:val="center"/>
          </w:tcPr>
          <w:p>
            <w:pPr>
              <w:widowControl/>
              <w:spacing w:line="500" w:lineRule="exact"/>
              <w:jc w:val="center"/>
              <w:rPr>
                <w:sz w:val="24"/>
                <w:highlight w:val="none"/>
              </w:rPr>
            </w:pPr>
            <w:r>
              <w:rPr>
                <w:rFonts w:hint="eastAsia"/>
                <w:sz w:val="24"/>
                <w:highlight w:val="none"/>
              </w:rPr>
              <w:t>职务</w:t>
            </w:r>
          </w:p>
        </w:tc>
        <w:tc>
          <w:tcPr>
            <w:tcW w:w="990" w:type="dxa"/>
            <w:vMerge w:val="restart"/>
            <w:vAlign w:val="center"/>
          </w:tcPr>
          <w:p>
            <w:pPr>
              <w:widowControl/>
              <w:spacing w:line="500" w:lineRule="exact"/>
              <w:jc w:val="center"/>
              <w:rPr>
                <w:sz w:val="24"/>
                <w:highlight w:val="none"/>
              </w:rPr>
            </w:pPr>
            <w:r>
              <w:rPr>
                <w:rFonts w:hint="eastAsia"/>
                <w:sz w:val="24"/>
                <w:highlight w:val="none"/>
              </w:rPr>
              <w:t>姓名</w:t>
            </w:r>
          </w:p>
        </w:tc>
        <w:tc>
          <w:tcPr>
            <w:tcW w:w="990" w:type="dxa"/>
            <w:vMerge w:val="restart"/>
            <w:vAlign w:val="center"/>
          </w:tcPr>
          <w:p>
            <w:pPr>
              <w:widowControl/>
              <w:spacing w:line="500" w:lineRule="exact"/>
              <w:jc w:val="center"/>
              <w:rPr>
                <w:sz w:val="24"/>
                <w:highlight w:val="none"/>
              </w:rPr>
            </w:pPr>
            <w:r>
              <w:rPr>
                <w:rFonts w:hint="eastAsia"/>
                <w:sz w:val="24"/>
                <w:highlight w:val="none"/>
              </w:rPr>
              <w:t>职称</w:t>
            </w:r>
          </w:p>
        </w:tc>
        <w:tc>
          <w:tcPr>
            <w:tcW w:w="990" w:type="dxa"/>
            <w:vMerge w:val="restart"/>
            <w:vAlign w:val="center"/>
          </w:tcPr>
          <w:p>
            <w:pPr>
              <w:widowControl/>
              <w:spacing w:line="500" w:lineRule="exact"/>
              <w:jc w:val="center"/>
              <w:rPr>
                <w:sz w:val="24"/>
                <w:highlight w:val="none"/>
              </w:rPr>
            </w:pPr>
            <w:r>
              <w:rPr>
                <w:rFonts w:hint="eastAsia"/>
                <w:sz w:val="24"/>
                <w:highlight w:val="none"/>
              </w:rPr>
              <w:t>常住地</w:t>
            </w:r>
          </w:p>
        </w:tc>
        <w:tc>
          <w:tcPr>
            <w:tcW w:w="4158" w:type="dxa"/>
            <w:gridSpan w:val="4"/>
            <w:vAlign w:val="center"/>
          </w:tcPr>
          <w:p>
            <w:pPr>
              <w:widowControl/>
              <w:spacing w:line="500" w:lineRule="exact"/>
              <w:ind w:firstLine="470" w:firstLineChars="196"/>
              <w:jc w:val="center"/>
              <w:rPr>
                <w:sz w:val="24"/>
                <w:highlight w:val="none"/>
              </w:rPr>
            </w:pPr>
            <w:r>
              <w:rPr>
                <w:rFonts w:hint="eastAsia"/>
                <w:sz w:val="24"/>
                <w:highlight w:val="none"/>
              </w:rPr>
              <w:t>资格证明（附复印件）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9" w:type="dxa"/>
            <w:vMerge w:val="continue"/>
            <w:vAlign w:val="center"/>
          </w:tcPr>
          <w:p>
            <w:pPr>
              <w:spacing w:line="500" w:lineRule="exact"/>
              <w:jc w:val="center"/>
              <w:rPr>
                <w:highlight w:val="none"/>
              </w:rPr>
            </w:pPr>
          </w:p>
        </w:tc>
        <w:tc>
          <w:tcPr>
            <w:tcW w:w="990" w:type="dxa"/>
            <w:vMerge w:val="continue"/>
            <w:vAlign w:val="center"/>
          </w:tcPr>
          <w:p>
            <w:pPr>
              <w:spacing w:line="500" w:lineRule="exact"/>
              <w:jc w:val="center"/>
              <w:rPr>
                <w:highlight w:val="none"/>
              </w:rPr>
            </w:pPr>
          </w:p>
        </w:tc>
        <w:tc>
          <w:tcPr>
            <w:tcW w:w="990" w:type="dxa"/>
            <w:vMerge w:val="continue"/>
            <w:vAlign w:val="center"/>
          </w:tcPr>
          <w:p>
            <w:pPr>
              <w:spacing w:line="500" w:lineRule="exact"/>
              <w:jc w:val="center"/>
              <w:rPr>
                <w:highlight w:val="none"/>
              </w:rPr>
            </w:pPr>
          </w:p>
        </w:tc>
        <w:tc>
          <w:tcPr>
            <w:tcW w:w="990" w:type="dxa"/>
            <w:vMerge w:val="continue"/>
            <w:vAlign w:val="center"/>
          </w:tcPr>
          <w:p>
            <w:pPr>
              <w:spacing w:line="500" w:lineRule="exact"/>
              <w:jc w:val="center"/>
              <w:rPr>
                <w:highlight w:val="none"/>
              </w:rPr>
            </w:pPr>
          </w:p>
        </w:tc>
        <w:tc>
          <w:tcPr>
            <w:tcW w:w="990" w:type="dxa"/>
            <w:vMerge w:val="continue"/>
            <w:vAlign w:val="center"/>
          </w:tcPr>
          <w:p>
            <w:pPr>
              <w:spacing w:line="500" w:lineRule="exact"/>
              <w:jc w:val="center"/>
              <w:rPr>
                <w:highlight w:val="none"/>
              </w:rPr>
            </w:pPr>
          </w:p>
        </w:tc>
        <w:tc>
          <w:tcPr>
            <w:tcW w:w="1044" w:type="dxa"/>
            <w:vAlign w:val="center"/>
          </w:tcPr>
          <w:p>
            <w:pPr>
              <w:widowControl/>
              <w:spacing w:line="500" w:lineRule="exact"/>
              <w:jc w:val="center"/>
              <w:rPr>
                <w:sz w:val="24"/>
                <w:highlight w:val="none"/>
              </w:rPr>
            </w:pPr>
            <w:r>
              <w:rPr>
                <w:rFonts w:hint="eastAsia"/>
                <w:sz w:val="24"/>
                <w:highlight w:val="none"/>
              </w:rPr>
              <w:t>证书</w:t>
            </w:r>
          </w:p>
          <w:p>
            <w:pPr>
              <w:widowControl/>
              <w:spacing w:line="500" w:lineRule="exact"/>
              <w:jc w:val="center"/>
              <w:rPr>
                <w:sz w:val="24"/>
                <w:highlight w:val="none"/>
              </w:rPr>
            </w:pPr>
            <w:r>
              <w:rPr>
                <w:rFonts w:hint="eastAsia"/>
                <w:sz w:val="24"/>
                <w:highlight w:val="none"/>
              </w:rPr>
              <w:t>名称</w:t>
            </w:r>
          </w:p>
        </w:tc>
        <w:tc>
          <w:tcPr>
            <w:tcW w:w="1177" w:type="dxa"/>
            <w:vAlign w:val="center"/>
          </w:tcPr>
          <w:p>
            <w:pPr>
              <w:widowControl/>
              <w:spacing w:line="500" w:lineRule="exact"/>
              <w:jc w:val="center"/>
              <w:rPr>
                <w:sz w:val="24"/>
                <w:highlight w:val="none"/>
              </w:rPr>
            </w:pPr>
            <w:r>
              <w:rPr>
                <w:rFonts w:hint="eastAsia"/>
                <w:sz w:val="24"/>
                <w:highlight w:val="none"/>
              </w:rPr>
              <w:t>级别</w:t>
            </w:r>
          </w:p>
        </w:tc>
        <w:tc>
          <w:tcPr>
            <w:tcW w:w="1039" w:type="dxa"/>
            <w:vAlign w:val="center"/>
          </w:tcPr>
          <w:p>
            <w:pPr>
              <w:widowControl/>
              <w:spacing w:line="500" w:lineRule="exact"/>
              <w:jc w:val="center"/>
              <w:rPr>
                <w:sz w:val="24"/>
                <w:highlight w:val="none"/>
              </w:rPr>
            </w:pPr>
            <w:r>
              <w:rPr>
                <w:rFonts w:hint="eastAsia"/>
                <w:sz w:val="24"/>
                <w:highlight w:val="none"/>
              </w:rPr>
              <w:t>证号</w:t>
            </w:r>
          </w:p>
        </w:tc>
        <w:tc>
          <w:tcPr>
            <w:tcW w:w="898" w:type="dxa"/>
            <w:vAlign w:val="center"/>
          </w:tcPr>
          <w:p>
            <w:pPr>
              <w:widowControl/>
              <w:spacing w:line="500" w:lineRule="exact"/>
              <w:jc w:val="center"/>
              <w:rPr>
                <w:sz w:val="24"/>
                <w:highlight w:val="none"/>
              </w:rPr>
            </w:pPr>
            <w:r>
              <w:rPr>
                <w:rFonts w:hint="eastAsia"/>
                <w:sz w:val="24"/>
                <w:highlight w:val="none"/>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959" w:type="dxa"/>
            <w:vMerge w:val="restart"/>
            <w:vAlign w:val="center"/>
          </w:tcPr>
          <w:p>
            <w:pPr>
              <w:widowControl/>
              <w:spacing w:line="500" w:lineRule="exact"/>
              <w:jc w:val="center"/>
              <w:rPr>
                <w:sz w:val="24"/>
                <w:highlight w:val="none"/>
              </w:rPr>
            </w:pPr>
            <w:r>
              <w:rPr>
                <w:rFonts w:hint="eastAsia"/>
                <w:sz w:val="24"/>
                <w:highlight w:val="none"/>
              </w:rPr>
              <w:t>管理</w:t>
            </w:r>
          </w:p>
          <w:p>
            <w:pPr>
              <w:widowControl/>
              <w:spacing w:line="500" w:lineRule="exact"/>
              <w:jc w:val="center"/>
              <w:rPr>
                <w:sz w:val="24"/>
                <w:highlight w:val="none"/>
              </w:rPr>
            </w:pPr>
            <w:r>
              <w:rPr>
                <w:rFonts w:hint="eastAsia"/>
                <w:sz w:val="24"/>
                <w:highlight w:val="none"/>
              </w:rPr>
              <w:t>人员</w:t>
            </w: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1044" w:type="dxa"/>
          </w:tcPr>
          <w:p>
            <w:pPr>
              <w:widowControl/>
              <w:spacing w:line="500" w:lineRule="exact"/>
              <w:jc w:val="center"/>
              <w:rPr>
                <w:sz w:val="24"/>
                <w:highlight w:val="none"/>
              </w:rPr>
            </w:pPr>
          </w:p>
        </w:tc>
        <w:tc>
          <w:tcPr>
            <w:tcW w:w="1177" w:type="dxa"/>
          </w:tcPr>
          <w:p>
            <w:pPr>
              <w:widowControl/>
              <w:spacing w:line="500" w:lineRule="exact"/>
              <w:jc w:val="center"/>
              <w:rPr>
                <w:sz w:val="24"/>
                <w:highlight w:val="none"/>
              </w:rPr>
            </w:pPr>
          </w:p>
        </w:tc>
        <w:tc>
          <w:tcPr>
            <w:tcW w:w="1039" w:type="dxa"/>
          </w:tcPr>
          <w:p>
            <w:pPr>
              <w:widowControl/>
              <w:spacing w:line="500" w:lineRule="exact"/>
              <w:jc w:val="center"/>
              <w:rPr>
                <w:sz w:val="24"/>
                <w:highlight w:val="none"/>
              </w:rPr>
            </w:pPr>
          </w:p>
        </w:tc>
        <w:tc>
          <w:tcPr>
            <w:tcW w:w="898"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9" w:type="dxa"/>
            <w:vMerge w:val="continue"/>
            <w:vAlign w:val="center"/>
          </w:tcPr>
          <w:p>
            <w:pPr>
              <w:spacing w:line="500" w:lineRule="exact"/>
              <w:jc w:val="center"/>
              <w:rPr>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1044" w:type="dxa"/>
          </w:tcPr>
          <w:p>
            <w:pPr>
              <w:widowControl/>
              <w:spacing w:line="500" w:lineRule="exact"/>
              <w:jc w:val="center"/>
              <w:rPr>
                <w:sz w:val="24"/>
                <w:highlight w:val="none"/>
              </w:rPr>
            </w:pPr>
          </w:p>
        </w:tc>
        <w:tc>
          <w:tcPr>
            <w:tcW w:w="1177" w:type="dxa"/>
          </w:tcPr>
          <w:p>
            <w:pPr>
              <w:widowControl/>
              <w:spacing w:line="500" w:lineRule="exact"/>
              <w:jc w:val="center"/>
              <w:rPr>
                <w:sz w:val="24"/>
                <w:highlight w:val="none"/>
              </w:rPr>
            </w:pPr>
          </w:p>
        </w:tc>
        <w:tc>
          <w:tcPr>
            <w:tcW w:w="1039" w:type="dxa"/>
          </w:tcPr>
          <w:p>
            <w:pPr>
              <w:widowControl/>
              <w:spacing w:line="500" w:lineRule="exact"/>
              <w:jc w:val="center"/>
              <w:rPr>
                <w:sz w:val="24"/>
                <w:highlight w:val="none"/>
              </w:rPr>
            </w:pPr>
          </w:p>
        </w:tc>
        <w:tc>
          <w:tcPr>
            <w:tcW w:w="898"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959" w:type="dxa"/>
            <w:vMerge w:val="continue"/>
            <w:vAlign w:val="center"/>
          </w:tcPr>
          <w:p>
            <w:pPr>
              <w:spacing w:line="500" w:lineRule="exact"/>
              <w:jc w:val="center"/>
              <w:rPr>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1044" w:type="dxa"/>
          </w:tcPr>
          <w:p>
            <w:pPr>
              <w:widowControl/>
              <w:spacing w:line="500" w:lineRule="exact"/>
              <w:jc w:val="center"/>
              <w:rPr>
                <w:sz w:val="24"/>
                <w:highlight w:val="none"/>
              </w:rPr>
            </w:pPr>
          </w:p>
        </w:tc>
        <w:tc>
          <w:tcPr>
            <w:tcW w:w="1177" w:type="dxa"/>
          </w:tcPr>
          <w:p>
            <w:pPr>
              <w:widowControl/>
              <w:spacing w:line="500" w:lineRule="exact"/>
              <w:jc w:val="center"/>
              <w:rPr>
                <w:sz w:val="24"/>
                <w:highlight w:val="none"/>
              </w:rPr>
            </w:pPr>
          </w:p>
        </w:tc>
        <w:tc>
          <w:tcPr>
            <w:tcW w:w="1039" w:type="dxa"/>
          </w:tcPr>
          <w:p>
            <w:pPr>
              <w:widowControl/>
              <w:spacing w:line="500" w:lineRule="exact"/>
              <w:jc w:val="center"/>
              <w:rPr>
                <w:sz w:val="24"/>
                <w:highlight w:val="none"/>
              </w:rPr>
            </w:pPr>
          </w:p>
        </w:tc>
        <w:tc>
          <w:tcPr>
            <w:tcW w:w="898"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9" w:type="dxa"/>
            <w:vMerge w:val="restart"/>
            <w:vAlign w:val="center"/>
          </w:tcPr>
          <w:p>
            <w:pPr>
              <w:widowControl/>
              <w:spacing w:line="500" w:lineRule="exact"/>
              <w:jc w:val="center"/>
              <w:rPr>
                <w:sz w:val="24"/>
                <w:highlight w:val="none"/>
              </w:rPr>
            </w:pPr>
            <w:r>
              <w:rPr>
                <w:rFonts w:hint="eastAsia"/>
                <w:sz w:val="24"/>
                <w:highlight w:val="none"/>
              </w:rPr>
              <w:t>技术</w:t>
            </w:r>
          </w:p>
          <w:p>
            <w:pPr>
              <w:widowControl/>
              <w:spacing w:line="500" w:lineRule="exact"/>
              <w:jc w:val="center"/>
              <w:rPr>
                <w:sz w:val="24"/>
                <w:highlight w:val="none"/>
              </w:rPr>
            </w:pPr>
            <w:r>
              <w:rPr>
                <w:rFonts w:hint="eastAsia"/>
                <w:sz w:val="24"/>
                <w:highlight w:val="none"/>
              </w:rPr>
              <w:t>人员</w:t>
            </w: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1044" w:type="dxa"/>
          </w:tcPr>
          <w:p>
            <w:pPr>
              <w:widowControl/>
              <w:spacing w:line="500" w:lineRule="exact"/>
              <w:jc w:val="center"/>
              <w:rPr>
                <w:sz w:val="24"/>
                <w:highlight w:val="none"/>
              </w:rPr>
            </w:pPr>
          </w:p>
        </w:tc>
        <w:tc>
          <w:tcPr>
            <w:tcW w:w="1177" w:type="dxa"/>
          </w:tcPr>
          <w:p>
            <w:pPr>
              <w:widowControl/>
              <w:spacing w:line="500" w:lineRule="exact"/>
              <w:jc w:val="center"/>
              <w:rPr>
                <w:sz w:val="24"/>
                <w:highlight w:val="none"/>
              </w:rPr>
            </w:pPr>
          </w:p>
        </w:tc>
        <w:tc>
          <w:tcPr>
            <w:tcW w:w="1039" w:type="dxa"/>
          </w:tcPr>
          <w:p>
            <w:pPr>
              <w:widowControl/>
              <w:spacing w:line="500" w:lineRule="exact"/>
              <w:jc w:val="center"/>
              <w:rPr>
                <w:sz w:val="24"/>
                <w:highlight w:val="none"/>
              </w:rPr>
            </w:pPr>
          </w:p>
        </w:tc>
        <w:tc>
          <w:tcPr>
            <w:tcW w:w="898"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959" w:type="dxa"/>
            <w:vMerge w:val="continue"/>
            <w:vAlign w:val="center"/>
          </w:tcPr>
          <w:p>
            <w:pPr>
              <w:spacing w:line="500" w:lineRule="exact"/>
              <w:jc w:val="center"/>
              <w:rPr>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1044" w:type="dxa"/>
          </w:tcPr>
          <w:p>
            <w:pPr>
              <w:widowControl/>
              <w:spacing w:line="500" w:lineRule="exact"/>
              <w:jc w:val="center"/>
              <w:rPr>
                <w:sz w:val="24"/>
                <w:highlight w:val="none"/>
              </w:rPr>
            </w:pPr>
          </w:p>
        </w:tc>
        <w:tc>
          <w:tcPr>
            <w:tcW w:w="1177" w:type="dxa"/>
          </w:tcPr>
          <w:p>
            <w:pPr>
              <w:widowControl/>
              <w:spacing w:line="500" w:lineRule="exact"/>
              <w:jc w:val="center"/>
              <w:rPr>
                <w:sz w:val="24"/>
                <w:highlight w:val="none"/>
              </w:rPr>
            </w:pPr>
          </w:p>
        </w:tc>
        <w:tc>
          <w:tcPr>
            <w:tcW w:w="1039" w:type="dxa"/>
          </w:tcPr>
          <w:p>
            <w:pPr>
              <w:widowControl/>
              <w:spacing w:line="500" w:lineRule="exact"/>
              <w:jc w:val="center"/>
              <w:rPr>
                <w:sz w:val="24"/>
                <w:highlight w:val="none"/>
              </w:rPr>
            </w:pPr>
          </w:p>
        </w:tc>
        <w:tc>
          <w:tcPr>
            <w:tcW w:w="898"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9" w:type="dxa"/>
            <w:vMerge w:val="continue"/>
            <w:vAlign w:val="center"/>
          </w:tcPr>
          <w:p>
            <w:pPr>
              <w:spacing w:line="500" w:lineRule="exact"/>
              <w:jc w:val="center"/>
              <w:rPr>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1044" w:type="dxa"/>
          </w:tcPr>
          <w:p>
            <w:pPr>
              <w:widowControl/>
              <w:spacing w:line="500" w:lineRule="exact"/>
              <w:jc w:val="center"/>
              <w:rPr>
                <w:sz w:val="24"/>
                <w:highlight w:val="none"/>
              </w:rPr>
            </w:pPr>
          </w:p>
        </w:tc>
        <w:tc>
          <w:tcPr>
            <w:tcW w:w="1177" w:type="dxa"/>
          </w:tcPr>
          <w:p>
            <w:pPr>
              <w:widowControl/>
              <w:spacing w:line="500" w:lineRule="exact"/>
              <w:jc w:val="center"/>
              <w:rPr>
                <w:sz w:val="24"/>
                <w:highlight w:val="none"/>
              </w:rPr>
            </w:pPr>
          </w:p>
        </w:tc>
        <w:tc>
          <w:tcPr>
            <w:tcW w:w="1039" w:type="dxa"/>
          </w:tcPr>
          <w:p>
            <w:pPr>
              <w:widowControl/>
              <w:spacing w:line="500" w:lineRule="exact"/>
              <w:jc w:val="center"/>
              <w:rPr>
                <w:sz w:val="24"/>
                <w:highlight w:val="none"/>
              </w:rPr>
            </w:pPr>
          </w:p>
        </w:tc>
        <w:tc>
          <w:tcPr>
            <w:tcW w:w="898"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959" w:type="dxa"/>
            <w:vMerge w:val="restart"/>
            <w:vAlign w:val="center"/>
          </w:tcPr>
          <w:p>
            <w:pPr>
              <w:widowControl/>
              <w:spacing w:line="500" w:lineRule="exact"/>
              <w:jc w:val="center"/>
              <w:rPr>
                <w:sz w:val="24"/>
                <w:highlight w:val="none"/>
              </w:rPr>
            </w:pPr>
            <w:r>
              <w:rPr>
                <w:rFonts w:hint="eastAsia"/>
                <w:sz w:val="24"/>
                <w:highlight w:val="none"/>
              </w:rPr>
              <w:t>售后服务人员</w:t>
            </w: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1044" w:type="dxa"/>
          </w:tcPr>
          <w:p>
            <w:pPr>
              <w:widowControl/>
              <w:spacing w:line="500" w:lineRule="exact"/>
              <w:jc w:val="center"/>
              <w:rPr>
                <w:sz w:val="24"/>
                <w:highlight w:val="none"/>
              </w:rPr>
            </w:pPr>
          </w:p>
        </w:tc>
        <w:tc>
          <w:tcPr>
            <w:tcW w:w="1177" w:type="dxa"/>
          </w:tcPr>
          <w:p>
            <w:pPr>
              <w:widowControl/>
              <w:spacing w:line="500" w:lineRule="exact"/>
              <w:jc w:val="center"/>
              <w:rPr>
                <w:sz w:val="24"/>
                <w:highlight w:val="none"/>
              </w:rPr>
            </w:pPr>
          </w:p>
        </w:tc>
        <w:tc>
          <w:tcPr>
            <w:tcW w:w="1039" w:type="dxa"/>
          </w:tcPr>
          <w:p>
            <w:pPr>
              <w:widowControl/>
              <w:spacing w:line="500" w:lineRule="exact"/>
              <w:jc w:val="center"/>
              <w:rPr>
                <w:sz w:val="24"/>
                <w:highlight w:val="none"/>
              </w:rPr>
            </w:pPr>
          </w:p>
        </w:tc>
        <w:tc>
          <w:tcPr>
            <w:tcW w:w="898" w:type="dxa"/>
          </w:tcPr>
          <w:p>
            <w:pPr>
              <w:widowControl/>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959" w:type="dxa"/>
            <w:vMerge w:val="continue"/>
            <w:tcBorders>
              <w:bottom w:val="single" w:color="auto" w:sz="4" w:space="0"/>
            </w:tcBorders>
          </w:tcPr>
          <w:p>
            <w:pPr>
              <w:spacing w:line="500" w:lineRule="exact"/>
              <w:jc w:val="center"/>
              <w:rPr>
                <w:highlight w:val="none"/>
              </w:rPr>
            </w:pPr>
          </w:p>
        </w:tc>
        <w:tc>
          <w:tcPr>
            <w:tcW w:w="990" w:type="dxa"/>
            <w:tcBorders>
              <w:bottom w:val="single" w:color="auto" w:sz="4" w:space="0"/>
            </w:tcBorders>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990" w:type="dxa"/>
          </w:tcPr>
          <w:p>
            <w:pPr>
              <w:widowControl/>
              <w:spacing w:line="500" w:lineRule="exact"/>
              <w:jc w:val="center"/>
              <w:rPr>
                <w:sz w:val="24"/>
                <w:highlight w:val="none"/>
              </w:rPr>
            </w:pPr>
          </w:p>
        </w:tc>
        <w:tc>
          <w:tcPr>
            <w:tcW w:w="1044" w:type="dxa"/>
          </w:tcPr>
          <w:p>
            <w:pPr>
              <w:widowControl/>
              <w:spacing w:line="500" w:lineRule="exact"/>
              <w:jc w:val="center"/>
              <w:rPr>
                <w:sz w:val="24"/>
                <w:highlight w:val="none"/>
              </w:rPr>
            </w:pPr>
          </w:p>
        </w:tc>
        <w:tc>
          <w:tcPr>
            <w:tcW w:w="1177" w:type="dxa"/>
          </w:tcPr>
          <w:p>
            <w:pPr>
              <w:widowControl/>
              <w:spacing w:line="500" w:lineRule="exact"/>
              <w:jc w:val="center"/>
              <w:rPr>
                <w:sz w:val="24"/>
                <w:highlight w:val="none"/>
              </w:rPr>
            </w:pPr>
          </w:p>
        </w:tc>
        <w:tc>
          <w:tcPr>
            <w:tcW w:w="1039" w:type="dxa"/>
          </w:tcPr>
          <w:p>
            <w:pPr>
              <w:widowControl/>
              <w:spacing w:line="500" w:lineRule="exact"/>
              <w:jc w:val="center"/>
              <w:rPr>
                <w:sz w:val="24"/>
                <w:highlight w:val="none"/>
              </w:rPr>
            </w:pPr>
          </w:p>
        </w:tc>
        <w:tc>
          <w:tcPr>
            <w:tcW w:w="898" w:type="dxa"/>
          </w:tcPr>
          <w:p>
            <w:pPr>
              <w:widowControl/>
              <w:spacing w:line="500" w:lineRule="exact"/>
              <w:jc w:val="center"/>
              <w:rPr>
                <w:sz w:val="24"/>
                <w:highlight w:val="none"/>
              </w:rPr>
            </w:pPr>
          </w:p>
        </w:tc>
      </w:tr>
    </w:tbl>
    <w:p>
      <w:pPr>
        <w:spacing w:line="468" w:lineRule="exact"/>
        <w:jc w:val="left"/>
        <w:rPr>
          <w:rFonts w:hAnsi="宋体" w:cs="宋体"/>
          <w:sz w:val="24"/>
          <w:szCs w:val="22"/>
          <w:highlight w:val="none"/>
        </w:rPr>
      </w:pPr>
      <w:r>
        <w:rPr>
          <w:rFonts w:hint="eastAsia" w:hAnsi="宋体" w:cs="宋体"/>
          <w:sz w:val="24"/>
          <w:highlight w:val="none"/>
        </w:rPr>
        <w:t>注：</w:t>
      </w:r>
      <w:r>
        <w:rPr>
          <w:rFonts w:hAnsi="宋体" w:cs="宋体"/>
          <w:sz w:val="24"/>
          <w:szCs w:val="22"/>
          <w:highlight w:val="none"/>
        </w:rPr>
        <w:t>1.以上表格格式可增减。</w:t>
      </w:r>
    </w:p>
    <w:p>
      <w:pPr>
        <w:spacing w:line="468" w:lineRule="exact"/>
        <w:ind w:firstLine="480" w:firstLineChars="200"/>
        <w:jc w:val="left"/>
        <w:rPr>
          <w:rFonts w:hAnsi="宋体" w:cs="宋体"/>
          <w:sz w:val="24"/>
          <w:szCs w:val="22"/>
          <w:highlight w:val="none"/>
        </w:rPr>
      </w:pPr>
      <w:r>
        <w:rPr>
          <w:rFonts w:hint="eastAsia" w:hAnsi="宋体" w:cs="宋体"/>
          <w:sz w:val="24"/>
          <w:szCs w:val="22"/>
          <w:highlight w:val="none"/>
        </w:rPr>
        <w:t>2.</w:t>
      </w:r>
      <w:r>
        <w:rPr>
          <w:rFonts w:hAnsi="宋体" w:cs="宋体"/>
          <w:sz w:val="24"/>
          <w:szCs w:val="22"/>
          <w:highlight w:val="none"/>
        </w:rPr>
        <w:t>详见综合评分明细表。</w:t>
      </w:r>
    </w:p>
    <w:p>
      <w:pPr>
        <w:pStyle w:val="18"/>
        <w:spacing w:before="480" w:after="480"/>
        <w:rPr>
          <w:highlight w:val="none"/>
        </w:rPr>
      </w:pPr>
    </w:p>
    <w:p>
      <w:pPr>
        <w:widowControl/>
        <w:spacing w:line="500" w:lineRule="exact"/>
        <w:ind w:firstLine="470" w:firstLineChars="196"/>
        <w:jc w:val="left"/>
        <w:rPr>
          <w:sz w:val="24"/>
          <w:highlight w:val="none"/>
        </w:rPr>
      </w:pPr>
      <w:r>
        <w:rPr>
          <w:rFonts w:hint="eastAsia"/>
          <w:sz w:val="24"/>
          <w:highlight w:val="none"/>
        </w:rPr>
        <w:t>投标人名称：XXXX（单位盖章）。</w:t>
      </w:r>
    </w:p>
    <w:p>
      <w:pPr>
        <w:widowControl/>
        <w:spacing w:line="500" w:lineRule="exact"/>
        <w:ind w:firstLine="470" w:firstLineChars="196"/>
        <w:jc w:val="left"/>
        <w:rPr>
          <w:sz w:val="24"/>
          <w:highlight w:val="none"/>
        </w:rPr>
      </w:pPr>
      <w:r>
        <w:rPr>
          <w:rFonts w:hint="eastAsia"/>
          <w:sz w:val="24"/>
          <w:highlight w:val="none"/>
        </w:rPr>
        <w:t>法定代表人或授权代表（签字或加盖个人名章）：XXXX。</w:t>
      </w:r>
    </w:p>
    <w:p>
      <w:pPr>
        <w:widowControl/>
        <w:spacing w:line="500" w:lineRule="exact"/>
        <w:ind w:firstLine="470" w:firstLineChars="196"/>
        <w:jc w:val="left"/>
        <w:rPr>
          <w:sz w:val="24"/>
          <w:highlight w:val="none"/>
        </w:rPr>
      </w:pPr>
      <w:r>
        <w:rPr>
          <w:rFonts w:hint="eastAsia"/>
          <w:sz w:val="24"/>
          <w:highlight w:val="none"/>
        </w:rPr>
        <w:t>投标日期: XXXX。</w:t>
      </w:r>
    </w:p>
    <w:p>
      <w:pPr>
        <w:widowControl/>
        <w:spacing w:line="500" w:lineRule="exact"/>
        <w:ind w:firstLine="472" w:firstLineChars="196"/>
        <w:jc w:val="left"/>
        <w:rPr>
          <w:b/>
          <w:sz w:val="24"/>
          <w:highlight w:val="none"/>
        </w:rPr>
      </w:pPr>
    </w:p>
    <w:p>
      <w:pPr>
        <w:pStyle w:val="18"/>
        <w:spacing w:before="480" w:after="480"/>
        <w:rPr>
          <w:highlight w:val="none"/>
        </w:rPr>
      </w:pPr>
    </w:p>
    <w:p>
      <w:pPr>
        <w:rPr>
          <w:highlight w:val="none"/>
        </w:rPr>
      </w:pPr>
    </w:p>
    <w:p>
      <w:pPr>
        <w:pStyle w:val="2"/>
        <w:rPr>
          <w:highlight w:val="none"/>
        </w:rPr>
      </w:pPr>
    </w:p>
    <w:p>
      <w:pPr>
        <w:widowControl/>
        <w:spacing w:line="500" w:lineRule="exact"/>
        <w:jc w:val="center"/>
        <w:outlineLvl w:val="1"/>
        <w:rPr>
          <w:rFonts w:ascii="黑体" w:eastAsia="黑体"/>
          <w:b/>
          <w:sz w:val="32"/>
          <w:szCs w:val="32"/>
          <w:highlight w:val="none"/>
        </w:rPr>
      </w:pPr>
      <w:r>
        <w:rPr>
          <w:rFonts w:hint="eastAsia" w:ascii="黑体" w:eastAsia="黑体"/>
          <w:b/>
          <w:sz w:val="32"/>
          <w:szCs w:val="32"/>
          <w:highlight w:val="none"/>
        </w:rPr>
        <w:t>十一、中小企业声明函</w:t>
      </w:r>
    </w:p>
    <w:p>
      <w:pPr>
        <w:spacing w:line="360" w:lineRule="auto"/>
        <w:ind w:firstLine="480" w:firstLineChars="200"/>
        <w:jc w:val="left"/>
        <w:rPr>
          <w:rFonts w:hAnsi="宋体"/>
          <w:sz w:val="24"/>
          <w:szCs w:val="24"/>
          <w:highlight w:val="none"/>
        </w:rPr>
      </w:pPr>
    </w:p>
    <w:p>
      <w:pPr>
        <w:spacing w:line="500" w:lineRule="exact"/>
        <w:ind w:firstLine="480" w:firstLineChars="200"/>
        <w:rPr>
          <w:rFonts w:hAnsi="宋体"/>
          <w:sz w:val="24"/>
          <w:szCs w:val="24"/>
          <w:highlight w:val="none"/>
        </w:rPr>
      </w:pPr>
      <w:r>
        <w:rPr>
          <w:rFonts w:hint="eastAsia" w:hAnsi="宋体"/>
          <w:sz w:val="24"/>
          <w:szCs w:val="24"/>
          <w:highlight w:val="none"/>
        </w:rPr>
        <w:t>本公司郑重声明，根据《政府采购促进中小企业发展管理办法》（财库〔2020〕46号）的规定，本公司参加</w:t>
      </w:r>
      <w:r>
        <w:rPr>
          <w:rFonts w:hint="eastAsia" w:hAnsi="宋体"/>
          <w:sz w:val="24"/>
          <w:szCs w:val="24"/>
          <w:highlight w:val="none"/>
          <w:u w:val="single"/>
        </w:rPr>
        <w:t xml:space="preserve"> 单位名称 </w:t>
      </w:r>
      <w:r>
        <w:rPr>
          <w:rFonts w:hint="eastAsia" w:hAnsi="宋体"/>
          <w:sz w:val="24"/>
          <w:szCs w:val="24"/>
          <w:highlight w:val="none"/>
        </w:rPr>
        <w:t>的</w:t>
      </w:r>
      <w:r>
        <w:rPr>
          <w:rFonts w:hint="eastAsia" w:hAnsi="宋体"/>
          <w:sz w:val="24"/>
          <w:szCs w:val="24"/>
          <w:highlight w:val="none"/>
          <w:u w:val="single"/>
        </w:rPr>
        <w:t>（项目名称）</w:t>
      </w:r>
      <w:r>
        <w:rPr>
          <w:rFonts w:hint="eastAsia" w:hAnsi="宋体"/>
          <w:sz w:val="24"/>
          <w:szCs w:val="24"/>
          <w:highlight w:val="none"/>
        </w:rPr>
        <w:t>采购活动，提供的货物全部由符合政策要求的中小企业制造。相关企业的具体情况如下：</w:t>
      </w:r>
    </w:p>
    <w:p>
      <w:pPr>
        <w:spacing w:line="500" w:lineRule="exact"/>
        <w:ind w:firstLine="480" w:firstLineChars="200"/>
        <w:rPr>
          <w:rFonts w:hAnsi="宋体"/>
          <w:sz w:val="24"/>
          <w:szCs w:val="24"/>
          <w:highlight w:val="none"/>
        </w:rPr>
      </w:pPr>
      <w:r>
        <w:rPr>
          <w:rFonts w:hint="eastAsia" w:hAnsi="宋体"/>
          <w:sz w:val="24"/>
          <w:szCs w:val="24"/>
          <w:highlight w:val="none"/>
        </w:rPr>
        <w:t>1.</w:t>
      </w:r>
      <w:r>
        <w:rPr>
          <w:rFonts w:hint="eastAsia" w:hAnsi="宋体"/>
          <w:sz w:val="24"/>
          <w:szCs w:val="24"/>
          <w:highlight w:val="none"/>
          <w:u w:val="single"/>
        </w:rPr>
        <w:t>（标的名称）</w:t>
      </w:r>
      <w:r>
        <w:rPr>
          <w:rFonts w:hint="eastAsia" w:hAnsi="宋体"/>
          <w:sz w:val="24"/>
          <w:szCs w:val="24"/>
          <w:highlight w:val="none"/>
        </w:rPr>
        <w:t>，属于</w:t>
      </w:r>
      <w:r>
        <w:rPr>
          <w:rFonts w:hint="eastAsia" w:hAnsi="宋体"/>
          <w:sz w:val="24"/>
          <w:szCs w:val="24"/>
          <w:highlight w:val="none"/>
          <w:u w:val="single"/>
        </w:rPr>
        <w:t>（采购文件中明确的所属行业）</w:t>
      </w:r>
      <w:r>
        <w:rPr>
          <w:rFonts w:hint="eastAsia" w:hAnsi="宋体"/>
          <w:sz w:val="24"/>
          <w:szCs w:val="24"/>
          <w:highlight w:val="none"/>
        </w:rPr>
        <w:t>行业；制造商为</w:t>
      </w:r>
      <w:r>
        <w:rPr>
          <w:rFonts w:hint="eastAsia" w:hAnsi="宋体"/>
          <w:sz w:val="24"/>
          <w:szCs w:val="24"/>
          <w:highlight w:val="none"/>
          <w:u w:val="single"/>
        </w:rPr>
        <w:t>（企业名称）</w:t>
      </w:r>
      <w:r>
        <w:rPr>
          <w:rFonts w:hint="eastAsia" w:hAnsi="宋体"/>
          <w:sz w:val="24"/>
          <w:szCs w:val="24"/>
          <w:highlight w:val="none"/>
        </w:rPr>
        <w:t>，从业人员</w:t>
      </w:r>
      <w:r>
        <w:rPr>
          <w:rFonts w:hint="eastAsia" w:hAnsi="宋体"/>
          <w:sz w:val="24"/>
          <w:szCs w:val="24"/>
          <w:highlight w:val="none"/>
          <w:u w:val="single"/>
        </w:rPr>
        <w:t xml:space="preserve">    </w:t>
      </w:r>
      <w:r>
        <w:rPr>
          <w:rFonts w:hint="eastAsia" w:hAnsi="宋体"/>
          <w:sz w:val="24"/>
          <w:szCs w:val="24"/>
          <w:highlight w:val="none"/>
        </w:rPr>
        <w:t>人，营业收入为</w:t>
      </w:r>
      <w:r>
        <w:rPr>
          <w:rFonts w:hint="eastAsia" w:hAnsi="宋体"/>
          <w:sz w:val="24"/>
          <w:szCs w:val="24"/>
          <w:highlight w:val="none"/>
          <w:u w:val="single"/>
        </w:rPr>
        <w:t xml:space="preserve">      </w:t>
      </w:r>
      <w:r>
        <w:rPr>
          <w:rFonts w:hint="eastAsia" w:hAnsi="宋体"/>
          <w:sz w:val="24"/>
          <w:szCs w:val="24"/>
          <w:highlight w:val="none"/>
        </w:rPr>
        <w:t>万元，资产总额</w:t>
      </w:r>
      <w:r>
        <w:rPr>
          <w:rFonts w:hint="eastAsia" w:hAnsi="宋体"/>
          <w:sz w:val="24"/>
          <w:szCs w:val="24"/>
          <w:highlight w:val="none"/>
          <w:u w:val="single"/>
        </w:rPr>
        <w:t xml:space="preserve">     </w:t>
      </w:r>
      <w:r>
        <w:rPr>
          <w:rFonts w:hint="eastAsia" w:hAnsi="宋体"/>
          <w:sz w:val="24"/>
          <w:szCs w:val="24"/>
          <w:highlight w:val="none"/>
        </w:rPr>
        <w:t>万元¹，属于</w:t>
      </w:r>
      <w:r>
        <w:rPr>
          <w:rFonts w:hint="eastAsia" w:hAnsi="宋体"/>
          <w:sz w:val="24"/>
          <w:szCs w:val="24"/>
          <w:highlight w:val="none"/>
          <w:u w:val="single"/>
        </w:rPr>
        <w:t>（中型企业、小型企业、微型企业</w:t>
      </w:r>
      <w:r>
        <w:rPr>
          <w:rFonts w:hint="eastAsia" w:hAnsi="宋体"/>
          <w:sz w:val="24"/>
          <w:szCs w:val="24"/>
          <w:highlight w:val="none"/>
        </w:rPr>
        <w:t>）；</w:t>
      </w:r>
    </w:p>
    <w:p>
      <w:pPr>
        <w:spacing w:line="500" w:lineRule="exact"/>
        <w:ind w:firstLine="480" w:firstLineChars="200"/>
        <w:rPr>
          <w:rFonts w:hAnsi="宋体"/>
          <w:sz w:val="24"/>
          <w:szCs w:val="24"/>
          <w:highlight w:val="none"/>
        </w:rPr>
      </w:pPr>
      <w:r>
        <w:rPr>
          <w:rFonts w:hint="eastAsia" w:hAnsi="宋体"/>
          <w:sz w:val="24"/>
          <w:szCs w:val="24"/>
          <w:highlight w:val="none"/>
        </w:rPr>
        <w:t>2.</w:t>
      </w:r>
      <w:r>
        <w:rPr>
          <w:rFonts w:hint="eastAsia" w:hAnsi="宋体"/>
          <w:sz w:val="24"/>
          <w:szCs w:val="24"/>
          <w:highlight w:val="none"/>
          <w:u w:val="single"/>
        </w:rPr>
        <w:t xml:space="preserve"> （标的名称）</w:t>
      </w:r>
      <w:r>
        <w:rPr>
          <w:rFonts w:hint="eastAsia" w:hAnsi="宋体"/>
          <w:sz w:val="24"/>
          <w:szCs w:val="24"/>
          <w:highlight w:val="none"/>
        </w:rPr>
        <w:t>，属于</w:t>
      </w:r>
      <w:r>
        <w:rPr>
          <w:rFonts w:hint="eastAsia" w:hAnsi="宋体"/>
          <w:sz w:val="24"/>
          <w:szCs w:val="24"/>
          <w:highlight w:val="none"/>
          <w:u w:val="single"/>
        </w:rPr>
        <w:t>（采购文件中明确的所属行业）</w:t>
      </w:r>
      <w:r>
        <w:rPr>
          <w:rFonts w:hint="eastAsia" w:hAnsi="宋体"/>
          <w:sz w:val="24"/>
          <w:szCs w:val="24"/>
          <w:highlight w:val="none"/>
        </w:rPr>
        <w:t>行业；制造商为</w:t>
      </w:r>
      <w:r>
        <w:rPr>
          <w:rFonts w:hint="eastAsia" w:hAnsi="宋体"/>
          <w:sz w:val="24"/>
          <w:szCs w:val="24"/>
          <w:highlight w:val="none"/>
          <w:u w:val="single"/>
        </w:rPr>
        <w:t>（企业名称）</w:t>
      </w:r>
      <w:r>
        <w:rPr>
          <w:rFonts w:hint="eastAsia" w:hAnsi="宋体"/>
          <w:sz w:val="24"/>
          <w:szCs w:val="24"/>
          <w:highlight w:val="none"/>
        </w:rPr>
        <w:t>，从业人员</w:t>
      </w:r>
      <w:r>
        <w:rPr>
          <w:rFonts w:hint="eastAsia" w:hAnsi="宋体"/>
          <w:sz w:val="24"/>
          <w:szCs w:val="24"/>
          <w:highlight w:val="none"/>
          <w:u w:val="single"/>
        </w:rPr>
        <w:t xml:space="preserve">    </w:t>
      </w:r>
      <w:r>
        <w:rPr>
          <w:rFonts w:hint="eastAsia" w:hAnsi="宋体"/>
          <w:sz w:val="24"/>
          <w:szCs w:val="24"/>
          <w:highlight w:val="none"/>
        </w:rPr>
        <w:t>人，营业收入为</w:t>
      </w:r>
      <w:r>
        <w:rPr>
          <w:rFonts w:hint="eastAsia" w:hAnsi="宋体"/>
          <w:sz w:val="24"/>
          <w:szCs w:val="24"/>
          <w:highlight w:val="none"/>
          <w:u w:val="single"/>
        </w:rPr>
        <w:t xml:space="preserve">      </w:t>
      </w:r>
      <w:r>
        <w:rPr>
          <w:rFonts w:hint="eastAsia" w:hAnsi="宋体"/>
          <w:sz w:val="24"/>
          <w:szCs w:val="24"/>
          <w:highlight w:val="none"/>
        </w:rPr>
        <w:t>万元，资产总额</w:t>
      </w:r>
      <w:r>
        <w:rPr>
          <w:rFonts w:hint="eastAsia" w:hAnsi="宋体"/>
          <w:sz w:val="24"/>
          <w:szCs w:val="24"/>
          <w:highlight w:val="none"/>
          <w:u w:val="single"/>
        </w:rPr>
        <w:t xml:space="preserve">     </w:t>
      </w:r>
      <w:r>
        <w:rPr>
          <w:rFonts w:hint="eastAsia" w:hAnsi="宋体"/>
          <w:sz w:val="24"/>
          <w:szCs w:val="24"/>
          <w:highlight w:val="none"/>
        </w:rPr>
        <w:t>万元¹，属于</w:t>
      </w:r>
      <w:r>
        <w:rPr>
          <w:rFonts w:hint="eastAsia" w:hAnsi="宋体"/>
          <w:sz w:val="24"/>
          <w:szCs w:val="24"/>
          <w:highlight w:val="none"/>
          <w:u w:val="single"/>
        </w:rPr>
        <w:t>（中型企业、小型企业、微型企业</w:t>
      </w:r>
      <w:r>
        <w:rPr>
          <w:rFonts w:hint="eastAsia" w:hAnsi="宋体"/>
          <w:sz w:val="24"/>
          <w:szCs w:val="24"/>
          <w:highlight w:val="none"/>
        </w:rPr>
        <w:t>）；</w:t>
      </w:r>
    </w:p>
    <w:p>
      <w:pPr>
        <w:spacing w:line="500" w:lineRule="exact"/>
        <w:ind w:firstLine="480" w:firstLineChars="200"/>
        <w:rPr>
          <w:rFonts w:hAnsi="宋体"/>
          <w:sz w:val="24"/>
          <w:szCs w:val="24"/>
          <w:highlight w:val="none"/>
        </w:rPr>
      </w:pPr>
      <w:r>
        <w:rPr>
          <w:rFonts w:hint="eastAsia" w:hAnsi="宋体"/>
          <w:sz w:val="24"/>
          <w:szCs w:val="24"/>
          <w:highlight w:val="none"/>
        </w:rPr>
        <w:t>……</w:t>
      </w:r>
    </w:p>
    <w:p>
      <w:pPr>
        <w:spacing w:line="500" w:lineRule="exact"/>
        <w:ind w:firstLine="480" w:firstLineChars="200"/>
        <w:rPr>
          <w:rFonts w:hAnsi="宋体"/>
          <w:sz w:val="24"/>
          <w:szCs w:val="24"/>
          <w:highlight w:val="none"/>
        </w:rPr>
      </w:pPr>
      <w:r>
        <w:rPr>
          <w:rFonts w:hint="eastAsia" w:hAnsi="宋体"/>
          <w:sz w:val="24"/>
          <w:szCs w:val="24"/>
          <w:highlight w:val="none"/>
        </w:rPr>
        <w:t>以上企业，不属于大企业的分支机构，不存在控股股东为大企业的情形，也不存在与大企业的负责人为同一人的情形。</w:t>
      </w:r>
    </w:p>
    <w:p>
      <w:pPr>
        <w:spacing w:line="500" w:lineRule="exact"/>
        <w:ind w:firstLine="480" w:firstLineChars="200"/>
        <w:rPr>
          <w:rFonts w:hAnsi="宋体"/>
          <w:sz w:val="24"/>
          <w:szCs w:val="24"/>
          <w:highlight w:val="none"/>
        </w:rPr>
      </w:pPr>
      <w:r>
        <w:rPr>
          <w:rFonts w:hint="eastAsia" w:hAnsi="宋体"/>
          <w:sz w:val="24"/>
          <w:szCs w:val="24"/>
          <w:highlight w:val="none"/>
        </w:rPr>
        <w:t>本公司对上述声明的真实性负责。如有虚假，将依法承担相应责任。</w:t>
      </w:r>
    </w:p>
    <w:p>
      <w:pPr>
        <w:spacing w:line="500" w:lineRule="exact"/>
        <w:rPr>
          <w:rFonts w:hAnsi="宋体"/>
          <w:sz w:val="24"/>
          <w:szCs w:val="24"/>
          <w:highlight w:val="none"/>
        </w:rPr>
      </w:pPr>
    </w:p>
    <w:p>
      <w:pPr>
        <w:spacing w:line="500" w:lineRule="exact"/>
        <w:rPr>
          <w:rFonts w:hAnsi="宋体"/>
          <w:sz w:val="24"/>
          <w:szCs w:val="24"/>
          <w:highlight w:val="none"/>
        </w:rPr>
      </w:pPr>
    </w:p>
    <w:p>
      <w:pPr>
        <w:spacing w:line="500" w:lineRule="exact"/>
        <w:rPr>
          <w:rFonts w:hAnsi="宋体"/>
          <w:sz w:val="24"/>
          <w:szCs w:val="24"/>
          <w:highlight w:val="none"/>
        </w:rPr>
      </w:pPr>
      <w:r>
        <w:rPr>
          <w:rFonts w:hint="eastAsia" w:hAnsi="宋体"/>
          <w:sz w:val="24"/>
          <w:szCs w:val="24"/>
          <w:highlight w:val="none"/>
        </w:rPr>
        <w:t>企业名称（盖章）：</w:t>
      </w:r>
    </w:p>
    <w:p>
      <w:pPr>
        <w:spacing w:line="500" w:lineRule="exact"/>
        <w:rPr>
          <w:rFonts w:hAnsi="宋体"/>
          <w:sz w:val="24"/>
          <w:szCs w:val="24"/>
          <w:highlight w:val="none"/>
        </w:rPr>
      </w:pPr>
      <w:r>
        <w:rPr>
          <w:rFonts w:hint="eastAsia" w:hAnsi="宋体"/>
          <w:sz w:val="24"/>
          <w:szCs w:val="24"/>
          <w:highlight w:val="none"/>
        </w:rPr>
        <w:t>日期：</w:t>
      </w:r>
    </w:p>
    <w:p>
      <w:pPr>
        <w:spacing w:line="500" w:lineRule="exact"/>
        <w:rPr>
          <w:rFonts w:hAnsi="宋体"/>
          <w:sz w:val="24"/>
          <w:szCs w:val="24"/>
          <w:highlight w:val="none"/>
        </w:rPr>
      </w:pPr>
    </w:p>
    <w:p>
      <w:pPr>
        <w:spacing w:line="500" w:lineRule="exact"/>
        <w:rPr>
          <w:rFonts w:hAnsi="宋体"/>
          <w:sz w:val="24"/>
          <w:szCs w:val="24"/>
          <w:highlight w:val="none"/>
        </w:rPr>
      </w:pPr>
    </w:p>
    <w:p>
      <w:pPr>
        <w:spacing w:line="500" w:lineRule="exact"/>
        <w:rPr>
          <w:rFonts w:hAnsi="宋体"/>
          <w:sz w:val="24"/>
          <w:szCs w:val="24"/>
          <w:highlight w:val="none"/>
        </w:rPr>
      </w:pPr>
    </w:p>
    <w:p>
      <w:pPr>
        <w:spacing w:line="500" w:lineRule="exact"/>
        <w:rPr>
          <w:rFonts w:hAnsi="宋体"/>
          <w:sz w:val="24"/>
          <w:szCs w:val="24"/>
          <w:highlight w:val="none"/>
        </w:rPr>
      </w:pPr>
      <w:r>
        <w:rPr>
          <w:rFonts w:hint="eastAsia" w:hAnsi="宋体"/>
          <w:sz w:val="24"/>
          <w:szCs w:val="24"/>
          <w:highlight w:val="none"/>
        </w:rPr>
        <w:t>¹从业人员、营业收入、资产总额填报上一年度数据，无上一年度数据的新成立企业可不填报。</w:t>
      </w:r>
    </w:p>
    <w:p>
      <w:pPr>
        <w:spacing w:line="520" w:lineRule="exact"/>
        <w:jc w:val="left"/>
        <w:rPr>
          <w:b/>
          <w:bCs/>
          <w:highlight w:val="none"/>
        </w:rPr>
      </w:pPr>
    </w:p>
    <w:p>
      <w:pPr>
        <w:pStyle w:val="2"/>
        <w:rPr>
          <w:highlight w:val="none"/>
        </w:rPr>
      </w:pPr>
    </w:p>
    <w:p>
      <w:pPr>
        <w:pStyle w:val="2"/>
        <w:rPr>
          <w:highlight w:val="none"/>
        </w:rPr>
      </w:pPr>
    </w:p>
    <w:p>
      <w:pPr>
        <w:pStyle w:val="4"/>
        <w:jc w:val="center"/>
        <w:rPr>
          <w:highlight w:val="none"/>
        </w:rPr>
      </w:pPr>
      <w:r>
        <w:rPr>
          <w:rFonts w:hint="eastAsia"/>
          <w:highlight w:val="none"/>
        </w:rPr>
        <w:t>十二、监狱企业证明材料</w:t>
      </w:r>
    </w:p>
    <w:p>
      <w:pPr>
        <w:spacing w:line="240" w:lineRule="exact"/>
        <w:ind w:left="1560"/>
        <w:rPr>
          <w:highlight w:val="none"/>
        </w:rPr>
      </w:pPr>
    </w:p>
    <w:p>
      <w:pPr>
        <w:spacing w:line="240" w:lineRule="exact"/>
        <w:ind w:left="1560"/>
        <w:rPr>
          <w:highlight w:val="none"/>
        </w:rPr>
      </w:pPr>
    </w:p>
    <w:p>
      <w:pPr>
        <w:spacing w:line="240" w:lineRule="exact"/>
        <w:ind w:left="1560"/>
        <w:rPr>
          <w:highlight w:val="none"/>
        </w:rPr>
      </w:pPr>
    </w:p>
    <w:p>
      <w:pPr>
        <w:spacing w:line="240" w:lineRule="exact"/>
        <w:ind w:left="1560"/>
        <w:rPr>
          <w:highlight w:val="none"/>
        </w:rPr>
      </w:pPr>
    </w:p>
    <w:p>
      <w:pPr>
        <w:spacing w:line="240" w:lineRule="exact"/>
        <w:ind w:left="1560"/>
        <w:rPr>
          <w:highlight w:val="none"/>
        </w:rPr>
      </w:pPr>
    </w:p>
    <w:p>
      <w:pPr>
        <w:spacing w:line="240" w:lineRule="exact"/>
        <w:ind w:left="1560"/>
        <w:rPr>
          <w:highlight w:val="none"/>
        </w:rPr>
      </w:pPr>
    </w:p>
    <w:p>
      <w:pPr>
        <w:spacing w:line="240" w:lineRule="exact"/>
        <w:ind w:left="1560"/>
        <w:rPr>
          <w:highlight w:val="none"/>
        </w:rPr>
      </w:pPr>
    </w:p>
    <w:p>
      <w:pPr>
        <w:pStyle w:val="2"/>
        <w:spacing w:line="500" w:lineRule="exact"/>
        <w:rPr>
          <w:sz w:val="24"/>
          <w:szCs w:val="24"/>
          <w:highlight w:val="none"/>
        </w:rPr>
      </w:pPr>
    </w:p>
    <w:p>
      <w:pPr>
        <w:spacing w:line="360" w:lineRule="auto"/>
        <w:rPr>
          <w:rFonts w:hAnsi="宋体"/>
          <w:sz w:val="21"/>
          <w:szCs w:val="21"/>
          <w:highlight w:val="none"/>
        </w:rPr>
      </w:pPr>
      <w:r>
        <w:rPr>
          <w:rFonts w:hint="eastAsia" w:hAnsi="宋体"/>
          <w:b/>
          <w:bCs/>
          <w:sz w:val="24"/>
          <w:szCs w:val="24"/>
          <w:highlight w:val="none"/>
        </w:rPr>
        <w:t>注：1、</w:t>
      </w:r>
      <w:r>
        <w:rPr>
          <w:rFonts w:hAnsi="宋体"/>
          <w:b/>
          <w:bCs/>
          <w:sz w:val="24"/>
          <w:szCs w:val="24"/>
          <w:highlight w:val="none"/>
        </w:rPr>
        <w:t>在政府采购活动中，监狱企业视同小型、微型企业，享受预留份额、评审中价格扣除等政府采购促进中小企业发展的政府采购政策</w:t>
      </w:r>
      <w:r>
        <w:rPr>
          <w:rFonts w:hint="eastAsia" w:hAnsi="宋体"/>
          <w:b/>
          <w:bCs/>
          <w:sz w:val="24"/>
          <w:szCs w:val="24"/>
          <w:highlight w:val="none"/>
        </w:rPr>
        <w:t>。（</w:t>
      </w:r>
      <w:r>
        <w:rPr>
          <w:rFonts w:hAnsi="宋体"/>
          <w:b/>
          <w:bCs/>
          <w:sz w:val="24"/>
          <w:szCs w:val="24"/>
          <w:highlight w:val="none"/>
        </w:rPr>
        <w:t>监狱企业参加政府采购活动时，</w:t>
      </w:r>
      <w:r>
        <w:rPr>
          <w:rFonts w:hint="eastAsia" w:hAnsi="宋体"/>
          <w:b/>
          <w:bCs/>
          <w:sz w:val="24"/>
          <w:szCs w:val="24"/>
          <w:highlight w:val="none"/>
        </w:rPr>
        <w:t>还</w:t>
      </w:r>
      <w:r>
        <w:rPr>
          <w:rFonts w:hAnsi="宋体"/>
          <w:b/>
          <w:bCs/>
          <w:sz w:val="24"/>
          <w:szCs w:val="24"/>
          <w:highlight w:val="none"/>
        </w:rPr>
        <w:t>应当提供由省级以上监狱管理局、戒毒管理局(含新疆生产建设兵团</w:t>
      </w:r>
      <w:r>
        <w:rPr>
          <w:b/>
          <w:bCs/>
          <w:sz w:val="24"/>
          <w:szCs w:val="24"/>
          <w:highlight w:val="none"/>
        </w:rPr>
        <w:t>)</w:t>
      </w:r>
      <w:r>
        <w:rPr>
          <w:rFonts w:hAnsi="宋体"/>
          <w:b/>
          <w:bCs/>
          <w:sz w:val="24"/>
          <w:szCs w:val="24"/>
          <w:highlight w:val="none"/>
        </w:rPr>
        <w:t>出具的属于监狱企业的证明文件。</w:t>
      </w:r>
      <w:r>
        <w:rPr>
          <w:rFonts w:hint="eastAsia" w:hAnsi="宋体"/>
          <w:b/>
          <w:bCs/>
          <w:sz w:val="24"/>
          <w:szCs w:val="24"/>
          <w:highlight w:val="none"/>
        </w:rPr>
        <w:t>）</w:t>
      </w:r>
    </w:p>
    <w:p>
      <w:pPr>
        <w:numPr>
          <w:ilvl w:val="0"/>
          <w:numId w:val="3"/>
        </w:numPr>
        <w:spacing w:line="520" w:lineRule="exact"/>
        <w:jc w:val="left"/>
        <w:rPr>
          <w:rFonts w:hAnsi="宋体"/>
          <w:b/>
          <w:bCs/>
          <w:sz w:val="24"/>
          <w:szCs w:val="22"/>
          <w:highlight w:val="none"/>
        </w:rPr>
      </w:pPr>
      <w:r>
        <w:rPr>
          <w:rFonts w:hint="eastAsia" w:hAnsi="宋体"/>
          <w:b/>
          <w:bCs/>
          <w:sz w:val="24"/>
          <w:highlight w:val="none"/>
        </w:rPr>
        <w:t>如未提供</w:t>
      </w:r>
      <w:r>
        <w:rPr>
          <w:rFonts w:hint="eastAsia" w:hAnsi="宋体"/>
          <w:b/>
          <w:bCs/>
          <w:sz w:val="24"/>
          <w:szCs w:val="22"/>
          <w:highlight w:val="none"/>
        </w:rPr>
        <w:t>监狱企业证明材料，</w:t>
      </w:r>
      <w:r>
        <w:rPr>
          <w:rFonts w:hint="eastAsia" w:hAnsi="宋体"/>
          <w:b/>
          <w:bCs/>
          <w:sz w:val="24"/>
          <w:highlight w:val="none"/>
        </w:rPr>
        <w:t>则其投标产品中的监狱企业生产的产品不能享受招标文件规定的价格扣除，但</w:t>
      </w:r>
      <w:r>
        <w:rPr>
          <w:rFonts w:hint="eastAsia" w:hAnsi="宋体"/>
          <w:b/>
          <w:bCs/>
          <w:sz w:val="24"/>
          <w:szCs w:val="22"/>
          <w:highlight w:val="none"/>
        </w:rPr>
        <w:t>不影响投标人投标文件的有效性。</w:t>
      </w:r>
    </w:p>
    <w:p>
      <w:pPr>
        <w:spacing w:line="520" w:lineRule="exact"/>
        <w:ind w:firstLine="683" w:firstLineChars="200"/>
        <w:jc w:val="left"/>
        <w:rPr>
          <w:b/>
          <w:bCs/>
          <w:highlight w:val="none"/>
        </w:rPr>
      </w:pPr>
    </w:p>
    <w:p>
      <w:pPr>
        <w:rPr>
          <w:highlight w:val="none"/>
        </w:rPr>
      </w:pPr>
      <w:r>
        <w:rPr>
          <w:rFonts w:hint="eastAsia"/>
          <w:highlight w:val="none"/>
        </w:rPr>
        <w:br w:type="page"/>
      </w:r>
    </w:p>
    <w:p>
      <w:pPr>
        <w:widowControl/>
        <w:spacing w:line="500" w:lineRule="exact"/>
        <w:jc w:val="center"/>
        <w:outlineLvl w:val="1"/>
        <w:rPr>
          <w:rFonts w:ascii="黑体" w:eastAsia="黑体"/>
          <w:b/>
          <w:sz w:val="32"/>
          <w:szCs w:val="32"/>
          <w:highlight w:val="none"/>
        </w:rPr>
      </w:pPr>
      <w:r>
        <w:rPr>
          <w:rFonts w:hint="eastAsia" w:ascii="黑体" w:eastAsia="黑体"/>
          <w:b/>
          <w:sz w:val="32"/>
          <w:szCs w:val="32"/>
          <w:highlight w:val="none"/>
        </w:rPr>
        <w:t>十三、残疾人福利性单位声明函</w:t>
      </w:r>
    </w:p>
    <w:p>
      <w:pPr>
        <w:pStyle w:val="2"/>
        <w:rPr>
          <w:highlight w:val="none"/>
        </w:rPr>
      </w:pPr>
    </w:p>
    <w:p>
      <w:pPr>
        <w:pStyle w:val="2"/>
        <w:spacing w:line="500" w:lineRule="exact"/>
        <w:ind w:firstLine="480" w:firstLineChars="200"/>
        <w:rPr>
          <w:sz w:val="24"/>
          <w:szCs w:val="24"/>
          <w:highlight w:val="none"/>
        </w:rPr>
      </w:pPr>
      <w:r>
        <w:rPr>
          <w:rFonts w:hint="eastAsia"/>
          <w:sz w:val="24"/>
          <w:szCs w:val="24"/>
          <w:highlight w:val="none"/>
        </w:rPr>
        <w:t>本单位郑重声明，根据《财政部 民政部 中国残疾人联合会关于促进残疾人就业政府采购政策的通知》（财库〔2017〕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pStyle w:val="2"/>
        <w:spacing w:line="500" w:lineRule="exact"/>
        <w:rPr>
          <w:highlight w:val="none"/>
        </w:rPr>
      </w:pPr>
      <w:r>
        <w:rPr>
          <w:rFonts w:hint="eastAsia"/>
          <w:sz w:val="24"/>
          <w:szCs w:val="24"/>
          <w:highlight w:val="none"/>
        </w:rPr>
        <w:t>本单位对上述声明的真实性负责。如有虚假，将依法承担相应责任。</w:t>
      </w:r>
    </w:p>
    <w:p>
      <w:pPr>
        <w:pStyle w:val="2"/>
        <w:rPr>
          <w:highlight w:val="none"/>
        </w:rPr>
      </w:pPr>
    </w:p>
    <w:p>
      <w:pPr>
        <w:pStyle w:val="2"/>
        <w:rPr>
          <w:highlight w:val="none"/>
        </w:rPr>
      </w:pPr>
    </w:p>
    <w:p>
      <w:pPr>
        <w:pStyle w:val="2"/>
        <w:spacing w:line="500" w:lineRule="exact"/>
        <w:rPr>
          <w:sz w:val="24"/>
          <w:szCs w:val="24"/>
          <w:highlight w:val="none"/>
        </w:rPr>
      </w:pPr>
      <w:r>
        <w:rPr>
          <w:rFonts w:hint="eastAsia"/>
          <w:sz w:val="24"/>
          <w:szCs w:val="24"/>
          <w:highlight w:val="none"/>
        </w:rPr>
        <w:t>单位名称（盖章）：</w:t>
      </w:r>
    </w:p>
    <w:p>
      <w:pPr>
        <w:pStyle w:val="2"/>
        <w:spacing w:line="500" w:lineRule="exact"/>
        <w:rPr>
          <w:sz w:val="24"/>
          <w:szCs w:val="24"/>
          <w:highlight w:val="none"/>
        </w:rPr>
      </w:pPr>
      <w:r>
        <w:rPr>
          <w:rFonts w:hint="eastAsia"/>
          <w:sz w:val="24"/>
          <w:szCs w:val="24"/>
          <w:highlight w:val="none"/>
        </w:rPr>
        <w:t>日  期：</w:t>
      </w:r>
    </w:p>
    <w:p>
      <w:pPr>
        <w:pStyle w:val="2"/>
        <w:rPr>
          <w:highlight w:val="none"/>
        </w:rPr>
      </w:pPr>
    </w:p>
    <w:p>
      <w:pPr>
        <w:pStyle w:val="2"/>
        <w:rPr>
          <w:highlight w:val="none"/>
        </w:rPr>
      </w:pPr>
    </w:p>
    <w:p>
      <w:pPr>
        <w:pStyle w:val="2"/>
        <w:rPr>
          <w:highlight w:val="none"/>
        </w:rPr>
      </w:pPr>
    </w:p>
    <w:p>
      <w:pPr>
        <w:pStyle w:val="2"/>
        <w:rPr>
          <w:highlight w:val="none"/>
        </w:rPr>
      </w:pPr>
    </w:p>
    <w:p>
      <w:pPr>
        <w:pStyle w:val="2"/>
        <w:spacing w:line="500" w:lineRule="exact"/>
        <w:rPr>
          <w:sz w:val="24"/>
          <w:szCs w:val="24"/>
          <w:highlight w:val="none"/>
        </w:rPr>
      </w:pPr>
      <w:r>
        <w:rPr>
          <w:rFonts w:hint="eastAsia"/>
          <w:sz w:val="24"/>
          <w:szCs w:val="24"/>
          <w:highlight w:val="none"/>
        </w:rPr>
        <w:t>说明：</w:t>
      </w:r>
    </w:p>
    <w:p>
      <w:pPr>
        <w:pStyle w:val="2"/>
        <w:spacing w:line="500" w:lineRule="exact"/>
        <w:rPr>
          <w:sz w:val="24"/>
          <w:szCs w:val="24"/>
          <w:highlight w:val="none"/>
        </w:rPr>
      </w:pPr>
      <w:r>
        <w:rPr>
          <w:rFonts w:hint="eastAsia"/>
          <w:sz w:val="24"/>
          <w:szCs w:val="24"/>
          <w:highlight w:val="none"/>
        </w:rPr>
        <w:t>1.如未提供残疾人福利性单位声明函，则不能享受招标文件规定的价格扣除，但不</w:t>
      </w:r>
    </w:p>
    <w:p>
      <w:pPr>
        <w:pStyle w:val="2"/>
        <w:spacing w:line="500" w:lineRule="exact"/>
        <w:rPr>
          <w:sz w:val="24"/>
          <w:szCs w:val="24"/>
          <w:highlight w:val="none"/>
        </w:rPr>
      </w:pPr>
      <w:r>
        <w:rPr>
          <w:rFonts w:hint="eastAsia"/>
          <w:sz w:val="24"/>
          <w:szCs w:val="24"/>
          <w:highlight w:val="none"/>
        </w:rPr>
        <w:t>影响投标人投标文件的有效性。</w:t>
      </w:r>
    </w:p>
    <w:p>
      <w:pPr>
        <w:pStyle w:val="2"/>
        <w:spacing w:line="500" w:lineRule="exact"/>
        <w:rPr>
          <w:sz w:val="24"/>
          <w:szCs w:val="24"/>
          <w:highlight w:val="none"/>
        </w:rPr>
      </w:pPr>
      <w:r>
        <w:rPr>
          <w:rFonts w:hint="eastAsia"/>
          <w:sz w:val="24"/>
          <w:szCs w:val="24"/>
          <w:highlight w:val="none"/>
        </w:rPr>
        <w:t>2.投标人参加政府采购活动时，提供虚假残疾人福利性单位声明函的，以提供虚假</w:t>
      </w:r>
    </w:p>
    <w:p>
      <w:pPr>
        <w:pStyle w:val="2"/>
        <w:spacing w:line="500" w:lineRule="exact"/>
        <w:rPr>
          <w:sz w:val="24"/>
          <w:szCs w:val="24"/>
          <w:highlight w:val="none"/>
        </w:rPr>
      </w:pPr>
      <w:r>
        <w:rPr>
          <w:rFonts w:hint="eastAsia"/>
          <w:sz w:val="24"/>
          <w:szCs w:val="24"/>
          <w:highlight w:val="none"/>
        </w:rPr>
        <w:t>材料谋取中标处理。</w:t>
      </w:r>
    </w:p>
    <w:p>
      <w:pPr>
        <w:pStyle w:val="2"/>
        <w:rPr>
          <w:highlight w:val="none"/>
        </w:rPr>
      </w:pPr>
      <w:r>
        <w:rPr>
          <w:rFonts w:hint="eastAsia"/>
          <w:highlight w:val="none"/>
        </w:rPr>
        <w:br w:type="page"/>
      </w:r>
    </w:p>
    <w:p>
      <w:pPr>
        <w:pStyle w:val="3"/>
        <w:numPr>
          <w:ilvl w:val="0"/>
          <w:numId w:val="4"/>
        </w:numPr>
        <w:spacing w:before="0" w:after="0" w:line="500" w:lineRule="exact"/>
        <w:rPr>
          <w:rFonts w:hAnsi="Arial"/>
          <w:sz w:val="36"/>
          <w:szCs w:val="36"/>
          <w:highlight w:val="none"/>
        </w:rPr>
      </w:pPr>
      <w:bookmarkStart w:id="133" w:name="_Toc69980130"/>
      <w:r>
        <w:rPr>
          <w:rFonts w:hint="eastAsia"/>
          <w:sz w:val="36"/>
          <w:szCs w:val="36"/>
          <w:highlight w:val="none"/>
        </w:rPr>
        <w:t>投标人和投标产品的资格、资质性</w:t>
      </w:r>
      <w:r>
        <w:rPr>
          <w:rFonts w:hint="eastAsia" w:hAnsi="Arial"/>
          <w:sz w:val="36"/>
          <w:szCs w:val="36"/>
          <w:highlight w:val="none"/>
        </w:rPr>
        <w:t>及其他类似效力要求</w:t>
      </w:r>
      <w:bookmarkEnd w:id="133"/>
    </w:p>
    <w:p>
      <w:pPr>
        <w:spacing w:line="400" w:lineRule="exact"/>
        <w:rPr>
          <w:b/>
          <w:bCs/>
          <w:sz w:val="24"/>
          <w:szCs w:val="24"/>
          <w:highlight w:val="none"/>
        </w:rPr>
      </w:pPr>
      <w:r>
        <w:rPr>
          <w:rFonts w:hint="eastAsia"/>
          <w:b/>
          <w:bCs/>
          <w:sz w:val="24"/>
          <w:szCs w:val="24"/>
          <w:highlight w:val="none"/>
        </w:rPr>
        <w:t>一、投标人资格、资质性及其他类似效力要求</w:t>
      </w:r>
    </w:p>
    <w:p>
      <w:pPr>
        <w:pStyle w:val="37"/>
        <w:spacing w:line="400" w:lineRule="exact"/>
        <w:ind w:firstLine="0" w:firstLineChars="0"/>
        <w:rPr>
          <w:sz w:val="24"/>
          <w:highlight w:val="none"/>
        </w:rPr>
      </w:pPr>
      <w:r>
        <w:rPr>
          <w:sz w:val="24"/>
          <w:highlight w:val="none"/>
        </w:rPr>
        <w:t>（一）</w:t>
      </w:r>
      <w:r>
        <w:rPr>
          <w:rFonts w:hint="eastAsia"/>
          <w:sz w:val="24"/>
          <w:highlight w:val="none"/>
        </w:rPr>
        <w:t>资格要求：</w:t>
      </w:r>
    </w:p>
    <w:p>
      <w:pPr>
        <w:pStyle w:val="37"/>
        <w:spacing w:line="400" w:lineRule="exact"/>
        <w:ind w:firstLine="0" w:firstLineChars="0"/>
        <w:rPr>
          <w:sz w:val="24"/>
          <w:highlight w:val="none"/>
        </w:rPr>
      </w:pPr>
      <w:r>
        <w:rPr>
          <w:rFonts w:hint="eastAsia"/>
          <w:sz w:val="24"/>
          <w:highlight w:val="none"/>
        </w:rPr>
        <w:t>1、具有独立承担民事责任的能力</w:t>
      </w:r>
      <w:r>
        <w:rPr>
          <w:sz w:val="24"/>
          <w:highlight w:val="none"/>
        </w:rPr>
        <w:t>；</w:t>
      </w:r>
    </w:p>
    <w:p>
      <w:pPr>
        <w:tabs>
          <w:tab w:val="left" w:pos="7665"/>
        </w:tabs>
        <w:spacing w:line="400" w:lineRule="exact"/>
        <w:rPr>
          <w:sz w:val="24"/>
          <w:highlight w:val="none"/>
        </w:rPr>
      </w:pPr>
      <w:r>
        <w:rPr>
          <w:rFonts w:hint="eastAsia"/>
          <w:sz w:val="24"/>
          <w:highlight w:val="none"/>
        </w:rPr>
        <w:t>2、具有良好的商业信誉和健全的财务会计制度；</w:t>
      </w:r>
    </w:p>
    <w:p>
      <w:pPr>
        <w:tabs>
          <w:tab w:val="left" w:pos="7665"/>
        </w:tabs>
        <w:spacing w:line="400" w:lineRule="exact"/>
        <w:rPr>
          <w:sz w:val="24"/>
          <w:highlight w:val="none"/>
        </w:rPr>
      </w:pPr>
      <w:r>
        <w:rPr>
          <w:rFonts w:hint="eastAsia"/>
          <w:sz w:val="24"/>
          <w:highlight w:val="none"/>
        </w:rPr>
        <w:t>3、具有履行合同所必需的设备和专业技术能力；</w:t>
      </w:r>
    </w:p>
    <w:p>
      <w:pPr>
        <w:tabs>
          <w:tab w:val="left" w:pos="7665"/>
        </w:tabs>
        <w:spacing w:line="400" w:lineRule="exact"/>
        <w:rPr>
          <w:sz w:val="24"/>
          <w:highlight w:val="none"/>
        </w:rPr>
      </w:pPr>
      <w:r>
        <w:rPr>
          <w:rFonts w:hint="eastAsia"/>
          <w:sz w:val="24"/>
          <w:highlight w:val="none"/>
        </w:rPr>
        <w:t>4、有依法缴纳税收和社会保障资金的良好记录；</w:t>
      </w:r>
    </w:p>
    <w:p>
      <w:pPr>
        <w:tabs>
          <w:tab w:val="left" w:pos="7665"/>
        </w:tabs>
        <w:spacing w:line="400" w:lineRule="exact"/>
        <w:rPr>
          <w:sz w:val="24"/>
          <w:highlight w:val="none"/>
        </w:rPr>
      </w:pPr>
      <w:r>
        <w:rPr>
          <w:rFonts w:hint="eastAsia"/>
          <w:sz w:val="24"/>
          <w:highlight w:val="none"/>
        </w:rPr>
        <w:t>5、参加政府采购活动前三年内在经营活动中没有重大违法记录。</w:t>
      </w:r>
    </w:p>
    <w:p>
      <w:pPr>
        <w:pStyle w:val="2"/>
        <w:spacing w:line="400" w:lineRule="exact"/>
        <w:rPr>
          <w:highlight w:val="none"/>
        </w:rPr>
      </w:pPr>
      <w:r>
        <w:rPr>
          <w:rFonts w:hint="eastAsia"/>
          <w:sz w:val="24"/>
          <w:highlight w:val="none"/>
        </w:rPr>
        <w:t>6、法律、行政法规规定的其他条件</w:t>
      </w:r>
      <w:r>
        <w:rPr>
          <w:sz w:val="24"/>
          <w:highlight w:val="none"/>
        </w:rPr>
        <w:t>：</w:t>
      </w:r>
    </w:p>
    <w:p>
      <w:pPr>
        <w:autoSpaceDE w:val="0"/>
        <w:spacing w:line="400" w:lineRule="exact"/>
        <w:rPr>
          <w:sz w:val="24"/>
          <w:highlight w:val="none"/>
        </w:rPr>
      </w:pPr>
      <w:r>
        <w:rPr>
          <w:rFonts w:hint="eastAsia"/>
          <w:sz w:val="24"/>
          <w:highlight w:val="none"/>
        </w:rPr>
        <w:t>7、参加本次招标采购活动，不存在与单位负责人为同一人或者存在直接控股、管理关系的其他投标人参与同一合同项下的政府采购活动的行为。</w:t>
      </w:r>
    </w:p>
    <w:p>
      <w:pPr>
        <w:widowControl/>
        <w:autoSpaceDE w:val="0"/>
        <w:spacing w:line="400" w:lineRule="exact"/>
        <w:jc w:val="left"/>
        <w:rPr>
          <w:sz w:val="24"/>
          <w:highlight w:val="none"/>
        </w:rPr>
      </w:pPr>
      <w:r>
        <w:rPr>
          <w:rFonts w:hint="eastAsia"/>
          <w:sz w:val="24"/>
          <w:highlight w:val="none"/>
        </w:rPr>
        <w:t>8、投标人未对本次采购项目提供过整体设计、规范编制或者项目管理、监理、检测等服务。</w:t>
      </w:r>
    </w:p>
    <w:p>
      <w:pPr>
        <w:pStyle w:val="2"/>
        <w:spacing w:line="400" w:lineRule="exact"/>
        <w:rPr>
          <w:sz w:val="24"/>
          <w:highlight w:val="none"/>
        </w:rPr>
      </w:pPr>
      <w:r>
        <w:rPr>
          <w:rFonts w:hint="eastAsia"/>
          <w:sz w:val="24"/>
          <w:highlight w:val="none"/>
        </w:rPr>
        <w:t>9、投标人未被列入失信被执行人、重大税收违法案件当事人名单、政府采购严重违法失信行为记录名单。</w:t>
      </w:r>
    </w:p>
    <w:p>
      <w:pPr>
        <w:autoSpaceDE w:val="0"/>
        <w:spacing w:line="500" w:lineRule="exact"/>
        <w:rPr>
          <w:sz w:val="24"/>
          <w:highlight w:val="none"/>
        </w:rPr>
      </w:pPr>
      <w:r>
        <w:rPr>
          <w:rFonts w:hint="eastAsia"/>
          <w:sz w:val="24"/>
          <w:highlight w:val="none"/>
        </w:rPr>
        <w:t>10、投标人单位及其现任法定代表人、主要负责人不得具有行贿犯罪记录。</w:t>
      </w:r>
    </w:p>
    <w:p>
      <w:pPr>
        <w:autoSpaceDE w:val="0"/>
        <w:spacing w:line="500" w:lineRule="exact"/>
        <w:rPr>
          <w:sz w:val="24"/>
          <w:highlight w:val="none"/>
        </w:rPr>
      </w:pPr>
      <w:r>
        <w:rPr>
          <w:rFonts w:hint="eastAsia"/>
          <w:sz w:val="24"/>
          <w:highlight w:val="none"/>
        </w:rPr>
        <w:t>11、</w:t>
      </w:r>
      <w:r>
        <w:rPr>
          <w:rFonts w:hint="eastAsia" w:hAnsi="宋体" w:cs="宋体"/>
          <w:sz w:val="24"/>
          <w:szCs w:val="22"/>
          <w:highlight w:val="none"/>
        </w:rPr>
        <w:t>落实政府采购政策需满足的资格要求：本项目专门面向中小企业采购(监狱企业、残疾人福利性单位均视同小微企业)，非中小企业参与的将视为无效响应。</w:t>
      </w:r>
    </w:p>
    <w:p>
      <w:pPr>
        <w:pStyle w:val="2"/>
        <w:numPr>
          <w:ilvl w:val="0"/>
          <w:numId w:val="5"/>
        </w:numPr>
        <w:spacing w:line="400" w:lineRule="exact"/>
        <w:rPr>
          <w:sz w:val="24"/>
          <w:highlight w:val="none"/>
        </w:rPr>
      </w:pPr>
      <w:r>
        <w:rPr>
          <w:rFonts w:hint="eastAsia"/>
          <w:sz w:val="24"/>
          <w:highlight w:val="none"/>
        </w:rPr>
        <w:t>资质性要求：无</w:t>
      </w:r>
    </w:p>
    <w:p>
      <w:pPr>
        <w:pStyle w:val="2"/>
        <w:numPr>
          <w:ilvl w:val="0"/>
          <w:numId w:val="5"/>
        </w:numPr>
        <w:spacing w:line="400" w:lineRule="exact"/>
        <w:rPr>
          <w:sz w:val="24"/>
          <w:highlight w:val="none"/>
        </w:rPr>
      </w:pPr>
      <w:r>
        <w:rPr>
          <w:rFonts w:hint="eastAsia"/>
          <w:sz w:val="24"/>
          <w:highlight w:val="none"/>
        </w:rPr>
        <w:t>其他类似效力要求：</w:t>
      </w:r>
    </w:p>
    <w:p>
      <w:pPr>
        <w:pStyle w:val="2"/>
        <w:numPr>
          <w:ilvl w:val="0"/>
          <w:numId w:val="6"/>
        </w:numPr>
        <w:spacing w:line="400" w:lineRule="exact"/>
        <w:rPr>
          <w:sz w:val="24"/>
          <w:highlight w:val="none"/>
        </w:rPr>
      </w:pPr>
      <w:r>
        <w:rPr>
          <w:rFonts w:hint="eastAsia"/>
          <w:sz w:val="24"/>
          <w:highlight w:val="none"/>
        </w:rPr>
        <w:t>授权参加本次投标活动的投标人代表证明材料。</w:t>
      </w:r>
    </w:p>
    <w:p>
      <w:pPr>
        <w:spacing w:line="400" w:lineRule="exact"/>
        <w:rPr>
          <w:b/>
          <w:bCs/>
          <w:sz w:val="24"/>
          <w:szCs w:val="24"/>
          <w:highlight w:val="none"/>
        </w:rPr>
      </w:pPr>
      <w:r>
        <w:rPr>
          <w:rFonts w:hint="eastAsia"/>
          <w:b/>
          <w:bCs/>
          <w:sz w:val="24"/>
          <w:szCs w:val="24"/>
          <w:highlight w:val="none"/>
        </w:rPr>
        <w:t>二、投标产品的资格、资质性及其他类似效力要求</w:t>
      </w:r>
    </w:p>
    <w:p>
      <w:pPr>
        <w:spacing w:line="400" w:lineRule="exact"/>
        <w:rPr>
          <w:b/>
          <w:bCs/>
          <w:sz w:val="24"/>
          <w:szCs w:val="24"/>
          <w:highlight w:val="none"/>
        </w:rPr>
      </w:pPr>
      <w:r>
        <w:rPr>
          <w:rFonts w:hint="eastAsia"/>
          <w:b/>
          <w:bCs/>
          <w:sz w:val="24"/>
          <w:highlight w:val="none"/>
        </w:rPr>
        <w:t>（一）</w:t>
      </w:r>
      <w:r>
        <w:rPr>
          <w:rFonts w:hint="eastAsia"/>
          <w:b/>
          <w:bCs/>
          <w:sz w:val="24"/>
          <w:szCs w:val="24"/>
          <w:highlight w:val="none"/>
        </w:rPr>
        <w:t>资格要求：无</w:t>
      </w:r>
    </w:p>
    <w:p>
      <w:pPr>
        <w:spacing w:line="400" w:lineRule="exact"/>
        <w:rPr>
          <w:b/>
          <w:bCs/>
          <w:sz w:val="24"/>
          <w:szCs w:val="24"/>
          <w:highlight w:val="none"/>
        </w:rPr>
      </w:pPr>
      <w:r>
        <w:rPr>
          <w:rFonts w:hint="eastAsia"/>
          <w:b/>
          <w:bCs/>
          <w:sz w:val="24"/>
          <w:szCs w:val="24"/>
          <w:highlight w:val="none"/>
        </w:rPr>
        <w:t>（二）资质性要求：无</w:t>
      </w:r>
    </w:p>
    <w:p>
      <w:pPr>
        <w:spacing w:line="400" w:lineRule="exact"/>
        <w:rPr>
          <w:sz w:val="24"/>
          <w:highlight w:val="none"/>
        </w:rPr>
      </w:pPr>
      <w:r>
        <w:rPr>
          <w:rFonts w:hint="eastAsia"/>
          <w:b/>
          <w:bCs/>
          <w:sz w:val="24"/>
          <w:szCs w:val="24"/>
          <w:highlight w:val="none"/>
        </w:rPr>
        <w:t>（三）其他类似效力要求</w:t>
      </w:r>
      <w:r>
        <w:rPr>
          <w:rFonts w:hint="eastAsia"/>
          <w:sz w:val="24"/>
          <w:highlight w:val="none"/>
        </w:rPr>
        <w:t>：</w:t>
      </w:r>
      <w:r>
        <w:rPr>
          <w:rFonts w:hint="eastAsia"/>
          <w:b/>
          <w:sz w:val="24"/>
          <w:highlight w:val="none"/>
        </w:rPr>
        <w:t>无</w:t>
      </w:r>
    </w:p>
    <w:p>
      <w:pPr>
        <w:spacing w:line="400" w:lineRule="exact"/>
        <w:rPr>
          <w:sz w:val="24"/>
          <w:highlight w:val="none"/>
        </w:rPr>
      </w:pPr>
      <w:r>
        <w:rPr>
          <w:sz w:val="24"/>
          <w:highlight w:val="none"/>
        </w:rPr>
        <w:t>……</w:t>
      </w:r>
    </w:p>
    <w:p>
      <w:pPr>
        <w:pStyle w:val="37"/>
        <w:spacing w:line="400" w:lineRule="exact"/>
        <w:ind w:firstLine="0" w:firstLineChars="0"/>
        <w:rPr>
          <w:b/>
          <w:sz w:val="24"/>
          <w:highlight w:val="none"/>
        </w:rPr>
      </w:pPr>
      <w:r>
        <w:rPr>
          <w:rFonts w:hint="eastAsia"/>
          <w:b/>
          <w:sz w:val="24"/>
          <w:highlight w:val="none"/>
        </w:rPr>
        <w:t>注：1、本项目确定投标人重大违法记录中的较大数额罚款的具体金额标准是：若采购项目所属行业行政主管部门对较大数额罚款金额标准有明文规定的，以所属行业行政主管部门规定的较大数额罚款金额标准；若采购项目所属行业行政主管部门对较大数额罚款金额标准未明文规定的，以四川省人民政府规定的行政处罚罚款听证标准金额。</w:t>
      </w:r>
    </w:p>
    <w:p>
      <w:pPr>
        <w:pStyle w:val="37"/>
        <w:spacing w:line="400" w:lineRule="exact"/>
        <w:ind w:firstLine="472" w:firstLineChars="196"/>
        <w:rPr>
          <w:b/>
          <w:sz w:val="24"/>
          <w:highlight w:val="none"/>
        </w:rPr>
      </w:pPr>
      <w:r>
        <w:rPr>
          <w:rFonts w:hint="eastAsia"/>
          <w:b/>
          <w:sz w:val="24"/>
          <w:highlight w:val="none"/>
        </w:rPr>
        <w:t>2、投标人在参加政府采购活动前，被纳入法院、工商行政管理部门、税务部门、银行认定的失信名单且在有效期内，或者在前三年政府采购合同履约过程中及其他经营活动履约过程中未依法履约被有关行政部门处罚（处理）的，本项目不认定其具有良好的商业信誉。</w:t>
      </w:r>
    </w:p>
    <w:p>
      <w:pPr>
        <w:pStyle w:val="37"/>
        <w:spacing w:line="420" w:lineRule="exact"/>
        <w:ind w:firstLine="472" w:firstLineChars="196"/>
        <w:rPr>
          <w:b/>
          <w:sz w:val="24"/>
          <w:highlight w:val="none"/>
        </w:rPr>
      </w:pPr>
      <w:r>
        <w:rPr>
          <w:rFonts w:hint="eastAsia"/>
          <w:b/>
          <w:sz w:val="24"/>
          <w:highlight w:val="none"/>
        </w:rPr>
        <w:t>3、根据《关于在政府采购活动中查询及使用信用记录有关问题的通知》（财库〔2016〕125 号）的要求，采购代理机构将通过“信用中国”网站（www.creditchina.gov.cn）、“中国政府采购网”网站（www.ccgp.gov.cn）等渠道查询投标人在投标截止日前的信用记录并保存信用记录结果网页截图，拒绝列入失信被执行人、重大税收违法案件当事人名单、政府采购严重违法失信行为记录名单中的投标人报名参加本项目的采购活动。</w:t>
      </w:r>
    </w:p>
    <w:p>
      <w:pPr>
        <w:pStyle w:val="37"/>
        <w:spacing w:line="420" w:lineRule="exact"/>
        <w:ind w:firstLine="472" w:firstLineChars="196"/>
        <w:rPr>
          <w:b/>
          <w:sz w:val="24"/>
          <w:highlight w:val="none"/>
        </w:rPr>
      </w:pPr>
    </w:p>
    <w:p>
      <w:pPr>
        <w:pStyle w:val="37"/>
        <w:spacing w:line="400" w:lineRule="exact"/>
        <w:ind w:firstLine="472" w:firstLineChars="196"/>
        <w:rPr>
          <w:b/>
          <w:sz w:val="24"/>
          <w:highlight w:val="none"/>
        </w:rPr>
      </w:pPr>
    </w:p>
    <w:p>
      <w:pPr>
        <w:spacing w:line="500" w:lineRule="exact"/>
        <w:jc w:val="center"/>
        <w:outlineLvl w:val="0"/>
        <w:rPr>
          <w:b/>
          <w:sz w:val="36"/>
          <w:szCs w:val="36"/>
          <w:highlight w:val="none"/>
        </w:rPr>
      </w:pPr>
      <w:r>
        <w:rPr>
          <w:rFonts w:hint="eastAsia"/>
          <w:highlight w:val="none"/>
        </w:rPr>
        <w:br w:type="page"/>
      </w:r>
      <w:bookmarkStart w:id="134" w:name="_Toc69980131"/>
      <w:r>
        <w:rPr>
          <w:rFonts w:hint="eastAsia"/>
          <w:b/>
          <w:sz w:val="36"/>
          <w:szCs w:val="36"/>
          <w:highlight w:val="none"/>
        </w:rPr>
        <w:t>第五章  投标人应当提供的</w:t>
      </w:r>
      <w:r>
        <w:rPr>
          <w:rFonts w:hint="eastAsia"/>
          <w:b/>
          <w:bCs/>
          <w:sz w:val="36"/>
          <w:szCs w:val="36"/>
          <w:highlight w:val="none"/>
        </w:rPr>
        <w:t>资格、资质性及其他类似效力要求的</w:t>
      </w:r>
      <w:r>
        <w:rPr>
          <w:rFonts w:hint="eastAsia"/>
          <w:b/>
          <w:sz w:val="36"/>
          <w:szCs w:val="36"/>
          <w:highlight w:val="none"/>
        </w:rPr>
        <w:t>相关证明材料</w:t>
      </w:r>
      <w:bookmarkEnd w:id="134"/>
    </w:p>
    <w:p>
      <w:pPr>
        <w:pStyle w:val="4"/>
        <w:spacing w:line="360" w:lineRule="exact"/>
        <w:rPr>
          <w:rFonts w:ascii="宋体" w:eastAsia="宋体"/>
          <w:sz w:val="24"/>
          <w:szCs w:val="24"/>
          <w:highlight w:val="none"/>
        </w:rPr>
      </w:pPr>
      <w:bookmarkStart w:id="135" w:name="_Toc217446093"/>
      <w:r>
        <w:rPr>
          <w:rFonts w:hint="eastAsia" w:ascii="宋体" w:eastAsia="宋体"/>
          <w:sz w:val="24"/>
          <w:szCs w:val="24"/>
          <w:highlight w:val="none"/>
        </w:rPr>
        <w:t>一、应当提供的投标人资格、资质性及其他类似效力要求的相关证明材料</w:t>
      </w:r>
    </w:p>
    <w:p>
      <w:pPr>
        <w:rPr>
          <w:rFonts w:hAnsi="宋体"/>
          <w:b/>
          <w:bCs/>
          <w:sz w:val="24"/>
          <w:highlight w:val="none"/>
        </w:rPr>
      </w:pPr>
      <w:r>
        <w:rPr>
          <w:rFonts w:hint="eastAsia" w:hAnsi="宋体"/>
          <w:b/>
          <w:bCs/>
          <w:sz w:val="24"/>
          <w:highlight w:val="none"/>
        </w:rPr>
        <w:t>（一）资格要求相关证明材料：</w:t>
      </w:r>
    </w:p>
    <w:p>
      <w:pPr>
        <w:pStyle w:val="37"/>
        <w:spacing w:line="420" w:lineRule="exact"/>
        <w:ind w:firstLine="0" w:firstLineChars="0"/>
        <w:rPr>
          <w:sz w:val="24"/>
          <w:highlight w:val="none"/>
        </w:rPr>
      </w:pPr>
      <w:r>
        <w:rPr>
          <w:rFonts w:hint="eastAsia"/>
          <w:sz w:val="24"/>
          <w:highlight w:val="none"/>
        </w:rPr>
        <w:t>1、具有独立承担民事责任的能力。(注：①投标人若为企业法人：提供“统一社会信用代码营业执照”；②若为事业法人：提供“统一社会信用代码法人登记证书”；③若为其他组织：提供“对应主管部门颁发的准许执业证明文件或营业执照”；④若为自然人：提供“身份证明材料”。以上均提供复印件；⑤投标人属于银行、保险、石油石化、电力、电信、移动、联通、广电等有行业特殊情况的，可提供企业分支机构统一社会信用代码的营业执照（复印件）及其他企业分支机构证明文件，法定代表人签署和授权可由分支机构负责人签署和授权)</w:t>
      </w:r>
    </w:p>
    <w:p>
      <w:pPr>
        <w:pStyle w:val="37"/>
        <w:spacing w:line="420" w:lineRule="exact"/>
        <w:ind w:firstLine="0" w:firstLineChars="0"/>
        <w:rPr>
          <w:sz w:val="24"/>
          <w:highlight w:val="none"/>
        </w:rPr>
      </w:pPr>
      <w:r>
        <w:rPr>
          <w:rFonts w:hint="eastAsia"/>
          <w:sz w:val="24"/>
          <w:highlight w:val="none"/>
        </w:rPr>
        <w:t>2、具备良好商业信誉的证明材料（可提供承诺函）；</w:t>
      </w:r>
    </w:p>
    <w:p>
      <w:pPr>
        <w:pStyle w:val="37"/>
        <w:spacing w:line="420" w:lineRule="exact"/>
        <w:ind w:firstLine="0" w:firstLineChars="0"/>
        <w:rPr>
          <w:sz w:val="24"/>
          <w:highlight w:val="none"/>
        </w:rPr>
      </w:pPr>
      <w:r>
        <w:rPr>
          <w:rFonts w:hint="eastAsia"/>
          <w:sz w:val="24"/>
          <w:szCs w:val="22"/>
          <w:highlight w:val="none"/>
        </w:rPr>
        <w:t>3、具备健全的财务会计制度的证明材料。｛注：①可提供2019或2020年度经审计的财务报告复印件（包括“三表一注”，即资产负债表、利润表、现金流量表及其附注复印件）</w:t>
      </w:r>
      <w:r>
        <w:rPr>
          <w:rFonts w:hint="eastAsia"/>
          <w:sz w:val="24"/>
          <w:highlight w:val="none"/>
        </w:rPr>
        <w:t>，②也可提供2019</w:t>
      </w:r>
      <w:r>
        <w:rPr>
          <w:rFonts w:hint="eastAsia"/>
          <w:sz w:val="24"/>
          <w:szCs w:val="22"/>
          <w:highlight w:val="none"/>
        </w:rPr>
        <w:t>或2020</w:t>
      </w:r>
      <w:r>
        <w:rPr>
          <w:rFonts w:hint="eastAsia"/>
          <w:sz w:val="24"/>
          <w:highlight w:val="none"/>
        </w:rPr>
        <w:t>年度投标人内部的财务报表复印件</w:t>
      </w:r>
      <w:r>
        <w:rPr>
          <w:rFonts w:hint="eastAsia"/>
          <w:sz w:val="24"/>
          <w:szCs w:val="22"/>
          <w:highlight w:val="none"/>
        </w:rPr>
        <w:t>（包括资产负债表、现金流量表、利润表）</w:t>
      </w:r>
      <w:r>
        <w:rPr>
          <w:rFonts w:hint="eastAsia"/>
          <w:sz w:val="24"/>
          <w:highlight w:val="none"/>
        </w:rPr>
        <w:t>，③也可提供截至投标文件递交截止日一年内银行出具的资信证明（复印件），④投标人注册时间截至投标文件递交截止日不足一年的，也可提供在工商备案的公司章程（复印件）。｝</w:t>
      </w:r>
    </w:p>
    <w:p>
      <w:pPr>
        <w:pStyle w:val="37"/>
        <w:spacing w:line="420" w:lineRule="exact"/>
        <w:ind w:firstLine="0" w:firstLineChars="0"/>
        <w:rPr>
          <w:sz w:val="24"/>
          <w:szCs w:val="22"/>
          <w:highlight w:val="none"/>
        </w:rPr>
      </w:pPr>
      <w:r>
        <w:rPr>
          <w:rFonts w:hint="eastAsia"/>
          <w:sz w:val="24"/>
          <w:szCs w:val="22"/>
          <w:highlight w:val="none"/>
        </w:rPr>
        <w:t>4、2020年1月1日以来任意3个月的税收缴纳证明材料复印件，</w:t>
      </w:r>
      <w:r>
        <w:rPr>
          <w:rFonts w:hint="eastAsia" w:hAnsi="宋体" w:cs="宋体"/>
          <w:sz w:val="24"/>
          <w:szCs w:val="24"/>
          <w:highlight w:val="none"/>
          <w:lang w:val="zh-CN"/>
        </w:rPr>
        <w:t>零申报的提供税务系统网络申报或税务大厅申报零申报报表，</w:t>
      </w:r>
      <w:r>
        <w:rPr>
          <w:rFonts w:hint="eastAsia"/>
          <w:sz w:val="24"/>
          <w:szCs w:val="22"/>
          <w:highlight w:val="none"/>
        </w:rPr>
        <w:t>新成立公司按实际缴纳情况提供，</w:t>
      </w:r>
      <w:r>
        <w:rPr>
          <w:rFonts w:hint="eastAsia" w:hAnsi="宋体" w:cs="宋体"/>
          <w:sz w:val="24"/>
          <w:szCs w:val="24"/>
          <w:highlight w:val="none"/>
          <w:lang w:val="zh-CN"/>
        </w:rPr>
        <w:t>依法免税的公司须提供相应文件证明其依法免税；</w:t>
      </w:r>
      <w:r>
        <w:rPr>
          <w:rFonts w:hint="eastAsia"/>
          <w:sz w:val="24"/>
          <w:szCs w:val="22"/>
          <w:highlight w:val="none"/>
        </w:rPr>
        <w:t>（注：证明材料可为银行电子回单或者税务部门出具的纳税证明或完税证明或有效票据的复印件加盖投标人公章）</w:t>
      </w:r>
    </w:p>
    <w:p>
      <w:pPr>
        <w:pStyle w:val="37"/>
        <w:spacing w:line="420" w:lineRule="exact"/>
        <w:ind w:firstLine="0" w:firstLineChars="0"/>
        <w:rPr>
          <w:sz w:val="24"/>
          <w:szCs w:val="22"/>
          <w:highlight w:val="none"/>
        </w:rPr>
      </w:pPr>
      <w:r>
        <w:rPr>
          <w:rFonts w:hint="eastAsia"/>
          <w:sz w:val="24"/>
          <w:szCs w:val="22"/>
          <w:highlight w:val="none"/>
        </w:rPr>
        <w:t>5、2020年1月1日以来任意3个月的社保缴纳证明材料复印件，新成立公司按实际缴纳情况提供，不需要缴纳社会保障资金的公司须提供相应文件证明其不需要缴纳社会保障资金；（注：证明材料可为银行电子回单或社保部门（税务部门）出具的社保缴纳证明材料或有效票据复印件加盖投标人公章）</w:t>
      </w:r>
    </w:p>
    <w:p>
      <w:pPr>
        <w:pStyle w:val="37"/>
        <w:spacing w:line="420" w:lineRule="exact"/>
        <w:ind w:firstLine="0" w:firstLineChars="0"/>
        <w:rPr>
          <w:sz w:val="24"/>
          <w:highlight w:val="none"/>
        </w:rPr>
      </w:pPr>
      <w:r>
        <w:rPr>
          <w:rFonts w:hint="eastAsia"/>
          <w:sz w:val="24"/>
          <w:highlight w:val="none"/>
        </w:rPr>
        <w:t>6、具备履行合同所必需的设备和专业技术能力的证明材料（可提供承诺函）；</w:t>
      </w:r>
    </w:p>
    <w:p>
      <w:pPr>
        <w:pStyle w:val="37"/>
        <w:spacing w:line="420" w:lineRule="exact"/>
        <w:ind w:firstLine="0" w:firstLineChars="0"/>
        <w:rPr>
          <w:sz w:val="24"/>
          <w:highlight w:val="none"/>
        </w:rPr>
      </w:pPr>
      <w:r>
        <w:rPr>
          <w:rFonts w:hint="eastAsia"/>
          <w:sz w:val="24"/>
          <w:highlight w:val="none"/>
        </w:rPr>
        <w:t>7、参加政府采购活动前三年内在经营活动中没有重大违法记录的承诺函；</w:t>
      </w:r>
    </w:p>
    <w:p>
      <w:pPr>
        <w:pStyle w:val="37"/>
        <w:spacing w:line="420" w:lineRule="exact"/>
        <w:ind w:firstLine="0" w:firstLineChars="0"/>
        <w:rPr>
          <w:sz w:val="24"/>
          <w:highlight w:val="none"/>
        </w:rPr>
      </w:pPr>
      <w:r>
        <w:rPr>
          <w:rFonts w:hint="eastAsia"/>
          <w:sz w:val="24"/>
          <w:highlight w:val="none"/>
        </w:rPr>
        <w:t>8、具备法律、行政法规规定的其他条件的证明材料（可提供承诺函）；</w:t>
      </w:r>
    </w:p>
    <w:p>
      <w:pPr>
        <w:pStyle w:val="37"/>
        <w:spacing w:line="420" w:lineRule="exact"/>
        <w:ind w:firstLine="0" w:firstLineChars="0"/>
        <w:rPr>
          <w:sz w:val="24"/>
          <w:highlight w:val="none"/>
        </w:rPr>
      </w:pPr>
      <w:r>
        <w:rPr>
          <w:rFonts w:hint="eastAsia"/>
          <w:sz w:val="24"/>
          <w:highlight w:val="none"/>
        </w:rPr>
        <w:t>9、参加本次招标采购活动，不存在与单位负责人为同一人或者存在直接控股、管理关系的其他投标人参与同一合同项下的政府采购活动的行为。（可提供承诺函）</w:t>
      </w:r>
    </w:p>
    <w:p>
      <w:pPr>
        <w:pStyle w:val="37"/>
        <w:spacing w:line="420" w:lineRule="exact"/>
        <w:ind w:firstLine="0" w:firstLineChars="0"/>
        <w:rPr>
          <w:sz w:val="24"/>
          <w:highlight w:val="none"/>
        </w:rPr>
      </w:pPr>
      <w:r>
        <w:rPr>
          <w:rFonts w:hint="eastAsia"/>
          <w:sz w:val="24"/>
          <w:highlight w:val="none"/>
        </w:rPr>
        <w:t>10、投标人未对本次采购项目提供过整体设计、规范编制或者项目管理、监理、检测等服务。（可提供承诺函）</w:t>
      </w:r>
    </w:p>
    <w:p>
      <w:pPr>
        <w:pStyle w:val="37"/>
        <w:spacing w:line="420" w:lineRule="exact"/>
        <w:ind w:firstLine="0" w:firstLineChars="0"/>
        <w:rPr>
          <w:rFonts w:hAnsi="宋体" w:cs="宋体"/>
          <w:sz w:val="24"/>
          <w:highlight w:val="none"/>
        </w:rPr>
      </w:pPr>
      <w:r>
        <w:rPr>
          <w:rFonts w:hint="eastAsia"/>
          <w:sz w:val="24"/>
          <w:highlight w:val="none"/>
        </w:rPr>
        <w:t>11、</w:t>
      </w:r>
      <w:r>
        <w:rPr>
          <w:rFonts w:hint="eastAsia" w:hAnsi="宋体" w:cs="宋体"/>
          <w:sz w:val="24"/>
          <w:highlight w:val="none"/>
        </w:rPr>
        <w:t>投标人单位及其现任法定代表人、主要负责人不得具有行贿犯罪记录。（提供承诺函，如果发现虚假承诺，作无效投标处理</w:t>
      </w:r>
      <w:r>
        <w:rPr>
          <w:rFonts w:hint="eastAsia" w:hAnsi="宋体" w:cs="宋体"/>
          <w:sz w:val="24"/>
          <w:szCs w:val="22"/>
          <w:highlight w:val="none"/>
        </w:rPr>
        <w:t>，投标文件中不需提供行贿犯罪档案查询结果的证明材料。</w:t>
      </w:r>
      <w:r>
        <w:rPr>
          <w:rFonts w:hint="eastAsia" w:hAnsi="宋体" w:cs="宋体"/>
          <w:sz w:val="24"/>
          <w:highlight w:val="none"/>
        </w:rPr>
        <w:t>）</w:t>
      </w:r>
    </w:p>
    <w:p>
      <w:pPr>
        <w:pStyle w:val="37"/>
        <w:spacing w:line="420" w:lineRule="exact"/>
        <w:ind w:firstLine="0" w:firstLineChars="0"/>
        <w:rPr>
          <w:rFonts w:hAnsi="宋体" w:cs="宋体"/>
          <w:sz w:val="24"/>
          <w:szCs w:val="22"/>
          <w:highlight w:val="none"/>
        </w:rPr>
      </w:pPr>
      <w:r>
        <w:rPr>
          <w:rFonts w:hint="eastAsia" w:hAnsi="宋体" w:cs="宋体"/>
          <w:sz w:val="24"/>
          <w:highlight w:val="none"/>
        </w:rPr>
        <w:t>12、</w:t>
      </w:r>
      <w:r>
        <w:rPr>
          <w:rFonts w:hint="eastAsia" w:hAnsi="宋体" w:cs="宋体"/>
          <w:sz w:val="24"/>
          <w:szCs w:val="22"/>
          <w:highlight w:val="none"/>
        </w:rPr>
        <w:t>投标人须提供“截至投标截止日未被列入失信被执行人、重大税收违法案件当事人、</w:t>
      </w:r>
      <w:r>
        <w:rPr>
          <w:rFonts w:hint="eastAsia"/>
          <w:sz w:val="24"/>
          <w:highlight w:val="none"/>
        </w:rPr>
        <w:t>政府采购严重违法失信行为</w:t>
      </w:r>
      <w:r>
        <w:rPr>
          <w:rFonts w:hint="eastAsia" w:hAnsi="宋体" w:cs="宋体"/>
          <w:sz w:val="24"/>
          <w:szCs w:val="22"/>
          <w:highlight w:val="none"/>
        </w:rPr>
        <w:t>名单”的承诺函 。</w:t>
      </w:r>
    </w:p>
    <w:p>
      <w:pPr>
        <w:pStyle w:val="37"/>
        <w:spacing w:line="420" w:lineRule="exact"/>
        <w:ind w:firstLine="0" w:firstLineChars="0"/>
        <w:rPr>
          <w:rFonts w:hAnsi="宋体" w:cs="宋体"/>
          <w:sz w:val="24"/>
          <w:szCs w:val="22"/>
          <w:highlight w:val="none"/>
        </w:rPr>
      </w:pPr>
      <w:r>
        <w:rPr>
          <w:rFonts w:hint="eastAsia" w:hAnsi="宋体" w:cs="宋体"/>
          <w:sz w:val="24"/>
          <w:szCs w:val="22"/>
          <w:highlight w:val="none"/>
        </w:rPr>
        <w:t>注：根据《关于在政府采购活动中查询及使用信用记录有关问题的通知》（财库〔2016〕125 号）的要求，采购代理机构将通过“信用中国”网站（www.creditchina.gov.cn）、“中国政府采购网”网站（www.ccgp.gov.cn）等渠道查询投标人在投标截止日前的信用记录并保存信用记录结果网页截图，拒绝列入失信被执行人、重大税收违法案件当事人名单、政府采购严重违法失信行为记录名单中的投标人报名参加本项目的采购活动。</w:t>
      </w:r>
    </w:p>
    <w:p>
      <w:pPr>
        <w:pStyle w:val="37"/>
        <w:spacing w:line="420" w:lineRule="exact"/>
        <w:ind w:firstLine="0" w:firstLineChars="0"/>
        <w:rPr>
          <w:rFonts w:hAnsi="宋体" w:cs="宋体"/>
          <w:sz w:val="24"/>
          <w:szCs w:val="22"/>
          <w:highlight w:val="none"/>
        </w:rPr>
      </w:pPr>
      <w:r>
        <w:rPr>
          <w:rFonts w:hint="eastAsia" w:hAnsi="宋体" w:cs="宋体"/>
          <w:sz w:val="24"/>
          <w:szCs w:val="22"/>
          <w:highlight w:val="none"/>
        </w:rPr>
        <w:t>13、落实政府采购政策需满足的资格要求：本项目专门面向中小企业采购(监狱企业、残疾人福利性单位均视同小微企业)，非中小企业参与的将视为无效响应。（提供相关证明材料）</w:t>
      </w:r>
    </w:p>
    <w:p>
      <w:pPr>
        <w:rPr>
          <w:b/>
          <w:bCs/>
          <w:sz w:val="24"/>
          <w:highlight w:val="none"/>
        </w:rPr>
      </w:pPr>
      <w:r>
        <w:rPr>
          <w:rFonts w:hint="eastAsia" w:hAnsi="宋体"/>
          <w:b/>
          <w:bCs/>
          <w:sz w:val="24"/>
          <w:highlight w:val="none"/>
        </w:rPr>
        <w:t>（二）资质性要求相关证明材料：无</w:t>
      </w:r>
    </w:p>
    <w:p>
      <w:pPr>
        <w:rPr>
          <w:rFonts w:hAnsi="宋体"/>
          <w:b/>
          <w:bCs/>
          <w:sz w:val="24"/>
          <w:highlight w:val="none"/>
        </w:rPr>
      </w:pPr>
      <w:r>
        <w:rPr>
          <w:rFonts w:hint="eastAsia" w:hAnsi="宋体"/>
          <w:b/>
          <w:bCs/>
          <w:sz w:val="24"/>
          <w:highlight w:val="none"/>
        </w:rPr>
        <w:t>（三）其他类似效力要求相关证明材料：</w:t>
      </w:r>
    </w:p>
    <w:p>
      <w:pPr>
        <w:spacing w:line="360" w:lineRule="auto"/>
        <w:rPr>
          <w:rFonts w:hAnsi="宋体"/>
          <w:sz w:val="24"/>
          <w:highlight w:val="none"/>
        </w:rPr>
      </w:pPr>
      <w:r>
        <w:rPr>
          <w:rFonts w:hint="eastAsia" w:hAnsi="宋体"/>
          <w:sz w:val="24"/>
          <w:highlight w:val="none"/>
        </w:rPr>
        <w:t>（1）法定代表人授权书原件(法定代表人参与投标时不需要提供授权书，但须提供法定代表人身份证明）；</w:t>
      </w:r>
    </w:p>
    <w:p>
      <w:pPr>
        <w:pStyle w:val="2"/>
        <w:spacing w:line="360" w:lineRule="auto"/>
        <w:rPr>
          <w:rFonts w:hAnsi="宋体"/>
          <w:sz w:val="24"/>
          <w:highlight w:val="none"/>
        </w:rPr>
      </w:pPr>
      <w:r>
        <w:rPr>
          <w:rFonts w:hint="eastAsia" w:hAnsi="宋体"/>
          <w:sz w:val="24"/>
          <w:highlight w:val="none"/>
        </w:rPr>
        <w:t>（2）法定代表人和授权代表身份证明复印件（法定代表人参与投标时只需提供法定代表人身份证明复印件，授权代表参与投标时需提供法定代表人和授权代表身份证明复印件，复印件均需加盖公章，身份证明文件包括居民身份证、军官证、外籍人员的护照等，身份证明文件应同时提供其在有效期的材料）。</w:t>
      </w:r>
    </w:p>
    <w:p>
      <w:pPr>
        <w:pStyle w:val="4"/>
        <w:spacing w:line="360" w:lineRule="exact"/>
        <w:rPr>
          <w:rFonts w:ascii="宋体" w:hAnsi="宋体" w:eastAsia="宋体"/>
          <w:sz w:val="24"/>
          <w:szCs w:val="24"/>
          <w:highlight w:val="none"/>
        </w:rPr>
      </w:pPr>
      <w:r>
        <w:rPr>
          <w:rFonts w:hint="eastAsia"/>
          <w:b w:val="0"/>
          <w:bCs w:val="0"/>
          <w:sz w:val="24"/>
          <w:szCs w:val="24"/>
          <w:highlight w:val="none"/>
        </w:rPr>
        <w:t>二、</w:t>
      </w:r>
      <w:r>
        <w:rPr>
          <w:rFonts w:hint="eastAsia" w:ascii="宋体" w:hAnsi="宋体" w:eastAsia="宋体"/>
          <w:sz w:val="24"/>
          <w:szCs w:val="24"/>
          <w:highlight w:val="none"/>
        </w:rPr>
        <w:t>应当提供的投标产品的资格、资质性及其他具有类似效力的要求的相关证明材料</w:t>
      </w:r>
    </w:p>
    <w:p>
      <w:pPr>
        <w:rPr>
          <w:sz w:val="24"/>
          <w:highlight w:val="none"/>
        </w:rPr>
      </w:pPr>
      <w:r>
        <w:rPr>
          <w:rFonts w:hint="eastAsia" w:hAnsi="宋体"/>
          <w:b/>
          <w:bCs/>
          <w:sz w:val="24"/>
          <w:highlight w:val="none"/>
        </w:rPr>
        <w:t>（一）资格要求相关证明材料：</w:t>
      </w:r>
      <w:r>
        <w:rPr>
          <w:rFonts w:hint="eastAsia"/>
          <w:b/>
          <w:sz w:val="24"/>
          <w:highlight w:val="none"/>
        </w:rPr>
        <w:t>无</w:t>
      </w:r>
    </w:p>
    <w:p>
      <w:pPr>
        <w:rPr>
          <w:b/>
          <w:bCs/>
          <w:sz w:val="24"/>
          <w:highlight w:val="none"/>
        </w:rPr>
      </w:pPr>
      <w:r>
        <w:rPr>
          <w:rFonts w:hint="eastAsia" w:hAnsi="宋体"/>
          <w:b/>
          <w:bCs/>
          <w:sz w:val="24"/>
          <w:highlight w:val="none"/>
        </w:rPr>
        <w:t>（二）资质性要求相关证明材料：无</w:t>
      </w:r>
    </w:p>
    <w:p>
      <w:pPr>
        <w:rPr>
          <w:highlight w:val="none"/>
        </w:rPr>
      </w:pPr>
      <w:r>
        <w:rPr>
          <w:rFonts w:hint="eastAsia" w:hAnsi="宋体"/>
          <w:b/>
          <w:bCs/>
          <w:sz w:val="24"/>
          <w:highlight w:val="none"/>
        </w:rPr>
        <w:t>（三）其他类似效力要求相关证明材料：无</w:t>
      </w:r>
    </w:p>
    <w:p>
      <w:pPr>
        <w:spacing w:line="360" w:lineRule="auto"/>
        <w:rPr>
          <w:sz w:val="36"/>
          <w:szCs w:val="36"/>
          <w:highlight w:val="none"/>
        </w:rPr>
      </w:pPr>
      <w:r>
        <w:rPr>
          <w:rFonts w:hint="eastAsia" w:hAnsi="宋体"/>
          <w:b/>
          <w:bCs/>
          <w:sz w:val="24"/>
          <w:highlight w:val="none"/>
        </w:rPr>
        <w:t>注：以上要求的资料复印件（身份证明材料除外）均须加盖投标单位的公章（鲜章）。</w:t>
      </w:r>
    </w:p>
    <w:p>
      <w:pPr>
        <w:spacing w:after="50" w:line="500" w:lineRule="exact"/>
        <w:ind w:firstLine="482" w:firstLineChars="200"/>
        <w:rPr>
          <w:b/>
          <w:sz w:val="24"/>
          <w:szCs w:val="22"/>
          <w:highlight w:val="none"/>
        </w:rPr>
      </w:pPr>
      <w:r>
        <w:rPr>
          <w:rFonts w:hint="eastAsia"/>
          <w:b/>
          <w:sz w:val="24"/>
          <w:szCs w:val="22"/>
          <w:highlight w:val="none"/>
        </w:rPr>
        <w:t>本项目投标人的资格条件在开标结束后由采购代理机构和采购人代表进行审查。投标人应在投标文件中按招标文件的规定和要求附上所有的资格证明文件，若提供的资格证明文件无效、不全或不实，将导致其投标或中标资格被取消。</w:t>
      </w:r>
    </w:p>
    <w:p>
      <w:pPr>
        <w:spacing w:after="50" w:line="500" w:lineRule="exact"/>
        <w:ind w:firstLine="482" w:firstLineChars="200"/>
        <w:rPr>
          <w:b/>
          <w:sz w:val="24"/>
          <w:szCs w:val="22"/>
          <w:highlight w:val="none"/>
        </w:rPr>
      </w:pPr>
    </w:p>
    <w:p>
      <w:pPr>
        <w:pStyle w:val="3"/>
        <w:spacing w:before="260" w:after="260" w:line="500" w:lineRule="exact"/>
        <w:rPr>
          <w:sz w:val="36"/>
          <w:szCs w:val="36"/>
          <w:highlight w:val="none"/>
        </w:rPr>
      </w:pPr>
      <w:bookmarkStart w:id="136" w:name="_Toc69980132"/>
      <w:r>
        <w:rPr>
          <w:rFonts w:hint="eastAsia"/>
          <w:sz w:val="36"/>
          <w:szCs w:val="36"/>
          <w:highlight w:val="none"/>
        </w:rPr>
        <w:t>第六章 招标项目技术、服务及其他商务要求</w:t>
      </w:r>
      <w:bookmarkEnd w:id="136"/>
    </w:p>
    <w:p>
      <w:pPr>
        <w:pStyle w:val="8"/>
        <w:tabs>
          <w:tab w:val="left" w:pos="3740"/>
        </w:tabs>
        <w:spacing w:line="360" w:lineRule="auto"/>
        <w:ind w:firstLine="0" w:firstLineChars="0"/>
        <w:rPr>
          <w:rFonts w:asciiTheme="minorEastAsia" w:hAnsiTheme="minorEastAsia" w:cstheme="minorEastAsia"/>
          <w:b/>
          <w:sz w:val="28"/>
          <w:szCs w:val="28"/>
          <w:highlight w:val="none"/>
        </w:rPr>
      </w:pPr>
      <w:r>
        <w:rPr>
          <w:rFonts w:hint="eastAsia" w:asciiTheme="minorEastAsia" w:hAnsiTheme="minorEastAsia" w:cstheme="minorEastAsia"/>
          <w:b/>
          <w:sz w:val="28"/>
          <w:szCs w:val="28"/>
          <w:highlight w:val="none"/>
        </w:rPr>
        <w:t>一、</w:t>
      </w:r>
      <w:r>
        <w:rPr>
          <w:rFonts w:hint="eastAsia" w:hAnsi="宋体" w:cs="宋体"/>
          <w:b/>
          <w:bCs/>
          <w:sz w:val="28"/>
          <w:szCs w:val="28"/>
          <w:highlight w:val="none"/>
        </w:rPr>
        <w:t>项目技术、服务</w:t>
      </w:r>
      <w:r>
        <w:rPr>
          <w:rFonts w:hint="eastAsia" w:asciiTheme="minorEastAsia" w:hAnsiTheme="minorEastAsia" w:cstheme="minorEastAsia"/>
          <w:b/>
          <w:sz w:val="28"/>
          <w:szCs w:val="28"/>
          <w:highlight w:val="none"/>
        </w:rPr>
        <w:t>要</w:t>
      </w:r>
      <w:r>
        <w:rPr>
          <w:rFonts w:hint="eastAsia" w:hAnsi="宋体" w:cs="宋体"/>
          <w:b/>
          <w:bCs/>
          <w:sz w:val="28"/>
          <w:szCs w:val="28"/>
          <w:highlight w:val="none"/>
        </w:rPr>
        <w:t>求</w:t>
      </w:r>
    </w:p>
    <w:p>
      <w:pPr>
        <w:pStyle w:val="8"/>
        <w:tabs>
          <w:tab w:val="left" w:pos="3740"/>
        </w:tabs>
        <w:spacing w:line="360" w:lineRule="auto"/>
        <w:ind w:firstLine="0" w:firstLineChars="0"/>
        <w:rPr>
          <w:rFonts w:hAnsi="宋体" w:cs="宋体"/>
          <w:b/>
          <w:bCs/>
          <w:sz w:val="24"/>
          <w:highlight w:val="none"/>
        </w:rPr>
      </w:pPr>
      <w:r>
        <w:rPr>
          <w:rFonts w:hint="eastAsia" w:hAnsi="宋体" w:cs="宋体"/>
          <w:b/>
          <w:bCs/>
          <w:sz w:val="24"/>
          <w:highlight w:val="none"/>
        </w:rPr>
        <w:t>（一）采购清单（实质性要求）</w:t>
      </w:r>
    </w:p>
    <w:tbl>
      <w:tblPr>
        <w:tblStyle w:val="27"/>
        <w:tblW w:w="8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8"/>
        <w:gridCol w:w="1854"/>
        <w:gridCol w:w="1529"/>
        <w:gridCol w:w="834"/>
        <w:gridCol w:w="2165"/>
        <w:gridCol w:w="1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序号</w:t>
            </w:r>
          </w:p>
        </w:tc>
        <w:tc>
          <w:tcPr>
            <w:tcW w:w="1854" w:type="dxa"/>
            <w:noWrap/>
            <w:vAlign w:val="center"/>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产品名称</w:t>
            </w:r>
          </w:p>
        </w:tc>
        <w:tc>
          <w:tcPr>
            <w:tcW w:w="1529" w:type="dxa"/>
            <w:noWrap/>
            <w:vAlign w:val="center"/>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数量(暂定)</w:t>
            </w:r>
          </w:p>
        </w:tc>
        <w:tc>
          <w:tcPr>
            <w:tcW w:w="834" w:type="dxa"/>
            <w:noWrap/>
            <w:vAlign w:val="center"/>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单位</w:t>
            </w:r>
          </w:p>
        </w:tc>
        <w:tc>
          <w:tcPr>
            <w:tcW w:w="2165" w:type="dxa"/>
            <w:noWrap/>
            <w:vAlign w:val="center"/>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单价限价（元）</w:t>
            </w:r>
          </w:p>
        </w:tc>
        <w:tc>
          <w:tcPr>
            <w:tcW w:w="1180" w:type="dxa"/>
            <w:noWrap/>
            <w:vAlign w:val="center"/>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1号墓</w:t>
            </w:r>
          </w:p>
        </w:tc>
        <w:tc>
          <w:tcPr>
            <w:tcW w:w="1529" w:type="dxa"/>
            <w:noWrap/>
            <w:vAlign w:val="center"/>
          </w:tcPr>
          <w:p>
            <w:pPr>
              <w:widowControl/>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23300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18300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3号墓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9700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4号墓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8800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5</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5号墓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9600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6</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6号墓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15400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7</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7号墓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14600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8</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8号墓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15400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9</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9号墓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13900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10</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10号墓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18400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11</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11号墓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16800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12</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12号墓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800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13</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13号墓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6040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14</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14号墓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6640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15</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15号墓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5840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16</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16号墓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5940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17</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17号墓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6540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18</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18号墓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6340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19</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19号墓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6440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20</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20号墓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10873</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21</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21号墓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11225</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22</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22号墓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12536</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23</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23号墓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11576</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24</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24号墓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11586</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25</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25号墓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11210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26</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26号墓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10925</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27</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27号墓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6840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28</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28号墓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14395</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29</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29号墓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12412</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30</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30号墓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13585</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31</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31号墓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12761</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32</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32号墓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7600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33</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33号墓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700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34</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34号墓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860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35</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35号墓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3960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36</w:t>
            </w:r>
          </w:p>
        </w:tc>
        <w:tc>
          <w:tcPr>
            <w:tcW w:w="1854" w:type="dxa"/>
            <w:noWrap/>
            <w:vAlign w:val="center"/>
          </w:tcPr>
          <w:p>
            <w:pPr>
              <w:widowControl/>
              <w:jc w:val="center"/>
              <w:rPr>
                <w:rFonts w:hAnsi="宋体" w:cs="宋体"/>
                <w:sz w:val="24"/>
                <w:szCs w:val="24"/>
                <w:highlight w:val="none"/>
              </w:rPr>
            </w:pPr>
            <w:r>
              <w:rPr>
                <w:rFonts w:hint="eastAsia" w:hAnsi="宋体" w:cs="宋体"/>
                <w:sz w:val="24"/>
                <w:szCs w:val="24"/>
                <w:highlight w:val="none"/>
              </w:rPr>
              <w:t>36号墓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center"/>
          </w:tcPr>
          <w:p>
            <w:pPr>
              <w:widowControl/>
              <w:jc w:val="center"/>
              <w:rPr>
                <w:rFonts w:hAnsi="宋体" w:cs="宋体"/>
                <w:sz w:val="24"/>
                <w:szCs w:val="24"/>
                <w:highlight w:val="none"/>
              </w:rPr>
            </w:pPr>
            <w:r>
              <w:rPr>
                <w:rFonts w:hint="eastAsia" w:hAnsi="宋体" w:cs="宋体"/>
                <w:sz w:val="24"/>
                <w:szCs w:val="24"/>
                <w:highlight w:val="none"/>
              </w:rPr>
              <w:t>4100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37</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37号墓</w:t>
            </w:r>
          </w:p>
        </w:tc>
        <w:tc>
          <w:tcPr>
            <w:tcW w:w="1529" w:type="dxa"/>
            <w:noWrap/>
            <w:vAlign w:val="center"/>
          </w:tcPr>
          <w:p>
            <w:pPr>
              <w:jc w:val="center"/>
              <w:rPr>
                <w:rFonts w:hAnsi="宋体" w:cs="宋体"/>
                <w:kern w:val="2"/>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kern w:val="2"/>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8997</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38</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38号墓</w:t>
            </w:r>
          </w:p>
        </w:tc>
        <w:tc>
          <w:tcPr>
            <w:tcW w:w="1529" w:type="dxa"/>
            <w:noWrap/>
            <w:vAlign w:val="center"/>
          </w:tcPr>
          <w:p>
            <w:pPr>
              <w:jc w:val="center"/>
              <w:rPr>
                <w:rFonts w:hAnsi="宋体" w:cs="宋体"/>
                <w:kern w:val="2"/>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kern w:val="2"/>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8557</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39</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39号墓</w:t>
            </w:r>
          </w:p>
        </w:tc>
        <w:tc>
          <w:tcPr>
            <w:tcW w:w="1529" w:type="dxa"/>
            <w:noWrap/>
            <w:vAlign w:val="center"/>
          </w:tcPr>
          <w:p>
            <w:pPr>
              <w:jc w:val="center"/>
              <w:rPr>
                <w:rFonts w:hAnsi="宋体" w:cs="宋体"/>
                <w:kern w:val="2"/>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kern w:val="2"/>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9051</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40</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40号墓</w:t>
            </w:r>
          </w:p>
        </w:tc>
        <w:tc>
          <w:tcPr>
            <w:tcW w:w="1529" w:type="dxa"/>
            <w:noWrap/>
            <w:vAlign w:val="center"/>
          </w:tcPr>
          <w:p>
            <w:pPr>
              <w:jc w:val="center"/>
              <w:rPr>
                <w:rFonts w:hAnsi="宋体" w:cs="宋体"/>
                <w:kern w:val="2"/>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kern w:val="2"/>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8743</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41</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41号墓</w:t>
            </w:r>
          </w:p>
        </w:tc>
        <w:tc>
          <w:tcPr>
            <w:tcW w:w="1529" w:type="dxa"/>
            <w:noWrap/>
            <w:vAlign w:val="center"/>
          </w:tcPr>
          <w:p>
            <w:pPr>
              <w:jc w:val="center"/>
              <w:rPr>
                <w:rFonts w:hAnsi="宋体" w:cs="宋体"/>
                <w:kern w:val="2"/>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kern w:val="2"/>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4039</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42</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42号墓</w:t>
            </w:r>
          </w:p>
        </w:tc>
        <w:tc>
          <w:tcPr>
            <w:tcW w:w="1529" w:type="dxa"/>
            <w:noWrap/>
            <w:vAlign w:val="center"/>
          </w:tcPr>
          <w:p>
            <w:pPr>
              <w:jc w:val="center"/>
              <w:rPr>
                <w:rFonts w:hAnsi="宋体" w:cs="宋体"/>
                <w:kern w:val="2"/>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kern w:val="2"/>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4424</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43</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43号墓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6807</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44</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44号墓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14478</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45</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45号墓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12895</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46</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46号墓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13624</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47</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47号墓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10754</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48</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48号墓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8746</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49</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49号墓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8490</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50</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50号墓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836</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51</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51号墓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957</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52</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52号墓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859</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53</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53号墓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11064</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54</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54号墓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10696</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98" w:type="dxa"/>
            <w:noWrap/>
            <w:vAlign w:val="center"/>
          </w:tcPr>
          <w:p>
            <w:pPr>
              <w:widowControl/>
              <w:jc w:val="center"/>
              <w:rPr>
                <w:rFonts w:hAnsi="宋体" w:cs="宋体"/>
                <w:sz w:val="24"/>
                <w:szCs w:val="24"/>
                <w:highlight w:val="none"/>
              </w:rPr>
            </w:pPr>
            <w:r>
              <w:rPr>
                <w:rFonts w:hint="eastAsia" w:hAnsi="宋体" w:cs="宋体"/>
                <w:sz w:val="24"/>
                <w:szCs w:val="24"/>
                <w:highlight w:val="none"/>
              </w:rPr>
              <w:t>55</w:t>
            </w:r>
          </w:p>
        </w:tc>
        <w:tc>
          <w:tcPr>
            <w:tcW w:w="1854" w:type="dxa"/>
            <w:noWrap/>
            <w:vAlign w:val="center"/>
          </w:tcPr>
          <w:p>
            <w:pPr>
              <w:widowControl/>
              <w:jc w:val="center"/>
              <w:rPr>
                <w:rFonts w:hAnsi="宋体" w:cs="宋体"/>
                <w:kern w:val="2"/>
                <w:sz w:val="24"/>
                <w:szCs w:val="24"/>
                <w:highlight w:val="none"/>
              </w:rPr>
            </w:pPr>
            <w:r>
              <w:rPr>
                <w:rFonts w:hint="eastAsia" w:hAnsi="宋体" w:cs="宋体"/>
                <w:sz w:val="24"/>
                <w:szCs w:val="24"/>
                <w:highlight w:val="none"/>
              </w:rPr>
              <w:t>55号墓</w:t>
            </w:r>
          </w:p>
        </w:tc>
        <w:tc>
          <w:tcPr>
            <w:tcW w:w="1529" w:type="dxa"/>
            <w:noWrap/>
            <w:vAlign w:val="center"/>
          </w:tcPr>
          <w:p>
            <w:pPr>
              <w:jc w:val="center"/>
              <w:rPr>
                <w:rFonts w:hAnsi="宋体" w:cs="宋体"/>
                <w:sz w:val="24"/>
                <w:szCs w:val="24"/>
                <w:highlight w:val="none"/>
              </w:rPr>
            </w:pPr>
            <w:r>
              <w:rPr>
                <w:rFonts w:hint="eastAsia" w:hAnsi="宋体" w:cs="宋体"/>
                <w:sz w:val="24"/>
                <w:szCs w:val="24"/>
                <w:highlight w:val="none"/>
              </w:rPr>
              <w:t>1</w:t>
            </w:r>
          </w:p>
        </w:tc>
        <w:tc>
          <w:tcPr>
            <w:tcW w:w="834" w:type="dxa"/>
            <w:noWrap/>
            <w:vAlign w:val="center"/>
          </w:tcPr>
          <w:p>
            <w:pPr>
              <w:jc w:val="center"/>
              <w:rPr>
                <w:rFonts w:hAnsi="宋体" w:cs="宋体"/>
                <w:sz w:val="24"/>
                <w:szCs w:val="24"/>
                <w:highlight w:val="none"/>
              </w:rPr>
            </w:pPr>
            <w:r>
              <w:rPr>
                <w:rFonts w:hint="eastAsia" w:hAnsi="宋体" w:cs="宋体"/>
                <w:sz w:val="24"/>
                <w:szCs w:val="24"/>
                <w:highlight w:val="none"/>
              </w:rPr>
              <w:t>套</w:t>
            </w:r>
          </w:p>
        </w:tc>
        <w:tc>
          <w:tcPr>
            <w:tcW w:w="2165" w:type="dxa"/>
            <w:noWrap/>
            <w:vAlign w:val="bottom"/>
          </w:tcPr>
          <w:p>
            <w:pPr>
              <w:widowControl/>
              <w:jc w:val="center"/>
              <w:rPr>
                <w:rFonts w:hAnsi="宋体" w:cs="宋体"/>
                <w:sz w:val="24"/>
                <w:szCs w:val="24"/>
                <w:highlight w:val="none"/>
              </w:rPr>
            </w:pPr>
            <w:r>
              <w:rPr>
                <w:rFonts w:hint="eastAsia" w:hAnsi="宋体" w:cs="宋体"/>
                <w:sz w:val="24"/>
                <w:szCs w:val="24"/>
                <w:highlight w:val="none"/>
              </w:rPr>
              <w:t>12939</w:t>
            </w:r>
          </w:p>
        </w:tc>
        <w:tc>
          <w:tcPr>
            <w:tcW w:w="1180" w:type="dxa"/>
            <w:noWrap/>
          </w:tcPr>
          <w:p>
            <w:pPr>
              <w:pStyle w:val="37"/>
              <w:spacing w:line="500" w:lineRule="exact"/>
              <w:ind w:firstLine="0" w:firstLineChars="0"/>
              <w:jc w:val="center"/>
              <w:rPr>
                <w:rFonts w:hAnsi="宋体" w:cs="宋体"/>
                <w:sz w:val="24"/>
                <w:szCs w:val="24"/>
                <w:highlight w:val="none"/>
              </w:rPr>
            </w:pPr>
            <w:r>
              <w:rPr>
                <w:rFonts w:hint="eastAsia" w:hAnsi="宋体" w:cs="宋体"/>
                <w:sz w:val="24"/>
                <w:szCs w:val="24"/>
                <w:highlight w:val="none"/>
              </w:rPr>
              <w:t>/</w:t>
            </w:r>
          </w:p>
        </w:tc>
      </w:tr>
    </w:tbl>
    <w:p>
      <w:pPr>
        <w:spacing w:line="360" w:lineRule="auto"/>
        <w:outlineLvl w:val="0"/>
        <w:rPr>
          <w:rFonts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w:t>
      </w:r>
      <w:r>
        <w:rPr>
          <w:rFonts w:hint="eastAsia" w:asciiTheme="minorEastAsia" w:hAnsiTheme="minorEastAsia" w:cstheme="minorEastAsia"/>
          <w:b/>
          <w:sz w:val="24"/>
          <w:szCs w:val="24"/>
          <w:highlight w:val="none"/>
        </w:rPr>
        <w:t>二</w:t>
      </w:r>
      <w:r>
        <w:rPr>
          <w:rFonts w:hint="eastAsia" w:asciiTheme="minorEastAsia" w:hAnsiTheme="minorEastAsia" w:eastAsiaTheme="minorEastAsia" w:cstheme="minorEastAsia"/>
          <w:b/>
          <w:sz w:val="24"/>
          <w:szCs w:val="24"/>
          <w:highlight w:val="none"/>
        </w:rPr>
        <w:t>）</w:t>
      </w:r>
      <w:r>
        <w:rPr>
          <w:rFonts w:hint="eastAsia" w:hAnsi="宋体" w:cs="宋体"/>
          <w:b/>
          <w:bCs/>
          <w:kern w:val="2"/>
          <w:sz w:val="24"/>
          <w:szCs w:val="24"/>
          <w:highlight w:val="none"/>
        </w:rPr>
        <w:t>技术参数</w:t>
      </w:r>
    </w:p>
    <w:p>
      <w:pPr>
        <w:rPr>
          <w:rFonts w:hAnsi="宋体" w:cs="宋体"/>
          <w:sz w:val="24"/>
          <w:highlight w:val="none"/>
        </w:rPr>
      </w:pP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 1号墓</w:t>
      </w:r>
    </w:p>
    <w:p>
      <w:pPr>
        <w:rPr>
          <w:highlight w:val="none"/>
        </w:rPr>
      </w:pPr>
      <w:r>
        <w:rPr>
          <w:highlight w:val="none"/>
        </w:rPr>
        <w:drawing>
          <wp:inline distT="0" distB="0" distL="114300" distR="114300">
            <wp:extent cx="5372100" cy="7429500"/>
            <wp:effectExtent l="0" t="0" r="0" b="0"/>
            <wp:docPr id="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
                    <pic:cNvPicPr>
                      <a:picLocks noChangeAspect="1"/>
                    </pic:cNvPicPr>
                  </pic:nvPicPr>
                  <pic:blipFill>
                    <a:blip r:embed="rId14"/>
                    <a:stretch>
                      <a:fillRect/>
                    </a:stretch>
                  </pic:blipFill>
                  <pic:spPr>
                    <a:xfrm rot="10800000">
                      <a:off x="0" y="0"/>
                      <a:ext cx="5372100" cy="7429500"/>
                    </a:xfrm>
                    <a:prstGeom prst="rect">
                      <a:avLst/>
                    </a:prstGeom>
                    <a:noFill/>
                    <a:ln>
                      <a:noFill/>
                    </a:ln>
                  </pic:spPr>
                </pic:pic>
              </a:graphicData>
            </a:graphic>
          </wp:inline>
        </w:drawing>
      </w:r>
    </w:p>
    <w:p>
      <w:pPr>
        <w:spacing w:line="360" w:lineRule="auto"/>
        <w:rPr>
          <w:rFonts w:hAnsi="宋体" w:cs="宋体"/>
          <w:sz w:val="24"/>
          <w:highlight w:val="none"/>
        </w:rPr>
      </w:pP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 2号墓</w:t>
      </w:r>
    </w:p>
    <w:p>
      <w:pPr>
        <w:spacing w:line="360" w:lineRule="auto"/>
        <w:jc w:val="left"/>
        <w:rPr>
          <w:rFonts w:hAnsi="宋体" w:cs="宋体"/>
          <w:sz w:val="24"/>
          <w:highlight w:val="none"/>
        </w:rPr>
      </w:pPr>
      <w:r>
        <w:rPr>
          <w:rFonts w:hint="eastAsia" w:hAnsi="宋体" w:cs="宋体"/>
          <w:highlight w:val="none"/>
        </w:rPr>
        <w:drawing>
          <wp:anchor distT="0" distB="0" distL="114935" distR="114935" simplePos="0" relativeHeight="251681792" behindDoc="0" locked="0" layoutInCell="1" allowOverlap="1">
            <wp:simplePos x="0" y="0"/>
            <wp:positionH relativeFrom="column">
              <wp:posOffset>-172720</wp:posOffset>
            </wp:positionH>
            <wp:positionV relativeFrom="paragraph">
              <wp:posOffset>70485</wp:posOffset>
            </wp:positionV>
            <wp:extent cx="5448935" cy="7527290"/>
            <wp:effectExtent l="0" t="0" r="18415" b="16510"/>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5448935" cy="7527290"/>
                    </a:xfrm>
                    <a:prstGeom prst="rect">
                      <a:avLst/>
                    </a:prstGeom>
                    <a:noFill/>
                    <a:ln>
                      <a:noFill/>
                    </a:ln>
                  </pic:spPr>
                </pic:pic>
              </a:graphicData>
            </a:graphic>
          </wp:anchor>
        </w:drawing>
      </w: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 3号墓</w:t>
      </w:r>
    </w:p>
    <w:p>
      <w:pPr>
        <w:spacing w:line="360" w:lineRule="auto"/>
        <w:rPr>
          <w:rFonts w:hAnsi="宋体" w:cs="宋体"/>
          <w:sz w:val="24"/>
          <w:highlight w:val="none"/>
        </w:rPr>
      </w:pPr>
      <w:r>
        <w:rPr>
          <w:rFonts w:hint="eastAsia" w:hAnsi="宋体" w:cs="宋体"/>
          <w:highlight w:val="none"/>
        </w:rPr>
        <w:drawing>
          <wp:anchor distT="0" distB="0" distL="114300" distR="114300" simplePos="0" relativeHeight="251666432" behindDoc="0" locked="0" layoutInCell="1" allowOverlap="1">
            <wp:simplePos x="0" y="0"/>
            <wp:positionH relativeFrom="column">
              <wp:posOffset>-138430</wp:posOffset>
            </wp:positionH>
            <wp:positionV relativeFrom="paragraph">
              <wp:posOffset>97790</wp:posOffset>
            </wp:positionV>
            <wp:extent cx="5620385" cy="7362825"/>
            <wp:effectExtent l="0" t="0" r="18415" b="9525"/>
            <wp:wrapSquare wrapText="bothSides"/>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6"/>
                    <a:stretch>
                      <a:fillRect/>
                    </a:stretch>
                  </pic:blipFill>
                  <pic:spPr>
                    <a:xfrm>
                      <a:off x="0" y="0"/>
                      <a:ext cx="5620385" cy="7362825"/>
                    </a:xfrm>
                    <a:prstGeom prst="rect">
                      <a:avLst/>
                    </a:prstGeom>
                    <a:noFill/>
                    <a:ln>
                      <a:noFill/>
                    </a:ln>
                  </pic:spPr>
                </pic:pic>
              </a:graphicData>
            </a:graphic>
          </wp:anchor>
        </w:drawing>
      </w: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 4号墓</w:t>
      </w:r>
    </w:p>
    <w:p>
      <w:pPr>
        <w:spacing w:line="360" w:lineRule="auto"/>
        <w:rPr>
          <w:rFonts w:hAnsi="宋体" w:cs="宋体"/>
          <w:sz w:val="24"/>
          <w:highlight w:val="none"/>
        </w:rPr>
      </w:pPr>
      <w:r>
        <w:rPr>
          <w:rFonts w:hint="eastAsia" w:hAnsi="宋体" w:cs="宋体"/>
          <w:highlight w:val="none"/>
        </w:rPr>
        <w:drawing>
          <wp:anchor distT="0" distB="0" distL="114300" distR="114300" simplePos="0" relativeHeight="251667456" behindDoc="0" locked="0" layoutInCell="1" allowOverlap="1">
            <wp:simplePos x="0" y="0"/>
            <wp:positionH relativeFrom="column">
              <wp:posOffset>-108585</wp:posOffset>
            </wp:positionH>
            <wp:positionV relativeFrom="paragraph">
              <wp:posOffset>95250</wp:posOffset>
            </wp:positionV>
            <wp:extent cx="5514340" cy="7387590"/>
            <wp:effectExtent l="0" t="0" r="10160" b="3810"/>
            <wp:wrapSquare wrapText="bothSides"/>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17"/>
                    <a:stretch>
                      <a:fillRect/>
                    </a:stretch>
                  </pic:blipFill>
                  <pic:spPr>
                    <a:xfrm>
                      <a:off x="0" y="0"/>
                      <a:ext cx="5514340" cy="7387590"/>
                    </a:xfrm>
                    <a:prstGeom prst="rect">
                      <a:avLst/>
                    </a:prstGeom>
                    <a:noFill/>
                    <a:ln>
                      <a:noFill/>
                    </a:ln>
                  </pic:spPr>
                </pic:pic>
              </a:graphicData>
            </a:graphic>
          </wp:anchor>
        </w:drawing>
      </w: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5、 5号墓</w:t>
      </w:r>
    </w:p>
    <w:p>
      <w:pPr>
        <w:spacing w:line="360" w:lineRule="auto"/>
        <w:rPr>
          <w:rFonts w:hAnsi="宋体" w:cs="宋体"/>
          <w:sz w:val="24"/>
          <w:highlight w:val="none"/>
        </w:rPr>
      </w:pPr>
      <w:r>
        <w:rPr>
          <w:rFonts w:hint="eastAsia" w:hAnsi="宋体" w:cs="宋体"/>
          <w:highlight w:val="none"/>
        </w:rPr>
        <w:drawing>
          <wp:anchor distT="0" distB="0" distL="114300" distR="114300" simplePos="0" relativeHeight="251682816" behindDoc="0" locked="0" layoutInCell="1" allowOverlap="1">
            <wp:simplePos x="0" y="0"/>
            <wp:positionH relativeFrom="column">
              <wp:posOffset>-1101090</wp:posOffset>
            </wp:positionH>
            <wp:positionV relativeFrom="paragraph">
              <wp:posOffset>1068070</wp:posOffset>
            </wp:positionV>
            <wp:extent cx="7172960" cy="5193030"/>
            <wp:effectExtent l="0" t="0" r="7620" b="8890"/>
            <wp:wrapSquare wrapText="bothSides"/>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18"/>
                    <a:stretch>
                      <a:fillRect/>
                    </a:stretch>
                  </pic:blipFill>
                  <pic:spPr>
                    <a:xfrm rot="-5400000">
                      <a:off x="0" y="0"/>
                      <a:ext cx="7172960" cy="5193030"/>
                    </a:xfrm>
                    <a:prstGeom prst="rect">
                      <a:avLst/>
                    </a:prstGeom>
                    <a:noFill/>
                    <a:ln>
                      <a:noFill/>
                    </a:ln>
                  </pic:spPr>
                </pic:pic>
              </a:graphicData>
            </a:graphic>
          </wp:anchor>
        </w:drawing>
      </w: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6、 6号墓</w:t>
      </w:r>
    </w:p>
    <w:p>
      <w:pPr>
        <w:spacing w:line="360" w:lineRule="auto"/>
        <w:rPr>
          <w:rFonts w:hAnsi="宋体" w:cs="宋体"/>
          <w:sz w:val="24"/>
          <w:highlight w:val="none"/>
        </w:rPr>
      </w:pPr>
      <w:r>
        <w:rPr>
          <w:rFonts w:hint="eastAsia" w:hAnsi="宋体" w:cs="宋体"/>
          <w:highlight w:val="none"/>
        </w:rPr>
        <w:drawing>
          <wp:anchor distT="0" distB="0" distL="114300" distR="114300" simplePos="0" relativeHeight="251668480" behindDoc="0" locked="0" layoutInCell="1" allowOverlap="1">
            <wp:simplePos x="0" y="0"/>
            <wp:positionH relativeFrom="column">
              <wp:posOffset>-59690</wp:posOffset>
            </wp:positionH>
            <wp:positionV relativeFrom="paragraph">
              <wp:posOffset>62230</wp:posOffset>
            </wp:positionV>
            <wp:extent cx="5210810" cy="7189470"/>
            <wp:effectExtent l="0" t="0" r="8890" b="11430"/>
            <wp:wrapSquare wrapText="bothSides"/>
            <wp:docPr id="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
                    <pic:cNvPicPr>
                      <a:picLocks noChangeAspect="1"/>
                    </pic:cNvPicPr>
                  </pic:nvPicPr>
                  <pic:blipFill>
                    <a:blip r:embed="rId19"/>
                    <a:stretch>
                      <a:fillRect/>
                    </a:stretch>
                  </pic:blipFill>
                  <pic:spPr>
                    <a:xfrm>
                      <a:off x="0" y="0"/>
                      <a:ext cx="5210810" cy="7189470"/>
                    </a:xfrm>
                    <a:prstGeom prst="rect">
                      <a:avLst/>
                    </a:prstGeom>
                    <a:noFill/>
                    <a:ln>
                      <a:noFill/>
                    </a:ln>
                  </pic:spPr>
                </pic:pic>
              </a:graphicData>
            </a:graphic>
          </wp:anchor>
        </w:drawing>
      </w:r>
      <w:r>
        <w:rPr>
          <w:rFonts w:hint="eastAsia" w:hAnsi="宋体" w:cs="宋体"/>
          <w:sz w:val="24"/>
          <w:highlight w:val="none"/>
        </w:rPr>
        <w:br w:type="page"/>
      </w:r>
    </w:p>
    <w:p>
      <w:pPr>
        <w:pStyle w:val="20"/>
        <w:numPr>
          <w:ilvl w:val="0"/>
          <w:numId w:val="7"/>
        </w:numPr>
        <w:spacing w:before="0" w:after="0" w:line="360" w:lineRule="auto"/>
        <w:jc w:val="left"/>
        <w:outlineLvl w:val="9"/>
        <w:rPr>
          <w:rFonts w:ascii="宋体" w:hAnsi="宋体" w:cs="宋体"/>
          <w:sz w:val="24"/>
          <w:highlight w:val="none"/>
        </w:rPr>
      </w:pPr>
      <w:r>
        <w:rPr>
          <w:rFonts w:hint="eastAsia" w:ascii="宋体" w:hAnsi="宋体" w:cs="宋体"/>
          <w:sz w:val="24"/>
          <w:highlight w:val="none"/>
        </w:rPr>
        <w:t>7号墓</w:t>
      </w:r>
    </w:p>
    <w:p>
      <w:pPr>
        <w:pStyle w:val="20"/>
        <w:spacing w:before="0" w:after="0" w:line="360" w:lineRule="auto"/>
        <w:jc w:val="left"/>
        <w:outlineLvl w:val="9"/>
        <w:rPr>
          <w:rFonts w:ascii="宋体" w:hAnsi="宋体" w:cs="宋体"/>
          <w:sz w:val="24"/>
          <w:highlight w:val="none"/>
        </w:rPr>
      </w:pPr>
      <w:r>
        <w:rPr>
          <w:rFonts w:hint="eastAsia" w:ascii="宋体" w:hAnsi="宋体" w:cs="宋体"/>
          <w:highlight w:val="none"/>
        </w:rPr>
        <w:drawing>
          <wp:anchor distT="0" distB="0" distL="114300" distR="114300" simplePos="0" relativeHeight="251669504" behindDoc="0" locked="0" layoutInCell="1" allowOverlap="1">
            <wp:simplePos x="0" y="0"/>
            <wp:positionH relativeFrom="column">
              <wp:posOffset>-128905</wp:posOffset>
            </wp:positionH>
            <wp:positionV relativeFrom="paragraph">
              <wp:posOffset>138430</wp:posOffset>
            </wp:positionV>
            <wp:extent cx="5229225" cy="7237730"/>
            <wp:effectExtent l="0" t="0" r="9525" b="1270"/>
            <wp:wrapSquare wrapText="bothSides"/>
            <wp:docPr id="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pic:cNvPicPr>
                      <a:picLocks noChangeAspect="1"/>
                    </pic:cNvPicPr>
                  </pic:nvPicPr>
                  <pic:blipFill>
                    <a:blip r:embed="rId20"/>
                    <a:stretch>
                      <a:fillRect/>
                    </a:stretch>
                  </pic:blipFill>
                  <pic:spPr>
                    <a:xfrm>
                      <a:off x="0" y="0"/>
                      <a:ext cx="5229225" cy="7237730"/>
                    </a:xfrm>
                    <a:prstGeom prst="rect">
                      <a:avLst/>
                    </a:prstGeom>
                    <a:noFill/>
                    <a:ln>
                      <a:noFill/>
                    </a:ln>
                  </pic:spPr>
                </pic:pic>
              </a:graphicData>
            </a:graphic>
          </wp:anchor>
        </w:drawing>
      </w:r>
    </w:p>
    <w:p>
      <w:pPr>
        <w:spacing w:line="360" w:lineRule="auto"/>
        <w:rPr>
          <w:rFonts w:hAnsi="宋体" w:cs="宋体"/>
          <w:sz w:val="24"/>
          <w:highlight w:val="none"/>
        </w:rPr>
      </w:pP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8、 8号墓</w:t>
      </w:r>
    </w:p>
    <w:p>
      <w:pPr>
        <w:spacing w:line="360" w:lineRule="auto"/>
        <w:rPr>
          <w:rFonts w:hAnsi="宋体" w:cs="宋体"/>
          <w:sz w:val="24"/>
          <w:highlight w:val="none"/>
        </w:rPr>
      </w:pPr>
      <w:r>
        <w:rPr>
          <w:rFonts w:hint="eastAsia" w:hAnsi="宋体" w:cs="宋体"/>
          <w:highlight w:val="none"/>
        </w:rPr>
        <w:drawing>
          <wp:anchor distT="0" distB="0" distL="114300" distR="114300" simplePos="0" relativeHeight="251670528" behindDoc="0" locked="0" layoutInCell="1" allowOverlap="1">
            <wp:simplePos x="0" y="0"/>
            <wp:positionH relativeFrom="column">
              <wp:posOffset>-71120</wp:posOffset>
            </wp:positionH>
            <wp:positionV relativeFrom="paragraph">
              <wp:posOffset>142240</wp:posOffset>
            </wp:positionV>
            <wp:extent cx="5216525" cy="7203440"/>
            <wp:effectExtent l="0" t="0" r="3175" b="16510"/>
            <wp:wrapSquare wrapText="bothSides"/>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21"/>
                    <a:stretch>
                      <a:fillRect/>
                    </a:stretch>
                  </pic:blipFill>
                  <pic:spPr>
                    <a:xfrm>
                      <a:off x="0" y="0"/>
                      <a:ext cx="5216525" cy="7203440"/>
                    </a:xfrm>
                    <a:prstGeom prst="rect">
                      <a:avLst/>
                    </a:prstGeom>
                    <a:noFill/>
                    <a:ln>
                      <a:noFill/>
                    </a:ln>
                  </pic:spPr>
                </pic:pic>
              </a:graphicData>
            </a:graphic>
          </wp:anchor>
        </w:drawing>
      </w: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9、 9号墓</w:t>
      </w:r>
    </w:p>
    <w:p>
      <w:pPr>
        <w:spacing w:line="360" w:lineRule="auto"/>
        <w:rPr>
          <w:rFonts w:hAnsi="宋体" w:cs="宋体"/>
          <w:sz w:val="24"/>
          <w:highlight w:val="none"/>
        </w:rPr>
      </w:pPr>
      <w:r>
        <w:rPr>
          <w:rFonts w:hint="eastAsia" w:hAnsi="宋体" w:cs="宋体"/>
          <w:highlight w:val="none"/>
        </w:rPr>
        <w:drawing>
          <wp:anchor distT="0" distB="0" distL="114300" distR="114300" simplePos="0" relativeHeight="251671552" behindDoc="0" locked="0" layoutInCell="1" allowOverlap="1">
            <wp:simplePos x="0" y="0"/>
            <wp:positionH relativeFrom="column">
              <wp:posOffset>-95885</wp:posOffset>
            </wp:positionH>
            <wp:positionV relativeFrom="paragraph">
              <wp:posOffset>35560</wp:posOffset>
            </wp:positionV>
            <wp:extent cx="5261610" cy="7304405"/>
            <wp:effectExtent l="0" t="0" r="15240" b="10795"/>
            <wp:wrapSquare wrapText="bothSides"/>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22"/>
                    <a:stretch>
                      <a:fillRect/>
                    </a:stretch>
                  </pic:blipFill>
                  <pic:spPr>
                    <a:xfrm>
                      <a:off x="0" y="0"/>
                      <a:ext cx="5261610" cy="7304405"/>
                    </a:xfrm>
                    <a:prstGeom prst="rect">
                      <a:avLst/>
                    </a:prstGeom>
                    <a:noFill/>
                    <a:ln>
                      <a:noFill/>
                    </a:ln>
                  </pic:spPr>
                </pic:pic>
              </a:graphicData>
            </a:graphic>
          </wp:anchor>
        </w:drawing>
      </w: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10、 10号墓</w:t>
      </w:r>
    </w:p>
    <w:p>
      <w:pPr>
        <w:spacing w:line="360" w:lineRule="auto"/>
        <w:rPr>
          <w:rFonts w:hAnsi="宋体" w:cs="宋体"/>
          <w:sz w:val="24"/>
          <w:highlight w:val="none"/>
        </w:rPr>
      </w:pPr>
      <w:r>
        <w:rPr>
          <w:rFonts w:hint="eastAsia" w:hAnsi="宋体" w:cs="宋体"/>
          <w:highlight w:val="none"/>
        </w:rPr>
        <w:drawing>
          <wp:anchor distT="0" distB="0" distL="114300" distR="114300" simplePos="0" relativeHeight="251672576" behindDoc="0" locked="0" layoutInCell="1" allowOverlap="1">
            <wp:simplePos x="0" y="0"/>
            <wp:positionH relativeFrom="column">
              <wp:posOffset>-5715</wp:posOffset>
            </wp:positionH>
            <wp:positionV relativeFrom="paragraph">
              <wp:posOffset>73660</wp:posOffset>
            </wp:positionV>
            <wp:extent cx="5191760" cy="7177405"/>
            <wp:effectExtent l="0" t="0" r="8890" b="4445"/>
            <wp:wrapSquare wrapText="bothSides"/>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23"/>
                    <a:stretch>
                      <a:fillRect/>
                    </a:stretch>
                  </pic:blipFill>
                  <pic:spPr>
                    <a:xfrm>
                      <a:off x="0" y="0"/>
                      <a:ext cx="5191760" cy="7177405"/>
                    </a:xfrm>
                    <a:prstGeom prst="rect">
                      <a:avLst/>
                    </a:prstGeom>
                    <a:noFill/>
                    <a:ln>
                      <a:noFill/>
                    </a:ln>
                  </pic:spPr>
                </pic:pic>
              </a:graphicData>
            </a:graphic>
          </wp:anchor>
        </w:drawing>
      </w: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11、 11号墓</w:t>
      </w:r>
    </w:p>
    <w:p>
      <w:pPr>
        <w:spacing w:line="360" w:lineRule="auto"/>
        <w:rPr>
          <w:rFonts w:hAnsi="宋体" w:cs="宋体"/>
          <w:sz w:val="24"/>
          <w:highlight w:val="none"/>
        </w:rPr>
      </w:pPr>
      <w:r>
        <w:rPr>
          <w:rFonts w:hint="eastAsia" w:hAnsi="宋体" w:cs="宋体"/>
          <w:highlight w:val="none"/>
        </w:rPr>
        <w:drawing>
          <wp:anchor distT="0" distB="0" distL="114300" distR="114300" simplePos="0" relativeHeight="251673600" behindDoc="0" locked="0" layoutInCell="1" allowOverlap="1">
            <wp:simplePos x="0" y="0"/>
            <wp:positionH relativeFrom="column">
              <wp:posOffset>-46990</wp:posOffset>
            </wp:positionH>
            <wp:positionV relativeFrom="paragraph">
              <wp:posOffset>62230</wp:posOffset>
            </wp:positionV>
            <wp:extent cx="5279390" cy="7306945"/>
            <wp:effectExtent l="0" t="0" r="16510" b="8255"/>
            <wp:wrapSquare wrapText="bothSides"/>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24"/>
                    <a:stretch>
                      <a:fillRect/>
                    </a:stretch>
                  </pic:blipFill>
                  <pic:spPr>
                    <a:xfrm>
                      <a:off x="0" y="0"/>
                      <a:ext cx="5279390" cy="7306945"/>
                    </a:xfrm>
                    <a:prstGeom prst="rect">
                      <a:avLst/>
                    </a:prstGeom>
                    <a:noFill/>
                    <a:ln>
                      <a:noFill/>
                    </a:ln>
                  </pic:spPr>
                </pic:pic>
              </a:graphicData>
            </a:graphic>
          </wp:anchor>
        </w:drawing>
      </w: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12、12号墓</w:t>
      </w:r>
    </w:p>
    <w:p>
      <w:pPr>
        <w:pStyle w:val="20"/>
        <w:spacing w:before="0" w:after="0" w:line="360" w:lineRule="auto"/>
        <w:jc w:val="left"/>
        <w:outlineLvl w:val="9"/>
        <w:rPr>
          <w:rFonts w:ascii="宋体" w:hAnsi="宋体" w:cs="宋体"/>
          <w:sz w:val="24"/>
          <w:highlight w:val="none"/>
        </w:rPr>
      </w:pPr>
      <w:r>
        <w:rPr>
          <w:rFonts w:hint="eastAsia" w:ascii="宋体" w:hAnsi="宋体" w:cs="宋体"/>
          <w:highlight w:val="none"/>
        </w:rPr>
        <w:drawing>
          <wp:anchor distT="0" distB="0" distL="114300" distR="114300" simplePos="0" relativeHeight="251674624" behindDoc="0" locked="0" layoutInCell="1" allowOverlap="1">
            <wp:simplePos x="0" y="0"/>
            <wp:positionH relativeFrom="column">
              <wp:posOffset>-74930</wp:posOffset>
            </wp:positionH>
            <wp:positionV relativeFrom="paragraph">
              <wp:posOffset>81280</wp:posOffset>
            </wp:positionV>
            <wp:extent cx="5570855" cy="8381365"/>
            <wp:effectExtent l="0" t="0" r="10795" b="635"/>
            <wp:wrapNone/>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25"/>
                    <a:stretch>
                      <a:fillRect/>
                    </a:stretch>
                  </pic:blipFill>
                  <pic:spPr>
                    <a:xfrm>
                      <a:off x="0" y="0"/>
                      <a:ext cx="5570855" cy="8381365"/>
                    </a:xfrm>
                    <a:prstGeom prst="rect">
                      <a:avLst/>
                    </a:prstGeom>
                    <a:noFill/>
                    <a:ln>
                      <a:noFill/>
                    </a:ln>
                  </pic:spPr>
                </pic:pic>
              </a:graphicData>
            </a:graphic>
          </wp:anchor>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13、13号墓</w:t>
      </w:r>
    </w:p>
    <w:p>
      <w:pPr>
        <w:pStyle w:val="20"/>
        <w:spacing w:before="0" w:after="0" w:line="360" w:lineRule="auto"/>
        <w:jc w:val="left"/>
        <w:outlineLvl w:val="9"/>
        <w:rPr>
          <w:rFonts w:ascii="宋体" w:hAnsi="宋体" w:cs="宋体"/>
          <w:sz w:val="24"/>
          <w:highlight w:val="none"/>
        </w:rPr>
      </w:pPr>
      <w:r>
        <w:rPr>
          <w:rFonts w:hint="eastAsia" w:ascii="宋体" w:hAnsi="宋体" w:cs="宋体"/>
          <w:highlight w:val="none"/>
        </w:rPr>
        <w:drawing>
          <wp:anchor distT="0" distB="0" distL="114300" distR="114300" simplePos="0" relativeHeight="251675648" behindDoc="0" locked="0" layoutInCell="1" allowOverlap="1">
            <wp:simplePos x="0" y="0"/>
            <wp:positionH relativeFrom="column">
              <wp:posOffset>-66675</wp:posOffset>
            </wp:positionH>
            <wp:positionV relativeFrom="paragraph">
              <wp:posOffset>46990</wp:posOffset>
            </wp:positionV>
            <wp:extent cx="5628005" cy="8218170"/>
            <wp:effectExtent l="0" t="0" r="10795" b="11430"/>
            <wp:wrapNone/>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pic:cNvPicPr>
                  </pic:nvPicPr>
                  <pic:blipFill>
                    <a:blip r:embed="rId26"/>
                    <a:stretch>
                      <a:fillRect/>
                    </a:stretch>
                  </pic:blipFill>
                  <pic:spPr>
                    <a:xfrm>
                      <a:off x="0" y="0"/>
                      <a:ext cx="5628005" cy="8218170"/>
                    </a:xfrm>
                    <a:prstGeom prst="rect">
                      <a:avLst/>
                    </a:prstGeom>
                    <a:noFill/>
                    <a:ln>
                      <a:noFill/>
                    </a:ln>
                  </pic:spPr>
                </pic:pic>
              </a:graphicData>
            </a:graphic>
          </wp:anchor>
        </w:drawing>
      </w:r>
    </w:p>
    <w:p>
      <w:pPr>
        <w:spacing w:line="360" w:lineRule="auto"/>
        <w:rPr>
          <w:rFonts w:hAnsi="宋体" w:cs="宋体"/>
          <w:b/>
          <w:bCs/>
          <w:sz w:val="24"/>
          <w:highlight w:val="none"/>
        </w:rPr>
      </w:pP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14、14号墓</w:t>
      </w:r>
    </w:p>
    <w:p>
      <w:pPr>
        <w:pStyle w:val="20"/>
        <w:spacing w:before="0" w:after="0" w:line="360" w:lineRule="auto"/>
        <w:jc w:val="left"/>
        <w:outlineLvl w:val="9"/>
        <w:rPr>
          <w:rFonts w:ascii="宋体" w:hAnsi="宋体" w:cs="宋体"/>
          <w:sz w:val="24"/>
          <w:highlight w:val="none"/>
        </w:rPr>
      </w:pPr>
      <w:r>
        <w:rPr>
          <w:rFonts w:hint="eastAsia" w:ascii="宋体" w:hAnsi="宋体" w:cs="宋体"/>
          <w:highlight w:val="none"/>
        </w:rPr>
        <w:drawing>
          <wp:anchor distT="0" distB="0" distL="114300" distR="114300" simplePos="0" relativeHeight="251683840" behindDoc="0" locked="0" layoutInCell="1" allowOverlap="1">
            <wp:simplePos x="0" y="0"/>
            <wp:positionH relativeFrom="column">
              <wp:posOffset>-224155</wp:posOffset>
            </wp:positionH>
            <wp:positionV relativeFrom="paragraph">
              <wp:posOffset>60960</wp:posOffset>
            </wp:positionV>
            <wp:extent cx="5711825" cy="8344535"/>
            <wp:effectExtent l="0" t="0" r="3175" b="18415"/>
            <wp:wrapNone/>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27"/>
                    <a:stretch>
                      <a:fillRect/>
                    </a:stretch>
                  </pic:blipFill>
                  <pic:spPr>
                    <a:xfrm>
                      <a:off x="0" y="0"/>
                      <a:ext cx="5711825" cy="8344535"/>
                    </a:xfrm>
                    <a:prstGeom prst="rect">
                      <a:avLst/>
                    </a:prstGeom>
                    <a:noFill/>
                    <a:ln>
                      <a:noFill/>
                    </a:ln>
                  </pic:spPr>
                </pic:pic>
              </a:graphicData>
            </a:graphic>
          </wp:anchor>
        </w:drawing>
      </w:r>
    </w:p>
    <w:p>
      <w:pPr>
        <w:spacing w:line="360" w:lineRule="auto"/>
        <w:rPr>
          <w:rFonts w:hAnsi="宋体" w:cs="宋体"/>
          <w:b/>
          <w:bCs/>
          <w:sz w:val="24"/>
          <w:highlight w:val="none"/>
        </w:rPr>
      </w:pP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15、15号墓</w:t>
      </w:r>
    </w:p>
    <w:p>
      <w:pPr>
        <w:pStyle w:val="20"/>
        <w:spacing w:before="0" w:after="0" w:line="360" w:lineRule="auto"/>
        <w:jc w:val="left"/>
        <w:outlineLvl w:val="9"/>
        <w:rPr>
          <w:rFonts w:ascii="宋体" w:hAnsi="宋体" w:cs="宋体"/>
          <w:sz w:val="24"/>
          <w:highlight w:val="none"/>
        </w:rPr>
      </w:pPr>
      <w:r>
        <w:rPr>
          <w:rFonts w:hint="eastAsia" w:ascii="宋体" w:hAnsi="宋体" w:cs="宋体"/>
          <w:highlight w:val="none"/>
        </w:rPr>
        <w:drawing>
          <wp:anchor distT="0" distB="0" distL="114300" distR="114300" simplePos="0" relativeHeight="251676672" behindDoc="0" locked="0" layoutInCell="1" allowOverlap="1">
            <wp:simplePos x="0" y="0"/>
            <wp:positionH relativeFrom="column">
              <wp:posOffset>-20320</wp:posOffset>
            </wp:positionH>
            <wp:positionV relativeFrom="paragraph">
              <wp:posOffset>90170</wp:posOffset>
            </wp:positionV>
            <wp:extent cx="5768340" cy="8381365"/>
            <wp:effectExtent l="0" t="0" r="3810" b="635"/>
            <wp:wrapNone/>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28"/>
                    <a:stretch>
                      <a:fillRect/>
                    </a:stretch>
                  </pic:blipFill>
                  <pic:spPr>
                    <a:xfrm>
                      <a:off x="0" y="0"/>
                      <a:ext cx="5768340" cy="8381365"/>
                    </a:xfrm>
                    <a:prstGeom prst="rect">
                      <a:avLst/>
                    </a:prstGeom>
                    <a:noFill/>
                    <a:ln>
                      <a:noFill/>
                    </a:ln>
                  </pic:spPr>
                </pic:pic>
              </a:graphicData>
            </a:graphic>
          </wp:anchor>
        </w:drawing>
      </w:r>
    </w:p>
    <w:p>
      <w:pPr>
        <w:spacing w:line="360" w:lineRule="auto"/>
        <w:rPr>
          <w:rFonts w:hAnsi="宋体" w:cs="宋体"/>
          <w:b/>
          <w:bCs/>
          <w:sz w:val="24"/>
          <w:highlight w:val="none"/>
        </w:rPr>
      </w:pP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16、16号墓</w:t>
      </w:r>
    </w:p>
    <w:p>
      <w:pPr>
        <w:pStyle w:val="20"/>
        <w:spacing w:before="0" w:after="0" w:line="360" w:lineRule="auto"/>
        <w:jc w:val="left"/>
        <w:outlineLvl w:val="9"/>
        <w:rPr>
          <w:rFonts w:ascii="宋体" w:hAnsi="宋体" w:cs="宋体"/>
          <w:sz w:val="24"/>
          <w:highlight w:val="none"/>
        </w:rPr>
      </w:pPr>
      <w:r>
        <w:rPr>
          <w:rFonts w:hint="eastAsia" w:ascii="宋体" w:hAnsi="宋体" w:cs="宋体"/>
          <w:highlight w:val="none"/>
        </w:rPr>
        <w:drawing>
          <wp:anchor distT="0" distB="0" distL="114300" distR="114300" simplePos="0" relativeHeight="251677696" behindDoc="0" locked="0" layoutInCell="1" allowOverlap="1">
            <wp:simplePos x="0" y="0"/>
            <wp:positionH relativeFrom="column">
              <wp:posOffset>-55245</wp:posOffset>
            </wp:positionH>
            <wp:positionV relativeFrom="paragraph">
              <wp:posOffset>83185</wp:posOffset>
            </wp:positionV>
            <wp:extent cx="5814695" cy="8371205"/>
            <wp:effectExtent l="0" t="0" r="14605" b="10795"/>
            <wp:wrapNone/>
            <wp:docPr id="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1"/>
                    </pic:cNvPicPr>
                  </pic:nvPicPr>
                  <pic:blipFill>
                    <a:blip r:embed="rId29"/>
                    <a:stretch>
                      <a:fillRect/>
                    </a:stretch>
                  </pic:blipFill>
                  <pic:spPr>
                    <a:xfrm>
                      <a:off x="0" y="0"/>
                      <a:ext cx="5814695" cy="8371205"/>
                    </a:xfrm>
                    <a:prstGeom prst="rect">
                      <a:avLst/>
                    </a:prstGeom>
                    <a:noFill/>
                    <a:ln>
                      <a:noFill/>
                    </a:ln>
                  </pic:spPr>
                </pic:pic>
              </a:graphicData>
            </a:graphic>
          </wp:anchor>
        </w:drawing>
      </w:r>
    </w:p>
    <w:p>
      <w:pPr>
        <w:spacing w:line="360" w:lineRule="auto"/>
        <w:rPr>
          <w:rFonts w:hAnsi="宋体" w:cs="宋体"/>
          <w:b/>
          <w:bCs/>
          <w:sz w:val="24"/>
          <w:highlight w:val="none"/>
        </w:rPr>
      </w:pP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17、17号墓</w:t>
      </w:r>
    </w:p>
    <w:p>
      <w:pPr>
        <w:pStyle w:val="20"/>
        <w:spacing w:before="0" w:after="0" w:line="360" w:lineRule="auto"/>
        <w:jc w:val="left"/>
        <w:outlineLvl w:val="9"/>
        <w:rPr>
          <w:rFonts w:ascii="宋体" w:hAnsi="宋体" w:cs="宋体"/>
          <w:sz w:val="24"/>
          <w:highlight w:val="none"/>
        </w:rPr>
      </w:pPr>
      <w:r>
        <w:rPr>
          <w:rFonts w:hint="eastAsia" w:ascii="宋体" w:hAnsi="宋体" w:cs="宋体"/>
          <w:highlight w:val="none"/>
        </w:rPr>
        <w:drawing>
          <wp:anchor distT="0" distB="0" distL="114300" distR="114300" simplePos="0" relativeHeight="251678720" behindDoc="0" locked="0" layoutInCell="1" allowOverlap="1">
            <wp:simplePos x="0" y="0"/>
            <wp:positionH relativeFrom="column">
              <wp:posOffset>-168275</wp:posOffset>
            </wp:positionH>
            <wp:positionV relativeFrom="paragraph">
              <wp:posOffset>88900</wp:posOffset>
            </wp:positionV>
            <wp:extent cx="5925185" cy="8402320"/>
            <wp:effectExtent l="0" t="0" r="18415" b="17780"/>
            <wp:wrapNone/>
            <wp:docPr id="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1"/>
                    </pic:cNvPicPr>
                  </pic:nvPicPr>
                  <pic:blipFill>
                    <a:blip r:embed="rId30"/>
                    <a:stretch>
                      <a:fillRect/>
                    </a:stretch>
                  </pic:blipFill>
                  <pic:spPr>
                    <a:xfrm>
                      <a:off x="0" y="0"/>
                      <a:ext cx="5925185" cy="8402320"/>
                    </a:xfrm>
                    <a:prstGeom prst="rect">
                      <a:avLst/>
                    </a:prstGeom>
                    <a:noFill/>
                    <a:ln>
                      <a:noFill/>
                    </a:ln>
                  </pic:spPr>
                </pic:pic>
              </a:graphicData>
            </a:graphic>
          </wp:anchor>
        </w:drawing>
      </w:r>
    </w:p>
    <w:p>
      <w:pPr>
        <w:spacing w:line="360" w:lineRule="auto"/>
        <w:rPr>
          <w:rFonts w:hAnsi="宋体" w:cs="宋体"/>
          <w:b/>
          <w:bCs/>
          <w:sz w:val="24"/>
          <w:highlight w:val="none"/>
        </w:rPr>
      </w:pP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18、18号墓</w:t>
      </w:r>
    </w:p>
    <w:p>
      <w:pPr>
        <w:pStyle w:val="20"/>
        <w:spacing w:before="0" w:after="0" w:line="360" w:lineRule="auto"/>
        <w:jc w:val="left"/>
        <w:outlineLvl w:val="9"/>
        <w:rPr>
          <w:rFonts w:ascii="宋体" w:hAnsi="宋体" w:cs="宋体"/>
          <w:sz w:val="24"/>
          <w:highlight w:val="none"/>
        </w:rPr>
      </w:pPr>
      <w:r>
        <w:rPr>
          <w:rFonts w:hint="eastAsia" w:ascii="宋体" w:hAnsi="宋体" w:cs="宋体"/>
          <w:highlight w:val="none"/>
        </w:rPr>
        <w:drawing>
          <wp:anchor distT="0" distB="0" distL="114300" distR="114300" simplePos="0" relativeHeight="251679744" behindDoc="0" locked="0" layoutInCell="1" allowOverlap="1">
            <wp:simplePos x="0" y="0"/>
            <wp:positionH relativeFrom="column">
              <wp:posOffset>-47625</wp:posOffset>
            </wp:positionH>
            <wp:positionV relativeFrom="paragraph">
              <wp:posOffset>26670</wp:posOffset>
            </wp:positionV>
            <wp:extent cx="5406390" cy="8307070"/>
            <wp:effectExtent l="0" t="0" r="3810" b="17780"/>
            <wp:wrapNone/>
            <wp:docPr id="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8"/>
                    <pic:cNvPicPr>
                      <a:picLocks noChangeAspect="1"/>
                    </pic:cNvPicPr>
                  </pic:nvPicPr>
                  <pic:blipFill>
                    <a:blip r:embed="rId31"/>
                    <a:stretch>
                      <a:fillRect/>
                    </a:stretch>
                  </pic:blipFill>
                  <pic:spPr>
                    <a:xfrm>
                      <a:off x="0" y="0"/>
                      <a:ext cx="5406390" cy="8307070"/>
                    </a:xfrm>
                    <a:prstGeom prst="rect">
                      <a:avLst/>
                    </a:prstGeom>
                    <a:noFill/>
                    <a:ln>
                      <a:noFill/>
                    </a:ln>
                  </pic:spPr>
                </pic:pic>
              </a:graphicData>
            </a:graphic>
          </wp:anchor>
        </w:drawing>
      </w:r>
    </w:p>
    <w:p>
      <w:pPr>
        <w:spacing w:line="360" w:lineRule="auto"/>
        <w:rPr>
          <w:rFonts w:hAnsi="宋体" w:cs="宋体"/>
          <w:b/>
          <w:bCs/>
          <w:sz w:val="24"/>
          <w:highlight w:val="none"/>
        </w:rPr>
      </w:pP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19、19号墓</w:t>
      </w:r>
    </w:p>
    <w:p>
      <w:pPr>
        <w:spacing w:line="360" w:lineRule="auto"/>
        <w:rPr>
          <w:rFonts w:hAnsi="宋体" w:cs="宋体"/>
          <w:b/>
          <w:bCs/>
          <w:sz w:val="24"/>
          <w:highlight w:val="none"/>
        </w:rPr>
      </w:pPr>
      <w:r>
        <w:rPr>
          <w:rFonts w:hint="eastAsia" w:hAnsi="宋体" w:cs="宋体"/>
          <w:highlight w:val="none"/>
        </w:rPr>
        <w:drawing>
          <wp:anchor distT="0" distB="0" distL="114300" distR="114300" simplePos="0" relativeHeight="251680768" behindDoc="0" locked="0" layoutInCell="1" allowOverlap="1">
            <wp:simplePos x="0" y="0"/>
            <wp:positionH relativeFrom="column">
              <wp:posOffset>-88900</wp:posOffset>
            </wp:positionH>
            <wp:positionV relativeFrom="paragraph">
              <wp:posOffset>102235</wp:posOffset>
            </wp:positionV>
            <wp:extent cx="5398770" cy="8387080"/>
            <wp:effectExtent l="0" t="0" r="11430" b="13970"/>
            <wp:wrapNone/>
            <wp:docPr id="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9"/>
                    <pic:cNvPicPr>
                      <a:picLocks noChangeAspect="1"/>
                    </pic:cNvPicPr>
                  </pic:nvPicPr>
                  <pic:blipFill>
                    <a:blip r:embed="rId32"/>
                    <a:stretch>
                      <a:fillRect/>
                    </a:stretch>
                  </pic:blipFill>
                  <pic:spPr>
                    <a:xfrm>
                      <a:off x="0" y="0"/>
                      <a:ext cx="5398770" cy="8387080"/>
                    </a:xfrm>
                    <a:prstGeom prst="rect">
                      <a:avLst/>
                    </a:prstGeom>
                    <a:noFill/>
                    <a:ln>
                      <a:noFill/>
                    </a:ln>
                  </pic:spPr>
                </pic:pic>
              </a:graphicData>
            </a:graphic>
          </wp:anchor>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20、20号墓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448935" cy="7527290"/>
            <wp:effectExtent l="0" t="0" r="18415" b="16510"/>
            <wp:docPr id="50" name="图片 2" descr="20号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descr="20号图"/>
                    <pic:cNvPicPr>
                      <a:picLocks noChangeAspect="1"/>
                    </pic:cNvPicPr>
                  </pic:nvPicPr>
                  <pic:blipFill>
                    <a:blip r:embed="rId33"/>
                    <a:stretch>
                      <a:fillRect/>
                    </a:stretch>
                  </pic:blipFill>
                  <pic:spPr>
                    <a:xfrm>
                      <a:off x="0" y="0"/>
                      <a:ext cx="5448935" cy="752729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21、21号墓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51" name="图片 4" descr="21号全图_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descr="21号全图_修图"/>
                    <pic:cNvPicPr>
                      <a:picLocks noChangeAspect="1"/>
                    </pic:cNvPicPr>
                  </pic:nvPicPr>
                  <pic:blipFill>
                    <a:blip r:embed="rId34"/>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22、22号墓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52" name="图片 5" descr="22号全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descr="22号全图_1"/>
                    <pic:cNvPicPr>
                      <a:picLocks noChangeAspect="1"/>
                    </pic:cNvPicPr>
                  </pic:nvPicPr>
                  <pic:blipFill>
                    <a:blip r:embed="rId35"/>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23、23号墓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193030" cy="7172960"/>
            <wp:effectExtent l="0" t="0" r="7620" b="8890"/>
            <wp:docPr id="53" name="图片 32" descr="23号全图_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2" descr="23号全图_修改"/>
                    <pic:cNvPicPr>
                      <a:picLocks noChangeAspect="1"/>
                    </pic:cNvPicPr>
                  </pic:nvPicPr>
                  <pic:blipFill>
                    <a:blip r:embed="rId36"/>
                    <a:stretch>
                      <a:fillRect/>
                    </a:stretch>
                  </pic:blipFill>
                  <pic:spPr>
                    <a:xfrm rot="10800000">
                      <a:off x="0" y="0"/>
                      <a:ext cx="5193030" cy="717296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24、24号墓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54" name="图片 7" descr="24号全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descr="24号全图2"/>
                    <pic:cNvPicPr>
                      <a:picLocks noChangeAspect="1"/>
                    </pic:cNvPicPr>
                  </pic:nvPicPr>
                  <pic:blipFill>
                    <a:blip r:embed="rId37"/>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25、25号墓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55" name="图片 8" descr="25号全图_修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descr="25号全图_修改2"/>
                    <pic:cNvPicPr>
                      <a:picLocks noChangeAspect="1"/>
                    </pic:cNvPicPr>
                  </pic:nvPicPr>
                  <pic:blipFill>
                    <a:blip r:embed="rId38"/>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26、26号墓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56" name="图片 9" descr="26号全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descr="26号全图_1"/>
                    <pic:cNvPicPr>
                      <a:picLocks noChangeAspect="1"/>
                    </pic:cNvPicPr>
                  </pic:nvPicPr>
                  <pic:blipFill>
                    <a:blip r:embed="rId39"/>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27、27号墓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398770" cy="7636510"/>
            <wp:effectExtent l="0" t="0" r="11430" b="2540"/>
            <wp:docPr id="57" name="图片 10" descr="27号全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descr="27号全图_1"/>
                    <pic:cNvPicPr>
                      <a:picLocks noChangeAspect="1"/>
                    </pic:cNvPicPr>
                  </pic:nvPicPr>
                  <pic:blipFill>
                    <a:blip r:embed="rId40"/>
                    <a:stretch>
                      <a:fillRect/>
                    </a:stretch>
                  </pic:blipFill>
                  <pic:spPr>
                    <a:xfrm rot="10800000">
                      <a:off x="0" y="0"/>
                      <a:ext cx="5398770" cy="763651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28、28号墓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58" name="图片 11" descr="28号全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descr="28号全图_1"/>
                    <pic:cNvPicPr>
                      <a:picLocks noChangeAspect="1"/>
                    </pic:cNvPicPr>
                  </pic:nvPicPr>
                  <pic:blipFill>
                    <a:blip r:embed="rId41"/>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29、29号墓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59" name="图片 12" descr="29号全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descr="29号全图_1"/>
                    <pic:cNvPicPr>
                      <a:picLocks noChangeAspect="1"/>
                    </pic:cNvPicPr>
                  </pic:nvPicPr>
                  <pic:blipFill>
                    <a:blip r:embed="rId42"/>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30、30号墓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60" name="图片 13" descr="30号全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 descr="30号全图_1"/>
                    <pic:cNvPicPr>
                      <a:picLocks noChangeAspect="1"/>
                    </pic:cNvPicPr>
                  </pic:nvPicPr>
                  <pic:blipFill>
                    <a:blip r:embed="rId43"/>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31、31号墓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62" name="图片 14" descr="31号全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descr="31号全图_1"/>
                    <pic:cNvPicPr>
                      <a:picLocks noChangeAspect="1"/>
                    </pic:cNvPicPr>
                  </pic:nvPicPr>
                  <pic:blipFill>
                    <a:blip r:embed="rId44"/>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32、32号墓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6690" cy="7446645"/>
            <wp:effectExtent l="0" t="0" r="10160" b="1905"/>
            <wp:docPr id="63" name="图片 15" descr="32号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 descr="32号全图"/>
                    <pic:cNvPicPr>
                      <a:picLocks noChangeAspect="1"/>
                    </pic:cNvPicPr>
                  </pic:nvPicPr>
                  <pic:blipFill>
                    <a:blip r:embed="rId45"/>
                    <a:stretch>
                      <a:fillRect/>
                    </a:stretch>
                  </pic:blipFill>
                  <pic:spPr>
                    <a:xfrm rot="10800000">
                      <a:off x="0" y="0"/>
                      <a:ext cx="5266690" cy="7446645"/>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33、33号墓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64" name="图片 16" descr="33号全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descr="33号全图2"/>
                    <pic:cNvPicPr>
                      <a:picLocks noChangeAspect="1"/>
                    </pic:cNvPicPr>
                  </pic:nvPicPr>
                  <pic:blipFill>
                    <a:blip r:embed="rId46"/>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34、34号墓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65" name="图片 17" descr="34号全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descr="34号全图2"/>
                    <pic:cNvPicPr>
                      <a:picLocks noChangeAspect="1"/>
                    </pic:cNvPicPr>
                  </pic:nvPicPr>
                  <pic:blipFill>
                    <a:blip r:embed="rId47"/>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35、35号墓</w:t>
      </w:r>
    </w:p>
    <w:p>
      <w:pPr>
        <w:spacing w:line="360" w:lineRule="auto"/>
        <w:rPr>
          <w:rFonts w:hAnsi="宋体" w:cs="宋体"/>
          <w:b/>
          <w:bCs/>
          <w:sz w:val="24"/>
          <w:highlight w:val="none"/>
        </w:rPr>
      </w:pPr>
      <w:r>
        <w:rPr>
          <w:rFonts w:hint="eastAsia" w:hAnsi="宋体" w:cs="宋体"/>
          <w:highlight w:val="none"/>
        </w:rPr>
        <w:drawing>
          <wp:inline distT="0" distB="0" distL="114300" distR="114300">
            <wp:extent cx="5269865" cy="7454900"/>
            <wp:effectExtent l="0" t="0" r="6985" b="12700"/>
            <wp:docPr id="66" name="图片 18" descr="35号全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descr="35号全图3"/>
                    <pic:cNvPicPr>
                      <a:picLocks noChangeAspect="1"/>
                    </pic:cNvPicPr>
                  </pic:nvPicPr>
                  <pic:blipFill>
                    <a:blip r:embed="rId48"/>
                    <a:stretch>
                      <a:fillRect/>
                    </a:stretch>
                  </pic:blipFill>
                  <pic:spPr>
                    <a:xfrm rot="10800000">
                      <a:off x="0" y="0"/>
                      <a:ext cx="5269865" cy="7454900"/>
                    </a:xfrm>
                    <a:prstGeom prst="rect">
                      <a:avLst/>
                    </a:prstGeom>
                    <a:noFill/>
                    <a:ln>
                      <a:noFill/>
                    </a:ln>
                  </pic:spPr>
                </pic:pic>
              </a:graphicData>
            </a:graphic>
          </wp:inline>
        </w:drawing>
      </w:r>
      <w:r>
        <w:rPr>
          <w:rFonts w:hint="eastAsia" w:hAnsi="宋体" w:cs="宋体"/>
          <w:b/>
          <w:bCs/>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36、36号墓</w:t>
      </w:r>
    </w:p>
    <w:p>
      <w:pPr>
        <w:widowControl/>
        <w:snapToGrid w:val="0"/>
        <w:spacing w:line="360" w:lineRule="auto"/>
        <w:ind w:firstLine="680" w:firstLineChars="200"/>
        <w:jc w:val="left"/>
        <w:rPr>
          <w:rFonts w:hAnsi="宋体" w:cs="宋体"/>
          <w:sz w:val="24"/>
          <w:highlight w:val="none"/>
        </w:rPr>
      </w:pPr>
      <w:r>
        <w:rPr>
          <w:rFonts w:hint="eastAsia" w:hAnsi="宋体" w:cs="宋体"/>
          <w:highlight w:val="none"/>
        </w:rPr>
        <w:drawing>
          <wp:inline distT="0" distB="0" distL="114300" distR="114300">
            <wp:extent cx="5269865" cy="7454900"/>
            <wp:effectExtent l="0" t="0" r="6985" b="12700"/>
            <wp:docPr id="67" name="图片 19" descr="36号全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9" descr="36号全图3"/>
                    <pic:cNvPicPr>
                      <a:picLocks noChangeAspect="1"/>
                    </pic:cNvPicPr>
                  </pic:nvPicPr>
                  <pic:blipFill>
                    <a:blip r:embed="rId49"/>
                    <a:stretch>
                      <a:fillRect/>
                    </a:stretch>
                  </pic:blipFill>
                  <pic:spPr>
                    <a:xfrm rot="10800000">
                      <a:off x="0" y="0"/>
                      <a:ext cx="5269865" cy="7454900"/>
                    </a:xfrm>
                    <a:prstGeom prst="rect">
                      <a:avLst/>
                    </a:prstGeom>
                    <a:noFill/>
                    <a:ln>
                      <a:noFill/>
                    </a:ln>
                  </pic:spPr>
                </pic:pic>
              </a:graphicData>
            </a:graphic>
          </wp:inline>
        </w:drawing>
      </w:r>
    </w:p>
    <w:p>
      <w:pPr>
        <w:rPr>
          <w:rFonts w:hAnsi="宋体" w:cs="宋体"/>
          <w:sz w:val="24"/>
          <w:highlight w:val="none"/>
        </w:rPr>
        <w:sectPr>
          <w:footerReference r:id="rId9" w:type="default"/>
          <w:type w:val="nextColumn"/>
          <w:pgSz w:w="11906" w:h="16838"/>
          <w:pgMar w:top="1361" w:right="1361" w:bottom="1417" w:left="1474" w:header="851" w:footer="992" w:gutter="0"/>
          <w:cols w:space="0" w:num="1"/>
          <w:docGrid w:type="lines" w:linePitch="312" w:charSpace="0"/>
        </w:sectPr>
      </w:pPr>
      <w:r>
        <w:rPr>
          <w:rFonts w:hint="eastAsia" w:hAnsi="宋体" w:cs="宋体"/>
          <w:sz w:val="24"/>
          <w:highlight w:val="none"/>
        </w:rPr>
        <w:br w:type="page"/>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37、37号墓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34025" cy="7810500"/>
            <wp:effectExtent l="0" t="0" r="9525" b="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50"/>
                    <a:stretch>
                      <a:fillRect/>
                    </a:stretch>
                  </pic:blipFill>
                  <pic:spPr>
                    <a:xfrm rot="10800000">
                      <a:off x="0" y="0"/>
                      <a:ext cx="5534025" cy="781050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38、38号墓</w:t>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34025" cy="7829550"/>
            <wp:effectExtent l="0" t="0" r="9525" b="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51"/>
                    <a:stretch>
                      <a:fillRect/>
                    </a:stretch>
                  </pic:blipFill>
                  <pic:spPr>
                    <a:xfrm rot="10800000">
                      <a:off x="0" y="0"/>
                      <a:ext cx="5534025" cy="782955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39、39号墓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24500" cy="7829550"/>
            <wp:effectExtent l="0" t="0" r="0" b="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52"/>
                    <a:stretch>
                      <a:fillRect/>
                    </a:stretch>
                  </pic:blipFill>
                  <pic:spPr>
                    <a:xfrm rot="10800000">
                      <a:off x="0" y="0"/>
                      <a:ext cx="5524500" cy="782955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40、40号墓</w:t>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43550" cy="7839075"/>
            <wp:effectExtent l="0" t="0" r="0" b="952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53"/>
                    <a:stretch>
                      <a:fillRect/>
                    </a:stretch>
                  </pic:blipFill>
                  <pic:spPr>
                    <a:xfrm rot="10800000">
                      <a:off x="0" y="0"/>
                      <a:ext cx="5543550" cy="7839075"/>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41、41号墓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43550" cy="7839075"/>
            <wp:effectExtent l="0" t="0" r="0" b="952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54"/>
                    <a:stretch>
                      <a:fillRect/>
                    </a:stretch>
                  </pic:blipFill>
                  <pic:spPr>
                    <a:xfrm rot="10800000">
                      <a:off x="0" y="0"/>
                      <a:ext cx="5543550" cy="7839075"/>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42、42号墓</w:t>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43550" cy="7829550"/>
            <wp:effectExtent l="0" t="0" r="0" b="0"/>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55"/>
                    <a:stretch>
                      <a:fillRect/>
                    </a:stretch>
                  </pic:blipFill>
                  <pic:spPr>
                    <a:xfrm rot="10800000">
                      <a:off x="0" y="0"/>
                      <a:ext cx="5543550" cy="782955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43、43号墓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34025" cy="7820025"/>
            <wp:effectExtent l="0" t="0" r="9525" b="9525"/>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56"/>
                    <a:stretch>
                      <a:fillRect/>
                    </a:stretch>
                  </pic:blipFill>
                  <pic:spPr>
                    <a:xfrm rot="10800000">
                      <a:off x="0" y="0"/>
                      <a:ext cx="5534025" cy="7820025"/>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44、44号墓</w:t>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53075" cy="7829550"/>
            <wp:effectExtent l="0" t="0" r="9525" b="0"/>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57"/>
                    <a:stretch>
                      <a:fillRect/>
                    </a:stretch>
                  </pic:blipFill>
                  <pic:spPr>
                    <a:xfrm rot="10800000">
                      <a:off x="0" y="0"/>
                      <a:ext cx="5553075" cy="782955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45、45号墓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43550" cy="7820025"/>
            <wp:effectExtent l="0" t="0" r="0" b="9525"/>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58"/>
                    <a:stretch>
                      <a:fillRect/>
                    </a:stretch>
                  </pic:blipFill>
                  <pic:spPr>
                    <a:xfrm rot="10800000">
                      <a:off x="0" y="0"/>
                      <a:ext cx="5543550" cy="7820025"/>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46、46号墓</w:t>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53075" cy="7810500"/>
            <wp:effectExtent l="0" t="0" r="9525" b="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59"/>
                    <a:stretch>
                      <a:fillRect/>
                    </a:stretch>
                  </pic:blipFill>
                  <pic:spPr>
                    <a:xfrm rot="10800000">
                      <a:off x="0" y="0"/>
                      <a:ext cx="5553075" cy="781050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47、47号墓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24500" cy="7858125"/>
            <wp:effectExtent l="0" t="0" r="0" b="9525"/>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60"/>
                    <a:stretch>
                      <a:fillRect/>
                    </a:stretch>
                  </pic:blipFill>
                  <pic:spPr>
                    <a:xfrm rot="10800000">
                      <a:off x="0" y="0"/>
                      <a:ext cx="5524500" cy="7858125"/>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62600" cy="7820025"/>
            <wp:effectExtent l="0" t="0" r="0" b="9525"/>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61"/>
                    <a:stretch>
                      <a:fillRect/>
                    </a:stretch>
                  </pic:blipFill>
                  <pic:spPr>
                    <a:xfrm>
                      <a:off x="0" y="0"/>
                      <a:ext cx="5562600" cy="7820025"/>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48、48号墓</w:t>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43550" cy="7858125"/>
            <wp:effectExtent l="0" t="0" r="0" b="9525"/>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62"/>
                    <a:stretch>
                      <a:fillRect/>
                    </a:stretch>
                  </pic:blipFill>
                  <pic:spPr>
                    <a:xfrm rot="10800000">
                      <a:off x="0" y="0"/>
                      <a:ext cx="5543550" cy="7858125"/>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49、49号墓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53075" cy="7791450"/>
            <wp:effectExtent l="0" t="0" r="9525" b="0"/>
            <wp:docPr id="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4"/>
                    <pic:cNvPicPr>
                      <a:picLocks noChangeAspect="1"/>
                    </pic:cNvPicPr>
                  </pic:nvPicPr>
                  <pic:blipFill>
                    <a:blip r:embed="rId63"/>
                    <a:stretch>
                      <a:fillRect/>
                    </a:stretch>
                  </pic:blipFill>
                  <pic:spPr>
                    <a:xfrm rot="10800000">
                      <a:off x="0" y="0"/>
                      <a:ext cx="5553075" cy="779145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50、50号墓</w:t>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14975" cy="7810500"/>
            <wp:effectExtent l="0" t="0" r="9525" b="0"/>
            <wp:docPr id="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5"/>
                    <pic:cNvPicPr>
                      <a:picLocks noChangeAspect="1"/>
                    </pic:cNvPicPr>
                  </pic:nvPicPr>
                  <pic:blipFill>
                    <a:blip r:embed="rId64"/>
                    <a:stretch>
                      <a:fillRect/>
                    </a:stretch>
                  </pic:blipFill>
                  <pic:spPr>
                    <a:xfrm rot="10800000">
                      <a:off x="0" y="0"/>
                      <a:ext cx="5514975" cy="781050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51、51号墓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53075" cy="7820025"/>
            <wp:effectExtent l="0" t="0" r="9525" b="9525"/>
            <wp:docPr id="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6"/>
                    <pic:cNvPicPr>
                      <a:picLocks noChangeAspect="1"/>
                    </pic:cNvPicPr>
                  </pic:nvPicPr>
                  <pic:blipFill>
                    <a:blip r:embed="rId65"/>
                    <a:stretch>
                      <a:fillRect/>
                    </a:stretch>
                  </pic:blipFill>
                  <pic:spPr>
                    <a:xfrm rot="10800000">
                      <a:off x="0" y="0"/>
                      <a:ext cx="5553075" cy="7820025"/>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52、52号墓</w:t>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24500" cy="7791450"/>
            <wp:effectExtent l="0" t="0" r="0" b="0"/>
            <wp:docPr id="8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7"/>
                    <pic:cNvPicPr>
                      <a:picLocks noChangeAspect="1"/>
                    </pic:cNvPicPr>
                  </pic:nvPicPr>
                  <pic:blipFill>
                    <a:blip r:embed="rId66"/>
                    <a:stretch>
                      <a:fillRect/>
                    </a:stretch>
                  </pic:blipFill>
                  <pic:spPr>
                    <a:xfrm rot="10800000">
                      <a:off x="0" y="0"/>
                      <a:ext cx="5524500" cy="779145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53、53号墓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24500" cy="7820025"/>
            <wp:effectExtent l="0" t="0" r="0" b="9525"/>
            <wp:docPr id="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
                    <pic:cNvPicPr>
                      <a:picLocks noChangeAspect="1"/>
                    </pic:cNvPicPr>
                  </pic:nvPicPr>
                  <pic:blipFill>
                    <a:blip r:embed="rId67"/>
                    <a:stretch>
                      <a:fillRect/>
                    </a:stretch>
                  </pic:blipFill>
                  <pic:spPr>
                    <a:xfrm rot="10800000">
                      <a:off x="0" y="0"/>
                      <a:ext cx="5524500" cy="7820025"/>
                    </a:xfrm>
                    <a:prstGeom prst="rect">
                      <a:avLst/>
                    </a:prstGeom>
                    <a:noFill/>
                    <a:ln>
                      <a:noFill/>
                    </a:ln>
                  </pic:spPr>
                </pic:pic>
              </a:graphicData>
            </a:graphic>
          </wp:inline>
        </w:drawing>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43550" cy="7810500"/>
            <wp:effectExtent l="0" t="0" r="0" b="0"/>
            <wp:docPr id="8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9"/>
                    <pic:cNvPicPr>
                      <a:picLocks noChangeAspect="1"/>
                    </pic:cNvPicPr>
                  </pic:nvPicPr>
                  <pic:blipFill>
                    <a:blip r:embed="rId68"/>
                    <a:stretch>
                      <a:fillRect/>
                    </a:stretch>
                  </pic:blipFill>
                  <pic:spPr>
                    <a:xfrm rot="10800000">
                      <a:off x="0" y="0"/>
                      <a:ext cx="5543550" cy="7810500"/>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54、54号墓</w:t>
      </w:r>
    </w:p>
    <w:p>
      <w:pPr>
        <w:pStyle w:val="2"/>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34025" cy="7839075"/>
            <wp:effectExtent l="0" t="0" r="9525" b="9525"/>
            <wp:docPr id="8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0"/>
                    <pic:cNvPicPr>
                      <a:picLocks noChangeAspect="1"/>
                    </pic:cNvPicPr>
                  </pic:nvPicPr>
                  <pic:blipFill>
                    <a:blip r:embed="rId69"/>
                    <a:stretch>
                      <a:fillRect/>
                    </a:stretch>
                  </pic:blipFill>
                  <pic:spPr>
                    <a:xfrm rot="10800000">
                      <a:off x="0" y="0"/>
                      <a:ext cx="5534025" cy="7839075"/>
                    </a:xfrm>
                    <a:prstGeom prst="rect">
                      <a:avLst/>
                    </a:prstGeom>
                    <a:noFill/>
                    <a:ln>
                      <a:noFill/>
                    </a:ln>
                  </pic:spPr>
                </pic:pic>
              </a:graphicData>
            </a:graphic>
          </wp:inline>
        </w:drawing>
      </w:r>
    </w:p>
    <w:p>
      <w:pPr>
        <w:pStyle w:val="20"/>
        <w:spacing w:before="0" w:after="0" w:line="360" w:lineRule="auto"/>
        <w:jc w:val="left"/>
        <w:outlineLvl w:val="9"/>
        <w:rPr>
          <w:rFonts w:ascii="宋体" w:hAnsi="宋体" w:cs="宋体"/>
          <w:sz w:val="24"/>
          <w:highlight w:val="none"/>
        </w:rPr>
      </w:pPr>
      <w:r>
        <w:rPr>
          <w:rFonts w:hint="eastAsia" w:ascii="宋体" w:hAnsi="宋体" w:cs="宋体"/>
          <w:sz w:val="24"/>
          <w:highlight w:val="none"/>
        </w:rPr>
        <w:t>55、55号墓</w:t>
      </w:r>
    </w:p>
    <w:p>
      <w:pPr>
        <w:rPr>
          <w:highlight w:val="none"/>
        </w:rPr>
        <w:sectPr>
          <w:pgSz w:w="11906" w:h="16838"/>
          <w:pgMar w:top="1361" w:right="1361" w:bottom="1417" w:left="1474" w:header="851" w:footer="992" w:gutter="0"/>
          <w:cols w:space="0" w:num="1"/>
          <w:docGrid w:type="lines" w:linePitch="312" w:charSpace="0"/>
        </w:sectPr>
      </w:pPr>
      <w:r>
        <w:rPr>
          <w:highlight w:val="none"/>
        </w:rPr>
        <w:drawing>
          <wp:inline distT="0" distB="0" distL="114300" distR="114300">
            <wp:extent cx="5524500" cy="7810500"/>
            <wp:effectExtent l="0" t="0" r="0" b="0"/>
            <wp:docPr id="8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1"/>
                    <pic:cNvPicPr>
                      <a:picLocks noChangeAspect="1"/>
                    </pic:cNvPicPr>
                  </pic:nvPicPr>
                  <pic:blipFill>
                    <a:blip r:embed="rId70"/>
                    <a:stretch>
                      <a:fillRect/>
                    </a:stretch>
                  </pic:blipFill>
                  <pic:spPr>
                    <a:xfrm rot="10800000">
                      <a:off x="0" y="0"/>
                      <a:ext cx="5524500" cy="7810500"/>
                    </a:xfrm>
                    <a:prstGeom prst="rect">
                      <a:avLst/>
                    </a:prstGeom>
                    <a:noFill/>
                    <a:ln>
                      <a:noFill/>
                    </a:ln>
                  </pic:spPr>
                </pic:pic>
              </a:graphicData>
            </a:graphic>
          </wp:inline>
        </w:drawing>
      </w:r>
    </w:p>
    <w:p>
      <w:pPr>
        <w:widowControl/>
        <w:snapToGrid w:val="0"/>
        <w:spacing w:line="360" w:lineRule="auto"/>
        <w:jc w:val="left"/>
        <w:rPr>
          <w:rFonts w:hAnsi="宋体" w:cs="宋体"/>
          <w:sz w:val="24"/>
          <w:highlight w:val="none"/>
        </w:rPr>
      </w:pPr>
      <w:r>
        <w:rPr>
          <w:rFonts w:hint="eastAsia" w:hAnsi="宋体" w:cs="宋体"/>
          <w:sz w:val="24"/>
          <w:highlight w:val="none"/>
        </w:rPr>
        <w:t>注：</w:t>
      </w:r>
    </w:p>
    <w:p>
      <w:pPr>
        <w:pStyle w:val="2"/>
        <w:ind w:firstLine="480" w:firstLineChars="200"/>
        <w:rPr>
          <w:sz w:val="24"/>
          <w:szCs w:val="24"/>
          <w:highlight w:val="none"/>
        </w:rPr>
      </w:pPr>
      <w:r>
        <w:rPr>
          <w:rFonts w:hint="eastAsia"/>
          <w:sz w:val="24"/>
          <w:szCs w:val="24"/>
          <w:highlight w:val="none"/>
        </w:rPr>
        <w:t>1、规格单位为mm。</w:t>
      </w:r>
    </w:p>
    <w:p>
      <w:pPr>
        <w:widowControl/>
        <w:snapToGrid w:val="0"/>
        <w:spacing w:line="360" w:lineRule="auto"/>
        <w:ind w:firstLine="480" w:firstLineChars="200"/>
        <w:jc w:val="left"/>
        <w:rPr>
          <w:rFonts w:hAnsi="宋体" w:cs="宋体"/>
          <w:sz w:val="24"/>
          <w:highlight w:val="none"/>
        </w:rPr>
      </w:pPr>
      <w:r>
        <w:rPr>
          <w:rFonts w:hint="eastAsia" w:hAnsi="宋体" w:cs="宋体"/>
          <w:sz w:val="24"/>
          <w:szCs w:val="24"/>
          <w:highlight w:val="none"/>
        </w:rPr>
        <w:t>2、本项目参数一共460条，</w:t>
      </w:r>
      <w:r>
        <w:rPr>
          <w:rFonts w:hint="eastAsia" w:hAnsi="宋体" w:cs="宋体"/>
          <w:sz w:val="24"/>
          <w:highlight w:val="none"/>
        </w:rPr>
        <w:t>不满足将按照综合评分明细表进行扣分。</w:t>
      </w:r>
    </w:p>
    <w:p>
      <w:pPr>
        <w:pStyle w:val="2"/>
        <w:spacing w:line="360" w:lineRule="auto"/>
        <w:rPr>
          <w:rFonts w:hAnsi="宋体" w:cs="宋体"/>
          <w:b/>
          <w:bCs/>
          <w:sz w:val="24"/>
          <w:szCs w:val="24"/>
          <w:highlight w:val="none"/>
        </w:rPr>
      </w:pPr>
      <w:r>
        <w:rPr>
          <w:rFonts w:hint="eastAsia" w:hAnsi="宋体" w:cs="宋体"/>
          <w:b/>
          <w:bCs/>
          <w:sz w:val="24"/>
          <w:highlight w:val="none"/>
        </w:rPr>
        <w:t>（三）样品</w:t>
      </w:r>
      <w:r>
        <w:rPr>
          <w:rFonts w:hint="eastAsia" w:hAnsi="宋体" w:cs="宋体"/>
          <w:b/>
          <w:bCs/>
          <w:sz w:val="24"/>
          <w:szCs w:val="24"/>
          <w:highlight w:val="none"/>
        </w:rPr>
        <w:t>石材材质清单</w:t>
      </w:r>
    </w:p>
    <w:tbl>
      <w:tblPr>
        <w:tblStyle w:val="27"/>
        <w:tblW w:w="9016" w:type="dxa"/>
        <w:tblInd w:w="0" w:type="dxa"/>
        <w:tblLayout w:type="fixed"/>
        <w:tblCellMar>
          <w:top w:w="15" w:type="dxa"/>
          <w:left w:w="15" w:type="dxa"/>
          <w:bottom w:w="15" w:type="dxa"/>
          <w:right w:w="15" w:type="dxa"/>
        </w:tblCellMar>
      </w:tblPr>
      <w:tblGrid>
        <w:gridCol w:w="554"/>
        <w:gridCol w:w="2580"/>
        <w:gridCol w:w="1800"/>
        <w:gridCol w:w="860"/>
        <w:gridCol w:w="3222"/>
      </w:tblGrid>
      <w:tr>
        <w:tblPrEx>
          <w:tblCellMar>
            <w:top w:w="15" w:type="dxa"/>
            <w:left w:w="15" w:type="dxa"/>
            <w:bottom w:w="15" w:type="dxa"/>
            <w:right w:w="15" w:type="dxa"/>
          </w:tblCellMar>
        </w:tblPrEx>
        <w:trPr>
          <w:trHeight w:val="421"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序号</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材质名称</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类型</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数量</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规格（长宽高）</w:t>
            </w:r>
          </w:p>
        </w:tc>
      </w:tr>
      <w:tr>
        <w:tblPrEx>
          <w:tblCellMar>
            <w:top w:w="15" w:type="dxa"/>
            <w:left w:w="15" w:type="dxa"/>
            <w:bottom w:w="15" w:type="dxa"/>
            <w:right w:w="15" w:type="dxa"/>
          </w:tblCellMar>
        </w:tblPrEx>
        <w:trPr>
          <w:trHeight w:val="517"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印度黑金沙</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489"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汉白玉</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3</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印度红</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4</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北大青</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5</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napToGrid w:val="0"/>
              <w:spacing w:line="360" w:lineRule="auto"/>
              <w:jc w:val="center"/>
              <w:rPr>
                <w:rFonts w:hAnsi="宋体" w:cs="宋体"/>
                <w:sz w:val="24"/>
                <w:szCs w:val="24"/>
                <w:highlight w:val="none"/>
              </w:rPr>
            </w:pPr>
            <w:r>
              <w:rPr>
                <w:rFonts w:hint="eastAsia" w:hAnsi="宋体" w:cs="宋体"/>
                <w:sz w:val="24"/>
                <w:szCs w:val="24"/>
                <w:highlight w:val="none"/>
              </w:rPr>
              <w:t>G654</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6</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napToGrid w:val="0"/>
              <w:spacing w:line="360" w:lineRule="auto"/>
              <w:jc w:val="center"/>
              <w:rPr>
                <w:rFonts w:hAnsi="宋体" w:cs="宋体"/>
                <w:sz w:val="24"/>
                <w:szCs w:val="24"/>
                <w:highlight w:val="none"/>
              </w:rPr>
            </w:pPr>
            <w:r>
              <w:rPr>
                <w:rFonts w:hint="eastAsia" w:hAnsi="宋体" w:cs="宋体"/>
                <w:sz w:val="24"/>
                <w:szCs w:val="24"/>
                <w:highlight w:val="none"/>
              </w:rPr>
              <w:t>芝麻白</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7</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青石</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8</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G617</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9</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G618</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10</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M-6</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11</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幻彩紫</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打磨小样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1件</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200mm×200mm×20mm</w:t>
            </w:r>
          </w:p>
        </w:tc>
      </w:tr>
      <w:tr>
        <w:tblPrEx>
          <w:tblCellMar>
            <w:top w:w="15" w:type="dxa"/>
            <w:left w:w="15" w:type="dxa"/>
            <w:bottom w:w="15" w:type="dxa"/>
            <w:right w:w="15" w:type="dxa"/>
          </w:tblCellMar>
        </w:tblPrEx>
        <w:trPr>
          <w:trHeight w:val="503" w:hRule="atLeast"/>
        </w:trPr>
        <w:tc>
          <w:tcPr>
            <w:tcW w:w="554"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12</w:t>
            </w:r>
          </w:p>
        </w:tc>
        <w:tc>
          <w:tcPr>
            <w:tcW w:w="258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G654花岗石狮子</w:t>
            </w:r>
          </w:p>
        </w:tc>
        <w:tc>
          <w:tcPr>
            <w:tcW w:w="180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szCs w:val="24"/>
                <w:highlight w:val="none"/>
              </w:rPr>
            </w:pPr>
            <w:r>
              <w:rPr>
                <w:rFonts w:hint="eastAsia" w:hAnsi="宋体" w:cs="宋体"/>
                <w:sz w:val="24"/>
                <w:szCs w:val="24"/>
                <w:highlight w:val="none"/>
              </w:rPr>
              <w:t>雕刻小样</w:t>
            </w:r>
          </w:p>
        </w:tc>
        <w:tc>
          <w:tcPr>
            <w:tcW w:w="860"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highlight w:val="none"/>
              </w:rPr>
              <w:t>1对</w:t>
            </w:r>
          </w:p>
        </w:tc>
        <w:tc>
          <w:tcPr>
            <w:tcW w:w="3222" w:type="dxa"/>
            <w:tcBorders>
              <w:top w:val="single" w:color="000000" w:sz="4" w:space="0"/>
              <w:left w:val="single" w:color="000000" w:sz="4" w:space="0"/>
              <w:bottom w:val="single" w:color="000000" w:sz="4" w:space="0"/>
              <w:right w:val="single" w:color="000000" w:sz="4" w:space="0"/>
            </w:tcBorders>
            <w:noWrap/>
            <w:vAlign w:val="center"/>
          </w:tcPr>
          <w:p>
            <w:pPr>
              <w:spacing w:line="360" w:lineRule="auto"/>
              <w:jc w:val="center"/>
              <w:textAlignment w:val="center"/>
              <w:rPr>
                <w:rFonts w:hAnsi="宋体" w:cs="宋体"/>
                <w:sz w:val="24"/>
                <w:highlight w:val="none"/>
              </w:rPr>
            </w:pPr>
            <w:r>
              <w:rPr>
                <w:rFonts w:hint="eastAsia" w:hAnsi="宋体" w:cs="宋体"/>
                <w:sz w:val="24"/>
                <w:szCs w:val="24"/>
                <w:highlight w:val="none"/>
              </w:rPr>
              <w:t>200mm×200mm×300mm</w:t>
            </w:r>
          </w:p>
        </w:tc>
      </w:tr>
    </w:tbl>
    <w:p>
      <w:pPr>
        <w:spacing w:line="360" w:lineRule="auto"/>
        <w:rPr>
          <w:rStyle w:val="64"/>
          <w:rFonts w:hAnsi="宋体"/>
          <w:b/>
          <w:bCs/>
          <w:color w:val="auto"/>
          <w:sz w:val="24"/>
          <w:szCs w:val="24"/>
          <w:highlight w:val="none"/>
        </w:rPr>
      </w:pPr>
      <w:r>
        <w:rPr>
          <w:rStyle w:val="64"/>
          <w:rFonts w:hint="eastAsia" w:hAnsi="宋体"/>
          <w:b/>
          <w:bCs/>
          <w:color w:val="auto"/>
          <w:sz w:val="24"/>
          <w:szCs w:val="24"/>
          <w:highlight w:val="none"/>
        </w:rPr>
        <w:t>注：</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1、投标人提供的样品石材材质，不得带有投标人及生产厂家任何的标识；</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2、评审结束后由采购人对中标人提供的样品石材材质进行封存，作为验收的依据。履行合同的质量及加工工艺不得低于样品石材材质水平，否则采购人有权拒收和拒付；</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3、未中标人提供的样品石材材质可在结果公告发布后2个工作日内向招标代理机构索回，逾时代理机构有权自行处理；</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4、样品石材材质只作为评分因素，不送、少送或错送的，综合评分表“样品石材材质”一栏不得分。样品石材材质递交时间为：</w:t>
      </w:r>
      <w:r>
        <w:rPr>
          <w:rFonts w:hint="eastAsia" w:hAnsi="宋体" w:cs="宋体"/>
          <w:b/>
          <w:bCs/>
          <w:sz w:val="24"/>
          <w:szCs w:val="24"/>
          <w:highlight w:val="none"/>
        </w:rPr>
        <w:t>开标时间前一个小时内</w:t>
      </w:r>
      <w:r>
        <w:rPr>
          <w:rFonts w:hint="eastAsia" w:hAnsi="宋体" w:cs="宋体"/>
          <w:sz w:val="24"/>
          <w:szCs w:val="24"/>
          <w:highlight w:val="none"/>
        </w:rPr>
        <w:t>；</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5、样品石材材质的生产、运输费等一切费用由投标人自理；</w:t>
      </w:r>
    </w:p>
    <w:p>
      <w:pPr>
        <w:spacing w:line="360" w:lineRule="auto"/>
        <w:ind w:firstLine="480" w:firstLineChars="200"/>
        <w:rPr>
          <w:rFonts w:hAnsi="宋体" w:cs="宋体"/>
          <w:bCs/>
          <w:sz w:val="24"/>
          <w:szCs w:val="24"/>
          <w:highlight w:val="none"/>
        </w:rPr>
      </w:pPr>
      <w:r>
        <w:rPr>
          <w:rFonts w:hint="eastAsia" w:hAnsi="宋体" w:cs="宋体"/>
          <w:sz w:val="24"/>
          <w:szCs w:val="24"/>
          <w:highlight w:val="none"/>
        </w:rPr>
        <w:t>6、</w:t>
      </w:r>
      <w:r>
        <w:rPr>
          <w:rFonts w:hint="eastAsia" w:hAnsi="宋体" w:cs="宋体"/>
          <w:bCs/>
          <w:sz w:val="24"/>
          <w:szCs w:val="24"/>
          <w:highlight w:val="none"/>
        </w:rPr>
        <w:t>递交投标</w:t>
      </w:r>
      <w:r>
        <w:rPr>
          <w:rFonts w:hint="eastAsia" w:hAnsi="宋体" w:cs="宋体"/>
          <w:sz w:val="24"/>
          <w:szCs w:val="24"/>
          <w:highlight w:val="none"/>
        </w:rPr>
        <w:t>样品石材材质</w:t>
      </w:r>
      <w:r>
        <w:rPr>
          <w:rFonts w:hint="eastAsia" w:hAnsi="宋体" w:cs="宋体"/>
          <w:bCs/>
          <w:sz w:val="24"/>
          <w:szCs w:val="24"/>
          <w:highlight w:val="none"/>
        </w:rPr>
        <w:t>的同时需单独递交一份样品清单给代理机构并加盖投标人鲜章。</w:t>
      </w:r>
    </w:p>
    <w:p>
      <w:pPr>
        <w:spacing w:line="360" w:lineRule="auto"/>
        <w:ind w:firstLine="480" w:firstLineChars="200"/>
        <w:rPr>
          <w:rFonts w:hAnsi="宋体" w:cs="宋体"/>
          <w:b/>
          <w:bCs/>
          <w:sz w:val="28"/>
          <w:szCs w:val="28"/>
          <w:highlight w:val="none"/>
        </w:rPr>
      </w:pPr>
      <w:r>
        <w:rPr>
          <w:rFonts w:hint="eastAsia" w:hAnsi="宋体" w:cs="宋体"/>
          <w:bCs/>
          <w:sz w:val="24"/>
          <w:szCs w:val="24"/>
          <w:highlight w:val="none"/>
        </w:rPr>
        <w:t>7、</w:t>
      </w:r>
      <w:r>
        <w:rPr>
          <w:rFonts w:hint="eastAsia" w:hAnsi="宋体" w:cs="宋体"/>
          <w:sz w:val="24"/>
          <w:szCs w:val="24"/>
          <w:highlight w:val="none"/>
        </w:rPr>
        <w:t>样品石材材质</w:t>
      </w:r>
      <w:r>
        <w:rPr>
          <w:rFonts w:hint="eastAsia" w:hAnsi="宋体" w:cs="宋体"/>
          <w:bCs/>
          <w:sz w:val="24"/>
          <w:szCs w:val="24"/>
          <w:highlight w:val="none"/>
        </w:rPr>
        <w:t>须用纸箱密封，密封外包装及</w:t>
      </w:r>
      <w:r>
        <w:rPr>
          <w:rFonts w:hint="eastAsia" w:hAnsi="宋体" w:cs="宋体"/>
          <w:sz w:val="24"/>
          <w:szCs w:val="24"/>
          <w:highlight w:val="none"/>
        </w:rPr>
        <w:t>样品石材材质</w:t>
      </w:r>
      <w:r>
        <w:rPr>
          <w:rFonts w:hint="eastAsia" w:hAnsi="宋体" w:cs="宋体"/>
          <w:bCs/>
          <w:sz w:val="24"/>
          <w:szCs w:val="24"/>
          <w:highlight w:val="none"/>
        </w:rPr>
        <w:t>上都不能粘贴商标、厂家等任何标识。故意泄露者样品为无效投标，招标代理机构在开标时统一编号，评审专家按编号现场清点样品数量是否与清单一致并评审。</w:t>
      </w:r>
    </w:p>
    <w:p>
      <w:pPr>
        <w:pStyle w:val="2"/>
        <w:spacing w:line="360" w:lineRule="auto"/>
        <w:rPr>
          <w:rFonts w:hAnsi="宋体" w:cs="宋体"/>
          <w:b/>
          <w:bCs/>
          <w:sz w:val="24"/>
          <w:szCs w:val="24"/>
          <w:highlight w:val="none"/>
        </w:rPr>
      </w:pPr>
      <w:r>
        <w:rPr>
          <w:rFonts w:hint="eastAsia" w:hAnsi="宋体" w:cs="宋体"/>
          <w:b/>
          <w:bCs/>
          <w:sz w:val="24"/>
          <w:highlight w:val="none"/>
        </w:rPr>
        <w:t>（四）服务要求（实质性要求）</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1、投标人在中标后，须根据采购人的要求进行成品墓的加工制作。合同期间中标人自觉遵守行业道德，不得同其他当事人洽谈与建墓费用相关的所有事宜。</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2、投标人在中标后，与采购人签订为期一年的服务合同，合同期满后，在未确定新供货商前，采购人有权要求中标人延长合同期限，合同内容不变。</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3、技术要求：由采购人根据公墓的规划设计，分批次确定采购的墓型(中标后的供货墓型应按本次招标的55种墓型由采购人自行选取)及数量(按实际销售情况采购人书面通知中标人)。</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4、墓穴石材、制作质量要求：</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4.1制作成品墓的石材质量及规格等应达到中华人民共和国国家标准GB/T18601-2009规定的优等品(A)要求；</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4.2形状尺寸标准：正方形的各边长宽一致，长方形的对边要一致。允许偏离范围在负公差为零，正公差为5mm以内；</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4.3石质要求：墓材必须是天然石材，必须保证质量，要求无水缝、裂纹、无划痕、无团花、无损伤，不能有白斑、黑斑(石胆)及色纹(水线)瑕疵，部份部件(墓碑除外)只允许有一处瑕疵，但瑕疵直径不能超过5mm，色度无反差。刊刻工艺、抛光度必须达到整套样品墓标准，且必须无条件达到购墓客户提出的要求；</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4.4石材表面要干净，不得带有油斑、锈迹；</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4.5角度要求：直角为90°，部件上下、左右直角对角线误差在3mm以内；</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4.6整套墓石组合尺寸、角度必须按图加工，表面平整，高度一致，相同尺寸的工件必须一致，四个工作接面必须成90°角，上下左右必须对称，全套色泽要与墓型图纸及样品一致；</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4.7倒边必须上下平行，大小宽窄一致，手感平滑，不得有沟痕感觉，倒边的大小要严格按要求倒边，一般边与磨面成45°角；</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4.8磨面光滑平整，不能有凹凸不平现象和缺角，要充分磨出最佳光泽度，对角线和水平线要成一直线。磨面光泽度必须达到90°以上；</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4.9严格按招标要求造型，加工表面平整，要求线条突出，棱角分明，弧度自然，主题感强，小件上下角度要相吻合，左右相对称；</w:t>
      </w:r>
    </w:p>
    <w:p>
      <w:pPr>
        <w:spacing w:line="360" w:lineRule="auto"/>
        <w:ind w:firstLine="480" w:firstLineChars="200"/>
        <w:rPr>
          <w:rFonts w:asciiTheme="minorEastAsia" w:hAnsiTheme="minorEastAsia" w:eastAsiaTheme="minorEastAsia" w:cstheme="minorEastAsia"/>
          <w:b/>
          <w:bCs/>
          <w:sz w:val="28"/>
          <w:szCs w:val="28"/>
          <w:highlight w:val="none"/>
        </w:rPr>
      </w:pPr>
      <w:r>
        <w:rPr>
          <w:rFonts w:hint="eastAsia" w:hAnsi="宋体" w:cs="宋体"/>
          <w:sz w:val="24"/>
          <w:szCs w:val="24"/>
          <w:highlight w:val="none"/>
        </w:rPr>
        <w:t>4.10石材材质须按照采购人要求的技术参数上所标明的石材材质提供</w:t>
      </w:r>
      <w:r>
        <w:rPr>
          <w:rFonts w:hint="eastAsia" w:asciiTheme="minorEastAsia" w:hAnsiTheme="minorEastAsia" w:eastAsiaTheme="minorEastAsia" w:cstheme="minorEastAsia"/>
          <w:sz w:val="28"/>
          <w:szCs w:val="28"/>
          <w:highlight w:val="none"/>
        </w:rPr>
        <w:t>。</w:t>
      </w:r>
    </w:p>
    <w:p>
      <w:pPr>
        <w:spacing w:line="360" w:lineRule="auto"/>
        <w:rPr>
          <w:rFonts w:asciiTheme="minorEastAsia" w:hAnsiTheme="minorEastAsia" w:cstheme="minorEastAsia"/>
          <w:b/>
          <w:sz w:val="24"/>
          <w:highlight w:val="none"/>
        </w:rPr>
      </w:pPr>
      <w:r>
        <w:rPr>
          <w:rFonts w:hint="eastAsia" w:asciiTheme="minorEastAsia" w:hAnsiTheme="minorEastAsia" w:eastAsiaTheme="minorEastAsia" w:cstheme="minorEastAsia"/>
          <w:b/>
          <w:bCs/>
          <w:sz w:val="28"/>
          <w:szCs w:val="28"/>
          <w:highlight w:val="none"/>
        </w:rPr>
        <w:t>二、商务要求：（实质性要求</w:t>
      </w:r>
      <w:r>
        <w:rPr>
          <w:rFonts w:hint="eastAsia" w:asciiTheme="minorEastAsia" w:hAnsiTheme="minorEastAsia" w:cstheme="minorEastAsia"/>
          <w:b/>
          <w:bCs/>
          <w:sz w:val="24"/>
          <w:highlight w:val="none"/>
        </w:rPr>
        <w:t>）</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1、交货时间：墓材采购合同签订后，中标人必须在60日内将采购人采购墓材运至磨盘山公墓。中标人将墓材运至磨盘山公墓后30日内自行安装完毕。墓材安装完毕15日内由采购人组织初步验收，验收后销售前墓材所有权人为中标人。中标人正式交付每套成品墓期限为逝者骨灰安葬前7日。</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2、交货地点：成都市殡仪馆磨盘山公墓。</w:t>
      </w:r>
    </w:p>
    <w:p>
      <w:pPr>
        <w:pStyle w:val="2"/>
        <w:spacing w:line="360" w:lineRule="auto"/>
        <w:ind w:firstLine="480" w:firstLineChars="200"/>
        <w:rPr>
          <w:rFonts w:hAnsi="宋体" w:cs="宋体"/>
          <w:sz w:val="24"/>
          <w:szCs w:val="24"/>
          <w:highlight w:val="none"/>
        </w:rPr>
      </w:pPr>
      <w:r>
        <w:rPr>
          <w:rFonts w:hint="eastAsia" w:hAnsi="宋体" w:cs="宋体"/>
          <w:sz w:val="24"/>
          <w:szCs w:val="24"/>
          <w:highlight w:val="none"/>
        </w:rPr>
        <w:t>3、报价要求：</w:t>
      </w:r>
    </w:p>
    <w:p>
      <w:pPr>
        <w:pStyle w:val="2"/>
        <w:spacing w:line="360" w:lineRule="auto"/>
        <w:ind w:firstLine="480" w:firstLineChars="200"/>
        <w:rPr>
          <w:rFonts w:hAnsi="宋体" w:cs="宋体"/>
          <w:sz w:val="24"/>
          <w:szCs w:val="24"/>
          <w:highlight w:val="none"/>
        </w:rPr>
      </w:pPr>
      <w:r>
        <w:rPr>
          <w:rFonts w:hint="eastAsia" w:hAnsi="宋体" w:cs="宋体"/>
          <w:sz w:val="24"/>
          <w:szCs w:val="24"/>
          <w:highlight w:val="none"/>
        </w:rPr>
        <w:t>3.1本项目采用折扣率报价，投标报价：</w:t>
      </w:r>
      <w:r>
        <w:rPr>
          <w:rFonts w:hint="eastAsia" w:hAnsi="宋体" w:cs="宋体"/>
          <w:bCs/>
          <w:sz w:val="24"/>
          <w:szCs w:val="24"/>
          <w:highlight w:val="none"/>
        </w:rPr>
        <w:t>折扣率=1-优惠率，如10元的产品优惠2元，即优惠率为20%。折扣率就是1-20%=80%</w:t>
      </w:r>
      <w:r>
        <w:rPr>
          <w:rFonts w:hint="eastAsia" w:hAnsi="宋体" w:cs="宋体"/>
          <w:sz w:val="24"/>
          <w:szCs w:val="24"/>
          <w:highlight w:val="none"/>
        </w:rPr>
        <w:t>；此折扣率为本项目统一折扣，则实际结算金额=实际采购量×单价限价×报价折扣率；</w:t>
      </w:r>
    </w:p>
    <w:p>
      <w:pPr>
        <w:pStyle w:val="2"/>
        <w:spacing w:line="360" w:lineRule="auto"/>
        <w:ind w:firstLine="480" w:firstLineChars="200"/>
        <w:rPr>
          <w:rFonts w:hAnsi="宋体" w:cs="宋体"/>
          <w:sz w:val="24"/>
          <w:szCs w:val="24"/>
          <w:highlight w:val="none"/>
        </w:rPr>
      </w:pPr>
      <w:r>
        <w:rPr>
          <w:rFonts w:hint="eastAsia" w:hAnsi="宋体" w:cs="宋体"/>
          <w:sz w:val="24"/>
          <w:szCs w:val="24"/>
          <w:highlight w:val="none"/>
        </w:rPr>
        <w:t>3.2投标人的报价应包括但不限于材料成本、制造、雕刻、包装、运输、安装、税费及招标文件规定的各项费用。</w:t>
      </w:r>
    </w:p>
    <w:p>
      <w:pPr>
        <w:pStyle w:val="37"/>
        <w:numPr>
          <w:ilvl w:val="0"/>
          <w:numId w:val="8"/>
        </w:numPr>
        <w:ind w:firstLine="480"/>
        <w:rPr>
          <w:rFonts w:hAnsi="宋体" w:cs="宋体"/>
          <w:sz w:val="24"/>
          <w:szCs w:val="24"/>
          <w:highlight w:val="none"/>
        </w:rPr>
      </w:pPr>
      <w:r>
        <w:rPr>
          <w:rFonts w:hint="eastAsia" w:hAnsi="宋体" w:cs="宋体"/>
          <w:sz w:val="24"/>
          <w:szCs w:val="24"/>
          <w:highlight w:val="none"/>
        </w:rPr>
        <w:t>付款方式和条件：</w:t>
      </w:r>
    </w:p>
    <w:p>
      <w:pPr>
        <w:pStyle w:val="37"/>
        <w:ind w:firstLine="480"/>
        <w:rPr>
          <w:rFonts w:hAnsi="宋体" w:cs="宋体"/>
          <w:sz w:val="24"/>
          <w:szCs w:val="24"/>
          <w:highlight w:val="none"/>
          <w:u w:val="single"/>
        </w:rPr>
      </w:pPr>
      <w:r>
        <w:rPr>
          <w:rFonts w:hint="eastAsia" w:hAnsi="宋体" w:cs="宋体"/>
          <w:sz w:val="24"/>
          <w:szCs w:val="24"/>
          <w:highlight w:val="none"/>
        </w:rPr>
        <w:t>4.1本项目为中标人全额垫资项目，一个墓穴销售后骨灰安葬日为墓穴验收日，验收合格后，实行分期付款，每月根据墓穴安葬数据，据实结算墓材款的95%，验收合格且保修期结束后墓位使用正常，无息支付该笔墓材款剩余金额。</w:t>
      </w:r>
    </w:p>
    <w:p>
      <w:pPr>
        <w:pStyle w:val="2"/>
        <w:spacing w:line="360" w:lineRule="auto"/>
        <w:ind w:firstLine="480" w:firstLineChars="200"/>
        <w:rPr>
          <w:rFonts w:hAnsi="宋体" w:cs="宋体"/>
          <w:sz w:val="24"/>
          <w:szCs w:val="24"/>
          <w:highlight w:val="none"/>
        </w:rPr>
      </w:pPr>
      <w:r>
        <w:rPr>
          <w:rFonts w:hint="eastAsia" w:hAnsi="宋体" w:cs="宋体"/>
          <w:sz w:val="24"/>
          <w:szCs w:val="24"/>
          <w:highlight w:val="none"/>
        </w:rPr>
        <w:t xml:space="preserve">4.2中标人须向采购方出具合法有效完整的完税发票及凭证资料进行支付结算。 </w:t>
      </w:r>
    </w:p>
    <w:p>
      <w:pPr>
        <w:spacing w:line="360" w:lineRule="auto"/>
        <w:ind w:firstLine="480" w:firstLineChars="200"/>
        <w:rPr>
          <w:rFonts w:hAnsi="宋体" w:cs="宋体"/>
          <w:sz w:val="24"/>
          <w:szCs w:val="24"/>
          <w:highlight w:val="none"/>
        </w:rPr>
      </w:pPr>
      <w:r>
        <w:rPr>
          <w:rFonts w:hint="eastAsia" w:hAnsi="宋体" w:cs="宋体"/>
          <w:sz w:val="24"/>
          <w:szCs w:val="24"/>
          <w:highlight w:val="none"/>
        </w:rPr>
        <w:t>5、其他要求：中标人在合同签订后二十个工作日内，必须按照采购人所选的墓型提供整套样品墓至采购人处，作为验收样品封存，并与采购人签订合同。在规定时间内未按要求提供的中标人，视为自动放弃中标资格。采购人选取的具体墓型样式等在合同中具体约定。</w:t>
      </w:r>
    </w:p>
    <w:p>
      <w:pPr>
        <w:pStyle w:val="2"/>
        <w:spacing w:line="360" w:lineRule="auto"/>
        <w:ind w:firstLine="480" w:firstLineChars="200"/>
        <w:rPr>
          <w:rFonts w:hAnsi="宋体" w:cs="宋体"/>
          <w:sz w:val="24"/>
          <w:szCs w:val="24"/>
          <w:highlight w:val="none"/>
        </w:rPr>
      </w:pPr>
      <w:r>
        <w:rPr>
          <w:rFonts w:hint="eastAsia" w:hAnsi="宋体" w:cs="宋体"/>
          <w:sz w:val="24"/>
          <w:szCs w:val="24"/>
          <w:highlight w:val="none"/>
        </w:rPr>
        <w:t>6、验收：</w:t>
      </w:r>
      <w:r>
        <w:rPr>
          <w:rFonts w:hint="eastAsia" w:asciiTheme="minorEastAsia" w:hAnsiTheme="minorEastAsia" w:eastAsiaTheme="minorEastAsia" w:cstheme="minorEastAsia"/>
          <w:sz w:val="24"/>
          <w:szCs w:val="24"/>
          <w:highlight w:val="none"/>
        </w:rPr>
        <w:t>严格按照《中华人民共和国政府采购法》《中华人民共和国政府采购法实施条例》和《财政部关于进一步加强政府采购需求和履约验收管理的指导意见》（财库〔2016〕205号）的要求进行验收</w:t>
      </w:r>
      <w:r>
        <w:rPr>
          <w:rFonts w:hint="eastAsia" w:hAnsi="宋体" w:cs="宋体"/>
          <w:sz w:val="24"/>
          <w:szCs w:val="24"/>
          <w:highlight w:val="none"/>
        </w:rPr>
        <w:t>。</w:t>
      </w:r>
    </w:p>
    <w:p>
      <w:pPr>
        <w:pStyle w:val="2"/>
        <w:spacing w:line="360" w:lineRule="auto"/>
        <w:ind w:firstLine="480" w:firstLineChars="200"/>
        <w:rPr>
          <w:rFonts w:hAnsi="宋体" w:cs="宋体"/>
          <w:kern w:val="2"/>
          <w:sz w:val="24"/>
          <w:szCs w:val="24"/>
          <w:highlight w:val="none"/>
          <w:lang w:val="zh-CN"/>
        </w:rPr>
      </w:pPr>
      <w:r>
        <w:rPr>
          <w:rFonts w:hint="eastAsia" w:hAnsi="宋体" w:cs="宋体"/>
          <w:sz w:val="24"/>
          <w:szCs w:val="24"/>
          <w:highlight w:val="none"/>
        </w:rPr>
        <w:t>7、</w:t>
      </w:r>
      <w:r>
        <w:rPr>
          <w:rFonts w:hint="eastAsia" w:hAnsi="宋体" w:cs="宋体"/>
          <w:kern w:val="2"/>
          <w:sz w:val="24"/>
          <w:szCs w:val="24"/>
          <w:highlight w:val="none"/>
          <w:lang w:val="zh-CN"/>
        </w:rPr>
        <w:t>售后服务：</w:t>
      </w:r>
    </w:p>
    <w:p>
      <w:pPr>
        <w:pStyle w:val="39"/>
        <w:spacing w:line="360" w:lineRule="auto"/>
        <w:ind w:firstLine="480"/>
        <w:rPr>
          <w:rFonts w:hAnsi="宋体"/>
          <w:szCs w:val="24"/>
          <w:highlight w:val="none"/>
        </w:rPr>
      </w:pPr>
      <w:r>
        <w:rPr>
          <w:rFonts w:hint="eastAsia" w:hAnsi="宋体"/>
          <w:bCs/>
          <w:szCs w:val="24"/>
          <w:highlight w:val="none"/>
        </w:rPr>
        <w:t>7.1质保期为五年,保修期为十年。自骨灰下葬之日起，如墓材出现倒塌、裂缝、断裂等质量问题(不可抗力因素例外)，投标人需承诺五年之内包换，十年以内保修；</w:t>
      </w:r>
      <w:r>
        <w:rPr>
          <w:rFonts w:hint="eastAsia" w:hAnsi="宋体"/>
          <w:szCs w:val="24"/>
          <w:highlight w:val="none"/>
        </w:rPr>
        <w:t>质保期内出现质量问题，中标人在接到通知后1小时内响应到场，24小时内完成维修或更换，并承担修理调换的费用；如货物经中标人维修仍不能达到本合同约定的质量标准，视作中标人未能按时交货，采购人有权退货并追究中标人的违约责任。</w:t>
      </w:r>
    </w:p>
    <w:p>
      <w:pPr>
        <w:spacing w:line="360" w:lineRule="auto"/>
        <w:ind w:firstLine="480" w:firstLineChars="200"/>
        <w:rPr>
          <w:rFonts w:hAnsi="宋体" w:cs="宋体"/>
          <w:sz w:val="24"/>
          <w:highlight w:val="none"/>
        </w:rPr>
      </w:pPr>
      <w:r>
        <w:rPr>
          <w:rFonts w:hint="eastAsia" w:hAnsi="宋体" w:cs="宋体"/>
          <w:bCs/>
          <w:sz w:val="24"/>
          <w:szCs w:val="24"/>
          <w:highlight w:val="none"/>
        </w:rPr>
        <w:t>7.2如遇急需处理的紧急事件(包括但不限于因故出现倒塌、断裂等)，中标人必须安排维修工作人员在30分钟之内到场</w:t>
      </w:r>
      <w:r>
        <w:rPr>
          <w:rFonts w:hint="eastAsia" w:hAnsi="宋体" w:cs="宋体"/>
          <w:sz w:val="24"/>
          <w:highlight w:val="none"/>
        </w:rPr>
        <w:t>。</w:t>
      </w:r>
    </w:p>
    <w:p>
      <w:pPr>
        <w:spacing w:line="360" w:lineRule="auto"/>
        <w:ind w:firstLine="480" w:firstLineChars="200"/>
        <w:rPr>
          <w:rFonts w:hAnsi="宋体" w:cs="宋体"/>
          <w:bCs/>
          <w:sz w:val="24"/>
          <w:szCs w:val="24"/>
          <w:highlight w:val="none"/>
        </w:rPr>
      </w:pPr>
      <w:r>
        <w:rPr>
          <w:rFonts w:hint="eastAsia" w:hAnsi="宋体" w:cs="宋体"/>
          <w:sz w:val="24"/>
          <w:highlight w:val="none"/>
        </w:rPr>
        <w:t>8、项目履行过程中，人员的人身安全由中标人负责。（提供承诺函原件加盖公章）。</w:t>
      </w:r>
    </w:p>
    <w:p>
      <w:pPr>
        <w:spacing w:line="360" w:lineRule="auto"/>
        <w:ind w:firstLine="480" w:firstLineChars="200"/>
        <w:rPr>
          <w:rFonts w:hAnsi="宋体" w:cs="宋体"/>
          <w:bCs/>
          <w:sz w:val="24"/>
          <w:szCs w:val="24"/>
          <w:highlight w:val="none"/>
        </w:rPr>
      </w:pPr>
    </w:p>
    <w:p>
      <w:pPr>
        <w:spacing w:line="360" w:lineRule="auto"/>
        <w:rPr>
          <w:rFonts w:asciiTheme="minorEastAsia" w:hAnsiTheme="minorEastAsia" w:cstheme="minorEastAsia"/>
          <w:sz w:val="24"/>
          <w:highlight w:val="none"/>
        </w:rPr>
      </w:pPr>
    </w:p>
    <w:p>
      <w:pPr>
        <w:pStyle w:val="8"/>
        <w:spacing w:line="500" w:lineRule="exact"/>
        <w:ind w:firstLine="0" w:firstLineChars="0"/>
        <w:rPr>
          <w:b/>
          <w:bCs/>
          <w:sz w:val="24"/>
          <w:highlight w:val="none"/>
        </w:rPr>
      </w:pPr>
    </w:p>
    <w:p>
      <w:pPr>
        <w:pStyle w:val="8"/>
        <w:spacing w:line="500" w:lineRule="exact"/>
        <w:ind w:firstLine="422" w:firstLineChars="175"/>
        <w:rPr>
          <w:b/>
          <w:bCs/>
          <w:sz w:val="24"/>
          <w:highlight w:val="none"/>
        </w:rPr>
      </w:pPr>
      <w:r>
        <w:rPr>
          <w:rFonts w:hint="eastAsia"/>
          <w:b/>
          <w:bCs/>
          <w:sz w:val="24"/>
          <w:highlight w:val="none"/>
        </w:rPr>
        <w:t>本章的要求不能作为资格性条件要求评标，如存在资格性条件要求，应当认定招标文件编制存在重大缺陷，评标委员会应当停止评标。</w:t>
      </w:r>
    </w:p>
    <w:p>
      <w:pPr>
        <w:pStyle w:val="8"/>
        <w:spacing w:line="500" w:lineRule="exact"/>
        <w:ind w:left="585" w:leftChars="172" w:firstLine="766" w:firstLineChars="318"/>
        <w:rPr>
          <w:b/>
          <w:bCs/>
          <w:sz w:val="24"/>
          <w:highlight w:val="none"/>
        </w:rPr>
      </w:pPr>
    </w:p>
    <w:p>
      <w:pPr>
        <w:pStyle w:val="8"/>
        <w:spacing w:line="500" w:lineRule="exact"/>
        <w:ind w:left="585" w:leftChars="172" w:firstLine="766" w:firstLineChars="318"/>
        <w:rPr>
          <w:b/>
          <w:bCs/>
          <w:sz w:val="24"/>
          <w:highlight w:val="none"/>
        </w:rPr>
      </w:pPr>
    </w:p>
    <w:p>
      <w:pPr>
        <w:rPr>
          <w:sz w:val="36"/>
          <w:szCs w:val="36"/>
          <w:highlight w:val="none"/>
        </w:rPr>
      </w:pPr>
      <w:r>
        <w:rPr>
          <w:rFonts w:hint="eastAsia"/>
          <w:sz w:val="36"/>
          <w:szCs w:val="36"/>
          <w:highlight w:val="none"/>
        </w:rPr>
        <w:br w:type="page"/>
      </w:r>
    </w:p>
    <w:p>
      <w:pPr>
        <w:pStyle w:val="3"/>
        <w:spacing w:line="500" w:lineRule="exact"/>
        <w:rPr>
          <w:sz w:val="36"/>
          <w:szCs w:val="36"/>
          <w:highlight w:val="none"/>
        </w:rPr>
      </w:pPr>
      <w:bookmarkStart w:id="137" w:name="_Toc69980133"/>
      <w:r>
        <w:rPr>
          <w:rFonts w:hint="eastAsia"/>
          <w:sz w:val="36"/>
          <w:szCs w:val="36"/>
          <w:highlight w:val="none"/>
        </w:rPr>
        <w:t>第七章  评标办法</w:t>
      </w:r>
      <w:bookmarkEnd w:id="137"/>
      <w:bookmarkStart w:id="138" w:name="_Hlt101846155"/>
      <w:bookmarkEnd w:id="138"/>
      <w:bookmarkStart w:id="139" w:name="_Toc183582280"/>
      <w:bookmarkStart w:id="140" w:name="_Toc208849007"/>
      <w:bookmarkStart w:id="141" w:name="_Toc217446097"/>
      <w:bookmarkStart w:id="142" w:name="_Toc183682415"/>
    </w:p>
    <w:bookmarkEnd w:id="139"/>
    <w:bookmarkEnd w:id="140"/>
    <w:bookmarkEnd w:id="141"/>
    <w:bookmarkEnd w:id="142"/>
    <w:p>
      <w:pPr>
        <w:pStyle w:val="4"/>
        <w:spacing w:before="120" w:after="120" w:line="500" w:lineRule="exact"/>
        <w:ind w:firstLine="482" w:firstLineChars="200"/>
        <w:jc w:val="left"/>
        <w:rPr>
          <w:rFonts w:ascii="黑体"/>
          <w:bCs w:val="0"/>
          <w:highlight w:val="none"/>
        </w:rPr>
      </w:pPr>
      <w:r>
        <w:rPr>
          <w:rFonts w:hint="eastAsia" w:ascii="黑体"/>
          <w:sz w:val="24"/>
          <w:szCs w:val="24"/>
          <w:highlight w:val="none"/>
        </w:rPr>
        <w:t>1. 总则</w:t>
      </w:r>
    </w:p>
    <w:p>
      <w:pPr>
        <w:spacing w:line="500" w:lineRule="exact"/>
        <w:ind w:firstLine="480" w:firstLineChars="200"/>
        <w:rPr>
          <w:sz w:val="24"/>
          <w:highlight w:val="none"/>
        </w:rPr>
      </w:pPr>
      <w:r>
        <w:rPr>
          <w:rFonts w:hint="eastAsia"/>
          <w:sz w:val="24"/>
          <w:highlight w:val="none"/>
        </w:rPr>
        <w:t>1.1 根据《中华人民共和国政府采购法》《中华人民共和国政府采购法实施条例》《政府采购货物和服务招标投标管理办法》等法律制度，结合采购项目特点制定本评标办法。</w:t>
      </w:r>
    </w:p>
    <w:p>
      <w:pPr>
        <w:pStyle w:val="24"/>
        <w:shd w:val="clear" w:color="auto" w:fill="FFFFFF"/>
        <w:spacing w:beforeAutospacing="0" w:afterAutospacing="0" w:line="360" w:lineRule="auto"/>
        <w:ind w:firstLine="468" w:firstLineChars="195"/>
        <w:rPr>
          <w:kern w:val="2"/>
          <w:sz w:val="24"/>
          <w:szCs w:val="24"/>
          <w:highlight w:val="none"/>
        </w:rPr>
      </w:pPr>
      <w:r>
        <w:rPr>
          <w:rFonts w:hint="eastAsia"/>
          <w:sz w:val="24"/>
          <w:highlight w:val="none"/>
        </w:rPr>
        <w:t>1.2</w:t>
      </w:r>
      <w:r>
        <w:rPr>
          <w:rFonts w:hint="eastAsia"/>
          <w:kern w:val="2"/>
          <w:sz w:val="24"/>
          <w:szCs w:val="24"/>
          <w:highlight w:val="none"/>
        </w:rPr>
        <w:t>评标工作由采购代理机构负责组织，并履行下列职责：</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（1）核对评审专家身份和采购人代表授权函，对评审专家在政府采购活动中的职责履行情况予以记录，并及时将有关违法违规行为向财政部门报告；</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（2）宣布评标纪律；</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（3）公布投标人名单，告知评审专家应当回避的情形；</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（4）组织评标委员会推选评标组长，采购人代表不得担任组长；</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（5）在评标期间采取必要的通讯管理措施，保证评标活动不受外界干扰；</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（6）根据评标委员会的要求介绍政府采购相关政策法规、招标文件；</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（7）维护评标秩序，监督评标委员会依照招标文件规定的评标程序、方法和标准进行独立评审，及时制止和纠正采购人代表、评审专家的倾向性言论或者违法违规行为；</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（8）核对评标结果，有本办法第六十四条规定情形的，要求评标委员会复核或者书面说明理由，评标委员会拒绝的，应予记录并向本级财政部门报告；</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（9）评审工作完成后，按照规定向评审专家支付劳务报酬和异地评审差旅费，不得向评审专家以外的其他人员支付评审劳务报酬；</w:t>
      </w:r>
    </w:p>
    <w:p>
      <w:pPr>
        <w:pStyle w:val="24"/>
        <w:shd w:val="clear" w:color="auto" w:fill="FFFFFF"/>
        <w:spacing w:beforeAutospacing="0" w:afterAutospacing="0" w:line="360" w:lineRule="auto"/>
        <w:ind w:firstLine="200"/>
        <w:rPr>
          <w:kern w:val="2"/>
          <w:sz w:val="24"/>
          <w:szCs w:val="24"/>
          <w:highlight w:val="none"/>
        </w:rPr>
      </w:pPr>
      <w:r>
        <w:rPr>
          <w:rFonts w:hint="eastAsia"/>
          <w:kern w:val="2"/>
          <w:sz w:val="24"/>
          <w:szCs w:val="24"/>
          <w:highlight w:val="none"/>
        </w:rPr>
        <w:t>（10）处理与评标有关的其他事项。</w:t>
      </w:r>
    </w:p>
    <w:p>
      <w:pPr>
        <w:spacing w:line="500" w:lineRule="exact"/>
        <w:ind w:firstLine="480" w:firstLineChars="200"/>
        <w:rPr>
          <w:sz w:val="24"/>
          <w:highlight w:val="none"/>
        </w:rPr>
      </w:pPr>
      <w:r>
        <w:rPr>
          <w:rFonts w:hint="eastAsia"/>
          <w:kern w:val="2"/>
          <w:sz w:val="24"/>
          <w:szCs w:val="24"/>
          <w:highlight w:val="none"/>
        </w:rPr>
        <w:t>采购人可以在评标前说明项目背景和采购需求，说明内容不得含有歧视性、倾向性意见，不得超出招标文件所述范围。说明应当提交书面材料，并随招标文件一并存档。</w:t>
      </w:r>
    </w:p>
    <w:p>
      <w:pPr>
        <w:spacing w:line="500" w:lineRule="exact"/>
        <w:ind w:firstLine="480" w:firstLineChars="200"/>
        <w:rPr>
          <w:kern w:val="2"/>
          <w:sz w:val="24"/>
          <w:szCs w:val="24"/>
          <w:highlight w:val="none"/>
        </w:rPr>
      </w:pPr>
      <w:r>
        <w:rPr>
          <w:rFonts w:hint="eastAsia"/>
          <w:kern w:val="2"/>
          <w:sz w:val="24"/>
          <w:szCs w:val="24"/>
          <w:highlight w:val="none"/>
        </w:rPr>
        <w:t>1.3 评标工作由采购代理机构负责组织，具体评标事务由依法组建的评标委员会负责。评标委员会由采购人代表和有关技术、经济等方面的专家组成。</w:t>
      </w:r>
    </w:p>
    <w:p>
      <w:pPr>
        <w:spacing w:line="500" w:lineRule="exact"/>
        <w:ind w:firstLine="480" w:firstLineChars="200"/>
        <w:rPr>
          <w:sz w:val="24"/>
          <w:highlight w:val="none"/>
        </w:rPr>
      </w:pPr>
      <w:r>
        <w:rPr>
          <w:rFonts w:hint="eastAsia"/>
          <w:sz w:val="24"/>
          <w:highlight w:val="none"/>
        </w:rPr>
        <w:t>1.4评标工作应遵循公平、公正、科学及择优的原则，并以相同的评标程序和标准对待所有的投标人。</w:t>
      </w:r>
    </w:p>
    <w:p>
      <w:pPr>
        <w:spacing w:line="500" w:lineRule="exact"/>
        <w:ind w:firstLine="480" w:firstLineChars="200"/>
        <w:rPr>
          <w:sz w:val="24"/>
          <w:highlight w:val="none"/>
        </w:rPr>
      </w:pPr>
      <w:r>
        <w:rPr>
          <w:rFonts w:hint="eastAsia"/>
          <w:sz w:val="24"/>
          <w:highlight w:val="none"/>
        </w:rPr>
        <w:t>1.5评标委员会按照招标文件规定的评标方法和标准进行评标，并独立履行下列职责：</w:t>
      </w:r>
    </w:p>
    <w:p>
      <w:pPr>
        <w:spacing w:line="480" w:lineRule="exact"/>
        <w:ind w:firstLine="480" w:firstLineChars="200"/>
        <w:rPr>
          <w:rFonts w:ascii="Times New Roman"/>
          <w:sz w:val="24"/>
          <w:highlight w:val="none"/>
        </w:rPr>
      </w:pPr>
      <w:bookmarkStart w:id="143" w:name="_Toc217446098"/>
      <w:r>
        <w:rPr>
          <w:rFonts w:hint="eastAsia" w:ascii="Times New Roman"/>
          <w:sz w:val="24"/>
          <w:highlight w:val="none"/>
        </w:rPr>
        <w:t>（1）审查、评价投标文件是否符合招标文件的商务、技术等实质性要求；</w:t>
      </w:r>
    </w:p>
    <w:p>
      <w:pPr>
        <w:spacing w:line="480" w:lineRule="exact"/>
        <w:ind w:firstLine="480" w:firstLineChars="200"/>
        <w:rPr>
          <w:rFonts w:ascii="Times New Roman"/>
          <w:sz w:val="24"/>
          <w:highlight w:val="none"/>
        </w:rPr>
      </w:pPr>
      <w:r>
        <w:rPr>
          <w:rFonts w:hint="eastAsia" w:ascii="Times New Roman"/>
          <w:sz w:val="24"/>
          <w:highlight w:val="none"/>
        </w:rPr>
        <w:t>（2）要求投标人对投标文件有关事项作出澄清或者说明；</w:t>
      </w:r>
    </w:p>
    <w:p>
      <w:pPr>
        <w:spacing w:line="480" w:lineRule="exact"/>
        <w:ind w:firstLine="480" w:firstLineChars="200"/>
        <w:rPr>
          <w:rFonts w:ascii="Times New Roman"/>
          <w:sz w:val="24"/>
          <w:highlight w:val="none"/>
        </w:rPr>
      </w:pPr>
      <w:r>
        <w:rPr>
          <w:rFonts w:hint="eastAsia" w:ascii="Times New Roman"/>
          <w:sz w:val="24"/>
          <w:highlight w:val="none"/>
        </w:rPr>
        <w:t>（3）对投标文件进行比较和评价；</w:t>
      </w:r>
    </w:p>
    <w:p>
      <w:pPr>
        <w:spacing w:line="480" w:lineRule="exact"/>
        <w:ind w:firstLine="480" w:firstLineChars="200"/>
        <w:rPr>
          <w:rFonts w:ascii="Times New Roman"/>
          <w:sz w:val="24"/>
          <w:highlight w:val="none"/>
        </w:rPr>
      </w:pPr>
      <w:r>
        <w:rPr>
          <w:rFonts w:hint="eastAsia" w:ascii="Times New Roman"/>
          <w:sz w:val="24"/>
          <w:highlight w:val="none"/>
        </w:rPr>
        <w:t>（4）确定中标候选人名单，以及根据采购人委托直接确定中标人；</w:t>
      </w:r>
    </w:p>
    <w:p>
      <w:pPr>
        <w:spacing w:line="480" w:lineRule="exact"/>
        <w:ind w:firstLine="480" w:firstLineChars="200"/>
        <w:rPr>
          <w:rFonts w:ascii="Times New Roman"/>
          <w:sz w:val="24"/>
          <w:highlight w:val="none"/>
        </w:rPr>
      </w:pPr>
      <w:r>
        <w:rPr>
          <w:rFonts w:hint="eastAsia" w:ascii="Times New Roman"/>
          <w:sz w:val="24"/>
          <w:highlight w:val="none"/>
        </w:rPr>
        <w:t>（5）向采购人、采购代理机构或者有关部门报告评标中发现的违法行为。</w:t>
      </w:r>
    </w:p>
    <w:p>
      <w:pPr>
        <w:spacing w:line="480" w:lineRule="exact"/>
        <w:ind w:firstLine="480" w:firstLineChars="200"/>
        <w:rPr>
          <w:rFonts w:ascii="Times New Roman"/>
          <w:sz w:val="24"/>
          <w:highlight w:val="none"/>
        </w:rPr>
      </w:pPr>
      <w:r>
        <w:rPr>
          <w:rFonts w:hint="eastAsia" w:ascii="Times New Roman"/>
          <w:sz w:val="24"/>
          <w:highlight w:val="none"/>
        </w:rPr>
        <w:t>评标委员会及其成员不得有下列行为：</w:t>
      </w:r>
    </w:p>
    <w:p>
      <w:pPr>
        <w:spacing w:line="480" w:lineRule="exact"/>
        <w:ind w:firstLine="480" w:firstLineChars="200"/>
        <w:rPr>
          <w:rFonts w:ascii="Times New Roman"/>
          <w:sz w:val="24"/>
          <w:highlight w:val="none"/>
        </w:rPr>
      </w:pPr>
      <w:r>
        <w:rPr>
          <w:rFonts w:hint="eastAsia" w:ascii="Times New Roman"/>
          <w:sz w:val="24"/>
          <w:highlight w:val="none"/>
        </w:rPr>
        <w:t>（1）确定参与评标至评标结束前私自接触投标人；</w:t>
      </w:r>
    </w:p>
    <w:p>
      <w:pPr>
        <w:spacing w:line="480" w:lineRule="exact"/>
        <w:ind w:firstLine="480" w:firstLineChars="200"/>
        <w:rPr>
          <w:rFonts w:ascii="Times New Roman"/>
          <w:sz w:val="24"/>
          <w:highlight w:val="none"/>
        </w:rPr>
      </w:pPr>
      <w:r>
        <w:rPr>
          <w:rFonts w:hint="eastAsia" w:ascii="Times New Roman"/>
          <w:sz w:val="24"/>
          <w:highlight w:val="none"/>
        </w:rPr>
        <w:t>（2）接受投标人提出的与投标文件不一致的澄清或者说明，《政府采购货物和服务招标投标管理办法》（财政部令第87号）第五十一条规定的情形除外；</w:t>
      </w:r>
    </w:p>
    <w:p>
      <w:pPr>
        <w:spacing w:line="480" w:lineRule="exact"/>
        <w:ind w:firstLine="480" w:firstLineChars="200"/>
        <w:rPr>
          <w:rFonts w:ascii="Times New Roman"/>
          <w:sz w:val="24"/>
          <w:highlight w:val="none"/>
        </w:rPr>
      </w:pPr>
      <w:r>
        <w:rPr>
          <w:rFonts w:hint="eastAsia" w:ascii="Times New Roman"/>
          <w:sz w:val="24"/>
          <w:highlight w:val="none"/>
        </w:rPr>
        <w:t>（3）违反评标纪律发表倾向性意见或者征询采购人的倾向性意见；</w:t>
      </w:r>
    </w:p>
    <w:p>
      <w:pPr>
        <w:spacing w:line="480" w:lineRule="exact"/>
        <w:ind w:firstLine="480" w:firstLineChars="200"/>
        <w:rPr>
          <w:rFonts w:ascii="Times New Roman"/>
          <w:sz w:val="24"/>
          <w:highlight w:val="none"/>
        </w:rPr>
      </w:pPr>
      <w:r>
        <w:rPr>
          <w:rFonts w:hint="eastAsia" w:ascii="Times New Roman"/>
          <w:sz w:val="24"/>
          <w:highlight w:val="none"/>
        </w:rPr>
        <w:t>（4）对需要专业判断的主观评审因素协商评分；</w:t>
      </w:r>
    </w:p>
    <w:p>
      <w:pPr>
        <w:spacing w:line="480" w:lineRule="exact"/>
        <w:ind w:firstLine="480" w:firstLineChars="200"/>
        <w:rPr>
          <w:rFonts w:ascii="Times New Roman"/>
          <w:sz w:val="24"/>
          <w:highlight w:val="none"/>
        </w:rPr>
      </w:pPr>
      <w:r>
        <w:rPr>
          <w:rFonts w:hint="eastAsia" w:ascii="Times New Roman"/>
          <w:sz w:val="24"/>
          <w:highlight w:val="none"/>
        </w:rPr>
        <w:t>（5）在评标过程中擅离职守，影响评标程序正常进行的；</w:t>
      </w:r>
    </w:p>
    <w:p>
      <w:pPr>
        <w:spacing w:line="480" w:lineRule="exact"/>
        <w:ind w:firstLine="480" w:firstLineChars="200"/>
        <w:rPr>
          <w:rFonts w:ascii="Times New Roman"/>
          <w:sz w:val="24"/>
          <w:highlight w:val="none"/>
        </w:rPr>
      </w:pPr>
      <w:r>
        <w:rPr>
          <w:rFonts w:hint="eastAsia" w:ascii="Times New Roman"/>
          <w:sz w:val="24"/>
          <w:highlight w:val="none"/>
        </w:rPr>
        <w:t>（6）记录、复制或者带走任何评标资料；</w:t>
      </w:r>
    </w:p>
    <w:p>
      <w:pPr>
        <w:spacing w:line="480" w:lineRule="exact"/>
        <w:ind w:firstLine="480" w:firstLineChars="200"/>
        <w:rPr>
          <w:sz w:val="24"/>
          <w:highlight w:val="none"/>
        </w:rPr>
      </w:pPr>
      <w:r>
        <w:rPr>
          <w:rFonts w:hint="eastAsia" w:ascii="Times New Roman"/>
          <w:sz w:val="24"/>
          <w:highlight w:val="none"/>
        </w:rPr>
        <w:t>（7）其他不遵守评标纪律的行为。</w:t>
      </w:r>
    </w:p>
    <w:p>
      <w:pPr>
        <w:spacing w:line="500" w:lineRule="exact"/>
        <w:ind w:firstLine="480" w:firstLineChars="200"/>
        <w:rPr>
          <w:sz w:val="24"/>
          <w:highlight w:val="none"/>
        </w:rPr>
      </w:pPr>
      <w:r>
        <w:rPr>
          <w:rFonts w:hint="eastAsia"/>
          <w:sz w:val="24"/>
          <w:highlight w:val="none"/>
        </w:rPr>
        <w:t>1.5 评标过程独立、保密。投标人非法干预评标评标过程的行为将导致其投标文件作为无效处理。</w:t>
      </w:r>
    </w:p>
    <w:p>
      <w:pPr>
        <w:spacing w:line="500" w:lineRule="exact"/>
        <w:ind w:firstLine="480" w:firstLineChars="200"/>
        <w:rPr>
          <w:sz w:val="24"/>
          <w:highlight w:val="none"/>
        </w:rPr>
      </w:pPr>
      <w:r>
        <w:rPr>
          <w:rFonts w:hint="eastAsia"/>
          <w:sz w:val="24"/>
          <w:highlight w:val="none"/>
        </w:rPr>
        <w:t>1.6评标委员会评价投标文件的响应性，对于投标人而言，除评标委员会要求其澄清、说明或者更正而提供的资料外，仅依据投标文件本身的内容，不寻求其他外部证据。</w:t>
      </w:r>
    </w:p>
    <w:p>
      <w:pPr>
        <w:pStyle w:val="4"/>
        <w:spacing w:before="120" w:after="120" w:line="500" w:lineRule="exact"/>
        <w:ind w:firstLine="482" w:firstLineChars="200"/>
        <w:jc w:val="left"/>
        <w:rPr>
          <w:rFonts w:ascii="黑体"/>
          <w:sz w:val="24"/>
          <w:szCs w:val="24"/>
          <w:highlight w:val="none"/>
        </w:rPr>
      </w:pPr>
      <w:r>
        <w:rPr>
          <w:rFonts w:hint="eastAsia" w:ascii="黑体"/>
          <w:sz w:val="24"/>
          <w:szCs w:val="24"/>
          <w:highlight w:val="none"/>
        </w:rPr>
        <w:t>2.评标方法</w:t>
      </w:r>
    </w:p>
    <w:p>
      <w:pPr>
        <w:spacing w:line="500" w:lineRule="exact"/>
        <w:ind w:firstLine="480" w:firstLineChars="200"/>
        <w:rPr>
          <w:sz w:val="24"/>
          <w:highlight w:val="none"/>
        </w:rPr>
      </w:pPr>
      <w:r>
        <w:rPr>
          <w:rFonts w:hint="eastAsia"/>
          <w:sz w:val="24"/>
          <w:highlight w:val="none"/>
        </w:rPr>
        <w:t>本项目评标方法为：</w:t>
      </w:r>
      <w:r>
        <w:rPr>
          <w:rFonts w:hint="eastAsia"/>
          <w:b/>
          <w:bCs/>
          <w:sz w:val="24"/>
          <w:highlight w:val="none"/>
        </w:rPr>
        <w:t>综合评分法。</w:t>
      </w:r>
    </w:p>
    <w:p>
      <w:pPr>
        <w:pStyle w:val="4"/>
        <w:spacing w:before="120" w:after="120" w:line="500" w:lineRule="exact"/>
        <w:ind w:firstLine="482" w:firstLineChars="200"/>
        <w:jc w:val="left"/>
        <w:rPr>
          <w:rFonts w:ascii="黑体"/>
          <w:sz w:val="24"/>
          <w:szCs w:val="24"/>
          <w:highlight w:val="none"/>
        </w:rPr>
      </w:pPr>
      <w:r>
        <w:rPr>
          <w:rFonts w:hint="eastAsia" w:ascii="黑体"/>
          <w:sz w:val="24"/>
          <w:szCs w:val="24"/>
          <w:highlight w:val="none"/>
        </w:rPr>
        <w:t>3.评标程序</w:t>
      </w:r>
      <w:bookmarkEnd w:id="143"/>
    </w:p>
    <w:p>
      <w:pPr>
        <w:spacing w:line="500" w:lineRule="exact"/>
        <w:ind w:firstLine="480" w:firstLineChars="200"/>
        <w:rPr>
          <w:sz w:val="24"/>
          <w:szCs w:val="22"/>
          <w:highlight w:val="none"/>
        </w:rPr>
      </w:pPr>
      <w:bookmarkStart w:id="144" w:name="_Toc217446103"/>
      <w:bookmarkStart w:id="145" w:name="_Toc217446099"/>
      <w:r>
        <w:rPr>
          <w:rFonts w:hint="eastAsia"/>
          <w:sz w:val="24"/>
          <w:szCs w:val="22"/>
          <w:highlight w:val="none"/>
        </w:rPr>
        <w:t>3.1采购人和采购代理机构依法对投标人递交的资格性投标文件进行资格审查。</w:t>
      </w:r>
    </w:p>
    <w:p>
      <w:pPr>
        <w:spacing w:line="500" w:lineRule="exact"/>
        <w:ind w:firstLine="480" w:firstLineChars="200"/>
        <w:jc w:val="left"/>
        <w:rPr>
          <w:sz w:val="24"/>
          <w:szCs w:val="22"/>
          <w:highlight w:val="none"/>
        </w:rPr>
      </w:pPr>
      <w:r>
        <w:rPr>
          <w:rFonts w:hint="eastAsia"/>
          <w:sz w:val="24"/>
          <w:szCs w:val="22"/>
          <w:highlight w:val="none"/>
        </w:rPr>
        <w:t>3.1.1资格性审查事项：详见招标文件第五章投标人应当提供的资格、资质性及其他类似效力要求的相关证明材料。</w:t>
      </w:r>
    </w:p>
    <w:p>
      <w:pPr>
        <w:spacing w:line="500" w:lineRule="exact"/>
        <w:ind w:firstLine="480" w:firstLineChars="200"/>
        <w:rPr>
          <w:sz w:val="24"/>
          <w:szCs w:val="22"/>
          <w:highlight w:val="none"/>
        </w:rPr>
      </w:pPr>
      <w:r>
        <w:rPr>
          <w:rFonts w:hint="eastAsia"/>
          <w:sz w:val="24"/>
          <w:szCs w:val="22"/>
          <w:highlight w:val="none"/>
        </w:rPr>
        <w:t>3.1.2采购代理机构依法对投标人的资格进行审查结束后，出具资格审查报告。</w:t>
      </w:r>
    </w:p>
    <w:p>
      <w:pPr>
        <w:spacing w:line="500" w:lineRule="exact"/>
        <w:ind w:firstLine="480" w:firstLineChars="200"/>
        <w:rPr>
          <w:sz w:val="24"/>
          <w:szCs w:val="22"/>
          <w:highlight w:val="none"/>
        </w:rPr>
      </w:pPr>
      <w:r>
        <w:rPr>
          <w:rFonts w:hint="eastAsia"/>
          <w:sz w:val="24"/>
          <w:szCs w:val="22"/>
          <w:highlight w:val="none"/>
        </w:rPr>
        <w:t>3.1.3通过资格审查的投标人不足3家的，不得评标。</w:t>
      </w:r>
    </w:p>
    <w:p>
      <w:pPr>
        <w:spacing w:line="500" w:lineRule="exact"/>
        <w:ind w:firstLine="480" w:firstLineChars="200"/>
        <w:rPr>
          <w:sz w:val="24"/>
          <w:szCs w:val="22"/>
          <w:highlight w:val="none"/>
        </w:rPr>
      </w:pPr>
      <w:r>
        <w:rPr>
          <w:rFonts w:hint="eastAsia"/>
          <w:sz w:val="24"/>
          <w:szCs w:val="22"/>
          <w:highlight w:val="none"/>
        </w:rPr>
        <w:t>3.2</w:t>
      </w:r>
      <w:r>
        <w:rPr>
          <w:rFonts w:hAnsi="宋体" w:cs="宋体"/>
          <w:sz w:val="24"/>
          <w:highlight w:val="none"/>
        </w:rPr>
        <w:t>评标委员会</w:t>
      </w:r>
      <w:r>
        <w:rPr>
          <w:rFonts w:hint="eastAsia"/>
          <w:sz w:val="24"/>
          <w:szCs w:val="22"/>
          <w:highlight w:val="none"/>
        </w:rPr>
        <w:t>熟悉和理解招标文件和停止评标。</w:t>
      </w:r>
    </w:p>
    <w:p>
      <w:pPr>
        <w:spacing w:line="500" w:lineRule="exact"/>
        <w:ind w:firstLine="480" w:firstLineChars="200"/>
        <w:rPr>
          <w:sz w:val="24"/>
          <w:highlight w:val="none"/>
        </w:rPr>
      </w:pPr>
      <w:r>
        <w:rPr>
          <w:rFonts w:hint="eastAsia"/>
          <w:sz w:val="24"/>
          <w:highlight w:val="none"/>
        </w:rPr>
        <w:t>3.2.1评标委员会正式评标前，应当对招标文件进行熟悉和理解，内容主要包括招标文件中投标人资格条件要求、采购项目技术、服务和商务要求、评标方法和标准以及可能涉及签订政府采购合同的内容等。</w:t>
      </w:r>
    </w:p>
    <w:p>
      <w:pPr>
        <w:spacing w:line="500" w:lineRule="exact"/>
        <w:ind w:firstLine="480" w:firstLineChars="200"/>
        <w:rPr>
          <w:sz w:val="24"/>
          <w:highlight w:val="none"/>
        </w:rPr>
      </w:pPr>
      <w:r>
        <w:rPr>
          <w:rFonts w:hint="eastAsia"/>
          <w:sz w:val="24"/>
          <w:highlight w:val="none"/>
        </w:rPr>
        <w:t>3.2.2评标委员会熟悉和理解招标文件以及评标过程中，发现本招标文件有下列情形之一的，评标委员会应当停止评标：</w:t>
      </w:r>
    </w:p>
    <w:p>
      <w:pPr>
        <w:spacing w:line="500" w:lineRule="exact"/>
        <w:ind w:firstLine="480" w:firstLineChars="200"/>
        <w:rPr>
          <w:sz w:val="24"/>
          <w:highlight w:val="none"/>
        </w:rPr>
      </w:pPr>
      <w:r>
        <w:rPr>
          <w:rFonts w:hint="eastAsia"/>
          <w:sz w:val="24"/>
          <w:highlight w:val="none"/>
        </w:rPr>
        <w:t>（1）</w:t>
      </w:r>
      <w:r>
        <w:rPr>
          <w:rFonts w:hAnsi="宋体" w:cs="宋体"/>
          <w:sz w:val="24"/>
          <w:highlight w:val="none"/>
        </w:rPr>
        <w:t>招标文件存在重大缺陷导致评标工作无法进行；</w:t>
      </w:r>
    </w:p>
    <w:p>
      <w:pPr>
        <w:spacing w:line="500" w:lineRule="exact"/>
        <w:ind w:firstLine="480" w:firstLineChars="200"/>
        <w:rPr>
          <w:sz w:val="24"/>
          <w:highlight w:val="none"/>
        </w:rPr>
      </w:pPr>
      <w:r>
        <w:rPr>
          <w:rFonts w:hint="eastAsia" w:hAnsi="宋体" w:cs="宋体"/>
          <w:sz w:val="24"/>
          <w:szCs w:val="22"/>
          <w:highlight w:val="none"/>
        </w:rPr>
        <w:t>（2）</w:t>
      </w:r>
      <w:r>
        <w:rPr>
          <w:rFonts w:hAnsi="宋体" w:cs="宋体"/>
          <w:sz w:val="24"/>
          <w:szCs w:val="22"/>
          <w:highlight w:val="none"/>
        </w:rPr>
        <w:t>招标文件的规定存在歧义，采购人或者采购代理机构未进行书面澄清导致评标工</w:t>
      </w:r>
      <w:r>
        <w:rPr>
          <w:rFonts w:hAnsi="宋体" w:cs="宋体"/>
          <w:sz w:val="24"/>
          <w:highlight w:val="none"/>
        </w:rPr>
        <w:t>作无法进行；</w:t>
      </w:r>
    </w:p>
    <w:p>
      <w:pPr>
        <w:spacing w:line="500" w:lineRule="exact"/>
        <w:ind w:firstLine="480" w:firstLineChars="200"/>
        <w:rPr>
          <w:sz w:val="24"/>
          <w:highlight w:val="none"/>
        </w:rPr>
      </w:pPr>
      <w:r>
        <w:rPr>
          <w:rFonts w:hint="eastAsia"/>
          <w:sz w:val="24"/>
          <w:highlight w:val="none"/>
        </w:rPr>
        <w:t>（3）招标文件明显以不合理条件对投标人实行差别待遇或者歧视待遇的；</w:t>
      </w:r>
    </w:p>
    <w:p>
      <w:pPr>
        <w:spacing w:line="500" w:lineRule="exact"/>
        <w:ind w:firstLine="480" w:firstLineChars="200"/>
        <w:rPr>
          <w:sz w:val="24"/>
          <w:highlight w:val="none"/>
        </w:rPr>
      </w:pPr>
      <w:r>
        <w:rPr>
          <w:rFonts w:hint="eastAsia"/>
          <w:sz w:val="24"/>
          <w:highlight w:val="none"/>
        </w:rPr>
        <w:t>（4）采购项目属于国家规定的优先、强制采购范围，但是招标文件未依法体现优先、强制采购相关规定的；</w:t>
      </w:r>
    </w:p>
    <w:p>
      <w:pPr>
        <w:spacing w:line="500" w:lineRule="exact"/>
        <w:ind w:firstLine="480" w:firstLineChars="200"/>
        <w:rPr>
          <w:sz w:val="24"/>
          <w:highlight w:val="none"/>
        </w:rPr>
      </w:pPr>
      <w:r>
        <w:rPr>
          <w:rFonts w:hint="eastAsia"/>
          <w:sz w:val="24"/>
          <w:highlight w:val="none"/>
        </w:rPr>
        <w:t>（5）采购项目属于政府采购促进中小企业发展的范围，但是招标文件未依法体现促进中小企业发展相关规定的；</w:t>
      </w:r>
    </w:p>
    <w:p>
      <w:pPr>
        <w:spacing w:line="500" w:lineRule="exact"/>
        <w:ind w:firstLine="480" w:firstLineChars="200"/>
        <w:rPr>
          <w:sz w:val="24"/>
          <w:highlight w:val="none"/>
        </w:rPr>
      </w:pPr>
      <w:r>
        <w:rPr>
          <w:rFonts w:hint="eastAsia"/>
          <w:sz w:val="24"/>
          <w:highlight w:val="none"/>
        </w:rPr>
        <w:t>（6）招标文件规定的评标方法是综合评分法、最低评标价法之外的评标方法，或者虽然名称为综合评分法、最低评标价法，但实际上不符合国家规定；</w:t>
      </w:r>
    </w:p>
    <w:p>
      <w:pPr>
        <w:spacing w:line="500" w:lineRule="exact"/>
        <w:ind w:firstLine="480" w:firstLineChars="200"/>
        <w:rPr>
          <w:sz w:val="24"/>
          <w:highlight w:val="none"/>
        </w:rPr>
      </w:pPr>
      <w:r>
        <w:rPr>
          <w:rFonts w:hint="eastAsia"/>
          <w:sz w:val="24"/>
          <w:highlight w:val="none"/>
        </w:rPr>
        <w:t>（7）招标文件将投标人的资格条件列为评分因素的；</w:t>
      </w:r>
    </w:p>
    <w:p>
      <w:pPr>
        <w:spacing w:line="500" w:lineRule="exact"/>
        <w:ind w:firstLine="480" w:firstLineChars="200"/>
        <w:rPr>
          <w:sz w:val="24"/>
          <w:highlight w:val="none"/>
        </w:rPr>
      </w:pPr>
      <w:r>
        <w:rPr>
          <w:rFonts w:hint="eastAsia"/>
          <w:sz w:val="24"/>
          <w:highlight w:val="none"/>
        </w:rPr>
        <w:t>（8）招标文件有违反国家其他有关强制性规定的情形。</w:t>
      </w:r>
    </w:p>
    <w:p>
      <w:pPr>
        <w:spacing w:line="500" w:lineRule="exact"/>
        <w:ind w:firstLine="480" w:firstLineChars="200"/>
        <w:rPr>
          <w:sz w:val="24"/>
          <w:highlight w:val="none"/>
        </w:rPr>
      </w:pPr>
      <w:r>
        <w:rPr>
          <w:rFonts w:hint="eastAsia"/>
          <w:sz w:val="24"/>
          <w:highlight w:val="none"/>
        </w:rPr>
        <w:t>3.2.4出现本条3.2.2规定应当停止评标情形的，评标委员会成员应当向招标采购单位书面说明情况。除本条规定和评标委员会无法依法组建的情形外，评标委员会成员不得以任何方式和理由停止评标。</w:t>
      </w:r>
    </w:p>
    <w:p>
      <w:pPr>
        <w:spacing w:line="500" w:lineRule="exact"/>
        <w:ind w:firstLine="480" w:firstLineChars="200"/>
        <w:rPr>
          <w:sz w:val="24"/>
          <w:highlight w:val="none"/>
        </w:rPr>
      </w:pPr>
      <w:r>
        <w:rPr>
          <w:rFonts w:hint="eastAsia"/>
          <w:sz w:val="24"/>
          <w:szCs w:val="22"/>
          <w:highlight w:val="none"/>
        </w:rPr>
        <w:t>3.3评标委员会熟悉和理解招标文件完成后，应书面签字确认本招标文件是否有属</w:t>
      </w:r>
      <w:r>
        <w:rPr>
          <w:rFonts w:hAnsi="宋体" w:cs="宋体"/>
          <w:sz w:val="24"/>
          <w:highlight w:val="none"/>
        </w:rPr>
        <w:t>于应当停止评标的情形。</w:t>
      </w:r>
    </w:p>
    <w:p>
      <w:pPr>
        <w:spacing w:line="500" w:lineRule="exact"/>
        <w:ind w:firstLine="480" w:firstLineChars="200"/>
        <w:rPr>
          <w:sz w:val="24"/>
          <w:highlight w:val="none"/>
        </w:rPr>
      </w:pPr>
      <w:r>
        <w:rPr>
          <w:rFonts w:hint="eastAsia"/>
          <w:sz w:val="24"/>
          <w:highlight w:val="none"/>
        </w:rPr>
        <w:t>3.4评标委员会符合性检查。</w:t>
      </w:r>
    </w:p>
    <w:p>
      <w:pPr>
        <w:spacing w:line="500" w:lineRule="exact"/>
        <w:ind w:firstLine="480" w:firstLineChars="200"/>
        <w:rPr>
          <w:sz w:val="24"/>
          <w:highlight w:val="none"/>
        </w:rPr>
      </w:pPr>
      <w:r>
        <w:rPr>
          <w:rFonts w:hint="eastAsia"/>
          <w:sz w:val="24"/>
          <w:highlight w:val="none"/>
        </w:rPr>
        <w:t>3.4.1评标委员会应当对符合资格的投标人的投标文件进行符合性审查，以确定其是否满足本招标文件的实质性要求。本项目符合性审查事项仅限于本招标文件的明确规定。投标文件是否满足招标文件的实质性要求，必须以本招标文件的明确规定作为依据，否则，不能对投标文件作为无效处理，评标委员会不得臆测符合性审查事项。</w:t>
      </w:r>
    </w:p>
    <w:p>
      <w:pPr>
        <w:spacing w:line="500" w:lineRule="exact"/>
        <w:ind w:firstLine="480" w:firstLineChars="200"/>
        <w:rPr>
          <w:sz w:val="24"/>
          <w:highlight w:val="none"/>
        </w:rPr>
      </w:pPr>
      <w:r>
        <w:rPr>
          <w:rFonts w:hint="eastAsia"/>
          <w:sz w:val="24"/>
          <w:highlight w:val="none"/>
        </w:rPr>
        <w:t>3.4.2符合性审查事项：（除政府采购法律制度规定的情形外，本项目投标人或者其投标文件有下列情形之一的，作为无效投标处理：）</w:t>
      </w:r>
    </w:p>
    <w:p>
      <w:pPr>
        <w:spacing w:line="400" w:lineRule="exact"/>
        <w:ind w:firstLine="480" w:firstLineChars="200"/>
        <w:rPr>
          <w:rFonts w:ascii="Times New Roman"/>
          <w:sz w:val="24"/>
          <w:highlight w:val="none"/>
        </w:rPr>
      </w:pPr>
      <w:r>
        <w:rPr>
          <w:rFonts w:hint="eastAsia" w:ascii="Times New Roman"/>
          <w:sz w:val="24"/>
          <w:highlight w:val="none"/>
        </w:rPr>
        <w:t>（一）</w:t>
      </w:r>
      <w:r>
        <w:rPr>
          <w:rFonts w:hAnsi="宋体" w:cs="宋体"/>
          <w:sz w:val="24"/>
          <w:highlight w:val="none"/>
        </w:rPr>
        <w:t>投标文件正副本</w:t>
      </w:r>
      <w:r>
        <w:rPr>
          <w:rFonts w:hint="eastAsia" w:hAnsi="宋体" w:cs="宋体"/>
          <w:sz w:val="24"/>
          <w:highlight w:val="none"/>
        </w:rPr>
        <w:t>、开标一览表、电子文档</w:t>
      </w:r>
      <w:r>
        <w:rPr>
          <w:rFonts w:hAnsi="宋体" w:cs="宋体"/>
          <w:sz w:val="24"/>
          <w:highlight w:val="none"/>
        </w:rPr>
        <w:t>数量不足的；</w:t>
      </w:r>
    </w:p>
    <w:p>
      <w:pPr>
        <w:spacing w:line="400" w:lineRule="exact"/>
        <w:ind w:firstLine="480" w:firstLineChars="200"/>
        <w:rPr>
          <w:rFonts w:ascii="Times New Roman"/>
          <w:sz w:val="24"/>
          <w:highlight w:val="none"/>
        </w:rPr>
      </w:pPr>
      <w:r>
        <w:rPr>
          <w:rFonts w:hint="eastAsia" w:ascii="Times New Roman"/>
          <w:sz w:val="24"/>
          <w:highlight w:val="none"/>
        </w:rPr>
        <w:t>（二）</w:t>
      </w:r>
      <w:r>
        <w:rPr>
          <w:rFonts w:hAnsi="宋体" w:cs="宋体"/>
          <w:sz w:val="24"/>
          <w:highlight w:val="none"/>
        </w:rPr>
        <w:t>投标文件载明的投标有效期少于招标文件要求的或未载明的；</w:t>
      </w:r>
    </w:p>
    <w:p>
      <w:pPr>
        <w:spacing w:line="400" w:lineRule="exact"/>
        <w:ind w:firstLine="480" w:firstLineChars="200"/>
        <w:rPr>
          <w:rFonts w:ascii="Times New Roman"/>
          <w:sz w:val="24"/>
          <w:highlight w:val="none"/>
        </w:rPr>
      </w:pPr>
      <w:r>
        <w:rPr>
          <w:rFonts w:hint="eastAsia" w:hAnsi="宋体" w:cs="宋体"/>
          <w:sz w:val="24"/>
          <w:szCs w:val="22"/>
          <w:highlight w:val="none"/>
        </w:rPr>
        <w:t>（三）</w:t>
      </w:r>
      <w:r>
        <w:rPr>
          <w:rFonts w:hAnsi="宋体" w:cs="宋体"/>
          <w:sz w:val="24"/>
          <w:szCs w:val="22"/>
          <w:highlight w:val="none"/>
        </w:rPr>
        <w:t>投标文件的语言、计量单位、报价货币、知识产权等不符合招标文件的规定，影响评标委员会评判的；</w:t>
      </w:r>
    </w:p>
    <w:p>
      <w:pPr>
        <w:spacing w:line="400" w:lineRule="exact"/>
        <w:ind w:firstLine="480" w:firstLineChars="200"/>
        <w:rPr>
          <w:rFonts w:ascii="Times New Roman"/>
          <w:sz w:val="24"/>
          <w:highlight w:val="none"/>
        </w:rPr>
      </w:pPr>
      <w:r>
        <w:rPr>
          <w:rFonts w:hint="eastAsia" w:ascii="Times New Roman"/>
          <w:sz w:val="24"/>
          <w:highlight w:val="none"/>
        </w:rPr>
        <w:t>（四）投标文件未按招标文件要求签署、盖章的；</w:t>
      </w:r>
    </w:p>
    <w:p>
      <w:pPr>
        <w:spacing w:line="400" w:lineRule="exact"/>
        <w:ind w:firstLine="480" w:firstLineChars="200"/>
        <w:rPr>
          <w:rFonts w:ascii="Times New Roman"/>
          <w:sz w:val="24"/>
          <w:szCs w:val="22"/>
          <w:highlight w:val="none"/>
        </w:rPr>
      </w:pPr>
      <w:r>
        <w:rPr>
          <w:rFonts w:hint="eastAsia" w:ascii="Times New Roman"/>
          <w:sz w:val="24"/>
          <w:szCs w:val="22"/>
          <w:highlight w:val="none"/>
        </w:rPr>
        <w:t>（五）投标报价不符合招标文件规定的价格标底和其他报价规定的；</w:t>
      </w:r>
    </w:p>
    <w:p>
      <w:pPr>
        <w:spacing w:line="400" w:lineRule="exact"/>
        <w:ind w:firstLine="480" w:firstLineChars="200"/>
        <w:rPr>
          <w:rFonts w:ascii="Times New Roman"/>
          <w:sz w:val="24"/>
          <w:szCs w:val="22"/>
          <w:highlight w:val="none"/>
        </w:rPr>
      </w:pPr>
      <w:r>
        <w:rPr>
          <w:rFonts w:hint="eastAsia" w:ascii="Times New Roman"/>
          <w:sz w:val="24"/>
          <w:szCs w:val="22"/>
          <w:highlight w:val="none"/>
        </w:rPr>
        <w:t>（六）投标文件含有采购人不能接受的附加条件的；</w:t>
      </w:r>
    </w:p>
    <w:p>
      <w:pPr>
        <w:spacing w:line="400" w:lineRule="exact"/>
        <w:ind w:firstLine="480" w:firstLineChars="200"/>
        <w:rPr>
          <w:rFonts w:ascii="Times New Roman"/>
          <w:sz w:val="24"/>
          <w:szCs w:val="22"/>
          <w:highlight w:val="none"/>
        </w:rPr>
      </w:pPr>
      <w:r>
        <w:rPr>
          <w:rFonts w:hint="eastAsia" w:ascii="Times New Roman"/>
          <w:sz w:val="24"/>
          <w:szCs w:val="22"/>
          <w:highlight w:val="none"/>
        </w:rPr>
        <w:t>（七）投标文件未完全应答招标文件的技术参数的（应答后的正负偏离按照综合评分进行评审）</w:t>
      </w:r>
    </w:p>
    <w:p>
      <w:pPr>
        <w:spacing w:line="400" w:lineRule="exact"/>
        <w:ind w:firstLine="480" w:firstLineChars="200"/>
        <w:rPr>
          <w:rFonts w:ascii="Times New Roman"/>
          <w:sz w:val="24"/>
          <w:highlight w:val="none"/>
        </w:rPr>
      </w:pPr>
      <w:r>
        <w:rPr>
          <w:rFonts w:hint="eastAsia" w:ascii="Times New Roman"/>
          <w:sz w:val="24"/>
          <w:highlight w:val="none"/>
        </w:rPr>
        <w:t>（八）法律、法规和招标文件规定的其他无效情形。</w:t>
      </w:r>
    </w:p>
    <w:p>
      <w:pPr>
        <w:spacing w:line="500" w:lineRule="exact"/>
        <w:ind w:firstLine="480" w:firstLineChars="200"/>
        <w:rPr>
          <w:sz w:val="24"/>
          <w:highlight w:val="none"/>
        </w:rPr>
      </w:pPr>
      <w:r>
        <w:rPr>
          <w:rFonts w:hint="eastAsia"/>
          <w:sz w:val="24"/>
          <w:highlight w:val="none"/>
        </w:rPr>
        <w:t>3.4.3投标文件（包括单独递交的开标一览表）有下列情形的，本项目不作为实质性要求进行规定，即不作为符合性审查事项，不得作为无效投标处理：</w:t>
      </w:r>
    </w:p>
    <w:p>
      <w:pPr>
        <w:spacing w:line="500" w:lineRule="exact"/>
        <w:ind w:firstLine="480" w:firstLineChars="200"/>
        <w:rPr>
          <w:sz w:val="24"/>
          <w:highlight w:val="none"/>
        </w:rPr>
      </w:pPr>
      <w:r>
        <w:rPr>
          <w:rFonts w:hint="eastAsia"/>
          <w:sz w:val="24"/>
          <w:highlight w:val="none"/>
        </w:rPr>
        <w:t>（一）正副本数量齐全、密封完好，只是未按照招标文件要求进行分装或者统装的；</w:t>
      </w:r>
    </w:p>
    <w:p>
      <w:pPr>
        <w:spacing w:line="500" w:lineRule="exact"/>
        <w:ind w:firstLine="480" w:firstLineChars="200"/>
        <w:rPr>
          <w:sz w:val="24"/>
          <w:highlight w:val="none"/>
        </w:rPr>
      </w:pPr>
      <w:r>
        <w:rPr>
          <w:rFonts w:hint="eastAsia"/>
          <w:sz w:val="24"/>
          <w:highlight w:val="none"/>
        </w:rPr>
        <w:t>（二）</w:t>
      </w:r>
      <w:r>
        <w:rPr>
          <w:rFonts w:hAnsi="宋体" w:cs="宋体"/>
          <w:sz w:val="24"/>
          <w:highlight w:val="none"/>
        </w:rPr>
        <w:t>投标文件（包括单独递交的开标一览表）</w:t>
      </w:r>
      <w:r>
        <w:rPr>
          <w:rFonts w:hint="eastAsia"/>
          <w:sz w:val="24"/>
          <w:highlight w:val="none"/>
        </w:rPr>
        <w:t>存在个别地方（不超过2个）没有法定代表人签字，但有法定代表人的私人印章或者有效授权代理人签字的；</w:t>
      </w:r>
    </w:p>
    <w:p>
      <w:pPr>
        <w:spacing w:line="500" w:lineRule="exact"/>
        <w:ind w:firstLine="480" w:firstLineChars="200"/>
        <w:rPr>
          <w:sz w:val="24"/>
          <w:highlight w:val="none"/>
        </w:rPr>
      </w:pPr>
      <w:r>
        <w:rPr>
          <w:rFonts w:hint="eastAsia"/>
          <w:sz w:val="24"/>
          <w:highlight w:val="none"/>
        </w:rPr>
        <w:t>（三）</w:t>
      </w:r>
      <w:r>
        <w:rPr>
          <w:rFonts w:hAnsi="宋体" w:cs="宋体"/>
          <w:sz w:val="24"/>
          <w:highlight w:val="none"/>
        </w:rPr>
        <w:t>投标文件（包括单独递交的开标一览表）</w:t>
      </w:r>
      <w:r>
        <w:rPr>
          <w:rFonts w:hint="eastAsia"/>
          <w:sz w:val="24"/>
          <w:highlight w:val="none"/>
        </w:rPr>
        <w:t>除招标文件明确要求加盖单位(法人)公章的以外，其他地方以相关专用章加盖的；</w:t>
      </w:r>
    </w:p>
    <w:p>
      <w:pPr>
        <w:spacing w:line="500" w:lineRule="exact"/>
        <w:ind w:firstLine="480" w:firstLineChars="200"/>
        <w:rPr>
          <w:sz w:val="24"/>
          <w:highlight w:val="none"/>
        </w:rPr>
      </w:pPr>
      <w:r>
        <w:rPr>
          <w:rFonts w:hint="eastAsia"/>
          <w:sz w:val="24"/>
          <w:highlight w:val="none"/>
        </w:rPr>
        <w:t>（四）以骑缝章的形式代替投标文件内容逐页盖章的（但是骑缝章模糊不清，印章名称无法辨认的除外）；</w:t>
      </w:r>
    </w:p>
    <w:p>
      <w:pPr>
        <w:spacing w:line="500" w:lineRule="exact"/>
        <w:ind w:firstLine="480" w:firstLineChars="200"/>
        <w:rPr>
          <w:rFonts w:hAnsi="宋体" w:cs="宋体"/>
          <w:sz w:val="24"/>
          <w:highlight w:val="none"/>
        </w:rPr>
      </w:pPr>
      <w:r>
        <w:rPr>
          <w:rFonts w:hint="eastAsia"/>
          <w:sz w:val="24"/>
          <w:highlight w:val="none"/>
        </w:rPr>
        <w:t>（五）</w:t>
      </w:r>
      <w:r>
        <w:rPr>
          <w:rFonts w:hAnsi="宋体" w:cs="宋体"/>
          <w:sz w:val="24"/>
          <w:highlight w:val="none"/>
        </w:rPr>
        <w:t>投标文件中表格、顺序等格式（如：“注”等），未按招标文件格式制作的。</w:t>
      </w:r>
    </w:p>
    <w:p>
      <w:pPr>
        <w:spacing w:line="500" w:lineRule="exact"/>
        <w:ind w:firstLine="480" w:firstLineChars="200"/>
        <w:rPr>
          <w:sz w:val="24"/>
          <w:highlight w:val="none"/>
        </w:rPr>
      </w:pPr>
      <w:r>
        <w:rPr>
          <w:rFonts w:hint="eastAsia" w:hAnsi="宋体" w:cs="宋体"/>
          <w:sz w:val="24"/>
          <w:highlight w:val="none"/>
        </w:rPr>
        <w:t>（六）</w:t>
      </w:r>
      <w:r>
        <w:rPr>
          <w:rFonts w:hint="eastAsia"/>
          <w:sz w:val="24"/>
          <w:highlight w:val="none"/>
        </w:rPr>
        <w:t>其他不影响采购项目实质性要求的情形。</w:t>
      </w:r>
    </w:p>
    <w:p>
      <w:pPr>
        <w:spacing w:line="500" w:lineRule="exact"/>
        <w:ind w:firstLine="480" w:firstLineChars="200"/>
        <w:rPr>
          <w:sz w:val="24"/>
          <w:highlight w:val="none"/>
        </w:rPr>
      </w:pPr>
      <w:r>
        <w:rPr>
          <w:rFonts w:hint="eastAsia"/>
          <w:sz w:val="24"/>
          <w:highlight w:val="none"/>
        </w:rPr>
        <w:t>3.5</w:t>
      </w:r>
      <w:r>
        <w:rPr>
          <w:rFonts w:hAnsi="宋体" w:cs="宋体"/>
          <w:sz w:val="24"/>
          <w:highlight w:val="none"/>
        </w:rPr>
        <w:t>评标委员会依法对投标人进行符合性审查结束后，出具符合性审查报告。</w:t>
      </w:r>
    </w:p>
    <w:p>
      <w:pPr>
        <w:spacing w:line="500" w:lineRule="exact"/>
        <w:ind w:firstLine="480" w:firstLineChars="200"/>
        <w:rPr>
          <w:rFonts w:hAnsi="宋体" w:cs="宋体"/>
          <w:sz w:val="24"/>
          <w:highlight w:val="none"/>
        </w:rPr>
      </w:pPr>
      <w:r>
        <w:rPr>
          <w:rFonts w:hint="eastAsia" w:hAnsi="宋体" w:cs="宋体"/>
          <w:sz w:val="24"/>
          <w:highlight w:val="none"/>
        </w:rPr>
        <w:t>3.6</w:t>
      </w:r>
      <w:r>
        <w:rPr>
          <w:rFonts w:hAnsi="宋体" w:cs="宋体"/>
          <w:sz w:val="24"/>
          <w:highlight w:val="none"/>
        </w:rPr>
        <w:t>通过符合性审查的投标人不足3家的，本项目废标。</w:t>
      </w:r>
    </w:p>
    <w:p>
      <w:pPr>
        <w:spacing w:line="500" w:lineRule="exact"/>
        <w:ind w:firstLine="480" w:firstLineChars="200"/>
        <w:rPr>
          <w:sz w:val="24"/>
          <w:highlight w:val="none"/>
        </w:rPr>
      </w:pPr>
      <w:r>
        <w:rPr>
          <w:rFonts w:hint="eastAsia" w:hAnsi="宋体" w:cs="宋体"/>
          <w:sz w:val="24"/>
          <w:highlight w:val="none"/>
        </w:rPr>
        <w:t>3.7</w:t>
      </w:r>
      <w:r>
        <w:rPr>
          <w:rFonts w:hint="eastAsia"/>
          <w:sz w:val="24"/>
          <w:highlight w:val="none"/>
        </w:rPr>
        <w:t>比较与评价。</w:t>
      </w:r>
    </w:p>
    <w:p>
      <w:pPr>
        <w:spacing w:line="500" w:lineRule="exact"/>
        <w:ind w:firstLine="960" w:firstLineChars="400"/>
        <w:rPr>
          <w:rFonts w:hAnsi="宋体" w:cs="宋体"/>
          <w:sz w:val="24"/>
          <w:szCs w:val="22"/>
          <w:highlight w:val="none"/>
        </w:rPr>
      </w:pPr>
      <w:r>
        <w:rPr>
          <w:rFonts w:hAnsi="宋体" w:cs="宋体"/>
          <w:sz w:val="24"/>
          <w:szCs w:val="22"/>
          <w:highlight w:val="none"/>
        </w:rPr>
        <w:t>评标委员会应当按照招标文件中规定的评标方法和标准，对符合性审查合格的投标文件进行商务和技术</w:t>
      </w:r>
      <w:r>
        <w:rPr>
          <w:rFonts w:hint="eastAsia" w:hAnsi="宋体" w:cs="宋体"/>
          <w:sz w:val="24"/>
          <w:szCs w:val="22"/>
          <w:highlight w:val="none"/>
        </w:rPr>
        <w:t>、服务</w:t>
      </w:r>
      <w:r>
        <w:rPr>
          <w:rFonts w:hAnsi="宋体" w:cs="宋体"/>
          <w:sz w:val="24"/>
          <w:szCs w:val="22"/>
          <w:highlight w:val="none"/>
        </w:rPr>
        <w:t>评估，综合比较与评价。</w:t>
      </w:r>
    </w:p>
    <w:p>
      <w:pPr>
        <w:spacing w:line="500" w:lineRule="exact"/>
        <w:ind w:firstLine="480" w:firstLineChars="200"/>
        <w:rPr>
          <w:sz w:val="24"/>
          <w:highlight w:val="none"/>
        </w:rPr>
      </w:pPr>
      <w:r>
        <w:rPr>
          <w:rFonts w:hint="eastAsia" w:hAnsi="宋体" w:cs="宋体"/>
          <w:sz w:val="24"/>
          <w:szCs w:val="22"/>
          <w:highlight w:val="none"/>
        </w:rPr>
        <w:t>3.8复核。</w:t>
      </w:r>
    </w:p>
    <w:p>
      <w:pPr>
        <w:spacing w:line="500" w:lineRule="exact"/>
        <w:ind w:firstLine="480" w:firstLineChars="200"/>
        <w:rPr>
          <w:sz w:val="24"/>
          <w:highlight w:val="none"/>
        </w:rPr>
      </w:pPr>
      <w:r>
        <w:rPr>
          <w:rFonts w:hint="eastAsia"/>
          <w:sz w:val="24"/>
          <w:highlight w:val="none"/>
        </w:rPr>
        <w:t>3.8.1评标结果汇总完成后，评标委员会拟出具评标报告前，招标采购单位应当组织2名及以上的本单位工作人员，在采购现场监督人员的监督之下，依据有关的法律制度和采购文件对评标结果进行复核，出具复核报告。评标结果汇总完成后，除下列情形外，任何人不得修改评标结果：</w:t>
      </w:r>
    </w:p>
    <w:p>
      <w:pPr>
        <w:spacing w:line="500" w:lineRule="exact"/>
        <w:ind w:firstLine="480" w:firstLineChars="200"/>
        <w:rPr>
          <w:sz w:val="24"/>
          <w:highlight w:val="none"/>
        </w:rPr>
      </w:pPr>
      <w:r>
        <w:rPr>
          <w:rFonts w:hint="eastAsia"/>
          <w:sz w:val="24"/>
          <w:highlight w:val="none"/>
        </w:rPr>
        <w:t>（1）分值汇总计算错误的；</w:t>
      </w:r>
    </w:p>
    <w:p>
      <w:pPr>
        <w:spacing w:line="500" w:lineRule="exact"/>
        <w:ind w:firstLine="480" w:firstLineChars="200"/>
        <w:rPr>
          <w:sz w:val="24"/>
          <w:highlight w:val="none"/>
        </w:rPr>
      </w:pPr>
      <w:r>
        <w:rPr>
          <w:rFonts w:hint="eastAsia"/>
          <w:sz w:val="24"/>
          <w:highlight w:val="none"/>
        </w:rPr>
        <w:t>（2）分项评分超出评分标准范围的；</w:t>
      </w:r>
    </w:p>
    <w:p>
      <w:pPr>
        <w:spacing w:line="500" w:lineRule="exact"/>
        <w:ind w:firstLine="480" w:firstLineChars="200"/>
        <w:rPr>
          <w:sz w:val="24"/>
          <w:highlight w:val="none"/>
        </w:rPr>
      </w:pPr>
      <w:r>
        <w:rPr>
          <w:rFonts w:hint="eastAsia"/>
          <w:sz w:val="24"/>
          <w:highlight w:val="none"/>
        </w:rPr>
        <w:t>（3）评标委员会成员对客观评审因素评分不一致的；</w:t>
      </w:r>
    </w:p>
    <w:p>
      <w:pPr>
        <w:spacing w:line="500" w:lineRule="exact"/>
        <w:ind w:firstLine="480" w:firstLineChars="200"/>
        <w:rPr>
          <w:sz w:val="24"/>
          <w:highlight w:val="none"/>
        </w:rPr>
      </w:pPr>
      <w:r>
        <w:rPr>
          <w:rFonts w:hint="eastAsia"/>
          <w:sz w:val="24"/>
          <w:highlight w:val="none"/>
        </w:rPr>
        <w:t>（4）经评标委员会认定评分畸高、畸低的。</w:t>
      </w:r>
    </w:p>
    <w:p>
      <w:pPr>
        <w:pStyle w:val="38"/>
        <w:spacing w:line="500" w:lineRule="exact"/>
        <w:ind w:firstLine="480" w:firstLineChars="200"/>
        <w:jc w:val="both"/>
        <w:rPr>
          <w:highlight w:val="none"/>
        </w:rPr>
      </w:pPr>
      <w:r>
        <w:rPr>
          <w:rFonts w:hint="eastAsia" w:ascii="Times New Roman"/>
          <w:highlight w:val="none"/>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r>
        <w:rPr>
          <w:highlight w:val="none"/>
        </w:rPr>
        <w:t>采购代理机构复核过程中，评标委员会不得离开评标现场。</w:t>
      </w:r>
    </w:p>
    <w:p>
      <w:pPr>
        <w:pStyle w:val="38"/>
        <w:spacing w:line="500" w:lineRule="exact"/>
        <w:ind w:firstLine="480" w:firstLineChars="200"/>
        <w:jc w:val="both"/>
        <w:rPr>
          <w:highlight w:val="none"/>
        </w:rPr>
      </w:pPr>
      <w:r>
        <w:rPr>
          <w:rFonts w:hint="eastAsia"/>
          <w:highlight w:val="none"/>
        </w:rPr>
        <w:t>投标人对本条第一款情形提出质疑的，采购人或者采购代理机构可以组织原评标委员会进行重新评审，重新评审改变评标结果的，应当书面报告本级财政部门。</w:t>
      </w:r>
    </w:p>
    <w:p>
      <w:pPr>
        <w:pStyle w:val="38"/>
        <w:spacing w:line="500" w:lineRule="exact"/>
        <w:ind w:firstLine="480" w:firstLineChars="200"/>
        <w:jc w:val="both"/>
        <w:rPr>
          <w:highlight w:val="none"/>
        </w:rPr>
      </w:pPr>
      <w:r>
        <w:rPr>
          <w:rFonts w:hint="eastAsia"/>
          <w:highlight w:val="none"/>
        </w:rPr>
        <w:t>3.8.2有下列情形之一的，不得修改评标结果或者重新评标：</w:t>
      </w:r>
    </w:p>
    <w:p>
      <w:pPr>
        <w:pStyle w:val="38"/>
        <w:spacing w:line="500" w:lineRule="exact"/>
        <w:ind w:firstLine="480" w:firstLineChars="200"/>
        <w:jc w:val="both"/>
        <w:rPr>
          <w:highlight w:val="none"/>
        </w:rPr>
      </w:pPr>
      <w:r>
        <w:rPr>
          <w:rFonts w:hint="eastAsia"/>
          <w:highlight w:val="none"/>
        </w:rPr>
        <w:t>（一）评标委员会已经出具评标报告并且离开评标现场的；</w:t>
      </w:r>
    </w:p>
    <w:p>
      <w:pPr>
        <w:pStyle w:val="38"/>
        <w:spacing w:line="500" w:lineRule="exact"/>
        <w:ind w:firstLine="480" w:firstLineChars="200"/>
        <w:jc w:val="both"/>
        <w:rPr>
          <w:highlight w:val="none"/>
        </w:rPr>
      </w:pPr>
      <w:r>
        <w:rPr>
          <w:rFonts w:hint="eastAsia"/>
          <w:highlight w:val="none"/>
        </w:rPr>
        <w:t>（二）招标采购单位现场复核时，复核工作人员数量不足的；</w:t>
      </w:r>
    </w:p>
    <w:p>
      <w:pPr>
        <w:pStyle w:val="38"/>
        <w:spacing w:line="500" w:lineRule="exact"/>
        <w:ind w:firstLine="480" w:firstLineChars="200"/>
        <w:jc w:val="both"/>
        <w:rPr>
          <w:highlight w:val="none"/>
        </w:rPr>
      </w:pPr>
      <w:r>
        <w:rPr>
          <w:rFonts w:hint="eastAsia"/>
          <w:highlight w:val="none"/>
        </w:rPr>
        <w:t>（三）招标采购单位现场复核时，没有采购监督人员现场监督的；</w:t>
      </w:r>
    </w:p>
    <w:p>
      <w:pPr>
        <w:pStyle w:val="38"/>
        <w:spacing w:line="500" w:lineRule="exact"/>
        <w:ind w:firstLine="480" w:firstLineChars="200"/>
        <w:jc w:val="both"/>
        <w:rPr>
          <w:highlight w:val="none"/>
        </w:rPr>
      </w:pPr>
      <w:r>
        <w:rPr>
          <w:rFonts w:hint="eastAsia"/>
          <w:highlight w:val="none"/>
        </w:rPr>
        <w:t>（四）招标采购单位现场复核内容超出规定范围的；</w:t>
      </w:r>
    </w:p>
    <w:p>
      <w:pPr>
        <w:pStyle w:val="38"/>
        <w:spacing w:line="500" w:lineRule="exact"/>
        <w:ind w:firstLine="480" w:firstLineChars="200"/>
        <w:jc w:val="both"/>
        <w:rPr>
          <w:highlight w:val="none"/>
        </w:rPr>
      </w:pPr>
      <w:r>
        <w:rPr>
          <w:rFonts w:hint="eastAsia"/>
          <w:highlight w:val="none"/>
        </w:rPr>
        <w:t>（五）招标采购单位未提供书面建议的。</w:t>
      </w:r>
    </w:p>
    <w:p>
      <w:pPr>
        <w:spacing w:line="500" w:lineRule="exact"/>
        <w:ind w:firstLine="480" w:firstLineChars="200"/>
        <w:rPr>
          <w:sz w:val="24"/>
          <w:highlight w:val="none"/>
        </w:rPr>
      </w:pPr>
      <w:r>
        <w:rPr>
          <w:rFonts w:hint="eastAsia"/>
          <w:sz w:val="24"/>
          <w:highlight w:val="none"/>
        </w:rPr>
        <w:t>3.9推荐中标候选投标人。</w:t>
      </w:r>
    </w:p>
    <w:p>
      <w:pPr>
        <w:spacing w:line="500" w:lineRule="exact"/>
        <w:ind w:firstLine="480" w:firstLineChars="200"/>
        <w:rPr>
          <w:sz w:val="24"/>
          <w:szCs w:val="22"/>
          <w:highlight w:val="none"/>
        </w:rPr>
      </w:pPr>
      <w:r>
        <w:rPr>
          <w:rFonts w:hint="eastAsia"/>
          <w:sz w:val="24"/>
          <w:szCs w:val="22"/>
          <w:highlight w:val="none"/>
        </w:rPr>
        <w:t>中标候选人应当排序。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r>
        <w:rPr>
          <w:rFonts w:hint="eastAsia"/>
          <w:sz w:val="24"/>
          <w:highlight w:val="none"/>
        </w:rPr>
        <w:t>得分相同且满足招标文件全部实质性要求且按照评审因素的量化指标评审得分也相同的并列，由采购人自主采取公平、择优的方式选择</w:t>
      </w:r>
      <w:r>
        <w:rPr>
          <w:rFonts w:hint="eastAsia"/>
          <w:sz w:val="24"/>
          <w:szCs w:val="22"/>
          <w:highlight w:val="none"/>
        </w:rPr>
        <w:t>排名第一的中标候选人</w:t>
      </w:r>
      <w:r>
        <w:rPr>
          <w:rFonts w:hint="eastAsia"/>
          <w:sz w:val="24"/>
          <w:highlight w:val="none"/>
        </w:rPr>
        <w:t>。</w:t>
      </w:r>
    </w:p>
    <w:p>
      <w:pPr>
        <w:spacing w:line="500" w:lineRule="exact"/>
        <w:ind w:firstLine="480" w:firstLineChars="200"/>
        <w:rPr>
          <w:sz w:val="24"/>
          <w:highlight w:val="none"/>
        </w:rPr>
      </w:pPr>
      <w:r>
        <w:rPr>
          <w:rFonts w:hint="eastAsia"/>
          <w:sz w:val="24"/>
          <w:highlight w:val="none"/>
        </w:rPr>
        <w:t>评标委员会可推荐的中标候选投标人数量不能满足招标文件规定的数量的，只有在获得采购人书面同意后，可以根据实际情况推荐中标候选投标人。未获得采购人的书面同意,评标委员会不得在招标文件规定之外推荐中标候选投标人，否则，采购人可以不予认可。</w:t>
      </w:r>
    </w:p>
    <w:p>
      <w:pPr>
        <w:spacing w:line="500" w:lineRule="exact"/>
        <w:ind w:firstLine="480" w:firstLineChars="200"/>
        <w:rPr>
          <w:sz w:val="24"/>
          <w:highlight w:val="none"/>
        </w:rPr>
      </w:pPr>
      <w:r>
        <w:rPr>
          <w:rFonts w:hint="eastAsia"/>
          <w:sz w:val="24"/>
          <w:highlight w:val="none"/>
        </w:rPr>
        <w:t>3.10出具评标报告。评标委员会推荐中标候选投标人后，应当向招标采购单位出具评标报告。评标报告应当包括下列内容：</w:t>
      </w:r>
    </w:p>
    <w:p>
      <w:pPr>
        <w:spacing w:line="500" w:lineRule="exact"/>
        <w:ind w:firstLine="480" w:firstLineChars="200"/>
        <w:rPr>
          <w:sz w:val="24"/>
          <w:highlight w:val="none"/>
        </w:rPr>
      </w:pPr>
      <w:r>
        <w:rPr>
          <w:sz w:val="24"/>
          <w:highlight w:val="none"/>
        </w:rPr>
        <w:t>（一）招标公告刊登的媒体名称、开标日期和地点；</w:t>
      </w:r>
    </w:p>
    <w:p>
      <w:pPr>
        <w:spacing w:line="500" w:lineRule="exact"/>
        <w:ind w:firstLine="480" w:firstLineChars="200"/>
        <w:rPr>
          <w:sz w:val="24"/>
          <w:highlight w:val="none"/>
        </w:rPr>
      </w:pPr>
      <w:r>
        <w:rPr>
          <w:sz w:val="24"/>
          <w:highlight w:val="none"/>
        </w:rPr>
        <w:t>（二）投标人名单和评标委员会成员名单；</w:t>
      </w:r>
    </w:p>
    <w:p>
      <w:pPr>
        <w:spacing w:line="500" w:lineRule="exact"/>
        <w:ind w:firstLine="480" w:firstLineChars="200"/>
        <w:rPr>
          <w:sz w:val="24"/>
          <w:highlight w:val="none"/>
        </w:rPr>
      </w:pPr>
      <w:r>
        <w:rPr>
          <w:sz w:val="24"/>
          <w:highlight w:val="none"/>
        </w:rPr>
        <w:t>（三）评标方法和标准；</w:t>
      </w:r>
    </w:p>
    <w:p>
      <w:pPr>
        <w:spacing w:line="500" w:lineRule="exact"/>
        <w:ind w:firstLine="480" w:firstLineChars="200"/>
        <w:rPr>
          <w:sz w:val="24"/>
          <w:highlight w:val="none"/>
        </w:rPr>
      </w:pPr>
      <w:r>
        <w:rPr>
          <w:sz w:val="24"/>
          <w:highlight w:val="none"/>
        </w:rPr>
        <w:t>（四）开标记录和评标情况及说明，包括无效投标人名单及原因；</w:t>
      </w:r>
    </w:p>
    <w:p>
      <w:pPr>
        <w:spacing w:line="500" w:lineRule="exact"/>
        <w:ind w:firstLine="480" w:firstLineChars="200"/>
        <w:rPr>
          <w:sz w:val="24"/>
          <w:highlight w:val="none"/>
        </w:rPr>
      </w:pPr>
      <w:r>
        <w:rPr>
          <w:sz w:val="24"/>
          <w:highlight w:val="none"/>
        </w:rPr>
        <w:t>（五）评标结果，确定的中标候选人名单或者经采购人委托直接确定的中标人；</w:t>
      </w:r>
    </w:p>
    <w:p>
      <w:pPr>
        <w:spacing w:line="500" w:lineRule="exact"/>
        <w:ind w:firstLine="480" w:firstLineChars="200"/>
        <w:rPr>
          <w:sz w:val="24"/>
          <w:highlight w:val="none"/>
        </w:rPr>
      </w:pPr>
      <w:r>
        <w:rPr>
          <w:sz w:val="24"/>
          <w:highlight w:val="none"/>
        </w:rPr>
        <w:t>（六）其他需要说明的情况，包括评标过程中投标人根据评标委员会要求进行的澄清、说明或者补正，评标委员会成员的更换等。</w:t>
      </w:r>
    </w:p>
    <w:p>
      <w:pPr>
        <w:spacing w:line="500" w:lineRule="exact"/>
        <w:ind w:firstLine="480" w:firstLineChars="200"/>
        <w:rPr>
          <w:sz w:val="24"/>
          <w:highlight w:val="none"/>
        </w:rPr>
      </w:pPr>
      <w:r>
        <w:rPr>
          <w:rFonts w:hint="eastAsia"/>
          <w:sz w:val="24"/>
          <w:szCs w:val="22"/>
          <w:highlight w:val="none"/>
        </w:rPr>
        <w:t>评标委员会成员应当在评标报告中签字确认，对</w:t>
      </w:r>
      <w:r>
        <w:rPr>
          <w:rFonts w:hint="eastAsia"/>
          <w:sz w:val="24"/>
          <w:highlight w:val="none"/>
        </w:rPr>
        <w:t>评标过程和结果有不同意见的，应当在评标报告中写明并说明理由。签字但未写明不同意见或者未说明理由的，视同无意见。拒不签字又未另行书面说明其不同意见和理由的，视同同意评标结果。</w:t>
      </w:r>
    </w:p>
    <w:p>
      <w:pPr>
        <w:spacing w:line="500" w:lineRule="exact"/>
        <w:ind w:firstLine="480" w:firstLineChars="200"/>
        <w:rPr>
          <w:sz w:val="24"/>
          <w:highlight w:val="none"/>
        </w:rPr>
      </w:pPr>
      <w:r>
        <w:rPr>
          <w:rFonts w:hint="eastAsia"/>
          <w:sz w:val="24"/>
          <w:highlight w:val="none"/>
        </w:rPr>
        <w:t>3.11评标争议处理规则。评标委员会在评审过程中，</w:t>
      </w:r>
      <w:r>
        <w:rPr>
          <w:rFonts w:hAnsi="宋体" w:cs="宋体"/>
          <w:sz w:val="24"/>
          <w:highlight w:val="none"/>
        </w:rPr>
        <w:t>评标委员会成员对需要共同认定的事项存在争议的，</w:t>
      </w:r>
      <w:r>
        <w:rPr>
          <w:rFonts w:hint="eastAsia"/>
          <w:sz w:val="24"/>
          <w:highlight w:val="none"/>
        </w:rPr>
        <w:t>应当按照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pPr>
        <w:spacing w:line="500" w:lineRule="exact"/>
        <w:ind w:firstLine="480" w:firstLineChars="200"/>
        <w:rPr>
          <w:sz w:val="24"/>
          <w:highlight w:val="none"/>
        </w:rPr>
      </w:pPr>
      <w:r>
        <w:rPr>
          <w:rFonts w:hint="eastAsia"/>
          <w:sz w:val="24"/>
          <w:highlight w:val="none"/>
        </w:rPr>
        <w:t>3.12投标人应当书面澄清、说明或者更正。</w:t>
      </w:r>
    </w:p>
    <w:p>
      <w:pPr>
        <w:spacing w:line="500" w:lineRule="exact"/>
        <w:ind w:firstLine="480" w:firstLineChars="200"/>
        <w:rPr>
          <w:sz w:val="24"/>
          <w:highlight w:val="none"/>
        </w:rPr>
      </w:pPr>
      <w:r>
        <w:rPr>
          <w:rFonts w:hint="eastAsia"/>
          <w:sz w:val="24"/>
          <w:highlight w:val="none"/>
        </w:rPr>
        <w:t>3.12.1在评标过程中，评标委员会对投标文件中含义不明确、同类问题表述不一致或者有明显文字和计算错误的内容，应当以书面形式（须由评标委员会全体成员签字）要求投标人作出必要的澄清、说明或者补正。</w:t>
      </w:r>
    </w:p>
    <w:p>
      <w:pPr>
        <w:spacing w:line="500" w:lineRule="exact"/>
        <w:ind w:firstLine="480" w:firstLineChars="200"/>
        <w:rPr>
          <w:highlight w:val="none"/>
        </w:rPr>
      </w:pPr>
      <w:r>
        <w:rPr>
          <w:rFonts w:hint="eastAsia"/>
          <w:sz w:val="24"/>
          <w:szCs w:val="22"/>
          <w:highlight w:val="none"/>
        </w:rPr>
        <w:t>3.12.2投标人的澄清、说明或者补正应当采用书面形式，并加盖公章或签字确认（投标人为法人的，应当由其法定代表人或者代理人签字确认；投标人为其他组织的，应当由其主要负责人或者代理人签字确认；投标人为自然人的，应当由其本人或者代理人签字确认），否则无效。投标人的澄清、说明或者补正不得超出投标文</w:t>
      </w:r>
      <w:r>
        <w:rPr>
          <w:rFonts w:hAnsi="宋体" w:cs="宋体"/>
          <w:sz w:val="24"/>
          <w:highlight w:val="none"/>
        </w:rPr>
        <w:t>件的范围或者改变投标文件的实质性内容。</w:t>
      </w:r>
      <w:r>
        <w:rPr>
          <w:rFonts w:hint="eastAsia"/>
          <w:sz w:val="24"/>
          <w:highlight w:val="none"/>
        </w:rPr>
        <w:t>有效的澄清、说明或者补正材料，是投标文件的组成部分。</w:t>
      </w:r>
    </w:p>
    <w:p>
      <w:pPr>
        <w:spacing w:line="500" w:lineRule="exact"/>
        <w:ind w:firstLine="480" w:firstLineChars="200"/>
        <w:rPr>
          <w:sz w:val="24"/>
          <w:highlight w:val="none"/>
        </w:rPr>
      </w:pPr>
      <w:r>
        <w:rPr>
          <w:rFonts w:hint="eastAsia"/>
          <w:sz w:val="24"/>
          <w:highlight w:val="none"/>
        </w:rPr>
        <w:t>3.12.3评标委员会要求投标人澄清、说明或者补正，不得超出招标文件的范围，不得以此让投标人实质改变投标文件的内容，不得影响投标人公平竞争。本项目下列内容不得澄清：</w:t>
      </w:r>
    </w:p>
    <w:p>
      <w:pPr>
        <w:spacing w:line="500" w:lineRule="exact"/>
        <w:ind w:firstLine="480" w:firstLineChars="200"/>
        <w:rPr>
          <w:sz w:val="24"/>
          <w:highlight w:val="none"/>
        </w:rPr>
      </w:pPr>
      <w:r>
        <w:rPr>
          <w:rFonts w:hint="eastAsia"/>
          <w:sz w:val="24"/>
          <w:highlight w:val="none"/>
        </w:rPr>
        <w:t>（一）按财政部规定应当在评标时不予承认的投标文件内容事项；</w:t>
      </w:r>
    </w:p>
    <w:p>
      <w:pPr>
        <w:spacing w:line="500" w:lineRule="exact"/>
        <w:ind w:firstLine="480" w:firstLineChars="200"/>
        <w:rPr>
          <w:sz w:val="24"/>
          <w:highlight w:val="none"/>
        </w:rPr>
      </w:pPr>
      <w:r>
        <w:rPr>
          <w:rFonts w:hint="eastAsia"/>
          <w:sz w:val="24"/>
          <w:highlight w:val="none"/>
        </w:rPr>
        <w:t>（二）投标文件中已经明确的内容事项；</w:t>
      </w:r>
    </w:p>
    <w:p>
      <w:pPr>
        <w:spacing w:line="500" w:lineRule="exact"/>
        <w:ind w:firstLine="480" w:firstLineChars="200"/>
        <w:rPr>
          <w:sz w:val="24"/>
          <w:highlight w:val="none"/>
        </w:rPr>
      </w:pPr>
      <w:r>
        <w:rPr>
          <w:rFonts w:hint="eastAsia"/>
          <w:sz w:val="24"/>
          <w:highlight w:val="none"/>
        </w:rPr>
        <w:t>（三）投标文件未提供的材料。</w:t>
      </w:r>
    </w:p>
    <w:p>
      <w:pPr>
        <w:spacing w:line="500" w:lineRule="exact"/>
        <w:ind w:firstLine="480" w:firstLineChars="200"/>
        <w:rPr>
          <w:rFonts w:ascii="Times New Roman"/>
          <w:sz w:val="24"/>
          <w:szCs w:val="22"/>
          <w:highlight w:val="none"/>
        </w:rPr>
      </w:pPr>
      <w:r>
        <w:rPr>
          <w:rFonts w:hint="eastAsia" w:ascii="Times New Roman"/>
          <w:sz w:val="24"/>
          <w:szCs w:val="22"/>
          <w:highlight w:val="none"/>
        </w:rPr>
        <w:t>3.12.4本项目采购过程中，投标文件出现下列情况的，不需要投标人澄清、说明或</w:t>
      </w:r>
    </w:p>
    <w:p>
      <w:pPr>
        <w:spacing w:line="500" w:lineRule="exact"/>
        <w:rPr>
          <w:rFonts w:ascii="Times New Roman"/>
          <w:sz w:val="24"/>
          <w:szCs w:val="22"/>
          <w:highlight w:val="none"/>
        </w:rPr>
      </w:pPr>
      <w:r>
        <w:rPr>
          <w:rFonts w:hint="eastAsia" w:ascii="Times New Roman"/>
          <w:sz w:val="24"/>
          <w:szCs w:val="22"/>
          <w:highlight w:val="none"/>
        </w:rPr>
        <w:t>者更正，按照以下原则处理：</w:t>
      </w:r>
    </w:p>
    <w:p>
      <w:pPr>
        <w:spacing w:line="500" w:lineRule="exact"/>
        <w:ind w:firstLine="480" w:firstLineChars="200"/>
        <w:rPr>
          <w:sz w:val="24"/>
          <w:highlight w:val="none"/>
        </w:rPr>
      </w:pPr>
      <w:r>
        <w:rPr>
          <w:rFonts w:hint="eastAsia"/>
          <w:sz w:val="24"/>
          <w:highlight w:val="none"/>
        </w:rPr>
        <w:t>（一）投标文件中开标一览表（报价表）内容与投标文件中相应内容不一致的，以开标一览表（报价表）为准；</w:t>
      </w:r>
    </w:p>
    <w:p>
      <w:pPr>
        <w:spacing w:line="500" w:lineRule="exact"/>
        <w:ind w:firstLine="480" w:firstLineChars="200"/>
        <w:rPr>
          <w:sz w:val="24"/>
          <w:highlight w:val="none"/>
        </w:rPr>
      </w:pPr>
      <w:r>
        <w:rPr>
          <w:rFonts w:hint="eastAsia"/>
          <w:sz w:val="24"/>
          <w:highlight w:val="none"/>
        </w:rPr>
        <w:t>（二）大写金额和小写金额不一致的，以大写金额为准；</w:t>
      </w:r>
    </w:p>
    <w:p>
      <w:pPr>
        <w:spacing w:line="500" w:lineRule="exact"/>
        <w:ind w:firstLine="480" w:firstLineChars="200"/>
        <w:rPr>
          <w:sz w:val="24"/>
          <w:highlight w:val="none"/>
        </w:rPr>
      </w:pPr>
      <w:r>
        <w:rPr>
          <w:rFonts w:hint="eastAsia"/>
          <w:sz w:val="24"/>
          <w:highlight w:val="none"/>
        </w:rPr>
        <w:t>（三）单价金额小数点或者百分比有明显错位的，以开标一览表的总价为准，并修改单价；</w:t>
      </w:r>
    </w:p>
    <w:p>
      <w:pPr>
        <w:spacing w:line="500" w:lineRule="exact"/>
        <w:ind w:firstLine="480" w:firstLineChars="200"/>
        <w:rPr>
          <w:sz w:val="24"/>
          <w:highlight w:val="none"/>
        </w:rPr>
      </w:pPr>
      <w:r>
        <w:rPr>
          <w:rFonts w:hint="eastAsia"/>
          <w:sz w:val="24"/>
          <w:highlight w:val="none"/>
        </w:rPr>
        <w:t>（四）总价金额与按单价汇总金额不一致的，以单价金额计算结果为准。</w:t>
      </w:r>
    </w:p>
    <w:p>
      <w:pPr>
        <w:spacing w:line="500" w:lineRule="exact"/>
        <w:ind w:firstLine="480" w:firstLineChars="200"/>
        <w:rPr>
          <w:rFonts w:ascii="Times New Roman"/>
          <w:sz w:val="24"/>
          <w:highlight w:val="none"/>
        </w:rPr>
      </w:pPr>
      <w:r>
        <w:rPr>
          <w:rFonts w:hint="eastAsia" w:ascii="Times New Roman"/>
          <w:sz w:val="24"/>
          <w:highlight w:val="none"/>
        </w:rPr>
        <w:t>同时出现两种以上不一致的，按照前款规定的顺序修正。修正后的报价按照《政府采购货物和服务招标投标管理办法》第五十一条第二款“投标人的澄清、说明或者补正应当采用书面形式，并加盖公章，或者由法定代表人或其授权的代表签字。投标人的澄清、说明或者补正不得超出投标文件的范围或者改变投标文件的实质性内容。”的规定经投标人确认后产生约束力，投标人不确认的，其投标无效。</w:t>
      </w:r>
    </w:p>
    <w:p>
      <w:pPr>
        <w:spacing w:line="500" w:lineRule="exact"/>
        <w:ind w:firstLine="480" w:firstLineChars="200"/>
        <w:rPr>
          <w:sz w:val="24"/>
          <w:highlight w:val="none"/>
        </w:rPr>
      </w:pPr>
      <w:r>
        <w:rPr>
          <w:rFonts w:hint="eastAsia" w:ascii="Times New Roman"/>
          <w:sz w:val="24"/>
          <w:highlight w:val="none"/>
        </w:rPr>
        <w:t>出现本条第（4）项规定情形，单价汇总金额比总价金额高，且超过政府采购预算或者本项目最高限价的，投标人投标文件应作为无效投标处理；单价汇总金额比总价金额高，但未超过政府采购预算或者本项目最高限价的，应以单价汇总金额作为价格评分依据。</w:t>
      </w:r>
    </w:p>
    <w:p>
      <w:pPr>
        <w:spacing w:line="500" w:lineRule="exact"/>
        <w:ind w:firstLine="482" w:firstLineChars="200"/>
        <w:rPr>
          <w:b/>
          <w:sz w:val="24"/>
          <w:highlight w:val="none"/>
        </w:rPr>
      </w:pPr>
      <w:r>
        <w:rPr>
          <w:rFonts w:hint="eastAsia"/>
          <w:b/>
          <w:sz w:val="24"/>
          <w:highlight w:val="none"/>
        </w:rPr>
        <w:t>注：评标委员会当积极履行澄清、说明或者更正的职责，不得滥用权力。投标人的投标文件可以要求澄清、说明或者更正的，不得未经澄清、说明或者更正而直接作无效投标处理。</w:t>
      </w:r>
    </w:p>
    <w:p>
      <w:pPr>
        <w:pStyle w:val="38"/>
        <w:spacing w:line="500" w:lineRule="exact"/>
        <w:ind w:firstLine="480" w:firstLineChars="200"/>
        <w:jc w:val="both"/>
        <w:rPr>
          <w:highlight w:val="none"/>
        </w:rPr>
      </w:pPr>
      <w:r>
        <w:rPr>
          <w:rFonts w:hint="eastAsia"/>
          <w:highlight w:val="none"/>
        </w:rPr>
        <w:t>3.13低于成本价投标处理。</w:t>
      </w:r>
    </w:p>
    <w:p>
      <w:pPr>
        <w:pStyle w:val="38"/>
        <w:spacing w:line="500" w:lineRule="exact"/>
        <w:ind w:firstLine="480" w:firstLineChars="200"/>
        <w:jc w:val="both"/>
        <w:rPr>
          <w:highlight w:val="none"/>
        </w:rPr>
      </w:pPr>
      <w:r>
        <w:rPr>
          <w:rFonts w:hint="eastAsia"/>
          <w:highlight w:val="none"/>
        </w:rPr>
        <w:t>详见</w:t>
      </w:r>
      <w:r>
        <w:rPr>
          <w:highlight w:val="none"/>
        </w:rPr>
        <w:t>投标人须知前附表。</w:t>
      </w:r>
    </w:p>
    <w:p>
      <w:pPr>
        <w:pStyle w:val="4"/>
        <w:spacing w:before="120" w:after="120" w:line="500" w:lineRule="exact"/>
        <w:ind w:firstLine="482" w:firstLineChars="200"/>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 评标细则及标准（以综合评分法为例）</w:t>
      </w:r>
      <w:bookmarkEnd w:id="144"/>
    </w:p>
    <w:p>
      <w:pPr>
        <w:spacing w:line="500" w:lineRule="exact"/>
        <w:ind w:firstLine="480" w:firstLineChars="200"/>
        <w:rPr>
          <w:sz w:val="24"/>
          <w:highlight w:val="none"/>
        </w:rPr>
      </w:pPr>
      <w:r>
        <w:rPr>
          <w:rFonts w:hint="eastAsia"/>
          <w:sz w:val="24"/>
          <w:highlight w:val="none"/>
        </w:rPr>
        <w:t>4.1本次综合评分的因素：</w:t>
      </w:r>
      <w:r>
        <w:rPr>
          <w:rFonts w:hint="eastAsia" w:hAnsi="宋体" w:cs="宋体"/>
          <w:sz w:val="24"/>
          <w:szCs w:val="24"/>
          <w:highlight w:val="none"/>
        </w:rPr>
        <w:t>详见综合评分明细表</w:t>
      </w:r>
      <w:r>
        <w:rPr>
          <w:rFonts w:hint="eastAsia"/>
          <w:sz w:val="24"/>
          <w:highlight w:val="none"/>
        </w:rPr>
        <w:t>。</w:t>
      </w:r>
    </w:p>
    <w:p>
      <w:pPr>
        <w:pStyle w:val="38"/>
        <w:spacing w:line="500" w:lineRule="exact"/>
        <w:ind w:firstLine="480" w:firstLineChars="200"/>
        <w:jc w:val="both"/>
        <w:rPr>
          <w:highlight w:val="none"/>
        </w:rPr>
      </w:pPr>
      <w:r>
        <w:rPr>
          <w:rFonts w:hint="eastAsia"/>
          <w:highlight w:val="none"/>
        </w:rPr>
        <w:t>4.2 评标委员会成员应当根据自身专业情况对每个有效投标投标人的投标文件进行独立评分，加权汇总每项评分因素的得分，得出每个有效投标投标人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pPr>
        <w:pStyle w:val="38"/>
        <w:spacing w:line="500" w:lineRule="exact"/>
        <w:ind w:firstLine="480" w:firstLineChars="200"/>
        <w:jc w:val="both"/>
        <w:rPr>
          <w:highlight w:val="none"/>
        </w:rPr>
      </w:pPr>
      <w:r>
        <w:rPr>
          <w:rFonts w:hint="eastAsia"/>
          <w:highlight w:val="none"/>
        </w:rPr>
        <w:t>4.3综合评分明细表</w:t>
      </w:r>
    </w:p>
    <w:p>
      <w:pPr>
        <w:pStyle w:val="38"/>
        <w:spacing w:line="500" w:lineRule="exact"/>
        <w:ind w:firstLine="480" w:firstLineChars="200"/>
        <w:jc w:val="both"/>
        <w:rPr>
          <w:highlight w:val="none"/>
        </w:rPr>
      </w:pPr>
      <w:r>
        <w:rPr>
          <w:rFonts w:hint="eastAsia"/>
          <w:highlight w:val="none"/>
        </w:rPr>
        <w:t>4.3.1综合评分明细表的制定以科学合理、降低评委会自由裁量权为原则。</w:t>
      </w:r>
    </w:p>
    <w:p>
      <w:pPr>
        <w:pStyle w:val="38"/>
        <w:spacing w:line="500" w:lineRule="exact"/>
        <w:ind w:firstLine="480" w:firstLineChars="200"/>
        <w:jc w:val="both"/>
        <w:rPr>
          <w:highlight w:val="none"/>
        </w:rPr>
      </w:pPr>
      <w:r>
        <w:rPr>
          <w:rFonts w:hint="eastAsia"/>
          <w:highlight w:val="none"/>
        </w:rPr>
        <w:t>4.3.2综合评分明细表</w:t>
      </w:r>
    </w:p>
    <w:tbl>
      <w:tblPr>
        <w:tblStyle w:val="27"/>
        <w:tblW w:w="91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4"/>
        <w:gridCol w:w="1406"/>
        <w:gridCol w:w="795"/>
        <w:gridCol w:w="5149"/>
        <w:gridCol w:w="1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524" w:type="dxa"/>
            <w:noWrap/>
            <w:vAlign w:val="center"/>
          </w:tcPr>
          <w:p>
            <w:pPr>
              <w:spacing w:line="360" w:lineRule="auto"/>
              <w:jc w:val="center"/>
              <w:rPr>
                <w:rFonts w:hAnsi="宋体" w:cs="宋体"/>
                <w:sz w:val="24"/>
                <w:szCs w:val="24"/>
                <w:highlight w:val="none"/>
              </w:rPr>
            </w:pPr>
            <w:bookmarkStart w:id="146" w:name="_Toc217446060"/>
            <w:r>
              <w:rPr>
                <w:rFonts w:hint="eastAsia" w:hAnsi="宋体" w:cs="宋体"/>
                <w:sz w:val="24"/>
                <w:szCs w:val="24"/>
                <w:highlight w:val="none"/>
              </w:rPr>
              <w:t>序号</w:t>
            </w:r>
          </w:p>
        </w:tc>
        <w:tc>
          <w:tcPr>
            <w:tcW w:w="1406"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评分因素及权重</w:t>
            </w:r>
          </w:p>
        </w:tc>
        <w:tc>
          <w:tcPr>
            <w:tcW w:w="795"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分值</w:t>
            </w:r>
          </w:p>
        </w:tc>
        <w:tc>
          <w:tcPr>
            <w:tcW w:w="5149"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评分标准</w:t>
            </w:r>
          </w:p>
        </w:tc>
        <w:tc>
          <w:tcPr>
            <w:tcW w:w="1241"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9" w:hRule="atLeast"/>
          <w:jc w:val="center"/>
        </w:trPr>
        <w:tc>
          <w:tcPr>
            <w:tcW w:w="524"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1</w:t>
            </w:r>
          </w:p>
        </w:tc>
        <w:tc>
          <w:tcPr>
            <w:tcW w:w="1406"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报价30%</w:t>
            </w:r>
          </w:p>
        </w:tc>
        <w:tc>
          <w:tcPr>
            <w:tcW w:w="795"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30分</w:t>
            </w:r>
          </w:p>
        </w:tc>
        <w:tc>
          <w:tcPr>
            <w:tcW w:w="5149" w:type="dxa"/>
            <w:noWrap/>
            <w:vAlign w:val="center"/>
          </w:tcPr>
          <w:p>
            <w:pPr>
              <w:spacing w:line="360" w:lineRule="auto"/>
              <w:rPr>
                <w:rFonts w:hAnsi="宋体" w:cs="宋体"/>
                <w:sz w:val="24"/>
                <w:szCs w:val="24"/>
                <w:highlight w:val="none"/>
              </w:rPr>
            </w:pPr>
            <w:r>
              <w:rPr>
                <w:rFonts w:hint="eastAsia" w:hAnsi="宋体" w:cs="宋体"/>
                <w:sz w:val="24"/>
                <w:szCs w:val="24"/>
                <w:highlight w:val="none"/>
              </w:rPr>
              <w:t>以本次有效的最低投标报价折扣率为基准价，其价格分为满分。报价得分=(基准价／投标报价)×30%×100。</w:t>
            </w:r>
          </w:p>
          <w:p>
            <w:pPr>
              <w:pStyle w:val="2"/>
              <w:spacing w:line="360" w:lineRule="auto"/>
              <w:rPr>
                <w:rFonts w:hAnsi="宋体" w:cs="宋体"/>
                <w:sz w:val="24"/>
                <w:szCs w:val="24"/>
                <w:highlight w:val="none"/>
              </w:rPr>
            </w:pPr>
            <w:r>
              <w:rPr>
                <w:rFonts w:hint="eastAsia" w:hAnsi="宋体" w:cs="宋体"/>
                <w:sz w:val="24"/>
                <w:szCs w:val="24"/>
                <w:highlight w:val="none"/>
              </w:rPr>
              <w:t>注：</w:t>
            </w:r>
          </w:p>
          <w:p>
            <w:pPr>
              <w:pStyle w:val="2"/>
              <w:spacing w:line="360" w:lineRule="auto"/>
              <w:rPr>
                <w:rFonts w:hAnsi="宋体" w:cs="宋体"/>
                <w:sz w:val="24"/>
                <w:szCs w:val="24"/>
                <w:highlight w:val="none"/>
              </w:rPr>
            </w:pPr>
            <w:r>
              <w:rPr>
                <w:rFonts w:hint="eastAsia" w:hAnsi="宋体" w:cs="宋体"/>
                <w:sz w:val="24"/>
                <w:szCs w:val="24"/>
                <w:highlight w:val="none"/>
              </w:rPr>
              <w:t>1、投标报价为统一折扣率；得分四舍五入保留至小数点后两位。</w:t>
            </w:r>
          </w:p>
          <w:p>
            <w:pPr>
              <w:pStyle w:val="2"/>
              <w:spacing w:line="360" w:lineRule="auto"/>
              <w:rPr>
                <w:rFonts w:hAnsi="宋体" w:cs="宋体"/>
                <w:highlight w:val="none"/>
              </w:rPr>
            </w:pPr>
            <w:r>
              <w:rPr>
                <w:rFonts w:hint="eastAsia" w:hAnsi="宋体" w:cs="宋体"/>
                <w:sz w:val="24"/>
                <w:szCs w:val="24"/>
                <w:highlight w:val="none"/>
              </w:rPr>
              <w:t>2、投标报价：</w:t>
            </w:r>
            <w:r>
              <w:rPr>
                <w:rFonts w:hint="eastAsia" w:hAnsi="宋体" w:cs="宋体"/>
                <w:bCs/>
                <w:sz w:val="24"/>
                <w:szCs w:val="24"/>
                <w:highlight w:val="none"/>
              </w:rPr>
              <w:t>折扣率=1-优惠率，如10元的产品优惠2元，即优惠率为20%。折扣率就是1-20%=80%</w:t>
            </w:r>
            <w:r>
              <w:rPr>
                <w:rFonts w:hint="eastAsia" w:hAnsi="宋体" w:cs="宋体"/>
                <w:sz w:val="24"/>
                <w:szCs w:val="24"/>
                <w:highlight w:val="none"/>
              </w:rPr>
              <w:t>。</w:t>
            </w:r>
          </w:p>
          <w:p>
            <w:pPr>
              <w:pStyle w:val="2"/>
              <w:spacing w:line="360" w:lineRule="auto"/>
              <w:rPr>
                <w:rFonts w:hAnsi="宋体" w:cs="宋体"/>
                <w:highlight w:val="none"/>
              </w:rPr>
            </w:pPr>
            <w:r>
              <w:rPr>
                <w:rFonts w:hint="eastAsia" w:hAnsi="宋体" w:cs="宋体"/>
                <w:sz w:val="24"/>
                <w:szCs w:val="24"/>
                <w:highlight w:val="none"/>
              </w:rPr>
              <w:t>3、相关政策详见须知附表。</w:t>
            </w:r>
          </w:p>
        </w:tc>
        <w:tc>
          <w:tcPr>
            <w:tcW w:w="1241"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524"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2</w:t>
            </w:r>
          </w:p>
        </w:tc>
        <w:tc>
          <w:tcPr>
            <w:tcW w:w="1406"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技术要求29.32%</w:t>
            </w:r>
          </w:p>
        </w:tc>
        <w:tc>
          <w:tcPr>
            <w:tcW w:w="795" w:type="dxa"/>
            <w:noWrap/>
            <w:vAlign w:val="center"/>
          </w:tcPr>
          <w:p>
            <w:pPr>
              <w:spacing w:line="360" w:lineRule="auto"/>
              <w:jc w:val="center"/>
              <w:rPr>
                <w:rFonts w:hAnsi="宋体" w:cs="宋体"/>
                <w:highlight w:val="none"/>
              </w:rPr>
            </w:pPr>
            <w:r>
              <w:rPr>
                <w:rFonts w:hint="eastAsia" w:hAnsi="宋体" w:cs="宋体"/>
                <w:sz w:val="24"/>
                <w:szCs w:val="24"/>
                <w:highlight w:val="none"/>
              </w:rPr>
              <w:t>29.32分</w:t>
            </w:r>
          </w:p>
        </w:tc>
        <w:tc>
          <w:tcPr>
            <w:tcW w:w="5149" w:type="dxa"/>
            <w:noWrap/>
            <w:vAlign w:val="center"/>
          </w:tcPr>
          <w:p>
            <w:pPr>
              <w:spacing w:line="360" w:lineRule="auto"/>
              <w:rPr>
                <w:rFonts w:hAnsi="宋体" w:cs="宋体"/>
                <w:sz w:val="24"/>
                <w:szCs w:val="24"/>
                <w:highlight w:val="none"/>
              </w:rPr>
            </w:pPr>
            <w:r>
              <w:rPr>
                <w:rFonts w:hint="eastAsia" w:hAnsi="宋体" w:cs="宋体"/>
                <w:sz w:val="24"/>
                <w:szCs w:val="24"/>
                <w:highlight w:val="none"/>
              </w:rPr>
              <w:t>完全符合招标文件技术参数要求得29.32分：</w:t>
            </w:r>
          </w:p>
          <w:p>
            <w:pPr>
              <w:spacing w:line="360" w:lineRule="auto"/>
              <w:rPr>
                <w:rFonts w:hAnsi="宋体" w:cs="宋体"/>
                <w:sz w:val="24"/>
                <w:szCs w:val="24"/>
                <w:highlight w:val="none"/>
              </w:rPr>
            </w:pPr>
            <w:r>
              <w:rPr>
                <w:rFonts w:hint="eastAsia" w:hAnsi="宋体" w:cs="宋体"/>
                <w:sz w:val="24"/>
                <w:szCs w:val="24"/>
                <w:highlight w:val="none"/>
              </w:rPr>
              <w:t>1、（除1号墓、3号墓外）每有一项参数不符合招标文件技术参数要求的扣0.03分，最多扣13.32分；正偏离不加分。</w:t>
            </w:r>
          </w:p>
          <w:p>
            <w:pPr>
              <w:spacing w:line="360" w:lineRule="auto"/>
              <w:rPr>
                <w:rFonts w:hAnsi="宋体" w:cs="宋体"/>
                <w:sz w:val="24"/>
                <w:szCs w:val="24"/>
                <w:highlight w:val="none"/>
              </w:rPr>
            </w:pPr>
            <w:r>
              <w:rPr>
                <w:rFonts w:hint="eastAsia" w:hAnsi="宋体" w:cs="宋体"/>
                <w:sz w:val="24"/>
                <w:szCs w:val="24"/>
                <w:highlight w:val="none"/>
              </w:rPr>
              <w:t>2、1号墓、3号墓根据投标人提供的佐证材料，佐证材料中每有一项参数不符合招标文件技术参数要求的扣1分，最多扣16分；正偏离不加分。未提供佐证材料，本小项不得分。</w:t>
            </w:r>
          </w:p>
          <w:p>
            <w:pPr>
              <w:spacing w:line="360" w:lineRule="auto"/>
              <w:rPr>
                <w:rFonts w:hAnsi="宋体" w:cs="宋体"/>
                <w:sz w:val="24"/>
                <w:szCs w:val="24"/>
                <w:highlight w:val="none"/>
              </w:rPr>
            </w:pPr>
            <w:r>
              <w:rPr>
                <w:rFonts w:hint="eastAsia" w:hAnsi="宋体" w:cs="宋体"/>
                <w:sz w:val="24"/>
                <w:szCs w:val="24"/>
                <w:highlight w:val="none"/>
              </w:rPr>
              <w:t>(本项目参数一共460条，1号、3号墓参数一共16条，其余墓型参数一共444条)。</w:t>
            </w:r>
          </w:p>
          <w:p>
            <w:pPr>
              <w:spacing w:line="360" w:lineRule="auto"/>
              <w:rPr>
                <w:rFonts w:hAnsi="宋体" w:cs="宋体"/>
                <w:sz w:val="24"/>
                <w:szCs w:val="24"/>
                <w:highlight w:val="none"/>
              </w:rPr>
            </w:pPr>
            <w:r>
              <w:rPr>
                <w:rFonts w:hint="eastAsia" w:hAnsi="宋体" w:cs="宋体"/>
                <w:sz w:val="24"/>
                <w:szCs w:val="24"/>
                <w:highlight w:val="none"/>
              </w:rPr>
              <w:t>注：</w:t>
            </w:r>
          </w:p>
          <w:p>
            <w:pPr>
              <w:spacing w:line="360" w:lineRule="auto"/>
              <w:rPr>
                <w:rFonts w:hAnsi="宋体" w:cs="宋体"/>
                <w:sz w:val="24"/>
                <w:szCs w:val="24"/>
                <w:highlight w:val="none"/>
              </w:rPr>
            </w:pPr>
            <w:r>
              <w:rPr>
                <w:rFonts w:hint="eastAsia" w:hAnsi="宋体" w:cs="宋体"/>
                <w:sz w:val="24"/>
                <w:szCs w:val="24"/>
                <w:highlight w:val="none"/>
              </w:rPr>
              <w:t>①因本项目单个墓样体积和重量大，不易搬运，但此墓样样式为采购人自主设计，采购人考虑投标人投标成本问题，为体现投标人的制作工艺及水平，投标人需根据技术参数要求制作1号墓和3号墓的实物墓样，并拍摄图片和视频资料作为佐证材料，</w:t>
            </w:r>
            <w:r>
              <w:rPr>
                <w:rFonts w:hint="eastAsia" w:hAnsi="宋体" w:cs="宋体"/>
                <w:sz w:val="24"/>
                <w:highlight w:val="none"/>
              </w:rPr>
              <w:t>存放在U盘里面（但不可与投标文件电子文档存放在同一U盘，</w:t>
            </w:r>
            <w:r>
              <w:rPr>
                <w:rFonts w:hint="eastAsia" w:hAnsi="宋体" w:cs="宋体"/>
                <w:bCs/>
                <w:sz w:val="24"/>
                <w:szCs w:val="24"/>
                <w:highlight w:val="none"/>
              </w:rPr>
              <w:t>提交的资料无法打开或资料缺失的，由投标人自行承担</w:t>
            </w:r>
            <w:r>
              <w:rPr>
                <w:rFonts w:hint="eastAsia" w:hAnsi="宋体" w:cs="宋体"/>
                <w:sz w:val="24"/>
                <w:highlight w:val="none"/>
              </w:rPr>
              <w:t>），并随投标文件一起递交。</w:t>
            </w:r>
          </w:p>
          <w:p>
            <w:pPr>
              <w:spacing w:line="360" w:lineRule="auto"/>
              <w:rPr>
                <w:rFonts w:hAnsi="宋体" w:cs="宋体"/>
                <w:sz w:val="24"/>
                <w:szCs w:val="24"/>
                <w:highlight w:val="none"/>
              </w:rPr>
            </w:pPr>
            <w:r>
              <w:rPr>
                <w:rFonts w:hint="eastAsia" w:hAnsi="宋体" w:cs="宋体"/>
                <w:sz w:val="24"/>
                <w:szCs w:val="24"/>
                <w:highlight w:val="none"/>
              </w:rPr>
              <w:t>②视频和图片资料须根据“招标文件第六章（二）技术参数”1号墓和3号墓的墓样样式及规格表（包括但不限于墓样样式、彩色效果、各项尺寸）要求逐一进行体现（体现形式由投标人自行选择，包括但不限于皮尺测量）。</w:t>
            </w:r>
          </w:p>
          <w:p>
            <w:pPr>
              <w:spacing w:line="360" w:lineRule="auto"/>
              <w:rPr>
                <w:rFonts w:hAnsi="宋体" w:cs="宋体"/>
                <w:highlight w:val="none"/>
              </w:rPr>
            </w:pPr>
            <w:r>
              <w:rPr>
                <w:rFonts w:hint="eastAsia" w:hAnsi="宋体" w:cs="宋体"/>
                <w:sz w:val="24"/>
                <w:szCs w:val="24"/>
                <w:highlight w:val="none"/>
              </w:rPr>
              <w:t>③评标</w:t>
            </w:r>
            <w:r>
              <w:rPr>
                <w:rFonts w:hint="eastAsia" w:hAnsi="宋体" w:cs="宋体"/>
                <w:sz w:val="24"/>
                <w:highlight w:val="none"/>
              </w:rPr>
              <w:t>现场只提供windows 10操作系统的笔记本电脑，播放图片软件为WPS2019，播放视频软件为暴风影音；若因投标人提供的佐证材料格式不对或其他原因不能正常播放的后果由投标人自行承担。</w:t>
            </w:r>
          </w:p>
        </w:tc>
        <w:tc>
          <w:tcPr>
            <w:tcW w:w="1241"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0" w:hRule="atLeast"/>
          <w:jc w:val="center"/>
        </w:trPr>
        <w:tc>
          <w:tcPr>
            <w:tcW w:w="524"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3</w:t>
            </w:r>
          </w:p>
        </w:tc>
        <w:tc>
          <w:tcPr>
            <w:tcW w:w="1406" w:type="dxa"/>
            <w:noWrap/>
            <w:vAlign w:val="center"/>
          </w:tcPr>
          <w:p>
            <w:pPr>
              <w:spacing w:line="360" w:lineRule="auto"/>
              <w:jc w:val="center"/>
              <w:rPr>
                <w:rFonts w:hAnsi="宋体" w:cs="宋体"/>
                <w:sz w:val="24"/>
                <w:szCs w:val="24"/>
                <w:highlight w:val="none"/>
              </w:rPr>
            </w:pPr>
            <w:r>
              <w:rPr>
                <w:rStyle w:val="64"/>
                <w:rFonts w:hint="eastAsia" w:hAnsi="宋体"/>
                <w:bCs/>
                <w:color w:val="auto"/>
                <w:sz w:val="24"/>
                <w:szCs w:val="24"/>
                <w:highlight w:val="none"/>
              </w:rPr>
              <w:t>样品石材材质</w:t>
            </w:r>
            <w:r>
              <w:rPr>
                <w:rFonts w:hint="eastAsia" w:hAnsi="宋体" w:cs="宋体"/>
                <w:sz w:val="24"/>
                <w:szCs w:val="24"/>
                <w:highlight w:val="none"/>
              </w:rPr>
              <w:t>12%</w:t>
            </w:r>
          </w:p>
        </w:tc>
        <w:tc>
          <w:tcPr>
            <w:tcW w:w="795" w:type="dxa"/>
            <w:noWrap/>
            <w:vAlign w:val="center"/>
          </w:tcPr>
          <w:p>
            <w:pPr>
              <w:spacing w:line="360" w:lineRule="auto"/>
              <w:ind w:left="-38"/>
              <w:jc w:val="center"/>
              <w:rPr>
                <w:rFonts w:hAnsi="宋体" w:cs="宋体"/>
                <w:sz w:val="24"/>
                <w:szCs w:val="24"/>
                <w:highlight w:val="none"/>
              </w:rPr>
            </w:pPr>
            <w:r>
              <w:rPr>
                <w:rFonts w:hint="eastAsia" w:hAnsi="宋体" w:cs="宋体"/>
                <w:sz w:val="24"/>
                <w:szCs w:val="24"/>
                <w:highlight w:val="none"/>
              </w:rPr>
              <w:t>12分</w:t>
            </w:r>
          </w:p>
        </w:tc>
        <w:tc>
          <w:tcPr>
            <w:tcW w:w="5149" w:type="dxa"/>
            <w:noWrap/>
            <w:vAlign w:val="center"/>
          </w:tcPr>
          <w:p>
            <w:pPr>
              <w:spacing w:line="360" w:lineRule="auto"/>
              <w:rPr>
                <w:rFonts w:hAnsi="宋体" w:cs="宋体"/>
                <w:sz w:val="24"/>
                <w:szCs w:val="24"/>
                <w:highlight w:val="none"/>
              </w:rPr>
            </w:pPr>
            <w:r>
              <w:rPr>
                <w:rFonts w:hint="eastAsia" w:hAnsi="宋体" w:cs="宋体"/>
                <w:sz w:val="24"/>
                <w:szCs w:val="24"/>
                <w:highlight w:val="none"/>
              </w:rPr>
              <w:t>评审委员会对各投标人提供的样品</w:t>
            </w:r>
            <w:r>
              <w:rPr>
                <w:rStyle w:val="64"/>
                <w:rFonts w:hint="eastAsia" w:hAnsi="宋体"/>
                <w:bCs/>
                <w:color w:val="auto"/>
                <w:sz w:val="24"/>
                <w:szCs w:val="24"/>
                <w:highlight w:val="none"/>
              </w:rPr>
              <w:t>石材材质</w:t>
            </w:r>
            <w:r>
              <w:rPr>
                <w:rFonts w:hint="eastAsia" w:hAnsi="宋体" w:cs="宋体"/>
                <w:sz w:val="24"/>
                <w:szCs w:val="24"/>
                <w:highlight w:val="none"/>
              </w:rPr>
              <w:t>从肉眼观察、敲击声音、现场水滴试验等方法进行比较打分：</w:t>
            </w:r>
          </w:p>
          <w:p>
            <w:pPr>
              <w:numPr>
                <w:ilvl w:val="0"/>
                <w:numId w:val="9"/>
              </w:numPr>
              <w:spacing w:line="360" w:lineRule="auto"/>
              <w:rPr>
                <w:rFonts w:hAnsi="宋体" w:cs="宋体"/>
                <w:sz w:val="24"/>
                <w:szCs w:val="24"/>
                <w:highlight w:val="none"/>
              </w:rPr>
            </w:pPr>
            <w:r>
              <w:rPr>
                <w:rFonts w:hint="eastAsia" w:hAnsi="宋体" w:cs="宋体"/>
                <w:sz w:val="24"/>
                <w:szCs w:val="24"/>
                <w:highlight w:val="none"/>
              </w:rPr>
              <w:t>肉眼观察：材质均匀细腻、未缺棱角、无粗粒、无不等粒得4分；以上有一项不满足扣1 分，直至本项分值4分扣完为止；</w:t>
            </w:r>
          </w:p>
          <w:p>
            <w:pPr>
              <w:numPr>
                <w:ilvl w:val="0"/>
                <w:numId w:val="9"/>
              </w:numPr>
              <w:spacing w:line="360" w:lineRule="auto"/>
              <w:rPr>
                <w:rFonts w:hAnsi="宋体" w:cs="宋体"/>
                <w:sz w:val="24"/>
                <w:szCs w:val="24"/>
                <w:highlight w:val="none"/>
              </w:rPr>
            </w:pPr>
            <w:r>
              <w:rPr>
                <w:rFonts w:hint="eastAsia" w:hAnsi="宋体" w:cs="宋体"/>
                <w:sz w:val="24"/>
                <w:szCs w:val="24"/>
                <w:highlight w:val="none"/>
              </w:rPr>
              <w:t>敲击声音清脆得2分，否则不得分；</w:t>
            </w:r>
          </w:p>
          <w:p>
            <w:pPr>
              <w:numPr>
                <w:ilvl w:val="0"/>
                <w:numId w:val="9"/>
              </w:numPr>
              <w:spacing w:line="360" w:lineRule="auto"/>
              <w:rPr>
                <w:rFonts w:hAnsi="宋体" w:cs="宋体"/>
                <w:sz w:val="24"/>
                <w:szCs w:val="24"/>
                <w:highlight w:val="none"/>
              </w:rPr>
            </w:pPr>
            <w:r>
              <w:rPr>
                <w:rFonts w:hint="eastAsia" w:hAnsi="宋体" w:cs="宋体"/>
                <w:sz w:val="24"/>
                <w:szCs w:val="24"/>
                <w:highlight w:val="none"/>
              </w:rPr>
              <w:t>水滴试验，水滴分散浸出在5-10分钟内得2分，否则不得分；</w:t>
            </w:r>
          </w:p>
          <w:p>
            <w:pPr>
              <w:spacing w:line="360" w:lineRule="auto"/>
              <w:rPr>
                <w:rFonts w:hAnsi="宋体" w:cs="宋体"/>
                <w:sz w:val="24"/>
                <w:szCs w:val="24"/>
                <w:highlight w:val="none"/>
              </w:rPr>
            </w:pPr>
            <w:r>
              <w:rPr>
                <w:rFonts w:hint="eastAsia" w:hAnsi="宋体" w:cs="宋体"/>
                <w:sz w:val="24"/>
                <w:szCs w:val="24"/>
                <w:highlight w:val="none"/>
              </w:rPr>
              <w:t>4、加工工艺优良线条流畅、缝隙中无颜色富集得4分；以上有一项不满足扣2分，直至本项分值4分扣完为止。</w:t>
            </w:r>
          </w:p>
        </w:tc>
        <w:tc>
          <w:tcPr>
            <w:tcW w:w="1241"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0" w:hRule="atLeast"/>
          <w:jc w:val="center"/>
        </w:trPr>
        <w:tc>
          <w:tcPr>
            <w:tcW w:w="524"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4</w:t>
            </w:r>
          </w:p>
        </w:tc>
        <w:tc>
          <w:tcPr>
            <w:tcW w:w="1406"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项目实施及售后方案10%</w:t>
            </w:r>
          </w:p>
        </w:tc>
        <w:tc>
          <w:tcPr>
            <w:tcW w:w="795" w:type="dxa"/>
            <w:noWrap/>
            <w:vAlign w:val="center"/>
          </w:tcPr>
          <w:p>
            <w:pPr>
              <w:spacing w:line="360" w:lineRule="auto"/>
              <w:ind w:left="-38"/>
              <w:jc w:val="center"/>
              <w:rPr>
                <w:rFonts w:hAnsi="宋体" w:cs="宋体"/>
                <w:sz w:val="24"/>
                <w:szCs w:val="24"/>
                <w:highlight w:val="none"/>
              </w:rPr>
            </w:pPr>
            <w:r>
              <w:rPr>
                <w:rFonts w:hint="eastAsia" w:hAnsi="宋体" w:cs="宋体"/>
                <w:sz w:val="24"/>
                <w:szCs w:val="24"/>
                <w:highlight w:val="none"/>
              </w:rPr>
              <w:t>10分</w:t>
            </w:r>
          </w:p>
        </w:tc>
        <w:tc>
          <w:tcPr>
            <w:tcW w:w="5149" w:type="dxa"/>
            <w:noWrap/>
            <w:vAlign w:val="center"/>
          </w:tcPr>
          <w:p>
            <w:pPr>
              <w:spacing w:line="360" w:lineRule="auto"/>
              <w:ind w:left="-38"/>
              <w:rPr>
                <w:rFonts w:hAnsi="宋体" w:cs="宋体"/>
                <w:sz w:val="24"/>
                <w:szCs w:val="24"/>
                <w:highlight w:val="none"/>
              </w:rPr>
            </w:pPr>
            <w:r>
              <w:rPr>
                <w:rFonts w:hint="eastAsia" w:hAnsi="宋体" w:cs="宋体"/>
                <w:sz w:val="24"/>
                <w:szCs w:val="24"/>
                <w:highlight w:val="none"/>
              </w:rPr>
              <w:t>根据投标人提供的项目实施及售后方案，方案包括但不限于：①安装调试②工期保证措施③安全措施④人员安排⑤现场服务支持能力⑥应急处理方式；</w:t>
            </w:r>
          </w:p>
          <w:p>
            <w:pPr>
              <w:spacing w:line="360" w:lineRule="auto"/>
              <w:ind w:left="-38"/>
              <w:rPr>
                <w:rFonts w:hAnsi="宋体" w:cs="宋体"/>
                <w:kern w:val="2"/>
                <w:sz w:val="24"/>
                <w:szCs w:val="24"/>
                <w:highlight w:val="none"/>
              </w:rPr>
            </w:pPr>
            <w:r>
              <w:rPr>
                <w:rFonts w:hint="eastAsia" w:hAnsi="宋体" w:cs="宋体"/>
                <w:kern w:val="2"/>
                <w:sz w:val="24"/>
                <w:szCs w:val="24"/>
                <w:highlight w:val="none"/>
              </w:rPr>
              <w:t>1、方案包含以上内容得6分；每缺少一项内容或每有一项内容不完整扣1分，方案中每有一处不切实可行或有逻辑性错误或不具有针对性的扣0.5分；本项最多扣6分；</w:t>
            </w:r>
          </w:p>
          <w:p>
            <w:pPr>
              <w:pStyle w:val="2"/>
              <w:spacing w:line="360" w:lineRule="auto"/>
              <w:rPr>
                <w:rFonts w:hAnsi="宋体" w:cs="宋体"/>
                <w:kern w:val="2"/>
                <w:sz w:val="24"/>
                <w:szCs w:val="24"/>
                <w:highlight w:val="none"/>
              </w:rPr>
            </w:pPr>
            <w:r>
              <w:rPr>
                <w:rFonts w:hint="eastAsia" w:hAnsi="宋体" w:cs="宋体"/>
                <w:kern w:val="2"/>
                <w:sz w:val="24"/>
                <w:szCs w:val="24"/>
                <w:highlight w:val="none"/>
              </w:rPr>
              <w:t>2、在除上述方面外，投标人额外提供在项目实施与售后方面有利于本项目、有针对性且切实可行的实质性的改进建议的，每有一条加1分，本项最多加4分。</w:t>
            </w:r>
          </w:p>
          <w:p>
            <w:pPr>
              <w:spacing w:line="360" w:lineRule="auto"/>
              <w:rPr>
                <w:rFonts w:hAnsi="宋体" w:cs="宋体"/>
                <w:sz w:val="24"/>
                <w:szCs w:val="24"/>
                <w:highlight w:val="none"/>
              </w:rPr>
            </w:pPr>
            <w:r>
              <w:rPr>
                <w:rFonts w:hint="eastAsia" w:hAnsi="宋体" w:cs="宋体"/>
                <w:kern w:val="2"/>
                <w:sz w:val="24"/>
                <w:szCs w:val="24"/>
                <w:highlight w:val="none"/>
              </w:rPr>
              <w:t>注：不提供方案的不得分。</w:t>
            </w:r>
          </w:p>
        </w:tc>
        <w:tc>
          <w:tcPr>
            <w:tcW w:w="1241"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0" w:hRule="atLeast"/>
          <w:jc w:val="center"/>
        </w:trPr>
        <w:tc>
          <w:tcPr>
            <w:tcW w:w="524"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5</w:t>
            </w:r>
          </w:p>
        </w:tc>
        <w:tc>
          <w:tcPr>
            <w:tcW w:w="1406"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质量控制措 6%</w:t>
            </w:r>
          </w:p>
        </w:tc>
        <w:tc>
          <w:tcPr>
            <w:tcW w:w="795" w:type="dxa"/>
            <w:noWrap/>
            <w:vAlign w:val="center"/>
          </w:tcPr>
          <w:p>
            <w:pPr>
              <w:spacing w:line="360" w:lineRule="auto"/>
              <w:ind w:left="-38"/>
              <w:jc w:val="center"/>
              <w:rPr>
                <w:rFonts w:hAnsi="宋体" w:cs="宋体"/>
                <w:sz w:val="24"/>
                <w:szCs w:val="24"/>
                <w:highlight w:val="none"/>
              </w:rPr>
            </w:pPr>
            <w:r>
              <w:rPr>
                <w:rFonts w:hint="eastAsia" w:hAnsi="宋体" w:cs="宋体"/>
                <w:sz w:val="24"/>
                <w:szCs w:val="24"/>
                <w:highlight w:val="none"/>
              </w:rPr>
              <w:t>6分</w:t>
            </w:r>
          </w:p>
        </w:tc>
        <w:tc>
          <w:tcPr>
            <w:tcW w:w="5149" w:type="dxa"/>
            <w:noWrap/>
            <w:vAlign w:val="center"/>
          </w:tcPr>
          <w:p>
            <w:pPr>
              <w:spacing w:line="360" w:lineRule="auto"/>
              <w:ind w:left="-38"/>
              <w:rPr>
                <w:rFonts w:hAnsi="宋体" w:cs="宋体"/>
                <w:kern w:val="2"/>
                <w:sz w:val="24"/>
                <w:szCs w:val="24"/>
                <w:highlight w:val="none"/>
              </w:rPr>
            </w:pPr>
            <w:r>
              <w:rPr>
                <w:rFonts w:hint="eastAsia" w:hAnsi="宋体" w:cs="宋体"/>
                <w:kern w:val="2"/>
                <w:sz w:val="24"/>
                <w:szCs w:val="24"/>
                <w:highlight w:val="none"/>
              </w:rPr>
              <w:t>根据投标人提供的质量控制措施，包括但不限于：①质量控制目标②质量控制流程③质量控制制度④质量控制组织；</w:t>
            </w:r>
          </w:p>
          <w:p>
            <w:pPr>
              <w:spacing w:line="360" w:lineRule="auto"/>
              <w:ind w:left="-38"/>
              <w:rPr>
                <w:rFonts w:hAnsi="宋体" w:cs="宋体"/>
                <w:kern w:val="2"/>
                <w:sz w:val="24"/>
                <w:szCs w:val="24"/>
                <w:highlight w:val="none"/>
              </w:rPr>
            </w:pPr>
            <w:r>
              <w:rPr>
                <w:rFonts w:hint="eastAsia" w:hAnsi="宋体" w:cs="宋体"/>
                <w:kern w:val="2"/>
                <w:sz w:val="24"/>
                <w:szCs w:val="24"/>
                <w:highlight w:val="none"/>
              </w:rPr>
              <w:t>1、方案包含以上内容得4分；每缺少一项内容或每有一处不切实可行的扣1分，方案中每有一项内容不完整或有逻辑性错误或不具有针对性的扣0.5分；本项最多扣4分；</w:t>
            </w:r>
          </w:p>
          <w:p>
            <w:pPr>
              <w:pStyle w:val="2"/>
              <w:spacing w:line="360" w:lineRule="auto"/>
              <w:rPr>
                <w:rFonts w:hAnsi="宋体" w:cs="宋体"/>
                <w:kern w:val="2"/>
                <w:sz w:val="24"/>
                <w:szCs w:val="24"/>
                <w:highlight w:val="none"/>
              </w:rPr>
            </w:pPr>
            <w:r>
              <w:rPr>
                <w:rFonts w:hint="eastAsia" w:hAnsi="宋体" w:cs="宋体"/>
                <w:sz w:val="24"/>
                <w:szCs w:val="24"/>
                <w:highlight w:val="none"/>
              </w:rPr>
              <w:t>2、</w:t>
            </w:r>
            <w:r>
              <w:rPr>
                <w:rFonts w:hint="eastAsia" w:hAnsi="宋体" w:cs="宋体"/>
                <w:kern w:val="2"/>
                <w:sz w:val="24"/>
                <w:szCs w:val="24"/>
                <w:highlight w:val="none"/>
              </w:rPr>
              <w:t>在除上述方面外，投标人额外提供在质量控制方面有利于本项目、有针对性且切实可行的实质性的改进建议的，每有一条加1分，本项最多加2分。</w:t>
            </w:r>
          </w:p>
          <w:p>
            <w:pPr>
              <w:pStyle w:val="2"/>
              <w:spacing w:line="360" w:lineRule="auto"/>
              <w:rPr>
                <w:rFonts w:hAnsi="宋体" w:cs="宋体"/>
                <w:highlight w:val="none"/>
              </w:rPr>
            </w:pPr>
            <w:r>
              <w:rPr>
                <w:rFonts w:hint="eastAsia" w:hAnsi="宋体" w:cs="宋体"/>
                <w:kern w:val="2"/>
                <w:sz w:val="24"/>
                <w:szCs w:val="24"/>
                <w:highlight w:val="none"/>
              </w:rPr>
              <w:t>注：不提供的不得分。</w:t>
            </w:r>
          </w:p>
        </w:tc>
        <w:tc>
          <w:tcPr>
            <w:tcW w:w="1241"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7" w:hRule="atLeast"/>
          <w:jc w:val="center"/>
        </w:trPr>
        <w:tc>
          <w:tcPr>
            <w:tcW w:w="524"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6</w:t>
            </w:r>
          </w:p>
        </w:tc>
        <w:tc>
          <w:tcPr>
            <w:tcW w:w="1406"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履约能力9%</w:t>
            </w:r>
          </w:p>
        </w:tc>
        <w:tc>
          <w:tcPr>
            <w:tcW w:w="795" w:type="dxa"/>
            <w:noWrap/>
            <w:vAlign w:val="center"/>
          </w:tcPr>
          <w:p>
            <w:pPr>
              <w:spacing w:line="360" w:lineRule="auto"/>
              <w:ind w:left="-38"/>
              <w:jc w:val="center"/>
              <w:rPr>
                <w:rFonts w:hAnsi="宋体" w:cs="宋体"/>
                <w:sz w:val="24"/>
                <w:szCs w:val="24"/>
                <w:highlight w:val="none"/>
              </w:rPr>
            </w:pPr>
            <w:r>
              <w:rPr>
                <w:rFonts w:hint="eastAsia" w:hAnsi="宋体" w:cs="宋体"/>
                <w:sz w:val="24"/>
                <w:szCs w:val="24"/>
                <w:highlight w:val="none"/>
              </w:rPr>
              <w:t>9分</w:t>
            </w:r>
          </w:p>
        </w:tc>
        <w:tc>
          <w:tcPr>
            <w:tcW w:w="5149" w:type="dxa"/>
            <w:noWrap/>
            <w:vAlign w:val="center"/>
          </w:tcPr>
          <w:p>
            <w:pPr>
              <w:spacing w:line="360" w:lineRule="auto"/>
              <w:rPr>
                <w:rFonts w:hAnsi="宋体" w:cs="宋体"/>
                <w:sz w:val="24"/>
                <w:szCs w:val="24"/>
                <w:highlight w:val="none"/>
              </w:rPr>
            </w:pPr>
            <w:r>
              <w:rPr>
                <w:rFonts w:hint="eastAsia" w:hAnsi="宋体" w:cs="宋体"/>
                <w:sz w:val="24"/>
                <w:szCs w:val="24"/>
                <w:highlight w:val="none"/>
              </w:rPr>
              <w:t>投标人2018年1月1日（含）至今每具有一个类似项目业绩得3分，本项最多得9分。（提供中标（成交）通知书或采购合同复印件加盖投标人公章，不提供不得分）</w:t>
            </w:r>
          </w:p>
        </w:tc>
        <w:tc>
          <w:tcPr>
            <w:tcW w:w="1241" w:type="dxa"/>
            <w:noWrap/>
            <w:vAlign w:val="center"/>
          </w:tcPr>
          <w:p>
            <w:pPr>
              <w:spacing w:line="360" w:lineRule="auto"/>
              <w:jc w:val="center"/>
              <w:rPr>
                <w:rFonts w:hAnsi="宋体" w:cs="宋体"/>
                <w:sz w:val="24"/>
                <w:szCs w:val="24"/>
                <w:highlight w:val="none"/>
              </w:rPr>
            </w:pPr>
            <w:r>
              <w:rPr>
                <w:rFonts w:hint="eastAsia" w:hAnsi="宋体" w:cs="宋体"/>
                <w:sz w:val="24"/>
                <w:highlight w:val="none"/>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524" w:type="dxa"/>
            <w:noWrap/>
            <w:vAlign w:val="center"/>
          </w:tcPr>
          <w:p>
            <w:pPr>
              <w:spacing w:line="360" w:lineRule="auto"/>
              <w:jc w:val="center"/>
              <w:rPr>
                <w:rFonts w:hAnsi="宋体" w:cs="宋体"/>
                <w:sz w:val="24"/>
                <w:szCs w:val="24"/>
                <w:highlight w:val="none"/>
              </w:rPr>
            </w:pPr>
            <w:r>
              <w:rPr>
                <w:rFonts w:hint="eastAsia" w:hAnsi="宋体" w:cs="宋体"/>
                <w:kern w:val="2"/>
                <w:sz w:val="24"/>
                <w:szCs w:val="24"/>
                <w:highlight w:val="none"/>
              </w:rPr>
              <w:t>7</w:t>
            </w:r>
          </w:p>
        </w:tc>
        <w:tc>
          <w:tcPr>
            <w:tcW w:w="1406"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节能、环境标志、无线局域网产品2%</w:t>
            </w:r>
          </w:p>
        </w:tc>
        <w:tc>
          <w:tcPr>
            <w:tcW w:w="795"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2分</w:t>
            </w:r>
          </w:p>
        </w:tc>
        <w:tc>
          <w:tcPr>
            <w:tcW w:w="5149" w:type="dxa"/>
            <w:noWrap/>
          </w:tcPr>
          <w:p>
            <w:pPr>
              <w:spacing w:line="360" w:lineRule="auto"/>
              <w:rPr>
                <w:rFonts w:hAnsi="宋体" w:cs="宋体"/>
                <w:sz w:val="24"/>
                <w:szCs w:val="24"/>
                <w:highlight w:val="none"/>
              </w:rPr>
            </w:pPr>
            <w:r>
              <w:rPr>
                <w:rFonts w:hint="eastAsia" w:hAnsi="宋体" w:cs="宋体"/>
                <w:sz w:val="24"/>
                <w:szCs w:val="24"/>
                <w:highlight w:val="none"/>
              </w:rPr>
              <w:t>投标产品中（除强制节能产品外）属于政府采购优先采购范围的，则每有一项为节能产品或者环境标志产品或者无线局域网产品的得0.5分，非节能、环境标志产品的、无线局域网产品的不得分。本项最多得2分。</w:t>
            </w:r>
          </w:p>
          <w:p>
            <w:pPr>
              <w:spacing w:line="360" w:lineRule="auto"/>
              <w:rPr>
                <w:rFonts w:hAnsi="宋体" w:cs="宋体"/>
                <w:sz w:val="24"/>
                <w:szCs w:val="24"/>
                <w:highlight w:val="none"/>
              </w:rPr>
            </w:pPr>
            <w:r>
              <w:rPr>
                <w:rFonts w:hint="eastAsia" w:hAnsi="宋体" w:cs="宋体"/>
                <w:sz w:val="24"/>
                <w:szCs w:val="24"/>
                <w:highlight w:val="none"/>
              </w:rPr>
              <w:t>注：1. 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为准。</w:t>
            </w:r>
          </w:p>
          <w:p>
            <w:pPr>
              <w:spacing w:line="360" w:lineRule="auto"/>
              <w:rPr>
                <w:rFonts w:hAnsi="宋体" w:cs="宋体"/>
                <w:sz w:val="24"/>
                <w:szCs w:val="24"/>
                <w:highlight w:val="none"/>
              </w:rPr>
            </w:pPr>
            <w:r>
              <w:rPr>
                <w:rFonts w:hint="eastAsia" w:hAnsi="宋体" w:cs="宋体"/>
                <w:sz w:val="24"/>
                <w:szCs w:val="24"/>
                <w:highlight w:val="none"/>
              </w:rPr>
              <w:t>2. 投标产品属于优先采购范围内的节能产品或者环境标志产品的，提供国家确定的认证机构出具的、处于有效期之内的节能产品、环境标志产品认证证书复印件加盖投标人公章（鲜章）。</w:t>
            </w:r>
          </w:p>
          <w:p>
            <w:pPr>
              <w:spacing w:line="360" w:lineRule="auto"/>
              <w:rPr>
                <w:rFonts w:hAnsi="宋体" w:cs="宋体"/>
                <w:sz w:val="24"/>
                <w:szCs w:val="24"/>
                <w:highlight w:val="none"/>
              </w:rPr>
            </w:pPr>
            <w:r>
              <w:rPr>
                <w:rFonts w:hint="eastAsia" w:hAnsi="宋体" w:cs="宋体"/>
                <w:sz w:val="24"/>
                <w:szCs w:val="24"/>
                <w:highlight w:val="none"/>
              </w:rPr>
              <w:t>3. 投标产品属于优先采购范围内的无线局域网产品的，提供政府采购清单对应页并加盖投标人公章（鲜章）。</w:t>
            </w:r>
          </w:p>
        </w:tc>
        <w:tc>
          <w:tcPr>
            <w:tcW w:w="1241" w:type="dxa"/>
            <w:noWrap/>
            <w:vAlign w:val="center"/>
          </w:tcPr>
          <w:p>
            <w:pPr>
              <w:spacing w:line="360" w:lineRule="auto"/>
              <w:ind w:left="-38"/>
              <w:jc w:val="center"/>
              <w:rPr>
                <w:rFonts w:hAnsi="宋体" w:cs="宋体"/>
                <w:sz w:val="24"/>
                <w:szCs w:val="24"/>
                <w:highlight w:val="none"/>
              </w:rPr>
            </w:pPr>
            <w:r>
              <w:rPr>
                <w:rFonts w:hint="eastAsia" w:hAnsi="宋体" w:cs="宋体"/>
                <w:sz w:val="24"/>
                <w:szCs w:val="24"/>
                <w:highlight w:val="none"/>
              </w:rPr>
              <w:t>共同评审因素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524"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8</w:t>
            </w:r>
          </w:p>
        </w:tc>
        <w:tc>
          <w:tcPr>
            <w:tcW w:w="1406"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投标文件的规范1.68%</w:t>
            </w:r>
          </w:p>
        </w:tc>
        <w:tc>
          <w:tcPr>
            <w:tcW w:w="795" w:type="dxa"/>
            <w:noWrap/>
            <w:vAlign w:val="center"/>
          </w:tcPr>
          <w:p>
            <w:pPr>
              <w:spacing w:line="360" w:lineRule="auto"/>
              <w:ind w:left="-38"/>
              <w:jc w:val="center"/>
              <w:rPr>
                <w:rFonts w:hAnsi="宋体" w:cs="宋体"/>
                <w:sz w:val="24"/>
                <w:szCs w:val="24"/>
                <w:highlight w:val="none"/>
              </w:rPr>
            </w:pPr>
            <w:r>
              <w:rPr>
                <w:rFonts w:hint="eastAsia" w:hAnsi="宋体" w:cs="宋体"/>
                <w:sz w:val="24"/>
                <w:szCs w:val="24"/>
                <w:highlight w:val="none"/>
              </w:rPr>
              <w:t>1.68分</w:t>
            </w:r>
          </w:p>
        </w:tc>
        <w:tc>
          <w:tcPr>
            <w:tcW w:w="5149" w:type="dxa"/>
            <w:noWrap/>
            <w:vAlign w:val="center"/>
          </w:tcPr>
          <w:p>
            <w:pPr>
              <w:spacing w:line="360" w:lineRule="auto"/>
              <w:ind w:left="-38"/>
              <w:rPr>
                <w:rFonts w:hAnsi="宋体" w:cs="宋体"/>
                <w:b/>
                <w:sz w:val="24"/>
                <w:szCs w:val="24"/>
                <w:highlight w:val="none"/>
              </w:rPr>
            </w:pPr>
            <w:r>
              <w:rPr>
                <w:rFonts w:hint="eastAsia" w:hAnsi="宋体" w:cs="宋体"/>
                <w:sz w:val="24"/>
                <w:szCs w:val="24"/>
                <w:highlight w:val="none"/>
              </w:rPr>
              <w:t>投标文件制作规范，没有细微偏差情形的得1.68分；有一项细微偏差扣0.168分，直至该项分值扣完为止。</w:t>
            </w:r>
          </w:p>
        </w:tc>
        <w:tc>
          <w:tcPr>
            <w:tcW w:w="1241" w:type="dxa"/>
            <w:noWrap/>
            <w:vAlign w:val="center"/>
          </w:tcPr>
          <w:p>
            <w:pPr>
              <w:spacing w:line="360" w:lineRule="auto"/>
              <w:jc w:val="center"/>
              <w:rPr>
                <w:rFonts w:hAnsi="宋体" w:cs="宋体"/>
                <w:sz w:val="24"/>
                <w:szCs w:val="24"/>
                <w:highlight w:val="none"/>
              </w:rPr>
            </w:pPr>
            <w:r>
              <w:rPr>
                <w:rFonts w:hint="eastAsia" w:hAnsi="宋体" w:cs="宋体"/>
                <w:sz w:val="24"/>
                <w:szCs w:val="24"/>
                <w:highlight w:val="none"/>
              </w:rPr>
              <w:t>共同评分因素</w:t>
            </w:r>
          </w:p>
        </w:tc>
      </w:tr>
    </w:tbl>
    <w:p>
      <w:pPr>
        <w:pStyle w:val="10"/>
        <w:spacing w:line="480" w:lineRule="exact"/>
        <w:ind w:firstLine="480" w:firstLineChars="200"/>
        <w:rPr>
          <w:sz w:val="24"/>
          <w:highlight w:val="none"/>
        </w:rPr>
      </w:pPr>
    </w:p>
    <w:p>
      <w:pPr>
        <w:pStyle w:val="10"/>
        <w:spacing w:line="480" w:lineRule="exact"/>
        <w:ind w:firstLine="480" w:firstLineChars="200"/>
        <w:rPr>
          <w:rFonts w:ascii="黑体"/>
          <w:sz w:val="24"/>
          <w:highlight w:val="none"/>
        </w:rPr>
      </w:pPr>
      <w:r>
        <w:rPr>
          <w:rFonts w:hint="eastAsia"/>
          <w:sz w:val="24"/>
          <w:highlight w:val="none"/>
        </w:rPr>
        <w:t>本次综合评分法由评标委员会各成员独立对通过初审（资格检查和符合性检查）的投标人的投标文件进行评审和打分，评标得分＝（A1＋A2＋……＋An）/N</w:t>
      </w:r>
      <w:r>
        <w:rPr>
          <w:rFonts w:hint="eastAsia"/>
          <w:sz w:val="24"/>
          <w:highlight w:val="none"/>
          <w:vertAlign w:val="subscript"/>
        </w:rPr>
        <w:t>A</w:t>
      </w:r>
      <w:r>
        <w:rPr>
          <w:rFonts w:hint="eastAsia"/>
          <w:sz w:val="24"/>
          <w:highlight w:val="none"/>
        </w:rPr>
        <w:t>＋（B1＋B2＋……＋Bn）/ N</w:t>
      </w:r>
      <w:r>
        <w:rPr>
          <w:rFonts w:hint="eastAsia"/>
          <w:sz w:val="24"/>
          <w:highlight w:val="none"/>
          <w:vertAlign w:val="subscript"/>
        </w:rPr>
        <w:t>B</w:t>
      </w:r>
      <w:r>
        <w:rPr>
          <w:rFonts w:hint="eastAsia"/>
          <w:sz w:val="24"/>
          <w:highlight w:val="none"/>
        </w:rPr>
        <w:t>＋（C1＋C2＋……＋Cn）/ N</w:t>
      </w:r>
      <w:r>
        <w:rPr>
          <w:rFonts w:hint="eastAsia"/>
          <w:sz w:val="24"/>
          <w:highlight w:val="none"/>
          <w:vertAlign w:val="subscript"/>
        </w:rPr>
        <w:t>C</w:t>
      </w:r>
      <w:r>
        <w:rPr>
          <w:rFonts w:hint="eastAsia"/>
          <w:sz w:val="24"/>
          <w:highlight w:val="none"/>
        </w:rPr>
        <w:t>＋（D1＋D2＋……＋Dn）/ N</w:t>
      </w:r>
      <w:r>
        <w:rPr>
          <w:rFonts w:hint="eastAsia"/>
          <w:sz w:val="24"/>
          <w:highlight w:val="none"/>
          <w:vertAlign w:val="subscript"/>
        </w:rPr>
        <w:t>D，</w:t>
      </w:r>
      <w:r>
        <w:rPr>
          <w:rFonts w:hint="eastAsia"/>
          <w:sz w:val="24"/>
          <w:highlight w:val="none"/>
        </w:rPr>
        <w:t>A1、A2……An分别为每个经济类评委（经济类专家）的打分，N</w:t>
      </w:r>
      <w:r>
        <w:rPr>
          <w:rFonts w:hint="eastAsia"/>
          <w:sz w:val="24"/>
          <w:highlight w:val="none"/>
          <w:vertAlign w:val="subscript"/>
        </w:rPr>
        <w:t>A</w:t>
      </w:r>
      <w:r>
        <w:rPr>
          <w:rFonts w:hint="eastAsia"/>
          <w:sz w:val="24"/>
          <w:highlight w:val="none"/>
        </w:rPr>
        <w:t>为经济类评委（经济类专家）人数；B1、B2＋……Bn 分别为每个技术类评委（技术类专家和采购人代表）的打分，N</w:t>
      </w:r>
      <w:r>
        <w:rPr>
          <w:rFonts w:hint="eastAsia"/>
          <w:sz w:val="24"/>
          <w:highlight w:val="none"/>
          <w:vertAlign w:val="subscript"/>
        </w:rPr>
        <w:t>B</w:t>
      </w:r>
      <w:r>
        <w:rPr>
          <w:rFonts w:hint="eastAsia"/>
          <w:sz w:val="24"/>
          <w:highlight w:val="none"/>
        </w:rPr>
        <w:t>为技术类评委（技术类专家和采购人代表）人数；C1、C2……Cn 分别为每个政策合同类评委（法律类专家）的打分，N</w:t>
      </w:r>
      <w:r>
        <w:rPr>
          <w:rFonts w:hint="eastAsia"/>
          <w:sz w:val="24"/>
          <w:highlight w:val="none"/>
          <w:vertAlign w:val="subscript"/>
        </w:rPr>
        <w:t>C</w:t>
      </w:r>
      <w:r>
        <w:rPr>
          <w:rFonts w:hint="eastAsia"/>
          <w:sz w:val="24"/>
          <w:highlight w:val="none"/>
        </w:rPr>
        <w:t>为政策合同类评委（法律类专家）人数；D1、D2……Dn 分别为评标委员会每个成员的打分（共同评分类），N</w:t>
      </w:r>
      <w:r>
        <w:rPr>
          <w:rFonts w:hint="eastAsia"/>
          <w:sz w:val="24"/>
          <w:highlight w:val="none"/>
          <w:vertAlign w:val="subscript"/>
        </w:rPr>
        <w:t>D</w:t>
      </w:r>
      <w:r>
        <w:rPr>
          <w:rFonts w:hint="eastAsia"/>
          <w:sz w:val="24"/>
          <w:highlight w:val="none"/>
        </w:rPr>
        <w:t>为评标委员会人</w:t>
      </w:r>
      <w:r>
        <w:rPr>
          <w:rFonts w:hint="eastAsia"/>
          <w:bCs/>
          <w:sz w:val="24"/>
          <w:highlight w:val="none"/>
        </w:rPr>
        <w:t>数。</w:t>
      </w:r>
    </w:p>
    <w:p>
      <w:pPr>
        <w:spacing w:line="460" w:lineRule="exact"/>
        <w:ind w:firstLine="480" w:firstLineChars="200"/>
        <w:rPr>
          <w:sz w:val="24"/>
          <w:szCs w:val="22"/>
          <w:highlight w:val="none"/>
        </w:rPr>
      </w:pPr>
      <w:r>
        <w:rPr>
          <w:rFonts w:hint="eastAsia"/>
          <w:sz w:val="24"/>
          <w:szCs w:val="22"/>
          <w:highlight w:val="none"/>
        </w:rPr>
        <w:t>注：</w:t>
      </w:r>
    </w:p>
    <w:p>
      <w:pPr>
        <w:spacing w:line="460" w:lineRule="exact"/>
        <w:ind w:firstLine="480" w:firstLineChars="200"/>
        <w:rPr>
          <w:sz w:val="24"/>
          <w:szCs w:val="22"/>
          <w:highlight w:val="none"/>
        </w:rPr>
      </w:pPr>
      <w:r>
        <w:rPr>
          <w:rFonts w:hint="eastAsia"/>
          <w:sz w:val="24"/>
          <w:szCs w:val="22"/>
          <w:highlight w:val="none"/>
        </w:rPr>
        <w:t>1、评分的取值按四舍五入法，保留小数点后两位。</w:t>
      </w:r>
    </w:p>
    <w:p>
      <w:pPr>
        <w:spacing w:line="460" w:lineRule="exact"/>
        <w:ind w:firstLine="480" w:firstLineChars="200"/>
        <w:rPr>
          <w:sz w:val="24"/>
          <w:szCs w:val="22"/>
          <w:highlight w:val="none"/>
        </w:rPr>
      </w:pPr>
      <w:r>
        <w:rPr>
          <w:rFonts w:hint="eastAsia"/>
          <w:sz w:val="24"/>
          <w:szCs w:val="22"/>
          <w:highlight w:val="none"/>
        </w:rPr>
        <w:t>2、（若有）联合体投标的，以牵头人为准（联合体中有同类资质的投标人按照联合体分工承担相同工作的，应当按照资质等级较低的投标人确定资质等级）。</w:t>
      </w:r>
    </w:p>
    <w:p>
      <w:pPr>
        <w:pStyle w:val="4"/>
        <w:spacing w:line="460" w:lineRule="exact"/>
        <w:ind w:firstLine="472" w:firstLineChars="196"/>
        <w:rPr>
          <w:rFonts w:ascii="黑体"/>
          <w:sz w:val="24"/>
          <w:szCs w:val="24"/>
          <w:highlight w:val="none"/>
        </w:rPr>
      </w:pPr>
      <w:r>
        <w:rPr>
          <w:rFonts w:hint="eastAsia" w:ascii="黑体"/>
          <w:sz w:val="24"/>
          <w:szCs w:val="24"/>
          <w:highlight w:val="none"/>
        </w:rPr>
        <w:t>5.废 标</w:t>
      </w:r>
    </w:p>
    <w:p>
      <w:pPr>
        <w:spacing w:line="460" w:lineRule="exact"/>
        <w:ind w:firstLine="480" w:firstLineChars="200"/>
        <w:rPr>
          <w:sz w:val="24"/>
          <w:highlight w:val="none"/>
        </w:rPr>
      </w:pPr>
      <w:r>
        <w:rPr>
          <w:rFonts w:hint="eastAsia"/>
          <w:sz w:val="24"/>
          <w:highlight w:val="none"/>
        </w:rPr>
        <w:t>5.1本次政府采购活动中，出现下列情形之一的，予以废标：</w:t>
      </w:r>
    </w:p>
    <w:p>
      <w:pPr>
        <w:spacing w:line="460" w:lineRule="exact"/>
        <w:ind w:firstLine="480" w:firstLineChars="200"/>
        <w:rPr>
          <w:sz w:val="24"/>
          <w:highlight w:val="none"/>
        </w:rPr>
      </w:pPr>
      <w:r>
        <w:rPr>
          <w:rFonts w:hint="eastAsia"/>
          <w:sz w:val="24"/>
          <w:highlight w:val="none"/>
        </w:rPr>
        <w:t>（1）符合专业条件的投标人或者对招标文件作实质响应的投标人不足三家的；</w:t>
      </w:r>
    </w:p>
    <w:p>
      <w:pPr>
        <w:spacing w:line="460" w:lineRule="exact"/>
        <w:ind w:firstLine="480" w:firstLineChars="200"/>
        <w:rPr>
          <w:sz w:val="24"/>
          <w:highlight w:val="none"/>
        </w:rPr>
      </w:pPr>
      <w:r>
        <w:rPr>
          <w:rFonts w:hint="eastAsia"/>
          <w:sz w:val="24"/>
          <w:highlight w:val="none"/>
        </w:rPr>
        <w:t>（2）出现影响采购公正的违法、违规行为的；</w:t>
      </w:r>
    </w:p>
    <w:p>
      <w:pPr>
        <w:spacing w:line="460" w:lineRule="exact"/>
        <w:ind w:firstLine="480" w:firstLineChars="200"/>
        <w:rPr>
          <w:sz w:val="24"/>
          <w:highlight w:val="none"/>
        </w:rPr>
      </w:pPr>
      <w:r>
        <w:rPr>
          <w:rFonts w:hint="eastAsia"/>
          <w:sz w:val="24"/>
          <w:highlight w:val="none"/>
        </w:rPr>
        <w:t>（3）投标人的报价均超过了采购预算，采购人不能支付的；</w:t>
      </w:r>
    </w:p>
    <w:p>
      <w:pPr>
        <w:spacing w:line="460" w:lineRule="exact"/>
        <w:ind w:firstLine="480" w:firstLineChars="200"/>
        <w:rPr>
          <w:sz w:val="24"/>
          <w:highlight w:val="none"/>
        </w:rPr>
      </w:pPr>
      <w:r>
        <w:rPr>
          <w:rFonts w:hint="eastAsia"/>
          <w:sz w:val="24"/>
          <w:highlight w:val="none"/>
        </w:rPr>
        <w:t>（4）因重大变故，采购任务取消的。</w:t>
      </w:r>
    </w:p>
    <w:p>
      <w:pPr>
        <w:spacing w:line="460" w:lineRule="exact"/>
        <w:ind w:firstLine="480" w:firstLineChars="200"/>
        <w:rPr>
          <w:sz w:val="24"/>
          <w:highlight w:val="none"/>
        </w:rPr>
      </w:pPr>
      <w:r>
        <w:rPr>
          <w:rFonts w:hint="eastAsia"/>
          <w:sz w:val="24"/>
          <w:highlight w:val="none"/>
        </w:rPr>
        <w:t>废标后，采购代理机构应在四川政府采购网上公告，并公告废标的情形。投标人需要知晓导致废标情形的具体原因和理由的，可以通过书面形式询问招标采购单位。</w:t>
      </w:r>
    </w:p>
    <w:p>
      <w:pPr>
        <w:spacing w:line="460" w:lineRule="exact"/>
        <w:ind w:firstLine="480" w:firstLineChars="200"/>
        <w:rPr>
          <w:sz w:val="24"/>
          <w:highlight w:val="none"/>
        </w:rPr>
      </w:pPr>
      <w:r>
        <w:rPr>
          <w:rFonts w:hint="eastAsia"/>
          <w:sz w:val="24"/>
          <w:highlight w:val="none"/>
        </w:rPr>
        <w:t>5.2对于评标过程中废标的采购项目，评标委员会应当对招标文件是否存在倾向性和歧视性、是否存在不合理条款进行论证，并出具书面论证意见。</w:t>
      </w:r>
    </w:p>
    <w:p>
      <w:pPr>
        <w:pStyle w:val="4"/>
        <w:spacing w:line="460" w:lineRule="exact"/>
        <w:ind w:firstLine="472" w:firstLineChars="196"/>
        <w:rPr>
          <w:rFonts w:ascii="黑体"/>
          <w:sz w:val="24"/>
          <w:szCs w:val="24"/>
          <w:highlight w:val="none"/>
        </w:rPr>
      </w:pPr>
      <w:r>
        <w:rPr>
          <w:rFonts w:hint="eastAsia" w:ascii="黑体"/>
          <w:sz w:val="24"/>
          <w:szCs w:val="24"/>
          <w:highlight w:val="none"/>
        </w:rPr>
        <w:t>6.定标</w:t>
      </w:r>
      <w:bookmarkEnd w:id="146"/>
      <w:bookmarkStart w:id="147" w:name="_Toc217446061"/>
    </w:p>
    <w:p>
      <w:pPr>
        <w:spacing w:line="460" w:lineRule="exact"/>
        <w:ind w:firstLine="480" w:firstLineChars="200"/>
        <w:rPr>
          <w:sz w:val="24"/>
          <w:highlight w:val="none"/>
        </w:rPr>
      </w:pPr>
      <w:r>
        <w:rPr>
          <w:rFonts w:hint="eastAsia"/>
          <w:sz w:val="24"/>
          <w:highlight w:val="none"/>
        </w:rPr>
        <w:t>6.1. 定标原则</w:t>
      </w:r>
      <w:bookmarkEnd w:id="147"/>
      <w:r>
        <w:rPr>
          <w:rFonts w:hint="eastAsia"/>
          <w:sz w:val="24"/>
          <w:highlight w:val="none"/>
        </w:rPr>
        <w:t>：本项目根据评标委员会推荐的中标候选投标人名单，按顺序确定中标投标人。</w:t>
      </w:r>
    </w:p>
    <w:p>
      <w:pPr>
        <w:spacing w:line="460" w:lineRule="exact"/>
        <w:ind w:firstLine="480" w:firstLineChars="200"/>
        <w:rPr>
          <w:sz w:val="24"/>
          <w:highlight w:val="none"/>
        </w:rPr>
      </w:pPr>
      <w:bookmarkStart w:id="148" w:name="_Toc217446062"/>
      <w:r>
        <w:rPr>
          <w:rFonts w:hint="eastAsia"/>
          <w:sz w:val="24"/>
          <w:highlight w:val="none"/>
        </w:rPr>
        <w:t>6.2. 定标程序</w:t>
      </w:r>
      <w:bookmarkEnd w:id="148"/>
    </w:p>
    <w:p>
      <w:pPr>
        <w:spacing w:line="460" w:lineRule="exact"/>
        <w:ind w:firstLine="480" w:firstLineChars="200"/>
        <w:rPr>
          <w:sz w:val="24"/>
          <w:highlight w:val="none"/>
        </w:rPr>
      </w:pPr>
      <w:r>
        <w:rPr>
          <w:rFonts w:hint="eastAsia"/>
          <w:sz w:val="24"/>
          <w:highlight w:val="none"/>
        </w:rPr>
        <w:t>6.2.1 评标委员会将评标情况写出书面报告，推荐中标候选投标人。</w:t>
      </w:r>
    </w:p>
    <w:p>
      <w:pPr>
        <w:spacing w:line="460" w:lineRule="exact"/>
        <w:ind w:firstLine="480" w:firstLineChars="200"/>
        <w:rPr>
          <w:sz w:val="24"/>
          <w:highlight w:val="none"/>
        </w:rPr>
      </w:pPr>
      <w:r>
        <w:rPr>
          <w:rFonts w:hint="eastAsia"/>
          <w:sz w:val="24"/>
          <w:highlight w:val="none"/>
        </w:rPr>
        <w:t>6.2.2 采购代理机构在评标结束后2个工作日内将评标报告及有关资料送交采购人确定中标人。</w:t>
      </w:r>
    </w:p>
    <w:p>
      <w:pPr>
        <w:spacing w:line="460" w:lineRule="exact"/>
        <w:ind w:firstLine="480" w:firstLineChars="200"/>
        <w:rPr>
          <w:sz w:val="24"/>
          <w:highlight w:val="none"/>
        </w:rPr>
      </w:pPr>
      <w:r>
        <w:rPr>
          <w:rFonts w:hint="eastAsia"/>
          <w:sz w:val="24"/>
          <w:highlight w:val="none"/>
        </w:rPr>
        <w:t>6.2.3 采购人在收到评标报告及有关资料后5个工作日内，按照评标报告中推荐的中标候选投标人顺序确定中标人</w:t>
      </w:r>
      <w:r>
        <w:rPr>
          <w:rFonts w:hint="eastAsia"/>
          <w:sz w:val="24"/>
          <w:szCs w:val="22"/>
          <w:highlight w:val="none"/>
        </w:rPr>
        <w:t>。如果中标候选人及其现任法定代表人存在行贿犯罪记录，采购人将不确定其为中标人。采购人在确认中标人前，应在中国裁判文书网（http://wenshu.court.gov.cn/）查询中标候选人及其现任法定代表人是否存在行贿犯罪记录。</w:t>
      </w:r>
      <w:r>
        <w:rPr>
          <w:rFonts w:hint="eastAsia"/>
          <w:sz w:val="24"/>
          <w:highlight w:val="none"/>
        </w:rPr>
        <w:t>评标结果按评审后得分由高到低顺序排列；得分相同的，按投标报价由低到高顺序排列；得分且投标报价相同的并列，投标文件满足招标文件全部实质性要求且按照评审因素的量化指标评审得分最高的投标人为中标候选投标人；报价相同且满足招标文件全部实质性要求且按照评审因素的量化指标评审得分也相同的并列，由采购人自主采取公平、择优的方式选择中标投标人。</w:t>
      </w:r>
    </w:p>
    <w:p>
      <w:pPr>
        <w:spacing w:line="460" w:lineRule="exact"/>
        <w:ind w:firstLine="482" w:firstLineChars="200"/>
        <w:rPr>
          <w:b/>
          <w:sz w:val="24"/>
          <w:highlight w:val="none"/>
        </w:rPr>
      </w:pPr>
      <w:r>
        <w:rPr>
          <w:rFonts w:hint="eastAsia"/>
          <w:b/>
          <w:sz w:val="24"/>
          <w:highlight w:val="none"/>
        </w:rPr>
        <w:t>注意：采购人按照推荐的中标候选投标人顺序确定中标投标人，不能认为采购人只能确定第一中标候选投标人为中标投标人，采购人有正当理由的，可以确定后一顺序中标候选投标人为中标投标人，依次类推。</w:t>
      </w:r>
    </w:p>
    <w:p>
      <w:pPr>
        <w:spacing w:line="460" w:lineRule="exact"/>
        <w:ind w:firstLine="480" w:firstLineChars="200"/>
        <w:rPr>
          <w:sz w:val="24"/>
          <w:highlight w:val="none"/>
        </w:rPr>
      </w:pPr>
      <w:r>
        <w:rPr>
          <w:rFonts w:hint="eastAsia"/>
          <w:sz w:val="24"/>
          <w:highlight w:val="none"/>
        </w:rPr>
        <w:t xml:space="preserve">6.2.4 </w:t>
      </w:r>
      <w:r>
        <w:rPr>
          <w:rFonts w:hAnsi="宋体" w:cs="宋体"/>
          <w:sz w:val="24"/>
          <w:highlight w:val="none"/>
        </w:rPr>
        <w:t>采购人确定中标人后，应当及时书面通知</w:t>
      </w:r>
      <w:r>
        <w:rPr>
          <w:rFonts w:hint="eastAsia" w:hAnsi="宋体" w:cs="宋体"/>
          <w:sz w:val="24"/>
          <w:highlight w:val="none"/>
        </w:rPr>
        <w:t>采购代理机构，</w:t>
      </w:r>
      <w:r>
        <w:rPr>
          <w:rFonts w:hint="eastAsia"/>
          <w:sz w:val="24"/>
          <w:highlight w:val="none"/>
        </w:rPr>
        <w:t>采购代理机构在四川政府采购网上发布中标公告，并自采购人确定中标之日起2个工作日内向中标投标人发出中标通知书。</w:t>
      </w:r>
    </w:p>
    <w:p>
      <w:pPr>
        <w:spacing w:line="460" w:lineRule="exact"/>
        <w:ind w:firstLine="480" w:firstLineChars="200"/>
        <w:rPr>
          <w:sz w:val="24"/>
          <w:highlight w:val="none"/>
        </w:rPr>
      </w:pPr>
      <w:r>
        <w:rPr>
          <w:rFonts w:hint="eastAsia"/>
          <w:sz w:val="24"/>
          <w:highlight w:val="none"/>
        </w:rPr>
        <w:t>6.2.5 招标采购单位不退回投标人投标文件和其他投标资料</w:t>
      </w:r>
      <w:r>
        <w:rPr>
          <w:rFonts w:hAnsi="宋体" w:cs="宋体"/>
          <w:spacing w:val="-1"/>
          <w:sz w:val="24"/>
          <w:highlight w:val="none"/>
        </w:rPr>
        <w:t>（招标文件另有约定的除外）</w:t>
      </w:r>
      <w:r>
        <w:rPr>
          <w:rFonts w:hint="eastAsia"/>
          <w:sz w:val="24"/>
          <w:highlight w:val="none"/>
        </w:rPr>
        <w:t>。</w:t>
      </w:r>
    </w:p>
    <w:bookmarkEnd w:id="145"/>
    <w:p>
      <w:pPr>
        <w:pStyle w:val="4"/>
        <w:spacing w:line="460" w:lineRule="exact"/>
        <w:ind w:firstLine="482" w:firstLineChars="200"/>
        <w:rPr>
          <w:rFonts w:ascii="黑体"/>
          <w:bCs w:val="0"/>
          <w:sz w:val="24"/>
          <w:szCs w:val="24"/>
          <w:highlight w:val="none"/>
        </w:rPr>
      </w:pPr>
      <w:bookmarkStart w:id="149" w:name="_Toc183682432"/>
      <w:bookmarkStart w:id="150" w:name="_Toc208849022"/>
      <w:bookmarkStart w:id="151" w:name="_Toc217446105"/>
      <w:bookmarkStart w:id="152" w:name="_Toc183582297"/>
      <w:r>
        <w:rPr>
          <w:rFonts w:hint="eastAsia" w:ascii="黑体"/>
          <w:bCs w:val="0"/>
          <w:sz w:val="24"/>
          <w:szCs w:val="24"/>
          <w:highlight w:val="none"/>
        </w:rPr>
        <w:t xml:space="preserve">7. </w:t>
      </w:r>
      <w:bookmarkEnd w:id="149"/>
      <w:bookmarkEnd w:id="150"/>
      <w:bookmarkEnd w:id="151"/>
      <w:bookmarkEnd w:id="152"/>
      <w:r>
        <w:rPr>
          <w:rFonts w:hint="eastAsia" w:ascii="黑体"/>
          <w:sz w:val="24"/>
          <w:szCs w:val="24"/>
          <w:highlight w:val="none"/>
        </w:rPr>
        <w:t>评标专家在</w:t>
      </w:r>
      <w:r>
        <w:rPr>
          <w:rFonts w:hint="eastAsia" w:ascii="黑体"/>
          <w:sz w:val="24"/>
          <w:highlight w:val="none"/>
        </w:rPr>
        <w:t>政府采购活动</w:t>
      </w:r>
      <w:r>
        <w:rPr>
          <w:rFonts w:hint="eastAsia" w:ascii="黑体"/>
          <w:sz w:val="24"/>
          <w:szCs w:val="24"/>
          <w:highlight w:val="none"/>
        </w:rPr>
        <w:t>中承担以下义务：</w:t>
      </w:r>
    </w:p>
    <w:p>
      <w:pPr>
        <w:spacing w:line="460" w:lineRule="exact"/>
        <w:ind w:firstLine="480" w:firstLineChars="200"/>
        <w:rPr>
          <w:sz w:val="24"/>
          <w:highlight w:val="none"/>
        </w:rPr>
      </w:pPr>
      <w:r>
        <w:rPr>
          <w:rFonts w:hint="eastAsia"/>
          <w:sz w:val="24"/>
          <w:highlight w:val="none"/>
        </w:rPr>
        <w:t xml:space="preserve">（一）遵守评审工作纪律； </w:t>
      </w:r>
    </w:p>
    <w:p>
      <w:pPr>
        <w:spacing w:line="460" w:lineRule="exact"/>
        <w:ind w:firstLine="480" w:firstLineChars="200"/>
        <w:rPr>
          <w:sz w:val="24"/>
          <w:highlight w:val="none"/>
        </w:rPr>
      </w:pPr>
      <w:r>
        <w:rPr>
          <w:rFonts w:hint="eastAsia"/>
          <w:sz w:val="24"/>
          <w:highlight w:val="none"/>
        </w:rPr>
        <w:t>（二）按照客观、公正、审慎的原则，根据采购文件规定的评审程序、评审方法和评审标准进行独立评审；</w:t>
      </w:r>
    </w:p>
    <w:p>
      <w:pPr>
        <w:spacing w:line="460" w:lineRule="exact"/>
        <w:ind w:firstLine="480" w:firstLineChars="200"/>
        <w:rPr>
          <w:sz w:val="24"/>
          <w:highlight w:val="none"/>
        </w:rPr>
      </w:pPr>
      <w:r>
        <w:rPr>
          <w:rFonts w:hint="eastAsia"/>
          <w:sz w:val="24"/>
          <w:highlight w:val="none"/>
        </w:rPr>
        <w:t>（三）不得泄露评审文件、评审情况和在评审过程中获悉的商业秘密；</w:t>
      </w:r>
    </w:p>
    <w:p>
      <w:pPr>
        <w:spacing w:line="460" w:lineRule="exact"/>
        <w:ind w:firstLine="480" w:firstLineChars="200"/>
        <w:rPr>
          <w:sz w:val="24"/>
          <w:highlight w:val="none"/>
        </w:rPr>
      </w:pPr>
      <w:r>
        <w:rPr>
          <w:rFonts w:hint="eastAsia"/>
          <w:sz w:val="24"/>
          <w:highlight w:val="none"/>
        </w:rPr>
        <w:t>（四）及时向监督部门报告评审过程中采购组织单位向评审专家做倾向性、误导性的解释或者说明，投标人行贿、提供虚假材料或者串通、受到的非法干预情况等违法违规行为；</w:t>
      </w:r>
    </w:p>
    <w:p>
      <w:pPr>
        <w:spacing w:line="460" w:lineRule="exact"/>
        <w:ind w:firstLine="480" w:firstLineChars="200"/>
        <w:rPr>
          <w:sz w:val="24"/>
          <w:highlight w:val="none"/>
        </w:rPr>
      </w:pPr>
      <w:r>
        <w:rPr>
          <w:rFonts w:hint="eastAsia"/>
          <w:sz w:val="24"/>
          <w:highlight w:val="none"/>
        </w:rPr>
        <w:t>（五）发现采购文件内容违反国家有关强制性规定或者存在歧义、重大缺陷导致评审工作无法进行时，停止评审并向采购组织单位书面说明情况；</w:t>
      </w:r>
    </w:p>
    <w:p>
      <w:pPr>
        <w:spacing w:line="460" w:lineRule="exact"/>
        <w:ind w:firstLine="480" w:firstLineChars="200"/>
        <w:rPr>
          <w:sz w:val="24"/>
          <w:highlight w:val="none"/>
        </w:rPr>
      </w:pPr>
      <w:r>
        <w:rPr>
          <w:rFonts w:hint="eastAsia"/>
          <w:sz w:val="24"/>
          <w:highlight w:val="none"/>
        </w:rPr>
        <w:t>（六）配合答复处理投标人的询问、质疑和投诉等事项；</w:t>
      </w:r>
    </w:p>
    <w:p>
      <w:pPr>
        <w:spacing w:line="460" w:lineRule="exact"/>
        <w:ind w:firstLine="480" w:firstLineChars="200"/>
        <w:rPr>
          <w:sz w:val="24"/>
          <w:highlight w:val="none"/>
        </w:rPr>
      </w:pPr>
      <w:r>
        <w:rPr>
          <w:rFonts w:hint="eastAsia"/>
          <w:sz w:val="24"/>
          <w:highlight w:val="none"/>
        </w:rPr>
        <w:t>（七）法律、法规和规章规定的其他义务。</w:t>
      </w:r>
    </w:p>
    <w:p>
      <w:pPr>
        <w:pStyle w:val="4"/>
        <w:spacing w:line="460" w:lineRule="exact"/>
        <w:ind w:firstLine="482" w:firstLineChars="200"/>
        <w:rPr>
          <w:rFonts w:ascii="黑体"/>
          <w:bCs w:val="0"/>
          <w:sz w:val="24"/>
          <w:szCs w:val="24"/>
          <w:highlight w:val="none"/>
        </w:rPr>
      </w:pPr>
      <w:r>
        <w:rPr>
          <w:rFonts w:hint="eastAsia" w:ascii="黑体"/>
          <w:bCs w:val="0"/>
          <w:sz w:val="24"/>
          <w:szCs w:val="24"/>
          <w:highlight w:val="none"/>
        </w:rPr>
        <w:t>8.评标专家在政府采购活动中应当遵守以下工作纪律：</w:t>
      </w:r>
    </w:p>
    <w:p>
      <w:pPr>
        <w:spacing w:line="460" w:lineRule="exact"/>
        <w:ind w:firstLine="480" w:firstLineChars="200"/>
        <w:rPr>
          <w:sz w:val="24"/>
          <w:highlight w:val="none"/>
        </w:rPr>
      </w:pPr>
      <w:r>
        <w:rPr>
          <w:rFonts w:hint="eastAsia"/>
          <w:sz w:val="24"/>
          <w:highlight w:val="none"/>
        </w:rPr>
        <w:t>（一）遵行《中华人民共和国政府采购法》第十二条和《政府采购法实施条例》第九条及财政部关于回避的规定。</w:t>
      </w:r>
    </w:p>
    <w:p>
      <w:pPr>
        <w:spacing w:line="460" w:lineRule="exact"/>
        <w:ind w:firstLine="480" w:firstLineChars="200"/>
        <w:rPr>
          <w:sz w:val="24"/>
          <w:highlight w:val="none"/>
        </w:rPr>
      </w:pPr>
      <w:r>
        <w:rPr>
          <w:rFonts w:hint="eastAsia"/>
          <w:sz w:val="24"/>
          <w:highlight w:val="none"/>
        </w:rPr>
        <w:t>（二）评标前，应当将通讯工具或者相关电子设备交由招标采购单位统一保管。</w:t>
      </w:r>
    </w:p>
    <w:p>
      <w:pPr>
        <w:spacing w:line="460" w:lineRule="exact"/>
        <w:ind w:firstLine="480" w:firstLineChars="200"/>
        <w:rPr>
          <w:sz w:val="24"/>
          <w:highlight w:val="none"/>
        </w:rPr>
      </w:pPr>
      <w:r>
        <w:rPr>
          <w:rFonts w:hint="eastAsia"/>
          <w:sz w:val="24"/>
          <w:highlight w:val="none"/>
        </w:rPr>
        <w:t>（三）评标过程中，不得与外界联系，因发生不可预见情况，确实需要与外界联系的，应当在监督人员监督之下办理。</w:t>
      </w:r>
    </w:p>
    <w:p>
      <w:pPr>
        <w:spacing w:line="460" w:lineRule="exact"/>
        <w:ind w:firstLine="480" w:firstLineChars="200"/>
        <w:rPr>
          <w:sz w:val="24"/>
          <w:highlight w:val="none"/>
        </w:rPr>
      </w:pPr>
      <w:r>
        <w:rPr>
          <w:rFonts w:hint="eastAsia"/>
          <w:sz w:val="24"/>
          <w:highlight w:val="none"/>
        </w:rPr>
        <w:t>（四）</w:t>
      </w:r>
      <w:r>
        <w:rPr>
          <w:rFonts w:ascii="Calibri" w:hAnsi="Calibri" w:cs="Calibri"/>
          <w:sz w:val="24"/>
          <w:highlight w:val="none"/>
        </w:rPr>
        <w:t> </w:t>
      </w:r>
      <w:r>
        <w:rPr>
          <w:rFonts w:hAnsi="宋体" w:cs="宋体"/>
          <w:sz w:val="24"/>
          <w:highlight w:val="none"/>
        </w:rPr>
        <w:t>在评标过程中不得擅离职守，影响评标程序正常进行；</w:t>
      </w:r>
    </w:p>
    <w:p>
      <w:pPr>
        <w:spacing w:line="460" w:lineRule="exact"/>
        <w:ind w:firstLine="480" w:firstLineChars="200"/>
        <w:rPr>
          <w:sz w:val="24"/>
          <w:highlight w:val="none"/>
        </w:rPr>
      </w:pPr>
      <w:r>
        <w:rPr>
          <w:rFonts w:hint="eastAsia"/>
          <w:sz w:val="24"/>
          <w:highlight w:val="none"/>
        </w:rPr>
        <w:t>（五）评标过程中，不得干预或者影响正常评标工作，不得发表倾向性、引导性意见，不得修改或细化招标文件确定的评标程序、评标方法、评标因素和评标标准，不得接受投标人主动提出的澄清和解释，不得征询采购人代表的意见，不得协商评分，不得违反规定的评标格式评分和撰写评标意见，不得拒绝对自己的评标意见签字确认。</w:t>
      </w:r>
    </w:p>
    <w:p>
      <w:pPr>
        <w:spacing w:line="460" w:lineRule="exact"/>
        <w:ind w:firstLine="480" w:firstLineChars="200"/>
        <w:rPr>
          <w:sz w:val="24"/>
          <w:highlight w:val="none"/>
        </w:rPr>
      </w:pPr>
      <w:r>
        <w:rPr>
          <w:rFonts w:hint="eastAsia"/>
          <w:sz w:val="24"/>
          <w:szCs w:val="22"/>
          <w:highlight w:val="none"/>
        </w:rPr>
        <w:t>（六）不得接受投标人提出的与投标文件不一致的澄清或者说明，中华人民共和国财政部令第 87 号--政府采购货物和服务招标投标管理办法第五十一条规定的情形除外；</w:t>
      </w:r>
    </w:p>
    <w:p>
      <w:pPr>
        <w:spacing w:line="460" w:lineRule="exact"/>
        <w:ind w:firstLine="480" w:firstLineChars="200"/>
        <w:rPr>
          <w:sz w:val="24"/>
          <w:highlight w:val="none"/>
        </w:rPr>
      </w:pPr>
      <w:r>
        <w:rPr>
          <w:rFonts w:hint="eastAsia"/>
          <w:sz w:val="24"/>
          <w:highlight w:val="none"/>
        </w:rPr>
        <w:t>（七）在评标过程中和评标结束后，不得记录、复制或带走任何评标资料，除因规定的义务外，不得向外界透露评标内容。</w:t>
      </w:r>
    </w:p>
    <w:p>
      <w:pPr>
        <w:spacing w:line="460" w:lineRule="exact"/>
        <w:ind w:firstLine="480" w:firstLineChars="200"/>
        <w:rPr>
          <w:sz w:val="24"/>
          <w:highlight w:val="none"/>
        </w:rPr>
      </w:pPr>
      <w:r>
        <w:rPr>
          <w:rFonts w:hint="eastAsia"/>
          <w:sz w:val="24"/>
          <w:highlight w:val="none"/>
        </w:rPr>
        <w:t>（八）服从评标现场招标采购单位的现场秩序管理，接受评标现场监督人员的合法监督。</w:t>
      </w:r>
    </w:p>
    <w:p>
      <w:pPr>
        <w:spacing w:line="460" w:lineRule="exact"/>
        <w:ind w:firstLine="480" w:firstLineChars="200"/>
        <w:rPr>
          <w:sz w:val="24"/>
          <w:highlight w:val="none"/>
        </w:rPr>
      </w:pPr>
      <w:r>
        <w:rPr>
          <w:rFonts w:hint="eastAsia"/>
          <w:sz w:val="24"/>
          <w:highlight w:val="none"/>
        </w:rPr>
        <w:t>（九）遵守有关廉洁自律规定，不得私下接触投标人，不得收受投标人及有关业务单位和个人的财物或好处，不得接受采购组织单位的请托。</w:t>
      </w:r>
    </w:p>
    <w:p>
      <w:pPr>
        <w:spacing w:line="460" w:lineRule="exact"/>
        <w:ind w:firstLine="480" w:firstLineChars="200"/>
        <w:rPr>
          <w:rFonts w:hAnsi="宋体" w:cs="宋体"/>
          <w:sz w:val="24"/>
          <w:highlight w:val="none"/>
        </w:rPr>
      </w:pPr>
      <w:r>
        <w:rPr>
          <w:rFonts w:hint="eastAsia"/>
          <w:sz w:val="24"/>
          <w:highlight w:val="none"/>
        </w:rPr>
        <w:t>（十）</w:t>
      </w:r>
      <w:r>
        <w:rPr>
          <w:rFonts w:hAnsi="宋体" w:cs="宋体"/>
          <w:sz w:val="24"/>
          <w:highlight w:val="none"/>
        </w:rPr>
        <w:t>有关部门（机构）制定的其他评审工作纪律。</w:t>
      </w:r>
    </w:p>
    <w:p>
      <w:pPr>
        <w:pStyle w:val="2"/>
        <w:rPr>
          <w:highlight w:val="none"/>
        </w:rPr>
      </w:pPr>
    </w:p>
    <w:p>
      <w:pPr>
        <w:pStyle w:val="2"/>
        <w:rPr>
          <w:highlight w:val="none"/>
        </w:rPr>
      </w:pPr>
    </w:p>
    <w:p>
      <w:pPr>
        <w:rPr>
          <w:sz w:val="36"/>
          <w:szCs w:val="36"/>
          <w:highlight w:val="none"/>
        </w:rPr>
      </w:pPr>
      <w:bookmarkStart w:id="153" w:name="_Toc69980134"/>
      <w:r>
        <w:rPr>
          <w:rFonts w:hint="eastAsia"/>
          <w:sz w:val="36"/>
          <w:szCs w:val="36"/>
          <w:highlight w:val="none"/>
        </w:rPr>
        <w:br w:type="page"/>
      </w:r>
    </w:p>
    <w:p>
      <w:pPr>
        <w:pStyle w:val="3"/>
        <w:spacing w:line="500" w:lineRule="exact"/>
        <w:rPr>
          <w:sz w:val="36"/>
          <w:szCs w:val="36"/>
          <w:highlight w:val="none"/>
        </w:rPr>
      </w:pPr>
      <w:r>
        <w:rPr>
          <w:rFonts w:hint="eastAsia"/>
          <w:sz w:val="36"/>
          <w:szCs w:val="36"/>
          <w:highlight w:val="none"/>
        </w:rPr>
        <w:t>第八章  政府采购合同（样例）</w:t>
      </w:r>
      <w:bookmarkEnd w:id="153"/>
    </w:p>
    <w:p>
      <w:pPr>
        <w:spacing w:line="500" w:lineRule="exact"/>
        <w:rPr>
          <w:highlight w:val="none"/>
        </w:rPr>
      </w:pPr>
    </w:p>
    <w:p>
      <w:pPr>
        <w:spacing w:line="500" w:lineRule="exact"/>
        <w:ind w:firstLine="480" w:firstLineChars="200"/>
        <w:rPr>
          <w:sz w:val="24"/>
          <w:highlight w:val="none"/>
        </w:rPr>
      </w:pPr>
      <w:r>
        <w:rPr>
          <w:rFonts w:hint="eastAsia"/>
          <w:sz w:val="24"/>
          <w:highlight w:val="none"/>
        </w:rPr>
        <w:t>合同编号：</w:t>
      </w:r>
      <w:r>
        <w:rPr>
          <w:rFonts w:hint="eastAsia"/>
          <w:szCs w:val="21"/>
          <w:highlight w:val="none"/>
        </w:rPr>
        <w:t>XXXX。</w:t>
      </w:r>
    </w:p>
    <w:p>
      <w:pPr>
        <w:spacing w:line="500" w:lineRule="exact"/>
        <w:ind w:firstLine="480" w:firstLineChars="200"/>
        <w:rPr>
          <w:sz w:val="24"/>
          <w:highlight w:val="none"/>
        </w:rPr>
      </w:pPr>
      <w:r>
        <w:rPr>
          <w:rFonts w:hint="eastAsia"/>
          <w:sz w:val="24"/>
          <w:highlight w:val="none"/>
        </w:rPr>
        <w:t>签订地点：</w:t>
      </w:r>
      <w:r>
        <w:rPr>
          <w:rFonts w:hint="eastAsia"/>
          <w:szCs w:val="21"/>
          <w:highlight w:val="none"/>
        </w:rPr>
        <w:t>XXXX。</w:t>
      </w:r>
    </w:p>
    <w:p>
      <w:pPr>
        <w:spacing w:line="500" w:lineRule="exact"/>
        <w:ind w:firstLine="480" w:firstLineChars="200"/>
        <w:rPr>
          <w:sz w:val="24"/>
          <w:highlight w:val="none"/>
        </w:rPr>
      </w:pPr>
      <w:r>
        <w:rPr>
          <w:rFonts w:hint="eastAsia"/>
          <w:sz w:val="24"/>
          <w:highlight w:val="none"/>
        </w:rPr>
        <w:t>签订时间：</w:t>
      </w:r>
      <w:r>
        <w:rPr>
          <w:rFonts w:hint="eastAsia"/>
          <w:szCs w:val="21"/>
          <w:highlight w:val="none"/>
        </w:rPr>
        <w:t>XXXX</w:t>
      </w:r>
      <w:r>
        <w:rPr>
          <w:rFonts w:hint="eastAsia"/>
          <w:sz w:val="24"/>
          <w:highlight w:val="none"/>
        </w:rPr>
        <w:t>年</w:t>
      </w:r>
      <w:r>
        <w:rPr>
          <w:rFonts w:hint="eastAsia"/>
          <w:szCs w:val="21"/>
          <w:highlight w:val="none"/>
        </w:rPr>
        <w:t>XX</w:t>
      </w:r>
      <w:r>
        <w:rPr>
          <w:rFonts w:hint="eastAsia"/>
          <w:sz w:val="24"/>
          <w:highlight w:val="none"/>
        </w:rPr>
        <w:t>月</w:t>
      </w:r>
      <w:r>
        <w:rPr>
          <w:rFonts w:hint="eastAsia"/>
          <w:szCs w:val="21"/>
          <w:highlight w:val="none"/>
        </w:rPr>
        <w:t>XX</w:t>
      </w:r>
      <w:r>
        <w:rPr>
          <w:rFonts w:hint="eastAsia"/>
          <w:sz w:val="24"/>
          <w:highlight w:val="none"/>
        </w:rPr>
        <w:t>日。</w:t>
      </w:r>
    </w:p>
    <w:p>
      <w:pPr>
        <w:spacing w:line="500" w:lineRule="exact"/>
        <w:ind w:firstLine="480" w:firstLineChars="200"/>
        <w:rPr>
          <w:sz w:val="24"/>
          <w:highlight w:val="none"/>
        </w:rPr>
      </w:pPr>
      <w:r>
        <w:rPr>
          <w:rFonts w:hint="eastAsia"/>
          <w:sz w:val="24"/>
          <w:highlight w:val="none"/>
        </w:rPr>
        <w:t xml:space="preserve">采购人（甲方）：                              </w:t>
      </w:r>
    </w:p>
    <w:p>
      <w:pPr>
        <w:spacing w:line="500" w:lineRule="exact"/>
        <w:ind w:firstLine="480" w:firstLineChars="200"/>
        <w:rPr>
          <w:sz w:val="24"/>
          <w:highlight w:val="none"/>
        </w:rPr>
      </w:pPr>
      <w:r>
        <w:rPr>
          <w:rFonts w:hint="eastAsia"/>
          <w:sz w:val="24"/>
          <w:highlight w:val="none"/>
        </w:rPr>
        <w:t>投标人（乙</w:t>
      </w:r>
      <w:r>
        <w:rPr>
          <w:sz w:val="24"/>
          <w:highlight w:val="none"/>
        </w:rPr>
        <w:t>方</w:t>
      </w:r>
      <w:r>
        <w:rPr>
          <w:rFonts w:hint="eastAsia"/>
          <w:sz w:val="24"/>
          <w:highlight w:val="none"/>
        </w:rPr>
        <w:t>）</w:t>
      </w:r>
      <w:r>
        <w:rPr>
          <w:sz w:val="24"/>
          <w:highlight w:val="none"/>
        </w:rPr>
        <w:t xml:space="preserve">：                              </w:t>
      </w:r>
    </w:p>
    <w:p>
      <w:pPr>
        <w:spacing w:line="500" w:lineRule="exact"/>
        <w:rPr>
          <w:sz w:val="24"/>
          <w:highlight w:val="none"/>
        </w:rPr>
      </w:pPr>
    </w:p>
    <w:p>
      <w:pPr>
        <w:pStyle w:val="39"/>
        <w:spacing w:line="500" w:lineRule="exact"/>
        <w:ind w:firstLine="480"/>
        <w:rPr>
          <w:highlight w:val="none"/>
        </w:rPr>
      </w:pPr>
      <w:r>
        <w:rPr>
          <w:rFonts w:hint="eastAsia"/>
          <w:highlight w:val="none"/>
        </w:rPr>
        <w:t>根据《中华人民共和国政府采购法》《中华人民共和国民法典》及</w:t>
      </w:r>
      <w:r>
        <w:rPr>
          <w:rFonts w:hint="eastAsia"/>
          <w:szCs w:val="21"/>
          <w:highlight w:val="none"/>
        </w:rPr>
        <w:t>XXXX</w:t>
      </w:r>
      <w:r>
        <w:rPr>
          <w:rFonts w:hint="eastAsia"/>
          <w:highlight w:val="none"/>
        </w:rPr>
        <w:t>采购项目（招标编号：</w:t>
      </w:r>
      <w:r>
        <w:rPr>
          <w:rFonts w:hint="eastAsia"/>
          <w:szCs w:val="21"/>
          <w:highlight w:val="none"/>
        </w:rPr>
        <w:t>XX</w:t>
      </w:r>
      <w:r>
        <w:rPr>
          <w:rFonts w:hint="eastAsia"/>
          <w:highlight w:val="none"/>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pPr>
        <w:pStyle w:val="4"/>
        <w:spacing w:line="500" w:lineRule="exact"/>
        <w:ind w:firstLine="482" w:firstLineChars="200"/>
        <w:rPr>
          <w:rFonts w:ascii="黑体"/>
          <w:sz w:val="24"/>
          <w:szCs w:val="24"/>
          <w:highlight w:val="none"/>
        </w:rPr>
      </w:pPr>
      <w:bookmarkStart w:id="154" w:name="_Toc217446107"/>
      <w:r>
        <w:rPr>
          <w:rFonts w:hint="eastAsia" w:ascii="黑体"/>
          <w:sz w:val="24"/>
          <w:szCs w:val="24"/>
          <w:highlight w:val="none"/>
        </w:rPr>
        <w:t>一、合同货物</w:t>
      </w:r>
      <w:bookmarkEnd w:id="154"/>
    </w:p>
    <w:tbl>
      <w:tblPr>
        <w:tblStyle w:val="27"/>
        <w:tblW w:w="891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322"/>
        <w:gridCol w:w="741"/>
        <w:gridCol w:w="925"/>
        <w:gridCol w:w="1743"/>
        <w:gridCol w:w="1883"/>
        <w:gridCol w:w="129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3" w:hRule="atLeast"/>
          <w:jc w:val="center"/>
        </w:trPr>
        <w:tc>
          <w:tcPr>
            <w:tcW w:w="2322"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r>
              <w:rPr>
                <w:rFonts w:hint="eastAsia" w:cs="Arial"/>
                <w:sz w:val="24"/>
                <w:highlight w:val="none"/>
              </w:rPr>
              <w:t>货物品名</w:t>
            </w:r>
          </w:p>
        </w:tc>
        <w:tc>
          <w:tcPr>
            <w:tcW w:w="741" w:type="dxa"/>
            <w:tcBorders>
              <w:top w:val="single" w:color="auto" w:sz="4" w:space="0"/>
              <w:left w:val="single" w:color="auto" w:sz="4" w:space="0"/>
              <w:bottom w:val="single" w:color="auto" w:sz="4" w:space="0"/>
              <w:right w:val="single" w:color="auto" w:sz="4" w:space="0"/>
            </w:tcBorders>
            <w:vAlign w:val="center"/>
          </w:tcPr>
          <w:p>
            <w:pPr>
              <w:spacing w:line="500" w:lineRule="exact"/>
              <w:rPr>
                <w:sz w:val="24"/>
                <w:highlight w:val="none"/>
              </w:rPr>
            </w:pPr>
            <w:r>
              <w:rPr>
                <w:rFonts w:hint="eastAsia" w:cs="Arial"/>
                <w:sz w:val="24"/>
                <w:highlight w:val="none"/>
              </w:rPr>
              <w:t>单位</w:t>
            </w:r>
          </w:p>
        </w:tc>
        <w:tc>
          <w:tcPr>
            <w:tcW w:w="925" w:type="dxa"/>
            <w:tcBorders>
              <w:top w:val="single" w:color="auto" w:sz="4" w:space="0"/>
              <w:left w:val="single" w:color="auto" w:sz="4" w:space="0"/>
              <w:bottom w:val="single" w:color="auto" w:sz="4" w:space="0"/>
              <w:right w:val="single" w:color="auto" w:sz="4" w:space="0"/>
            </w:tcBorders>
            <w:vAlign w:val="center"/>
          </w:tcPr>
          <w:p>
            <w:pPr>
              <w:spacing w:line="500" w:lineRule="exact"/>
              <w:ind w:firstLine="120" w:firstLineChars="50"/>
              <w:rPr>
                <w:sz w:val="24"/>
                <w:highlight w:val="none"/>
              </w:rPr>
            </w:pPr>
            <w:r>
              <w:rPr>
                <w:rFonts w:hint="eastAsia" w:cs="Arial"/>
                <w:sz w:val="24"/>
                <w:highlight w:val="none"/>
              </w:rPr>
              <w:t>数量</w:t>
            </w:r>
          </w:p>
        </w:tc>
        <w:tc>
          <w:tcPr>
            <w:tcW w:w="1743" w:type="dxa"/>
            <w:tcBorders>
              <w:top w:val="single" w:color="auto" w:sz="4" w:space="0"/>
              <w:left w:val="single" w:color="auto" w:sz="4" w:space="0"/>
              <w:bottom w:val="single" w:color="auto" w:sz="4" w:space="0"/>
              <w:right w:val="single" w:color="auto" w:sz="4" w:space="0"/>
            </w:tcBorders>
            <w:vAlign w:val="center"/>
          </w:tcPr>
          <w:p>
            <w:pPr>
              <w:spacing w:line="500" w:lineRule="exact"/>
              <w:ind w:firstLine="120" w:firstLineChars="50"/>
              <w:jc w:val="center"/>
              <w:rPr>
                <w:rFonts w:cs="Arial"/>
                <w:sz w:val="24"/>
                <w:highlight w:val="none"/>
              </w:rPr>
            </w:pPr>
            <w:r>
              <w:rPr>
                <w:rFonts w:hint="eastAsia" w:cs="Arial"/>
                <w:sz w:val="24"/>
                <w:highlight w:val="none"/>
              </w:rPr>
              <w:t>单价</w:t>
            </w:r>
          </w:p>
          <w:p>
            <w:pPr>
              <w:spacing w:line="500" w:lineRule="exact"/>
              <w:jc w:val="center"/>
              <w:rPr>
                <w:rFonts w:cs="Arial"/>
                <w:sz w:val="24"/>
                <w:highlight w:val="none"/>
              </w:rPr>
            </w:pPr>
            <w:r>
              <w:rPr>
                <w:rFonts w:hint="eastAsia" w:cs="Arial"/>
                <w:sz w:val="24"/>
                <w:highlight w:val="none"/>
              </w:rPr>
              <w:t>（万元）</w:t>
            </w:r>
          </w:p>
        </w:tc>
        <w:tc>
          <w:tcPr>
            <w:tcW w:w="1883" w:type="dxa"/>
            <w:tcBorders>
              <w:top w:val="single" w:color="auto" w:sz="4" w:space="0"/>
              <w:left w:val="single" w:color="auto" w:sz="4" w:space="0"/>
              <w:bottom w:val="single" w:color="auto" w:sz="4" w:space="0"/>
              <w:right w:val="single" w:color="auto" w:sz="4" w:space="0"/>
            </w:tcBorders>
            <w:vAlign w:val="center"/>
          </w:tcPr>
          <w:p>
            <w:pPr>
              <w:spacing w:line="500" w:lineRule="exact"/>
              <w:ind w:firstLine="120" w:firstLineChars="50"/>
              <w:jc w:val="center"/>
              <w:rPr>
                <w:rFonts w:cs="Arial"/>
                <w:sz w:val="24"/>
                <w:highlight w:val="none"/>
              </w:rPr>
            </w:pPr>
            <w:r>
              <w:rPr>
                <w:rFonts w:hint="eastAsia" w:cs="Arial"/>
                <w:sz w:val="24"/>
                <w:highlight w:val="none"/>
              </w:rPr>
              <w:t>总价</w:t>
            </w:r>
          </w:p>
          <w:p>
            <w:pPr>
              <w:spacing w:line="500" w:lineRule="exact"/>
              <w:ind w:firstLine="120" w:firstLineChars="50"/>
              <w:jc w:val="center"/>
              <w:rPr>
                <w:sz w:val="24"/>
                <w:highlight w:val="none"/>
              </w:rPr>
            </w:pPr>
            <w:r>
              <w:rPr>
                <w:rFonts w:hint="eastAsia" w:cs="Arial"/>
                <w:sz w:val="24"/>
                <w:highlight w:val="none"/>
              </w:rPr>
              <w:t>（万元）</w:t>
            </w:r>
          </w:p>
        </w:tc>
        <w:tc>
          <w:tcPr>
            <w:tcW w:w="1296" w:type="dxa"/>
            <w:tcBorders>
              <w:top w:val="single" w:color="auto" w:sz="4" w:space="0"/>
              <w:left w:val="single" w:color="auto" w:sz="4" w:space="0"/>
              <w:bottom w:val="single" w:color="auto" w:sz="4" w:space="0"/>
              <w:right w:val="single" w:color="auto" w:sz="4" w:space="0"/>
            </w:tcBorders>
            <w:vAlign w:val="center"/>
          </w:tcPr>
          <w:p>
            <w:pPr>
              <w:spacing w:line="500" w:lineRule="exact"/>
              <w:ind w:firstLine="120" w:firstLineChars="50"/>
              <w:rPr>
                <w:sz w:val="24"/>
                <w:highlight w:val="none"/>
              </w:rPr>
            </w:pPr>
            <w:r>
              <w:rPr>
                <w:rFonts w:hint="eastAsia" w:cs="Arial"/>
                <w:sz w:val="24"/>
                <w:highlight w:val="none"/>
              </w:rPr>
              <w:t>交货期</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7" w:hRule="atLeast"/>
          <w:jc w:val="center"/>
        </w:trPr>
        <w:tc>
          <w:tcPr>
            <w:tcW w:w="2322" w:type="dxa"/>
            <w:tcBorders>
              <w:top w:val="single" w:color="auto" w:sz="4" w:space="0"/>
              <w:left w:val="single" w:color="auto" w:sz="4" w:space="0"/>
              <w:bottom w:val="single" w:color="auto" w:sz="4" w:space="0"/>
              <w:right w:val="single" w:color="auto" w:sz="4" w:space="0"/>
            </w:tcBorders>
            <w:vAlign w:val="center"/>
          </w:tcPr>
          <w:p>
            <w:pPr>
              <w:spacing w:line="500" w:lineRule="exact"/>
              <w:rPr>
                <w:sz w:val="24"/>
                <w:highlight w:val="none"/>
              </w:rPr>
            </w:pPr>
          </w:p>
        </w:tc>
        <w:tc>
          <w:tcPr>
            <w:tcW w:w="741"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c>
          <w:tcPr>
            <w:tcW w:w="925"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c>
          <w:tcPr>
            <w:tcW w:w="1743"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c>
          <w:tcPr>
            <w:tcW w:w="1883"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c>
          <w:tcPr>
            <w:tcW w:w="1296"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7" w:hRule="atLeast"/>
          <w:jc w:val="center"/>
        </w:trPr>
        <w:tc>
          <w:tcPr>
            <w:tcW w:w="2322" w:type="dxa"/>
            <w:tcBorders>
              <w:top w:val="single" w:color="auto" w:sz="4" w:space="0"/>
              <w:left w:val="single" w:color="auto" w:sz="4" w:space="0"/>
              <w:bottom w:val="single" w:color="auto" w:sz="4" w:space="0"/>
              <w:right w:val="single" w:color="auto" w:sz="4" w:space="0"/>
            </w:tcBorders>
            <w:vAlign w:val="center"/>
          </w:tcPr>
          <w:p>
            <w:pPr>
              <w:spacing w:line="500" w:lineRule="exact"/>
              <w:rPr>
                <w:sz w:val="24"/>
                <w:highlight w:val="none"/>
              </w:rPr>
            </w:pPr>
          </w:p>
        </w:tc>
        <w:tc>
          <w:tcPr>
            <w:tcW w:w="741"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c>
          <w:tcPr>
            <w:tcW w:w="925"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c>
          <w:tcPr>
            <w:tcW w:w="1743"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c>
          <w:tcPr>
            <w:tcW w:w="1883"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c>
          <w:tcPr>
            <w:tcW w:w="1296"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sz w:val="24"/>
                <w:highlight w:val="none"/>
              </w:rPr>
            </w:pPr>
          </w:p>
        </w:tc>
      </w:tr>
    </w:tbl>
    <w:p>
      <w:pPr>
        <w:pStyle w:val="4"/>
        <w:spacing w:line="500" w:lineRule="exact"/>
        <w:ind w:firstLine="482" w:firstLineChars="200"/>
        <w:rPr>
          <w:rFonts w:ascii="黑体"/>
          <w:sz w:val="24"/>
          <w:szCs w:val="24"/>
          <w:highlight w:val="none"/>
        </w:rPr>
      </w:pPr>
      <w:bookmarkStart w:id="155" w:name="_Toc217446108"/>
      <w:r>
        <w:rPr>
          <w:rFonts w:hint="eastAsia" w:ascii="黑体"/>
          <w:sz w:val="24"/>
          <w:szCs w:val="24"/>
          <w:highlight w:val="none"/>
        </w:rPr>
        <w:t>二、</w:t>
      </w:r>
      <w:bookmarkEnd w:id="155"/>
      <w:r>
        <w:rPr>
          <w:rFonts w:hint="eastAsia" w:ascii="黑体"/>
          <w:sz w:val="24"/>
          <w:szCs w:val="24"/>
          <w:highlight w:val="none"/>
        </w:rPr>
        <w:t>交货时间</w:t>
      </w:r>
    </w:p>
    <w:p>
      <w:pPr>
        <w:pStyle w:val="8"/>
        <w:spacing w:line="500" w:lineRule="exact"/>
        <w:ind w:firstLineChars="175"/>
        <w:rPr>
          <w:sz w:val="24"/>
          <w:highlight w:val="none"/>
        </w:rPr>
      </w:pPr>
      <w:r>
        <w:rPr>
          <w:rFonts w:hint="eastAsia" w:hAnsi="宋体" w:cs="宋体"/>
          <w:sz w:val="24"/>
          <w:highlight w:val="none"/>
        </w:rPr>
        <w:t>墓材采购合同签订后，中标人必须在60日内将采购人采购墓材运至磨盘山公墓。中标人将墓材运至磨盘山公墓后30日内自行安装完毕。墓材安装完毕15日内由采购人组织初步验收，验收后销售前墓材所有权人为中标人。中标人正式交付每套成品墓期限为逝者骨灰安葬前7日</w:t>
      </w:r>
      <w:r>
        <w:rPr>
          <w:rFonts w:hint="eastAsia"/>
          <w:sz w:val="24"/>
          <w:highlight w:val="none"/>
        </w:rPr>
        <w:t>。</w:t>
      </w:r>
    </w:p>
    <w:p>
      <w:pPr>
        <w:pStyle w:val="4"/>
        <w:spacing w:line="500" w:lineRule="exact"/>
        <w:ind w:firstLine="482" w:firstLineChars="200"/>
        <w:rPr>
          <w:rFonts w:ascii="黑体"/>
          <w:sz w:val="24"/>
          <w:szCs w:val="24"/>
          <w:highlight w:val="none"/>
        </w:rPr>
      </w:pPr>
      <w:bookmarkStart w:id="156" w:name="_Toc217446109"/>
      <w:r>
        <w:rPr>
          <w:rFonts w:hint="eastAsia" w:ascii="黑体"/>
          <w:sz w:val="24"/>
          <w:szCs w:val="24"/>
          <w:highlight w:val="none"/>
        </w:rPr>
        <w:t>三、</w:t>
      </w:r>
      <w:bookmarkEnd w:id="156"/>
      <w:r>
        <w:rPr>
          <w:rFonts w:hint="eastAsia" w:asciiTheme="minorEastAsia" w:hAnsiTheme="minorEastAsia" w:cstheme="minorEastAsia"/>
          <w:sz w:val="24"/>
          <w:highlight w:val="none"/>
        </w:rPr>
        <w:t>交货</w:t>
      </w:r>
      <w:r>
        <w:rPr>
          <w:rFonts w:hint="eastAsia" w:ascii="黑体"/>
          <w:sz w:val="24"/>
          <w:szCs w:val="24"/>
          <w:highlight w:val="none"/>
        </w:rPr>
        <w:t>地点</w:t>
      </w:r>
    </w:p>
    <w:p>
      <w:pPr>
        <w:pStyle w:val="39"/>
        <w:spacing w:line="500" w:lineRule="exact"/>
        <w:ind w:firstLine="480"/>
        <w:rPr>
          <w:highlight w:val="none"/>
        </w:rPr>
      </w:pPr>
      <w:r>
        <w:rPr>
          <w:rFonts w:hint="eastAsia" w:hAnsi="宋体"/>
          <w:szCs w:val="24"/>
          <w:highlight w:val="none"/>
        </w:rPr>
        <w:t>成都市殡仪馆磨盘山公墓</w:t>
      </w:r>
      <w:r>
        <w:rPr>
          <w:rFonts w:hint="eastAsia"/>
          <w:highlight w:val="none"/>
        </w:rPr>
        <w:t>。</w:t>
      </w:r>
    </w:p>
    <w:p>
      <w:pPr>
        <w:pStyle w:val="4"/>
        <w:spacing w:line="500" w:lineRule="exact"/>
        <w:ind w:firstLine="482" w:firstLineChars="200"/>
        <w:rPr>
          <w:rFonts w:ascii="黑体"/>
          <w:sz w:val="24"/>
          <w:szCs w:val="24"/>
          <w:highlight w:val="none"/>
        </w:rPr>
      </w:pPr>
      <w:bookmarkStart w:id="157" w:name="_Toc217446110"/>
      <w:r>
        <w:rPr>
          <w:rFonts w:hint="eastAsia" w:ascii="黑体"/>
          <w:sz w:val="24"/>
          <w:szCs w:val="24"/>
          <w:highlight w:val="none"/>
        </w:rPr>
        <w:t>四、</w:t>
      </w:r>
      <w:bookmarkEnd w:id="157"/>
      <w:r>
        <w:rPr>
          <w:rFonts w:hint="eastAsia" w:ascii="黑体"/>
          <w:sz w:val="24"/>
          <w:szCs w:val="24"/>
          <w:highlight w:val="none"/>
        </w:rPr>
        <w:t>付款方式</w:t>
      </w:r>
      <w:r>
        <w:rPr>
          <w:rFonts w:hint="eastAsia" w:ascii="宋体" w:hAnsi="宋体" w:eastAsia="宋体" w:cs="宋体"/>
          <w:sz w:val="24"/>
          <w:szCs w:val="24"/>
          <w:highlight w:val="none"/>
        </w:rPr>
        <w:t>和条件</w:t>
      </w:r>
    </w:p>
    <w:p>
      <w:pPr>
        <w:pStyle w:val="2"/>
        <w:spacing w:line="360" w:lineRule="auto"/>
        <w:ind w:firstLine="480" w:firstLineChars="200"/>
        <w:rPr>
          <w:rFonts w:hAnsi="宋体" w:cs="宋体"/>
          <w:sz w:val="24"/>
          <w:szCs w:val="24"/>
          <w:highlight w:val="none"/>
        </w:rPr>
      </w:pPr>
      <w:r>
        <w:rPr>
          <w:rFonts w:hint="eastAsia" w:hAnsi="宋体" w:cs="宋体"/>
          <w:sz w:val="24"/>
          <w:szCs w:val="24"/>
          <w:highlight w:val="none"/>
        </w:rPr>
        <w:t>1、本项目为中标人全额垫资项目，一个墓穴销售后骨灰安葬日为墓穴验收日，验收合格后，实行分期付款，每月根据墓穴安葬数据，据实结算墓材款的95%，验收合格且保修期结束后墓位使用正常，无息支付该笔墓材款剩余金额。</w:t>
      </w:r>
    </w:p>
    <w:p>
      <w:pPr>
        <w:pStyle w:val="2"/>
        <w:spacing w:line="360" w:lineRule="auto"/>
        <w:ind w:firstLine="480" w:firstLineChars="200"/>
        <w:rPr>
          <w:rFonts w:hAnsi="宋体" w:cs="宋体"/>
          <w:sz w:val="24"/>
          <w:szCs w:val="24"/>
          <w:highlight w:val="none"/>
        </w:rPr>
      </w:pPr>
      <w:r>
        <w:rPr>
          <w:rFonts w:hint="eastAsia" w:hAnsi="宋体" w:cs="宋体"/>
          <w:sz w:val="24"/>
          <w:szCs w:val="24"/>
          <w:highlight w:val="none"/>
        </w:rPr>
        <w:t>2、中标人须向采购方出具合法有效完整的完税发票及凭证资料进行支付结算。</w:t>
      </w:r>
    </w:p>
    <w:p>
      <w:pPr>
        <w:pStyle w:val="39"/>
        <w:spacing w:line="500" w:lineRule="exact"/>
        <w:ind w:firstLine="480"/>
        <w:rPr>
          <w:highlight w:val="none"/>
        </w:rPr>
      </w:pPr>
      <w:r>
        <w:rPr>
          <w:rFonts w:hint="eastAsia" w:hAnsi="宋体"/>
          <w:szCs w:val="24"/>
          <w:highlight w:val="none"/>
        </w:rPr>
        <w:t>3、实际结算金额=实际采购量×单价限价×报价折扣率</w:t>
      </w:r>
      <w:r>
        <w:rPr>
          <w:rFonts w:hint="eastAsia"/>
          <w:highlight w:val="none"/>
        </w:rPr>
        <w:t>。</w:t>
      </w:r>
    </w:p>
    <w:p>
      <w:pPr>
        <w:pStyle w:val="4"/>
        <w:spacing w:line="500" w:lineRule="exact"/>
        <w:ind w:firstLine="482" w:firstLineChars="200"/>
        <w:rPr>
          <w:rFonts w:ascii="黑体"/>
          <w:sz w:val="24"/>
          <w:szCs w:val="24"/>
          <w:highlight w:val="none"/>
        </w:rPr>
      </w:pPr>
      <w:bookmarkStart w:id="158" w:name="_Toc217446111"/>
      <w:r>
        <w:rPr>
          <w:rFonts w:hint="eastAsia" w:ascii="黑体"/>
          <w:sz w:val="24"/>
          <w:szCs w:val="24"/>
          <w:highlight w:val="none"/>
        </w:rPr>
        <w:t>五、</w:t>
      </w:r>
      <w:bookmarkEnd w:id="158"/>
      <w:r>
        <w:rPr>
          <w:rFonts w:hint="eastAsia" w:ascii="黑体"/>
          <w:sz w:val="24"/>
          <w:szCs w:val="24"/>
          <w:highlight w:val="none"/>
        </w:rPr>
        <w:t>验收标准及要求</w:t>
      </w:r>
    </w:p>
    <w:p>
      <w:pPr>
        <w:snapToGrid w:val="0"/>
        <w:spacing w:line="480" w:lineRule="exact"/>
        <w:ind w:firstLine="480" w:firstLineChars="200"/>
        <w:rPr>
          <w:rFonts w:hAnsi="宋体" w:cs="宋体"/>
          <w:sz w:val="24"/>
          <w:szCs w:val="24"/>
          <w:highlight w:val="none"/>
        </w:rPr>
      </w:pPr>
      <w:r>
        <w:rPr>
          <w:rFonts w:hint="eastAsia" w:hAnsi="宋体" w:cs="宋体"/>
          <w:kern w:val="2"/>
          <w:sz w:val="24"/>
          <w:szCs w:val="24"/>
          <w:highlight w:val="none"/>
        </w:rPr>
        <w:t>严格</w:t>
      </w:r>
      <w:r>
        <w:rPr>
          <w:rFonts w:hint="eastAsia" w:hAnsi="宋体" w:cs="宋体"/>
          <w:sz w:val="24"/>
          <w:szCs w:val="24"/>
          <w:highlight w:val="none"/>
        </w:rPr>
        <w:t>按照《中华人民共和国政府采购法》《中华人民共和国政府采购法实施条例》和《财政部关于进一步加强政府采购需求和履约验收管理的指导意见》（财库〔2016〕205号）的要求进行验收。</w:t>
      </w:r>
    </w:p>
    <w:p>
      <w:pPr>
        <w:pStyle w:val="4"/>
        <w:spacing w:line="500" w:lineRule="exact"/>
        <w:ind w:firstLine="482" w:firstLineChars="200"/>
        <w:rPr>
          <w:rFonts w:ascii="黑体"/>
          <w:sz w:val="24"/>
          <w:szCs w:val="24"/>
          <w:highlight w:val="none"/>
        </w:rPr>
      </w:pPr>
      <w:bookmarkStart w:id="159" w:name="_Toc217446112"/>
      <w:r>
        <w:rPr>
          <w:rFonts w:hint="eastAsia" w:ascii="黑体"/>
          <w:sz w:val="24"/>
          <w:szCs w:val="24"/>
          <w:highlight w:val="none"/>
        </w:rPr>
        <w:t>六、</w:t>
      </w:r>
      <w:bookmarkEnd w:id="159"/>
      <w:r>
        <w:rPr>
          <w:rFonts w:hint="eastAsia" w:ascii="黑体"/>
          <w:sz w:val="24"/>
          <w:szCs w:val="24"/>
          <w:highlight w:val="none"/>
        </w:rPr>
        <w:t>其他要求</w:t>
      </w:r>
    </w:p>
    <w:p>
      <w:pPr>
        <w:pStyle w:val="4"/>
        <w:spacing w:line="500" w:lineRule="exact"/>
        <w:ind w:firstLine="482" w:firstLineChars="200"/>
        <w:rPr>
          <w:rFonts w:ascii="黑体"/>
          <w:sz w:val="24"/>
          <w:szCs w:val="24"/>
          <w:highlight w:val="none"/>
        </w:rPr>
      </w:pPr>
      <w:bookmarkStart w:id="160" w:name="_Toc217446113"/>
    </w:p>
    <w:p>
      <w:pPr>
        <w:pStyle w:val="4"/>
        <w:spacing w:line="500" w:lineRule="exact"/>
        <w:ind w:firstLine="482" w:firstLineChars="200"/>
        <w:rPr>
          <w:rFonts w:ascii="黑体"/>
          <w:sz w:val="24"/>
          <w:szCs w:val="24"/>
          <w:highlight w:val="none"/>
        </w:rPr>
      </w:pPr>
      <w:r>
        <w:rPr>
          <w:rFonts w:hint="eastAsia" w:ascii="黑体"/>
          <w:sz w:val="24"/>
          <w:szCs w:val="24"/>
          <w:highlight w:val="none"/>
        </w:rPr>
        <w:t>七、违约责任</w:t>
      </w:r>
      <w:bookmarkEnd w:id="160"/>
    </w:p>
    <w:p>
      <w:pPr>
        <w:pStyle w:val="39"/>
        <w:spacing w:line="500" w:lineRule="exact"/>
        <w:ind w:firstLine="480"/>
        <w:rPr>
          <w:highlight w:val="none"/>
        </w:rPr>
      </w:pPr>
      <w:r>
        <w:rPr>
          <w:rFonts w:hint="eastAsia"/>
          <w:highlight w:val="none"/>
        </w:rPr>
        <w:t>1、甲方违约责任</w:t>
      </w:r>
    </w:p>
    <w:p>
      <w:pPr>
        <w:pStyle w:val="39"/>
        <w:spacing w:line="500" w:lineRule="exact"/>
        <w:ind w:firstLine="480"/>
        <w:rPr>
          <w:highlight w:val="none"/>
        </w:rPr>
      </w:pPr>
      <w:r>
        <w:rPr>
          <w:rFonts w:hint="eastAsia"/>
          <w:highlight w:val="none"/>
        </w:rPr>
        <w:t>（1） 甲方无正当理由拒收货物的，甲方应偿付合同总价百分之  的违约金；</w:t>
      </w:r>
    </w:p>
    <w:p>
      <w:pPr>
        <w:pStyle w:val="39"/>
        <w:spacing w:line="500" w:lineRule="exact"/>
        <w:ind w:firstLine="480"/>
        <w:rPr>
          <w:highlight w:val="none"/>
        </w:rPr>
      </w:pPr>
      <w:r>
        <w:rPr>
          <w:rFonts w:hint="eastAsia"/>
          <w:highlight w:val="none"/>
        </w:rPr>
        <w:t>（2） 甲方逾期支付货款的，除应及时付足货款外，应向乙方偿付欠款总额万分之/天的违约金；逾期付款超过天的，乙方有权终止合同；</w:t>
      </w:r>
    </w:p>
    <w:p>
      <w:pPr>
        <w:pStyle w:val="39"/>
        <w:spacing w:line="500" w:lineRule="exact"/>
        <w:ind w:firstLine="480"/>
        <w:rPr>
          <w:highlight w:val="none"/>
        </w:rPr>
      </w:pPr>
      <w:r>
        <w:rPr>
          <w:rFonts w:hint="eastAsia"/>
          <w:highlight w:val="none"/>
        </w:rPr>
        <w:t>（3） 甲方偿付的违约金不足以弥补乙方损失的，还应按乙方损失尚未弥补的部分，支付赔偿金给乙方。</w:t>
      </w:r>
    </w:p>
    <w:p>
      <w:pPr>
        <w:pStyle w:val="39"/>
        <w:spacing w:line="500" w:lineRule="exact"/>
        <w:ind w:firstLine="480"/>
        <w:rPr>
          <w:highlight w:val="none"/>
        </w:rPr>
      </w:pPr>
      <w:r>
        <w:rPr>
          <w:rFonts w:hint="eastAsia"/>
          <w:highlight w:val="none"/>
        </w:rPr>
        <w:t>2、乙方违约责任</w:t>
      </w:r>
    </w:p>
    <w:p>
      <w:pPr>
        <w:pStyle w:val="39"/>
        <w:spacing w:line="500" w:lineRule="exact"/>
        <w:ind w:firstLine="480"/>
        <w:rPr>
          <w:highlight w:val="none"/>
        </w:rPr>
      </w:pPr>
      <w:r>
        <w:rPr>
          <w:rFonts w:hint="eastAsia"/>
          <w:highlight w:val="none"/>
        </w:rPr>
        <w:t>（1）乙方交付的货物质量不符合合同规定的，乙方应向甲方支付合同总价的百分之的违约金，并须在合同规定的交货时间内更换合格的货物给甲方，否则，视作乙方不能交付货物而违约，按本条本款下述第“（2）”项规定由乙方偿付违约赔偿金给甲方。</w:t>
      </w:r>
    </w:p>
    <w:p>
      <w:pPr>
        <w:pStyle w:val="39"/>
        <w:spacing w:line="500" w:lineRule="exact"/>
        <w:ind w:firstLine="480"/>
        <w:rPr>
          <w:highlight w:val="none"/>
        </w:rPr>
      </w:pPr>
      <w:r>
        <w:rPr>
          <w:rFonts w:hint="eastAsia"/>
          <w:highlight w:val="none"/>
        </w:rPr>
        <w:t>（2）乙方不能交付货物或逾期交付货物而违约的，除应及时交足货物外，应向甲方偿付逾期交货部分货款总额的万分之/天的违约金；逾期交货超过</w:t>
      </w:r>
      <w:r>
        <w:rPr>
          <w:rFonts w:hint="eastAsia"/>
          <w:szCs w:val="21"/>
          <w:highlight w:val="none"/>
        </w:rPr>
        <w:t>XX</w:t>
      </w:r>
      <w:r>
        <w:rPr>
          <w:rFonts w:hint="eastAsia"/>
          <w:highlight w:val="none"/>
        </w:rPr>
        <w:t>天，甲方有权终止合同，乙方则应按合同总价的百分之的款额向甲方偿付赔偿金，并须全额退还甲方已经付给乙方的货款及其利息。</w:t>
      </w:r>
    </w:p>
    <w:p>
      <w:pPr>
        <w:pStyle w:val="39"/>
        <w:spacing w:line="500" w:lineRule="exact"/>
        <w:ind w:firstLine="480"/>
        <w:rPr>
          <w:highlight w:val="none"/>
        </w:rPr>
      </w:pPr>
      <w:r>
        <w:rPr>
          <w:rFonts w:hint="eastAsia"/>
          <w:highlight w:val="none"/>
        </w:rPr>
        <w:t>（3）乙方货物经甲方送交具有法定资格条件的质量技术监督机构检测后，如检测结果认定货物质量不符合本合同规定标准的，则视为乙方没有按时交货而违约，乙方须在天内无条件更换合格的货物，如逾期不能更换合格的货物，甲方有权终止本合同，乙方应另付合同总价的百分之的赔偿金给甲方。</w:t>
      </w:r>
    </w:p>
    <w:p>
      <w:pPr>
        <w:pStyle w:val="39"/>
        <w:spacing w:line="500" w:lineRule="exact"/>
        <w:ind w:firstLine="480"/>
        <w:rPr>
          <w:highlight w:val="none"/>
        </w:rPr>
      </w:pPr>
      <w:r>
        <w:rPr>
          <w:rFonts w:hint="eastAsia"/>
          <w:highlight w:val="none"/>
        </w:rPr>
        <w:t>（4）乙方保证本合同货物的权利无瑕疵，包括货物所有权及知识产权等权利无瑕疵。如任何第三方经法院（或仲裁机构）裁决有权对上述货物主张权利或国家机关依法对货物进行没收查处的，乙方除应向甲方返还已收款项外，还应另按合同总价的百分之向甲方支付违约金并赔偿因此给甲方造成的一切损失。</w:t>
      </w:r>
    </w:p>
    <w:p>
      <w:pPr>
        <w:pStyle w:val="39"/>
        <w:spacing w:line="500" w:lineRule="exact"/>
        <w:ind w:firstLine="480"/>
        <w:rPr>
          <w:highlight w:val="none"/>
        </w:rPr>
      </w:pPr>
      <w:r>
        <w:rPr>
          <w:rFonts w:hint="eastAsia"/>
          <w:highlight w:val="none"/>
        </w:rPr>
        <w:t>（5）乙方偿付的违约金不足以弥补甲方损失的，还应按甲方损失尚未弥补的部分，支付赔偿金给甲方。</w:t>
      </w:r>
    </w:p>
    <w:p>
      <w:pPr>
        <w:pStyle w:val="4"/>
        <w:spacing w:line="500" w:lineRule="exact"/>
        <w:ind w:firstLine="482" w:firstLineChars="200"/>
        <w:rPr>
          <w:rFonts w:ascii="黑体"/>
          <w:sz w:val="24"/>
          <w:szCs w:val="24"/>
          <w:highlight w:val="none"/>
        </w:rPr>
      </w:pPr>
      <w:bookmarkStart w:id="161" w:name="_Toc217446114"/>
      <w:r>
        <w:rPr>
          <w:rFonts w:hint="eastAsia" w:ascii="黑体"/>
          <w:sz w:val="24"/>
          <w:szCs w:val="24"/>
          <w:highlight w:val="none"/>
        </w:rPr>
        <w:t>八、争议解决办法</w:t>
      </w:r>
      <w:bookmarkEnd w:id="161"/>
    </w:p>
    <w:p>
      <w:pPr>
        <w:pStyle w:val="39"/>
        <w:spacing w:line="500" w:lineRule="exact"/>
        <w:ind w:firstLine="480"/>
        <w:rPr>
          <w:highlight w:val="none"/>
        </w:rPr>
      </w:pPr>
      <w:r>
        <w:rPr>
          <w:rFonts w:hint="eastAsia"/>
          <w:highlight w:val="none"/>
        </w:rPr>
        <w:t>1、因货物的质量问题发生争议，由质量技术监督部门或其指定的质量鉴定机构进行质量鉴定。货物符合标准的，鉴定费由甲方承担；货物不符合质量标准的，鉴定费由乙方承担。</w:t>
      </w:r>
    </w:p>
    <w:p>
      <w:pPr>
        <w:pStyle w:val="39"/>
        <w:spacing w:line="500" w:lineRule="exact"/>
        <w:ind w:firstLine="480"/>
        <w:rPr>
          <w:highlight w:val="none"/>
        </w:rPr>
      </w:pPr>
      <w:r>
        <w:rPr>
          <w:rFonts w:hint="eastAsia"/>
          <w:highlight w:val="none"/>
        </w:rPr>
        <w:t>2、合同履行期间,若双方发生争议，可协商或由有关部门调解解决，协商或调解不成的，由当事人依法维护其合法权益。</w:t>
      </w:r>
    </w:p>
    <w:p>
      <w:pPr>
        <w:pStyle w:val="4"/>
        <w:spacing w:line="500" w:lineRule="exact"/>
        <w:ind w:firstLine="482" w:firstLineChars="200"/>
        <w:rPr>
          <w:rFonts w:ascii="黑体"/>
          <w:sz w:val="24"/>
          <w:szCs w:val="24"/>
          <w:highlight w:val="none"/>
        </w:rPr>
      </w:pPr>
      <w:bookmarkStart w:id="162" w:name="_Toc217446115"/>
      <w:r>
        <w:rPr>
          <w:rFonts w:hint="eastAsia" w:ascii="黑体"/>
          <w:sz w:val="24"/>
          <w:szCs w:val="24"/>
          <w:highlight w:val="none"/>
        </w:rPr>
        <w:t>九、其他</w:t>
      </w:r>
      <w:bookmarkEnd w:id="162"/>
    </w:p>
    <w:p>
      <w:pPr>
        <w:pStyle w:val="39"/>
        <w:spacing w:line="500" w:lineRule="exact"/>
        <w:ind w:firstLine="480"/>
        <w:rPr>
          <w:highlight w:val="none"/>
        </w:rPr>
      </w:pPr>
      <w:r>
        <w:rPr>
          <w:rFonts w:hint="eastAsia"/>
          <w:highlight w:val="none"/>
        </w:rPr>
        <w:t>1、如有未尽事宜，由双方依法订立补充合同。</w:t>
      </w:r>
    </w:p>
    <w:p>
      <w:pPr>
        <w:pStyle w:val="39"/>
        <w:spacing w:line="500" w:lineRule="exact"/>
        <w:ind w:firstLine="480"/>
        <w:rPr>
          <w:highlight w:val="none"/>
        </w:rPr>
      </w:pPr>
      <w:r>
        <w:rPr>
          <w:rFonts w:hint="eastAsia"/>
          <w:highlight w:val="none"/>
        </w:rPr>
        <w:t>2、本合同一式六份，自双方签章之日起生效。甲方三份，乙方、政府采购管理部门、采购代理机构各一份。</w:t>
      </w:r>
    </w:p>
    <w:p>
      <w:pPr>
        <w:spacing w:line="500" w:lineRule="exact"/>
        <w:rPr>
          <w:sz w:val="24"/>
          <w:highlight w:val="none"/>
        </w:rPr>
      </w:pPr>
    </w:p>
    <w:p>
      <w:pPr>
        <w:spacing w:line="500" w:lineRule="exact"/>
        <w:ind w:firstLine="480" w:firstLineChars="200"/>
        <w:rPr>
          <w:sz w:val="24"/>
          <w:highlight w:val="none"/>
        </w:rPr>
      </w:pPr>
      <w:r>
        <w:rPr>
          <w:rFonts w:hint="eastAsia"/>
          <w:sz w:val="24"/>
          <w:highlight w:val="none"/>
        </w:rPr>
        <w:t xml:space="preserve">甲方：   （盖章）   </w:t>
      </w:r>
      <w:r>
        <w:rPr>
          <w:rFonts w:hint="eastAsia"/>
          <w:sz w:val="24"/>
          <w:highlight w:val="none"/>
        </w:rPr>
        <w:tab/>
      </w:r>
      <w:r>
        <w:rPr>
          <w:rFonts w:hint="eastAsia"/>
          <w:sz w:val="24"/>
          <w:highlight w:val="none"/>
        </w:rPr>
        <w:tab/>
      </w:r>
      <w:r>
        <w:rPr>
          <w:rFonts w:hint="eastAsia"/>
          <w:sz w:val="24"/>
          <w:highlight w:val="none"/>
        </w:rPr>
        <w:tab/>
      </w:r>
      <w:r>
        <w:rPr>
          <w:rFonts w:hint="eastAsia"/>
          <w:sz w:val="24"/>
          <w:highlight w:val="none"/>
        </w:rPr>
        <w:t xml:space="preserve">       乙方：   （盖章）</w:t>
      </w:r>
    </w:p>
    <w:p>
      <w:pPr>
        <w:spacing w:line="500" w:lineRule="exact"/>
        <w:ind w:firstLine="480" w:firstLineChars="200"/>
        <w:rPr>
          <w:sz w:val="24"/>
          <w:highlight w:val="none"/>
        </w:rPr>
      </w:pPr>
      <w:r>
        <w:rPr>
          <w:rFonts w:hint="eastAsia"/>
          <w:sz w:val="24"/>
          <w:highlight w:val="none"/>
        </w:rPr>
        <w:t>法定代表人（授权代表）：            法定代表人（授权代表）：</w:t>
      </w:r>
    </w:p>
    <w:p>
      <w:pPr>
        <w:spacing w:line="500" w:lineRule="exact"/>
        <w:ind w:firstLine="480" w:firstLineChars="200"/>
        <w:rPr>
          <w:sz w:val="24"/>
          <w:highlight w:val="none"/>
        </w:rPr>
      </w:pPr>
      <w:r>
        <w:rPr>
          <w:rFonts w:hint="eastAsia"/>
          <w:sz w:val="24"/>
          <w:highlight w:val="none"/>
        </w:rPr>
        <w:t>地    址：                         地    址：</w:t>
      </w:r>
    </w:p>
    <w:p>
      <w:pPr>
        <w:spacing w:line="500" w:lineRule="exact"/>
        <w:ind w:firstLine="480" w:firstLineChars="200"/>
        <w:rPr>
          <w:sz w:val="24"/>
          <w:highlight w:val="none"/>
        </w:rPr>
      </w:pPr>
      <w:r>
        <w:rPr>
          <w:rFonts w:hint="eastAsia"/>
          <w:sz w:val="24"/>
          <w:highlight w:val="none"/>
        </w:rPr>
        <w:t>开户银行：                         开户银行：</w:t>
      </w:r>
    </w:p>
    <w:p>
      <w:pPr>
        <w:spacing w:line="500" w:lineRule="exact"/>
        <w:ind w:firstLine="480" w:firstLineChars="200"/>
        <w:rPr>
          <w:sz w:val="24"/>
          <w:highlight w:val="none"/>
        </w:rPr>
      </w:pPr>
      <w:r>
        <w:rPr>
          <w:rFonts w:hint="eastAsia"/>
          <w:sz w:val="24"/>
          <w:highlight w:val="none"/>
        </w:rPr>
        <w:t>账号：                             账号：</w:t>
      </w:r>
    </w:p>
    <w:p>
      <w:pPr>
        <w:spacing w:line="500" w:lineRule="exact"/>
        <w:ind w:firstLine="480" w:firstLineChars="200"/>
        <w:rPr>
          <w:sz w:val="24"/>
          <w:highlight w:val="none"/>
        </w:rPr>
      </w:pPr>
      <w:r>
        <w:rPr>
          <w:rFonts w:hint="eastAsia"/>
          <w:sz w:val="24"/>
          <w:highlight w:val="none"/>
        </w:rPr>
        <w:t>电    话：                         电    话：</w:t>
      </w:r>
    </w:p>
    <w:p>
      <w:pPr>
        <w:spacing w:line="500" w:lineRule="exact"/>
        <w:ind w:firstLine="480" w:firstLineChars="200"/>
        <w:rPr>
          <w:sz w:val="24"/>
          <w:highlight w:val="none"/>
        </w:rPr>
      </w:pPr>
      <w:r>
        <w:rPr>
          <w:rFonts w:hint="eastAsia"/>
          <w:sz w:val="24"/>
          <w:highlight w:val="none"/>
        </w:rPr>
        <w:t>传    真：                         传    真：</w:t>
      </w:r>
    </w:p>
    <w:p>
      <w:pPr>
        <w:spacing w:line="500" w:lineRule="exact"/>
        <w:ind w:firstLine="560" w:firstLineChars="200"/>
        <w:rPr>
          <w:sz w:val="28"/>
          <w:szCs w:val="28"/>
          <w:highlight w:val="none"/>
        </w:rPr>
      </w:pPr>
      <w:r>
        <w:rPr>
          <w:rFonts w:hint="eastAsia"/>
          <w:sz w:val="28"/>
          <w:szCs w:val="28"/>
          <w:highlight w:val="none"/>
        </w:rPr>
        <w:t xml:space="preserve">签约日期：XX年XX月XX日 </w:t>
      </w:r>
      <w:r>
        <w:rPr>
          <w:rFonts w:hint="eastAsia"/>
          <w:sz w:val="28"/>
          <w:szCs w:val="28"/>
          <w:highlight w:val="none"/>
        </w:rPr>
        <w:tab/>
      </w:r>
      <w:r>
        <w:rPr>
          <w:rFonts w:hint="eastAsia"/>
          <w:sz w:val="28"/>
          <w:szCs w:val="28"/>
          <w:highlight w:val="none"/>
        </w:rPr>
        <w:tab/>
      </w:r>
      <w:r>
        <w:rPr>
          <w:rFonts w:hint="eastAsia"/>
          <w:sz w:val="28"/>
          <w:szCs w:val="28"/>
          <w:highlight w:val="none"/>
        </w:rPr>
        <w:t>签约日期：XX年XX月XX日</w:t>
      </w:r>
    </w:p>
    <w:p>
      <w:pPr>
        <w:pStyle w:val="2"/>
        <w:rPr>
          <w:rFonts w:hAnsi="宋体"/>
          <w:highlight w:val="none"/>
        </w:rPr>
      </w:pPr>
    </w:p>
    <w:p>
      <w:pPr>
        <w:pStyle w:val="2"/>
        <w:rPr>
          <w:rFonts w:hAnsi="宋体"/>
          <w:highlight w:val="none"/>
        </w:rPr>
      </w:pPr>
      <w:r>
        <w:rPr>
          <w:rFonts w:hint="eastAsia" w:hAnsi="宋体" w:cs="黑体"/>
          <w:b/>
          <w:sz w:val="28"/>
          <w:szCs w:val="28"/>
          <w:highlight w:val="none"/>
        </w:rPr>
        <w:t>注：本合同是招标人提供的基本格式，具体内容由采购人和中标人在遵守中华人民共和国相关法律法规、本招标文件具体要求及中标人招标承诺的原则上协商签订。</w:t>
      </w:r>
    </w:p>
    <w:p>
      <w:pPr>
        <w:rPr>
          <w:highlight w:val="none"/>
        </w:rPr>
      </w:pPr>
    </w:p>
    <w:p>
      <w:pPr>
        <w:rPr>
          <w:highlight w:val="none"/>
        </w:rPr>
        <w:sectPr>
          <w:headerReference r:id="rId10" w:type="first"/>
          <w:type w:val="nextColumn"/>
          <w:pgSz w:w="11907" w:h="16840"/>
          <w:pgMar w:top="1361" w:right="1361" w:bottom="1418" w:left="1474" w:header="851" w:footer="992" w:gutter="0"/>
          <w:cols w:space="720" w:num="1"/>
          <w:titlePg/>
          <w:docGrid w:linePitch="312" w:charSpace="0"/>
        </w:sectPr>
      </w:pPr>
    </w:p>
    <w:p>
      <w:pPr>
        <w:outlineLvl w:val="0"/>
        <w:rPr>
          <w:b/>
          <w:sz w:val="32"/>
          <w:szCs w:val="32"/>
          <w:highlight w:val="none"/>
        </w:rPr>
      </w:pPr>
      <w:bookmarkStart w:id="163" w:name="_Toc69980135"/>
      <w:r>
        <w:rPr>
          <w:rFonts w:hint="eastAsia"/>
          <w:b/>
          <w:sz w:val="32"/>
          <w:szCs w:val="32"/>
          <w:highlight w:val="none"/>
        </w:rPr>
        <w:t>附件一：报名登记表</w:t>
      </w:r>
      <w:bookmarkEnd w:id="163"/>
    </w:p>
    <w:p>
      <w:pPr>
        <w:jc w:val="center"/>
        <w:rPr>
          <w:b/>
          <w:sz w:val="32"/>
          <w:szCs w:val="32"/>
          <w:highlight w:val="none"/>
        </w:rPr>
      </w:pPr>
      <w:r>
        <w:rPr>
          <w:rFonts w:hint="eastAsia"/>
          <w:b/>
          <w:sz w:val="32"/>
          <w:szCs w:val="32"/>
          <w:highlight w:val="none"/>
        </w:rPr>
        <w:t>报名登记表</w:t>
      </w:r>
    </w:p>
    <w:p>
      <w:pPr>
        <w:ind w:firstLine="118" w:firstLineChars="49"/>
        <w:rPr>
          <w:rFonts w:hAnsi="宋体"/>
          <w:b/>
          <w:sz w:val="24"/>
          <w:highlight w:val="none"/>
        </w:rPr>
      </w:pPr>
    </w:p>
    <w:p>
      <w:pPr>
        <w:ind w:firstLine="118" w:firstLineChars="49"/>
        <w:rPr>
          <w:rFonts w:hAnsi="宋体" w:cs="宋体"/>
          <w:b/>
          <w:bCs/>
          <w:sz w:val="24"/>
          <w:szCs w:val="24"/>
          <w:highlight w:val="none"/>
        </w:rPr>
      </w:pPr>
      <w:r>
        <w:rPr>
          <w:rFonts w:hint="eastAsia" w:hAnsi="宋体"/>
          <w:b/>
          <w:sz w:val="24"/>
          <w:highlight w:val="none"/>
        </w:rPr>
        <w:t>项目名称：成都市殡仪馆殡仪服务成本（墓材）采购项目                            招标编号：scby-cd-zc-2021290</w:t>
      </w:r>
    </w:p>
    <w:p>
      <w:pPr>
        <w:spacing w:after="50" w:line="500" w:lineRule="exact"/>
        <w:rPr>
          <w:rFonts w:hAnsi="宋体" w:cs="宋体"/>
          <w:b/>
          <w:sz w:val="24"/>
          <w:highlight w:val="none"/>
        </w:rPr>
      </w:pPr>
      <w:r>
        <w:rPr>
          <w:rFonts w:hint="eastAsia" w:hAnsi="宋体"/>
          <w:b/>
          <w:sz w:val="24"/>
          <w:highlight w:val="none"/>
        </w:rPr>
        <w:t>开标时间：2021年</w:t>
      </w:r>
      <w:r>
        <w:rPr>
          <w:rFonts w:hint="eastAsia" w:hAnsi="宋体"/>
          <w:b/>
          <w:sz w:val="24"/>
          <w:highlight w:val="none"/>
          <w:lang w:val="en-US" w:eastAsia="zh-CN"/>
        </w:rPr>
        <w:t>8</w:t>
      </w:r>
      <w:r>
        <w:rPr>
          <w:rFonts w:hint="eastAsia" w:hAnsi="宋体"/>
          <w:b/>
          <w:sz w:val="24"/>
          <w:highlight w:val="none"/>
        </w:rPr>
        <w:t>月</w:t>
      </w:r>
      <w:r>
        <w:rPr>
          <w:rFonts w:hint="eastAsia" w:hAnsi="宋体"/>
          <w:b/>
          <w:sz w:val="24"/>
          <w:highlight w:val="none"/>
          <w:lang w:val="en-US" w:eastAsia="zh-CN"/>
        </w:rPr>
        <w:t>10</w:t>
      </w:r>
      <w:r>
        <w:rPr>
          <w:rFonts w:hint="eastAsia" w:hAnsi="宋体"/>
          <w:b/>
          <w:sz w:val="24"/>
          <w:highlight w:val="none"/>
        </w:rPr>
        <w:t>日</w:t>
      </w:r>
      <w:r>
        <w:rPr>
          <w:rFonts w:hint="eastAsia" w:hAnsi="宋体"/>
          <w:b/>
          <w:sz w:val="24"/>
          <w:highlight w:val="none"/>
          <w:lang w:val="en-US" w:eastAsia="zh-CN"/>
        </w:rPr>
        <w:t>1</w:t>
      </w:r>
      <w:r>
        <w:rPr>
          <w:rFonts w:hint="eastAsia" w:hAnsi="宋体"/>
          <w:b/>
          <w:sz w:val="24"/>
          <w:highlight w:val="none"/>
        </w:rPr>
        <w:t>0:</w:t>
      </w:r>
      <w:r>
        <w:rPr>
          <w:rFonts w:hint="eastAsia" w:hAnsi="宋体"/>
          <w:b/>
          <w:sz w:val="24"/>
          <w:highlight w:val="none"/>
          <w:lang w:val="en-US" w:eastAsia="zh-CN"/>
        </w:rPr>
        <w:t>3</w:t>
      </w:r>
      <w:r>
        <w:rPr>
          <w:rFonts w:hint="eastAsia" w:hAnsi="宋体"/>
          <w:b/>
          <w:sz w:val="24"/>
          <w:highlight w:val="none"/>
        </w:rPr>
        <w:t>0（北京时间）  开标地点：四川省成都市金牛区兴盛西路2号6栋B座13楼（郦湾国际酒店右侧）</w:t>
      </w:r>
    </w:p>
    <w:tbl>
      <w:tblPr>
        <w:tblStyle w:val="27"/>
        <w:tblW w:w="0" w:type="auto"/>
        <w:tblInd w:w="2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78"/>
        <w:gridCol w:w="1992"/>
        <w:gridCol w:w="2121"/>
        <w:gridCol w:w="865"/>
        <w:gridCol w:w="1262"/>
        <w:gridCol w:w="1633"/>
        <w:gridCol w:w="68"/>
        <w:gridCol w:w="2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3278" w:type="dxa"/>
            <w:vAlign w:val="center"/>
          </w:tcPr>
          <w:p>
            <w:pPr>
              <w:jc w:val="center"/>
              <w:rPr>
                <w:rFonts w:hAnsi="宋体"/>
                <w:b/>
                <w:sz w:val="24"/>
                <w:highlight w:val="none"/>
              </w:rPr>
            </w:pPr>
            <w:r>
              <w:rPr>
                <w:rFonts w:hint="eastAsia" w:hAnsi="宋体"/>
                <w:b/>
                <w:sz w:val="24"/>
                <w:highlight w:val="none"/>
              </w:rPr>
              <w:t>投标单位全称</w:t>
            </w:r>
          </w:p>
        </w:tc>
        <w:tc>
          <w:tcPr>
            <w:tcW w:w="4978" w:type="dxa"/>
            <w:gridSpan w:val="3"/>
            <w:vAlign w:val="center"/>
          </w:tcPr>
          <w:p>
            <w:pPr>
              <w:jc w:val="center"/>
              <w:rPr>
                <w:rFonts w:hAnsi="宋体"/>
                <w:b/>
                <w:sz w:val="24"/>
                <w:highlight w:val="none"/>
              </w:rPr>
            </w:pPr>
          </w:p>
        </w:tc>
        <w:tc>
          <w:tcPr>
            <w:tcW w:w="2895" w:type="dxa"/>
            <w:gridSpan w:val="2"/>
            <w:vAlign w:val="center"/>
          </w:tcPr>
          <w:p>
            <w:pPr>
              <w:jc w:val="center"/>
              <w:rPr>
                <w:rFonts w:hAnsi="宋体"/>
                <w:b/>
                <w:sz w:val="24"/>
                <w:highlight w:val="none"/>
              </w:rPr>
            </w:pPr>
            <w:r>
              <w:rPr>
                <w:rFonts w:hint="eastAsia" w:hAnsi="宋体"/>
                <w:b/>
                <w:sz w:val="24"/>
                <w:highlight w:val="none"/>
              </w:rPr>
              <w:t>联合体单位（若有）</w:t>
            </w:r>
          </w:p>
        </w:tc>
        <w:tc>
          <w:tcPr>
            <w:tcW w:w="2897" w:type="dxa"/>
            <w:gridSpan w:val="2"/>
            <w:vAlign w:val="center"/>
          </w:tcPr>
          <w:p>
            <w:pPr>
              <w:jc w:val="center"/>
              <w:rPr>
                <w:rFonts w:hAnsi="宋体"/>
                <w:b/>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3278" w:type="dxa"/>
            <w:vAlign w:val="center"/>
          </w:tcPr>
          <w:p>
            <w:pPr>
              <w:jc w:val="center"/>
              <w:rPr>
                <w:rFonts w:hAnsi="宋体"/>
                <w:b/>
                <w:sz w:val="24"/>
                <w:highlight w:val="none"/>
              </w:rPr>
            </w:pPr>
            <w:r>
              <w:rPr>
                <w:rFonts w:hint="eastAsia" w:hAnsi="宋体"/>
                <w:b/>
                <w:sz w:val="24"/>
                <w:highlight w:val="none"/>
              </w:rPr>
              <w:t>购买日期</w:t>
            </w:r>
          </w:p>
        </w:tc>
        <w:tc>
          <w:tcPr>
            <w:tcW w:w="4978" w:type="dxa"/>
            <w:gridSpan w:val="3"/>
            <w:vAlign w:val="center"/>
          </w:tcPr>
          <w:p>
            <w:pPr>
              <w:jc w:val="center"/>
              <w:rPr>
                <w:rFonts w:hAnsi="宋体"/>
                <w:b/>
                <w:sz w:val="24"/>
                <w:highlight w:val="none"/>
              </w:rPr>
            </w:pPr>
          </w:p>
        </w:tc>
        <w:tc>
          <w:tcPr>
            <w:tcW w:w="2895" w:type="dxa"/>
            <w:gridSpan w:val="2"/>
            <w:vAlign w:val="center"/>
          </w:tcPr>
          <w:p>
            <w:pPr>
              <w:jc w:val="center"/>
              <w:rPr>
                <w:rFonts w:hAnsi="宋体"/>
                <w:b/>
                <w:sz w:val="24"/>
                <w:highlight w:val="none"/>
              </w:rPr>
            </w:pPr>
            <w:r>
              <w:rPr>
                <w:rFonts w:hint="eastAsia" w:hAnsi="宋体"/>
                <w:b/>
                <w:sz w:val="24"/>
                <w:highlight w:val="none"/>
              </w:rPr>
              <w:t>购买包号（若有）</w:t>
            </w:r>
          </w:p>
        </w:tc>
        <w:tc>
          <w:tcPr>
            <w:tcW w:w="2897" w:type="dxa"/>
            <w:gridSpan w:val="2"/>
            <w:vAlign w:val="center"/>
          </w:tcPr>
          <w:p>
            <w:pPr>
              <w:jc w:val="center"/>
              <w:rPr>
                <w:rFonts w:hAnsi="宋体"/>
                <w:b/>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3278" w:type="dxa"/>
            <w:vMerge w:val="restart"/>
            <w:vAlign w:val="center"/>
          </w:tcPr>
          <w:p>
            <w:pPr>
              <w:jc w:val="center"/>
              <w:rPr>
                <w:rFonts w:hAnsi="宋体"/>
                <w:b/>
                <w:sz w:val="24"/>
                <w:highlight w:val="none"/>
              </w:rPr>
            </w:pPr>
            <w:r>
              <w:rPr>
                <w:rFonts w:hint="eastAsia" w:hAnsi="宋体"/>
                <w:b/>
                <w:sz w:val="24"/>
                <w:highlight w:val="none"/>
              </w:rPr>
              <w:t>购买单位代表</w:t>
            </w:r>
          </w:p>
          <w:p>
            <w:pPr>
              <w:jc w:val="center"/>
              <w:rPr>
                <w:rFonts w:hAnsi="宋体"/>
                <w:b/>
                <w:sz w:val="24"/>
                <w:highlight w:val="none"/>
              </w:rPr>
            </w:pPr>
            <w:r>
              <w:rPr>
                <w:rFonts w:hint="eastAsia" w:hAnsi="宋体"/>
                <w:b/>
                <w:sz w:val="24"/>
                <w:highlight w:val="none"/>
              </w:rPr>
              <w:t>姓    名</w:t>
            </w:r>
          </w:p>
        </w:tc>
        <w:tc>
          <w:tcPr>
            <w:tcW w:w="1992" w:type="dxa"/>
            <w:vMerge w:val="restart"/>
            <w:vAlign w:val="center"/>
          </w:tcPr>
          <w:p>
            <w:pPr>
              <w:jc w:val="center"/>
              <w:rPr>
                <w:rFonts w:hAnsi="宋体"/>
                <w:b/>
                <w:sz w:val="24"/>
                <w:highlight w:val="none"/>
              </w:rPr>
            </w:pPr>
            <w:r>
              <w:rPr>
                <w:rFonts w:hint="eastAsia" w:hAnsi="宋体"/>
                <w:b/>
                <w:sz w:val="24"/>
                <w:highlight w:val="none"/>
              </w:rPr>
              <w:t>职    务</w:t>
            </w:r>
          </w:p>
        </w:tc>
        <w:tc>
          <w:tcPr>
            <w:tcW w:w="8778" w:type="dxa"/>
            <w:gridSpan w:val="6"/>
            <w:vAlign w:val="center"/>
          </w:tcPr>
          <w:p>
            <w:pPr>
              <w:jc w:val="center"/>
              <w:rPr>
                <w:rFonts w:hAnsi="宋体"/>
                <w:b/>
                <w:sz w:val="24"/>
                <w:highlight w:val="none"/>
              </w:rPr>
            </w:pPr>
            <w:r>
              <w:rPr>
                <w:rFonts w:hint="eastAsia" w:hAnsi="宋体"/>
                <w:b/>
                <w:sz w:val="24"/>
                <w:highlight w:val="none"/>
              </w:rPr>
              <w:t>联系方式（必须如实填写）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3278" w:type="dxa"/>
            <w:vMerge w:val="continue"/>
            <w:vAlign w:val="center"/>
          </w:tcPr>
          <w:p>
            <w:pPr>
              <w:jc w:val="center"/>
              <w:rPr>
                <w:rFonts w:hAnsi="宋体"/>
                <w:b/>
                <w:sz w:val="24"/>
                <w:highlight w:val="none"/>
              </w:rPr>
            </w:pPr>
          </w:p>
        </w:tc>
        <w:tc>
          <w:tcPr>
            <w:tcW w:w="1992" w:type="dxa"/>
            <w:vMerge w:val="continue"/>
            <w:vAlign w:val="center"/>
          </w:tcPr>
          <w:p>
            <w:pPr>
              <w:jc w:val="center"/>
              <w:rPr>
                <w:rFonts w:hAnsi="宋体"/>
                <w:b/>
                <w:sz w:val="24"/>
                <w:highlight w:val="none"/>
              </w:rPr>
            </w:pPr>
          </w:p>
        </w:tc>
        <w:tc>
          <w:tcPr>
            <w:tcW w:w="2121" w:type="dxa"/>
            <w:vAlign w:val="center"/>
          </w:tcPr>
          <w:p>
            <w:pPr>
              <w:jc w:val="center"/>
              <w:rPr>
                <w:rFonts w:hAnsi="宋体"/>
                <w:b/>
                <w:sz w:val="24"/>
                <w:highlight w:val="none"/>
              </w:rPr>
            </w:pPr>
            <w:r>
              <w:rPr>
                <w:rFonts w:hint="eastAsia" w:hAnsi="宋体"/>
                <w:b/>
                <w:sz w:val="24"/>
                <w:highlight w:val="none"/>
              </w:rPr>
              <w:t>办公室电话号码</w:t>
            </w:r>
          </w:p>
        </w:tc>
        <w:tc>
          <w:tcPr>
            <w:tcW w:w="2127" w:type="dxa"/>
            <w:gridSpan w:val="2"/>
            <w:vAlign w:val="center"/>
          </w:tcPr>
          <w:p>
            <w:pPr>
              <w:jc w:val="center"/>
              <w:rPr>
                <w:rFonts w:hAnsi="宋体"/>
                <w:b/>
                <w:sz w:val="24"/>
                <w:highlight w:val="none"/>
              </w:rPr>
            </w:pPr>
            <w:r>
              <w:rPr>
                <w:rFonts w:hint="eastAsia" w:hAnsi="宋体"/>
                <w:b/>
                <w:sz w:val="24"/>
                <w:highlight w:val="none"/>
              </w:rPr>
              <w:t>手机号码</w:t>
            </w:r>
          </w:p>
        </w:tc>
        <w:tc>
          <w:tcPr>
            <w:tcW w:w="1633" w:type="dxa"/>
            <w:vAlign w:val="center"/>
          </w:tcPr>
          <w:p>
            <w:pPr>
              <w:jc w:val="center"/>
              <w:rPr>
                <w:rFonts w:hAnsi="宋体"/>
                <w:b/>
                <w:sz w:val="24"/>
                <w:highlight w:val="none"/>
              </w:rPr>
            </w:pPr>
            <w:r>
              <w:rPr>
                <w:rFonts w:hint="eastAsia" w:hAnsi="宋体"/>
                <w:b/>
                <w:sz w:val="24"/>
                <w:highlight w:val="none"/>
              </w:rPr>
              <w:t>传真号码</w:t>
            </w:r>
          </w:p>
        </w:tc>
        <w:tc>
          <w:tcPr>
            <w:tcW w:w="2897" w:type="dxa"/>
            <w:gridSpan w:val="2"/>
            <w:vAlign w:val="center"/>
          </w:tcPr>
          <w:p>
            <w:pPr>
              <w:jc w:val="center"/>
              <w:rPr>
                <w:rFonts w:hAnsi="宋体"/>
                <w:b/>
                <w:sz w:val="24"/>
                <w:highlight w:val="none"/>
              </w:rPr>
            </w:pPr>
            <w:r>
              <w:rPr>
                <w:rFonts w:hint="eastAsia" w:hAnsi="宋体"/>
                <w:b/>
                <w:sz w:val="24"/>
                <w:highlight w:val="none"/>
              </w:rPr>
              <w:t>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3278" w:type="dxa"/>
            <w:vAlign w:val="center"/>
          </w:tcPr>
          <w:p>
            <w:pPr>
              <w:jc w:val="center"/>
              <w:rPr>
                <w:rFonts w:hAnsi="宋体"/>
                <w:b/>
                <w:sz w:val="24"/>
                <w:highlight w:val="none"/>
              </w:rPr>
            </w:pPr>
          </w:p>
        </w:tc>
        <w:tc>
          <w:tcPr>
            <w:tcW w:w="1992" w:type="dxa"/>
            <w:vAlign w:val="center"/>
          </w:tcPr>
          <w:p>
            <w:pPr>
              <w:jc w:val="center"/>
              <w:rPr>
                <w:rFonts w:hAnsi="宋体"/>
                <w:b/>
                <w:sz w:val="24"/>
                <w:highlight w:val="none"/>
              </w:rPr>
            </w:pPr>
          </w:p>
        </w:tc>
        <w:tc>
          <w:tcPr>
            <w:tcW w:w="2121" w:type="dxa"/>
            <w:vAlign w:val="center"/>
          </w:tcPr>
          <w:p>
            <w:pPr>
              <w:jc w:val="center"/>
              <w:rPr>
                <w:rFonts w:hAnsi="宋体"/>
                <w:b/>
                <w:sz w:val="24"/>
                <w:highlight w:val="none"/>
              </w:rPr>
            </w:pPr>
          </w:p>
        </w:tc>
        <w:tc>
          <w:tcPr>
            <w:tcW w:w="2127" w:type="dxa"/>
            <w:gridSpan w:val="2"/>
            <w:vAlign w:val="center"/>
          </w:tcPr>
          <w:p>
            <w:pPr>
              <w:jc w:val="center"/>
              <w:rPr>
                <w:rFonts w:hAnsi="宋体"/>
                <w:b/>
                <w:sz w:val="24"/>
                <w:highlight w:val="none"/>
              </w:rPr>
            </w:pPr>
          </w:p>
        </w:tc>
        <w:tc>
          <w:tcPr>
            <w:tcW w:w="1633" w:type="dxa"/>
            <w:vAlign w:val="center"/>
          </w:tcPr>
          <w:p>
            <w:pPr>
              <w:jc w:val="center"/>
              <w:rPr>
                <w:rFonts w:hAnsi="宋体"/>
                <w:b/>
                <w:sz w:val="24"/>
                <w:highlight w:val="none"/>
              </w:rPr>
            </w:pPr>
          </w:p>
        </w:tc>
        <w:tc>
          <w:tcPr>
            <w:tcW w:w="2897" w:type="dxa"/>
            <w:gridSpan w:val="2"/>
            <w:vAlign w:val="center"/>
          </w:tcPr>
          <w:p>
            <w:pPr>
              <w:jc w:val="center"/>
              <w:rPr>
                <w:rFonts w:hAnsi="宋体"/>
                <w:b/>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3278" w:type="dxa"/>
            <w:vMerge w:val="restart"/>
            <w:vAlign w:val="center"/>
          </w:tcPr>
          <w:p>
            <w:pPr>
              <w:jc w:val="center"/>
              <w:rPr>
                <w:rFonts w:hAnsi="宋体"/>
                <w:b/>
                <w:sz w:val="24"/>
                <w:highlight w:val="none"/>
              </w:rPr>
            </w:pPr>
            <w:r>
              <w:rPr>
                <w:rFonts w:hint="eastAsia" w:hAnsi="宋体"/>
                <w:b/>
                <w:sz w:val="24"/>
                <w:highlight w:val="none"/>
              </w:rPr>
              <w:t>投标单位法人/负责人</w:t>
            </w:r>
          </w:p>
          <w:p>
            <w:pPr>
              <w:jc w:val="center"/>
              <w:rPr>
                <w:rFonts w:hAnsi="宋体"/>
                <w:b/>
                <w:sz w:val="24"/>
                <w:highlight w:val="none"/>
              </w:rPr>
            </w:pPr>
            <w:r>
              <w:rPr>
                <w:rFonts w:hint="eastAsia" w:hAnsi="宋体"/>
                <w:b/>
                <w:sz w:val="24"/>
                <w:highlight w:val="none"/>
              </w:rPr>
              <w:t>姓     名</w:t>
            </w:r>
          </w:p>
        </w:tc>
        <w:tc>
          <w:tcPr>
            <w:tcW w:w="1992" w:type="dxa"/>
            <w:vMerge w:val="restart"/>
            <w:vAlign w:val="center"/>
          </w:tcPr>
          <w:p>
            <w:pPr>
              <w:jc w:val="center"/>
              <w:rPr>
                <w:rFonts w:hAnsi="宋体"/>
                <w:b/>
                <w:sz w:val="24"/>
                <w:highlight w:val="none"/>
              </w:rPr>
            </w:pPr>
            <w:r>
              <w:rPr>
                <w:rFonts w:hint="eastAsia" w:hAnsi="宋体"/>
                <w:b/>
                <w:sz w:val="24"/>
                <w:highlight w:val="none"/>
              </w:rPr>
              <w:t>职    务</w:t>
            </w:r>
          </w:p>
        </w:tc>
        <w:tc>
          <w:tcPr>
            <w:tcW w:w="8778" w:type="dxa"/>
            <w:gridSpan w:val="6"/>
            <w:vAlign w:val="center"/>
          </w:tcPr>
          <w:p>
            <w:pPr>
              <w:jc w:val="center"/>
              <w:rPr>
                <w:rFonts w:hAnsi="宋体"/>
                <w:b/>
                <w:sz w:val="24"/>
                <w:highlight w:val="none"/>
              </w:rPr>
            </w:pPr>
            <w:r>
              <w:rPr>
                <w:rFonts w:hint="eastAsia" w:hAnsi="宋体"/>
                <w:b/>
                <w:sz w:val="24"/>
                <w:highlight w:val="none"/>
              </w:rPr>
              <w:t>联系方式（必须如实填写）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3278" w:type="dxa"/>
            <w:vMerge w:val="continue"/>
          </w:tcPr>
          <w:p>
            <w:pPr>
              <w:jc w:val="center"/>
              <w:rPr>
                <w:rFonts w:hAnsi="宋体"/>
                <w:b/>
                <w:sz w:val="24"/>
                <w:highlight w:val="none"/>
              </w:rPr>
            </w:pPr>
          </w:p>
        </w:tc>
        <w:tc>
          <w:tcPr>
            <w:tcW w:w="1992" w:type="dxa"/>
            <w:vMerge w:val="continue"/>
          </w:tcPr>
          <w:p>
            <w:pPr>
              <w:rPr>
                <w:rFonts w:hAnsi="宋体"/>
                <w:b/>
                <w:sz w:val="24"/>
                <w:highlight w:val="none"/>
              </w:rPr>
            </w:pPr>
          </w:p>
        </w:tc>
        <w:tc>
          <w:tcPr>
            <w:tcW w:w="2121" w:type="dxa"/>
            <w:vAlign w:val="center"/>
          </w:tcPr>
          <w:p>
            <w:pPr>
              <w:jc w:val="center"/>
              <w:rPr>
                <w:rFonts w:hAnsi="宋体"/>
                <w:b/>
                <w:sz w:val="24"/>
                <w:highlight w:val="none"/>
              </w:rPr>
            </w:pPr>
            <w:r>
              <w:rPr>
                <w:rFonts w:hint="eastAsia" w:hAnsi="宋体"/>
                <w:b/>
                <w:sz w:val="24"/>
                <w:highlight w:val="none"/>
              </w:rPr>
              <w:t>办公室电话号码</w:t>
            </w:r>
          </w:p>
        </w:tc>
        <w:tc>
          <w:tcPr>
            <w:tcW w:w="2127" w:type="dxa"/>
            <w:gridSpan w:val="2"/>
            <w:vAlign w:val="center"/>
          </w:tcPr>
          <w:p>
            <w:pPr>
              <w:jc w:val="center"/>
              <w:rPr>
                <w:rFonts w:hAnsi="宋体"/>
                <w:b/>
                <w:sz w:val="24"/>
                <w:highlight w:val="none"/>
              </w:rPr>
            </w:pPr>
            <w:r>
              <w:rPr>
                <w:rFonts w:hint="eastAsia" w:hAnsi="宋体"/>
                <w:b/>
                <w:sz w:val="24"/>
                <w:highlight w:val="none"/>
              </w:rPr>
              <w:t>手机号码</w:t>
            </w:r>
          </w:p>
        </w:tc>
        <w:tc>
          <w:tcPr>
            <w:tcW w:w="1701" w:type="dxa"/>
            <w:gridSpan w:val="2"/>
            <w:vAlign w:val="center"/>
          </w:tcPr>
          <w:p>
            <w:pPr>
              <w:jc w:val="center"/>
              <w:rPr>
                <w:rFonts w:hAnsi="宋体"/>
                <w:b/>
                <w:sz w:val="24"/>
                <w:highlight w:val="none"/>
              </w:rPr>
            </w:pPr>
            <w:r>
              <w:rPr>
                <w:rFonts w:hint="eastAsia" w:hAnsi="宋体"/>
                <w:b/>
                <w:sz w:val="24"/>
                <w:highlight w:val="none"/>
              </w:rPr>
              <w:t>传真号码</w:t>
            </w:r>
          </w:p>
        </w:tc>
        <w:tc>
          <w:tcPr>
            <w:tcW w:w="2829" w:type="dxa"/>
            <w:vAlign w:val="center"/>
          </w:tcPr>
          <w:p>
            <w:pPr>
              <w:jc w:val="center"/>
              <w:rPr>
                <w:rFonts w:hAnsi="宋体"/>
                <w:b/>
                <w:sz w:val="24"/>
                <w:highlight w:val="none"/>
              </w:rPr>
            </w:pPr>
            <w:r>
              <w:rPr>
                <w:rFonts w:hint="eastAsia" w:hAnsi="宋体"/>
                <w:b/>
                <w:sz w:val="24"/>
                <w:highlight w:val="none"/>
              </w:rPr>
              <w:t>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trPr>
        <w:tc>
          <w:tcPr>
            <w:tcW w:w="3278" w:type="dxa"/>
            <w:vAlign w:val="center"/>
          </w:tcPr>
          <w:p>
            <w:pPr>
              <w:jc w:val="center"/>
              <w:rPr>
                <w:rFonts w:hAnsi="宋体"/>
                <w:b/>
                <w:sz w:val="24"/>
                <w:highlight w:val="none"/>
              </w:rPr>
            </w:pPr>
          </w:p>
        </w:tc>
        <w:tc>
          <w:tcPr>
            <w:tcW w:w="1992" w:type="dxa"/>
            <w:vAlign w:val="center"/>
          </w:tcPr>
          <w:p>
            <w:pPr>
              <w:jc w:val="center"/>
              <w:rPr>
                <w:rFonts w:hAnsi="宋体"/>
                <w:b/>
                <w:sz w:val="24"/>
                <w:highlight w:val="none"/>
              </w:rPr>
            </w:pPr>
          </w:p>
        </w:tc>
        <w:tc>
          <w:tcPr>
            <w:tcW w:w="2121" w:type="dxa"/>
            <w:vAlign w:val="center"/>
          </w:tcPr>
          <w:p>
            <w:pPr>
              <w:jc w:val="center"/>
              <w:rPr>
                <w:rFonts w:hAnsi="宋体"/>
                <w:b/>
                <w:sz w:val="24"/>
                <w:highlight w:val="none"/>
              </w:rPr>
            </w:pPr>
          </w:p>
        </w:tc>
        <w:tc>
          <w:tcPr>
            <w:tcW w:w="2127" w:type="dxa"/>
            <w:gridSpan w:val="2"/>
            <w:vAlign w:val="center"/>
          </w:tcPr>
          <w:p>
            <w:pPr>
              <w:jc w:val="center"/>
              <w:rPr>
                <w:rFonts w:hAnsi="宋体"/>
                <w:b/>
                <w:sz w:val="24"/>
                <w:highlight w:val="none"/>
              </w:rPr>
            </w:pPr>
          </w:p>
        </w:tc>
        <w:tc>
          <w:tcPr>
            <w:tcW w:w="1701" w:type="dxa"/>
            <w:gridSpan w:val="2"/>
            <w:vAlign w:val="center"/>
          </w:tcPr>
          <w:p>
            <w:pPr>
              <w:jc w:val="center"/>
              <w:rPr>
                <w:rFonts w:hAnsi="宋体"/>
                <w:b/>
                <w:sz w:val="24"/>
                <w:highlight w:val="none"/>
              </w:rPr>
            </w:pPr>
          </w:p>
        </w:tc>
        <w:tc>
          <w:tcPr>
            <w:tcW w:w="2829" w:type="dxa"/>
            <w:vAlign w:val="center"/>
          </w:tcPr>
          <w:p>
            <w:pPr>
              <w:jc w:val="center"/>
              <w:rPr>
                <w:rFonts w:hAnsi="宋体"/>
                <w:b/>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4048" w:type="dxa"/>
            <w:gridSpan w:val="8"/>
          </w:tcPr>
          <w:p>
            <w:pPr>
              <w:rPr>
                <w:rFonts w:hAnsi="宋体"/>
                <w:b/>
                <w:sz w:val="24"/>
                <w:highlight w:val="none"/>
              </w:rPr>
            </w:pPr>
            <w:r>
              <w:rPr>
                <w:rFonts w:hint="eastAsia" w:hAnsi="宋体"/>
                <w:b/>
                <w:sz w:val="24"/>
                <w:highlight w:val="none"/>
              </w:rPr>
              <w:t>备注：</w:t>
            </w:r>
          </w:p>
        </w:tc>
      </w:tr>
    </w:tbl>
    <w:p>
      <w:pPr>
        <w:rPr>
          <w:sz w:val="24"/>
          <w:szCs w:val="24"/>
          <w:highlight w:val="none"/>
        </w:rPr>
      </w:pPr>
      <w:r>
        <w:rPr>
          <w:rFonts w:hint="eastAsia"/>
          <w:sz w:val="24"/>
          <w:szCs w:val="24"/>
          <w:highlight w:val="none"/>
        </w:rPr>
        <w:t xml:space="preserve"> 注：购买日期由采购代理机构填写。</w:t>
      </w:r>
    </w:p>
    <w:p>
      <w:pPr>
        <w:pStyle w:val="2"/>
        <w:rPr>
          <w:highlight w:val="none"/>
        </w:rPr>
        <w:sectPr>
          <w:footerReference r:id="rId11" w:type="default"/>
          <w:type w:val="nextColumn"/>
          <w:pgSz w:w="16840" w:h="11907" w:orient="landscape"/>
          <w:pgMar w:top="1361" w:right="1361" w:bottom="1418" w:left="1474" w:header="851" w:footer="992" w:gutter="0"/>
          <w:cols w:space="720" w:num="1"/>
          <w:titlePg/>
          <w:docGrid w:linePitch="312" w:charSpace="0"/>
        </w:sectPr>
      </w:pPr>
    </w:p>
    <w:p>
      <w:pPr>
        <w:rPr>
          <w:highlight w:val="none"/>
        </w:rPr>
      </w:pPr>
      <w:r>
        <w:rPr>
          <w:highlight w:val="none"/>
        </w:rPr>
        <w:drawing>
          <wp:inline distT="0" distB="0" distL="114300" distR="114300">
            <wp:extent cx="5941060" cy="8440420"/>
            <wp:effectExtent l="0" t="0" r="2540" b="17780"/>
            <wp:docPr id="8"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C:\Users\Administrator\AppData\Roaming\DingTalk\18198513_v2\ImageFiles\49\lALPDgQ9qzkb4y3NA4nNAn0_637_905.png"/>
                    <pic:cNvPicPr>
                      <a:picLocks noChangeAspect="1"/>
                    </pic:cNvPicPr>
                  </pic:nvPicPr>
                  <pic:blipFill>
                    <a:blip r:embed="rId71"/>
                    <a:stretch>
                      <a:fillRect/>
                    </a:stretch>
                  </pic:blipFill>
                  <pic:spPr>
                    <a:xfrm>
                      <a:off x="0" y="0"/>
                      <a:ext cx="5941060" cy="8440420"/>
                    </a:xfrm>
                    <a:prstGeom prst="rect">
                      <a:avLst/>
                    </a:prstGeom>
                    <a:noFill/>
                    <a:ln>
                      <a:noFill/>
                    </a:ln>
                  </pic:spPr>
                </pic:pic>
              </a:graphicData>
            </a:graphic>
          </wp:inline>
        </w:drawing>
      </w:r>
    </w:p>
    <w:p>
      <w:pPr>
        <w:widowControl/>
        <w:jc w:val="left"/>
        <w:rPr>
          <w:highlight w:val="none"/>
        </w:rPr>
      </w:pPr>
      <w:r>
        <w:rPr>
          <w:highlight w:val="none"/>
        </w:rPr>
        <w:br w:type="page"/>
      </w:r>
    </w:p>
    <w:p>
      <w:pPr>
        <w:rPr>
          <w:highlight w:val="none"/>
        </w:rPr>
      </w:pPr>
      <w:r>
        <w:rPr>
          <w:highlight w:val="none"/>
        </w:rPr>
        <w:drawing>
          <wp:inline distT="0" distB="0" distL="114300" distR="114300">
            <wp:extent cx="5941060" cy="8337550"/>
            <wp:effectExtent l="0" t="0" r="2540" b="6350"/>
            <wp:docPr id="9" name="图片 2"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C:\Users\Administrator\AppData\Roaming\DingTalk\18198513_v2\ImageFiles\8a\lALPDgQ9qzkdtwTNA4XNAoI_642_901.png"/>
                    <pic:cNvPicPr>
                      <a:picLocks noChangeAspect="1"/>
                    </pic:cNvPicPr>
                  </pic:nvPicPr>
                  <pic:blipFill>
                    <a:blip r:embed="rId72"/>
                    <a:stretch>
                      <a:fillRect/>
                    </a:stretch>
                  </pic:blipFill>
                  <pic:spPr>
                    <a:xfrm>
                      <a:off x="0" y="0"/>
                      <a:ext cx="5941060" cy="8337550"/>
                    </a:xfrm>
                    <a:prstGeom prst="rect">
                      <a:avLst/>
                    </a:prstGeom>
                    <a:noFill/>
                    <a:ln>
                      <a:noFill/>
                    </a:ln>
                  </pic:spPr>
                </pic:pic>
              </a:graphicData>
            </a:graphic>
          </wp:inline>
        </w:drawing>
      </w:r>
      <w:r>
        <w:rPr>
          <w:highlight w:val="none"/>
        </w:rPr>
        <w:br w:type="page"/>
      </w:r>
    </w:p>
    <w:p>
      <w:pPr>
        <w:rPr>
          <w:highlight w:val="none"/>
        </w:rPr>
      </w:pPr>
      <w:r>
        <w:rPr>
          <w:highlight w:val="none"/>
        </w:rPr>
        <w:drawing>
          <wp:inline distT="0" distB="0" distL="114300" distR="114300">
            <wp:extent cx="5941060" cy="8237220"/>
            <wp:effectExtent l="0" t="0" r="2540" b="11430"/>
            <wp:docPr id="10" name="图片 3"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C:\Users\Administrator\AppData\Roaming\DingTalk\18198513_v2\ImageFiles\36\lALPDgQ9qzkb_mjNA3bNAn8_639_886.png"/>
                    <pic:cNvPicPr>
                      <a:picLocks noChangeAspect="1"/>
                    </pic:cNvPicPr>
                  </pic:nvPicPr>
                  <pic:blipFill>
                    <a:blip r:embed="rId73"/>
                    <a:stretch>
                      <a:fillRect/>
                    </a:stretch>
                  </pic:blipFill>
                  <pic:spPr>
                    <a:xfrm>
                      <a:off x="0" y="0"/>
                      <a:ext cx="5941060" cy="8237220"/>
                    </a:xfrm>
                    <a:prstGeom prst="rect">
                      <a:avLst/>
                    </a:prstGeom>
                    <a:noFill/>
                    <a:ln>
                      <a:noFill/>
                    </a:ln>
                  </pic:spPr>
                </pic:pic>
              </a:graphicData>
            </a:graphic>
          </wp:inline>
        </w:drawing>
      </w:r>
      <w:r>
        <w:rPr>
          <w:highlight w:val="none"/>
        </w:rPr>
        <w:br w:type="page"/>
      </w:r>
    </w:p>
    <w:p>
      <w:pPr>
        <w:rPr>
          <w:highlight w:val="none"/>
        </w:rPr>
      </w:pPr>
      <w:r>
        <w:rPr>
          <w:highlight w:val="none"/>
        </w:rPr>
        <w:drawing>
          <wp:inline distT="0" distB="0" distL="114300" distR="114300">
            <wp:extent cx="5941060" cy="8303895"/>
            <wp:effectExtent l="0" t="0" r="2540" b="1905"/>
            <wp:docPr id="11" name="图片 4"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C:\Users\Administrator\AppData\Roaming\DingTalk\18198513_v2\ImageFiles\78\lALPDgQ9qzkb4yrNA3LNAnc_631_882.png"/>
                    <pic:cNvPicPr>
                      <a:picLocks noChangeAspect="1"/>
                    </pic:cNvPicPr>
                  </pic:nvPicPr>
                  <pic:blipFill>
                    <a:blip r:embed="rId74"/>
                    <a:stretch>
                      <a:fillRect/>
                    </a:stretch>
                  </pic:blipFill>
                  <pic:spPr>
                    <a:xfrm>
                      <a:off x="0" y="0"/>
                      <a:ext cx="5941060" cy="8303895"/>
                    </a:xfrm>
                    <a:prstGeom prst="rect">
                      <a:avLst/>
                    </a:prstGeom>
                    <a:noFill/>
                    <a:ln>
                      <a:noFill/>
                    </a:ln>
                  </pic:spPr>
                </pic:pic>
              </a:graphicData>
            </a:graphic>
          </wp:inline>
        </w:drawing>
      </w:r>
      <w:r>
        <w:rPr>
          <w:highlight w:val="none"/>
        </w:rPr>
        <w:br w:type="page"/>
      </w:r>
    </w:p>
    <w:p>
      <w:pPr>
        <w:rPr>
          <w:highlight w:val="none"/>
        </w:rPr>
      </w:pPr>
      <w:r>
        <w:rPr>
          <w:highlight w:val="none"/>
        </w:rPr>
        <w:drawing>
          <wp:inline distT="0" distB="0" distL="114300" distR="114300">
            <wp:extent cx="5941060" cy="8076565"/>
            <wp:effectExtent l="0" t="0" r="2540" b="635"/>
            <wp:docPr id="12" name="图片 5"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C:\Users\Administrator\AppData\Roaming\DingTalk\18198513_v2\ImageFiles\72\lALPDgQ9qzkdtwHNA2LNAn0_637_866.png"/>
                    <pic:cNvPicPr>
                      <a:picLocks noChangeAspect="1"/>
                    </pic:cNvPicPr>
                  </pic:nvPicPr>
                  <pic:blipFill>
                    <a:blip r:embed="rId75"/>
                    <a:stretch>
                      <a:fillRect/>
                    </a:stretch>
                  </pic:blipFill>
                  <pic:spPr>
                    <a:xfrm>
                      <a:off x="0" y="0"/>
                      <a:ext cx="5941060" cy="8076565"/>
                    </a:xfrm>
                    <a:prstGeom prst="rect">
                      <a:avLst/>
                    </a:prstGeom>
                    <a:noFill/>
                    <a:ln>
                      <a:noFill/>
                    </a:ln>
                  </pic:spPr>
                </pic:pic>
              </a:graphicData>
            </a:graphic>
          </wp:inline>
        </w:drawing>
      </w:r>
      <w:r>
        <w:rPr>
          <w:highlight w:val="none"/>
        </w:rPr>
        <w:br w:type="page"/>
      </w:r>
    </w:p>
    <w:p>
      <w:pPr>
        <w:rPr>
          <w:highlight w:val="none"/>
        </w:rPr>
      </w:pPr>
      <w:r>
        <w:rPr>
          <w:highlight w:val="none"/>
        </w:rPr>
        <w:drawing>
          <wp:inline distT="0" distB="0" distL="114300" distR="114300">
            <wp:extent cx="5941060" cy="8279765"/>
            <wp:effectExtent l="0" t="0" r="2540" b="6985"/>
            <wp:docPr id="13" name="图片 6"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descr="C:\Users\Administrator\AppData\Roaming\DingTalk\18198513_v2\ImageFiles\65\lALPDgQ9qzkb_mnNA3zNAoA_640_892.png"/>
                    <pic:cNvPicPr>
                      <a:picLocks noChangeAspect="1"/>
                    </pic:cNvPicPr>
                  </pic:nvPicPr>
                  <pic:blipFill>
                    <a:blip r:embed="rId76"/>
                    <a:stretch>
                      <a:fillRect/>
                    </a:stretch>
                  </pic:blipFill>
                  <pic:spPr>
                    <a:xfrm>
                      <a:off x="0" y="0"/>
                      <a:ext cx="5941060" cy="8279765"/>
                    </a:xfrm>
                    <a:prstGeom prst="rect">
                      <a:avLst/>
                    </a:prstGeom>
                    <a:noFill/>
                    <a:ln>
                      <a:noFill/>
                    </a:ln>
                  </pic:spPr>
                </pic:pic>
              </a:graphicData>
            </a:graphic>
          </wp:inline>
        </w:drawing>
      </w:r>
      <w:r>
        <w:rPr>
          <w:highlight w:val="none"/>
        </w:rPr>
        <w:br w:type="page"/>
      </w:r>
    </w:p>
    <w:p>
      <w:pPr>
        <w:rPr>
          <w:highlight w:val="none"/>
        </w:rPr>
      </w:pPr>
      <w:r>
        <w:rPr>
          <w:highlight w:val="none"/>
        </w:rPr>
        <w:drawing>
          <wp:inline distT="0" distB="0" distL="114300" distR="114300">
            <wp:extent cx="5941060" cy="8360410"/>
            <wp:effectExtent l="0" t="0" r="2540" b="2540"/>
            <wp:docPr id="14" name="图片 7"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descr="C:\Users\Administrator\AppData\Roaming\DingTalk\18198513_v2\ImageFiles\97\lALPDgQ9qzkb4yzNA3_NAnw_636_895.png"/>
                    <pic:cNvPicPr>
                      <a:picLocks noChangeAspect="1"/>
                    </pic:cNvPicPr>
                  </pic:nvPicPr>
                  <pic:blipFill>
                    <a:blip r:embed="rId77"/>
                    <a:stretch>
                      <a:fillRect/>
                    </a:stretch>
                  </pic:blipFill>
                  <pic:spPr>
                    <a:xfrm>
                      <a:off x="0" y="0"/>
                      <a:ext cx="5941060" cy="8360410"/>
                    </a:xfrm>
                    <a:prstGeom prst="rect">
                      <a:avLst/>
                    </a:prstGeom>
                    <a:noFill/>
                    <a:ln>
                      <a:noFill/>
                    </a:ln>
                  </pic:spPr>
                </pic:pic>
              </a:graphicData>
            </a:graphic>
          </wp:inline>
        </w:drawing>
      </w:r>
      <w:r>
        <w:rPr>
          <w:highlight w:val="none"/>
        </w:rPr>
        <w:br w:type="page"/>
      </w:r>
    </w:p>
    <w:p>
      <w:pPr>
        <w:rPr>
          <w:highlight w:val="none"/>
        </w:rPr>
      </w:pPr>
      <w:r>
        <w:rPr>
          <w:highlight w:val="none"/>
        </w:rPr>
        <w:drawing>
          <wp:inline distT="0" distB="0" distL="114300" distR="114300">
            <wp:extent cx="5941060" cy="8354695"/>
            <wp:effectExtent l="0" t="0" r="2540" b="8255"/>
            <wp:docPr id="15" name="图片 8"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C:\Users\Administrator\AppData\Roaming\DingTalk\18198513_v2\ImageFiles\e8\lALPDgQ9qzkdtwPNA3bNAnY_630_886.png"/>
                    <pic:cNvPicPr>
                      <a:picLocks noChangeAspect="1"/>
                    </pic:cNvPicPr>
                  </pic:nvPicPr>
                  <pic:blipFill>
                    <a:blip r:embed="rId78"/>
                    <a:stretch>
                      <a:fillRect/>
                    </a:stretch>
                  </pic:blipFill>
                  <pic:spPr>
                    <a:xfrm>
                      <a:off x="0" y="0"/>
                      <a:ext cx="5941060" cy="8354695"/>
                    </a:xfrm>
                    <a:prstGeom prst="rect">
                      <a:avLst/>
                    </a:prstGeom>
                    <a:noFill/>
                    <a:ln>
                      <a:noFill/>
                    </a:ln>
                  </pic:spPr>
                </pic:pic>
              </a:graphicData>
            </a:graphic>
          </wp:inline>
        </w:drawing>
      </w:r>
      <w:r>
        <w:rPr>
          <w:highlight w:val="none"/>
        </w:rPr>
        <w:br w:type="page"/>
      </w:r>
    </w:p>
    <w:p>
      <w:pPr>
        <w:rPr>
          <w:highlight w:val="none"/>
        </w:rPr>
      </w:pPr>
      <w:r>
        <w:rPr>
          <w:highlight w:val="none"/>
        </w:rPr>
        <w:drawing>
          <wp:inline distT="0" distB="0" distL="114300" distR="114300">
            <wp:extent cx="5941060" cy="8089265"/>
            <wp:effectExtent l="0" t="0" r="2540" b="6985"/>
            <wp:docPr id="16" name="图片 9"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descr="C:\Users\Administrator\AppData\Roaming\DingTalk\18198513_v2\ImageFiles\43\lALPDgQ9qzkb_mrNA2LNAnw_636_866.png"/>
                    <pic:cNvPicPr>
                      <a:picLocks noChangeAspect="1"/>
                    </pic:cNvPicPr>
                  </pic:nvPicPr>
                  <pic:blipFill>
                    <a:blip r:embed="rId79"/>
                    <a:stretch>
                      <a:fillRect/>
                    </a:stretch>
                  </pic:blipFill>
                  <pic:spPr>
                    <a:xfrm>
                      <a:off x="0" y="0"/>
                      <a:ext cx="5941060" cy="8089265"/>
                    </a:xfrm>
                    <a:prstGeom prst="rect">
                      <a:avLst/>
                    </a:prstGeom>
                    <a:noFill/>
                    <a:ln>
                      <a:noFill/>
                    </a:ln>
                  </pic:spPr>
                </pic:pic>
              </a:graphicData>
            </a:graphic>
          </wp:inline>
        </w:drawing>
      </w:r>
      <w:r>
        <w:rPr>
          <w:highlight w:val="none"/>
        </w:rPr>
        <w:br w:type="page"/>
      </w:r>
      <w:r>
        <w:rPr>
          <w:highlight w:val="none"/>
        </w:rPr>
        <w:drawing>
          <wp:inline distT="0" distB="0" distL="114300" distR="114300">
            <wp:extent cx="5941060" cy="8197850"/>
            <wp:effectExtent l="0" t="0" r="2540" b="12700"/>
            <wp:docPr id="17" name="图片 10"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descr="C:\Users\Administrator\AppData\Roaming\DingTalk\18198513_v2\ImageFiles\5e\lALPDgQ9qzkb4yvNA2TNAnU_629_868.png"/>
                    <pic:cNvPicPr>
                      <a:picLocks noChangeAspect="1"/>
                    </pic:cNvPicPr>
                  </pic:nvPicPr>
                  <pic:blipFill>
                    <a:blip r:embed="rId80"/>
                    <a:stretch>
                      <a:fillRect/>
                    </a:stretch>
                  </pic:blipFill>
                  <pic:spPr>
                    <a:xfrm>
                      <a:off x="0" y="0"/>
                      <a:ext cx="5941060" cy="8197850"/>
                    </a:xfrm>
                    <a:prstGeom prst="rect">
                      <a:avLst/>
                    </a:prstGeom>
                    <a:noFill/>
                    <a:ln>
                      <a:noFill/>
                    </a:ln>
                  </pic:spPr>
                </pic:pic>
              </a:graphicData>
            </a:graphic>
          </wp:inline>
        </w:drawing>
      </w:r>
      <w:r>
        <w:rPr>
          <w:highlight w:val="none"/>
        </w:rPr>
        <w:drawing>
          <wp:inline distT="0" distB="0" distL="114300" distR="114300">
            <wp:extent cx="5941060" cy="8289290"/>
            <wp:effectExtent l="0" t="0" r="2540" b="16510"/>
            <wp:docPr id="18" name="图片 11"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descr="C:\Users\Administrator\AppData\Roaming\DingTalk\18198513_v2\ImageFiles\bb\lALPDgQ9qzkdtwLNA33NAoA_640_893.png"/>
                    <pic:cNvPicPr>
                      <a:picLocks noChangeAspect="1"/>
                    </pic:cNvPicPr>
                  </pic:nvPicPr>
                  <pic:blipFill>
                    <a:blip r:embed="rId81"/>
                    <a:stretch>
                      <a:fillRect/>
                    </a:stretch>
                  </pic:blipFill>
                  <pic:spPr>
                    <a:xfrm>
                      <a:off x="0" y="0"/>
                      <a:ext cx="5941060" cy="8289290"/>
                    </a:xfrm>
                    <a:prstGeom prst="rect">
                      <a:avLst/>
                    </a:prstGeom>
                    <a:noFill/>
                    <a:ln>
                      <a:noFill/>
                    </a:ln>
                  </pic:spPr>
                </pic:pic>
              </a:graphicData>
            </a:graphic>
          </wp:inline>
        </w:drawing>
      </w:r>
    </w:p>
    <w:p>
      <w:pPr>
        <w:spacing w:line="400" w:lineRule="exact"/>
        <w:rPr>
          <w:rFonts w:hAnsi="宋体" w:cs="Tahoma"/>
          <w:b/>
          <w:sz w:val="30"/>
          <w:szCs w:val="30"/>
          <w:highlight w:val="none"/>
        </w:rPr>
      </w:pPr>
    </w:p>
    <w:p>
      <w:pPr>
        <w:rPr>
          <w:highlight w:val="none"/>
        </w:rPr>
      </w:pPr>
      <w:r>
        <w:rPr>
          <w:rFonts w:hint="eastAsia"/>
          <w:highlight w:val="none"/>
        </w:rPr>
        <w:drawing>
          <wp:inline distT="0" distB="0" distL="114300" distR="114300">
            <wp:extent cx="5971540" cy="7998460"/>
            <wp:effectExtent l="0" t="0" r="10160" b="254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82"/>
                    <a:stretch>
                      <a:fillRect/>
                    </a:stretch>
                  </pic:blipFill>
                  <pic:spPr>
                    <a:xfrm>
                      <a:off x="0" y="0"/>
                      <a:ext cx="5971540" cy="799846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910580" cy="8364220"/>
            <wp:effectExtent l="0" t="0" r="13970" b="1778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83"/>
                    <a:stretch>
                      <a:fillRect/>
                    </a:stretch>
                  </pic:blipFill>
                  <pic:spPr>
                    <a:xfrm>
                      <a:off x="0" y="0"/>
                      <a:ext cx="5910580" cy="836422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930900" cy="7664450"/>
            <wp:effectExtent l="0" t="0" r="12700" b="12700"/>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84"/>
                    <a:stretch>
                      <a:fillRect/>
                    </a:stretch>
                  </pic:blipFill>
                  <pic:spPr>
                    <a:xfrm>
                      <a:off x="0" y="0"/>
                      <a:ext cx="5930900" cy="766445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882640" cy="8324850"/>
            <wp:effectExtent l="0" t="0" r="3810" b="0"/>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85"/>
                    <a:stretch>
                      <a:fillRect/>
                    </a:stretch>
                  </pic:blipFill>
                  <pic:spPr>
                    <a:xfrm>
                      <a:off x="0" y="0"/>
                      <a:ext cx="5882640" cy="832485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860415" cy="7603490"/>
            <wp:effectExtent l="0" t="0" r="6985" b="16510"/>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86"/>
                    <a:stretch>
                      <a:fillRect/>
                    </a:stretch>
                  </pic:blipFill>
                  <pic:spPr>
                    <a:xfrm>
                      <a:off x="0" y="0"/>
                      <a:ext cx="5860415" cy="760349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875655" cy="8314690"/>
            <wp:effectExtent l="0" t="0" r="10795" b="10160"/>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87"/>
                    <a:stretch>
                      <a:fillRect/>
                    </a:stretch>
                  </pic:blipFill>
                  <pic:spPr>
                    <a:xfrm>
                      <a:off x="0" y="0"/>
                      <a:ext cx="5875655" cy="831469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970905" cy="8053705"/>
            <wp:effectExtent l="0" t="0" r="10795" b="4445"/>
            <wp:docPr id="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pic:cNvPicPr>
                      <a:picLocks noChangeAspect="1"/>
                    </pic:cNvPicPr>
                  </pic:nvPicPr>
                  <pic:blipFill>
                    <a:blip r:embed="rId88"/>
                    <a:stretch>
                      <a:fillRect/>
                    </a:stretch>
                  </pic:blipFill>
                  <pic:spPr>
                    <a:xfrm>
                      <a:off x="0" y="0"/>
                      <a:ext cx="5970905" cy="8053705"/>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920105" cy="8364220"/>
            <wp:effectExtent l="0" t="0" r="4445" b="1778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89"/>
                    <a:stretch>
                      <a:fillRect/>
                    </a:stretch>
                  </pic:blipFill>
                  <pic:spPr>
                    <a:xfrm>
                      <a:off x="0" y="0"/>
                      <a:ext cx="5920105" cy="836422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868035" cy="7672705"/>
            <wp:effectExtent l="0" t="0" r="18415" b="4445"/>
            <wp:docPr id="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0"/>
                    <pic:cNvPicPr>
                      <a:picLocks noChangeAspect="1"/>
                    </pic:cNvPicPr>
                  </pic:nvPicPr>
                  <pic:blipFill>
                    <a:blip r:embed="rId90"/>
                    <a:stretch>
                      <a:fillRect/>
                    </a:stretch>
                  </pic:blipFill>
                  <pic:spPr>
                    <a:xfrm>
                      <a:off x="0" y="0"/>
                      <a:ext cx="5868035" cy="7672705"/>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899785" cy="8348980"/>
            <wp:effectExtent l="0" t="0" r="5715" b="13970"/>
            <wp:docPr id="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pic:cNvPicPr>
                      <a:picLocks noChangeAspect="1"/>
                    </pic:cNvPicPr>
                  </pic:nvPicPr>
                  <pic:blipFill>
                    <a:blip r:embed="rId91"/>
                    <a:stretch>
                      <a:fillRect/>
                    </a:stretch>
                  </pic:blipFill>
                  <pic:spPr>
                    <a:xfrm>
                      <a:off x="0" y="0"/>
                      <a:ext cx="5899785" cy="834898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923280" cy="7786370"/>
            <wp:effectExtent l="0" t="0" r="1270" b="5080"/>
            <wp:docPr id="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2"/>
                    <pic:cNvPicPr>
                      <a:picLocks noChangeAspect="1"/>
                    </pic:cNvPicPr>
                  </pic:nvPicPr>
                  <pic:blipFill>
                    <a:blip r:embed="rId92"/>
                    <a:stretch>
                      <a:fillRect/>
                    </a:stretch>
                  </pic:blipFill>
                  <pic:spPr>
                    <a:xfrm>
                      <a:off x="0" y="0"/>
                      <a:ext cx="5923280" cy="778637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899785" cy="8335010"/>
            <wp:effectExtent l="0" t="0" r="5715" b="8890"/>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pic:cNvPicPr>
                  </pic:nvPicPr>
                  <pic:blipFill>
                    <a:blip r:embed="rId93"/>
                    <a:stretch>
                      <a:fillRect/>
                    </a:stretch>
                  </pic:blipFill>
                  <pic:spPr>
                    <a:xfrm>
                      <a:off x="0" y="0"/>
                      <a:ext cx="5899785" cy="8335010"/>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6011545" cy="7740015"/>
            <wp:effectExtent l="0" t="0" r="8255" b="13335"/>
            <wp:docPr id="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
                    <pic:cNvPicPr>
                      <a:picLocks noChangeAspect="1"/>
                    </pic:cNvPicPr>
                  </pic:nvPicPr>
                  <pic:blipFill>
                    <a:blip r:embed="rId94"/>
                    <a:stretch>
                      <a:fillRect/>
                    </a:stretch>
                  </pic:blipFill>
                  <pic:spPr>
                    <a:xfrm>
                      <a:off x="0" y="0"/>
                      <a:ext cx="6011545" cy="7740015"/>
                    </a:xfrm>
                    <a:prstGeom prst="rect">
                      <a:avLst/>
                    </a:prstGeom>
                    <a:noFill/>
                    <a:ln>
                      <a:noFill/>
                    </a:ln>
                  </pic:spPr>
                </pic:pic>
              </a:graphicData>
            </a:graphic>
          </wp:inline>
        </w:drawing>
      </w:r>
    </w:p>
    <w:p>
      <w:pPr>
        <w:rPr>
          <w:highlight w:val="none"/>
        </w:rPr>
      </w:pPr>
    </w:p>
    <w:p>
      <w:pPr>
        <w:rPr>
          <w:highlight w:val="none"/>
        </w:rPr>
      </w:pPr>
      <w:r>
        <w:rPr>
          <w:rFonts w:hint="eastAsia"/>
          <w:highlight w:val="none"/>
        </w:rPr>
        <w:drawing>
          <wp:inline distT="0" distB="0" distL="114300" distR="114300">
            <wp:extent cx="5899785" cy="8348980"/>
            <wp:effectExtent l="0" t="0" r="5715" b="13970"/>
            <wp:docPr id="3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5"/>
                    <pic:cNvPicPr>
                      <a:picLocks noChangeAspect="1"/>
                    </pic:cNvPicPr>
                  </pic:nvPicPr>
                  <pic:blipFill>
                    <a:blip r:embed="rId95"/>
                    <a:stretch>
                      <a:fillRect/>
                    </a:stretch>
                  </pic:blipFill>
                  <pic:spPr>
                    <a:xfrm>
                      <a:off x="0" y="0"/>
                      <a:ext cx="5899785" cy="8348980"/>
                    </a:xfrm>
                    <a:prstGeom prst="rect">
                      <a:avLst/>
                    </a:prstGeom>
                    <a:noFill/>
                    <a:ln>
                      <a:noFill/>
                    </a:ln>
                  </pic:spPr>
                </pic:pic>
              </a:graphicData>
            </a:graphic>
          </wp:inline>
        </w:drawing>
      </w:r>
    </w:p>
    <w:p>
      <w:pPr>
        <w:rPr>
          <w:highlight w:val="none"/>
        </w:rPr>
      </w:pPr>
    </w:p>
    <w:p>
      <w:pPr>
        <w:rPr>
          <w:highlight w:val="none"/>
        </w:rPr>
      </w:pPr>
    </w:p>
    <w:p>
      <w:pPr>
        <w:pStyle w:val="20"/>
        <w:rPr>
          <w:highlight w:val="none"/>
        </w:rPr>
      </w:pPr>
      <w:r>
        <w:rPr>
          <w:rFonts w:hint="eastAsia"/>
          <w:highlight w:val="none"/>
        </w:rPr>
        <w:drawing>
          <wp:inline distT="0" distB="0" distL="114300" distR="114300">
            <wp:extent cx="5970905" cy="7463790"/>
            <wp:effectExtent l="0" t="0" r="10795" b="3810"/>
            <wp:docPr id="3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6"/>
                    <pic:cNvPicPr>
                      <a:picLocks noChangeAspect="1"/>
                    </pic:cNvPicPr>
                  </pic:nvPicPr>
                  <pic:blipFill>
                    <a:blip r:embed="rId96"/>
                    <a:stretch>
                      <a:fillRect/>
                    </a:stretch>
                  </pic:blipFill>
                  <pic:spPr>
                    <a:xfrm>
                      <a:off x="0" y="0"/>
                      <a:ext cx="5970905" cy="7463790"/>
                    </a:xfrm>
                    <a:prstGeom prst="rect">
                      <a:avLst/>
                    </a:prstGeom>
                    <a:noFill/>
                    <a:ln>
                      <a:noFill/>
                    </a:ln>
                  </pic:spPr>
                </pic:pic>
              </a:graphicData>
            </a:graphic>
          </wp:inline>
        </w:drawing>
      </w:r>
    </w:p>
    <w:p>
      <w:pPr>
        <w:pStyle w:val="34"/>
        <w:rPr>
          <w:highlight w:val="none"/>
        </w:rPr>
      </w:pPr>
    </w:p>
    <w:bookmarkEnd w:id="135"/>
    <w:p>
      <w:pPr>
        <w:widowControl/>
        <w:spacing w:line="500" w:lineRule="exact"/>
        <w:jc w:val="center"/>
        <w:outlineLvl w:val="1"/>
        <w:rPr>
          <w:sz w:val="24"/>
          <w:szCs w:val="24"/>
          <w:highlight w:val="none"/>
        </w:rPr>
      </w:pPr>
    </w:p>
    <w:sectPr>
      <w:type w:val="nextColumn"/>
      <w:pgSz w:w="11907" w:h="16840"/>
      <w:pgMar w:top="1361" w:right="1361" w:bottom="1418" w:left="1474" w:header="851" w:footer="992" w:gutter="0"/>
      <w:cols w:space="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852507"/>
    </w:sdtPr>
    <w:sdtContent>
      <w:p>
        <w:pPr>
          <w:pStyle w:val="16"/>
          <w:jc w:val="center"/>
        </w:pPr>
      </w:p>
      <w:p>
        <w:pPr>
          <w:pStyle w:val="16"/>
          <w:jc w:val="center"/>
        </w:pPr>
        <w:r>
          <w:fldChar w:fldCharType="begin"/>
        </w:r>
        <w:r>
          <w:instrText xml:space="preserve"> PAGE   \* MERGEFORMAT </w:instrText>
        </w:r>
        <w:r>
          <w:fldChar w:fldCharType="separate"/>
        </w:r>
        <w:r>
          <w:rPr>
            <w:lang w:val="zh-CN"/>
          </w:rPr>
          <w:t>7</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rap="around" w:vAnchor="text" w:hAnchor="margin" w:xAlign="center" w:y="1"/>
      <w:rPr>
        <w:rStyle w:val="30"/>
      </w:rPr>
    </w:pPr>
    <w:r>
      <w:fldChar w:fldCharType="begin"/>
    </w:r>
    <w:r>
      <w:rPr>
        <w:rStyle w:val="30"/>
      </w:rPr>
      <w:instrText xml:space="preserve">PAGE  </w:instrText>
    </w:r>
    <w:r>
      <w:fldChar w:fldCharType="end"/>
    </w:r>
  </w:p>
  <w:p>
    <w:pPr>
      <w:pStyle w:val="1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852510"/>
    </w:sdtPr>
    <w:sdtContent>
      <w:p>
        <w:pPr>
          <w:pStyle w:val="16"/>
          <w:jc w:val="center"/>
        </w:pPr>
      </w:p>
      <w:p>
        <w:pPr>
          <w:pStyle w:val="16"/>
          <w:jc w:val="center"/>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pict>
        <v:shape id="文本框 68" o:spid="_x0000_s2052"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pOYoxAgAAZQ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7qTmKMQIAAGUEAAAOAAAAAAAAAAEAIAAAAB8BAABkcnMvZTJvRG9jLnhtbFBLBQYA&#10;AAAABgAGAFkBAADCBQAAAAA=&#10;">
          <v:path/>
          <v:fill on="f" focussize="0,0"/>
          <v:stroke on="f" weight="0.5pt" joinstyle="miter"/>
          <v:imagedata o:title=""/>
          <o:lock v:ext="edit"/>
          <v:textbox inset="0mm,0mm,0mm,0mm" style="mso-fit-shape-to-text:t;">
            <w:txbxContent>
              <w:p>
                <w:pPr>
                  <w:pStyle w:val="16"/>
                </w:pPr>
                <w:r>
                  <w:rPr>
                    <w:rFonts w:hint="eastAsia"/>
                  </w:rPr>
                  <w:fldChar w:fldCharType="begin"/>
                </w:r>
                <w:r>
                  <w:rPr>
                    <w:rFonts w:hint="eastAsia"/>
                  </w:rPr>
                  <w:instrText xml:space="preserve"> PAGE  \* MERGEFORMAT </w:instrText>
                </w:r>
                <w:r>
                  <w:rPr>
                    <w:rFonts w:hint="eastAsia"/>
                  </w:rPr>
                  <w:fldChar w:fldCharType="separate"/>
                </w:r>
                <w:r>
                  <w:t>39</w:t>
                </w:r>
                <w:r>
                  <w:rPr>
                    <w:rFonts w:hint="eastAsia"/>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pict>
        <v:shape id="_x0000_s2051" o:spid="_x0000_s2051"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NJWO7QAAAABQEAAA8AAAAAAAAA&#10;AQAgAAAAIgAAAGRycy9kb3ducmV2LnhtbFBLAQIUABQAAAAIAIdO4kArqOpyGQIAACEEAAAOAAAA&#10;AAAAAAEAIAAAAB8BAABkcnMvZTJvRG9jLnhtbFBLBQYAAAAABgAGAFkBAACqBQAAAAA=&#10;">
          <v:path/>
          <v:fill on="f" focussize="0,0"/>
          <v:stroke on="f" weight="0.5pt" joinstyle="miter"/>
          <v:imagedata o:title=""/>
          <o:lock v:ext="edit"/>
          <v:textbox inset="0mm,0mm,0mm,0mm" style="mso-fit-shape-to-text:t;">
            <w:txbxContent>
              <w:p>
                <w:pPr>
                  <w:pStyle w:val="16"/>
                </w:pPr>
                <w:r>
                  <w:fldChar w:fldCharType="begin"/>
                </w:r>
                <w:r>
                  <w:instrText xml:space="preserve"> PAGE  \* MERGEFORMAT </w:instrText>
                </w:r>
                <w:r>
                  <w:fldChar w:fldCharType="separate"/>
                </w:r>
                <w:r>
                  <w:t>154</w:t>
                </w:r>
                <w: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bottom w:val="single" w:color="auto" w:sz="4" w:space="1"/>
      </w:pBdr>
    </w:pPr>
    <w:r>
      <w:rPr>
        <w:sz w:val="21"/>
        <w:szCs w:val="21"/>
      </w:rPr>
      <w:drawing>
        <wp:anchor distT="0" distB="0" distL="114300" distR="114300" simplePos="0" relativeHeight="251660288" behindDoc="1" locked="0" layoutInCell="1" allowOverlap="1">
          <wp:simplePos x="0" y="0"/>
          <wp:positionH relativeFrom="column">
            <wp:posOffset>-394335</wp:posOffset>
          </wp:positionH>
          <wp:positionV relativeFrom="paragraph">
            <wp:posOffset>-46990</wp:posOffset>
          </wp:positionV>
          <wp:extent cx="389890" cy="397510"/>
          <wp:effectExtent l="0" t="0" r="6350" b="13970"/>
          <wp:wrapNone/>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 r:link="rId2"/>
                  <a:stretch>
                    <a:fillRect/>
                  </a:stretch>
                </pic:blipFill>
                <pic:spPr>
                  <a:xfrm>
                    <a:off x="0" y="0"/>
                    <a:ext cx="389890" cy="397510"/>
                  </a:xfrm>
                  <a:prstGeom prst="rect">
                    <a:avLst/>
                  </a:prstGeom>
                  <a:noFill/>
                  <a:ln w="9525">
                    <a:noFill/>
                  </a:ln>
                </pic:spPr>
              </pic:pic>
            </a:graphicData>
          </a:graphic>
        </wp:anchor>
      </w:drawing>
    </w:r>
    <w:r>
      <w:rPr>
        <w:rFonts w:hint="eastAsia"/>
        <w:b/>
        <w:sz w:val="21"/>
        <w:szCs w:val="21"/>
      </w:rPr>
      <w:t>四川标源招标代理有限公司                                            用心扬帆，启航标源</w:t>
    </w:r>
    <w:r>
      <w:rPr>
        <w:sz w:val="21"/>
        <w:szCs w:val="21"/>
      </w:rPr>
      <w:drawing>
        <wp:anchor distT="0" distB="0" distL="114300" distR="114300" simplePos="0" relativeHeight="251659264" behindDoc="1" locked="0" layoutInCell="1" allowOverlap="1">
          <wp:simplePos x="0" y="0"/>
          <wp:positionH relativeFrom="column">
            <wp:posOffset>-394335</wp:posOffset>
          </wp:positionH>
          <wp:positionV relativeFrom="paragraph">
            <wp:posOffset>-46990</wp:posOffset>
          </wp:positionV>
          <wp:extent cx="389890" cy="397510"/>
          <wp:effectExtent l="0" t="0" r="6350" b="13970"/>
          <wp:wrapNone/>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 r:link="rId2"/>
                  <a:stretch>
                    <a:fillRect/>
                  </a:stretch>
                </pic:blipFill>
                <pic:spPr>
                  <a:xfrm>
                    <a:off x="0" y="0"/>
                    <a:ext cx="389890" cy="397510"/>
                  </a:xfrm>
                  <a:prstGeom prst="rect">
                    <a:avLst/>
                  </a:prstGeom>
                  <a:noFill/>
                  <a:ln w="9525">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rFonts w:hint="eastAsia"/>
      </w:rPr>
      <w:t>四川省工商行政管理局数据中心建设项目政府采购—招标文件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1"/>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pBdr>
        <w:bottom w:val="single" w:color="auto" w:sz="4" w:space="1"/>
      </w:pBdr>
    </w:pPr>
    <w:r>
      <w:rPr>
        <w:sz w:val="21"/>
        <w:szCs w:val="21"/>
      </w:rPr>
      <w:drawing>
        <wp:anchor distT="0" distB="0" distL="114300" distR="114300" simplePos="0" relativeHeight="251662336" behindDoc="1" locked="0" layoutInCell="1" allowOverlap="1">
          <wp:simplePos x="0" y="0"/>
          <wp:positionH relativeFrom="column">
            <wp:posOffset>-394335</wp:posOffset>
          </wp:positionH>
          <wp:positionV relativeFrom="paragraph">
            <wp:posOffset>-46990</wp:posOffset>
          </wp:positionV>
          <wp:extent cx="389890" cy="397510"/>
          <wp:effectExtent l="0" t="0" r="6350" b="13970"/>
          <wp:wrapNone/>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 r:link="rId2"/>
                  <a:stretch>
                    <a:fillRect/>
                  </a:stretch>
                </pic:blipFill>
                <pic:spPr>
                  <a:xfrm>
                    <a:off x="0" y="0"/>
                    <a:ext cx="389890" cy="397510"/>
                  </a:xfrm>
                  <a:prstGeom prst="rect">
                    <a:avLst/>
                  </a:prstGeom>
                  <a:noFill/>
                  <a:ln w="9525">
                    <a:noFill/>
                  </a:ln>
                </pic:spPr>
              </pic:pic>
            </a:graphicData>
          </a:graphic>
        </wp:anchor>
      </w:drawing>
    </w:r>
    <w:r>
      <w:rPr>
        <w:rFonts w:hint="eastAsia"/>
        <w:b/>
        <w:sz w:val="21"/>
        <w:szCs w:val="21"/>
      </w:rPr>
      <w:t>四川标源招标代理有限公司                                            用心扬帆，启航标源</w:t>
    </w:r>
    <w:r>
      <w:rPr>
        <w:sz w:val="21"/>
        <w:szCs w:val="21"/>
      </w:rPr>
      <w:drawing>
        <wp:anchor distT="0" distB="0" distL="114300" distR="114300" simplePos="0" relativeHeight="251661312" behindDoc="1" locked="0" layoutInCell="1" allowOverlap="1">
          <wp:simplePos x="0" y="0"/>
          <wp:positionH relativeFrom="column">
            <wp:posOffset>-394335</wp:posOffset>
          </wp:positionH>
          <wp:positionV relativeFrom="paragraph">
            <wp:posOffset>-46990</wp:posOffset>
          </wp:positionV>
          <wp:extent cx="389890" cy="397510"/>
          <wp:effectExtent l="0" t="0" r="6350" b="13970"/>
          <wp:wrapNone/>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 r:link="rId2"/>
                  <a:stretch>
                    <a:fillRect/>
                  </a:stretch>
                </pic:blipFill>
                <pic:spPr>
                  <a:xfrm>
                    <a:off x="0" y="0"/>
                    <a:ext cx="389890" cy="397510"/>
                  </a:xfrm>
                  <a:prstGeom prst="rect">
                    <a:avLst/>
                  </a:prstGeom>
                  <a:noFill/>
                  <a:ln w="9525">
                    <a:noFill/>
                  </a:ln>
                </pic:spPr>
              </pic:pic>
            </a:graphicData>
          </a:graphic>
        </wp:anchor>
      </w:drawing>
    </w:r>
  </w:p>
  <w:p>
    <w:pPr>
      <w:pStyle w:val="17"/>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3D8C532"/>
    <w:multiLevelType w:val="singleLevel"/>
    <w:tmpl w:val="93D8C532"/>
    <w:lvl w:ilvl="0" w:tentative="0">
      <w:start w:val="1"/>
      <w:numFmt w:val="decimal"/>
      <w:suff w:val="nothing"/>
      <w:lvlText w:val="%1、"/>
      <w:lvlJc w:val="left"/>
    </w:lvl>
  </w:abstractNum>
  <w:abstractNum w:abstractNumId="1">
    <w:nsid w:val="08DFD9F3"/>
    <w:multiLevelType w:val="singleLevel"/>
    <w:tmpl w:val="08DFD9F3"/>
    <w:lvl w:ilvl="0" w:tentative="0">
      <w:start w:val="7"/>
      <w:numFmt w:val="decimal"/>
      <w:suff w:val="space"/>
      <w:lvlText w:val="%1、"/>
      <w:lvlJc w:val="left"/>
    </w:lvl>
  </w:abstractNum>
  <w:abstractNum w:abstractNumId="2">
    <w:nsid w:val="3EBB3C91"/>
    <w:multiLevelType w:val="multilevel"/>
    <w:tmpl w:val="3EBB3C91"/>
    <w:lvl w:ilvl="0" w:tentative="0">
      <w:start w:val="1"/>
      <w:numFmt w:val="chineseCountingThousand"/>
      <w:suff w:val="space"/>
      <w:lvlText w:val="%1. "/>
      <w:lvlJc w:val="left"/>
      <w:pPr>
        <w:ind w:left="907" w:hanging="907"/>
      </w:pPr>
      <w:rPr>
        <w:rFonts w:hint="eastAsia"/>
      </w:rPr>
    </w:lvl>
    <w:lvl w:ilvl="1" w:tentative="0">
      <w:start w:val="1"/>
      <w:numFmt w:val="decimal"/>
      <w:isLgl/>
      <w:suff w:val="space"/>
      <w:lvlText w:val="%1.%2 "/>
      <w:lvlJc w:val="left"/>
      <w:pPr>
        <w:ind w:left="794" w:hanging="794"/>
      </w:pPr>
    </w:lvl>
    <w:lvl w:ilvl="2" w:tentative="0">
      <w:start w:val="0"/>
      <w:numFmt w:val="none"/>
      <w:lvlText w:val=""/>
      <w:lvlJc w:val="left"/>
      <w:pPr>
        <w:tabs>
          <w:tab w:val="left" w:pos="360"/>
        </w:tabs>
      </w:pPr>
      <w:rPr>
        <w:rFonts w:cs="Times New Roman"/>
      </w:rPr>
    </w:lvl>
    <w:lvl w:ilvl="3" w:tentative="0">
      <w:start w:val="0"/>
      <w:numFmt w:val="none"/>
      <w:lvlText w:val=""/>
      <w:lvlJc w:val="left"/>
      <w:pPr>
        <w:tabs>
          <w:tab w:val="left" w:pos="360"/>
        </w:tabs>
      </w:pPr>
      <w:rPr>
        <w:rFonts w:cs="Times New Roman"/>
      </w:rPr>
    </w:lvl>
    <w:lvl w:ilvl="4" w:tentative="0">
      <w:start w:val="0"/>
      <w:numFmt w:val="decimal"/>
      <w:pStyle w:val="35"/>
      <w:lvlText w:val=""/>
      <w:lvlJc w:val="left"/>
      <w:rPr>
        <w:rFonts w:cs="Times New Roman"/>
      </w:rPr>
    </w:lvl>
    <w:lvl w:ilvl="5" w:tentative="0">
      <w:start w:val="0"/>
      <w:numFmt w:val="decimal"/>
      <w:lvlText w:val=""/>
      <w:lvlJc w:val="left"/>
      <w:rPr>
        <w:rFonts w:cs="Times New Roman"/>
      </w:rPr>
    </w:lvl>
    <w:lvl w:ilvl="6" w:tentative="0">
      <w:start w:val="0"/>
      <w:numFmt w:val="decimal"/>
      <w:lvlText w:val=""/>
      <w:lvlJc w:val="left"/>
      <w:rPr>
        <w:rFonts w:cs="Times New Roman"/>
      </w:rPr>
    </w:lvl>
    <w:lvl w:ilvl="7" w:tentative="0">
      <w:start w:val="0"/>
      <w:numFmt w:val="decimal"/>
      <w:lvlText w:val=""/>
      <w:lvlJc w:val="left"/>
      <w:rPr>
        <w:rFonts w:cs="Times New Roman"/>
      </w:rPr>
    </w:lvl>
    <w:lvl w:ilvl="8" w:tentative="0">
      <w:start w:val="0"/>
      <w:numFmt w:val="decimal"/>
      <w:lvlText w:val=""/>
      <w:lvlJc w:val="left"/>
      <w:rPr>
        <w:rFonts w:cs="Times New Roman"/>
      </w:rPr>
    </w:lvl>
  </w:abstractNum>
  <w:abstractNum w:abstractNumId="3">
    <w:nsid w:val="4E71DCF6"/>
    <w:multiLevelType w:val="singleLevel"/>
    <w:tmpl w:val="4E71DCF6"/>
    <w:lvl w:ilvl="0" w:tentative="0">
      <w:start w:val="4"/>
      <w:numFmt w:val="decimal"/>
      <w:suff w:val="nothing"/>
      <w:lvlText w:val="%1、"/>
      <w:lvlJc w:val="left"/>
    </w:lvl>
  </w:abstractNum>
  <w:abstractNum w:abstractNumId="4">
    <w:nsid w:val="58521FCF"/>
    <w:multiLevelType w:val="singleLevel"/>
    <w:tmpl w:val="58521FCF"/>
    <w:lvl w:ilvl="0" w:tentative="0">
      <w:start w:val="4"/>
      <w:numFmt w:val="chineseCounting"/>
      <w:suff w:val="space"/>
      <w:lvlText w:val="第%1章"/>
      <w:lvlJc w:val="left"/>
    </w:lvl>
  </w:abstractNum>
  <w:abstractNum w:abstractNumId="5">
    <w:nsid w:val="58AE4161"/>
    <w:multiLevelType w:val="singleLevel"/>
    <w:tmpl w:val="58AE4161"/>
    <w:lvl w:ilvl="0" w:tentative="0">
      <w:start w:val="12"/>
      <w:numFmt w:val="decimal"/>
      <w:suff w:val="space"/>
      <w:lvlText w:val="%1."/>
      <w:lvlJc w:val="left"/>
    </w:lvl>
  </w:abstractNum>
  <w:abstractNum w:abstractNumId="6">
    <w:nsid w:val="58AE7812"/>
    <w:multiLevelType w:val="singleLevel"/>
    <w:tmpl w:val="58AE7812"/>
    <w:lvl w:ilvl="0" w:tentative="0">
      <w:start w:val="2"/>
      <w:numFmt w:val="chineseCounting"/>
      <w:suff w:val="nothing"/>
      <w:lvlText w:val="（%1）"/>
      <w:lvlJc w:val="left"/>
    </w:lvl>
  </w:abstractNum>
  <w:abstractNum w:abstractNumId="7">
    <w:nsid w:val="58AE784B"/>
    <w:multiLevelType w:val="singleLevel"/>
    <w:tmpl w:val="58AE784B"/>
    <w:lvl w:ilvl="0" w:tentative="0">
      <w:start w:val="1"/>
      <w:numFmt w:val="decimal"/>
      <w:suff w:val="nothing"/>
      <w:lvlText w:val="%1、"/>
      <w:lvlJc w:val="left"/>
    </w:lvl>
  </w:abstractNum>
  <w:abstractNum w:abstractNumId="8">
    <w:nsid w:val="61C3D588"/>
    <w:multiLevelType w:val="singleLevel"/>
    <w:tmpl w:val="61C3D588"/>
    <w:lvl w:ilvl="0" w:tentative="0">
      <w:start w:val="2"/>
      <w:numFmt w:val="decimal"/>
      <w:suff w:val="nothing"/>
      <w:lvlText w:val="%1、"/>
      <w:lvlJc w:val="left"/>
    </w:lvl>
  </w:abstractNum>
  <w:num w:numId="1">
    <w:abstractNumId w:val="2"/>
  </w:num>
  <w:num w:numId="2">
    <w:abstractNumId w:val="5"/>
  </w:num>
  <w:num w:numId="3">
    <w:abstractNumId w:val="8"/>
  </w:num>
  <w:num w:numId="4">
    <w:abstractNumId w:val="4"/>
  </w:num>
  <w:num w:numId="5">
    <w:abstractNumId w:val="6"/>
  </w:num>
  <w:num w:numId="6">
    <w:abstractNumId w:val="7"/>
  </w:num>
  <w:num w:numId="7">
    <w:abstractNumId w:val="1"/>
  </w:num>
  <w:num w:numId="8">
    <w:abstractNumId w:val="3"/>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bordersDoNotSurroundHeader w:val="1"/>
  <w:bordersDoNotSurroundFooter w:val="1"/>
  <w:documentProtection w:enforcement="0"/>
  <w:defaultTabStop w:val="420"/>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678C60C5"/>
    <w:rsid w:val="00006017"/>
    <w:rsid w:val="00020FBB"/>
    <w:rsid w:val="00045259"/>
    <w:rsid w:val="0005042C"/>
    <w:rsid w:val="00065406"/>
    <w:rsid w:val="00095F01"/>
    <w:rsid w:val="000A2CAD"/>
    <w:rsid w:val="000A5F19"/>
    <w:rsid w:val="000A67BC"/>
    <w:rsid w:val="000B64A7"/>
    <w:rsid w:val="000E1A2F"/>
    <w:rsid w:val="000E7620"/>
    <w:rsid w:val="000F75C9"/>
    <w:rsid w:val="0010199D"/>
    <w:rsid w:val="00103B72"/>
    <w:rsid w:val="0011324C"/>
    <w:rsid w:val="001155AD"/>
    <w:rsid w:val="00126610"/>
    <w:rsid w:val="00137708"/>
    <w:rsid w:val="001509F7"/>
    <w:rsid w:val="001573D3"/>
    <w:rsid w:val="001B4580"/>
    <w:rsid w:val="001D6035"/>
    <w:rsid w:val="001E63A9"/>
    <w:rsid w:val="001F45BA"/>
    <w:rsid w:val="0021456D"/>
    <w:rsid w:val="00214CD0"/>
    <w:rsid w:val="00224527"/>
    <w:rsid w:val="00231458"/>
    <w:rsid w:val="0024011F"/>
    <w:rsid w:val="002501B8"/>
    <w:rsid w:val="0025665B"/>
    <w:rsid w:val="00274113"/>
    <w:rsid w:val="00277318"/>
    <w:rsid w:val="00282F09"/>
    <w:rsid w:val="002A478E"/>
    <w:rsid w:val="002D0CA7"/>
    <w:rsid w:val="002D6149"/>
    <w:rsid w:val="002F54EB"/>
    <w:rsid w:val="00301F59"/>
    <w:rsid w:val="003021E0"/>
    <w:rsid w:val="0030300C"/>
    <w:rsid w:val="00331963"/>
    <w:rsid w:val="003539B3"/>
    <w:rsid w:val="00354312"/>
    <w:rsid w:val="00373F9B"/>
    <w:rsid w:val="0038272A"/>
    <w:rsid w:val="00390525"/>
    <w:rsid w:val="003907F3"/>
    <w:rsid w:val="003A0810"/>
    <w:rsid w:val="003B37CC"/>
    <w:rsid w:val="003D6896"/>
    <w:rsid w:val="003E18B5"/>
    <w:rsid w:val="004022F4"/>
    <w:rsid w:val="004273E9"/>
    <w:rsid w:val="004333DF"/>
    <w:rsid w:val="00440362"/>
    <w:rsid w:val="00440EAA"/>
    <w:rsid w:val="004433F4"/>
    <w:rsid w:val="0044434C"/>
    <w:rsid w:val="00470D9E"/>
    <w:rsid w:val="00483AC8"/>
    <w:rsid w:val="00493E92"/>
    <w:rsid w:val="00496591"/>
    <w:rsid w:val="004A364C"/>
    <w:rsid w:val="004B0D9E"/>
    <w:rsid w:val="004E4F56"/>
    <w:rsid w:val="004E506D"/>
    <w:rsid w:val="004E57C0"/>
    <w:rsid w:val="004E5A6B"/>
    <w:rsid w:val="004E6117"/>
    <w:rsid w:val="005033A2"/>
    <w:rsid w:val="00507F4C"/>
    <w:rsid w:val="00527221"/>
    <w:rsid w:val="00530456"/>
    <w:rsid w:val="005326B7"/>
    <w:rsid w:val="005406DB"/>
    <w:rsid w:val="005746F6"/>
    <w:rsid w:val="00585CA3"/>
    <w:rsid w:val="0059181D"/>
    <w:rsid w:val="005A2A90"/>
    <w:rsid w:val="005A613C"/>
    <w:rsid w:val="005B0CE0"/>
    <w:rsid w:val="005C7415"/>
    <w:rsid w:val="005D2D15"/>
    <w:rsid w:val="005E7457"/>
    <w:rsid w:val="00602292"/>
    <w:rsid w:val="00603F9D"/>
    <w:rsid w:val="00610487"/>
    <w:rsid w:val="00611BD0"/>
    <w:rsid w:val="00621ACD"/>
    <w:rsid w:val="00633F07"/>
    <w:rsid w:val="0063417F"/>
    <w:rsid w:val="00634821"/>
    <w:rsid w:val="00642B62"/>
    <w:rsid w:val="0065314C"/>
    <w:rsid w:val="006562DE"/>
    <w:rsid w:val="00676E50"/>
    <w:rsid w:val="00685EA8"/>
    <w:rsid w:val="00691366"/>
    <w:rsid w:val="006965A2"/>
    <w:rsid w:val="006B4CB9"/>
    <w:rsid w:val="006C2206"/>
    <w:rsid w:val="006C45D0"/>
    <w:rsid w:val="006D5FB0"/>
    <w:rsid w:val="006D6CE6"/>
    <w:rsid w:val="006E7ED6"/>
    <w:rsid w:val="0070050E"/>
    <w:rsid w:val="00703C5B"/>
    <w:rsid w:val="007078FF"/>
    <w:rsid w:val="00715446"/>
    <w:rsid w:val="00717CA6"/>
    <w:rsid w:val="0072029B"/>
    <w:rsid w:val="0074654B"/>
    <w:rsid w:val="00760D0B"/>
    <w:rsid w:val="0077364E"/>
    <w:rsid w:val="0078427E"/>
    <w:rsid w:val="007A11D5"/>
    <w:rsid w:val="007A5B65"/>
    <w:rsid w:val="007A74F4"/>
    <w:rsid w:val="007B14E5"/>
    <w:rsid w:val="007B25F4"/>
    <w:rsid w:val="007C53DF"/>
    <w:rsid w:val="007D5335"/>
    <w:rsid w:val="007E2975"/>
    <w:rsid w:val="007E745C"/>
    <w:rsid w:val="0081256B"/>
    <w:rsid w:val="00837FF9"/>
    <w:rsid w:val="00856F79"/>
    <w:rsid w:val="00862CA6"/>
    <w:rsid w:val="0088319E"/>
    <w:rsid w:val="008A6567"/>
    <w:rsid w:val="008B2ECC"/>
    <w:rsid w:val="008E0842"/>
    <w:rsid w:val="008E58C2"/>
    <w:rsid w:val="009106EE"/>
    <w:rsid w:val="00912787"/>
    <w:rsid w:val="00916179"/>
    <w:rsid w:val="00931726"/>
    <w:rsid w:val="00934A5E"/>
    <w:rsid w:val="0093599E"/>
    <w:rsid w:val="00943160"/>
    <w:rsid w:val="00945777"/>
    <w:rsid w:val="009545B2"/>
    <w:rsid w:val="00964179"/>
    <w:rsid w:val="009668A0"/>
    <w:rsid w:val="00973A99"/>
    <w:rsid w:val="009755FD"/>
    <w:rsid w:val="009825D1"/>
    <w:rsid w:val="00983893"/>
    <w:rsid w:val="009847FE"/>
    <w:rsid w:val="009862A2"/>
    <w:rsid w:val="009C7948"/>
    <w:rsid w:val="009F16BE"/>
    <w:rsid w:val="00A05FD6"/>
    <w:rsid w:val="00A14A2C"/>
    <w:rsid w:val="00A168D7"/>
    <w:rsid w:val="00A16AF7"/>
    <w:rsid w:val="00A271AC"/>
    <w:rsid w:val="00A41118"/>
    <w:rsid w:val="00A47FE8"/>
    <w:rsid w:val="00A50AE0"/>
    <w:rsid w:val="00A70360"/>
    <w:rsid w:val="00A731E0"/>
    <w:rsid w:val="00A75FC3"/>
    <w:rsid w:val="00A80ADF"/>
    <w:rsid w:val="00A80EA8"/>
    <w:rsid w:val="00AA00E3"/>
    <w:rsid w:val="00AE1EFB"/>
    <w:rsid w:val="00B0738A"/>
    <w:rsid w:val="00B12E4D"/>
    <w:rsid w:val="00B24464"/>
    <w:rsid w:val="00B2749D"/>
    <w:rsid w:val="00B325E2"/>
    <w:rsid w:val="00B40666"/>
    <w:rsid w:val="00B5349F"/>
    <w:rsid w:val="00B752DA"/>
    <w:rsid w:val="00B7618C"/>
    <w:rsid w:val="00B85FEF"/>
    <w:rsid w:val="00B86DAB"/>
    <w:rsid w:val="00B90A20"/>
    <w:rsid w:val="00B91AEB"/>
    <w:rsid w:val="00BC48D9"/>
    <w:rsid w:val="00BC54F0"/>
    <w:rsid w:val="00BF53CD"/>
    <w:rsid w:val="00C0290B"/>
    <w:rsid w:val="00C12453"/>
    <w:rsid w:val="00C12FE9"/>
    <w:rsid w:val="00C16811"/>
    <w:rsid w:val="00C35D25"/>
    <w:rsid w:val="00C40A5F"/>
    <w:rsid w:val="00C715EC"/>
    <w:rsid w:val="00C92017"/>
    <w:rsid w:val="00C948FE"/>
    <w:rsid w:val="00CA4AD8"/>
    <w:rsid w:val="00CB50D4"/>
    <w:rsid w:val="00CC2CF1"/>
    <w:rsid w:val="00CC3E88"/>
    <w:rsid w:val="00CD0766"/>
    <w:rsid w:val="00CE0685"/>
    <w:rsid w:val="00CE7C12"/>
    <w:rsid w:val="00CF6F42"/>
    <w:rsid w:val="00D23955"/>
    <w:rsid w:val="00D37544"/>
    <w:rsid w:val="00D5430E"/>
    <w:rsid w:val="00D634C4"/>
    <w:rsid w:val="00D743F6"/>
    <w:rsid w:val="00D75926"/>
    <w:rsid w:val="00D87E78"/>
    <w:rsid w:val="00D950F9"/>
    <w:rsid w:val="00DA6592"/>
    <w:rsid w:val="00DA7B00"/>
    <w:rsid w:val="00DB6758"/>
    <w:rsid w:val="00DE051C"/>
    <w:rsid w:val="00DF1E3F"/>
    <w:rsid w:val="00E029C7"/>
    <w:rsid w:val="00E0346E"/>
    <w:rsid w:val="00E05EF6"/>
    <w:rsid w:val="00E1510D"/>
    <w:rsid w:val="00E26016"/>
    <w:rsid w:val="00E455E5"/>
    <w:rsid w:val="00E54012"/>
    <w:rsid w:val="00E62E1D"/>
    <w:rsid w:val="00E657DC"/>
    <w:rsid w:val="00E9018E"/>
    <w:rsid w:val="00EA2423"/>
    <w:rsid w:val="00EA2D03"/>
    <w:rsid w:val="00EB114D"/>
    <w:rsid w:val="00EB3A03"/>
    <w:rsid w:val="00EB755A"/>
    <w:rsid w:val="00EC0B4A"/>
    <w:rsid w:val="00EC39DD"/>
    <w:rsid w:val="00ED3908"/>
    <w:rsid w:val="00ED4F03"/>
    <w:rsid w:val="00EF0C5E"/>
    <w:rsid w:val="00EF59D9"/>
    <w:rsid w:val="00EF6B86"/>
    <w:rsid w:val="00EF6D15"/>
    <w:rsid w:val="00F05406"/>
    <w:rsid w:val="00F66342"/>
    <w:rsid w:val="00F66A6F"/>
    <w:rsid w:val="00F75059"/>
    <w:rsid w:val="00F95528"/>
    <w:rsid w:val="00F97836"/>
    <w:rsid w:val="00FB1C2B"/>
    <w:rsid w:val="00FC0CF2"/>
    <w:rsid w:val="00FD3432"/>
    <w:rsid w:val="00FE0D40"/>
    <w:rsid w:val="00FE748E"/>
    <w:rsid w:val="00FF1872"/>
    <w:rsid w:val="01083C47"/>
    <w:rsid w:val="01B13C22"/>
    <w:rsid w:val="01EC5064"/>
    <w:rsid w:val="02481E22"/>
    <w:rsid w:val="026C6C99"/>
    <w:rsid w:val="032F2C92"/>
    <w:rsid w:val="04593FB8"/>
    <w:rsid w:val="047D740D"/>
    <w:rsid w:val="047F4C17"/>
    <w:rsid w:val="04970A63"/>
    <w:rsid w:val="05757AB9"/>
    <w:rsid w:val="058A0B5E"/>
    <w:rsid w:val="05963025"/>
    <w:rsid w:val="05D40171"/>
    <w:rsid w:val="06063AF2"/>
    <w:rsid w:val="064C217D"/>
    <w:rsid w:val="06B35D4F"/>
    <w:rsid w:val="07E64331"/>
    <w:rsid w:val="08265FE3"/>
    <w:rsid w:val="082B796D"/>
    <w:rsid w:val="08636EFA"/>
    <w:rsid w:val="08676D00"/>
    <w:rsid w:val="0880085F"/>
    <w:rsid w:val="08A0275E"/>
    <w:rsid w:val="08A4513B"/>
    <w:rsid w:val="09293967"/>
    <w:rsid w:val="093B3287"/>
    <w:rsid w:val="093B58B2"/>
    <w:rsid w:val="094C50B3"/>
    <w:rsid w:val="09971D5B"/>
    <w:rsid w:val="09994B85"/>
    <w:rsid w:val="09B071D5"/>
    <w:rsid w:val="09D00538"/>
    <w:rsid w:val="09F42B41"/>
    <w:rsid w:val="09FC5511"/>
    <w:rsid w:val="0A3E187C"/>
    <w:rsid w:val="0A5F2B55"/>
    <w:rsid w:val="0A872D72"/>
    <w:rsid w:val="0AA22CD7"/>
    <w:rsid w:val="0AB159FA"/>
    <w:rsid w:val="0BE55931"/>
    <w:rsid w:val="0C6913A0"/>
    <w:rsid w:val="0CFA2BE3"/>
    <w:rsid w:val="0D0E3931"/>
    <w:rsid w:val="0D676B90"/>
    <w:rsid w:val="0D757F62"/>
    <w:rsid w:val="0DB25A06"/>
    <w:rsid w:val="0DF111CF"/>
    <w:rsid w:val="0DF87735"/>
    <w:rsid w:val="0E5E2292"/>
    <w:rsid w:val="0E776F2B"/>
    <w:rsid w:val="0ECB797C"/>
    <w:rsid w:val="0ED4507F"/>
    <w:rsid w:val="0EEF5476"/>
    <w:rsid w:val="0EF85B6D"/>
    <w:rsid w:val="0F63253E"/>
    <w:rsid w:val="0F6C08B9"/>
    <w:rsid w:val="0F6F4BE6"/>
    <w:rsid w:val="0FAB7E59"/>
    <w:rsid w:val="0FB45228"/>
    <w:rsid w:val="1005771C"/>
    <w:rsid w:val="1017608E"/>
    <w:rsid w:val="10407E83"/>
    <w:rsid w:val="104E4371"/>
    <w:rsid w:val="10744F11"/>
    <w:rsid w:val="107F5F07"/>
    <w:rsid w:val="109D272E"/>
    <w:rsid w:val="11C356D4"/>
    <w:rsid w:val="11F7161E"/>
    <w:rsid w:val="12136625"/>
    <w:rsid w:val="12262760"/>
    <w:rsid w:val="122B6CE4"/>
    <w:rsid w:val="12350909"/>
    <w:rsid w:val="1268023E"/>
    <w:rsid w:val="129671EA"/>
    <w:rsid w:val="12AA12AC"/>
    <w:rsid w:val="13173DBC"/>
    <w:rsid w:val="133156CE"/>
    <w:rsid w:val="13CB4516"/>
    <w:rsid w:val="13F46C51"/>
    <w:rsid w:val="14181F0F"/>
    <w:rsid w:val="14493FD9"/>
    <w:rsid w:val="144B3E90"/>
    <w:rsid w:val="14FF77D9"/>
    <w:rsid w:val="15560E31"/>
    <w:rsid w:val="15F31C65"/>
    <w:rsid w:val="16146547"/>
    <w:rsid w:val="16D51875"/>
    <w:rsid w:val="16DA607C"/>
    <w:rsid w:val="171717E3"/>
    <w:rsid w:val="17B11AB2"/>
    <w:rsid w:val="181B495B"/>
    <w:rsid w:val="18252227"/>
    <w:rsid w:val="188D49A9"/>
    <w:rsid w:val="18DD2452"/>
    <w:rsid w:val="18E328A4"/>
    <w:rsid w:val="19366100"/>
    <w:rsid w:val="1A065081"/>
    <w:rsid w:val="1A1A3FA8"/>
    <w:rsid w:val="1AB62C11"/>
    <w:rsid w:val="1AB950C8"/>
    <w:rsid w:val="1AFE273B"/>
    <w:rsid w:val="1B2B30B2"/>
    <w:rsid w:val="1BAA00AD"/>
    <w:rsid w:val="1BF91B09"/>
    <w:rsid w:val="1C1C224C"/>
    <w:rsid w:val="1C504D1F"/>
    <w:rsid w:val="1C6D184F"/>
    <w:rsid w:val="1C7B2FF3"/>
    <w:rsid w:val="1C8C0FB3"/>
    <w:rsid w:val="1CF13D2E"/>
    <w:rsid w:val="1D0E369F"/>
    <w:rsid w:val="1D310FC1"/>
    <w:rsid w:val="1D9122D6"/>
    <w:rsid w:val="1DA632D2"/>
    <w:rsid w:val="1E0475D1"/>
    <w:rsid w:val="1E2B7DAC"/>
    <w:rsid w:val="1E4713E7"/>
    <w:rsid w:val="1ECF50B3"/>
    <w:rsid w:val="1F9F4BC1"/>
    <w:rsid w:val="1FA93247"/>
    <w:rsid w:val="1FDC4643"/>
    <w:rsid w:val="20377C65"/>
    <w:rsid w:val="20652A43"/>
    <w:rsid w:val="20B70E9F"/>
    <w:rsid w:val="20CF2603"/>
    <w:rsid w:val="212151DF"/>
    <w:rsid w:val="21356366"/>
    <w:rsid w:val="213E5037"/>
    <w:rsid w:val="217D328C"/>
    <w:rsid w:val="219E0F61"/>
    <w:rsid w:val="21D37FC5"/>
    <w:rsid w:val="21D47BC7"/>
    <w:rsid w:val="21DA01FE"/>
    <w:rsid w:val="223030E8"/>
    <w:rsid w:val="22876C99"/>
    <w:rsid w:val="22A822B6"/>
    <w:rsid w:val="22FB0893"/>
    <w:rsid w:val="232911B2"/>
    <w:rsid w:val="23367469"/>
    <w:rsid w:val="23AC18DE"/>
    <w:rsid w:val="23AF0B70"/>
    <w:rsid w:val="23D81984"/>
    <w:rsid w:val="241B145A"/>
    <w:rsid w:val="2432471C"/>
    <w:rsid w:val="244D68CE"/>
    <w:rsid w:val="247740F3"/>
    <w:rsid w:val="24836263"/>
    <w:rsid w:val="24886DB4"/>
    <w:rsid w:val="24A2597F"/>
    <w:rsid w:val="24CF4BC7"/>
    <w:rsid w:val="250A0877"/>
    <w:rsid w:val="251C4DF7"/>
    <w:rsid w:val="254C3D55"/>
    <w:rsid w:val="256C232E"/>
    <w:rsid w:val="25EC5D77"/>
    <w:rsid w:val="269B4442"/>
    <w:rsid w:val="26D63991"/>
    <w:rsid w:val="26FD0BB6"/>
    <w:rsid w:val="270674F4"/>
    <w:rsid w:val="275832D5"/>
    <w:rsid w:val="27991B93"/>
    <w:rsid w:val="27AF28E7"/>
    <w:rsid w:val="281C41C1"/>
    <w:rsid w:val="283B46BE"/>
    <w:rsid w:val="2858643E"/>
    <w:rsid w:val="2916327D"/>
    <w:rsid w:val="29AA70BD"/>
    <w:rsid w:val="29E344B2"/>
    <w:rsid w:val="29F2096C"/>
    <w:rsid w:val="29FB4481"/>
    <w:rsid w:val="2A0A6B27"/>
    <w:rsid w:val="2A13285C"/>
    <w:rsid w:val="2A3D47A0"/>
    <w:rsid w:val="2AFC7B17"/>
    <w:rsid w:val="2B544FEC"/>
    <w:rsid w:val="2B8D1A8B"/>
    <w:rsid w:val="2B8F5802"/>
    <w:rsid w:val="2BA33C7B"/>
    <w:rsid w:val="2BB56250"/>
    <w:rsid w:val="2BF92ED7"/>
    <w:rsid w:val="2C257E8E"/>
    <w:rsid w:val="2C5C003E"/>
    <w:rsid w:val="2C7727C8"/>
    <w:rsid w:val="2CDC4B16"/>
    <w:rsid w:val="2CE83DD2"/>
    <w:rsid w:val="2D1C764D"/>
    <w:rsid w:val="2DAD3110"/>
    <w:rsid w:val="2DFC26ED"/>
    <w:rsid w:val="2E051EF5"/>
    <w:rsid w:val="2F534D44"/>
    <w:rsid w:val="2F6F1D22"/>
    <w:rsid w:val="2F8C60B1"/>
    <w:rsid w:val="2FAC2BFA"/>
    <w:rsid w:val="2FDB126F"/>
    <w:rsid w:val="307D5614"/>
    <w:rsid w:val="30A12C5D"/>
    <w:rsid w:val="310A0DA3"/>
    <w:rsid w:val="311627E2"/>
    <w:rsid w:val="312B4230"/>
    <w:rsid w:val="32134119"/>
    <w:rsid w:val="3228001B"/>
    <w:rsid w:val="329577CD"/>
    <w:rsid w:val="332A4DC4"/>
    <w:rsid w:val="332F4ACB"/>
    <w:rsid w:val="335217EE"/>
    <w:rsid w:val="34C6347A"/>
    <w:rsid w:val="35FA79D2"/>
    <w:rsid w:val="369216D1"/>
    <w:rsid w:val="370E6003"/>
    <w:rsid w:val="37303D84"/>
    <w:rsid w:val="37934AC0"/>
    <w:rsid w:val="380F74F2"/>
    <w:rsid w:val="3863589A"/>
    <w:rsid w:val="38A5074F"/>
    <w:rsid w:val="38E828D3"/>
    <w:rsid w:val="39331EDA"/>
    <w:rsid w:val="39431224"/>
    <w:rsid w:val="39435945"/>
    <w:rsid w:val="39582983"/>
    <w:rsid w:val="39EF3859"/>
    <w:rsid w:val="39F0713A"/>
    <w:rsid w:val="3A243BF3"/>
    <w:rsid w:val="3A784B13"/>
    <w:rsid w:val="3A7E4786"/>
    <w:rsid w:val="3A933FA5"/>
    <w:rsid w:val="3ACE744A"/>
    <w:rsid w:val="3AD847AC"/>
    <w:rsid w:val="3C167EF7"/>
    <w:rsid w:val="3C206624"/>
    <w:rsid w:val="3C8026E0"/>
    <w:rsid w:val="3CF33D2E"/>
    <w:rsid w:val="3D2802A6"/>
    <w:rsid w:val="3D992F20"/>
    <w:rsid w:val="3DEB09C5"/>
    <w:rsid w:val="3E0D7184"/>
    <w:rsid w:val="3E630D47"/>
    <w:rsid w:val="3E982F64"/>
    <w:rsid w:val="3EC14A75"/>
    <w:rsid w:val="3ECA5215"/>
    <w:rsid w:val="3EEF00CC"/>
    <w:rsid w:val="3F060A30"/>
    <w:rsid w:val="3F28248A"/>
    <w:rsid w:val="402E0630"/>
    <w:rsid w:val="403000C4"/>
    <w:rsid w:val="405E7503"/>
    <w:rsid w:val="409C2592"/>
    <w:rsid w:val="40BC4F31"/>
    <w:rsid w:val="40EF6340"/>
    <w:rsid w:val="41026F76"/>
    <w:rsid w:val="4165510C"/>
    <w:rsid w:val="417F5AC4"/>
    <w:rsid w:val="41AD2348"/>
    <w:rsid w:val="41FD1018"/>
    <w:rsid w:val="42037791"/>
    <w:rsid w:val="425E5D20"/>
    <w:rsid w:val="42623DBF"/>
    <w:rsid w:val="42846A9B"/>
    <w:rsid w:val="42904E2C"/>
    <w:rsid w:val="43724694"/>
    <w:rsid w:val="441A7346"/>
    <w:rsid w:val="45033789"/>
    <w:rsid w:val="452236DB"/>
    <w:rsid w:val="45417700"/>
    <w:rsid w:val="460947C1"/>
    <w:rsid w:val="46117B99"/>
    <w:rsid w:val="461E61CF"/>
    <w:rsid w:val="46765F44"/>
    <w:rsid w:val="46A44503"/>
    <w:rsid w:val="46E96E0B"/>
    <w:rsid w:val="475821DB"/>
    <w:rsid w:val="476A4124"/>
    <w:rsid w:val="478701CE"/>
    <w:rsid w:val="47C40F5F"/>
    <w:rsid w:val="47F7781E"/>
    <w:rsid w:val="48234DC9"/>
    <w:rsid w:val="486B28C4"/>
    <w:rsid w:val="486F68D8"/>
    <w:rsid w:val="488E25AA"/>
    <w:rsid w:val="495667AD"/>
    <w:rsid w:val="49EE0817"/>
    <w:rsid w:val="4A147156"/>
    <w:rsid w:val="4A3820DB"/>
    <w:rsid w:val="4A9602CA"/>
    <w:rsid w:val="4ACA4832"/>
    <w:rsid w:val="4ADF2C32"/>
    <w:rsid w:val="4AFB4ED1"/>
    <w:rsid w:val="4B2378DD"/>
    <w:rsid w:val="4B35191A"/>
    <w:rsid w:val="4B405161"/>
    <w:rsid w:val="4C1B701C"/>
    <w:rsid w:val="4C306B0D"/>
    <w:rsid w:val="4C734828"/>
    <w:rsid w:val="4CA273AE"/>
    <w:rsid w:val="4D0D3770"/>
    <w:rsid w:val="4D5F155E"/>
    <w:rsid w:val="4D8669FB"/>
    <w:rsid w:val="4D952FD8"/>
    <w:rsid w:val="4DCD1234"/>
    <w:rsid w:val="4DF02EEC"/>
    <w:rsid w:val="4E123FDD"/>
    <w:rsid w:val="4E65726F"/>
    <w:rsid w:val="4F1F7F83"/>
    <w:rsid w:val="4F8232AA"/>
    <w:rsid w:val="4F8543CC"/>
    <w:rsid w:val="503E001E"/>
    <w:rsid w:val="50BD2A33"/>
    <w:rsid w:val="50BD7614"/>
    <w:rsid w:val="50CD0A29"/>
    <w:rsid w:val="517A4364"/>
    <w:rsid w:val="518B5C9E"/>
    <w:rsid w:val="51901135"/>
    <w:rsid w:val="51F20E41"/>
    <w:rsid w:val="51FE3F1E"/>
    <w:rsid w:val="52162A28"/>
    <w:rsid w:val="52284F19"/>
    <w:rsid w:val="522D57B4"/>
    <w:rsid w:val="523B594F"/>
    <w:rsid w:val="52562871"/>
    <w:rsid w:val="526B2B61"/>
    <w:rsid w:val="52A42DB6"/>
    <w:rsid w:val="52C30BD4"/>
    <w:rsid w:val="52E87DF2"/>
    <w:rsid w:val="537F0012"/>
    <w:rsid w:val="53BE615B"/>
    <w:rsid w:val="541367BE"/>
    <w:rsid w:val="542E642F"/>
    <w:rsid w:val="54F32E69"/>
    <w:rsid w:val="552C62DE"/>
    <w:rsid w:val="55AB1748"/>
    <w:rsid w:val="562E26C0"/>
    <w:rsid w:val="56364370"/>
    <w:rsid w:val="56552F0C"/>
    <w:rsid w:val="56944FDC"/>
    <w:rsid w:val="56DF3A3C"/>
    <w:rsid w:val="56FC6E95"/>
    <w:rsid w:val="573B74AD"/>
    <w:rsid w:val="584A7611"/>
    <w:rsid w:val="588D76CF"/>
    <w:rsid w:val="589944CB"/>
    <w:rsid w:val="58DE2630"/>
    <w:rsid w:val="59063BE5"/>
    <w:rsid w:val="590A41B7"/>
    <w:rsid w:val="590C52AB"/>
    <w:rsid w:val="594F6EA8"/>
    <w:rsid w:val="59657216"/>
    <w:rsid w:val="59DD4026"/>
    <w:rsid w:val="59FD24D2"/>
    <w:rsid w:val="5A08150F"/>
    <w:rsid w:val="5ADB4609"/>
    <w:rsid w:val="5AEC36DF"/>
    <w:rsid w:val="5AF1453D"/>
    <w:rsid w:val="5AF26B48"/>
    <w:rsid w:val="5B333260"/>
    <w:rsid w:val="5BDB0550"/>
    <w:rsid w:val="5C357660"/>
    <w:rsid w:val="5C4C1793"/>
    <w:rsid w:val="5CEA2F12"/>
    <w:rsid w:val="5D152432"/>
    <w:rsid w:val="5D335075"/>
    <w:rsid w:val="5D5D3C4A"/>
    <w:rsid w:val="5D804278"/>
    <w:rsid w:val="5D8C339C"/>
    <w:rsid w:val="5DE61A39"/>
    <w:rsid w:val="5E06215C"/>
    <w:rsid w:val="5E753C34"/>
    <w:rsid w:val="5E7A0EC6"/>
    <w:rsid w:val="5E7C118A"/>
    <w:rsid w:val="5EA900D4"/>
    <w:rsid w:val="5F302990"/>
    <w:rsid w:val="5F532AA1"/>
    <w:rsid w:val="5F67606E"/>
    <w:rsid w:val="5F7042AD"/>
    <w:rsid w:val="5FAF60D6"/>
    <w:rsid w:val="5FBB06E6"/>
    <w:rsid w:val="5FD81212"/>
    <w:rsid w:val="60044BDF"/>
    <w:rsid w:val="60F241D0"/>
    <w:rsid w:val="61175A9A"/>
    <w:rsid w:val="61453D1A"/>
    <w:rsid w:val="6152578B"/>
    <w:rsid w:val="62D845B5"/>
    <w:rsid w:val="62FB0158"/>
    <w:rsid w:val="63850579"/>
    <w:rsid w:val="63974516"/>
    <w:rsid w:val="63E145E6"/>
    <w:rsid w:val="64324028"/>
    <w:rsid w:val="643738F3"/>
    <w:rsid w:val="643806E4"/>
    <w:rsid w:val="64386386"/>
    <w:rsid w:val="64453913"/>
    <w:rsid w:val="64790173"/>
    <w:rsid w:val="648A733E"/>
    <w:rsid w:val="659742B1"/>
    <w:rsid w:val="65EA4884"/>
    <w:rsid w:val="660B7886"/>
    <w:rsid w:val="6666379E"/>
    <w:rsid w:val="668A3AFF"/>
    <w:rsid w:val="66CE5D4B"/>
    <w:rsid w:val="66D40490"/>
    <w:rsid w:val="673B19CC"/>
    <w:rsid w:val="677B2DB4"/>
    <w:rsid w:val="678C60C5"/>
    <w:rsid w:val="67AD586F"/>
    <w:rsid w:val="681C32B8"/>
    <w:rsid w:val="682C6A77"/>
    <w:rsid w:val="684A6FA0"/>
    <w:rsid w:val="68522C20"/>
    <w:rsid w:val="68656224"/>
    <w:rsid w:val="68691D08"/>
    <w:rsid w:val="68B86009"/>
    <w:rsid w:val="693E0AA2"/>
    <w:rsid w:val="69896101"/>
    <w:rsid w:val="69CA6294"/>
    <w:rsid w:val="69D82FE1"/>
    <w:rsid w:val="6AAF07C4"/>
    <w:rsid w:val="6ACD2C37"/>
    <w:rsid w:val="6B300A71"/>
    <w:rsid w:val="6BD22649"/>
    <w:rsid w:val="6C0346FB"/>
    <w:rsid w:val="6C7A119F"/>
    <w:rsid w:val="6CE46AD6"/>
    <w:rsid w:val="6D0351E8"/>
    <w:rsid w:val="6D6E3AD5"/>
    <w:rsid w:val="6DDE35EE"/>
    <w:rsid w:val="6DFA234A"/>
    <w:rsid w:val="6E015E3C"/>
    <w:rsid w:val="6E06436A"/>
    <w:rsid w:val="6E1D093F"/>
    <w:rsid w:val="6EAA6A3B"/>
    <w:rsid w:val="700F245C"/>
    <w:rsid w:val="705A03B8"/>
    <w:rsid w:val="70A37B2B"/>
    <w:rsid w:val="70BC1FF6"/>
    <w:rsid w:val="70C27F18"/>
    <w:rsid w:val="70CA0EDF"/>
    <w:rsid w:val="710A4126"/>
    <w:rsid w:val="710E594F"/>
    <w:rsid w:val="71633A2D"/>
    <w:rsid w:val="71EC7360"/>
    <w:rsid w:val="721B647A"/>
    <w:rsid w:val="722602D8"/>
    <w:rsid w:val="728712AC"/>
    <w:rsid w:val="728D6291"/>
    <w:rsid w:val="72E324EA"/>
    <w:rsid w:val="73005B8F"/>
    <w:rsid w:val="73550A60"/>
    <w:rsid w:val="735710C4"/>
    <w:rsid w:val="73761AAA"/>
    <w:rsid w:val="73881308"/>
    <w:rsid w:val="73B17F89"/>
    <w:rsid w:val="740F2CE8"/>
    <w:rsid w:val="74326664"/>
    <w:rsid w:val="74476E70"/>
    <w:rsid w:val="7467352C"/>
    <w:rsid w:val="7478226E"/>
    <w:rsid w:val="750676EA"/>
    <w:rsid w:val="751E58E9"/>
    <w:rsid w:val="752B22F3"/>
    <w:rsid w:val="7576107E"/>
    <w:rsid w:val="759F405A"/>
    <w:rsid w:val="76207BC3"/>
    <w:rsid w:val="76417786"/>
    <w:rsid w:val="76437B7F"/>
    <w:rsid w:val="76514EEA"/>
    <w:rsid w:val="76602A6E"/>
    <w:rsid w:val="769C2114"/>
    <w:rsid w:val="771A50BF"/>
    <w:rsid w:val="77291A68"/>
    <w:rsid w:val="77FA44D9"/>
    <w:rsid w:val="78247FD2"/>
    <w:rsid w:val="788E4D92"/>
    <w:rsid w:val="78A36A3C"/>
    <w:rsid w:val="78F46331"/>
    <w:rsid w:val="7932625A"/>
    <w:rsid w:val="79B52BD3"/>
    <w:rsid w:val="79B94395"/>
    <w:rsid w:val="7A1267F2"/>
    <w:rsid w:val="7A441C05"/>
    <w:rsid w:val="7AB56B44"/>
    <w:rsid w:val="7AD00A78"/>
    <w:rsid w:val="7B716D82"/>
    <w:rsid w:val="7B730C1B"/>
    <w:rsid w:val="7B887911"/>
    <w:rsid w:val="7BF05570"/>
    <w:rsid w:val="7CB23545"/>
    <w:rsid w:val="7D13400B"/>
    <w:rsid w:val="7D1F2C1B"/>
    <w:rsid w:val="7D282781"/>
    <w:rsid w:val="7D4B160D"/>
    <w:rsid w:val="7D7336CA"/>
    <w:rsid w:val="7DBA688F"/>
    <w:rsid w:val="7E55793F"/>
    <w:rsid w:val="7EB3548E"/>
    <w:rsid w:val="7EC533DC"/>
    <w:rsid w:val="7ECB3019"/>
    <w:rsid w:val="7ED17A08"/>
    <w:rsid w:val="7ED74BCE"/>
    <w:rsid w:val="7F087A80"/>
    <w:rsid w:val="7F150C7C"/>
    <w:rsid w:val="7F232A67"/>
    <w:rsid w:val="7F335454"/>
    <w:rsid w:val="7F3B7B5B"/>
    <w:rsid w:val="7F797F50"/>
    <w:rsid w:val="7F9F4C48"/>
    <w:rsid w:val="7FA76975"/>
    <w:rsid w:val="7FDE62CE"/>
    <w:rsid w:val="7FE8125E"/>
    <w:rsid w:val="CDFF3C2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9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宋体" w:hAnsi="Times New Roman" w:eastAsia="宋体" w:cs="Times New Roman"/>
      <w:sz w:val="34"/>
      <w:lang w:val="en-US" w:eastAsia="zh-CN" w:bidi="ar-SA"/>
    </w:rPr>
  </w:style>
  <w:style w:type="paragraph" w:styleId="3">
    <w:name w:val="heading 1"/>
    <w:basedOn w:val="1"/>
    <w:next w:val="1"/>
    <w:link w:val="52"/>
    <w:qFormat/>
    <w:uiPriority w:val="0"/>
    <w:pPr>
      <w:keepNext/>
      <w:keepLines/>
      <w:spacing w:before="120" w:after="120"/>
      <w:jc w:val="center"/>
      <w:outlineLvl w:val="0"/>
    </w:pPr>
    <w:rPr>
      <w:b/>
      <w:bCs/>
      <w:kern w:val="44"/>
      <w:sz w:val="44"/>
      <w:szCs w:val="44"/>
    </w:rPr>
  </w:style>
  <w:style w:type="paragraph" w:styleId="4">
    <w:name w:val="heading 2"/>
    <w:basedOn w:val="1"/>
    <w:next w:val="1"/>
    <w:link w:val="53"/>
    <w:qFormat/>
    <w:uiPriority w:val="0"/>
    <w:pPr>
      <w:keepNext/>
      <w:keepLines/>
      <w:spacing w:line="413" w:lineRule="auto"/>
      <w:outlineLvl w:val="1"/>
    </w:pPr>
    <w:rPr>
      <w:rFonts w:ascii="Arial" w:hAnsi="Arial" w:eastAsia="黑体"/>
      <w:b/>
      <w:bCs/>
      <w:sz w:val="32"/>
      <w:szCs w:val="32"/>
    </w:rPr>
  </w:style>
  <w:style w:type="paragraph" w:styleId="5">
    <w:name w:val="heading 3"/>
    <w:basedOn w:val="1"/>
    <w:next w:val="1"/>
    <w:link w:val="54"/>
    <w:qFormat/>
    <w:uiPriority w:val="0"/>
    <w:pPr>
      <w:keepNext/>
      <w:keepLines/>
      <w:spacing w:line="413" w:lineRule="auto"/>
      <w:outlineLvl w:val="2"/>
    </w:pPr>
    <w:rPr>
      <w:b/>
      <w:bCs/>
      <w:sz w:val="32"/>
      <w:szCs w:val="32"/>
    </w:rPr>
  </w:style>
  <w:style w:type="paragraph" w:styleId="6">
    <w:name w:val="heading 4"/>
    <w:basedOn w:val="1"/>
    <w:next w:val="1"/>
    <w:link w:val="63"/>
    <w:qFormat/>
    <w:uiPriority w:val="0"/>
    <w:pPr>
      <w:keepNext/>
      <w:outlineLvl w:val="3"/>
    </w:pPr>
    <w:rPr>
      <w:rFonts w:ascii="Times New Roman"/>
      <w:b/>
      <w:bCs/>
      <w:sz w:val="28"/>
      <w:szCs w:val="28"/>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51"/>
    <w:qFormat/>
    <w:uiPriority w:val="0"/>
  </w:style>
  <w:style w:type="paragraph" w:styleId="7">
    <w:name w:val="toc 7"/>
    <w:basedOn w:val="1"/>
    <w:next w:val="1"/>
    <w:qFormat/>
    <w:uiPriority w:val="39"/>
    <w:pPr>
      <w:ind w:left="2040"/>
      <w:jc w:val="left"/>
    </w:pPr>
    <w:rPr>
      <w:rFonts w:asciiTheme="minorHAnsi" w:hAnsiTheme="minorHAnsi" w:cstheme="minorHAnsi"/>
      <w:sz w:val="18"/>
      <w:szCs w:val="18"/>
    </w:rPr>
  </w:style>
  <w:style w:type="paragraph" w:styleId="8">
    <w:name w:val="Normal Indent"/>
    <w:basedOn w:val="1"/>
    <w:qFormat/>
    <w:uiPriority w:val="0"/>
    <w:pPr>
      <w:ind w:firstLine="420" w:firstLineChars="200"/>
    </w:pPr>
    <w:rPr>
      <w:kern w:val="2"/>
      <w:sz w:val="21"/>
      <w:szCs w:val="24"/>
    </w:rPr>
  </w:style>
  <w:style w:type="paragraph" w:styleId="9">
    <w:name w:val="Document Map"/>
    <w:basedOn w:val="1"/>
    <w:link w:val="42"/>
    <w:qFormat/>
    <w:uiPriority w:val="0"/>
    <w:rPr>
      <w:sz w:val="18"/>
      <w:szCs w:val="18"/>
    </w:rPr>
  </w:style>
  <w:style w:type="paragraph" w:styleId="10">
    <w:name w:val="annotation text"/>
    <w:basedOn w:val="1"/>
    <w:link w:val="43"/>
    <w:qFormat/>
    <w:uiPriority w:val="99"/>
    <w:pPr>
      <w:jc w:val="left"/>
    </w:pPr>
  </w:style>
  <w:style w:type="paragraph" w:styleId="11">
    <w:name w:val="toc 5"/>
    <w:basedOn w:val="1"/>
    <w:next w:val="1"/>
    <w:qFormat/>
    <w:uiPriority w:val="39"/>
    <w:pPr>
      <w:ind w:left="1360"/>
      <w:jc w:val="left"/>
    </w:pPr>
    <w:rPr>
      <w:rFonts w:asciiTheme="minorHAnsi" w:hAnsiTheme="minorHAnsi" w:cstheme="minorHAnsi"/>
      <w:sz w:val="18"/>
      <w:szCs w:val="18"/>
    </w:rPr>
  </w:style>
  <w:style w:type="paragraph" w:styleId="12">
    <w:name w:val="toc 3"/>
    <w:basedOn w:val="1"/>
    <w:next w:val="1"/>
    <w:qFormat/>
    <w:uiPriority w:val="39"/>
    <w:pPr>
      <w:ind w:left="680"/>
      <w:jc w:val="left"/>
    </w:pPr>
    <w:rPr>
      <w:rFonts w:asciiTheme="minorHAnsi" w:hAnsiTheme="minorHAnsi" w:cstheme="minorHAnsi"/>
      <w:i/>
      <w:iCs/>
      <w:sz w:val="20"/>
    </w:rPr>
  </w:style>
  <w:style w:type="paragraph" w:styleId="13">
    <w:name w:val="toc 8"/>
    <w:basedOn w:val="1"/>
    <w:next w:val="1"/>
    <w:qFormat/>
    <w:uiPriority w:val="39"/>
    <w:pPr>
      <w:ind w:left="2380"/>
      <w:jc w:val="left"/>
    </w:pPr>
    <w:rPr>
      <w:rFonts w:asciiTheme="minorHAnsi" w:hAnsiTheme="minorHAnsi" w:cstheme="minorHAnsi"/>
      <w:sz w:val="18"/>
      <w:szCs w:val="18"/>
    </w:rPr>
  </w:style>
  <w:style w:type="paragraph" w:styleId="14">
    <w:name w:val="Body Text Indent 2"/>
    <w:basedOn w:val="1"/>
    <w:link w:val="56"/>
    <w:qFormat/>
    <w:uiPriority w:val="0"/>
    <w:pPr>
      <w:spacing w:line="480" w:lineRule="auto"/>
      <w:ind w:left="420" w:leftChars="200"/>
    </w:pPr>
  </w:style>
  <w:style w:type="paragraph" w:styleId="15">
    <w:name w:val="Balloon Text"/>
    <w:basedOn w:val="1"/>
    <w:link w:val="41"/>
    <w:qFormat/>
    <w:uiPriority w:val="0"/>
    <w:rPr>
      <w:sz w:val="18"/>
      <w:szCs w:val="18"/>
    </w:rPr>
  </w:style>
  <w:style w:type="paragraph" w:styleId="16">
    <w:name w:val="footer"/>
    <w:basedOn w:val="1"/>
    <w:link w:val="50"/>
    <w:qFormat/>
    <w:uiPriority w:val="99"/>
    <w:pPr>
      <w:tabs>
        <w:tab w:val="center" w:pos="4153"/>
        <w:tab w:val="right" w:pos="8306"/>
      </w:tabs>
      <w:snapToGrid w:val="0"/>
      <w:jc w:val="left"/>
    </w:pPr>
    <w:rPr>
      <w:sz w:val="18"/>
    </w:rPr>
  </w:style>
  <w:style w:type="paragraph" w:styleId="17">
    <w:name w:val="header"/>
    <w:basedOn w:val="1"/>
    <w:link w:val="57"/>
    <w:qFormat/>
    <w:uiPriority w:val="0"/>
    <w:pPr>
      <w:pBdr>
        <w:bottom w:val="single" w:color="auto" w:sz="6" w:space="1"/>
      </w:pBdr>
      <w:tabs>
        <w:tab w:val="center" w:pos="4153"/>
        <w:tab w:val="right" w:pos="8306"/>
      </w:tabs>
      <w:snapToGrid w:val="0"/>
      <w:jc w:val="center"/>
    </w:pPr>
    <w:rPr>
      <w:sz w:val="18"/>
    </w:rPr>
  </w:style>
  <w:style w:type="paragraph" w:styleId="18">
    <w:name w:val="toc 1"/>
    <w:basedOn w:val="1"/>
    <w:next w:val="1"/>
    <w:qFormat/>
    <w:uiPriority w:val="39"/>
    <w:pPr>
      <w:spacing w:before="120" w:after="120"/>
      <w:jc w:val="left"/>
    </w:pPr>
    <w:rPr>
      <w:rFonts w:asciiTheme="minorHAnsi" w:hAnsiTheme="minorHAnsi" w:cstheme="minorHAnsi"/>
      <w:b/>
      <w:bCs/>
      <w:caps/>
      <w:sz w:val="20"/>
    </w:rPr>
  </w:style>
  <w:style w:type="paragraph" w:styleId="19">
    <w:name w:val="toc 4"/>
    <w:basedOn w:val="1"/>
    <w:next w:val="1"/>
    <w:qFormat/>
    <w:uiPriority w:val="39"/>
    <w:pPr>
      <w:ind w:left="1020"/>
      <w:jc w:val="left"/>
    </w:pPr>
    <w:rPr>
      <w:rFonts w:asciiTheme="minorHAnsi" w:hAnsiTheme="minorHAnsi" w:cstheme="minorHAnsi"/>
      <w:sz w:val="18"/>
      <w:szCs w:val="18"/>
    </w:rPr>
  </w:style>
  <w:style w:type="paragraph" w:styleId="20">
    <w:name w:val="Subtitle"/>
    <w:basedOn w:val="1"/>
    <w:next w:val="1"/>
    <w:link w:val="55"/>
    <w:qFormat/>
    <w:uiPriority w:val="0"/>
    <w:pPr>
      <w:spacing w:before="240" w:after="60" w:line="312" w:lineRule="auto"/>
      <w:jc w:val="center"/>
      <w:outlineLvl w:val="1"/>
    </w:pPr>
    <w:rPr>
      <w:rFonts w:ascii="Arial" w:hAnsi="Arial" w:cs="Arial"/>
      <w:b/>
      <w:bCs/>
      <w:kern w:val="28"/>
      <w:sz w:val="32"/>
      <w:szCs w:val="32"/>
    </w:rPr>
  </w:style>
  <w:style w:type="paragraph" w:styleId="21">
    <w:name w:val="toc 6"/>
    <w:basedOn w:val="1"/>
    <w:next w:val="1"/>
    <w:qFormat/>
    <w:uiPriority w:val="39"/>
    <w:pPr>
      <w:ind w:left="1700"/>
      <w:jc w:val="left"/>
    </w:pPr>
    <w:rPr>
      <w:rFonts w:asciiTheme="minorHAnsi" w:hAnsiTheme="minorHAnsi" w:cstheme="minorHAnsi"/>
      <w:sz w:val="18"/>
      <w:szCs w:val="18"/>
    </w:rPr>
  </w:style>
  <w:style w:type="paragraph" w:styleId="22">
    <w:name w:val="toc 2"/>
    <w:basedOn w:val="1"/>
    <w:next w:val="1"/>
    <w:qFormat/>
    <w:uiPriority w:val="39"/>
    <w:pPr>
      <w:ind w:left="340"/>
      <w:jc w:val="left"/>
    </w:pPr>
    <w:rPr>
      <w:rFonts w:asciiTheme="minorHAnsi" w:hAnsiTheme="minorHAnsi" w:cstheme="minorHAnsi"/>
      <w:smallCaps/>
      <w:sz w:val="20"/>
    </w:rPr>
  </w:style>
  <w:style w:type="paragraph" w:styleId="23">
    <w:name w:val="toc 9"/>
    <w:basedOn w:val="1"/>
    <w:next w:val="1"/>
    <w:qFormat/>
    <w:uiPriority w:val="39"/>
    <w:pPr>
      <w:ind w:left="2720"/>
      <w:jc w:val="left"/>
    </w:pPr>
    <w:rPr>
      <w:rFonts w:asciiTheme="minorHAnsi" w:hAnsiTheme="minorHAnsi" w:cstheme="minorHAnsi"/>
      <w:sz w:val="18"/>
      <w:szCs w:val="18"/>
    </w:rPr>
  </w:style>
  <w:style w:type="paragraph" w:styleId="24">
    <w:name w:val="Normal (Web)"/>
    <w:basedOn w:val="1"/>
    <w:qFormat/>
    <w:uiPriority w:val="0"/>
    <w:pPr>
      <w:widowControl/>
      <w:spacing w:beforeAutospacing="1" w:afterAutospacing="1"/>
      <w:jc w:val="left"/>
    </w:pPr>
    <w:rPr>
      <w:rFonts w:hAnsi="宋体"/>
      <w:sz w:val="18"/>
      <w:szCs w:val="18"/>
    </w:rPr>
  </w:style>
  <w:style w:type="paragraph" w:styleId="25">
    <w:name w:val="annotation subject"/>
    <w:basedOn w:val="10"/>
    <w:next w:val="10"/>
    <w:link w:val="44"/>
    <w:qFormat/>
    <w:uiPriority w:val="0"/>
    <w:rPr>
      <w:b/>
      <w:bCs/>
    </w:rPr>
  </w:style>
  <w:style w:type="paragraph" w:styleId="26">
    <w:name w:val="Body Text First Indent"/>
    <w:basedOn w:val="2"/>
    <w:unhideWhenUsed/>
    <w:qFormat/>
    <w:uiPriority w:val="99"/>
    <w:pPr>
      <w:ind w:firstLine="420" w:firstLineChars="100"/>
    </w:p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Emphasis"/>
    <w:basedOn w:val="29"/>
    <w:qFormat/>
    <w:uiPriority w:val="0"/>
    <w:rPr>
      <w:i/>
    </w:rPr>
  </w:style>
  <w:style w:type="character" w:styleId="32">
    <w:name w:val="Hyperlink"/>
    <w:basedOn w:val="29"/>
    <w:qFormat/>
    <w:uiPriority w:val="99"/>
    <w:rPr>
      <w:color w:val="0000FF"/>
      <w:u w:val="single"/>
    </w:rPr>
  </w:style>
  <w:style w:type="character" w:styleId="33">
    <w:name w:val="annotation reference"/>
    <w:basedOn w:val="29"/>
    <w:qFormat/>
    <w:uiPriority w:val="0"/>
    <w:rPr>
      <w:sz w:val="21"/>
      <w:szCs w:val="21"/>
    </w:rPr>
  </w:style>
  <w:style w:type="paragraph" w:styleId="34">
    <w:name w:val="Quote"/>
    <w:basedOn w:val="1"/>
    <w:next w:val="1"/>
    <w:qFormat/>
    <w:uiPriority w:val="99"/>
    <w:pPr>
      <w:widowControl/>
      <w:wordWrap w:val="0"/>
      <w:spacing w:before="200" w:after="160"/>
      <w:ind w:left="864" w:right="864"/>
      <w:jc w:val="center"/>
    </w:pPr>
    <w:rPr>
      <w:rFonts w:ascii="Times New Roman"/>
      <w:i/>
    </w:rPr>
  </w:style>
  <w:style w:type="paragraph" w:customStyle="1" w:styleId="35">
    <w:name w:val="标题 5（有编号）（绿盟科技）"/>
    <w:basedOn w:val="1"/>
    <w:next w:val="36"/>
    <w:qFormat/>
    <w:uiPriority w:val="0"/>
    <w:pPr>
      <w:keepNext/>
      <w:keepLines/>
      <w:numPr>
        <w:ilvl w:val="4"/>
        <w:numId w:val="1"/>
      </w:numPr>
      <w:spacing w:before="280" w:after="156" w:line="377" w:lineRule="auto"/>
      <w:jc w:val="left"/>
      <w:outlineLvl w:val="4"/>
    </w:pPr>
    <w:rPr>
      <w:rFonts w:ascii="Arial" w:hAnsi="Arial" w:eastAsia="黑体"/>
      <w:b/>
      <w:sz w:val="24"/>
      <w:szCs w:val="28"/>
    </w:rPr>
  </w:style>
  <w:style w:type="paragraph" w:customStyle="1" w:styleId="36">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37">
    <w:name w:val="正文首行缩进两字符"/>
    <w:basedOn w:val="1"/>
    <w:qFormat/>
    <w:uiPriority w:val="0"/>
    <w:pPr>
      <w:spacing w:line="360" w:lineRule="auto"/>
      <w:ind w:firstLine="200" w:firstLineChars="200"/>
    </w:pPr>
  </w:style>
  <w:style w:type="paragraph" w:customStyle="1" w:styleId="38">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39">
    <w:name w:val="样式 首行缩进:  2 字符"/>
    <w:basedOn w:val="1"/>
    <w:qFormat/>
    <w:uiPriority w:val="0"/>
    <w:pPr>
      <w:spacing w:line="400" w:lineRule="exact"/>
      <w:ind w:firstLine="200" w:firstLineChars="200"/>
    </w:pPr>
    <w:rPr>
      <w:rFonts w:cs="宋体"/>
      <w:sz w:val="24"/>
    </w:rPr>
  </w:style>
  <w:style w:type="paragraph" w:customStyle="1" w:styleId="40">
    <w:name w:val="正文1"/>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character" w:customStyle="1" w:styleId="41">
    <w:name w:val="批注框文本 Char"/>
    <w:basedOn w:val="29"/>
    <w:link w:val="15"/>
    <w:qFormat/>
    <w:uiPriority w:val="0"/>
    <w:rPr>
      <w:rFonts w:ascii="宋体" w:hAnsi="Times New Roman" w:eastAsia="宋体" w:cs="Times New Roman"/>
      <w:sz w:val="18"/>
      <w:szCs w:val="18"/>
    </w:rPr>
  </w:style>
  <w:style w:type="character" w:customStyle="1" w:styleId="42">
    <w:name w:val="文档结构图 Char"/>
    <w:basedOn w:val="29"/>
    <w:link w:val="9"/>
    <w:qFormat/>
    <w:uiPriority w:val="0"/>
    <w:rPr>
      <w:rFonts w:ascii="宋体" w:hAnsi="Times New Roman" w:eastAsia="宋体" w:cs="Times New Roman"/>
      <w:sz w:val="18"/>
      <w:szCs w:val="18"/>
    </w:rPr>
  </w:style>
  <w:style w:type="character" w:customStyle="1" w:styleId="43">
    <w:name w:val="批注文字 Char"/>
    <w:basedOn w:val="29"/>
    <w:link w:val="10"/>
    <w:qFormat/>
    <w:uiPriority w:val="99"/>
    <w:rPr>
      <w:rFonts w:ascii="宋体" w:hAnsi="Times New Roman" w:eastAsia="宋体" w:cs="Times New Roman"/>
      <w:sz w:val="34"/>
    </w:rPr>
  </w:style>
  <w:style w:type="character" w:customStyle="1" w:styleId="44">
    <w:name w:val="批注主题 Char"/>
    <w:basedOn w:val="43"/>
    <w:link w:val="25"/>
    <w:qFormat/>
    <w:uiPriority w:val="0"/>
    <w:rPr>
      <w:rFonts w:ascii="宋体" w:hAnsi="Times New Roman" w:eastAsia="宋体" w:cs="Times New Roman"/>
      <w:sz w:val="34"/>
    </w:rPr>
  </w:style>
  <w:style w:type="paragraph" w:customStyle="1" w:styleId="45">
    <w:name w:val="Table Paragraph"/>
    <w:basedOn w:val="1"/>
    <w:qFormat/>
    <w:uiPriority w:val="1"/>
    <w:rPr>
      <w:rFonts w:ascii="仿宋" w:hAnsi="仿宋" w:eastAsia="仿宋" w:cs="仿宋"/>
      <w:lang w:val="zh-CN" w:bidi="zh-CN"/>
    </w:rPr>
  </w:style>
  <w:style w:type="paragraph" w:customStyle="1" w:styleId="46">
    <w:name w:val="正文 A"/>
    <w:qFormat/>
    <w:uiPriority w:val="0"/>
    <w:pPr>
      <w:widowControl w:val="0"/>
      <w:jc w:val="both"/>
    </w:pPr>
    <w:rPr>
      <w:rFonts w:ascii="宋体" w:hAnsi="宋体" w:eastAsia="宋体" w:cs="宋体"/>
      <w:color w:val="000000"/>
      <w:sz w:val="34"/>
      <w:szCs w:val="34"/>
      <w:u w:color="000000"/>
      <w:lang w:val="en-US" w:eastAsia="zh-CN" w:bidi="ar-SA"/>
    </w:rPr>
  </w:style>
  <w:style w:type="character" w:customStyle="1" w:styleId="47">
    <w:name w:val="无"/>
    <w:qFormat/>
    <w:uiPriority w:val="0"/>
  </w:style>
  <w:style w:type="paragraph" w:styleId="48">
    <w:name w:val="List Paragraph"/>
    <w:basedOn w:val="1"/>
    <w:qFormat/>
    <w:uiPriority w:val="34"/>
    <w:pPr>
      <w:ind w:firstLine="420" w:firstLineChars="200"/>
    </w:pPr>
  </w:style>
  <w:style w:type="character" w:customStyle="1" w:styleId="49">
    <w:name w:val="font31"/>
    <w:qFormat/>
    <w:uiPriority w:val="0"/>
    <w:rPr>
      <w:rFonts w:hint="eastAsia" w:ascii="宋体" w:hAnsi="宋体" w:eastAsia="宋体" w:cs="宋体"/>
      <w:color w:val="000000"/>
      <w:sz w:val="21"/>
      <w:szCs w:val="21"/>
      <w:u w:val="none"/>
    </w:rPr>
  </w:style>
  <w:style w:type="character" w:customStyle="1" w:styleId="50">
    <w:name w:val="页脚 Char"/>
    <w:basedOn w:val="29"/>
    <w:link w:val="16"/>
    <w:qFormat/>
    <w:uiPriority w:val="99"/>
    <w:rPr>
      <w:rFonts w:ascii="宋体"/>
      <w:sz w:val="18"/>
    </w:rPr>
  </w:style>
  <w:style w:type="character" w:customStyle="1" w:styleId="51">
    <w:name w:val="正文文本 Char"/>
    <w:basedOn w:val="29"/>
    <w:link w:val="2"/>
    <w:qFormat/>
    <w:uiPriority w:val="0"/>
    <w:rPr>
      <w:rFonts w:ascii="宋体"/>
      <w:sz w:val="34"/>
    </w:rPr>
  </w:style>
  <w:style w:type="character" w:customStyle="1" w:styleId="52">
    <w:name w:val="标题 1 Char"/>
    <w:basedOn w:val="29"/>
    <w:link w:val="3"/>
    <w:qFormat/>
    <w:uiPriority w:val="0"/>
    <w:rPr>
      <w:rFonts w:ascii="宋体"/>
      <w:b/>
      <w:bCs/>
      <w:kern w:val="44"/>
      <w:sz w:val="44"/>
      <w:szCs w:val="44"/>
    </w:rPr>
  </w:style>
  <w:style w:type="character" w:customStyle="1" w:styleId="53">
    <w:name w:val="标题 2 Char"/>
    <w:basedOn w:val="29"/>
    <w:link w:val="4"/>
    <w:qFormat/>
    <w:uiPriority w:val="0"/>
    <w:rPr>
      <w:rFonts w:ascii="Arial" w:hAnsi="Arial" w:eastAsia="黑体"/>
      <w:b/>
      <w:bCs/>
      <w:sz w:val="32"/>
      <w:szCs w:val="32"/>
    </w:rPr>
  </w:style>
  <w:style w:type="character" w:customStyle="1" w:styleId="54">
    <w:name w:val="标题 3 Char"/>
    <w:basedOn w:val="29"/>
    <w:link w:val="5"/>
    <w:qFormat/>
    <w:uiPriority w:val="0"/>
    <w:rPr>
      <w:rFonts w:ascii="宋体"/>
      <w:b/>
      <w:bCs/>
      <w:sz w:val="32"/>
      <w:szCs w:val="32"/>
    </w:rPr>
  </w:style>
  <w:style w:type="character" w:customStyle="1" w:styleId="55">
    <w:name w:val="副标题 Char"/>
    <w:basedOn w:val="29"/>
    <w:link w:val="20"/>
    <w:qFormat/>
    <w:uiPriority w:val="0"/>
    <w:rPr>
      <w:rFonts w:ascii="Arial" w:hAnsi="Arial" w:cs="Arial"/>
      <w:b/>
      <w:bCs/>
      <w:kern w:val="28"/>
      <w:sz w:val="32"/>
      <w:szCs w:val="32"/>
    </w:rPr>
  </w:style>
  <w:style w:type="character" w:customStyle="1" w:styleId="56">
    <w:name w:val="正文文本缩进 2 Char"/>
    <w:basedOn w:val="29"/>
    <w:link w:val="14"/>
    <w:qFormat/>
    <w:uiPriority w:val="0"/>
    <w:rPr>
      <w:rFonts w:ascii="宋体"/>
      <w:sz w:val="34"/>
    </w:rPr>
  </w:style>
  <w:style w:type="character" w:customStyle="1" w:styleId="57">
    <w:name w:val="页眉 Char"/>
    <w:basedOn w:val="29"/>
    <w:link w:val="17"/>
    <w:qFormat/>
    <w:uiPriority w:val="0"/>
    <w:rPr>
      <w:rFonts w:ascii="宋体"/>
      <w:sz w:val="18"/>
    </w:rPr>
  </w:style>
  <w:style w:type="paragraph" w:customStyle="1" w:styleId="58">
    <w:name w:val="List Paragraph1"/>
    <w:basedOn w:val="1"/>
    <w:qFormat/>
    <w:uiPriority w:val="99"/>
    <w:pPr>
      <w:ind w:firstLine="420" w:firstLineChars="200"/>
    </w:pPr>
  </w:style>
  <w:style w:type="paragraph" w:customStyle="1" w:styleId="59">
    <w:name w:val="正文文本 (2)1"/>
    <w:basedOn w:val="1"/>
    <w:qFormat/>
    <w:uiPriority w:val="0"/>
    <w:pPr>
      <w:shd w:val="clear" w:color="auto" w:fill="FFFFFF"/>
      <w:spacing w:before="360" w:after="60" w:line="470" w:lineRule="exact"/>
      <w:ind w:hanging="680"/>
    </w:pPr>
    <w:rPr>
      <w:sz w:val="22"/>
      <w:szCs w:val="22"/>
    </w:rPr>
  </w:style>
  <w:style w:type="character" w:customStyle="1" w:styleId="60">
    <w:name w:val="标题 #2"/>
    <w:basedOn w:val="61"/>
    <w:qFormat/>
    <w:uiPriority w:val="0"/>
    <w:rPr>
      <w:rFonts w:cs="Times New Roman"/>
      <w:color w:val="auto"/>
      <w:spacing w:val="0"/>
      <w:sz w:val="34"/>
      <w:szCs w:val="34"/>
      <w:lang w:val="en-US" w:eastAsia="zh-CN"/>
    </w:rPr>
  </w:style>
  <w:style w:type="character" w:customStyle="1" w:styleId="61">
    <w:name w:val="标题 #2_"/>
    <w:basedOn w:val="29"/>
    <w:link w:val="62"/>
    <w:qFormat/>
    <w:uiPriority w:val="0"/>
    <w:rPr>
      <w:szCs w:val="34"/>
    </w:rPr>
  </w:style>
  <w:style w:type="paragraph" w:customStyle="1" w:styleId="62">
    <w:name w:val="标题 #21"/>
    <w:basedOn w:val="1"/>
    <w:link w:val="61"/>
    <w:qFormat/>
    <w:uiPriority w:val="0"/>
    <w:pPr>
      <w:shd w:val="clear" w:color="auto" w:fill="FFFFFF"/>
      <w:spacing w:after="360" w:line="240" w:lineRule="atLeast"/>
      <w:jc w:val="distribute"/>
      <w:outlineLvl w:val="1"/>
    </w:pPr>
    <w:rPr>
      <w:szCs w:val="34"/>
    </w:rPr>
  </w:style>
  <w:style w:type="character" w:customStyle="1" w:styleId="63">
    <w:name w:val="标题 4 Char"/>
    <w:link w:val="6"/>
    <w:qFormat/>
    <w:uiPriority w:val="0"/>
    <w:rPr>
      <w:rFonts w:ascii="Times New Roman"/>
      <w:b/>
      <w:bCs/>
      <w:sz w:val="28"/>
      <w:szCs w:val="28"/>
    </w:rPr>
  </w:style>
  <w:style w:type="character" w:customStyle="1" w:styleId="64">
    <w:name w:val="font01"/>
    <w:basedOn w:val="29"/>
    <w:qFormat/>
    <w:uiPriority w:val="0"/>
    <w:rPr>
      <w:rFonts w:ascii="宋体" w:eastAsia="宋体" w:cs="宋体"/>
      <w:color w:val="FF0000"/>
      <w:sz w:val="21"/>
      <w:szCs w:val="21"/>
      <w:u w:val="none"/>
      <w:lang w:bidi="ar-SA"/>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2.xml"/><Relationship Id="rId98" Type="http://schemas.openxmlformats.org/officeDocument/2006/relationships/numbering" Target="numbering.xml"/><Relationship Id="rId97" Type="http://schemas.openxmlformats.org/officeDocument/2006/relationships/customXml" Target="../customXml/item1.xml"/><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4.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3.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3.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header" Target="head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theme" Target="theme/theme1.xml"/><Relationship Id="rId11" Type="http://schemas.openxmlformats.org/officeDocument/2006/relationships/footer" Target="footer5.xml"/><Relationship Id="rId100" Type="http://schemas.openxmlformats.org/officeDocument/2006/relationships/fontTable" Target="fontTable.xml"/><Relationship Id="rId10" Type="http://schemas.openxmlformats.org/officeDocument/2006/relationships/header" Target="head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file:///C:\Users\ADMINI~1\AppData\Local\Temp\ksohtml\wpsAFE4.tmp.png" TargetMode="External"/><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file:///C:\Users\ADMINI~1\AppData\Local\Temp\ksohtml\wpsAFE4.tmp.png" TargetMode="External"/><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2"/>
    <customShpInfo spid="_x0000_s205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51CB659-894C-4F6B-9E7B-D2A1642A1B30}">
  <ds:schemaRefs/>
</ds:datastoreItem>
</file>

<file path=docProps/app.xml><?xml version="1.0" encoding="utf-8"?>
<Properties xmlns="http://schemas.openxmlformats.org/officeDocument/2006/extended-properties" xmlns:vt="http://schemas.openxmlformats.org/officeDocument/2006/docPropsVTypes">
  <Template>Normal.dotm</Template>
  <Company>Sky123.Org</Company>
  <Pages>154</Pages>
  <Words>38738</Words>
  <Characters>40980</Characters>
  <Lines>316</Lines>
  <Paragraphs>89</Paragraphs>
  <TotalTime>25</TotalTime>
  <ScaleCrop>false</ScaleCrop>
  <LinksUpToDate>false</LinksUpToDate>
  <CharactersWithSpaces>41669</CharactersWithSpaces>
  <Application>WPS Office_11.1.0.9209_F1E327BC-269C-435d-A152-05C5408002CA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2018-12-05T10:20:00Z</dcterms:created>
  <dc:creator>伽侞</dc:creator>
  <cp:lastModifiedBy>QiuLuLu</cp:lastModifiedBy>
  <dcterms:modified xsi:type="dcterms:W3CDTF">2021-07-17T00:36:21Z</dcterms:modified>
  <cp:revision>143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2052-11.1.0.9209</vt:lpwstr>
  </property>
  <property fmtid="{D5CDD505-2E9C-101B-9397-08002B2CF9AE}" pid="3" name="ICV">
    <vt:lpwstr>88C2086F35A742888A4C39386917982E</vt:lpwstr>
  </property>
</Properties>
</file>